
<file path=[Content_Types].xml><?xml version="1.0" encoding="utf-8"?>
<Types xmlns="http://schemas.openxmlformats.org/package/2006/content-types">
  <Default Extension="bin" ContentType="application/vnd.openxmlformats-officedocument.oleObject"/>
  <Default Extension="emf" ContentType="image/x-emf"/>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ED5264" w:rsidRDefault="00B65917">
      <w:pPr>
        <w:jc w:val="left"/>
        <w:rPr>
          <w:sz w:val="32"/>
        </w:rPr>
      </w:pPr>
      <w:r>
        <w:rPr>
          <w:b/>
          <w:noProof/>
          <w:sz w:val="28"/>
        </w:rPr>
        <w:drawing>
          <wp:inline distT="0" distB="0" distL="0" distR="0">
            <wp:extent cx="1831340" cy="1207135"/>
            <wp:effectExtent l="0" t="0" r="16510" b="12065"/>
            <wp:docPr id="4" name="图片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21"/>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a:xfrm>
                      <a:off x="0" y="0"/>
                      <a:ext cx="1851214" cy="1220354"/>
                    </a:xfrm>
                    <a:prstGeom prst="rect">
                      <a:avLst/>
                    </a:prstGeom>
                    <a:noFill/>
                    <a:ln>
                      <a:noFill/>
                    </a:ln>
                  </pic:spPr>
                </pic:pic>
              </a:graphicData>
            </a:graphic>
          </wp:inline>
        </w:drawing>
      </w:r>
      <w:r>
        <w:rPr>
          <w:b/>
          <w:sz w:val="28"/>
        </w:rPr>
        <w:t xml:space="preserve">                                   </w:t>
      </w:r>
    </w:p>
    <w:p w:rsidR="00ED5264" w:rsidRDefault="00B65917">
      <w:pPr>
        <w:jc w:val="center"/>
        <w:rPr>
          <w:sz w:val="32"/>
        </w:rPr>
      </w:pPr>
      <w:r>
        <w:rPr>
          <w:b/>
          <w:sz w:val="28"/>
        </w:rPr>
        <w:t xml:space="preserve">      T/CECS XX-20</w:t>
      </w:r>
      <w:r>
        <w:rPr>
          <w:b/>
          <w:noProof/>
          <w:sz w:val="20"/>
        </w:rPr>
        <mc:AlternateContent>
          <mc:Choice Requires="wps">
            <w:drawing>
              <wp:anchor distT="0" distB="0" distL="114300" distR="114300" simplePos="0" relativeHeight="251659264" behindDoc="0" locked="0" layoutInCell="1" allowOverlap="1">
                <wp:simplePos x="0" y="0"/>
                <wp:positionH relativeFrom="column">
                  <wp:posOffset>46355</wp:posOffset>
                </wp:positionH>
                <wp:positionV relativeFrom="paragraph">
                  <wp:posOffset>591820</wp:posOffset>
                </wp:positionV>
                <wp:extent cx="5400040" cy="0"/>
                <wp:effectExtent l="0" t="9525" r="10160" b="9525"/>
                <wp:wrapTopAndBottom/>
                <wp:docPr id="5" name="直接连接符 5"/>
                <wp:cNvGraphicFramePr/>
                <a:graphic xmlns:a="http://schemas.openxmlformats.org/drawingml/2006/main">
                  <a:graphicData uri="http://schemas.microsoft.com/office/word/2010/wordprocessingShape">
                    <wps:wsp>
                      <wps:cNvCnPr/>
                      <wps:spPr>
                        <a:xfrm>
                          <a:off x="0" y="0"/>
                          <a:ext cx="5400040" cy="0"/>
                        </a:xfrm>
                        <a:prstGeom prst="line">
                          <a:avLst/>
                        </a:prstGeom>
                        <a:ln w="19050" cap="flat" cmpd="sng">
                          <a:solidFill>
                            <a:srgbClr val="000000"/>
                          </a:solidFill>
                          <a:prstDash val="solid"/>
                          <a:headEnd type="none" w="med" len="med"/>
                          <a:tailEnd type="none" w="med" len="med"/>
                        </a:ln>
                      </wps:spPr>
                      <wps:bodyPr/>
                    </wps:wsp>
                  </a:graphicData>
                </a:graphic>
              </wp:anchor>
            </w:drawing>
          </mc:Choice>
          <mc:Fallback>
            <w:pict>
              <v:line w14:anchorId="7F9E83BC" id="直接连接符 5" o:spid="_x0000_s1026" style="position:absolute;left:0;text-align:left;z-index:251659264;visibility:visible;mso-wrap-style:square;mso-wrap-distance-left:9pt;mso-wrap-distance-top:0;mso-wrap-distance-right:9pt;mso-wrap-distance-bottom:0;mso-position-horizontal:absolute;mso-position-horizontal-relative:text;mso-position-vertical:absolute;mso-position-vertical-relative:text" from="3.65pt,46.6pt" to="428.85pt,46.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" strokeweight="1.5pt">
                <w10:wrap type="topAndBottom"/>
              </v:line>
            </w:pict>
          </mc:Fallback>
        </mc:AlternateContent>
      </w:r>
      <w:r>
        <w:rPr>
          <w:b/>
          <w:sz w:val="28"/>
        </w:rPr>
        <w:t>2X</w:t>
      </w:r>
    </w:p>
    <w:p w:rsidR="00ED5264" w:rsidRDefault="00ED5264">
      <w:pPr>
        <w:jc w:val="center"/>
        <w:rPr>
          <w:sz w:val="32"/>
        </w:rPr>
      </w:pPr>
    </w:p>
    <w:p w:rsidR="00ED5264" w:rsidRDefault="00ED5264">
      <w:pPr>
        <w:jc w:val="center"/>
        <w:rPr>
          <w:sz w:val="32"/>
        </w:rPr>
      </w:pPr>
    </w:p>
    <w:p w:rsidR="00ED5264" w:rsidRDefault="00B65917">
      <w:pPr>
        <w:jc w:val="center"/>
        <w:rPr>
          <w:sz w:val="32"/>
        </w:rPr>
      </w:pPr>
      <w:r>
        <w:rPr>
          <w:sz w:val="32"/>
        </w:rPr>
        <w:t>中国工程建设标准化协会标准</w:t>
      </w:r>
    </w:p>
    <w:p w:rsidR="00ED5264" w:rsidRDefault="00ED5264">
      <w:pPr>
        <w:jc w:val="center"/>
        <w:rPr>
          <w:sz w:val="28"/>
        </w:rPr>
      </w:pPr>
    </w:p>
    <w:p w:rsidR="00ED5264" w:rsidRDefault="00B65917">
      <w:pPr>
        <w:jc w:val="center"/>
        <w:rPr>
          <w:rFonts w:eastAsia="黑体"/>
          <w:b/>
          <w:sz w:val="44"/>
        </w:rPr>
      </w:pPr>
      <w:r>
        <w:rPr>
          <w:rFonts w:eastAsia="黑体" w:hint="eastAsia"/>
          <w:b/>
          <w:sz w:val="44"/>
        </w:rPr>
        <w:t>黄河超细砂</w:t>
      </w:r>
      <w:r>
        <w:rPr>
          <w:rFonts w:eastAsia="黑体"/>
          <w:b/>
          <w:sz w:val="44"/>
        </w:rPr>
        <w:t>混凝土应用技术规程</w:t>
      </w:r>
    </w:p>
    <w:p w:rsidR="00ED5264" w:rsidRDefault="00B65917">
      <w:pPr>
        <w:jc w:val="center"/>
        <w:rPr>
          <w:rFonts w:eastAsia="黑体"/>
          <w:b/>
          <w:sz w:val="44"/>
        </w:rPr>
      </w:pPr>
      <w:r>
        <w:rPr>
          <w:rFonts w:eastAsia="黑体" w:hint="eastAsia"/>
          <w:b/>
          <w:sz w:val="44"/>
        </w:rPr>
        <w:t>Technical specification for application of concrete with Yellow River ultrafine sand</w:t>
      </w:r>
    </w:p>
    <w:p w:rsidR="00ED5264" w:rsidRDefault="00ED5264">
      <w:pPr>
        <w:jc w:val="center"/>
        <w:rPr>
          <w:rFonts w:eastAsia="黑体"/>
          <w:sz w:val="26"/>
        </w:rPr>
      </w:pPr>
    </w:p>
    <w:p w:rsidR="00ED5264" w:rsidRDefault="00B65917">
      <w:pPr>
        <w:jc w:val="center"/>
        <w:rPr>
          <w:b/>
          <w:sz w:val="36"/>
          <w:szCs w:val="36"/>
        </w:rPr>
      </w:pPr>
      <w:r>
        <w:rPr>
          <w:b/>
          <w:sz w:val="36"/>
          <w:szCs w:val="36"/>
        </w:rPr>
        <w:t>（</w:t>
      </w:r>
      <w:r>
        <w:rPr>
          <w:rFonts w:hint="eastAsia"/>
          <w:b/>
          <w:sz w:val="36"/>
          <w:szCs w:val="36"/>
        </w:rPr>
        <w:t>征求意见</w:t>
      </w:r>
      <w:r>
        <w:rPr>
          <w:b/>
          <w:sz w:val="36"/>
          <w:szCs w:val="36"/>
        </w:rPr>
        <w:t>稿）</w:t>
      </w:r>
    </w:p>
    <w:p w:rsidR="00ED5264" w:rsidRDefault="00ED5264">
      <w:pPr>
        <w:jc w:val="left"/>
        <w:rPr>
          <w:sz w:val="28"/>
        </w:rPr>
      </w:pPr>
    </w:p>
    <w:p w:rsidR="00ED5264" w:rsidRDefault="00ED5264">
      <w:pPr>
        <w:jc w:val="center"/>
        <w:rPr>
          <w:sz w:val="28"/>
        </w:rPr>
      </w:pPr>
    </w:p>
    <w:p w:rsidR="00ED5264" w:rsidRDefault="00ED5264">
      <w:pPr>
        <w:jc w:val="center"/>
        <w:rPr>
          <w:sz w:val="28"/>
        </w:rPr>
      </w:pPr>
    </w:p>
    <w:p w:rsidR="00ED5264" w:rsidRDefault="00ED5264">
      <w:pPr>
        <w:rPr>
          <w:b/>
          <w:sz w:val="28"/>
        </w:rPr>
      </w:pPr>
    </w:p>
    <w:p w:rsidR="00ED5264" w:rsidRDefault="00ED5264">
      <w:pPr>
        <w:jc w:val="center"/>
        <w:rPr>
          <w:b/>
          <w:sz w:val="28"/>
        </w:rPr>
      </w:pPr>
    </w:p>
    <w:p w:rsidR="00ED5264" w:rsidRDefault="00ED5264">
      <w:pPr>
        <w:jc w:val="center"/>
        <w:rPr>
          <w:b/>
          <w:sz w:val="28"/>
        </w:rPr>
      </w:pPr>
    </w:p>
    <w:p w:rsidR="00ED5264" w:rsidRDefault="00ED5264">
      <w:pPr>
        <w:jc w:val="center"/>
        <w:rPr>
          <w:b/>
          <w:sz w:val="28"/>
        </w:rPr>
      </w:pPr>
    </w:p>
    <w:p w:rsidR="00ED5264" w:rsidRDefault="00B65917">
      <w:pPr>
        <w:jc w:val="center"/>
        <w:rPr>
          <w:rFonts w:eastAsia="楷体_GB2312"/>
          <w:b/>
          <w:sz w:val="28"/>
        </w:rPr>
      </w:pPr>
      <w:r>
        <w:rPr>
          <w:rFonts w:eastAsia="楷体_GB2312"/>
          <w:b/>
          <w:sz w:val="28"/>
        </w:rPr>
        <w:t>中国建筑工业出版社</w:t>
      </w:r>
    </w:p>
    <w:p w:rsidR="00ED5264" w:rsidRDefault="00B65917">
      <w:pPr>
        <w:rPr>
          <w:rFonts w:eastAsia="黑体"/>
          <w:sz w:val="28"/>
          <w:szCs w:val="28"/>
        </w:rPr>
      </w:pPr>
      <w:r>
        <w:rPr>
          <w:rFonts w:eastAsia="黑体"/>
          <w:sz w:val="28"/>
          <w:szCs w:val="28"/>
        </w:rPr>
        <w:t xml:space="preserve"> </w:t>
      </w:r>
      <w:bookmarkStart w:id="0" w:name="_Hlk518993094"/>
      <w:bookmarkEnd w:id="0"/>
    </w:p>
    <w:p w:rsidR="00ED5264" w:rsidRDefault="00ED5264">
      <w:pPr>
        <w:pStyle w:val="af3"/>
        <w:rPr>
          <w:rFonts w:ascii="Times New Roman" w:eastAsia="黑体" w:hAnsi="Times New Roman"/>
          <w:sz w:val="28"/>
          <w:szCs w:val="28"/>
        </w:rPr>
        <w:sectPr w:rsidR="00ED5264">
          <w:headerReference w:type="even" r:id="rId10"/>
          <w:headerReference w:type="default" r:id="rId11"/>
          <w:footerReference w:type="default" r:id="rId12"/>
          <w:pgSz w:w="11906" w:h="16838"/>
          <w:pgMar w:top="1440" w:right="1800" w:bottom="1440" w:left="1800" w:header="851" w:footer="992" w:gutter="0"/>
          <w:pgNumType w:start="1"/>
          <w:cols w:space="720"/>
          <w:docGrid w:type="lines" w:linePitch="312"/>
        </w:sectPr>
      </w:pPr>
    </w:p>
    <w:p w:rsidR="00ED5264" w:rsidRDefault="00B65917">
      <w:pPr>
        <w:pStyle w:val="af3"/>
        <w:rPr>
          <w:rFonts w:ascii="Times New Roman" w:eastAsia="黑体" w:hAnsi="Times New Roman"/>
          <w:sz w:val="28"/>
          <w:szCs w:val="28"/>
        </w:rPr>
      </w:pPr>
      <w:r>
        <w:rPr>
          <w:rFonts w:ascii="Times New Roman" w:eastAsia="黑体" w:hAnsi="Times New Roman"/>
          <w:sz w:val="28"/>
          <w:szCs w:val="28"/>
        </w:rPr>
        <w:lastRenderedPageBreak/>
        <w:t xml:space="preserve">                                                                                                                                                                                                                                                                </w:t>
      </w:r>
      <w:r>
        <w:rPr>
          <w:rFonts w:ascii="Times New Roman" w:eastAsia="黑体" w:hAnsi="Times New Roman"/>
          <w:sz w:val="28"/>
          <w:szCs w:val="28"/>
        </w:rPr>
        <w:t xml:space="preserve">                                </w:t>
      </w:r>
    </w:p>
    <w:p w:rsidR="00ED5264" w:rsidRDefault="00B65917">
      <w:pPr>
        <w:jc w:val="center"/>
        <w:rPr>
          <w:rFonts w:eastAsia="黑体"/>
          <w:sz w:val="32"/>
          <w:szCs w:val="32"/>
        </w:rPr>
      </w:pPr>
      <w:r>
        <w:rPr>
          <w:rFonts w:eastAsia="黑体"/>
          <w:sz w:val="32"/>
          <w:szCs w:val="32"/>
        </w:rPr>
        <w:t>前</w:t>
      </w:r>
      <w:r>
        <w:rPr>
          <w:rFonts w:eastAsia="黑体"/>
          <w:sz w:val="32"/>
          <w:szCs w:val="32"/>
        </w:rPr>
        <w:t xml:space="preserve">   </w:t>
      </w:r>
      <w:r>
        <w:rPr>
          <w:rFonts w:eastAsia="黑体"/>
          <w:sz w:val="32"/>
          <w:szCs w:val="32"/>
        </w:rPr>
        <w:t>言</w:t>
      </w:r>
    </w:p>
    <w:p w:rsidR="00ED5264" w:rsidRDefault="00ED5264">
      <w:pPr>
        <w:jc w:val="center"/>
        <w:rPr>
          <w:rFonts w:eastAsia="黑体"/>
          <w:sz w:val="32"/>
          <w:szCs w:val="32"/>
        </w:rPr>
      </w:pPr>
    </w:p>
    <w:p w:rsidR="00ED5264" w:rsidRDefault="00B65917">
      <w:pPr>
        <w:spacing w:line="360" w:lineRule="auto"/>
        <w:ind w:firstLineChars="200" w:firstLine="480"/>
        <w:rPr>
          <w:sz w:val="24"/>
          <w:szCs w:val="24"/>
        </w:rPr>
      </w:pPr>
      <w:r>
        <w:rPr>
          <w:sz w:val="24"/>
          <w:szCs w:val="24"/>
        </w:rPr>
        <w:t>根据中国工程建设标准化协会《关于印发</w:t>
      </w:r>
      <w:r>
        <w:rPr>
          <w:sz w:val="24"/>
          <w:szCs w:val="24"/>
        </w:rPr>
        <w:t>&lt;20</w:t>
      </w:r>
      <w:r>
        <w:rPr>
          <w:rFonts w:hint="eastAsia"/>
          <w:sz w:val="24"/>
          <w:szCs w:val="24"/>
        </w:rPr>
        <w:t>23</w:t>
      </w:r>
      <w:r>
        <w:rPr>
          <w:sz w:val="24"/>
          <w:szCs w:val="24"/>
        </w:rPr>
        <w:t>年</w:t>
      </w:r>
      <w:r>
        <w:rPr>
          <w:rFonts w:hint="eastAsia"/>
          <w:sz w:val="24"/>
          <w:szCs w:val="24"/>
        </w:rPr>
        <w:t>第二批</w:t>
      </w:r>
      <w:r>
        <w:rPr>
          <w:sz w:val="24"/>
          <w:szCs w:val="24"/>
        </w:rPr>
        <w:t>协会标准制订、修订计划</w:t>
      </w:r>
      <w:r>
        <w:rPr>
          <w:sz w:val="24"/>
          <w:szCs w:val="24"/>
        </w:rPr>
        <w:t>&gt;</w:t>
      </w:r>
      <w:r>
        <w:rPr>
          <w:sz w:val="24"/>
          <w:szCs w:val="24"/>
        </w:rPr>
        <w:t>的通知》（建标协</w:t>
      </w:r>
      <w:r>
        <w:rPr>
          <w:rFonts w:hint="eastAsia"/>
          <w:sz w:val="24"/>
          <w:szCs w:val="24"/>
        </w:rPr>
        <w:t>字</w:t>
      </w:r>
      <w:r>
        <w:rPr>
          <w:sz w:val="24"/>
          <w:szCs w:val="24"/>
        </w:rPr>
        <w:t>[20</w:t>
      </w:r>
      <w:r>
        <w:rPr>
          <w:rFonts w:hint="eastAsia"/>
          <w:sz w:val="24"/>
          <w:szCs w:val="24"/>
        </w:rPr>
        <w:t>23</w:t>
      </w:r>
      <w:r>
        <w:rPr>
          <w:sz w:val="24"/>
          <w:szCs w:val="24"/>
        </w:rPr>
        <w:t>]</w:t>
      </w:r>
      <w:r>
        <w:rPr>
          <w:rFonts w:hint="eastAsia"/>
          <w:sz w:val="24"/>
          <w:szCs w:val="24"/>
        </w:rPr>
        <w:t>50</w:t>
      </w:r>
      <w:r>
        <w:rPr>
          <w:sz w:val="24"/>
          <w:szCs w:val="24"/>
        </w:rPr>
        <w:t>号）的要求，标准编制组经广泛调查研究，认真总结各地实践经验，参考有关国内外标准，并在广泛征求意见的基础上，制定本</w:t>
      </w:r>
      <w:r>
        <w:rPr>
          <w:rFonts w:hint="eastAsia"/>
          <w:sz w:val="24"/>
          <w:szCs w:val="24"/>
        </w:rPr>
        <w:t>规程</w:t>
      </w:r>
      <w:r>
        <w:rPr>
          <w:sz w:val="24"/>
          <w:szCs w:val="24"/>
        </w:rPr>
        <w:t>。</w:t>
      </w:r>
    </w:p>
    <w:p w:rsidR="00ED5264" w:rsidRDefault="00B65917">
      <w:pPr>
        <w:spacing w:line="360" w:lineRule="auto"/>
        <w:ind w:firstLineChars="200" w:firstLine="480"/>
        <w:rPr>
          <w:sz w:val="24"/>
          <w:szCs w:val="24"/>
        </w:rPr>
      </w:pPr>
      <w:r>
        <w:rPr>
          <w:sz w:val="24"/>
          <w:szCs w:val="24"/>
        </w:rPr>
        <w:t>本</w:t>
      </w:r>
      <w:r>
        <w:rPr>
          <w:rFonts w:hint="eastAsia"/>
          <w:sz w:val="24"/>
          <w:szCs w:val="24"/>
        </w:rPr>
        <w:t>规程共分</w:t>
      </w:r>
      <w:r>
        <w:rPr>
          <w:rFonts w:hint="eastAsia"/>
          <w:sz w:val="24"/>
          <w:szCs w:val="24"/>
        </w:rPr>
        <w:t>8</w:t>
      </w:r>
      <w:r>
        <w:rPr>
          <w:rFonts w:hint="eastAsia"/>
          <w:sz w:val="24"/>
          <w:szCs w:val="24"/>
        </w:rPr>
        <w:t>章，</w:t>
      </w:r>
      <w:r>
        <w:rPr>
          <w:sz w:val="24"/>
          <w:szCs w:val="24"/>
        </w:rPr>
        <w:t>主要内容</w:t>
      </w:r>
      <w:r>
        <w:rPr>
          <w:rFonts w:hint="eastAsia"/>
          <w:sz w:val="24"/>
          <w:szCs w:val="24"/>
        </w:rPr>
        <w:t>包括</w:t>
      </w:r>
      <w:r>
        <w:rPr>
          <w:sz w:val="24"/>
          <w:szCs w:val="24"/>
        </w:rPr>
        <w:t>：</w:t>
      </w:r>
      <w:r>
        <w:rPr>
          <w:sz w:val="24"/>
          <w:szCs w:val="24"/>
        </w:rPr>
        <w:t>总则</w:t>
      </w:r>
      <w:r w:rsidR="00465A2A">
        <w:rPr>
          <w:rFonts w:hint="eastAsia"/>
          <w:sz w:val="24"/>
          <w:szCs w:val="24"/>
        </w:rPr>
        <w:t>、</w:t>
      </w:r>
      <w:r>
        <w:rPr>
          <w:sz w:val="24"/>
          <w:szCs w:val="24"/>
        </w:rPr>
        <w:t>术语和符号</w:t>
      </w:r>
      <w:r w:rsidR="00465A2A">
        <w:rPr>
          <w:rFonts w:hint="eastAsia"/>
          <w:sz w:val="24"/>
          <w:szCs w:val="24"/>
        </w:rPr>
        <w:t>、</w:t>
      </w:r>
      <w:r>
        <w:rPr>
          <w:sz w:val="24"/>
          <w:szCs w:val="24"/>
        </w:rPr>
        <w:t>基本规定</w:t>
      </w:r>
      <w:r w:rsidR="00465A2A">
        <w:rPr>
          <w:rFonts w:hint="eastAsia"/>
          <w:sz w:val="24"/>
          <w:szCs w:val="24"/>
        </w:rPr>
        <w:t>、</w:t>
      </w:r>
      <w:r>
        <w:rPr>
          <w:sz w:val="24"/>
          <w:szCs w:val="24"/>
        </w:rPr>
        <w:t>原材料</w:t>
      </w:r>
      <w:r w:rsidR="00465A2A">
        <w:rPr>
          <w:rFonts w:hint="eastAsia"/>
          <w:sz w:val="24"/>
          <w:szCs w:val="24"/>
        </w:rPr>
        <w:t>、</w:t>
      </w:r>
      <w:r>
        <w:rPr>
          <w:sz w:val="24"/>
          <w:szCs w:val="24"/>
        </w:rPr>
        <w:t>混凝土性能</w:t>
      </w:r>
      <w:r w:rsidR="00465A2A">
        <w:rPr>
          <w:rFonts w:hint="eastAsia"/>
          <w:sz w:val="24"/>
          <w:szCs w:val="24"/>
        </w:rPr>
        <w:t>、</w:t>
      </w:r>
      <w:r>
        <w:rPr>
          <w:sz w:val="24"/>
          <w:szCs w:val="24"/>
        </w:rPr>
        <w:t>配合比设计</w:t>
      </w:r>
      <w:r w:rsidR="00465A2A">
        <w:rPr>
          <w:rFonts w:hint="eastAsia"/>
          <w:sz w:val="24"/>
          <w:szCs w:val="24"/>
        </w:rPr>
        <w:t>、</w:t>
      </w:r>
      <w:r>
        <w:rPr>
          <w:sz w:val="24"/>
          <w:szCs w:val="24"/>
        </w:rPr>
        <w:t>生产与施工</w:t>
      </w:r>
      <w:r w:rsidR="00465A2A">
        <w:rPr>
          <w:rFonts w:hint="eastAsia"/>
          <w:sz w:val="24"/>
          <w:szCs w:val="24"/>
        </w:rPr>
        <w:t>、</w:t>
      </w:r>
      <w:r>
        <w:rPr>
          <w:sz w:val="24"/>
          <w:szCs w:val="24"/>
        </w:rPr>
        <w:t>质量检验和验收。</w:t>
      </w:r>
    </w:p>
    <w:p w:rsidR="00465A2A" w:rsidRDefault="00465A2A">
      <w:pPr>
        <w:spacing w:line="360" w:lineRule="auto"/>
        <w:ind w:firstLineChars="200" w:firstLine="480"/>
        <w:rPr>
          <w:sz w:val="24"/>
          <w:szCs w:val="24"/>
        </w:rPr>
      </w:pPr>
      <w:r>
        <w:rPr>
          <w:rFonts w:hint="eastAsia"/>
          <w:sz w:val="24"/>
          <w:szCs w:val="24"/>
        </w:rPr>
        <w:t>本规程的某些内容可能直接或间接涉及专利，本规程的发布机构不承担识别这些专利的责任。</w:t>
      </w:r>
    </w:p>
    <w:p w:rsidR="00ED5264" w:rsidRDefault="00B65917">
      <w:pPr>
        <w:spacing w:line="360" w:lineRule="auto"/>
        <w:ind w:firstLineChars="200" w:firstLine="480"/>
        <w:rPr>
          <w:sz w:val="24"/>
          <w:szCs w:val="24"/>
        </w:rPr>
      </w:pPr>
      <w:r>
        <w:rPr>
          <w:sz w:val="24"/>
          <w:szCs w:val="24"/>
        </w:rPr>
        <w:t>本</w:t>
      </w:r>
      <w:r>
        <w:rPr>
          <w:rFonts w:hint="eastAsia"/>
          <w:sz w:val="24"/>
          <w:szCs w:val="24"/>
        </w:rPr>
        <w:t>规程</w:t>
      </w:r>
      <w:r>
        <w:rPr>
          <w:sz w:val="24"/>
          <w:szCs w:val="24"/>
        </w:rPr>
        <w:t>由中国工程建设标准化协会混凝土结构专业委员</w:t>
      </w:r>
      <w:r>
        <w:rPr>
          <w:sz w:val="24"/>
          <w:szCs w:val="24"/>
        </w:rPr>
        <w:t>会归口管理，由</w:t>
      </w:r>
      <w:r>
        <w:rPr>
          <w:rFonts w:hint="eastAsia"/>
          <w:sz w:val="24"/>
          <w:szCs w:val="24"/>
        </w:rPr>
        <w:t>天津江川建材科技</w:t>
      </w:r>
      <w:r>
        <w:rPr>
          <w:sz w:val="24"/>
          <w:szCs w:val="24"/>
        </w:rPr>
        <w:t>有限公司</w:t>
      </w:r>
      <w:r>
        <w:rPr>
          <w:rFonts w:hint="eastAsia"/>
          <w:sz w:val="24"/>
          <w:szCs w:val="24"/>
        </w:rPr>
        <w:t>和建研建材有限公司</w:t>
      </w:r>
      <w:r>
        <w:rPr>
          <w:sz w:val="24"/>
          <w:szCs w:val="24"/>
        </w:rPr>
        <w:t>负责具体技术内容的解释。执行过程中如有意见或建议，请将意见和资料寄送解释单位</w:t>
      </w:r>
      <w:r>
        <w:rPr>
          <w:rFonts w:hint="eastAsia"/>
          <w:sz w:val="24"/>
          <w:szCs w:val="24"/>
        </w:rPr>
        <w:t>建研建材</w:t>
      </w:r>
      <w:r>
        <w:rPr>
          <w:sz w:val="24"/>
          <w:szCs w:val="24"/>
        </w:rPr>
        <w:t>有限公司（地址：北京市北三环东路</w:t>
      </w:r>
      <w:r>
        <w:rPr>
          <w:sz w:val="24"/>
          <w:szCs w:val="24"/>
        </w:rPr>
        <w:t>30</w:t>
      </w:r>
      <w:r>
        <w:rPr>
          <w:sz w:val="24"/>
          <w:szCs w:val="24"/>
        </w:rPr>
        <w:t>号，邮政编码：</w:t>
      </w:r>
      <w:r>
        <w:rPr>
          <w:sz w:val="24"/>
          <w:szCs w:val="24"/>
        </w:rPr>
        <w:t>100013</w:t>
      </w:r>
      <w:r>
        <w:rPr>
          <w:sz w:val="24"/>
          <w:szCs w:val="24"/>
        </w:rPr>
        <w:t>）。</w:t>
      </w:r>
    </w:p>
    <w:p w:rsidR="00ED5264" w:rsidRDefault="00B65917">
      <w:pPr>
        <w:spacing w:line="360" w:lineRule="auto"/>
        <w:ind w:firstLineChars="200" w:firstLine="480"/>
        <w:rPr>
          <w:sz w:val="24"/>
          <w:szCs w:val="24"/>
        </w:rPr>
      </w:pPr>
      <w:r>
        <w:rPr>
          <w:sz w:val="24"/>
          <w:szCs w:val="24"/>
        </w:rPr>
        <w:t>主编单位：</w:t>
      </w:r>
      <w:r>
        <w:rPr>
          <w:rFonts w:hint="eastAsia"/>
          <w:sz w:val="24"/>
          <w:szCs w:val="24"/>
        </w:rPr>
        <w:t>天津江川建材科技</w:t>
      </w:r>
      <w:r>
        <w:rPr>
          <w:sz w:val="24"/>
          <w:szCs w:val="24"/>
        </w:rPr>
        <w:t>有限公司</w:t>
      </w:r>
    </w:p>
    <w:p w:rsidR="00ED5264" w:rsidRDefault="00B65917">
      <w:pPr>
        <w:spacing w:line="360" w:lineRule="auto"/>
        <w:ind w:firstLineChars="200" w:firstLine="480"/>
        <w:rPr>
          <w:sz w:val="24"/>
          <w:szCs w:val="24"/>
        </w:rPr>
      </w:pPr>
      <w:r>
        <w:rPr>
          <w:rFonts w:hint="eastAsia"/>
          <w:sz w:val="24"/>
          <w:szCs w:val="24"/>
        </w:rPr>
        <w:t xml:space="preserve">          </w:t>
      </w:r>
      <w:r>
        <w:rPr>
          <w:rFonts w:hint="eastAsia"/>
          <w:sz w:val="24"/>
          <w:szCs w:val="24"/>
        </w:rPr>
        <w:t>建研建材有限公司</w:t>
      </w:r>
    </w:p>
    <w:p w:rsidR="00ED5264" w:rsidRDefault="00B65917">
      <w:pPr>
        <w:spacing w:line="360" w:lineRule="auto"/>
        <w:ind w:firstLineChars="200" w:firstLine="480"/>
        <w:rPr>
          <w:sz w:val="24"/>
          <w:szCs w:val="24"/>
        </w:rPr>
      </w:pPr>
      <w:r>
        <w:rPr>
          <w:sz w:val="24"/>
          <w:szCs w:val="24"/>
        </w:rPr>
        <w:t>参编单位：</w:t>
      </w:r>
      <w:r>
        <w:rPr>
          <w:rFonts w:hint="eastAsia"/>
          <w:sz w:val="24"/>
          <w:szCs w:val="24"/>
        </w:rPr>
        <w:t>中国建筑科学研究院有限公司、聊城市水利局、德州市水利局、聊城市位山灌区管理服务中心</w:t>
      </w:r>
      <w:bookmarkStart w:id="1" w:name="OLE_LINK27"/>
      <w:r>
        <w:rPr>
          <w:rFonts w:hint="eastAsia"/>
          <w:sz w:val="24"/>
          <w:szCs w:val="24"/>
        </w:rPr>
        <w:t>、</w:t>
      </w:r>
      <w:r>
        <w:rPr>
          <w:rFonts w:ascii="宋体" w:cs="宋体" w:hint="eastAsia"/>
          <w:kern w:val="0"/>
          <w:sz w:val="24"/>
        </w:rPr>
        <w:t>德州市水利局事业发展中心、</w:t>
      </w:r>
      <w:r>
        <w:rPr>
          <w:rFonts w:ascii="宋体" w:cs="宋体" w:hint="eastAsia"/>
          <w:kern w:val="0"/>
          <w:sz w:val="24"/>
          <w:szCs w:val="24"/>
        </w:rPr>
        <w:t>德州市河道管理服务中心</w:t>
      </w:r>
      <w:bookmarkEnd w:id="1"/>
      <w:r>
        <w:rPr>
          <w:rFonts w:ascii="宋体" w:cs="宋体" w:hint="eastAsia"/>
          <w:kern w:val="0"/>
          <w:sz w:val="24"/>
          <w:szCs w:val="24"/>
        </w:rPr>
        <w:t>、</w:t>
      </w:r>
      <w:r>
        <w:rPr>
          <w:rFonts w:hint="eastAsia"/>
          <w:sz w:val="24"/>
          <w:szCs w:val="24"/>
        </w:rPr>
        <w:t>德州东泰建材有限公司</w:t>
      </w:r>
      <w:r>
        <w:rPr>
          <w:rFonts w:hint="eastAsia"/>
          <w:sz w:val="24"/>
          <w:szCs w:val="24"/>
        </w:rPr>
        <w:t>、</w:t>
      </w:r>
      <w:bookmarkStart w:id="2" w:name="OLE_LINK4"/>
      <w:r>
        <w:rPr>
          <w:rFonts w:hint="eastAsia"/>
          <w:sz w:val="24"/>
          <w:szCs w:val="24"/>
        </w:rPr>
        <w:t>河南交通职业技术学院、聊城市交通发展有限公司、聊城市建设工程质量服务保障中心</w:t>
      </w:r>
      <w:bookmarkEnd w:id="2"/>
      <w:r>
        <w:rPr>
          <w:rFonts w:hint="eastAsia"/>
          <w:sz w:val="24"/>
          <w:szCs w:val="24"/>
        </w:rPr>
        <w:t>、</w:t>
      </w:r>
      <w:bookmarkStart w:id="3" w:name="OLE_LINK20"/>
      <w:r>
        <w:rPr>
          <w:rFonts w:ascii="宋体" w:cs="宋体" w:hint="eastAsia"/>
          <w:kern w:val="0"/>
          <w:sz w:val="24"/>
        </w:rPr>
        <w:t>中国电建市政建设集团有限公司</w:t>
      </w:r>
      <w:bookmarkEnd w:id="3"/>
      <w:r>
        <w:rPr>
          <w:rFonts w:ascii="宋体" w:cs="宋体" w:hint="eastAsia"/>
          <w:kern w:val="0"/>
          <w:sz w:val="24"/>
        </w:rPr>
        <w:t>、</w:t>
      </w:r>
      <w:r>
        <w:rPr>
          <w:rFonts w:hint="eastAsia"/>
          <w:sz w:val="24"/>
          <w:szCs w:val="24"/>
        </w:rPr>
        <w:t>深圳大学、中铁十九局集团有限公司、</w:t>
      </w:r>
      <w:bookmarkStart w:id="4" w:name="OLE_LINK3"/>
      <w:r>
        <w:rPr>
          <w:rFonts w:hint="eastAsia"/>
          <w:sz w:val="24"/>
          <w:szCs w:val="24"/>
        </w:rPr>
        <w:t>山东城市建设职业学院</w:t>
      </w:r>
      <w:bookmarkStart w:id="5" w:name="OLE_LINK26"/>
      <w:r>
        <w:rPr>
          <w:rFonts w:hint="eastAsia"/>
          <w:sz w:val="24"/>
          <w:szCs w:val="24"/>
        </w:rPr>
        <w:t>、</w:t>
      </w:r>
      <w:r>
        <w:rPr>
          <w:rFonts w:hint="eastAsia"/>
          <w:kern w:val="0"/>
          <w:sz w:val="24"/>
          <w:szCs w:val="24"/>
        </w:rPr>
        <w:t>山东大禹水务建设集团有限公司</w:t>
      </w:r>
      <w:r>
        <w:rPr>
          <w:rFonts w:hint="eastAsia"/>
          <w:kern w:val="0"/>
          <w:sz w:val="24"/>
          <w:szCs w:val="24"/>
        </w:rPr>
        <w:t>、</w:t>
      </w:r>
      <w:r>
        <w:rPr>
          <w:rFonts w:ascii="宋体" w:cs="宋体" w:hint="eastAsia"/>
          <w:kern w:val="0"/>
          <w:sz w:val="24"/>
        </w:rPr>
        <w:t>中铁建设集团有限公司、中建八局第四建设有限公司、山东环工环保科技有限公司、山东亮正新材料科技有限公司</w:t>
      </w:r>
    </w:p>
    <w:bookmarkEnd w:id="4"/>
    <w:bookmarkEnd w:id="5"/>
    <w:p w:rsidR="00ED5264" w:rsidRDefault="00B65917">
      <w:pPr>
        <w:spacing w:line="360" w:lineRule="auto"/>
        <w:ind w:firstLineChars="200" w:firstLine="480"/>
        <w:rPr>
          <w:sz w:val="24"/>
          <w:szCs w:val="24"/>
        </w:rPr>
      </w:pPr>
      <w:r>
        <w:rPr>
          <w:rFonts w:hint="eastAsia"/>
          <w:sz w:val="24"/>
          <w:szCs w:val="24"/>
        </w:rPr>
        <w:t>主要</w:t>
      </w:r>
      <w:r>
        <w:rPr>
          <w:sz w:val="24"/>
          <w:szCs w:val="24"/>
        </w:rPr>
        <w:t>起草人：</w:t>
      </w:r>
      <w:r>
        <w:rPr>
          <w:rFonts w:hint="eastAsia"/>
          <w:sz w:val="24"/>
          <w:szCs w:val="24"/>
        </w:rPr>
        <w:t>尤登江、宋普涛、王晶、冷发光、王会忠、杨玉广、徐松、</w:t>
      </w:r>
      <w:r>
        <w:rPr>
          <w:rFonts w:hint="eastAsia"/>
          <w:kern w:val="0"/>
          <w:sz w:val="24"/>
          <w:szCs w:val="24"/>
        </w:rPr>
        <w:t>魏洪祥、</w:t>
      </w:r>
      <w:r>
        <w:rPr>
          <w:rFonts w:hint="eastAsia"/>
          <w:sz w:val="24"/>
          <w:szCs w:val="24"/>
        </w:rPr>
        <w:t>刘亚美、郭志翔、葛龙甄、顾洋、</w:t>
      </w:r>
      <w:bookmarkStart w:id="6" w:name="OLE_LINK5"/>
      <w:r>
        <w:rPr>
          <w:rFonts w:hint="eastAsia"/>
          <w:sz w:val="24"/>
          <w:szCs w:val="24"/>
        </w:rPr>
        <w:t>韩同睿、方纪明</w:t>
      </w:r>
      <w:bookmarkEnd w:id="6"/>
      <w:r>
        <w:rPr>
          <w:rFonts w:hint="eastAsia"/>
          <w:sz w:val="24"/>
          <w:szCs w:val="24"/>
        </w:rPr>
        <w:t>、</w:t>
      </w:r>
      <w:bookmarkStart w:id="7" w:name="OLE_LINK21"/>
      <w:r>
        <w:rPr>
          <w:rFonts w:hint="eastAsia"/>
          <w:sz w:val="24"/>
          <w:szCs w:val="24"/>
        </w:rPr>
        <w:t>路以波</w:t>
      </w:r>
      <w:bookmarkEnd w:id="7"/>
      <w:r>
        <w:rPr>
          <w:rFonts w:hint="eastAsia"/>
          <w:sz w:val="24"/>
          <w:szCs w:val="24"/>
        </w:rPr>
        <w:t>、</w:t>
      </w:r>
      <w:r>
        <w:rPr>
          <w:rFonts w:ascii="宋体" w:cs="宋体" w:hint="eastAsia"/>
          <w:kern w:val="0"/>
          <w:sz w:val="24"/>
        </w:rPr>
        <w:t>邵景干</w:t>
      </w:r>
      <w:r>
        <w:rPr>
          <w:rFonts w:ascii="宋体" w:cs="宋体" w:hint="eastAsia"/>
          <w:kern w:val="0"/>
          <w:sz w:val="24"/>
        </w:rPr>
        <w:t>、</w:t>
      </w:r>
      <w:r>
        <w:rPr>
          <w:rFonts w:hint="eastAsia"/>
          <w:kern w:val="0"/>
          <w:sz w:val="24"/>
        </w:rPr>
        <w:t>张忍</w:t>
      </w:r>
      <w:r>
        <w:rPr>
          <w:rFonts w:hint="eastAsia"/>
          <w:kern w:val="0"/>
          <w:sz w:val="24"/>
        </w:rPr>
        <w:t>、</w:t>
      </w:r>
      <w:r>
        <w:rPr>
          <w:rFonts w:hint="eastAsia"/>
          <w:kern w:val="0"/>
          <w:sz w:val="24"/>
        </w:rPr>
        <w:t>李占坡</w:t>
      </w:r>
      <w:r>
        <w:rPr>
          <w:rFonts w:hint="eastAsia"/>
          <w:kern w:val="0"/>
          <w:sz w:val="24"/>
        </w:rPr>
        <w:t>、</w:t>
      </w:r>
      <w:r>
        <w:rPr>
          <w:rFonts w:ascii="宋体" w:cs="宋体" w:hint="eastAsia"/>
          <w:kern w:val="0"/>
          <w:sz w:val="24"/>
        </w:rPr>
        <w:t>陈飞勇</w:t>
      </w:r>
      <w:r>
        <w:rPr>
          <w:rFonts w:ascii="宋体" w:cs="宋体" w:hint="eastAsia"/>
          <w:kern w:val="0"/>
          <w:sz w:val="24"/>
        </w:rPr>
        <w:t>、</w:t>
      </w:r>
      <w:r>
        <w:rPr>
          <w:rFonts w:ascii="宋体" w:cs="宋体" w:hint="eastAsia"/>
          <w:kern w:val="0"/>
          <w:sz w:val="24"/>
        </w:rPr>
        <w:t>李政道、</w:t>
      </w:r>
      <w:bookmarkStart w:id="8" w:name="OLE_LINK25"/>
      <w:r>
        <w:rPr>
          <w:rFonts w:hint="eastAsia"/>
          <w:kern w:val="0"/>
          <w:sz w:val="24"/>
        </w:rPr>
        <w:t>尚小朋、</w:t>
      </w:r>
      <w:r>
        <w:rPr>
          <w:rFonts w:ascii="宋体" w:cs="宋体" w:hint="eastAsia"/>
          <w:kern w:val="0"/>
          <w:sz w:val="24"/>
        </w:rPr>
        <w:t>康莉莉</w:t>
      </w:r>
      <w:bookmarkEnd w:id="8"/>
      <w:r>
        <w:rPr>
          <w:rFonts w:ascii="宋体" w:cs="宋体" w:hint="eastAsia"/>
          <w:kern w:val="0"/>
          <w:sz w:val="24"/>
        </w:rPr>
        <w:t>、</w:t>
      </w:r>
      <w:r>
        <w:rPr>
          <w:rFonts w:hint="eastAsia"/>
          <w:kern w:val="0"/>
          <w:sz w:val="24"/>
        </w:rPr>
        <w:t>陈红奎、</w:t>
      </w:r>
      <w:r>
        <w:rPr>
          <w:rFonts w:ascii="宋体" w:cs="宋体" w:hint="eastAsia"/>
          <w:kern w:val="0"/>
          <w:sz w:val="24"/>
        </w:rPr>
        <w:t>武文红</w:t>
      </w:r>
      <w:r>
        <w:rPr>
          <w:rFonts w:ascii="宋体" w:cs="宋体" w:hint="eastAsia"/>
          <w:kern w:val="0"/>
          <w:sz w:val="24"/>
          <w:szCs w:val="24"/>
        </w:rPr>
        <w:t>、郭明辉</w:t>
      </w:r>
      <w:r>
        <w:rPr>
          <w:rFonts w:hint="eastAsia"/>
          <w:kern w:val="0"/>
          <w:sz w:val="24"/>
          <w:szCs w:val="24"/>
        </w:rPr>
        <w:t>、</w:t>
      </w:r>
      <w:r>
        <w:rPr>
          <w:rFonts w:hint="eastAsia"/>
          <w:kern w:val="0"/>
          <w:sz w:val="24"/>
          <w:szCs w:val="24"/>
        </w:rPr>
        <w:t>田中锋</w:t>
      </w:r>
      <w:r>
        <w:rPr>
          <w:rFonts w:hint="eastAsia"/>
          <w:kern w:val="0"/>
          <w:sz w:val="24"/>
          <w:szCs w:val="24"/>
        </w:rPr>
        <w:t>、</w:t>
      </w:r>
      <w:r>
        <w:rPr>
          <w:rFonts w:ascii="宋体" w:cs="宋体" w:hint="eastAsia"/>
          <w:kern w:val="0"/>
          <w:sz w:val="24"/>
        </w:rPr>
        <w:t>邹禄江、马士龙、李续星、季鹏、段新国</w:t>
      </w:r>
    </w:p>
    <w:p w:rsidR="00ED5264" w:rsidRDefault="00ED5264">
      <w:pPr>
        <w:spacing w:line="360" w:lineRule="auto"/>
        <w:ind w:leftChars="1380" w:left="2898"/>
        <w:rPr>
          <w:sz w:val="24"/>
          <w:szCs w:val="24"/>
        </w:rPr>
      </w:pPr>
    </w:p>
    <w:p w:rsidR="00ED5264" w:rsidRDefault="00B65917">
      <w:pPr>
        <w:spacing w:line="360" w:lineRule="auto"/>
        <w:ind w:firstLineChars="200" w:firstLine="480"/>
        <w:rPr>
          <w:sz w:val="24"/>
          <w:szCs w:val="24"/>
        </w:rPr>
      </w:pPr>
      <w:r>
        <w:rPr>
          <w:sz w:val="24"/>
          <w:szCs w:val="24"/>
        </w:rPr>
        <w:lastRenderedPageBreak/>
        <w:t>主要审查人：</w:t>
      </w:r>
    </w:p>
    <w:p w:rsidR="00ED5264" w:rsidRDefault="00ED5264">
      <w:pPr>
        <w:spacing w:line="360" w:lineRule="auto"/>
        <w:ind w:firstLineChars="200" w:firstLine="480"/>
        <w:rPr>
          <w:sz w:val="24"/>
          <w:szCs w:val="24"/>
        </w:rPr>
      </w:pPr>
    </w:p>
    <w:p w:rsidR="00ED5264" w:rsidRDefault="00ED5264">
      <w:pPr>
        <w:spacing w:line="360" w:lineRule="auto"/>
        <w:ind w:firstLineChars="200" w:firstLine="480"/>
        <w:rPr>
          <w:sz w:val="24"/>
          <w:szCs w:val="24"/>
        </w:rPr>
      </w:pPr>
    </w:p>
    <w:p w:rsidR="00ED5264" w:rsidRDefault="00B65917">
      <w:pPr>
        <w:pStyle w:val="af3"/>
        <w:tabs>
          <w:tab w:val="center" w:pos="4153"/>
        </w:tabs>
        <w:rPr>
          <w:rFonts w:ascii="Times New Roman" w:hAnsi="Times New Roman"/>
          <w:b/>
          <w:sz w:val="28"/>
          <w:szCs w:val="28"/>
        </w:rPr>
      </w:pPr>
      <w:r>
        <w:rPr>
          <w:rFonts w:ascii="Times New Roman" w:hAnsi="Times New Roman"/>
          <w:b/>
          <w:sz w:val="28"/>
          <w:szCs w:val="28"/>
        </w:rPr>
        <w:tab/>
      </w:r>
      <w:r>
        <w:rPr>
          <w:rFonts w:ascii="Times New Roman" w:hAnsi="Times New Roman"/>
          <w:b/>
          <w:sz w:val="28"/>
          <w:szCs w:val="28"/>
        </w:rPr>
        <w:t>目</w:t>
      </w:r>
      <w:r>
        <w:rPr>
          <w:rFonts w:ascii="Times New Roman" w:hAnsi="Times New Roman"/>
          <w:b/>
          <w:sz w:val="28"/>
          <w:szCs w:val="28"/>
        </w:rPr>
        <w:t xml:space="preserve">  </w:t>
      </w:r>
      <w:r>
        <w:rPr>
          <w:rFonts w:ascii="Times New Roman" w:hAnsi="Times New Roman"/>
          <w:b/>
          <w:sz w:val="28"/>
          <w:szCs w:val="28"/>
        </w:rPr>
        <w:t>次</w:t>
      </w:r>
    </w:p>
    <w:p w:rsidR="00ED5264" w:rsidRDefault="00B65917">
      <w:pPr>
        <w:pStyle w:val="11"/>
        <w:tabs>
          <w:tab w:val="right" w:leader="dot" w:pos="8306"/>
        </w:tabs>
        <w:spacing w:line="240" w:lineRule="auto"/>
      </w:pPr>
      <w:r>
        <w:rPr>
          <w:rFonts w:ascii="Times New Roman" w:hAnsi="Times New Roman" w:cs="Times New Roman"/>
        </w:rPr>
        <w:fldChar w:fldCharType="begin"/>
      </w:r>
      <w:r>
        <w:rPr>
          <w:rFonts w:ascii="Times New Roman" w:hAnsi="Times New Roman" w:cs="Times New Roman"/>
        </w:rPr>
        <w:instrText xml:space="preserve"> TOC \o "1-2" \h \z \u </w:instrText>
      </w:r>
      <w:r>
        <w:rPr>
          <w:rFonts w:ascii="Times New Roman" w:hAnsi="Times New Roman" w:cs="Times New Roman"/>
        </w:rPr>
        <w:fldChar w:fldCharType="separate"/>
      </w:r>
      <w:hyperlink w:anchor="_Toc16465" w:history="1">
        <w:r>
          <w:rPr>
            <w:szCs w:val="28"/>
          </w:rPr>
          <w:t xml:space="preserve">1  </w:t>
        </w:r>
        <w:r>
          <w:rPr>
            <w:szCs w:val="28"/>
          </w:rPr>
          <w:t>总</w:t>
        </w:r>
        <w:r>
          <w:rPr>
            <w:szCs w:val="28"/>
          </w:rPr>
          <w:t xml:space="preserve">  </w:t>
        </w:r>
        <w:r>
          <w:rPr>
            <w:szCs w:val="28"/>
          </w:rPr>
          <w:t>则</w:t>
        </w:r>
        <w:r>
          <w:tab/>
        </w:r>
        <w:r>
          <w:fldChar w:fldCharType="begin"/>
        </w:r>
        <w:r>
          <w:instrText xml:space="preserve"> PAGEREF _Toc16465 \h </w:instrText>
        </w:r>
        <w:r>
          <w:fldChar w:fldCharType="separate"/>
        </w:r>
        <w:r>
          <w:t>1</w:t>
        </w:r>
        <w:r>
          <w:fldChar w:fldCharType="end"/>
        </w:r>
      </w:hyperlink>
    </w:p>
    <w:p w:rsidR="00ED5264" w:rsidRDefault="00B65917">
      <w:pPr>
        <w:pStyle w:val="11"/>
        <w:tabs>
          <w:tab w:val="right" w:leader="dot" w:pos="8306"/>
        </w:tabs>
        <w:spacing w:line="240" w:lineRule="auto"/>
      </w:pPr>
      <w:hyperlink w:anchor="_Toc1914" w:history="1">
        <w:r>
          <w:rPr>
            <w:szCs w:val="28"/>
          </w:rPr>
          <w:t xml:space="preserve">2  </w:t>
        </w:r>
        <w:r>
          <w:rPr>
            <w:szCs w:val="28"/>
          </w:rPr>
          <w:t>术语和符号</w:t>
        </w:r>
        <w:r>
          <w:tab/>
        </w:r>
        <w:r>
          <w:fldChar w:fldCharType="begin"/>
        </w:r>
        <w:r>
          <w:instrText xml:space="preserve"> PAGEREF _Toc1914 \h </w:instrText>
        </w:r>
        <w:r>
          <w:fldChar w:fldCharType="separate"/>
        </w:r>
        <w:r>
          <w:t>2</w:t>
        </w:r>
        <w:r>
          <w:fldChar w:fldCharType="end"/>
        </w:r>
      </w:hyperlink>
    </w:p>
    <w:p w:rsidR="00ED5264" w:rsidRDefault="00B65917">
      <w:pPr>
        <w:pStyle w:val="21"/>
        <w:tabs>
          <w:tab w:val="right" w:leader="dot" w:pos="8306"/>
        </w:tabs>
        <w:spacing w:line="240" w:lineRule="auto"/>
      </w:pPr>
      <w:hyperlink w:anchor="_Toc32367" w:history="1">
        <w:r>
          <w:rPr>
            <w:bCs/>
            <w:szCs w:val="24"/>
          </w:rPr>
          <w:t xml:space="preserve">2.1  </w:t>
        </w:r>
        <w:r>
          <w:rPr>
            <w:bCs/>
            <w:szCs w:val="24"/>
          </w:rPr>
          <w:t>术语</w:t>
        </w:r>
        <w:r>
          <w:tab/>
        </w:r>
        <w:r>
          <w:fldChar w:fldCharType="begin"/>
        </w:r>
        <w:r>
          <w:instrText xml:space="preserve"> PAGEREF _Toc32367 \h </w:instrText>
        </w:r>
        <w:r>
          <w:fldChar w:fldCharType="separate"/>
        </w:r>
        <w:r>
          <w:t>2</w:t>
        </w:r>
        <w:r>
          <w:fldChar w:fldCharType="end"/>
        </w:r>
      </w:hyperlink>
    </w:p>
    <w:p w:rsidR="00ED5264" w:rsidRDefault="00B65917">
      <w:pPr>
        <w:pStyle w:val="21"/>
        <w:tabs>
          <w:tab w:val="right" w:leader="dot" w:pos="8306"/>
        </w:tabs>
        <w:spacing w:line="240" w:lineRule="auto"/>
      </w:pPr>
      <w:hyperlink w:anchor="_Toc25075" w:history="1">
        <w:r>
          <w:rPr>
            <w:bCs/>
            <w:szCs w:val="24"/>
          </w:rPr>
          <w:t xml:space="preserve">2.2  </w:t>
        </w:r>
        <w:r>
          <w:rPr>
            <w:bCs/>
            <w:szCs w:val="24"/>
          </w:rPr>
          <w:t>符号</w:t>
        </w:r>
        <w:r>
          <w:tab/>
        </w:r>
        <w:r>
          <w:fldChar w:fldCharType="begin"/>
        </w:r>
        <w:r>
          <w:instrText xml:space="preserve"> PAGEREF _Toc25075 \h </w:instrText>
        </w:r>
        <w:r>
          <w:fldChar w:fldCharType="separate"/>
        </w:r>
        <w:r>
          <w:t>2</w:t>
        </w:r>
        <w:r>
          <w:fldChar w:fldCharType="end"/>
        </w:r>
      </w:hyperlink>
    </w:p>
    <w:p w:rsidR="00ED5264" w:rsidRDefault="00B65917">
      <w:pPr>
        <w:pStyle w:val="11"/>
        <w:tabs>
          <w:tab w:val="right" w:leader="dot" w:pos="8306"/>
        </w:tabs>
        <w:spacing w:line="240" w:lineRule="auto"/>
      </w:pPr>
      <w:hyperlink w:anchor="_Toc5427" w:history="1">
        <w:r>
          <w:rPr>
            <w:szCs w:val="24"/>
          </w:rPr>
          <w:t xml:space="preserve">3  </w:t>
        </w:r>
        <w:r>
          <w:rPr>
            <w:szCs w:val="24"/>
          </w:rPr>
          <w:t>基本规定</w:t>
        </w:r>
        <w:r>
          <w:tab/>
        </w:r>
        <w:r>
          <w:fldChar w:fldCharType="begin"/>
        </w:r>
        <w:r>
          <w:instrText xml:space="preserve"> PAGEREF _Toc5427 \h </w:instrText>
        </w:r>
        <w:r>
          <w:fldChar w:fldCharType="separate"/>
        </w:r>
        <w:r>
          <w:t>4</w:t>
        </w:r>
        <w:r>
          <w:fldChar w:fldCharType="end"/>
        </w:r>
      </w:hyperlink>
    </w:p>
    <w:p w:rsidR="00ED5264" w:rsidRDefault="00B65917">
      <w:pPr>
        <w:pStyle w:val="11"/>
        <w:tabs>
          <w:tab w:val="right" w:leader="dot" w:pos="8306"/>
        </w:tabs>
        <w:spacing w:line="240" w:lineRule="auto"/>
      </w:pPr>
      <w:hyperlink w:anchor="_Toc32058" w:history="1">
        <w:r>
          <w:t xml:space="preserve">4  </w:t>
        </w:r>
        <w:r>
          <w:t>原材料</w:t>
        </w:r>
        <w:r>
          <w:tab/>
        </w:r>
        <w:r>
          <w:fldChar w:fldCharType="begin"/>
        </w:r>
        <w:r>
          <w:instrText xml:space="preserve"> PAGEREF _Toc32058 \h </w:instrText>
        </w:r>
        <w:r>
          <w:fldChar w:fldCharType="separate"/>
        </w:r>
        <w:r>
          <w:t>5</w:t>
        </w:r>
        <w:r>
          <w:fldChar w:fldCharType="end"/>
        </w:r>
      </w:hyperlink>
    </w:p>
    <w:p w:rsidR="00ED5264" w:rsidRDefault="00B65917">
      <w:pPr>
        <w:pStyle w:val="21"/>
        <w:tabs>
          <w:tab w:val="right" w:leader="dot" w:pos="8306"/>
        </w:tabs>
        <w:spacing w:line="240" w:lineRule="auto"/>
      </w:pPr>
      <w:hyperlink w:anchor="_Toc11836" w:history="1">
        <w:r>
          <w:rPr>
            <w:bCs/>
            <w:szCs w:val="24"/>
          </w:rPr>
          <w:t xml:space="preserve">4.1  </w:t>
        </w:r>
        <w:r>
          <w:rPr>
            <w:rFonts w:hint="eastAsia"/>
            <w:bCs/>
            <w:szCs w:val="24"/>
          </w:rPr>
          <w:t>黄河超细砂及其混合砂</w:t>
        </w:r>
        <w:r>
          <w:tab/>
        </w:r>
        <w:r>
          <w:fldChar w:fldCharType="begin"/>
        </w:r>
        <w:r>
          <w:instrText xml:space="preserve"> PAGEREF _Toc11836 \h </w:instrText>
        </w:r>
        <w:r>
          <w:fldChar w:fldCharType="separate"/>
        </w:r>
        <w:r>
          <w:t>5</w:t>
        </w:r>
        <w:r>
          <w:fldChar w:fldCharType="end"/>
        </w:r>
      </w:hyperlink>
    </w:p>
    <w:p w:rsidR="00ED5264" w:rsidRDefault="00B65917">
      <w:pPr>
        <w:pStyle w:val="21"/>
        <w:tabs>
          <w:tab w:val="right" w:leader="dot" w:pos="8306"/>
        </w:tabs>
        <w:spacing w:line="240" w:lineRule="auto"/>
      </w:pPr>
      <w:hyperlink w:anchor="_Toc21670" w:history="1">
        <w:r>
          <w:rPr>
            <w:bCs/>
            <w:szCs w:val="24"/>
          </w:rPr>
          <w:t xml:space="preserve">4.2  </w:t>
        </w:r>
        <w:r>
          <w:rPr>
            <w:bCs/>
            <w:szCs w:val="24"/>
          </w:rPr>
          <w:t>其它原材料</w:t>
        </w:r>
        <w:r>
          <w:tab/>
        </w:r>
        <w:r>
          <w:fldChar w:fldCharType="begin"/>
        </w:r>
        <w:r>
          <w:instrText xml:space="preserve"> PAGEREF _Toc21670 \h </w:instrText>
        </w:r>
        <w:r>
          <w:fldChar w:fldCharType="separate"/>
        </w:r>
        <w:r>
          <w:t>6</w:t>
        </w:r>
        <w:r>
          <w:fldChar w:fldCharType="end"/>
        </w:r>
      </w:hyperlink>
    </w:p>
    <w:p w:rsidR="00ED5264" w:rsidRDefault="00B65917">
      <w:pPr>
        <w:pStyle w:val="11"/>
        <w:tabs>
          <w:tab w:val="right" w:leader="dot" w:pos="8306"/>
        </w:tabs>
        <w:spacing w:line="240" w:lineRule="auto"/>
      </w:pPr>
      <w:hyperlink w:anchor="_Toc5896" w:history="1">
        <w:r>
          <w:t xml:space="preserve">5  </w:t>
        </w:r>
        <w:r>
          <w:t>混凝土性能</w:t>
        </w:r>
        <w:r>
          <w:tab/>
        </w:r>
        <w:r>
          <w:fldChar w:fldCharType="begin"/>
        </w:r>
        <w:r>
          <w:instrText xml:space="preserve"> PAGEREF _Toc5896 \h </w:instrText>
        </w:r>
        <w:r>
          <w:fldChar w:fldCharType="separate"/>
        </w:r>
        <w:r>
          <w:t>8</w:t>
        </w:r>
        <w:r>
          <w:fldChar w:fldCharType="end"/>
        </w:r>
      </w:hyperlink>
    </w:p>
    <w:p w:rsidR="00ED5264" w:rsidRDefault="00B65917">
      <w:pPr>
        <w:pStyle w:val="21"/>
        <w:tabs>
          <w:tab w:val="right" w:leader="dot" w:pos="8306"/>
        </w:tabs>
        <w:spacing w:line="240" w:lineRule="auto"/>
      </w:pPr>
      <w:hyperlink w:anchor="_Toc18737" w:history="1">
        <w:r>
          <w:rPr>
            <w:bCs/>
            <w:szCs w:val="24"/>
          </w:rPr>
          <w:t xml:space="preserve">5.1  </w:t>
        </w:r>
        <w:r>
          <w:rPr>
            <w:rFonts w:hint="eastAsia"/>
            <w:bCs/>
            <w:szCs w:val="24"/>
          </w:rPr>
          <w:t>工作</w:t>
        </w:r>
        <w:r>
          <w:rPr>
            <w:bCs/>
            <w:szCs w:val="24"/>
          </w:rPr>
          <w:t>性能</w:t>
        </w:r>
        <w:r>
          <w:tab/>
        </w:r>
        <w:r>
          <w:fldChar w:fldCharType="begin"/>
        </w:r>
        <w:r>
          <w:instrText xml:space="preserve"> PAGEREF _Toc18737 \h </w:instrText>
        </w:r>
        <w:r>
          <w:fldChar w:fldCharType="separate"/>
        </w:r>
        <w:r>
          <w:t>8</w:t>
        </w:r>
        <w:r>
          <w:fldChar w:fldCharType="end"/>
        </w:r>
      </w:hyperlink>
    </w:p>
    <w:p w:rsidR="00ED5264" w:rsidRDefault="00B65917">
      <w:pPr>
        <w:pStyle w:val="21"/>
        <w:tabs>
          <w:tab w:val="right" w:leader="dot" w:pos="8306"/>
        </w:tabs>
        <w:spacing w:line="240" w:lineRule="auto"/>
      </w:pPr>
      <w:hyperlink w:anchor="_Toc14396" w:history="1">
        <w:r>
          <w:rPr>
            <w:bCs/>
            <w:szCs w:val="24"/>
          </w:rPr>
          <w:t xml:space="preserve">5.2  </w:t>
        </w:r>
        <w:r>
          <w:rPr>
            <w:bCs/>
            <w:szCs w:val="24"/>
          </w:rPr>
          <w:t>力学性能</w:t>
        </w:r>
        <w:r>
          <w:tab/>
        </w:r>
        <w:r>
          <w:fldChar w:fldCharType="begin"/>
        </w:r>
        <w:r>
          <w:instrText xml:space="preserve"> PAGEREF _Toc14396 \h </w:instrText>
        </w:r>
        <w:r>
          <w:fldChar w:fldCharType="separate"/>
        </w:r>
        <w:r>
          <w:t>8</w:t>
        </w:r>
        <w:r>
          <w:fldChar w:fldCharType="end"/>
        </w:r>
      </w:hyperlink>
    </w:p>
    <w:p w:rsidR="00ED5264" w:rsidRDefault="00B65917">
      <w:pPr>
        <w:pStyle w:val="21"/>
        <w:tabs>
          <w:tab w:val="right" w:leader="dot" w:pos="8306"/>
        </w:tabs>
        <w:spacing w:line="240" w:lineRule="auto"/>
      </w:pPr>
      <w:hyperlink w:anchor="_Toc17974" w:history="1">
        <w:r>
          <w:rPr>
            <w:bCs/>
            <w:szCs w:val="24"/>
          </w:rPr>
          <w:t xml:space="preserve">5.3  </w:t>
        </w:r>
        <w:r>
          <w:rPr>
            <w:bCs/>
            <w:szCs w:val="24"/>
          </w:rPr>
          <w:t>长期性能与耐久性能</w:t>
        </w:r>
        <w:r>
          <w:tab/>
        </w:r>
        <w:r>
          <w:fldChar w:fldCharType="begin"/>
        </w:r>
        <w:r>
          <w:instrText xml:space="preserve"> PAGEREF _Toc17974 \h </w:instrText>
        </w:r>
        <w:r>
          <w:fldChar w:fldCharType="separate"/>
        </w:r>
        <w:r>
          <w:t>9</w:t>
        </w:r>
        <w:r>
          <w:fldChar w:fldCharType="end"/>
        </w:r>
      </w:hyperlink>
    </w:p>
    <w:p w:rsidR="00ED5264" w:rsidRDefault="00B65917">
      <w:pPr>
        <w:pStyle w:val="11"/>
        <w:tabs>
          <w:tab w:val="right" w:leader="dot" w:pos="8306"/>
        </w:tabs>
        <w:spacing w:line="240" w:lineRule="auto"/>
      </w:pPr>
      <w:hyperlink w:anchor="_Toc2023" w:history="1">
        <w:r>
          <w:t xml:space="preserve">6  </w:t>
        </w:r>
        <w:r>
          <w:t>配合比设计</w:t>
        </w:r>
        <w:r>
          <w:tab/>
        </w:r>
        <w:r>
          <w:fldChar w:fldCharType="begin"/>
        </w:r>
        <w:r>
          <w:instrText xml:space="preserve"> PAGEREF _Toc2023 \h </w:instrText>
        </w:r>
        <w:r>
          <w:fldChar w:fldCharType="separate"/>
        </w:r>
        <w:r>
          <w:t>10</w:t>
        </w:r>
        <w:r>
          <w:fldChar w:fldCharType="end"/>
        </w:r>
      </w:hyperlink>
    </w:p>
    <w:p w:rsidR="00ED5264" w:rsidRDefault="00B65917">
      <w:pPr>
        <w:pStyle w:val="21"/>
        <w:tabs>
          <w:tab w:val="right" w:leader="dot" w:pos="8306"/>
        </w:tabs>
        <w:spacing w:line="240" w:lineRule="auto"/>
      </w:pPr>
      <w:hyperlink w:anchor="_Toc18722" w:history="1">
        <w:r>
          <w:rPr>
            <w:bCs/>
            <w:szCs w:val="24"/>
          </w:rPr>
          <w:t xml:space="preserve">6.1  </w:t>
        </w:r>
        <w:r>
          <w:rPr>
            <w:bCs/>
            <w:szCs w:val="24"/>
          </w:rPr>
          <w:t>一般要求</w:t>
        </w:r>
        <w:r>
          <w:tab/>
        </w:r>
        <w:r>
          <w:fldChar w:fldCharType="begin"/>
        </w:r>
        <w:r>
          <w:instrText xml:space="preserve"> PAGEREF _Toc18722 \h </w:instrText>
        </w:r>
        <w:r>
          <w:fldChar w:fldCharType="separate"/>
        </w:r>
        <w:r>
          <w:t>10</w:t>
        </w:r>
        <w:r>
          <w:fldChar w:fldCharType="end"/>
        </w:r>
      </w:hyperlink>
    </w:p>
    <w:p w:rsidR="00ED5264" w:rsidRDefault="00B65917">
      <w:pPr>
        <w:pStyle w:val="21"/>
        <w:tabs>
          <w:tab w:val="right" w:leader="dot" w:pos="8306"/>
        </w:tabs>
        <w:spacing w:line="240" w:lineRule="auto"/>
      </w:pPr>
      <w:hyperlink w:anchor="_Toc22263" w:history="1">
        <w:r>
          <w:rPr>
            <w:bCs/>
            <w:szCs w:val="24"/>
          </w:rPr>
          <w:t xml:space="preserve">6.2  </w:t>
        </w:r>
        <w:r>
          <w:rPr>
            <w:rFonts w:hint="eastAsia"/>
            <w:bCs/>
            <w:szCs w:val="24"/>
          </w:rPr>
          <w:t>配合比计算</w:t>
        </w:r>
        <w:r>
          <w:tab/>
        </w:r>
        <w:r>
          <w:fldChar w:fldCharType="begin"/>
        </w:r>
        <w:r>
          <w:instrText xml:space="preserve"> PAGEREF _Toc22263 \h </w:instrText>
        </w:r>
        <w:r>
          <w:fldChar w:fldCharType="separate"/>
        </w:r>
        <w:r>
          <w:t>10</w:t>
        </w:r>
        <w:r>
          <w:fldChar w:fldCharType="end"/>
        </w:r>
      </w:hyperlink>
    </w:p>
    <w:p w:rsidR="00ED5264" w:rsidRDefault="00B65917">
      <w:pPr>
        <w:pStyle w:val="21"/>
        <w:tabs>
          <w:tab w:val="right" w:leader="dot" w:pos="8306"/>
        </w:tabs>
        <w:spacing w:line="240" w:lineRule="auto"/>
      </w:pPr>
      <w:hyperlink w:anchor="_Toc19355" w:history="1">
        <w:r>
          <w:rPr>
            <w:bCs/>
            <w:szCs w:val="24"/>
          </w:rPr>
          <w:t xml:space="preserve">6.3  </w:t>
        </w:r>
        <w:r>
          <w:rPr>
            <w:bCs/>
            <w:szCs w:val="24"/>
          </w:rPr>
          <w:t>配合比设计参数选择</w:t>
        </w:r>
        <w:r>
          <w:tab/>
        </w:r>
        <w:r>
          <w:fldChar w:fldCharType="begin"/>
        </w:r>
        <w:r>
          <w:instrText xml:space="preserve"> PAGEREF _Toc19355 \h </w:instrText>
        </w:r>
        <w:r>
          <w:fldChar w:fldCharType="separate"/>
        </w:r>
        <w:r>
          <w:t>11</w:t>
        </w:r>
        <w:r>
          <w:fldChar w:fldCharType="end"/>
        </w:r>
      </w:hyperlink>
    </w:p>
    <w:p w:rsidR="00ED5264" w:rsidRDefault="00B65917">
      <w:pPr>
        <w:pStyle w:val="11"/>
        <w:tabs>
          <w:tab w:val="right" w:leader="dot" w:pos="8306"/>
        </w:tabs>
        <w:spacing w:line="240" w:lineRule="auto"/>
      </w:pPr>
      <w:hyperlink w:anchor="_Toc6970" w:history="1">
        <w:r>
          <w:t xml:space="preserve">7  </w:t>
        </w:r>
        <w:r>
          <w:t>生产与施工</w:t>
        </w:r>
        <w:r>
          <w:tab/>
        </w:r>
        <w:r>
          <w:fldChar w:fldCharType="begin"/>
        </w:r>
        <w:r>
          <w:instrText xml:space="preserve"> PAGEREF _Toc6970 \h </w:instrText>
        </w:r>
        <w:r>
          <w:fldChar w:fldCharType="separate"/>
        </w:r>
        <w:r>
          <w:t>11</w:t>
        </w:r>
        <w:r>
          <w:fldChar w:fldCharType="end"/>
        </w:r>
      </w:hyperlink>
    </w:p>
    <w:p w:rsidR="00ED5264" w:rsidRDefault="00B65917">
      <w:pPr>
        <w:pStyle w:val="21"/>
        <w:tabs>
          <w:tab w:val="right" w:leader="dot" w:pos="8306"/>
        </w:tabs>
        <w:spacing w:line="240" w:lineRule="auto"/>
      </w:pPr>
      <w:hyperlink w:anchor="_Toc19433" w:history="1">
        <w:r>
          <w:rPr>
            <w:bCs/>
            <w:szCs w:val="24"/>
          </w:rPr>
          <w:t xml:space="preserve">7.1  </w:t>
        </w:r>
        <w:r>
          <w:rPr>
            <w:bCs/>
            <w:szCs w:val="24"/>
          </w:rPr>
          <w:t>一般规定</w:t>
        </w:r>
        <w:r>
          <w:tab/>
        </w:r>
        <w:r>
          <w:fldChar w:fldCharType="begin"/>
        </w:r>
        <w:r>
          <w:instrText xml:space="preserve"> PAGEREF _Toc19433 \h </w:instrText>
        </w:r>
        <w:r>
          <w:fldChar w:fldCharType="separate"/>
        </w:r>
        <w:r>
          <w:t>11</w:t>
        </w:r>
        <w:r>
          <w:fldChar w:fldCharType="end"/>
        </w:r>
      </w:hyperlink>
    </w:p>
    <w:p w:rsidR="00ED5264" w:rsidRDefault="00B65917">
      <w:pPr>
        <w:pStyle w:val="21"/>
        <w:tabs>
          <w:tab w:val="right" w:leader="dot" w:pos="8306"/>
        </w:tabs>
        <w:spacing w:line="240" w:lineRule="auto"/>
      </w:pPr>
      <w:hyperlink w:anchor="_Toc8875" w:history="1">
        <w:r>
          <w:rPr>
            <w:bCs/>
            <w:szCs w:val="24"/>
          </w:rPr>
          <w:t xml:space="preserve">7.2  </w:t>
        </w:r>
        <w:r>
          <w:rPr>
            <w:bCs/>
            <w:szCs w:val="24"/>
          </w:rPr>
          <w:t>原材料进场</w:t>
        </w:r>
        <w:r>
          <w:tab/>
        </w:r>
        <w:r>
          <w:fldChar w:fldCharType="begin"/>
        </w:r>
        <w:r>
          <w:instrText xml:space="preserve"> PAGEREF _Toc8875 \h </w:instrText>
        </w:r>
        <w:r>
          <w:fldChar w:fldCharType="separate"/>
        </w:r>
        <w:r>
          <w:t>12</w:t>
        </w:r>
        <w:r>
          <w:fldChar w:fldCharType="end"/>
        </w:r>
      </w:hyperlink>
    </w:p>
    <w:p w:rsidR="00ED5264" w:rsidRDefault="00B65917">
      <w:pPr>
        <w:pStyle w:val="21"/>
        <w:tabs>
          <w:tab w:val="right" w:leader="dot" w:pos="8306"/>
        </w:tabs>
        <w:spacing w:line="240" w:lineRule="auto"/>
      </w:pPr>
      <w:hyperlink w:anchor="_Toc19879" w:history="1">
        <w:r>
          <w:rPr>
            <w:bCs/>
            <w:szCs w:val="24"/>
          </w:rPr>
          <w:t xml:space="preserve">7.3 </w:t>
        </w:r>
        <w:r>
          <w:rPr>
            <w:bCs/>
            <w:szCs w:val="24"/>
          </w:rPr>
          <w:t>计量</w:t>
        </w:r>
        <w:r>
          <w:tab/>
        </w:r>
        <w:r>
          <w:fldChar w:fldCharType="begin"/>
        </w:r>
        <w:r>
          <w:instrText xml:space="preserve"> PAGEREF _Toc19879 \h </w:instrText>
        </w:r>
        <w:r>
          <w:fldChar w:fldCharType="separate"/>
        </w:r>
        <w:r>
          <w:t>12</w:t>
        </w:r>
        <w:r>
          <w:fldChar w:fldCharType="end"/>
        </w:r>
      </w:hyperlink>
    </w:p>
    <w:p w:rsidR="00ED5264" w:rsidRDefault="00B65917">
      <w:pPr>
        <w:pStyle w:val="21"/>
        <w:tabs>
          <w:tab w:val="right" w:leader="dot" w:pos="8306"/>
        </w:tabs>
        <w:spacing w:line="240" w:lineRule="auto"/>
      </w:pPr>
      <w:hyperlink w:anchor="_Toc16855" w:history="1">
        <w:r>
          <w:rPr>
            <w:bCs/>
            <w:szCs w:val="24"/>
          </w:rPr>
          <w:t xml:space="preserve">7.4 </w:t>
        </w:r>
        <w:r>
          <w:rPr>
            <w:bCs/>
            <w:szCs w:val="24"/>
          </w:rPr>
          <w:t>搅拌</w:t>
        </w:r>
        <w:r>
          <w:tab/>
        </w:r>
        <w:r>
          <w:fldChar w:fldCharType="begin"/>
        </w:r>
        <w:r>
          <w:instrText xml:space="preserve"> PAGEREF _Toc16855 \h </w:instrText>
        </w:r>
        <w:r>
          <w:fldChar w:fldCharType="separate"/>
        </w:r>
        <w:r>
          <w:t>13</w:t>
        </w:r>
        <w:r>
          <w:fldChar w:fldCharType="end"/>
        </w:r>
      </w:hyperlink>
    </w:p>
    <w:p w:rsidR="00ED5264" w:rsidRDefault="00B65917">
      <w:pPr>
        <w:pStyle w:val="21"/>
        <w:tabs>
          <w:tab w:val="right" w:leader="dot" w:pos="8306"/>
        </w:tabs>
        <w:spacing w:line="240" w:lineRule="auto"/>
      </w:pPr>
      <w:hyperlink w:anchor="_Toc15627" w:history="1">
        <w:r>
          <w:rPr>
            <w:bCs/>
            <w:szCs w:val="24"/>
          </w:rPr>
          <w:t xml:space="preserve">7.5 </w:t>
        </w:r>
        <w:r>
          <w:rPr>
            <w:bCs/>
            <w:szCs w:val="24"/>
          </w:rPr>
          <w:t>运输</w:t>
        </w:r>
        <w:r>
          <w:tab/>
        </w:r>
        <w:r>
          <w:fldChar w:fldCharType="begin"/>
        </w:r>
        <w:r>
          <w:instrText xml:space="preserve"> PAGEREF _Toc15627 \h </w:instrText>
        </w:r>
        <w:r>
          <w:fldChar w:fldCharType="separate"/>
        </w:r>
        <w:r>
          <w:t>13</w:t>
        </w:r>
        <w:r>
          <w:fldChar w:fldCharType="end"/>
        </w:r>
      </w:hyperlink>
    </w:p>
    <w:p w:rsidR="00ED5264" w:rsidRDefault="00B65917">
      <w:pPr>
        <w:pStyle w:val="21"/>
        <w:tabs>
          <w:tab w:val="right" w:leader="dot" w:pos="8306"/>
        </w:tabs>
        <w:spacing w:line="240" w:lineRule="auto"/>
      </w:pPr>
      <w:hyperlink w:anchor="_Toc24212" w:history="1">
        <w:r>
          <w:rPr>
            <w:bCs/>
            <w:szCs w:val="24"/>
          </w:rPr>
          <w:t xml:space="preserve">7.6 </w:t>
        </w:r>
        <w:r>
          <w:rPr>
            <w:bCs/>
            <w:szCs w:val="24"/>
          </w:rPr>
          <w:t>浇筑</w:t>
        </w:r>
        <w:r>
          <w:rPr>
            <w:rFonts w:hint="eastAsia"/>
            <w:bCs/>
            <w:szCs w:val="24"/>
          </w:rPr>
          <w:t>成型</w:t>
        </w:r>
        <w:r>
          <w:tab/>
        </w:r>
        <w:r>
          <w:fldChar w:fldCharType="begin"/>
        </w:r>
        <w:r>
          <w:instrText xml:space="preserve"> PAGEREF _Toc24212 \h </w:instrText>
        </w:r>
        <w:r>
          <w:fldChar w:fldCharType="separate"/>
        </w:r>
        <w:r>
          <w:t>14</w:t>
        </w:r>
        <w:r>
          <w:fldChar w:fldCharType="end"/>
        </w:r>
      </w:hyperlink>
    </w:p>
    <w:p w:rsidR="00ED5264" w:rsidRDefault="00B65917">
      <w:pPr>
        <w:pStyle w:val="21"/>
        <w:tabs>
          <w:tab w:val="right" w:leader="dot" w:pos="8306"/>
        </w:tabs>
        <w:spacing w:line="240" w:lineRule="auto"/>
      </w:pPr>
      <w:hyperlink w:anchor="_Toc12604" w:history="1">
        <w:r>
          <w:rPr>
            <w:bCs/>
            <w:szCs w:val="24"/>
          </w:rPr>
          <w:t xml:space="preserve">7.7 </w:t>
        </w:r>
        <w:r>
          <w:rPr>
            <w:bCs/>
            <w:szCs w:val="24"/>
          </w:rPr>
          <w:t>养护</w:t>
        </w:r>
        <w:r>
          <w:tab/>
        </w:r>
        <w:r>
          <w:fldChar w:fldCharType="begin"/>
        </w:r>
        <w:r>
          <w:instrText xml:space="preserve"> PAGEREF _Toc12604 \h </w:instrText>
        </w:r>
        <w:r>
          <w:fldChar w:fldCharType="separate"/>
        </w:r>
        <w:r>
          <w:t>14</w:t>
        </w:r>
        <w:r>
          <w:fldChar w:fldCharType="end"/>
        </w:r>
      </w:hyperlink>
    </w:p>
    <w:p w:rsidR="00ED5264" w:rsidRDefault="00B65917">
      <w:pPr>
        <w:pStyle w:val="11"/>
        <w:tabs>
          <w:tab w:val="right" w:leader="dot" w:pos="8306"/>
        </w:tabs>
        <w:spacing w:line="240" w:lineRule="auto"/>
      </w:pPr>
      <w:hyperlink w:anchor="_Toc365" w:history="1">
        <w:r>
          <w:t xml:space="preserve">8  </w:t>
        </w:r>
        <w:r>
          <w:t>质量检验和验收</w:t>
        </w:r>
        <w:r>
          <w:tab/>
        </w:r>
        <w:r>
          <w:fldChar w:fldCharType="begin"/>
        </w:r>
        <w:r>
          <w:instrText xml:space="preserve"> PAGEREF _Toc365 \h </w:instrText>
        </w:r>
        <w:r>
          <w:fldChar w:fldCharType="separate"/>
        </w:r>
        <w:r>
          <w:t>15</w:t>
        </w:r>
        <w:r>
          <w:fldChar w:fldCharType="end"/>
        </w:r>
      </w:hyperlink>
    </w:p>
    <w:p w:rsidR="00ED5264" w:rsidRDefault="00B65917">
      <w:pPr>
        <w:pStyle w:val="21"/>
        <w:tabs>
          <w:tab w:val="right" w:leader="dot" w:pos="8306"/>
        </w:tabs>
        <w:spacing w:line="240" w:lineRule="auto"/>
      </w:pPr>
      <w:hyperlink w:anchor="_Toc11921" w:history="1">
        <w:r>
          <w:rPr>
            <w:bCs/>
            <w:szCs w:val="24"/>
          </w:rPr>
          <w:t xml:space="preserve">8.1  </w:t>
        </w:r>
        <w:r>
          <w:rPr>
            <w:bCs/>
            <w:szCs w:val="24"/>
          </w:rPr>
          <w:t>原材料质量检验</w:t>
        </w:r>
        <w:r>
          <w:tab/>
        </w:r>
        <w:r>
          <w:fldChar w:fldCharType="begin"/>
        </w:r>
        <w:r>
          <w:instrText xml:space="preserve"> PAGEREF _Toc11921 \h </w:instrText>
        </w:r>
        <w:r>
          <w:fldChar w:fldCharType="separate"/>
        </w:r>
        <w:r>
          <w:t>15</w:t>
        </w:r>
        <w:r>
          <w:fldChar w:fldCharType="end"/>
        </w:r>
      </w:hyperlink>
    </w:p>
    <w:p w:rsidR="00ED5264" w:rsidRDefault="00B65917">
      <w:pPr>
        <w:pStyle w:val="21"/>
        <w:tabs>
          <w:tab w:val="right" w:leader="dot" w:pos="8306"/>
        </w:tabs>
        <w:spacing w:line="240" w:lineRule="auto"/>
      </w:pPr>
      <w:hyperlink w:anchor="_Toc11115" w:history="1">
        <w:r>
          <w:rPr>
            <w:bCs/>
            <w:szCs w:val="24"/>
          </w:rPr>
          <w:t xml:space="preserve">8.2  </w:t>
        </w:r>
        <w:r>
          <w:rPr>
            <w:rFonts w:ascii="Times New Roman" w:hAnsi="Times New Roman"/>
            <w:szCs w:val="24"/>
          </w:rPr>
          <w:t>混凝土</w:t>
        </w:r>
        <w:r>
          <w:rPr>
            <w:bCs/>
            <w:szCs w:val="24"/>
          </w:rPr>
          <w:t>性能检验</w:t>
        </w:r>
        <w:r>
          <w:tab/>
        </w:r>
        <w:r>
          <w:fldChar w:fldCharType="begin"/>
        </w:r>
        <w:r>
          <w:instrText xml:space="preserve"> PAGEREF _Toc11115 \h </w:instrText>
        </w:r>
        <w:r>
          <w:fldChar w:fldCharType="separate"/>
        </w:r>
        <w:r>
          <w:t>15</w:t>
        </w:r>
        <w:r>
          <w:fldChar w:fldCharType="end"/>
        </w:r>
      </w:hyperlink>
    </w:p>
    <w:p w:rsidR="00ED5264" w:rsidRDefault="00B65917">
      <w:pPr>
        <w:pStyle w:val="21"/>
        <w:tabs>
          <w:tab w:val="right" w:leader="dot" w:pos="8306"/>
        </w:tabs>
        <w:spacing w:line="240" w:lineRule="auto"/>
      </w:pPr>
      <w:hyperlink w:anchor="_Toc20411" w:history="1">
        <w:r>
          <w:rPr>
            <w:bCs/>
            <w:szCs w:val="24"/>
          </w:rPr>
          <w:t xml:space="preserve">8.3  </w:t>
        </w:r>
        <w:r>
          <w:rPr>
            <w:bCs/>
            <w:szCs w:val="24"/>
          </w:rPr>
          <w:t>验收</w:t>
        </w:r>
        <w:r>
          <w:tab/>
        </w:r>
        <w:r>
          <w:fldChar w:fldCharType="begin"/>
        </w:r>
        <w:r>
          <w:instrText xml:space="preserve"> PAGEREF _Toc20411 \h </w:instrText>
        </w:r>
        <w:r>
          <w:fldChar w:fldCharType="separate"/>
        </w:r>
        <w:r>
          <w:t>16</w:t>
        </w:r>
        <w:r>
          <w:fldChar w:fldCharType="end"/>
        </w:r>
      </w:hyperlink>
    </w:p>
    <w:p w:rsidR="00ED5264" w:rsidRDefault="00B65917">
      <w:pPr>
        <w:pStyle w:val="11"/>
        <w:tabs>
          <w:tab w:val="right" w:leader="dot" w:pos="8306"/>
        </w:tabs>
        <w:spacing w:line="240" w:lineRule="auto"/>
      </w:pPr>
      <w:hyperlink w:anchor="_Toc23330" w:history="1">
        <w:r>
          <w:rPr>
            <w:szCs w:val="24"/>
          </w:rPr>
          <w:t>本规程用词说明</w:t>
        </w:r>
        <w:r>
          <w:tab/>
        </w:r>
        <w:r>
          <w:fldChar w:fldCharType="begin"/>
        </w:r>
        <w:r>
          <w:instrText xml:space="preserve"> PAGEREF _Toc23330 \h </w:instrText>
        </w:r>
        <w:r>
          <w:fldChar w:fldCharType="separate"/>
        </w:r>
        <w:r>
          <w:t>17</w:t>
        </w:r>
        <w:r>
          <w:fldChar w:fldCharType="end"/>
        </w:r>
      </w:hyperlink>
    </w:p>
    <w:p w:rsidR="00ED5264" w:rsidRDefault="00B65917">
      <w:pPr>
        <w:pStyle w:val="11"/>
        <w:tabs>
          <w:tab w:val="right" w:leader="dot" w:pos="8306"/>
        </w:tabs>
        <w:spacing w:line="240" w:lineRule="auto"/>
      </w:pPr>
      <w:hyperlink w:anchor="_Toc13591" w:history="1">
        <w:r>
          <w:t>引用标准名录</w:t>
        </w:r>
        <w:r>
          <w:tab/>
        </w:r>
        <w:r>
          <w:fldChar w:fldCharType="begin"/>
        </w:r>
        <w:r>
          <w:instrText xml:space="preserve"> PAGEREF _Toc13591 \h </w:instrText>
        </w:r>
        <w:r>
          <w:fldChar w:fldCharType="separate"/>
        </w:r>
        <w:r>
          <w:t>18</w:t>
        </w:r>
        <w:r>
          <w:fldChar w:fldCharType="end"/>
        </w:r>
      </w:hyperlink>
    </w:p>
    <w:p w:rsidR="00ED5264" w:rsidRDefault="00465A2A">
      <w:pPr>
        <w:pStyle w:val="11"/>
        <w:tabs>
          <w:tab w:val="right" w:leader="dot" w:pos="8306"/>
        </w:tabs>
        <w:spacing w:line="240" w:lineRule="auto"/>
      </w:pPr>
      <w:r>
        <w:rPr>
          <w:rFonts w:ascii="Times New Roman" w:hAnsi="Times New Roman" w:cs="Times New Roman" w:hint="eastAsia"/>
        </w:rPr>
        <w:t>附：</w:t>
      </w:r>
      <w:hyperlink w:anchor="_Toc17197" w:history="1">
        <w:r w:rsidR="00B65917">
          <w:rPr>
            <w:szCs w:val="24"/>
          </w:rPr>
          <w:t>条文说明</w:t>
        </w:r>
        <w:r w:rsidR="00B65917">
          <w:tab/>
        </w:r>
        <w:r w:rsidR="00B65917">
          <w:fldChar w:fldCharType="begin"/>
        </w:r>
        <w:r w:rsidR="00B65917">
          <w:instrText xml:space="preserve"> PAGEREF _Toc17197 \h </w:instrText>
        </w:r>
        <w:r w:rsidR="00B65917">
          <w:fldChar w:fldCharType="separate"/>
        </w:r>
        <w:r w:rsidR="00B65917">
          <w:t>19</w:t>
        </w:r>
        <w:r w:rsidR="00B65917">
          <w:fldChar w:fldCharType="end"/>
        </w:r>
      </w:hyperlink>
    </w:p>
    <w:p w:rsidR="00465A2A" w:rsidRDefault="00465A2A">
      <w:pPr>
        <w:pStyle w:val="21"/>
        <w:tabs>
          <w:tab w:val="right" w:leader="dot" w:pos="8306"/>
        </w:tabs>
        <w:sectPr w:rsidR="00465A2A">
          <w:footerReference w:type="even" r:id="rId13"/>
          <w:footerReference w:type="default" r:id="rId14"/>
          <w:pgSz w:w="11906" w:h="16838"/>
          <w:pgMar w:top="1440" w:right="1800" w:bottom="1440" w:left="1800" w:header="851" w:footer="992" w:gutter="0"/>
          <w:pgNumType w:start="1"/>
          <w:cols w:space="720"/>
          <w:docGrid w:type="lines" w:linePitch="312"/>
        </w:sectPr>
      </w:pPr>
    </w:p>
    <w:p w:rsidR="00ED5264" w:rsidRDefault="00ED5264">
      <w:pPr>
        <w:pStyle w:val="21"/>
        <w:tabs>
          <w:tab w:val="right" w:leader="dot" w:pos="8306"/>
        </w:tabs>
      </w:pPr>
    </w:p>
    <w:p w:rsidR="00ED5264" w:rsidRDefault="00B65917">
      <w:pPr>
        <w:pStyle w:val="11"/>
        <w:tabs>
          <w:tab w:val="right" w:leader="dot" w:pos="8296"/>
        </w:tabs>
        <w:spacing w:line="360" w:lineRule="auto"/>
        <w:jc w:val="center"/>
        <w:rPr>
          <w:rFonts w:ascii="Times New Roman" w:hAnsi="Times New Roman" w:cs="Times New Roman"/>
          <w:b/>
          <w:kern w:val="2"/>
          <w:sz w:val="28"/>
          <w:szCs w:val="28"/>
        </w:rPr>
      </w:pPr>
      <w:r>
        <w:rPr>
          <w:rFonts w:ascii="Times New Roman" w:hAnsi="Times New Roman" w:cs="Times New Roman"/>
        </w:rPr>
        <w:fldChar w:fldCharType="end"/>
      </w:r>
      <w:r>
        <w:rPr>
          <w:rFonts w:ascii="Times New Roman" w:hAnsi="Times New Roman" w:cs="Times New Roman"/>
          <w:b/>
          <w:kern w:val="2"/>
          <w:sz w:val="28"/>
          <w:szCs w:val="28"/>
        </w:rPr>
        <w:t>Contents</w:t>
      </w:r>
    </w:p>
    <w:p w:rsidR="00ED5264" w:rsidRDefault="00B65917">
      <w:pPr>
        <w:pStyle w:val="11"/>
        <w:tabs>
          <w:tab w:val="right" w:leader="dot" w:pos="8306"/>
        </w:tabs>
        <w:spacing w:line="240" w:lineRule="auto"/>
        <w:rPr>
          <w:rFonts w:ascii="Times New Roman" w:hAnsi="Times New Roman" w:cs="Times New Roman"/>
        </w:rPr>
      </w:pPr>
      <w:hyperlink w:anchor="_Toc16465" w:history="1">
        <w:r>
          <w:rPr>
            <w:rFonts w:ascii="Times New Roman" w:hAnsi="Times New Roman" w:cs="Times New Roman"/>
            <w:szCs w:val="28"/>
          </w:rPr>
          <w:t xml:space="preserve">1  </w:t>
        </w:r>
        <w:r>
          <w:rPr>
            <w:rFonts w:ascii="Times New Roman" w:hAnsi="Times New Roman" w:cs="Times New Roman" w:hint="eastAsia"/>
            <w:szCs w:val="28"/>
          </w:rPr>
          <w:t xml:space="preserve">General </w:t>
        </w:r>
        <w:r>
          <w:rPr>
            <w:rFonts w:ascii="Times New Roman" w:hAnsi="Times New Roman" w:cs="Times New Roman" w:hint="eastAsia"/>
            <w:szCs w:val="28"/>
          </w:rPr>
          <w:t>p</w:t>
        </w:r>
        <w:r>
          <w:rPr>
            <w:rFonts w:ascii="Times New Roman" w:hAnsi="Times New Roman" w:cs="Times New Roman" w:hint="eastAsia"/>
            <w:szCs w:val="28"/>
          </w:rPr>
          <w:t>rovisions</w:t>
        </w:r>
        <w:r>
          <w:rPr>
            <w:rFonts w:ascii="Times New Roman" w:hAnsi="Times New Roman" w:cs="Times New Roman"/>
          </w:rPr>
          <w:tab/>
        </w:r>
        <w:r>
          <w:rPr>
            <w:rFonts w:ascii="Times New Roman" w:hAnsi="Times New Roman" w:cs="Times New Roman"/>
          </w:rPr>
          <w:fldChar w:fldCharType="begin"/>
        </w:r>
        <w:r>
          <w:rPr>
            <w:rFonts w:ascii="Times New Roman" w:hAnsi="Times New Roman" w:cs="Times New Roman"/>
          </w:rPr>
          <w:instrText xml:space="preserve"> PAGEREF _Toc16465 \h </w:instrText>
        </w:r>
        <w:r>
          <w:rPr>
            <w:rFonts w:ascii="Times New Roman" w:hAnsi="Times New Roman" w:cs="Times New Roman"/>
          </w:rPr>
        </w:r>
        <w:r>
          <w:rPr>
            <w:rFonts w:ascii="Times New Roman" w:hAnsi="Times New Roman" w:cs="Times New Roman"/>
          </w:rPr>
          <w:fldChar w:fldCharType="separate"/>
        </w:r>
        <w:r>
          <w:rPr>
            <w:rFonts w:ascii="Times New Roman" w:hAnsi="Times New Roman" w:cs="Times New Roman"/>
          </w:rPr>
          <w:t>1</w:t>
        </w:r>
        <w:r>
          <w:rPr>
            <w:rFonts w:ascii="Times New Roman" w:hAnsi="Times New Roman" w:cs="Times New Roman"/>
          </w:rPr>
          <w:fldChar w:fldCharType="end"/>
        </w:r>
      </w:hyperlink>
    </w:p>
    <w:p w:rsidR="00ED5264" w:rsidRDefault="00B65917">
      <w:pPr>
        <w:pStyle w:val="11"/>
        <w:tabs>
          <w:tab w:val="right" w:leader="dot" w:pos="8306"/>
        </w:tabs>
        <w:spacing w:line="240" w:lineRule="auto"/>
        <w:rPr>
          <w:rFonts w:ascii="Times New Roman" w:hAnsi="Times New Roman" w:cs="Times New Roman"/>
        </w:rPr>
      </w:pPr>
      <w:hyperlink w:anchor="_Toc1914" w:history="1">
        <w:r>
          <w:rPr>
            <w:rFonts w:ascii="Times New Roman" w:hAnsi="Times New Roman" w:cs="Times New Roman"/>
            <w:szCs w:val="28"/>
          </w:rPr>
          <w:t xml:space="preserve">2  </w:t>
        </w:r>
        <w:r>
          <w:rPr>
            <w:rFonts w:ascii="Times New Roman" w:hAnsi="Times New Roman" w:cs="Times New Roman" w:hint="eastAsia"/>
            <w:szCs w:val="28"/>
          </w:rPr>
          <w:t xml:space="preserve">Terms and </w:t>
        </w:r>
        <w:r>
          <w:rPr>
            <w:rFonts w:ascii="Times New Roman" w:hAnsi="Times New Roman" w:cs="Times New Roman" w:hint="eastAsia"/>
            <w:szCs w:val="28"/>
          </w:rPr>
          <w:t>s</w:t>
        </w:r>
        <w:r>
          <w:rPr>
            <w:rFonts w:ascii="Times New Roman" w:hAnsi="Times New Roman" w:cs="Times New Roman" w:hint="eastAsia"/>
            <w:szCs w:val="28"/>
          </w:rPr>
          <w:t>ymbols</w:t>
        </w:r>
        <w:r>
          <w:rPr>
            <w:rFonts w:ascii="Times New Roman" w:hAnsi="Times New Roman" w:cs="Times New Roman"/>
          </w:rPr>
          <w:tab/>
        </w:r>
        <w:r>
          <w:rPr>
            <w:rFonts w:ascii="Times New Roman" w:hAnsi="Times New Roman" w:cs="Times New Roman"/>
          </w:rPr>
          <w:fldChar w:fldCharType="begin"/>
        </w:r>
        <w:r>
          <w:rPr>
            <w:rFonts w:ascii="Times New Roman" w:hAnsi="Times New Roman" w:cs="Times New Roman"/>
          </w:rPr>
          <w:instrText xml:space="preserve"> PAGEREF _Toc1914 \h </w:instrText>
        </w:r>
        <w:r>
          <w:rPr>
            <w:rFonts w:ascii="Times New Roman" w:hAnsi="Times New Roman" w:cs="Times New Roman"/>
          </w:rPr>
        </w:r>
        <w:r>
          <w:rPr>
            <w:rFonts w:ascii="Times New Roman" w:hAnsi="Times New Roman" w:cs="Times New Roman"/>
          </w:rPr>
          <w:fldChar w:fldCharType="separate"/>
        </w:r>
        <w:r>
          <w:rPr>
            <w:rFonts w:ascii="Times New Roman" w:hAnsi="Times New Roman" w:cs="Times New Roman"/>
          </w:rPr>
          <w:t>2</w:t>
        </w:r>
        <w:r>
          <w:rPr>
            <w:rFonts w:ascii="Times New Roman" w:hAnsi="Times New Roman" w:cs="Times New Roman"/>
          </w:rPr>
          <w:fldChar w:fldCharType="end"/>
        </w:r>
      </w:hyperlink>
    </w:p>
    <w:p w:rsidR="00ED5264" w:rsidRDefault="00B65917">
      <w:pPr>
        <w:pStyle w:val="21"/>
        <w:tabs>
          <w:tab w:val="right" w:leader="dot" w:pos="8306"/>
        </w:tabs>
        <w:spacing w:line="240" w:lineRule="auto"/>
        <w:rPr>
          <w:rFonts w:ascii="Times New Roman" w:hAnsi="Times New Roman" w:cs="Times New Roman"/>
        </w:rPr>
      </w:pPr>
      <w:hyperlink w:anchor="_Toc32367" w:history="1">
        <w:r>
          <w:rPr>
            <w:rFonts w:ascii="Times New Roman" w:hAnsi="Times New Roman" w:cs="Times New Roman"/>
            <w:bCs/>
            <w:szCs w:val="24"/>
          </w:rPr>
          <w:t xml:space="preserve">2.1  </w:t>
        </w:r>
        <w:r>
          <w:rPr>
            <w:rFonts w:ascii="Times New Roman" w:hAnsi="Times New Roman" w:cs="Times New Roman" w:hint="eastAsia"/>
            <w:bCs/>
            <w:szCs w:val="24"/>
          </w:rPr>
          <w:t>Terms</w:t>
        </w:r>
        <w:r>
          <w:rPr>
            <w:rFonts w:ascii="Times New Roman" w:hAnsi="Times New Roman" w:cs="Times New Roman"/>
          </w:rPr>
          <w:tab/>
        </w:r>
        <w:r>
          <w:rPr>
            <w:rFonts w:ascii="Times New Roman" w:hAnsi="Times New Roman" w:cs="Times New Roman"/>
          </w:rPr>
          <w:fldChar w:fldCharType="begin"/>
        </w:r>
        <w:r>
          <w:rPr>
            <w:rFonts w:ascii="Times New Roman" w:hAnsi="Times New Roman" w:cs="Times New Roman"/>
          </w:rPr>
          <w:instrText xml:space="preserve"> PAGEREF _Toc32367 \h </w:instrText>
        </w:r>
        <w:r>
          <w:rPr>
            <w:rFonts w:ascii="Times New Roman" w:hAnsi="Times New Roman" w:cs="Times New Roman"/>
          </w:rPr>
        </w:r>
        <w:r>
          <w:rPr>
            <w:rFonts w:ascii="Times New Roman" w:hAnsi="Times New Roman" w:cs="Times New Roman"/>
          </w:rPr>
          <w:fldChar w:fldCharType="separate"/>
        </w:r>
        <w:r>
          <w:rPr>
            <w:rFonts w:ascii="Times New Roman" w:hAnsi="Times New Roman" w:cs="Times New Roman"/>
          </w:rPr>
          <w:t>2</w:t>
        </w:r>
        <w:r>
          <w:rPr>
            <w:rFonts w:ascii="Times New Roman" w:hAnsi="Times New Roman" w:cs="Times New Roman"/>
          </w:rPr>
          <w:fldChar w:fldCharType="end"/>
        </w:r>
      </w:hyperlink>
    </w:p>
    <w:p w:rsidR="00ED5264" w:rsidRDefault="00B65917">
      <w:pPr>
        <w:pStyle w:val="21"/>
        <w:tabs>
          <w:tab w:val="right" w:leader="dot" w:pos="8306"/>
        </w:tabs>
        <w:spacing w:line="240" w:lineRule="auto"/>
        <w:rPr>
          <w:rFonts w:ascii="Times New Roman" w:hAnsi="Times New Roman" w:cs="Times New Roman"/>
        </w:rPr>
      </w:pPr>
      <w:hyperlink w:anchor="_Toc25075" w:history="1">
        <w:r>
          <w:rPr>
            <w:rFonts w:ascii="Times New Roman" w:hAnsi="Times New Roman" w:cs="Times New Roman"/>
            <w:bCs/>
            <w:szCs w:val="24"/>
          </w:rPr>
          <w:t xml:space="preserve">2.2  </w:t>
        </w:r>
        <w:r>
          <w:rPr>
            <w:rFonts w:ascii="Times New Roman" w:hAnsi="Times New Roman" w:cs="Times New Roman" w:hint="eastAsia"/>
            <w:bCs/>
            <w:szCs w:val="24"/>
          </w:rPr>
          <w:t>Symbols</w:t>
        </w:r>
        <w:r>
          <w:rPr>
            <w:rFonts w:ascii="Times New Roman" w:hAnsi="Times New Roman" w:cs="Times New Roman"/>
          </w:rPr>
          <w:tab/>
        </w:r>
        <w:r>
          <w:rPr>
            <w:rFonts w:ascii="Times New Roman" w:hAnsi="Times New Roman" w:cs="Times New Roman"/>
          </w:rPr>
          <w:fldChar w:fldCharType="begin"/>
        </w:r>
        <w:r>
          <w:rPr>
            <w:rFonts w:ascii="Times New Roman" w:hAnsi="Times New Roman" w:cs="Times New Roman"/>
          </w:rPr>
          <w:instrText xml:space="preserve"> PAGEREF _Toc25075 \h </w:instrText>
        </w:r>
        <w:r>
          <w:rPr>
            <w:rFonts w:ascii="Times New Roman" w:hAnsi="Times New Roman" w:cs="Times New Roman"/>
          </w:rPr>
        </w:r>
        <w:r>
          <w:rPr>
            <w:rFonts w:ascii="Times New Roman" w:hAnsi="Times New Roman" w:cs="Times New Roman"/>
          </w:rPr>
          <w:fldChar w:fldCharType="separate"/>
        </w:r>
        <w:r>
          <w:rPr>
            <w:rFonts w:ascii="Times New Roman" w:hAnsi="Times New Roman" w:cs="Times New Roman"/>
          </w:rPr>
          <w:t>2</w:t>
        </w:r>
        <w:r>
          <w:rPr>
            <w:rFonts w:ascii="Times New Roman" w:hAnsi="Times New Roman" w:cs="Times New Roman"/>
          </w:rPr>
          <w:fldChar w:fldCharType="end"/>
        </w:r>
      </w:hyperlink>
    </w:p>
    <w:p w:rsidR="00ED5264" w:rsidRDefault="00B65917">
      <w:pPr>
        <w:pStyle w:val="11"/>
        <w:tabs>
          <w:tab w:val="right" w:leader="dot" w:pos="8306"/>
        </w:tabs>
        <w:spacing w:line="240" w:lineRule="auto"/>
        <w:rPr>
          <w:rFonts w:ascii="Times New Roman" w:hAnsi="Times New Roman" w:cs="Times New Roman"/>
        </w:rPr>
      </w:pPr>
      <w:hyperlink w:anchor="_Toc5427" w:history="1">
        <w:r>
          <w:rPr>
            <w:rFonts w:ascii="Times New Roman" w:hAnsi="Times New Roman" w:cs="Times New Roman"/>
            <w:szCs w:val="24"/>
          </w:rPr>
          <w:t xml:space="preserve">3  </w:t>
        </w:r>
        <w:r>
          <w:rPr>
            <w:rFonts w:ascii="Times New Roman" w:hAnsi="Times New Roman" w:cs="Times New Roman" w:hint="eastAsia"/>
            <w:szCs w:val="24"/>
          </w:rPr>
          <w:t xml:space="preserve">Basic </w:t>
        </w:r>
        <w:r>
          <w:rPr>
            <w:rFonts w:ascii="Times New Roman" w:hAnsi="Times New Roman" w:cs="Times New Roman" w:hint="eastAsia"/>
            <w:szCs w:val="24"/>
          </w:rPr>
          <w:t>r</w:t>
        </w:r>
        <w:r>
          <w:rPr>
            <w:rFonts w:ascii="Times New Roman" w:hAnsi="Times New Roman" w:cs="Times New Roman" w:hint="eastAsia"/>
            <w:szCs w:val="24"/>
          </w:rPr>
          <w:t>equirements</w:t>
        </w:r>
        <w:r>
          <w:rPr>
            <w:rFonts w:ascii="Times New Roman" w:hAnsi="Times New Roman" w:cs="Times New Roman"/>
          </w:rPr>
          <w:tab/>
        </w:r>
        <w:r>
          <w:rPr>
            <w:rFonts w:ascii="Times New Roman" w:hAnsi="Times New Roman" w:cs="Times New Roman" w:hint="eastAsia"/>
          </w:rPr>
          <w:t>4</w:t>
        </w:r>
      </w:hyperlink>
    </w:p>
    <w:p w:rsidR="00ED5264" w:rsidRDefault="00B65917">
      <w:pPr>
        <w:pStyle w:val="11"/>
        <w:tabs>
          <w:tab w:val="right" w:leader="dot" w:pos="8306"/>
        </w:tabs>
        <w:spacing w:line="240" w:lineRule="auto"/>
        <w:rPr>
          <w:rFonts w:ascii="Times New Roman" w:hAnsi="Times New Roman" w:cs="Times New Roman"/>
        </w:rPr>
      </w:pPr>
      <w:hyperlink w:anchor="_Toc32058" w:history="1">
        <w:r>
          <w:rPr>
            <w:rFonts w:ascii="Times New Roman" w:hAnsi="Times New Roman" w:cs="Times New Roman"/>
          </w:rPr>
          <w:t xml:space="preserve">4  </w:t>
        </w:r>
        <w:r>
          <w:rPr>
            <w:rFonts w:ascii="Times New Roman" w:hAnsi="Times New Roman" w:cs="Times New Roman" w:hint="eastAsia"/>
          </w:rPr>
          <w:t xml:space="preserve">Raw </w:t>
        </w:r>
        <w:r>
          <w:rPr>
            <w:rFonts w:ascii="Times New Roman" w:hAnsi="Times New Roman" w:cs="Times New Roman" w:hint="eastAsia"/>
          </w:rPr>
          <w:t>m</w:t>
        </w:r>
        <w:r>
          <w:rPr>
            <w:rFonts w:ascii="Times New Roman" w:hAnsi="Times New Roman" w:cs="Times New Roman" w:hint="eastAsia"/>
          </w:rPr>
          <w:t>aterials</w:t>
        </w:r>
        <w:r>
          <w:rPr>
            <w:rFonts w:ascii="Times New Roman" w:hAnsi="Times New Roman" w:cs="Times New Roman"/>
          </w:rPr>
          <w:tab/>
        </w:r>
        <w:r>
          <w:rPr>
            <w:rFonts w:ascii="Times New Roman" w:hAnsi="Times New Roman" w:cs="Times New Roman" w:hint="eastAsia"/>
          </w:rPr>
          <w:t>5</w:t>
        </w:r>
      </w:hyperlink>
    </w:p>
    <w:p w:rsidR="00ED5264" w:rsidRDefault="00B65917">
      <w:pPr>
        <w:pStyle w:val="21"/>
        <w:tabs>
          <w:tab w:val="right" w:leader="dot" w:pos="8306"/>
        </w:tabs>
        <w:spacing w:line="240" w:lineRule="auto"/>
        <w:rPr>
          <w:rFonts w:ascii="Times New Roman" w:hAnsi="Times New Roman" w:cs="Times New Roman"/>
        </w:rPr>
      </w:pPr>
      <w:hyperlink w:anchor="_Toc11836" w:history="1">
        <w:r>
          <w:rPr>
            <w:rFonts w:ascii="Times New Roman" w:hAnsi="Times New Roman" w:cs="Times New Roman"/>
            <w:bCs/>
            <w:szCs w:val="24"/>
          </w:rPr>
          <w:t xml:space="preserve">4.1  </w:t>
        </w:r>
        <w:r>
          <w:rPr>
            <w:rFonts w:ascii="Times New Roman" w:hAnsi="Times New Roman" w:cs="Times New Roman" w:hint="eastAsia"/>
            <w:bCs/>
            <w:szCs w:val="24"/>
          </w:rPr>
          <w:t>Yellow river utra-fine sand and blended sand</w:t>
        </w:r>
        <w:r>
          <w:rPr>
            <w:rFonts w:ascii="Times New Roman" w:hAnsi="Times New Roman" w:cs="Times New Roman"/>
          </w:rPr>
          <w:tab/>
        </w:r>
        <w:r>
          <w:rPr>
            <w:rFonts w:ascii="Times New Roman" w:hAnsi="Times New Roman" w:cs="Times New Roman" w:hint="eastAsia"/>
          </w:rPr>
          <w:t>5</w:t>
        </w:r>
      </w:hyperlink>
    </w:p>
    <w:p w:rsidR="00ED5264" w:rsidRDefault="00B65917">
      <w:pPr>
        <w:pStyle w:val="21"/>
        <w:tabs>
          <w:tab w:val="right" w:leader="dot" w:pos="8306"/>
        </w:tabs>
        <w:spacing w:line="240" w:lineRule="auto"/>
        <w:rPr>
          <w:rFonts w:ascii="Times New Roman" w:hAnsi="Times New Roman" w:cs="Times New Roman"/>
        </w:rPr>
      </w:pPr>
      <w:hyperlink w:anchor="_Toc21670" w:history="1">
        <w:r>
          <w:rPr>
            <w:rFonts w:ascii="Times New Roman" w:hAnsi="Times New Roman" w:cs="Times New Roman"/>
            <w:bCs/>
            <w:szCs w:val="24"/>
          </w:rPr>
          <w:t xml:space="preserve">4.2  </w:t>
        </w:r>
        <w:r>
          <w:rPr>
            <w:rFonts w:ascii="Times New Roman" w:hAnsi="Times New Roman" w:cs="Times New Roman" w:hint="eastAsia"/>
            <w:bCs/>
            <w:szCs w:val="24"/>
          </w:rPr>
          <w:t xml:space="preserve">Other </w:t>
        </w:r>
        <w:r>
          <w:rPr>
            <w:rFonts w:ascii="Times New Roman" w:hAnsi="Times New Roman" w:cs="Times New Roman" w:hint="eastAsia"/>
            <w:bCs/>
            <w:szCs w:val="24"/>
          </w:rPr>
          <w:t>r</w:t>
        </w:r>
        <w:r>
          <w:rPr>
            <w:rFonts w:ascii="Times New Roman" w:hAnsi="Times New Roman" w:cs="Times New Roman" w:hint="eastAsia"/>
            <w:bCs/>
            <w:szCs w:val="24"/>
          </w:rPr>
          <w:t xml:space="preserve">aw </w:t>
        </w:r>
        <w:r>
          <w:rPr>
            <w:rFonts w:ascii="Times New Roman" w:hAnsi="Times New Roman" w:cs="Times New Roman" w:hint="eastAsia"/>
            <w:bCs/>
            <w:szCs w:val="24"/>
          </w:rPr>
          <w:t>m</w:t>
        </w:r>
        <w:r>
          <w:rPr>
            <w:rFonts w:ascii="Times New Roman" w:hAnsi="Times New Roman" w:cs="Times New Roman" w:hint="eastAsia"/>
            <w:bCs/>
            <w:szCs w:val="24"/>
          </w:rPr>
          <w:t>aterials</w:t>
        </w:r>
        <w:r>
          <w:rPr>
            <w:rFonts w:ascii="Times New Roman" w:hAnsi="Times New Roman" w:cs="Times New Roman"/>
          </w:rPr>
          <w:tab/>
        </w:r>
        <w:r>
          <w:rPr>
            <w:rFonts w:ascii="Times New Roman" w:hAnsi="Times New Roman" w:cs="Times New Roman" w:hint="eastAsia"/>
          </w:rPr>
          <w:t>6</w:t>
        </w:r>
      </w:hyperlink>
    </w:p>
    <w:p w:rsidR="00ED5264" w:rsidRDefault="00B65917">
      <w:pPr>
        <w:pStyle w:val="11"/>
        <w:tabs>
          <w:tab w:val="right" w:leader="dot" w:pos="8306"/>
        </w:tabs>
        <w:spacing w:line="240" w:lineRule="auto"/>
        <w:rPr>
          <w:rFonts w:ascii="Times New Roman" w:hAnsi="Times New Roman" w:cs="Times New Roman"/>
        </w:rPr>
      </w:pPr>
      <w:hyperlink w:anchor="_Toc5896" w:history="1">
        <w:r>
          <w:rPr>
            <w:rFonts w:ascii="Times New Roman" w:hAnsi="Times New Roman" w:cs="Times New Roman"/>
          </w:rPr>
          <w:t xml:space="preserve">5  </w:t>
        </w:r>
        <w:r>
          <w:rPr>
            <w:rFonts w:ascii="Times New Roman" w:hAnsi="Times New Roman" w:cs="Times New Roman" w:hint="eastAsia"/>
          </w:rPr>
          <w:t>Properties of concrete</w:t>
        </w:r>
        <w:r>
          <w:rPr>
            <w:rFonts w:ascii="Times New Roman" w:hAnsi="Times New Roman" w:cs="Times New Roman"/>
          </w:rPr>
          <w:tab/>
        </w:r>
        <w:r>
          <w:rPr>
            <w:rFonts w:ascii="Times New Roman" w:hAnsi="Times New Roman" w:cs="Times New Roman" w:hint="eastAsia"/>
          </w:rPr>
          <w:t>8</w:t>
        </w:r>
      </w:hyperlink>
    </w:p>
    <w:p w:rsidR="00ED5264" w:rsidRDefault="00B65917">
      <w:pPr>
        <w:pStyle w:val="21"/>
        <w:tabs>
          <w:tab w:val="right" w:leader="dot" w:pos="8306"/>
        </w:tabs>
        <w:spacing w:line="240" w:lineRule="auto"/>
        <w:rPr>
          <w:rFonts w:ascii="Times New Roman" w:hAnsi="Times New Roman" w:cs="Times New Roman"/>
        </w:rPr>
      </w:pPr>
      <w:hyperlink w:anchor="_Toc18737" w:history="1">
        <w:r>
          <w:rPr>
            <w:rFonts w:ascii="Times New Roman" w:hAnsi="Times New Roman" w:cs="Times New Roman"/>
            <w:bCs/>
            <w:szCs w:val="24"/>
          </w:rPr>
          <w:t xml:space="preserve">5.1  </w:t>
        </w:r>
        <w:r>
          <w:rPr>
            <w:rFonts w:ascii="Times New Roman" w:hAnsi="Times New Roman" w:cs="Times New Roman" w:hint="eastAsia"/>
            <w:bCs/>
            <w:szCs w:val="24"/>
          </w:rPr>
          <w:t>Workability</w:t>
        </w:r>
        <w:r>
          <w:rPr>
            <w:rFonts w:ascii="Times New Roman" w:hAnsi="Times New Roman" w:cs="Times New Roman"/>
          </w:rPr>
          <w:tab/>
        </w:r>
        <w:r>
          <w:rPr>
            <w:rFonts w:ascii="Times New Roman" w:hAnsi="Times New Roman" w:cs="Times New Roman" w:hint="eastAsia"/>
          </w:rPr>
          <w:t>8</w:t>
        </w:r>
      </w:hyperlink>
    </w:p>
    <w:p w:rsidR="00ED5264" w:rsidRDefault="00B65917">
      <w:pPr>
        <w:pStyle w:val="21"/>
        <w:tabs>
          <w:tab w:val="right" w:leader="dot" w:pos="8306"/>
        </w:tabs>
        <w:spacing w:line="240" w:lineRule="auto"/>
        <w:rPr>
          <w:rFonts w:ascii="Times New Roman" w:hAnsi="Times New Roman" w:cs="Times New Roman"/>
        </w:rPr>
      </w:pPr>
      <w:hyperlink w:anchor="_Toc14396" w:history="1">
        <w:r>
          <w:rPr>
            <w:rFonts w:ascii="Times New Roman" w:hAnsi="Times New Roman" w:cs="Times New Roman"/>
            <w:bCs/>
            <w:szCs w:val="24"/>
          </w:rPr>
          <w:t xml:space="preserve">5.2  </w:t>
        </w:r>
        <w:r>
          <w:rPr>
            <w:rFonts w:ascii="Times New Roman" w:hAnsi="Times New Roman" w:cs="Times New Roman" w:hint="eastAsia"/>
            <w:bCs/>
            <w:szCs w:val="24"/>
          </w:rPr>
          <w:t xml:space="preserve">Mechanical </w:t>
        </w:r>
        <w:r>
          <w:rPr>
            <w:rFonts w:ascii="Times New Roman" w:hAnsi="Times New Roman" w:cs="Times New Roman" w:hint="eastAsia"/>
            <w:bCs/>
            <w:szCs w:val="24"/>
          </w:rPr>
          <w:t>p</w:t>
        </w:r>
        <w:r>
          <w:rPr>
            <w:rFonts w:ascii="Times New Roman" w:hAnsi="Times New Roman" w:cs="Times New Roman" w:hint="eastAsia"/>
            <w:bCs/>
            <w:szCs w:val="24"/>
          </w:rPr>
          <w:t>roperties</w:t>
        </w:r>
        <w:r>
          <w:rPr>
            <w:rFonts w:ascii="Times New Roman" w:hAnsi="Times New Roman" w:cs="Times New Roman"/>
          </w:rPr>
          <w:tab/>
        </w:r>
        <w:r>
          <w:rPr>
            <w:rFonts w:ascii="Times New Roman" w:hAnsi="Times New Roman" w:cs="Times New Roman" w:hint="eastAsia"/>
          </w:rPr>
          <w:t>8</w:t>
        </w:r>
      </w:hyperlink>
    </w:p>
    <w:p w:rsidR="00ED5264" w:rsidRDefault="00B65917">
      <w:pPr>
        <w:pStyle w:val="21"/>
        <w:tabs>
          <w:tab w:val="right" w:leader="dot" w:pos="8306"/>
        </w:tabs>
        <w:spacing w:line="240" w:lineRule="auto"/>
        <w:rPr>
          <w:rFonts w:ascii="Times New Roman" w:hAnsi="Times New Roman" w:cs="Times New Roman"/>
        </w:rPr>
      </w:pPr>
      <w:hyperlink w:anchor="_Toc17974" w:history="1">
        <w:r>
          <w:rPr>
            <w:rFonts w:ascii="Times New Roman" w:hAnsi="Times New Roman" w:cs="Times New Roman"/>
            <w:bCs/>
            <w:szCs w:val="24"/>
          </w:rPr>
          <w:t xml:space="preserve">5.3  </w:t>
        </w:r>
        <w:r>
          <w:rPr>
            <w:rFonts w:ascii="Times New Roman" w:hAnsi="Times New Roman" w:cs="Times New Roman" w:hint="eastAsia"/>
            <w:bCs/>
            <w:szCs w:val="24"/>
          </w:rPr>
          <w:t>Long-</w:t>
        </w:r>
        <w:r>
          <w:rPr>
            <w:rFonts w:ascii="Times New Roman" w:hAnsi="Times New Roman" w:cs="Times New Roman" w:hint="eastAsia"/>
            <w:bCs/>
            <w:szCs w:val="24"/>
          </w:rPr>
          <w:t>t</w:t>
        </w:r>
        <w:r>
          <w:rPr>
            <w:rFonts w:ascii="Times New Roman" w:hAnsi="Times New Roman" w:cs="Times New Roman" w:hint="eastAsia"/>
            <w:bCs/>
            <w:szCs w:val="24"/>
          </w:rPr>
          <w:t xml:space="preserve">erm </w:t>
        </w:r>
        <w:r>
          <w:rPr>
            <w:rFonts w:ascii="Times New Roman" w:hAnsi="Times New Roman" w:cs="Times New Roman" w:hint="eastAsia"/>
            <w:bCs/>
            <w:szCs w:val="24"/>
          </w:rPr>
          <w:t>p</w:t>
        </w:r>
        <w:r>
          <w:rPr>
            <w:rFonts w:ascii="Times New Roman" w:hAnsi="Times New Roman" w:cs="Times New Roman" w:hint="eastAsia"/>
            <w:bCs/>
            <w:szCs w:val="24"/>
          </w:rPr>
          <w:t xml:space="preserve">erformance and </w:t>
        </w:r>
        <w:r>
          <w:rPr>
            <w:rFonts w:ascii="Times New Roman" w:hAnsi="Times New Roman" w:cs="Times New Roman" w:hint="eastAsia"/>
            <w:bCs/>
            <w:szCs w:val="24"/>
          </w:rPr>
          <w:t>d</w:t>
        </w:r>
        <w:r>
          <w:rPr>
            <w:rFonts w:ascii="Times New Roman" w:hAnsi="Times New Roman" w:cs="Times New Roman" w:hint="eastAsia"/>
            <w:bCs/>
            <w:szCs w:val="24"/>
          </w:rPr>
          <w:t>urability</w:t>
        </w:r>
        <w:r>
          <w:rPr>
            <w:rFonts w:ascii="Times New Roman" w:hAnsi="Times New Roman" w:cs="Times New Roman"/>
          </w:rPr>
          <w:tab/>
        </w:r>
        <w:r>
          <w:rPr>
            <w:rFonts w:ascii="Times New Roman" w:hAnsi="Times New Roman" w:cs="Times New Roman" w:hint="eastAsia"/>
          </w:rPr>
          <w:t>9</w:t>
        </w:r>
      </w:hyperlink>
    </w:p>
    <w:p w:rsidR="00ED5264" w:rsidRDefault="00B65917">
      <w:pPr>
        <w:pStyle w:val="11"/>
        <w:tabs>
          <w:tab w:val="right" w:leader="dot" w:pos="8306"/>
        </w:tabs>
        <w:spacing w:line="240" w:lineRule="auto"/>
        <w:rPr>
          <w:rFonts w:ascii="Times New Roman" w:hAnsi="Times New Roman" w:cs="Times New Roman"/>
        </w:rPr>
      </w:pPr>
      <w:hyperlink w:anchor="_Toc2023" w:history="1">
        <w:r>
          <w:rPr>
            <w:rFonts w:ascii="Times New Roman" w:hAnsi="Times New Roman" w:cs="Times New Roman"/>
          </w:rPr>
          <w:t xml:space="preserve">6  </w:t>
        </w:r>
        <w:r>
          <w:rPr>
            <w:rFonts w:ascii="Times New Roman" w:hAnsi="Times New Roman" w:cs="Times New Roman" w:hint="eastAsia"/>
          </w:rPr>
          <w:t xml:space="preserve">Mix </w:t>
        </w:r>
        <w:r>
          <w:rPr>
            <w:rFonts w:ascii="Times New Roman" w:hAnsi="Times New Roman" w:cs="Times New Roman" w:hint="eastAsia"/>
          </w:rPr>
          <w:t>p</w:t>
        </w:r>
        <w:r>
          <w:rPr>
            <w:rFonts w:ascii="Times New Roman" w:hAnsi="Times New Roman" w:cs="Times New Roman" w:hint="eastAsia"/>
          </w:rPr>
          <w:t xml:space="preserve">roportion </w:t>
        </w:r>
        <w:r>
          <w:rPr>
            <w:rFonts w:ascii="Times New Roman" w:hAnsi="Times New Roman" w:cs="Times New Roman" w:hint="eastAsia"/>
          </w:rPr>
          <w:t>d</w:t>
        </w:r>
        <w:r>
          <w:rPr>
            <w:rFonts w:ascii="Times New Roman" w:hAnsi="Times New Roman" w:cs="Times New Roman" w:hint="eastAsia"/>
          </w:rPr>
          <w:t>esign</w:t>
        </w:r>
        <w:r>
          <w:rPr>
            <w:rFonts w:ascii="Times New Roman" w:hAnsi="Times New Roman" w:cs="Times New Roman"/>
          </w:rPr>
          <w:tab/>
        </w:r>
        <w:r>
          <w:rPr>
            <w:rFonts w:ascii="Times New Roman" w:hAnsi="Times New Roman" w:cs="Times New Roman" w:hint="eastAsia"/>
          </w:rPr>
          <w:t>1</w:t>
        </w:r>
      </w:hyperlink>
      <w:r>
        <w:rPr>
          <w:rFonts w:ascii="Times New Roman" w:hAnsi="Times New Roman" w:cs="Times New Roman" w:hint="eastAsia"/>
        </w:rPr>
        <w:t>0</w:t>
      </w:r>
    </w:p>
    <w:p w:rsidR="00ED5264" w:rsidRDefault="00B65917">
      <w:pPr>
        <w:pStyle w:val="21"/>
        <w:tabs>
          <w:tab w:val="right" w:leader="dot" w:pos="8306"/>
        </w:tabs>
        <w:spacing w:line="240" w:lineRule="auto"/>
        <w:rPr>
          <w:rFonts w:ascii="Times New Roman" w:hAnsi="Times New Roman" w:cs="Times New Roman"/>
        </w:rPr>
      </w:pPr>
      <w:hyperlink w:anchor="_Toc18722" w:history="1">
        <w:r>
          <w:rPr>
            <w:rFonts w:ascii="Times New Roman" w:hAnsi="Times New Roman" w:cs="Times New Roman"/>
            <w:bCs/>
            <w:szCs w:val="24"/>
          </w:rPr>
          <w:t xml:space="preserve">6.1  </w:t>
        </w:r>
        <w:r>
          <w:rPr>
            <w:rFonts w:ascii="Times New Roman" w:hAnsi="Times New Roman" w:cs="Times New Roman" w:hint="eastAsia"/>
            <w:bCs/>
            <w:szCs w:val="24"/>
          </w:rPr>
          <w:t xml:space="preserve">General </w:t>
        </w:r>
        <w:r>
          <w:rPr>
            <w:rFonts w:ascii="Times New Roman" w:hAnsi="Times New Roman" w:cs="Times New Roman" w:hint="eastAsia"/>
            <w:bCs/>
            <w:szCs w:val="24"/>
          </w:rPr>
          <w:t>r</w:t>
        </w:r>
        <w:r>
          <w:rPr>
            <w:rFonts w:ascii="Times New Roman" w:hAnsi="Times New Roman" w:cs="Times New Roman" w:hint="eastAsia"/>
            <w:bCs/>
            <w:szCs w:val="24"/>
          </w:rPr>
          <w:t>equirements</w:t>
        </w:r>
        <w:r>
          <w:rPr>
            <w:rFonts w:ascii="Times New Roman" w:hAnsi="Times New Roman" w:cs="Times New Roman"/>
          </w:rPr>
          <w:tab/>
        </w:r>
        <w:r>
          <w:rPr>
            <w:rFonts w:ascii="Times New Roman" w:hAnsi="Times New Roman" w:cs="Times New Roman" w:hint="eastAsia"/>
          </w:rPr>
          <w:t>1</w:t>
        </w:r>
      </w:hyperlink>
      <w:r>
        <w:rPr>
          <w:rFonts w:ascii="Times New Roman" w:hAnsi="Times New Roman" w:cs="Times New Roman" w:hint="eastAsia"/>
        </w:rPr>
        <w:t>0</w:t>
      </w:r>
    </w:p>
    <w:p w:rsidR="00ED5264" w:rsidRDefault="00B65917">
      <w:pPr>
        <w:pStyle w:val="21"/>
        <w:tabs>
          <w:tab w:val="right" w:leader="dot" w:pos="8306"/>
        </w:tabs>
        <w:spacing w:line="240" w:lineRule="auto"/>
        <w:rPr>
          <w:rFonts w:ascii="Times New Roman" w:hAnsi="Times New Roman" w:cs="Times New Roman"/>
        </w:rPr>
      </w:pPr>
      <w:hyperlink w:anchor="_Toc22263" w:history="1">
        <w:r>
          <w:rPr>
            <w:rFonts w:ascii="Times New Roman" w:hAnsi="Times New Roman" w:cs="Times New Roman"/>
            <w:bCs/>
            <w:szCs w:val="24"/>
          </w:rPr>
          <w:t xml:space="preserve">6.2  </w:t>
        </w:r>
        <w:r>
          <w:rPr>
            <w:rFonts w:ascii="Times New Roman" w:hAnsi="Times New Roman" w:cs="Times New Roman" w:hint="eastAsia"/>
            <w:bCs/>
            <w:szCs w:val="24"/>
          </w:rPr>
          <w:t>Mix proportion calculation</w:t>
        </w:r>
        <w:r>
          <w:rPr>
            <w:rFonts w:ascii="Times New Roman" w:hAnsi="Times New Roman" w:cs="Times New Roman"/>
          </w:rPr>
          <w:tab/>
        </w:r>
        <w:r>
          <w:rPr>
            <w:rFonts w:ascii="Times New Roman" w:hAnsi="Times New Roman" w:cs="Times New Roman" w:hint="eastAsia"/>
          </w:rPr>
          <w:t>1</w:t>
        </w:r>
      </w:hyperlink>
      <w:r>
        <w:rPr>
          <w:rFonts w:ascii="Times New Roman" w:hAnsi="Times New Roman" w:cs="Times New Roman" w:hint="eastAsia"/>
        </w:rPr>
        <w:t>0</w:t>
      </w:r>
    </w:p>
    <w:p w:rsidR="00ED5264" w:rsidRDefault="00B65917">
      <w:pPr>
        <w:pStyle w:val="21"/>
        <w:tabs>
          <w:tab w:val="right" w:leader="dot" w:pos="8306"/>
        </w:tabs>
        <w:spacing w:line="240" w:lineRule="auto"/>
        <w:rPr>
          <w:rFonts w:ascii="Times New Roman" w:hAnsi="Times New Roman" w:cs="Times New Roman"/>
        </w:rPr>
      </w:pPr>
      <w:hyperlink w:anchor="_Toc19355" w:history="1">
        <w:r>
          <w:rPr>
            <w:rFonts w:ascii="Times New Roman" w:hAnsi="Times New Roman" w:cs="Times New Roman"/>
            <w:bCs/>
            <w:szCs w:val="24"/>
          </w:rPr>
          <w:t xml:space="preserve">6.3  </w:t>
        </w:r>
        <w:r>
          <w:rPr>
            <w:rFonts w:ascii="Times New Roman" w:hAnsi="Times New Roman" w:cs="Times New Roman" w:hint="eastAsia"/>
            <w:bCs/>
            <w:szCs w:val="24"/>
          </w:rPr>
          <w:t xml:space="preserve">Selection of </w:t>
        </w:r>
        <w:r>
          <w:rPr>
            <w:rFonts w:ascii="Times New Roman" w:hAnsi="Times New Roman" w:cs="Times New Roman" w:hint="eastAsia"/>
            <w:bCs/>
            <w:szCs w:val="24"/>
          </w:rPr>
          <w:t>d</w:t>
        </w:r>
        <w:r>
          <w:rPr>
            <w:rFonts w:ascii="Times New Roman" w:hAnsi="Times New Roman" w:cs="Times New Roman" w:hint="eastAsia"/>
            <w:bCs/>
            <w:szCs w:val="24"/>
          </w:rPr>
          <w:t xml:space="preserve">esign </w:t>
        </w:r>
        <w:r>
          <w:rPr>
            <w:rFonts w:ascii="Times New Roman" w:hAnsi="Times New Roman" w:cs="Times New Roman" w:hint="eastAsia"/>
            <w:bCs/>
            <w:szCs w:val="24"/>
          </w:rPr>
          <w:t>p</w:t>
        </w:r>
        <w:r>
          <w:rPr>
            <w:rFonts w:ascii="Times New Roman" w:hAnsi="Times New Roman" w:cs="Times New Roman" w:hint="eastAsia"/>
            <w:bCs/>
            <w:szCs w:val="24"/>
          </w:rPr>
          <w:t>arameters</w:t>
        </w:r>
        <w:r>
          <w:rPr>
            <w:rFonts w:ascii="Times New Roman" w:hAnsi="Times New Roman" w:cs="Times New Roman"/>
          </w:rPr>
          <w:tab/>
        </w:r>
        <w:r>
          <w:rPr>
            <w:rFonts w:ascii="Times New Roman" w:hAnsi="Times New Roman" w:cs="Times New Roman" w:hint="eastAsia"/>
          </w:rPr>
          <w:t>1</w:t>
        </w:r>
      </w:hyperlink>
      <w:r>
        <w:rPr>
          <w:rFonts w:ascii="Times New Roman" w:hAnsi="Times New Roman" w:cs="Times New Roman" w:hint="eastAsia"/>
        </w:rPr>
        <w:t>1</w:t>
      </w:r>
    </w:p>
    <w:p w:rsidR="00ED5264" w:rsidRDefault="00B65917">
      <w:pPr>
        <w:pStyle w:val="11"/>
        <w:tabs>
          <w:tab w:val="right" w:leader="dot" w:pos="8306"/>
        </w:tabs>
        <w:spacing w:line="240" w:lineRule="auto"/>
        <w:rPr>
          <w:rFonts w:ascii="Times New Roman" w:hAnsi="Times New Roman" w:cs="Times New Roman"/>
        </w:rPr>
      </w:pPr>
      <w:hyperlink w:anchor="_Toc6970" w:history="1">
        <w:r>
          <w:rPr>
            <w:rFonts w:ascii="Times New Roman" w:hAnsi="Times New Roman" w:cs="Times New Roman"/>
          </w:rPr>
          <w:t xml:space="preserve">7  </w:t>
        </w:r>
        <w:r>
          <w:rPr>
            <w:rFonts w:ascii="Times New Roman" w:hAnsi="Times New Roman" w:cs="Times New Roman" w:hint="eastAsia"/>
          </w:rPr>
          <w:t xml:space="preserve">Production and </w:t>
        </w:r>
        <w:r>
          <w:rPr>
            <w:rFonts w:ascii="Times New Roman" w:hAnsi="Times New Roman" w:cs="Times New Roman" w:hint="eastAsia"/>
          </w:rPr>
          <w:t>c</w:t>
        </w:r>
        <w:r>
          <w:rPr>
            <w:rFonts w:ascii="Times New Roman" w:hAnsi="Times New Roman" w:cs="Times New Roman" w:hint="eastAsia"/>
          </w:rPr>
          <w:t>onstruction</w:t>
        </w:r>
        <w:r>
          <w:rPr>
            <w:rFonts w:ascii="Times New Roman" w:hAnsi="Times New Roman" w:cs="Times New Roman"/>
          </w:rPr>
          <w:tab/>
        </w:r>
        <w:r>
          <w:rPr>
            <w:rFonts w:ascii="Times New Roman" w:hAnsi="Times New Roman" w:cs="Times New Roman" w:hint="eastAsia"/>
          </w:rPr>
          <w:t>1</w:t>
        </w:r>
      </w:hyperlink>
      <w:r>
        <w:rPr>
          <w:rFonts w:ascii="Times New Roman" w:hAnsi="Times New Roman" w:cs="Times New Roman" w:hint="eastAsia"/>
        </w:rPr>
        <w:t>1</w:t>
      </w:r>
    </w:p>
    <w:p w:rsidR="00ED5264" w:rsidRDefault="00B65917">
      <w:pPr>
        <w:pStyle w:val="21"/>
        <w:tabs>
          <w:tab w:val="right" w:leader="dot" w:pos="8306"/>
        </w:tabs>
        <w:spacing w:line="240" w:lineRule="auto"/>
        <w:rPr>
          <w:rFonts w:ascii="Times New Roman" w:hAnsi="Times New Roman" w:cs="Times New Roman"/>
        </w:rPr>
      </w:pPr>
      <w:hyperlink w:anchor="_Toc19433" w:history="1">
        <w:r>
          <w:rPr>
            <w:rFonts w:ascii="Times New Roman" w:hAnsi="Times New Roman" w:cs="Times New Roman"/>
            <w:bCs/>
            <w:szCs w:val="24"/>
          </w:rPr>
          <w:t xml:space="preserve">7.1  </w:t>
        </w:r>
        <w:r>
          <w:rPr>
            <w:rFonts w:ascii="Times New Roman" w:hAnsi="Times New Roman" w:cs="Times New Roman" w:hint="eastAsia"/>
            <w:bCs/>
            <w:szCs w:val="24"/>
          </w:rPr>
          <w:t xml:space="preserve">General </w:t>
        </w:r>
        <w:r>
          <w:rPr>
            <w:rFonts w:ascii="Times New Roman" w:hAnsi="Times New Roman" w:cs="Times New Roman" w:hint="eastAsia"/>
            <w:bCs/>
            <w:szCs w:val="24"/>
          </w:rPr>
          <w:t>r</w:t>
        </w:r>
        <w:r>
          <w:rPr>
            <w:rFonts w:ascii="Times New Roman" w:hAnsi="Times New Roman" w:cs="Times New Roman" w:hint="eastAsia"/>
            <w:bCs/>
            <w:szCs w:val="24"/>
          </w:rPr>
          <w:t>ules</w:t>
        </w:r>
        <w:r>
          <w:rPr>
            <w:rFonts w:ascii="Times New Roman" w:hAnsi="Times New Roman" w:cs="Times New Roman"/>
          </w:rPr>
          <w:tab/>
        </w:r>
        <w:r>
          <w:rPr>
            <w:rFonts w:ascii="Times New Roman" w:hAnsi="Times New Roman" w:cs="Times New Roman" w:hint="eastAsia"/>
          </w:rPr>
          <w:t>1</w:t>
        </w:r>
      </w:hyperlink>
      <w:r>
        <w:rPr>
          <w:rFonts w:ascii="Times New Roman" w:hAnsi="Times New Roman" w:cs="Times New Roman" w:hint="eastAsia"/>
        </w:rPr>
        <w:t>1</w:t>
      </w:r>
    </w:p>
    <w:p w:rsidR="00ED5264" w:rsidRDefault="00B65917">
      <w:pPr>
        <w:pStyle w:val="21"/>
        <w:tabs>
          <w:tab w:val="right" w:leader="dot" w:pos="8306"/>
        </w:tabs>
        <w:spacing w:line="240" w:lineRule="auto"/>
        <w:rPr>
          <w:rFonts w:ascii="Times New Roman" w:hAnsi="Times New Roman" w:cs="Times New Roman"/>
        </w:rPr>
      </w:pPr>
      <w:hyperlink w:anchor="_Toc8875" w:history="1">
        <w:r>
          <w:rPr>
            <w:rFonts w:ascii="Times New Roman" w:hAnsi="Times New Roman" w:cs="Times New Roman"/>
            <w:bCs/>
            <w:szCs w:val="24"/>
          </w:rPr>
          <w:t xml:space="preserve">7.2  </w:t>
        </w:r>
        <w:r>
          <w:rPr>
            <w:rFonts w:ascii="Times New Roman" w:hAnsi="Times New Roman" w:cs="Times New Roman" w:hint="eastAsia"/>
            <w:bCs/>
            <w:szCs w:val="24"/>
          </w:rPr>
          <w:t xml:space="preserve">Incoming </w:t>
        </w:r>
        <w:r>
          <w:rPr>
            <w:rFonts w:ascii="Times New Roman" w:hAnsi="Times New Roman" w:cs="Times New Roman" w:hint="eastAsia"/>
            <w:bCs/>
            <w:szCs w:val="24"/>
          </w:rPr>
          <w:t>r</w:t>
        </w:r>
        <w:r>
          <w:rPr>
            <w:rFonts w:ascii="Times New Roman" w:hAnsi="Times New Roman" w:cs="Times New Roman" w:hint="eastAsia"/>
            <w:bCs/>
            <w:szCs w:val="24"/>
          </w:rPr>
          <w:t xml:space="preserve">aw </w:t>
        </w:r>
        <w:r>
          <w:rPr>
            <w:rFonts w:ascii="Times New Roman" w:hAnsi="Times New Roman" w:cs="Times New Roman" w:hint="eastAsia"/>
            <w:bCs/>
            <w:szCs w:val="24"/>
          </w:rPr>
          <w:t>m</w:t>
        </w:r>
        <w:r>
          <w:rPr>
            <w:rFonts w:ascii="Times New Roman" w:hAnsi="Times New Roman" w:cs="Times New Roman" w:hint="eastAsia"/>
            <w:bCs/>
            <w:szCs w:val="24"/>
          </w:rPr>
          <w:t>aterials</w:t>
        </w:r>
        <w:r>
          <w:rPr>
            <w:rFonts w:ascii="Times New Roman" w:hAnsi="Times New Roman" w:cs="Times New Roman"/>
          </w:rPr>
          <w:tab/>
        </w:r>
        <w:r>
          <w:rPr>
            <w:rFonts w:ascii="Times New Roman" w:hAnsi="Times New Roman" w:cs="Times New Roman" w:hint="eastAsia"/>
          </w:rPr>
          <w:t>12</w:t>
        </w:r>
      </w:hyperlink>
    </w:p>
    <w:p w:rsidR="00ED5264" w:rsidRDefault="00B65917">
      <w:pPr>
        <w:pStyle w:val="21"/>
        <w:tabs>
          <w:tab w:val="right" w:leader="dot" w:pos="8306"/>
        </w:tabs>
        <w:spacing w:line="240" w:lineRule="auto"/>
        <w:rPr>
          <w:rFonts w:ascii="Times New Roman" w:hAnsi="Times New Roman" w:cs="Times New Roman"/>
        </w:rPr>
      </w:pPr>
      <w:hyperlink w:anchor="_Toc19879" w:history="1">
        <w:r>
          <w:rPr>
            <w:rFonts w:ascii="Times New Roman" w:hAnsi="Times New Roman" w:cs="Times New Roman"/>
            <w:bCs/>
            <w:szCs w:val="24"/>
          </w:rPr>
          <w:t xml:space="preserve">7.3 </w:t>
        </w:r>
        <w:r>
          <w:rPr>
            <w:rFonts w:ascii="Times New Roman" w:hAnsi="Times New Roman" w:cs="Times New Roman" w:hint="eastAsia"/>
            <w:bCs/>
            <w:szCs w:val="24"/>
          </w:rPr>
          <w:t>Batching</w:t>
        </w:r>
        <w:r>
          <w:rPr>
            <w:rFonts w:ascii="Times New Roman" w:hAnsi="Times New Roman" w:cs="Times New Roman"/>
          </w:rPr>
          <w:tab/>
        </w:r>
        <w:r>
          <w:rPr>
            <w:rFonts w:ascii="Times New Roman" w:hAnsi="Times New Roman" w:cs="Times New Roman" w:hint="eastAsia"/>
          </w:rPr>
          <w:t>1</w:t>
        </w:r>
      </w:hyperlink>
      <w:r>
        <w:rPr>
          <w:rFonts w:ascii="Times New Roman" w:hAnsi="Times New Roman" w:cs="Times New Roman" w:hint="eastAsia"/>
        </w:rPr>
        <w:t>2</w:t>
      </w:r>
    </w:p>
    <w:p w:rsidR="00ED5264" w:rsidRDefault="00B65917">
      <w:pPr>
        <w:pStyle w:val="21"/>
        <w:tabs>
          <w:tab w:val="right" w:leader="dot" w:pos="8306"/>
        </w:tabs>
        <w:spacing w:line="240" w:lineRule="auto"/>
        <w:rPr>
          <w:rFonts w:ascii="Times New Roman" w:hAnsi="Times New Roman" w:cs="Times New Roman"/>
        </w:rPr>
      </w:pPr>
      <w:hyperlink w:anchor="_Toc16855" w:history="1">
        <w:r>
          <w:rPr>
            <w:rFonts w:ascii="Times New Roman" w:hAnsi="Times New Roman" w:cs="Times New Roman"/>
            <w:bCs/>
            <w:szCs w:val="24"/>
          </w:rPr>
          <w:t xml:space="preserve">7.4 </w:t>
        </w:r>
        <w:r>
          <w:rPr>
            <w:rFonts w:ascii="Times New Roman" w:hAnsi="Times New Roman" w:cs="Times New Roman" w:hint="eastAsia"/>
            <w:bCs/>
            <w:szCs w:val="24"/>
          </w:rPr>
          <w:t>Mixing</w:t>
        </w:r>
        <w:r>
          <w:rPr>
            <w:rFonts w:ascii="Times New Roman" w:hAnsi="Times New Roman" w:cs="Times New Roman"/>
          </w:rPr>
          <w:tab/>
        </w:r>
        <w:r>
          <w:rPr>
            <w:rFonts w:ascii="Times New Roman" w:hAnsi="Times New Roman" w:cs="Times New Roman" w:hint="eastAsia"/>
          </w:rPr>
          <w:t>1</w:t>
        </w:r>
      </w:hyperlink>
      <w:r>
        <w:rPr>
          <w:rFonts w:ascii="Times New Roman" w:hAnsi="Times New Roman" w:cs="Times New Roman" w:hint="eastAsia"/>
        </w:rPr>
        <w:t>3</w:t>
      </w:r>
    </w:p>
    <w:p w:rsidR="00ED5264" w:rsidRDefault="00B65917">
      <w:pPr>
        <w:pStyle w:val="21"/>
        <w:tabs>
          <w:tab w:val="right" w:leader="dot" w:pos="8306"/>
        </w:tabs>
        <w:spacing w:line="240" w:lineRule="auto"/>
        <w:rPr>
          <w:rFonts w:ascii="Times New Roman" w:hAnsi="Times New Roman" w:cs="Times New Roman"/>
        </w:rPr>
      </w:pPr>
      <w:hyperlink w:anchor="_Toc15627" w:history="1">
        <w:r>
          <w:rPr>
            <w:rFonts w:ascii="Times New Roman" w:hAnsi="Times New Roman" w:cs="Times New Roman"/>
            <w:bCs/>
            <w:szCs w:val="24"/>
          </w:rPr>
          <w:t xml:space="preserve">7.5 </w:t>
        </w:r>
        <w:r>
          <w:rPr>
            <w:rFonts w:ascii="Times New Roman" w:hAnsi="Times New Roman" w:cs="Times New Roman" w:hint="eastAsia"/>
            <w:bCs/>
            <w:szCs w:val="24"/>
          </w:rPr>
          <w:t>Transportation</w:t>
        </w:r>
        <w:r>
          <w:rPr>
            <w:rFonts w:ascii="Times New Roman" w:hAnsi="Times New Roman" w:cs="Times New Roman"/>
          </w:rPr>
          <w:tab/>
        </w:r>
        <w:r>
          <w:rPr>
            <w:rFonts w:ascii="Times New Roman" w:hAnsi="Times New Roman" w:cs="Times New Roman" w:hint="eastAsia"/>
          </w:rPr>
          <w:t>1</w:t>
        </w:r>
      </w:hyperlink>
      <w:r>
        <w:rPr>
          <w:rFonts w:ascii="Times New Roman" w:hAnsi="Times New Roman" w:cs="Times New Roman" w:hint="eastAsia"/>
        </w:rPr>
        <w:t>3</w:t>
      </w:r>
    </w:p>
    <w:p w:rsidR="00ED5264" w:rsidRDefault="00B65917">
      <w:pPr>
        <w:pStyle w:val="21"/>
        <w:tabs>
          <w:tab w:val="right" w:leader="dot" w:pos="8306"/>
        </w:tabs>
        <w:spacing w:line="240" w:lineRule="auto"/>
        <w:rPr>
          <w:rFonts w:ascii="Times New Roman" w:hAnsi="Times New Roman" w:cs="Times New Roman"/>
        </w:rPr>
      </w:pPr>
      <w:hyperlink w:anchor="_Toc24212" w:history="1">
        <w:r>
          <w:rPr>
            <w:rFonts w:ascii="Times New Roman" w:hAnsi="Times New Roman" w:cs="Times New Roman"/>
            <w:bCs/>
            <w:szCs w:val="24"/>
          </w:rPr>
          <w:t xml:space="preserve">7.6 </w:t>
        </w:r>
        <w:r>
          <w:rPr>
            <w:rFonts w:ascii="Times New Roman" w:hAnsi="Times New Roman" w:cs="Times New Roman" w:hint="eastAsia"/>
            <w:bCs/>
            <w:szCs w:val="24"/>
          </w:rPr>
          <w:t xml:space="preserve">Placing and </w:t>
        </w:r>
        <w:r>
          <w:rPr>
            <w:rFonts w:ascii="Times New Roman" w:hAnsi="Times New Roman" w:cs="Times New Roman" w:hint="eastAsia"/>
            <w:bCs/>
            <w:szCs w:val="24"/>
          </w:rPr>
          <w:t>f</w:t>
        </w:r>
        <w:r>
          <w:rPr>
            <w:rFonts w:ascii="Times New Roman" w:hAnsi="Times New Roman" w:cs="Times New Roman" w:hint="eastAsia"/>
            <w:bCs/>
            <w:szCs w:val="24"/>
          </w:rPr>
          <w:t>orming</w:t>
        </w:r>
        <w:r>
          <w:rPr>
            <w:rFonts w:ascii="Times New Roman" w:hAnsi="Times New Roman" w:cs="Times New Roman"/>
          </w:rPr>
          <w:tab/>
        </w:r>
        <w:r>
          <w:rPr>
            <w:rFonts w:ascii="Times New Roman" w:hAnsi="Times New Roman" w:cs="Times New Roman" w:hint="eastAsia"/>
          </w:rPr>
          <w:t>1</w:t>
        </w:r>
      </w:hyperlink>
      <w:r>
        <w:rPr>
          <w:rFonts w:ascii="Times New Roman" w:hAnsi="Times New Roman" w:cs="Times New Roman" w:hint="eastAsia"/>
        </w:rPr>
        <w:t>4</w:t>
      </w:r>
    </w:p>
    <w:p w:rsidR="00ED5264" w:rsidRDefault="00B65917">
      <w:pPr>
        <w:pStyle w:val="21"/>
        <w:tabs>
          <w:tab w:val="right" w:leader="dot" w:pos="8306"/>
        </w:tabs>
        <w:spacing w:line="240" w:lineRule="auto"/>
        <w:rPr>
          <w:rFonts w:ascii="Times New Roman" w:hAnsi="Times New Roman" w:cs="Times New Roman"/>
        </w:rPr>
      </w:pPr>
      <w:hyperlink w:anchor="_Toc12604" w:history="1">
        <w:r>
          <w:rPr>
            <w:rFonts w:ascii="Times New Roman" w:hAnsi="Times New Roman" w:cs="Times New Roman"/>
            <w:bCs/>
            <w:szCs w:val="24"/>
          </w:rPr>
          <w:t xml:space="preserve">7.7 </w:t>
        </w:r>
        <w:r>
          <w:rPr>
            <w:rFonts w:ascii="Times New Roman" w:hAnsi="Times New Roman" w:cs="Times New Roman" w:hint="eastAsia"/>
            <w:bCs/>
            <w:szCs w:val="24"/>
          </w:rPr>
          <w:t>Curing</w:t>
        </w:r>
        <w:r>
          <w:rPr>
            <w:rFonts w:ascii="Times New Roman" w:hAnsi="Times New Roman" w:cs="Times New Roman"/>
          </w:rPr>
          <w:tab/>
        </w:r>
        <w:r>
          <w:rPr>
            <w:rFonts w:ascii="Times New Roman" w:hAnsi="Times New Roman" w:cs="Times New Roman" w:hint="eastAsia"/>
          </w:rPr>
          <w:t>1</w:t>
        </w:r>
      </w:hyperlink>
      <w:r>
        <w:rPr>
          <w:rFonts w:ascii="Times New Roman" w:hAnsi="Times New Roman" w:cs="Times New Roman" w:hint="eastAsia"/>
        </w:rPr>
        <w:t>4</w:t>
      </w:r>
    </w:p>
    <w:p w:rsidR="00ED5264" w:rsidRDefault="00B65917">
      <w:pPr>
        <w:pStyle w:val="11"/>
        <w:tabs>
          <w:tab w:val="right" w:leader="dot" w:pos="8306"/>
        </w:tabs>
        <w:spacing w:line="240" w:lineRule="auto"/>
        <w:rPr>
          <w:rFonts w:ascii="Times New Roman" w:hAnsi="Times New Roman" w:cs="Times New Roman"/>
        </w:rPr>
      </w:pPr>
      <w:hyperlink w:anchor="_Toc365" w:history="1">
        <w:r>
          <w:rPr>
            <w:rFonts w:ascii="Times New Roman" w:hAnsi="Times New Roman" w:cs="Times New Roman"/>
          </w:rPr>
          <w:t xml:space="preserve">8  </w:t>
        </w:r>
        <w:r>
          <w:rPr>
            <w:rFonts w:ascii="Times New Roman" w:hAnsi="Times New Roman" w:cs="Times New Roman" w:hint="eastAsia"/>
          </w:rPr>
          <w:t xml:space="preserve">Quality </w:t>
        </w:r>
        <w:r>
          <w:rPr>
            <w:rFonts w:ascii="Times New Roman" w:hAnsi="Times New Roman" w:cs="Times New Roman" w:hint="eastAsia"/>
          </w:rPr>
          <w:t>i</w:t>
        </w:r>
        <w:r>
          <w:rPr>
            <w:rFonts w:ascii="Times New Roman" w:hAnsi="Times New Roman" w:cs="Times New Roman" w:hint="eastAsia"/>
          </w:rPr>
          <w:t xml:space="preserve">nspection and </w:t>
        </w:r>
        <w:r>
          <w:rPr>
            <w:rFonts w:ascii="Times New Roman" w:hAnsi="Times New Roman" w:cs="Times New Roman" w:hint="eastAsia"/>
          </w:rPr>
          <w:t>a</w:t>
        </w:r>
        <w:r>
          <w:rPr>
            <w:rFonts w:ascii="Times New Roman" w:hAnsi="Times New Roman" w:cs="Times New Roman" w:hint="eastAsia"/>
          </w:rPr>
          <w:t>cceptance</w:t>
        </w:r>
        <w:r>
          <w:rPr>
            <w:rFonts w:ascii="Times New Roman" w:hAnsi="Times New Roman" w:cs="Times New Roman"/>
          </w:rPr>
          <w:tab/>
        </w:r>
        <w:r>
          <w:rPr>
            <w:rFonts w:ascii="Times New Roman" w:hAnsi="Times New Roman" w:cs="Times New Roman"/>
          </w:rPr>
          <w:fldChar w:fldCharType="begin"/>
        </w:r>
        <w:r>
          <w:rPr>
            <w:rFonts w:ascii="Times New Roman" w:hAnsi="Times New Roman" w:cs="Times New Roman"/>
          </w:rPr>
          <w:instrText xml:space="preserve"> PAGEREF _Toc365 \h </w:instrText>
        </w:r>
        <w:r>
          <w:rPr>
            <w:rFonts w:ascii="Times New Roman" w:hAnsi="Times New Roman" w:cs="Times New Roman"/>
          </w:rPr>
        </w:r>
        <w:r>
          <w:rPr>
            <w:rFonts w:ascii="Times New Roman" w:hAnsi="Times New Roman" w:cs="Times New Roman"/>
          </w:rPr>
          <w:fldChar w:fldCharType="separate"/>
        </w:r>
        <w:r>
          <w:rPr>
            <w:rFonts w:ascii="Times New Roman" w:hAnsi="Times New Roman" w:cs="Times New Roman"/>
          </w:rPr>
          <w:t>15</w:t>
        </w:r>
        <w:r>
          <w:rPr>
            <w:rFonts w:ascii="Times New Roman" w:hAnsi="Times New Roman" w:cs="Times New Roman"/>
          </w:rPr>
          <w:fldChar w:fldCharType="end"/>
        </w:r>
      </w:hyperlink>
    </w:p>
    <w:p w:rsidR="00ED5264" w:rsidRDefault="00B65917">
      <w:pPr>
        <w:pStyle w:val="21"/>
        <w:tabs>
          <w:tab w:val="right" w:leader="dot" w:pos="8306"/>
        </w:tabs>
        <w:spacing w:line="240" w:lineRule="auto"/>
        <w:rPr>
          <w:rFonts w:ascii="Times New Roman" w:hAnsi="Times New Roman" w:cs="Times New Roman"/>
        </w:rPr>
      </w:pPr>
      <w:hyperlink w:anchor="_Toc11921" w:history="1">
        <w:r>
          <w:rPr>
            <w:rFonts w:ascii="Times New Roman" w:hAnsi="Times New Roman" w:cs="Times New Roman"/>
            <w:bCs/>
            <w:szCs w:val="24"/>
          </w:rPr>
          <w:t xml:space="preserve">8.1  </w:t>
        </w:r>
        <w:r>
          <w:rPr>
            <w:rFonts w:ascii="Times New Roman" w:hAnsi="Times New Roman" w:cs="Times New Roman" w:hint="eastAsia"/>
            <w:bCs/>
            <w:szCs w:val="24"/>
          </w:rPr>
          <w:t xml:space="preserve">Raw </w:t>
        </w:r>
        <w:r>
          <w:rPr>
            <w:rFonts w:ascii="Times New Roman" w:hAnsi="Times New Roman" w:cs="Times New Roman" w:hint="eastAsia"/>
            <w:bCs/>
            <w:szCs w:val="24"/>
          </w:rPr>
          <w:t>m</w:t>
        </w:r>
        <w:r>
          <w:rPr>
            <w:rFonts w:ascii="Times New Roman" w:hAnsi="Times New Roman" w:cs="Times New Roman" w:hint="eastAsia"/>
            <w:bCs/>
            <w:szCs w:val="24"/>
          </w:rPr>
          <w:t xml:space="preserve">aterial </w:t>
        </w:r>
        <w:r>
          <w:rPr>
            <w:rFonts w:ascii="Times New Roman" w:hAnsi="Times New Roman" w:cs="Times New Roman" w:hint="eastAsia"/>
            <w:bCs/>
            <w:szCs w:val="24"/>
          </w:rPr>
          <w:t>q</w:t>
        </w:r>
        <w:r>
          <w:rPr>
            <w:rFonts w:ascii="Times New Roman" w:hAnsi="Times New Roman" w:cs="Times New Roman" w:hint="eastAsia"/>
            <w:bCs/>
            <w:szCs w:val="24"/>
          </w:rPr>
          <w:t xml:space="preserve">uality </w:t>
        </w:r>
        <w:r>
          <w:rPr>
            <w:rFonts w:ascii="Times New Roman" w:hAnsi="Times New Roman" w:cs="Times New Roman" w:hint="eastAsia"/>
            <w:bCs/>
            <w:szCs w:val="24"/>
          </w:rPr>
          <w:t>i</w:t>
        </w:r>
        <w:r>
          <w:rPr>
            <w:rFonts w:ascii="Times New Roman" w:hAnsi="Times New Roman" w:cs="Times New Roman" w:hint="eastAsia"/>
            <w:bCs/>
            <w:szCs w:val="24"/>
          </w:rPr>
          <w:t>nspection</w:t>
        </w:r>
        <w:r>
          <w:rPr>
            <w:rFonts w:ascii="Times New Roman" w:hAnsi="Times New Roman" w:cs="Times New Roman"/>
          </w:rPr>
          <w:tab/>
        </w:r>
        <w:r>
          <w:rPr>
            <w:rFonts w:ascii="Times New Roman" w:hAnsi="Times New Roman" w:cs="Times New Roman"/>
          </w:rPr>
          <w:fldChar w:fldCharType="begin"/>
        </w:r>
        <w:r>
          <w:rPr>
            <w:rFonts w:ascii="Times New Roman" w:hAnsi="Times New Roman" w:cs="Times New Roman"/>
          </w:rPr>
          <w:instrText xml:space="preserve"> PAGEREF _Toc11921 \h </w:instrText>
        </w:r>
        <w:r>
          <w:rPr>
            <w:rFonts w:ascii="Times New Roman" w:hAnsi="Times New Roman" w:cs="Times New Roman"/>
          </w:rPr>
        </w:r>
        <w:r>
          <w:rPr>
            <w:rFonts w:ascii="Times New Roman" w:hAnsi="Times New Roman" w:cs="Times New Roman"/>
          </w:rPr>
          <w:fldChar w:fldCharType="separate"/>
        </w:r>
        <w:r>
          <w:rPr>
            <w:rFonts w:ascii="Times New Roman" w:hAnsi="Times New Roman" w:cs="Times New Roman"/>
          </w:rPr>
          <w:t>15</w:t>
        </w:r>
        <w:r>
          <w:rPr>
            <w:rFonts w:ascii="Times New Roman" w:hAnsi="Times New Roman" w:cs="Times New Roman"/>
          </w:rPr>
          <w:fldChar w:fldCharType="end"/>
        </w:r>
      </w:hyperlink>
    </w:p>
    <w:p w:rsidR="00ED5264" w:rsidRDefault="00B65917">
      <w:pPr>
        <w:pStyle w:val="21"/>
        <w:tabs>
          <w:tab w:val="right" w:leader="dot" w:pos="8306"/>
        </w:tabs>
        <w:spacing w:line="240" w:lineRule="auto"/>
        <w:rPr>
          <w:rFonts w:ascii="Times New Roman" w:hAnsi="Times New Roman" w:cs="Times New Roman"/>
        </w:rPr>
      </w:pPr>
      <w:hyperlink w:anchor="_Toc11115" w:history="1">
        <w:r>
          <w:rPr>
            <w:rFonts w:ascii="Times New Roman" w:hAnsi="Times New Roman" w:cs="Times New Roman"/>
            <w:bCs/>
            <w:szCs w:val="24"/>
          </w:rPr>
          <w:t xml:space="preserve">8.2  </w:t>
        </w:r>
        <w:r>
          <w:rPr>
            <w:rFonts w:ascii="Times New Roman" w:hAnsi="Times New Roman" w:cs="Times New Roman" w:hint="eastAsia"/>
            <w:szCs w:val="24"/>
          </w:rPr>
          <w:t>Concrete</w:t>
        </w:r>
        <w:r>
          <w:rPr>
            <w:rFonts w:ascii="Times New Roman" w:hAnsi="Times New Roman" w:cs="Times New Roman" w:hint="eastAsia"/>
            <w:szCs w:val="24"/>
          </w:rPr>
          <w:t xml:space="preserve"> p</w:t>
        </w:r>
        <w:r>
          <w:rPr>
            <w:rFonts w:ascii="Times New Roman" w:hAnsi="Times New Roman" w:cs="Times New Roman" w:hint="eastAsia"/>
            <w:szCs w:val="24"/>
          </w:rPr>
          <w:t>erformance</w:t>
        </w:r>
        <w:r>
          <w:rPr>
            <w:rFonts w:ascii="Times New Roman" w:hAnsi="Times New Roman" w:cs="Times New Roman" w:hint="eastAsia"/>
            <w:szCs w:val="24"/>
          </w:rPr>
          <w:t>i</w:t>
        </w:r>
        <w:r>
          <w:rPr>
            <w:rFonts w:ascii="Times New Roman" w:hAnsi="Times New Roman" w:cs="Times New Roman" w:hint="eastAsia"/>
            <w:szCs w:val="24"/>
          </w:rPr>
          <w:t>nspection</w:t>
        </w:r>
        <w:r>
          <w:rPr>
            <w:rFonts w:ascii="Times New Roman" w:hAnsi="Times New Roman" w:cs="Times New Roman"/>
          </w:rPr>
          <w:tab/>
        </w:r>
        <w:r>
          <w:rPr>
            <w:rFonts w:ascii="Times New Roman" w:hAnsi="Times New Roman" w:cs="Times New Roman"/>
          </w:rPr>
          <w:fldChar w:fldCharType="begin"/>
        </w:r>
        <w:r>
          <w:rPr>
            <w:rFonts w:ascii="Times New Roman" w:hAnsi="Times New Roman" w:cs="Times New Roman"/>
          </w:rPr>
          <w:instrText xml:space="preserve"> PAGEREF _Toc11115 \h </w:instrText>
        </w:r>
        <w:r>
          <w:rPr>
            <w:rFonts w:ascii="Times New Roman" w:hAnsi="Times New Roman" w:cs="Times New Roman"/>
          </w:rPr>
        </w:r>
        <w:r>
          <w:rPr>
            <w:rFonts w:ascii="Times New Roman" w:hAnsi="Times New Roman" w:cs="Times New Roman"/>
          </w:rPr>
          <w:fldChar w:fldCharType="separate"/>
        </w:r>
        <w:r>
          <w:rPr>
            <w:rFonts w:ascii="Times New Roman" w:hAnsi="Times New Roman" w:cs="Times New Roman"/>
          </w:rPr>
          <w:t>15</w:t>
        </w:r>
        <w:r>
          <w:rPr>
            <w:rFonts w:ascii="Times New Roman" w:hAnsi="Times New Roman" w:cs="Times New Roman"/>
          </w:rPr>
          <w:fldChar w:fldCharType="end"/>
        </w:r>
      </w:hyperlink>
    </w:p>
    <w:p w:rsidR="00ED5264" w:rsidRDefault="00B65917">
      <w:pPr>
        <w:pStyle w:val="21"/>
        <w:tabs>
          <w:tab w:val="right" w:leader="dot" w:pos="8306"/>
        </w:tabs>
        <w:spacing w:line="240" w:lineRule="auto"/>
        <w:rPr>
          <w:rFonts w:ascii="Times New Roman" w:hAnsi="Times New Roman" w:cs="Times New Roman"/>
        </w:rPr>
      </w:pPr>
      <w:hyperlink w:anchor="_Toc20411" w:history="1">
        <w:r>
          <w:rPr>
            <w:rFonts w:ascii="Times New Roman" w:hAnsi="Times New Roman" w:cs="Times New Roman"/>
            <w:bCs/>
            <w:szCs w:val="24"/>
          </w:rPr>
          <w:t xml:space="preserve">8.3  </w:t>
        </w:r>
        <w:r>
          <w:rPr>
            <w:rFonts w:ascii="Times New Roman" w:hAnsi="Times New Roman" w:cs="Times New Roman" w:hint="eastAsia"/>
            <w:bCs/>
            <w:szCs w:val="24"/>
          </w:rPr>
          <w:t>Acceptance</w:t>
        </w:r>
        <w:r>
          <w:rPr>
            <w:rFonts w:ascii="Times New Roman" w:hAnsi="Times New Roman" w:cs="Times New Roman"/>
          </w:rPr>
          <w:tab/>
        </w:r>
        <w:r>
          <w:rPr>
            <w:rFonts w:ascii="Times New Roman" w:hAnsi="Times New Roman" w:cs="Times New Roman"/>
          </w:rPr>
          <w:fldChar w:fldCharType="begin"/>
        </w:r>
        <w:r>
          <w:rPr>
            <w:rFonts w:ascii="Times New Roman" w:hAnsi="Times New Roman" w:cs="Times New Roman"/>
          </w:rPr>
          <w:instrText xml:space="preserve"> PAGEREF _Toc20411 \h </w:instrText>
        </w:r>
        <w:r>
          <w:rPr>
            <w:rFonts w:ascii="Times New Roman" w:hAnsi="Times New Roman" w:cs="Times New Roman"/>
          </w:rPr>
        </w:r>
        <w:r>
          <w:rPr>
            <w:rFonts w:ascii="Times New Roman" w:hAnsi="Times New Roman" w:cs="Times New Roman"/>
          </w:rPr>
          <w:fldChar w:fldCharType="separate"/>
        </w:r>
        <w:r>
          <w:rPr>
            <w:rFonts w:ascii="Times New Roman" w:hAnsi="Times New Roman" w:cs="Times New Roman"/>
          </w:rPr>
          <w:t>16</w:t>
        </w:r>
        <w:r>
          <w:rPr>
            <w:rFonts w:ascii="Times New Roman" w:hAnsi="Times New Roman" w:cs="Times New Roman"/>
          </w:rPr>
          <w:fldChar w:fldCharType="end"/>
        </w:r>
      </w:hyperlink>
    </w:p>
    <w:p w:rsidR="00ED5264" w:rsidRDefault="00B65917">
      <w:pPr>
        <w:pStyle w:val="11"/>
        <w:tabs>
          <w:tab w:val="right" w:leader="dot" w:pos="8306"/>
        </w:tabs>
        <w:spacing w:line="240" w:lineRule="auto"/>
        <w:rPr>
          <w:rFonts w:ascii="Times New Roman" w:hAnsi="Times New Roman" w:cs="Times New Roman"/>
        </w:rPr>
      </w:pPr>
      <w:hyperlink w:anchor="_Toc23330" w:history="1">
        <w:r>
          <w:rPr>
            <w:rFonts w:ascii="Times New Roman" w:hAnsi="Times New Roman" w:cs="Times New Roman" w:hint="eastAsia"/>
            <w:szCs w:val="24"/>
          </w:rPr>
          <w:t xml:space="preserve">Explanation of </w:t>
        </w:r>
        <w:r>
          <w:rPr>
            <w:rFonts w:ascii="Times New Roman" w:hAnsi="Times New Roman" w:cs="Times New Roman" w:hint="eastAsia"/>
            <w:szCs w:val="24"/>
          </w:rPr>
          <w:t>w</w:t>
        </w:r>
        <w:r>
          <w:rPr>
            <w:rFonts w:ascii="Times New Roman" w:hAnsi="Times New Roman" w:cs="Times New Roman" w:hint="eastAsia"/>
            <w:szCs w:val="24"/>
          </w:rPr>
          <w:t xml:space="preserve">ording </w:t>
        </w:r>
        <w:r>
          <w:rPr>
            <w:rFonts w:ascii="Times New Roman" w:hAnsi="Times New Roman" w:cs="Times New Roman"/>
          </w:rPr>
          <w:tab/>
        </w:r>
        <w:r>
          <w:rPr>
            <w:rFonts w:ascii="Times New Roman" w:hAnsi="Times New Roman" w:cs="Times New Roman"/>
          </w:rPr>
          <w:fldChar w:fldCharType="begin"/>
        </w:r>
        <w:r>
          <w:rPr>
            <w:rFonts w:ascii="Times New Roman" w:hAnsi="Times New Roman" w:cs="Times New Roman"/>
          </w:rPr>
          <w:instrText xml:space="preserve"> PAGEREF _Toc23330 \h </w:instrText>
        </w:r>
        <w:r>
          <w:rPr>
            <w:rFonts w:ascii="Times New Roman" w:hAnsi="Times New Roman" w:cs="Times New Roman"/>
          </w:rPr>
        </w:r>
        <w:r>
          <w:rPr>
            <w:rFonts w:ascii="Times New Roman" w:hAnsi="Times New Roman" w:cs="Times New Roman"/>
          </w:rPr>
          <w:fldChar w:fldCharType="separate"/>
        </w:r>
        <w:r>
          <w:rPr>
            <w:rFonts w:ascii="Times New Roman" w:hAnsi="Times New Roman" w:cs="Times New Roman"/>
          </w:rPr>
          <w:t>17</w:t>
        </w:r>
        <w:r>
          <w:rPr>
            <w:rFonts w:ascii="Times New Roman" w:hAnsi="Times New Roman" w:cs="Times New Roman"/>
          </w:rPr>
          <w:fldChar w:fldCharType="end"/>
        </w:r>
      </w:hyperlink>
    </w:p>
    <w:p w:rsidR="00ED5264" w:rsidRDefault="00B65917">
      <w:pPr>
        <w:pStyle w:val="11"/>
        <w:tabs>
          <w:tab w:val="right" w:leader="dot" w:pos="8306"/>
        </w:tabs>
        <w:spacing w:line="240" w:lineRule="auto"/>
        <w:rPr>
          <w:rFonts w:ascii="Times New Roman" w:hAnsi="Times New Roman" w:cs="Times New Roman"/>
        </w:rPr>
      </w:pPr>
      <w:hyperlink w:anchor="_Toc13591" w:history="1">
        <w:r>
          <w:rPr>
            <w:rFonts w:ascii="Times New Roman" w:hAnsi="Times New Roman" w:cs="Times New Roman" w:hint="eastAsia"/>
          </w:rPr>
          <w:t xml:space="preserve">List of </w:t>
        </w:r>
        <w:r>
          <w:rPr>
            <w:rFonts w:ascii="Times New Roman" w:hAnsi="Times New Roman" w:cs="Times New Roman" w:hint="eastAsia"/>
          </w:rPr>
          <w:t>q</w:t>
        </w:r>
        <w:r>
          <w:rPr>
            <w:rFonts w:ascii="Times New Roman" w:hAnsi="Times New Roman" w:cs="Times New Roman" w:hint="eastAsia"/>
          </w:rPr>
          <w:t xml:space="preserve">uoted </w:t>
        </w:r>
        <w:r>
          <w:rPr>
            <w:rFonts w:ascii="Times New Roman" w:hAnsi="Times New Roman" w:cs="Times New Roman" w:hint="eastAsia"/>
          </w:rPr>
          <w:t>s</w:t>
        </w:r>
        <w:r>
          <w:rPr>
            <w:rFonts w:ascii="Times New Roman" w:hAnsi="Times New Roman" w:cs="Times New Roman" w:hint="eastAsia"/>
          </w:rPr>
          <w:t>tandards</w:t>
        </w:r>
        <w:r>
          <w:rPr>
            <w:rFonts w:ascii="Times New Roman" w:hAnsi="Times New Roman" w:cs="Times New Roman"/>
          </w:rPr>
          <w:tab/>
        </w:r>
        <w:r>
          <w:rPr>
            <w:rFonts w:ascii="Times New Roman" w:hAnsi="Times New Roman" w:cs="Times New Roman"/>
          </w:rPr>
          <w:fldChar w:fldCharType="begin"/>
        </w:r>
        <w:r>
          <w:rPr>
            <w:rFonts w:ascii="Times New Roman" w:hAnsi="Times New Roman" w:cs="Times New Roman"/>
          </w:rPr>
          <w:instrText xml:space="preserve"> PAGEREF _Toc13591 \h </w:instrText>
        </w:r>
        <w:r>
          <w:rPr>
            <w:rFonts w:ascii="Times New Roman" w:hAnsi="Times New Roman" w:cs="Times New Roman"/>
          </w:rPr>
        </w:r>
        <w:r>
          <w:rPr>
            <w:rFonts w:ascii="Times New Roman" w:hAnsi="Times New Roman" w:cs="Times New Roman"/>
          </w:rPr>
          <w:fldChar w:fldCharType="separate"/>
        </w:r>
        <w:r>
          <w:rPr>
            <w:rFonts w:ascii="Times New Roman" w:hAnsi="Times New Roman" w:cs="Times New Roman"/>
          </w:rPr>
          <w:t>18</w:t>
        </w:r>
        <w:r>
          <w:rPr>
            <w:rFonts w:ascii="Times New Roman" w:hAnsi="Times New Roman" w:cs="Times New Roman"/>
          </w:rPr>
          <w:fldChar w:fldCharType="end"/>
        </w:r>
      </w:hyperlink>
    </w:p>
    <w:p w:rsidR="00ED5264" w:rsidRDefault="00B65917">
      <w:pPr>
        <w:pStyle w:val="11"/>
        <w:tabs>
          <w:tab w:val="right" w:leader="dot" w:pos="8306"/>
        </w:tabs>
        <w:spacing w:line="240" w:lineRule="auto"/>
      </w:pPr>
      <w:r>
        <w:rPr>
          <w:rFonts w:ascii="Times New Roman" w:hAnsi="Times New Roman" w:cs="Times New Roman"/>
          <w:sz w:val="21"/>
          <w:szCs w:val="21"/>
        </w:rPr>
        <w:t>A</w:t>
      </w:r>
      <w:r w:rsidR="00465A2A">
        <w:rPr>
          <w:rFonts w:ascii="Times New Roman" w:hAnsi="Times New Roman" w:cs="Times New Roman"/>
          <w:sz w:val="21"/>
          <w:szCs w:val="21"/>
        </w:rPr>
        <w:t>ddition</w:t>
      </w:r>
      <w:r>
        <w:rPr>
          <w:rFonts w:ascii="Times New Roman" w:hAnsi="Times New Roman" w:cs="Times New Roman"/>
          <w:sz w:val="21"/>
          <w:szCs w:val="21"/>
        </w:rPr>
        <w:t xml:space="preserve">: </w:t>
      </w:r>
      <w:hyperlink w:anchor="_Toc17197" w:history="1">
        <w:r>
          <w:rPr>
            <w:rFonts w:ascii="Times New Roman" w:hAnsi="Times New Roman" w:cs="Times New Roman" w:hint="eastAsia"/>
            <w:szCs w:val="24"/>
          </w:rPr>
          <w:t>e</w:t>
        </w:r>
        <w:r>
          <w:rPr>
            <w:rFonts w:ascii="Times New Roman" w:hAnsi="Times New Roman" w:cs="Times New Roman" w:hint="eastAsia"/>
            <w:szCs w:val="24"/>
          </w:rPr>
          <w:t xml:space="preserve">xplanation of </w:t>
        </w:r>
        <w:r>
          <w:rPr>
            <w:rFonts w:ascii="Times New Roman" w:hAnsi="Times New Roman" w:cs="Times New Roman" w:hint="eastAsia"/>
            <w:szCs w:val="24"/>
          </w:rPr>
          <w:t>p</w:t>
        </w:r>
        <w:r>
          <w:rPr>
            <w:rFonts w:ascii="Times New Roman" w:hAnsi="Times New Roman" w:cs="Times New Roman" w:hint="eastAsia"/>
            <w:szCs w:val="24"/>
          </w:rPr>
          <w:t>ro</w:t>
        </w:r>
        <w:r>
          <w:rPr>
            <w:rFonts w:ascii="Times New Roman" w:hAnsi="Times New Roman" w:cs="Times New Roman" w:hint="eastAsia"/>
            <w:szCs w:val="24"/>
          </w:rPr>
          <w:t>visions</w:t>
        </w:r>
        <w:r>
          <w:rPr>
            <w:rFonts w:ascii="Times New Roman" w:hAnsi="Times New Roman" w:cs="Times New Roman"/>
          </w:rPr>
          <w:tab/>
        </w:r>
        <w:r>
          <w:rPr>
            <w:rFonts w:ascii="Times New Roman" w:hAnsi="Times New Roman" w:cs="Times New Roman"/>
          </w:rPr>
          <w:fldChar w:fldCharType="begin"/>
        </w:r>
        <w:r>
          <w:rPr>
            <w:rFonts w:ascii="Times New Roman" w:hAnsi="Times New Roman" w:cs="Times New Roman"/>
          </w:rPr>
          <w:instrText xml:space="preserve"> PAGEREF _Toc17197 \h </w:instrText>
        </w:r>
        <w:r>
          <w:rPr>
            <w:rFonts w:ascii="Times New Roman" w:hAnsi="Times New Roman" w:cs="Times New Roman"/>
          </w:rPr>
        </w:r>
        <w:r>
          <w:rPr>
            <w:rFonts w:ascii="Times New Roman" w:hAnsi="Times New Roman" w:cs="Times New Roman"/>
          </w:rPr>
          <w:fldChar w:fldCharType="separate"/>
        </w:r>
        <w:r>
          <w:rPr>
            <w:rFonts w:ascii="Times New Roman" w:hAnsi="Times New Roman" w:cs="Times New Roman"/>
          </w:rPr>
          <w:t>19</w:t>
        </w:r>
        <w:r>
          <w:rPr>
            <w:rFonts w:ascii="Times New Roman" w:hAnsi="Times New Roman" w:cs="Times New Roman"/>
          </w:rPr>
          <w:fldChar w:fldCharType="end"/>
        </w:r>
      </w:hyperlink>
    </w:p>
    <w:p w:rsidR="00ED5264" w:rsidRDefault="00ED5264">
      <w:pPr>
        <w:pStyle w:val="af3"/>
        <w:jc w:val="center"/>
        <w:rPr>
          <w:rFonts w:ascii="Times New Roman" w:hAnsi="Times New Roman"/>
          <w:b/>
          <w:sz w:val="28"/>
          <w:szCs w:val="28"/>
        </w:rPr>
        <w:sectPr w:rsidR="00ED5264">
          <w:pgSz w:w="11906" w:h="16838"/>
          <w:pgMar w:top="1440" w:right="1800" w:bottom="1440" w:left="1800" w:header="851" w:footer="992" w:gutter="0"/>
          <w:pgNumType w:start="1"/>
          <w:cols w:space="720"/>
          <w:docGrid w:type="lines" w:linePitch="312"/>
        </w:sectPr>
      </w:pPr>
    </w:p>
    <w:p w:rsidR="00ED5264" w:rsidRDefault="00ED5264">
      <w:pPr>
        <w:pStyle w:val="af3"/>
        <w:jc w:val="center"/>
        <w:rPr>
          <w:rFonts w:ascii="Times New Roman" w:hAnsi="Times New Roman"/>
          <w:b/>
          <w:sz w:val="28"/>
          <w:szCs w:val="28"/>
        </w:rPr>
      </w:pPr>
    </w:p>
    <w:p w:rsidR="00ED5264" w:rsidRDefault="00B65917">
      <w:pPr>
        <w:pStyle w:val="1"/>
        <w:spacing w:before="120" w:after="120" w:line="360" w:lineRule="auto"/>
        <w:jc w:val="center"/>
        <w:rPr>
          <w:sz w:val="28"/>
          <w:szCs w:val="28"/>
        </w:rPr>
      </w:pPr>
      <w:bookmarkStart w:id="9" w:name="_Toc26199"/>
      <w:bookmarkStart w:id="10" w:name="_Toc23260766"/>
      <w:bookmarkStart w:id="11" w:name="_Toc16465"/>
      <w:bookmarkStart w:id="12" w:name="_Toc499304687"/>
      <w:bookmarkStart w:id="13" w:name="_Toc15052984"/>
      <w:bookmarkStart w:id="14" w:name="_Toc492050305"/>
      <w:bookmarkStart w:id="15" w:name="_Toc388"/>
      <w:bookmarkStart w:id="16" w:name="_Toc514685574"/>
      <w:bookmarkStart w:id="17" w:name="_Toc30180"/>
      <w:bookmarkStart w:id="18" w:name="_Toc9236"/>
      <w:r>
        <w:rPr>
          <w:sz w:val="28"/>
          <w:szCs w:val="28"/>
        </w:rPr>
        <w:t xml:space="preserve">1  </w:t>
      </w:r>
      <w:r>
        <w:rPr>
          <w:sz w:val="28"/>
          <w:szCs w:val="28"/>
        </w:rPr>
        <w:t>总</w:t>
      </w:r>
      <w:r>
        <w:rPr>
          <w:sz w:val="28"/>
          <w:szCs w:val="28"/>
        </w:rPr>
        <w:t xml:space="preserve">  </w:t>
      </w:r>
      <w:r>
        <w:rPr>
          <w:sz w:val="28"/>
          <w:szCs w:val="28"/>
        </w:rPr>
        <w:t>则</w:t>
      </w:r>
      <w:bookmarkEnd w:id="9"/>
      <w:bookmarkEnd w:id="10"/>
      <w:bookmarkEnd w:id="11"/>
      <w:bookmarkEnd w:id="12"/>
      <w:bookmarkEnd w:id="13"/>
      <w:bookmarkEnd w:id="14"/>
      <w:bookmarkEnd w:id="15"/>
      <w:bookmarkEnd w:id="16"/>
      <w:bookmarkEnd w:id="17"/>
      <w:bookmarkEnd w:id="18"/>
    </w:p>
    <w:p w:rsidR="00ED5264" w:rsidRDefault="00B65917">
      <w:pPr>
        <w:pStyle w:val="aff9"/>
        <w:spacing w:line="360" w:lineRule="auto"/>
      </w:pPr>
      <w:bookmarkStart w:id="19" w:name="_Toc15052985"/>
      <w:bookmarkStart w:id="20" w:name="_Toc23260767"/>
      <w:bookmarkStart w:id="21" w:name="_Toc243285165"/>
      <w:bookmarkStart w:id="22" w:name="_Toc514685575"/>
      <w:r>
        <w:rPr>
          <w:b/>
        </w:rPr>
        <w:t>1.0.1</w:t>
      </w:r>
      <w:r>
        <w:t xml:space="preserve">  </w:t>
      </w:r>
      <w:r>
        <w:t>为规范</w:t>
      </w:r>
      <w:r>
        <w:rPr>
          <w:rFonts w:hint="eastAsia"/>
        </w:rPr>
        <w:t>黄河超细砂</w:t>
      </w:r>
      <w:r>
        <w:t>混凝土的应用，</w:t>
      </w:r>
      <w:r>
        <w:rPr>
          <w:rFonts w:hint="eastAsia"/>
        </w:rPr>
        <w:t>做到技术先进、经济合理，</w:t>
      </w:r>
      <w:r>
        <w:t>保证工程质量，</w:t>
      </w:r>
      <w:r>
        <w:rPr>
          <w:rFonts w:hint="eastAsia"/>
        </w:rPr>
        <w:t>特</w:t>
      </w:r>
      <w:r>
        <w:t>制定本规程。</w:t>
      </w:r>
      <w:bookmarkEnd w:id="19"/>
      <w:bookmarkEnd w:id="20"/>
      <w:bookmarkEnd w:id="21"/>
      <w:bookmarkEnd w:id="22"/>
    </w:p>
    <w:p w:rsidR="00ED5264" w:rsidRDefault="00B65917">
      <w:pPr>
        <w:pStyle w:val="aff9"/>
        <w:spacing w:line="360" w:lineRule="auto"/>
        <w:rPr>
          <w:highlight w:val="yellow"/>
        </w:rPr>
      </w:pPr>
      <w:bookmarkStart w:id="23" w:name="_Toc23260768"/>
      <w:bookmarkStart w:id="24" w:name="_Toc514685576"/>
      <w:bookmarkStart w:id="25" w:name="_Toc243285166"/>
      <w:bookmarkStart w:id="26" w:name="_Toc15052986"/>
      <w:r>
        <w:rPr>
          <w:b/>
        </w:rPr>
        <w:t>1.0.2</w:t>
      </w:r>
      <w:r>
        <w:t xml:space="preserve">  </w:t>
      </w:r>
      <w:bookmarkEnd w:id="23"/>
      <w:bookmarkEnd w:id="24"/>
      <w:bookmarkEnd w:id="25"/>
      <w:bookmarkEnd w:id="26"/>
      <w:r>
        <w:rPr>
          <w:rFonts w:hint="eastAsia"/>
        </w:rPr>
        <w:t>本规程适用于工业与民用建筑、公路、水运、市政、水利、铁路等一般构筑物中黄河超细砂混凝土的配制、生产、施工、质量检验及</w:t>
      </w:r>
      <w:r>
        <w:rPr>
          <w:rFonts w:hint="eastAsia"/>
        </w:rPr>
        <w:t>应用</w:t>
      </w:r>
      <w:r>
        <w:rPr>
          <w:rFonts w:hint="eastAsia"/>
        </w:rPr>
        <w:t>。</w:t>
      </w:r>
    </w:p>
    <w:p w:rsidR="00ED5264" w:rsidRDefault="00B65917">
      <w:pPr>
        <w:pStyle w:val="aff9"/>
        <w:spacing w:line="360" w:lineRule="auto"/>
      </w:pPr>
      <w:bookmarkStart w:id="27" w:name="_Toc15052987"/>
      <w:bookmarkStart w:id="28" w:name="_Toc243285167"/>
      <w:bookmarkStart w:id="29" w:name="_Toc23260769"/>
      <w:bookmarkStart w:id="30" w:name="_Toc514685577"/>
      <w:r>
        <w:rPr>
          <w:b/>
        </w:rPr>
        <w:t>1.0.</w:t>
      </w:r>
      <w:r>
        <w:rPr>
          <w:rFonts w:hint="eastAsia"/>
          <w:b/>
        </w:rPr>
        <w:t>3</w:t>
      </w:r>
      <w:r>
        <w:t xml:space="preserve">  </w:t>
      </w:r>
      <w:r>
        <w:rPr>
          <w:rFonts w:hint="eastAsia"/>
        </w:rPr>
        <w:t>黄河超细砂</w:t>
      </w:r>
      <w:r>
        <w:t>混凝土的应用，除应符合本</w:t>
      </w:r>
      <w:r>
        <w:rPr>
          <w:rFonts w:hint="eastAsia"/>
        </w:rPr>
        <w:t>规程</w:t>
      </w:r>
      <w:r>
        <w:t>外，尚应符合国家现行有关标准</w:t>
      </w:r>
      <w:r>
        <w:rPr>
          <w:rFonts w:hint="eastAsia"/>
        </w:rPr>
        <w:t>和现行中国工程建设标准化协会标准</w:t>
      </w:r>
      <w:r>
        <w:t>的规定。</w:t>
      </w:r>
      <w:bookmarkEnd w:id="27"/>
      <w:bookmarkEnd w:id="28"/>
      <w:bookmarkEnd w:id="29"/>
      <w:bookmarkEnd w:id="30"/>
    </w:p>
    <w:p w:rsidR="00ED5264" w:rsidRDefault="00ED5264">
      <w:pPr>
        <w:pStyle w:val="af3"/>
        <w:spacing w:line="400" w:lineRule="exact"/>
        <w:rPr>
          <w:rFonts w:ascii="Times New Roman" w:hAnsi="Times New Roman"/>
        </w:rPr>
      </w:pPr>
    </w:p>
    <w:p w:rsidR="00ED5264" w:rsidRDefault="00ED5264">
      <w:pPr>
        <w:pStyle w:val="af3"/>
        <w:spacing w:line="400" w:lineRule="exact"/>
        <w:rPr>
          <w:rFonts w:ascii="Times New Roman" w:hAnsi="Times New Roman"/>
        </w:rPr>
      </w:pPr>
    </w:p>
    <w:p w:rsidR="00ED5264" w:rsidRDefault="00ED5264">
      <w:pPr>
        <w:pStyle w:val="af3"/>
        <w:spacing w:line="400" w:lineRule="exact"/>
        <w:rPr>
          <w:rFonts w:ascii="Times New Roman" w:hAnsi="Times New Roman"/>
        </w:rPr>
      </w:pPr>
    </w:p>
    <w:p w:rsidR="00ED5264" w:rsidRDefault="00ED5264">
      <w:pPr>
        <w:pStyle w:val="af3"/>
        <w:spacing w:line="400" w:lineRule="exact"/>
        <w:rPr>
          <w:rFonts w:ascii="Times New Roman" w:hAnsi="Times New Roman"/>
        </w:rPr>
      </w:pPr>
    </w:p>
    <w:p w:rsidR="00ED5264" w:rsidRDefault="00ED5264">
      <w:pPr>
        <w:pStyle w:val="af3"/>
        <w:spacing w:line="400" w:lineRule="exact"/>
        <w:rPr>
          <w:rFonts w:ascii="Times New Roman" w:hAnsi="Times New Roman"/>
        </w:rPr>
      </w:pPr>
    </w:p>
    <w:p w:rsidR="00ED5264" w:rsidRDefault="00B65917">
      <w:pPr>
        <w:widowControl/>
        <w:jc w:val="left"/>
      </w:pPr>
      <w:r>
        <w:br w:type="page"/>
      </w:r>
    </w:p>
    <w:p w:rsidR="00ED5264" w:rsidRDefault="00B65917">
      <w:pPr>
        <w:pStyle w:val="1"/>
        <w:spacing w:before="120" w:after="120" w:line="360" w:lineRule="auto"/>
        <w:jc w:val="center"/>
        <w:rPr>
          <w:sz w:val="28"/>
          <w:szCs w:val="28"/>
        </w:rPr>
      </w:pPr>
      <w:bookmarkStart w:id="31" w:name="_Toc499304688"/>
      <w:bookmarkStart w:id="32" w:name="_Toc14882"/>
      <w:bookmarkStart w:id="33" w:name="_Toc492050306"/>
      <w:bookmarkStart w:id="34" w:name="_Toc276108767"/>
      <w:bookmarkStart w:id="35" w:name="_Toc24706"/>
      <w:bookmarkStart w:id="36" w:name="_Toc514685578"/>
      <w:bookmarkStart w:id="37" w:name="_Toc23260770"/>
      <w:bookmarkStart w:id="38" w:name="_Toc15052988"/>
      <w:bookmarkStart w:id="39" w:name="_Toc1914"/>
      <w:bookmarkStart w:id="40" w:name="_Toc22757"/>
      <w:bookmarkStart w:id="41" w:name="_Toc3569"/>
      <w:r>
        <w:rPr>
          <w:sz w:val="28"/>
          <w:szCs w:val="28"/>
        </w:rPr>
        <w:lastRenderedPageBreak/>
        <w:t xml:space="preserve">2  </w:t>
      </w:r>
      <w:r>
        <w:rPr>
          <w:sz w:val="28"/>
          <w:szCs w:val="28"/>
        </w:rPr>
        <w:t>术语</w:t>
      </w:r>
      <w:bookmarkEnd w:id="31"/>
      <w:bookmarkEnd w:id="32"/>
      <w:bookmarkEnd w:id="33"/>
      <w:bookmarkEnd w:id="34"/>
      <w:bookmarkEnd w:id="35"/>
      <w:bookmarkEnd w:id="36"/>
      <w:r>
        <w:rPr>
          <w:sz w:val="28"/>
          <w:szCs w:val="28"/>
        </w:rPr>
        <w:t>和符号</w:t>
      </w:r>
      <w:bookmarkEnd w:id="37"/>
      <w:bookmarkEnd w:id="38"/>
      <w:bookmarkEnd w:id="39"/>
      <w:bookmarkEnd w:id="40"/>
      <w:bookmarkEnd w:id="41"/>
    </w:p>
    <w:p w:rsidR="00ED5264" w:rsidRDefault="00B65917">
      <w:pPr>
        <w:spacing w:beforeLines="100" w:before="312" w:afterLines="100" w:after="312" w:line="300" w:lineRule="auto"/>
        <w:jc w:val="center"/>
        <w:outlineLvl w:val="1"/>
        <w:rPr>
          <w:b/>
          <w:bCs/>
          <w:sz w:val="24"/>
          <w:szCs w:val="24"/>
        </w:rPr>
      </w:pPr>
      <w:bookmarkStart w:id="42" w:name="_Toc23260771"/>
      <w:bookmarkStart w:id="43" w:name="_Toc32367"/>
      <w:bookmarkStart w:id="44" w:name="_Toc15052989"/>
      <w:bookmarkStart w:id="45" w:name="_Toc4544"/>
      <w:bookmarkStart w:id="46" w:name="_Toc11974"/>
      <w:r>
        <w:rPr>
          <w:b/>
          <w:bCs/>
          <w:sz w:val="24"/>
          <w:szCs w:val="24"/>
        </w:rPr>
        <w:t xml:space="preserve">2.1  </w:t>
      </w:r>
      <w:r>
        <w:rPr>
          <w:b/>
          <w:bCs/>
          <w:sz w:val="24"/>
          <w:szCs w:val="24"/>
        </w:rPr>
        <w:t>术语</w:t>
      </w:r>
      <w:bookmarkEnd w:id="42"/>
      <w:bookmarkEnd w:id="43"/>
      <w:bookmarkEnd w:id="44"/>
      <w:bookmarkEnd w:id="45"/>
      <w:bookmarkEnd w:id="46"/>
    </w:p>
    <w:p w:rsidR="00ED5264" w:rsidRDefault="00B65917">
      <w:pPr>
        <w:pStyle w:val="aff9"/>
        <w:spacing w:line="360" w:lineRule="auto"/>
      </w:pPr>
      <w:bookmarkStart w:id="47" w:name="_Toc514685579"/>
      <w:bookmarkStart w:id="48" w:name="_Toc243285169"/>
      <w:bookmarkStart w:id="49" w:name="_Toc23260772"/>
      <w:bookmarkStart w:id="50" w:name="_Toc15052990"/>
      <w:bookmarkStart w:id="51" w:name="OLE_LINK6"/>
      <w:r>
        <w:rPr>
          <w:b/>
        </w:rPr>
        <w:t>2.1.1</w:t>
      </w:r>
      <w:r>
        <w:rPr>
          <w:rFonts w:hint="eastAsia"/>
        </w:rPr>
        <w:t xml:space="preserve"> </w:t>
      </w:r>
      <w:r>
        <w:rPr>
          <w:rFonts w:hint="eastAsia"/>
        </w:rPr>
        <w:t>黄河超细砂</w:t>
      </w:r>
      <w:r>
        <w:t xml:space="preserve"> </w:t>
      </w:r>
      <w:bookmarkEnd w:id="47"/>
      <w:bookmarkEnd w:id="48"/>
      <w:bookmarkEnd w:id="49"/>
      <w:bookmarkEnd w:id="50"/>
      <w:r w:rsidR="00465A2A">
        <w:rPr>
          <w:rFonts w:hint="eastAsia"/>
        </w:rPr>
        <w:t>u</w:t>
      </w:r>
      <w:r>
        <w:rPr>
          <w:rFonts w:hint="eastAsia"/>
          <w:u w:val="dotted"/>
        </w:rPr>
        <w:t>ltra-fine</w:t>
      </w:r>
      <w:r>
        <w:rPr>
          <w:rFonts w:hint="eastAsia"/>
        </w:rPr>
        <w:t xml:space="preserve"> sand of yellow river</w:t>
      </w:r>
    </w:p>
    <w:p w:rsidR="00ED5264" w:rsidRDefault="00B65917">
      <w:pPr>
        <w:pStyle w:val="aff9"/>
        <w:spacing w:line="360" w:lineRule="auto"/>
        <w:ind w:firstLineChars="200" w:firstLine="480"/>
      </w:pPr>
      <w:bookmarkStart w:id="52" w:name="_Toc15052991"/>
      <w:bookmarkStart w:id="53" w:name="_Toc514685580"/>
      <w:bookmarkStart w:id="54" w:name="_Toc23260773"/>
      <w:bookmarkStart w:id="55" w:name="_Toc243285170"/>
      <w:r>
        <w:rPr>
          <w:rFonts w:hint="eastAsia"/>
        </w:rPr>
        <w:t>在黄河中下游所属沉砂池、输沙渠内，通过人工清淤、洗砂等方式形成的细度模数在</w:t>
      </w:r>
      <w:r>
        <w:rPr>
          <w:rFonts w:hint="eastAsia"/>
        </w:rPr>
        <w:t>0.6</w:t>
      </w:r>
      <w:r>
        <w:rPr>
          <w:rFonts w:hint="eastAsia"/>
        </w:rPr>
        <w:t>及以下，且</w:t>
      </w:r>
      <w:r>
        <w:rPr>
          <w:rFonts w:hint="eastAsia"/>
        </w:rPr>
        <w:t>MB</w:t>
      </w:r>
      <w:r>
        <w:rPr>
          <w:rFonts w:hint="eastAsia"/>
        </w:rPr>
        <w:t>值在</w:t>
      </w:r>
      <w:r>
        <w:rPr>
          <w:rFonts w:hint="eastAsia"/>
        </w:rPr>
        <w:t>15.0</w:t>
      </w:r>
      <w:r>
        <w:rPr>
          <w:rFonts w:hint="eastAsia"/>
        </w:rPr>
        <w:t>以下的砂质颗粒。</w:t>
      </w:r>
      <w:bookmarkEnd w:id="52"/>
      <w:bookmarkEnd w:id="53"/>
      <w:bookmarkEnd w:id="54"/>
    </w:p>
    <w:bookmarkEnd w:id="51"/>
    <w:p w:rsidR="00ED5264" w:rsidRDefault="00B65917">
      <w:pPr>
        <w:pStyle w:val="aff9"/>
        <w:spacing w:line="360" w:lineRule="auto"/>
      </w:pPr>
      <w:r>
        <w:rPr>
          <w:b/>
        </w:rPr>
        <w:t>2.1</w:t>
      </w:r>
      <w:r>
        <w:rPr>
          <w:b/>
        </w:rPr>
        <w:t>.2</w:t>
      </w:r>
      <w:r>
        <w:rPr>
          <w:rFonts w:hint="eastAsia"/>
        </w:rPr>
        <w:t xml:space="preserve"> </w:t>
      </w:r>
      <w:r>
        <w:rPr>
          <w:rFonts w:hint="eastAsia"/>
        </w:rPr>
        <w:t>机制砂</w:t>
      </w:r>
      <w:r>
        <w:t xml:space="preserve"> </w:t>
      </w:r>
      <w:r>
        <w:rPr>
          <w:rFonts w:hint="eastAsia"/>
        </w:rPr>
        <w:t>manufactured sand</w:t>
      </w:r>
    </w:p>
    <w:p w:rsidR="00ED5264" w:rsidRDefault="00B65917">
      <w:pPr>
        <w:pStyle w:val="aff9"/>
        <w:spacing w:line="360" w:lineRule="auto"/>
        <w:ind w:firstLineChars="200" w:firstLine="480"/>
      </w:pPr>
      <w:r>
        <w:rPr>
          <w:rFonts w:hint="eastAsia"/>
        </w:rPr>
        <w:t>由机械破碎、筛分制成的，公称粒径小于</w:t>
      </w:r>
      <w:r>
        <w:rPr>
          <w:rFonts w:hint="eastAsia"/>
        </w:rPr>
        <w:t xml:space="preserve">5.00mm </w:t>
      </w:r>
      <w:r>
        <w:rPr>
          <w:rFonts w:hint="eastAsia"/>
        </w:rPr>
        <w:t>的岩石、矿山尾矿、工业废渣的颗粒，但不包括软质、风化的颗粒，俗称人工砂。</w:t>
      </w:r>
    </w:p>
    <w:p w:rsidR="00ED5264" w:rsidRDefault="00B65917">
      <w:pPr>
        <w:pStyle w:val="aff9"/>
        <w:spacing w:line="360" w:lineRule="auto"/>
      </w:pPr>
      <w:bookmarkStart w:id="56" w:name="_Toc514685581"/>
      <w:bookmarkStart w:id="57" w:name="_Toc15052992"/>
      <w:bookmarkStart w:id="58" w:name="_Toc23260774"/>
      <w:r>
        <w:rPr>
          <w:b/>
        </w:rPr>
        <w:t>2.1.</w:t>
      </w:r>
      <w:r>
        <w:rPr>
          <w:rFonts w:hint="eastAsia"/>
          <w:b/>
        </w:rPr>
        <w:t>3</w:t>
      </w:r>
      <w:r>
        <w:rPr>
          <w:rFonts w:hint="eastAsia"/>
        </w:rPr>
        <w:t xml:space="preserve"> </w:t>
      </w:r>
      <w:r>
        <w:rPr>
          <w:rFonts w:hint="eastAsia"/>
        </w:rPr>
        <w:t>混合砂</w:t>
      </w:r>
      <w:r>
        <w:t xml:space="preserve"> </w:t>
      </w:r>
      <w:r>
        <w:rPr>
          <w:rFonts w:hint="eastAsia"/>
        </w:rPr>
        <w:t>mixed sand</w:t>
      </w:r>
      <w:bookmarkEnd w:id="56"/>
      <w:bookmarkEnd w:id="57"/>
      <w:bookmarkEnd w:id="58"/>
    </w:p>
    <w:p w:rsidR="00ED5264" w:rsidRDefault="00B65917">
      <w:pPr>
        <w:pStyle w:val="aff9"/>
        <w:spacing w:line="360" w:lineRule="auto"/>
        <w:ind w:firstLineChars="200" w:firstLine="480"/>
      </w:pPr>
      <w:bookmarkStart w:id="59" w:name="_Toc15052993"/>
      <w:bookmarkStart w:id="60" w:name="_Toc23260775"/>
      <w:bookmarkStart w:id="61" w:name="_Toc514685582"/>
      <w:r>
        <w:rPr>
          <w:rFonts w:hint="eastAsia"/>
        </w:rPr>
        <w:t>由超细砂与机制砂按一定比例混合而成的砂</w:t>
      </w:r>
      <w:bookmarkEnd w:id="59"/>
      <w:bookmarkEnd w:id="60"/>
      <w:bookmarkEnd w:id="61"/>
      <w:r>
        <w:rPr>
          <w:rFonts w:hint="eastAsia"/>
        </w:rPr>
        <w:t>。</w:t>
      </w:r>
    </w:p>
    <w:p w:rsidR="00ED5264" w:rsidRDefault="00B65917">
      <w:pPr>
        <w:pStyle w:val="aff9"/>
        <w:spacing w:line="360" w:lineRule="auto"/>
      </w:pPr>
      <w:bookmarkStart w:id="62" w:name="_Toc243285171"/>
      <w:bookmarkStart w:id="63" w:name="_Toc23260776"/>
      <w:bookmarkStart w:id="64" w:name="_Toc15052994"/>
      <w:bookmarkStart w:id="65" w:name="_Toc514685583"/>
      <w:bookmarkEnd w:id="55"/>
      <w:r>
        <w:rPr>
          <w:b/>
        </w:rPr>
        <w:t>2.1.</w:t>
      </w:r>
      <w:r>
        <w:rPr>
          <w:rFonts w:hint="eastAsia"/>
          <w:b/>
        </w:rPr>
        <w:t>4</w:t>
      </w:r>
      <w:r>
        <w:rPr>
          <w:rFonts w:hint="eastAsia"/>
        </w:rPr>
        <w:t xml:space="preserve"> </w:t>
      </w:r>
      <w:r>
        <w:rPr>
          <w:rFonts w:hint="eastAsia"/>
        </w:rPr>
        <w:t>细度模数</w:t>
      </w:r>
      <w:r>
        <w:t xml:space="preserve"> </w:t>
      </w:r>
      <w:bookmarkEnd w:id="62"/>
      <w:r>
        <w:rPr>
          <w:rFonts w:hint="eastAsia"/>
        </w:rPr>
        <w:t>fineness module</w:t>
      </w:r>
      <w:bookmarkEnd w:id="63"/>
      <w:bookmarkEnd w:id="64"/>
      <w:bookmarkEnd w:id="65"/>
    </w:p>
    <w:p w:rsidR="00ED5264" w:rsidRDefault="00B65917">
      <w:pPr>
        <w:pStyle w:val="aff9"/>
        <w:spacing w:line="360" w:lineRule="auto"/>
        <w:ind w:firstLineChars="200" w:firstLine="480"/>
      </w:pPr>
      <w:bookmarkStart w:id="66" w:name="_Toc514685584"/>
      <w:bookmarkStart w:id="67" w:name="_Toc15052995"/>
      <w:bookmarkStart w:id="68" w:name="_Toc23260777"/>
      <w:bookmarkStart w:id="69" w:name="_Toc243285172"/>
      <w:r>
        <w:rPr>
          <w:rFonts w:hint="eastAsia"/>
        </w:rPr>
        <w:t>用来衡量砂的粗细程度的指标。</w:t>
      </w:r>
      <w:bookmarkEnd w:id="66"/>
      <w:bookmarkEnd w:id="67"/>
      <w:bookmarkEnd w:id="68"/>
    </w:p>
    <w:p w:rsidR="00ED5264" w:rsidRDefault="00B65917">
      <w:pPr>
        <w:pStyle w:val="aff9"/>
        <w:spacing w:line="360" w:lineRule="auto"/>
      </w:pPr>
      <w:r>
        <w:rPr>
          <w:b/>
        </w:rPr>
        <w:t>2.1.</w:t>
      </w:r>
      <w:r>
        <w:rPr>
          <w:rFonts w:hint="eastAsia"/>
          <w:b/>
        </w:rPr>
        <w:t>5</w:t>
      </w:r>
      <w:r>
        <w:rPr>
          <w:rFonts w:hint="eastAsia"/>
        </w:rPr>
        <w:t xml:space="preserve"> </w:t>
      </w:r>
      <w:r>
        <w:rPr>
          <w:rFonts w:hint="eastAsia"/>
        </w:rPr>
        <w:t>黄河超细砂混合砂</w:t>
      </w:r>
      <w:r>
        <w:rPr>
          <w:rFonts w:hint="eastAsia"/>
        </w:rPr>
        <w:t xml:space="preserve"> </w:t>
      </w:r>
      <w:r w:rsidR="00465A2A">
        <w:rPr>
          <w:rFonts w:hint="eastAsia"/>
        </w:rPr>
        <w:t>m</w:t>
      </w:r>
      <w:r>
        <w:rPr>
          <w:rFonts w:hint="eastAsia"/>
        </w:rPr>
        <w:t xml:space="preserve">ixed sand with ultra-fine sand of Yellow River and other sand </w:t>
      </w:r>
    </w:p>
    <w:p w:rsidR="00ED5264" w:rsidRDefault="00B65917">
      <w:pPr>
        <w:pStyle w:val="aff9"/>
        <w:spacing w:line="360" w:lineRule="auto"/>
        <w:ind w:firstLineChars="200" w:firstLine="480"/>
      </w:pPr>
      <w:r>
        <w:rPr>
          <w:rFonts w:hint="eastAsia"/>
        </w:rPr>
        <w:t>按照一定的比例</w:t>
      </w:r>
      <w:r>
        <w:rPr>
          <w:rFonts w:hint="eastAsia"/>
        </w:rPr>
        <w:t>将黄河超细砂</w:t>
      </w:r>
      <w:r>
        <w:rPr>
          <w:rFonts w:hint="eastAsia"/>
        </w:rPr>
        <w:t>与机制砂</w:t>
      </w:r>
      <w:r>
        <w:rPr>
          <w:rFonts w:hint="eastAsia"/>
        </w:rPr>
        <w:t>混合形成</w:t>
      </w:r>
      <w:r>
        <w:rPr>
          <w:rFonts w:hint="eastAsia"/>
        </w:rPr>
        <w:t>的</w:t>
      </w:r>
      <w:r>
        <w:rPr>
          <w:rFonts w:hint="eastAsia"/>
        </w:rPr>
        <w:t>混合砂。</w:t>
      </w:r>
    </w:p>
    <w:p w:rsidR="00ED5264" w:rsidRDefault="00B65917">
      <w:pPr>
        <w:pStyle w:val="aff9"/>
        <w:spacing w:line="360" w:lineRule="auto"/>
      </w:pPr>
      <w:bookmarkStart w:id="70" w:name="_Toc15052996"/>
      <w:bookmarkStart w:id="71" w:name="_Toc23260780"/>
      <w:bookmarkStart w:id="72" w:name="_Toc514685585"/>
      <w:r>
        <w:rPr>
          <w:b/>
        </w:rPr>
        <w:t>2.1.</w:t>
      </w:r>
      <w:r>
        <w:rPr>
          <w:rFonts w:hint="eastAsia"/>
          <w:b/>
        </w:rPr>
        <w:t>6</w:t>
      </w:r>
      <w:r>
        <w:rPr>
          <w:rFonts w:hint="eastAsia"/>
        </w:rPr>
        <w:t xml:space="preserve"> </w:t>
      </w:r>
      <w:r>
        <w:rPr>
          <w:rFonts w:hint="eastAsia"/>
        </w:rPr>
        <w:t>黄河超细砂混凝土</w:t>
      </w:r>
      <w:r>
        <w:t xml:space="preserve"> </w:t>
      </w:r>
      <w:r>
        <w:rPr>
          <w:rFonts w:hint="eastAsia"/>
        </w:rPr>
        <w:t>Yellow River ultra-fine sand concrete</w:t>
      </w:r>
      <w:bookmarkEnd w:id="70"/>
      <w:bookmarkEnd w:id="71"/>
      <w:bookmarkEnd w:id="72"/>
    </w:p>
    <w:p w:rsidR="00ED5264" w:rsidRDefault="00B65917">
      <w:pPr>
        <w:pStyle w:val="aff9"/>
        <w:spacing w:line="360" w:lineRule="auto"/>
        <w:ind w:firstLineChars="200" w:firstLine="480"/>
      </w:pPr>
      <w:bookmarkStart w:id="73" w:name="_Toc15052997"/>
      <w:bookmarkStart w:id="74" w:name="_Toc23260781"/>
      <w:bookmarkStart w:id="75" w:name="_Toc514685586"/>
      <w:r>
        <w:rPr>
          <w:rFonts w:hint="eastAsia"/>
        </w:rPr>
        <w:t>采用黄河超细砂混合砂</w:t>
      </w:r>
      <w:r>
        <w:t>配制的混凝土。</w:t>
      </w:r>
      <w:bookmarkEnd w:id="69"/>
      <w:bookmarkEnd w:id="73"/>
      <w:bookmarkEnd w:id="74"/>
      <w:bookmarkEnd w:id="75"/>
    </w:p>
    <w:p w:rsidR="00ED5264" w:rsidRDefault="00B65917">
      <w:pPr>
        <w:pStyle w:val="aff9"/>
        <w:spacing w:line="360" w:lineRule="auto"/>
      </w:pPr>
      <w:r>
        <w:rPr>
          <w:b/>
        </w:rPr>
        <w:t>2.1.</w:t>
      </w:r>
      <w:r>
        <w:rPr>
          <w:rFonts w:hint="eastAsia"/>
          <w:b/>
        </w:rPr>
        <w:t>7</w:t>
      </w:r>
      <w:r>
        <w:rPr>
          <w:rFonts w:hint="eastAsia"/>
        </w:rPr>
        <w:t xml:space="preserve"> </w:t>
      </w:r>
      <w:bookmarkStart w:id="76" w:name="OLE_LINK29"/>
      <w:r>
        <w:rPr>
          <w:rFonts w:hint="eastAsia"/>
        </w:rPr>
        <w:t>比表面积指数</w:t>
      </w:r>
      <w:bookmarkEnd w:id="76"/>
      <w:r w:rsidR="00465A2A">
        <w:t>s</w:t>
      </w:r>
      <w:r>
        <w:rPr>
          <w:rFonts w:hint="eastAsia"/>
        </w:rPr>
        <w:t>pecific surface area index</w:t>
      </w:r>
    </w:p>
    <w:p w:rsidR="00ED5264" w:rsidRDefault="00B65917">
      <w:pPr>
        <w:pStyle w:val="aff9"/>
        <w:spacing w:line="360" w:lineRule="auto"/>
        <w:ind w:firstLineChars="200" w:firstLine="480"/>
      </w:pPr>
      <w:r>
        <w:rPr>
          <w:rFonts w:hint="eastAsia"/>
        </w:rPr>
        <w:t>将砂看作球形，相同质量的每一粒级砂的粒径均比相邻粒级砂的粒径相差</w:t>
      </w:r>
      <w:r>
        <w:rPr>
          <w:rFonts w:hint="eastAsia"/>
        </w:rPr>
        <w:t>1/2</w:t>
      </w:r>
      <w:r>
        <w:rPr>
          <w:rFonts w:hint="eastAsia"/>
        </w:rPr>
        <w:t>，称作比表面积指数。</w:t>
      </w:r>
      <w:r>
        <w:rPr>
          <w:rFonts w:hint="eastAsia"/>
        </w:rPr>
        <w:t xml:space="preserve"> </w:t>
      </w:r>
    </w:p>
    <w:p w:rsidR="00ED5264" w:rsidRDefault="00B65917">
      <w:pPr>
        <w:pStyle w:val="aff9"/>
        <w:spacing w:line="360" w:lineRule="auto"/>
      </w:pPr>
      <w:r>
        <w:rPr>
          <w:b/>
        </w:rPr>
        <w:t>2.1.</w:t>
      </w:r>
      <w:r>
        <w:rPr>
          <w:rFonts w:hint="eastAsia"/>
          <w:b/>
        </w:rPr>
        <w:t>8</w:t>
      </w:r>
      <w:r>
        <w:rPr>
          <w:rFonts w:hint="eastAsia"/>
        </w:rPr>
        <w:t xml:space="preserve"> </w:t>
      </w:r>
      <w:r>
        <w:rPr>
          <w:rFonts w:hint="eastAsia"/>
        </w:rPr>
        <w:t>比粒度</w:t>
      </w:r>
      <w:r>
        <w:rPr>
          <w:rFonts w:hint="eastAsia"/>
        </w:rPr>
        <w:t>specific</w:t>
      </w:r>
      <w:r w:rsidR="00465A2A">
        <w:t xml:space="preserve"> </w:t>
      </w:r>
      <w:r>
        <w:rPr>
          <w:rFonts w:hint="eastAsia"/>
        </w:rPr>
        <w:t>granularity</w:t>
      </w:r>
    </w:p>
    <w:p w:rsidR="00ED5264" w:rsidRDefault="00B65917">
      <w:pPr>
        <w:pStyle w:val="aff9"/>
        <w:spacing w:line="360" w:lineRule="auto"/>
        <w:ind w:firstLineChars="200" w:firstLine="480"/>
      </w:pPr>
      <w:r>
        <w:rPr>
          <w:rFonts w:hint="eastAsia"/>
        </w:rPr>
        <w:t>比粒度即各粒级分计筛余与相应比表面积指数的乘积，是衡量砂粗细程度的指标。</w:t>
      </w:r>
    </w:p>
    <w:p w:rsidR="00ED5264" w:rsidRDefault="00B65917">
      <w:pPr>
        <w:spacing w:beforeLines="100" w:before="312" w:afterLines="100" w:after="312" w:line="300" w:lineRule="auto"/>
        <w:jc w:val="center"/>
        <w:outlineLvl w:val="1"/>
        <w:rPr>
          <w:b/>
          <w:bCs/>
          <w:sz w:val="24"/>
          <w:szCs w:val="24"/>
          <w:highlight w:val="yellow"/>
        </w:rPr>
      </w:pPr>
      <w:bookmarkStart w:id="77" w:name="_Toc15053012"/>
      <w:bookmarkStart w:id="78" w:name="_Toc29221"/>
      <w:bookmarkStart w:id="79" w:name="_Toc16399"/>
      <w:bookmarkStart w:id="80" w:name="_Toc25075"/>
      <w:bookmarkStart w:id="81" w:name="_Toc23260796"/>
      <w:r>
        <w:rPr>
          <w:b/>
          <w:bCs/>
          <w:sz w:val="24"/>
          <w:szCs w:val="24"/>
        </w:rPr>
        <w:t xml:space="preserve">2.2  </w:t>
      </w:r>
      <w:r>
        <w:rPr>
          <w:b/>
          <w:bCs/>
          <w:sz w:val="24"/>
          <w:szCs w:val="24"/>
        </w:rPr>
        <w:t>符号</w:t>
      </w:r>
      <w:bookmarkEnd w:id="77"/>
      <w:bookmarkEnd w:id="78"/>
      <w:bookmarkEnd w:id="79"/>
      <w:bookmarkEnd w:id="80"/>
      <w:bookmarkEnd w:id="81"/>
    </w:p>
    <w:tbl>
      <w:tblPr>
        <w:tblW w:w="9435" w:type="dxa"/>
        <w:tblInd w:w="93" w:type="dxa"/>
        <w:tblLook w:val="04A0" w:firstRow="1" w:lastRow="0" w:firstColumn="1" w:lastColumn="0" w:noHBand="0" w:noVBand="1"/>
      </w:tblPr>
      <w:tblGrid>
        <w:gridCol w:w="579"/>
        <w:gridCol w:w="696"/>
        <w:gridCol w:w="8160"/>
      </w:tblGrid>
      <w:tr w:rsidR="00ED5264">
        <w:trPr>
          <w:trHeight w:val="330"/>
        </w:trPr>
        <w:tc>
          <w:tcPr>
            <w:tcW w:w="579" w:type="dxa"/>
            <w:tcBorders>
              <w:top w:val="nil"/>
              <w:left w:val="nil"/>
              <w:bottom w:val="nil"/>
              <w:right w:val="nil"/>
            </w:tcBorders>
            <w:shd w:val="clear" w:color="auto" w:fill="auto"/>
            <w:noWrap/>
            <w:vAlign w:val="bottom"/>
          </w:tcPr>
          <w:p w:rsidR="00ED5264" w:rsidRDefault="00B65917">
            <w:pPr>
              <w:widowControl/>
              <w:spacing w:line="400" w:lineRule="exact"/>
              <w:jc w:val="center"/>
              <w:rPr>
                <w:kern w:val="0"/>
                <w:sz w:val="24"/>
                <w:szCs w:val="24"/>
              </w:rPr>
            </w:pPr>
            <m:oMathPara>
              <m:oMath>
                <m:sSub>
                  <m:sSubPr>
                    <m:ctrlPr>
                      <w:rPr>
                        <w:rFonts w:ascii="Cambria Math" w:hAnsi="Cambria Math"/>
                        <w:i/>
                      </w:rPr>
                    </m:ctrlPr>
                  </m:sSubPr>
                  <m:e>
                    <m:r>
                      <w:rPr>
                        <w:rFonts w:ascii="Cambria Math" w:hAnsi="Cambria Math"/>
                      </w:rPr>
                      <m:t>μ</m:t>
                    </m:r>
                  </m:e>
                  <m:sub>
                    <m:r>
                      <w:rPr>
                        <w:rFonts w:ascii="Cambria Math" w:hAnsi="Cambria Math"/>
                      </w:rPr>
                      <m:t>f</m:t>
                    </m:r>
                  </m:sub>
                </m:sSub>
              </m:oMath>
            </m:oMathPara>
          </w:p>
        </w:tc>
        <w:tc>
          <w:tcPr>
            <w:tcW w:w="696" w:type="dxa"/>
            <w:tcBorders>
              <w:top w:val="nil"/>
              <w:left w:val="nil"/>
              <w:bottom w:val="nil"/>
              <w:right w:val="nil"/>
            </w:tcBorders>
            <w:shd w:val="clear" w:color="auto" w:fill="auto"/>
            <w:noWrap/>
            <w:vAlign w:val="bottom"/>
          </w:tcPr>
          <w:p w:rsidR="00ED5264" w:rsidRDefault="00B65917">
            <w:pPr>
              <w:widowControl/>
              <w:spacing w:line="400" w:lineRule="exact"/>
              <w:jc w:val="left"/>
              <w:rPr>
                <w:kern w:val="0"/>
                <w:sz w:val="24"/>
                <w:szCs w:val="24"/>
              </w:rPr>
            </w:pPr>
            <w:r>
              <w:rPr>
                <w:kern w:val="0"/>
                <w:sz w:val="24"/>
                <w:szCs w:val="24"/>
              </w:rPr>
              <w:t>——</w:t>
            </w:r>
          </w:p>
        </w:tc>
        <w:tc>
          <w:tcPr>
            <w:tcW w:w="8160" w:type="dxa"/>
            <w:tcBorders>
              <w:top w:val="nil"/>
              <w:left w:val="nil"/>
              <w:bottom w:val="nil"/>
              <w:right w:val="nil"/>
            </w:tcBorders>
            <w:shd w:val="clear" w:color="auto" w:fill="auto"/>
            <w:noWrap/>
            <w:vAlign w:val="bottom"/>
          </w:tcPr>
          <w:p w:rsidR="00ED5264" w:rsidRDefault="00B65917">
            <w:pPr>
              <w:widowControl/>
              <w:spacing w:line="400" w:lineRule="exact"/>
              <w:jc w:val="left"/>
              <w:rPr>
                <w:kern w:val="0"/>
                <w:sz w:val="24"/>
                <w:szCs w:val="24"/>
              </w:rPr>
            </w:pPr>
            <w:r>
              <w:rPr>
                <w:rFonts w:hint="eastAsia"/>
                <w:sz w:val="24"/>
                <w:szCs w:val="24"/>
              </w:rPr>
              <w:t>混合砂的细度模数</w:t>
            </w:r>
            <w:r>
              <w:rPr>
                <w:kern w:val="0"/>
                <w:sz w:val="24"/>
                <w:szCs w:val="24"/>
              </w:rPr>
              <w:t>；</w:t>
            </w:r>
          </w:p>
        </w:tc>
      </w:tr>
      <w:tr w:rsidR="00ED5264">
        <w:trPr>
          <w:trHeight w:val="330"/>
        </w:trPr>
        <w:tc>
          <w:tcPr>
            <w:tcW w:w="579" w:type="dxa"/>
            <w:tcBorders>
              <w:top w:val="nil"/>
              <w:left w:val="nil"/>
              <w:bottom w:val="nil"/>
              <w:right w:val="nil"/>
            </w:tcBorders>
            <w:shd w:val="clear" w:color="auto" w:fill="auto"/>
            <w:noWrap/>
            <w:vAlign w:val="bottom"/>
          </w:tcPr>
          <w:p w:rsidR="00ED5264" w:rsidRDefault="00B65917">
            <w:pPr>
              <w:widowControl/>
              <w:spacing w:line="400" w:lineRule="exact"/>
              <w:jc w:val="center"/>
              <w:rPr>
                <w:kern w:val="0"/>
                <w:sz w:val="24"/>
                <w:szCs w:val="24"/>
              </w:rPr>
            </w:pPr>
            <m:oMathPara>
              <m:oMath>
                <m:sSub>
                  <m:sSubPr>
                    <m:ctrlPr>
                      <w:rPr>
                        <w:rFonts w:ascii="Cambria Math" w:hAnsi="Cambria Math"/>
                        <w:i/>
                      </w:rPr>
                    </m:ctrlPr>
                  </m:sSubPr>
                  <m:e>
                    <m:r>
                      <w:rPr>
                        <w:rFonts w:ascii="Cambria Math" w:hAnsi="Cambria Math"/>
                      </w:rPr>
                      <m:t>α</m:t>
                    </m:r>
                  </m:e>
                  <m:sub>
                    <m:r>
                      <w:rPr>
                        <w:rFonts w:ascii="Cambria Math" w:hAnsi="Cambria Math"/>
                      </w:rPr>
                      <m:t>1</m:t>
                    </m:r>
                  </m:sub>
                </m:sSub>
              </m:oMath>
            </m:oMathPara>
          </w:p>
        </w:tc>
        <w:tc>
          <w:tcPr>
            <w:tcW w:w="696" w:type="dxa"/>
            <w:tcBorders>
              <w:top w:val="nil"/>
              <w:left w:val="nil"/>
              <w:bottom w:val="nil"/>
              <w:right w:val="nil"/>
            </w:tcBorders>
            <w:shd w:val="clear" w:color="auto" w:fill="auto"/>
            <w:noWrap/>
            <w:vAlign w:val="bottom"/>
          </w:tcPr>
          <w:p w:rsidR="00ED5264" w:rsidRDefault="00B65917">
            <w:pPr>
              <w:widowControl/>
              <w:spacing w:line="400" w:lineRule="exact"/>
              <w:jc w:val="left"/>
              <w:rPr>
                <w:kern w:val="0"/>
                <w:sz w:val="24"/>
                <w:szCs w:val="24"/>
              </w:rPr>
            </w:pPr>
            <w:r>
              <w:rPr>
                <w:kern w:val="0"/>
                <w:sz w:val="24"/>
                <w:szCs w:val="24"/>
              </w:rPr>
              <w:t>——</w:t>
            </w:r>
          </w:p>
        </w:tc>
        <w:tc>
          <w:tcPr>
            <w:tcW w:w="8160" w:type="dxa"/>
            <w:tcBorders>
              <w:top w:val="nil"/>
              <w:left w:val="nil"/>
              <w:bottom w:val="nil"/>
              <w:right w:val="nil"/>
            </w:tcBorders>
            <w:shd w:val="clear" w:color="auto" w:fill="auto"/>
            <w:noWrap/>
            <w:vAlign w:val="bottom"/>
          </w:tcPr>
          <w:p w:rsidR="00ED5264" w:rsidRDefault="00B65917">
            <w:pPr>
              <w:widowControl/>
              <w:spacing w:line="400" w:lineRule="exact"/>
              <w:jc w:val="left"/>
              <w:rPr>
                <w:kern w:val="0"/>
                <w:sz w:val="24"/>
                <w:szCs w:val="24"/>
              </w:rPr>
            </w:pPr>
            <w:r>
              <w:rPr>
                <w:rFonts w:hint="eastAsia"/>
                <w:sz w:val="24"/>
                <w:szCs w:val="24"/>
              </w:rPr>
              <w:t>混合砂中机制砂所占比例</w:t>
            </w:r>
            <w:r>
              <w:rPr>
                <w:kern w:val="0"/>
                <w:sz w:val="24"/>
                <w:szCs w:val="24"/>
              </w:rPr>
              <w:t>；</w:t>
            </w:r>
          </w:p>
        </w:tc>
      </w:tr>
      <w:tr w:rsidR="00ED5264">
        <w:trPr>
          <w:trHeight w:val="330"/>
        </w:trPr>
        <w:tc>
          <w:tcPr>
            <w:tcW w:w="579" w:type="dxa"/>
            <w:tcBorders>
              <w:top w:val="nil"/>
              <w:left w:val="nil"/>
              <w:bottom w:val="nil"/>
              <w:right w:val="nil"/>
            </w:tcBorders>
            <w:shd w:val="clear" w:color="auto" w:fill="auto"/>
            <w:noWrap/>
            <w:vAlign w:val="bottom"/>
          </w:tcPr>
          <w:p w:rsidR="00ED5264" w:rsidRDefault="00B65917">
            <w:pPr>
              <w:widowControl/>
              <w:spacing w:line="400" w:lineRule="exact"/>
              <w:jc w:val="center"/>
              <w:rPr>
                <w:kern w:val="0"/>
                <w:sz w:val="24"/>
                <w:szCs w:val="24"/>
              </w:rPr>
            </w:pPr>
            <m:oMathPara>
              <m:oMath>
                <m:sSub>
                  <m:sSubPr>
                    <m:ctrlPr>
                      <w:rPr>
                        <w:rFonts w:ascii="Cambria Math" w:hAnsi="Cambria Math"/>
                        <w:i/>
                      </w:rPr>
                    </m:ctrlPr>
                  </m:sSubPr>
                  <m:e>
                    <m:r>
                      <w:rPr>
                        <w:rFonts w:ascii="Cambria Math" w:hAnsi="Cambria Math"/>
                      </w:rPr>
                      <m:t>α</m:t>
                    </m:r>
                  </m:e>
                  <m:sub>
                    <m:r>
                      <w:rPr>
                        <w:rFonts w:ascii="Cambria Math" w:hAnsi="Cambria Math"/>
                      </w:rPr>
                      <m:t>2</m:t>
                    </m:r>
                  </m:sub>
                </m:sSub>
              </m:oMath>
            </m:oMathPara>
          </w:p>
        </w:tc>
        <w:tc>
          <w:tcPr>
            <w:tcW w:w="696" w:type="dxa"/>
            <w:tcBorders>
              <w:top w:val="nil"/>
              <w:left w:val="nil"/>
              <w:bottom w:val="nil"/>
              <w:right w:val="nil"/>
            </w:tcBorders>
            <w:shd w:val="clear" w:color="auto" w:fill="auto"/>
            <w:noWrap/>
            <w:vAlign w:val="bottom"/>
          </w:tcPr>
          <w:p w:rsidR="00ED5264" w:rsidRDefault="00B65917">
            <w:pPr>
              <w:widowControl/>
              <w:spacing w:line="400" w:lineRule="exact"/>
              <w:jc w:val="left"/>
              <w:rPr>
                <w:kern w:val="0"/>
                <w:sz w:val="24"/>
                <w:szCs w:val="24"/>
              </w:rPr>
            </w:pPr>
            <w:r>
              <w:rPr>
                <w:kern w:val="0"/>
                <w:sz w:val="24"/>
                <w:szCs w:val="24"/>
              </w:rPr>
              <w:t>——</w:t>
            </w:r>
          </w:p>
        </w:tc>
        <w:tc>
          <w:tcPr>
            <w:tcW w:w="8160" w:type="dxa"/>
            <w:tcBorders>
              <w:top w:val="nil"/>
              <w:left w:val="nil"/>
              <w:bottom w:val="nil"/>
              <w:right w:val="nil"/>
            </w:tcBorders>
            <w:shd w:val="clear" w:color="auto" w:fill="auto"/>
            <w:noWrap/>
            <w:vAlign w:val="bottom"/>
          </w:tcPr>
          <w:p w:rsidR="00ED5264" w:rsidRDefault="00B65917">
            <w:pPr>
              <w:widowControl/>
              <w:spacing w:line="400" w:lineRule="exact"/>
              <w:jc w:val="left"/>
              <w:rPr>
                <w:kern w:val="0"/>
                <w:sz w:val="24"/>
                <w:szCs w:val="24"/>
              </w:rPr>
            </w:pPr>
            <w:r>
              <w:rPr>
                <w:rFonts w:hint="eastAsia"/>
                <w:sz w:val="24"/>
                <w:szCs w:val="24"/>
              </w:rPr>
              <w:t>混合砂中黄河超细砂所占比例</w:t>
            </w:r>
            <w:r>
              <w:rPr>
                <w:kern w:val="0"/>
                <w:sz w:val="24"/>
                <w:szCs w:val="24"/>
              </w:rPr>
              <w:t>；</w:t>
            </w:r>
          </w:p>
        </w:tc>
      </w:tr>
      <w:tr w:rsidR="00ED5264">
        <w:trPr>
          <w:trHeight w:val="375"/>
        </w:trPr>
        <w:tc>
          <w:tcPr>
            <w:tcW w:w="579" w:type="dxa"/>
            <w:tcBorders>
              <w:top w:val="nil"/>
              <w:left w:val="nil"/>
              <w:bottom w:val="nil"/>
              <w:right w:val="nil"/>
            </w:tcBorders>
            <w:shd w:val="clear" w:color="auto" w:fill="auto"/>
            <w:noWrap/>
            <w:vAlign w:val="bottom"/>
          </w:tcPr>
          <w:p w:rsidR="00ED5264" w:rsidRDefault="00B65917">
            <w:pPr>
              <w:widowControl/>
              <w:spacing w:line="400" w:lineRule="exact"/>
              <w:jc w:val="center"/>
              <w:rPr>
                <w:i/>
                <w:iCs/>
                <w:kern w:val="0"/>
                <w:sz w:val="24"/>
                <w:szCs w:val="24"/>
              </w:rPr>
            </w:pPr>
            <m:oMathPara>
              <m:oMath>
                <m:sSub>
                  <m:sSubPr>
                    <m:ctrlPr>
                      <w:rPr>
                        <w:rFonts w:ascii="Cambria Math" w:hAnsi="Cambria Math" w:cs="Cambria Math"/>
                        <w:i/>
                        <w:sz w:val="24"/>
                      </w:rPr>
                    </m:ctrlPr>
                  </m:sSubPr>
                  <m:e>
                    <m:r>
                      <w:rPr>
                        <w:rFonts w:ascii="Cambria Math" w:hAnsi="Cambria Math" w:cs="Cambria Math"/>
                        <w:sz w:val="24"/>
                      </w:rPr>
                      <m:t>μ</m:t>
                    </m:r>
                  </m:e>
                  <m:sub>
                    <m:r>
                      <w:rPr>
                        <w:rFonts w:ascii="Cambria Math" w:hAnsi="Cambria Math" w:cs="Cambria Math"/>
                        <w:sz w:val="24"/>
                      </w:rPr>
                      <m:t>f</m:t>
                    </m:r>
                    <m:r>
                      <w:rPr>
                        <w:rFonts w:ascii="Cambria Math" w:hAnsi="Cambria Math" w:cs="Cambria Math"/>
                        <w:sz w:val="24"/>
                      </w:rPr>
                      <m:t>1</m:t>
                    </m:r>
                  </m:sub>
                </m:sSub>
              </m:oMath>
            </m:oMathPara>
          </w:p>
        </w:tc>
        <w:tc>
          <w:tcPr>
            <w:tcW w:w="696" w:type="dxa"/>
            <w:tcBorders>
              <w:top w:val="nil"/>
              <w:left w:val="nil"/>
              <w:bottom w:val="nil"/>
              <w:right w:val="nil"/>
            </w:tcBorders>
            <w:shd w:val="clear" w:color="auto" w:fill="auto"/>
            <w:noWrap/>
            <w:vAlign w:val="bottom"/>
          </w:tcPr>
          <w:p w:rsidR="00ED5264" w:rsidRDefault="00B65917">
            <w:pPr>
              <w:widowControl/>
              <w:spacing w:line="400" w:lineRule="exact"/>
              <w:jc w:val="left"/>
              <w:rPr>
                <w:kern w:val="0"/>
                <w:sz w:val="24"/>
                <w:szCs w:val="24"/>
              </w:rPr>
            </w:pPr>
            <w:r>
              <w:rPr>
                <w:kern w:val="0"/>
                <w:sz w:val="24"/>
                <w:szCs w:val="24"/>
              </w:rPr>
              <w:t>——</w:t>
            </w:r>
          </w:p>
        </w:tc>
        <w:tc>
          <w:tcPr>
            <w:tcW w:w="8160" w:type="dxa"/>
            <w:tcBorders>
              <w:top w:val="nil"/>
              <w:left w:val="nil"/>
              <w:bottom w:val="nil"/>
              <w:right w:val="nil"/>
            </w:tcBorders>
            <w:shd w:val="clear" w:color="auto" w:fill="auto"/>
            <w:noWrap/>
            <w:vAlign w:val="center"/>
          </w:tcPr>
          <w:p w:rsidR="00ED5264" w:rsidRDefault="00B65917">
            <w:pPr>
              <w:widowControl/>
              <w:spacing w:line="400" w:lineRule="exact"/>
              <w:rPr>
                <w:kern w:val="0"/>
                <w:sz w:val="24"/>
                <w:szCs w:val="24"/>
              </w:rPr>
            </w:pPr>
            <w:r>
              <w:rPr>
                <w:rFonts w:hint="eastAsia"/>
                <w:sz w:val="24"/>
              </w:rPr>
              <w:t>机制砂的细度模数</w:t>
            </w:r>
            <w:r>
              <w:rPr>
                <w:kern w:val="0"/>
                <w:sz w:val="24"/>
                <w:szCs w:val="24"/>
              </w:rPr>
              <w:t>；</w:t>
            </w:r>
          </w:p>
        </w:tc>
      </w:tr>
      <w:tr w:rsidR="00ED5264">
        <w:trPr>
          <w:trHeight w:val="330"/>
        </w:trPr>
        <w:tc>
          <w:tcPr>
            <w:tcW w:w="579" w:type="dxa"/>
            <w:tcBorders>
              <w:top w:val="nil"/>
              <w:left w:val="nil"/>
              <w:bottom w:val="nil"/>
              <w:right w:val="nil"/>
            </w:tcBorders>
            <w:shd w:val="clear" w:color="auto" w:fill="auto"/>
            <w:noWrap/>
            <w:vAlign w:val="bottom"/>
          </w:tcPr>
          <w:p w:rsidR="00ED5264" w:rsidRDefault="00B65917">
            <w:pPr>
              <w:widowControl/>
              <w:spacing w:line="400" w:lineRule="exact"/>
              <w:jc w:val="center"/>
              <w:rPr>
                <w:kern w:val="0"/>
                <w:sz w:val="24"/>
                <w:szCs w:val="24"/>
              </w:rPr>
            </w:pPr>
            <m:oMathPara>
              <m:oMath>
                <m:sSub>
                  <m:sSubPr>
                    <m:ctrlPr>
                      <w:rPr>
                        <w:rFonts w:ascii="Cambria Math" w:hAnsi="Cambria Math" w:cs="Cambria Math"/>
                        <w:i/>
                        <w:sz w:val="24"/>
                      </w:rPr>
                    </m:ctrlPr>
                  </m:sSubPr>
                  <m:e>
                    <m:r>
                      <w:rPr>
                        <w:rFonts w:ascii="Cambria Math" w:hAnsi="Cambria Math" w:cs="Cambria Math"/>
                        <w:sz w:val="24"/>
                      </w:rPr>
                      <m:t>μ</m:t>
                    </m:r>
                  </m:e>
                  <m:sub>
                    <m:r>
                      <w:rPr>
                        <w:rFonts w:ascii="Cambria Math" w:hAnsi="Cambria Math" w:cs="Cambria Math"/>
                        <w:sz w:val="24"/>
                      </w:rPr>
                      <m:t>f</m:t>
                    </m:r>
                    <m:r>
                      <w:rPr>
                        <w:rFonts w:ascii="Cambria Math" w:hAnsi="Cambria Math" w:cs="Cambria Math"/>
                        <w:sz w:val="24"/>
                      </w:rPr>
                      <m:t>2</m:t>
                    </m:r>
                  </m:sub>
                </m:sSub>
              </m:oMath>
            </m:oMathPara>
          </w:p>
        </w:tc>
        <w:tc>
          <w:tcPr>
            <w:tcW w:w="696" w:type="dxa"/>
            <w:tcBorders>
              <w:top w:val="nil"/>
              <w:left w:val="nil"/>
              <w:bottom w:val="nil"/>
              <w:right w:val="nil"/>
            </w:tcBorders>
            <w:shd w:val="clear" w:color="auto" w:fill="auto"/>
            <w:noWrap/>
            <w:vAlign w:val="bottom"/>
          </w:tcPr>
          <w:p w:rsidR="00ED5264" w:rsidRDefault="00B65917">
            <w:pPr>
              <w:widowControl/>
              <w:spacing w:line="400" w:lineRule="exact"/>
              <w:jc w:val="left"/>
              <w:rPr>
                <w:kern w:val="0"/>
                <w:sz w:val="24"/>
                <w:szCs w:val="24"/>
              </w:rPr>
            </w:pPr>
            <w:r>
              <w:rPr>
                <w:kern w:val="0"/>
                <w:sz w:val="24"/>
                <w:szCs w:val="24"/>
              </w:rPr>
              <w:t>——</w:t>
            </w:r>
          </w:p>
        </w:tc>
        <w:tc>
          <w:tcPr>
            <w:tcW w:w="8160" w:type="dxa"/>
            <w:tcBorders>
              <w:top w:val="nil"/>
              <w:left w:val="nil"/>
              <w:bottom w:val="nil"/>
              <w:right w:val="nil"/>
            </w:tcBorders>
            <w:shd w:val="clear" w:color="auto" w:fill="auto"/>
            <w:noWrap/>
            <w:vAlign w:val="bottom"/>
          </w:tcPr>
          <w:p w:rsidR="00ED5264" w:rsidRDefault="00B65917">
            <w:pPr>
              <w:widowControl/>
              <w:spacing w:line="400" w:lineRule="exact"/>
              <w:jc w:val="left"/>
              <w:rPr>
                <w:kern w:val="0"/>
                <w:sz w:val="24"/>
                <w:szCs w:val="24"/>
              </w:rPr>
            </w:pPr>
            <w:r>
              <w:rPr>
                <w:rFonts w:hint="eastAsia"/>
                <w:sz w:val="24"/>
              </w:rPr>
              <w:t>黄河超细砂的细度模数</w:t>
            </w:r>
            <w:r>
              <w:rPr>
                <w:kern w:val="0"/>
                <w:sz w:val="24"/>
                <w:szCs w:val="24"/>
              </w:rPr>
              <w:t>；</w:t>
            </w:r>
          </w:p>
        </w:tc>
      </w:tr>
      <w:tr w:rsidR="00ED5264">
        <w:trPr>
          <w:trHeight w:val="375"/>
        </w:trPr>
        <w:tc>
          <w:tcPr>
            <w:tcW w:w="579" w:type="dxa"/>
            <w:tcBorders>
              <w:top w:val="nil"/>
              <w:left w:val="nil"/>
              <w:bottom w:val="nil"/>
              <w:right w:val="nil"/>
            </w:tcBorders>
            <w:shd w:val="clear" w:color="auto" w:fill="auto"/>
            <w:noWrap/>
            <w:vAlign w:val="center"/>
          </w:tcPr>
          <w:p w:rsidR="00ED5264" w:rsidRDefault="00B65917">
            <w:pPr>
              <w:widowControl/>
              <w:spacing w:line="400" w:lineRule="exact"/>
              <w:jc w:val="center"/>
              <w:rPr>
                <w:i/>
                <w:iCs/>
                <w:kern w:val="0"/>
                <w:sz w:val="24"/>
                <w:szCs w:val="24"/>
              </w:rPr>
            </w:pPr>
            <m:oMathPara>
              <m:oMath>
                <m:sSub>
                  <m:sSubPr>
                    <m:ctrlPr>
                      <w:rPr>
                        <w:rFonts w:ascii="Cambria Math" w:hAnsi="Cambria Math"/>
                        <w:i/>
                      </w:rPr>
                    </m:ctrlPr>
                  </m:sSubPr>
                  <m:e>
                    <m:r>
                      <w:rPr>
                        <w:rFonts w:ascii="Cambria Math" w:hAnsi="Cambria Math"/>
                      </w:rPr>
                      <m:t>β</m:t>
                    </m:r>
                  </m:e>
                  <m:sub>
                    <m:r>
                      <w:rPr>
                        <w:rFonts w:ascii="Cambria Math" w:hAnsi="Cambria Math"/>
                      </w:rPr>
                      <m:t>1</m:t>
                    </m:r>
                  </m:sub>
                </m:sSub>
              </m:oMath>
            </m:oMathPara>
          </w:p>
        </w:tc>
        <w:tc>
          <w:tcPr>
            <w:tcW w:w="696" w:type="dxa"/>
            <w:tcBorders>
              <w:top w:val="nil"/>
              <w:left w:val="nil"/>
              <w:bottom w:val="nil"/>
              <w:right w:val="nil"/>
            </w:tcBorders>
            <w:shd w:val="clear" w:color="auto" w:fill="auto"/>
            <w:noWrap/>
            <w:vAlign w:val="bottom"/>
          </w:tcPr>
          <w:p w:rsidR="00ED5264" w:rsidRDefault="00B65917">
            <w:pPr>
              <w:widowControl/>
              <w:spacing w:line="400" w:lineRule="exact"/>
              <w:jc w:val="left"/>
              <w:rPr>
                <w:kern w:val="0"/>
                <w:sz w:val="24"/>
                <w:szCs w:val="24"/>
              </w:rPr>
            </w:pPr>
            <w:r>
              <w:rPr>
                <w:kern w:val="0"/>
                <w:sz w:val="24"/>
                <w:szCs w:val="24"/>
              </w:rPr>
              <w:t>——</w:t>
            </w:r>
          </w:p>
        </w:tc>
        <w:tc>
          <w:tcPr>
            <w:tcW w:w="8160" w:type="dxa"/>
            <w:tcBorders>
              <w:top w:val="nil"/>
              <w:left w:val="nil"/>
              <w:bottom w:val="nil"/>
              <w:right w:val="nil"/>
            </w:tcBorders>
            <w:shd w:val="clear" w:color="auto" w:fill="auto"/>
            <w:noWrap/>
            <w:vAlign w:val="center"/>
          </w:tcPr>
          <w:p w:rsidR="00ED5264" w:rsidRDefault="00B65917">
            <w:pPr>
              <w:widowControl/>
              <w:spacing w:line="400" w:lineRule="exact"/>
              <w:rPr>
                <w:kern w:val="0"/>
                <w:sz w:val="24"/>
                <w:szCs w:val="24"/>
              </w:rPr>
            </w:pPr>
            <w:r>
              <w:rPr>
                <w:rFonts w:hint="eastAsia"/>
                <w:sz w:val="24"/>
                <w:szCs w:val="24"/>
              </w:rPr>
              <w:t>机制砂筛分实验所得公称直径</w:t>
            </w:r>
            <w:r>
              <w:rPr>
                <w:rFonts w:hint="eastAsia"/>
                <w:sz w:val="24"/>
                <w:szCs w:val="24"/>
              </w:rPr>
              <w:t>5.0mm</w:t>
            </w:r>
            <w:r>
              <w:rPr>
                <w:rFonts w:hint="eastAsia"/>
                <w:sz w:val="24"/>
                <w:szCs w:val="24"/>
              </w:rPr>
              <w:t>筛的筛余百分数</w:t>
            </w:r>
            <w:r>
              <w:rPr>
                <w:kern w:val="0"/>
                <w:sz w:val="24"/>
                <w:szCs w:val="24"/>
              </w:rPr>
              <w:t>；</w:t>
            </w:r>
          </w:p>
        </w:tc>
      </w:tr>
      <w:tr w:rsidR="00ED5264">
        <w:trPr>
          <w:trHeight w:val="375"/>
        </w:trPr>
        <w:tc>
          <w:tcPr>
            <w:tcW w:w="579" w:type="dxa"/>
            <w:tcBorders>
              <w:top w:val="nil"/>
              <w:left w:val="nil"/>
              <w:bottom w:val="nil"/>
              <w:right w:val="nil"/>
            </w:tcBorders>
            <w:shd w:val="clear" w:color="auto" w:fill="auto"/>
            <w:noWrap/>
            <w:vAlign w:val="center"/>
          </w:tcPr>
          <w:p w:rsidR="00ED5264" w:rsidRDefault="00B65917">
            <w:pPr>
              <w:widowControl/>
              <w:spacing w:line="400" w:lineRule="exact"/>
              <w:jc w:val="center"/>
              <w:rPr>
                <w:i/>
                <w:iCs/>
                <w:kern w:val="0"/>
                <w:sz w:val="24"/>
                <w:szCs w:val="24"/>
              </w:rPr>
            </w:pPr>
            <m:oMathPara>
              <m:oMath>
                <m:sSub>
                  <m:sSubPr>
                    <m:ctrlPr>
                      <w:rPr>
                        <w:rFonts w:ascii="Cambria Math" w:hAnsi="Cambria Math"/>
                        <w:i/>
                      </w:rPr>
                    </m:ctrlPr>
                  </m:sSubPr>
                  <m:e>
                    <m:r>
                      <w:rPr>
                        <w:rFonts w:ascii="Cambria Math" w:hAnsi="Cambria Math"/>
                      </w:rPr>
                      <m:t>β</m:t>
                    </m:r>
                  </m:e>
                  <m:sub>
                    <m:r>
                      <w:rPr>
                        <w:rFonts w:ascii="Cambria Math" w:hAnsi="Cambria Math"/>
                      </w:rPr>
                      <m:t>2</m:t>
                    </m:r>
                  </m:sub>
                </m:sSub>
              </m:oMath>
            </m:oMathPara>
          </w:p>
        </w:tc>
        <w:tc>
          <w:tcPr>
            <w:tcW w:w="696" w:type="dxa"/>
            <w:tcBorders>
              <w:top w:val="nil"/>
              <w:left w:val="nil"/>
              <w:bottom w:val="nil"/>
              <w:right w:val="nil"/>
            </w:tcBorders>
            <w:shd w:val="clear" w:color="auto" w:fill="auto"/>
            <w:noWrap/>
            <w:vAlign w:val="bottom"/>
          </w:tcPr>
          <w:p w:rsidR="00ED5264" w:rsidRDefault="00B65917">
            <w:pPr>
              <w:widowControl/>
              <w:spacing w:line="400" w:lineRule="exact"/>
              <w:jc w:val="left"/>
              <w:rPr>
                <w:kern w:val="0"/>
                <w:sz w:val="24"/>
                <w:szCs w:val="24"/>
              </w:rPr>
            </w:pPr>
            <w:r>
              <w:rPr>
                <w:kern w:val="0"/>
                <w:sz w:val="24"/>
                <w:szCs w:val="24"/>
              </w:rPr>
              <w:t>——</w:t>
            </w:r>
          </w:p>
        </w:tc>
        <w:tc>
          <w:tcPr>
            <w:tcW w:w="8160" w:type="dxa"/>
            <w:tcBorders>
              <w:top w:val="nil"/>
              <w:left w:val="nil"/>
              <w:bottom w:val="nil"/>
              <w:right w:val="nil"/>
            </w:tcBorders>
            <w:shd w:val="clear" w:color="auto" w:fill="auto"/>
            <w:noWrap/>
            <w:vAlign w:val="center"/>
          </w:tcPr>
          <w:p w:rsidR="00ED5264" w:rsidRDefault="00B65917">
            <w:pPr>
              <w:widowControl/>
              <w:spacing w:line="400" w:lineRule="exact"/>
              <w:rPr>
                <w:kern w:val="0"/>
                <w:sz w:val="24"/>
                <w:szCs w:val="24"/>
              </w:rPr>
            </w:pPr>
            <w:r>
              <w:rPr>
                <w:rFonts w:hint="eastAsia"/>
                <w:sz w:val="24"/>
                <w:szCs w:val="24"/>
              </w:rPr>
              <w:t>黄河超细砂筛分实验所得公称直径</w:t>
            </w:r>
            <w:r>
              <w:rPr>
                <w:rFonts w:hint="eastAsia"/>
                <w:sz w:val="24"/>
                <w:szCs w:val="24"/>
              </w:rPr>
              <w:t>5.0mm</w:t>
            </w:r>
            <w:r>
              <w:rPr>
                <w:rFonts w:hint="eastAsia"/>
                <w:sz w:val="24"/>
                <w:szCs w:val="24"/>
              </w:rPr>
              <w:t>筛的筛余百分数</w:t>
            </w:r>
            <w:r>
              <w:rPr>
                <w:rFonts w:hint="eastAsia"/>
                <w:sz w:val="24"/>
                <w:szCs w:val="24"/>
              </w:rPr>
              <w:t>。</w:t>
            </w:r>
          </w:p>
        </w:tc>
      </w:tr>
    </w:tbl>
    <w:p w:rsidR="00ED5264" w:rsidRDefault="00ED5264">
      <w:pPr>
        <w:widowControl/>
        <w:jc w:val="left"/>
        <w:rPr>
          <w:sz w:val="24"/>
          <w:szCs w:val="24"/>
        </w:rPr>
      </w:pPr>
    </w:p>
    <w:p w:rsidR="00ED5264" w:rsidRDefault="00B65917">
      <w:pPr>
        <w:widowControl/>
        <w:jc w:val="left"/>
        <w:rPr>
          <w:sz w:val="24"/>
          <w:szCs w:val="24"/>
        </w:rPr>
      </w:pPr>
      <w:r>
        <w:rPr>
          <w:sz w:val="24"/>
          <w:szCs w:val="24"/>
        </w:rPr>
        <w:br w:type="page"/>
      </w:r>
    </w:p>
    <w:p w:rsidR="00ED5264" w:rsidRDefault="00B65917">
      <w:pPr>
        <w:pStyle w:val="1"/>
        <w:spacing w:before="120" w:after="120" w:line="360" w:lineRule="auto"/>
        <w:jc w:val="center"/>
        <w:rPr>
          <w:sz w:val="24"/>
          <w:szCs w:val="24"/>
        </w:rPr>
      </w:pPr>
      <w:bookmarkStart w:id="82" w:name="_Toc23260797"/>
      <w:bookmarkStart w:id="83" w:name="_Toc15053013"/>
      <w:bookmarkStart w:id="84" w:name="_Toc492050309"/>
      <w:bookmarkStart w:id="85" w:name="_Toc5427"/>
      <w:bookmarkStart w:id="86" w:name="_Toc12913"/>
      <w:bookmarkStart w:id="87" w:name="_Toc499304691"/>
      <w:bookmarkStart w:id="88" w:name="_Toc19997"/>
      <w:bookmarkStart w:id="89" w:name="_Toc21490"/>
      <w:bookmarkStart w:id="90" w:name="_Toc3641"/>
      <w:bookmarkStart w:id="91" w:name="_Toc514685599"/>
      <w:r>
        <w:rPr>
          <w:sz w:val="24"/>
          <w:szCs w:val="24"/>
        </w:rPr>
        <w:lastRenderedPageBreak/>
        <w:t xml:space="preserve">3  </w:t>
      </w:r>
      <w:r>
        <w:rPr>
          <w:sz w:val="24"/>
          <w:szCs w:val="24"/>
        </w:rPr>
        <w:t>基本规定</w:t>
      </w:r>
      <w:bookmarkEnd w:id="82"/>
      <w:bookmarkEnd w:id="83"/>
      <w:bookmarkEnd w:id="84"/>
      <w:bookmarkEnd w:id="85"/>
      <w:bookmarkEnd w:id="86"/>
      <w:bookmarkEnd w:id="87"/>
      <w:bookmarkEnd w:id="88"/>
      <w:bookmarkEnd w:id="89"/>
      <w:bookmarkEnd w:id="90"/>
      <w:bookmarkEnd w:id="91"/>
    </w:p>
    <w:p w:rsidR="00ED5264" w:rsidRDefault="00B65917">
      <w:pPr>
        <w:pStyle w:val="aff9"/>
        <w:spacing w:line="360" w:lineRule="auto"/>
      </w:pPr>
      <w:bookmarkStart w:id="92" w:name="_Toc243285180"/>
      <w:bookmarkStart w:id="93" w:name="_Toc15053014"/>
      <w:bookmarkStart w:id="94" w:name="_Toc514685600"/>
      <w:bookmarkStart w:id="95" w:name="_Toc23260798"/>
      <w:bookmarkStart w:id="96" w:name="OLE_LINK9"/>
      <w:r>
        <w:rPr>
          <w:b/>
        </w:rPr>
        <w:t>3.0.1</w:t>
      </w:r>
      <w:r>
        <w:t xml:space="preserve">  </w:t>
      </w:r>
      <w:bookmarkEnd w:id="92"/>
      <w:r>
        <w:rPr>
          <w:rFonts w:hint="eastAsia"/>
        </w:rPr>
        <w:t>黄河超细砂</w:t>
      </w:r>
      <w:r>
        <w:t>混凝土的强度等级</w:t>
      </w:r>
      <w:r>
        <w:rPr>
          <w:rFonts w:hint="eastAsia"/>
        </w:rPr>
        <w:t>一般不宜高</w:t>
      </w:r>
      <w:r>
        <w:rPr>
          <w:rFonts w:hint="eastAsia"/>
        </w:rPr>
        <w:t>于</w:t>
      </w:r>
      <w:r>
        <w:t>C</w:t>
      </w:r>
      <w:r>
        <w:rPr>
          <w:rFonts w:hint="eastAsia"/>
        </w:rPr>
        <w:t>6</w:t>
      </w:r>
      <w:r>
        <w:t>0</w:t>
      </w:r>
      <w:r>
        <w:t>。</w:t>
      </w:r>
      <w:bookmarkEnd w:id="93"/>
      <w:bookmarkEnd w:id="94"/>
      <w:bookmarkEnd w:id="95"/>
    </w:p>
    <w:bookmarkEnd w:id="96"/>
    <w:p w:rsidR="00ED5264" w:rsidRDefault="00B65917">
      <w:pPr>
        <w:pStyle w:val="aff9"/>
        <w:spacing w:line="360" w:lineRule="auto"/>
        <w:rPr>
          <w:bCs/>
        </w:rPr>
      </w:pPr>
      <w:r>
        <w:rPr>
          <w:b/>
        </w:rPr>
        <w:t>3.0.2</w:t>
      </w:r>
      <w:r>
        <w:rPr>
          <w:rFonts w:hint="eastAsia"/>
          <w:b/>
        </w:rPr>
        <w:t xml:space="preserve">  </w:t>
      </w:r>
      <w:r>
        <w:rPr>
          <w:rFonts w:hint="eastAsia"/>
          <w:bCs/>
        </w:rPr>
        <w:t>当选用黄河超细砂混合砂配制强度等级高于</w:t>
      </w:r>
      <w:r>
        <w:t>C</w:t>
      </w:r>
      <w:r>
        <w:rPr>
          <w:rFonts w:hint="eastAsia"/>
        </w:rPr>
        <w:t>6</w:t>
      </w:r>
      <w:r>
        <w:t>0</w:t>
      </w:r>
      <w:r>
        <w:rPr>
          <w:rFonts w:hint="eastAsia"/>
          <w:bCs/>
        </w:rPr>
        <w:t>的混凝土时，应通过试验取得可靠数据，经技术论证，在满足工程技术要求及相关标准要求后方可使用。</w:t>
      </w:r>
    </w:p>
    <w:p w:rsidR="00ED5264" w:rsidRDefault="00B65917">
      <w:pPr>
        <w:pStyle w:val="aff9"/>
        <w:spacing w:line="360" w:lineRule="auto"/>
      </w:pPr>
      <w:r>
        <w:rPr>
          <w:b/>
        </w:rPr>
        <w:t>3.0.</w:t>
      </w:r>
      <w:r>
        <w:rPr>
          <w:rFonts w:hint="eastAsia"/>
          <w:b/>
        </w:rPr>
        <w:t>3</w:t>
      </w:r>
      <w:r>
        <w:rPr>
          <w:b/>
        </w:rPr>
        <w:t xml:space="preserve"> </w:t>
      </w:r>
      <w:r>
        <w:rPr>
          <w:rFonts w:hint="eastAsia"/>
          <w:b/>
        </w:rPr>
        <w:t xml:space="preserve"> </w:t>
      </w:r>
      <w:r>
        <w:rPr>
          <w:rFonts w:hint="eastAsia"/>
        </w:rPr>
        <w:t>黄河超细砂</w:t>
      </w:r>
      <w:r>
        <w:t>混凝土</w:t>
      </w:r>
      <w:r>
        <w:rPr>
          <w:rFonts w:hint="eastAsia"/>
        </w:rPr>
        <w:t>的放射性</w:t>
      </w:r>
      <w:r>
        <w:t>应符合现行国家标准《</w:t>
      </w:r>
      <w:r>
        <w:rPr>
          <w:rFonts w:hint="eastAsia"/>
        </w:rPr>
        <w:t>建筑材料放射性核素限量</w:t>
      </w:r>
      <w:r>
        <w:t>》</w:t>
      </w:r>
      <w:r>
        <w:t xml:space="preserve">GB </w:t>
      </w:r>
      <w:r>
        <w:rPr>
          <w:rFonts w:hint="eastAsia"/>
        </w:rPr>
        <w:t>6566</w:t>
      </w:r>
      <w:r>
        <w:t>的规定。</w:t>
      </w:r>
    </w:p>
    <w:p w:rsidR="00ED5264" w:rsidRDefault="00B65917">
      <w:pPr>
        <w:pStyle w:val="aff9"/>
        <w:spacing w:line="360" w:lineRule="auto"/>
      </w:pPr>
      <w:bookmarkStart w:id="97" w:name="_Toc23260799"/>
      <w:bookmarkStart w:id="98" w:name="_Toc243285182"/>
      <w:bookmarkStart w:id="99" w:name="_Toc15053015"/>
      <w:bookmarkStart w:id="100" w:name="_Toc514685601"/>
      <w:r>
        <w:rPr>
          <w:b/>
        </w:rPr>
        <w:t>3.0.</w:t>
      </w:r>
      <w:r>
        <w:rPr>
          <w:rFonts w:hint="eastAsia"/>
          <w:b/>
        </w:rPr>
        <w:t>4</w:t>
      </w:r>
      <w:r>
        <w:t xml:space="preserve">  </w:t>
      </w:r>
      <w:bookmarkEnd w:id="97"/>
      <w:bookmarkEnd w:id="98"/>
      <w:bookmarkEnd w:id="99"/>
      <w:bookmarkEnd w:id="100"/>
      <w:r>
        <w:rPr>
          <w:rFonts w:hint="eastAsia"/>
        </w:rPr>
        <w:t>对于有预防混凝土碱骨料反应设计要求的工程，尚应符合</w:t>
      </w:r>
      <w:r>
        <w:t>现行国家标准</w:t>
      </w:r>
      <w:r>
        <w:rPr>
          <w:rFonts w:hint="eastAsia"/>
        </w:rPr>
        <w:t>《预防混凝土碱骨料反应技术规范》</w:t>
      </w:r>
      <w:r>
        <w:t xml:space="preserve">GB/T </w:t>
      </w:r>
      <w:r>
        <w:rPr>
          <w:rFonts w:hint="eastAsia"/>
        </w:rPr>
        <w:t>50733</w:t>
      </w:r>
      <w:r>
        <w:rPr>
          <w:rFonts w:hint="eastAsia"/>
        </w:rPr>
        <w:t>的规定。</w:t>
      </w:r>
    </w:p>
    <w:p w:rsidR="00ED5264" w:rsidRDefault="00ED5264">
      <w:pPr>
        <w:tabs>
          <w:tab w:val="left" w:pos="2280"/>
        </w:tabs>
        <w:spacing w:line="360" w:lineRule="auto"/>
      </w:pPr>
    </w:p>
    <w:p w:rsidR="00ED5264" w:rsidRDefault="00ED5264">
      <w:pPr>
        <w:tabs>
          <w:tab w:val="left" w:pos="2280"/>
        </w:tabs>
        <w:spacing w:line="360" w:lineRule="auto"/>
      </w:pPr>
    </w:p>
    <w:p w:rsidR="00ED5264" w:rsidRDefault="00ED5264">
      <w:pPr>
        <w:tabs>
          <w:tab w:val="left" w:pos="2280"/>
        </w:tabs>
        <w:spacing w:line="360" w:lineRule="auto"/>
        <w:rPr>
          <w:sz w:val="24"/>
          <w:szCs w:val="24"/>
        </w:rPr>
        <w:sectPr w:rsidR="00ED5264">
          <w:footerReference w:type="even" r:id="rId15"/>
          <w:footerReference w:type="default" r:id="rId16"/>
          <w:pgSz w:w="11906" w:h="16838"/>
          <w:pgMar w:top="1440" w:right="1800" w:bottom="1440" w:left="1800" w:header="851" w:footer="992" w:gutter="0"/>
          <w:pgNumType w:start="1"/>
          <w:cols w:space="720"/>
          <w:docGrid w:type="lines" w:linePitch="312"/>
        </w:sectPr>
      </w:pPr>
    </w:p>
    <w:p w:rsidR="00ED5264" w:rsidRDefault="00B65917">
      <w:pPr>
        <w:pStyle w:val="aff4"/>
        <w:spacing w:before="312" w:after="312"/>
      </w:pPr>
      <w:bookmarkStart w:id="101" w:name="_Toc236584231"/>
      <w:bookmarkStart w:id="102" w:name="_Toc236584161"/>
      <w:bookmarkStart w:id="103" w:name="_Toc235251702"/>
      <w:bookmarkStart w:id="104" w:name="_Toc15053019"/>
      <w:bookmarkStart w:id="105" w:name="_Toc238356680"/>
      <w:bookmarkStart w:id="106" w:name="_Toc32058"/>
      <w:bookmarkStart w:id="107" w:name="_Toc245291071"/>
      <w:bookmarkStart w:id="108" w:name="_Toc18029"/>
      <w:bookmarkStart w:id="109" w:name="_Toc514685605"/>
      <w:bookmarkStart w:id="110" w:name="_Toc245290858"/>
      <w:bookmarkStart w:id="111" w:name="_Toc237336825"/>
      <w:bookmarkStart w:id="112" w:name="_Toc242936854"/>
      <w:bookmarkStart w:id="113" w:name="_Toc245290380"/>
      <w:bookmarkStart w:id="114" w:name="_Toc23260803"/>
      <w:bookmarkStart w:id="115" w:name="_Toc243285183"/>
      <w:bookmarkStart w:id="116" w:name="_Toc31229"/>
      <w:r>
        <w:lastRenderedPageBreak/>
        <w:t xml:space="preserve">4  </w:t>
      </w:r>
      <w:bookmarkEnd w:id="101"/>
      <w:bookmarkEnd w:id="102"/>
      <w:bookmarkEnd w:id="103"/>
      <w:r>
        <w:t>原材料</w:t>
      </w:r>
      <w:bookmarkEnd w:id="104"/>
      <w:bookmarkEnd w:id="105"/>
      <w:bookmarkEnd w:id="106"/>
      <w:bookmarkEnd w:id="107"/>
      <w:bookmarkEnd w:id="108"/>
      <w:bookmarkEnd w:id="109"/>
      <w:bookmarkEnd w:id="110"/>
      <w:bookmarkEnd w:id="111"/>
      <w:bookmarkEnd w:id="112"/>
      <w:bookmarkEnd w:id="113"/>
      <w:bookmarkEnd w:id="114"/>
      <w:bookmarkEnd w:id="115"/>
      <w:bookmarkEnd w:id="116"/>
    </w:p>
    <w:p w:rsidR="00ED5264" w:rsidRDefault="00B65917">
      <w:pPr>
        <w:spacing w:beforeLines="100" w:before="312" w:afterLines="100" w:after="312" w:line="300" w:lineRule="auto"/>
        <w:jc w:val="center"/>
        <w:outlineLvl w:val="1"/>
        <w:rPr>
          <w:b/>
          <w:bCs/>
          <w:sz w:val="24"/>
          <w:szCs w:val="24"/>
        </w:rPr>
      </w:pPr>
      <w:bookmarkStart w:id="117" w:name="_Toc23260804"/>
      <w:bookmarkStart w:id="118" w:name="_Toc28095"/>
      <w:bookmarkStart w:id="119" w:name="_Toc30711"/>
      <w:bookmarkStart w:id="120" w:name="_Toc11836"/>
      <w:bookmarkStart w:id="121" w:name="_Toc245290381"/>
      <w:bookmarkStart w:id="122" w:name="_Toc237336826"/>
      <w:bookmarkStart w:id="123" w:name="_Toc245290859"/>
      <w:bookmarkStart w:id="124" w:name="_Toc15053020"/>
      <w:bookmarkStart w:id="125" w:name="_Toc514685606"/>
      <w:bookmarkStart w:id="126" w:name="_Toc245291072"/>
      <w:bookmarkStart w:id="127" w:name="_Toc238356681"/>
      <w:bookmarkStart w:id="128" w:name="_Toc243285184"/>
      <w:bookmarkStart w:id="129" w:name="_Toc242936855"/>
      <w:r>
        <w:rPr>
          <w:b/>
          <w:bCs/>
          <w:sz w:val="24"/>
          <w:szCs w:val="24"/>
        </w:rPr>
        <w:t xml:space="preserve">4.1  </w:t>
      </w:r>
      <w:bookmarkEnd w:id="117"/>
      <w:r>
        <w:rPr>
          <w:rFonts w:hint="eastAsia"/>
          <w:b/>
          <w:bCs/>
          <w:sz w:val="24"/>
          <w:szCs w:val="24"/>
        </w:rPr>
        <w:t>黄河超细砂及其混合砂</w:t>
      </w:r>
      <w:bookmarkEnd w:id="118"/>
      <w:bookmarkEnd w:id="119"/>
      <w:bookmarkEnd w:id="120"/>
    </w:p>
    <w:p w:rsidR="00ED5264" w:rsidRDefault="00B65917">
      <w:pPr>
        <w:pStyle w:val="aff9"/>
        <w:spacing w:line="360" w:lineRule="auto"/>
      </w:pPr>
      <w:bookmarkStart w:id="130" w:name="_Toc23260805"/>
      <w:bookmarkStart w:id="131" w:name="OLE_LINK14"/>
      <w:r>
        <w:rPr>
          <w:b/>
        </w:rPr>
        <w:t>4.1.1</w:t>
      </w:r>
      <w:r>
        <w:t xml:space="preserve"> </w:t>
      </w:r>
      <w:bookmarkEnd w:id="130"/>
      <w:r>
        <w:rPr>
          <w:rFonts w:hint="eastAsia"/>
        </w:rPr>
        <w:t>黄河超细砂混合砂</w:t>
      </w:r>
      <w:r>
        <w:rPr>
          <w:rFonts w:hint="eastAsia"/>
        </w:rPr>
        <w:t>的性能</w:t>
      </w:r>
      <w:r>
        <w:t>应</w:t>
      </w:r>
      <w:r>
        <w:rPr>
          <w:rFonts w:hint="eastAsia"/>
        </w:rPr>
        <w:t>符合现行行业标准《建设用砂》</w:t>
      </w:r>
      <w:r>
        <w:rPr>
          <w:rFonts w:hint="eastAsia"/>
        </w:rPr>
        <w:t>GB/T 14684</w:t>
      </w:r>
      <w:r>
        <w:rPr>
          <w:rFonts w:hint="eastAsia"/>
        </w:rPr>
        <w:t>关于混合砂的规定。</w:t>
      </w:r>
    </w:p>
    <w:p w:rsidR="00ED5264" w:rsidRDefault="00B65917">
      <w:pPr>
        <w:pStyle w:val="aff9"/>
        <w:spacing w:line="360" w:lineRule="auto"/>
      </w:pPr>
      <w:bookmarkStart w:id="132" w:name="OLE_LINK15"/>
      <w:bookmarkStart w:id="133" w:name="OLE_LINK18"/>
      <w:bookmarkEnd w:id="131"/>
      <w:r>
        <w:rPr>
          <w:b/>
        </w:rPr>
        <w:t>4.1.</w:t>
      </w:r>
      <w:r>
        <w:rPr>
          <w:rFonts w:hint="eastAsia"/>
          <w:b/>
        </w:rPr>
        <w:t>2</w:t>
      </w:r>
      <w:r>
        <w:t xml:space="preserve"> </w:t>
      </w:r>
      <w:r>
        <w:rPr>
          <w:rFonts w:hint="eastAsia"/>
        </w:rPr>
        <w:t>混合砂中黄河超细砂的亚甲基蓝值（</w:t>
      </w:r>
      <w:r>
        <w:rPr>
          <w:rFonts w:hint="eastAsia"/>
        </w:rPr>
        <w:t>MB</w:t>
      </w:r>
      <w:r>
        <w:rPr>
          <w:rFonts w:hint="eastAsia"/>
        </w:rPr>
        <w:t>）应满足表</w:t>
      </w:r>
      <w:r>
        <w:rPr>
          <w:rFonts w:hint="eastAsia"/>
        </w:rPr>
        <w:t>4.1.</w:t>
      </w:r>
      <w:r w:rsidR="00465A2A">
        <w:t>2</w:t>
      </w:r>
      <w:r>
        <w:rPr>
          <w:rFonts w:hint="eastAsia"/>
        </w:rPr>
        <w:t>的规定</w:t>
      </w:r>
      <w:bookmarkEnd w:id="132"/>
      <w:bookmarkEnd w:id="133"/>
      <w:r>
        <w:rPr>
          <w:rFonts w:hint="eastAsia"/>
        </w:rPr>
        <w:t>。应根据混合砂中</w:t>
      </w:r>
      <w:r>
        <w:t>机制砂的亚甲基蓝值</w:t>
      </w:r>
      <w:r>
        <w:rPr>
          <w:rFonts w:hint="eastAsia"/>
        </w:rPr>
        <w:t>和</w:t>
      </w:r>
      <w:r>
        <w:t>混合砂中黄河超细砂的质量占比</w:t>
      </w:r>
      <w:r>
        <w:rPr>
          <w:rFonts w:hint="eastAsia"/>
        </w:rPr>
        <w:t>确定黄河超细砂的</w:t>
      </w:r>
      <w:r>
        <w:t>亚甲基蓝值（</w:t>
      </w:r>
      <w:r>
        <w:t>MB</w:t>
      </w:r>
      <w:r>
        <w:t>）</w:t>
      </w:r>
      <w:r>
        <w:rPr>
          <w:rFonts w:hint="eastAsia"/>
        </w:rPr>
        <w:t>的控制范围</w:t>
      </w:r>
      <w:r>
        <w:rPr>
          <w:rFonts w:hint="eastAsia"/>
        </w:rPr>
        <w:t>。</w:t>
      </w:r>
    </w:p>
    <w:p w:rsidR="00ED5264" w:rsidRDefault="00B65917">
      <w:pPr>
        <w:topLinePunct/>
        <w:adjustRightInd w:val="0"/>
        <w:jc w:val="center"/>
        <w:rPr>
          <w:rFonts w:eastAsia="黑体"/>
          <w:bCs/>
        </w:rPr>
      </w:pPr>
      <w:r>
        <w:rPr>
          <w:rFonts w:eastAsia="黑体"/>
          <w:bCs/>
        </w:rPr>
        <w:t>表</w:t>
      </w:r>
      <w:r>
        <w:rPr>
          <w:rFonts w:eastAsia="黑体" w:hint="eastAsia"/>
          <w:bCs/>
        </w:rPr>
        <w:t>4</w:t>
      </w:r>
      <w:r>
        <w:rPr>
          <w:rFonts w:eastAsia="黑体"/>
          <w:bCs/>
        </w:rPr>
        <w:t>.1.</w:t>
      </w:r>
      <w:r w:rsidR="00465A2A">
        <w:rPr>
          <w:rFonts w:eastAsia="黑体"/>
          <w:bCs/>
        </w:rPr>
        <w:t>2</w:t>
      </w:r>
      <w:r>
        <w:rPr>
          <w:rFonts w:eastAsia="黑体"/>
          <w:bCs/>
        </w:rPr>
        <w:t xml:space="preserve"> </w:t>
      </w:r>
      <w:r>
        <w:rPr>
          <w:rFonts w:eastAsia="黑体" w:hint="eastAsia"/>
          <w:bCs/>
        </w:rPr>
        <w:t>亚甲基蓝值（</w:t>
      </w:r>
      <w:r>
        <w:rPr>
          <w:rFonts w:eastAsia="黑体" w:hint="eastAsia"/>
          <w:bCs/>
        </w:rPr>
        <w:t>MB</w:t>
      </w:r>
      <w:r>
        <w:rPr>
          <w:rFonts w:eastAsia="黑体" w:hint="eastAsia"/>
          <w:bCs/>
        </w:rPr>
        <w:t>）</w:t>
      </w:r>
    </w:p>
    <w:tbl>
      <w:tblPr>
        <w:tblW w:w="4998"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224"/>
        <w:gridCol w:w="3148"/>
        <w:gridCol w:w="3147"/>
      </w:tblGrid>
      <w:tr w:rsidR="00ED5264">
        <w:trPr>
          <w:trHeight w:val="567"/>
          <w:jc w:val="center"/>
        </w:trPr>
        <w:tc>
          <w:tcPr>
            <w:tcW w:w="1305" w:type="pct"/>
            <w:tcBorders>
              <w:top w:val="single" w:sz="4" w:space="0" w:color="auto"/>
              <w:left w:val="single" w:sz="4" w:space="0" w:color="auto"/>
              <w:bottom w:val="single" w:sz="4" w:space="0" w:color="auto"/>
              <w:right w:val="single" w:sz="4" w:space="0" w:color="auto"/>
            </w:tcBorders>
            <w:vAlign w:val="center"/>
          </w:tcPr>
          <w:p w:rsidR="00ED5264" w:rsidRDefault="00B65917">
            <w:pPr>
              <w:widowControl/>
              <w:spacing w:line="360" w:lineRule="auto"/>
              <w:jc w:val="center"/>
              <w:rPr>
                <w:kern w:val="0"/>
              </w:rPr>
            </w:pPr>
            <w:r>
              <w:t>混合砂中</w:t>
            </w:r>
            <w:r>
              <w:rPr>
                <w:rFonts w:hint="eastAsia"/>
              </w:rPr>
              <w:t>黄河超细砂的</w:t>
            </w:r>
            <w:r>
              <w:t>亚甲基蓝值（</w:t>
            </w:r>
            <w:r>
              <w:t>MB</w:t>
            </w:r>
            <w:r>
              <w:t>）</w:t>
            </w:r>
          </w:p>
        </w:tc>
        <w:tc>
          <w:tcPr>
            <w:tcW w:w="1847" w:type="pct"/>
            <w:tcBorders>
              <w:top w:val="single" w:sz="4" w:space="0" w:color="auto"/>
              <w:left w:val="single" w:sz="4" w:space="0" w:color="auto"/>
              <w:bottom w:val="single" w:sz="4" w:space="0" w:color="auto"/>
              <w:right w:val="single" w:sz="4" w:space="0" w:color="auto"/>
            </w:tcBorders>
            <w:vAlign w:val="center"/>
          </w:tcPr>
          <w:p w:rsidR="00ED5264" w:rsidRDefault="00B65917">
            <w:pPr>
              <w:widowControl/>
              <w:spacing w:line="360" w:lineRule="auto"/>
              <w:jc w:val="center"/>
            </w:pPr>
            <w:r>
              <w:t>混合砂中黄河超细砂的质量占比（</w:t>
            </w:r>
            <w:r>
              <w:t>%</w:t>
            </w:r>
            <w:r>
              <w:t>）</w:t>
            </w:r>
          </w:p>
        </w:tc>
        <w:tc>
          <w:tcPr>
            <w:tcW w:w="1847" w:type="pct"/>
            <w:tcBorders>
              <w:top w:val="single" w:sz="4" w:space="0" w:color="auto"/>
              <w:left w:val="single" w:sz="4" w:space="0" w:color="auto"/>
              <w:bottom w:val="single" w:sz="4" w:space="0" w:color="auto"/>
              <w:right w:val="single" w:sz="4" w:space="0" w:color="auto"/>
            </w:tcBorders>
            <w:vAlign w:val="center"/>
          </w:tcPr>
          <w:p w:rsidR="00ED5264" w:rsidRDefault="00B65917">
            <w:pPr>
              <w:widowControl/>
              <w:spacing w:line="360" w:lineRule="auto"/>
              <w:jc w:val="center"/>
            </w:pPr>
            <w:r>
              <w:t>混合砂中机制砂的亚甲基蓝值（</w:t>
            </w:r>
            <w:r>
              <w:t>MB</w:t>
            </w:r>
            <w:r>
              <w:t>）</w:t>
            </w:r>
          </w:p>
        </w:tc>
      </w:tr>
      <w:tr w:rsidR="00ED5264">
        <w:trPr>
          <w:trHeight w:val="567"/>
          <w:jc w:val="center"/>
        </w:trPr>
        <w:tc>
          <w:tcPr>
            <w:tcW w:w="1305" w:type="pct"/>
            <w:tcBorders>
              <w:top w:val="single" w:sz="4" w:space="0" w:color="auto"/>
              <w:left w:val="single" w:sz="4" w:space="0" w:color="auto"/>
              <w:bottom w:val="single" w:sz="4" w:space="0" w:color="auto"/>
              <w:right w:val="single" w:sz="4" w:space="0" w:color="auto"/>
            </w:tcBorders>
            <w:vAlign w:val="center"/>
          </w:tcPr>
          <w:p w:rsidR="00ED5264" w:rsidRDefault="00B65917">
            <w:pPr>
              <w:widowControl/>
              <w:spacing w:line="360" w:lineRule="auto"/>
              <w:jc w:val="center"/>
              <w:rPr>
                <w:kern w:val="0"/>
              </w:rPr>
            </w:pPr>
            <w:r>
              <w:rPr>
                <w:kern w:val="0"/>
              </w:rPr>
              <w:t>≤4.0</w:t>
            </w:r>
          </w:p>
        </w:tc>
        <w:tc>
          <w:tcPr>
            <w:tcW w:w="1847" w:type="pct"/>
            <w:tcBorders>
              <w:top w:val="single" w:sz="4" w:space="0" w:color="auto"/>
              <w:left w:val="single" w:sz="4" w:space="0" w:color="auto"/>
              <w:right w:val="single" w:sz="4" w:space="0" w:color="auto"/>
            </w:tcBorders>
            <w:vAlign w:val="center"/>
          </w:tcPr>
          <w:p w:rsidR="00ED5264" w:rsidRDefault="00B65917">
            <w:pPr>
              <w:widowControl/>
              <w:spacing w:line="360" w:lineRule="auto"/>
              <w:jc w:val="center"/>
              <w:rPr>
                <w:kern w:val="0"/>
              </w:rPr>
            </w:pPr>
            <w:r>
              <w:rPr>
                <w:kern w:val="0"/>
              </w:rPr>
              <w:t>20~25</w:t>
            </w:r>
          </w:p>
        </w:tc>
        <w:tc>
          <w:tcPr>
            <w:tcW w:w="1847" w:type="pct"/>
            <w:tcBorders>
              <w:top w:val="single" w:sz="4" w:space="0" w:color="auto"/>
              <w:left w:val="single" w:sz="4" w:space="0" w:color="auto"/>
              <w:right w:val="single" w:sz="4" w:space="0" w:color="auto"/>
            </w:tcBorders>
            <w:vAlign w:val="center"/>
          </w:tcPr>
          <w:p w:rsidR="00ED5264" w:rsidRDefault="00B65917">
            <w:pPr>
              <w:widowControl/>
              <w:spacing w:line="360" w:lineRule="auto"/>
              <w:jc w:val="center"/>
              <w:rPr>
                <w:kern w:val="0"/>
              </w:rPr>
            </w:pPr>
            <w:r>
              <w:rPr>
                <w:kern w:val="0"/>
              </w:rPr>
              <w:t>≤0.5</w:t>
            </w:r>
          </w:p>
        </w:tc>
      </w:tr>
      <w:tr w:rsidR="00ED5264">
        <w:trPr>
          <w:trHeight w:val="567"/>
          <w:jc w:val="center"/>
        </w:trPr>
        <w:tc>
          <w:tcPr>
            <w:tcW w:w="1305" w:type="pct"/>
            <w:tcBorders>
              <w:top w:val="single" w:sz="4" w:space="0" w:color="auto"/>
              <w:left w:val="single" w:sz="4" w:space="0" w:color="auto"/>
              <w:bottom w:val="single" w:sz="4" w:space="0" w:color="auto"/>
              <w:right w:val="single" w:sz="4" w:space="0" w:color="auto"/>
            </w:tcBorders>
            <w:vAlign w:val="center"/>
          </w:tcPr>
          <w:p w:rsidR="00ED5264" w:rsidRDefault="00B65917">
            <w:pPr>
              <w:widowControl/>
              <w:spacing w:line="360" w:lineRule="auto"/>
              <w:jc w:val="center"/>
              <w:rPr>
                <w:kern w:val="0"/>
              </w:rPr>
            </w:pPr>
            <w:r>
              <w:rPr>
                <w:kern w:val="0"/>
              </w:rPr>
              <w:t>≤5.0</w:t>
            </w:r>
          </w:p>
        </w:tc>
        <w:tc>
          <w:tcPr>
            <w:tcW w:w="1847" w:type="pct"/>
            <w:tcBorders>
              <w:top w:val="single" w:sz="4" w:space="0" w:color="auto"/>
              <w:left w:val="single" w:sz="4" w:space="0" w:color="auto"/>
              <w:bottom w:val="single" w:sz="4" w:space="0" w:color="auto"/>
              <w:right w:val="single" w:sz="4" w:space="0" w:color="auto"/>
            </w:tcBorders>
            <w:vAlign w:val="center"/>
          </w:tcPr>
          <w:p w:rsidR="00ED5264" w:rsidRDefault="00B65917">
            <w:pPr>
              <w:widowControl/>
              <w:spacing w:line="360" w:lineRule="auto"/>
              <w:jc w:val="center"/>
              <w:rPr>
                <w:kern w:val="0"/>
              </w:rPr>
            </w:pPr>
            <w:r>
              <w:rPr>
                <w:rFonts w:hint="eastAsia"/>
                <w:kern w:val="0"/>
              </w:rPr>
              <w:t>15~</w:t>
            </w:r>
            <w:r>
              <w:rPr>
                <w:kern w:val="0"/>
              </w:rPr>
              <w:t>20</w:t>
            </w:r>
          </w:p>
        </w:tc>
        <w:tc>
          <w:tcPr>
            <w:tcW w:w="1847" w:type="pct"/>
            <w:tcBorders>
              <w:top w:val="single" w:sz="4" w:space="0" w:color="auto"/>
              <w:left w:val="single" w:sz="4" w:space="0" w:color="auto"/>
              <w:bottom w:val="single" w:sz="4" w:space="0" w:color="auto"/>
              <w:right w:val="single" w:sz="4" w:space="0" w:color="auto"/>
            </w:tcBorders>
            <w:vAlign w:val="center"/>
          </w:tcPr>
          <w:p w:rsidR="00ED5264" w:rsidRDefault="00B65917">
            <w:pPr>
              <w:widowControl/>
              <w:spacing w:line="360" w:lineRule="auto"/>
              <w:jc w:val="center"/>
              <w:rPr>
                <w:kern w:val="0"/>
              </w:rPr>
            </w:pPr>
            <w:r>
              <w:rPr>
                <w:kern w:val="0"/>
              </w:rPr>
              <w:t>≤0.5</w:t>
            </w:r>
          </w:p>
        </w:tc>
      </w:tr>
      <w:tr w:rsidR="00ED5264">
        <w:trPr>
          <w:trHeight w:val="567"/>
          <w:jc w:val="center"/>
        </w:trPr>
        <w:tc>
          <w:tcPr>
            <w:tcW w:w="1305" w:type="pct"/>
            <w:tcBorders>
              <w:top w:val="single" w:sz="4" w:space="0" w:color="auto"/>
              <w:left w:val="single" w:sz="4" w:space="0" w:color="auto"/>
              <w:bottom w:val="single" w:sz="4" w:space="0" w:color="auto"/>
              <w:right w:val="single" w:sz="4" w:space="0" w:color="auto"/>
            </w:tcBorders>
            <w:vAlign w:val="center"/>
          </w:tcPr>
          <w:p w:rsidR="00ED5264" w:rsidRDefault="00B65917">
            <w:pPr>
              <w:widowControl/>
              <w:spacing w:line="360" w:lineRule="auto"/>
              <w:jc w:val="center"/>
              <w:rPr>
                <w:kern w:val="0"/>
              </w:rPr>
            </w:pPr>
            <w:r>
              <w:rPr>
                <w:kern w:val="0"/>
              </w:rPr>
              <w:t>≤6.0</w:t>
            </w:r>
          </w:p>
        </w:tc>
        <w:tc>
          <w:tcPr>
            <w:tcW w:w="1847" w:type="pct"/>
            <w:tcBorders>
              <w:top w:val="single" w:sz="4" w:space="0" w:color="auto"/>
              <w:left w:val="single" w:sz="4" w:space="0" w:color="auto"/>
              <w:bottom w:val="single" w:sz="4" w:space="0" w:color="auto"/>
              <w:right w:val="single" w:sz="4" w:space="0" w:color="auto"/>
            </w:tcBorders>
            <w:vAlign w:val="center"/>
          </w:tcPr>
          <w:p w:rsidR="00ED5264" w:rsidRDefault="00B65917">
            <w:pPr>
              <w:widowControl/>
              <w:spacing w:line="360" w:lineRule="auto"/>
              <w:jc w:val="center"/>
              <w:rPr>
                <w:kern w:val="0"/>
              </w:rPr>
            </w:pPr>
            <w:r>
              <w:rPr>
                <w:rFonts w:hint="eastAsia"/>
                <w:kern w:val="0"/>
              </w:rPr>
              <w:t>10~</w:t>
            </w:r>
            <w:r>
              <w:rPr>
                <w:kern w:val="0"/>
              </w:rPr>
              <w:t>15</w:t>
            </w:r>
          </w:p>
        </w:tc>
        <w:tc>
          <w:tcPr>
            <w:tcW w:w="1847" w:type="pct"/>
            <w:tcBorders>
              <w:top w:val="single" w:sz="4" w:space="0" w:color="auto"/>
              <w:left w:val="single" w:sz="4" w:space="0" w:color="auto"/>
              <w:bottom w:val="single" w:sz="4" w:space="0" w:color="auto"/>
              <w:right w:val="single" w:sz="4" w:space="0" w:color="auto"/>
            </w:tcBorders>
            <w:vAlign w:val="center"/>
          </w:tcPr>
          <w:p w:rsidR="00ED5264" w:rsidRDefault="00B65917">
            <w:pPr>
              <w:widowControl/>
              <w:spacing w:line="360" w:lineRule="auto"/>
              <w:jc w:val="center"/>
              <w:rPr>
                <w:kern w:val="0"/>
              </w:rPr>
            </w:pPr>
            <w:r>
              <w:rPr>
                <w:kern w:val="0"/>
              </w:rPr>
              <w:t>≤0.5</w:t>
            </w:r>
          </w:p>
        </w:tc>
      </w:tr>
      <w:tr w:rsidR="00ED5264">
        <w:trPr>
          <w:trHeight w:val="567"/>
          <w:jc w:val="center"/>
        </w:trPr>
        <w:tc>
          <w:tcPr>
            <w:tcW w:w="1305" w:type="pct"/>
            <w:tcBorders>
              <w:top w:val="single" w:sz="4" w:space="0" w:color="auto"/>
              <w:left w:val="single" w:sz="4" w:space="0" w:color="auto"/>
              <w:bottom w:val="single" w:sz="4" w:space="0" w:color="auto"/>
              <w:right w:val="single" w:sz="4" w:space="0" w:color="auto"/>
            </w:tcBorders>
            <w:vAlign w:val="center"/>
          </w:tcPr>
          <w:p w:rsidR="00ED5264" w:rsidRDefault="00B65917">
            <w:pPr>
              <w:widowControl/>
              <w:spacing w:line="360" w:lineRule="auto"/>
              <w:jc w:val="center"/>
              <w:rPr>
                <w:kern w:val="0"/>
              </w:rPr>
            </w:pPr>
            <w:r>
              <w:rPr>
                <w:kern w:val="0"/>
              </w:rPr>
              <w:t>≤9.0</w:t>
            </w:r>
          </w:p>
        </w:tc>
        <w:tc>
          <w:tcPr>
            <w:tcW w:w="1847" w:type="pct"/>
            <w:tcBorders>
              <w:top w:val="single" w:sz="4" w:space="0" w:color="auto"/>
              <w:left w:val="single" w:sz="4" w:space="0" w:color="auto"/>
              <w:bottom w:val="single" w:sz="4" w:space="0" w:color="auto"/>
              <w:right w:val="single" w:sz="4" w:space="0" w:color="auto"/>
            </w:tcBorders>
            <w:vAlign w:val="center"/>
          </w:tcPr>
          <w:p w:rsidR="00ED5264" w:rsidRDefault="00B65917">
            <w:pPr>
              <w:widowControl/>
              <w:spacing w:line="360" w:lineRule="auto"/>
              <w:jc w:val="center"/>
              <w:rPr>
                <w:kern w:val="0"/>
              </w:rPr>
            </w:pPr>
            <w:r>
              <w:rPr>
                <w:rFonts w:hint="eastAsia"/>
                <w:kern w:val="0"/>
              </w:rPr>
              <w:t>5~</w:t>
            </w:r>
            <w:r>
              <w:rPr>
                <w:kern w:val="0"/>
              </w:rPr>
              <w:t>10</w:t>
            </w:r>
          </w:p>
        </w:tc>
        <w:tc>
          <w:tcPr>
            <w:tcW w:w="1847" w:type="pct"/>
            <w:tcBorders>
              <w:top w:val="single" w:sz="4" w:space="0" w:color="auto"/>
              <w:left w:val="single" w:sz="4" w:space="0" w:color="auto"/>
              <w:bottom w:val="single" w:sz="4" w:space="0" w:color="auto"/>
              <w:right w:val="single" w:sz="4" w:space="0" w:color="auto"/>
            </w:tcBorders>
            <w:vAlign w:val="center"/>
          </w:tcPr>
          <w:p w:rsidR="00ED5264" w:rsidRDefault="00B65917">
            <w:pPr>
              <w:widowControl/>
              <w:spacing w:line="360" w:lineRule="auto"/>
              <w:jc w:val="center"/>
              <w:rPr>
                <w:kern w:val="0"/>
              </w:rPr>
            </w:pPr>
            <w:r>
              <w:rPr>
                <w:kern w:val="0"/>
              </w:rPr>
              <w:t>≤0.5</w:t>
            </w:r>
          </w:p>
        </w:tc>
      </w:tr>
      <w:tr w:rsidR="00ED5264">
        <w:trPr>
          <w:trHeight w:val="567"/>
          <w:jc w:val="center"/>
        </w:trPr>
        <w:tc>
          <w:tcPr>
            <w:tcW w:w="1305" w:type="pct"/>
            <w:tcBorders>
              <w:top w:val="single" w:sz="4" w:space="0" w:color="auto"/>
              <w:left w:val="single" w:sz="4" w:space="0" w:color="auto"/>
              <w:bottom w:val="single" w:sz="4" w:space="0" w:color="auto"/>
              <w:right w:val="single" w:sz="4" w:space="0" w:color="auto"/>
            </w:tcBorders>
            <w:vAlign w:val="center"/>
          </w:tcPr>
          <w:p w:rsidR="00ED5264" w:rsidRDefault="00B65917">
            <w:pPr>
              <w:widowControl/>
              <w:spacing w:line="360" w:lineRule="auto"/>
              <w:jc w:val="center"/>
              <w:rPr>
                <w:kern w:val="0"/>
              </w:rPr>
            </w:pPr>
            <w:r>
              <w:rPr>
                <w:kern w:val="0"/>
              </w:rPr>
              <w:t>≤15.0</w:t>
            </w:r>
          </w:p>
        </w:tc>
        <w:tc>
          <w:tcPr>
            <w:tcW w:w="1847" w:type="pct"/>
            <w:tcBorders>
              <w:top w:val="single" w:sz="4" w:space="0" w:color="auto"/>
              <w:left w:val="single" w:sz="4" w:space="0" w:color="auto"/>
              <w:bottom w:val="single" w:sz="4" w:space="0" w:color="auto"/>
              <w:right w:val="single" w:sz="4" w:space="0" w:color="auto"/>
            </w:tcBorders>
            <w:vAlign w:val="center"/>
          </w:tcPr>
          <w:p w:rsidR="00ED5264" w:rsidRDefault="00B65917">
            <w:pPr>
              <w:widowControl/>
              <w:spacing w:line="360" w:lineRule="auto"/>
              <w:jc w:val="center"/>
              <w:rPr>
                <w:kern w:val="0"/>
              </w:rPr>
            </w:pPr>
            <w:r>
              <w:rPr>
                <w:kern w:val="0"/>
              </w:rPr>
              <w:t>≤5</w:t>
            </w:r>
          </w:p>
        </w:tc>
        <w:tc>
          <w:tcPr>
            <w:tcW w:w="1847" w:type="pct"/>
            <w:tcBorders>
              <w:top w:val="single" w:sz="4" w:space="0" w:color="auto"/>
              <w:left w:val="single" w:sz="4" w:space="0" w:color="auto"/>
              <w:bottom w:val="single" w:sz="4" w:space="0" w:color="auto"/>
              <w:right w:val="single" w:sz="4" w:space="0" w:color="auto"/>
            </w:tcBorders>
            <w:vAlign w:val="center"/>
          </w:tcPr>
          <w:p w:rsidR="00ED5264" w:rsidRDefault="00B65917">
            <w:pPr>
              <w:widowControl/>
              <w:spacing w:line="360" w:lineRule="auto"/>
              <w:jc w:val="center"/>
              <w:rPr>
                <w:kern w:val="0"/>
              </w:rPr>
            </w:pPr>
            <w:r>
              <w:rPr>
                <w:kern w:val="0"/>
              </w:rPr>
              <w:t>≤0.5</w:t>
            </w:r>
          </w:p>
        </w:tc>
      </w:tr>
      <w:tr w:rsidR="00ED5264">
        <w:trPr>
          <w:trHeight w:val="567"/>
          <w:jc w:val="center"/>
        </w:trPr>
        <w:tc>
          <w:tcPr>
            <w:tcW w:w="1305" w:type="pct"/>
            <w:tcBorders>
              <w:top w:val="single" w:sz="4" w:space="0" w:color="auto"/>
              <w:left w:val="single" w:sz="4" w:space="0" w:color="auto"/>
              <w:bottom w:val="single" w:sz="4" w:space="0" w:color="auto"/>
              <w:right w:val="single" w:sz="4" w:space="0" w:color="auto"/>
            </w:tcBorders>
            <w:vAlign w:val="center"/>
          </w:tcPr>
          <w:p w:rsidR="00ED5264" w:rsidRDefault="00B65917">
            <w:pPr>
              <w:widowControl/>
              <w:tabs>
                <w:tab w:val="left" w:pos="1080"/>
              </w:tabs>
              <w:spacing w:line="360" w:lineRule="auto"/>
              <w:jc w:val="center"/>
            </w:pPr>
            <w:r>
              <w:rPr>
                <w:kern w:val="0"/>
              </w:rPr>
              <w:t>≤</w:t>
            </w:r>
            <w:r>
              <w:t>2.0</w:t>
            </w:r>
          </w:p>
        </w:tc>
        <w:tc>
          <w:tcPr>
            <w:tcW w:w="3148" w:type="dxa"/>
            <w:tcBorders>
              <w:top w:val="single" w:sz="4" w:space="0" w:color="auto"/>
              <w:left w:val="single" w:sz="4" w:space="0" w:color="auto"/>
              <w:bottom w:val="single" w:sz="4" w:space="0" w:color="auto"/>
              <w:right w:val="single" w:sz="4" w:space="0" w:color="auto"/>
            </w:tcBorders>
            <w:vAlign w:val="center"/>
          </w:tcPr>
          <w:p w:rsidR="00ED5264" w:rsidRDefault="00B65917">
            <w:pPr>
              <w:widowControl/>
              <w:spacing w:line="360" w:lineRule="auto"/>
              <w:jc w:val="center"/>
              <w:rPr>
                <w:kern w:val="0"/>
              </w:rPr>
            </w:pPr>
            <w:r>
              <w:rPr>
                <w:kern w:val="0"/>
              </w:rPr>
              <w:t>20~25</w:t>
            </w:r>
          </w:p>
        </w:tc>
        <w:tc>
          <w:tcPr>
            <w:tcW w:w="1847" w:type="pct"/>
            <w:tcBorders>
              <w:top w:val="single" w:sz="4" w:space="0" w:color="auto"/>
              <w:left w:val="single" w:sz="4" w:space="0" w:color="auto"/>
              <w:bottom w:val="single" w:sz="4" w:space="0" w:color="auto"/>
              <w:right w:val="single" w:sz="4" w:space="0" w:color="auto"/>
            </w:tcBorders>
            <w:vAlign w:val="center"/>
          </w:tcPr>
          <w:p w:rsidR="00ED5264" w:rsidRDefault="00B65917">
            <w:pPr>
              <w:widowControl/>
              <w:spacing w:line="360" w:lineRule="auto"/>
              <w:jc w:val="center"/>
              <w:rPr>
                <w:kern w:val="0"/>
              </w:rPr>
            </w:pPr>
            <w:r>
              <w:rPr>
                <w:kern w:val="0"/>
              </w:rPr>
              <w:t>≤</w:t>
            </w:r>
            <w:r>
              <w:t>1.0</w:t>
            </w:r>
          </w:p>
        </w:tc>
      </w:tr>
      <w:tr w:rsidR="00ED5264">
        <w:trPr>
          <w:trHeight w:val="567"/>
          <w:jc w:val="center"/>
        </w:trPr>
        <w:tc>
          <w:tcPr>
            <w:tcW w:w="1305" w:type="pct"/>
            <w:tcBorders>
              <w:top w:val="single" w:sz="4" w:space="0" w:color="auto"/>
              <w:left w:val="single" w:sz="4" w:space="0" w:color="auto"/>
              <w:bottom w:val="single" w:sz="4" w:space="0" w:color="auto"/>
              <w:right w:val="single" w:sz="4" w:space="0" w:color="auto"/>
            </w:tcBorders>
            <w:vAlign w:val="center"/>
          </w:tcPr>
          <w:p w:rsidR="00ED5264" w:rsidRDefault="00B65917">
            <w:pPr>
              <w:widowControl/>
              <w:spacing w:line="360" w:lineRule="auto"/>
              <w:jc w:val="center"/>
            </w:pPr>
            <w:r>
              <w:rPr>
                <w:rFonts w:ascii="Arial" w:hAnsi="Arial" w:cs="Arial"/>
                <w:kern w:val="0"/>
              </w:rPr>
              <w:t>≤</w:t>
            </w:r>
            <w:r>
              <w:rPr>
                <w:rFonts w:hint="eastAsia"/>
              </w:rPr>
              <w:t>2.5</w:t>
            </w:r>
          </w:p>
        </w:tc>
        <w:tc>
          <w:tcPr>
            <w:tcW w:w="3148" w:type="dxa"/>
            <w:tcBorders>
              <w:top w:val="single" w:sz="4" w:space="0" w:color="auto"/>
              <w:left w:val="single" w:sz="4" w:space="0" w:color="auto"/>
              <w:bottom w:val="single" w:sz="4" w:space="0" w:color="auto"/>
              <w:right w:val="single" w:sz="4" w:space="0" w:color="auto"/>
            </w:tcBorders>
            <w:vAlign w:val="center"/>
          </w:tcPr>
          <w:p w:rsidR="00ED5264" w:rsidRDefault="00B65917">
            <w:pPr>
              <w:widowControl/>
              <w:spacing w:line="360" w:lineRule="auto"/>
              <w:jc w:val="center"/>
              <w:rPr>
                <w:kern w:val="0"/>
              </w:rPr>
            </w:pPr>
            <w:r>
              <w:rPr>
                <w:rFonts w:hint="eastAsia"/>
                <w:kern w:val="0"/>
              </w:rPr>
              <w:t>15~</w:t>
            </w:r>
            <w:r>
              <w:rPr>
                <w:kern w:val="0"/>
              </w:rPr>
              <w:t>20</w:t>
            </w:r>
          </w:p>
        </w:tc>
        <w:tc>
          <w:tcPr>
            <w:tcW w:w="1847" w:type="pct"/>
            <w:tcBorders>
              <w:top w:val="single" w:sz="4" w:space="0" w:color="auto"/>
              <w:left w:val="single" w:sz="4" w:space="0" w:color="auto"/>
              <w:bottom w:val="single" w:sz="4" w:space="0" w:color="auto"/>
              <w:right w:val="single" w:sz="4" w:space="0" w:color="auto"/>
            </w:tcBorders>
            <w:vAlign w:val="center"/>
          </w:tcPr>
          <w:p w:rsidR="00ED5264" w:rsidRDefault="00B65917">
            <w:pPr>
              <w:widowControl/>
              <w:spacing w:line="360" w:lineRule="auto"/>
              <w:jc w:val="center"/>
              <w:rPr>
                <w:rFonts w:ascii="Arial" w:hAnsi="Arial" w:cs="Arial"/>
                <w:kern w:val="0"/>
              </w:rPr>
            </w:pPr>
            <w:r>
              <w:rPr>
                <w:rFonts w:ascii="Arial" w:hAnsi="Arial" w:cs="Arial"/>
                <w:kern w:val="0"/>
              </w:rPr>
              <w:t>≤</w:t>
            </w:r>
            <w:r>
              <w:rPr>
                <w:rFonts w:hint="eastAsia"/>
              </w:rPr>
              <w:t>1.0</w:t>
            </w:r>
          </w:p>
        </w:tc>
      </w:tr>
      <w:tr w:rsidR="00ED5264">
        <w:trPr>
          <w:trHeight w:val="567"/>
          <w:jc w:val="center"/>
        </w:trPr>
        <w:tc>
          <w:tcPr>
            <w:tcW w:w="1305" w:type="pct"/>
            <w:tcBorders>
              <w:top w:val="single" w:sz="4" w:space="0" w:color="auto"/>
              <w:left w:val="single" w:sz="4" w:space="0" w:color="auto"/>
              <w:bottom w:val="single" w:sz="4" w:space="0" w:color="auto"/>
              <w:right w:val="single" w:sz="4" w:space="0" w:color="auto"/>
            </w:tcBorders>
            <w:vAlign w:val="center"/>
          </w:tcPr>
          <w:p w:rsidR="00ED5264" w:rsidRDefault="00B65917">
            <w:pPr>
              <w:widowControl/>
              <w:spacing w:line="360" w:lineRule="auto"/>
              <w:jc w:val="center"/>
            </w:pPr>
            <w:r>
              <w:rPr>
                <w:rFonts w:ascii="Arial" w:hAnsi="Arial" w:cs="Arial"/>
                <w:kern w:val="0"/>
              </w:rPr>
              <w:t>≤</w:t>
            </w:r>
            <w:r>
              <w:rPr>
                <w:rFonts w:ascii="Arial" w:hAnsi="Arial" w:cs="Arial" w:hint="eastAsia"/>
                <w:kern w:val="0"/>
              </w:rPr>
              <w:t>3.0</w:t>
            </w:r>
          </w:p>
        </w:tc>
        <w:tc>
          <w:tcPr>
            <w:tcW w:w="3148" w:type="dxa"/>
            <w:tcBorders>
              <w:top w:val="single" w:sz="4" w:space="0" w:color="auto"/>
              <w:left w:val="single" w:sz="4" w:space="0" w:color="auto"/>
              <w:bottom w:val="single" w:sz="4" w:space="0" w:color="auto"/>
              <w:right w:val="single" w:sz="4" w:space="0" w:color="auto"/>
            </w:tcBorders>
            <w:vAlign w:val="center"/>
          </w:tcPr>
          <w:p w:rsidR="00ED5264" w:rsidRDefault="00B65917">
            <w:pPr>
              <w:widowControl/>
              <w:spacing w:line="360" w:lineRule="auto"/>
              <w:jc w:val="center"/>
              <w:rPr>
                <w:kern w:val="0"/>
              </w:rPr>
            </w:pPr>
            <w:r>
              <w:rPr>
                <w:rFonts w:hint="eastAsia"/>
                <w:kern w:val="0"/>
              </w:rPr>
              <w:t>10~</w:t>
            </w:r>
            <w:r>
              <w:rPr>
                <w:kern w:val="0"/>
              </w:rPr>
              <w:t>15</w:t>
            </w:r>
          </w:p>
        </w:tc>
        <w:tc>
          <w:tcPr>
            <w:tcW w:w="1847" w:type="pct"/>
            <w:tcBorders>
              <w:top w:val="single" w:sz="4" w:space="0" w:color="auto"/>
              <w:left w:val="single" w:sz="4" w:space="0" w:color="auto"/>
              <w:bottom w:val="single" w:sz="4" w:space="0" w:color="auto"/>
              <w:right w:val="single" w:sz="4" w:space="0" w:color="auto"/>
            </w:tcBorders>
            <w:vAlign w:val="center"/>
          </w:tcPr>
          <w:p w:rsidR="00ED5264" w:rsidRDefault="00B65917">
            <w:pPr>
              <w:widowControl/>
              <w:spacing w:line="360" w:lineRule="auto"/>
              <w:jc w:val="center"/>
              <w:rPr>
                <w:rFonts w:ascii="Arial" w:hAnsi="Arial" w:cs="Arial"/>
                <w:kern w:val="0"/>
              </w:rPr>
            </w:pPr>
            <w:r>
              <w:rPr>
                <w:rFonts w:ascii="Arial" w:hAnsi="Arial" w:cs="Arial"/>
                <w:kern w:val="0"/>
              </w:rPr>
              <w:t>≤</w:t>
            </w:r>
            <w:r>
              <w:rPr>
                <w:rFonts w:hint="eastAsia"/>
              </w:rPr>
              <w:t>1.0</w:t>
            </w:r>
          </w:p>
        </w:tc>
      </w:tr>
      <w:tr w:rsidR="00ED5264">
        <w:trPr>
          <w:trHeight w:val="567"/>
          <w:jc w:val="center"/>
        </w:trPr>
        <w:tc>
          <w:tcPr>
            <w:tcW w:w="1305" w:type="pct"/>
            <w:tcBorders>
              <w:top w:val="single" w:sz="4" w:space="0" w:color="auto"/>
              <w:left w:val="single" w:sz="4" w:space="0" w:color="auto"/>
              <w:bottom w:val="single" w:sz="4" w:space="0" w:color="auto"/>
              <w:right w:val="single" w:sz="4" w:space="0" w:color="auto"/>
            </w:tcBorders>
            <w:vAlign w:val="center"/>
          </w:tcPr>
          <w:p w:rsidR="00ED5264" w:rsidRDefault="00B65917">
            <w:pPr>
              <w:widowControl/>
              <w:spacing w:line="360" w:lineRule="auto"/>
              <w:jc w:val="center"/>
            </w:pPr>
            <w:r>
              <w:rPr>
                <w:rFonts w:ascii="Arial" w:hAnsi="Arial" w:cs="Arial"/>
                <w:kern w:val="0"/>
              </w:rPr>
              <w:t>≤</w:t>
            </w:r>
            <w:r>
              <w:rPr>
                <w:rFonts w:hint="eastAsia"/>
              </w:rPr>
              <w:t>4.0</w:t>
            </w:r>
          </w:p>
        </w:tc>
        <w:tc>
          <w:tcPr>
            <w:tcW w:w="3148" w:type="dxa"/>
            <w:tcBorders>
              <w:top w:val="single" w:sz="4" w:space="0" w:color="auto"/>
              <w:left w:val="single" w:sz="4" w:space="0" w:color="auto"/>
              <w:bottom w:val="single" w:sz="4" w:space="0" w:color="auto"/>
              <w:right w:val="single" w:sz="4" w:space="0" w:color="auto"/>
            </w:tcBorders>
            <w:vAlign w:val="center"/>
          </w:tcPr>
          <w:p w:rsidR="00ED5264" w:rsidRDefault="00B65917">
            <w:pPr>
              <w:widowControl/>
              <w:spacing w:line="360" w:lineRule="auto"/>
              <w:jc w:val="center"/>
              <w:rPr>
                <w:kern w:val="0"/>
              </w:rPr>
            </w:pPr>
            <w:r>
              <w:rPr>
                <w:rFonts w:hint="eastAsia"/>
                <w:kern w:val="0"/>
              </w:rPr>
              <w:t>5~</w:t>
            </w:r>
            <w:r>
              <w:rPr>
                <w:kern w:val="0"/>
              </w:rPr>
              <w:t>10</w:t>
            </w:r>
          </w:p>
        </w:tc>
        <w:tc>
          <w:tcPr>
            <w:tcW w:w="1847" w:type="pct"/>
            <w:tcBorders>
              <w:top w:val="single" w:sz="4" w:space="0" w:color="auto"/>
              <w:left w:val="single" w:sz="4" w:space="0" w:color="auto"/>
              <w:bottom w:val="single" w:sz="4" w:space="0" w:color="auto"/>
              <w:right w:val="single" w:sz="4" w:space="0" w:color="auto"/>
            </w:tcBorders>
            <w:vAlign w:val="center"/>
          </w:tcPr>
          <w:p w:rsidR="00ED5264" w:rsidRDefault="00B65917">
            <w:pPr>
              <w:widowControl/>
              <w:spacing w:line="360" w:lineRule="auto"/>
              <w:jc w:val="center"/>
              <w:rPr>
                <w:rFonts w:ascii="Arial" w:hAnsi="Arial" w:cs="Arial"/>
                <w:kern w:val="0"/>
              </w:rPr>
            </w:pPr>
            <w:r>
              <w:rPr>
                <w:rFonts w:ascii="Arial" w:hAnsi="Arial" w:cs="Arial"/>
                <w:kern w:val="0"/>
              </w:rPr>
              <w:t>≤</w:t>
            </w:r>
            <w:r>
              <w:rPr>
                <w:rFonts w:hint="eastAsia"/>
              </w:rPr>
              <w:t>1.0</w:t>
            </w:r>
          </w:p>
        </w:tc>
      </w:tr>
      <w:tr w:rsidR="00ED5264">
        <w:trPr>
          <w:trHeight w:val="567"/>
          <w:jc w:val="center"/>
        </w:trPr>
        <w:tc>
          <w:tcPr>
            <w:tcW w:w="1305" w:type="pct"/>
            <w:tcBorders>
              <w:top w:val="single" w:sz="4" w:space="0" w:color="auto"/>
              <w:left w:val="single" w:sz="4" w:space="0" w:color="auto"/>
              <w:bottom w:val="single" w:sz="4" w:space="0" w:color="auto"/>
              <w:right w:val="single" w:sz="4" w:space="0" w:color="auto"/>
            </w:tcBorders>
            <w:vAlign w:val="center"/>
          </w:tcPr>
          <w:p w:rsidR="00ED5264" w:rsidRDefault="00B65917">
            <w:pPr>
              <w:widowControl/>
              <w:spacing w:line="360" w:lineRule="auto"/>
              <w:jc w:val="center"/>
            </w:pPr>
            <w:r>
              <w:rPr>
                <w:rFonts w:ascii="Arial" w:hAnsi="Arial" w:cs="Arial"/>
                <w:kern w:val="0"/>
              </w:rPr>
              <w:t>≤</w:t>
            </w:r>
            <w:r>
              <w:rPr>
                <w:rFonts w:hint="eastAsia"/>
              </w:rPr>
              <w:t>10</w:t>
            </w:r>
          </w:p>
        </w:tc>
        <w:tc>
          <w:tcPr>
            <w:tcW w:w="3148" w:type="dxa"/>
            <w:tcBorders>
              <w:top w:val="single" w:sz="4" w:space="0" w:color="auto"/>
              <w:left w:val="single" w:sz="4" w:space="0" w:color="auto"/>
              <w:bottom w:val="single" w:sz="4" w:space="0" w:color="auto"/>
              <w:right w:val="single" w:sz="4" w:space="0" w:color="auto"/>
            </w:tcBorders>
            <w:vAlign w:val="center"/>
          </w:tcPr>
          <w:p w:rsidR="00ED5264" w:rsidRDefault="00B65917">
            <w:pPr>
              <w:widowControl/>
              <w:spacing w:line="360" w:lineRule="auto"/>
              <w:jc w:val="center"/>
              <w:rPr>
                <w:rFonts w:ascii="Arial" w:hAnsi="Arial" w:cs="Arial"/>
                <w:kern w:val="0"/>
              </w:rPr>
            </w:pPr>
            <w:r>
              <w:rPr>
                <w:kern w:val="0"/>
              </w:rPr>
              <w:t>≤5</w:t>
            </w:r>
          </w:p>
        </w:tc>
        <w:tc>
          <w:tcPr>
            <w:tcW w:w="1847" w:type="pct"/>
            <w:tcBorders>
              <w:top w:val="single" w:sz="4" w:space="0" w:color="auto"/>
              <w:left w:val="single" w:sz="4" w:space="0" w:color="auto"/>
              <w:bottom w:val="single" w:sz="4" w:space="0" w:color="auto"/>
              <w:right w:val="single" w:sz="4" w:space="0" w:color="auto"/>
            </w:tcBorders>
            <w:vAlign w:val="center"/>
          </w:tcPr>
          <w:p w:rsidR="00ED5264" w:rsidRDefault="00B65917">
            <w:pPr>
              <w:widowControl/>
              <w:spacing w:line="360" w:lineRule="auto"/>
              <w:jc w:val="center"/>
              <w:rPr>
                <w:rFonts w:ascii="Arial" w:hAnsi="Arial" w:cs="Arial"/>
                <w:kern w:val="0"/>
              </w:rPr>
            </w:pPr>
            <w:r>
              <w:rPr>
                <w:rFonts w:ascii="Arial" w:hAnsi="Arial" w:cs="Arial"/>
                <w:kern w:val="0"/>
              </w:rPr>
              <w:t>≤</w:t>
            </w:r>
            <w:r>
              <w:rPr>
                <w:rFonts w:hint="eastAsia"/>
              </w:rPr>
              <w:t>1.0</w:t>
            </w:r>
          </w:p>
        </w:tc>
      </w:tr>
      <w:tr w:rsidR="00ED5264">
        <w:trPr>
          <w:trHeight w:val="567"/>
          <w:jc w:val="center"/>
        </w:trPr>
        <w:tc>
          <w:tcPr>
            <w:tcW w:w="1305" w:type="pct"/>
            <w:tcBorders>
              <w:top w:val="single" w:sz="4" w:space="0" w:color="auto"/>
              <w:left w:val="single" w:sz="4" w:space="0" w:color="auto"/>
              <w:bottom w:val="single" w:sz="4" w:space="0" w:color="auto"/>
              <w:right w:val="single" w:sz="4" w:space="0" w:color="auto"/>
            </w:tcBorders>
            <w:vAlign w:val="center"/>
          </w:tcPr>
          <w:p w:rsidR="00ED5264" w:rsidRDefault="00B65917">
            <w:pPr>
              <w:widowControl/>
              <w:tabs>
                <w:tab w:val="left" w:pos="1080"/>
              </w:tabs>
              <w:spacing w:line="360" w:lineRule="auto"/>
              <w:jc w:val="center"/>
            </w:pPr>
            <w:r>
              <w:rPr>
                <w:rFonts w:ascii="Arial" w:hAnsi="Arial" w:cs="Arial"/>
                <w:kern w:val="0"/>
              </w:rPr>
              <w:t>≤</w:t>
            </w:r>
            <w:r>
              <w:rPr>
                <w:rFonts w:hint="eastAsia"/>
              </w:rPr>
              <w:t>1.0</w:t>
            </w:r>
          </w:p>
        </w:tc>
        <w:tc>
          <w:tcPr>
            <w:tcW w:w="3148" w:type="dxa"/>
            <w:tcBorders>
              <w:top w:val="single" w:sz="4" w:space="0" w:color="auto"/>
              <w:left w:val="single" w:sz="4" w:space="0" w:color="auto"/>
              <w:bottom w:val="single" w:sz="4" w:space="0" w:color="auto"/>
              <w:right w:val="single" w:sz="4" w:space="0" w:color="auto"/>
            </w:tcBorders>
            <w:vAlign w:val="center"/>
          </w:tcPr>
          <w:p w:rsidR="00ED5264" w:rsidRDefault="00B65917">
            <w:pPr>
              <w:widowControl/>
              <w:spacing w:line="360" w:lineRule="auto"/>
              <w:jc w:val="center"/>
              <w:rPr>
                <w:kern w:val="0"/>
              </w:rPr>
            </w:pPr>
            <w:r>
              <w:rPr>
                <w:kern w:val="0"/>
              </w:rPr>
              <w:t>20~25</w:t>
            </w:r>
          </w:p>
        </w:tc>
        <w:tc>
          <w:tcPr>
            <w:tcW w:w="1847" w:type="pct"/>
            <w:tcBorders>
              <w:top w:val="single" w:sz="4" w:space="0" w:color="auto"/>
              <w:left w:val="single" w:sz="4" w:space="0" w:color="auto"/>
              <w:bottom w:val="single" w:sz="4" w:space="0" w:color="auto"/>
              <w:right w:val="single" w:sz="4" w:space="0" w:color="auto"/>
            </w:tcBorders>
            <w:vAlign w:val="center"/>
          </w:tcPr>
          <w:p w:rsidR="00ED5264" w:rsidRDefault="00B65917">
            <w:pPr>
              <w:widowControl/>
              <w:spacing w:line="360" w:lineRule="auto"/>
              <w:jc w:val="center"/>
              <w:rPr>
                <w:rFonts w:ascii="Arial" w:hAnsi="Arial" w:cs="Arial"/>
                <w:kern w:val="0"/>
              </w:rPr>
            </w:pPr>
            <w:r>
              <w:rPr>
                <w:rFonts w:ascii="Arial" w:hAnsi="Arial" w:cs="Arial"/>
                <w:kern w:val="0"/>
              </w:rPr>
              <w:t>≤</w:t>
            </w:r>
            <w:r>
              <w:rPr>
                <w:rFonts w:hint="eastAsia"/>
              </w:rPr>
              <w:t>1.2</w:t>
            </w:r>
          </w:p>
        </w:tc>
      </w:tr>
      <w:tr w:rsidR="00ED5264">
        <w:trPr>
          <w:trHeight w:val="567"/>
          <w:jc w:val="center"/>
        </w:trPr>
        <w:tc>
          <w:tcPr>
            <w:tcW w:w="1305" w:type="pct"/>
            <w:tcBorders>
              <w:top w:val="single" w:sz="4" w:space="0" w:color="auto"/>
              <w:left w:val="single" w:sz="4" w:space="0" w:color="auto"/>
              <w:bottom w:val="single" w:sz="4" w:space="0" w:color="auto"/>
              <w:right w:val="single" w:sz="4" w:space="0" w:color="auto"/>
            </w:tcBorders>
            <w:vAlign w:val="center"/>
          </w:tcPr>
          <w:p w:rsidR="00ED5264" w:rsidRDefault="00B65917">
            <w:pPr>
              <w:widowControl/>
              <w:spacing w:line="360" w:lineRule="auto"/>
              <w:jc w:val="center"/>
            </w:pPr>
            <w:r>
              <w:rPr>
                <w:rFonts w:ascii="Arial" w:hAnsi="Arial" w:cs="Arial"/>
                <w:kern w:val="0"/>
              </w:rPr>
              <w:t>≤</w:t>
            </w:r>
            <w:r>
              <w:rPr>
                <w:rFonts w:hint="eastAsia"/>
              </w:rPr>
              <w:t>1.5</w:t>
            </w:r>
          </w:p>
        </w:tc>
        <w:tc>
          <w:tcPr>
            <w:tcW w:w="3148" w:type="dxa"/>
            <w:tcBorders>
              <w:top w:val="single" w:sz="4" w:space="0" w:color="auto"/>
              <w:left w:val="single" w:sz="4" w:space="0" w:color="auto"/>
              <w:bottom w:val="single" w:sz="4" w:space="0" w:color="auto"/>
              <w:right w:val="single" w:sz="4" w:space="0" w:color="auto"/>
            </w:tcBorders>
            <w:vAlign w:val="center"/>
          </w:tcPr>
          <w:p w:rsidR="00ED5264" w:rsidRDefault="00B65917">
            <w:pPr>
              <w:widowControl/>
              <w:spacing w:line="360" w:lineRule="auto"/>
              <w:jc w:val="center"/>
              <w:rPr>
                <w:kern w:val="0"/>
              </w:rPr>
            </w:pPr>
            <w:r>
              <w:rPr>
                <w:rFonts w:hint="eastAsia"/>
                <w:kern w:val="0"/>
              </w:rPr>
              <w:t>15~</w:t>
            </w:r>
            <w:r>
              <w:rPr>
                <w:kern w:val="0"/>
              </w:rPr>
              <w:t>20</w:t>
            </w:r>
          </w:p>
        </w:tc>
        <w:tc>
          <w:tcPr>
            <w:tcW w:w="1847" w:type="pct"/>
            <w:tcBorders>
              <w:top w:val="single" w:sz="4" w:space="0" w:color="auto"/>
              <w:left w:val="single" w:sz="4" w:space="0" w:color="auto"/>
              <w:bottom w:val="single" w:sz="4" w:space="0" w:color="auto"/>
              <w:right w:val="single" w:sz="4" w:space="0" w:color="auto"/>
            </w:tcBorders>
            <w:vAlign w:val="center"/>
          </w:tcPr>
          <w:p w:rsidR="00ED5264" w:rsidRDefault="00B65917">
            <w:pPr>
              <w:widowControl/>
              <w:spacing w:line="360" w:lineRule="auto"/>
              <w:jc w:val="center"/>
              <w:rPr>
                <w:rFonts w:ascii="Arial" w:hAnsi="Arial" w:cs="Arial"/>
                <w:kern w:val="0"/>
              </w:rPr>
            </w:pPr>
            <w:r>
              <w:rPr>
                <w:rFonts w:ascii="Arial" w:hAnsi="Arial" w:cs="Arial"/>
                <w:kern w:val="0"/>
              </w:rPr>
              <w:t>≤</w:t>
            </w:r>
            <w:r>
              <w:rPr>
                <w:rFonts w:hint="eastAsia"/>
              </w:rPr>
              <w:t>1.2</w:t>
            </w:r>
          </w:p>
        </w:tc>
      </w:tr>
      <w:tr w:rsidR="00ED5264">
        <w:trPr>
          <w:trHeight w:val="567"/>
          <w:jc w:val="center"/>
        </w:trPr>
        <w:tc>
          <w:tcPr>
            <w:tcW w:w="1305" w:type="pct"/>
            <w:tcBorders>
              <w:top w:val="single" w:sz="4" w:space="0" w:color="auto"/>
              <w:left w:val="single" w:sz="4" w:space="0" w:color="auto"/>
              <w:bottom w:val="single" w:sz="4" w:space="0" w:color="auto"/>
              <w:right w:val="single" w:sz="4" w:space="0" w:color="auto"/>
            </w:tcBorders>
            <w:vAlign w:val="center"/>
          </w:tcPr>
          <w:p w:rsidR="00ED5264" w:rsidRDefault="00B65917">
            <w:pPr>
              <w:widowControl/>
              <w:spacing w:line="360" w:lineRule="auto"/>
              <w:jc w:val="center"/>
            </w:pPr>
            <w:r>
              <w:rPr>
                <w:rFonts w:ascii="Arial" w:hAnsi="Arial" w:cs="Arial"/>
                <w:kern w:val="0"/>
              </w:rPr>
              <w:t>≤</w:t>
            </w:r>
            <w:r>
              <w:rPr>
                <w:rFonts w:ascii="Arial" w:hAnsi="Arial" w:cs="Arial" w:hint="eastAsia"/>
                <w:kern w:val="0"/>
              </w:rPr>
              <w:t>2.0</w:t>
            </w:r>
          </w:p>
        </w:tc>
        <w:tc>
          <w:tcPr>
            <w:tcW w:w="3148" w:type="dxa"/>
            <w:tcBorders>
              <w:top w:val="single" w:sz="4" w:space="0" w:color="auto"/>
              <w:left w:val="single" w:sz="4" w:space="0" w:color="auto"/>
              <w:bottom w:val="single" w:sz="4" w:space="0" w:color="auto"/>
              <w:right w:val="single" w:sz="4" w:space="0" w:color="auto"/>
            </w:tcBorders>
            <w:vAlign w:val="center"/>
          </w:tcPr>
          <w:p w:rsidR="00ED5264" w:rsidRDefault="00B65917">
            <w:pPr>
              <w:widowControl/>
              <w:spacing w:line="360" w:lineRule="auto"/>
              <w:jc w:val="center"/>
              <w:rPr>
                <w:kern w:val="0"/>
              </w:rPr>
            </w:pPr>
            <w:r>
              <w:rPr>
                <w:rFonts w:hint="eastAsia"/>
                <w:kern w:val="0"/>
              </w:rPr>
              <w:t>10~</w:t>
            </w:r>
            <w:r>
              <w:rPr>
                <w:kern w:val="0"/>
              </w:rPr>
              <w:t>15</w:t>
            </w:r>
          </w:p>
        </w:tc>
        <w:tc>
          <w:tcPr>
            <w:tcW w:w="1847" w:type="pct"/>
            <w:tcBorders>
              <w:top w:val="single" w:sz="4" w:space="0" w:color="auto"/>
              <w:left w:val="single" w:sz="4" w:space="0" w:color="auto"/>
              <w:bottom w:val="single" w:sz="4" w:space="0" w:color="auto"/>
              <w:right w:val="single" w:sz="4" w:space="0" w:color="auto"/>
            </w:tcBorders>
            <w:vAlign w:val="center"/>
          </w:tcPr>
          <w:p w:rsidR="00ED5264" w:rsidRDefault="00B65917">
            <w:pPr>
              <w:widowControl/>
              <w:spacing w:line="360" w:lineRule="auto"/>
              <w:jc w:val="center"/>
              <w:rPr>
                <w:rFonts w:ascii="Arial" w:hAnsi="Arial" w:cs="Arial"/>
                <w:kern w:val="0"/>
              </w:rPr>
            </w:pPr>
            <w:r>
              <w:rPr>
                <w:rFonts w:ascii="Arial" w:hAnsi="Arial" w:cs="Arial"/>
                <w:kern w:val="0"/>
              </w:rPr>
              <w:t>≤</w:t>
            </w:r>
            <w:r>
              <w:rPr>
                <w:rFonts w:hint="eastAsia"/>
              </w:rPr>
              <w:t>1.2</w:t>
            </w:r>
          </w:p>
        </w:tc>
      </w:tr>
      <w:tr w:rsidR="00ED5264">
        <w:trPr>
          <w:trHeight w:val="567"/>
          <w:jc w:val="center"/>
        </w:trPr>
        <w:tc>
          <w:tcPr>
            <w:tcW w:w="1305" w:type="pct"/>
            <w:tcBorders>
              <w:top w:val="single" w:sz="4" w:space="0" w:color="auto"/>
              <w:left w:val="single" w:sz="4" w:space="0" w:color="auto"/>
              <w:bottom w:val="single" w:sz="4" w:space="0" w:color="auto"/>
              <w:right w:val="single" w:sz="4" w:space="0" w:color="auto"/>
            </w:tcBorders>
            <w:vAlign w:val="center"/>
          </w:tcPr>
          <w:p w:rsidR="00ED5264" w:rsidRDefault="00B65917">
            <w:pPr>
              <w:widowControl/>
              <w:spacing w:line="360" w:lineRule="auto"/>
              <w:jc w:val="center"/>
            </w:pPr>
            <w:r>
              <w:rPr>
                <w:rFonts w:ascii="Arial" w:hAnsi="Arial" w:cs="Arial"/>
                <w:kern w:val="0"/>
              </w:rPr>
              <w:t>≤</w:t>
            </w:r>
            <w:r>
              <w:rPr>
                <w:rFonts w:hint="eastAsia"/>
              </w:rPr>
              <w:t>2.5</w:t>
            </w:r>
          </w:p>
        </w:tc>
        <w:tc>
          <w:tcPr>
            <w:tcW w:w="3148" w:type="dxa"/>
            <w:tcBorders>
              <w:top w:val="single" w:sz="4" w:space="0" w:color="auto"/>
              <w:left w:val="single" w:sz="4" w:space="0" w:color="auto"/>
              <w:bottom w:val="single" w:sz="4" w:space="0" w:color="auto"/>
              <w:right w:val="single" w:sz="4" w:space="0" w:color="auto"/>
            </w:tcBorders>
            <w:vAlign w:val="center"/>
          </w:tcPr>
          <w:p w:rsidR="00ED5264" w:rsidRDefault="00B65917">
            <w:pPr>
              <w:widowControl/>
              <w:spacing w:line="360" w:lineRule="auto"/>
              <w:jc w:val="center"/>
              <w:rPr>
                <w:kern w:val="0"/>
              </w:rPr>
            </w:pPr>
            <w:r>
              <w:rPr>
                <w:rFonts w:hint="eastAsia"/>
                <w:kern w:val="0"/>
              </w:rPr>
              <w:t>5~</w:t>
            </w:r>
            <w:r>
              <w:rPr>
                <w:kern w:val="0"/>
              </w:rPr>
              <w:t>10</w:t>
            </w:r>
          </w:p>
        </w:tc>
        <w:tc>
          <w:tcPr>
            <w:tcW w:w="1847" w:type="pct"/>
            <w:tcBorders>
              <w:top w:val="single" w:sz="4" w:space="0" w:color="auto"/>
              <w:left w:val="single" w:sz="4" w:space="0" w:color="auto"/>
              <w:bottom w:val="single" w:sz="4" w:space="0" w:color="auto"/>
              <w:right w:val="single" w:sz="4" w:space="0" w:color="auto"/>
            </w:tcBorders>
            <w:vAlign w:val="center"/>
          </w:tcPr>
          <w:p w:rsidR="00ED5264" w:rsidRDefault="00B65917">
            <w:pPr>
              <w:widowControl/>
              <w:spacing w:line="360" w:lineRule="auto"/>
              <w:jc w:val="center"/>
              <w:rPr>
                <w:rFonts w:ascii="Arial" w:hAnsi="Arial" w:cs="Arial"/>
                <w:kern w:val="0"/>
              </w:rPr>
            </w:pPr>
            <w:r>
              <w:rPr>
                <w:rFonts w:ascii="Arial" w:hAnsi="Arial" w:cs="Arial"/>
                <w:kern w:val="0"/>
              </w:rPr>
              <w:t>≤</w:t>
            </w:r>
            <w:r>
              <w:rPr>
                <w:rFonts w:hint="eastAsia"/>
              </w:rPr>
              <w:t>1.2</w:t>
            </w:r>
          </w:p>
        </w:tc>
      </w:tr>
      <w:tr w:rsidR="00ED5264">
        <w:trPr>
          <w:trHeight w:val="567"/>
          <w:jc w:val="center"/>
        </w:trPr>
        <w:tc>
          <w:tcPr>
            <w:tcW w:w="1305" w:type="pct"/>
            <w:tcBorders>
              <w:top w:val="single" w:sz="4" w:space="0" w:color="auto"/>
              <w:left w:val="single" w:sz="4" w:space="0" w:color="auto"/>
              <w:bottom w:val="single" w:sz="4" w:space="0" w:color="auto"/>
              <w:right w:val="single" w:sz="4" w:space="0" w:color="auto"/>
            </w:tcBorders>
            <w:vAlign w:val="center"/>
          </w:tcPr>
          <w:p w:rsidR="00ED5264" w:rsidRDefault="00B65917">
            <w:pPr>
              <w:widowControl/>
              <w:spacing w:line="360" w:lineRule="auto"/>
              <w:jc w:val="center"/>
            </w:pPr>
            <w:r>
              <w:rPr>
                <w:rFonts w:ascii="Arial" w:hAnsi="Arial" w:cs="Arial"/>
                <w:kern w:val="0"/>
              </w:rPr>
              <w:lastRenderedPageBreak/>
              <w:t>≤</w:t>
            </w:r>
            <w:r>
              <w:rPr>
                <w:rFonts w:hint="eastAsia"/>
              </w:rPr>
              <w:t>4.0</w:t>
            </w:r>
          </w:p>
        </w:tc>
        <w:tc>
          <w:tcPr>
            <w:tcW w:w="3148" w:type="dxa"/>
            <w:tcBorders>
              <w:top w:val="single" w:sz="4" w:space="0" w:color="auto"/>
              <w:left w:val="single" w:sz="4" w:space="0" w:color="auto"/>
              <w:bottom w:val="single" w:sz="4" w:space="0" w:color="auto"/>
              <w:right w:val="single" w:sz="4" w:space="0" w:color="auto"/>
            </w:tcBorders>
            <w:vAlign w:val="center"/>
          </w:tcPr>
          <w:p w:rsidR="00ED5264" w:rsidRDefault="00B65917">
            <w:pPr>
              <w:widowControl/>
              <w:spacing w:line="360" w:lineRule="auto"/>
              <w:jc w:val="center"/>
              <w:rPr>
                <w:rFonts w:ascii="Arial" w:hAnsi="Arial" w:cs="Arial"/>
                <w:kern w:val="0"/>
              </w:rPr>
            </w:pPr>
            <w:r>
              <w:rPr>
                <w:kern w:val="0"/>
              </w:rPr>
              <w:t>≤5</w:t>
            </w:r>
          </w:p>
        </w:tc>
        <w:tc>
          <w:tcPr>
            <w:tcW w:w="1847" w:type="pct"/>
            <w:tcBorders>
              <w:top w:val="single" w:sz="4" w:space="0" w:color="auto"/>
              <w:left w:val="single" w:sz="4" w:space="0" w:color="auto"/>
              <w:bottom w:val="single" w:sz="4" w:space="0" w:color="auto"/>
              <w:right w:val="single" w:sz="4" w:space="0" w:color="auto"/>
            </w:tcBorders>
            <w:vAlign w:val="center"/>
          </w:tcPr>
          <w:p w:rsidR="00ED5264" w:rsidRDefault="00B65917">
            <w:pPr>
              <w:widowControl/>
              <w:spacing w:line="360" w:lineRule="auto"/>
              <w:jc w:val="center"/>
              <w:rPr>
                <w:rFonts w:ascii="Arial" w:hAnsi="Arial" w:cs="Arial"/>
                <w:kern w:val="0"/>
              </w:rPr>
            </w:pPr>
            <w:r>
              <w:rPr>
                <w:rFonts w:ascii="Arial" w:hAnsi="Arial" w:cs="Arial"/>
                <w:kern w:val="0"/>
              </w:rPr>
              <w:t>≤</w:t>
            </w:r>
            <w:r>
              <w:rPr>
                <w:rFonts w:hint="eastAsia"/>
              </w:rPr>
              <w:t>1.2</w:t>
            </w:r>
          </w:p>
        </w:tc>
      </w:tr>
    </w:tbl>
    <w:p w:rsidR="00ED5264" w:rsidRDefault="00B65917">
      <w:pPr>
        <w:pStyle w:val="aff9"/>
        <w:spacing w:line="360" w:lineRule="auto"/>
      </w:pPr>
      <w:r>
        <w:rPr>
          <w:b/>
        </w:rPr>
        <w:t>4.1.</w:t>
      </w:r>
      <w:r>
        <w:rPr>
          <w:rFonts w:hint="eastAsia"/>
          <w:b/>
        </w:rPr>
        <w:t>3</w:t>
      </w:r>
      <w:r>
        <w:t xml:space="preserve"> </w:t>
      </w:r>
      <w:r>
        <w:rPr>
          <w:rFonts w:hint="eastAsia"/>
        </w:rPr>
        <w:t>黄河超细砂的细度模数在</w:t>
      </w:r>
      <w:r>
        <w:rPr>
          <w:rFonts w:hint="eastAsia"/>
        </w:rPr>
        <w:t>0~0.6</w:t>
      </w:r>
      <w:r>
        <w:rPr>
          <w:rFonts w:hint="eastAsia"/>
        </w:rPr>
        <w:t>范围内，应与机制砂按照一定比例混合成混合砂后使用。</w:t>
      </w:r>
    </w:p>
    <w:p w:rsidR="00ED5264" w:rsidRDefault="00B65917">
      <w:pPr>
        <w:pStyle w:val="aff9"/>
        <w:spacing w:line="360" w:lineRule="auto"/>
      </w:pPr>
      <w:r>
        <w:rPr>
          <w:b/>
        </w:rPr>
        <w:t>4.1.</w:t>
      </w:r>
      <w:r>
        <w:rPr>
          <w:rFonts w:hint="eastAsia"/>
          <w:b/>
        </w:rPr>
        <w:t>4</w:t>
      </w:r>
      <w:r>
        <w:t xml:space="preserve"> </w:t>
      </w:r>
      <w:r>
        <w:rPr>
          <w:rFonts w:hint="eastAsia"/>
        </w:rPr>
        <w:t>黄河超细砂的比粒度应不大于</w:t>
      </w:r>
      <w:r>
        <w:rPr>
          <w:rFonts w:hint="eastAsia"/>
        </w:rPr>
        <w:t>3200</w:t>
      </w:r>
      <w:r>
        <w:rPr>
          <w:rFonts w:hint="eastAsia"/>
        </w:rPr>
        <w:t>。黄河超细砂的比粒度应按表</w:t>
      </w:r>
      <w:r>
        <w:rPr>
          <w:rFonts w:hint="eastAsia"/>
        </w:rPr>
        <w:t>4.1.4</w:t>
      </w:r>
      <w:r>
        <w:rPr>
          <w:rFonts w:hint="eastAsia"/>
        </w:rPr>
        <w:t>进行计算。</w:t>
      </w:r>
    </w:p>
    <w:p w:rsidR="00ED5264" w:rsidRDefault="00B65917">
      <w:pPr>
        <w:topLinePunct/>
        <w:adjustRightInd w:val="0"/>
        <w:jc w:val="center"/>
        <w:rPr>
          <w:rFonts w:eastAsia="黑体"/>
          <w:bCs/>
        </w:rPr>
      </w:pPr>
      <w:r>
        <w:rPr>
          <w:rFonts w:eastAsia="黑体"/>
          <w:bCs/>
        </w:rPr>
        <w:t>表</w:t>
      </w:r>
      <w:r>
        <w:rPr>
          <w:rFonts w:eastAsia="黑体" w:hint="eastAsia"/>
          <w:bCs/>
        </w:rPr>
        <w:t>4</w:t>
      </w:r>
      <w:r>
        <w:rPr>
          <w:rFonts w:eastAsia="黑体"/>
          <w:bCs/>
        </w:rPr>
        <w:t>.1.</w:t>
      </w:r>
      <w:r>
        <w:rPr>
          <w:rFonts w:eastAsia="黑体" w:hint="eastAsia"/>
          <w:bCs/>
        </w:rPr>
        <w:t>4</w:t>
      </w:r>
      <w:r>
        <w:rPr>
          <w:rFonts w:eastAsia="黑体"/>
          <w:bCs/>
        </w:rPr>
        <w:t xml:space="preserve"> </w:t>
      </w:r>
      <w:r>
        <w:rPr>
          <w:rFonts w:eastAsia="黑体" w:hint="eastAsia"/>
          <w:bCs/>
        </w:rPr>
        <w:t>黄河超细砂的比粒度</w:t>
      </w:r>
    </w:p>
    <w:tbl>
      <w:tblPr>
        <w:tblW w:w="4998" w:type="pct"/>
        <w:tblCellMar>
          <w:left w:w="0" w:type="dxa"/>
          <w:right w:w="0" w:type="dxa"/>
        </w:tblCellMar>
        <w:tblLook w:val="04A0" w:firstRow="1" w:lastRow="0" w:firstColumn="1" w:lastColumn="0" w:noHBand="0" w:noVBand="1"/>
      </w:tblPr>
      <w:tblGrid>
        <w:gridCol w:w="1758"/>
        <w:gridCol w:w="888"/>
        <w:gridCol w:w="964"/>
        <w:gridCol w:w="964"/>
        <w:gridCol w:w="888"/>
        <w:gridCol w:w="888"/>
        <w:gridCol w:w="888"/>
        <w:gridCol w:w="1089"/>
      </w:tblGrid>
      <w:tr w:rsidR="00ED5264">
        <w:trPr>
          <w:trHeight w:val="567"/>
        </w:trPr>
        <w:tc>
          <w:tcPr>
            <w:tcW w:w="1056" w:type="pct"/>
            <w:tcBorders>
              <w:top w:val="single" w:sz="4" w:space="0" w:color="000000"/>
              <w:left w:val="single" w:sz="4" w:space="0" w:color="000000"/>
              <w:bottom w:val="single" w:sz="4" w:space="0" w:color="000000"/>
              <w:right w:val="single" w:sz="4" w:space="0" w:color="000000"/>
            </w:tcBorders>
            <w:shd w:val="clear" w:color="auto" w:fill="auto"/>
            <w:noWrap/>
            <w:tcMar>
              <w:top w:w="12" w:type="dxa"/>
              <w:left w:w="12" w:type="dxa"/>
              <w:right w:w="12" w:type="dxa"/>
            </w:tcMar>
            <w:vAlign w:val="center"/>
          </w:tcPr>
          <w:p w:rsidR="00ED5264" w:rsidRDefault="00B65917">
            <w:pPr>
              <w:widowControl/>
              <w:jc w:val="center"/>
              <w:textAlignment w:val="center"/>
            </w:pPr>
            <w:bookmarkStart w:id="134" w:name="OLE_LINK19"/>
            <w:bookmarkStart w:id="135" w:name="OLE_LINK17" w:colFirst="0" w:colLast="7"/>
            <w:r>
              <w:rPr>
                <w:rFonts w:hint="eastAsia"/>
              </w:rPr>
              <w:t>粒径（</w:t>
            </w:r>
            <w:r>
              <w:rPr>
                <w:rFonts w:hint="eastAsia"/>
              </w:rPr>
              <w:t>mm</w:t>
            </w:r>
            <w:r>
              <w:rPr>
                <w:rFonts w:hint="eastAsia"/>
              </w:rPr>
              <w:t>）</w:t>
            </w:r>
          </w:p>
        </w:tc>
        <w:tc>
          <w:tcPr>
            <w:tcW w:w="533" w:type="pct"/>
            <w:tcBorders>
              <w:top w:val="single" w:sz="4" w:space="0" w:color="000000"/>
              <w:left w:val="single" w:sz="4" w:space="0" w:color="000000"/>
              <w:bottom w:val="single" w:sz="4" w:space="0" w:color="000000"/>
              <w:right w:val="single" w:sz="4" w:space="0" w:color="000000"/>
            </w:tcBorders>
            <w:shd w:val="clear" w:color="auto" w:fill="auto"/>
            <w:noWrap/>
            <w:tcMar>
              <w:top w:w="12" w:type="dxa"/>
              <w:left w:w="12" w:type="dxa"/>
              <w:right w:w="12" w:type="dxa"/>
            </w:tcMar>
            <w:vAlign w:val="center"/>
          </w:tcPr>
          <w:p w:rsidR="00ED5264" w:rsidRDefault="00B65917">
            <w:pPr>
              <w:widowControl/>
              <w:jc w:val="center"/>
              <w:textAlignment w:val="center"/>
            </w:pPr>
            <w:r>
              <w:rPr>
                <w:rFonts w:hint="eastAsia"/>
              </w:rPr>
              <w:t>&gt;</w:t>
            </w:r>
            <w:r>
              <w:t>4.75</w:t>
            </w:r>
          </w:p>
        </w:tc>
        <w:tc>
          <w:tcPr>
            <w:tcW w:w="579" w:type="pct"/>
            <w:tcBorders>
              <w:top w:val="single" w:sz="4" w:space="0" w:color="000000"/>
              <w:left w:val="single" w:sz="4" w:space="0" w:color="000000"/>
              <w:bottom w:val="single" w:sz="4" w:space="0" w:color="000000"/>
              <w:right w:val="single" w:sz="4" w:space="0" w:color="000000"/>
            </w:tcBorders>
            <w:shd w:val="clear" w:color="auto" w:fill="auto"/>
            <w:noWrap/>
            <w:tcMar>
              <w:top w:w="12" w:type="dxa"/>
              <w:left w:w="12" w:type="dxa"/>
              <w:right w:w="12" w:type="dxa"/>
            </w:tcMar>
            <w:vAlign w:val="center"/>
          </w:tcPr>
          <w:p w:rsidR="00ED5264" w:rsidRDefault="00B65917">
            <w:pPr>
              <w:widowControl/>
              <w:jc w:val="center"/>
              <w:textAlignment w:val="center"/>
            </w:pPr>
            <w:r>
              <w:t>2.36</w:t>
            </w:r>
            <w:r>
              <w:rPr>
                <w:rFonts w:hint="eastAsia"/>
              </w:rPr>
              <w:t>~4.75</w:t>
            </w:r>
          </w:p>
        </w:tc>
        <w:tc>
          <w:tcPr>
            <w:tcW w:w="579" w:type="pct"/>
            <w:tcBorders>
              <w:top w:val="single" w:sz="4" w:space="0" w:color="000000"/>
              <w:left w:val="single" w:sz="4" w:space="0" w:color="000000"/>
              <w:bottom w:val="single" w:sz="4" w:space="0" w:color="000000"/>
              <w:right w:val="single" w:sz="4" w:space="0" w:color="000000"/>
            </w:tcBorders>
            <w:shd w:val="clear" w:color="auto" w:fill="auto"/>
            <w:noWrap/>
            <w:tcMar>
              <w:top w:w="12" w:type="dxa"/>
              <w:left w:w="12" w:type="dxa"/>
              <w:right w:w="12" w:type="dxa"/>
            </w:tcMar>
            <w:vAlign w:val="center"/>
          </w:tcPr>
          <w:p w:rsidR="00ED5264" w:rsidRDefault="00B65917">
            <w:pPr>
              <w:widowControl/>
              <w:jc w:val="center"/>
              <w:textAlignment w:val="center"/>
            </w:pPr>
            <w:r>
              <w:t>1.18</w:t>
            </w:r>
            <w:r>
              <w:rPr>
                <w:rFonts w:hint="eastAsia"/>
              </w:rPr>
              <w:t>~2.36</w:t>
            </w:r>
          </w:p>
        </w:tc>
        <w:tc>
          <w:tcPr>
            <w:tcW w:w="533" w:type="pct"/>
            <w:tcBorders>
              <w:top w:val="single" w:sz="4" w:space="0" w:color="000000"/>
              <w:left w:val="single" w:sz="4" w:space="0" w:color="000000"/>
              <w:bottom w:val="single" w:sz="4" w:space="0" w:color="000000"/>
              <w:right w:val="single" w:sz="4" w:space="0" w:color="000000"/>
            </w:tcBorders>
            <w:shd w:val="clear" w:color="auto" w:fill="auto"/>
            <w:noWrap/>
            <w:tcMar>
              <w:top w:w="12" w:type="dxa"/>
              <w:left w:w="12" w:type="dxa"/>
              <w:right w:w="12" w:type="dxa"/>
            </w:tcMar>
            <w:vAlign w:val="center"/>
          </w:tcPr>
          <w:p w:rsidR="00ED5264" w:rsidRDefault="00B65917">
            <w:pPr>
              <w:widowControl/>
              <w:jc w:val="center"/>
              <w:textAlignment w:val="center"/>
            </w:pPr>
            <w:r>
              <w:t>0.6</w:t>
            </w:r>
            <w:r>
              <w:rPr>
                <w:rFonts w:hint="eastAsia"/>
              </w:rPr>
              <w:t>~1.18</w:t>
            </w:r>
          </w:p>
        </w:tc>
        <w:tc>
          <w:tcPr>
            <w:tcW w:w="533" w:type="pct"/>
            <w:tcBorders>
              <w:top w:val="single" w:sz="4" w:space="0" w:color="000000"/>
              <w:left w:val="single" w:sz="4" w:space="0" w:color="000000"/>
              <w:bottom w:val="single" w:sz="4" w:space="0" w:color="000000"/>
              <w:right w:val="single" w:sz="4" w:space="0" w:color="000000"/>
            </w:tcBorders>
            <w:shd w:val="clear" w:color="auto" w:fill="auto"/>
            <w:noWrap/>
            <w:tcMar>
              <w:top w:w="12" w:type="dxa"/>
              <w:left w:w="12" w:type="dxa"/>
              <w:right w:w="12" w:type="dxa"/>
            </w:tcMar>
            <w:vAlign w:val="center"/>
          </w:tcPr>
          <w:p w:rsidR="00ED5264" w:rsidRDefault="00B65917">
            <w:pPr>
              <w:widowControl/>
              <w:jc w:val="center"/>
              <w:textAlignment w:val="center"/>
            </w:pPr>
            <w:r>
              <w:t>0.3</w:t>
            </w:r>
            <w:r>
              <w:rPr>
                <w:rFonts w:hint="eastAsia"/>
              </w:rPr>
              <w:t>~0.6</w:t>
            </w:r>
          </w:p>
        </w:tc>
        <w:tc>
          <w:tcPr>
            <w:tcW w:w="533" w:type="pct"/>
            <w:tcBorders>
              <w:top w:val="single" w:sz="4" w:space="0" w:color="000000"/>
              <w:left w:val="single" w:sz="4" w:space="0" w:color="000000"/>
              <w:bottom w:val="single" w:sz="4" w:space="0" w:color="000000"/>
              <w:right w:val="single" w:sz="4" w:space="0" w:color="000000"/>
            </w:tcBorders>
            <w:shd w:val="clear" w:color="auto" w:fill="auto"/>
            <w:noWrap/>
            <w:tcMar>
              <w:top w:w="12" w:type="dxa"/>
              <w:left w:w="12" w:type="dxa"/>
              <w:right w:w="12" w:type="dxa"/>
            </w:tcMar>
            <w:vAlign w:val="center"/>
          </w:tcPr>
          <w:p w:rsidR="00ED5264" w:rsidRDefault="00B65917">
            <w:pPr>
              <w:widowControl/>
              <w:jc w:val="center"/>
              <w:textAlignment w:val="center"/>
            </w:pPr>
            <w:r>
              <w:t>0.15</w:t>
            </w:r>
            <w:r>
              <w:rPr>
                <w:rFonts w:hint="eastAsia"/>
              </w:rPr>
              <w:t>~0.3</w:t>
            </w:r>
          </w:p>
        </w:tc>
        <w:tc>
          <w:tcPr>
            <w:tcW w:w="649" w:type="pct"/>
            <w:tcBorders>
              <w:top w:val="single" w:sz="4" w:space="0" w:color="000000"/>
              <w:left w:val="single" w:sz="4" w:space="0" w:color="000000"/>
              <w:bottom w:val="single" w:sz="4" w:space="0" w:color="000000"/>
              <w:right w:val="single" w:sz="4" w:space="0" w:color="000000"/>
            </w:tcBorders>
            <w:shd w:val="clear" w:color="auto" w:fill="auto"/>
            <w:noWrap/>
            <w:tcMar>
              <w:top w:w="12" w:type="dxa"/>
              <w:left w:w="12" w:type="dxa"/>
              <w:right w:w="12" w:type="dxa"/>
            </w:tcMar>
            <w:vAlign w:val="center"/>
          </w:tcPr>
          <w:p w:rsidR="00ED5264" w:rsidRDefault="00B65917">
            <w:pPr>
              <w:widowControl/>
              <w:jc w:val="center"/>
              <w:textAlignment w:val="center"/>
            </w:pPr>
            <w:r>
              <w:rPr>
                <w:rFonts w:hint="eastAsia"/>
              </w:rPr>
              <w:t>0.075~0.15</w:t>
            </w:r>
          </w:p>
        </w:tc>
      </w:tr>
      <w:tr w:rsidR="00ED5264">
        <w:trPr>
          <w:trHeight w:val="567"/>
        </w:trPr>
        <w:tc>
          <w:tcPr>
            <w:tcW w:w="1056" w:type="pct"/>
            <w:tcBorders>
              <w:top w:val="single" w:sz="4" w:space="0" w:color="000000"/>
              <w:left w:val="single" w:sz="4" w:space="0" w:color="000000"/>
              <w:bottom w:val="single" w:sz="4" w:space="0" w:color="000000"/>
              <w:right w:val="single" w:sz="4" w:space="0" w:color="000000"/>
            </w:tcBorders>
            <w:shd w:val="clear" w:color="auto" w:fill="auto"/>
            <w:noWrap/>
            <w:tcMar>
              <w:top w:w="12" w:type="dxa"/>
              <w:left w:w="12" w:type="dxa"/>
              <w:right w:w="12" w:type="dxa"/>
            </w:tcMar>
            <w:vAlign w:val="center"/>
          </w:tcPr>
          <w:p w:rsidR="00ED5264" w:rsidRDefault="00B65917">
            <w:pPr>
              <w:widowControl/>
              <w:jc w:val="center"/>
              <w:textAlignment w:val="center"/>
            </w:pPr>
            <w:r>
              <w:rPr>
                <w:rFonts w:hint="eastAsia"/>
              </w:rPr>
              <w:t>比表面积指数</w:t>
            </w:r>
          </w:p>
        </w:tc>
        <w:tc>
          <w:tcPr>
            <w:tcW w:w="533" w:type="pct"/>
            <w:tcBorders>
              <w:top w:val="single" w:sz="4" w:space="0" w:color="000000"/>
              <w:left w:val="single" w:sz="4" w:space="0" w:color="000000"/>
              <w:bottom w:val="single" w:sz="4" w:space="0" w:color="000000"/>
              <w:right w:val="single" w:sz="4" w:space="0" w:color="000000"/>
            </w:tcBorders>
            <w:shd w:val="clear" w:color="auto" w:fill="auto"/>
            <w:noWrap/>
            <w:tcMar>
              <w:top w:w="12" w:type="dxa"/>
              <w:left w:w="12" w:type="dxa"/>
              <w:right w:w="12" w:type="dxa"/>
            </w:tcMar>
            <w:vAlign w:val="center"/>
          </w:tcPr>
          <w:p w:rsidR="00ED5264" w:rsidRDefault="00B65917">
            <w:pPr>
              <w:widowControl/>
              <w:jc w:val="center"/>
              <w:textAlignment w:val="center"/>
            </w:pPr>
            <w:r>
              <w:rPr>
                <w:rFonts w:hint="eastAsia"/>
              </w:rPr>
              <w:t>1/2</w:t>
            </w:r>
          </w:p>
        </w:tc>
        <w:tc>
          <w:tcPr>
            <w:tcW w:w="579" w:type="pct"/>
            <w:tcBorders>
              <w:top w:val="single" w:sz="4" w:space="0" w:color="000000"/>
              <w:left w:val="single" w:sz="4" w:space="0" w:color="000000"/>
              <w:bottom w:val="single" w:sz="4" w:space="0" w:color="000000"/>
              <w:right w:val="single" w:sz="4" w:space="0" w:color="000000"/>
            </w:tcBorders>
            <w:shd w:val="clear" w:color="auto" w:fill="auto"/>
            <w:noWrap/>
            <w:tcMar>
              <w:top w:w="12" w:type="dxa"/>
              <w:left w:w="12" w:type="dxa"/>
              <w:right w:w="12" w:type="dxa"/>
            </w:tcMar>
            <w:vAlign w:val="center"/>
          </w:tcPr>
          <w:p w:rsidR="00ED5264" w:rsidRDefault="00B65917">
            <w:pPr>
              <w:widowControl/>
              <w:jc w:val="center"/>
              <w:textAlignment w:val="center"/>
            </w:pPr>
            <w:r>
              <w:rPr>
                <w:rFonts w:hint="eastAsia"/>
              </w:rPr>
              <w:t>1</w:t>
            </w:r>
          </w:p>
        </w:tc>
        <w:tc>
          <w:tcPr>
            <w:tcW w:w="579" w:type="pct"/>
            <w:tcBorders>
              <w:top w:val="single" w:sz="4" w:space="0" w:color="000000"/>
              <w:left w:val="single" w:sz="4" w:space="0" w:color="000000"/>
              <w:bottom w:val="single" w:sz="4" w:space="0" w:color="000000"/>
              <w:right w:val="single" w:sz="4" w:space="0" w:color="000000"/>
            </w:tcBorders>
            <w:shd w:val="clear" w:color="auto" w:fill="auto"/>
            <w:noWrap/>
            <w:tcMar>
              <w:top w:w="12" w:type="dxa"/>
              <w:left w:w="12" w:type="dxa"/>
              <w:right w:w="12" w:type="dxa"/>
            </w:tcMar>
            <w:vAlign w:val="center"/>
          </w:tcPr>
          <w:p w:rsidR="00ED5264" w:rsidRDefault="00B65917">
            <w:pPr>
              <w:widowControl/>
              <w:jc w:val="center"/>
              <w:textAlignment w:val="center"/>
            </w:pPr>
            <w:r>
              <w:rPr>
                <w:rFonts w:hint="eastAsia"/>
              </w:rPr>
              <w:t>2</w:t>
            </w:r>
          </w:p>
        </w:tc>
        <w:tc>
          <w:tcPr>
            <w:tcW w:w="533" w:type="pct"/>
            <w:tcBorders>
              <w:top w:val="single" w:sz="4" w:space="0" w:color="000000"/>
              <w:left w:val="single" w:sz="4" w:space="0" w:color="000000"/>
              <w:bottom w:val="single" w:sz="4" w:space="0" w:color="000000"/>
              <w:right w:val="single" w:sz="4" w:space="0" w:color="000000"/>
            </w:tcBorders>
            <w:shd w:val="clear" w:color="auto" w:fill="auto"/>
            <w:noWrap/>
            <w:tcMar>
              <w:top w:w="12" w:type="dxa"/>
              <w:left w:w="12" w:type="dxa"/>
              <w:right w:w="12" w:type="dxa"/>
            </w:tcMar>
            <w:vAlign w:val="center"/>
          </w:tcPr>
          <w:p w:rsidR="00ED5264" w:rsidRDefault="00B65917">
            <w:pPr>
              <w:widowControl/>
              <w:jc w:val="center"/>
              <w:textAlignment w:val="center"/>
            </w:pPr>
            <w:r>
              <w:rPr>
                <w:rFonts w:hint="eastAsia"/>
              </w:rPr>
              <w:t>4</w:t>
            </w:r>
          </w:p>
        </w:tc>
        <w:tc>
          <w:tcPr>
            <w:tcW w:w="533" w:type="pct"/>
            <w:tcBorders>
              <w:top w:val="single" w:sz="4" w:space="0" w:color="000000"/>
              <w:left w:val="single" w:sz="4" w:space="0" w:color="000000"/>
              <w:bottom w:val="single" w:sz="4" w:space="0" w:color="000000"/>
              <w:right w:val="single" w:sz="4" w:space="0" w:color="000000"/>
            </w:tcBorders>
            <w:shd w:val="clear" w:color="auto" w:fill="auto"/>
            <w:noWrap/>
            <w:tcMar>
              <w:top w:w="12" w:type="dxa"/>
              <w:left w:w="12" w:type="dxa"/>
              <w:right w:w="12" w:type="dxa"/>
            </w:tcMar>
            <w:vAlign w:val="center"/>
          </w:tcPr>
          <w:p w:rsidR="00ED5264" w:rsidRDefault="00B65917">
            <w:pPr>
              <w:widowControl/>
              <w:jc w:val="center"/>
              <w:textAlignment w:val="center"/>
            </w:pPr>
            <w:r>
              <w:rPr>
                <w:rFonts w:hint="eastAsia"/>
              </w:rPr>
              <w:t>8</w:t>
            </w:r>
          </w:p>
        </w:tc>
        <w:tc>
          <w:tcPr>
            <w:tcW w:w="533" w:type="pct"/>
            <w:tcBorders>
              <w:top w:val="single" w:sz="4" w:space="0" w:color="000000"/>
              <w:left w:val="single" w:sz="4" w:space="0" w:color="000000"/>
              <w:bottom w:val="single" w:sz="4" w:space="0" w:color="000000"/>
              <w:right w:val="single" w:sz="4" w:space="0" w:color="000000"/>
            </w:tcBorders>
            <w:shd w:val="clear" w:color="auto" w:fill="auto"/>
            <w:noWrap/>
            <w:tcMar>
              <w:top w:w="12" w:type="dxa"/>
              <w:left w:w="12" w:type="dxa"/>
              <w:right w:w="12" w:type="dxa"/>
            </w:tcMar>
            <w:vAlign w:val="center"/>
          </w:tcPr>
          <w:p w:rsidR="00ED5264" w:rsidRDefault="00B65917">
            <w:pPr>
              <w:widowControl/>
              <w:jc w:val="center"/>
              <w:textAlignment w:val="center"/>
            </w:pPr>
            <w:r>
              <w:rPr>
                <w:rFonts w:hint="eastAsia"/>
              </w:rPr>
              <w:t>16</w:t>
            </w:r>
          </w:p>
        </w:tc>
        <w:tc>
          <w:tcPr>
            <w:tcW w:w="649" w:type="pct"/>
            <w:tcBorders>
              <w:top w:val="single" w:sz="4" w:space="0" w:color="000000"/>
              <w:left w:val="single" w:sz="4" w:space="0" w:color="000000"/>
              <w:bottom w:val="single" w:sz="4" w:space="0" w:color="000000"/>
              <w:right w:val="single" w:sz="4" w:space="0" w:color="000000"/>
            </w:tcBorders>
            <w:shd w:val="clear" w:color="auto" w:fill="auto"/>
            <w:noWrap/>
            <w:tcMar>
              <w:top w:w="12" w:type="dxa"/>
              <w:left w:w="12" w:type="dxa"/>
              <w:right w:w="12" w:type="dxa"/>
            </w:tcMar>
            <w:vAlign w:val="center"/>
          </w:tcPr>
          <w:p w:rsidR="00ED5264" w:rsidRDefault="00B65917">
            <w:pPr>
              <w:widowControl/>
              <w:jc w:val="center"/>
              <w:textAlignment w:val="center"/>
            </w:pPr>
            <w:r>
              <w:rPr>
                <w:rFonts w:hint="eastAsia"/>
              </w:rPr>
              <w:t>32</w:t>
            </w:r>
          </w:p>
        </w:tc>
      </w:tr>
      <w:tr w:rsidR="00ED5264">
        <w:trPr>
          <w:trHeight w:val="567"/>
        </w:trPr>
        <w:tc>
          <w:tcPr>
            <w:tcW w:w="1056" w:type="pct"/>
            <w:tcBorders>
              <w:top w:val="single" w:sz="4" w:space="0" w:color="000000"/>
              <w:left w:val="single" w:sz="4" w:space="0" w:color="000000"/>
              <w:bottom w:val="single" w:sz="4" w:space="0" w:color="000000"/>
              <w:right w:val="single" w:sz="4" w:space="0" w:color="000000"/>
            </w:tcBorders>
            <w:shd w:val="clear" w:color="auto" w:fill="auto"/>
            <w:noWrap/>
            <w:tcMar>
              <w:top w:w="12" w:type="dxa"/>
              <w:left w:w="12" w:type="dxa"/>
              <w:right w:w="12" w:type="dxa"/>
            </w:tcMar>
            <w:vAlign w:val="center"/>
          </w:tcPr>
          <w:p w:rsidR="00ED5264" w:rsidRDefault="00B65917">
            <w:pPr>
              <w:widowControl/>
              <w:jc w:val="center"/>
              <w:textAlignment w:val="center"/>
            </w:pPr>
            <w:r>
              <w:rPr>
                <w:rFonts w:hint="eastAsia"/>
              </w:rPr>
              <w:t>分计筛余</w:t>
            </w:r>
            <w:r>
              <w:rPr>
                <w:rFonts w:hint="eastAsia"/>
              </w:rPr>
              <w:t>/%</w:t>
            </w:r>
          </w:p>
        </w:tc>
        <w:tc>
          <w:tcPr>
            <w:tcW w:w="533" w:type="pct"/>
            <w:tcBorders>
              <w:top w:val="single" w:sz="4" w:space="0" w:color="000000"/>
              <w:left w:val="single" w:sz="4" w:space="0" w:color="000000"/>
              <w:bottom w:val="single" w:sz="4" w:space="0" w:color="000000"/>
              <w:right w:val="single" w:sz="4" w:space="0" w:color="000000"/>
            </w:tcBorders>
            <w:shd w:val="clear" w:color="auto" w:fill="auto"/>
            <w:noWrap/>
            <w:tcMar>
              <w:top w:w="12" w:type="dxa"/>
              <w:left w:w="12" w:type="dxa"/>
              <w:right w:w="12" w:type="dxa"/>
            </w:tcMar>
            <w:vAlign w:val="center"/>
          </w:tcPr>
          <w:p w:rsidR="00ED5264" w:rsidRDefault="00B65917">
            <w:pPr>
              <w:widowControl/>
              <w:jc w:val="center"/>
              <w:textAlignment w:val="center"/>
            </w:pPr>
            <w:bookmarkStart w:id="136" w:name="OLE_LINK16"/>
            <w:r>
              <w:rPr>
                <w:rFonts w:ascii="Arial" w:hAnsi="Arial" w:cs="Arial"/>
              </w:rPr>
              <w:t>α</w:t>
            </w:r>
            <w:r>
              <w:rPr>
                <w:rFonts w:hint="eastAsia"/>
                <w:vertAlign w:val="subscript"/>
              </w:rPr>
              <w:t>1</w:t>
            </w:r>
            <w:bookmarkEnd w:id="136"/>
          </w:p>
        </w:tc>
        <w:tc>
          <w:tcPr>
            <w:tcW w:w="579" w:type="pct"/>
            <w:tcBorders>
              <w:top w:val="single" w:sz="4" w:space="0" w:color="000000"/>
              <w:left w:val="single" w:sz="4" w:space="0" w:color="000000"/>
              <w:bottom w:val="single" w:sz="4" w:space="0" w:color="000000"/>
              <w:right w:val="single" w:sz="4" w:space="0" w:color="000000"/>
            </w:tcBorders>
            <w:shd w:val="clear" w:color="auto" w:fill="auto"/>
            <w:noWrap/>
            <w:tcMar>
              <w:top w:w="12" w:type="dxa"/>
              <w:left w:w="12" w:type="dxa"/>
              <w:right w:w="12" w:type="dxa"/>
            </w:tcMar>
            <w:vAlign w:val="center"/>
          </w:tcPr>
          <w:p w:rsidR="00ED5264" w:rsidRDefault="00B65917">
            <w:pPr>
              <w:widowControl/>
              <w:jc w:val="center"/>
              <w:textAlignment w:val="center"/>
            </w:pPr>
            <w:r>
              <w:rPr>
                <w:rFonts w:ascii="Arial" w:hAnsi="Arial" w:cs="Arial"/>
              </w:rPr>
              <w:t>α</w:t>
            </w:r>
            <w:r>
              <w:rPr>
                <w:rFonts w:hint="eastAsia"/>
                <w:vertAlign w:val="subscript"/>
              </w:rPr>
              <w:t>2</w:t>
            </w:r>
          </w:p>
        </w:tc>
        <w:tc>
          <w:tcPr>
            <w:tcW w:w="579" w:type="pct"/>
            <w:tcBorders>
              <w:top w:val="single" w:sz="4" w:space="0" w:color="000000"/>
              <w:left w:val="single" w:sz="4" w:space="0" w:color="000000"/>
              <w:bottom w:val="single" w:sz="4" w:space="0" w:color="000000"/>
              <w:right w:val="single" w:sz="4" w:space="0" w:color="000000"/>
            </w:tcBorders>
            <w:shd w:val="clear" w:color="auto" w:fill="auto"/>
            <w:noWrap/>
            <w:tcMar>
              <w:top w:w="12" w:type="dxa"/>
              <w:left w:w="12" w:type="dxa"/>
              <w:right w:w="12" w:type="dxa"/>
            </w:tcMar>
            <w:vAlign w:val="center"/>
          </w:tcPr>
          <w:p w:rsidR="00ED5264" w:rsidRDefault="00B65917">
            <w:pPr>
              <w:widowControl/>
              <w:jc w:val="center"/>
              <w:textAlignment w:val="center"/>
            </w:pPr>
            <w:r>
              <w:rPr>
                <w:rFonts w:ascii="Arial" w:hAnsi="Arial" w:cs="Arial"/>
              </w:rPr>
              <w:t>α</w:t>
            </w:r>
            <w:r>
              <w:rPr>
                <w:rFonts w:hint="eastAsia"/>
                <w:vertAlign w:val="subscript"/>
              </w:rPr>
              <w:t>3</w:t>
            </w:r>
          </w:p>
        </w:tc>
        <w:tc>
          <w:tcPr>
            <w:tcW w:w="533" w:type="pct"/>
            <w:tcBorders>
              <w:top w:val="single" w:sz="4" w:space="0" w:color="000000"/>
              <w:left w:val="single" w:sz="4" w:space="0" w:color="000000"/>
              <w:bottom w:val="single" w:sz="4" w:space="0" w:color="000000"/>
              <w:right w:val="single" w:sz="4" w:space="0" w:color="000000"/>
            </w:tcBorders>
            <w:shd w:val="clear" w:color="auto" w:fill="auto"/>
            <w:noWrap/>
            <w:tcMar>
              <w:top w:w="12" w:type="dxa"/>
              <w:left w:w="12" w:type="dxa"/>
              <w:right w:w="12" w:type="dxa"/>
            </w:tcMar>
            <w:vAlign w:val="center"/>
          </w:tcPr>
          <w:p w:rsidR="00ED5264" w:rsidRDefault="00B65917">
            <w:pPr>
              <w:widowControl/>
              <w:jc w:val="center"/>
              <w:textAlignment w:val="center"/>
            </w:pPr>
            <w:r>
              <w:rPr>
                <w:rFonts w:ascii="Arial" w:hAnsi="Arial" w:cs="Arial"/>
              </w:rPr>
              <w:t>α</w:t>
            </w:r>
            <w:r>
              <w:rPr>
                <w:rFonts w:hint="eastAsia"/>
                <w:vertAlign w:val="subscript"/>
              </w:rPr>
              <w:t>4</w:t>
            </w:r>
          </w:p>
        </w:tc>
        <w:tc>
          <w:tcPr>
            <w:tcW w:w="533" w:type="pct"/>
            <w:tcBorders>
              <w:top w:val="single" w:sz="4" w:space="0" w:color="000000"/>
              <w:left w:val="single" w:sz="4" w:space="0" w:color="000000"/>
              <w:bottom w:val="single" w:sz="4" w:space="0" w:color="000000"/>
              <w:right w:val="single" w:sz="4" w:space="0" w:color="000000"/>
            </w:tcBorders>
            <w:shd w:val="clear" w:color="auto" w:fill="auto"/>
            <w:noWrap/>
            <w:tcMar>
              <w:top w:w="12" w:type="dxa"/>
              <w:left w:w="12" w:type="dxa"/>
              <w:right w:w="12" w:type="dxa"/>
            </w:tcMar>
            <w:vAlign w:val="center"/>
          </w:tcPr>
          <w:p w:rsidR="00ED5264" w:rsidRDefault="00B65917">
            <w:pPr>
              <w:widowControl/>
              <w:jc w:val="center"/>
              <w:textAlignment w:val="center"/>
            </w:pPr>
            <w:r>
              <w:rPr>
                <w:rFonts w:ascii="Arial" w:hAnsi="Arial" w:cs="Arial"/>
              </w:rPr>
              <w:t>α</w:t>
            </w:r>
            <w:r>
              <w:rPr>
                <w:rFonts w:hint="eastAsia"/>
                <w:vertAlign w:val="subscript"/>
              </w:rPr>
              <w:t>5</w:t>
            </w:r>
          </w:p>
        </w:tc>
        <w:tc>
          <w:tcPr>
            <w:tcW w:w="533" w:type="pct"/>
            <w:tcBorders>
              <w:top w:val="single" w:sz="4" w:space="0" w:color="000000"/>
              <w:left w:val="single" w:sz="4" w:space="0" w:color="000000"/>
              <w:bottom w:val="single" w:sz="4" w:space="0" w:color="000000"/>
              <w:right w:val="single" w:sz="4" w:space="0" w:color="000000"/>
            </w:tcBorders>
            <w:shd w:val="clear" w:color="auto" w:fill="auto"/>
            <w:noWrap/>
            <w:tcMar>
              <w:top w:w="12" w:type="dxa"/>
              <w:left w:w="12" w:type="dxa"/>
              <w:right w:w="12" w:type="dxa"/>
            </w:tcMar>
            <w:vAlign w:val="center"/>
          </w:tcPr>
          <w:p w:rsidR="00ED5264" w:rsidRDefault="00B65917">
            <w:pPr>
              <w:widowControl/>
              <w:jc w:val="center"/>
              <w:textAlignment w:val="center"/>
            </w:pPr>
            <w:r>
              <w:rPr>
                <w:rFonts w:ascii="Arial" w:hAnsi="Arial" w:cs="Arial"/>
              </w:rPr>
              <w:t>α</w:t>
            </w:r>
            <w:r>
              <w:rPr>
                <w:rFonts w:hint="eastAsia"/>
                <w:vertAlign w:val="subscript"/>
              </w:rPr>
              <w:t>6</w:t>
            </w:r>
          </w:p>
        </w:tc>
        <w:tc>
          <w:tcPr>
            <w:tcW w:w="649" w:type="pct"/>
            <w:tcBorders>
              <w:top w:val="single" w:sz="4" w:space="0" w:color="000000"/>
              <w:left w:val="single" w:sz="4" w:space="0" w:color="000000"/>
              <w:bottom w:val="single" w:sz="4" w:space="0" w:color="000000"/>
              <w:right w:val="single" w:sz="4" w:space="0" w:color="000000"/>
            </w:tcBorders>
            <w:shd w:val="clear" w:color="auto" w:fill="auto"/>
            <w:noWrap/>
            <w:tcMar>
              <w:top w:w="12" w:type="dxa"/>
              <w:left w:w="12" w:type="dxa"/>
              <w:right w:w="12" w:type="dxa"/>
            </w:tcMar>
            <w:vAlign w:val="center"/>
          </w:tcPr>
          <w:p w:rsidR="00ED5264" w:rsidRDefault="00B65917">
            <w:pPr>
              <w:widowControl/>
              <w:jc w:val="center"/>
              <w:textAlignment w:val="center"/>
            </w:pPr>
            <w:r>
              <w:rPr>
                <w:rFonts w:ascii="Arial" w:hAnsi="Arial" w:cs="Arial"/>
              </w:rPr>
              <w:t>α</w:t>
            </w:r>
            <w:r>
              <w:rPr>
                <w:rFonts w:hint="eastAsia"/>
                <w:vertAlign w:val="subscript"/>
              </w:rPr>
              <w:t>7</w:t>
            </w:r>
          </w:p>
        </w:tc>
      </w:tr>
      <w:tr w:rsidR="00ED5264">
        <w:trPr>
          <w:trHeight w:val="567"/>
        </w:trPr>
        <w:tc>
          <w:tcPr>
            <w:tcW w:w="5000" w:type="pct"/>
            <w:gridSpan w:val="8"/>
            <w:tcBorders>
              <w:top w:val="single" w:sz="4" w:space="0" w:color="000000"/>
              <w:left w:val="single" w:sz="4" w:space="0" w:color="000000"/>
              <w:bottom w:val="single" w:sz="4" w:space="0" w:color="000000"/>
              <w:right w:val="single" w:sz="4" w:space="0" w:color="000000"/>
            </w:tcBorders>
            <w:shd w:val="clear" w:color="auto" w:fill="auto"/>
            <w:noWrap/>
            <w:tcMar>
              <w:top w:w="12" w:type="dxa"/>
              <w:left w:w="12" w:type="dxa"/>
              <w:right w:w="12" w:type="dxa"/>
            </w:tcMar>
            <w:vAlign w:val="center"/>
          </w:tcPr>
          <w:p w:rsidR="00ED5264" w:rsidRDefault="00B65917">
            <w:pPr>
              <w:widowControl/>
              <w:textAlignment w:val="center"/>
            </w:pPr>
            <w:r>
              <w:rPr>
                <w:rFonts w:hint="eastAsia"/>
              </w:rPr>
              <w:t>注：砂的比粒度</w:t>
            </w:r>
            <w:r>
              <w:rPr>
                <w:rFonts w:hint="eastAsia"/>
              </w:rPr>
              <w:t>=</w:t>
            </w:r>
            <w:r>
              <w:rPr>
                <w:rFonts w:hint="eastAsia"/>
              </w:rPr>
              <w:t>（</w:t>
            </w:r>
            <w:r>
              <w:rPr>
                <w:rFonts w:hint="eastAsia"/>
              </w:rPr>
              <w:t>1/2</w:t>
            </w:r>
            <w:r>
              <w:rPr>
                <w:rFonts w:hint="eastAsia"/>
              </w:rPr>
              <w:t>）</w:t>
            </w:r>
            <w:r>
              <w:rPr>
                <w:rFonts w:ascii="Arial" w:hAnsi="Arial" w:cs="Arial"/>
              </w:rPr>
              <w:t>α</w:t>
            </w:r>
            <w:r>
              <w:rPr>
                <w:rFonts w:hint="eastAsia"/>
                <w:vertAlign w:val="subscript"/>
              </w:rPr>
              <w:t>1</w:t>
            </w:r>
            <w:r>
              <w:rPr>
                <w:rFonts w:hint="eastAsia"/>
              </w:rPr>
              <w:t>+</w:t>
            </w:r>
            <w:r>
              <w:rPr>
                <w:rFonts w:ascii="Arial" w:hAnsi="Arial" w:cs="Arial"/>
              </w:rPr>
              <w:t>α</w:t>
            </w:r>
            <w:r>
              <w:rPr>
                <w:rFonts w:hint="eastAsia"/>
                <w:vertAlign w:val="subscript"/>
              </w:rPr>
              <w:t>2</w:t>
            </w:r>
            <w:r>
              <w:rPr>
                <w:rFonts w:hint="eastAsia"/>
              </w:rPr>
              <w:t>+2</w:t>
            </w:r>
            <w:r>
              <w:rPr>
                <w:rFonts w:ascii="Arial" w:hAnsi="Arial" w:cs="Arial"/>
              </w:rPr>
              <w:t>α</w:t>
            </w:r>
            <w:r>
              <w:rPr>
                <w:rFonts w:hint="eastAsia"/>
                <w:vertAlign w:val="subscript"/>
              </w:rPr>
              <w:t>3</w:t>
            </w:r>
            <w:r>
              <w:rPr>
                <w:rFonts w:hint="eastAsia"/>
              </w:rPr>
              <w:t>+4</w:t>
            </w:r>
            <w:r>
              <w:rPr>
                <w:rFonts w:ascii="Arial" w:hAnsi="Arial" w:cs="Arial"/>
              </w:rPr>
              <w:t>α</w:t>
            </w:r>
            <w:r>
              <w:rPr>
                <w:rFonts w:hint="eastAsia"/>
                <w:vertAlign w:val="subscript"/>
              </w:rPr>
              <w:t>4</w:t>
            </w:r>
            <w:r>
              <w:rPr>
                <w:rFonts w:hint="eastAsia"/>
              </w:rPr>
              <w:t>+8</w:t>
            </w:r>
            <w:r>
              <w:rPr>
                <w:rFonts w:ascii="Arial" w:hAnsi="Arial" w:cs="Arial"/>
              </w:rPr>
              <w:t>α</w:t>
            </w:r>
            <w:r>
              <w:rPr>
                <w:rFonts w:hint="eastAsia"/>
                <w:vertAlign w:val="subscript"/>
              </w:rPr>
              <w:t>5</w:t>
            </w:r>
            <w:r>
              <w:rPr>
                <w:rFonts w:hint="eastAsia"/>
              </w:rPr>
              <w:t>+16</w:t>
            </w:r>
            <w:r>
              <w:rPr>
                <w:rFonts w:ascii="Arial" w:hAnsi="Arial" w:cs="Arial"/>
              </w:rPr>
              <w:t>α</w:t>
            </w:r>
            <w:r>
              <w:rPr>
                <w:rFonts w:hint="eastAsia"/>
                <w:vertAlign w:val="subscript"/>
              </w:rPr>
              <w:t>6</w:t>
            </w:r>
            <w:r>
              <w:rPr>
                <w:rFonts w:hint="eastAsia"/>
              </w:rPr>
              <w:t>+32</w:t>
            </w:r>
            <w:r>
              <w:rPr>
                <w:rFonts w:ascii="Arial" w:hAnsi="Arial" w:cs="Arial"/>
              </w:rPr>
              <w:t>α</w:t>
            </w:r>
            <w:r>
              <w:rPr>
                <w:rFonts w:hint="eastAsia"/>
                <w:vertAlign w:val="subscript"/>
              </w:rPr>
              <w:t>7</w:t>
            </w:r>
          </w:p>
        </w:tc>
      </w:tr>
    </w:tbl>
    <w:p w:rsidR="00ED5264" w:rsidRDefault="00B65917">
      <w:pPr>
        <w:spacing w:beforeLines="100" w:before="312" w:afterLines="100" w:after="312" w:line="300" w:lineRule="auto"/>
        <w:jc w:val="center"/>
        <w:outlineLvl w:val="1"/>
        <w:rPr>
          <w:b/>
          <w:bCs/>
          <w:sz w:val="24"/>
          <w:szCs w:val="24"/>
        </w:rPr>
      </w:pPr>
      <w:bookmarkStart w:id="137" w:name="_Toc243285189"/>
      <w:bookmarkStart w:id="138" w:name="_Toc237336827"/>
      <w:bookmarkStart w:id="139" w:name="_Toc245291073"/>
      <w:bookmarkStart w:id="140" w:name="_Toc245290860"/>
      <w:bookmarkStart w:id="141" w:name="_Toc242936856"/>
      <w:bookmarkStart w:id="142" w:name="_Toc238356682"/>
      <w:bookmarkStart w:id="143" w:name="_Toc245290382"/>
      <w:bookmarkStart w:id="144" w:name="_Toc23260811"/>
      <w:bookmarkStart w:id="145" w:name="_Toc30312"/>
      <w:bookmarkStart w:id="146" w:name="_Toc15053025"/>
      <w:bookmarkStart w:id="147" w:name="_Toc8181"/>
      <w:bookmarkStart w:id="148" w:name="_Toc21670"/>
      <w:bookmarkStart w:id="149" w:name="_Toc514685611"/>
      <w:bookmarkEnd w:id="121"/>
      <w:bookmarkEnd w:id="122"/>
      <w:bookmarkEnd w:id="123"/>
      <w:bookmarkEnd w:id="124"/>
      <w:bookmarkEnd w:id="125"/>
      <w:bookmarkEnd w:id="126"/>
      <w:bookmarkEnd w:id="127"/>
      <w:bookmarkEnd w:id="128"/>
      <w:bookmarkEnd w:id="129"/>
      <w:bookmarkEnd w:id="134"/>
      <w:bookmarkEnd w:id="135"/>
      <w:r>
        <w:rPr>
          <w:b/>
          <w:bCs/>
          <w:sz w:val="24"/>
          <w:szCs w:val="24"/>
        </w:rPr>
        <w:t xml:space="preserve">4.2  </w:t>
      </w:r>
      <w:bookmarkEnd w:id="137"/>
      <w:bookmarkEnd w:id="138"/>
      <w:bookmarkEnd w:id="139"/>
      <w:bookmarkEnd w:id="140"/>
      <w:bookmarkEnd w:id="141"/>
      <w:bookmarkEnd w:id="142"/>
      <w:bookmarkEnd w:id="143"/>
      <w:r>
        <w:rPr>
          <w:b/>
          <w:bCs/>
          <w:sz w:val="24"/>
          <w:szCs w:val="24"/>
        </w:rPr>
        <w:t>其它原材料</w:t>
      </w:r>
      <w:bookmarkEnd w:id="144"/>
      <w:bookmarkEnd w:id="145"/>
      <w:bookmarkEnd w:id="146"/>
      <w:bookmarkEnd w:id="147"/>
      <w:bookmarkEnd w:id="148"/>
      <w:bookmarkEnd w:id="149"/>
    </w:p>
    <w:p w:rsidR="00ED5264" w:rsidRDefault="00B65917">
      <w:pPr>
        <w:pStyle w:val="aff9"/>
        <w:spacing w:line="360" w:lineRule="auto"/>
        <w:rPr>
          <w:bCs/>
        </w:rPr>
      </w:pPr>
      <w:bookmarkStart w:id="150" w:name="_Toc15053026"/>
      <w:bookmarkStart w:id="151" w:name="_Toc514685612"/>
      <w:bookmarkStart w:id="152" w:name="_Toc243285190"/>
      <w:bookmarkStart w:id="153" w:name="_Toc23260812"/>
      <w:r>
        <w:rPr>
          <w:b/>
        </w:rPr>
        <w:t>4.2.1</w:t>
      </w:r>
      <w:r>
        <w:t xml:space="preserve">  </w:t>
      </w:r>
      <w:r>
        <w:t>水泥宜采用硅酸盐水泥或普通硅酸盐水泥，并应符合现行国家标准《通用硅酸盐水泥》</w:t>
      </w:r>
      <w:r>
        <w:t>GB 175</w:t>
      </w:r>
      <w:r>
        <w:t>的规定；其它</w:t>
      </w:r>
      <w:r>
        <w:rPr>
          <w:bCs/>
        </w:rPr>
        <w:t>品种的水泥尚应符合相应现行国家有关标准的规定。</w:t>
      </w:r>
      <w:bookmarkEnd w:id="150"/>
      <w:bookmarkEnd w:id="151"/>
      <w:bookmarkEnd w:id="152"/>
      <w:bookmarkEnd w:id="153"/>
    </w:p>
    <w:p w:rsidR="00ED5264" w:rsidRDefault="00B65917">
      <w:pPr>
        <w:pStyle w:val="aff9"/>
        <w:spacing w:line="360" w:lineRule="auto"/>
        <w:rPr>
          <w:b/>
        </w:rPr>
      </w:pPr>
      <w:bookmarkStart w:id="154" w:name="_Toc514685613"/>
      <w:bookmarkStart w:id="155" w:name="_Toc23260813"/>
      <w:bookmarkStart w:id="156" w:name="_Toc15053027"/>
      <w:r>
        <w:rPr>
          <w:b/>
        </w:rPr>
        <w:t>4.2.2</w:t>
      </w:r>
      <w:r>
        <w:t xml:space="preserve">  </w:t>
      </w:r>
      <w:r>
        <w:t>矿物掺合料应符合下列规定：</w:t>
      </w:r>
      <w:bookmarkEnd w:id="154"/>
      <w:bookmarkEnd w:id="155"/>
      <w:bookmarkEnd w:id="156"/>
    </w:p>
    <w:p w:rsidR="00ED5264" w:rsidRDefault="00B65917">
      <w:pPr>
        <w:spacing w:line="360" w:lineRule="auto"/>
        <w:ind w:firstLineChars="200" w:firstLine="482"/>
        <w:rPr>
          <w:bCs/>
          <w:sz w:val="24"/>
          <w:szCs w:val="24"/>
        </w:rPr>
      </w:pPr>
      <w:r>
        <w:rPr>
          <w:b/>
          <w:bCs/>
          <w:sz w:val="24"/>
          <w:szCs w:val="24"/>
        </w:rPr>
        <w:t>1</w:t>
      </w:r>
      <w:r>
        <w:rPr>
          <w:bCs/>
          <w:sz w:val="24"/>
          <w:szCs w:val="24"/>
        </w:rPr>
        <w:t xml:space="preserve">  </w:t>
      </w:r>
      <w:r>
        <w:rPr>
          <w:bCs/>
          <w:sz w:val="24"/>
          <w:szCs w:val="24"/>
        </w:rPr>
        <w:t>粉煤灰应符合现行国家标准《用于水泥和混凝土中的粉煤灰》</w:t>
      </w:r>
      <w:r>
        <w:rPr>
          <w:bCs/>
          <w:sz w:val="24"/>
          <w:szCs w:val="24"/>
        </w:rPr>
        <w:t>GB/T 1596</w:t>
      </w:r>
      <w:r>
        <w:rPr>
          <w:bCs/>
          <w:sz w:val="24"/>
          <w:szCs w:val="24"/>
        </w:rPr>
        <w:t>的规定，且不宜低于</w:t>
      </w:r>
      <w:r>
        <w:rPr>
          <w:bCs/>
          <w:sz w:val="24"/>
          <w:szCs w:val="24"/>
        </w:rPr>
        <w:t>Ⅱ</w:t>
      </w:r>
      <w:r>
        <w:rPr>
          <w:bCs/>
          <w:sz w:val="24"/>
          <w:szCs w:val="24"/>
        </w:rPr>
        <w:t>级；磨细粉煤灰应符合现行国家标准《矿物掺合料应用技术规范》</w:t>
      </w:r>
      <w:r>
        <w:rPr>
          <w:bCs/>
          <w:sz w:val="24"/>
          <w:szCs w:val="24"/>
        </w:rPr>
        <w:t>GB/T 51003</w:t>
      </w:r>
      <w:r>
        <w:rPr>
          <w:bCs/>
          <w:sz w:val="24"/>
          <w:szCs w:val="24"/>
        </w:rPr>
        <w:t>的规定；</w:t>
      </w:r>
    </w:p>
    <w:p w:rsidR="00ED5264" w:rsidRDefault="00B65917">
      <w:pPr>
        <w:pStyle w:val="af3"/>
        <w:spacing w:line="360" w:lineRule="auto"/>
        <w:ind w:firstLineChars="200" w:firstLine="482"/>
        <w:rPr>
          <w:rFonts w:ascii="Times New Roman" w:hAnsi="Times New Roman"/>
          <w:sz w:val="24"/>
          <w:szCs w:val="24"/>
        </w:rPr>
      </w:pPr>
      <w:r>
        <w:rPr>
          <w:rFonts w:ascii="Times New Roman" w:hAnsi="Times New Roman"/>
          <w:b/>
          <w:bCs/>
          <w:sz w:val="24"/>
          <w:szCs w:val="24"/>
        </w:rPr>
        <w:t>2</w:t>
      </w:r>
      <w:r>
        <w:rPr>
          <w:rFonts w:ascii="Times New Roman" w:hAnsi="Times New Roman"/>
          <w:sz w:val="24"/>
          <w:szCs w:val="24"/>
        </w:rPr>
        <w:t xml:space="preserve">  </w:t>
      </w:r>
      <w:r>
        <w:rPr>
          <w:rFonts w:ascii="Times New Roman" w:hAnsi="Times New Roman"/>
          <w:sz w:val="24"/>
          <w:szCs w:val="24"/>
        </w:rPr>
        <w:t>粒化高炉矿渣粉应符合现行国家标准《用于水泥、砂浆和混凝土中的粒化高炉矿渣粉》</w:t>
      </w:r>
      <w:r>
        <w:rPr>
          <w:rFonts w:ascii="Times New Roman" w:hAnsi="Times New Roman"/>
          <w:sz w:val="24"/>
          <w:szCs w:val="24"/>
        </w:rPr>
        <w:t>GB/T 18046</w:t>
      </w:r>
      <w:r>
        <w:rPr>
          <w:rFonts w:ascii="Times New Roman" w:hAnsi="Times New Roman"/>
          <w:sz w:val="24"/>
          <w:szCs w:val="24"/>
        </w:rPr>
        <w:t>的规定，且不宜低于</w:t>
      </w:r>
      <w:r>
        <w:rPr>
          <w:rFonts w:ascii="Times New Roman" w:hAnsi="Times New Roman"/>
          <w:sz w:val="24"/>
          <w:szCs w:val="24"/>
        </w:rPr>
        <w:t>S95</w:t>
      </w:r>
      <w:r>
        <w:rPr>
          <w:rFonts w:ascii="Times New Roman" w:hAnsi="Times New Roman"/>
          <w:sz w:val="24"/>
          <w:szCs w:val="24"/>
        </w:rPr>
        <w:t>级；</w:t>
      </w:r>
    </w:p>
    <w:p w:rsidR="00ED5264" w:rsidRDefault="00B65917">
      <w:pPr>
        <w:pStyle w:val="af3"/>
        <w:spacing w:line="360" w:lineRule="auto"/>
        <w:ind w:firstLineChars="200" w:firstLine="482"/>
        <w:rPr>
          <w:rFonts w:ascii="Times New Roman" w:hAnsi="Times New Roman"/>
          <w:sz w:val="24"/>
          <w:szCs w:val="24"/>
        </w:rPr>
      </w:pPr>
      <w:r>
        <w:rPr>
          <w:rFonts w:ascii="Times New Roman" w:hAnsi="Times New Roman"/>
          <w:b/>
          <w:bCs/>
          <w:sz w:val="24"/>
          <w:szCs w:val="24"/>
        </w:rPr>
        <w:t>3</w:t>
      </w:r>
      <w:r>
        <w:rPr>
          <w:rFonts w:ascii="Times New Roman" w:hAnsi="Times New Roman"/>
          <w:sz w:val="24"/>
          <w:szCs w:val="24"/>
        </w:rPr>
        <w:t xml:space="preserve">  </w:t>
      </w:r>
      <w:r>
        <w:rPr>
          <w:rFonts w:ascii="Times New Roman" w:hAnsi="Times New Roman"/>
          <w:sz w:val="24"/>
          <w:szCs w:val="24"/>
        </w:rPr>
        <w:t>硅灰应符合现行国家标准《砂浆和混凝土用硅灰》</w:t>
      </w:r>
      <w:r>
        <w:rPr>
          <w:rFonts w:ascii="Times New Roman" w:hAnsi="Times New Roman"/>
          <w:sz w:val="24"/>
          <w:szCs w:val="24"/>
        </w:rPr>
        <w:t>GB/T 27690</w:t>
      </w:r>
      <w:r>
        <w:rPr>
          <w:rFonts w:ascii="Times New Roman" w:hAnsi="Times New Roman"/>
          <w:sz w:val="24"/>
          <w:szCs w:val="24"/>
        </w:rPr>
        <w:t>的规定；</w:t>
      </w:r>
    </w:p>
    <w:p w:rsidR="00ED5264" w:rsidRDefault="00B65917">
      <w:pPr>
        <w:spacing w:line="360" w:lineRule="auto"/>
        <w:ind w:firstLineChars="200" w:firstLine="482"/>
        <w:rPr>
          <w:sz w:val="24"/>
          <w:szCs w:val="24"/>
        </w:rPr>
      </w:pPr>
      <w:r>
        <w:rPr>
          <w:b/>
          <w:bCs/>
          <w:sz w:val="24"/>
          <w:szCs w:val="24"/>
        </w:rPr>
        <w:t>4</w:t>
      </w:r>
      <w:r>
        <w:rPr>
          <w:sz w:val="24"/>
          <w:szCs w:val="24"/>
        </w:rPr>
        <w:t xml:space="preserve">  </w:t>
      </w:r>
      <w:r>
        <w:rPr>
          <w:sz w:val="24"/>
          <w:szCs w:val="24"/>
        </w:rPr>
        <w:t>石灰石粉应符合现行国家标准《石灰石粉混凝土》</w:t>
      </w:r>
      <w:r>
        <w:rPr>
          <w:sz w:val="24"/>
          <w:szCs w:val="24"/>
        </w:rPr>
        <w:t>GB/T 30190</w:t>
      </w:r>
      <w:r>
        <w:rPr>
          <w:sz w:val="24"/>
          <w:szCs w:val="24"/>
        </w:rPr>
        <w:t>和现行行业标准《石灰石粉在混凝土中应用技术规程》</w:t>
      </w:r>
      <w:r>
        <w:rPr>
          <w:sz w:val="24"/>
          <w:szCs w:val="24"/>
        </w:rPr>
        <w:t>JGJ/T 318</w:t>
      </w:r>
      <w:r>
        <w:rPr>
          <w:sz w:val="24"/>
          <w:szCs w:val="24"/>
        </w:rPr>
        <w:t>的规定。</w:t>
      </w:r>
    </w:p>
    <w:p w:rsidR="00ED5264" w:rsidRDefault="00B65917">
      <w:pPr>
        <w:spacing w:line="360" w:lineRule="auto"/>
        <w:ind w:firstLineChars="200" w:firstLine="482"/>
        <w:rPr>
          <w:sz w:val="24"/>
          <w:szCs w:val="24"/>
        </w:rPr>
      </w:pPr>
      <w:r>
        <w:rPr>
          <w:b/>
          <w:bCs/>
          <w:sz w:val="24"/>
          <w:szCs w:val="24"/>
        </w:rPr>
        <w:t>5</w:t>
      </w:r>
      <w:r>
        <w:rPr>
          <w:bCs/>
          <w:sz w:val="24"/>
          <w:szCs w:val="24"/>
        </w:rPr>
        <w:t xml:space="preserve">  </w:t>
      </w:r>
      <w:r>
        <w:rPr>
          <w:bCs/>
          <w:sz w:val="24"/>
          <w:szCs w:val="24"/>
        </w:rPr>
        <w:t>复合掺合料应符合现行行业标准《混凝土用复合掺合料》</w:t>
      </w:r>
      <w:r>
        <w:rPr>
          <w:bCs/>
          <w:sz w:val="24"/>
          <w:szCs w:val="24"/>
        </w:rPr>
        <w:t>JG/T 486</w:t>
      </w:r>
      <w:r>
        <w:rPr>
          <w:bCs/>
          <w:sz w:val="24"/>
          <w:szCs w:val="24"/>
        </w:rPr>
        <w:t>的规定。</w:t>
      </w:r>
    </w:p>
    <w:p w:rsidR="00ED5264" w:rsidRDefault="00B65917">
      <w:pPr>
        <w:pStyle w:val="aff9"/>
        <w:spacing w:line="360" w:lineRule="auto"/>
      </w:pPr>
      <w:bookmarkStart w:id="157" w:name="_Toc15053029"/>
      <w:bookmarkStart w:id="158" w:name="_Toc243285193"/>
      <w:bookmarkStart w:id="159" w:name="_Toc23260815"/>
      <w:bookmarkStart w:id="160" w:name="_Toc514685615"/>
      <w:r>
        <w:rPr>
          <w:b/>
        </w:rPr>
        <w:t>4.2.</w:t>
      </w:r>
      <w:r>
        <w:rPr>
          <w:rFonts w:hint="eastAsia"/>
          <w:b/>
        </w:rPr>
        <w:t>3</w:t>
      </w:r>
      <w:r>
        <w:rPr>
          <w:b/>
        </w:rPr>
        <w:t xml:space="preserve"> </w:t>
      </w:r>
      <w:r>
        <w:t xml:space="preserve"> </w:t>
      </w:r>
      <w:r>
        <w:t>混凝土用水应符合现行行业标准《混凝土用水标准》</w:t>
      </w:r>
      <w:r>
        <w:t>JGJ 63</w:t>
      </w:r>
      <w:r>
        <w:t>的</w:t>
      </w:r>
      <w:r>
        <w:t>规定。</w:t>
      </w:r>
    </w:p>
    <w:p w:rsidR="00ED5264" w:rsidRDefault="00B65917">
      <w:pPr>
        <w:spacing w:line="360" w:lineRule="auto"/>
        <w:rPr>
          <w:sz w:val="24"/>
          <w:szCs w:val="24"/>
        </w:rPr>
      </w:pPr>
      <w:bookmarkStart w:id="161" w:name="OLE_LINK2"/>
      <w:bookmarkStart w:id="162" w:name="_Toc23260816"/>
      <w:bookmarkStart w:id="163" w:name="_Toc514685616"/>
      <w:bookmarkStart w:id="164" w:name="_Toc243285194"/>
      <w:bookmarkStart w:id="165" w:name="_Toc15053030"/>
      <w:bookmarkEnd w:id="157"/>
      <w:bookmarkEnd w:id="158"/>
      <w:bookmarkEnd w:id="159"/>
      <w:bookmarkEnd w:id="160"/>
      <w:r>
        <w:rPr>
          <w:b/>
          <w:sz w:val="24"/>
          <w:szCs w:val="24"/>
        </w:rPr>
        <w:t>4.2.</w:t>
      </w:r>
      <w:bookmarkEnd w:id="161"/>
      <w:r>
        <w:rPr>
          <w:rFonts w:hint="eastAsia"/>
          <w:b/>
          <w:sz w:val="24"/>
          <w:szCs w:val="24"/>
        </w:rPr>
        <w:t>4</w:t>
      </w:r>
      <w:r>
        <w:rPr>
          <w:sz w:val="24"/>
          <w:szCs w:val="24"/>
        </w:rPr>
        <w:t xml:space="preserve">  </w:t>
      </w:r>
      <w:r>
        <w:rPr>
          <w:sz w:val="24"/>
          <w:szCs w:val="24"/>
        </w:rPr>
        <w:t>混凝土用外加剂</w:t>
      </w:r>
      <w:bookmarkEnd w:id="162"/>
      <w:r>
        <w:rPr>
          <w:rFonts w:hint="eastAsia"/>
          <w:sz w:val="24"/>
          <w:szCs w:val="24"/>
        </w:rPr>
        <w:t>宜采用具有良好坍落度保持作用的聚羧酸系高性能减水</w:t>
      </w:r>
      <w:r>
        <w:rPr>
          <w:rFonts w:hint="eastAsia"/>
          <w:sz w:val="24"/>
          <w:szCs w:val="24"/>
        </w:rPr>
        <w:lastRenderedPageBreak/>
        <w:t>剂，并</w:t>
      </w:r>
      <w:r>
        <w:rPr>
          <w:sz w:val="24"/>
          <w:szCs w:val="24"/>
        </w:rPr>
        <w:t>应符合国家现行标准《混凝土外加剂》</w:t>
      </w:r>
      <w:r>
        <w:rPr>
          <w:sz w:val="24"/>
          <w:szCs w:val="24"/>
        </w:rPr>
        <w:t>GB 8076</w:t>
      </w:r>
      <w:r>
        <w:rPr>
          <w:rFonts w:hint="eastAsia"/>
          <w:sz w:val="24"/>
          <w:szCs w:val="24"/>
        </w:rPr>
        <w:t>、</w:t>
      </w:r>
      <w:r>
        <w:rPr>
          <w:rFonts w:hint="eastAsia"/>
          <w:sz w:val="24"/>
          <w:szCs w:val="24"/>
        </w:rPr>
        <w:t>《聚羧酸系高性能减水剂》</w:t>
      </w:r>
      <w:r>
        <w:rPr>
          <w:rFonts w:hint="eastAsia"/>
          <w:sz w:val="24"/>
          <w:szCs w:val="24"/>
        </w:rPr>
        <w:t>JG/T 223</w:t>
      </w:r>
      <w:r>
        <w:rPr>
          <w:sz w:val="24"/>
          <w:szCs w:val="24"/>
        </w:rPr>
        <w:t>和</w:t>
      </w:r>
      <w:bookmarkStart w:id="166" w:name="_Toc23260817"/>
      <w:r>
        <w:rPr>
          <w:sz w:val="24"/>
          <w:szCs w:val="24"/>
        </w:rPr>
        <w:t>《混凝土外加剂应用技术规范》</w:t>
      </w:r>
      <w:r>
        <w:rPr>
          <w:sz w:val="24"/>
          <w:szCs w:val="24"/>
        </w:rPr>
        <w:t>GB 50119</w:t>
      </w:r>
      <w:r>
        <w:rPr>
          <w:sz w:val="24"/>
          <w:szCs w:val="24"/>
        </w:rPr>
        <w:t>的规定。</w:t>
      </w:r>
    </w:p>
    <w:bookmarkEnd w:id="163"/>
    <w:bookmarkEnd w:id="164"/>
    <w:bookmarkEnd w:id="165"/>
    <w:bookmarkEnd w:id="166"/>
    <w:p w:rsidR="00ED5264" w:rsidRDefault="00ED5264">
      <w:pPr>
        <w:tabs>
          <w:tab w:val="left" w:pos="2280"/>
        </w:tabs>
        <w:spacing w:line="360" w:lineRule="auto"/>
        <w:rPr>
          <w:sz w:val="24"/>
          <w:szCs w:val="24"/>
        </w:rPr>
        <w:sectPr w:rsidR="00ED5264">
          <w:footerReference w:type="default" r:id="rId17"/>
          <w:pgSz w:w="11906" w:h="16838"/>
          <w:pgMar w:top="1440" w:right="1800" w:bottom="1440" w:left="1800" w:header="851" w:footer="992" w:gutter="0"/>
          <w:cols w:space="720"/>
          <w:docGrid w:type="lines" w:linePitch="312"/>
        </w:sectPr>
      </w:pPr>
    </w:p>
    <w:p w:rsidR="00ED5264" w:rsidRDefault="00B65917">
      <w:pPr>
        <w:pStyle w:val="aff4"/>
        <w:spacing w:before="312" w:after="312"/>
      </w:pPr>
      <w:bookmarkStart w:id="167" w:name="_Toc235251703"/>
      <w:bookmarkStart w:id="168" w:name="_Toc232517432"/>
      <w:bookmarkStart w:id="169" w:name="_Toc234206812"/>
      <w:bookmarkStart w:id="170" w:name="_Toc236584162"/>
      <w:bookmarkStart w:id="171" w:name="_Toc232243147"/>
      <w:bookmarkStart w:id="172" w:name="_Toc232495679"/>
      <w:bookmarkStart w:id="173" w:name="_Toc236584232"/>
      <w:bookmarkStart w:id="174" w:name="_Toc245291074"/>
      <w:bookmarkStart w:id="175" w:name="_Toc17922"/>
      <w:bookmarkStart w:id="176" w:name="_Toc243285196"/>
      <w:bookmarkStart w:id="177" w:name="_Toc5896"/>
      <w:bookmarkStart w:id="178" w:name="_Toc514685618"/>
      <w:bookmarkStart w:id="179" w:name="_Toc15053032"/>
      <w:bookmarkStart w:id="180" w:name="_Toc30693"/>
      <w:bookmarkStart w:id="181" w:name="_Toc245290383"/>
      <w:bookmarkStart w:id="182" w:name="_Toc23260819"/>
      <w:bookmarkStart w:id="183" w:name="_Toc238356683"/>
      <w:bookmarkStart w:id="184" w:name="_Toc245290861"/>
      <w:bookmarkStart w:id="185" w:name="_Toc237336828"/>
      <w:bookmarkStart w:id="186" w:name="_Toc242936857"/>
      <w:r>
        <w:lastRenderedPageBreak/>
        <w:t xml:space="preserve">5  </w:t>
      </w:r>
      <w:bookmarkEnd w:id="167"/>
      <w:bookmarkEnd w:id="168"/>
      <w:bookmarkEnd w:id="169"/>
      <w:bookmarkEnd w:id="170"/>
      <w:bookmarkEnd w:id="171"/>
      <w:bookmarkEnd w:id="172"/>
      <w:bookmarkEnd w:id="173"/>
      <w:r>
        <w:t>混凝土性能</w:t>
      </w:r>
      <w:bookmarkEnd w:id="174"/>
      <w:bookmarkEnd w:id="175"/>
      <w:bookmarkEnd w:id="176"/>
      <w:bookmarkEnd w:id="177"/>
      <w:bookmarkEnd w:id="178"/>
      <w:bookmarkEnd w:id="179"/>
      <w:bookmarkEnd w:id="180"/>
      <w:bookmarkEnd w:id="181"/>
      <w:bookmarkEnd w:id="182"/>
      <w:bookmarkEnd w:id="183"/>
      <w:bookmarkEnd w:id="184"/>
      <w:bookmarkEnd w:id="185"/>
      <w:bookmarkEnd w:id="186"/>
    </w:p>
    <w:p w:rsidR="00ED5264" w:rsidRDefault="00B65917">
      <w:pPr>
        <w:spacing w:beforeLines="100" w:before="312" w:afterLines="100" w:after="312" w:line="300" w:lineRule="auto"/>
        <w:jc w:val="center"/>
        <w:outlineLvl w:val="1"/>
        <w:rPr>
          <w:b/>
          <w:bCs/>
          <w:sz w:val="24"/>
          <w:szCs w:val="24"/>
        </w:rPr>
      </w:pPr>
      <w:bookmarkStart w:id="187" w:name="_Toc245290862"/>
      <w:bookmarkStart w:id="188" w:name="_Toc238356684"/>
      <w:bookmarkStart w:id="189" w:name="_Toc232495681"/>
      <w:bookmarkStart w:id="190" w:name="_Toc236584233"/>
      <w:bookmarkStart w:id="191" w:name="_Toc236584163"/>
      <w:bookmarkStart w:id="192" w:name="_Toc243285197"/>
      <w:bookmarkStart w:id="193" w:name="_Toc245291075"/>
      <w:bookmarkStart w:id="194" w:name="_Toc237336829"/>
      <w:bookmarkStart w:id="195" w:name="_Toc245290384"/>
      <w:bookmarkStart w:id="196" w:name="_Toc242936858"/>
      <w:bookmarkStart w:id="197" w:name="_Toc232243149"/>
      <w:bookmarkStart w:id="198" w:name="_Toc232517434"/>
      <w:bookmarkStart w:id="199" w:name="_Toc235251705"/>
      <w:bookmarkStart w:id="200" w:name="_Toc234206814"/>
      <w:bookmarkStart w:id="201" w:name="_Toc2869"/>
      <w:bookmarkStart w:id="202" w:name="_Toc23260820"/>
      <w:bookmarkStart w:id="203" w:name="_Toc514685619"/>
      <w:bookmarkStart w:id="204" w:name="_Toc18737"/>
      <w:bookmarkStart w:id="205" w:name="_Toc15937"/>
      <w:bookmarkStart w:id="206" w:name="_Toc15053033"/>
      <w:r>
        <w:rPr>
          <w:b/>
          <w:bCs/>
          <w:sz w:val="24"/>
          <w:szCs w:val="24"/>
        </w:rPr>
        <w:t xml:space="preserve">5.1  </w:t>
      </w:r>
      <w:bookmarkEnd w:id="187"/>
      <w:bookmarkEnd w:id="188"/>
      <w:bookmarkEnd w:id="189"/>
      <w:bookmarkEnd w:id="190"/>
      <w:bookmarkEnd w:id="191"/>
      <w:bookmarkEnd w:id="192"/>
      <w:bookmarkEnd w:id="193"/>
      <w:bookmarkEnd w:id="194"/>
      <w:bookmarkEnd w:id="195"/>
      <w:bookmarkEnd w:id="196"/>
      <w:bookmarkEnd w:id="197"/>
      <w:bookmarkEnd w:id="198"/>
      <w:bookmarkEnd w:id="199"/>
      <w:bookmarkEnd w:id="200"/>
      <w:r>
        <w:rPr>
          <w:rFonts w:hint="eastAsia"/>
          <w:b/>
          <w:bCs/>
          <w:sz w:val="24"/>
          <w:szCs w:val="24"/>
        </w:rPr>
        <w:t>工作</w:t>
      </w:r>
      <w:r>
        <w:rPr>
          <w:b/>
          <w:bCs/>
          <w:sz w:val="24"/>
          <w:szCs w:val="24"/>
        </w:rPr>
        <w:t>性能</w:t>
      </w:r>
      <w:bookmarkEnd w:id="201"/>
      <w:bookmarkEnd w:id="202"/>
      <w:bookmarkEnd w:id="203"/>
      <w:bookmarkEnd w:id="204"/>
      <w:bookmarkEnd w:id="205"/>
      <w:bookmarkEnd w:id="206"/>
    </w:p>
    <w:p w:rsidR="00ED5264" w:rsidRDefault="00B65917">
      <w:pPr>
        <w:pStyle w:val="aff9"/>
        <w:spacing w:line="360" w:lineRule="auto"/>
      </w:pPr>
      <w:bookmarkStart w:id="207" w:name="_Toc514685620"/>
      <w:bookmarkStart w:id="208" w:name="_Toc23260821"/>
      <w:bookmarkStart w:id="209" w:name="_Toc243285198"/>
      <w:bookmarkStart w:id="210" w:name="_Toc15053034"/>
      <w:bookmarkStart w:id="211" w:name="_Toc235251706"/>
      <w:bookmarkStart w:id="212" w:name="_Toc234206815"/>
      <w:r>
        <w:rPr>
          <w:b/>
        </w:rPr>
        <w:t>5.1.1</w:t>
      </w:r>
      <w:r>
        <w:t xml:space="preserve">  </w:t>
      </w:r>
      <w:r>
        <w:t>混凝土拌合物</w:t>
      </w:r>
      <w:r>
        <w:rPr>
          <w:rFonts w:hint="eastAsia"/>
        </w:rPr>
        <w:t>的</w:t>
      </w:r>
      <w:r>
        <w:rPr>
          <w:rFonts w:hint="eastAsia"/>
        </w:rPr>
        <w:t>工作性能应满足国家标准《预拌混凝土》</w:t>
      </w:r>
      <w:r>
        <w:rPr>
          <w:rFonts w:hint="eastAsia"/>
        </w:rPr>
        <w:t>GB/T 14902</w:t>
      </w:r>
      <w:r>
        <w:rPr>
          <w:rFonts w:hint="eastAsia"/>
        </w:rPr>
        <w:t>的要求，且应满足工程设计和施工要求</w:t>
      </w:r>
      <w:r>
        <w:t>。</w:t>
      </w:r>
      <w:bookmarkEnd w:id="207"/>
      <w:bookmarkEnd w:id="208"/>
      <w:bookmarkEnd w:id="209"/>
      <w:bookmarkEnd w:id="210"/>
    </w:p>
    <w:p w:rsidR="00ED5264" w:rsidRDefault="00B65917">
      <w:pPr>
        <w:pStyle w:val="aff9"/>
        <w:spacing w:line="360" w:lineRule="auto"/>
      </w:pPr>
      <w:bookmarkStart w:id="213" w:name="_Toc23260822"/>
      <w:bookmarkStart w:id="214" w:name="_Toc15053035"/>
      <w:bookmarkStart w:id="215" w:name="_Toc514685621"/>
      <w:r>
        <w:rPr>
          <w:b/>
        </w:rPr>
        <w:t>5.1.2</w:t>
      </w:r>
      <w:r>
        <w:t xml:space="preserve">  </w:t>
      </w:r>
      <w:r>
        <w:rPr>
          <w:rFonts w:hint="eastAsia"/>
        </w:rPr>
        <w:t>当采用常规预拌泵送工艺施工时，黄河超细砂混凝土的坍落度、扩展度、坍落度经时损失值宜符合</w:t>
      </w:r>
      <w:r>
        <w:t>表</w:t>
      </w:r>
      <w:r>
        <w:t>5.1.2</w:t>
      </w:r>
      <w:r>
        <w:t>的规定。</w:t>
      </w:r>
      <w:bookmarkEnd w:id="213"/>
      <w:bookmarkEnd w:id="214"/>
      <w:bookmarkEnd w:id="215"/>
    </w:p>
    <w:p w:rsidR="00ED5264" w:rsidRDefault="00B65917">
      <w:pPr>
        <w:topLinePunct/>
        <w:adjustRightInd w:val="0"/>
        <w:jc w:val="center"/>
        <w:rPr>
          <w:rFonts w:eastAsia="黑体"/>
          <w:bCs/>
        </w:rPr>
      </w:pPr>
      <w:r>
        <w:rPr>
          <w:rFonts w:eastAsia="黑体"/>
          <w:bCs/>
        </w:rPr>
        <w:t>表</w:t>
      </w:r>
      <w:r>
        <w:rPr>
          <w:rFonts w:eastAsia="黑体"/>
          <w:bCs/>
        </w:rPr>
        <w:t xml:space="preserve">5.1.2  </w:t>
      </w:r>
      <w:r>
        <w:rPr>
          <w:rFonts w:eastAsia="黑体" w:hint="eastAsia"/>
          <w:bCs/>
        </w:rPr>
        <w:t>泵送黄河超细砂混凝土的工作性能技术要求</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190"/>
        <w:gridCol w:w="4510"/>
      </w:tblGrid>
      <w:tr w:rsidR="00ED5264">
        <w:trPr>
          <w:trHeight w:val="567"/>
          <w:jc w:val="center"/>
        </w:trPr>
        <w:tc>
          <w:tcPr>
            <w:tcW w:w="3190" w:type="dxa"/>
            <w:tcBorders>
              <w:top w:val="single" w:sz="4" w:space="0" w:color="auto"/>
              <w:left w:val="single" w:sz="4" w:space="0" w:color="auto"/>
              <w:bottom w:val="single" w:sz="4" w:space="0" w:color="auto"/>
              <w:right w:val="single" w:sz="4" w:space="0" w:color="auto"/>
            </w:tcBorders>
            <w:vAlign w:val="center"/>
          </w:tcPr>
          <w:p w:rsidR="00ED5264" w:rsidRDefault="00B65917">
            <w:pPr>
              <w:widowControl/>
              <w:spacing w:line="360" w:lineRule="auto"/>
              <w:jc w:val="center"/>
              <w:rPr>
                <w:kern w:val="0"/>
              </w:rPr>
            </w:pPr>
            <w:r>
              <w:t>项目</w:t>
            </w:r>
          </w:p>
        </w:tc>
        <w:tc>
          <w:tcPr>
            <w:tcW w:w="4510" w:type="dxa"/>
            <w:tcBorders>
              <w:top w:val="single" w:sz="4" w:space="0" w:color="auto"/>
              <w:left w:val="single" w:sz="4" w:space="0" w:color="auto"/>
              <w:bottom w:val="single" w:sz="4" w:space="0" w:color="auto"/>
              <w:right w:val="single" w:sz="4" w:space="0" w:color="auto"/>
            </w:tcBorders>
            <w:vAlign w:val="center"/>
          </w:tcPr>
          <w:p w:rsidR="00ED5264" w:rsidRDefault="00B65917">
            <w:pPr>
              <w:widowControl/>
              <w:spacing w:line="360" w:lineRule="auto"/>
              <w:jc w:val="center"/>
            </w:pPr>
            <w:r>
              <w:rPr>
                <w:rFonts w:hint="eastAsia"/>
              </w:rPr>
              <w:t>技术要求</w:t>
            </w:r>
          </w:p>
        </w:tc>
      </w:tr>
      <w:tr w:rsidR="00ED5264">
        <w:trPr>
          <w:trHeight w:val="567"/>
          <w:jc w:val="center"/>
        </w:trPr>
        <w:tc>
          <w:tcPr>
            <w:tcW w:w="3190" w:type="dxa"/>
            <w:tcBorders>
              <w:top w:val="single" w:sz="4" w:space="0" w:color="auto"/>
              <w:left w:val="single" w:sz="4" w:space="0" w:color="auto"/>
              <w:bottom w:val="single" w:sz="4" w:space="0" w:color="auto"/>
              <w:right w:val="single" w:sz="4" w:space="0" w:color="auto"/>
            </w:tcBorders>
            <w:vAlign w:val="center"/>
          </w:tcPr>
          <w:p w:rsidR="00ED5264" w:rsidRDefault="00B65917">
            <w:pPr>
              <w:widowControl/>
              <w:spacing w:line="360" w:lineRule="auto"/>
              <w:jc w:val="center"/>
            </w:pPr>
            <w:r>
              <w:t>坍落度（</w:t>
            </w:r>
            <w:r>
              <w:t>mm</w:t>
            </w:r>
            <w:r>
              <w:t>）</w:t>
            </w:r>
          </w:p>
        </w:tc>
        <w:tc>
          <w:tcPr>
            <w:tcW w:w="4510" w:type="dxa"/>
            <w:tcBorders>
              <w:top w:val="single" w:sz="4" w:space="0" w:color="auto"/>
              <w:left w:val="single" w:sz="4" w:space="0" w:color="auto"/>
              <w:right w:val="single" w:sz="4" w:space="0" w:color="auto"/>
            </w:tcBorders>
            <w:vAlign w:val="center"/>
          </w:tcPr>
          <w:p w:rsidR="00ED5264" w:rsidRDefault="00B65917">
            <w:pPr>
              <w:widowControl/>
              <w:spacing w:line="360" w:lineRule="auto"/>
              <w:jc w:val="center"/>
              <w:rPr>
                <w:kern w:val="0"/>
              </w:rPr>
            </w:pPr>
            <w:r>
              <w:rPr>
                <w:rFonts w:hint="eastAsia"/>
                <w:kern w:val="0"/>
              </w:rPr>
              <w:t>160~260</w:t>
            </w:r>
          </w:p>
        </w:tc>
      </w:tr>
      <w:tr w:rsidR="00ED5264">
        <w:trPr>
          <w:trHeight w:val="567"/>
          <w:jc w:val="center"/>
        </w:trPr>
        <w:tc>
          <w:tcPr>
            <w:tcW w:w="3190" w:type="dxa"/>
            <w:tcBorders>
              <w:top w:val="single" w:sz="4" w:space="0" w:color="auto"/>
              <w:left w:val="single" w:sz="4" w:space="0" w:color="auto"/>
              <w:bottom w:val="single" w:sz="4" w:space="0" w:color="auto"/>
              <w:right w:val="single" w:sz="4" w:space="0" w:color="auto"/>
            </w:tcBorders>
            <w:vAlign w:val="center"/>
          </w:tcPr>
          <w:p w:rsidR="00ED5264" w:rsidRDefault="00B65917">
            <w:pPr>
              <w:widowControl/>
              <w:tabs>
                <w:tab w:val="left" w:pos="1080"/>
              </w:tabs>
              <w:spacing w:line="360" w:lineRule="auto"/>
              <w:jc w:val="center"/>
            </w:pPr>
            <w:r>
              <w:t>扩展度（</w:t>
            </w:r>
            <w:r>
              <w:t>mm</w:t>
            </w:r>
            <w:r>
              <w:t>）</w:t>
            </w:r>
          </w:p>
        </w:tc>
        <w:tc>
          <w:tcPr>
            <w:tcW w:w="4510" w:type="dxa"/>
            <w:tcBorders>
              <w:top w:val="single" w:sz="4" w:space="0" w:color="auto"/>
              <w:left w:val="single" w:sz="4" w:space="0" w:color="auto"/>
              <w:bottom w:val="single" w:sz="4" w:space="0" w:color="auto"/>
              <w:right w:val="single" w:sz="4" w:space="0" w:color="auto"/>
            </w:tcBorders>
            <w:vAlign w:val="center"/>
          </w:tcPr>
          <w:p w:rsidR="00ED5264" w:rsidRDefault="00B65917">
            <w:pPr>
              <w:widowControl/>
              <w:spacing w:line="360" w:lineRule="auto"/>
              <w:jc w:val="center"/>
              <w:rPr>
                <w:kern w:val="0"/>
              </w:rPr>
            </w:pPr>
            <w:r>
              <w:rPr>
                <w:kern w:val="0"/>
              </w:rPr>
              <w:t>≥</w:t>
            </w:r>
            <w:r>
              <w:rPr>
                <w:rFonts w:hint="eastAsia"/>
                <w:kern w:val="0"/>
              </w:rPr>
              <w:t>400</w:t>
            </w:r>
          </w:p>
        </w:tc>
      </w:tr>
      <w:tr w:rsidR="00ED5264">
        <w:trPr>
          <w:trHeight w:val="567"/>
          <w:jc w:val="center"/>
        </w:trPr>
        <w:tc>
          <w:tcPr>
            <w:tcW w:w="3190" w:type="dxa"/>
            <w:tcBorders>
              <w:top w:val="single" w:sz="4" w:space="0" w:color="auto"/>
              <w:left w:val="single" w:sz="4" w:space="0" w:color="auto"/>
              <w:bottom w:val="single" w:sz="4" w:space="0" w:color="auto"/>
              <w:right w:val="single" w:sz="4" w:space="0" w:color="auto"/>
            </w:tcBorders>
            <w:vAlign w:val="center"/>
          </w:tcPr>
          <w:p w:rsidR="00ED5264" w:rsidRDefault="00B65917">
            <w:pPr>
              <w:widowControl/>
              <w:tabs>
                <w:tab w:val="left" w:pos="1080"/>
              </w:tabs>
              <w:spacing w:line="360" w:lineRule="auto"/>
              <w:jc w:val="center"/>
            </w:pPr>
            <w:bookmarkStart w:id="216" w:name="_Toc514685622"/>
            <w:bookmarkStart w:id="217" w:name="_Toc23260823"/>
            <w:bookmarkStart w:id="218" w:name="_Toc15053036"/>
            <w:bookmarkStart w:id="219" w:name="_Toc243285199"/>
            <w:r>
              <w:rPr>
                <w:rFonts w:hint="eastAsia"/>
              </w:rPr>
              <w:t>坍落度经时损失值</w:t>
            </w:r>
            <w:r>
              <w:t>（</w:t>
            </w:r>
            <w:r>
              <w:t>mm</w:t>
            </w:r>
            <w:r>
              <w:rPr>
                <w:rFonts w:hint="eastAsia"/>
              </w:rPr>
              <w:t>/h</w:t>
            </w:r>
            <w:r>
              <w:t>）</w:t>
            </w:r>
          </w:p>
        </w:tc>
        <w:tc>
          <w:tcPr>
            <w:tcW w:w="4510" w:type="dxa"/>
            <w:tcBorders>
              <w:top w:val="single" w:sz="4" w:space="0" w:color="auto"/>
              <w:left w:val="single" w:sz="4" w:space="0" w:color="auto"/>
              <w:bottom w:val="single" w:sz="4" w:space="0" w:color="auto"/>
              <w:right w:val="single" w:sz="4" w:space="0" w:color="auto"/>
            </w:tcBorders>
            <w:vAlign w:val="center"/>
          </w:tcPr>
          <w:p w:rsidR="00ED5264" w:rsidRDefault="00B65917">
            <w:pPr>
              <w:widowControl/>
              <w:spacing w:line="360" w:lineRule="auto"/>
              <w:jc w:val="center"/>
              <w:rPr>
                <w:kern w:val="0"/>
              </w:rPr>
            </w:pPr>
            <w:r>
              <w:rPr>
                <w:rFonts w:hint="eastAsia"/>
                <w:kern w:val="0"/>
                <w:sz w:val="20"/>
                <w:szCs w:val="20"/>
              </w:rPr>
              <w:t>≤</w:t>
            </w:r>
            <w:r>
              <w:rPr>
                <w:rFonts w:hint="eastAsia"/>
                <w:kern w:val="0"/>
              </w:rPr>
              <w:t>20</w:t>
            </w:r>
          </w:p>
        </w:tc>
      </w:tr>
    </w:tbl>
    <w:p w:rsidR="00ED5264" w:rsidRDefault="00B65917">
      <w:pPr>
        <w:pStyle w:val="aff9"/>
        <w:spacing w:line="360" w:lineRule="auto"/>
      </w:pPr>
      <w:r>
        <w:rPr>
          <w:b/>
        </w:rPr>
        <w:t>5.1.3</w:t>
      </w:r>
      <w:r>
        <w:t xml:space="preserve">  </w:t>
      </w:r>
      <w:r>
        <w:rPr>
          <w:rFonts w:hint="eastAsia"/>
        </w:rPr>
        <w:t>非</w:t>
      </w:r>
      <w:r>
        <w:t>泵送</w:t>
      </w:r>
      <w:r>
        <w:rPr>
          <w:rFonts w:hint="eastAsia"/>
        </w:rPr>
        <w:t>黄河超细砂</w:t>
      </w:r>
      <w:r>
        <w:t>混凝土</w:t>
      </w:r>
      <w:r>
        <w:rPr>
          <w:rFonts w:hint="eastAsia"/>
        </w:rPr>
        <w:t>的</w:t>
      </w:r>
      <w:r>
        <w:t>坍落度</w:t>
      </w:r>
      <w:r>
        <w:rPr>
          <w:rFonts w:hint="eastAsia"/>
        </w:rPr>
        <w:t>宜符合表</w:t>
      </w:r>
      <w:r>
        <w:rPr>
          <w:rFonts w:hint="eastAsia"/>
        </w:rPr>
        <w:t>5.1.3</w:t>
      </w:r>
      <w:r>
        <w:rPr>
          <w:rFonts w:hint="eastAsia"/>
        </w:rPr>
        <w:t>的规定</w:t>
      </w:r>
      <w:r>
        <w:t>。</w:t>
      </w:r>
      <w:bookmarkEnd w:id="216"/>
      <w:bookmarkEnd w:id="217"/>
      <w:bookmarkEnd w:id="218"/>
    </w:p>
    <w:p w:rsidR="00ED5264" w:rsidRDefault="00B65917">
      <w:pPr>
        <w:topLinePunct/>
        <w:adjustRightInd w:val="0"/>
        <w:jc w:val="center"/>
        <w:rPr>
          <w:rFonts w:eastAsia="黑体"/>
          <w:bCs/>
        </w:rPr>
      </w:pPr>
      <w:r>
        <w:rPr>
          <w:rFonts w:eastAsia="黑体"/>
          <w:bCs/>
        </w:rPr>
        <w:t>表</w:t>
      </w:r>
      <w:r>
        <w:rPr>
          <w:rFonts w:eastAsia="黑体"/>
          <w:bCs/>
        </w:rPr>
        <w:t>5.1.</w:t>
      </w:r>
      <w:r>
        <w:rPr>
          <w:rFonts w:eastAsia="黑体" w:hint="eastAsia"/>
          <w:bCs/>
        </w:rPr>
        <w:t>3</w:t>
      </w:r>
      <w:r>
        <w:rPr>
          <w:rFonts w:eastAsia="黑体"/>
          <w:bCs/>
        </w:rPr>
        <w:t xml:space="preserve">  </w:t>
      </w:r>
      <w:r>
        <w:rPr>
          <w:rFonts w:eastAsia="黑体" w:hint="eastAsia"/>
          <w:bCs/>
        </w:rPr>
        <w:t>非泵送黄河超细砂混凝土的工作性能技术要求</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190"/>
        <w:gridCol w:w="2255"/>
        <w:gridCol w:w="2255"/>
      </w:tblGrid>
      <w:tr w:rsidR="00ED5264">
        <w:trPr>
          <w:trHeight w:val="567"/>
          <w:jc w:val="center"/>
        </w:trPr>
        <w:tc>
          <w:tcPr>
            <w:tcW w:w="3190" w:type="dxa"/>
            <w:vMerge w:val="restart"/>
            <w:tcBorders>
              <w:top w:val="single" w:sz="4" w:space="0" w:color="auto"/>
              <w:left w:val="single" w:sz="4" w:space="0" w:color="auto"/>
              <w:right w:val="single" w:sz="4" w:space="0" w:color="auto"/>
            </w:tcBorders>
            <w:vAlign w:val="center"/>
          </w:tcPr>
          <w:p w:rsidR="00ED5264" w:rsidRDefault="00B65917">
            <w:pPr>
              <w:widowControl/>
              <w:spacing w:line="360" w:lineRule="auto"/>
              <w:jc w:val="center"/>
              <w:rPr>
                <w:kern w:val="0"/>
              </w:rPr>
            </w:pPr>
            <w:r>
              <w:t>项目</w:t>
            </w:r>
          </w:p>
        </w:tc>
        <w:tc>
          <w:tcPr>
            <w:tcW w:w="4510" w:type="dxa"/>
            <w:gridSpan w:val="2"/>
            <w:tcBorders>
              <w:top w:val="single" w:sz="4" w:space="0" w:color="auto"/>
              <w:left w:val="single" w:sz="4" w:space="0" w:color="auto"/>
              <w:bottom w:val="single" w:sz="4" w:space="0" w:color="auto"/>
              <w:right w:val="single" w:sz="4" w:space="0" w:color="auto"/>
            </w:tcBorders>
            <w:vAlign w:val="center"/>
          </w:tcPr>
          <w:p w:rsidR="00ED5264" w:rsidRDefault="00B65917">
            <w:pPr>
              <w:widowControl/>
              <w:spacing w:line="360" w:lineRule="auto"/>
              <w:jc w:val="center"/>
            </w:pPr>
            <w:r>
              <w:rPr>
                <w:rFonts w:hint="eastAsia"/>
              </w:rPr>
              <w:t>技术要求</w:t>
            </w:r>
          </w:p>
        </w:tc>
      </w:tr>
      <w:tr w:rsidR="00ED5264">
        <w:trPr>
          <w:trHeight w:val="567"/>
          <w:jc w:val="center"/>
        </w:trPr>
        <w:tc>
          <w:tcPr>
            <w:tcW w:w="3190" w:type="dxa"/>
            <w:vMerge/>
            <w:tcBorders>
              <w:left w:val="single" w:sz="4" w:space="0" w:color="auto"/>
              <w:bottom w:val="single" w:sz="4" w:space="0" w:color="auto"/>
              <w:right w:val="single" w:sz="4" w:space="0" w:color="auto"/>
            </w:tcBorders>
            <w:vAlign w:val="center"/>
          </w:tcPr>
          <w:p w:rsidR="00ED5264" w:rsidRDefault="00ED5264">
            <w:pPr>
              <w:widowControl/>
              <w:spacing w:line="360" w:lineRule="auto"/>
              <w:jc w:val="center"/>
            </w:pPr>
          </w:p>
        </w:tc>
        <w:tc>
          <w:tcPr>
            <w:tcW w:w="2255" w:type="dxa"/>
            <w:tcBorders>
              <w:top w:val="single" w:sz="4" w:space="0" w:color="auto"/>
              <w:left w:val="single" w:sz="4" w:space="0" w:color="auto"/>
              <w:right w:val="single" w:sz="4" w:space="0" w:color="auto"/>
            </w:tcBorders>
            <w:vAlign w:val="center"/>
          </w:tcPr>
          <w:p w:rsidR="00ED5264" w:rsidRDefault="00B65917">
            <w:pPr>
              <w:widowControl/>
              <w:spacing w:line="360" w:lineRule="auto"/>
              <w:jc w:val="center"/>
              <w:rPr>
                <w:kern w:val="0"/>
              </w:rPr>
            </w:pPr>
            <w:r>
              <w:rPr>
                <w:rFonts w:hint="eastAsia"/>
                <w:kern w:val="0"/>
              </w:rPr>
              <w:t>搅拌罐车运送</w:t>
            </w:r>
          </w:p>
        </w:tc>
        <w:tc>
          <w:tcPr>
            <w:tcW w:w="2255" w:type="dxa"/>
            <w:tcBorders>
              <w:top w:val="single" w:sz="4" w:space="0" w:color="auto"/>
              <w:left w:val="single" w:sz="4" w:space="0" w:color="auto"/>
              <w:right w:val="single" w:sz="4" w:space="0" w:color="auto"/>
            </w:tcBorders>
            <w:vAlign w:val="center"/>
          </w:tcPr>
          <w:p w:rsidR="00ED5264" w:rsidRDefault="00B65917">
            <w:pPr>
              <w:widowControl/>
              <w:spacing w:line="360" w:lineRule="auto"/>
              <w:jc w:val="center"/>
              <w:rPr>
                <w:kern w:val="0"/>
              </w:rPr>
            </w:pPr>
            <w:r>
              <w:rPr>
                <w:rFonts w:hint="eastAsia"/>
                <w:kern w:val="0"/>
              </w:rPr>
              <w:t>翻斗车运送</w:t>
            </w:r>
          </w:p>
        </w:tc>
      </w:tr>
      <w:tr w:rsidR="00ED5264">
        <w:trPr>
          <w:trHeight w:val="567"/>
          <w:jc w:val="center"/>
        </w:trPr>
        <w:tc>
          <w:tcPr>
            <w:tcW w:w="3190" w:type="dxa"/>
            <w:tcBorders>
              <w:top w:val="single" w:sz="4" w:space="0" w:color="auto"/>
              <w:left w:val="single" w:sz="4" w:space="0" w:color="auto"/>
              <w:bottom w:val="single" w:sz="4" w:space="0" w:color="auto"/>
              <w:right w:val="single" w:sz="4" w:space="0" w:color="auto"/>
            </w:tcBorders>
            <w:vAlign w:val="center"/>
          </w:tcPr>
          <w:p w:rsidR="00ED5264" w:rsidRDefault="00B65917">
            <w:pPr>
              <w:widowControl/>
              <w:tabs>
                <w:tab w:val="left" w:pos="1080"/>
              </w:tabs>
              <w:spacing w:line="360" w:lineRule="auto"/>
              <w:jc w:val="center"/>
            </w:pPr>
            <w:r>
              <w:t>坍落度（</w:t>
            </w:r>
            <w:r>
              <w:t>mm</w:t>
            </w:r>
            <w:r>
              <w:t>）</w:t>
            </w:r>
          </w:p>
        </w:tc>
        <w:tc>
          <w:tcPr>
            <w:tcW w:w="2255" w:type="dxa"/>
            <w:tcBorders>
              <w:top w:val="single" w:sz="4" w:space="0" w:color="auto"/>
              <w:left w:val="single" w:sz="4" w:space="0" w:color="auto"/>
              <w:bottom w:val="single" w:sz="4" w:space="0" w:color="auto"/>
              <w:right w:val="single" w:sz="4" w:space="0" w:color="auto"/>
            </w:tcBorders>
            <w:vAlign w:val="center"/>
          </w:tcPr>
          <w:p w:rsidR="00ED5264" w:rsidRDefault="00B65917">
            <w:pPr>
              <w:widowControl/>
              <w:spacing w:line="360" w:lineRule="auto"/>
              <w:jc w:val="center"/>
              <w:rPr>
                <w:kern w:val="0"/>
              </w:rPr>
            </w:pPr>
            <w:r>
              <w:rPr>
                <w:rFonts w:hint="eastAsia"/>
                <w:kern w:val="0"/>
              </w:rPr>
              <w:t>140~200</w:t>
            </w:r>
          </w:p>
        </w:tc>
        <w:tc>
          <w:tcPr>
            <w:tcW w:w="2255" w:type="dxa"/>
            <w:tcBorders>
              <w:top w:val="single" w:sz="4" w:space="0" w:color="auto"/>
              <w:left w:val="single" w:sz="4" w:space="0" w:color="auto"/>
              <w:bottom w:val="single" w:sz="4" w:space="0" w:color="auto"/>
              <w:right w:val="single" w:sz="4" w:space="0" w:color="auto"/>
            </w:tcBorders>
            <w:vAlign w:val="center"/>
          </w:tcPr>
          <w:p w:rsidR="00ED5264" w:rsidRDefault="00B65917">
            <w:pPr>
              <w:widowControl/>
              <w:spacing w:line="360" w:lineRule="auto"/>
              <w:jc w:val="center"/>
              <w:rPr>
                <w:kern w:val="0"/>
              </w:rPr>
            </w:pPr>
            <w:r>
              <w:rPr>
                <w:rFonts w:hint="eastAsia"/>
                <w:kern w:val="0"/>
              </w:rPr>
              <w:t>10~90</w:t>
            </w:r>
          </w:p>
        </w:tc>
      </w:tr>
    </w:tbl>
    <w:p w:rsidR="00ED5264" w:rsidRDefault="00B65917">
      <w:pPr>
        <w:pStyle w:val="aff9"/>
        <w:spacing w:line="360" w:lineRule="auto"/>
      </w:pPr>
      <w:bookmarkStart w:id="220" w:name="_Toc514685623"/>
      <w:bookmarkStart w:id="221" w:name="_Toc23260824"/>
      <w:bookmarkStart w:id="222" w:name="_Toc15053037"/>
      <w:r>
        <w:rPr>
          <w:b/>
        </w:rPr>
        <w:t>5.1.4</w:t>
      </w:r>
      <w:r>
        <w:t xml:space="preserve">  </w:t>
      </w:r>
      <w:r>
        <w:rPr>
          <w:rFonts w:hint="eastAsia"/>
        </w:rPr>
        <w:t>黄河超细砂混凝土</w:t>
      </w:r>
      <w:r>
        <w:t>拌合物试验方法应符合现行国家标准《普通混凝土拌合物性能试验方法标准》</w:t>
      </w:r>
      <w:r>
        <w:t>GB/T 50080</w:t>
      </w:r>
      <w:r>
        <w:t>的规定。</w:t>
      </w:r>
      <w:bookmarkEnd w:id="219"/>
      <w:bookmarkEnd w:id="220"/>
      <w:bookmarkEnd w:id="221"/>
      <w:bookmarkEnd w:id="222"/>
    </w:p>
    <w:p w:rsidR="00ED5264" w:rsidRDefault="00B65917">
      <w:pPr>
        <w:pStyle w:val="aff9"/>
        <w:spacing w:line="360" w:lineRule="auto"/>
        <w:rPr>
          <w:highlight w:val="yellow"/>
        </w:rPr>
      </w:pPr>
      <w:r>
        <w:rPr>
          <w:b/>
        </w:rPr>
        <w:t>5.1.5</w:t>
      </w:r>
      <w:r>
        <w:t xml:space="preserve">  </w:t>
      </w:r>
      <w:r>
        <w:rPr>
          <w:rFonts w:hint="eastAsia"/>
        </w:rPr>
        <w:t>黄河超细砂混凝土的凝结时间应根据工程施工要求确定。</w:t>
      </w:r>
    </w:p>
    <w:p w:rsidR="00ED5264" w:rsidRDefault="00B65917">
      <w:pPr>
        <w:spacing w:beforeLines="100" w:before="312" w:afterLines="100" w:after="312" w:line="300" w:lineRule="auto"/>
        <w:jc w:val="center"/>
        <w:outlineLvl w:val="1"/>
        <w:rPr>
          <w:b/>
          <w:bCs/>
          <w:sz w:val="24"/>
          <w:szCs w:val="24"/>
        </w:rPr>
      </w:pPr>
      <w:bookmarkStart w:id="223" w:name="_Toc236584164"/>
      <w:bookmarkStart w:id="224" w:name="_Toc236584234"/>
      <w:bookmarkStart w:id="225" w:name="_Toc23260826"/>
      <w:bookmarkStart w:id="226" w:name="_Toc237336830"/>
      <w:bookmarkStart w:id="227" w:name="_Toc242936859"/>
      <w:bookmarkStart w:id="228" w:name="_Toc243285201"/>
      <w:bookmarkStart w:id="229" w:name="_Toc245290863"/>
      <w:bookmarkStart w:id="230" w:name="_Toc15053039"/>
      <w:bookmarkStart w:id="231" w:name="_Toc8031"/>
      <w:bookmarkStart w:id="232" w:name="_Toc29949"/>
      <w:bookmarkStart w:id="233" w:name="_Toc514685625"/>
      <w:bookmarkStart w:id="234" w:name="_Toc245290385"/>
      <w:bookmarkStart w:id="235" w:name="_Toc14396"/>
      <w:bookmarkStart w:id="236" w:name="_Toc238356685"/>
      <w:bookmarkStart w:id="237" w:name="_Toc245291076"/>
      <w:r>
        <w:rPr>
          <w:b/>
          <w:bCs/>
          <w:sz w:val="24"/>
          <w:szCs w:val="24"/>
        </w:rPr>
        <w:t xml:space="preserve">5.2  </w:t>
      </w:r>
      <w:bookmarkEnd w:id="211"/>
      <w:bookmarkEnd w:id="212"/>
      <w:bookmarkEnd w:id="223"/>
      <w:bookmarkEnd w:id="224"/>
      <w:r>
        <w:rPr>
          <w:b/>
          <w:bCs/>
          <w:sz w:val="24"/>
          <w:szCs w:val="24"/>
        </w:rPr>
        <w:t>力学性能</w:t>
      </w:r>
      <w:bookmarkEnd w:id="225"/>
      <w:bookmarkEnd w:id="226"/>
      <w:bookmarkEnd w:id="227"/>
      <w:bookmarkEnd w:id="228"/>
      <w:bookmarkEnd w:id="229"/>
      <w:bookmarkEnd w:id="230"/>
      <w:bookmarkEnd w:id="231"/>
      <w:bookmarkEnd w:id="232"/>
      <w:bookmarkEnd w:id="233"/>
      <w:bookmarkEnd w:id="234"/>
      <w:bookmarkEnd w:id="235"/>
      <w:bookmarkEnd w:id="236"/>
      <w:bookmarkEnd w:id="237"/>
    </w:p>
    <w:p w:rsidR="00ED5264" w:rsidRDefault="00B65917">
      <w:pPr>
        <w:pStyle w:val="aff9"/>
        <w:spacing w:line="360" w:lineRule="auto"/>
        <w:rPr>
          <w:rFonts w:ascii="宋体" w:hAnsi="宋体" w:cs="宋体"/>
        </w:rPr>
      </w:pPr>
      <w:bookmarkStart w:id="238" w:name="_Toc15053040"/>
      <w:bookmarkStart w:id="239" w:name="_Toc23260827"/>
      <w:bookmarkStart w:id="240" w:name="_Toc514685626"/>
      <w:bookmarkStart w:id="241" w:name="_Toc243285202"/>
      <w:bookmarkStart w:id="242" w:name="_Toc236584235"/>
      <w:bookmarkStart w:id="243" w:name="_Toc236584165"/>
      <w:r>
        <w:rPr>
          <w:b/>
        </w:rPr>
        <w:t>5.2.1</w:t>
      </w:r>
      <w:r>
        <w:t xml:space="preserve">  </w:t>
      </w:r>
      <w:r>
        <w:rPr>
          <w:rFonts w:hint="eastAsia"/>
        </w:rPr>
        <w:t>黄河超细砂</w:t>
      </w:r>
      <w:r>
        <w:t>混凝土的</w:t>
      </w:r>
      <w:bookmarkEnd w:id="238"/>
      <w:bookmarkEnd w:id="239"/>
      <w:bookmarkEnd w:id="240"/>
      <w:r>
        <w:rPr>
          <w:rFonts w:ascii="宋体" w:hAnsi="宋体" w:cs="宋体" w:hint="eastAsia"/>
        </w:rPr>
        <w:t>力学性能应根据工程设计和施工要求确定</w:t>
      </w:r>
      <w:r>
        <w:rPr>
          <w:rFonts w:ascii="宋体" w:hAnsi="宋体" w:cs="宋体" w:hint="eastAsia"/>
        </w:rPr>
        <w:t>。</w:t>
      </w:r>
    </w:p>
    <w:p w:rsidR="00ED5264" w:rsidRDefault="00B65917">
      <w:pPr>
        <w:pStyle w:val="aff9"/>
        <w:spacing w:line="360" w:lineRule="auto"/>
      </w:pPr>
      <w:bookmarkStart w:id="244" w:name="_Toc23260829"/>
      <w:bookmarkStart w:id="245" w:name="_Toc15053042"/>
      <w:bookmarkStart w:id="246" w:name="_Toc514685628"/>
      <w:bookmarkEnd w:id="241"/>
      <w:r>
        <w:rPr>
          <w:b/>
        </w:rPr>
        <w:t>5.2.</w:t>
      </w:r>
      <w:r>
        <w:rPr>
          <w:rFonts w:hint="eastAsia"/>
          <w:b/>
        </w:rPr>
        <w:t>2</w:t>
      </w:r>
      <w:r>
        <w:t xml:space="preserve">  </w:t>
      </w:r>
      <w:r>
        <w:rPr>
          <w:rFonts w:hint="eastAsia"/>
        </w:rPr>
        <w:t>黄河超细砂</w:t>
      </w:r>
      <w:r>
        <w:t>混凝土</w:t>
      </w:r>
      <w:r>
        <w:rPr>
          <w:rFonts w:hint="eastAsia"/>
        </w:rPr>
        <w:t>的强</w:t>
      </w:r>
      <w:r>
        <w:rPr>
          <w:rFonts w:hint="eastAsia"/>
        </w:rPr>
        <w:t>度等级划分为：</w:t>
      </w:r>
      <w:r>
        <w:rPr>
          <w:rFonts w:hint="eastAsia"/>
        </w:rPr>
        <w:t>C10</w:t>
      </w:r>
      <w:r>
        <w:rPr>
          <w:rFonts w:hint="eastAsia"/>
        </w:rPr>
        <w:t>、</w:t>
      </w:r>
      <w:r>
        <w:rPr>
          <w:rFonts w:hint="eastAsia"/>
        </w:rPr>
        <w:t>C15</w:t>
      </w:r>
      <w:r>
        <w:rPr>
          <w:rFonts w:hint="eastAsia"/>
        </w:rPr>
        <w:t>、</w:t>
      </w:r>
      <w:r>
        <w:rPr>
          <w:rFonts w:hint="eastAsia"/>
        </w:rPr>
        <w:t>C20</w:t>
      </w:r>
      <w:r>
        <w:rPr>
          <w:rFonts w:hint="eastAsia"/>
        </w:rPr>
        <w:t>、</w:t>
      </w:r>
      <w:r>
        <w:rPr>
          <w:rFonts w:hint="eastAsia"/>
        </w:rPr>
        <w:t>C25</w:t>
      </w:r>
      <w:r>
        <w:rPr>
          <w:rFonts w:hint="eastAsia"/>
        </w:rPr>
        <w:t>、</w:t>
      </w:r>
      <w:r>
        <w:rPr>
          <w:rFonts w:hint="eastAsia"/>
        </w:rPr>
        <w:t>C30</w:t>
      </w:r>
      <w:r>
        <w:rPr>
          <w:rFonts w:hint="eastAsia"/>
        </w:rPr>
        <w:t>、</w:t>
      </w:r>
      <w:r>
        <w:rPr>
          <w:rFonts w:hint="eastAsia"/>
        </w:rPr>
        <w:t>C35</w:t>
      </w:r>
      <w:r>
        <w:rPr>
          <w:rFonts w:hint="eastAsia"/>
        </w:rPr>
        <w:t>、</w:t>
      </w:r>
      <w:r>
        <w:rPr>
          <w:rFonts w:hint="eastAsia"/>
        </w:rPr>
        <w:t>C40</w:t>
      </w:r>
      <w:bookmarkStart w:id="247" w:name="OLE_LINK10"/>
      <w:r>
        <w:rPr>
          <w:rFonts w:hint="eastAsia"/>
        </w:rPr>
        <w:t>、</w:t>
      </w:r>
      <w:r>
        <w:rPr>
          <w:rFonts w:hint="eastAsia"/>
        </w:rPr>
        <w:t>C45</w:t>
      </w:r>
      <w:r>
        <w:rPr>
          <w:rFonts w:hint="eastAsia"/>
        </w:rPr>
        <w:t>、</w:t>
      </w:r>
      <w:r>
        <w:rPr>
          <w:rFonts w:hint="eastAsia"/>
        </w:rPr>
        <w:t>C50</w:t>
      </w:r>
      <w:bookmarkEnd w:id="247"/>
      <w:r>
        <w:rPr>
          <w:rFonts w:hint="eastAsia"/>
        </w:rPr>
        <w:t>、</w:t>
      </w:r>
      <w:r>
        <w:rPr>
          <w:rFonts w:hint="eastAsia"/>
        </w:rPr>
        <w:t>C55</w:t>
      </w:r>
      <w:r>
        <w:rPr>
          <w:rFonts w:hint="eastAsia"/>
        </w:rPr>
        <w:t>、</w:t>
      </w:r>
      <w:r>
        <w:rPr>
          <w:rFonts w:hint="eastAsia"/>
        </w:rPr>
        <w:t>C60</w:t>
      </w:r>
      <w:r>
        <w:rPr>
          <w:rFonts w:hint="eastAsia"/>
        </w:rPr>
        <w:t>。</w:t>
      </w:r>
    </w:p>
    <w:p w:rsidR="00ED5264" w:rsidRDefault="00B65917">
      <w:pPr>
        <w:pStyle w:val="aff9"/>
        <w:spacing w:line="360" w:lineRule="auto"/>
      </w:pPr>
      <w:r>
        <w:rPr>
          <w:b/>
        </w:rPr>
        <w:t>5.2.</w:t>
      </w:r>
      <w:r>
        <w:rPr>
          <w:rFonts w:hint="eastAsia"/>
          <w:b/>
        </w:rPr>
        <w:t>3</w:t>
      </w:r>
      <w:r>
        <w:t xml:space="preserve">  </w:t>
      </w:r>
      <w:r>
        <w:rPr>
          <w:rFonts w:hint="eastAsia"/>
        </w:rPr>
        <w:t>黄河超细砂</w:t>
      </w:r>
      <w:r>
        <w:t>混凝土力学性能应按照现行国家标准《混凝土物理力学性能试验方法标准》</w:t>
      </w:r>
      <w:r>
        <w:t>GB/T 50081</w:t>
      </w:r>
      <w:r>
        <w:t>的规定进行试验测定，并应满足设计要求。</w:t>
      </w:r>
      <w:bookmarkStart w:id="248" w:name="_Toc243285203"/>
      <w:bookmarkEnd w:id="244"/>
      <w:bookmarkEnd w:id="245"/>
      <w:bookmarkEnd w:id="246"/>
    </w:p>
    <w:p w:rsidR="00ED5264" w:rsidRDefault="00B65917">
      <w:pPr>
        <w:spacing w:beforeLines="100" w:before="312" w:afterLines="100" w:after="312" w:line="300" w:lineRule="auto"/>
        <w:jc w:val="center"/>
        <w:outlineLvl w:val="1"/>
        <w:rPr>
          <w:b/>
          <w:bCs/>
          <w:sz w:val="24"/>
          <w:szCs w:val="24"/>
        </w:rPr>
      </w:pPr>
      <w:bookmarkStart w:id="249" w:name="_Toc237336831"/>
      <w:bookmarkStart w:id="250" w:name="_Toc514685630"/>
      <w:bookmarkStart w:id="251" w:name="_Toc245290386"/>
      <w:bookmarkStart w:id="252" w:name="_Toc245291077"/>
      <w:bookmarkStart w:id="253" w:name="_Toc5712"/>
      <w:bookmarkStart w:id="254" w:name="_Toc15053044"/>
      <w:bookmarkStart w:id="255" w:name="_Toc17974"/>
      <w:bookmarkStart w:id="256" w:name="_Toc23260831"/>
      <w:bookmarkStart w:id="257" w:name="_Toc243285205"/>
      <w:bookmarkStart w:id="258" w:name="_Toc242936860"/>
      <w:bookmarkStart w:id="259" w:name="_Toc245290864"/>
      <w:bookmarkStart w:id="260" w:name="_Toc30780"/>
      <w:bookmarkStart w:id="261" w:name="_Toc238356686"/>
      <w:bookmarkEnd w:id="248"/>
      <w:r>
        <w:rPr>
          <w:b/>
          <w:bCs/>
          <w:sz w:val="24"/>
          <w:szCs w:val="24"/>
        </w:rPr>
        <w:lastRenderedPageBreak/>
        <w:t xml:space="preserve">5.3  </w:t>
      </w:r>
      <w:bookmarkEnd w:id="242"/>
      <w:bookmarkEnd w:id="243"/>
      <w:r>
        <w:rPr>
          <w:b/>
          <w:bCs/>
          <w:sz w:val="24"/>
          <w:szCs w:val="24"/>
        </w:rPr>
        <w:t>长期性能</w:t>
      </w:r>
      <w:bookmarkEnd w:id="249"/>
      <w:r>
        <w:rPr>
          <w:b/>
          <w:bCs/>
          <w:sz w:val="24"/>
          <w:szCs w:val="24"/>
        </w:rPr>
        <w:t>与耐久性能</w:t>
      </w:r>
      <w:bookmarkEnd w:id="250"/>
      <w:bookmarkEnd w:id="251"/>
      <w:bookmarkEnd w:id="252"/>
      <w:bookmarkEnd w:id="253"/>
      <w:bookmarkEnd w:id="254"/>
      <w:bookmarkEnd w:id="255"/>
      <w:bookmarkEnd w:id="256"/>
      <w:bookmarkEnd w:id="257"/>
      <w:bookmarkEnd w:id="258"/>
      <w:bookmarkEnd w:id="259"/>
      <w:bookmarkEnd w:id="260"/>
      <w:bookmarkEnd w:id="261"/>
    </w:p>
    <w:p w:rsidR="00ED5264" w:rsidRDefault="00B65917">
      <w:pPr>
        <w:pStyle w:val="aff9"/>
        <w:spacing w:line="360" w:lineRule="auto"/>
        <w:rPr>
          <w:b/>
          <w:highlight w:val="yellow"/>
        </w:rPr>
      </w:pPr>
      <w:bookmarkStart w:id="262" w:name="_Toc15053045"/>
      <w:bookmarkStart w:id="263" w:name="_Toc514685631"/>
      <w:bookmarkStart w:id="264" w:name="_Toc243285206"/>
      <w:bookmarkStart w:id="265" w:name="_Toc23260832"/>
      <w:r>
        <w:rPr>
          <w:b/>
          <w:bCs/>
        </w:rPr>
        <w:t xml:space="preserve">5.3.1  </w:t>
      </w:r>
      <w:r>
        <w:rPr>
          <w:rFonts w:hint="eastAsia"/>
        </w:rPr>
        <w:t>黄河超细砂混凝土</w:t>
      </w:r>
      <w:r>
        <w:t>的</w:t>
      </w:r>
      <w:r>
        <w:rPr>
          <w:rFonts w:hint="eastAsia"/>
        </w:rPr>
        <w:t>耐久性能指标</w:t>
      </w:r>
      <w:r>
        <w:t>应满足现行国家标准《混凝土结构设计</w:t>
      </w:r>
      <w:r>
        <w:rPr>
          <w:rFonts w:hint="eastAsia"/>
        </w:rPr>
        <w:t>标准</w:t>
      </w:r>
      <w:r>
        <w:t>》</w:t>
      </w:r>
      <w:r>
        <w:rPr>
          <w:rFonts w:hint="eastAsia"/>
        </w:rPr>
        <w:t>GB/T 50010</w:t>
      </w:r>
      <w:r>
        <w:rPr>
          <w:rFonts w:hint="eastAsia"/>
        </w:rPr>
        <w:t>及</w:t>
      </w:r>
      <w:r>
        <w:t>设计</w:t>
      </w:r>
      <w:r>
        <w:rPr>
          <w:rFonts w:hint="eastAsia"/>
        </w:rPr>
        <w:t>文件</w:t>
      </w:r>
      <w:r>
        <w:t>要求。</w:t>
      </w:r>
      <w:bookmarkEnd w:id="262"/>
      <w:bookmarkEnd w:id="263"/>
      <w:bookmarkEnd w:id="264"/>
      <w:bookmarkEnd w:id="265"/>
    </w:p>
    <w:p w:rsidR="00ED5264" w:rsidRDefault="00B65917">
      <w:pPr>
        <w:pStyle w:val="aff9"/>
        <w:spacing w:line="360" w:lineRule="auto"/>
      </w:pPr>
      <w:bookmarkStart w:id="266" w:name="_Toc23260834"/>
      <w:bookmarkStart w:id="267" w:name="_Toc514685633"/>
      <w:bookmarkStart w:id="268" w:name="_Toc15053047"/>
      <w:bookmarkStart w:id="269" w:name="_Toc243285208"/>
      <w:r>
        <w:rPr>
          <w:b/>
        </w:rPr>
        <w:t>5.3.</w:t>
      </w:r>
      <w:r>
        <w:rPr>
          <w:rFonts w:hint="eastAsia"/>
          <w:b/>
        </w:rPr>
        <w:t>2</w:t>
      </w:r>
      <w:r>
        <w:t xml:space="preserve">  </w:t>
      </w:r>
      <w:r>
        <w:rPr>
          <w:rFonts w:hint="eastAsia"/>
        </w:rPr>
        <w:t>黄河超细砂混凝土</w:t>
      </w:r>
      <w:r>
        <w:t>抗硫酸盐腐蚀、抗氯离子渗透</w:t>
      </w:r>
      <w:r>
        <w:rPr>
          <w:rFonts w:hint="eastAsia"/>
        </w:rPr>
        <w:t>、</w:t>
      </w:r>
      <w:r>
        <w:rPr>
          <w:rFonts w:hint="eastAsia"/>
        </w:rPr>
        <w:t>抗碳化</w:t>
      </w:r>
      <w:r>
        <w:t>等耐久性能</w:t>
      </w:r>
      <w:r>
        <w:rPr>
          <w:rFonts w:hint="eastAsia"/>
        </w:rPr>
        <w:t>的等级划分符合现行行业标准《混凝土耐久性检验评定标准》</w:t>
      </w:r>
      <w:r>
        <w:rPr>
          <w:rFonts w:hint="eastAsia"/>
        </w:rPr>
        <w:t>JGJ/T 193</w:t>
      </w:r>
      <w:r>
        <w:rPr>
          <w:rFonts w:hint="eastAsia"/>
        </w:rPr>
        <w:t>的规定</w:t>
      </w:r>
      <w:bookmarkEnd w:id="266"/>
      <w:bookmarkEnd w:id="267"/>
      <w:bookmarkEnd w:id="268"/>
      <w:r>
        <w:rPr>
          <w:rFonts w:hint="eastAsia"/>
        </w:rPr>
        <w:t>。</w:t>
      </w:r>
    </w:p>
    <w:p w:rsidR="00ED5264" w:rsidRDefault="00B65917">
      <w:pPr>
        <w:pStyle w:val="aff9"/>
        <w:spacing w:line="360" w:lineRule="auto"/>
      </w:pPr>
      <w:r>
        <w:rPr>
          <w:b/>
        </w:rPr>
        <w:t>5.3.</w:t>
      </w:r>
      <w:r>
        <w:rPr>
          <w:rFonts w:hint="eastAsia"/>
          <w:b/>
        </w:rPr>
        <w:t xml:space="preserve">3  </w:t>
      </w:r>
      <w:r>
        <w:rPr>
          <w:rFonts w:hint="eastAsia"/>
        </w:rPr>
        <w:t>黄河超细砂</w:t>
      </w:r>
      <w:r>
        <w:t>混凝土长期性能与耐久性能</w:t>
      </w:r>
      <w:r>
        <w:rPr>
          <w:rFonts w:hint="eastAsia"/>
        </w:rPr>
        <w:t>应根据工程设计和施工要求</w:t>
      </w:r>
      <w:r>
        <w:rPr>
          <w:rFonts w:hint="eastAsia"/>
        </w:rPr>
        <w:t>确定。</w:t>
      </w:r>
    </w:p>
    <w:p w:rsidR="00ED5264" w:rsidRDefault="00B65917">
      <w:pPr>
        <w:pStyle w:val="aff9"/>
        <w:spacing w:line="360" w:lineRule="auto"/>
        <w:rPr>
          <w:b/>
        </w:rPr>
      </w:pPr>
      <w:bookmarkStart w:id="270" w:name="_Toc514685634"/>
      <w:bookmarkStart w:id="271" w:name="_Toc15053048"/>
      <w:bookmarkStart w:id="272" w:name="_Toc23260835"/>
      <w:r>
        <w:rPr>
          <w:b/>
        </w:rPr>
        <w:t>5.3.</w:t>
      </w:r>
      <w:r>
        <w:rPr>
          <w:rFonts w:hint="eastAsia"/>
          <w:b/>
        </w:rPr>
        <w:t>4</w:t>
      </w:r>
      <w:r>
        <w:t xml:space="preserve">  </w:t>
      </w:r>
      <w:bookmarkEnd w:id="269"/>
      <w:bookmarkEnd w:id="270"/>
      <w:bookmarkEnd w:id="271"/>
      <w:bookmarkEnd w:id="272"/>
      <w:r>
        <w:rPr>
          <w:rFonts w:hint="eastAsia"/>
        </w:rPr>
        <w:t>黄河超细砂</w:t>
      </w:r>
      <w:r>
        <w:t>混凝土长期性能与耐久性能的试验方法应符合现行国家标准《混凝土长期性能和耐久性能试验方法标准》</w:t>
      </w:r>
      <w:r>
        <w:t>GB/T 50082</w:t>
      </w:r>
      <w:r>
        <w:t>的规定。</w:t>
      </w:r>
    </w:p>
    <w:p w:rsidR="00ED5264" w:rsidRDefault="00B65917">
      <w:pPr>
        <w:pStyle w:val="aff4"/>
        <w:spacing w:before="312" w:after="312"/>
      </w:pPr>
      <w:r>
        <w:rPr>
          <w:b w:val="0"/>
        </w:rPr>
        <w:br w:type="page"/>
      </w:r>
      <w:bookmarkStart w:id="273" w:name="_Toc23260836"/>
      <w:bookmarkStart w:id="274" w:name="_Toc15053049"/>
      <w:bookmarkStart w:id="275" w:name="_Toc28292"/>
      <w:bookmarkStart w:id="276" w:name="_Toc232495685"/>
      <w:bookmarkStart w:id="277" w:name="_Toc245291078"/>
      <w:bookmarkStart w:id="278" w:name="_Toc242936861"/>
      <w:bookmarkStart w:id="279" w:name="_Toc232517438"/>
      <w:bookmarkStart w:id="280" w:name="_Toc245290865"/>
      <w:bookmarkStart w:id="281" w:name="_Toc236584237"/>
      <w:bookmarkStart w:id="282" w:name="_Toc2023"/>
      <w:bookmarkStart w:id="283" w:name="_Toc243285209"/>
      <w:bookmarkStart w:id="284" w:name="_Toc514685635"/>
      <w:bookmarkStart w:id="285" w:name="_Toc234206818"/>
      <w:bookmarkStart w:id="286" w:name="_Toc245290387"/>
      <w:bookmarkStart w:id="287" w:name="_Toc238356687"/>
      <w:bookmarkStart w:id="288" w:name="_Toc236584167"/>
      <w:bookmarkStart w:id="289" w:name="_Toc13810"/>
      <w:bookmarkStart w:id="290" w:name="_Toc235251709"/>
      <w:bookmarkStart w:id="291" w:name="_Toc232243153"/>
      <w:bookmarkStart w:id="292" w:name="_Toc237336833"/>
      <w:r>
        <w:lastRenderedPageBreak/>
        <w:t xml:space="preserve">6  </w:t>
      </w:r>
      <w:r>
        <w:t>配合比设计</w:t>
      </w:r>
      <w:bookmarkEnd w:id="273"/>
      <w:bookmarkEnd w:id="274"/>
      <w:bookmarkEnd w:id="275"/>
      <w:bookmarkEnd w:id="276"/>
      <w:bookmarkEnd w:id="277"/>
      <w:bookmarkEnd w:id="278"/>
      <w:bookmarkEnd w:id="279"/>
      <w:bookmarkEnd w:id="280"/>
      <w:bookmarkEnd w:id="281"/>
      <w:bookmarkEnd w:id="282"/>
      <w:bookmarkEnd w:id="283"/>
      <w:bookmarkEnd w:id="284"/>
      <w:bookmarkEnd w:id="285"/>
      <w:bookmarkEnd w:id="286"/>
      <w:bookmarkEnd w:id="287"/>
      <w:bookmarkEnd w:id="288"/>
      <w:bookmarkEnd w:id="289"/>
      <w:bookmarkEnd w:id="290"/>
      <w:bookmarkEnd w:id="291"/>
      <w:bookmarkEnd w:id="292"/>
    </w:p>
    <w:p w:rsidR="00ED5264" w:rsidRDefault="00B65917">
      <w:pPr>
        <w:spacing w:beforeLines="100" w:before="312" w:afterLines="100" w:after="312" w:line="300" w:lineRule="auto"/>
        <w:jc w:val="center"/>
        <w:outlineLvl w:val="1"/>
        <w:rPr>
          <w:b/>
          <w:bCs/>
          <w:sz w:val="24"/>
          <w:szCs w:val="24"/>
        </w:rPr>
      </w:pPr>
      <w:bookmarkStart w:id="293" w:name="_Toc237336834"/>
      <w:bookmarkStart w:id="294" w:name="_Toc242936862"/>
      <w:bookmarkStart w:id="295" w:name="_Toc238356688"/>
      <w:bookmarkStart w:id="296" w:name="_Toc243285210"/>
      <w:bookmarkStart w:id="297" w:name="_Toc245291079"/>
      <w:bookmarkStart w:id="298" w:name="_Toc245290388"/>
      <w:bookmarkStart w:id="299" w:name="_Toc245290866"/>
      <w:bookmarkStart w:id="300" w:name="_Toc18722"/>
      <w:bookmarkStart w:id="301" w:name="_Toc15053050"/>
      <w:bookmarkStart w:id="302" w:name="_Toc514685636"/>
      <w:bookmarkStart w:id="303" w:name="_Toc23260837"/>
      <w:bookmarkStart w:id="304" w:name="_Toc4012"/>
      <w:bookmarkStart w:id="305" w:name="_Toc1604"/>
      <w:r>
        <w:rPr>
          <w:b/>
          <w:bCs/>
          <w:sz w:val="24"/>
          <w:szCs w:val="24"/>
        </w:rPr>
        <w:t xml:space="preserve">6.1  </w:t>
      </w:r>
      <w:bookmarkEnd w:id="293"/>
      <w:bookmarkEnd w:id="294"/>
      <w:bookmarkEnd w:id="295"/>
      <w:bookmarkEnd w:id="296"/>
      <w:r>
        <w:rPr>
          <w:b/>
          <w:bCs/>
          <w:sz w:val="24"/>
          <w:szCs w:val="24"/>
        </w:rPr>
        <w:t>一般</w:t>
      </w:r>
      <w:bookmarkEnd w:id="297"/>
      <w:bookmarkEnd w:id="298"/>
      <w:bookmarkEnd w:id="299"/>
      <w:r>
        <w:rPr>
          <w:b/>
          <w:bCs/>
          <w:sz w:val="24"/>
          <w:szCs w:val="24"/>
        </w:rPr>
        <w:t>要求</w:t>
      </w:r>
      <w:bookmarkEnd w:id="300"/>
      <w:bookmarkEnd w:id="301"/>
      <w:bookmarkEnd w:id="302"/>
      <w:bookmarkEnd w:id="303"/>
      <w:bookmarkEnd w:id="304"/>
      <w:bookmarkEnd w:id="305"/>
    </w:p>
    <w:p w:rsidR="00ED5264" w:rsidRDefault="00B65917">
      <w:pPr>
        <w:pStyle w:val="aff9"/>
        <w:spacing w:line="360" w:lineRule="auto"/>
        <w:rPr>
          <w:b/>
        </w:rPr>
      </w:pPr>
      <w:bookmarkStart w:id="306" w:name="_Toc23260838"/>
      <w:bookmarkStart w:id="307" w:name="_Toc514685637"/>
      <w:bookmarkStart w:id="308" w:name="_Toc15053051"/>
      <w:bookmarkStart w:id="309" w:name="_Toc243285211"/>
      <w:r>
        <w:rPr>
          <w:b/>
        </w:rPr>
        <w:t>6.1.1</w:t>
      </w:r>
      <w:r>
        <w:t xml:space="preserve">  </w:t>
      </w:r>
      <w:r>
        <w:rPr>
          <w:rFonts w:hint="eastAsia"/>
        </w:rPr>
        <w:t>黄河超细砂混凝土的配合比设计，必须经过试配试验确定。试配试验应根据混凝土强度等级、施工条件、长期性能和耐久性能等要求，按照现行行业标准《普通混凝土配合比设计规范》</w:t>
      </w:r>
      <w:r>
        <w:rPr>
          <w:rFonts w:hint="eastAsia"/>
        </w:rPr>
        <w:t>JGJ 55</w:t>
      </w:r>
      <w:r>
        <w:rPr>
          <w:rFonts w:hint="eastAsia"/>
        </w:rPr>
        <w:t>的规定执行。</w:t>
      </w:r>
    </w:p>
    <w:p w:rsidR="00ED5264" w:rsidRDefault="00B65917">
      <w:pPr>
        <w:pStyle w:val="aff9"/>
        <w:spacing w:line="360" w:lineRule="auto"/>
      </w:pPr>
      <w:r>
        <w:rPr>
          <w:b/>
        </w:rPr>
        <w:t>6.1.2</w:t>
      </w:r>
      <w:r>
        <w:t xml:space="preserve">  </w:t>
      </w:r>
      <w:r>
        <w:t>配合比设计应采用工程实际使用的原材料；当原材料品种发生变化时，应重新进行配合比设计。</w:t>
      </w:r>
      <w:bookmarkEnd w:id="306"/>
      <w:bookmarkEnd w:id="307"/>
      <w:bookmarkEnd w:id="308"/>
    </w:p>
    <w:p w:rsidR="00ED5264" w:rsidRDefault="00B65917">
      <w:pPr>
        <w:pStyle w:val="aff9"/>
        <w:spacing w:line="360" w:lineRule="auto"/>
      </w:pPr>
      <w:bookmarkStart w:id="310" w:name="_Toc23260841"/>
      <w:bookmarkStart w:id="311" w:name="_Toc15053054"/>
      <w:bookmarkStart w:id="312" w:name="_Toc514685640"/>
      <w:r>
        <w:rPr>
          <w:b/>
        </w:rPr>
        <w:t>6.1.3</w:t>
      </w:r>
      <w:r>
        <w:t xml:space="preserve">  </w:t>
      </w:r>
      <w:r>
        <w:t>在</w:t>
      </w:r>
      <w:r>
        <w:rPr>
          <w:rFonts w:hint="eastAsia"/>
        </w:rPr>
        <w:t>黄河超细砂</w:t>
      </w:r>
      <w:r>
        <w:t>混凝土中加入外加剂和矿物掺合料时，应符合下列规定：</w:t>
      </w:r>
      <w:bookmarkEnd w:id="310"/>
      <w:bookmarkEnd w:id="311"/>
      <w:bookmarkEnd w:id="312"/>
    </w:p>
    <w:p w:rsidR="00ED5264" w:rsidRDefault="00B65917">
      <w:pPr>
        <w:pStyle w:val="aff9"/>
        <w:spacing w:line="360" w:lineRule="auto"/>
        <w:ind w:firstLine="372"/>
      </w:pPr>
      <w:bookmarkStart w:id="313" w:name="_Toc15053055"/>
      <w:bookmarkStart w:id="314" w:name="_Toc23260842"/>
      <w:bookmarkStart w:id="315" w:name="_Toc514685641"/>
      <w:r>
        <w:rPr>
          <w:b/>
          <w:bCs/>
        </w:rPr>
        <w:t>1</w:t>
      </w:r>
      <w:r>
        <w:rPr>
          <w:bCs/>
        </w:rPr>
        <w:t xml:space="preserve">  </w:t>
      </w:r>
      <w:r>
        <w:t>外加剂的品种和掺量应通过试验确定，与水泥等胶凝材料的适应性应满足设计与施工对混凝土性能的要求；</w:t>
      </w:r>
      <w:bookmarkEnd w:id="313"/>
      <w:bookmarkEnd w:id="314"/>
      <w:bookmarkEnd w:id="315"/>
    </w:p>
    <w:p w:rsidR="00ED5264" w:rsidRDefault="00B65917">
      <w:pPr>
        <w:pStyle w:val="aff9"/>
        <w:spacing w:line="360" w:lineRule="auto"/>
        <w:ind w:firstLine="374"/>
      </w:pPr>
      <w:bookmarkStart w:id="316" w:name="_Toc514685642"/>
      <w:bookmarkStart w:id="317" w:name="_Toc15053056"/>
      <w:bookmarkStart w:id="318" w:name="_Toc23260843"/>
      <w:r>
        <w:rPr>
          <w:rFonts w:hint="eastAsia"/>
          <w:b/>
          <w:bCs/>
        </w:rPr>
        <w:t>2</w:t>
      </w:r>
      <w:r>
        <w:rPr>
          <w:bCs/>
        </w:rPr>
        <w:t xml:space="preserve">  </w:t>
      </w:r>
      <w:r>
        <w:t>矿物掺合料的品种和掺量应通过试验确定。</w:t>
      </w:r>
      <w:bookmarkEnd w:id="316"/>
      <w:bookmarkEnd w:id="317"/>
      <w:bookmarkEnd w:id="318"/>
    </w:p>
    <w:p w:rsidR="00ED5264" w:rsidRDefault="00B65917">
      <w:pPr>
        <w:spacing w:beforeLines="100" w:before="312" w:afterLines="100" w:after="312" w:line="300" w:lineRule="auto"/>
        <w:jc w:val="center"/>
        <w:outlineLvl w:val="1"/>
        <w:rPr>
          <w:b/>
          <w:bCs/>
          <w:sz w:val="24"/>
          <w:szCs w:val="24"/>
        </w:rPr>
      </w:pPr>
      <w:bookmarkStart w:id="319" w:name="_Toc243285227"/>
      <w:bookmarkStart w:id="320" w:name="_Toc15053057"/>
      <w:bookmarkStart w:id="321" w:name="_Toc245291080"/>
      <w:bookmarkStart w:id="322" w:name="_Toc245290867"/>
      <w:bookmarkStart w:id="323" w:name="_Toc238356690"/>
      <w:bookmarkStart w:id="324" w:name="_Toc514685643"/>
      <w:bookmarkStart w:id="325" w:name="_Toc237336836"/>
      <w:bookmarkStart w:id="326" w:name="_Toc245290389"/>
      <w:bookmarkStart w:id="327" w:name="_Toc242936864"/>
      <w:bookmarkStart w:id="328" w:name="_Toc23260844"/>
      <w:bookmarkStart w:id="329" w:name="_Toc20041"/>
      <w:bookmarkStart w:id="330" w:name="_Toc22263"/>
      <w:bookmarkStart w:id="331" w:name="_Toc6061"/>
      <w:bookmarkEnd w:id="309"/>
      <w:r>
        <w:rPr>
          <w:b/>
          <w:bCs/>
          <w:sz w:val="24"/>
          <w:szCs w:val="24"/>
        </w:rPr>
        <w:t xml:space="preserve">6.2  </w:t>
      </w:r>
      <w:bookmarkEnd w:id="319"/>
      <w:bookmarkEnd w:id="320"/>
      <w:bookmarkEnd w:id="321"/>
      <w:bookmarkEnd w:id="322"/>
      <w:bookmarkEnd w:id="323"/>
      <w:bookmarkEnd w:id="324"/>
      <w:bookmarkEnd w:id="325"/>
      <w:bookmarkEnd w:id="326"/>
      <w:bookmarkEnd w:id="327"/>
      <w:bookmarkEnd w:id="328"/>
      <w:r>
        <w:rPr>
          <w:rFonts w:hint="eastAsia"/>
          <w:b/>
          <w:bCs/>
          <w:sz w:val="24"/>
          <w:szCs w:val="24"/>
        </w:rPr>
        <w:t>配合比计算</w:t>
      </w:r>
      <w:bookmarkEnd w:id="329"/>
      <w:bookmarkEnd w:id="330"/>
      <w:bookmarkEnd w:id="331"/>
    </w:p>
    <w:p w:rsidR="00ED5264" w:rsidRDefault="00B65917">
      <w:pPr>
        <w:spacing w:beforeLines="50" w:before="156" w:line="360" w:lineRule="auto"/>
        <w:rPr>
          <w:color w:val="0000FF"/>
          <w:sz w:val="24"/>
          <w:szCs w:val="24"/>
        </w:rPr>
      </w:pPr>
      <w:bookmarkStart w:id="332" w:name="OLE_LINK23"/>
      <w:bookmarkStart w:id="333" w:name="_Toc23260850"/>
      <w:bookmarkStart w:id="334" w:name="_Toc486247773"/>
      <w:bookmarkStart w:id="335" w:name="_Toc514685649"/>
      <w:bookmarkStart w:id="336" w:name="_Toc509849517"/>
      <w:bookmarkStart w:id="337" w:name="_Toc11804"/>
      <w:bookmarkStart w:id="338" w:name="_Toc15053063"/>
      <w:bookmarkStart w:id="339" w:name="_Toc472351343"/>
      <w:bookmarkStart w:id="340" w:name="_Toc20296"/>
      <w:r>
        <w:rPr>
          <w:b/>
          <w:sz w:val="24"/>
          <w:szCs w:val="24"/>
        </w:rPr>
        <w:t>6.2.</w:t>
      </w:r>
      <w:r>
        <w:rPr>
          <w:rFonts w:hint="eastAsia"/>
          <w:b/>
          <w:sz w:val="24"/>
          <w:szCs w:val="24"/>
        </w:rPr>
        <w:t>1</w:t>
      </w:r>
      <w:r>
        <w:rPr>
          <w:sz w:val="24"/>
          <w:szCs w:val="24"/>
        </w:rPr>
        <w:t xml:space="preserve">  </w:t>
      </w:r>
      <w:bookmarkEnd w:id="332"/>
      <w:r>
        <w:rPr>
          <w:rFonts w:hint="eastAsia"/>
          <w:sz w:val="24"/>
          <w:szCs w:val="24"/>
        </w:rPr>
        <w:t>黄河超细砂</w:t>
      </w:r>
      <w:r>
        <w:rPr>
          <w:rFonts w:hint="eastAsia"/>
          <w:sz w:val="24"/>
          <w:szCs w:val="24"/>
        </w:rPr>
        <w:t>混合砂中黄河超细砂的掺合比例应通过试验确定，混合砂应混合均匀，混合砂的掺配比例可参考式（</w:t>
      </w:r>
      <w:r>
        <w:rPr>
          <w:rFonts w:hint="eastAsia"/>
          <w:sz w:val="24"/>
          <w:szCs w:val="24"/>
        </w:rPr>
        <w:t>6.2.1</w:t>
      </w:r>
      <w:r>
        <w:rPr>
          <w:rFonts w:hint="eastAsia"/>
          <w:sz w:val="24"/>
          <w:szCs w:val="24"/>
        </w:rPr>
        <w:t>）计算。</w:t>
      </w:r>
    </w:p>
    <w:p w:rsidR="00ED5264" w:rsidRDefault="00B65917">
      <w:pPr>
        <w:tabs>
          <w:tab w:val="left" w:pos="7920"/>
        </w:tabs>
        <w:spacing w:line="360" w:lineRule="auto"/>
        <w:ind w:firstLineChars="600" w:firstLine="1440"/>
        <w:rPr>
          <w:sz w:val="24"/>
          <w:szCs w:val="24"/>
        </w:rPr>
      </w:pPr>
      <w:r>
        <w:rPr>
          <w:rFonts w:hint="eastAsia"/>
          <w:position w:val="-30"/>
          <w:sz w:val="24"/>
          <w:szCs w:val="24"/>
        </w:rPr>
        <w:object w:dxaOrig="2225" w:dyaOrig="666">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11.25pt;height:33.3pt" o:ole="">
            <v:imagedata r:id="rId18" o:title=""/>
          </v:shape>
          <o:OLEObject Type="Embed" ProgID="Equation.KSEE3" ShapeID="_x0000_i1025" DrawAspect="Content" ObjectID="_1822808619" r:id="rId19"/>
        </w:object>
      </w:r>
      <w:r>
        <w:rPr>
          <w:rFonts w:hint="eastAsia"/>
          <w:sz w:val="24"/>
          <w:szCs w:val="24"/>
        </w:rPr>
        <w:t xml:space="preserve">                              </w:t>
      </w:r>
      <w:r>
        <w:rPr>
          <w:sz w:val="24"/>
          <w:szCs w:val="24"/>
        </w:rPr>
        <w:t>（</w:t>
      </w:r>
      <w:r>
        <w:rPr>
          <w:rFonts w:hint="eastAsia"/>
          <w:sz w:val="24"/>
          <w:szCs w:val="24"/>
        </w:rPr>
        <w:t>6.2.1</w:t>
      </w:r>
      <w:r>
        <w:rPr>
          <w:sz w:val="24"/>
          <w:szCs w:val="24"/>
        </w:rPr>
        <w:t>）</w:t>
      </w:r>
    </w:p>
    <w:p w:rsidR="00ED5264" w:rsidRDefault="00B65917">
      <w:pPr>
        <w:tabs>
          <w:tab w:val="left" w:pos="7920"/>
        </w:tabs>
        <w:spacing w:line="360" w:lineRule="auto"/>
        <w:ind w:firstLineChars="100" w:firstLine="240"/>
        <w:rPr>
          <w:sz w:val="24"/>
          <w:szCs w:val="24"/>
        </w:rPr>
      </w:pPr>
      <w:r>
        <w:rPr>
          <w:sz w:val="24"/>
          <w:szCs w:val="24"/>
        </w:rPr>
        <w:t>式中：</w:t>
      </w:r>
      <m:oMath>
        <m:sSub>
          <m:sSubPr>
            <m:ctrlPr>
              <w:rPr>
                <w:rFonts w:ascii="Cambria Math" w:hAnsi="Cambria Math"/>
                <w:i/>
                <w:sz w:val="24"/>
                <w:szCs w:val="24"/>
              </w:rPr>
            </m:ctrlPr>
          </m:sSubPr>
          <m:e>
            <m:r>
              <w:rPr>
                <w:rFonts w:ascii="Cambria Math" w:hAnsi="Cambria Math"/>
                <w:sz w:val="24"/>
                <w:szCs w:val="24"/>
              </w:rPr>
              <m:t>α</m:t>
            </m:r>
          </m:e>
          <m:sub>
            <m:r>
              <w:rPr>
                <w:rFonts w:ascii="Cambria Math" w:hAnsi="Cambria Math"/>
                <w:sz w:val="24"/>
                <w:szCs w:val="24"/>
              </w:rPr>
              <m:t>1</m:t>
            </m:r>
          </m:sub>
        </m:sSub>
      </m:oMath>
      <w:r>
        <w:rPr>
          <w:sz w:val="24"/>
          <w:szCs w:val="24"/>
        </w:rPr>
        <w:t>——</w:t>
      </w:r>
      <w:r>
        <w:rPr>
          <w:rFonts w:hint="eastAsia"/>
          <w:sz w:val="24"/>
          <w:szCs w:val="24"/>
        </w:rPr>
        <w:t>混合砂中机制砂所占比例</w:t>
      </w:r>
      <w:r>
        <w:rPr>
          <w:sz w:val="24"/>
          <w:szCs w:val="24"/>
        </w:rPr>
        <w:t>；</w:t>
      </w:r>
    </w:p>
    <w:p w:rsidR="00ED5264" w:rsidRDefault="00B65917">
      <w:pPr>
        <w:tabs>
          <w:tab w:val="left" w:pos="7920"/>
        </w:tabs>
        <w:spacing w:line="360" w:lineRule="auto"/>
        <w:ind w:firstLineChars="400" w:firstLine="960"/>
        <w:rPr>
          <w:sz w:val="24"/>
          <w:szCs w:val="24"/>
        </w:rPr>
      </w:pPr>
      <m:oMath>
        <m:sSub>
          <m:sSubPr>
            <m:ctrlPr>
              <w:rPr>
                <w:rFonts w:ascii="Cambria Math" w:hAnsi="Cambria Math"/>
                <w:i/>
                <w:sz w:val="24"/>
                <w:szCs w:val="24"/>
              </w:rPr>
            </m:ctrlPr>
          </m:sSubPr>
          <m:e>
            <m:r>
              <w:rPr>
                <w:rFonts w:ascii="Cambria Math" w:hAnsi="Cambria Math"/>
                <w:sz w:val="24"/>
                <w:szCs w:val="24"/>
              </w:rPr>
              <m:t>μ</m:t>
            </m:r>
          </m:e>
          <m:sub>
            <m:r>
              <w:rPr>
                <w:rFonts w:ascii="Cambria Math" w:hAnsi="Cambria Math"/>
                <w:sz w:val="24"/>
                <w:szCs w:val="24"/>
              </w:rPr>
              <m:t>f</m:t>
            </m:r>
          </m:sub>
        </m:sSub>
      </m:oMath>
      <w:r>
        <w:rPr>
          <w:sz w:val="24"/>
          <w:szCs w:val="24"/>
        </w:rPr>
        <w:t>——</w:t>
      </w:r>
      <w:r>
        <w:rPr>
          <w:rFonts w:hint="eastAsia"/>
          <w:sz w:val="24"/>
          <w:szCs w:val="24"/>
        </w:rPr>
        <w:t>混合砂的细度模数</w:t>
      </w:r>
      <w:r>
        <w:rPr>
          <w:sz w:val="24"/>
          <w:szCs w:val="24"/>
        </w:rPr>
        <w:t>；</w:t>
      </w:r>
    </w:p>
    <w:p w:rsidR="00ED5264" w:rsidRDefault="00B65917">
      <w:pPr>
        <w:tabs>
          <w:tab w:val="left" w:pos="7920"/>
        </w:tabs>
        <w:spacing w:line="360" w:lineRule="auto"/>
        <w:ind w:leftChars="400" w:left="1320" w:hangingChars="200" w:hanging="480"/>
        <w:rPr>
          <w:sz w:val="24"/>
          <w:szCs w:val="24"/>
        </w:rPr>
      </w:pPr>
      <m:oMath>
        <m:sSub>
          <m:sSubPr>
            <m:ctrlPr>
              <w:rPr>
                <w:rFonts w:ascii="Cambria Math" w:hAnsi="Cambria Math" w:cs="Cambria Math"/>
                <w:i/>
                <w:sz w:val="24"/>
                <w:szCs w:val="24"/>
              </w:rPr>
            </m:ctrlPr>
          </m:sSubPr>
          <m:e>
            <m:r>
              <w:rPr>
                <w:rFonts w:ascii="Cambria Math" w:hAnsi="Cambria Math" w:cs="Cambria Math"/>
                <w:sz w:val="24"/>
                <w:szCs w:val="24"/>
              </w:rPr>
              <m:t>μ</m:t>
            </m:r>
          </m:e>
          <m:sub>
            <m:r>
              <w:rPr>
                <w:rFonts w:ascii="Cambria Math" w:hAnsi="Cambria Math" w:cs="Cambria Math"/>
                <w:sz w:val="24"/>
                <w:szCs w:val="24"/>
              </w:rPr>
              <m:t>f</m:t>
            </m:r>
            <m:r>
              <w:rPr>
                <w:rFonts w:ascii="Cambria Math" w:hAnsi="Cambria Math" w:cs="Cambria Math"/>
                <w:sz w:val="24"/>
                <w:szCs w:val="24"/>
              </w:rPr>
              <m:t>1</m:t>
            </m:r>
          </m:sub>
        </m:sSub>
        <m:r>
          <w:rPr>
            <w:rFonts w:ascii="Cambria Math" w:hAnsi="Cambria Math" w:cs="Cambria Math" w:hint="eastAsia"/>
            <w:sz w:val="24"/>
            <w:szCs w:val="24"/>
          </w:rPr>
          <m:t>、</m:t>
        </m:r>
        <m:sSub>
          <m:sSubPr>
            <m:ctrlPr>
              <w:rPr>
                <w:rFonts w:ascii="Cambria Math" w:hAnsi="Cambria Math" w:cs="Cambria Math"/>
                <w:i/>
                <w:sz w:val="24"/>
                <w:szCs w:val="24"/>
              </w:rPr>
            </m:ctrlPr>
          </m:sSubPr>
          <m:e>
            <m:r>
              <w:rPr>
                <w:rFonts w:ascii="Cambria Math" w:hAnsi="Cambria Math" w:cs="Cambria Math"/>
                <w:sz w:val="24"/>
                <w:szCs w:val="24"/>
              </w:rPr>
              <m:t>μ</m:t>
            </m:r>
          </m:e>
          <m:sub>
            <m:r>
              <w:rPr>
                <w:rFonts w:ascii="Cambria Math" w:hAnsi="Cambria Math" w:cs="Cambria Math"/>
                <w:sz w:val="24"/>
                <w:szCs w:val="24"/>
              </w:rPr>
              <m:t>f</m:t>
            </m:r>
            <m:r>
              <w:rPr>
                <w:rFonts w:ascii="Cambria Math" w:hAnsi="Cambria Math" w:cs="Cambria Math"/>
                <w:sz w:val="24"/>
                <w:szCs w:val="24"/>
              </w:rPr>
              <m:t>2</m:t>
            </m:r>
          </m:sub>
        </m:sSub>
      </m:oMath>
      <w:r>
        <w:rPr>
          <w:sz w:val="24"/>
          <w:szCs w:val="24"/>
        </w:rPr>
        <w:t>——</w:t>
      </w:r>
      <w:r>
        <w:rPr>
          <w:rFonts w:hint="eastAsia"/>
          <w:sz w:val="24"/>
          <w:szCs w:val="24"/>
        </w:rPr>
        <w:t>机制砂、黄河超细砂的细度模数；</w:t>
      </w:r>
    </w:p>
    <w:p w:rsidR="00ED5264" w:rsidRDefault="00B65917">
      <w:pPr>
        <w:spacing w:beforeLines="50" w:before="156" w:line="360" w:lineRule="auto"/>
        <w:rPr>
          <w:color w:val="0000FF"/>
          <w:sz w:val="24"/>
          <w:szCs w:val="24"/>
        </w:rPr>
      </w:pPr>
      <w:r>
        <w:rPr>
          <w:b/>
          <w:sz w:val="24"/>
          <w:szCs w:val="24"/>
        </w:rPr>
        <w:t>6.2.</w:t>
      </w:r>
      <w:r>
        <w:rPr>
          <w:rFonts w:hint="eastAsia"/>
          <w:b/>
          <w:sz w:val="24"/>
          <w:szCs w:val="24"/>
        </w:rPr>
        <w:t>2</w:t>
      </w:r>
      <w:r>
        <w:rPr>
          <w:sz w:val="24"/>
          <w:szCs w:val="24"/>
        </w:rPr>
        <w:t xml:space="preserve">  </w:t>
      </w:r>
      <w:r>
        <w:rPr>
          <w:rFonts w:hint="eastAsia"/>
          <w:sz w:val="24"/>
          <w:szCs w:val="24"/>
        </w:rPr>
        <w:t>黄河超细砂混合砂的细度模数按式（</w:t>
      </w:r>
      <w:r>
        <w:rPr>
          <w:rFonts w:hint="eastAsia"/>
          <w:sz w:val="24"/>
          <w:szCs w:val="24"/>
        </w:rPr>
        <w:t>6.2.2</w:t>
      </w:r>
      <w:r>
        <w:rPr>
          <w:rFonts w:hint="eastAsia"/>
          <w:sz w:val="24"/>
          <w:szCs w:val="24"/>
        </w:rPr>
        <w:t>）计算。</w:t>
      </w:r>
      <w:bookmarkStart w:id="341" w:name="OLE_LINK22"/>
    </w:p>
    <w:tbl>
      <w:tblPr>
        <w:tblStyle w:val="aff"/>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352"/>
        <w:gridCol w:w="1176"/>
      </w:tblGrid>
      <w:tr w:rsidR="00ED5264">
        <w:trPr>
          <w:trHeight w:val="1020"/>
        </w:trPr>
        <w:tc>
          <w:tcPr>
            <w:tcW w:w="7352" w:type="dxa"/>
          </w:tcPr>
          <w:bookmarkEnd w:id="341"/>
          <w:p w:rsidR="00ED5264" w:rsidRDefault="00B65917">
            <w:pPr>
              <w:pStyle w:val="aff9"/>
              <w:spacing w:beforeLines="50" w:before="156" w:line="360" w:lineRule="auto"/>
            </w:pPr>
            <m:oMathPara>
              <m:oMathParaPr>
                <m:jc m:val="center"/>
              </m:oMathParaPr>
              <m:oMath>
                <m:sSub>
                  <m:sSubPr>
                    <m:ctrlPr>
                      <w:rPr>
                        <w:rFonts w:ascii="Cambria Math" w:hAnsi="Cambria Math"/>
                        <w:i/>
                      </w:rPr>
                    </m:ctrlPr>
                  </m:sSubPr>
                  <m:e>
                    <m:r>
                      <w:rPr>
                        <w:rFonts w:ascii="Cambria Math" w:hAnsi="Cambria Math"/>
                      </w:rPr>
                      <m:t>μ</m:t>
                    </m:r>
                  </m:e>
                  <m:sub>
                    <m:r>
                      <w:rPr>
                        <w:rFonts w:ascii="Cambria Math" w:hAnsi="Cambria Math"/>
                      </w:rPr>
                      <m:t>f</m:t>
                    </m:r>
                  </m:sub>
                </m:sSub>
                <m:r>
                  <w:rPr>
                    <w:rFonts w:ascii="Cambria Math" w:hAnsi="Cambria Math"/>
                  </w:rPr>
                  <m:t>=</m:t>
                </m:r>
                <m:f>
                  <m:fPr>
                    <m:ctrlPr>
                      <w:rPr>
                        <w:rFonts w:ascii="Cambria Math" w:hAnsi="Cambria Math"/>
                        <w:i/>
                      </w:rPr>
                    </m:ctrlPr>
                  </m:fPr>
                  <m:num>
                    <m:sSub>
                      <m:sSubPr>
                        <m:ctrlPr>
                          <w:rPr>
                            <w:rFonts w:ascii="Cambria Math" w:hAnsi="Cambria Math"/>
                            <w:i/>
                          </w:rPr>
                        </m:ctrlPr>
                      </m:sSubPr>
                      <m:e>
                        <m:r>
                          <w:rPr>
                            <w:rFonts w:ascii="Cambria Math" w:hAnsi="Cambria Math"/>
                          </w:rPr>
                          <m:t>α</m:t>
                        </m:r>
                      </m:e>
                      <m:sub>
                        <m:r>
                          <w:rPr>
                            <w:rFonts w:ascii="Cambria Math" w:hAnsi="Cambria Math"/>
                          </w:rPr>
                          <m:t>1</m:t>
                        </m:r>
                      </m:sub>
                    </m:sSub>
                    <m:sSub>
                      <m:sSubPr>
                        <m:ctrlPr>
                          <w:rPr>
                            <w:rFonts w:ascii="Cambria Math" w:hAnsi="Cambria Math"/>
                            <w:i/>
                          </w:rPr>
                        </m:ctrlPr>
                      </m:sSubPr>
                      <m:e>
                        <m:r>
                          <w:rPr>
                            <w:rFonts w:ascii="Cambria Math" w:hAnsi="Cambria Math"/>
                          </w:rPr>
                          <m:t>μ</m:t>
                        </m:r>
                      </m:e>
                      <m:sub>
                        <m:r>
                          <w:rPr>
                            <w:rFonts w:ascii="Cambria Math" w:hAnsi="Cambria Math"/>
                          </w:rPr>
                          <m:t>f</m:t>
                        </m:r>
                        <m:r>
                          <w:rPr>
                            <w:rFonts w:ascii="Cambria Math" w:hAnsi="Cambria Math"/>
                          </w:rPr>
                          <m:t>1</m:t>
                        </m:r>
                      </m:sub>
                    </m:sSub>
                    <m:d>
                      <m:dPr>
                        <m:begChr m:val="["/>
                        <m:endChr m:val="]"/>
                        <m:ctrlPr>
                          <w:rPr>
                            <w:rFonts w:ascii="Cambria Math" w:hAnsi="Cambria Math"/>
                            <w:i/>
                          </w:rPr>
                        </m:ctrlPr>
                      </m:dPr>
                      <m:e>
                        <m:r>
                          <w:rPr>
                            <w:rFonts w:ascii="Cambria Math" w:hAnsi="Cambria Math"/>
                          </w:rPr>
                          <m:t>100</m:t>
                        </m:r>
                        <m:r>
                          <w:rPr>
                            <w:rFonts w:ascii="Cambria Math" w:hAnsi="Cambria Math"/>
                          </w:rPr>
                          <m:t>-</m:t>
                        </m:r>
                        <m:sSub>
                          <m:sSubPr>
                            <m:ctrlPr>
                              <w:rPr>
                                <w:rFonts w:ascii="Cambria Math" w:hAnsi="Cambria Math"/>
                                <w:i/>
                              </w:rPr>
                            </m:ctrlPr>
                          </m:sSubPr>
                          <m:e>
                            <m:r>
                              <w:rPr>
                                <w:rFonts w:ascii="Cambria Math" w:hAnsi="Cambria Math"/>
                              </w:rPr>
                              <m:t>β</m:t>
                            </m:r>
                          </m:e>
                          <m:sub>
                            <m:r>
                              <w:rPr>
                                <w:rFonts w:ascii="Cambria Math" w:hAnsi="Cambria Math"/>
                              </w:rPr>
                              <m:t>1</m:t>
                            </m:r>
                          </m:sub>
                        </m:sSub>
                      </m:e>
                    </m:d>
                    <m:r>
                      <w:rPr>
                        <w:rFonts w:ascii="Cambria Math" w:hAnsi="Cambria Math"/>
                      </w:rPr>
                      <m:t>+</m:t>
                    </m:r>
                    <m:sSub>
                      <m:sSubPr>
                        <m:ctrlPr>
                          <w:rPr>
                            <w:rFonts w:ascii="Cambria Math" w:hAnsi="Cambria Math"/>
                            <w:i/>
                          </w:rPr>
                        </m:ctrlPr>
                      </m:sSubPr>
                      <m:e>
                        <m:r>
                          <w:rPr>
                            <w:rFonts w:ascii="Cambria Math" w:hAnsi="Cambria Math"/>
                          </w:rPr>
                          <m:t>α</m:t>
                        </m:r>
                      </m:e>
                      <m:sub>
                        <m:r>
                          <w:rPr>
                            <w:rFonts w:ascii="Cambria Math" w:hAnsi="Cambria Math"/>
                          </w:rPr>
                          <m:t>2</m:t>
                        </m:r>
                      </m:sub>
                    </m:sSub>
                    <m:sSub>
                      <m:sSubPr>
                        <m:ctrlPr>
                          <w:rPr>
                            <w:rFonts w:ascii="Cambria Math" w:hAnsi="Cambria Math"/>
                            <w:i/>
                          </w:rPr>
                        </m:ctrlPr>
                      </m:sSubPr>
                      <m:e>
                        <m:r>
                          <w:rPr>
                            <w:rFonts w:ascii="Cambria Math" w:hAnsi="Cambria Math"/>
                          </w:rPr>
                          <m:t>μ</m:t>
                        </m:r>
                      </m:e>
                      <m:sub>
                        <m:r>
                          <w:rPr>
                            <w:rFonts w:ascii="Cambria Math" w:hAnsi="Cambria Math"/>
                          </w:rPr>
                          <m:t>f</m:t>
                        </m:r>
                        <m:r>
                          <w:rPr>
                            <w:rFonts w:ascii="Cambria Math" w:hAnsi="Cambria Math"/>
                          </w:rPr>
                          <m:t>2</m:t>
                        </m:r>
                      </m:sub>
                    </m:sSub>
                    <m:d>
                      <m:dPr>
                        <m:begChr m:val="["/>
                        <m:endChr m:val="]"/>
                        <m:ctrlPr>
                          <w:rPr>
                            <w:rFonts w:ascii="Cambria Math" w:hAnsi="Cambria Math"/>
                            <w:i/>
                          </w:rPr>
                        </m:ctrlPr>
                      </m:dPr>
                      <m:e>
                        <m:r>
                          <w:rPr>
                            <w:rFonts w:ascii="Cambria Math" w:hAnsi="Cambria Math"/>
                          </w:rPr>
                          <m:t>100</m:t>
                        </m:r>
                        <m:r>
                          <w:rPr>
                            <w:rFonts w:ascii="Cambria Math" w:hAnsi="Cambria Math"/>
                          </w:rPr>
                          <m:t>-</m:t>
                        </m:r>
                        <m:sSub>
                          <m:sSubPr>
                            <m:ctrlPr>
                              <w:rPr>
                                <w:rFonts w:ascii="Cambria Math" w:hAnsi="Cambria Math"/>
                                <w:i/>
                              </w:rPr>
                            </m:ctrlPr>
                          </m:sSubPr>
                          <m:e>
                            <m:r>
                              <w:rPr>
                                <w:rFonts w:ascii="Cambria Math" w:hAnsi="Cambria Math"/>
                              </w:rPr>
                              <m:t>β</m:t>
                            </m:r>
                          </m:e>
                          <m:sub>
                            <m:r>
                              <w:rPr>
                                <w:rFonts w:ascii="Cambria Math" w:hAnsi="Cambria Math"/>
                              </w:rPr>
                              <m:t>2</m:t>
                            </m:r>
                          </m:sub>
                        </m:sSub>
                      </m:e>
                    </m:d>
                  </m:num>
                  <m:den>
                    <m:r>
                      <w:rPr>
                        <w:rFonts w:ascii="Cambria Math" w:hAnsi="Cambria Math"/>
                      </w:rPr>
                      <m:t>100</m:t>
                    </m:r>
                    <m:r>
                      <w:rPr>
                        <w:rFonts w:ascii="Cambria Math" w:hAnsi="Cambria Math"/>
                      </w:rPr>
                      <m:t>-</m:t>
                    </m:r>
                    <m:d>
                      <m:dPr>
                        <m:begChr m:val="["/>
                        <m:endChr m:val="]"/>
                        <m:ctrlPr>
                          <w:rPr>
                            <w:rFonts w:ascii="Cambria Math" w:hAnsi="Cambria Math"/>
                            <w:i/>
                          </w:rPr>
                        </m:ctrlPr>
                      </m:dPr>
                      <m:e>
                        <m:sSub>
                          <m:sSubPr>
                            <m:ctrlPr>
                              <w:rPr>
                                <w:rFonts w:ascii="Cambria Math" w:hAnsi="Cambria Math"/>
                                <w:i/>
                              </w:rPr>
                            </m:ctrlPr>
                          </m:sSubPr>
                          <m:e>
                            <m:r>
                              <w:rPr>
                                <w:rFonts w:ascii="Cambria Math" w:hAnsi="Cambria Math"/>
                              </w:rPr>
                              <m:t>α</m:t>
                            </m:r>
                          </m:e>
                          <m:sub>
                            <m:r>
                              <w:rPr>
                                <w:rFonts w:ascii="Cambria Math" w:hAnsi="Cambria Math"/>
                              </w:rPr>
                              <m:t>1</m:t>
                            </m:r>
                          </m:sub>
                        </m:sSub>
                        <m:sSub>
                          <m:sSubPr>
                            <m:ctrlPr>
                              <w:rPr>
                                <w:rFonts w:ascii="Cambria Math" w:hAnsi="Cambria Math"/>
                                <w:i/>
                              </w:rPr>
                            </m:ctrlPr>
                          </m:sSubPr>
                          <m:e>
                            <m:r>
                              <w:rPr>
                                <w:rFonts w:ascii="Cambria Math" w:hAnsi="Cambria Math"/>
                              </w:rPr>
                              <m:t>β</m:t>
                            </m:r>
                          </m:e>
                          <m:sub>
                            <m:r>
                              <w:rPr>
                                <w:rFonts w:ascii="Cambria Math" w:hAnsi="Cambria Math"/>
                              </w:rPr>
                              <m:t>1</m:t>
                            </m:r>
                          </m:sub>
                        </m:sSub>
                        <m:r>
                          <w:rPr>
                            <w:rFonts w:ascii="Cambria Math" w:hAnsi="Cambria Math"/>
                          </w:rPr>
                          <m:t>+</m:t>
                        </m:r>
                        <m:sSub>
                          <m:sSubPr>
                            <m:ctrlPr>
                              <w:rPr>
                                <w:rFonts w:ascii="Cambria Math" w:hAnsi="Cambria Math"/>
                                <w:i/>
                              </w:rPr>
                            </m:ctrlPr>
                          </m:sSubPr>
                          <m:e>
                            <m:r>
                              <w:rPr>
                                <w:rFonts w:ascii="Cambria Math" w:hAnsi="Cambria Math"/>
                              </w:rPr>
                              <m:t>α</m:t>
                            </m:r>
                          </m:e>
                          <m:sub>
                            <m:r>
                              <w:rPr>
                                <w:rFonts w:ascii="Cambria Math" w:hAnsi="Cambria Math"/>
                              </w:rPr>
                              <m:t>2</m:t>
                            </m:r>
                          </m:sub>
                        </m:sSub>
                        <m:sSub>
                          <m:sSubPr>
                            <m:ctrlPr>
                              <w:rPr>
                                <w:rFonts w:ascii="Cambria Math" w:hAnsi="Cambria Math"/>
                                <w:i/>
                              </w:rPr>
                            </m:ctrlPr>
                          </m:sSubPr>
                          <m:e>
                            <m:r>
                              <w:rPr>
                                <w:rFonts w:ascii="Cambria Math" w:hAnsi="Cambria Math"/>
                              </w:rPr>
                              <m:t>β</m:t>
                            </m:r>
                          </m:e>
                          <m:sub>
                            <m:r>
                              <w:rPr>
                                <w:rFonts w:ascii="Cambria Math" w:hAnsi="Cambria Math"/>
                              </w:rPr>
                              <m:t>2</m:t>
                            </m:r>
                          </m:sub>
                        </m:sSub>
                      </m:e>
                    </m:d>
                  </m:den>
                </m:f>
              </m:oMath>
            </m:oMathPara>
          </w:p>
        </w:tc>
        <w:tc>
          <w:tcPr>
            <w:tcW w:w="1176" w:type="dxa"/>
          </w:tcPr>
          <w:p w:rsidR="00ED5264" w:rsidRDefault="00B65917">
            <w:pPr>
              <w:pStyle w:val="aff9"/>
              <w:spacing w:beforeLines="50" w:before="156" w:line="360" w:lineRule="auto"/>
              <w:jc w:val="right"/>
            </w:pPr>
            <w:r>
              <w:t>（</w:t>
            </w:r>
            <w:r>
              <w:rPr>
                <w:rFonts w:hint="eastAsia"/>
              </w:rPr>
              <w:t>6.2.2</w:t>
            </w:r>
            <w:r>
              <w:t>）</w:t>
            </w:r>
          </w:p>
        </w:tc>
      </w:tr>
    </w:tbl>
    <w:p w:rsidR="00ED5264" w:rsidRDefault="00B65917">
      <w:pPr>
        <w:tabs>
          <w:tab w:val="left" w:pos="7920"/>
        </w:tabs>
        <w:spacing w:line="360" w:lineRule="auto"/>
        <w:rPr>
          <w:sz w:val="24"/>
          <w:szCs w:val="24"/>
        </w:rPr>
      </w:pPr>
      <w:bookmarkStart w:id="342" w:name="OLE_LINK24"/>
      <w:bookmarkStart w:id="343" w:name="_Toc514685644"/>
      <w:bookmarkStart w:id="344" w:name="_Toc243285228"/>
      <w:bookmarkStart w:id="345" w:name="_Toc23260845"/>
      <w:bookmarkStart w:id="346" w:name="_Toc15053058"/>
      <w:r>
        <w:rPr>
          <w:sz w:val="24"/>
          <w:szCs w:val="24"/>
        </w:rPr>
        <w:t>式中：</w:t>
      </w:r>
      <w:r>
        <w:rPr>
          <w:sz w:val="24"/>
          <w:szCs w:val="24"/>
        </w:rPr>
        <w:t xml:space="preserve"> </w:t>
      </w:r>
      <m:oMath>
        <m:sSub>
          <m:sSubPr>
            <m:ctrlPr>
              <w:rPr>
                <w:rFonts w:ascii="Cambria Math" w:hAnsi="Cambria Math"/>
                <w:i/>
              </w:rPr>
            </m:ctrlPr>
          </m:sSubPr>
          <m:e>
            <m:r>
              <w:rPr>
                <w:rFonts w:ascii="Cambria Math" w:hAnsi="Cambria Math"/>
              </w:rPr>
              <m:t>μ</m:t>
            </m:r>
          </m:e>
          <m:sub>
            <m:r>
              <w:rPr>
                <w:rFonts w:ascii="Cambria Math" w:hAnsi="Cambria Math"/>
              </w:rPr>
              <m:t>f</m:t>
            </m:r>
          </m:sub>
        </m:sSub>
      </m:oMath>
      <w:r>
        <w:t>——</w:t>
      </w:r>
      <w:r>
        <w:rPr>
          <w:rFonts w:hint="eastAsia"/>
          <w:sz w:val="24"/>
          <w:szCs w:val="24"/>
        </w:rPr>
        <w:t>混合砂的细度模数</w:t>
      </w:r>
      <w:r>
        <w:t>；</w:t>
      </w:r>
    </w:p>
    <w:p w:rsidR="00ED5264" w:rsidRDefault="00B65917">
      <w:pPr>
        <w:tabs>
          <w:tab w:val="left" w:pos="7920"/>
        </w:tabs>
        <w:spacing w:line="360" w:lineRule="auto"/>
        <w:ind w:firstLineChars="400" w:firstLine="840"/>
        <w:rPr>
          <w:sz w:val="24"/>
          <w:szCs w:val="24"/>
        </w:rPr>
      </w:pPr>
      <m:oMath>
        <m:sSub>
          <m:sSubPr>
            <m:ctrlPr>
              <w:rPr>
                <w:rFonts w:ascii="Cambria Math" w:hAnsi="Cambria Math"/>
                <w:i/>
              </w:rPr>
            </m:ctrlPr>
          </m:sSubPr>
          <m:e>
            <m:r>
              <w:rPr>
                <w:rFonts w:ascii="Cambria Math" w:hAnsi="Cambria Math"/>
              </w:rPr>
              <m:t>α</m:t>
            </m:r>
          </m:e>
          <m:sub>
            <m:r>
              <w:rPr>
                <w:rFonts w:ascii="Cambria Math" w:hAnsi="Cambria Math"/>
              </w:rPr>
              <m:t>1</m:t>
            </m:r>
          </m:sub>
        </m:sSub>
      </m:oMath>
      <w:r>
        <w:rPr>
          <w:rFonts w:hAnsi="Cambria Math" w:hint="eastAsia"/>
        </w:rPr>
        <w:t>、</w:t>
      </w:r>
      <m:oMath>
        <m:sSub>
          <m:sSubPr>
            <m:ctrlPr>
              <w:rPr>
                <w:rFonts w:ascii="Cambria Math" w:hAnsi="Cambria Math"/>
                <w:i/>
              </w:rPr>
            </m:ctrlPr>
          </m:sSubPr>
          <m:e>
            <m:r>
              <w:rPr>
                <w:rFonts w:ascii="Cambria Math" w:hAnsi="Cambria Math"/>
              </w:rPr>
              <m:t>α</m:t>
            </m:r>
          </m:e>
          <m:sub>
            <m:r>
              <w:rPr>
                <w:rFonts w:ascii="Cambria Math" w:hAnsi="Cambria Math"/>
              </w:rPr>
              <m:t>2</m:t>
            </m:r>
          </m:sub>
        </m:sSub>
      </m:oMath>
      <w:r>
        <w:rPr>
          <w:sz w:val="24"/>
          <w:szCs w:val="24"/>
        </w:rPr>
        <w:t>——</w:t>
      </w:r>
      <w:r>
        <w:rPr>
          <w:rFonts w:hint="eastAsia"/>
          <w:sz w:val="24"/>
          <w:szCs w:val="24"/>
        </w:rPr>
        <w:t>混合砂中机制砂、黄河超细砂所占比例</w:t>
      </w:r>
      <w:r>
        <w:rPr>
          <w:sz w:val="24"/>
          <w:szCs w:val="24"/>
        </w:rPr>
        <w:t>；</w:t>
      </w:r>
    </w:p>
    <w:p w:rsidR="00ED5264" w:rsidRDefault="00B65917">
      <w:pPr>
        <w:tabs>
          <w:tab w:val="left" w:pos="7920"/>
        </w:tabs>
        <w:spacing w:line="360" w:lineRule="auto"/>
        <w:ind w:leftChars="400" w:left="1320" w:hangingChars="200" w:hanging="480"/>
        <w:rPr>
          <w:b/>
        </w:rPr>
      </w:pPr>
      <m:oMath>
        <m:sSub>
          <m:sSubPr>
            <m:ctrlPr>
              <w:rPr>
                <w:rFonts w:ascii="Cambria Math" w:hAnsi="Cambria Math" w:cs="Cambria Math"/>
                <w:i/>
                <w:sz w:val="24"/>
              </w:rPr>
            </m:ctrlPr>
          </m:sSubPr>
          <m:e>
            <m:r>
              <w:rPr>
                <w:rFonts w:ascii="Cambria Math" w:hAnsi="Cambria Math" w:cs="Cambria Math"/>
                <w:sz w:val="24"/>
              </w:rPr>
              <m:t>μ</m:t>
            </m:r>
          </m:e>
          <m:sub>
            <m:r>
              <w:rPr>
                <w:rFonts w:ascii="Cambria Math" w:hAnsi="Cambria Math" w:cs="Cambria Math"/>
                <w:sz w:val="24"/>
              </w:rPr>
              <m:t>f</m:t>
            </m:r>
            <m:r>
              <w:rPr>
                <w:rFonts w:ascii="Cambria Math" w:hAnsi="Cambria Math" w:cs="Cambria Math"/>
                <w:sz w:val="24"/>
              </w:rPr>
              <m:t>1</m:t>
            </m:r>
          </m:sub>
        </m:sSub>
        <m:r>
          <w:rPr>
            <w:rFonts w:ascii="Cambria Math" w:hAnsi="Cambria Math" w:cs="Cambria Math" w:hint="eastAsia"/>
            <w:sz w:val="24"/>
          </w:rPr>
          <m:t>、</m:t>
        </m:r>
        <m:sSub>
          <m:sSubPr>
            <m:ctrlPr>
              <w:rPr>
                <w:rFonts w:ascii="Cambria Math" w:hAnsi="Cambria Math" w:cs="Cambria Math"/>
                <w:i/>
                <w:sz w:val="24"/>
              </w:rPr>
            </m:ctrlPr>
          </m:sSubPr>
          <m:e>
            <m:r>
              <w:rPr>
                <w:rFonts w:ascii="Cambria Math" w:hAnsi="Cambria Math" w:cs="Cambria Math"/>
                <w:sz w:val="24"/>
              </w:rPr>
              <m:t>μ</m:t>
            </m:r>
          </m:e>
          <m:sub>
            <m:r>
              <w:rPr>
                <w:rFonts w:ascii="Cambria Math" w:hAnsi="Cambria Math" w:cs="Cambria Math"/>
                <w:sz w:val="24"/>
              </w:rPr>
              <m:t>f</m:t>
            </m:r>
            <m:r>
              <w:rPr>
                <w:rFonts w:ascii="Cambria Math" w:hAnsi="Cambria Math" w:cs="Cambria Math"/>
                <w:sz w:val="24"/>
              </w:rPr>
              <m:t>2</m:t>
            </m:r>
          </m:sub>
        </m:sSub>
      </m:oMath>
      <w:r>
        <w:rPr>
          <w:sz w:val="24"/>
        </w:rPr>
        <w:t>——</w:t>
      </w:r>
      <w:r>
        <w:rPr>
          <w:rFonts w:hint="eastAsia"/>
          <w:sz w:val="24"/>
        </w:rPr>
        <w:t>机制砂、黄河超细砂的细度模数；</w:t>
      </w:r>
    </w:p>
    <w:bookmarkEnd w:id="342"/>
    <w:p w:rsidR="00ED5264" w:rsidRDefault="00B65917">
      <w:pPr>
        <w:tabs>
          <w:tab w:val="left" w:pos="7920"/>
        </w:tabs>
        <w:spacing w:line="360" w:lineRule="auto"/>
        <w:ind w:firstLineChars="400" w:firstLine="840"/>
        <w:rPr>
          <w:sz w:val="24"/>
          <w:szCs w:val="24"/>
        </w:rPr>
      </w:pPr>
      <m:oMath>
        <m:sSub>
          <m:sSubPr>
            <m:ctrlPr>
              <w:rPr>
                <w:rFonts w:ascii="Cambria Math" w:hAnsi="Cambria Math"/>
                <w:i/>
              </w:rPr>
            </m:ctrlPr>
          </m:sSubPr>
          <m:e>
            <m:r>
              <w:rPr>
                <w:rFonts w:ascii="Cambria Math" w:hAnsi="Cambria Math"/>
              </w:rPr>
              <m:t>β</m:t>
            </m:r>
          </m:e>
          <m:sub>
            <m:r>
              <w:rPr>
                <w:rFonts w:ascii="Cambria Math" w:hAnsi="Cambria Math"/>
              </w:rPr>
              <m:t>1</m:t>
            </m:r>
          </m:sub>
        </m:sSub>
      </m:oMath>
      <w:r>
        <w:rPr>
          <w:rFonts w:hAnsi="Cambria Math" w:hint="eastAsia"/>
        </w:rPr>
        <w:t>、</w:t>
      </w:r>
      <m:oMath>
        <m:sSub>
          <m:sSubPr>
            <m:ctrlPr>
              <w:rPr>
                <w:rFonts w:ascii="Cambria Math" w:hAnsi="Cambria Math"/>
                <w:i/>
              </w:rPr>
            </m:ctrlPr>
          </m:sSubPr>
          <m:e>
            <m:r>
              <w:rPr>
                <w:rFonts w:ascii="Cambria Math" w:hAnsi="Cambria Math"/>
              </w:rPr>
              <m:t>β</m:t>
            </m:r>
          </m:e>
          <m:sub>
            <m:r>
              <w:rPr>
                <w:rFonts w:ascii="Cambria Math" w:hAnsi="Cambria Math"/>
              </w:rPr>
              <m:t>2</m:t>
            </m:r>
          </m:sub>
        </m:sSub>
      </m:oMath>
      <w:r>
        <w:rPr>
          <w:sz w:val="24"/>
          <w:szCs w:val="24"/>
        </w:rPr>
        <w:t>——</w:t>
      </w:r>
      <w:r>
        <w:rPr>
          <w:rFonts w:hint="eastAsia"/>
          <w:sz w:val="24"/>
          <w:szCs w:val="24"/>
        </w:rPr>
        <w:t>机制砂、黄河超细砂筛分实验所得公称直径</w:t>
      </w:r>
      <w:r>
        <w:rPr>
          <w:rFonts w:hint="eastAsia"/>
          <w:sz w:val="24"/>
          <w:szCs w:val="24"/>
        </w:rPr>
        <w:t>5.0mm</w:t>
      </w:r>
      <w:r>
        <w:rPr>
          <w:rFonts w:hint="eastAsia"/>
          <w:sz w:val="24"/>
          <w:szCs w:val="24"/>
        </w:rPr>
        <w:t>筛的筛余百分数</w:t>
      </w:r>
      <w:r>
        <w:rPr>
          <w:rFonts w:hint="eastAsia"/>
          <w:sz w:val="24"/>
          <w:szCs w:val="24"/>
        </w:rPr>
        <w:t>。</w:t>
      </w:r>
    </w:p>
    <w:p w:rsidR="00ED5264" w:rsidRDefault="00B65917">
      <w:pPr>
        <w:spacing w:beforeLines="100" w:before="312" w:afterLines="100" w:after="312" w:line="300" w:lineRule="auto"/>
        <w:jc w:val="center"/>
        <w:outlineLvl w:val="1"/>
        <w:rPr>
          <w:b/>
          <w:bCs/>
          <w:sz w:val="24"/>
          <w:szCs w:val="24"/>
        </w:rPr>
      </w:pPr>
      <w:bookmarkStart w:id="347" w:name="_Toc16421"/>
      <w:bookmarkStart w:id="348" w:name="_Toc19355"/>
      <w:bookmarkStart w:id="349" w:name="_Toc3586"/>
      <w:bookmarkEnd w:id="343"/>
      <w:bookmarkEnd w:id="344"/>
      <w:bookmarkEnd w:id="345"/>
      <w:bookmarkEnd w:id="346"/>
      <w:r>
        <w:rPr>
          <w:b/>
          <w:bCs/>
          <w:sz w:val="24"/>
          <w:szCs w:val="24"/>
        </w:rPr>
        <w:t xml:space="preserve">6.3  </w:t>
      </w:r>
      <w:r>
        <w:rPr>
          <w:b/>
          <w:bCs/>
          <w:sz w:val="24"/>
          <w:szCs w:val="24"/>
        </w:rPr>
        <w:t>配合比设计参数选择</w:t>
      </w:r>
      <w:bookmarkEnd w:id="333"/>
      <w:bookmarkEnd w:id="334"/>
      <w:bookmarkEnd w:id="335"/>
      <w:bookmarkEnd w:id="336"/>
      <w:bookmarkEnd w:id="337"/>
      <w:bookmarkEnd w:id="338"/>
      <w:bookmarkEnd w:id="339"/>
      <w:bookmarkEnd w:id="340"/>
      <w:bookmarkEnd w:id="347"/>
      <w:bookmarkEnd w:id="348"/>
      <w:bookmarkEnd w:id="349"/>
    </w:p>
    <w:p w:rsidR="00ED5264" w:rsidRDefault="00B65917">
      <w:pPr>
        <w:pStyle w:val="af3"/>
        <w:spacing w:line="360" w:lineRule="auto"/>
        <w:rPr>
          <w:rFonts w:ascii="Times New Roman" w:hAnsi="Times New Roman"/>
          <w:sz w:val="24"/>
          <w:szCs w:val="24"/>
        </w:rPr>
      </w:pPr>
      <w:r>
        <w:rPr>
          <w:rFonts w:ascii="Times New Roman" w:hAnsi="Times New Roman"/>
          <w:b/>
          <w:sz w:val="24"/>
          <w:szCs w:val="24"/>
        </w:rPr>
        <w:t>6.3.1</w:t>
      </w:r>
      <w:r>
        <w:rPr>
          <w:rFonts w:ascii="Times New Roman" w:hAnsi="Times New Roman"/>
          <w:sz w:val="24"/>
          <w:szCs w:val="24"/>
        </w:rPr>
        <w:t xml:space="preserve">  </w:t>
      </w:r>
      <w:r>
        <w:rPr>
          <w:rFonts w:ascii="Times New Roman" w:hAnsi="Times New Roman" w:hint="eastAsia"/>
          <w:sz w:val="24"/>
          <w:szCs w:val="24"/>
        </w:rPr>
        <w:t>黄河超细砂</w:t>
      </w:r>
      <w:r>
        <w:rPr>
          <w:rFonts w:ascii="Times New Roman" w:hAnsi="Times New Roman"/>
          <w:sz w:val="24"/>
          <w:szCs w:val="24"/>
        </w:rPr>
        <w:t>混凝土</w:t>
      </w:r>
      <w:r>
        <w:rPr>
          <w:rFonts w:ascii="Times New Roman" w:hAnsi="Times New Roman" w:hint="eastAsia"/>
          <w:sz w:val="24"/>
          <w:szCs w:val="24"/>
        </w:rPr>
        <w:t>中</w:t>
      </w:r>
      <w:r>
        <w:rPr>
          <w:rFonts w:ascii="Times New Roman" w:hAnsi="Times New Roman" w:hint="eastAsia"/>
          <w:sz w:val="24"/>
          <w:szCs w:val="24"/>
        </w:rPr>
        <w:t>黄河超细砂占混合砂的比例和其他配合比参数</w:t>
      </w:r>
      <w:r>
        <w:rPr>
          <w:rFonts w:ascii="Times New Roman" w:hAnsi="Times New Roman"/>
          <w:sz w:val="24"/>
          <w:szCs w:val="24"/>
        </w:rPr>
        <w:t>可按表</w:t>
      </w:r>
      <w:r>
        <w:rPr>
          <w:rFonts w:ascii="Times New Roman" w:hAnsi="Times New Roman"/>
          <w:sz w:val="24"/>
          <w:szCs w:val="24"/>
        </w:rPr>
        <w:t>6.3.1</w:t>
      </w:r>
      <w:r>
        <w:rPr>
          <w:rFonts w:ascii="Times New Roman" w:hAnsi="Times New Roman"/>
          <w:sz w:val="24"/>
          <w:szCs w:val="24"/>
        </w:rPr>
        <w:t>选用。</w:t>
      </w:r>
    </w:p>
    <w:tbl>
      <w:tblPr>
        <w:tblW w:w="4998"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411"/>
        <w:gridCol w:w="2550"/>
        <w:gridCol w:w="2564"/>
      </w:tblGrid>
      <w:tr w:rsidR="00ED5264">
        <w:trPr>
          <w:trHeight w:val="918"/>
          <w:jc w:val="center"/>
        </w:trPr>
        <w:tc>
          <w:tcPr>
            <w:tcW w:w="2000" w:type="pct"/>
            <w:vAlign w:val="center"/>
          </w:tcPr>
          <w:p w:rsidR="00ED5264" w:rsidRDefault="00B65917">
            <w:pPr>
              <w:pStyle w:val="af3"/>
              <w:spacing w:line="360" w:lineRule="auto"/>
              <w:jc w:val="center"/>
              <w:rPr>
                <w:rFonts w:ascii="Times New Roman" w:hAnsi="Times New Roman"/>
              </w:rPr>
            </w:pPr>
            <w:r>
              <w:rPr>
                <w:rFonts w:ascii="Times New Roman" w:hAnsi="Times New Roman" w:hint="eastAsia"/>
              </w:rPr>
              <w:t>混凝土早期抗裂等级</w:t>
            </w:r>
          </w:p>
        </w:tc>
        <w:tc>
          <w:tcPr>
            <w:tcW w:w="1495" w:type="pct"/>
            <w:vAlign w:val="center"/>
          </w:tcPr>
          <w:p w:rsidR="00ED5264" w:rsidRDefault="00B65917">
            <w:pPr>
              <w:pStyle w:val="af3"/>
              <w:spacing w:line="360" w:lineRule="auto"/>
              <w:jc w:val="center"/>
              <w:rPr>
                <w:rFonts w:ascii="Times New Roman" w:hAnsi="Times New Roman"/>
                <w:kern w:val="0"/>
                <w:sz w:val="20"/>
                <w:szCs w:val="20"/>
              </w:rPr>
            </w:pPr>
            <w:r>
              <w:rPr>
                <w:rFonts w:ascii="Times New Roman" w:hAnsi="Times New Roman"/>
                <w:kern w:val="0"/>
                <w:sz w:val="20"/>
                <w:szCs w:val="20"/>
              </w:rPr>
              <w:t>黄河超细砂</w:t>
            </w:r>
          </w:p>
          <w:p w:rsidR="00ED5264" w:rsidRDefault="00B65917">
            <w:pPr>
              <w:pStyle w:val="af3"/>
              <w:spacing w:line="360" w:lineRule="auto"/>
              <w:jc w:val="center"/>
              <w:rPr>
                <w:rFonts w:ascii="Times New Roman" w:hAnsi="Times New Roman"/>
                <w:kern w:val="0"/>
                <w:sz w:val="20"/>
                <w:szCs w:val="20"/>
              </w:rPr>
            </w:pPr>
            <w:r>
              <w:rPr>
                <w:rFonts w:ascii="Times New Roman" w:hAnsi="Times New Roman"/>
                <w:kern w:val="0"/>
                <w:sz w:val="20"/>
                <w:szCs w:val="20"/>
              </w:rPr>
              <w:t>占混合砂的比例（</w:t>
            </w:r>
            <w:r>
              <w:rPr>
                <w:rFonts w:ascii="Times New Roman" w:hAnsi="Times New Roman"/>
                <w:kern w:val="0"/>
                <w:sz w:val="20"/>
                <w:szCs w:val="20"/>
              </w:rPr>
              <w:t>%</w:t>
            </w:r>
            <w:r>
              <w:rPr>
                <w:rFonts w:ascii="Times New Roman" w:hAnsi="Times New Roman"/>
                <w:kern w:val="0"/>
                <w:sz w:val="20"/>
                <w:szCs w:val="20"/>
              </w:rPr>
              <w:t>）</w:t>
            </w:r>
          </w:p>
        </w:tc>
        <w:tc>
          <w:tcPr>
            <w:tcW w:w="1504" w:type="pct"/>
            <w:vAlign w:val="center"/>
          </w:tcPr>
          <w:p w:rsidR="00ED5264" w:rsidRDefault="00B65917">
            <w:pPr>
              <w:pStyle w:val="af3"/>
              <w:spacing w:line="360" w:lineRule="auto"/>
              <w:jc w:val="center"/>
              <w:rPr>
                <w:rFonts w:ascii="Times New Roman" w:hAnsi="Times New Roman"/>
                <w:kern w:val="0"/>
                <w:sz w:val="20"/>
                <w:szCs w:val="20"/>
              </w:rPr>
            </w:pPr>
            <w:r>
              <w:rPr>
                <w:rFonts w:ascii="Times New Roman" w:hAnsi="Times New Roman" w:hint="eastAsia"/>
                <w:kern w:val="0"/>
                <w:sz w:val="20"/>
                <w:szCs w:val="20"/>
              </w:rPr>
              <w:t>其他配合比参数</w:t>
            </w:r>
          </w:p>
        </w:tc>
      </w:tr>
      <w:tr w:rsidR="00ED5264">
        <w:trPr>
          <w:jc w:val="center"/>
        </w:trPr>
        <w:tc>
          <w:tcPr>
            <w:tcW w:w="2000" w:type="pct"/>
            <w:vAlign w:val="center"/>
          </w:tcPr>
          <w:p w:rsidR="00ED5264" w:rsidRDefault="00B65917">
            <w:pPr>
              <w:pStyle w:val="af3"/>
              <w:spacing w:line="360" w:lineRule="auto"/>
              <w:jc w:val="center"/>
              <w:rPr>
                <w:rFonts w:ascii="Times New Roman" w:hAnsi="Times New Roman"/>
              </w:rPr>
            </w:pPr>
            <w:r>
              <w:rPr>
                <w:rFonts w:ascii="Times New Roman" w:hAnsi="Times New Roman" w:hint="eastAsia"/>
              </w:rPr>
              <w:t>L-</w:t>
            </w:r>
            <w:r>
              <w:rPr>
                <w:rFonts w:ascii="Times New Roman" w:hAnsi="Times New Roman"/>
              </w:rPr>
              <w:t>Ⅰ</w:t>
            </w:r>
            <w:r>
              <w:rPr>
                <w:rFonts w:ascii="Times New Roman" w:hAnsi="Times New Roman" w:hint="eastAsia"/>
              </w:rPr>
              <w:t>或者不做要求</w:t>
            </w:r>
          </w:p>
        </w:tc>
        <w:tc>
          <w:tcPr>
            <w:tcW w:w="1495" w:type="pct"/>
            <w:vAlign w:val="center"/>
          </w:tcPr>
          <w:p w:rsidR="00ED5264" w:rsidRDefault="00B65917">
            <w:pPr>
              <w:pStyle w:val="af3"/>
              <w:spacing w:line="360" w:lineRule="auto"/>
              <w:jc w:val="center"/>
              <w:rPr>
                <w:rFonts w:ascii="Times New Roman" w:hAnsi="Times New Roman"/>
              </w:rPr>
            </w:pPr>
            <w:r>
              <w:rPr>
                <w:rFonts w:ascii="Times New Roman" w:hAnsi="Times New Roman"/>
                <w:kern w:val="0"/>
                <w:sz w:val="20"/>
                <w:szCs w:val="20"/>
              </w:rPr>
              <w:t>≤</w:t>
            </w:r>
            <w:r>
              <w:rPr>
                <w:rFonts w:ascii="Times New Roman" w:hAnsi="Times New Roman"/>
                <w:kern w:val="0"/>
              </w:rPr>
              <w:t>25</w:t>
            </w:r>
          </w:p>
        </w:tc>
        <w:tc>
          <w:tcPr>
            <w:tcW w:w="1504" w:type="pct"/>
            <w:vAlign w:val="center"/>
          </w:tcPr>
          <w:p w:rsidR="00ED5264" w:rsidRDefault="00B65917">
            <w:pPr>
              <w:pStyle w:val="af3"/>
              <w:spacing w:line="360" w:lineRule="auto"/>
              <w:jc w:val="center"/>
              <w:rPr>
                <w:rFonts w:ascii="Times New Roman" w:hAnsi="Times New Roman"/>
                <w:kern w:val="0"/>
                <w:sz w:val="20"/>
                <w:szCs w:val="20"/>
              </w:rPr>
            </w:pPr>
            <w:r>
              <w:rPr>
                <w:rFonts w:ascii="Times New Roman" w:hAnsi="Times New Roman" w:hint="eastAsia"/>
                <w:kern w:val="0"/>
                <w:sz w:val="20"/>
                <w:szCs w:val="20"/>
              </w:rPr>
              <w:t>/</w:t>
            </w:r>
          </w:p>
        </w:tc>
      </w:tr>
      <w:tr w:rsidR="00ED5264">
        <w:trPr>
          <w:jc w:val="center"/>
        </w:trPr>
        <w:tc>
          <w:tcPr>
            <w:tcW w:w="2000" w:type="pct"/>
            <w:vAlign w:val="center"/>
          </w:tcPr>
          <w:p w:rsidR="00ED5264" w:rsidRDefault="00B65917">
            <w:pPr>
              <w:pStyle w:val="af3"/>
              <w:spacing w:line="360" w:lineRule="auto"/>
              <w:jc w:val="center"/>
              <w:rPr>
                <w:rFonts w:ascii="Times New Roman" w:hAnsi="Times New Roman"/>
              </w:rPr>
            </w:pPr>
            <w:r>
              <w:rPr>
                <w:rFonts w:ascii="Times New Roman" w:hAnsi="Times New Roman" w:hint="eastAsia"/>
              </w:rPr>
              <w:t>L-</w:t>
            </w:r>
            <w:r>
              <w:rPr>
                <w:rFonts w:ascii="Times New Roman" w:hAnsi="Times New Roman"/>
              </w:rPr>
              <w:t>Ⅱ</w:t>
            </w:r>
          </w:p>
        </w:tc>
        <w:tc>
          <w:tcPr>
            <w:tcW w:w="1495" w:type="pct"/>
            <w:vAlign w:val="center"/>
          </w:tcPr>
          <w:p w:rsidR="00ED5264" w:rsidRDefault="00B65917">
            <w:pPr>
              <w:pStyle w:val="af3"/>
              <w:spacing w:line="360" w:lineRule="auto"/>
              <w:jc w:val="center"/>
              <w:rPr>
                <w:rFonts w:ascii="Times New Roman" w:hAnsi="Times New Roman"/>
                <w:kern w:val="0"/>
                <w:sz w:val="20"/>
                <w:szCs w:val="20"/>
              </w:rPr>
            </w:pPr>
            <w:r>
              <w:rPr>
                <w:rFonts w:ascii="Times New Roman" w:hAnsi="Times New Roman"/>
                <w:kern w:val="0"/>
                <w:sz w:val="20"/>
                <w:szCs w:val="20"/>
              </w:rPr>
              <w:t>≤</w:t>
            </w:r>
            <w:r>
              <w:rPr>
                <w:rFonts w:ascii="Times New Roman" w:hAnsi="Times New Roman"/>
                <w:kern w:val="0"/>
              </w:rPr>
              <w:t>2</w:t>
            </w:r>
            <w:r>
              <w:rPr>
                <w:rFonts w:ascii="Times New Roman" w:hAnsi="Times New Roman" w:hint="eastAsia"/>
                <w:kern w:val="0"/>
              </w:rPr>
              <w:t>0</w:t>
            </w:r>
          </w:p>
        </w:tc>
        <w:tc>
          <w:tcPr>
            <w:tcW w:w="1504" w:type="pct"/>
            <w:vAlign w:val="center"/>
          </w:tcPr>
          <w:p w:rsidR="00ED5264" w:rsidRDefault="00B65917">
            <w:pPr>
              <w:pStyle w:val="af3"/>
              <w:spacing w:line="360" w:lineRule="auto"/>
              <w:jc w:val="center"/>
              <w:rPr>
                <w:rFonts w:ascii="Times New Roman" w:hAnsi="Times New Roman"/>
                <w:kern w:val="0"/>
                <w:sz w:val="20"/>
                <w:szCs w:val="20"/>
              </w:rPr>
            </w:pPr>
            <w:r>
              <w:rPr>
                <w:rFonts w:ascii="Times New Roman" w:hAnsi="Times New Roman" w:hint="eastAsia"/>
                <w:kern w:val="0"/>
                <w:sz w:val="20"/>
                <w:szCs w:val="20"/>
              </w:rPr>
              <w:t>/</w:t>
            </w:r>
          </w:p>
        </w:tc>
      </w:tr>
      <w:tr w:rsidR="00ED5264">
        <w:trPr>
          <w:jc w:val="center"/>
        </w:trPr>
        <w:tc>
          <w:tcPr>
            <w:tcW w:w="2000" w:type="pct"/>
            <w:vAlign w:val="center"/>
          </w:tcPr>
          <w:p w:rsidR="00ED5264" w:rsidRDefault="00B65917">
            <w:pPr>
              <w:pStyle w:val="af3"/>
              <w:spacing w:line="360" w:lineRule="auto"/>
              <w:jc w:val="center"/>
              <w:rPr>
                <w:rFonts w:ascii="Times New Roman" w:hAnsi="Times New Roman"/>
              </w:rPr>
            </w:pPr>
            <w:r>
              <w:rPr>
                <w:rFonts w:ascii="Times New Roman" w:hAnsi="Times New Roman" w:hint="eastAsia"/>
              </w:rPr>
              <w:t>L-</w:t>
            </w:r>
            <w:r>
              <w:rPr>
                <w:rFonts w:hAnsi="宋体" w:cs="宋体" w:hint="eastAsia"/>
              </w:rPr>
              <w:t>Ⅲ</w:t>
            </w:r>
          </w:p>
        </w:tc>
        <w:tc>
          <w:tcPr>
            <w:tcW w:w="1495" w:type="pct"/>
            <w:vAlign w:val="center"/>
          </w:tcPr>
          <w:p w:rsidR="00ED5264" w:rsidRDefault="00B65917">
            <w:pPr>
              <w:pStyle w:val="af3"/>
              <w:spacing w:line="360" w:lineRule="auto"/>
              <w:jc w:val="center"/>
              <w:rPr>
                <w:rFonts w:ascii="Times New Roman" w:hAnsi="Times New Roman"/>
                <w:kern w:val="0"/>
                <w:sz w:val="20"/>
                <w:szCs w:val="20"/>
              </w:rPr>
            </w:pPr>
            <w:r>
              <w:rPr>
                <w:rFonts w:ascii="Times New Roman" w:hAnsi="Times New Roman"/>
                <w:kern w:val="0"/>
                <w:sz w:val="20"/>
                <w:szCs w:val="20"/>
              </w:rPr>
              <w:t>≤</w:t>
            </w:r>
            <w:r>
              <w:rPr>
                <w:rFonts w:ascii="Times New Roman" w:hAnsi="Times New Roman" w:hint="eastAsia"/>
                <w:kern w:val="0"/>
              </w:rPr>
              <w:t>1</w:t>
            </w:r>
            <w:r>
              <w:rPr>
                <w:rFonts w:ascii="Times New Roman" w:hAnsi="Times New Roman"/>
                <w:kern w:val="0"/>
              </w:rPr>
              <w:t>5</w:t>
            </w:r>
          </w:p>
        </w:tc>
        <w:tc>
          <w:tcPr>
            <w:tcW w:w="1504" w:type="pct"/>
            <w:vAlign w:val="center"/>
          </w:tcPr>
          <w:p w:rsidR="00ED5264" w:rsidRDefault="00B65917">
            <w:pPr>
              <w:pStyle w:val="af3"/>
              <w:spacing w:line="360" w:lineRule="auto"/>
              <w:jc w:val="center"/>
              <w:rPr>
                <w:rFonts w:ascii="Times New Roman" w:hAnsi="Times New Roman"/>
                <w:kern w:val="0"/>
                <w:sz w:val="20"/>
                <w:szCs w:val="20"/>
              </w:rPr>
            </w:pPr>
            <w:r>
              <w:rPr>
                <w:rFonts w:ascii="Times New Roman" w:hAnsi="Times New Roman" w:hint="eastAsia"/>
                <w:kern w:val="0"/>
                <w:sz w:val="20"/>
                <w:szCs w:val="20"/>
              </w:rPr>
              <w:t>胶凝材料用量较常规配合比降低</w:t>
            </w:r>
            <w:r>
              <w:rPr>
                <w:rFonts w:ascii="Times New Roman" w:hAnsi="Times New Roman" w:hint="eastAsia"/>
                <w:kern w:val="0"/>
                <w:sz w:val="20"/>
                <w:szCs w:val="20"/>
              </w:rPr>
              <w:t>25kg/m</w:t>
            </w:r>
            <w:r>
              <w:rPr>
                <w:rFonts w:ascii="Times New Roman" w:hAnsi="Times New Roman" w:hint="eastAsia"/>
                <w:kern w:val="0"/>
                <w:sz w:val="20"/>
                <w:szCs w:val="20"/>
                <w:vertAlign w:val="superscript"/>
              </w:rPr>
              <w:t>3</w:t>
            </w:r>
            <w:r>
              <w:rPr>
                <w:rFonts w:ascii="Times New Roman" w:hAnsi="Times New Roman" w:hint="eastAsia"/>
                <w:kern w:val="0"/>
                <w:sz w:val="20"/>
                <w:szCs w:val="20"/>
              </w:rPr>
              <w:t>，水胶比不变</w:t>
            </w:r>
          </w:p>
        </w:tc>
      </w:tr>
      <w:tr w:rsidR="00ED5264">
        <w:trPr>
          <w:jc w:val="center"/>
        </w:trPr>
        <w:tc>
          <w:tcPr>
            <w:tcW w:w="2000" w:type="pct"/>
            <w:vAlign w:val="center"/>
          </w:tcPr>
          <w:p w:rsidR="00ED5264" w:rsidRDefault="00B65917" w:rsidP="00465A2A">
            <w:pPr>
              <w:pStyle w:val="af3"/>
              <w:spacing w:line="360" w:lineRule="auto"/>
              <w:jc w:val="center"/>
              <w:rPr>
                <w:rFonts w:ascii="Times New Roman" w:hAnsi="Times New Roman"/>
              </w:rPr>
            </w:pPr>
            <w:r>
              <w:rPr>
                <w:rFonts w:ascii="Times New Roman" w:hAnsi="Times New Roman" w:hint="eastAsia"/>
              </w:rPr>
              <w:t>L-</w:t>
            </w:r>
            <w:r>
              <w:rPr>
                <w:rFonts w:ascii="Times New Roman" w:hAnsi="Times New Roman"/>
              </w:rPr>
              <w:t>Ⅳ</w:t>
            </w:r>
            <w:r>
              <w:rPr>
                <w:rFonts w:ascii="Times New Roman" w:hAnsi="Times New Roman" w:hint="eastAsia"/>
              </w:rPr>
              <w:t>、</w:t>
            </w:r>
            <w:r>
              <w:rPr>
                <w:rFonts w:ascii="Times New Roman" w:hAnsi="Times New Roman" w:hint="eastAsia"/>
              </w:rPr>
              <w:t>L-</w:t>
            </w:r>
            <w:r>
              <w:rPr>
                <w:rFonts w:ascii="Times New Roman" w:hAnsi="Times New Roman" w:hint="eastAsia"/>
              </w:rPr>
              <w:fldChar w:fldCharType="begin"/>
            </w:r>
            <w:r>
              <w:rPr>
                <w:rFonts w:ascii="Times New Roman" w:hAnsi="Times New Roman" w:hint="eastAsia"/>
              </w:rPr>
              <w:instrText xml:space="preserve"> = 5 \* ROMAN \* MERGEFORMAT </w:instrText>
            </w:r>
            <w:r>
              <w:rPr>
                <w:rFonts w:ascii="Times New Roman" w:hAnsi="Times New Roman" w:hint="eastAsia"/>
              </w:rPr>
              <w:fldChar w:fldCharType="separate"/>
            </w:r>
            <w:r>
              <w:rPr>
                <w:rFonts w:ascii="Times New Roman" w:hAnsi="Times New Roman" w:hint="eastAsia"/>
              </w:rPr>
              <w:t>V</w:t>
            </w:r>
            <w:r>
              <w:rPr>
                <w:rFonts w:ascii="Times New Roman" w:hAnsi="Times New Roman" w:hint="eastAsia"/>
              </w:rPr>
              <w:fldChar w:fldCharType="end"/>
            </w:r>
            <w:r>
              <w:rPr>
                <w:rFonts w:ascii="Times New Roman" w:hAnsi="Times New Roman" w:hint="eastAsia"/>
                <w:position w:val="-10"/>
              </w:rPr>
              <w:object w:dxaOrig="1440" w:dyaOrig="340">
                <v:shape id="_x0000_i1026" type="#_x0000_t75" style="width:1in;height:17pt" o:ole="">
                  <v:imagedata r:id="rId20" o:title=""/>
                </v:shape>
                <o:OLEObject Type="Embed" ProgID="Equation.KSEE3" ShapeID="_x0000_i1026" DrawAspect="Content" ObjectID="_1822808620" r:id="rId21"/>
              </w:object>
            </w:r>
          </w:p>
        </w:tc>
        <w:tc>
          <w:tcPr>
            <w:tcW w:w="1495" w:type="pct"/>
            <w:vAlign w:val="center"/>
          </w:tcPr>
          <w:p w:rsidR="00ED5264" w:rsidRDefault="00B65917">
            <w:pPr>
              <w:pStyle w:val="af3"/>
              <w:spacing w:line="360" w:lineRule="auto"/>
              <w:jc w:val="center"/>
              <w:rPr>
                <w:rFonts w:ascii="Times New Roman" w:hAnsi="Times New Roman"/>
                <w:kern w:val="0"/>
                <w:sz w:val="20"/>
                <w:szCs w:val="20"/>
              </w:rPr>
            </w:pPr>
            <w:r>
              <w:rPr>
                <w:rFonts w:ascii="Times New Roman" w:hAnsi="Times New Roman"/>
                <w:kern w:val="0"/>
                <w:sz w:val="20"/>
                <w:szCs w:val="20"/>
              </w:rPr>
              <w:t>≤</w:t>
            </w:r>
            <w:r>
              <w:rPr>
                <w:rFonts w:ascii="Times New Roman" w:hAnsi="Times New Roman" w:hint="eastAsia"/>
                <w:kern w:val="0"/>
              </w:rPr>
              <w:t>10</w:t>
            </w:r>
          </w:p>
        </w:tc>
        <w:tc>
          <w:tcPr>
            <w:tcW w:w="1504" w:type="pct"/>
            <w:vAlign w:val="center"/>
          </w:tcPr>
          <w:p w:rsidR="00ED5264" w:rsidRDefault="00B65917">
            <w:pPr>
              <w:pStyle w:val="af3"/>
              <w:spacing w:line="360" w:lineRule="auto"/>
              <w:jc w:val="center"/>
              <w:rPr>
                <w:rFonts w:ascii="Times New Roman" w:hAnsi="Times New Roman"/>
                <w:kern w:val="0"/>
                <w:sz w:val="20"/>
                <w:szCs w:val="20"/>
              </w:rPr>
            </w:pPr>
            <w:r>
              <w:rPr>
                <w:rFonts w:ascii="Times New Roman" w:hAnsi="Times New Roman" w:hint="eastAsia"/>
                <w:kern w:val="0"/>
                <w:sz w:val="20"/>
                <w:szCs w:val="20"/>
              </w:rPr>
              <w:t>胶凝材料用量较常规配合比降低</w:t>
            </w:r>
            <w:r>
              <w:rPr>
                <w:rFonts w:ascii="Times New Roman" w:hAnsi="Times New Roman" w:hint="eastAsia"/>
                <w:kern w:val="0"/>
                <w:sz w:val="20"/>
                <w:szCs w:val="20"/>
              </w:rPr>
              <w:t>25kg/m</w:t>
            </w:r>
            <w:r>
              <w:rPr>
                <w:rFonts w:ascii="Times New Roman" w:hAnsi="Times New Roman" w:hint="eastAsia"/>
                <w:kern w:val="0"/>
                <w:sz w:val="20"/>
                <w:szCs w:val="20"/>
                <w:vertAlign w:val="superscript"/>
              </w:rPr>
              <w:t>3</w:t>
            </w:r>
            <w:r>
              <w:rPr>
                <w:rFonts w:ascii="Times New Roman" w:hAnsi="Times New Roman" w:hint="eastAsia"/>
                <w:kern w:val="0"/>
                <w:sz w:val="20"/>
                <w:szCs w:val="20"/>
              </w:rPr>
              <w:t>，水胶比不变，掺入功能型材料</w:t>
            </w:r>
          </w:p>
        </w:tc>
      </w:tr>
    </w:tbl>
    <w:p w:rsidR="00ED5264" w:rsidRDefault="00B65917">
      <w:pPr>
        <w:rPr>
          <w:sz w:val="18"/>
          <w:szCs w:val="18"/>
        </w:rPr>
      </w:pPr>
      <w:r>
        <w:rPr>
          <w:sz w:val="18"/>
          <w:szCs w:val="18"/>
        </w:rPr>
        <w:t>注：</w:t>
      </w:r>
      <w:r>
        <w:rPr>
          <w:rFonts w:hint="eastAsia"/>
          <w:sz w:val="18"/>
          <w:szCs w:val="18"/>
        </w:rPr>
        <w:t>1.</w:t>
      </w:r>
      <w:r>
        <w:rPr>
          <w:rFonts w:hint="eastAsia"/>
          <w:sz w:val="18"/>
          <w:szCs w:val="18"/>
        </w:rPr>
        <w:t>混凝土</w:t>
      </w:r>
      <w:r>
        <w:rPr>
          <w:rFonts w:hint="eastAsia"/>
          <w:sz w:val="18"/>
          <w:szCs w:val="18"/>
        </w:rPr>
        <w:t>抗裂</w:t>
      </w:r>
      <w:r>
        <w:rPr>
          <w:rFonts w:hint="eastAsia"/>
          <w:sz w:val="18"/>
          <w:szCs w:val="18"/>
        </w:rPr>
        <w:t>等级的选择应根据具体的工程要求</w:t>
      </w:r>
      <w:r>
        <w:rPr>
          <w:rFonts w:hint="eastAsia"/>
          <w:sz w:val="18"/>
          <w:szCs w:val="18"/>
        </w:rPr>
        <w:t>、</w:t>
      </w:r>
      <w:r>
        <w:rPr>
          <w:rFonts w:hint="eastAsia"/>
          <w:sz w:val="18"/>
          <w:szCs w:val="18"/>
        </w:rPr>
        <w:t>设计</w:t>
      </w:r>
      <w:r>
        <w:rPr>
          <w:rFonts w:hint="eastAsia"/>
          <w:sz w:val="18"/>
          <w:szCs w:val="18"/>
        </w:rPr>
        <w:t>文件以及相关标准</w:t>
      </w:r>
      <w:r>
        <w:rPr>
          <w:rFonts w:hint="eastAsia"/>
          <w:sz w:val="18"/>
          <w:szCs w:val="18"/>
        </w:rPr>
        <w:t>来确定</w:t>
      </w:r>
      <w:r>
        <w:rPr>
          <w:rFonts w:hint="eastAsia"/>
          <w:sz w:val="18"/>
          <w:szCs w:val="18"/>
        </w:rPr>
        <w:t>；</w:t>
      </w:r>
      <w:r>
        <w:rPr>
          <w:rFonts w:hint="eastAsia"/>
          <w:sz w:val="18"/>
          <w:szCs w:val="18"/>
        </w:rPr>
        <w:t>2.</w:t>
      </w:r>
      <w:r>
        <w:rPr>
          <w:rFonts w:hint="eastAsia"/>
          <w:sz w:val="18"/>
          <w:szCs w:val="18"/>
        </w:rPr>
        <w:t>常规配合比为未掺黄河砂混合砂的同强度等级的混凝土配合比；</w:t>
      </w:r>
      <w:r>
        <w:rPr>
          <w:rFonts w:hint="eastAsia"/>
          <w:sz w:val="18"/>
          <w:szCs w:val="18"/>
        </w:rPr>
        <w:t>3.</w:t>
      </w:r>
      <w:r>
        <w:rPr>
          <w:rFonts w:hint="eastAsia"/>
          <w:sz w:val="18"/>
          <w:szCs w:val="18"/>
        </w:rPr>
        <w:t>功能型材料包括但不限于减缩型聚羧酸系高性能减水剂、减缩剂</w:t>
      </w:r>
      <w:r>
        <w:rPr>
          <w:rFonts w:hint="eastAsia"/>
          <w:sz w:val="18"/>
          <w:szCs w:val="18"/>
        </w:rPr>
        <w:t>、</w:t>
      </w:r>
      <w:r>
        <w:rPr>
          <w:rFonts w:hint="eastAsia"/>
          <w:sz w:val="18"/>
          <w:szCs w:val="18"/>
        </w:rPr>
        <w:t>膨胀剂、抗裂剂和各类纤维等</w:t>
      </w:r>
      <w:r>
        <w:rPr>
          <w:rFonts w:hint="eastAsia"/>
          <w:sz w:val="18"/>
          <w:szCs w:val="18"/>
        </w:rPr>
        <w:t>。</w:t>
      </w:r>
    </w:p>
    <w:p w:rsidR="00ED5264" w:rsidRDefault="00B65917">
      <w:pPr>
        <w:pStyle w:val="af3"/>
        <w:spacing w:line="360" w:lineRule="auto"/>
        <w:rPr>
          <w:rFonts w:ascii="Times New Roman" w:hAnsi="Times New Roman"/>
          <w:sz w:val="24"/>
          <w:szCs w:val="24"/>
        </w:rPr>
      </w:pPr>
      <w:r>
        <w:rPr>
          <w:rFonts w:ascii="Times New Roman" w:hAnsi="Times New Roman"/>
          <w:b/>
          <w:sz w:val="24"/>
          <w:szCs w:val="24"/>
        </w:rPr>
        <w:t>6.3.</w:t>
      </w:r>
      <w:r>
        <w:rPr>
          <w:rFonts w:ascii="Times New Roman" w:hAnsi="Times New Roman" w:hint="eastAsia"/>
          <w:b/>
          <w:sz w:val="24"/>
          <w:szCs w:val="24"/>
        </w:rPr>
        <w:t>2</w:t>
      </w:r>
      <w:r>
        <w:rPr>
          <w:rFonts w:ascii="Times New Roman" w:hAnsi="Times New Roman"/>
          <w:sz w:val="24"/>
          <w:szCs w:val="24"/>
        </w:rPr>
        <w:t xml:space="preserve">  </w:t>
      </w:r>
      <w:r>
        <w:rPr>
          <w:rFonts w:ascii="Times New Roman" w:hAnsi="Times New Roman"/>
          <w:sz w:val="24"/>
          <w:szCs w:val="24"/>
        </w:rPr>
        <w:t>矿物掺合料的品种和掺量应经混凝土试配确定</w:t>
      </w:r>
      <w:r>
        <w:rPr>
          <w:rFonts w:ascii="Times New Roman" w:hAnsi="Times New Roman" w:hint="eastAsia"/>
          <w:sz w:val="24"/>
          <w:szCs w:val="24"/>
        </w:rPr>
        <w:t>，</w:t>
      </w:r>
      <w:r>
        <w:rPr>
          <w:rFonts w:ascii="Times New Roman" w:hAnsi="Times New Roman"/>
          <w:sz w:val="24"/>
          <w:szCs w:val="24"/>
        </w:rPr>
        <w:t>矿物掺合料的最大掺量应符合</w:t>
      </w:r>
      <w:r>
        <w:rPr>
          <w:rFonts w:ascii="Times New Roman" w:hAnsi="Times New Roman" w:hint="eastAsia"/>
          <w:sz w:val="24"/>
          <w:szCs w:val="24"/>
        </w:rPr>
        <w:t>现行国家</w:t>
      </w:r>
      <w:r>
        <w:rPr>
          <w:rFonts w:ascii="Times New Roman" w:hAnsi="Times New Roman"/>
          <w:sz w:val="24"/>
          <w:szCs w:val="24"/>
        </w:rPr>
        <w:t>标准《</w:t>
      </w:r>
      <w:r>
        <w:rPr>
          <w:rFonts w:ascii="Times New Roman" w:hAnsi="Times New Roman" w:hint="eastAsia"/>
          <w:sz w:val="24"/>
          <w:szCs w:val="24"/>
        </w:rPr>
        <w:t>高性能混凝土技术条件</w:t>
      </w:r>
      <w:r>
        <w:rPr>
          <w:rFonts w:ascii="Times New Roman" w:hAnsi="Times New Roman"/>
          <w:sz w:val="24"/>
          <w:szCs w:val="24"/>
        </w:rPr>
        <w:t>》</w:t>
      </w:r>
      <w:r>
        <w:rPr>
          <w:rFonts w:ascii="Times New Roman" w:hAnsi="Times New Roman"/>
          <w:sz w:val="24"/>
          <w:szCs w:val="24"/>
        </w:rPr>
        <w:t>GB/T 41054</w:t>
      </w:r>
      <w:r>
        <w:rPr>
          <w:rFonts w:ascii="Times New Roman" w:hAnsi="Times New Roman"/>
          <w:sz w:val="24"/>
          <w:szCs w:val="24"/>
        </w:rPr>
        <w:t>的规定。</w:t>
      </w:r>
    </w:p>
    <w:p w:rsidR="00ED5264" w:rsidRDefault="00B65917">
      <w:pPr>
        <w:topLinePunct/>
        <w:adjustRightInd w:val="0"/>
        <w:spacing w:before="156" w:line="360" w:lineRule="auto"/>
        <w:rPr>
          <w:sz w:val="24"/>
          <w:szCs w:val="24"/>
        </w:rPr>
      </w:pPr>
      <w:r>
        <w:rPr>
          <w:b/>
          <w:sz w:val="24"/>
          <w:szCs w:val="24"/>
        </w:rPr>
        <w:t>6.3.</w:t>
      </w:r>
      <w:r>
        <w:rPr>
          <w:rFonts w:hint="eastAsia"/>
          <w:b/>
          <w:sz w:val="24"/>
          <w:szCs w:val="24"/>
        </w:rPr>
        <w:t>3</w:t>
      </w:r>
      <w:r>
        <w:rPr>
          <w:sz w:val="24"/>
          <w:szCs w:val="24"/>
        </w:rPr>
        <w:t xml:space="preserve">  </w:t>
      </w:r>
      <w:r>
        <w:rPr>
          <w:rFonts w:hint="eastAsia"/>
          <w:sz w:val="24"/>
          <w:szCs w:val="24"/>
        </w:rPr>
        <w:t>黄河超细砂</w:t>
      </w:r>
      <w:r>
        <w:rPr>
          <w:sz w:val="24"/>
          <w:szCs w:val="24"/>
        </w:rPr>
        <w:t>混凝土的砂率应经试验确定。</w:t>
      </w:r>
    </w:p>
    <w:p w:rsidR="00465A2A" w:rsidRDefault="00B65917">
      <w:pPr>
        <w:topLinePunct/>
        <w:adjustRightInd w:val="0"/>
        <w:spacing w:before="156" w:line="360" w:lineRule="auto"/>
        <w:rPr>
          <w:sz w:val="24"/>
          <w:szCs w:val="24"/>
        </w:rPr>
        <w:sectPr w:rsidR="00465A2A">
          <w:pgSz w:w="11906" w:h="16838"/>
          <w:pgMar w:top="1440" w:right="1797" w:bottom="1440" w:left="1797" w:header="851" w:footer="992" w:gutter="0"/>
          <w:cols w:space="425"/>
          <w:docGrid w:type="lines" w:linePitch="312"/>
        </w:sectPr>
      </w:pPr>
      <w:r>
        <w:rPr>
          <w:b/>
          <w:sz w:val="24"/>
          <w:szCs w:val="24"/>
        </w:rPr>
        <w:t>6.3.</w:t>
      </w:r>
      <w:r>
        <w:rPr>
          <w:rFonts w:hint="eastAsia"/>
          <w:b/>
          <w:sz w:val="24"/>
          <w:szCs w:val="24"/>
        </w:rPr>
        <w:t>4</w:t>
      </w:r>
      <w:r>
        <w:rPr>
          <w:sz w:val="24"/>
          <w:szCs w:val="24"/>
        </w:rPr>
        <w:t xml:space="preserve">  </w:t>
      </w:r>
      <w:r>
        <w:rPr>
          <w:rFonts w:hint="eastAsia"/>
          <w:sz w:val="24"/>
          <w:szCs w:val="24"/>
        </w:rPr>
        <w:t>C50</w:t>
      </w:r>
      <w:r>
        <w:rPr>
          <w:rFonts w:hint="eastAsia"/>
          <w:sz w:val="24"/>
          <w:szCs w:val="24"/>
        </w:rPr>
        <w:t>、</w:t>
      </w:r>
      <w:r>
        <w:rPr>
          <w:rFonts w:hint="eastAsia"/>
          <w:sz w:val="24"/>
          <w:szCs w:val="24"/>
        </w:rPr>
        <w:t>C55</w:t>
      </w:r>
      <w:r>
        <w:rPr>
          <w:rFonts w:hint="eastAsia"/>
          <w:sz w:val="24"/>
          <w:szCs w:val="24"/>
        </w:rPr>
        <w:t>和</w:t>
      </w:r>
      <w:r>
        <w:rPr>
          <w:rFonts w:hint="eastAsia"/>
          <w:sz w:val="24"/>
          <w:szCs w:val="24"/>
        </w:rPr>
        <w:t>C60</w:t>
      </w:r>
      <w:r>
        <w:rPr>
          <w:rFonts w:hint="eastAsia"/>
          <w:sz w:val="24"/>
          <w:szCs w:val="24"/>
        </w:rPr>
        <w:t>混凝土用黄河超细砂比粒度不宜大于</w:t>
      </w:r>
      <w:r>
        <w:rPr>
          <w:rFonts w:hint="eastAsia"/>
          <w:sz w:val="24"/>
          <w:szCs w:val="24"/>
        </w:rPr>
        <w:t>2600</w:t>
      </w:r>
      <w:r>
        <w:rPr>
          <w:rFonts w:hint="eastAsia"/>
          <w:sz w:val="24"/>
          <w:szCs w:val="24"/>
        </w:rPr>
        <w:t>，黄河超细砂混合砂</w:t>
      </w:r>
      <w:r>
        <w:rPr>
          <w:sz w:val="24"/>
          <w:szCs w:val="24"/>
        </w:rPr>
        <w:t>的细度模数宜为</w:t>
      </w:r>
      <w:r>
        <w:rPr>
          <w:sz w:val="24"/>
          <w:szCs w:val="24"/>
        </w:rPr>
        <w:t>2.3~3.</w:t>
      </w:r>
      <w:r>
        <w:rPr>
          <w:rFonts w:hint="eastAsia"/>
          <w:sz w:val="24"/>
          <w:szCs w:val="24"/>
        </w:rPr>
        <w:t>0</w:t>
      </w:r>
      <w:r>
        <w:rPr>
          <w:rFonts w:hint="eastAsia"/>
          <w:sz w:val="24"/>
          <w:szCs w:val="24"/>
        </w:rPr>
        <w:t>。</w:t>
      </w:r>
    </w:p>
    <w:p w:rsidR="00ED5264" w:rsidRDefault="00B65917">
      <w:pPr>
        <w:pStyle w:val="aff4"/>
        <w:spacing w:before="312" w:after="312"/>
        <w:rPr>
          <w:rFonts w:eastAsia="黑体"/>
          <w:b w:val="0"/>
          <w:sz w:val="24"/>
          <w:szCs w:val="24"/>
        </w:rPr>
      </w:pPr>
      <w:bookmarkStart w:id="350" w:name="_Toc486247794"/>
      <w:bookmarkStart w:id="351" w:name="_Toc15053065"/>
      <w:bookmarkStart w:id="352" w:name="_Toc22910"/>
      <w:bookmarkStart w:id="353" w:name="_Toc23260852"/>
      <w:bookmarkStart w:id="354" w:name="_Toc514685651"/>
      <w:bookmarkStart w:id="355" w:name="_Toc509849538"/>
      <w:bookmarkStart w:id="356" w:name="_Toc6970"/>
      <w:bookmarkStart w:id="357" w:name="_Toc15510"/>
      <w:bookmarkStart w:id="358" w:name="_Toc203"/>
      <w:bookmarkStart w:id="359" w:name="_Toc472351364"/>
      <w:bookmarkStart w:id="360" w:name="_Toc32602"/>
      <w:r>
        <w:lastRenderedPageBreak/>
        <w:t xml:space="preserve">7  </w:t>
      </w:r>
      <w:r>
        <w:t>生产与施工</w:t>
      </w:r>
      <w:bookmarkEnd w:id="350"/>
      <w:bookmarkEnd w:id="351"/>
      <w:bookmarkEnd w:id="352"/>
      <w:bookmarkEnd w:id="353"/>
      <w:bookmarkEnd w:id="354"/>
      <w:bookmarkEnd w:id="355"/>
      <w:bookmarkEnd w:id="356"/>
      <w:bookmarkEnd w:id="357"/>
      <w:bookmarkEnd w:id="358"/>
      <w:bookmarkEnd w:id="359"/>
      <w:bookmarkEnd w:id="360"/>
    </w:p>
    <w:p w:rsidR="00ED5264" w:rsidRDefault="00B65917">
      <w:pPr>
        <w:spacing w:beforeLines="100" w:before="312" w:afterLines="100" w:after="312" w:line="300" w:lineRule="auto"/>
        <w:jc w:val="center"/>
        <w:outlineLvl w:val="1"/>
        <w:rPr>
          <w:b/>
          <w:bCs/>
          <w:sz w:val="24"/>
          <w:szCs w:val="24"/>
        </w:rPr>
      </w:pPr>
      <w:bookmarkStart w:id="361" w:name="_Toc7965"/>
      <w:bookmarkStart w:id="362" w:name="_Toc15053066"/>
      <w:bookmarkStart w:id="363" w:name="_Toc15697"/>
      <w:bookmarkStart w:id="364" w:name="_Toc486247795"/>
      <w:bookmarkStart w:id="365" w:name="_Toc28731"/>
      <w:bookmarkStart w:id="366" w:name="_Toc509849539"/>
      <w:bookmarkStart w:id="367" w:name="_Toc19433"/>
      <w:bookmarkStart w:id="368" w:name="_Toc514685652"/>
      <w:bookmarkStart w:id="369" w:name="_Toc23260853"/>
      <w:bookmarkStart w:id="370" w:name="_Toc472351365"/>
      <w:bookmarkStart w:id="371" w:name="_Toc488"/>
      <w:r>
        <w:rPr>
          <w:b/>
          <w:bCs/>
          <w:sz w:val="24"/>
          <w:szCs w:val="24"/>
        </w:rPr>
        <w:t xml:space="preserve">7.1  </w:t>
      </w:r>
      <w:r>
        <w:rPr>
          <w:b/>
          <w:bCs/>
          <w:sz w:val="24"/>
          <w:szCs w:val="24"/>
        </w:rPr>
        <w:t>一般规定</w:t>
      </w:r>
      <w:bookmarkEnd w:id="361"/>
      <w:bookmarkEnd w:id="362"/>
      <w:bookmarkEnd w:id="363"/>
      <w:bookmarkEnd w:id="364"/>
      <w:bookmarkEnd w:id="365"/>
      <w:bookmarkEnd w:id="366"/>
      <w:bookmarkEnd w:id="367"/>
      <w:bookmarkEnd w:id="368"/>
      <w:bookmarkEnd w:id="369"/>
      <w:bookmarkEnd w:id="370"/>
      <w:bookmarkEnd w:id="371"/>
    </w:p>
    <w:p w:rsidR="00ED5264" w:rsidRDefault="00B65917">
      <w:pPr>
        <w:spacing w:line="360" w:lineRule="auto"/>
        <w:rPr>
          <w:sz w:val="24"/>
          <w:szCs w:val="24"/>
        </w:rPr>
      </w:pPr>
      <w:r>
        <w:rPr>
          <w:b/>
          <w:bCs/>
          <w:sz w:val="24"/>
          <w:szCs w:val="24"/>
        </w:rPr>
        <w:t>7.1.1</w:t>
      </w:r>
      <w:r>
        <w:rPr>
          <w:sz w:val="24"/>
          <w:szCs w:val="24"/>
        </w:rPr>
        <w:t xml:space="preserve">  </w:t>
      </w:r>
      <w:r>
        <w:rPr>
          <w:rFonts w:hint="eastAsia"/>
          <w:sz w:val="24"/>
          <w:szCs w:val="24"/>
        </w:rPr>
        <w:t>黄河超细</w:t>
      </w:r>
      <w:r>
        <w:rPr>
          <w:rFonts w:hint="eastAsia"/>
          <w:sz w:val="24"/>
          <w:szCs w:val="24"/>
        </w:rPr>
        <w:t>砂混凝土生产</w:t>
      </w:r>
      <w:r>
        <w:rPr>
          <w:rFonts w:hint="eastAsia"/>
          <w:sz w:val="24"/>
          <w:szCs w:val="24"/>
        </w:rPr>
        <w:t>应</w:t>
      </w:r>
      <w:r>
        <w:rPr>
          <w:rFonts w:hint="eastAsia"/>
          <w:sz w:val="24"/>
          <w:szCs w:val="24"/>
        </w:rPr>
        <w:t>在集中搅拌站按现代预拌商品混凝土的一般生产模式进行</w:t>
      </w:r>
      <w:r>
        <w:rPr>
          <w:rFonts w:hint="eastAsia"/>
          <w:sz w:val="24"/>
          <w:szCs w:val="24"/>
        </w:rPr>
        <w:t>，所采用的的搅拌站（楼）应符合现行国家标准《混凝土搅拌站（楼）》</w:t>
      </w:r>
      <w:r>
        <w:rPr>
          <w:rFonts w:hint="eastAsia"/>
          <w:sz w:val="24"/>
          <w:szCs w:val="24"/>
        </w:rPr>
        <w:t>GB 10171</w:t>
      </w:r>
      <w:r>
        <w:rPr>
          <w:rFonts w:hint="eastAsia"/>
          <w:sz w:val="24"/>
          <w:szCs w:val="24"/>
        </w:rPr>
        <w:t>的规定。</w:t>
      </w:r>
    </w:p>
    <w:p w:rsidR="00ED5264" w:rsidRDefault="00B65917">
      <w:pPr>
        <w:spacing w:line="360" w:lineRule="auto"/>
        <w:rPr>
          <w:sz w:val="24"/>
          <w:szCs w:val="24"/>
        </w:rPr>
      </w:pPr>
      <w:r>
        <w:rPr>
          <w:b/>
          <w:bCs/>
          <w:sz w:val="24"/>
          <w:szCs w:val="24"/>
        </w:rPr>
        <w:t>7.1.2</w:t>
      </w:r>
      <w:r>
        <w:rPr>
          <w:sz w:val="24"/>
          <w:szCs w:val="24"/>
        </w:rPr>
        <w:t xml:space="preserve"> </w:t>
      </w:r>
      <w:r>
        <w:rPr>
          <w:rFonts w:hint="eastAsia"/>
          <w:sz w:val="24"/>
          <w:szCs w:val="24"/>
        </w:rPr>
        <w:t>混凝土生产施工应根据工程需求，编制经过批准的黄河超细砂混凝土生产施工专项方案。</w:t>
      </w:r>
    </w:p>
    <w:p w:rsidR="00ED5264" w:rsidRDefault="00B65917">
      <w:pPr>
        <w:pStyle w:val="af3"/>
        <w:spacing w:line="360" w:lineRule="auto"/>
        <w:rPr>
          <w:rFonts w:ascii="Times New Roman" w:hAnsi="Times New Roman"/>
          <w:sz w:val="24"/>
          <w:szCs w:val="24"/>
        </w:rPr>
      </w:pPr>
      <w:r>
        <w:rPr>
          <w:rFonts w:ascii="Times New Roman" w:hAnsi="Times New Roman"/>
          <w:b/>
          <w:bCs/>
          <w:sz w:val="24"/>
          <w:szCs w:val="24"/>
        </w:rPr>
        <w:t>7.1.</w:t>
      </w:r>
      <w:r>
        <w:rPr>
          <w:rFonts w:ascii="Times New Roman" w:hAnsi="Times New Roman" w:hint="eastAsia"/>
          <w:b/>
          <w:bCs/>
          <w:sz w:val="24"/>
          <w:szCs w:val="24"/>
        </w:rPr>
        <w:t>3</w:t>
      </w:r>
      <w:r>
        <w:rPr>
          <w:rFonts w:ascii="Times New Roman" w:hAnsi="Times New Roman"/>
          <w:sz w:val="24"/>
          <w:szCs w:val="24"/>
        </w:rPr>
        <w:t xml:space="preserve">  </w:t>
      </w:r>
      <w:r>
        <w:rPr>
          <w:rFonts w:hint="eastAsia"/>
          <w:sz w:val="24"/>
          <w:szCs w:val="24"/>
        </w:rPr>
        <w:t>黄河超细砂混凝土的生产施工执行的标准应相互协调。生产施工除应符合本标准的规定外，尚应符合现行国家标准《混凝土质量控制标准》</w:t>
      </w:r>
      <w:r>
        <w:rPr>
          <w:rFonts w:hint="eastAsia"/>
          <w:sz w:val="24"/>
          <w:szCs w:val="24"/>
        </w:rPr>
        <w:t>GB 50164</w:t>
      </w:r>
      <w:r>
        <w:rPr>
          <w:rFonts w:hint="eastAsia"/>
          <w:sz w:val="24"/>
          <w:szCs w:val="24"/>
        </w:rPr>
        <w:t>和《混凝土结构工程施工规范》</w:t>
      </w:r>
      <w:r>
        <w:rPr>
          <w:rFonts w:hint="eastAsia"/>
          <w:sz w:val="24"/>
          <w:szCs w:val="24"/>
        </w:rPr>
        <w:t>GB 50666</w:t>
      </w:r>
      <w:r>
        <w:rPr>
          <w:rFonts w:hint="eastAsia"/>
          <w:sz w:val="24"/>
          <w:szCs w:val="24"/>
        </w:rPr>
        <w:t>等的有关规定。</w:t>
      </w:r>
    </w:p>
    <w:p w:rsidR="00ED5264" w:rsidRDefault="00B65917">
      <w:pPr>
        <w:spacing w:beforeLines="100" w:before="312" w:afterLines="100" w:after="312" w:line="300" w:lineRule="auto"/>
        <w:jc w:val="center"/>
        <w:outlineLvl w:val="1"/>
        <w:rPr>
          <w:b/>
          <w:bCs/>
          <w:sz w:val="24"/>
          <w:szCs w:val="24"/>
        </w:rPr>
      </w:pPr>
      <w:bookmarkStart w:id="372" w:name="_Toc15053067"/>
      <w:bookmarkStart w:id="373" w:name="_Toc28022"/>
      <w:bookmarkStart w:id="374" w:name="_Toc472351366"/>
      <w:bookmarkStart w:id="375" w:name="_Toc3102"/>
      <w:bookmarkStart w:id="376" w:name="_Toc2961"/>
      <w:bookmarkStart w:id="377" w:name="_Toc509849540"/>
      <w:bookmarkStart w:id="378" w:name="_Toc23260854"/>
      <w:bookmarkStart w:id="379" w:name="_Toc1150"/>
      <w:bookmarkStart w:id="380" w:name="_Toc514685653"/>
      <w:bookmarkStart w:id="381" w:name="_Toc8875"/>
      <w:bookmarkStart w:id="382" w:name="_Toc486247796"/>
      <w:r>
        <w:rPr>
          <w:b/>
          <w:bCs/>
          <w:sz w:val="24"/>
          <w:szCs w:val="24"/>
        </w:rPr>
        <w:t xml:space="preserve">7.2  </w:t>
      </w:r>
      <w:r>
        <w:rPr>
          <w:b/>
          <w:bCs/>
          <w:sz w:val="24"/>
          <w:szCs w:val="24"/>
        </w:rPr>
        <w:t>原材料进场</w:t>
      </w:r>
      <w:bookmarkEnd w:id="372"/>
      <w:bookmarkEnd w:id="373"/>
      <w:bookmarkEnd w:id="374"/>
      <w:bookmarkEnd w:id="375"/>
      <w:bookmarkEnd w:id="376"/>
      <w:bookmarkEnd w:id="377"/>
      <w:bookmarkEnd w:id="378"/>
      <w:bookmarkEnd w:id="379"/>
      <w:bookmarkEnd w:id="380"/>
      <w:bookmarkEnd w:id="381"/>
      <w:bookmarkEnd w:id="382"/>
    </w:p>
    <w:p w:rsidR="00ED5264" w:rsidRDefault="00B65917">
      <w:pPr>
        <w:pStyle w:val="af3"/>
        <w:spacing w:beforeLines="50" w:before="156" w:line="360" w:lineRule="auto"/>
        <w:rPr>
          <w:rFonts w:ascii="Times New Roman" w:hAnsi="Times New Roman"/>
          <w:sz w:val="24"/>
          <w:szCs w:val="24"/>
        </w:rPr>
      </w:pPr>
      <w:r>
        <w:rPr>
          <w:rFonts w:ascii="Times New Roman" w:hAnsi="Times New Roman"/>
          <w:b/>
          <w:bCs/>
          <w:sz w:val="24"/>
          <w:szCs w:val="24"/>
        </w:rPr>
        <w:t>7.2.1</w:t>
      </w:r>
      <w:r>
        <w:rPr>
          <w:rFonts w:ascii="Times New Roman" w:hAnsi="Times New Roman"/>
          <w:sz w:val="24"/>
          <w:szCs w:val="24"/>
        </w:rPr>
        <w:t xml:space="preserve">  </w:t>
      </w:r>
      <w:r>
        <w:rPr>
          <w:rFonts w:ascii="Times New Roman" w:hAnsi="Times New Roman"/>
          <w:sz w:val="24"/>
          <w:szCs w:val="24"/>
        </w:rPr>
        <w:t>原材料的进场、检验、运输及贮存应符合现行国家标准《混凝土质量控制标准》</w:t>
      </w:r>
      <w:r>
        <w:rPr>
          <w:rFonts w:ascii="Times New Roman" w:hAnsi="Times New Roman"/>
          <w:sz w:val="24"/>
          <w:szCs w:val="24"/>
        </w:rPr>
        <w:t>GB 50164</w:t>
      </w:r>
      <w:r>
        <w:rPr>
          <w:rFonts w:ascii="Times New Roman" w:hAnsi="Times New Roman"/>
          <w:sz w:val="24"/>
          <w:szCs w:val="24"/>
        </w:rPr>
        <w:t>和《混凝土结构工程施工规范》</w:t>
      </w:r>
      <w:r>
        <w:rPr>
          <w:rFonts w:ascii="Times New Roman" w:hAnsi="Times New Roman"/>
          <w:sz w:val="24"/>
          <w:szCs w:val="24"/>
        </w:rPr>
        <w:t>GB 50666</w:t>
      </w:r>
      <w:r>
        <w:rPr>
          <w:rFonts w:ascii="Times New Roman" w:hAnsi="Times New Roman"/>
          <w:sz w:val="24"/>
          <w:szCs w:val="24"/>
        </w:rPr>
        <w:t>的规定。</w:t>
      </w:r>
    </w:p>
    <w:p w:rsidR="00ED5264" w:rsidRDefault="00B65917">
      <w:pPr>
        <w:pStyle w:val="aff9"/>
        <w:spacing w:line="360" w:lineRule="auto"/>
      </w:pPr>
      <w:bookmarkStart w:id="383" w:name="OLE_LINK28"/>
      <w:r>
        <w:rPr>
          <w:rFonts w:hint="eastAsia"/>
          <w:b/>
        </w:rPr>
        <w:t>7</w:t>
      </w:r>
      <w:r>
        <w:rPr>
          <w:b/>
        </w:rPr>
        <w:t>.</w:t>
      </w:r>
      <w:r>
        <w:rPr>
          <w:rFonts w:hint="eastAsia"/>
          <w:b/>
        </w:rPr>
        <w:t>2</w:t>
      </w:r>
      <w:r>
        <w:rPr>
          <w:b/>
        </w:rPr>
        <w:t>.</w:t>
      </w:r>
      <w:r>
        <w:rPr>
          <w:rFonts w:hint="eastAsia"/>
          <w:b/>
        </w:rPr>
        <w:t>2</w:t>
      </w:r>
      <w:r>
        <w:t xml:space="preserve">  </w:t>
      </w:r>
      <w:r>
        <w:rPr>
          <w:rFonts w:hint="eastAsia"/>
        </w:rPr>
        <w:t>黄河超细砂</w:t>
      </w:r>
      <w:r>
        <w:rPr>
          <w:rFonts w:hint="eastAsia"/>
        </w:rPr>
        <w:t>及其</w:t>
      </w:r>
      <w:r>
        <w:rPr>
          <w:rFonts w:hint="eastAsia"/>
        </w:rPr>
        <w:t>混合砂</w:t>
      </w:r>
      <w:r>
        <w:rPr>
          <w:rFonts w:hint="eastAsia"/>
        </w:rPr>
        <w:t>进场</w:t>
      </w:r>
      <w:r>
        <w:rPr>
          <w:rFonts w:hint="eastAsia"/>
        </w:rPr>
        <w:t>应</w:t>
      </w:r>
      <w:r>
        <w:rPr>
          <w:rFonts w:hint="eastAsia"/>
        </w:rPr>
        <w:t>由供应商提供出厂检验报告</w:t>
      </w:r>
      <w:r>
        <w:rPr>
          <w:rFonts w:hint="eastAsia"/>
        </w:rPr>
        <w:t>、合格证</w:t>
      </w:r>
      <w:r>
        <w:rPr>
          <w:rFonts w:hint="eastAsia"/>
        </w:rPr>
        <w:t>等质量证明文件</w:t>
      </w:r>
      <w:r>
        <w:t>。</w:t>
      </w:r>
    </w:p>
    <w:bookmarkEnd w:id="383"/>
    <w:p w:rsidR="00ED5264" w:rsidRDefault="00B65917">
      <w:pPr>
        <w:pStyle w:val="aff9"/>
        <w:spacing w:line="360" w:lineRule="auto"/>
      </w:pPr>
      <w:r>
        <w:rPr>
          <w:rFonts w:hint="eastAsia"/>
          <w:b/>
        </w:rPr>
        <w:t>7</w:t>
      </w:r>
      <w:r>
        <w:rPr>
          <w:b/>
        </w:rPr>
        <w:t>.</w:t>
      </w:r>
      <w:r>
        <w:rPr>
          <w:rFonts w:hint="eastAsia"/>
          <w:b/>
        </w:rPr>
        <w:t>2</w:t>
      </w:r>
      <w:r>
        <w:rPr>
          <w:b/>
        </w:rPr>
        <w:t>.</w:t>
      </w:r>
      <w:r>
        <w:rPr>
          <w:rFonts w:hint="eastAsia"/>
          <w:b/>
        </w:rPr>
        <w:t>3</w:t>
      </w:r>
      <w:r>
        <w:t xml:space="preserve">  </w:t>
      </w:r>
      <w:r>
        <w:rPr>
          <w:rFonts w:hint="eastAsia"/>
        </w:rPr>
        <w:t>进厂黄河超细砂混合砂由使用单位分批抽样检验检验，检验项目与检验批量按合同约定，当合同未约定时，应符合以下规定：</w:t>
      </w:r>
    </w:p>
    <w:p w:rsidR="00ED5264" w:rsidRDefault="00B65917">
      <w:pPr>
        <w:pStyle w:val="aff9"/>
        <w:spacing w:line="360" w:lineRule="auto"/>
        <w:ind w:firstLineChars="200" w:firstLine="482"/>
        <w:rPr>
          <w:b/>
          <w:bCs/>
        </w:rPr>
      </w:pPr>
      <w:r>
        <w:rPr>
          <w:rFonts w:hint="eastAsia"/>
          <w:b/>
          <w:bCs/>
        </w:rPr>
        <w:t xml:space="preserve">1  </w:t>
      </w:r>
      <w:r>
        <w:rPr>
          <w:rFonts w:hint="eastAsia"/>
        </w:rPr>
        <w:t>黄河超细砂</w:t>
      </w:r>
      <w:r>
        <w:rPr>
          <w:rFonts w:hint="eastAsia"/>
        </w:rPr>
        <w:t>检验项目的内容包括</w:t>
      </w:r>
      <w:r>
        <w:rPr>
          <w:rFonts w:hint="eastAsia"/>
        </w:rPr>
        <w:t>亚甲蓝值</w:t>
      </w:r>
      <w:r>
        <w:rPr>
          <w:rFonts w:hint="eastAsia"/>
        </w:rPr>
        <w:t>（</w:t>
      </w:r>
      <w:r>
        <w:rPr>
          <w:rFonts w:hint="eastAsia"/>
        </w:rPr>
        <w:t>MB</w:t>
      </w:r>
      <w:r>
        <w:rPr>
          <w:rFonts w:hint="eastAsia"/>
        </w:rPr>
        <w:t>）</w:t>
      </w:r>
      <w:r>
        <w:rPr>
          <w:rFonts w:hint="eastAsia"/>
        </w:rPr>
        <w:t>、</w:t>
      </w:r>
      <w:r>
        <w:rPr>
          <w:rFonts w:hint="eastAsia"/>
        </w:rPr>
        <w:t>泥块含量、</w:t>
      </w:r>
      <w:r>
        <w:rPr>
          <w:rFonts w:hint="eastAsia"/>
        </w:rPr>
        <w:t>颗粒级配</w:t>
      </w:r>
      <w:r>
        <w:rPr>
          <w:rFonts w:hint="eastAsia"/>
        </w:rPr>
        <w:t>和比粒度。</w:t>
      </w:r>
    </w:p>
    <w:p w:rsidR="00ED5264" w:rsidRDefault="00B65917">
      <w:pPr>
        <w:pStyle w:val="aff9"/>
        <w:spacing w:line="360" w:lineRule="auto"/>
        <w:ind w:firstLineChars="200" w:firstLine="482"/>
      </w:pPr>
      <w:r>
        <w:rPr>
          <w:rFonts w:hint="eastAsia"/>
          <w:b/>
          <w:bCs/>
        </w:rPr>
        <w:t>2</w:t>
      </w:r>
      <w:r>
        <w:rPr>
          <w:bCs/>
        </w:rPr>
        <w:t xml:space="preserve">  </w:t>
      </w:r>
      <w:r>
        <w:rPr>
          <w:rFonts w:hint="eastAsia"/>
        </w:rPr>
        <w:t>黄河超细砂混合砂检验项目的内容包括细度模数、</w:t>
      </w:r>
      <w:r>
        <w:rPr>
          <w:rFonts w:hint="eastAsia"/>
        </w:rPr>
        <w:t>亚甲蓝值</w:t>
      </w:r>
      <w:r>
        <w:rPr>
          <w:rFonts w:hint="eastAsia"/>
        </w:rPr>
        <w:t>（</w:t>
      </w:r>
      <w:r>
        <w:rPr>
          <w:rFonts w:hint="eastAsia"/>
        </w:rPr>
        <w:t>MB</w:t>
      </w:r>
      <w:r>
        <w:rPr>
          <w:rFonts w:hint="eastAsia"/>
        </w:rPr>
        <w:t>）</w:t>
      </w:r>
      <w:r>
        <w:rPr>
          <w:rFonts w:hint="eastAsia"/>
        </w:rPr>
        <w:t>、颗粒级配</w:t>
      </w:r>
      <w:r>
        <w:rPr>
          <w:rFonts w:hint="eastAsia"/>
        </w:rPr>
        <w:t>，需要时还包括表观密度、氯离子含量、有害物质含量、碱活性实验结果。</w:t>
      </w:r>
    </w:p>
    <w:p w:rsidR="00ED5264" w:rsidRDefault="00B65917">
      <w:pPr>
        <w:pStyle w:val="aff9"/>
        <w:spacing w:line="360" w:lineRule="auto"/>
        <w:ind w:firstLineChars="200" w:firstLine="482"/>
      </w:pPr>
      <w:r>
        <w:rPr>
          <w:rFonts w:hint="eastAsia"/>
          <w:b/>
          <w:bCs/>
        </w:rPr>
        <w:t>3</w:t>
      </w:r>
      <w:r>
        <w:t xml:space="preserve">  </w:t>
      </w:r>
      <w:r>
        <w:rPr>
          <w:rFonts w:hint="eastAsia"/>
        </w:rPr>
        <w:t>黄河超细砂</w:t>
      </w:r>
      <w:r>
        <w:rPr>
          <w:rFonts w:hint="eastAsia"/>
        </w:rPr>
        <w:t>按照每</w:t>
      </w:r>
      <w:r>
        <w:rPr>
          <w:rFonts w:hint="eastAsia"/>
        </w:rPr>
        <w:t>2</w:t>
      </w:r>
      <w:r>
        <w:rPr>
          <w:rFonts w:hint="eastAsia"/>
        </w:rPr>
        <w:t>00</w:t>
      </w:r>
      <w:bookmarkStart w:id="384" w:name="OLE_LINK1"/>
      <w:r>
        <w:rPr>
          <w:rFonts w:hint="eastAsia"/>
        </w:rPr>
        <w:t>m</w:t>
      </w:r>
      <w:r>
        <w:rPr>
          <w:rFonts w:hint="eastAsia"/>
          <w:vertAlign w:val="superscript"/>
        </w:rPr>
        <w:t>3</w:t>
      </w:r>
      <w:bookmarkEnd w:id="384"/>
      <w:r>
        <w:rPr>
          <w:rFonts w:hint="eastAsia"/>
        </w:rPr>
        <w:t>为一个检验批，</w:t>
      </w:r>
      <w:r>
        <w:rPr>
          <w:rFonts w:hint="eastAsia"/>
        </w:rPr>
        <w:t>混合砂按每</w:t>
      </w:r>
      <w:r>
        <w:rPr>
          <w:rFonts w:hint="eastAsia"/>
        </w:rPr>
        <w:t>600m</w:t>
      </w:r>
      <w:r>
        <w:rPr>
          <w:rFonts w:hint="eastAsia"/>
          <w:vertAlign w:val="superscript"/>
        </w:rPr>
        <w:t>3</w:t>
      </w:r>
      <w:r>
        <w:rPr>
          <w:rFonts w:hint="eastAsia"/>
        </w:rPr>
        <w:t>为一个检验批，不足一个检验批的也视为一个检验批；当其质量比较稳定，进料量又较大时，可以</w:t>
      </w:r>
      <w:r>
        <w:rPr>
          <w:rFonts w:hint="eastAsia"/>
        </w:rPr>
        <w:t>1000t</w:t>
      </w:r>
      <w:r>
        <w:rPr>
          <w:rFonts w:hint="eastAsia"/>
        </w:rPr>
        <w:t>为一检验批。</w:t>
      </w:r>
    </w:p>
    <w:p w:rsidR="00ED5264" w:rsidRDefault="00B65917">
      <w:pPr>
        <w:spacing w:line="360" w:lineRule="auto"/>
        <w:rPr>
          <w:sz w:val="24"/>
          <w:szCs w:val="24"/>
        </w:rPr>
      </w:pPr>
      <w:r>
        <w:rPr>
          <w:b/>
          <w:bCs/>
          <w:sz w:val="24"/>
          <w:szCs w:val="24"/>
        </w:rPr>
        <w:t>7.2.</w:t>
      </w:r>
      <w:r>
        <w:rPr>
          <w:rFonts w:hint="eastAsia"/>
          <w:b/>
          <w:bCs/>
          <w:sz w:val="24"/>
          <w:szCs w:val="24"/>
        </w:rPr>
        <w:t>4</w:t>
      </w:r>
      <w:r>
        <w:rPr>
          <w:sz w:val="24"/>
          <w:szCs w:val="24"/>
        </w:rPr>
        <w:t xml:space="preserve">  </w:t>
      </w:r>
      <w:r>
        <w:rPr>
          <w:rFonts w:hint="eastAsia"/>
          <w:sz w:val="24"/>
          <w:szCs w:val="24"/>
        </w:rPr>
        <w:t>水泥、矿物掺合料应按品种、等级和生产厂家分别贮存，不得混淆，堆场应采用能排水的硬质底面，并应有遮雨防尘设施。</w:t>
      </w:r>
    </w:p>
    <w:p w:rsidR="00ED5264" w:rsidRDefault="00B65917">
      <w:pPr>
        <w:spacing w:line="360" w:lineRule="auto"/>
        <w:rPr>
          <w:sz w:val="24"/>
          <w:szCs w:val="24"/>
        </w:rPr>
      </w:pPr>
      <w:r>
        <w:rPr>
          <w:b/>
          <w:bCs/>
          <w:sz w:val="24"/>
          <w:szCs w:val="24"/>
        </w:rPr>
        <w:lastRenderedPageBreak/>
        <w:t>7.2.</w:t>
      </w:r>
      <w:r>
        <w:rPr>
          <w:rFonts w:hint="eastAsia"/>
          <w:b/>
          <w:bCs/>
          <w:sz w:val="24"/>
          <w:szCs w:val="24"/>
        </w:rPr>
        <w:t>5</w:t>
      </w:r>
      <w:r>
        <w:rPr>
          <w:sz w:val="24"/>
          <w:szCs w:val="24"/>
        </w:rPr>
        <w:t xml:space="preserve">  </w:t>
      </w:r>
      <w:r>
        <w:rPr>
          <w:rFonts w:hint="eastAsia"/>
          <w:sz w:val="24"/>
          <w:szCs w:val="24"/>
        </w:rPr>
        <w:t>外加剂应按品种和生产厂家分别贮存；液态外加剂应贮存在密闭容器内，并应防晒和防冻。</w:t>
      </w:r>
    </w:p>
    <w:p w:rsidR="00ED5264" w:rsidRDefault="00B65917">
      <w:pPr>
        <w:spacing w:line="360" w:lineRule="auto"/>
        <w:rPr>
          <w:sz w:val="24"/>
          <w:szCs w:val="24"/>
        </w:rPr>
      </w:pPr>
      <w:r>
        <w:rPr>
          <w:b/>
          <w:bCs/>
          <w:sz w:val="24"/>
          <w:szCs w:val="24"/>
        </w:rPr>
        <w:t>7.2.</w:t>
      </w:r>
      <w:r>
        <w:rPr>
          <w:rFonts w:hint="eastAsia"/>
          <w:b/>
          <w:bCs/>
          <w:sz w:val="24"/>
          <w:szCs w:val="24"/>
        </w:rPr>
        <w:t>6</w:t>
      </w:r>
      <w:r>
        <w:rPr>
          <w:rFonts w:hint="eastAsia"/>
          <w:b/>
          <w:bCs/>
          <w:sz w:val="24"/>
          <w:szCs w:val="24"/>
        </w:rPr>
        <w:t xml:space="preserve">  </w:t>
      </w:r>
      <w:r>
        <w:rPr>
          <w:rFonts w:hint="eastAsia"/>
          <w:sz w:val="24"/>
          <w:szCs w:val="24"/>
        </w:rPr>
        <w:t>各种原材料贮存处应有明显标识。</w:t>
      </w:r>
    </w:p>
    <w:p w:rsidR="00ED5264" w:rsidRDefault="00B65917">
      <w:pPr>
        <w:spacing w:beforeLines="100" w:before="312" w:afterLines="100" w:after="312" w:line="300" w:lineRule="auto"/>
        <w:jc w:val="center"/>
        <w:outlineLvl w:val="1"/>
        <w:rPr>
          <w:b/>
          <w:bCs/>
          <w:sz w:val="24"/>
          <w:szCs w:val="24"/>
        </w:rPr>
      </w:pPr>
      <w:bookmarkStart w:id="385" w:name="_Toc31122"/>
      <w:bookmarkStart w:id="386" w:name="_Toc509849541"/>
      <w:bookmarkStart w:id="387" w:name="_Toc486247797"/>
      <w:bookmarkStart w:id="388" w:name="_Toc19879"/>
      <w:bookmarkStart w:id="389" w:name="_Toc240"/>
      <w:bookmarkStart w:id="390" w:name="_Toc514685654"/>
      <w:bookmarkStart w:id="391" w:name="_Toc15053068"/>
      <w:bookmarkStart w:id="392" w:name="_Toc23260855"/>
      <w:bookmarkStart w:id="393" w:name="_Toc30192"/>
      <w:bookmarkStart w:id="394" w:name="_Toc12520"/>
      <w:bookmarkStart w:id="395" w:name="_Toc472351367"/>
      <w:r>
        <w:rPr>
          <w:b/>
          <w:bCs/>
          <w:sz w:val="24"/>
          <w:szCs w:val="24"/>
        </w:rPr>
        <w:t xml:space="preserve">7.3 </w:t>
      </w:r>
      <w:r>
        <w:rPr>
          <w:b/>
          <w:bCs/>
          <w:sz w:val="24"/>
          <w:szCs w:val="24"/>
        </w:rPr>
        <w:t>计量</w:t>
      </w:r>
      <w:bookmarkEnd w:id="385"/>
      <w:bookmarkEnd w:id="386"/>
      <w:bookmarkEnd w:id="387"/>
      <w:bookmarkEnd w:id="388"/>
      <w:bookmarkEnd w:id="389"/>
      <w:bookmarkEnd w:id="390"/>
      <w:bookmarkEnd w:id="391"/>
      <w:bookmarkEnd w:id="392"/>
      <w:bookmarkEnd w:id="393"/>
      <w:bookmarkEnd w:id="394"/>
      <w:bookmarkEnd w:id="395"/>
    </w:p>
    <w:p w:rsidR="00ED5264" w:rsidRDefault="00B65917">
      <w:pPr>
        <w:pStyle w:val="af3"/>
        <w:spacing w:line="360" w:lineRule="auto"/>
        <w:rPr>
          <w:sz w:val="24"/>
          <w:szCs w:val="24"/>
        </w:rPr>
      </w:pPr>
      <w:r>
        <w:rPr>
          <w:rFonts w:ascii="Times New Roman" w:hAnsi="Times New Roman"/>
          <w:b/>
          <w:bCs/>
          <w:sz w:val="24"/>
          <w:szCs w:val="24"/>
        </w:rPr>
        <w:t>7.3.1</w:t>
      </w:r>
      <w:r>
        <w:rPr>
          <w:rFonts w:ascii="Times New Roman" w:eastAsia="黑体" w:hAnsi="Times New Roman" w:hint="eastAsia"/>
          <w:sz w:val="24"/>
          <w:szCs w:val="24"/>
        </w:rPr>
        <w:t xml:space="preserve"> </w:t>
      </w:r>
      <w:r>
        <w:rPr>
          <w:rFonts w:ascii="Times New Roman" w:hAnsi="Times New Roman"/>
          <w:sz w:val="24"/>
          <w:szCs w:val="24"/>
        </w:rPr>
        <w:t>原材料计量应采用电子计量设备。</w:t>
      </w:r>
      <w:r>
        <w:rPr>
          <w:rFonts w:ascii="Times New Roman" w:hAnsi="Times New Roman" w:hint="eastAsia"/>
          <w:sz w:val="24"/>
          <w:szCs w:val="24"/>
        </w:rPr>
        <w:t>计量设备应能连续计量不同混凝土配合比的各种原材料，并应具有逐盘记录和贮存计量数据的功能，其精度应满足现行国家标准</w:t>
      </w:r>
      <w:r>
        <w:rPr>
          <w:rFonts w:hint="eastAsia"/>
          <w:sz w:val="24"/>
          <w:szCs w:val="24"/>
        </w:rPr>
        <w:t>《混凝土搅拌站（楼）技术条件》</w:t>
      </w:r>
      <w:r>
        <w:rPr>
          <w:rFonts w:ascii="Times New Roman" w:hAnsi="Times New Roman" w:hint="eastAsia"/>
          <w:sz w:val="24"/>
          <w:szCs w:val="24"/>
        </w:rPr>
        <w:t>GB 10172</w:t>
      </w:r>
      <w:r>
        <w:rPr>
          <w:rFonts w:ascii="Times New Roman" w:hAnsi="Times New Roman" w:hint="eastAsia"/>
          <w:sz w:val="24"/>
          <w:szCs w:val="24"/>
        </w:rPr>
        <w:t>的要求。</w:t>
      </w:r>
    </w:p>
    <w:p w:rsidR="00ED5264" w:rsidRDefault="00B65917">
      <w:pPr>
        <w:pStyle w:val="af3"/>
        <w:spacing w:line="360" w:lineRule="auto"/>
        <w:rPr>
          <w:rFonts w:ascii="Times New Roman" w:hAnsi="Times New Roman"/>
          <w:sz w:val="24"/>
          <w:szCs w:val="24"/>
        </w:rPr>
      </w:pPr>
      <w:r>
        <w:rPr>
          <w:rFonts w:ascii="Times New Roman" w:hAnsi="Times New Roman"/>
          <w:b/>
          <w:bCs/>
          <w:sz w:val="24"/>
          <w:szCs w:val="24"/>
        </w:rPr>
        <w:t xml:space="preserve">7.3.2 </w:t>
      </w:r>
      <w:r>
        <w:rPr>
          <w:rFonts w:ascii="Times New Roman" w:hAnsi="Times New Roman"/>
          <w:sz w:val="24"/>
          <w:szCs w:val="24"/>
        </w:rPr>
        <w:t xml:space="preserve"> </w:t>
      </w:r>
      <w:r>
        <w:rPr>
          <w:rFonts w:ascii="Times New Roman" w:hAnsi="Times New Roman" w:hint="eastAsia"/>
          <w:sz w:val="24"/>
          <w:szCs w:val="24"/>
        </w:rPr>
        <w:t>计量设备应具有法定计量机构签发的有效检定证书。混凝土生产单位每月至少自检一次；</w:t>
      </w:r>
      <w:r>
        <w:rPr>
          <w:rFonts w:ascii="Times New Roman" w:hAnsi="Times New Roman"/>
          <w:sz w:val="24"/>
          <w:szCs w:val="24"/>
        </w:rPr>
        <w:t>每一工作班开始前，应对计量设备进行零点校准。</w:t>
      </w:r>
    </w:p>
    <w:p w:rsidR="00ED5264" w:rsidRDefault="00B65917">
      <w:pPr>
        <w:pStyle w:val="af3"/>
        <w:spacing w:line="360" w:lineRule="auto"/>
        <w:rPr>
          <w:rFonts w:ascii="Times New Roman" w:hAnsi="Times New Roman"/>
          <w:sz w:val="24"/>
          <w:szCs w:val="24"/>
        </w:rPr>
      </w:pPr>
      <w:r>
        <w:rPr>
          <w:rFonts w:ascii="Times New Roman" w:hAnsi="Times New Roman"/>
          <w:b/>
          <w:bCs/>
          <w:sz w:val="24"/>
          <w:szCs w:val="24"/>
        </w:rPr>
        <w:t>7.3.</w:t>
      </w:r>
      <w:r>
        <w:rPr>
          <w:rFonts w:ascii="Times New Roman" w:hAnsi="Times New Roman" w:hint="eastAsia"/>
          <w:b/>
          <w:bCs/>
          <w:sz w:val="24"/>
          <w:szCs w:val="24"/>
        </w:rPr>
        <w:t>3</w:t>
      </w:r>
      <w:r>
        <w:rPr>
          <w:rFonts w:ascii="Times New Roman" w:hAnsi="Times New Roman"/>
          <w:b/>
          <w:bCs/>
          <w:sz w:val="24"/>
          <w:szCs w:val="24"/>
        </w:rPr>
        <w:t xml:space="preserve"> </w:t>
      </w:r>
      <w:r>
        <w:rPr>
          <w:rFonts w:ascii="Times New Roman" w:hAnsi="Times New Roman"/>
          <w:sz w:val="24"/>
          <w:szCs w:val="24"/>
        </w:rPr>
        <w:t xml:space="preserve"> </w:t>
      </w:r>
      <w:r>
        <w:rPr>
          <w:rFonts w:ascii="Times New Roman" w:hAnsi="Times New Roman" w:hint="eastAsia"/>
          <w:sz w:val="24"/>
          <w:szCs w:val="24"/>
        </w:rPr>
        <w:t>黄河超细砂</w:t>
      </w:r>
      <w:r>
        <w:rPr>
          <w:rFonts w:ascii="Times New Roman" w:hAnsi="Times New Roman"/>
          <w:sz w:val="24"/>
          <w:szCs w:val="24"/>
        </w:rPr>
        <w:t>混凝土各组分材料应按质量计量；计量允许偏差应符合国家现行标准的规定。</w:t>
      </w:r>
    </w:p>
    <w:p w:rsidR="00ED5264" w:rsidRDefault="00B65917">
      <w:pPr>
        <w:pStyle w:val="af3"/>
        <w:spacing w:line="360" w:lineRule="auto"/>
        <w:rPr>
          <w:rFonts w:ascii="Times New Roman" w:hAnsi="Times New Roman"/>
          <w:sz w:val="24"/>
          <w:szCs w:val="24"/>
        </w:rPr>
      </w:pPr>
      <w:r>
        <w:rPr>
          <w:rFonts w:ascii="Times New Roman" w:hAnsi="Times New Roman"/>
          <w:b/>
          <w:bCs/>
          <w:sz w:val="24"/>
          <w:szCs w:val="24"/>
        </w:rPr>
        <w:t>7.3.</w:t>
      </w:r>
      <w:r>
        <w:rPr>
          <w:rFonts w:ascii="Times New Roman" w:hAnsi="Times New Roman" w:hint="eastAsia"/>
          <w:b/>
          <w:bCs/>
          <w:sz w:val="24"/>
          <w:szCs w:val="24"/>
        </w:rPr>
        <w:t>4</w:t>
      </w:r>
      <w:r>
        <w:rPr>
          <w:rFonts w:ascii="Times New Roman" w:hAnsi="Times New Roman"/>
          <w:bCs/>
          <w:sz w:val="24"/>
          <w:szCs w:val="24"/>
        </w:rPr>
        <w:t xml:space="preserve">  </w:t>
      </w:r>
      <w:r>
        <w:rPr>
          <w:rFonts w:ascii="Times New Roman" w:hAnsi="Times New Roman" w:hint="eastAsia"/>
          <w:sz w:val="24"/>
          <w:szCs w:val="24"/>
        </w:rPr>
        <w:t>原材料的允许偏差应符合表</w:t>
      </w:r>
      <w:r>
        <w:rPr>
          <w:rFonts w:ascii="Times New Roman" w:hAnsi="Times New Roman" w:hint="eastAsia"/>
          <w:sz w:val="24"/>
          <w:szCs w:val="24"/>
        </w:rPr>
        <w:t>7.3.4</w:t>
      </w:r>
      <w:r>
        <w:rPr>
          <w:rFonts w:ascii="Times New Roman" w:hAnsi="Times New Roman" w:hint="eastAsia"/>
          <w:sz w:val="24"/>
          <w:szCs w:val="24"/>
        </w:rPr>
        <w:t>的规定，并应每班检查一次。</w:t>
      </w:r>
    </w:p>
    <w:p w:rsidR="00ED5264" w:rsidRDefault="00B65917">
      <w:pPr>
        <w:topLinePunct/>
        <w:adjustRightInd w:val="0"/>
        <w:jc w:val="center"/>
        <w:rPr>
          <w:rFonts w:eastAsia="黑体"/>
          <w:bCs/>
        </w:rPr>
      </w:pPr>
      <w:r>
        <w:rPr>
          <w:rFonts w:eastAsia="黑体"/>
          <w:bCs/>
        </w:rPr>
        <w:t>表</w:t>
      </w:r>
      <w:r>
        <w:rPr>
          <w:rFonts w:eastAsia="黑体" w:hint="eastAsia"/>
          <w:bCs/>
        </w:rPr>
        <w:t>7.3.4</w:t>
      </w:r>
      <w:r>
        <w:rPr>
          <w:rFonts w:eastAsia="黑体"/>
          <w:bCs/>
        </w:rPr>
        <w:t xml:space="preserve">  </w:t>
      </w:r>
      <w:r>
        <w:rPr>
          <w:rFonts w:eastAsia="黑体" w:hint="eastAsia"/>
          <w:bCs/>
        </w:rPr>
        <w:t>混凝土原材料计量允许偏差（单位：</w:t>
      </w:r>
      <w:r>
        <w:rPr>
          <w:rFonts w:eastAsia="黑体" w:hint="eastAsia"/>
          <w:bCs/>
        </w:rPr>
        <w:t>%</w:t>
      </w:r>
      <w:r>
        <w:rPr>
          <w:rFonts w:eastAsia="黑体" w:hint="eastAsia"/>
          <w:bCs/>
        </w:rPr>
        <w:t>）</w:t>
      </w:r>
    </w:p>
    <w:tbl>
      <w:tblPr>
        <w:tblW w:w="864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796"/>
        <w:gridCol w:w="968"/>
        <w:gridCol w:w="1552"/>
        <w:gridCol w:w="780"/>
        <w:gridCol w:w="1320"/>
        <w:gridCol w:w="1233"/>
      </w:tblGrid>
      <w:tr w:rsidR="00ED5264">
        <w:trPr>
          <w:trHeight w:val="450"/>
        </w:trPr>
        <w:tc>
          <w:tcPr>
            <w:tcW w:w="2796" w:type="dxa"/>
            <w:vAlign w:val="center"/>
          </w:tcPr>
          <w:p w:rsidR="00ED5264" w:rsidRDefault="00B65917">
            <w:pPr>
              <w:pStyle w:val="af3"/>
              <w:spacing w:beforeLines="25" w:before="78" w:line="360" w:lineRule="auto"/>
              <w:jc w:val="center"/>
              <w:rPr>
                <w:rFonts w:ascii="Times New Roman" w:hAnsi="Times New Roman"/>
              </w:rPr>
            </w:pPr>
            <w:r>
              <w:rPr>
                <w:rFonts w:ascii="Times New Roman" w:hAnsi="Times New Roman" w:hint="eastAsia"/>
              </w:rPr>
              <w:t>原材料品种</w:t>
            </w:r>
          </w:p>
        </w:tc>
        <w:tc>
          <w:tcPr>
            <w:tcW w:w="968" w:type="dxa"/>
            <w:vAlign w:val="center"/>
          </w:tcPr>
          <w:p w:rsidR="00ED5264" w:rsidRDefault="00B65917">
            <w:pPr>
              <w:pStyle w:val="af3"/>
              <w:spacing w:beforeLines="25" w:before="78" w:line="360" w:lineRule="auto"/>
              <w:jc w:val="center"/>
              <w:rPr>
                <w:rFonts w:ascii="Times New Roman" w:hAnsi="Times New Roman"/>
              </w:rPr>
            </w:pPr>
            <w:r>
              <w:rPr>
                <w:rFonts w:ascii="Times New Roman" w:hAnsi="Times New Roman" w:hint="eastAsia"/>
              </w:rPr>
              <w:t>水泥</w:t>
            </w:r>
          </w:p>
        </w:tc>
        <w:tc>
          <w:tcPr>
            <w:tcW w:w="1552" w:type="dxa"/>
            <w:vAlign w:val="center"/>
          </w:tcPr>
          <w:p w:rsidR="00ED5264" w:rsidRDefault="00B65917">
            <w:pPr>
              <w:pStyle w:val="af3"/>
              <w:spacing w:beforeLines="25" w:before="78" w:line="360" w:lineRule="auto"/>
              <w:jc w:val="center"/>
              <w:rPr>
                <w:rFonts w:ascii="Times New Roman" w:hAnsi="Times New Roman"/>
              </w:rPr>
            </w:pPr>
            <w:r>
              <w:rPr>
                <w:rFonts w:ascii="Times New Roman" w:hAnsi="Times New Roman" w:hint="eastAsia"/>
              </w:rPr>
              <w:t>细骨料</w:t>
            </w:r>
          </w:p>
        </w:tc>
        <w:tc>
          <w:tcPr>
            <w:tcW w:w="780" w:type="dxa"/>
            <w:vAlign w:val="center"/>
          </w:tcPr>
          <w:p w:rsidR="00ED5264" w:rsidRDefault="00B65917">
            <w:pPr>
              <w:pStyle w:val="af3"/>
              <w:spacing w:beforeLines="25" w:before="78" w:line="360" w:lineRule="auto"/>
              <w:jc w:val="center"/>
              <w:rPr>
                <w:rFonts w:ascii="Times New Roman" w:hAnsi="Times New Roman"/>
              </w:rPr>
            </w:pPr>
            <w:r>
              <w:rPr>
                <w:rFonts w:ascii="Times New Roman" w:hAnsi="Times New Roman" w:hint="eastAsia"/>
              </w:rPr>
              <w:t>水</w:t>
            </w:r>
          </w:p>
        </w:tc>
        <w:tc>
          <w:tcPr>
            <w:tcW w:w="1320" w:type="dxa"/>
            <w:vAlign w:val="center"/>
          </w:tcPr>
          <w:p w:rsidR="00ED5264" w:rsidRDefault="00B65917">
            <w:pPr>
              <w:pStyle w:val="af3"/>
              <w:spacing w:beforeLines="25" w:before="78" w:line="360" w:lineRule="auto"/>
              <w:jc w:val="center"/>
              <w:rPr>
                <w:rFonts w:ascii="Times New Roman" w:hAnsi="Times New Roman"/>
              </w:rPr>
            </w:pPr>
            <w:r>
              <w:rPr>
                <w:rFonts w:ascii="Times New Roman" w:hAnsi="Times New Roman" w:hint="eastAsia"/>
              </w:rPr>
              <w:t>外加剂</w:t>
            </w:r>
          </w:p>
        </w:tc>
        <w:tc>
          <w:tcPr>
            <w:tcW w:w="1233" w:type="dxa"/>
            <w:vAlign w:val="center"/>
          </w:tcPr>
          <w:p w:rsidR="00ED5264" w:rsidRDefault="00B65917">
            <w:pPr>
              <w:pStyle w:val="af3"/>
              <w:spacing w:beforeLines="25" w:before="78" w:line="360" w:lineRule="auto"/>
              <w:jc w:val="center"/>
              <w:rPr>
                <w:rFonts w:ascii="Times New Roman" w:hAnsi="Times New Roman"/>
              </w:rPr>
            </w:pPr>
            <w:r>
              <w:rPr>
                <w:rFonts w:ascii="Times New Roman" w:hAnsi="Times New Roman" w:hint="eastAsia"/>
              </w:rPr>
              <w:t>掺合料</w:t>
            </w:r>
          </w:p>
        </w:tc>
      </w:tr>
      <w:tr w:rsidR="00ED5264">
        <w:trPr>
          <w:trHeight w:val="450"/>
        </w:trPr>
        <w:tc>
          <w:tcPr>
            <w:tcW w:w="2796" w:type="dxa"/>
            <w:vAlign w:val="center"/>
          </w:tcPr>
          <w:p w:rsidR="00ED5264" w:rsidRDefault="00B65917">
            <w:pPr>
              <w:pStyle w:val="af3"/>
              <w:spacing w:beforeLines="25" w:before="78" w:line="360" w:lineRule="auto"/>
              <w:jc w:val="center"/>
              <w:rPr>
                <w:rFonts w:ascii="Times New Roman" w:hAnsi="Times New Roman"/>
                <w:iCs/>
              </w:rPr>
            </w:pPr>
            <w:r>
              <w:rPr>
                <w:rFonts w:ascii="Times New Roman" w:hAnsi="Times New Roman" w:hint="eastAsia"/>
                <w:iCs/>
              </w:rPr>
              <w:t>每盘计量允许偏差</w:t>
            </w:r>
          </w:p>
        </w:tc>
        <w:tc>
          <w:tcPr>
            <w:tcW w:w="968" w:type="dxa"/>
            <w:vAlign w:val="center"/>
          </w:tcPr>
          <w:p w:rsidR="00ED5264" w:rsidRDefault="00B65917">
            <w:pPr>
              <w:pStyle w:val="af3"/>
              <w:spacing w:beforeLines="25" w:before="78" w:line="360" w:lineRule="auto"/>
              <w:jc w:val="center"/>
              <w:rPr>
                <w:rFonts w:ascii="Times New Roman" w:hAnsi="Times New Roman"/>
              </w:rPr>
            </w:pPr>
            <w:r>
              <w:rPr>
                <w:rFonts w:ascii="Times New Roman" w:hAnsi="Times New Roman" w:hint="eastAsia"/>
              </w:rPr>
              <w:t>±</w:t>
            </w:r>
            <w:r>
              <w:rPr>
                <w:rFonts w:ascii="Times New Roman" w:hAnsi="Times New Roman" w:hint="eastAsia"/>
              </w:rPr>
              <w:t>2</w:t>
            </w:r>
          </w:p>
        </w:tc>
        <w:tc>
          <w:tcPr>
            <w:tcW w:w="1552" w:type="dxa"/>
            <w:vAlign w:val="center"/>
          </w:tcPr>
          <w:p w:rsidR="00ED5264" w:rsidRDefault="00B65917">
            <w:pPr>
              <w:pStyle w:val="af3"/>
              <w:spacing w:beforeLines="25" w:before="78" w:line="360" w:lineRule="auto"/>
              <w:jc w:val="center"/>
              <w:rPr>
                <w:rFonts w:ascii="Times New Roman" w:hAnsi="Times New Roman"/>
              </w:rPr>
            </w:pPr>
            <w:r>
              <w:rPr>
                <w:rFonts w:ascii="Times New Roman" w:hAnsi="Times New Roman" w:hint="eastAsia"/>
              </w:rPr>
              <w:t>±</w:t>
            </w:r>
            <w:r>
              <w:rPr>
                <w:rFonts w:ascii="Times New Roman" w:hAnsi="Times New Roman" w:hint="eastAsia"/>
              </w:rPr>
              <w:t>3</w:t>
            </w:r>
          </w:p>
        </w:tc>
        <w:tc>
          <w:tcPr>
            <w:tcW w:w="780" w:type="dxa"/>
            <w:vAlign w:val="center"/>
          </w:tcPr>
          <w:p w:rsidR="00ED5264" w:rsidRDefault="00B65917">
            <w:pPr>
              <w:pStyle w:val="af3"/>
              <w:spacing w:beforeLines="25" w:before="78" w:line="360" w:lineRule="auto"/>
              <w:jc w:val="center"/>
              <w:rPr>
                <w:rFonts w:ascii="Times New Roman" w:hAnsi="Times New Roman"/>
              </w:rPr>
            </w:pPr>
            <w:r>
              <w:rPr>
                <w:rFonts w:ascii="Times New Roman" w:hAnsi="Times New Roman" w:hint="eastAsia"/>
              </w:rPr>
              <w:t>±</w:t>
            </w:r>
            <w:r>
              <w:rPr>
                <w:rFonts w:ascii="Times New Roman" w:hAnsi="Times New Roman" w:hint="eastAsia"/>
              </w:rPr>
              <w:t>1</w:t>
            </w:r>
          </w:p>
        </w:tc>
        <w:tc>
          <w:tcPr>
            <w:tcW w:w="1320" w:type="dxa"/>
            <w:vAlign w:val="center"/>
          </w:tcPr>
          <w:p w:rsidR="00ED5264" w:rsidRDefault="00B65917">
            <w:pPr>
              <w:pStyle w:val="af3"/>
              <w:spacing w:beforeLines="25" w:before="78" w:line="360" w:lineRule="auto"/>
              <w:jc w:val="center"/>
              <w:rPr>
                <w:rFonts w:ascii="Times New Roman" w:hAnsi="Times New Roman"/>
              </w:rPr>
            </w:pPr>
            <w:r>
              <w:rPr>
                <w:rFonts w:ascii="Times New Roman" w:hAnsi="Times New Roman" w:hint="eastAsia"/>
              </w:rPr>
              <w:t>±</w:t>
            </w:r>
            <w:r>
              <w:rPr>
                <w:rFonts w:ascii="Times New Roman" w:hAnsi="Times New Roman" w:hint="eastAsia"/>
              </w:rPr>
              <w:t>1</w:t>
            </w:r>
          </w:p>
        </w:tc>
        <w:tc>
          <w:tcPr>
            <w:tcW w:w="1233" w:type="dxa"/>
            <w:vAlign w:val="center"/>
          </w:tcPr>
          <w:p w:rsidR="00ED5264" w:rsidRDefault="00B65917">
            <w:pPr>
              <w:pStyle w:val="af3"/>
              <w:spacing w:beforeLines="25" w:before="78" w:line="360" w:lineRule="auto"/>
              <w:jc w:val="center"/>
              <w:rPr>
                <w:rFonts w:ascii="Times New Roman" w:hAnsi="Times New Roman"/>
              </w:rPr>
            </w:pPr>
            <w:r>
              <w:rPr>
                <w:rFonts w:ascii="Times New Roman" w:hAnsi="Times New Roman" w:hint="eastAsia"/>
              </w:rPr>
              <w:t>±</w:t>
            </w:r>
            <w:r>
              <w:rPr>
                <w:rFonts w:ascii="Times New Roman" w:hAnsi="Times New Roman" w:hint="eastAsia"/>
              </w:rPr>
              <w:t>2</w:t>
            </w:r>
          </w:p>
        </w:tc>
      </w:tr>
      <w:tr w:rsidR="00ED5264">
        <w:trPr>
          <w:trHeight w:val="450"/>
        </w:trPr>
        <w:tc>
          <w:tcPr>
            <w:tcW w:w="2796" w:type="dxa"/>
            <w:vAlign w:val="center"/>
          </w:tcPr>
          <w:p w:rsidR="00ED5264" w:rsidRDefault="00B65917">
            <w:pPr>
              <w:pStyle w:val="af3"/>
              <w:spacing w:beforeLines="25" w:before="78" w:line="360" w:lineRule="auto"/>
              <w:jc w:val="center"/>
              <w:rPr>
                <w:rFonts w:ascii="Times New Roman" w:hAnsi="Times New Roman"/>
                <w:iCs/>
              </w:rPr>
            </w:pPr>
            <w:r>
              <w:rPr>
                <w:rFonts w:ascii="Times New Roman" w:hAnsi="Times New Roman" w:hint="eastAsia"/>
                <w:iCs/>
              </w:rPr>
              <w:t>累计计量允许偏差</w:t>
            </w:r>
            <w:r>
              <w:rPr>
                <w:rFonts w:ascii="Times New Roman" w:hAnsi="Times New Roman" w:hint="eastAsia"/>
                <w:iCs/>
              </w:rPr>
              <w:t xml:space="preserve"> a</w:t>
            </w:r>
          </w:p>
        </w:tc>
        <w:tc>
          <w:tcPr>
            <w:tcW w:w="968" w:type="dxa"/>
            <w:vAlign w:val="center"/>
          </w:tcPr>
          <w:p w:rsidR="00ED5264" w:rsidRDefault="00B65917">
            <w:pPr>
              <w:pStyle w:val="af3"/>
              <w:spacing w:beforeLines="25" w:before="78" w:line="360" w:lineRule="auto"/>
              <w:jc w:val="center"/>
              <w:rPr>
                <w:rFonts w:ascii="Times New Roman" w:hAnsi="Times New Roman"/>
              </w:rPr>
            </w:pPr>
            <w:r>
              <w:rPr>
                <w:rFonts w:ascii="Times New Roman" w:hAnsi="Times New Roman" w:hint="eastAsia"/>
              </w:rPr>
              <w:t>±</w:t>
            </w:r>
            <w:r>
              <w:rPr>
                <w:rFonts w:ascii="Times New Roman" w:hAnsi="Times New Roman" w:hint="eastAsia"/>
              </w:rPr>
              <w:t>1</w:t>
            </w:r>
          </w:p>
        </w:tc>
        <w:tc>
          <w:tcPr>
            <w:tcW w:w="1552" w:type="dxa"/>
            <w:vAlign w:val="center"/>
          </w:tcPr>
          <w:p w:rsidR="00ED5264" w:rsidRDefault="00B65917">
            <w:pPr>
              <w:pStyle w:val="af3"/>
              <w:spacing w:beforeLines="25" w:before="78" w:line="360" w:lineRule="auto"/>
              <w:jc w:val="center"/>
              <w:rPr>
                <w:rFonts w:ascii="Times New Roman" w:hAnsi="Times New Roman"/>
              </w:rPr>
            </w:pPr>
            <w:r>
              <w:rPr>
                <w:rFonts w:ascii="Times New Roman" w:hAnsi="Times New Roman" w:hint="eastAsia"/>
              </w:rPr>
              <w:t>±</w:t>
            </w:r>
            <w:r>
              <w:rPr>
                <w:rFonts w:ascii="Times New Roman" w:hAnsi="Times New Roman" w:hint="eastAsia"/>
              </w:rPr>
              <w:t>2</w:t>
            </w:r>
          </w:p>
        </w:tc>
        <w:tc>
          <w:tcPr>
            <w:tcW w:w="780" w:type="dxa"/>
            <w:vAlign w:val="center"/>
          </w:tcPr>
          <w:p w:rsidR="00ED5264" w:rsidRDefault="00B65917">
            <w:pPr>
              <w:pStyle w:val="af3"/>
              <w:spacing w:beforeLines="25" w:before="78" w:line="360" w:lineRule="auto"/>
              <w:jc w:val="center"/>
              <w:rPr>
                <w:rFonts w:ascii="Times New Roman" w:hAnsi="Times New Roman"/>
              </w:rPr>
            </w:pPr>
            <w:r>
              <w:rPr>
                <w:rFonts w:ascii="Times New Roman" w:hAnsi="Times New Roman" w:hint="eastAsia"/>
              </w:rPr>
              <w:t>±</w:t>
            </w:r>
            <w:r>
              <w:rPr>
                <w:rFonts w:ascii="Times New Roman" w:hAnsi="Times New Roman" w:hint="eastAsia"/>
              </w:rPr>
              <w:t>2</w:t>
            </w:r>
          </w:p>
        </w:tc>
        <w:tc>
          <w:tcPr>
            <w:tcW w:w="1320" w:type="dxa"/>
            <w:vAlign w:val="center"/>
          </w:tcPr>
          <w:p w:rsidR="00ED5264" w:rsidRDefault="00B65917">
            <w:pPr>
              <w:pStyle w:val="af3"/>
              <w:spacing w:beforeLines="25" w:before="78" w:line="360" w:lineRule="auto"/>
              <w:jc w:val="center"/>
              <w:rPr>
                <w:rFonts w:ascii="Times New Roman" w:hAnsi="Times New Roman"/>
              </w:rPr>
            </w:pPr>
            <w:r>
              <w:rPr>
                <w:rFonts w:ascii="Times New Roman" w:hAnsi="Times New Roman" w:hint="eastAsia"/>
              </w:rPr>
              <w:t>±</w:t>
            </w:r>
            <w:r>
              <w:rPr>
                <w:rFonts w:ascii="Times New Roman" w:hAnsi="Times New Roman" w:hint="eastAsia"/>
              </w:rPr>
              <w:t>2</w:t>
            </w:r>
          </w:p>
        </w:tc>
        <w:tc>
          <w:tcPr>
            <w:tcW w:w="1233" w:type="dxa"/>
            <w:vAlign w:val="center"/>
          </w:tcPr>
          <w:p w:rsidR="00ED5264" w:rsidRDefault="00B65917">
            <w:pPr>
              <w:pStyle w:val="af3"/>
              <w:spacing w:beforeLines="25" w:before="78" w:line="360" w:lineRule="auto"/>
              <w:jc w:val="center"/>
              <w:rPr>
                <w:rFonts w:ascii="Times New Roman" w:hAnsi="Times New Roman"/>
              </w:rPr>
            </w:pPr>
            <w:r>
              <w:rPr>
                <w:rFonts w:ascii="Times New Roman" w:hAnsi="Times New Roman" w:hint="eastAsia"/>
              </w:rPr>
              <w:t>±</w:t>
            </w:r>
            <w:r>
              <w:rPr>
                <w:rFonts w:ascii="Times New Roman" w:hAnsi="Times New Roman" w:hint="eastAsia"/>
              </w:rPr>
              <w:t>2</w:t>
            </w:r>
          </w:p>
        </w:tc>
      </w:tr>
      <w:tr w:rsidR="00ED5264">
        <w:trPr>
          <w:trHeight w:val="450"/>
        </w:trPr>
        <w:tc>
          <w:tcPr>
            <w:tcW w:w="8649" w:type="dxa"/>
            <w:gridSpan w:val="6"/>
            <w:vAlign w:val="center"/>
          </w:tcPr>
          <w:p w:rsidR="00ED5264" w:rsidRDefault="00B65917">
            <w:pPr>
              <w:pStyle w:val="af3"/>
              <w:spacing w:beforeLines="25" w:before="78" w:line="360" w:lineRule="auto"/>
              <w:jc w:val="center"/>
              <w:rPr>
                <w:rFonts w:ascii="Times New Roman" w:hAnsi="Times New Roman"/>
              </w:rPr>
            </w:pPr>
            <w:r>
              <w:rPr>
                <w:rFonts w:ascii="Times New Roman" w:hAnsi="Times New Roman" w:hint="eastAsia"/>
              </w:rPr>
              <w:t>a.</w:t>
            </w:r>
            <w:r>
              <w:rPr>
                <w:rFonts w:ascii="Times New Roman" w:hAnsi="Times New Roman" w:hint="eastAsia"/>
              </w:rPr>
              <w:t>累计计量允许偏差是指每一运输车中各盘混凝土的每种材料计量和的偏差。</w:t>
            </w:r>
          </w:p>
        </w:tc>
      </w:tr>
    </w:tbl>
    <w:p w:rsidR="00ED5264" w:rsidRDefault="00B65917">
      <w:pPr>
        <w:spacing w:beforeLines="100" w:before="312" w:afterLines="100" w:after="312" w:line="300" w:lineRule="auto"/>
        <w:jc w:val="center"/>
        <w:outlineLvl w:val="1"/>
        <w:rPr>
          <w:b/>
          <w:bCs/>
          <w:sz w:val="24"/>
          <w:szCs w:val="24"/>
        </w:rPr>
      </w:pPr>
      <w:bookmarkStart w:id="396" w:name="_Toc4533"/>
      <w:bookmarkStart w:id="397" w:name="_Toc514685655"/>
      <w:bookmarkStart w:id="398" w:name="_Toc20141"/>
      <w:bookmarkStart w:id="399" w:name="_Toc16855"/>
      <w:bookmarkStart w:id="400" w:name="_Toc486247798"/>
      <w:bookmarkStart w:id="401" w:name="_Toc23260856"/>
      <w:bookmarkStart w:id="402" w:name="_Toc15053069"/>
      <w:bookmarkStart w:id="403" w:name="_Toc509849542"/>
      <w:bookmarkStart w:id="404" w:name="_Toc16898"/>
      <w:bookmarkStart w:id="405" w:name="_Toc32075"/>
      <w:bookmarkStart w:id="406" w:name="_Toc472351368"/>
      <w:r>
        <w:rPr>
          <w:b/>
          <w:bCs/>
          <w:sz w:val="24"/>
          <w:szCs w:val="24"/>
        </w:rPr>
        <w:t xml:space="preserve">7.4 </w:t>
      </w:r>
      <w:r>
        <w:rPr>
          <w:b/>
          <w:bCs/>
          <w:sz w:val="24"/>
          <w:szCs w:val="24"/>
        </w:rPr>
        <w:t>搅拌</w:t>
      </w:r>
      <w:bookmarkEnd w:id="396"/>
      <w:bookmarkEnd w:id="397"/>
      <w:bookmarkEnd w:id="398"/>
      <w:bookmarkEnd w:id="399"/>
      <w:bookmarkEnd w:id="400"/>
      <w:bookmarkEnd w:id="401"/>
      <w:bookmarkEnd w:id="402"/>
      <w:bookmarkEnd w:id="403"/>
      <w:bookmarkEnd w:id="404"/>
      <w:bookmarkEnd w:id="405"/>
      <w:bookmarkEnd w:id="406"/>
    </w:p>
    <w:p w:rsidR="00ED5264" w:rsidRDefault="00B65917">
      <w:pPr>
        <w:pStyle w:val="af3"/>
        <w:spacing w:line="360" w:lineRule="auto"/>
        <w:rPr>
          <w:rFonts w:ascii="Times New Roman" w:hAnsi="Times New Roman"/>
          <w:bCs/>
          <w:sz w:val="24"/>
          <w:szCs w:val="24"/>
        </w:rPr>
      </w:pPr>
      <w:r>
        <w:rPr>
          <w:rFonts w:ascii="Times New Roman" w:hAnsi="Times New Roman"/>
          <w:b/>
          <w:bCs/>
          <w:sz w:val="24"/>
          <w:szCs w:val="24"/>
        </w:rPr>
        <w:t>7.4.1</w:t>
      </w:r>
      <w:r>
        <w:rPr>
          <w:rFonts w:ascii="Times New Roman" w:hAnsi="Times New Roman"/>
          <w:bCs/>
          <w:sz w:val="24"/>
          <w:szCs w:val="24"/>
        </w:rPr>
        <w:t xml:space="preserve">  </w:t>
      </w:r>
      <w:r>
        <w:rPr>
          <w:rFonts w:ascii="Times New Roman" w:hAnsi="Times New Roman" w:hint="eastAsia"/>
          <w:bCs/>
          <w:sz w:val="24"/>
          <w:szCs w:val="24"/>
        </w:rPr>
        <w:t>黄河超细砂</w:t>
      </w:r>
      <w:r>
        <w:rPr>
          <w:rFonts w:ascii="Times New Roman" w:hAnsi="Times New Roman"/>
          <w:bCs/>
          <w:sz w:val="24"/>
          <w:szCs w:val="24"/>
        </w:rPr>
        <w:t>混凝土应采用</w:t>
      </w:r>
      <w:r>
        <w:rPr>
          <w:rFonts w:ascii="Times New Roman" w:hAnsi="Times New Roman" w:hint="eastAsia"/>
          <w:bCs/>
          <w:sz w:val="24"/>
          <w:szCs w:val="24"/>
        </w:rPr>
        <w:t>固定</w:t>
      </w:r>
      <w:r>
        <w:rPr>
          <w:rFonts w:ascii="Times New Roman" w:hAnsi="Times New Roman"/>
          <w:bCs/>
          <w:sz w:val="24"/>
          <w:szCs w:val="24"/>
        </w:rPr>
        <w:t>式强制搅拌机搅拌，</w:t>
      </w:r>
      <w:r>
        <w:rPr>
          <w:rFonts w:ascii="Times New Roman" w:hAnsi="Times New Roman" w:hint="eastAsia"/>
          <w:bCs/>
          <w:sz w:val="24"/>
          <w:szCs w:val="24"/>
        </w:rPr>
        <w:t>其搅拌时间应在天然砂混凝土搅拌时间的基础上适当延长，以保证出料均匀。从全部材料投完算起不应少于</w:t>
      </w:r>
      <w:r>
        <w:rPr>
          <w:rFonts w:ascii="Times New Roman" w:hAnsi="Times New Roman" w:hint="eastAsia"/>
          <w:bCs/>
          <w:sz w:val="24"/>
          <w:szCs w:val="24"/>
        </w:rPr>
        <w:t>30s</w:t>
      </w:r>
      <w:r>
        <w:rPr>
          <w:rFonts w:ascii="Times New Roman" w:hAnsi="Times New Roman" w:hint="eastAsia"/>
          <w:bCs/>
          <w:sz w:val="24"/>
          <w:szCs w:val="24"/>
        </w:rPr>
        <w:t>。</w:t>
      </w:r>
    </w:p>
    <w:p w:rsidR="00ED5264" w:rsidRDefault="00B65917">
      <w:pPr>
        <w:pStyle w:val="af3"/>
        <w:spacing w:line="360" w:lineRule="auto"/>
        <w:rPr>
          <w:rFonts w:ascii="Times New Roman" w:hAnsi="Times New Roman"/>
          <w:bCs/>
          <w:sz w:val="24"/>
          <w:szCs w:val="24"/>
        </w:rPr>
      </w:pPr>
      <w:r>
        <w:rPr>
          <w:rFonts w:ascii="Times New Roman" w:hAnsi="Times New Roman"/>
          <w:b/>
          <w:bCs/>
          <w:sz w:val="24"/>
          <w:szCs w:val="24"/>
        </w:rPr>
        <w:t>7.4.2</w:t>
      </w:r>
      <w:r>
        <w:rPr>
          <w:rFonts w:ascii="Times New Roman" w:hAnsi="Times New Roman"/>
          <w:bCs/>
          <w:sz w:val="24"/>
          <w:szCs w:val="24"/>
        </w:rPr>
        <w:t xml:space="preserve">  </w:t>
      </w:r>
      <w:r>
        <w:rPr>
          <w:rFonts w:ascii="Times New Roman" w:hAnsi="Times New Roman" w:hint="eastAsia"/>
          <w:bCs/>
          <w:sz w:val="24"/>
          <w:szCs w:val="24"/>
        </w:rPr>
        <w:t>混凝土用搅拌机应符合现行国家标准《混凝土搅拌机》</w:t>
      </w:r>
      <w:r>
        <w:rPr>
          <w:rFonts w:ascii="Times New Roman" w:hAnsi="Times New Roman" w:hint="eastAsia"/>
          <w:bCs/>
          <w:sz w:val="24"/>
          <w:szCs w:val="24"/>
        </w:rPr>
        <w:t>GB/T 9142</w:t>
      </w:r>
      <w:r>
        <w:rPr>
          <w:rFonts w:ascii="Times New Roman" w:hAnsi="Times New Roman" w:hint="eastAsia"/>
          <w:bCs/>
          <w:sz w:val="24"/>
          <w:szCs w:val="24"/>
        </w:rPr>
        <w:t>的有关规定。</w:t>
      </w:r>
    </w:p>
    <w:p w:rsidR="00ED5264" w:rsidRDefault="00B65917">
      <w:pPr>
        <w:spacing w:beforeLines="100" w:before="312" w:afterLines="100" w:after="312" w:line="300" w:lineRule="auto"/>
        <w:jc w:val="center"/>
        <w:outlineLvl w:val="1"/>
        <w:rPr>
          <w:b/>
          <w:bCs/>
          <w:sz w:val="24"/>
          <w:szCs w:val="24"/>
        </w:rPr>
      </w:pPr>
      <w:bookmarkStart w:id="407" w:name="_Toc472351369"/>
      <w:bookmarkStart w:id="408" w:name="_Toc15627"/>
      <w:bookmarkStart w:id="409" w:name="_Toc514685656"/>
      <w:bookmarkStart w:id="410" w:name="_Toc509849543"/>
      <w:bookmarkStart w:id="411" w:name="_Toc31815"/>
      <w:bookmarkStart w:id="412" w:name="_Toc23788"/>
      <w:bookmarkStart w:id="413" w:name="_Toc23260857"/>
      <w:bookmarkStart w:id="414" w:name="_Toc6266"/>
      <w:bookmarkStart w:id="415" w:name="_Toc15053070"/>
      <w:bookmarkStart w:id="416" w:name="_Toc486247799"/>
      <w:bookmarkStart w:id="417" w:name="_Toc459"/>
      <w:r>
        <w:rPr>
          <w:b/>
          <w:bCs/>
          <w:sz w:val="24"/>
          <w:szCs w:val="24"/>
        </w:rPr>
        <w:t xml:space="preserve">7.5 </w:t>
      </w:r>
      <w:r>
        <w:rPr>
          <w:b/>
          <w:bCs/>
          <w:sz w:val="24"/>
          <w:szCs w:val="24"/>
        </w:rPr>
        <w:t>运输</w:t>
      </w:r>
      <w:bookmarkEnd w:id="407"/>
      <w:bookmarkEnd w:id="408"/>
      <w:bookmarkEnd w:id="409"/>
      <w:bookmarkEnd w:id="410"/>
      <w:bookmarkEnd w:id="411"/>
      <w:bookmarkEnd w:id="412"/>
      <w:bookmarkEnd w:id="413"/>
      <w:bookmarkEnd w:id="414"/>
      <w:bookmarkEnd w:id="415"/>
      <w:bookmarkEnd w:id="416"/>
      <w:bookmarkEnd w:id="417"/>
    </w:p>
    <w:p w:rsidR="00ED5264" w:rsidRDefault="00B65917">
      <w:pPr>
        <w:spacing w:line="360" w:lineRule="auto"/>
        <w:rPr>
          <w:bCs/>
          <w:sz w:val="24"/>
          <w:szCs w:val="24"/>
        </w:rPr>
      </w:pPr>
      <w:r>
        <w:rPr>
          <w:b/>
          <w:bCs/>
          <w:sz w:val="24"/>
          <w:szCs w:val="24"/>
        </w:rPr>
        <w:t>7.5.1</w:t>
      </w:r>
      <w:r>
        <w:rPr>
          <w:bCs/>
          <w:sz w:val="24"/>
          <w:szCs w:val="24"/>
        </w:rPr>
        <w:t xml:space="preserve">  </w:t>
      </w:r>
      <w:r>
        <w:rPr>
          <w:rFonts w:hint="eastAsia"/>
          <w:bCs/>
          <w:sz w:val="24"/>
          <w:szCs w:val="24"/>
        </w:rPr>
        <w:t>混凝土搅拌运输车应符合</w:t>
      </w:r>
      <w:r>
        <w:rPr>
          <w:rFonts w:hint="eastAsia"/>
          <w:bCs/>
          <w:sz w:val="24"/>
          <w:szCs w:val="24"/>
        </w:rPr>
        <w:t>现行行业标准</w:t>
      </w:r>
      <w:r>
        <w:rPr>
          <w:rFonts w:hint="eastAsia"/>
          <w:bCs/>
          <w:sz w:val="24"/>
          <w:szCs w:val="24"/>
        </w:rPr>
        <w:t>《混凝土搅拌运输车》</w:t>
      </w:r>
      <w:r>
        <w:rPr>
          <w:rFonts w:hint="eastAsia"/>
          <w:bCs/>
          <w:sz w:val="24"/>
          <w:szCs w:val="24"/>
        </w:rPr>
        <w:t>JG</w:t>
      </w:r>
      <w:r>
        <w:rPr>
          <w:rFonts w:hint="eastAsia"/>
          <w:bCs/>
          <w:sz w:val="24"/>
          <w:szCs w:val="24"/>
        </w:rPr>
        <w:t>/T</w:t>
      </w:r>
      <w:r>
        <w:rPr>
          <w:rFonts w:hint="eastAsia"/>
          <w:bCs/>
          <w:sz w:val="24"/>
          <w:szCs w:val="24"/>
        </w:rPr>
        <w:t xml:space="preserve"> </w:t>
      </w:r>
      <w:r>
        <w:rPr>
          <w:rFonts w:hint="eastAsia"/>
          <w:bCs/>
          <w:sz w:val="24"/>
          <w:szCs w:val="24"/>
        </w:rPr>
        <w:t>5094</w:t>
      </w:r>
      <w:r>
        <w:rPr>
          <w:rFonts w:hint="eastAsia"/>
          <w:bCs/>
          <w:sz w:val="24"/>
          <w:szCs w:val="24"/>
        </w:rPr>
        <w:t>的规定</w:t>
      </w:r>
      <w:r>
        <w:rPr>
          <w:rFonts w:hint="eastAsia"/>
          <w:bCs/>
          <w:sz w:val="24"/>
          <w:szCs w:val="24"/>
        </w:rPr>
        <w:t>；</w:t>
      </w:r>
      <w:r>
        <w:rPr>
          <w:rFonts w:hint="eastAsia"/>
          <w:bCs/>
          <w:sz w:val="24"/>
          <w:szCs w:val="24"/>
        </w:rPr>
        <w:t>翻斗车仅限用于运送坍落度小于</w:t>
      </w:r>
      <w:r>
        <w:rPr>
          <w:rFonts w:hint="eastAsia"/>
          <w:bCs/>
          <w:sz w:val="24"/>
          <w:szCs w:val="24"/>
        </w:rPr>
        <w:t>90mm</w:t>
      </w:r>
      <w:r>
        <w:rPr>
          <w:rFonts w:hint="eastAsia"/>
          <w:bCs/>
          <w:sz w:val="24"/>
          <w:szCs w:val="24"/>
        </w:rPr>
        <w:t>的混合砂混凝土拌合物。运输车</w:t>
      </w:r>
      <w:r>
        <w:rPr>
          <w:rFonts w:hint="eastAsia"/>
          <w:bCs/>
          <w:sz w:val="24"/>
          <w:szCs w:val="24"/>
        </w:rPr>
        <w:lastRenderedPageBreak/>
        <w:t>在运输时应能保证混凝土拌合物均匀</w:t>
      </w:r>
      <w:r>
        <w:rPr>
          <w:rFonts w:hint="eastAsia"/>
          <w:bCs/>
          <w:sz w:val="24"/>
          <w:szCs w:val="24"/>
        </w:rPr>
        <w:t>，</w:t>
      </w:r>
      <w:r>
        <w:rPr>
          <w:rFonts w:hint="eastAsia"/>
          <w:bCs/>
          <w:sz w:val="24"/>
          <w:szCs w:val="24"/>
        </w:rPr>
        <w:t>不产生分层离析。对于寒冷或炎热的气候情况，搅拌运输车的搅拌罐应有保温隔热措施。</w:t>
      </w:r>
    </w:p>
    <w:p w:rsidR="00ED5264" w:rsidRDefault="00B65917">
      <w:pPr>
        <w:spacing w:line="360" w:lineRule="auto"/>
        <w:rPr>
          <w:bCs/>
          <w:sz w:val="24"/>
          <w:szCs w:val="24"/>
        </w:rPr>
      </w:pPr>
      <w:r>
        <w:rPr>
          <w:b/>
          <w:bCs/>
          <w:sz w:val="24"/>
          <w:szCs w:val="24"/>
        </w:rPr>
        <w:t>7.5.2</w:t>
      </w:r>
      <w:r>
        <w:rPr>
          <w:bCs/>
          <w:sz w:val="24"/>
          <w:szCs w:val="24"/>
        </w:rPr>
        <w:t xml:space="preserve">  </w:t>
      </w:r>
      <w:r>
        <w:rPr>
          <w:rFonts w:hint="eastAsia"/>
          <w:bCs/>
          <w:sz w:val="24"/>
          <w:szCs w:val="24"/>
        </w:rPr>
        <w:t>搅拌运输车在装料前应将搅拌罐内积水排尽</w:t>
      </w:r>
      <w:r>
        <w:rPr>
          <w:rFonts w:hint="eastAsia"/>
          <w:bCs/>
          <w:sz w:val="24"/>
          <w:szCs w:val="24"/>
        </w:rPr>
        <w:t>，</w:t>
      </w:r>
      <w:r>
        <w:rPr>
          <w:rFonts w:hint="eastAsia"/>
          <w:bCs/>
          <w:sz w:val="24"/>
          <w:szCs w:val="24"/>
        </w:rPr>
        <w:t>装料后严禁向搅拌罐内的混凝土加水。当卸料前需要在混凝土拌合物中掺入外加剂时</w:t>
      </w:r>
      <w:r>
        <w:rPr>
          <w:rFonts w:hint="eastAsia"/>
          <w:bCs/>
          <w:sz w:val="24"/>
          <w:szCs w:val="24"/>
        </w:rPr>
        <w:t>，</w:t>
      </w:r>
      <w:r>
        <w:rPr>
          <w:rFonts w:hint="eastAsia"/>
          <w:bCs/>
          <w:sz w:val="24"/>
          <w:szCs w:val="24"/>
        </w:rPr>
        <w:t>在外加剂掺入后应快速旋转搅拌罐</w:t>
      </w:r>
      <w:r>
        <w:rPr>
          <w:rFonts w:hint="eastAsia"/>
          <w:bCs/>
          <w:sz w:val="24"/>
          <w:szCs w:val="24"/>
        </w:rPr>
        <w:t>；</w:t>
      </w:r>
      <w:r>
        <w:rPr>
          <w:rFonts w:hint="eastAsia"/>
          <w:bCs/>
          <w:sz w:val="24"/>
          <w:szCs w:val="24"/>
        </w:rPr>
        <w:t>外加剂掺量和旋转时间应有预案</w:t>
      </w:r>
      <w:r>
        <w:rPr>
          <w:rFonts w:hint="eastAsia"/>
          <w:bCs/>
          <w:sz w:val="24"/>
          <w:szCs w:val="24"/>
        </w:rPr>
        <w:t>。</w:t>
      </w:r>
    </w:p>
    <w:p w:rsidR="00ED5264" w:rsidRDefault="00B65917">
      <w:pPr>
        <w:spacing w:line="360" w:lineRule="auto"/>
        <w:rPr>
          <w:bCs/>
          <w:sz w:val="24"/>
          <w:szCs w:val="24"/>
        </w:rPr>
      </w:pPr>
      <w:r>
        <w:rPr>
          <w:b/>
          <w:sz w:val="24"/>
          <w:szCs w:val="24"/>
        </w:rPr>
        <w:t>7.5.3</w:t>
      </w:r>
      <w:r>
        <w:rPr>
          <w:sz w:val="24"/>
          <w:szCs w:val="24"/>
        </w:rPr>
        <w:t xml:space="preserve">  </w:t>
      </w:r>
      <w:r>
        <w:rPr>
          <w:rFonts w:hint="eastAsia"/>
          <w:bCs/>
          <w:sz w:val="24"/>
          <w:szCs w:val="24"/>
        </w:rPr>
        <w:t>黄河超细砂</w:t>
      </w:r>
      <w:r>
        <w:rPr>
          <w:rFonts w:hint="eastAsia"/>
          <w:bCs/>
          <w:sz w:val="24"/>
          <w:szCs w:val="24"/>
        </w:rPr>
        <w:t>混凝土从搅拌运输车装料至卸料的运输时间不宜大于</w:t>
      </w:r>
      <w:r>
        <w:rPr>
          <w:rFonts w:hint="eastAsia"/>
          <w:bCs/>
          <w:sz w:val="24"/>
          <w:szCs w:val="24"/>
        </w:rPr>
        <w:t>90min</w:t>
      </w:r>
      <w:r>
        <w:rPr>
          <w:rFonts w:hint="eastAsia"/>
          <w:bCs/>
          <w:sz w:val="24"/>
          <w:szCs w:val="24"/>
        </w:rPr>
        <w:t>，</w:t>
      </w:r>
      <w:r>
        <w:rPr>
          <w:rFonts w:hint="eastAsia"/>
          <w:bCs/>
          <w:sz w:val="24"/>
          <w:szCs w:val="24"/>
        </w:rPr>
        <w:t>如需延长运送时间</w:t>
      </w:r>
      <w:r>
        <w:rPr>
          <w:rFonts w:hint="eastAsia"/>
          <w:bCs/>
          <w:sz w:val="24"/>
          <w:szCs w:val="24"/>
        </w:rPr>
        <w:t>，</w:t>
      </w:r>
      <w:r>
        <w:rPr>
          <w:rFonts w:hint="eastAsia"/>
          <w:bCs/>
          <w:sz w:val="24"/>
          <w:szCs w:val="24"/>
        </w:rPr>
        <w:t>则应采取有效措施</w:t>
      </w:r>
      <w:r>
        <w:rPr>
          <w:rFonts w:hint="eastAsia"/>
          <w:bCs/>
          <w:sz w:val="24"/>
          <w:szCs w:val="24"/>
        </w:rPr>
        <w:t>;</w:t>
      </w:r>
      <w:r>
        <w:rPr>
          <w:rFonts w:hint="eastAsia"/>
          <w:bCs/>
          <w:sz w:val="24"/>
          <w:szCs w:val="24"/>
        </w:rPr>
        <w:t>当采用翻斗车运输时</w:t>
      </w:r>
      <w:r>
        <w:rPr>
          <w:rFonts w:hint="eastAsia"/>
          <w:bCs/>
          <w:sz w:val="24"/>
          <w:szCs w:val="24"/>
        </w:rPr>
        <w:t>，</w:t>
      </w:r>
      <w:r>
        <w:rPr>
          <w:rFonts w:hint="eastAsia"/>
          <w:bCs/>
          <w:sz w:val="24"/>
          <w:szCs w:val="24"/>
        </w:rPr>
        <w:t>运</w:t>
      </w:r>
      <w:r>
        <w:rPr>
          <w:rFonts w:hint="eastAsia"/>
          <w:bCs/>
          <w:sz w:val="24"/>
          <w:szCs w:val="24"/>
        </w:rPr>
        <w:t>输时间不宜大于</w:t>
      </w:r>
      <w:r>
        <w:rPr>
          <w:rFonts w:hint="eastAsia"/>
          <w:bCs/>
          <w:sz w:val="24"/>
          <w:szCs w:val="24"/>
        </w:rPr>
        <w:t>45min</w:t>
      </w:r>
      <w:r>
        <w:rPr>
          <w:rFonts w:hint="eastAsia"/>
          <w:bCs/>
          <w:sz w:val="24"/>
          <w:szCs w:val="24"/>
        </w:rPr>
        <w:t>。</w:t>
      </w:r>
    </w:p>
    <w:p w:rsidR="00ED5264" w:rsidRDefault="00B65917">
      <w:pPr>
        <w:spacing w:line="360" w:lineRule="auto"/>
        <w:rPr>
          <w:sz w:val="24"/>
          <w:szCs w:val="24"/>
        </w:rPr>
      </w:pPr>
      <w:r>
        <w:rPr>
          <w:b/>
          <w:bCs/>
          <w:sz w:val="24"/>
          <w:szCs w:val="24"/>
        </w:rPr>
        <w:t>7.5.4</w:t>
      </w:r>
      <w:r>
        <w:rPr>
          <w:bCs/>
          <w:sz w:val="24"/>
          <w:szCs w:val="24"/>
        </w:rPr>
        <w:t xml:space="preserve">  </w:t>
      </w:r>
      <w:r>
        <w:rPr>
          <w:rFonts w:hint="eastAsia"/>
          <w:bCs/>
          <w:sz w:val="24"/>
          <w:szCs w:val="24"/>
        </w:rPr>
        <w:t>黄河超细砂</w:t>
      </w:r>
      <w:r>
        <w:rPr>
          <w:rFonts w:hint="eastAsia"/>
          <w:bCs/>
          <w:sz w:val="24"/>
          <w:szCs w:val="24"/>
        </w:rPr>
        <w:t>混凝土运输必须保证施工现场浇筑的连续性</w:t>
      </w:r>
      <w:r>
        <w:rPr>
          <w:rFonts w:hint="eastAsia"/>
          <w:bCs/>
          <w:sz w:val="24"/>
          <w:szCs w:val="24"/>
        </w:rPr>
        <w:t>。</w:t>
      </w:r>
    </w:p>
    <w:p w:rsidR="00ED5264" w:rsidRDefault="00B65917">
      <w:pPr>
        <w:spacing w:beforeLines="100" w:before="312" w:afterLines="100" w:after="312" w:line="300" w:lineRule="auto"/>
        <w:jc w:val="center"/>
        <w:outlineLvl w:val="1"/>
        <w:rPr>
          <w:b/>
          <w:bCs/>
          <w:sz w:val="24"/>
          <w:szCs w:val="24"/>
        </w:rPr>
      </w:pPr>
      <w:bookmarkStart w:id="418" w:name="_Toc23260858"/>
      <w:bookmarkStart w:id="419" w:name="_Toc509849544"/>
      <w:bookmarkStart w:id="420" w:name="_Toc15053071"/>
      <w:bookmarkStart w:id="421" w:name="_Toc514685657"/>
      <w:bookmarkStart w:id="422" w:name="_Toc472351370"/>
      <w:bookmarkStart w:id="423" w:name="_Toc672"/>
      <w:bookmarkStart w:id="424" w:name="_Toc486247800"/>
      <w:bookmarkStart w:id="425" w:name="_Toc28832"/>
      <w:bookmarkStart w:id="426" w:name="_Toc25468"/>
      <w:bookmarkStart w:id="427" w:name="_Toc24212"/>
      <w:bookmarkStart w:id="428" w:name="_Toc22356"/>
      <w:r>
        <w:rPr>
          <w:b/>
          <w:bCs/>
          <w:sz w:val="24"/>
          <w:szCs w:val="24"/>
        </w:rPr>
        <w:t xml:space="preserve">7.6 </w:t>
      </w:r>
      <w:r>
        <w:rPr>
          <w:b/>
          <w:bCs/>
          <w:sz w:val="24"/>
          <w:szCs w:val="24"/>
        </w:rPr>
        <w:t>浇筑</w:t>
      </w:r>
      <w:bookmarkEnd w:id="418"/>
      <w:bookmarkEnd w:id="419"/>
      <w:bookmarkEnd w:id="420"/>
      <w:bookmarkEnd w:id="421"/>
      <w:bookmarkEnd w:id="422"/>
      <w:bookmarkEnd w:id="423"/>
      <w:bookmarkEnd w:id="424"/>
      <w:bookmarkEnd w:id="425"/>
      <w:r>
        <w:rPr>
          <w:rFonts w:hint="eastAsia"/>
          <w:b/>
          <w:bCs/>
          <w:sz w:val="24"/>
          <w:szCs w:val="24"/>
        </w:rPr>
        <w:t>成型</w:t>
      </w:r>
      <w:bookmarkEnd w:id="426"/>
      <w:bookmarkEnd w:id="427"/>
      <w:bookmarkEnd w:id="428"/>
    </w:p>
    <w:p w:rsidR="00ED5264" w:rsidRDefault="00B65917">
      <w:pPr>
        <w:pStyle w:val="af3"/>
        <w:spacing w:line="360" w:lineRule="auto"/>
        <w:rPr>
          <w:rFonts w:ascii="Times New Roman" w:hAnsi="Times New Roman"/>
          <w:sz w:val="24"/>
          <w:szCs w:val="24"/>
        </w:rPr>
      </w:pPr>
      <w:r>
        <w:rPr>
          <w:rFonts w:ascii="Times New Roman" w:hAnsi="Times New Roman"/>
          <w:b/>
          <w:bCs/>
          <w:sz w:val="24"/>
          <w:szCs w:val="24"/>
        </w:rPr>
        <w:t>7.6.1</w:t>
      </w:r>
      <w:r>
        <w:rPr>
          <w:rFonts w:ascii="Times New Roman" w:hAnsi="Times New Roman"/>
          <w:bCs/>
          <w:sz w:val="24"/>
          <w:szCs w:val="24"/>
        </w:rPr>
        <w:t xml:space="preserve">  </w:t>
      </w:r>
      <w:r>
        <w:rPr>
          <w:rFonts w:ascii="Times New Roman" w:hAnsi="Times New Roman" w:hint="eastAsia"/>
          <w:sz w:val="24"/>
          <w:szCs w:val="24"/>
        </w:rPr>
        <w:t>浇筑</w:t>
      </w:r>
      <w:r>
        <w:rPr>
          <w:rFonts w:ascii="Times New Roman" w:hAnsi="Times New Roman" w:hint="eastAsia"/>
          <w:sz w:val="24"/>
          <w:szCs w:val="24"/>
        </w:rPr>
        <w:t>黄河超细砂</w:t>
      </w:r>
      <w:r>
        <w:rPr>
          <w:rFonts w:ascii="Times New Roman" w:hAnsi="Times New Roman" w:hint="eastAsia"/>
          <w:sz w:val="24"/>
          <w:szCs w:val="24"/>
        </w:rPr>
        <w:t>混凝土前</w:t>
      </w:r>
      <w:r>
        <w:rPr>
          <w:rFonts w:ascii="Times New Roman" w:hAnsi="Times New Roman" w:hint="eastAsia"/>
          <w:sz w:val="24"/>
          <w:szCs w:val="24"/>
        </w:rPr>
        <w:t>，</w:t>
      </w:r>
      <w:r>
        <w:rPr>
          <w:rFonts w:ascii="Times New Roman" w:hAnsi="Times New Roman" w:hint="eastAsia"/>
          <w:sz w:val="24"/>
          <w:szCs w:val="24"/>
        </w:rPr>
        <w:t>应检查模板稳定性和拼缝密合性</w:t>
      </w:r>
      <w:r>
        <w:rPr>
          <w:rFonts w:ascii="Times New Roman" w:hAnsi="Times New Roman" w:hint="eastAsia"/>
          <w:sz w:val="24"/>
          <w:szCs w:val="24"/>
        </w:rPr>
        <w:t>，</w:t>
      </w:r>
      <w:r>
        <w:rPr>
          <w:rFonts w:ascii="Times New Roman" w:hAnsi="Times New Roman" w:hint="eastAsia"/>
          <w:sz w:val="24"/>
          <w:szCs w:val="24"/>
        </w:rPr>
        <w:t>保证混凝土浇筑过程不失稳、不跑模和不漏浆。</w:t>
      </w:r>
    </w:p>
    <w:p w:rsidR="00ED5264" w:rsidRDefault="00B65917">
      <w:pPr>
        <w:pStyle w:val="af3"/>
        <w:spacing w:line="360" w:lineRule="auto"/>
        <w:rPr>
          <w:rFonts w:ascii="Times New Roman" w:hAnsi="Times New Roman"/>
          <w:sz w:val="24"/>
          <w:szCs w:val="24"/>
        </w:rPr>
      </w:pPr>
      <w:r>
        <w:rPr>
          <w:rFonts w:ascii="Times New Roman" w:hAnsi="Times New Roman"/>
          <w:b/>
          <w:bCs/>
          <w:sz w:val="24"/>
          <w:szCs w:val="24"/>
        </w:rPr>
        <w:t>7.6.2</w:t>
      </w:r>
      <w:r>
        <w:rPr>
          <w:rFonts w:ascii="Times New Roman" w:hAnsi="Times New Roman"/>
          <w:bCs/>
          <w:sz w:val="24"/>
          <w:szCs w:val="24"/>
        </w:rPr>
        <w:t xml:space="preserve">  </w:t>
      </w:r>
      <w:r>
        <w:rPr>
          <w:rFonts w:ascii="Times New Roman" w:hAnsi="Times New Roman" w:hint="eastAsia"/>
          <w:sz w:val="24"/>
          <w:szCs w:val="24"/>
        </w:rPr>
        <w:t>炎热季节施工</w:t>
      </w:r>
      <w:r>
        <w:rPr>
          <w:rFonts w:ascii="Times New Roman" w:hAnsi="Times New Roman" w:hint="eastAsia"/>
          <w:sz w:val="24"/>
          <w:szCs w:val="24"/>
        </w:rPr>
        <w:t>，</w:t>
      </w:r>
      <w:r>
        <w:rPr>
          <w:rFonts w:ascii="Times New Roman" w:hAnsi="Times New Roman" w:hint="eastAsia"/>
          <w:sz w:val="24"/>
          <w:szCs w:val="24"/>
        </w:rPr>
        <w:t>黄河超细砂</w:t>
      </w:r>
      <w:r>
        <w:rPr>
          <w:rFonts w:ascii="Times New Roman" w:hAnsi="Times New Roman" w:hint="eastAsia"/>
          <w:sz w:val="24"/>
          <w:szCs w:val="24"/>
        </w:rPr>
        <w:t>混凝土拌合物入模温度不宜高于</w:t>
      </w:r>
      <w:r>
        <w:rPr>
          <w:rFonts w:ascii="Times New Roman" w:hAnsi="Times New Roman" w:hint="eastAsia"/>
          <w:sz w:val="24"/>
          <w:szCs w:val="24"/>
        </w:rPr>
        <w:t>35</w:t>
      </w:r>
      <w:r>
        <w:rPr>
          <w:rFonts w:ascii="Times New Roman" w:hAnsi="Times New Roman" w:hint="eastAsia"/>
          <w:sz w:val="24"/>
          <w:szCs w:val="24"/>
        </w:rPr>
        <w:t>℃</w:t>
      </w:r>
      <w:r>
        <w:rPr>
          <w:rFonts w:ascii="Times New Roman" w:hAnsi="Times New Roman" w:hint="eastAsia"/>
          <w:sz w:val="24"/>
          <w:szCs w:val="24"/>
        </w:rPr>
        <w:t>，</w:t>
      </w:r>
      <w:r>
        <w:rPr>
          <w:rFonts w:ascii="Times New Roman" w:hAnsi="Times New Roman" w:hint="eastAsia"/>
          <w:sz w:val="24"/>
          <w:szCs w:val="24"/>
        </w:rPr>
        <w:t>宜选择一天中气温较低时段进行浇筑</w:t>
      </w:r>
      <w:r>
        <w:rPr>
          <w:rFonts w:ascii="Times New Roman" w:hAnsi="Times New Roman" w:hint="eastAsia"/>
          <w:sz w:val="24"/>
          <w:szCs w:val="24"/>
        </w:rPr>
        <w:t>，</w:t>
      </w:r>
      <w:r>
        <w:rPr>
          <w:rFonts w:ascii="Times New Roman" w:hAnsi="Times New Roman" w:hint="eastAsia"/>
          <w:sz w:val="24"/>
          <w:szCs w:val="24"/>
        </w:rPr>
        <w:t>宜采取隔热措施</w:t>
      </w:r>
      <w:r>
        <w:rPr>
          <w:rFonts w:ascii="Times New Roman" w:hAnsi="Times New Roman" w:hint="eastAsia"/>
          <w:sz w:val="24"/>
          <w:szCs w:val="24"/>
        </w:rPr>
        <w:t>；</w:t>
      </w:r>
      <w:r>
        <w:rPr>
          <w:rFonts w:ascii="Times New Roman" w:hAnsi="Times New Roman" w:hint="eastAsia"/>
          <w:sz w:val="24"/>
          <w:szCs w:val="24"/>
        </w:rPr>
        <w:t>冬期施工时</w:t>
      </w:r>
      <w:r>
        <w:rPr>
          <w:rFonts w:ascii="Times New Roman" w:hAnsi="Times New Roman" w:hint="eastAsia"/>
          <w:sz w:val="24"/>
          <w:szCs w:val="24"/>
        </w:rPr>
        <w:t>，</w:t>
      </w:r>
      <w:r>
        <w:rPr>
          <w:rFonts w:ascii="Times New Roman" w:hAnsi="Times New Roman" w:hint="eastAsia"/>
          <w:sz w:val="24"/>
          <w:szCs w:val="24"/>
        </w:rPr>
        <w:t>黄河超细砂</w:t>
      </w:r>
      <w:r>
        <w:rPr>
          <w:rFonts w:ascii="Times New Roman" w:hAnsi="Times New Roman" w:hint="eastAsia"/>
          <w:sz w:val="24"/>
          <w:szCs w:val="24"/>
        </w:rPr>
        <w:t>混凝土拌合物</w:t>
      </w:r>
      <w:r>
        <w:rPr>
          <w:rFonts w:ascii="Times New Roman" w:hAnsi="Times New Roman" w:hint="eastAsia"/>
          <w:sz w:val="24"/>
          <w:szCs w:val="24"/>
        </w:rPr>
        <w:t>入</w:t>
      </w:r>
      <w:r>
        <w:rPr>
          <w:rFonts w:ascii="Times New Roman" w:hAnsi="Times New Roman" w:hint="eastAsia"/>
          <w:sz w:val="24"/>
          <w:szCs w:val="24"/>
        </w:rPr>
        <w:t>模温度不宜低于</w:t>
      </w:r>
      <w:r>
        <w:rPr>
          <w:rFonts w:ascii="Times New Roman" w:hAnsi="Times New Roman" w:hint="eastAsia"/>
          <w:sz w:val="24"/>
          <w:szCs w:val="24"/>
        </w:rPr>
        <w:t>5</w:t>
      </w:r>
      <w:r>
        <w:rPr>
          <w:rFonts w:ascii="Times New Roman" w:hAnsi="Times New Roman" w:hint="eastAsia"/>
          <w:sz w:val="24"/>
          <w:szCs w:val="24"/>
        </w:rPr>
        <w:t>℃</w:t>
      </w:r>
      <w:r>
        <w:rPr>
          <w:rFonts w:ascii="Times New Roman" w:hAnsi="Times New Roman" w:hint="eastAsia"/>
          <w:sz w:val="24"/>
          <w:szCs w:val="24"/>
        </w:rPr>
        <w:t>，</w:t>
      </w:r>
      <w:r>
        <w:rPr>
          <w:rFonts w:ascii="Times New Roman" w:hAnsi="Times New Roman" w:hint="eastAsia"/>
          <w:sz w:val="24"/>
          <w:szCs w:val="24"/>
        </w:rPr>
        <w:t>宜采取保温</w:t>
      </w:r>
      <w:r>
        <w:rPr>
          <w:rFonts w:ascii="Times New Roman" w:hAnsi="Times New Roman" w:hint="eastAsia"/>
          <w:sz w:val="24"/>
          <w:szCs w:val="24"/>
        </w:rPr>
        <w:t>、</w:t>
      </w:r>
      <w:r>
        <w:rPr>
          <w:rFonts w:ascii="Times New Roman" w:hAnsi="Times New Roman" w:hint="eastAsia"/>
          <w:sz w:val="24"/>
          <w:szCs w:val="24"/>
        </w:rPr>
        <w:t>防冻</w:t>
      </w:r>
      <w:r>
        <w:rPr>
          <w:rFonts w:ascii="Times New Roman" w:hAnsi="Times New Roman" w:hint="eastAsia"/>
          <w:sz w:val="24"/>
          <w:szCs w:val="24"/>
        </w:rPr>
        <w:t>措施。</w:t>
      </w:r>
    </w:p>
    <w:p w:rsidR="00ED5264" w:rsidRDefault="00B65917">
      <w:pPr>
        <w:pStyle w:val="af3"/>
        <w:spacing w:line="360" w:lineRule="auto"/>
        <w:rPr>
          <w:rFonts w:ascii="Times New Roman" w:hAnsi="Times New Roman"/>
          <w:sz w:val="24"/>
          <w:szCs w:val="24"/>
        </w:rPr>
      </w:pPr>
      <w:r>
        <w:rPr>
          <w:rFonts w:ascii="Times New Roman" w:hAnsi="Times New Roman"/>
          <w:b/>
          <w:bCs/>
          <w:sz w:val="24"/>
          <w:szCs w:val="24"/>
        </w:rPr>
        <w:t>7.6.3</w:t>
      </w:r>
      <w:r>
        <w:rPr>
          <w:rFonts w:ascii="Times New Roman" w:hAnsi="Times New Roman"/>
          <w:bCs/>
          <w:sz w:val="24"/>
          <w:szCs w:val="24"/>
        </w:rPr>
        <w:t xml:space="preserve">  </w:t>
      </w:r>
      <w:r>
        <w:rPr>
          <w:rFonts w:ascii="Times New Roman" w:hAnsi="Times New Roman" w:hint="eastAsia"/>
          <w:sz w:val="24"/>
          <w:szCs w:val="24"/>
        </w:rPr>
        <w:t>泵送设备的选择</w:t>
      </w:r>
      <w:r>
        <w:rPr>
          <w:rFonts w:ascii="Times New Roman" w:hAnsi="Times New Roman" w:hint="eastAsia"/>
          <w:sz w:val="24"/>
          <w:szCs w:val="24"/>
        </w:rPr>
        <w:t>、</w:t>
      </w:r>
      <w:r>
        <w:rPr>
          <w:rFonts w:ascii="Times New Roman" w:hAnsi="Times New Roman" w:hint="eastAsia"/>
          <w:sz w:val="24"/>
          <w:szCs w:val="24"/>
        </w:rPr>
        <w:t>布置及司泵操作</w:t>
      </w:r>
      <w:r>
        <w:rPr>
          <w:rFonts w:ascii="Times New Roman" w:hAnsi="Times New Roman" w:hint="eastAsia"/>
          <w:sz w:val="24"/>
          <w:szCs w:val="24"/>
        </w:rPr>
        <w:t>应符合</w:t>
      </w:r>
      <w:r>
        <w:rPr>
          <w:rFonts w:ascii="Times New Roman" w:hAnsi="Times New Roman" w:hint="eastAsia"/>
          <w:sz w:val="24"/>
          <w:szCs w:val="24"/>
        </w:rPr>
        <w:t>现行行业标准《混凝土泵送施工技术规程》</w:t>
      </w:r>
      <w:r>
        <w:rPr>
          <w:rFonts w:ascii="Times New Roman" w:hAnsi="Times New Roman" w:hint="eastAsia"/>
          <w:sz w:val="24"/>
          <w:szCs w:val="24"/>
        </w:rPr>
        <w:t>JGJ/T</w:t>
      </w:r>
      <w:r>
        <w:rPr>
          <w:rFonts w:ascii="Times New Roman" w:hAnsi="Times New Roman" w:hint="eastAsia"/>
          <w:sz w:val="24"/>
          <w:szCs w:val="24"/>
        </w:rPr>
        <w:t xml:space="preserve"> </w:t>
      </w:r>
      <w:r>
        <w:rPr>
          <w:rFonts w:ascii="Times New Roman" w:hAnsi="Times New Roman" w:hint="eastAsia"/>
          <w:sz w:val="24"/>
          <w:szCs w:val="24"/>
        </w:rPr>
        <w:t>10</w:t>
      </w:r>
      <w:r>
        <w:rPr>
          <w:rFonts w:ascii="Times New Roman" w:hAnsi="Times New Roman" w:hint="eastAsia"/>
          <w:sz w:val="24"/>
          <w:szCs w:val="24"/>
        </w:rPr>
        <w:t>的规定。</w:t>
      </w:r>
    </w:p>
    <w:p w:rsidR="00ED5264" w:rsidRDefault="00B65917">
      <w:pPr>
        <w:spacing w:beforeLines="100" w:before="312" w:afterLines="100" w:after="312" w:line="300" w:lineRule="auto"/>
        <w:jc w:val="center"/>
        <w:outlineLvl w:val="1"/>
        <w:rPr>
          <w:b/>
          <w:bCs/>
          <w:sz w:val="24"/>
          <w:szCs w:val="24"/>
        </w:rPr>
      </w:pPr>
      <w:bookmarkStart w:id="429" w:name="_Toc509849545"/>
      <w:bookmarkStart w:id="430" w:name="_Toc12604"/>
      <w:bookmarkStart w:id="431" w:name="_Toc486247801"/>
      <w:bookmarkStart w:id="432" w:name="_Toc23260859"/>
      <w:bookmarkStart w:id="433" w:name="_Toc19180"/>
      <w:bookmarkStart w:id="434" w:name="_Toc514685658"/>
      <w:bookmarkStart w:id="435" w:name="_Toc15053072"/>
      <w:bookmarkStart w:id="436" w:name="_Toc23530"/>
      <w:bookmarkStart w:id="437" w:name="_Toc13315"/>
      <w:bookmarkStart w:id="438" w:name="_Toc472351371"/>
      <w:bookmarkStart w:id="439" w:name="_Toc6864"/>
      <w:r>
        <w:rPr>
          <w:b/>
          <w:bCs/>
          <w:sz w:val="24"/>
          <w:szCs w:val="24"/>
        </w:rPr>
        <w:t xml:space="preserve">7.7 </w:t>
      </w:r>
      <w:r>
        <w:rPr>
          <w:b/>
          <w:bCs/>
          <w:sz w:val="24"/>
          <w:szCs w:val="24"/>
        </w:rPr>
        <w:t>养护</w:t>
      </w:r>
      <w:bookmarkEnd w:id="429"/>
      <w:bookmarkEnd w:id="430"/>
      <w:bookmarkEnd w:id="431"/>
      <w:bookmarkEnd w:id="432"/>
      <w:bookmarkEnd w:id="433"/>
      <w:bookmarkEnd w:id="434"/>
      <w:bookmarkEnd w:id="435"/>
      <w:bookmarkEnd w:id="436"/>
      <w:bookmarkEnd w:id="437"/>
      <w:bookmarkEnd w:id="438"/>
      <w:bookmarkEnd w:id="439"/>
    </w:p>
    <w:p w:rsidR="00ED5264" w:rsidRDefault="00B65917">
      <w:pPr>
        <w:pStyle w:val="af3"/>
        <w:spacing w:line="360" w:lineRule="auto"/>
        <w:rPr>
          <w:rFonts w:ascii="Times New Roman" w:hAnsi="Times New Roman"/>
          <w:sz w:val="24"/>
          <w:szCs w:val="24"/>
        </w:rPr>
      </w:pPr>
      <w:r>
        <w:rPr>
          <w:rFonts w:ascii="Times New Roman" w:hAnsi="Times New Roman"/>
          <w:b/>
          <w:bCs/>
          <w:sz w:val="24"/>
          <w:szCs w:val="24"/>
        </w:rPr>
        <w:t>7.7.1</w:t>
      </w:r>
      <w:r>
        <w:rPr>
          <w:rFonts w:ascii="Times New Roman" w:hAnsi="Times New Roman"/>
          <w:bCs/>
          <w:sz w:val="24"/>
          <w:szCs w:val="24"/>
        </w:rPr>
        <w:t xml:space="preserve">  </w:t>
      </w:r>
      <w:r>
        <w:rPr>
          <w:rFonts w:ascii="Times New Roman" w:hAnsi="Times New Roman" w:hint="eastAsia"/>
          <w:sz w:val="24"/>
          <w:szCs w:val="24"/>
        </w:rPr>
        <w:t>在</w:t>
      </w:r>
      <w:r>
        <w:rPr>
          <w:rFonts w:ascii="Times New Roman" w:hAnsi="Times New Roman" w:hint="eastAsia"/>
          <w:sz w:val="24"/>
          <w:szCs w:val="24"/>
        </w:rPr>
        <w:t>黄河超细砂</w:t>
      </w:r>
      <w:r>
        <w:rPr>
          <w:rFonts w:ascii="Times New Roman" w:hAnsi="Times New Roman" w:hint="eastAsia"/>
          <w:sz w:val="24"/>
          <w:szCs w:val="24"/>
        </w:rPr>
        <w:t>混凝土浇筑过程中</w:t>
      </w:r>
      <w:r>
        <w:rPr>
          <w:rFonts w:ascii="Times New Roman" w:hAnsi="Times New Roman" w:hint="eastAsia"/>
          <w:sz w:val="24"/>
          <w:szCs w:val="24"/>
        </w:rPr>
        <w:t>，</w:t>
      </w:r>
      <w:r>
        <w:rPr>
          <w:rFonts w:ascii="Times New Roman" w:hAnsi="Times New Roman" w:hint="eastAsia"/>
          <w:sz w:val="24"/>
          <w:szCs w:val="24"/>
        </w:rPr>
        <w:t>应及时用塑料薄膜等覆盖物对暴露面进行覆盖养护。当需要在混凝土初凝前进行抹压时，抹压完成也应及时覆盖</w:t>
      </w:r>
      <w:r>
        <w:rPr>
          <w:rFonts w:ascii="Times New Roman" w:hAnsi="Times New Roman" w:hint="eastAsia"/>
          <w:sz w:val="24"/>
          <w:szCs w:val="24"/>
        </w:rPr>
        <w:t>。</w:t>
      </w:r>
    </w:p>
    <w:p w:rsidR="00ED5264" w:rsidRDefault="00B65917">
      <w:pPr>
        <w:pStyle w:val="af3"/>
        <w:spacing w:line="360" w:lineRule="auto"/>
        <w:rPr>
          <w:rFonts w:ascii="Times New Roman" w:hAnsi="Times New Roman"/>
          <w:sz w:val="24"/>
          <w:szCs w:val="24"/>
        </w:rPr>
      </w:pPr>
      <w:r>
        <w:rPr>
          <w:rFonts w:ascii="Times New Roman" w:hAnsi="Times New Roman" w:hint="eastAsia"/>
          <w:b/>
          <w:bCs/>
          <w:sz w:val="24"/>
          <w:szCs w:val="24"/>
        </w:rPr>
        <w:t>7.7.2</w:t>
      </w:r>
      <w:r>
        <w:rPr>
          <w:rFonts w:ascii="Times New Roman" w:hAnsi="Times New Roman" w:hint="eastAsia"/>
          <w:sz w:val="24"/>
          <w:szCs w:val="24"/>
        </w:rPr>
        <w:t xml:space="preserve"> </w:t>
      </w:r>
      <w:r>
        <w:rPr>
          <w:rFonts w:ascii="Times New Roman" w:hAnsi="Times New Roman" w:hint="eastAsia"/>
          <w:sz w:val="24"/>
          <w:szCs w:val="24"/>
        </w:rPr>
        <w:t xml:space="preserve"> </w:t>
      </w:r>
      <w:r>
        <w:rPr>
          <w:rFonts w:ascii="Times New Roman" w:hAnsi="Times New Roman" w:hint="eastAsia"/>
          <w:sz w:val="24"/>
          <w:szCs w:val="24"/>
        </w:rPr>
        <w:t>黄河超细砂</w:t>
      </w:r>
      <w:r>
        <w:rPr>
          <w:rFonts w:ascii="Times New Roman" w:hAnsi="Times New Roman" w:hint="eastAsia"/>
          <w:sz w:val="24"/>
          <w:szCs w:val="24"/>
        </w:rPr>
        <w:t>混凝土</w:t>
      </w:r>
      <w:r>
        <w:rPr>
          <w:rFonts w:ascii="Times New Roman" w:hAnsi="Times New Roman" w:hint="eastAsia"/>
          <w:sz w:val="24"/>
          <w:szCs w:val="24"/>
        </w:rPr>
        <w:t>应加强保湿养护，</w:t>
      </w:r>
      <w:r>
        <w:rPr>
          <w:rFonts w:ascii="Times New Roman" w:hAnsi="Times New Roman" w:hint="eastAsia"/>
          <w:sz w:val="24"/>
          <w:szCs w:val="24"/>
        </w:rPr>
        <w:t>保湿养护方式包括蓄水</w:t>
      </w:r>
      <w:r>
        <w:rPr>
          <w:rFonts w:ascii="Times New Roman" w:hAnsi="Times New Roman" w:hint="eastAsia"/>
          <w:sz w:val="24"/>
          <w:szCs w:val="24"/>
        </w:rPr>
        <w:t>、</w:t>
      </w:r>
      <w:r>
        <w:rPr>
          <w:rFonts w:ascii="Times New Roman" w:hAnsi="Times New Roman" w:hint="eastAsia"/>
          <w:sz w:val="24"/>
          <w:szCs w:val="24"/>
        </w:rPr>
        <w:t>覆盖物充水保湿等</w:t>
      </w:r>
      <w:r>
        <w:rPr>
          <w:rFonts w:ascii="Times New Roman" w:hAnsi="Times New Roman" w:hint="eastAsia"/>
          <w:sz w:val="24"/>
          <w:szCs w:val="24"/>
        </w:rPr>
        <w:t>，</w:t>
      </w:r>
      <w:r>
        <w:rPr>
          <w:rFonts w:ascii="Times New Roman" w:hAnsi="Times New Roman" w:hint="eastAsia"/>
          <w:sz w:val="24"/>
          <w:szCs w:val="24"/>
        </w:rPr>
        <w:t>养护水温与混凝土表面温度之差不宜大于</w:t>
      </w:r>
      <w:r>
        <w:rPr>
          <w:rFonts w:ascii="Times New Roman" w:hAnsi="Times New Roman" w:hint="eastAsia"/>
          <w:sz w:val="24"/>
          <w:szCs w:val="24"/>
        </w:rPr>
        <w:t>20</w:t>
      </w:r>
      <w:r>
        <w:rPr>
          <w:rFonts w:ascii="Times New Roman" w:hAnsi="Times New Roman" w:hint="eastAsia"/>
          <w:sz w:val="24"/>
          <w:szCs w:val="24"/>
        </w:rPr>
        <w:t>℃</w:t>
      </w:r>
      <w:r>
        <w:rPr>
          <w:rFonts w:ascii="Times New Roman" w:hAnsi="Times New Roman" w:hint="eastAsia"/>
          <w:sz w:val="24"/>
          <w:szCs w:val="24"/>
        </w:rPr>
        <w:t>；</w:t>
      </w:r>
      <w:r>
        <w:rPr>
          <w:rFonts w:ascii="Times New Roman" w:hAnsi="Times New Roman" w:hint="eastAsia"/>
          <w:sz w:val="24"/>
          <w:szCs w:val="24"/>
        </w:rPr>
        <w:t>保温保湿养护时间不宜少于</w:t>
      </w:r>
      <w:r>
        <w:rPr>
          <w:rFonts w:ascii="Times New Roman" w:hAnsi="Times New Roman" w:hint="eastAsia"/>
          <w:sz w:val="24"/>
          <w:szCs w:val="24"/>
        </w:rPr>
        <w:t>7</w:t>
      </w:r>
      <w:r>
        <w:rPr>
          <w:rFonts w:ascii="Times New Roman" w:hAnsi="Times New Roman" w:hint="eastAsia"/>
          <w:sz w:val="24"/>
          <w:szCs w:val="24"/>
        </w:rPr>
        <w:t>d</w:t>
      </w:r>
      <w:r>
        <w:rPr>
          <w:rFonts w:ascii="Times New Roman" w:hAnsi="Times New Roman" w:hint="eastAsia"/>
          <w:sz w:val="24"/>
          <w:szCs w:val="24"/>
        </w:rPr>
        <w:t>，</w:t>
      </w:r>
      <w:r>
        <w:rPr>
          <w:rFonts w:ascii="Times New Roman" w:hAnsi="Times New Roman" w:hint="eastAsia"/>
          <w:sz w:val="24"/>
          <w:szCs w:val="24"/>
        </w:rPr>
        <w:t>保湿养护不宜低于</w:t>
      </w:r>
      <w:r>
        <w:rPr>
          <w:rFonts w:ascii="Times New Roman" w:hAnsi="Times New Roman" w:hint="eastAsia"/>
          <w:sz w:val="24"/>
          <w:szCs w:val="24"/>
        </w:rPr>
        <w:t>14d</w:t>
      </w:r>
      <w:r>
        <w:rPr>
          <w:rFonts w:ascii="Times New Roman" w:hAnsi="Times New Roman" w:hint="eastAsia"/>
          <w:sz w:val="24"/>
          <w:szCs w:val="24"/>
        </w:rPr>
        <w:t>。</w:t>
      </w:r>
    </w:p>
    <w:p w:rsidR="00ED5264" w:rsidRDefault="00B65917">
      <w:pPr>
        <w:pStyle w:val="af3"/>
        <w:spacing w:line="360" w:lineRule="auto"/>
        <w:rPr>
          <w:rFonts w:ascii="Times New Roman" w:hAnsi="Times New Roman"/>
          <w:sz w:val="24"/>
          <w:szCs w:val="24"/>
        </w:rPr>
      </w:pPr>
      <w:r>
        <w:rPr>
          <w:rFonts w:ascii="Times New Roman" w:hAnsi="Times New Roman" w:hint="eastAsia"/>
          <w:b/>
          <w:bCs/>
          <w:sz w:val="24"/>
          <w:szCs w:val="24"/>
        </w:rPr>
        <w:t>7.7.3</w:t>
      </w:r>
      <w:r>
        <w:rPr>
          <w:rFonts w:ascii="Times New Roman" w:hAnsi="Times New Roman" w:hint="eastAsia"/>
          <w:b/>
          <w:bCs/>
          <w:sz w:val="24"/>
          <w:szCs w:val="24"/>
        </w:rPr>
        <w:t xml:space="preserve">  </w:t>
      </w:r>
      <w:r>
        <w:rPr>
          <w:rFonts w:ascii="Times New Roman" w:hAnsi="Times New Roman" w:hint="eastAsia"/>
          <w:sz w:val="24"/>
          <w:szCs w:val="24"/>
        </w:rPr>
        <w:t>大体积</w:t>
      </w:r>
      <w:r>
        <w:rPr>
          <w:rFonts w:ascii="Times New Roman" w:hAnsi="Times New Roman" w:hint="eastAsia"/>
          <w:sz w:val="24"/>
          <w:szCs w:val="24"/>
        </w:rPr>
        <w:t>黄河超细砂</w:t>
      </w:r>
      <w:r>
        <w:rPr>
          <w:rFonts w:ascii="Times New Roman" w:hAnsi="Times New Roman" w:hint="eastAsia"/>
          <w:sz w:val="24"/>
          <w:szCs w:val="24"/>
        </w:rPr>
        <w:t>混凝土应采取温控措施</w:t>
      </w:r>
      <w:r>
        <w:rPr>
          <w:rFonts w:ascii="Times New Roman" w:hAnsi="Times New Roman" w:hint="eastAsia"/>
          <w:sz w:val="24"/>
          <w:szCs w:val="24"/>
        </w:rPr>
        <w:t>，</w:t>
      </w:r>
      <w:r>
        <w:rPr>
          <w:rFonts w:ascii="Times New Roman" w:hAnsi="Times New Roman" w:hint="eastAsia"/>
          <w:sz w:val="24"/>
          <w:szCs w:val="24"/>
        </w:rPr>
        <w:t>使混凝土内外温</w:t>
      </w:r>
      <w:r>
        <w:rPr>
          <w:rFonts w:ascii="Times New Roman" w:hAnsi="Times New Roman" w:hint="eastAsia"/>
          <w:sz w:val="24"/>
          <w:szCs w:val="24"/>
        </w:rPr>
        <w:t>差不超过</w:t>
      </w:r>
      <w:r>
        <w:rPr>
          <w:rFonts w:ascii="Times New Roman" w:hAnsi="Times New Roman" w:hint="eastAsia"/>
          <w:sz w:val="24"/>
          <w:szCs w:val="24"/>
        </w:rPr>
        <w:t>25</w:t>
      </w:r>
      <w:r>
        <w:rPr>
          <w:rFonts w:ascii="Times New Roman" w:hAnsi="Times New Roman" w:hint="eastAsia"/>
          <w:sz w:val="24"/>
          <w:szCs w:val="24"/>
        </w:rPr>
        <w:t>℃，混凝土表面与环境介质的温差不大于</w:t>
      </w:r>
      <w:r>
        <w:rPr>
          <w:rFonts w:ascii="Times New Roman" w:hAnsi="Times New Roman" w:hint="eastAsia"/>
          <w:sz w:val="24"/>
          <w:szCs w:val="24"/>
        </w:rPr>
        <w:t>20</w:t>
      </w:r>
      <w:r>
        <w:rPr>
          <w:rFonts w:ascii="Times New Roman" w:hAnsi="Times New Roman" w:hint="eastAsia"/>
          <w:sz w:val="24"/>
          <w:szCs w:val="24"/>
        </w:rPr>
        <w:t>℃。</w:t>
      </w:r>
    </w:p>
    <w:p w:rsidR="00ED5264" w:rsidRDefault="00B65917">
      <w:pPr>
        <w:pStyle w:val="af3"/>
        <w:spacing w:line="360" w:lineRule="auto"/>
        <w:rPr>
          <w:rFonts w:ascii="Times New Roman" w:hAnsi="Times New Roman"/>
          <w:b/>
          <w:bCs/>
          <w:sz w:val="24"/>
          <w:szCs w:val="24"/>
        </w:rPr>
      </w:pPr>
      <w:r>
        <w:rPr>
          <w:rFonts w:ascii="Times New Roman" w:hAnsi="Times New Roman" w:hint="eastAsia"/>
          <w:b/>
          <w:bCs/>
          <w:sz w:val="24"/>
          <w:szCs w:val="24"/>
        </w:rPr>
        <w:t>7.7.</w:t>
      </w:r>
      <w:r>
        <w:rPr>
          <w:rFonts w:ascii="Times New Roman" w:hAnsi="Times New Roman" w:hint="eastAsia"/>
          <w:b/>
          <w:bCs/>
          <w:sz w:val="24"/>
          <w:szCs w:val="24"/>
        </w:rPr>
        <w:t xml:space="preserve">4  </w:t>
      </w:r>
      <w:r>
        <w:rPr>
          <w:rFonts w:ascii="Times New Roman" w:hAnsi="Times New Roman" w:hint="eastAsia"/>
          <w:sz w:val="24"/>
          <w:szCs w:val="24"/>
        </w:rPr>
        <w:t>黄河超细砂混凝土的养护应按现行国家标准</w:t>
      </w:r>
      <w:r>
        <w:rPr>
          <w:rFonts w:ascii="Times New Roman" w:hAnsi="Times New Roman" w:hint="eastAsia"/>
          <w:sz w:val="24"/>
          <w:szCs w:val="24"/>
        </w:rPr>
        <w:t>《混凝土质量控制标准》</w:t>
      </w:r>
      <w:r>
        <w:rPr>
          <w:rFonts w:ascii="Times New Roman" w:hAnsi="Times New Roman" w:hint="eastAsia"/>
          <w:sz w:val="24"/>
          <w:szCs w:val="24"/>
        </w:rPr>
        <w:t>GB 50164</w:t>
      </w:r>
      <w:r>
        <w:rPr>
          <w:rFonts w:ascii="Times New Roman" w:hAnsi="Times New Roman" w:hint="eastAsia"/>
          <w:sz w:val="24"/>
          <w:szCs w:val="24"/>
        </w:rPr>
        <w:t>和《混凝土结构工程施工规范》</w:t>
      </w:r>
      <w:r>
        <w:rPr>
          <w:rFonts w:ascii="Times New Roman" w:hAnsi="Times New Roman" w:hint="eastAsia"/>
          <w:sz w:val="24"/>
          <w:szCs w:val="24"/>
        </w:rPr>
        <w:t>CB 50666</w:t>
      </w:r>
      <w:r>
        <w:rPr>
          <w:rFonts w:ascii="Times New Roman" w:hAnsi="Times New Roman" w:hint="eastAsia"/>
          <w:sz w:val="24"/>
          <w:szCs w:val="24"/>
        </w:rPr>
        <w:t>中关于混凝土养护的规定执行。</w:t>
      </w:r>
    </w:p>
    <w:p w:rsidR="00ED5264" w:rsidRDefault="00B65917">
      <w:pPr>
        <w:pStyle w:val="af3"/>
        <w:spacing w:line="360" w:lineRule="auto"/>
        <w:rPr>
          <w:rFonts w:ascii="Times New Roman" w:hAnsi="Times New Roman"/>
          <w:b/>
          <w:bCs/>
          <w:sz w:val="24"/>
          <w:szCs w:val="24"/>
        </w:rPr>
      </w:pPr>
      <w:r>
        <w:rPr>
          <w:rFonts w:ascii="Times New Roman" w:hAnsi="Times New Roman" w:hint="eastAsia"/>
          <w:b/>
          <w:bCs/>
          <w:sz w:val="24"/>
          <w:szCs w:val="24"/>
        </w:rPr>
        <w:lastRenderedPageBreak/>
        <w:t>7.7.</w:t>
      </w:r>
      <w:r>
        <w:rPr>
          <w:rFonts w:ascii="Times New Roman" w:hAnsi="Times New Roman" w:hint="eastAsia"/>
          <w:b/>
          <w:bCs/>
          <w:sz w:val="24"/>
          <w:szCs w:val="24"/>
        </w:rPr>
        <w:t>5</w:t>
      </w:r>
      <w:r>
        <w:rPr>
          <w:rFonts w:ascii="Times New Roman" w:hAnsi="Times New Roman" w:hint="eastAsia"/>
          <w:sz w:val="24"/>
          <w:szCs w:val="24"/>
        </w:rPr>
        <w:t>冬季施工的黄河超细砂混凝土采用自然养护时宜使用不透明的塑料薄膜覆盖或喷洒养护液。日均气温低于</w:t>
      </w:r>
      <w:r>
        <w:rPr>
          <w:rFonts w:ascii="Times New Roman" w:hAnsi="Times New Roman" w:hint="eastAsia"/>
          <w:sz w:val="24"/>
          <w:szCs w:val="24"/>
        </w:rPr>
        <w:t>5</w:t>
      </w:r>
      <w:r>
        <w:rPr>
          <w:rFonts w:ascii="Times New Roman" w:hAnsi="Times New Roman" w:hint="eastAsia"/>
          <w:sz w:val="24"/>
          <w:szCs w:val="24"/>
        </w:rPr>
        <w:t>℃时，不得采取浇水自然养护方法。混凝土浇筑后</w:t>
      </w:r>
      <w:r>
        <w:rPr>
          <w:rFonts w:ascii="Times New Roman" w:hAnsi="Times New Roman" w:hint="eastAsia"/>
          <w:sz w:val="24"/>
          <w:szCs w:val="24"/>
        </w:rPr>
        <w:t>,</w:t>
      </w:r>
      <w:r>
        <w:rPr>
          <w:rFonts w:ascii="Times New Roman" w:hAnsi="Times New Roman" w:hint="eastAsia"/>
          <w:sz w:val="24"/>
          <w:szCs w:val="24"/>
        </w:rPr>
        <w:t>应立即采用塑料薄膜及保温材料覆盖。</w:t>
      </w:r>
    </w:p>
    <w:p w:rsidR="00ED5264" w:rsidRDefault="00B65917">
      <w:pPr>
        <w:pStyle w:val="af3"/>
        <w:spacing w:line="360" w:lineRule="auto"/>
        <w:rPr>
          <w:rFonts w:ascii="Times New Roman" w:hAnsi="Times New Roman"/>
          <w:b/>
          <w:bCs/>
          <w:sz w:val="24"/>
          <w:szCs w:val="24"/>
        </w:rPr>
      </w:pPr>
      <w:r>
        <w:rPr>
          <w:rFonts w:ascii="Times New Roman" w:hAnsi="Times New Roman" w:hint="eastAsia"/>
          <w:b/>
          <w:bCs/>
          <w:sz w:val="24"/>
          <w:szCs w:val="24"/>
        </w:rPr>
        <w:t>7.7.</w:t>
      </w:r>
      <w:r>
        <w:rPr>
          <w:rFonts w:ascii="Times New Roman" w:hAnsi="Times New Roman" w:hint="eastAsia"/>
          <w:b/>
          <w:bCs/>
          <w:sz w:val="24"/>
          <w:szCs w:val="24"/>
        </w:rPr>
        <w:t xml:space="preserve">6  </w:t>
      </w:r>
      <w:r>
        <w:rPr>
          <w:rFonts w:ascii="Times New Roman" w:hAnsi="Times New Roman" w:hint="eastAsia"/>
          <w:sz w:val="24"/>
          <w:szCs w:val="24"/>
        </w:rPr>
        <w:t>黄河超细混合砂用于蒸汽养护的钢筋混凝土时，其养护时间和养护制度必须经过试验确定。</w:t>
      </w:r>
    </w:p>
    <w:p w:rsidR="00ED5264" w:rsidRDefault="00B65917">
      <w:bookmarkStart w:id="440" w:name="_Toc514685659"/>
      <w:bookmarkStart w:id="441" w:name="_Toc23260860"/>
      <w:bookmarkStart w:id="442" w:name="_Toc245291086"/>
      <w:bookmarkStart w:id="443" w:name="_Toc15053073"/>
      <w:bookmarkStart w:id="444" w:name="_Toc238356697"/>
      <w:bookmarkStart w:id="445" w:name="_Toc236925633"/>
      <w:bookmarkStart w:id="446" w:name="_Toc237336843"/>
      <w:bookmarkStart w:id="447" w:name="_Toc245290395"/>
      <w:bookmarkStart w:id="448" w:name="_Toc242936871"/>
      <w:bookmarkStart w:id="449" w:name="_Toc243285265"/>
      <w:bookmarkStart w:id="450" w:name="_Toc245290873"/>
      <w:r>
        <w:br w:type="page"/>
      </w:r>
    </w:p>
    <w:p w:rsidR="00ED5264" w:rsidRDefault="00B65917">
      <w:pPr>
        <w:pStyle w:val="aff4"/>
        <w:spacing w:before="312" w:after="312"/>
      </w:pPr>
      <w:bookmarkStart w:id="451" w:name="_Toc9124"/>
      <w:bookmarkStart w:id="452" w:name="_Toc22581"/>
      <w:bookmarkStart w:id="453" w:name="_Toc365"/>
      <w:r>
        <w:lastRenderedPageBreak/>
        <w:t xml:space="preserve">8 </w:t>
      </w:r>
      <w:r>
        <w:t xml:space="preserve"> </w:t>
      </w:r>
      <w:r>
        <w:t>质量检验和验收</w:t>
      </w:r>
      <w:bookmarkEnd w:id="440"/>
      <w:bookmarkEnd w:id="441"/>
      <w:bookmarkEnd w:id="442"/>
      <w:bookmarkEnd w:id="443"/>
      <w:bookmarkEnd w:id="444"/>
      <w:bookmarkEnd w:id="445"/>
      <w:bookmarkEnd w:id="446"/>
      <w:bookmarkEnd w:id="447"/>
      <w:bookmarkEnd w:id="448"/>
      <w:bookmarkEnd w:id="449"/>
      <w:bookmarkEnd w:id="450"/>
      <w:bookmarkEnd w:id="451"/>
      <w:bookmarkEnd w:id="452"/>
      <w:bookmarkEnd w:id="453"/>
    </w:p>
    <w:p w:rsidR="00ED5264" w:rsidRDefault="00B65917">
      <w:pPr>
        <w:spacing w:beforeLines="100" w:before="312" w:afterLines="100" w:after="312" w:line="300" w:lineRule="auto"/>
        <w:jc w:val="center"/>
        <w:outlineLvl w:val="1"/>
        <w:rPr>
          <w:b/>
          <w:bCs/>
          <w:sz w:val="24"/>
          <w:szCs w:val="24"/>
        </w:rPr>
      </w:pPr>
      <w:bookmarkStart w:id="454" w:name="_Toc175973444"/>
      <w:bookmarkStart w:id="455" w:name="_Toc237336845"/>
      <w:bookmarkStart w:id="456" w:name="_Toc245290396"/>
      <w:bookmarkStart w:id="457" w:name="_Toc236925635"/>
      <w:bookmarkStart w:id="458" w:name="_Toc242936872"/>
      <w:bookmarkStart w:id="459" w:name="_Toc243285266"/>
      <w:bookmarkStart w:id="460" w:name="_Toc7365"/>
      <w:bookmarkStart w:id="461" w:name="_Toc23487"/>
      <w:bookmarkStart w:id="462" w:name="_Toc238356698"/>
      <w:bookmarkStart w:id="463" w:name="_Toc11921"/>
      <w:bookmarkStart w:id="464" w:name="_Toc514685660"/>
      <w:bookmarkStart w:id="465" w:name="_Toc23260861"/>
      <w:bookmarkStart w:id="466" w:name="_Toc15053074"/>
      <w:bookmarkStart w:id="467" w:name="_Toc245290874"/>
      <w:bookmarkStart w:id="468" w:name="_Toc245291087"/>
      <w:r>
        <w:rPr>
          <w:b/>
          <w:bCs/>
          <w:sz w:val="24"/>
          <w:szCs w:val="24"/>
        </w:rPr>
        <w:t>8.</w:t>
      </w:r>
      <w:bookmarkEnd w:id="454"/>
      <w:r>
        <w:rPr>
          <w:b/>
          <w:bCs/>
          <w:sz w:val="24"/>
          <w:szCs w:val="24"/>
        </w:rPr>
        <w:t xml:space="preserve">1  </w:t>
      </w:r>
      <w:r>
        <w:rPr>
          <w:b/>
          <w:bCs/>
          <w:sz w:val="24"/>
          <w:szCs w:val="24"/>
        </w:rPr>
        <w:t>原材料质量检验</w:t>
      </w:r>
      <w:bookmarkEnd w:id="455"/>
      <w:bookmarkEnd w:id="456"/>
      <w:bookmarkEnd w:id="457"/>
      <w:bookmarkEnd w:id="458"/>
      <w:bookmarkEnd w:id="459"/>
      <w:bookmarkEnd w:id="460"/>
      <w:bookmarkEnd w:id="461"/>
      <w:bookmarkEnd w:id="462"/>
      <w:bookmarkEnd w:id="463"/>
      <w:bookmarkEnd w:id="464"/>
      <w:bookmarkEnd w:id="465"/>
      <w:bookmarkEnd w:id="466"/>
      <w:bookmarkEnd w:id="467"/>
      <w:bookmarkEnd w:id="468"/>
    </w:p>
    <w:p w:rsidR="00ED5264" w:rsidRDefault="00B65917">
      <w:pPr>
        <w:pStyle w:val="aff9"/>
        <w:spacing w:line="360" w:lineRule="auto"/>
      </w:pPr>
      <w:bookmarkStart w:id="469" w:name="_Toc23260862"/>
      <w:bookmarkStart w:id="470" w:name="_Toc15053075"/>
      <w:bookmarkStart w:id="471" w:name="_Toc243285267"/>
      <w:bookmarkStart w:id="472" w:name="_Toc514685661"/>
      <w:r>
        <w:rPr>
          <w:b/>
        </w:rPr>
        <w:t xml:space="preserve">8.1.1 </w:t>
      </w:r>
      <w:r>
        <w:t xml:space="preserve"> </w:t>
      </w:r>
      <w:r>
        <w:rPr>
          <w:rFonts w:hint="eastAsia"/>
        </w:rPr>
        <w:t>黄河超细砂及其混合砂等</w:t>
      </w:r>
      <w:r>
        <w:t>混凝土原材料进场时，</w:t>
      </w:r>
      <w:bookmarkStart w:id="473" w:name="OLE_LINK7"/>
      <w:bookmarkStart w:id="474" w:name="OLE_LINK8"/>
      <w:r>
        <w:rPr>
          <w:szCs w:val="21"/>
        </w:rPr>
        <w:t>应按规定批次</w:t>
      </w:r>
      <w:r>
        <w:rPr>
          <w:rFonts w:hint="eastAsia"/>
          <w:szCs w:val="21"/>
        </w:rPr>
        <w:t>检验</w:t>
      </w:r>
      <w:r>
        <w:t>型式检验报告、出厂检验报告或合格证等</w:t>
      </w:r>
      <w:r>
        <w:rPr>
          <w:szCs w:val="21"/>
        </w:rPr>
        <w:t>质量证明文件</w:t>
      </w:r>
      <w:bookmarkEnd w:id="473"/>
      <w:bookmarkEnd w:id="474"/>
      <w:r>
        <w:t>，外加剂产品还应具有使用说明书。</w:t>
      </w:r>
      <w:bookmarkEnd w:id="469"/>
      <w:bookmarkEnd w:id="470"/>
      <w:bookmarkEnd w:id="471"/>
      <w:bookmarkEnd w:id="472"/>
    </w:p>
    <w:p w:rsidR="00ED5264" w:rsidRDefault="00B65917">
      <w:pPr>
        <w:pStyle w:val="aff9"/>
        <w:spacing w:line="360" w:lineRule="auto"/>
      </w:pPr>
      <w:bookmarkStart w:id="475" w:name="_Toc514685662"/>
      <w:bookmarkStart w:id="476" w:name="_Toc243285268"/>
      <w:bookmarkStart w:id="477" w:name="_Toc23260863"/>
      <w:bookmarkStart w:id="478" w:name="_Toc15053076"/>
      <w:r>
        <w:rPr>
          <w:b/>
        </w:rPr>
        <w:t xml:space="preserve">8.1.2  </w:t>
      </w:r>
      <w:r>
        <w:rPr>
          <w:bCs/>
        </w:rPr>
        <w:t>原材料进场后，应进行进场检验；在混凝土生产过程中，还宜对混凝土原</w:t>
      </w:r>
      <w:r>
        <w:t>材料进行随机抽检。</w:t>
      </w:r>
      <w:bookmarkEnd w:id="475"/>
      <w:bookmarkEnd w:id="476"/>
      <w:bookmarkEnd w:id="477"/>
      <w:bookmarkEnd w:id="478"/>
    </w:p>
    <w:p w:rsidR="00ED5264" w:rsidRDefault="00B65917">
      <w:pPr>
        <w:spacing w:beforeLines="100" w:before="312" w:afterLines="100" w:after="312" w:line="300" w:lineRule="auto"/>
        <w:jc w:val="center"/>
        <w:outlineLvl w:val="1"/>
        <w:rPr>
          <w:b/>
          <w:bCs/>
          <w:sz w:val="24"/>
          <w:szCs w:val="24"/>
        </w:rPr>
      </w:pPr>
      <w:bookmarkStart w:id="479" w:name="_Toc23260868"/>
      <w:bookmarkStart w:id="480" w:name="_Toc9263"/>
      <w:bookmarkStart w:id="481" w:name="_Toc2109"/>
      <w:bookmarkStart w:id="482" w:name="_Toc28692"/>
      <w:bookmarkStart w:id="483" w:name="_Toc486247804"/>
      <w:bookmarkStart w:id="484" w:name="_Toc11115"/>
      <w:bookmarkStart w:id="485" w:name="_Toc5721"/>
      <w:bookmarkStart w:id="486" w:name="_Toc509849548"/>
      <w:bookmarkStart w:id="487" w:name="_Toc472351374"/>
      <w:bookmarkStart w:id="488" w:name="_Toc15053081"/>
      <w:bookmarkStart w:id="489" w:name="_Toc514685667"/>
      <w:bookmarkStart w:id="490" w:name="_Toc238356699"/>
      <w:bookmarkStart w:id="491" w:name="_Toc237336846"/>
      <w:bookmarkStart w:id="492" w:name="_Toc245291088"/>
      <w:bookmarkStart w:id="493" w:name="_Toc175973472"/>
      <w:bookmarkStart w:id="494" w:name="_Toc245290397"/>
      <w:bookmarkStart w:id="495" w:name="_Toc245290875"/>
      <w:bookmarkStart w:id="496" w:name="_Toc242936873"/>
      <w:bookmarkStart w:id="497" w:name="_Toc236925636"/>
      <w:bookmarkStart w:id="498" w:name="_Toc243285277"/>
      <w:r>
        <w:rPr>
          <w:b/>
          <w:bCs/>
          <w:sz w:val="24"/>
          <w:szCs w:val="24"/>
        </w:rPr>
        <w:t xml:space="preserve">8.2  </w:t>
      </w:r>
      <w:r>
        <w:rPr>
          <w:b/>
          <w:sz w:val="24"/>
          <w:szCs w:val="24"/>
        </w:rPr>
        <w:t>混凝土</w:t>
      </w:r>
      <w:r>
        <w:rPr>
          <w:b/>
          <w:bCs/>
          <w:sz w:val="24"/>
          <w:szCs w:val="24"/>
        </w:rPr>
        <w:t>性能检验</w:t>
      </w:r>
      <w:bookmarkEnd w:id="479"/>
      <w:bookmarkEnd w:id="480"/>
      <w:bookmarkEnd w:id="481"/>
      <w:bookmarkEnd w:id="482"/>
      <w:bookmarkEnd w:id="483"/>
      <w:bookmarkEnd w:id="484"/>
      <w:bookmarkEnd w:id="485"/>
      <w:bookmarkEnd w:id="486"/>
      <w:bookmarkEnd w:id="487"/>
      <w:bookmarkEnd w:id="488"/>
      <w:bookmarkEnd w:id="489"/>
    </w:p>
    <w:p w:rsidR="00ED5264" w:rsidRDefault="00B65917">
      <w:pPr>
        <w:pStyle w:val="af3"/>
        <w:spacing w:line="360" w:lineRule="auto"/>
        <w:rPr>
          <w:rFonts w:ascii="Times New Roman" w:hAnsi="Times New Roman"/>
          <w:b/>
          <w:bCs/>
          <w:sz w:val="24"/>
          <w:szCs w:val="24"/>
        </w:rPr>
      </w:pPr>
      <w:r>
        <w:rPr>
          <w:rFonts w:ascii="Times New Roman" w:hAnsi="Times New Roman"/>
          <w:b/>
          <w:bCs/>
          <w:sz w:val="24"/>
          <w:szCs w:val="24"/>
        </w:rPr>
        <w:t>8.2.1</w:t>
      </w:r>
      <w:r>
        <w:rPr>
          <w:rFonts w:ascii="Times New Roman" w:hAnsi="Times New Roman"/>
          <w:bCs/>
          <w:sz w:val="24"/>
          <w:szCs w:val="24"/>
        </w:rPr>
        <w:t xml:space="preserve">  </w:t>
      </w:r>
      <w:r>
        <w:rPr>
          <w:rFonts w:ascii="Times New Roman" w:hAnsi="Times New Roman" w:hint="eastAsia"/>
          <w:bCs/>
          <w:sz w:val="24"/>
          <w:szCs w:val="24"/>
        </w:rPr>
        <w:t>黄河超细砂</w:t>
      </w:r>
      <w:r>
        <w:rPr>
          <w:rFonts w:ascii="Times New Roman" w:hAnsi="Times New Roman"/>
          <w:sz w:val="24"/>
          <w:szCs w:val="24"/>
        </w:rPr>
        <w:t>混凝土拌合物性能、力学性能、长期性能和耐久性能的试验方法，应分别符合现行国家标准《普通混凝土拌合物性能试验方法标准》</w:t>
      </w:r>
      <w:r>
        <w:rPr>
          <w:rFonts w:ascii="Times New Roman" w:hAnsi="Times New Roman"/>
          <w:sz w:val="24"/>
          <w:szCs w:val="24"/>
        </w:rPr>
        <w:t xml:space="preserve">GB/T </w:t>
      </w:r>
      <w:r>
        <w:rPr>
          <w:rFonts w:ascii="Times New Roman" w:hAnsi="Times New Roman"/>
          <w:sz w:val="24"/>
          <w:szCs w:val="24"/>
        </w:rPr>
        <w:t>50080</w:t>
      </w:r>
      <w:r>
        <w:rPr>
          <w:rFonts w:ascii="Times New Roman" w:hAnsi="Times New Roman"/>
          <w:sz w:val="24"/>
          <w:szCs w:val="24"/>
        </w:rPr>
        <w:t>、《混凝土物理力学性能试验方法标准》</w:t>
      </w:r>
      <w:r>
        <w:rPr>
          <w:rFonts w:ascii="Times New Roman" w:hAnsi="Times New Roman"/>
          <w:sz w:val="24"/>
          <w:szCs w:val="24"/>
        </w:rPr>
        <w:t>GB/T 50081</w:t>
      </w:r>
      <w:r>
        <w:rPr>
          <w:rFonts w:ascii="Times New Roman" w:hAnsi="Times New Roman"/>
          <w:sz w:val="24"/>
          <w:szCs w:val="24"/>
        </w:rPr>
        <w:t>和《混凝土长期性能和耐久性能试验方法标准》</w:t>
      </w:r>
      <w:r>
        <w:rPr>
          <w:rFonts w:ascii="Times New Roman" w:hAnsi="Times New Roman"/>
          <w:sz w:val="24"/>
          <w:szCs w:val="24"/>
        </w:rPr>
        <w:t>GB/T 50082</w:t>
      </w:r>
      <w:r>
        <w:rPr>
          <w:rFonts w:ascii="Times New Roman" w:hAnsi="Times New Roman"/>
          <w:sz w:val="24"/>
          <w:szCs w:val="24"/>
        </w:rPr>
        <w:t>的规定。</w:t>
      </w:r>
    </w:p>
    <w:p w:rsidR="00ED5264" w:rsidRDefault="00B65917">
      <w:pPr>
        <w:spacing w:line="360" w:lineRule="auto"/>
        <w:rPr>
          <w:sz w:val="24"/>
          <w:szCs w:val="24"/>
        </w:rPr>
      </w:pPr>
      <w:r>
        <w:rPr>
          <w:b/>
          <w:bCs/>
          <w:sz w:val="24"/>
          <w:szCs w:val="24"/>
        </w:rPr>
        <w:t>8.2.2</w:t>
      </w:r>
      <w:r>
        <w:rPr>
          <w:bCs/>
          <w:sz w:val="24"/>
          <w:szCs w:val="24"/>
        </w:rPr>
        <w:t xml:space="preserve">  </w:t>
      </w:r>
      <w:r>
        <w:rPr>
          <w:rFonts w:hint="eastAsia"/>
          <w:bCs/>
          <w:sz w:val="24"/>
          <w:szCs w:val="24"/>
        </w:rPr>
        <w:t>黄河超细砂</w:t>
      </w:r>
      <w:r>
        <w:rPr>
          <w:sz w:val="24"/>
          <w:szCs w:val="24"/>
        </w:rPr>
        <w:t>混凝土拌合物性能检验应符合下列规定：</w:t>
      </w:r>
      <w:r>
        <w:rPr>
          <w:sz w:val="24"/>
          <w:szCs w:val="24"/>
        </w:rPr>
        <w:cr/>
        <w:t xml:space="preserve">    </w:t>
      </w:r>
      <w:r>
        <w:rPr>
          <w:b/>
          <w:bCs/>
          <w:sz w:val="24"/>
          <w:szCs w:val="24"/>
        </w:rPr>
        <w:t>1</w:t>
      </w:r>
      <w:r>
        <w:rPr>
          <w:sz w:val="24"/>
          <w:szCs w:val="24"/>
        </w:rPr>
        <w:t xml:space="preserve">  </w:t>
      </w:r>
      <w:r>
        <w:rPr>
          <w:sz w:val="24"/>
          <w:szCs w:val="24"/>
        </w:rPr>
        <w:t>在生产施工过程中，应在搅拌地点和浇筑地点分别对</w:t>
      </w:r>
      <w:r>
        <w:rPr>
          <w:rFonts w:hint="eastAsia"/>
          <w:bCs/>
          <w:sz w:val="24"/>
          <w:szCs w:val="24"/>
        </w:rPr>
        <w:t>黄河超细砂</w:t>
      </w:r>
      <w:r>
        <w:rPr>
          <w:sz w:val="24"/>
          <w:szCs w:val="24"/>
        </w:rPr>
        <w:t>混凝土拌合物进行抽样检验；</w:t>
      </w:r>
    </w:p>
    <w:p w:rsidR="00ED5264" w:rsidRDefault="00B65917">
      <w:pPr>
        <w:spacing w:line="360" w:lineRule="auto"/>
        <w:ind w:firstLineChars="200" w:firstLine="482"/>
        <w:rPr>
          <w:sz w:val="24"/>
          <w:szCs w:val="24"/>
        </w:rPr>
      </w:pPr>
      <w:r>
        <w:rPr>
          <w:b/>
          <w:bCs/>
          <w:sz w:val="24"/>
          <w:szCs w:val="24"/>
        </w:rPr>
        <w:t>2</w:t>
      </w:r>
      <w:r>
        <w:rPr>
          <w:sz w:val="24"/>
          <w:szCs w:val="24"/>
        </w:rPr>
        <w:t xml:space="preserve">  </w:t>
      </w:r>
      <w:r>
        <w:rPr>
          <w:sz w:val="24"/>
          <w:szCs w:val="24"/>
        </w:rPr>
        <w:t>拌合物坍落度检验频率应符合现行国家标准《混凝土结构工程施工质量验收规范》</w:t>
      </w:r>
      <w:r>
        <w:rPr>
          <w:sz w:val="24"/>
          <w:szCs w:val="24"/>
        </w:rPr>
        <w:t>GB 50204</w:t>
      </w:r>
      <w:r>
        <w:rPr>
          <w:sz w:val="24"/>
          <w:szCs w:val="24"/>
        </w:rPr>
        <w:t>的规定；</w:t>
      </w:r>
    </w:p>
    <w:p w:rsidR="00ED5264" w:rsidRDefault="00B65917">
      <w:pPr>
        <w:spacing w:line="360" w:lineRule="auto"/>
        <w:ind w:firstLineChars="200" w:firstLine="482"/>
        <w:rPr>
          <w:sz w:val="24"/>
          <w:szCs w:val="24"/>
        </w:rPr>
      </w:pPr>
      <w:r>
        <w:rPr>
          <w:b/>
          <w:bCs/>
          <w:sz w:val="24"/>
          <w:szCs w:val="24"/>
        </w:rPr>
        <w:t>3</w:t>
      </w:r>
      <w:r>
        <w:rPr>
          <w:sz w:val="24"/>
          <w:szCs w:val="24"/>
        </w:rPr>
        <w:t xml:space="preserve">  </w:t>
      </w:r>
      <w:r>
        <w:rPr>
          <w:sz w:val="24"/>
          <w:szCs w:val="24"/>
        </w:rPr>
        <w:t>同一工程、同一配合比、采用同一批次水泥和外加剂的</w:t>
      </w:r>
      <w:r>
        <w:rPr>
          <w:rFonts w:hint="eastAsia"/>
          <w:sz w:val="24"/>
          <w:szCs w:val="24"/>
        </w:rPr>
        <w:t>黄河超细砂</w:t>
      </w:r>
      <w:r>
        <w:rPr>
          <w:sz w:val="24"/>
          <w:szCs w:val="24"/>
        </w:rPr>
        <w:t>混凝土凝结时间应至少检验</w:t>
      </w:r>
      <w:r>
        <w:rPr>
          <w:sz w:val="24"/>
          <w:szCs w:val="24"/>
        </w:rPr>
        <w:t>1</w:t>
      </w:r>
      <w:r>
        <w:rPr>
          <w:sz w:val="24"/>
          <w:szCs w:val="24"/>
        </w:rPr>
        <w:t>次；</w:t>
      </w:r>
    </w:p>
    <w:p w:rsidR="00ED5264" w:rsidRDefault="00B65917">
      <w:pPr>
        <w:spacing w:line="360" w:lineRule="auto"/>
        <w:ind w:firstLineChars="200" w:firstLine="482"/>
        <w:rPr>
          <w:sz w:val="24"/>
          <w:szCs w:val="24"/>
        </w:rPr>
      </w:pPr>
      <w:r>
        <w:rPr>
          <w:b/>
          <w:bCs/>
          <w:sz w:val="24"/>
          <w:szCs w:val="24"/>
        </w:rPr>
        <w:t>4</w:t>
      </w:r>
      <w:r>
        <w:rPr>
          <w:sz w:val="24"/>
          <w:szCs w:val="24"/>
        </w:rPr>
        <w:t xml:space="preserve">  </w:t>
      </w:r>
      <w:r>
        <w:rPr>
          <w:sz w:val="24"/>
          <w:szCs w:val="24"/>
        </w:rPr>
        <w:t>同一工程、同一配合比的</w:t>
      </w:r>
      <w:r>
        <w:rPr>
          <w:rFonts w:hint="eastAsia"/>
          <w:bCs/>
          <w:sz w:val="24"/>
          <w:szCs w:val="24"/>
        </w:rPr>
        <w:t>黄河超细砂</w:t>
      </w:r>
      <w:r>
        <w:rPr>
          <w:sz w:val="24"/>
          <w:szCs w:val="24"/>
        </w:rPr>
        <w:t>混凝土氯离子含量应至少检验</w:t>
      </w:r>
      <w:r>
        <w:rPr>
          <w:sz w:val="24"/>
          <w:szCs w:val="24"/>
        </w:rPr>
        <w:t>1</w:t>
      </w:r>
      <w:r>
        <w:rPr>
          <w:sz w:val="24"/>
          <w:szCs w:val="24"/>
        </w:rPr>
        <w:t>次。</w:t>
      </w:r>
    </w:p>
    <w:p w:rsidR="00ED5264" w:rsidRDefault="00B65917">
      <w:pPr>
        <w:pStyle w:val="af3"/>
        <w:spacing w:line="360" w:lineRule="auto"/>
        <w:rPr>
          <w:rFonts w:ascii="Times New Roman" w:hAnsi="Times New Roman"/>
          <w:sz w:val="24"/>
          <w:szCs w:val="24"/>
        </w:rPr>
      </w:pPr>
      <w:r>
        <w:rPr>
          <w:rFonts w:ascii="Times New Roman" w:hAnsi="Times New Roman"/>
          <w:b/>
          <w:bCs/>
          <w:sz w:val="24"/>
          <w:szCs w:val="24"/>
        </w:rPr>
        <w:t>8.2.3</w:t>
      </w:r>
      <w:r>
        <w:rPr>
          <w:rFonts w:ascii="Times New Roman" w:hAnsi="Times New Roman"/>
          <w:bCs/>
          <w:sz w:val="24"/>
          <w:szCs w:val="24"/>
        </w:rPr>
        <w:t xml:space="preserve">  </w:t>
      </w:r>
      <w:r>
        <w:rPr>
          <w:rFonts w:ascii="Times New Roman" w:hAnsi="Times New Roman"/>
          <w:sz w:val="24"/>
          <w:szCs w:val="24"/>
        </w:rPr>
        <w:t>硬化</w:t>
      </w:r>
      <w:r>
        <w:rPr>
          <w:rFonts w:hint="eastAsia"/>
          <w:bCs/>
          <w:sz w:val="24"/>
          <w:szCs w:val="24"/>
        </w:rPr>
        <w:t>黄河超细砂</w:t>
      </w:r>
      <w:r>
        <w:rPr>
          <w:rFonts w:ascii="Times New Roman" w:hAnsi="Times New Roman"/>
          <w:sz w:val="24"/>
          <w:szCs w:val="24"/>
        </w:rPr>
        <w:t>混凝土性能检验应符合下列规定：</w:t>
      </w:r>
    </w:p>
    <w:p w:rsidR="00ED5264" w:rsidRDefault="00B65917">
      <w:pPr>
        <w:pStyle w:val="af3"/>
        <w:spacing w:line="360" w:lineRule="auto"/>
        <w:ind w:firstLineChars="200" w:firstLine="482"/>
        <w:rPr>
          <w:rFonts w:ascii="Times New Roman" w:hAnsi="Times New Roman"/>
          <w:sz w:val="24"/>
          <w:szCs w:val="24"/>
        </w:rPr>
      </w:pPr>
      <w:r>
        <w:rPr>
          <w:rFonts w:ascii="Times New Roman" w:hAnsi="Times New Roman"/>
          <w:b/>
          <w:bCs/>
          <w:sz w:val="24"/>
          <w:szCs w:val="24"/>
        </w:rPr>
        <w:t>1</w:t>
      </w:r>
      <w:r>
        <w:rPr>
          <w:rFonts w:ascii="Times New Roman" w:hAnsi="Times New Roman"/>
          <w:sz w:val="24"/>
          <w:szCs w:val="24"/>
        </w:rPr>
        <w:t xml:space="preserve">  </w:t>
      </w:r>
      <w:r>
        <w:rPr>
          <w:rFonts w:ascii="Times New Roman" w:hAnsi="Times New Roman"/>
          <w:sz w:val="24"/>
          <w:szCs w:val="24"/>
        </w:rPr>
        <w:t>强度检验评定应符合现行国家标准《混凝土强度检验评定标准》</w:t>
      </w:r>
      <w:r>
        <w:rPr>
          <w:rFonts w:ascii="Times New Roman" w:hAnsi="Times New Roman"/>
          <w:sz w:val="24"/>
          <w:szCs w:val="24"/>
        </w:rPr>
        <w:t>GB/T 50107</w:t>
      </w:r>
      <w:r>
        <w:rPr>
          <w:rFonts w:ascii="Times New Roman" w:hAnsi="Times New Roman"/>
          <w:sz w:val="24"/>
          <w:szCs w:val="24"/>
        </w:rPr>
        <w:t>的规定；</w:t>
      </w:r>
    </w:p>
    <w:p w:rsidR="00ED5264" w:rsidRDefault="00B65917">
      <w:pPr>
        <w:pStyle w:val="af3"/>
        <w:spacing w:line="360" w:lineRule="auto"/>
        <w:ind w:firstLineChars="200" w:firstLine="482"/>
        <w:rPr>
          <w:rFonts w:ascii="Times New Roman" w:hAnsi="Times New Roman"/>
          <w:sz w:val="24"/>
          <w:szCs w:val="24"/>
        </w:rPr>
      </w:pPr>
      <w:r>
        <w:rPr>
          <w:rFonts w:ascii="Times New Roman" w:hAnsi="Times New Roman"/>
          <w:b/>
          <w:bCs/>
          <w:sz w:val="24"/>
          <w:szCs w:val="24"/>
        </w:rPr>
        <w:t>2</w:t>
      </w:r>
      <w:r>
        <w:rPr>
          <w:rFonts w:ascii="Times New Roman" w:hAnsi="Times New Roman"/>
          <w:sz w:val="24"/>
          <w:szCs w:val="24"/>
        </w:rPr>
        <w:t xml:space="preserve">  </w:t>
      </w:r>
      <w:r>
        <w:rPr>
          <w:rFonts w:ascii="Times New Roman" w:hAnsi="Times New Roman"/>
          <w:sz w:val="24"/>
          <w:szCs w:val="24"/>
        </w:rPr>
        <w:t>耐久性能检验评定应符合现行行业标准《混凝土耐久性检验评定标准》</w:t>
      </w:r>
      <w:r>
        <w:rPr>
          <w:rFonts w:ascii="Times New Roman" w:hAnsi="Times New Roman"/>
          <w:sz w:val="24"/>
          <w:szCs w:val="24"/>
        </w:rPr>
        <w:t>JGJ/T 193</w:t>
      </w:r>
      <w:r>
        <w:rPr>
          <w:rFonts w:ascii="Times New Roman" w:hAnsi="Times New Roman"/>
          <w:sz w:val="24"/>
          <w:szCs w:val="24"/>
        </w:rPr>
        <w:t>的规定；</w:t>
      </w:r>
    </w:p>
    <w:p w:rsidR="00ED5264" w:rsidRDefault="00B65917">
      <w:pPr>
        <w:pStyle w:val="af3"/>
        <w:spacing w:line="360" w:lineRule="auto"/>
        <w:ind w:firstLineChars="200" w:firstLine="482"/>
        <w:rPr>
          <w:rFonts w:ascii="Times New Roman" w:hAnsi="Times New Roman"/>
          <w:sz w:val="24"/>
          <w:szCs w:val="24"/>
        </w:rPr>
      </w:pPr>
      <w:r>
        <w:rPr>
          <w:rFonts w:ascii="Times New Roman" w:hAnsi="Times New Roman"/>
          <w:b/>
          <w:bCs/>
          <w:sz w:val="24"/>
          <w:szCs w:val="24"/>
        </w:rPr>
        <w:t>3</w:t>
      </w:r>
      <w:r>
        <w:rPr>
          <w:rFonts w:ascii="Times New Roman" w:hAnsi="Times New Roman"/>
          <w:sz w:val="24"/>
          <w:szCs w:val="24"/>
        </w:rPr>
        <w:t xml:space="preserve">  </w:t>
      </w:r>
      <w:r>
        <w:rPr>
          <w:rFonts w:ascii="Times New Roman" w:hAnsi="Times New Roman"/>
          <w:sz w:val="24"/>
          <w:szCs w:val="24"/>
        </w:rPr>
        <w:t>长期性能检验规则可按现行行业标准《混凝土耐久性检验评定标准》</w:t>
      </w:r>
      <w:r>
        <w:rPr>
          <w:rFonts w:ascii="Times New Roman" w:hAnsi="Times New Roman"/>
          <w:sz w:val="24"/>
          <w:szCs w:val="24"/>
        </w:rPr>
        <w:t>JGJ/T 193</w:t>
      </w:r>
      <w:r>
        <w:rPr>
          <w:rFonts w:ascii="Times New Roman" w:hAnsi="Times New Roman"/>
          <w:sz w:val="24"/>
          <w:szCs w:val="24"/>
        </w:rPr>
        <w:t>中耐久性检验的有关规定执行。</w:t>
      </w:r>
    </w:p>
    <w:p w:rsidR="00ED5264" w:rsidRDefault="00B65917">
      <w:pPr>
        <w:pStyle w:val="af3"/>
        <w:spacing w:line="360" w:lineRule="auto"/>
        <w:ind w:firstLineChars="200" w:firstLine="482"/>
        <w:rPr>
          <w:rFonts w:ascii="Times New Roman" w:hAnsi="Times New Roman"/>
          <w:sz w:val="24"/>
          <w:szCs w:val="24"/>
        </w:rPr>
      </w:pPr>
      <w:r>
        <w:rPr>
          <w:rFonts w:ascii="Times New Roman" w:hAnsi="Times New Roman"/>
          <w:b/>
          <w:bCs/>
          <w:sz w:val="24"/>
          <w:szCs w:val="24"/>
        </w:rPr>
        <w:lastRenderedPageBreak/>
        <w:t>8.2.</w:t>
      </w:r>
      <w:r>
        <w:rPr>
          <w:rFonts w:ascii="Times New Roman" w:hAnsi="Times New Roman" w:hint="eastAsia"/>
          <w:b/>
          <w:bCs/>
          <w:sz w:val="24"/>
          <w:szCs w:val="24"/>
        </w:rPr>
        <w:t>4</w:t>
      </w:r>
      <w:r>
        <w:rPr>
          <w:rFonts w:ascii="Times New Roman" w:hAnsi="Times New Roman"/>
          <w:bCs/>
          <w:sz w:val="24"/>
          <w:szCs w:val="24"/>
        </w:rPr>
        <w:t xml:space="preserve">  </w:t>
      </w:r>
      <w:r>
        <w:rPr>
          <w:rFonts w:ascii="Times New Roman" w:hAnsi="Times New Roman" w:hint="eastAsia"/>
          <w:bCs/>
          <w:sz w:val="24"/>
          <w:szCs w:val="24"/>
        </w:rPr>
        <w:t>结构设计有混凝土长期性能和耐久性能指标时</w:t>
      </w:r>
      <w:r>
        <w:rPr>
          <w:rFonts w:ascii="Times New Roman" w:hAnsi="Times New Roman" w:hint="eastAsia"/>
          <w:bCs/>
          <w:sz w:val="24"/>
          <w:szCs w:val="24"/>
        </w:rPr>
        <w:t>，</w:t>
      </w:r>
      <w:r>
        <w:rPr>
          <w:rFonts w:ascii="Times New Roman" w:hAnsi="Times New Roman" w:hint="eastAsia"/>
          <w:bCs/>
          <w:sz w:val="24"/>
          <w:szCs w:val="24"/>
        </w:rPr>
        <w:t>黄河超细砂</w:t>
      </w:r>
      <w:r>
        <w:rPr>
          <w:rFonts w:ascii="Times New Roman" w:hAnsi="Times New Roman" w:hint="eastAsia"/>
          <w:bCs/>
          <w:sz w:val="24"/>
          <w:szCs w:val="24"/>
        </w:rPr>
        <w:t>混凝土的长期性</w:t>
      </w:r>
      <w:r>
        <w:rPr>
          <w:rFonts w:ascii="Times New Roman" w:hAnsi="Times New Roman" w:hint="eastAsia"/>
          <w:bCs/>
          <w:sz w:val="24"/>
          <w:szCs w:val="24"/>
        </w:rPr>
        <w:t>能和耐久性能应进行抽样检验。其中</w:t>
      </w:r>
      <w:r>
        <w:rPr>
          <w:rFonts w:ascii="Times New Roman" w:hAnsi="Times New Roman" w:hint="eastAsia"/>
          <w:bCs/>
          <w:sz w:val="24"/>
          <w:szCs w:val="24"/>
        </w:rPr>
        <w:t>，</w:t>
      </w:r>
      <w:r>
        <w:rPr>
          <w:rFonts w:ascii="Times New Roman" w:hAnsi="Times New Roman" w:hint="eastAsia"/>
          <w:bCs/>
          <w:sz w:val="24"/>
          <w:szCs w:val="24"/>
        </w:rPr>
        <w:t>抗渗性能检验用试件的取样留置要求为</w:t>
      </w:r>
      <w:r>
        <w:rPr>
          <w:rFonts w:ascii="Times New Roman" w:hAnsi="Times New Roman" w:hint="eastAsia"/>
          <w:bCs/>
          <w:sz w:val="24"/>
          <w:szCs w:val="24"/>
        </w:rPr>
        <w:t>：</w:t>
      </w:r>
      <w:r>
        <w:rPr>
          <w:rFonts w:ascii="Times New Roman" w:hAnsi="Times New Roman" w:hint="eastAsia"/>
          <w:bCs/>
          <w:sz w:val="24"/>
          <w:szCs w:val="24"/>
        </w:rPr>
        <w:t>随机取样</w:t>
      </w:r>
      <w:r>
        <w:rPr>
          <w:rFonts w:ascii="Times New Roman" w:hAnsi="Times New Roman" w:hint="eastAsia"/>
          <w:bCs/>
          <w:sz w:val="24"/>
          <w:szCs w:val="24"/>
        </w:rPr>
        <w:t>，</w:t>
      </w:r>
      <w:r>
        <w:rPr>
          <w:rFonts w:ascii="Times New Roman" w:hAnsi="Times New Roman" w:hint="eastAsia"/>
          <w:bCs/>
          <w:sz w:val="24"/>
          <w:szCs w:val="24"/>
        </w:rPr>
        <w:t>同一工程</w:t>
      </w:r>
      <w:r>
        <w:rPr>
          <w:rFonts w:ascii="Times New Roman" w:hAnsi="Times New Roman" w:hint="eastAsia"/>
          <w:bCs/>
          <w:sz w:val="24"/>
          <w:szCs w:val="24"/>
        </w:rPr>
        <w:t>、</w:t>
      </w:r>
      <w:r>
        <w:rPr>
          <w:rFonts w:ascii="Times New Roman" w:hAnsi="Times New Roman" w:hint="eastAsia"/>
          <w:bCs/>
          <w:sz w:val="24"/>
          <w:szCs w:val="24"/>
        </w:rPr>
        <w:t>同一配合比的混凝土</w:t>
      </w:r>
      <w:r>
        <w:rPr>
          <w:rFonts w:ascii="Times New Roman" w:hAnsi="Times New Roman" w:hint="eastAsia"/>
          <w:bCs/>
          <w:sz w:val="24"/>
          <w:szCs w:val="24"/>
        </w:rPr>
        <w:t>，</w:t>
      </w:r>
      <w:r>
        <w:rPr>
          <w:rFonts w:ascii="Times New Roman" w:hAnsi="Times New Roman" w:hint="eastAsia"/>
          <w:bCs/>
          <w:sz w:val="24"/>
          <w:szCs w:val="24"/>
        </w:rPr>
        <w:t>取样不应少于一次</w:t>
      </w:r>
      <w:r>
        <w:rPr>
          <w:rFonts w:ascii="Times New Roman" w:hAnsi="Times New Roman" w:hint="eastAsia"/>
          <w:bCs/>
          <w:sz w:val="24"/>
          <w:szCs w:val="24"/>
        </w:rPr>
        <w:t>,</w:t>
      </w:r>
      <w:r>
        <w:rPr>
          <w:rFonts w:ascii="Times New Roman" w:hAnsi="Times New Roman" w:hint="eastAsia"/>
          <w:bCs/>
          <w:sz w:val="24"/>
          <w:szCs w:val="24"/>
        </w:rPr>
        <w:t>组数可按需要确定。</w:t>
      </w:r>
    </w:p>
    <w:p w:rsidR="00ED5264" w:rsidRDefault="00B65917">
      <w:pPr>
        <w:spacing w:beforeLines="100" w:before="312" w:afterLines="100" w:after="312" w:line="300" w:lineRule="auto"/>
        <w:jc w:val="center"/>
        <w:outlineLvl w:val="1"/>
        <w:rPr>
          <w:b/>
          <w:bCs/>
          <w:sz w:val="24"/>
          <w:szCs w:val="24"/>
        </w:rPr>
      </w:pPr>
      <w:bookmarkStart w:id="499" w:name="_Toc236925638"/>
      <w:bookmarkStart w:id="500" w:name="_Toc243285290"/>
      <w:bookmarkStart w:id="501" w:name="_Toc245290399"/>
      <w:bookmarkStart w:id="502" w:name="_Toc23260869"/>
      <w:bookmarkStart w:id="503" w:name="_Toc237336848"/>
      <w:bookmarkStart w:id="504" w:name="_Toc238356701"/>
      <w:bookmarkStart w:id="505" w:name="_Toc245291090"/>
      <w:bookmarkStart w:id="506" w:name="_Toc19023"/>
      <w:bookmarkStart w:id="507" w:name="_Toc514685668"/>
      <w:bookmarkStart w:id="508" w:name="_Toc242936875"/>
      <w:bookmarkStart w:id="509" w:name="_Toc175973474"/>
      <w:bookmarkStart w:id="510" w:name="_Toc28088"/>
      <w:bookmarkStart w:id="511" w:name="_Toc20411"/>
      <w:bookmarkStart w:id="512" w:name="_Toc245290877"/>
      <w:bookmarkStart w:id="513" w:name="_Toc15053082"/>
      <w:bookmarkEnd w:id="490"/>
      <w:bookmarkEnd w:id="491"/>
      <w:bookmarkEnd w:id="492"/>
      <w:bookmarkEnd w:id="493"/>
      <w:bookmarkEnd w:id="494"/>
      <w:bookmarkEnd w:id="495"/>
      <w:bookmarkEnd w:id="496"/>
      <w:bookmarkEnd w:id="497"/>
      <w:bookmarkEnd w:id="498"/>
      <w:r>
        <w:rPr>
          <w:b/>
          <w:bCs/>
          <w:sz w:val="24"/>
          <w:szCs w:val="24"/>
        </w:rPr>
        <w:t xml:space="preserve">8.3  </w:t>
      </w:r>
      <w:r>
        <w:rPr>
          <w:b/>
          <w:bCs/>
          <w:sz w:val="24"/>
          <w:szCs w:val="24"/>
        </w:rPr>
        <w:t>验收</w:t>
      </w:r>
      <w:bookmarkEnd w:id="499"/>
      <w:bookmarkEnd w:id="500"/>
      <w:bookmarkEnd w:id="501"/>
      <w:bookmarkEnd w:id="502"/>
      <w:bookmarkEnd w:id="503"/>
      <w:bookmarkEnd w:id="504"/>
      <w:bookmarkEnd w:id="505"/>
      <w:bookmarkEnd w:id="506"/>
      <w:bookmarkEnd w:id="507"/>
      <w:bookmarkEnd w:id="508"/>
      <w:bookmarkEnd w:id="509"/>
      <w:bookmarkEnd w:id="510"/>
      <w:bookmarkEnd w:id="511"/>
      <w:bookmarkEnd w:id="512"/>
      <w:bookmarkEnd w:id="513"/>
    </w:p>
    <w:p w:rsidR="00ED5264" w:rsidRDefault="00B65917">
      <w:pPr>
        <w:pStyle w:val="aff9"/>
        <w:spacing w:line="360" w:lineRule="auto"/>
      </w:pPr>
      <w:bookmarkStart w:id="514" w:name="_Toc243285291"/>
      <w:bookmarkStart w:id="515" w:name="_Toc15053083"/>
      <w:bookmarkStart w:id="516" w:name="_Toc23260870"/>
      <w:bookmarkStart w:id="517" w:name="_Toc514685669"/>
      <w:r>
        <w:rPr>
          <w:b/>
        </w:rPr>
        <w:t>8.3.1</w:t>
      </w:r>
      <w:r>
        <w:t xml:space="preserve"> </w:t>
      </w:r>
      <w:r>
        <w:rPr>
          <w:rFonts w:hint="eastAsia"/>
        </w:rPr>
        <w:t>黄河超细砂</w:t>
      </w:r>
      <w:r>
        <w:rPr>
          <w:rFonts w:hint="eastAsia"/>
        </w:rPr>
        <w:t>混凝土抗压强度检验评定应符合现行国家标准《混凝土强度检验评定标准》</w:t>
      </w:r>
      <w:r>
        <w:rPr>
          <w:rFonts w:hint="eastAsia"/>
        </w:rPr>
        <w:t>GB/</w:t>
      </w:r>
      <w:r>
        <w:rPr>
          <w:rFonts w:hint="eastAsia"/>
        </w:rPr>
        <w:t xml:space="preserve">T </w:t>
      </w:r>
      <w:r>
        <w:rPr>
          <w:rFonts w:hint="eastAsia"/>
        </w:rPr>
        <w:t>50107</w:t>
      </w:r>
      <w:r>
        <w:rPr>
          <w:rFonts w:hint="eastAsia"/>
        </w:rPr>
        <w:t>的规定。</w:t>
      </w:r>
      <w:r>
        <w:rPr>
          <w:rFonts w:hint="eastAsia"/>
        </w:rPr>
        <w:t>混凝土</w:t>
      </w:r>
      <w:r>
        <w:rPr>
          <w:rFonts w:hint="eastAsia"/>
        </w:rPr>
        <w:t>的长期性能和耐久性的检验评定应符合现行行业标准《混凝土耐久性检验评定标准》</w:t>
      </w:r>
      <w:r>
        <w:rPr>
          <w:rFonts w:hint="eastAsia"/>
        </w:rPr>
        <w:t>J</w:t>
      </w:r>
      <w:r>
        <w:rPr>
          <w:rFonts w:hint="eastAsia"/>
        </w:rPr>
        <w:t xml:space="preserve">GJ/T 193 </w:t>
      </w:r>
      <w:r>
        <w:rPr>
          <w:rFonts w:hint="eastAsia"/>
        </w:rPr>
        <w:t>的规定。</w:t>
      </w:r>
    </w:p>
    <w:p w:rsidR="00ED5264" w:rsidRDefault="00B65917">
      <w:pPr>
        <w:pStyle w:val="aff9"/>
        <w:spacing w:line="360" w:lineRule="auto"/>
      </w:pPr>
      <w:bookmarkStart w:id="518" w:name="_Toc15053084"/>
      <w:bookmarkStart w:id="519" w:name="_Toc514685670"/>
      <w:bookmarkStart w:id="520" w:name="_Toc243285292"/>
      <w:bookmarkStart w:id="521" w:name="_Toc23260871"/>
      <w:bookmarkEnd w:id="514"/>
      <w:bookmarkEnd w:id="515"/>
      <w:bookmarkEnd w:id="516"/>
      <w:bookmarkEnd w:id="517"/>
      <w:r>
        <w:rPr>
          <w:b/>
        </w:rPr>
        <w:t xml:space="preserve">8.3.2 </w:t>
      </w:r>
      <w:r>
        <w:t xml:space="preserve"> </w:t>
      </w:r>
      <w:r>
        <w:rPr>
          <w:rFonts w:hint="eastAsia"/>
        </w:rPr>
        <w:t>工程施工质量</w:t>
      </w:r>
      <w:r>
        <w:t>验收，除应符合本标准的规定外，尚应符合现行国家标准《混凝土结构工程施工质量验收规范》</w:t>
      </w:r>
      <w:r>
        <w:t xml:space="preserve">GB </w:t>
      </w:r>
      <w:r>
        <w:t>50204</w:t>
      </w:r>
      <w:r>
        <w:t>的有关规定。</w:t>
      </w:r>
    </w:p>
    <w:bookmarkEnd w:id="518"/>
    <w:bookmarkEnd w:id="519"/>
    <w:bookmarkEnd w:id="520"/>
    <w:bookmarkEnd w:id="521"/>
    <w:p w:rsidR="00ED5264" w:rsidRDefault="00ED5264">
      <w:pPr>
        <w:pStyle w:val="aff9"/>
        <w:sectPr w:rsidR="00ED5264">
          <w:pgSz w:w="11906" w:h="16838"/>
          <w:pgMar w:top="1440" w:right="1797" w:bottom="1440" w:left="1797" w:header="851" w:footer="992" w:gutter="0"/>
          <w:cols w:space="425"/>
          <w:docGrid w:type="lines" w:linePitch="312"/>
        </w:sectPr>
      </w:pPr>
    </w:p>
    <w:p w:rsidR="00ED5264" w:rsidRDefault="00B65917">
      <w:pPr>
        <w:pStyle w:val="1"/>
        <w:spacing w:before="120" w:after="120" w:line="360" w:lineRule="auto"/>
        <w:jc w:val="center"/>
        <w:rPr>
          <w:sz w:val="24"/>
          <w:szCs w:val="24"/>
        </w:rPr>
      </w:pPr>
      <w:bookmarkStart w:id="522" w:name="_Toc15053085"/>
      <w:bookmarkStart w:id="523" w:name="_Toc23260872"/>
      <w:bookmarkStart w:id="524" w:name="_Toc3128"/>
      <w:bookmarkStart w:id="525" w:name="_Toc499304715"/>
      <w:bookmarkStart w:id="526" w:name="_Toc492050336"/>
      <w:bookmarkStart w:id="527" w:name="_Toc12228"/>
      <w:bookmarkStart w:id="528" w:name="_Toc3526"/>
      <w:bookmarkStart w:id="529" w:name="_Toc577"/>
      <w:bookmarkStart w:id="530" w:name="_Toc514685672"/>
      <w:bookmarkStart w:id="531" w:name="_Toc23330"/>
      <w:r>
        <w:rPr>
          <w:sz w:val="24"/>
          <w:szCs w:val="24"/>
        </w:rPr>
        <w:lastRenderedPageBreak/>
        <w:t>本规程用词说明</w:t>
      </w:r>
      <w:bookmarkEnd w:id="522"/>
      <w:bookmarkEnd w:id="523"/>
      <w:bookmarkEnd w:id="524"/>
      <w:bookmarkEnd w:id="525"/>
      <w:bookmarkEnd w:id="526"/>
      <w:bookmarkEnd w:id="527"/>
      <w:bookmarkEnd w:id="528"/>
      <w:bookmarkEnd w:id="529"/>
      <w:bookmarkEnd w:id="530"/>
      <w:bookmarkEnd w:id="531"/>
    </w:p>
    <w:p w:rsidR="00ED5264" w:rsidRDefault="00B65917">
      <w:pPr>
        <w:spacing w:beforeLines="50" w:before="156"/>
      </w:pPr>
      <w:r>
        <w:t xml:space="preserve">1  </w:t>
      </w:r>
      <w:r>
        <w:t>为便于在执行本规程条文时区别对待，对要求严格程度不同的用词说明如下：</w:t>
      </w:r>
    </w:p>
    <w:p w:rsidR="00ED5264" w:rsidRDefault="00B65917">
      <w:pPr>
        <w:spacing w:beforeLines="50" w:before="156"/>
      </w:pPr>
      <w:r>
        <w:t xml:space="preserve">  1</w:t>
      </w:r>
      <w:r>
        <w:t>）表示很严格，非这样做不可的：</w:t>
      </w:r>
    </w:p>
    <w:p w:rsidR="00ED5264" w:rsidRDefault="00B65917">
      <w:pPr>
        <w:spacing w:beforeLines="50" w:before="156"/>
      </w:pPr>
      <w:r>
        <w:t xml:space="preserve">  </w:t>
      </w:r>
      <w:r>
        <w:t>正面词采用</w:t>
      </w:r>
      <w:r>
        <w:t>“</w:t>
      </w:r>
      <w:r>
        <w:t>必须</w:t>
      </w:r>
      <w:r>
        <w:t>”</w:t>
      </w:r>
      <w:r>
        <w:t>，反面词采用</w:t>
      </w:r>
      <w:r>
        <w:t>“</w:t>
      </w:r>
      <w:r>
        <w:t>严禁</w:t>
      </w:r>
      <w:r>
        <w:t>”</w:t>
      </w:r>
      <w:r>
        <w:t>；</w:t>
      </w:r>
    </w:p>
    <w:p w:rsidR="00ED5264" w:rsidRDefault="00B65917">
      <w:pPr>
        <w:spacing w:beforeLines="50" w:before="156"/>
      </w:pPr>
      <w:r>
        <w:t xml:space="preserve">  2</w:t>
      </w:r>
      <w:r>
        <w:t>）表示严格，在正常情况下均应这样做的：</w:t>
      </w:r>
    </w:p>
    <w:p w:rsidR="00ED5264" w:rsidRDefault="00B65917">
      <w:pPr>
        <w:spacing w:beforeLines="50" w:before="156"/>
      </w:pPr>
      <w:r>
        <w:t xml:space="preserve">  </w:t>
      </w:r>
      <w:r>
        <w:t>正面词采用</w:t>
      </w:r>
      <w:r>
        <w:t>“</w:t>
      </w:r>
      <w:r>
        <w:t>应</w:t>
      </w:r>
      <w:r>
        <w:t>”</w:t>
      </w:r>
      <w:r>
        <w:t>，反面词采用</w:t>
      </w:r>
      <w:r>
        <w:t>“</w:t>
      </w:r>
      <w:r>
        <w:t>不应</w:t>
      </w:r>
      <w:r>
        <w:t>”</w:t>
      </w:r>
      <w:r>
        <w:t>或</w:t>
      </w:r>
      <w:r>
        <w:t>“</w:t>
      </w:r>
      <w:r>
        <w:t>不得</w:t>
      </w:r>
      <w:r>
        <w:t>”</w:t>
      </w:r>
      <w:r>
        <w:t>；</w:t>
      </w:r>
    </w:p>
    <w:p w:rsidR="00ED5264" w:rsidRDefault="00B65917">
      <w:pPr>
        <w:spacing w:beforeLines="50" w:before="156"/>
      </w:pPr>
      <w:r>
        <w:t xml:space="preserve">  3</w:t>
      </w:r>
      <w:r>
        <w:t>）表示允许稍有选择，在条件许可时，首先应这样做的：</w:t>
      </w:r>
    </w:p>
    <w:p w:rsidR="00ED5264" w:rsidRDefault="00B65917">
      <w:pPr>
        <w:spacing w:beforeLines="50" w:before="156"/>
      </w:pPr>
      <w:r>
        <w:t xml:space="preserve">  </w:t>
      </w:r>
      <w:r>
        <w:t>正面词采用</w:t>
      </w:r>
      <w:r>
        <w:t>“</w:t>
      </w:r>
      <w:r>
        <w:t>宜</w:t>
      </w:r>
      <w:r>
        <w:t>”</w:t>
      </w:r>
      <w:r>
        <w:t>，反面词采用</w:t>
      </w:r>
      <w:r>
        <w:t>“</w:t>
      </w:r>
      <w:r>
        <w:t>不宜</w:t>
      </w:r>
      <w:r>
        <w:t>”</w:t>
      </w:r>
      <w:r>
        <w:t>；</w:t>
      </w:r>
    </w:p>
    <w:p w:rsidR="00ED5264" w:rsidRDefault="00B65917">
      <w:pPr>
        <w:spacing w:beforeLines="50" w:before="156"/>
      </w:pPr>
      <w:r>
        <w:t xml:space="preserve">  4</w:t>
      </w:r>
      <w:r>
        <w:t>）表示有选择，在一定条件下可以这样做的，采用</w:t>
      </w:r>
      <w:r>
        <w:t>“</w:t>
      </w:r>
      <w:r>
        <w:t>可</w:t>
      </w:r>
      <w:r>
        <w:t>”</w:t>
      </w:r>
      <w:r>
        <w:t>。</w:t>
      </w:r>
    </w:p>
    <w:p w:rsidR="00ED5264" w:rsidRDefault="00B65917">
      <w:pPr>
        <w:spacing w:beforeLines="50" w:before="156"/>
      </w:pPr>
      <w:r>
        <w:t xml:space="preserve">2  </w:t>
      </w:r>
      <w:r>
        <w:t>条文中指明应按其他有关标准执行的写法为：</w:t>
      </w:r>
      <w:r>
        <w:t>“</w:t>
      </w:r>
      <w:r>
        <w:t>应符合</w:t>
      </w:r>
      <w:r>
        <w:t>……</w:t>
      </w:r>
      <w:r>
        <w:t>的规定</w:t>
      </w:r>
      <w:r>
        <w:t>”</w:t>
      </w:r>
      <w:r>
        <w:t>或</w:t>
      </w:r>
      <w:r>
        <w:t>“</w:t>
      </w:r>
      <w:r>
        <w:t>应按</w:t>
      </w:r>
      <w:r>
        <w:t>……</w:t>
      </w:r>
      <w:r>
        <w:t>执行</w:t>
      </w:r>
      <w:r>
        <w:t>”</w:t>
      </w:r>
      <w:r>
        <w:t>。</w:t>
      </w:r>
    </w:p>
    <w:p w:rsidR="00ED5264" w:rsidRDefault="00ED5264">
      <w:pPr>
        <w:pStyle w:val="aff4"/>
        <w:spacing w:before="312" w:after="312"/>
        <w:sectPr w:rsidR="00ED5264">
          <w:footerReference w:type="default" r:id="rId22"/>
          <w:pgSz w:w="11906" w:h="16838"/>
          <w:pgMar w:top="1440" w:right="1797" w:bottom="1440" w:left="1797" w:header="851" w:footer="1814" w:gutter="0"/>
          <w:cols w:space="720"/>
          <w:docGrid w:type="linesAndChars" w:linePitch="312"/>
        </w:sectPr>
      </w:pPr>
      <w:bookmarkStart w:id="532" w:name="_Toc236584239"/>
      <w:bookmarkStart w:id="533" w:name="_Toc234206821"/>
      <w:bookmarkStart w:id="534" w:name="_Toc243285304"/>
      <w:bookmarkStart w:id="535" w:name="_Toc236584169"/>
      <w:bookmarkStart w:id="536" w:name="_Toc238356703"/>
      <w:bookmarkStart w:id="537" w:name="_Toc237336850"/>
      <w:bookmarkStart w:id="538" w:name="_Toc232517441"/>
      <w:bookmarkStart w:id="539" w:name="_Toc232243156"/>
      <w:bookmarkStart w:id="540" w:name="_Toc245290879"/>
      <w:bookmarkStart w:id="541" w:name="_Toc245290401"/>
      <w:bookmarkStart w:id="542" w:name="_Toc245291092"/>
      <w:bookmarkStart w:id="543" w:name="_Toc242936878"/>
      <w:bookmarkStart w:id="544" w:name="_Toc235251712"/>
      <w:bookmarkStart w:id="545" w:name="_Toc232495688"/>
    </w:p>
    <w:p w:rsidR="00ED5264" w:rsidRDefault="00B65917">
      <w:pPr>
        <w:pStyle w:val="aff4"/>
        <w:spacing w:before="312" w:after="312"/>
      </w:pPr>
      <w:bookmarkStart w:id="546" w:name="_Toc23260873"/>
      <w:bookmarkStart w:id="547" w:name="_Toc15053086"/>
      <w:bookmarkStart w:id="548" w:name="_Toc13591"/>
      <w:bookmarkStart w:id="549" w:name="_Toc4376"/>
      <w:bookmarkStart w:id="550" w:name="_Toc514685673"/>
      <w:bookmarkStart w:id="551" w:name="_Toc9256"/>
      <w:bookmarkEnd w:id="532"/>
      <w:bookmarkEnd w:id="533"/>
      <w:bookmarkEnd w:id="534"/>
      <w:bookmarkEnd w:id="535"/>
      <w:bookmarkEnd w:id="536"/>
      <w:bookmarkEnd w:id="537"/>
      <w:bookmarkEnd w:id="538"/>
      <w:bookmarkEnd w:id="539"/>
      <w:bookmarkEnd w:id="540"/>
      <w:bookmarkEnd w:id="541"/>
      <w:bookmarkEnd w:id="542"/>
      <w:bookmarkEnd w:id="543"/>
      <w:bookmarkEnd w:id="544"/>
      <w:bookmarkEnd w:id="545"/>
      <w:r>
        <w:lastRenderedPageBreak/>
        <w:t>引用标准名录</w:t>
      </w:r>
      <w:bookmarkEnd w:id="546"/>
      <w:bookmarkEnd w:id="547"/>
      <w:bookmarkEnd w:id="548"/>
      <w:bookmarkEnd w:id="549"/>
      <w:bookmarkEnd w:id="550"/>
      <w:bookmarkEnd w:id="551"/>
    </w:p>
    <w:p w:rsidR="00ED5264" w:rsidRDefault="00B65917">
      <w:pPr>
        <w:tabs>
          <w:tab w:val="left" w:pos="19"/>
        </w:tabs>
        <w:spacing w:before="312" w:after="312" w:line="360" w:lineRule="auto"/>
        <w:ind w:firstLineChars="200" w:firstLine="420"/>
      </w:pPr>
      <w:r>
        <w:rPr>
          <w:rFonts w:hint="eastAsia"/>
        </w:rPr>
        <w:t>本规程引用下列标准。其中，注日期的，仅对该日期对应的版本适用于本规程；不注日期的，其最新版适用于本规程。</w:t>
      </w:r>
    </w:p>
    <w:p w:rsidR="00ED5264" w:rsidRDefault="00B65917">
      <w:pPr>
        <w:numPr>
          <w:ilvl w:val="255"/>
          <w:numId w:val="0"/>
        </w:numPr>
        <w:snapToGrid w:val="0"/>
        <w:spacing w:before="312" w:after="312" w:line="360" w:lineRule="auto"/>
        <w:ind w:firstLineChars="200" w:firstLine="420"/>
      </w:pPr>
      <w:r>
        <w:t>《</w:t>
      </w:r>
      <w:r>
        <w:t>混凝土结构设计</w:t>
      </w:r>
      <w:r>
        <w:t>标准</w:t>
      </w:r>
      <w:r>
        <w:t>》</w:t>
      </w:r>
      <w:r>
        <w:t>GB/T 50010</w:t>
      </w:r>
    </w:p>
    <w:p w:rsidR="00ED5264" w:rsidRDefault="00B65917">
      <w:pPr>
        <w:numPr>
          <w:ilvl w:val="255"/>
          <w:numId w:val="0"/>
        </w:numPr>
        <w:snapToGrid w:val="0"/>
        <w:spacing w:before="312" w:after="312" w:line="360" w:lineRule="auto"/>
        <w:ind w:firstLineChars="200" w:firstLine="420"/>
      </w:pPr>
      <w:r>
        <w:t>《普通混凝土拌合物性能试验方法标准》</w:t>
      </w:r>
      <w:r>
        <w:t>GB/T 50080</w:t>
      </w:r>
    </w:p>
    <w:p w:rsidR="00ED5264" w:rsidRDefault="00B65917">
      <w:pPr>
        <w:numPr>
          <w:ilvl w:val="255"/>
          <w:numId w:val="0"/>
        </w:numPr>
        <w:snapToGrid w:val="0"/>
        <w:spacing w:before="312" w:after="312" w:line="360" w:lineRule="auto"/>
        <w:ind w:firstLineChars="200" w:firstLine="420"/>
      </w:pPr>
      <w:r>
        <w:t>《混凝土物理力学性能试验方法标准》</w:t>
      </w:r>
      <w:r>
        <w:t>GB/T 50081</w:t>
      </w:r>
    </w:p>
    <w:p w:rsidR="00ED5264" w:rsidRDefault="00B65917">
      <w:pPr>
        <w:numPr>
          <w:ilvl w:val="255"/>
          <w:numId w:val="0"/>
        </w:numPr>
        <w:snapToGrid w:val="0"/>
        <w:spacing w:before="312" w:after="312" w:line="360" w:lineRule="auto"/>
        <w:ind w:firstLineChars="200" w:firstLine="420"/>
      </w:pPr>
      <w:r>
        <w:t>《混凝土长期性能和耐久性能试验方法标准》</w:t>
      </w:r>
      <w:r>
        <w:t>GB/T 5</w:t>
      </w:r>
      <w:r>
        <w:t>0082</w:t>
      </w:r>
    </w:p>
    <w:p w:rsidR="00ED5264" w:rsidRDefault="00B65917">
      <w:pPr>
        <w:numPr>
          <w:ilvl w:val="255"/>
          <w:numId w:val="0"/>
        </w:numPr>
        <w:snapToGrid w:val="0"/>
        <w:spacing w:before="312" w:after="312" w:line="360" w:lineRule="auto"/>
        <w:ind w:firstLineChars="200" w:firstLine="420"/>
      </w:pPr>
      <w:r>
        <w:t>《混凝土强度检验评定标准》</w:t>
      </w:r>
      <w:r>
        <w:t>GB/T 50107</w:t>
      </w:r>
    </w:p>
    <w:p w:rsidR="00ED5264" w:rsidRDefault="00B65917">
      <w:pPr>
        <w:numPr>
          <w:ilvl w:val="255"/>
          <w:numId w:val="0"/>
        </w:numPr>
        <w:snapToGrid w:val="0"/>
        <w:spacing w:before="312" w:after="312" w:line="360" w:lineRule="auto"/>
        <w:ind w:firstLineChars="200" w:firstLine="420"/>
      </w:pPr>
      <w:r>
        <w:t>《混凝土外加剂应用技术规范》</w:t>
      </w:r>
      <w:r>
        <w:t>GB 50119</w:t>
      </w:r>
    </w:p>
    <w:p w:rsidR="00ED5264" w:rsidRDefault="00B65917">
      <w:pPr>
        <w:numPr>
          <w:ilvl w:val="255"/>
          <w:numId w:val="0"/>
        </w:numPr>
        <w:snapToGrid w:val="0"/>
        <w:spacing w:before="312" w:after="312" w:line="360" w:lineRule="auto"/>
        <w:ind w:firstLineChars="200" w:firstLine="420"/>
      </w:pPr>
      <w:r>
        <w:t>《混凝土质量控制标准》</w:t>
      </w:r>
      <w:r>
        <w:t>GB 50164</w:t>
      </w:r>
    </w:p>
    <w:p w:rsidR="00ED5264" w:rsidRDefault="00B65917">
      <w:pPr>
        <w:numPr>
          <w:ilvl w:val="255"/>
          <w:numId w:val="0"/>
        </w:numPr>
        <w:snapToGrid w:val="0"/>
        <w:spacing w:before="312" w:after="312" w:line="360" w:lineRule="auto"/>
        <w:ind w:firstLineChars="200" w:firstLine="420"/>
      </w:pPr>
      <w:r>
        <w:t>《混凝土结构工程施工质量验收规范》</w:t>
      </w:r>
      <w:r>
        <w:t>GB 50204</w:t>
      </w:r>
    </w:p>
    <w:p w:rsidR="00ED5264" w:rsidRDefault="00B65917">
      <w:pPr>
        <w:numPr>
          <w:ilvl w:val="255"/>
          <w:numId w:val="0"/>
        </w:numPr>
        <w:snapToGrid w:val="0"/>
        <w:spacing w:before="312" w:after="312" w:line="360" w:lineRule="auto"/>
        <w:ind w:firstLineChars="200" w:firstLine="420"/>
      </w:pPr>
      <w:r>
        <w:t>《混凝土结构工程施工规范》</w:t>
      </w:r>
      <w:r>
        <w:t>GB 50666</w:t>
      </w:r>
    </w:p>
    <w:p w:rsidR="00ED5264" w:rsidRDefault="00B65917">
      <w:pPr>
        <w:numPr>
          <w:ilvl w:val="255"/>
          <w:numId w:val="0"/>
        </w:numPr>
        <w:snapToGrid w:val="0"/>
        <w:spacing w:before="312" w:after="312" w:line="360" w:lineRule="auto"/>
        <w:ind w:firstLineChars="200" w:firstLine="420"/>
      </w:pPr>
      <w:r>
        <w:t>《预防混凝土碱骨料反应技术规范》</w:t>
      </w:r>
      <w:r>
        <w:t xml:space="preserve">GB/T </w:t>
      </w:r>
      <w:r>
        <w:t>50733</w:t>
      </w:r>
    </w:p>
    <w:p w:rsidR="00ED5264" w:rsidRDefault="00B65917">
      <w:pPr>
        <w:numPr>
          <w:ilvl w:val="255"/>
          <w:numId w:val="0"/>
        </w:numPr>
        <w:snapToGrid w:val="0"/>
        <w:spacing w:before="312" w:after="312" w:line="360" w:lineRule="auto"/>
        <w:ind w:firstLineChars="200" w:firstLine="420"/>
      </w:pPr>
      <w:r>
        <w:t>《矿物掺合料应用技术规范》</w:t>
      </w:r>
      <w:r>
        <w:t>GB/T 51003</w:t>
      </w:r>
    </w:p>
    <w:p w:rsidR="00ED5264" w:rsidRDefault="00B65917">
      <w:pPr>
        <w:numPr>
          <w:ilvl w:val="255"/>
          <w:numId w:val="0"/>
        </w:numPr>
        <w:snapToGrid w:val="0"/>
        <w:spacing w:before="312" w:after="312" w:line="360" w:lineRule="auto"/>
        <w:ind w:firstLineChars="200" w:firstLine="420"/>
      </w:pPr>
      <w:r>
        <w:t>《通用硅酸盐水泥》</w:t>
      </w:r>
      <w:r>
        <w:t>GB 175</w:t>
      </w:r>
    </w:p>
    <w:p w:rsidR="00ED5264" w:rsidRDefault="00B65917">
      <w:pPr>
        <w:numPr>
          <w:ilvl w:val="255"/>
          <w:numId w:val="0"/>
        </w:numPr>
        <w:snapToGrid w:val="0"/>
        <w:spacing w:before="312" w:after="312" w:line="360" w:lineRule="auto"/>
        <w:ind w:firstLineChars="200" w:firstLine="420"/>
      </w:pPr>
      <w:r>
        <w:t>《用于水泥和混凝土中的粉煤灰》</w:t>
      </w:r>
      <w:r>
        <w:t>GB/T 1596</w:t>
      </w:r>
    </w:p>
    <w:p w:rsidR="00ED5264" w:rsidRDefault="00B65917">
      <w:pPr>
        <w:numPr>
          <w:ilvl w:val="255"/>
          <w:numId w:val="0"/>
        </w:numPr>
        <w:snapToGrid w:val="0"/>
        <w:spacing w:before="312" w:after="312" w:line="360" w:lineRule="auto"/>
        <w:ind w:firstLineChars="200" w:firstLine="420"/>
      </w:pPr>
      <w:r>
        <w:t>《</w:t>
      </w:r>
      <w:r>
        <w:t>建筑材料放射性核素限量</w:t>
      </w:r>
      <w:r>
        <w:t>》</w:t>
      </w:r>
      <w:bookmarkStart w:id="552" w:name="OLE_LINK13"/>
      <w:r>
        <w:t xml:space="preserve">GB </w:t>
      </w:r>
      <w:r>
        <w:t>6566</w:t>
      </w:r>
    </w:p>
    <w:bookmarkEnd w:id="552"/>
    <w:p w:rsidR="00ED5264" w:rsidRDefault="00B65917">
      <w:pPr>
        <w:numPr>
          <w:ilvl w:val="255"/>
          <w:numId w:val="0"/>
        </w:numPr>
        <w:snapToGrid w:val="0"/>
        <w:spacing w:before="312" w:after="312" w:line="360" w:lineRule="auto"/>
        <w:ind w:firstLineChars="200" w:firstLine="420"/>
      </w:pPr>
      <w:r>
        <w:t>《混凝土外加剂》</w:t>
      </w:r>
      <w:r>
        <w:t>GB 8076</w:t>
      </w:r>
    </w:p>
    <w:p w:rsidR="00ED5264" w:rsidRDefault="00B65917">
      <w:pPr>
        <w:numPr>
          <w:ilvl w:val="255"/>
          <w:numId w:val="0"/>
        </w:numPr>
        <w:snapToGrid w:val="0"/>
        <w:spacing w:before="312" w:after="312" w:line="360" w:lineRule="auto"/>
        <w:ind w:firstLineChars="200" w:firstLine="420"/>
      </w:pPr>
      <w:r>
        <w:t>《混凝土搅拌机》</w:t>
      </w:r>
      <w:r>
        <w:t>GB/T 9142</w:t>
      </w:r>
    </w:p>
    <w:p w:rsidR="00ED5264" w:rsidRDefault="00B65917">
      <w:pPr>
        <w:numPr>
          <w:ilvl w:val="255"/>
          <w:numId w:val="0"/>
        </w:numPr>
        <w:snapToGrid w:val="0"/>
        <w:spacing w:before="312" w:after="312" w:line="360" w:lineRule="auto"/>
        <w:ind w:firstLineChars="200" w:firstLine="420"/>
      </w:pPr>
      <w:r>
        <w:lastRenderedPageBreak/>
        <w:t>《混凝土搅拌站（楼）》</w:t>
      </w:r>
      <w:r>
        <w:t>GB 10171</w:t>
      </w:r>
    </w:p>
    <w:p w:rsidR="00ED5264" w:rsidRDefault="00B65917">
      <w:pPr>
        <w:numPr>
          <w:ilvl w:val="255"/>
          <w:numId w:val="0"/>
        </w:numPr>
        <w:snapToGrid w:val="0"/>
        <w:spacing w:before="312" w:after="312" w:line="360" w:lineRule="auto"/>
        <w:ind w:firstLineChars="200" w:firstLine="420"/>
      </w:pPr>
      <w:r>
        <w:t>《混凝土搅拌站（楼）技术条件》</w:t>
      </w:r>
      <w:r>
        <w:t>GB 10172</w:t>
      </w:r>
    </w:p>
    <w:p w:rsidR="00ED5264" w:rsidRDefault="00B65917">
      <w:pPr>
        <w:numPr>
          <w:ilvl w:val="255"/>
          <w:numId w:val="0"/>
        </w:numPr>
        <w:snapToGrid w:val="0"/>
        <w:spacing w:before="312" w:after="312" w:line="360" w:lineRule="auto"/>
        <w:ind w:firstLineChars="200" w:firstLine="420"/>
      </w:pPr>
      <w:r>
        <w:t>《用于水泥、砂浆和混凝土中的粒化高炉矿渣粉》</w:t>
      </w:r>
      <w:r>
        <w:t>GB/T 18046</w:t>
      </w:r>
    </w:p>
    <w:p w:rsidR="00ED5264" w:rsidRDefault="00B65917">
      <w:pPr>
        <w:numPr>
          <w:ilvl w:val="255"/>
          <w:numId w:val="0"/>
        </w:numPr>
        <w:snapToGrid w:val="0"/>
        <w:spacing w:before="312" w:after="312" w:line="360" w:lineRule="auto"/>
        <w:ind w:firstLineChars="200" w:firstLine="420"/>
      </w:pPr>
      <w:r>
        <w:t>《砂浆和混凝土用硅灰》</w:t>
      </w:r>
      <w:r>
        <w:t>GB/T 27690</w:t>
      </w:r>
    </w:p>
    <w:p w:rsidR="00ED5264" w:rsidRDefault="00B65917">
      <w:pPr>
        <w:numPr>
          <w:ilvl w:val="255"/>
          <w:numId w:val="0"/>
        </w:numPr>
        <w:snapToGrid w:val="0"/>
        <w:spacing w:before="312" w:after="312" w:line="360" w:lineRule="auto"/>
        <w:ind w:firstLineChars="200" w:firstLine="420"/>
      </w:pPr>
      <w:r>
        <w:t>《石灰石粉混凝土》</w:t>
      </w:r>
      <w:r>
        <w:t>GB/T 30190</w:t>
      </w:r>
    </w:p>
    <w:p w:rsidR="00ED5264" w:rsidRDefault="00B65917">
      <w:pPr>
        <w:numPr>
          <w:ilvl w:val="255"/>
          <w:numId w:val="0"/>
        </w:numPr>
        <w:snapToGrid w:val="0"/>
        <w:spacing w:before="312" w:after="312" w:line="360" w:lineRule="auto"/>
        <w:ind w:firstLineChars="200" w:firstLine="420"/>
      </w:pPr>
      <w:r>
        <w:rPr>
          <w:rFonts w:hint="eastAsia"/>
        </w:rPr>
        <w:t>《混凝土泵送施工技术规程》</w:t>
      </w:r>
      <w:r>
        <w:rPr>
          <w:rFonts w:hint="eastAsia"/>
        </w:rPr>
        <w:t>JGJ/T</w:t>
      </w:r>
      <w:r>
        <w:t xml:space="preserve"> </w:t>
      </w:r>
      <w:r>
        <w:rPr>
          <w:rFonts w:hint="eastAsia"/>
        </w:rPr>
        <w:t>10</w:t>
      </w:r>
    </w:p>
    <w:p w:rsidR="00ED5264" w:rsidRDefault="00B65917">
      <w:pPr>
        <w:numPr>
          <w:ilvl w:val="255"/>
          <w:numId w:val="0"/>
        </w:numPr>
        <w:snapToGrid w:val="0"/>
        <w:spacing w:before="312" w:after="312" w:line="360" w:lineRule="auto"/>
        <w:ind w:firstLineChars="200" w:firstLine="420"/>
      </w:pPr>
      <w:r>
        <w:t>《轻骨料混凝土应用技术标准》</w:t>
      </w:r>
      <w:r>
        <w:t>JGJ/T 12</w:t>
      </w:r>
    </w:p>
    <w:p w:rsidR="00ED5264" w:rsidRDefault="00B65917">
      <w:pPr>
        <w:numPr>
          <w:ilvl w:val="255"/>
          <w:numId w:val="0"/>
        </w:numPr>
        <w:snapToGrid w:val="0"/>
        <w:spacing w:before="312" w:after="312" w:line="360" w:lineRule="auto"/>
        <w:ind w:firstLineChars="200" w:firstLine="420"/>
      </w:pPr>
      <w:r>
        <w:t>《普通混凝土用砂、石质量及检验方法标准》</w:t>
      </w:r>
      <w:r>
        <w:t>JGJ 52</w:t>
      </w:r>
    </w:p>
    <w:p w:rsidR="00ED5264" w:rsidRDefault="00B65917">
      <w:pPr>
        <w:numPr>
          <w:ilvl w:val="255"/>
          <w:numId w:val="0"/>
        </w:numPr>
        <w:snapToGrid w:val="0"/>
        <w:spacing w:before="312" w:after="312" w:line="360" w:lineRule="auto"/>
        <w:ind w:firstLineChars="200" w:firstLine="420"/>
      </w:pPr>
      <w:r>
        <w:t>《普通混凝土配合比设计规范》</w:t>
      </w:r>
      <w:r>
        <w:t>JGJ 55</w:t>
      </w:r>
    </w:p>
    <w:p w:rsidR="00ED5264" w:rsidRDefault="00B65917">
      <w:pPr>
        <w:numPr>
          <w:ilvl w:val="255"/>
          <w:numId w:val="0"/>
        </w:numPr>
        <w:snapToGrid w:val="0"/>
        <w:spacing w:before="312" w:after="312" w:line="360" w:lineRule="auto"/>
        <w:ind w:firstLineChars="200" w:firstLine="420"/>
      </w:pPr>
      <w:r>
        <w:t>《混凝土耐久性检验评定标准》</w:t>
      </w:r>
      <w:r>
        <w:t>JGJ</w:t>
      </w:r>
      <w:r>
        <w:t>/T 193</w:t>
      </w:r>
    </w:p>
    <w:p w:rsidR="00ED5264" w:rsidRDefault="00B65917">
      <w:pPr>
        <w:numPr>
          <w:ilvl w:val="255"/>
          <w:numId w:val="0"/>
        </w:numPr>
        <w:snapToGrid w:val="0"/>
        <w:spacing w:before="312" w:after="312" w:line="360" w:lineRule="auto"/>
        <w:ind w:firstLineChars="200" w:firstLine="420"/>
      </w:pPr>
      <w:r>
        <w:t>《石</w:t>
      </w:r>
      <w:r>
        <w:t>灰石粉在混凝土中应用技术规程》</w:t>
      </w:r>
      <w:r>
        <w:t>JGJ/T 318</w:t>
      </w:r>
    </w:p>
    <w:p w:rsidR="00ED5264" w:rsidRDefault="00B65917">
      <w:pPr>
        <w:numPr>
          <w:ilvl w:val="255"/>
          <w:numId w:val="0"/>
        </w:numPr>
        <w:snapToGrid w:val="0"/>
        <w:spacing w:before="312" w:after="312" w:line="360" w:lineRule="auto"/>
        <w:ind w:firstLineChars="200" w:firstLine="420"/>
      </w:pPr>
      <w:r>
        <w:t>《混凝土用水标准》</w:t>
      </w:r>
      <w:r>
        <w:t>JGJ 63</w:t>
      </w:r>
    </w:p>
    <w:p w:rsidR="00ED5264" w:rsidRDefault="00B65917">
      <w:pPr>
        <w:numPr>
          <w:ilvl w:val="255"/>
          <w:numId w:val="0"/>
        </w:numPr>
        <w:snapToGrid w:val="0"/>
        <w:spacing w:before="312" w:after="312" w:line="360" w:lineRule="auto"/>
        <w:ind w:firstLineChars="200" w:firstLine="420"/>
      </w:pPr>
      <w:r>
        <w:t>《混凝土用复合掺合料》</w:t>
      </w:r>
      <w:r>
        <w:t>JG/T 486</w:t>
      </w:r>
    </w:p>
    <w:p w:rsidR="00ED5264" w:rsidRDefault="00B65917">
      <w:pPr>
        <w:numPr>
          <w:ilvl w:val="255"/>
          <w:numId w:val="0"/>
        </w:numPr>
        <w:snapToGrid w:val="0"/>
        <w:spacing w:before="312" w:after="312" w:line="360" w:lineRule="auto"/>
        <w:ind w:firstLineChars="200" w:firstLine="420"/>
      </w:pPr>
      <w:r>
        <w:rPr>
          <w:rFonts w:hint="eastAsia"/>
        </w:rPr>
        <w:t>《混凝土搅拌运输车》</w:t>
      </w:r>
      <w:r>
        <w:t>JG</w:t>
      </w:r>
      <w:r>
        <w:rPr>
          <w:rFonts w:hint="eastAsia"/>
        </w:rPr>
        <w:t>/T</w:t>
      </w:r>
      <w:r>
        <w:t xml:space="preserve"> </w:t>
      </w:r>
      <w:r>
        <w:rPr>
          <w:rFonts w:hint="eastAsia"/>
        </w:rPr>
        <w:t>5094</w:t>
      </w:r>
    </w:p>
    <w:p w:rsidR="00ED5264" w:rsidRDefault="00ED5264">
      <w:pPr>
        <w:numPr>
          <w:ilvl w:val="0"/>
          <w:numId w:val="5"/>
        </w:numPr>
        <w:snapToGrid w:val="0"/>
        <w:spacing w:line="360" w:lineRule="auto"/>
        <w:ind w:firstLine="378"/>
        <w:sectPr w:rsidR="00ED5264">
          <w:pgSz w:w="11906" w:h="16838"/>
          <w:pgMar w:top="1440" w:right="1800" w:bottom="1440" w:left="1800" w:header="851" w:footer="992" w:gutter="0"/>
          <w:cols w:space="425"/>
          <w:docGrid w:type="lines" w:linePitch="312"/>
        </w:sectPr>
      </w:pPr>
    </w:p>
    <w:p w:rsidR="00ED5264" w:rsidRDefault="00ED5264">
      <w:pPr>
        <w:rPr>
          <w:b/>
          <w:sz w:val="24"/>
          <w:szCs w:val="24"/>
        </w:rPr>
      </w:pPr>
    </w:p>
    <w:p w:rsidR="00ED5264" w:rsidRDefault="00ED5264">
      <w:pPr>
        <w:spacing w:line="360" w:lineRule="auto"/>
        <w:ind w:firstLine="357"/>
        <w:jc w:val="right"/>
      </w:pPr>
    </w:p>
    <w:p w:rsidR="00ED5264" w:rsidRDefault="00ED5264">
      <w:pPr>
        <w:spacing w:line="360" w:lineRule="auto"/>
        <w:ind w:firstLine="357"/>
        <w:jc w:val="right"/>
      </w:pPr>
    </w:p>
    <w:p w:rsidR="00ED5264" w:rsidRDefault="00ED5264">
      <w:pPr>
        <w:spacing w:line="360" w:lineRule="auto"/>
        <w:ind w:firstLine="357"/>
        <w:jc w:val="right"/>
      </w:pPr>
    </w:p>
    <w:p w:rsidR="00ED5264" w:rsidRDefault="00ED5264">
      <w:pPr>
        <w:pStyle w:val="af3"/>
        <w:jc w:val="center"/>
        <w:rPr>
          <w:rFonts w:ascii="Times New Roman" w:eastAsia="黑体" w:hAnsi="Times New Roman"/>
          <w:sz w:val="28"/>
          <w:szCs w:val="28"/>
        </w:rPr>
      </w:pPr>
    </w:p>
    <w:p w:rsidR="00ED5264" w:rsidRDefault="00ED5264">
      <w:pPr>
        <w:pStyle w:val="af3"/>
        <w:jc w:val="center"/>
        <w:rPr>
          <w:rFonts w:ascii="Times New Roman" w:eastAsia="黑体" w:hAnsi="Times New Roman"/>
          <w:sz w:val="28"/>
          <w:szCs w:val="28"/>
        </w:rPr>
      </w:pPr>
    </w:p>
    <w:p w:rsidR="00ED5264" w:rsidRDefault="00ED5264">
      <w:pPr>
        <w:pStyle w:val="af3"/>
        <w:jc w:val="center"/>
        <w:rPr>
          <w:rFonts w:ascii="Times New Roman" w:eastAsia="黑体" w:hAnsi="Times New Roman"/>
          <w:sz w:val="28"/>
          <w:szCs w:val="28"/>
        </w:rPr>
      </w:pPr>
    </w:p>
    <w:p w:rsidR="00ED5264" w:rsidRDefault="00B65917">
      <w:pPr>
        <w:pStyle w:val="af3"/>
        <w:jc w:val="center"/>
        <w:rPr>
          <w:rFonts w:ascii="Times New Roman" w:eastAsia="黑体" w:hAnsi="Times New Roman"/>
          <w:sz w:val="28"/>
          <w:szCs w:val="28"/>
        </w:rPr>
      </w:pPr>
      <w:r>
        <w:rPr>
          <w:rFonts w:ascii="Times New Roman" w:eastAsia="黑体" w:hAnsi="Times New Roman"/>
          <w:sz w:val="28"/>
          <w:szCs w:val="28"/>
        </w:rPr>
        <w:t>中国工程建设</w:t>
      </w:r>
      <w:r>
        <w:rPr>
          <w:rFonts w:ascii="Times New Roman" w:eastAsia="黑体" w:hAnsi="Times New Roman" w:hint="eastAsia"/>
          <w:sz w:val="28"/>
          <w:szCs w:val="28"/>
        </w:rPr>
        <w:t>标准化</w:t>
      </w:r>
      <w:r>
        <w:rPr>
          <w:rFonts w:ascii="Times New Roman" w:eastAsia="黑体" w:hAnsi="Times New Roman"/>
          <w:sz w:val="28"/>
          <w:szCs w:val="28"/>
        </w:rPr>
        <w:t>协会标准</w:t>
      </w:r>
      <w:r>
        <w:rPr>
          <w:rFonts w:ascii="Times New Roman" w:eastAsia="黑体" w:hAnsi="Times New Roman"/>
          <w:sz w:val="28"/>
          <w:szCs w:val="28"/>
        </w:rPr>
        <w:t xml:space="preserve">                                                    </w:t>
      </w:r>
    </w:p>
    <w:p w:rsidR="00ED5264" w:rsidRDefault="00ED5264">
      <w:pPr>
        <w:pStyle w:val="af3"/>
        <w:jc w:val="center"/>
        <w:rPr>
          <w:rFonts w:ascii="Times New Roman" w:eastAsia="黑体" w:hAnsi="Times New Roman"/>
          <w:sz w:val="28"/>
          <w:szCs w:val="28"/>
        </w:rPr>
      </w:pPr>
    </w:p>
    <w:p w:rsidR="00ED5264" w:rsidRDefault="00B65917">
      <w:pPr>
        <w:pStyle w:val="af3"/>
        <w:jc w:val="center"/>
        <w:rPr>
          <w:rFonts w:ascii="Times New Roman" w:eastAsia="黑体" w:hAnsi="Times New Roman"/>
          <w:sz w:val="32"/>
          <w:szCs w:val="32"/>
        </w:rPr>
      </w:pPr>
      <w:r>
        <w:rPr>
          <w:rFonts w:ascii="Times New Roman" w:eastAsia="黑体" w:hAnsi="Times New Roman" w:hint="eastAsia"/>
          <w:sz w:val="32"/>
          <w:szCs w:val="32"/>
        </w:rPr>
        <w:t>黄河超细砂</w:t>
      </w:r>
      <w:r>
        <w:rPr>
          <w:rFonts w:ascii="Times New Roman" w:eastAsia="黑体" w:hAnsi="Times New Roman"/>
          <w:sz w:val="32"/>
          <w:szCs w:val="32"/>
        </w:rPr>
        <w:t>混凝土应用技术规程</w:t>
      </w:r>
    </w:p>
    <w:p w:rsidR="00ED5264" w:rsidRDefault="00ED5264">
      <w:pPr>
        <w:jc w:val="center"/>
        <w:rPr>
          <w:rFonts w:eastAsia="仿宋_GB2312"/>
          <w:b/>
          <w:bCs/>
          <w:caps/>
          <w:sz w:val="24"/>
          <w:szCs w:val="24"/>
        </w:rPr>
      </w:pPr>
    </w:p>
    <w:p w:rsidR="00ED5264" w:rsidRDefault="00B65917">
      <w:pPr>
        <w:jc w:val="center"/>
        <w:rPr>
          <w:rFonts w:eastAsia="仿宋_GB2312"/>
          <w:b/>
          <w:bCs/>
          <w:caps/>
          <w:sz w:val="30"/>
          <w:szCs w:val="30"/>
        </w:rPr>
      </w:pPr>
      <w:r>
        <w:rPr>
          <w:rFonts w:eastAsia="仿宋_GB2312"/>
          <w:b/>
          <w:bCs/>
          <w:caps/>
          <w:sz w:val="30"/>
          <w:szCs w:val="30"/>
        </w:rPr>
        <w:t>CECS×××:××××</w:t>
      </w:r>
    </w:p>
    <w:p w:rsidR="00ED5264" w:rsidRDefault="00ED5264">
      <w:pPr>
        <w:jc w:val="center"/>
        <w:rPr>
          <w:rFonts w:eastAsia="仿宋_GB2312"/>
          <w:b/>
          <w:bCs/>
          <w:caps/>
          <w:sz w:val="36"/>
          <w:szCs w:val="36"/>
        </w:rPr>
      </w:pPr>
    </w:p>
    <w:p w:rsidR="00ED5264" w:rsidRDefault="00B65917">
      <w:pPr>
        <w:pStyle w:val="1"/>
        <w:spacing w:before="120" w:after="120" w:line="360" w:lineRule="auto"/>
        <w:jc w:val="center"/>
        <w:rPr>
          <w:sz w:val="24"/>
          <w:szCs w:val="24"/>
        </w:rPr>
      </w:pPr>
      <w:bookmarkStart w:id="553" w:name="_Toc17197"/>
      <w:bookmarkStart w:id="554" w:name="_Toc23260874"/>
      <w:bookmarkStart w:id="555" w:name="_Toc463963189"/>
      <w:bookmarkStart w:id="556" w:name="_Toc492050338"/>
      <w:bookmarkStart w:id="557" w:name="_Toc11380"/>
      <w:bookmarkStart w:id="558" w:name="_Toc499303818"/>
      <w:bookmarkStart w:id="559" w:name="_Toc15053087"/>
      <w:bookmarkStart w:id="560" w:name="_Toc514685674"/>
      <w:bookmarkStart w:id="561" w:name="_Toc513811978"/>
      <w:bookmarkStart w:id="562" w:name="_Toc20898"/>
      <w:bookmarkStart w:id="563" w:name="_Toc462922396"/>
      <w:bookmarkStart w:id="564" w:name="_Toc462853610"/>
      <w:bookmarkStart w:id="565" w:name="_Toc22770"/>
      <w:bookmarkStart w:id="566" w:name="_Toc21920"/>
      <w:bookmarkStart w:id="567" w:name="_Toc499304717"/>
      <w:r>
        <w:rPr>
          <w:sz w:val="24"/>
          <w:szCs w:val="24"/>
        </w:rPr>
        <w:t>条文说明</w:t>
      </w:r>
      <w:bookmarkEnd w:id="553"/>
      <w:bookmarkEnd w:id="554"/>
      <w:bookmarkEnd w:id="555"/>
      <w:bookmarkEnd w:id="556"/>
      <w:bookmarkEnd w:id="557"/>
      <w:bookmarkEnd w:id="558"/>
      <w:bookmarkEnd w:id="559"/>
      <w:bookmarkEnd w:id="560"/>
      <w:bookmarkEnd w:id="561"/>
      <w:bookmarkEnd w:id="562"/>
      <w:bookmarkEnd w:id="563"/>
      <w:bookmarkEnd w:id="564"/>
      <w:bookmarkEnd w:id="565"/>
      <w:bookmarkEnd w:id="566"/>
      <w:bookmarkEnd w:id="567"/>
    </w:p>
    <w:p w:rsidR="00ED5264" w:rsidRDefault="00B65917">
      <w:pPr>
        <w:jc w:val="center"/>
        <w:rPr>
          <w:rFonts w:eastAsia="仿宋_GB2312"/>
          <w:b/>
          <w:bCs/>
          <w:caps/>
          <w:sz w:val="36"/>
          <w:szCs w:val="36"/>
        </w:rPr>
      </w:pPr>
      <w:r>
        <w:br w:type="page"/>
      </w:r>
    </w:p>
    <w:p w:rsidR="00ED5264" w:rsidRDefault="00B65917">
      <w:pPr>
        <w:jc w:val="center"/>
        <w:rPr>
          <w:rFonts w:eastAsia="黑体"/>
          <w:sz w:val="36"/>
          <w:szCs w:val="28"/>
        </w:rPr>
      </w:pPr>
      <w:r>
        <w:rPr>
          <w:rFonts w:eastAsia="黑体"/>
          <w:sz w:val="36"/>
          <w:szCs w:val="28"/>
        </w:rPr>
        <w:lastRenderedPageBreak/>
        <w:t>制</w:t>
      </w:r>
      <w:r>
        <w:rPr>
          <w:rFonts w:eastAsia="黑体"/>
          <w:sz w:val="36"/>
          <w:szCs w:val="28"/>
        </w:rPr>
        <w:t xml:space="preserve"> </w:t>
      </w:r>
      <w:r>
        <w:rPr>
          <w:rFonts w:eastAsia="黑体"/>
          <w:sz w:val="36"/>
          <w:szCs w:val="28"/>
        </w:rPr>
        <w:t>订</w:t>
      </w:r>
      <w:r>
        <w:rPr>
          <w:rFonts w:eastAsia="黑体"/>
          <w:sz w:val="36"/>
          <w:szCs w:val="28"/>
        </w:rPr>
        <w:t xml:space="preserve"> </w:t>
      </w:r>
      <w:r>
        <w:rPr>
          <w:rFonts w:eastAsia="黑体"/>
          <w:sz w:val="36"/>
          <w:szCs w:val="28"/>
        </w:rPr>
        <w:t>说</w:t>
      </w:r>
      <w:r>
        <w:rPr>
          <w:rFonts w:eastAsia="黑体"/>
          <w:sz w:val="36"/>
          <w:szCs w:val="28"/>
        </w:rPr>
        <w:t xml:space="preserve"> </w:t>
      </w:r>
      <w:r>
        <w:rPr>
          <w:rFonts w:eastAsia="黑体"/>
          <w:sz w:val="36"/>
          <w:szCs w:val="28"/>
        </w:rPr>
        <w:t>明</w:t>
      </w:r>
    </w:p>
    <w:p w:rsidR="00ED5264" w:rsidRDefault="00ED5264">
      <w:pPr>
        <w:rPr>
          <w:rFonts w:eastAsia="仿宋_GB2312"/>
          <w:b/>
          <w:bCs/>
          <w:caps/>
          <w:sz w:val="44"/>
          <w:szCs w:val="36"/>
        </w:rPr>
      </w:pPr>
    </w:p>
    <w:p w:rsidR="00ED5264" w:rsidRDefault="00B65917">
      <w:pPr>
        <w:spacing w:beforeLines="50" w:before="156" w:line="360" w:lineRule="auto"/>
        <w:rPr>
          <w:sz w:val="24"/>
        </w:rPr>
      </w:pPr>
      <w:r>
        <w:rPr>
          <w:sz w:val="24"/>
        </w:rPr>
        <w:tab/>
      </w:r>
      <w:r>
        <w:rPr>
          <w:sz w:val="24"/>
        </w:rPr>
        <w:t>《</w:t>
      </w:r>
      <w:r>
        <w:rPr>
          <w:rFonts w:hint="eastAsia"/>
          <w:sz w:val="24"/>
        </w:rPr>
        <w:t>黄河超细砂</w:t>
      </w:r>
      <w:r>
        <w:rPr>
          <w:sz w:val="24"/>
        </w:rPr>
        <w:t>混凝土应用技术规程》</w:t>
      </w:r>
      <w:r>
        <w:rPr>
          <w:sz w:val="24"/>
        </w:rPr>
        <w:t>CECS×××: ××××</w:t>
      </w:r>
      <w:r>
        <w:rPr>
          <w:sz w:val="24"/>
        </w:rPr>
        <w:t>，经</w:t>
      </w:r>
      <w:r>
        <w:rPr>
          <w:sz w:val="24"/>
          <w:szCs w:val="24"/>
        </w:rPr>
        <w:t>中国工程建设标准化协会</w:t>
      </w:r>
      <w:r>
        <w:rPr>
          <w:sz w:val="24"/>
        </w:rPr>
        <w:t>××</w:t>
      </w:r>
      <w:r>
        <w:rPr>
          <w:sz w:val="24"/>
        </w:rPr>
        <w:t>年</w:t>
      </w:r>
      <w:r>
        <w:rPr>
          <w:sz w:val="24"/>
        </w:rPr>
        <w:t>××</w:t>
      </w:r>
      <w:r>
        <w:rPr>
          <w:sz w:val="24"/>
        </w:rPr>
        <w:t>月</w:t>
      </w:r>
      <w:r>
        <w:rPr>
          <w:sz w:val="24"/>
        </w:rPr>
        <w:t>××</w:t>
      </w:r>
      <w:r>
        <w:rPr>
          <w:sz w:val="24"/>
        </w:rPr>
        <w:t>日以第</w:t>
      </w:r>
      <w:r>
        <w:rPr>
          <w:sz w:val="24"/>
        </w:rPr>
        <w:t>××</w:t>
      </w:r>
      <w:r>
        <w:rPr>
          <w:sz w:val="24"/>
        </w:rPr>
        <w:t>号公告批注发布。</w:t>
      </w:r>
    </w:p>
    <w:p w:rsidR="00ED5264" w:rsidRDefault="00B65917">
      <w:pPr>
        <w:spacing w:beforeLines="50" w:before="156" w:line="360" w:lineRule="auto"/>
        <w:ind w:firstLineChars="200" w:firstLine="480"/>
        <w:rPr>
          <w:sz w:val="24"/>
        </w:rPr>
      </w:pPr>
      <w:r>
        <w:rPr>
          <w:sz w:val="24"/>
        </w:rPr>
        <w:t>本规程编制过程中，编制组进行了广泛而深入的调查研究，总结了我国目前利用</w:t>
      </w:r>
      <w:r>
        <w:rPr>
          <w:rFonts w:hint="eastAsia"/>
          <w:sz w:val="24"/>
        </w:rPr>
        <w:t>超细砂</w:t>
      </w:r>
      <w:r>
        <w:rPr>
          <w:sz w:val="24"/>
        </w:rPr>
        <w:t>配制混凝及其应用技术的实践经验，同时参考了国内外先进技术标准，通过大量验证性试验取得了</w:t>
      </w:r>
      <w:r>
        <w:rPr>
          <w:rFonts w:hint="eastAsia"/>
          <w:sz w:val="24"/>
        </w:rPr>
        <w:t>黄河超细砂</w:t>
      </w:r>
      <w:r>
        <w:rPr>
          <w:sz w:val="24"/>
        </w:rPr>
        <w:t>混凝土配制及应用技术关键参数。</w:t>
      </w:r>
    </w:p>
    <w:p w:rsidR="00ED5264" w:rsidRDefault="00B65917">
      <w:pPr>
        <w:spacing w:beforeLines="50" w:before="156" w:line="360" w:lineRule="auto"/>
        <w:ind w:firstLineChars="200" w:firstLine="480"/>
        <w:rPr>
          <w:sz w:val="24"/>
        </w:rPr>
      </w:pPr>
      <w:r>
        <w:rPr>
          <w:sz w:val="24"/>
        </w:rPr>
        <w:t>为便于扩大设计、施工、科研、学校等单位有关人员在使用本规程时能正确理解和执行条文规定，《</w:t>
      </w:r>
      <w:r>
        <w:rPr>
          <w:rFonts w:hint="eastAsia"/>
          <w:sz w:val="24"/>
        </w:rPr>
        <w:t>黄河超细砂</w:t>
      </w:r>
      <w:r>
        <w:rPr>
          <w:sz w:val="24"/>
        </w:rPr>
        <w:t>混凝土应用技术规程》编制组按章、节、条顺序编制了本规程中的条文说明，对条文规定的目的、依据以及执行中需要注意的有关事项进行了说明。但是，本条文说明不具备与规程正文同等的法律效力，仅供使用者作为理解和把握规程规定的参考。</w:t>
      </w:r>
    </w:p>
    <w:p w:rsidR="00ED5264" w:rsidRDefault="00B65917">
      <w:pPr>
        <w:spacing w:beforeLines="50" w:before="156" w:line="360" w:lineRule="auto"/>
        <w:ind w:firstLineChars="200" w:firstLine="480"/>
        <w:jc w:val="center"/>
        <w:rPr>
          <w:sz w:val="24"/>
        </w:rPr>
      </w:pPr>
      <w:r>
        <w:rPr>
          <w:sz w:val="24"/>
        </w:rPr>
        <w:br w:type="page"/>
      </w:r>
      <w:bookmarkStart w:id="568" w:name="_Toc472351496"/>
      <w:bookmarkStart w:id="569" w:name="_Toc11226"/>
      <w:bookmarkStart w:id="570" w:name="_Toc388880767"/>
      <w:bookmarkStart w:id="571" w:name="_Toc472351392"/>
      <w:bookmarkStart w:id="572" w:name="_Toc388880968"/>
      <w:bookmarkStart w:id="573" w:name="_Toc388860308"/>
      <w:bookmarkStart w:id="574" w:name="_Toc388464369"/>
      <w:bookmarkStart w:id="575" w:name="_Toc397343985"/>
      <w:bookmarkStart w:id="576" w:name="_Toc481589832"/>
      <w:bookmarkStart w:id="577" w:name="_Toc481586529"/>
      <w:bookmarkStart w:id="578" w:name="_Toc481589728"/>
      <w:bookmarkStart w:id="579" w:name="_Toc21991"/>
      <w:bookmarkStart w:id="580" w:name="_Toc388881383"/>
      <w:bookmarkStart w:id="581" w:name="_Toc16343"/>
      <w:bookmarkStart w:id="582" w:name="_Toc481589624"/>
      <w:bookmarkStart w:id="583" w:name="_Toc397343914"/>
      <w:bookmarkStart w:id="584" w:name="_Toc486247929"/>
      <w:bookmarkStart w:id="585" w:name="_Toc398482229"/>
      <w:bookmarkStart w:id="586" w:name="_Toc397328469"/>
      <w:bookmarkStart w:id="587" w:name="_Toc486247821"/>
    </w:p>
    <w:p w:rsidR="00ED5264" w:rsidRDefault="00B65917">
      <w:pPr>
        <w:pStyle w:val="af3"/>
        <w:tabs>
          <w:tab w:val="center" w:pos="4153"/>
        </w:tabs>
        <w:jc w:val="center"/>
        <w:rPr>
          <w:rFonts w:ascii="Times New Roman" w:hAnsi="Times New Roman"/>
          <w:b/>
          <w:sz w:val="28"/>
          <w:szCs w:val="28"/>
        </w:rPr>
      </w:pPr>
      <w:r>
        <w:rPr>
          <w:rFonts w:ascii="Times New Roman" w:hAnsi="Times New Roman"/>
          <w:b/>
          <w:sz w:val="28"/>
          <w:szCs w:val="28"/>
        </w:rPr>
        <w:lastRenderedPageBreak/>
        <w:t>目</w:t>
      </w:r>
      <w:r>
        <w:rPr>
          <w:rFonts w:ascii="Times New Roman" w:hAnsi="Times New Roman"/>
          <w:b/>
          <w:sz w:val="28"/>
          <w:szCs w:val="28"/>
        </w:rPr>
        <w:t xml:space="preserve">  </w:t>
      </w:r>
      <w:r>
        <w:rPr>
          <w:rFonts w:ascii="Times New Roman" w:hAnsi="Times New Roman"/>
          <w:b/>
          <w:sz w:val="28"/>
          <w:szCs w:val="28"/>
        </w:rPr>
        <w:t>次</w:t>
      </w:r>
    </w:p>
    <w:p w:rsidR="00ED5264" w:rsidRDefault="00B65917">
      <w:pPr>
        <w:pStyle w:val="11"/>
        <w:tabs>
          <w:tab w:val="right" w:leader="dot" w:pos="8306"/>
        </w:tabs>
        <w:rPr>
          <w:rFonts w:ascii="Times New Roman" w:hAnsi="Times New Roman" w:cs="Times New Roman"/>
        </w:rPr>
      </w:pPr>
      <w:hyperlink w:anchor="_Toc21439" w:history="1">
        <w:r>
          <w:rPr>
            <w:rFonts w:ascii="Times New Roman" w:hAnsi="Times New Roman" w:cs="Times New Roman"/>
          </w:rPr>
          <w:t xml:space="preserve">1  </w:t>
        </w:r>
        <w:r>
          <w:rPr>
            <w:rFonts w:ascii="Times New Roman" w:hAnsi="Times New Roman" w:cs="Times New Roman"/>
          </w:rPr>
          <w:t>总</w:t>
        </w:r>
        <w:r>
          <w:rPr>
            <w:rFonts w:ascii="Times New Roman" w:hAnsi="Times New Roman" w:cs="Times New Roman"/>
          </w:rPr>
          <w:t xml:space="preserve"> </w:t>
        </w:r>
        <w:r>
          <w:rPr>
            <w:rFonts w:ascii="Times New Roman" w:hAnsi="Times New Roman" w:cs="Times New Roman"/>
          </w:rPr>
          <w:t>则</w:t>
        </w:r>
        <w:r>
          <w:rPr>
            <w:rFonts w:ascii="Times New Roman" w:hAnsi="Times New Roman" w:cs="Times New Roman"/>
          </w:rPr>
          <w:tab/>
        </w:r>
        <w:r>
          <w:rPr>
            <w:rFonts w:ascii="Times New Roman" w:hAnsi="Times New Roman" w:cs="Times New Roman"/>
          </w:rPr>
          <w:fldChar w:fldCharType="begin"/>
        </w:r>
        <w:r>
          <w:rPr>
            <w:rFonts w:ascii="Times New Roman" w:hAnsi="Times New Roman" w:cs="Times New Roman"/>
          </w:rPr>
          <w:instrText xml:space="preserve"> PAGEREF _Toc21439 \h </w:instrText>
        </w:r>
        <w:r>
          <w:rPr>
            <w:rFonts w:ascii="Times New Roman" w:hAnsi="Times New Roman" w:cs="Times New Roman"/>
          </w:rPr>
        </w:r>
        <w:r>
          <w:rPr>
            <w:rFonts w:ascii="Times New Roman" w:hAnsi="Times New Roman" w:cs="Times New Roman"/>
          </w:rPr>
          <w:fldChar w:fldCharType="separate"/>
        </w:r>
        <w:r>
          <w:rPr>
            <w:rFonts w:ascii="Times New Roman" w:hAnsi="Times New Roman" w:cs="Times New Roman"/>
          </w:rPr>
          <w:t>22</w:t>
        </w:r>
        <w:r>
          <w:rPr>
            <w:rFonts w:ascii="Times New Roman" w:hAnsi="Times New Roman" w:cs="Times New Roman"/>
          </w:rPr>
          <w:fldChar w:fldCharType="end"/>
        </w:r>
      </w:hyperlink>
    </w:p>
    <w:p w:rsidR="00ED5264" w:rsidRDefault="00B65917">
      <w:pPr>
        <w:pStyle w:val="11"/>
        <w:tabs>
          <w:tab w:val="right" w:leader="dot" w:pos="8306"/>
        </w:tabs>
        <w:rPr>
          <w:rFonts w:ascii="Times New Roman" w:hAnsi="Times New Roman" w:cs="Times New Roman"/>
        </w:rPr>
      </w:pPr>
      <w:hyperlink w:anchor="_Toc1402" w:history="1">
        <w:r>
          <w:rPr>
            <w:rFonts w:ascii="Times New Roman" w:hAnsi="Times New Roman" w:cs="Times New Roman"/>
          </w:rPr>
          <w:t xml:space="preserve">2  </w:t>
        </w:r>
        <w:r>
          <w:rPr>
            <w:rFonts w:ascii="Times New Roman" w:hAnsi="Times New Roman" w:cs="Times New Roman"/>
          </w:rPr>
          <w:t>术语</w:t>
        </w:r>
        <w:r w:rsidR="00465A2A">
          <w:rPr>
            <w:rFonts w:ascii="Times New Roman" w:hAnsi="Times New Roman" w:cs="Times New Roman" w:hint="eastAsia"/>
          </w:rPr>
          <w:t>和</w:t>
        </w:r>
        <w:r>
          <w:rPr>
            <w:rFonts w:ascii="Times New Roman" w:hAnsi="Times New Roman" w:cs="Times New Roman"/>
          </w:rPr>
          <w:t>符号</w:t>
        </w:r>
        <w:r>
          <w:rPr>
            <w:rFonts w:ascii="Times New Roman" w:hAnsi="Times New Roman" w:cs="Times New Roman"/>
          </w:rPr>
          <w:tab/>
        </w:r>
        <w:r>
          <w:rPr>
            <w:rFonts w:ascii="Times New Roman" w:hAnsi="Times New Roman" w:cs="Times New Roman"/>
          </w:rPr>
          <w:fldChar w:fldCharType="begin"/>
        </w:r>
        <w:r>
          <w:rPr>
            <w:rFonts w:ascii="Times New Roman" w:hAnsi="Times New Roman" w:cs="Times New Roman"/>
          </w:rPr>
          <w:instrText xml:space="preserve"> PAGEREF _Toc1402 \h </w:instrText>
        </w:r>
        <w:r>
          <w:rPr>
            <w:rFonts w:ascii="Times New Roman" w:hAnsi="Times New Roman" w:cs="Times New Roman"/>
          </w:rPr>
        </w:r>
        <w:r>
          <w:rPr>
            <w:rFonts w:ascii="Times New Roman" w:hAnsi="Times New Roman" w:cs="Times New Roman"/>
          </w:rPr>
          <w:fldChar w:fldCharType="separate"/>
        </w:r>
        <w:r>
          <w:rPr>
            <w:rFonts w:ascii="Times New Roman" w:hAnsi="Times New Roman" w:cs="Times New Roman"/>
          </w:rPr>
          <w:t>23</w:t>
        </w:r>
        <w:r>
          <w:rPr>
            <w:rFonts w:ascii="Times New Roman" w:hAnsi="Times New Roman" w:cs="Times New Roman"/>
          </w:rPr>
          <w:fldChar w:fldCharType="end"/>
        </w:r>
      </w:hyperlink>
    </w:p>
    <w:p w:rsidR="00ED5264" w:rsidRDefault="00B65917">
      <w:pPr>
        <w:pStyle w:val="11"/>
        <w:tabs>
          <w:tab w:val="right" w:leader="dot" w:pos="8306"/>
        </w:tabs>
        <w:rPr>
          <w:rFonts w:ascii="Times New Roman" w:hAnsi="Times New Roman" w:cs="Times New Roman"/>
        </w:rPr>
      </w:pPr>
      <w:hyperlink w:anchor="_Toc18976" w:history="1">
        <w:r>
          <w:rPr>
            <w:rFonts w:ascii="Times New Roman" w:hAnsi="Times New Roman" w:cs="Times New Roman"/>
          </w:rPr>
          <w:t xml:space="preserve">3  </w:t>
        </w:r>
        <w:r>
          <w:rPr>
            <w:rFonts w:ascii="Times New Roman" w:hAnsi="Times New Roman" w:cs="Times New Roman"/>
          </w:rPr>
          <w:t>基本规定</w:t>
        </w:r>
        <w:r>
          <w:rPr>
            <w:rFonts w:ascii="Times New Roman" w:hAnsi="Times New Roman" w:cs="Times New Roman"/>
          </w:rPr>
          <w:tab/>
        </w:r>
        <w:r>
          <w:rPr>
            <w:rFonts w:ascii="Times New Roman" w:hAnsi="Times New Roman" w:cs="Times New Roman"/>
          </w:rPr>
          <w:fldChar w:fldCharType="begin"/>
        </w:r>
        <w:r>
          <w:rPr>
            <w:rFonts w:ascii="Times New Roman" w:hAnsi="Times New Roman" w:cs="Times New Roman"/>
          </w:rPr>
          <w:instrText xml:space="preserve"> PAGEREF _Toc18976 \h </w:instrText>
        </w:r>
        <w:r>
          <w:rPr>
            <w:rFonts w:ascii="Times New Roman" w:hAnsi="Times New Roman" w:cs="Times New Roman"/>
          </w:rPr>
        </w:r>
        <w:r>
          <w:rPr>
            <w:rFonts w:ascii="Times New Roman" w:hAnsi="Times New Roman" w:cs="Times New Roman"/>
          </w:rPr>
          <w:fldChar w:fldCharType="separate"/>
        </w:r>
        <w:r>
          <w:rPr>
            <w:rFonts w:ascii="Times New Roman" w:hAnsi="Times New Roman" w:cs="Times New Roman"/>
          </w:rPr>
          <w:t>24</w:t>
        </w:r>
        <w:r>
          <w:rPr>
            <w:rFonts w:ascii="Times New Roman" w:hAnsi="Times New Roman" w:cs="Times New Roman"/>
          </w:rPr>
          <w:fldChar w:fldCharType="end"/>
        </w:r>
      </w:hyperlink>
    </w:p>
    <w:p w:rsidR="00ED5264" w:rsidRDefault="00B65917">
      <w:pPr>
        <w:pStyle w:val="11"/>
        <w:tabs>
          <w:tab w:val="right" w:leader="dot" w:pos="8306"/>
        </w:tabs>
        <w:rPr>
          <w:rFonts w:ascii="Times New Roman" w:hAnsi="Times New Roman" w:cs="Times New Roman"/>
        </w:rPr>
      </w:pPr>
      <w:hyperlink w:anchor="_Toc8733" w:history="1">
        <w:r>
          <w:rPr>
            <w:rFonts w:ascii="Times New Roman" w:hAnsi="Times New Roman" w:cs="Times New Roman"/>
          </w:rPr>
          <w:t xml:space="preserve">4  </w:t>
        </w:r>
        <w:r>
          <w:rPr>
            <w:rFonts w:ascii="Times New Roman" w:hAnsi="Times New Roman" w:cs="Times New Roman"/>
          </w:rPr>
          <w:t>原材料</w:t>
        </w:r>
        <w:r>
          <w:rPr>
            <w:rFonts w:ascii="Times New Roman" w:hAnsi="Times New Roman" w:cs="Times New Roman"/>
          </w:rPr>
          <w:tab/>
        </w:r>
        <w:r>
          <w:rPr>
            <w:rFonts w:ascii="Times New Roman" w:hAnsi="Times New Roman" w:cs="Times New Roman"/>
          </w:rPr>
          <w:fldChar w:fldCharType="begin"/>
        </w:r>
        <w:r>
          <w:rPr>
            <w:rFonts w:ascii="Times New Roman" w:hAnsi="Times New Roman" w:cs="Times New Roman"/>
          </w:rPr>
          <w:instrText xml:space="preserve"> PAGEREF _Toc8733 \h </w:instrText>
        </w:r>
        <w:r>
          <w:rPr>
            <w:rFonts w:ascii="Times New Roman" w:hAnsi="Times New Roman" w:cs="Times New Roman"/>
          </w:rPr>
        </w:r>
        <w:r>
          <w:rPr>
            <w:rFonts w:ascii="Times New Roman" w:hAnsi="Times New Roman" w:cs="Times New Roman"/>
          </w:rPr>
          <w:fldChar w:fldCharType="separate"/>
        </w:r>
        <w:r>
          <w:rPr>
            <w:rFonts w:ascii="Times New Roman" w:hAnsi="Times New Roman" w:cs="Times New Roman"/>
          </w:rPr>
          <w:t>25</w:t>
        </w:r>
        <w:r>
          <w:rPr>
            <w:rFonts w:ascii="Times New Roman" w:hAnsi="Times New Roman" w:cs="Times New Roman"/>
          </w:rPr>
          <w:fldChar w:fldCharType="end"/>
        </w:r>
      </w:hyperlink>
    </w:p>
    <w:p w:rsidR="00ED5264" w:rsidRDefault="00B65917">
      <w:pPr>
        <w:pStyle w:val="21"/>
        <w:tabs>
          <w:tab w:val="right" w:leader="dot" w:pos="8306"/>
        </w:tabs>
        <w:rPr>
          <w:rFonts w:ascii="Times New Roman" w:hAnsi="Times New Roman" w:cs="Times New Roman"/>
        </w:rPr>
      </w:pPr>
      <w:hyperlink w:anchor="_Toc19980" w:history="1">
        <w:r>
          <w:rPr>
            <w:rFonts w:ascii="Times New Roman" w:hAnsi="Times New Roman" w:cs="Times New Roman"/>
            <w:bCs/>
            <w:szCs w:val="24"/>
          </w:rPr>
          <w:t xml:space="preserve">4.1  </w:t>
        </w:r>
        <w:r>
          <w:rPr>
            <w:rFonts w:ascii="Times New Roman" w:hAnsi="Times New Roman" w:cs="Times New Roman"/>
            <w:bCs/>
            <w:szCs w:val="24"/>
          </w:rPr>
          <w:t>黄河超细砂混合砂</w:t>
        </w:r>
        <w:r>
          <w:rPr>
            <w:rFonts w:ascii="Times New Roman" w:hAnsi="Times New Roman" w:cs="Times New Roman"/>
          </w:rPr>
          <w:tab/>
        </w:r>
        <w:r>
          <w:rPr>
            <w:rFonts w:ascii="Times New Roman" w:hAnsi="Times New Roman" w:cs="Times New Roman"/>
          </w:rPr>
          <w:fldChar w:fldCharType="begin"/>
        </w:r>
        <w:r>
          <w:rPr>
            <w:rFonts w:ascii="Times New Roman" w:hAnsi="Times New Roman" w:cs="Times New Roman"/>
          </w:rPr>
          <w:instrText xml:space="preserve"> PAGEREF _Toc19980 \h </w:instrText>
        </w:r>
        <w:r>
          <w:rPr>
            <w:rFonts w:ascii="Times New Roman" w:hAnsi="Times New Roman" w:cs="Times New Roman"/>
          </w:rPr>
        </w:r>
        <w:r>
          <w:rPr>
            <w:rFonts w:ascii="Times New Roman" w:hAnsi="Times New Roman" w:cs="Times New Roman"/>
          </w:rPr>
          <w:fldChar w:fldCharType="separate"/>
        </w:r>
        <w:r>
          <w:rPr>
            <w:rFonts w:ascii="Times New Roman" w:hAnsi="Times New Roman" w:cs="Times New Roman"/>
          </w:rPr>
          <w:t>25</w:t>
        </w:r>
        <w:r>
          <w:rPr>
            <w:rFonts w:ascii="Times New Roman" w:hAnsi="Times New Roman" w:cs="Times New Roman"/>
          </w:rPr>
          <w:fldChar w:fldCharType="end"/>
        </w:r>
      </w:hyperlink>
    </w:p>
    <w:p w:rsidR="00ED5264" w:rsidRDefault="00B65917">
      <w:pPr>
        <w:pStyle w:val="21"/>
        <w:tabs>
          <w:tab w:val="right" w:leader="dot" w:pos="8306"/>
        </w:tabs>
        <w:rPr>
          <w:rFonts w:ascii="Times New Roman" w:hAnsi="Times New Roman" w:cs="Times New Roman"/>
        </w:rPr>
      </w:pPr>
      <w:hyperlink w:anchor="_Toc32123" w:history="1">
        <w:r>
          <w:rPr>
            <w:rFonts w:ascii="Times New Roman" w:hAnsi="Times New Roman" w:cs="Times New Roman"/>
            <w:bCs/>
            <w:szCs w:val="24"/>
          </w:rPr>
          <w:t xml:space="preserve">4.2  </w:t>
        </w:r>
        <w:r>
          <w:rPr>
            <w:rFonts w:ascii="Times New Roman" w:hAnsi="Times New Roman" w:cs="Times New Roman"/>
            <w:bCs/>
            <w:szCs w:val="24"/>
          </w:rPr>
          <w:t>其它原材料</w:t>
        </w:r>
        <w:r>
          <w:rPr>
            <w:rFonts w:ascii="Times New Roman" w:hAnsi="Times New Roman" w:cs="Times New Roman"/>
          </w:rPr>
          <w:tab/>
        </w:r>
        <w:r>
          <w:rPr>
            <w:rFonts w:ascii="Times New Roman" w:hAnsi="Times New Roman" w:cs="Times New Roman"/>
          </w:rPr>
          <w:fldChar w:fldCharType="begin"/>
        </w:r>
        <w:r>
          <w:rPr>
            <w:rFonts w:ascii="Times New Roman" w:hAnsi="Times New Roman" w:cs="Times New Roman"/>
          </w:rPr>
          <w:instrText xml:space="preserve"> PAGEREF _Toc32123 \h </w:instrText>
        </w:r>
        <w:r>
          <w:rPr>
            <w:rFonts w:ascii="Times New Roman" w:hAnsi="Times New Roman" w:cs="Times New Roman"/>
          </w:rPr>
        </w:r>
        <w:r>
          <w:rPr>
            <w:rFonts w:ascii="Times New Roman" w:hAnsi="Times New Roman" w:cs="Times New Roman"/>
          </w:rPr>
          <w:fldChar w:fldCharType="separate"/>
        </w:r>
        <w:r>
          <w:rPr>
            <w:rFonts w:ascii="Times New Roman" w:hAnsi="Times New Roman" w:cs="Times New Roman"/>
          </w:rPr>
          <w:t>25</w:t>
        </w:r>
        <w:r>
          <w:rPr>
            <w:rFonts w:ascii="Times New Roman" w:hAnsi="Times New Roman" w:cs="Times New Roman"/>
          </w:rPr>
          <w:fldChar w:fldCharType="end"/>
        </w:r>
      </w:hyperlink>
    </w:p>
    <w:p w:rsidR="00ED5264" w:rsidRDefault="00B65917">
      <w:pPr>
        <w:pStyle w:val="11"/>
        <w:tabs>
          <w:tab w:val="right" w:leader="dot" w:pos="8306"/>
        </w:tabs>
        <w:rPr>
          <w:rFonts w:ascii="Times New Roman" w:hAnsi="Times New Roman" w:cs="Times New Roman"/>
        </w:rPr>
      </w:pPr>
      <w:hyperlink w:anchor="_Toc10412" w:history="1">
        <w:r>
          <w:rPr>
            <w:rFonts w:ascii="Times New Roman" w:hAnsi="Times New Roman" w:cs="Times New Roman"/>
          </w:rPr>
          <w:t xml:space="preserve">5  </w:t>
        </w:r>
        <w:r>
          <w:rPr>
            <w:rFonts w:ascii="Times New Roman" w:hAnsi="Times New Roman" w:cs="Times New Roman"/>
          </w:rPr>
          <w:t>混凝土</w:t>
        </w:r>
        <w:r>
          <w:rPr>
            <w:rFonts w:ascii="Times New Roman" w:hAnsi="Times New Roman" w:cs="Times New Roman"/>
          </w:rPr>
          <w:t>性能</w:t>
        </w:r>
        <w:r>
          <w:rPr>
            <w:rFonts w:ascii="Times New Roman" w:hAnsi="Times New Roman" w:cs="Times New Roman"/>
          </w:rPr>
          <w:tab/>
        </w:r>
        <w:r>
          <w:rPr>
            <w:rFonts w:ascii="Times New Roman" w:hAnsi="Times New Roman" w:cs="Times New Roman"/>
          </w:rPr>
          <w:fldChar w:fldCharType="begin"/>
        </w:r>
        <w:r>
          <w:rPr>
            <w:rFonts w:ascii="Times New Roman" w:hAnsi="Times New Roman" w:cs="Times New Roman"/>
          </w:rPr>
          <w:instrText xml:space="preserve"> PAGEREF _Toc10412 \h </w:instrText>
        </w:r>
        <w:r>
          <w:rPr>
            <w:rFonts w:ascii="Times New Roman" w:hAnsi="Times New Roman" w:cs="Times New Roman"/>
          </w:rPr>
        </w:r>
        <w:r>
          <w:rPr>
            <w:rFonts w:ascii="Times New Roman" w:hAnsi="Times New Roman" w:cs="Times New Roman"/>
          </w:rPr>
          <w:fldChar w:fldCharType="separate"/>
        </w:r>
        <w:r>
          <w:rPr>
            <w:rFonts w:ascii="Times New Roman" w:hAnsi="Times New Roman" w:cs="Times New Roman"/>
          </w:rPr>
          <w:t>26</w:t>
        </w:r>
        <w:r>
          <w:rPr>
            <w:rFonts w:ascii="Times New Roman" w:hAnsi="Times New Roman" w:cs="Times New Roman"/>
          </w:rPr>
          <w:fldChar w:fldCharType="end"/>
        </w:r>
      </w:hyperlink>
    </w:p>
    <w:p w:rsidR="00ED5264" w:rsidRDefault="00B65917">
      <w:pPr>
        <w:pStyle w:val="21"/>
        <w:tabs>
          <w:tab w:val="right" w:leader="dot" w:pos="8306"/>
        </w:tabs>
        <w:rPr>
          <w:rFonts w:ascii="Times New Roman" w:hAnsi="Times New Roman" w:cs="Times New Roman"/>
        </w:rPr>
      </w:pPr>
      <w:hyperlink w:anchor="_Toc16652" w:history="1">
        <w:r>
          <w:rPr>
            <w:rFonts w:ascii="Times New Roman" w:hAnsi="Times New Roman" w:cs="Times New Roman"/>
            <w:bCs/>
            <w:szCs w:val="24"/>
          </w:rPr>
          <w:t xml:space="preserve">5.1  </w:t>
        </w:r>
        <w:r>
          <w:rPr>
            <w:rFonts w:ascii="Times New Roman" w:hAnsi="Times New Roman" w:cs="Times New Roman"/>
            <w:bCs/>
            <w:szCs w:val="24"/>
          </w:rPr>
          <w:t>工作</w:t>
        </w:r>
        <w:r>
          <w:rPr>
            <w:rFonts w:ascii="Times New Roman" w:hAnsi="Times New Roman" w:cs="Times New Roman"/>
            <w:bCs/>
            <w:szCs w:val="24"/>
          </w:rPr>
          <w:t>性能</w:t>
        </w:r>
        <w:r>
          <w:rPr>
            <w:rFonts w:ascii="Times New Roman" w:hAnsi="Times New Roman" w:cs="Times New Roman"/>
          </w:rPr>
          <w:tab/>
        </w:r>
        <w:r>
          <w:rPr>
            <w:rFonts w:ascii="Times New Roman" w:hAnsi="Times New Roman" w:cs="Times New Roman"/>
          </w:rPr>
          <w:fldChar w:fldCharType="begin"/>
        </w:r>
        <w:r>
          <w:rPr>
            <w:rFonts w:ascii="Times New Roman" w:hAnsi="Times New Roman" w:cs="Times New Roman"/>
          </w:rPr>
          <w:instrText xml:space="preserve"> PAGEREF _Toc16652 \h </w:instrText>
        </w:r>
        <w:r>
          <w:rPr>
            <w:rFonts w:ascii="Times New Roman" w:hAnsi="Times New Roman" w:cs="Times New Roman"/>
          </w:rPr>
        </w:r>
        <w:r>
          <w:rPr>
            <w:rFonts w:ascii="Times New Roman" w:hAnsi="Times New Roman" w:cs="Times New Roman"/>
          </w:rPr>
          <w:fldChar w:fldCharType="separate"/>
        </w:r>
        <w:r>
          <w:rPr>
            <w:rFonts w:ascii="Times New Roman" w:hAnsi="Times New Roman" w:cs="Times New Roman"/>
          </w:rPr>
          <w:t>26</w:t>
        </w:r>
        <w:r>
          <w:rPr>
            <w:rFonts w:ascii="Times New Roman" w:hAnsi="Times New Roman" w:cs="Times New Roman"/>
          </w:rPr>
          <w:fldChar w:fldCharType="end"/>
        </w:r>
      </w:hyperlink>
    </w:p>
    <w:p w:rsidR="00ED5264" w:rsidRDefault="00B65917">
      <w:pPr>
        <w:pStyle w:val="21"/>
        <w:tabs>
          <w:tab w:val="right" w:leader="dot" w:pos="8306"/>
        </w:tabs>
        <w:rPr>
          <w:rFonts w:ascii="Times New Roman" w:hAnsi="Times New Roman" w:cs="Times New Roman"/>
        </w:rPr>
      </w:pPr>
      <w:hyperlink w:anchor="_Toc5826" w:history="1">
        <w:r>
          <w:rPr>
            <w:rFonts w:ascii="Times New Roman" w:hAnsi="Times New Roman" w:cs="Times New Roman"/>
            <w:bCs/>
            <w:szCs w:val="24"/>
          </w:rPr>
          <w:t xml:space="preserve">5.2  </w:t>
        </w:r>
        <w:r>
          <w:rPr>
            <w:rFonts w:ascii="Times New Roman" w:hAnsi="Times New Roman" w:cs="Times New Roman"/>
            <w:bCs/>
            <w:szCs w:val="24"/>
          </w:rPr>
          <w:t>力学性能</w:t>
        </w:r>
        <w:r>
          <w:rPr>
            <w:rFonts w:ascii="Times New Roman" w:hAnsi="Times New Roman" w:cs="Times New Roman"/>
          </w:rPr>
          <w:tab/>
        </w:r>
        <w:r>
          <w:rPr>
            <w:rFonts w:ascii="Times New Roman" w:hAnsi="Times New Roman" w:cs="Times New Roman"/>
          </w:rPr>
          <w:fldChar w:fldCharType="begin"/>
        </w:r>
        <w:r>
          <w:rPr>
            <w:rFonts w:ascii="Times New Roman" w:hAnsi="Times New Roman" w:cs="Times New Roman"/>
          </w:rPr>
          <w:instrText xml:space="preserve"> PAGEREF _Toc5826 \h </w:instrText>
        </w:r>
        <w:r>
          <w:rPr>
            <w:rFonts w:ascii="Times New Roman" w:hAnsi="Times New Roman" w:cs="Times New Roman"/>
          </w:rPr>
        </w:r>
        <w:r>
          <w:rPr>
            <w:rFonts w:ascii="Times New Roman" w:hAnsi="Times New Roman" w:cs="Times New Roman"/>
          </w:rPr>
          <w:fldChar w:fldCharType="separate"/>
        </w:r>
        <w:r>
          <w:rPr>
            <w:rFonts w:ascii="Times New Roman" w:hAnsi="Times New Roman" w:cs="Times New Roman"/>
          </w:rPr>
          <w:t>26</w:t>
        </w:r>
        <w:r>
          <w:rPr>
            <w:rFonts w:ascii="Times New Roman" w:hAnsi="Times New Roman" w:cs="Times New Roman"/>
          </w:rPr>
          <w:fldChar w:fldCharType="end"/>
        </w:r>
      </w:hyperlink>
    </w:p>
    <w:p w:rsidR="00ED5264" w:rsidRDefault="00B65917">
      <w:pPr>
        <w:pStyle w:val="21"/>
        <w:tabs>
          <w:tab w:val="right" w:leader="dot" w:pos="8306"/>
        </w:tabs>
        <w:rPr>
          <w:rFonts w:ascii="Times New Roman" w:hAnsi="Times New Roman" w:cs="Times New Roman"/>
        </w:rPr>
      </w:pPr>
      <w:hyperlink w:anchor="_Toc13071" w:history="1">
        <w:r>
          <w:rPr>
            <w:rFonts w:ascii="Times New Roman" w:hAnsi="Times New Roman" w:cs="Times New Roman"/>
            <w:bCs/>
            <w:szCs w:val="24"/>
          </w:rPr>
          <w:t xml:space="preserve">5.3  </w:t>
        </w:r>
        <w:r>
          <w:rPr>
            <w:rFonts w:ascii="Times New Roman" w:hAnsi="Times New Roman" w:cs="Times New Roman"/>
            <w:bCs/>
            <w:szCs w:val="24"/>
          </w:rPr>
          <w:t>长期性能与耐久性能</w:t>
        </w:r>
        <w:r>
          <w:rPr>
            <w:rFonts w:ascii="Times New Roman" w:hAnsi="Times New Roman" w:cs="Times New Roman"/>
          </w:rPr>
          <w:tab/>
        </w:r>
        <w:r>
          <w:rPr>
            <w:rFonts w:ascii="Times New Roman" w:hAnsi="Times New Roman" w:cs="Times New Roman"/>
          </w:rPr>
          <w:fldChar w:fldCharType="begin"/>
        </w:r>
        <w:r>
          <w:rPr>
            <w:rFonts w:ascii="Times New Roman" w:hAnsi="Times New Roman" w:cs="Times New Roman"/>
          </w:rPr>
          <w:instrText xml:space="preserve"> PAGEREF _Toc13071 \h </w:instrText>
        </w:r>
        <w:r>
          <w:rPr>
            <w:rFonts w:ascii="Times New Roman" w:hAnsi="Times New Roman" w:cs="Times New Roman"/>
          </w:rPr>
        </w:r>
        <w:r>
          <w:rPr>
            <w:rFonts w:ascii="Times New Roman" w:hAnsi="Times New Roman" w:cs="Times New Roman"/>
          </w:rPr>
          <w:fldChar w:fldCharType="separate"/>
        </w:r>
        <w:r>
          <w:rPr>
            <w:rFonts w:ascii="Times New Roman" w:hAnsi="Times New Roman" w:cs="Times New Roman"/>
          </w:rPr>
          <w:t>26</w:t>
        </w:r>
        <w:r>
          <w:rPr>
            <w:rFonts w:ascii="Times New Roman" w:hAnsi="Times New Roman" w:cs="Times New Roman"/>
          </w:rPr>
          <w:fldChar w:fldCharType="end"/>
        </w:r>
      </w:hyperlink>
    </w:p>
    <w:p w:rsidR="00ED5264" w:rsidRDefault="00B65917">
      <w:pPr>
        <w:pStyle w:val="11"/>
        <w:tabs>
          <w:tab w:val="right" w:leader="dot" w:pos="8306"/>
        </w:tabs>
        <w:rPr>
          <w:rFonts w:ascii="Times New Roman" w:hAnsi="Times New Roman" w:cs="Times New Roman"/>
        </w:rPr>
      </w:pPr>
      <w:hyperlink w:anchor="_Toc22541" w:history="1">
        <w:r>
          <w:rPr>
            <w:rFonts w:ascii="Times New Roman" w:hAnsi="Times New Roman" w:cs="Times New Roman"/>
          </w:rPr>
          <w:t xml:space="preserve">6  </w:t>
        </w:r>
        <w:r>
          <w:rPr>
            <w:rFonts w:ascii="Times New Roman" w:hAnsi="Times New Roman" w:cs="Times New Roman"/>
          </w:rPr>
          <w:t>配合比设计</w:t>
        </w:r>
        <w:r>
          <w:rPr>
            <w:rFonts w:ascii="Times New Roman" w:hAnsi="Times New Roman" w:cs="Times New Roman"/>
          </w:rPr>
          <w:tab/>
        </w:r>
        <w:r>
          <w:rPr>
            <w:rFonts w:ascii="Times New Roman" w:hAnsi="Times New Roman" w:cs="Times New Roman"/>
          </w:rPr>
          <w:fldChar w:fldCharType="begin"/>
        </w:r>
        <w:r>
          <w:rPr>
            <w:rFonts w:ascii="Times New Roman" w:hAnsi="Times New Roman" w:cs="Times New Roman"/>
          </w:rPr>
          <w:instrText xml:space="preserve"> PAGEREF _Toc22541 \h </w:instrText>
        </w:r>
        <w:r>
          <w:rPr>
            <w:rFonts w:ascii="Times New Roman" w:hAnsi="Times New Roman" w:cs="Times New Roman"/>
          </w:rPr>
        </w:r>
        <w:r>
          <w:rPr>
            <w:rFonts w:ascii="Times New Roman" w:hAnsi="Times New Roman" w:cs="Times New Roman"/>
          </w:rPr>
          <w:fldChar w:fldCharType="separate"/>
        </w:r>
        <w:r>
          <w:rPr>
            <w:rFonts w:ascii="Times New Roman" w:hAnsi="Times New Roman" w:cs="Times New Roman"/>
          </w:rPr>
          <w:t>27</w:t>
        </w:r>
        <w:r>
          <w:rPr>
            <w:rFonts w:ascii="Times New Roman" w:hAnsi="Times New Roman" w:cs="Times New Roman"/>
          </w:rPr>
          <w:fldChar w:fldCharType="end"/>
        </w:r>
      </w:hyperlink>
    </w:p>
    <w:p w:rsidR="00ED5264" w:rsidRDefault="00B65917">
      <w:pPr>
        <w:pStyle w:val="21"/>
        <w:tabs>
          <w:tab w:val="right" w:leader="dot" w:pos="8306"/>
        </w:tabs>
        <w:rPr>
          <w:rFonts w:ascii="Times New Roman" w:hAnsi="Times New Roman" w:cs="Times New Roman"/>
        </w:rPr>
      </w:pPr>
      <w:hyperlink w:anchor="_Toc17624" w:history="1">
        <w:r>
          <w:rPr>
            <w:rFonts w:ascii="Times New Roman" w:hAnsi="Times New Roman" w:cs="Times New Roman"/>
            <w:bCs/>
            <w:szCs w:val="24"/>
          </w:rPr>
          <w:t xml:space="preserve">6.1  </w:t>
        </w:r>
        <w:r>
          <w:rPr>
            <w:rFonts w:ascii="Times New Roman" w:hAnsi="Times New Roman" w:cs="Times New Roman"/>
            <w:bCs/>
            <w:szCs w:val="24"/>
          </w:rPr>
          <w:t>一般要求</w:t>
        </w:r>
        <w:r>
          <w:rPr>
            <w:rFonts w:ascii="Times New Roman" w:hAnsi="Times New Roman" w:cs="Times New Roman"/>
          </w:rPr>
          <w:tab/>
        </w:r>
        <w:r>
          <w:rPr>
            <w:rFonts w:ascii="Times New Roman" w:hAnsi="Times New Roman" w:cs="Times New Roman"/>
          </w:rPr>
          <w:fldChar w:fldCharType="begin"/>
        </w:r>
        <w:r>
          <w:rPr>
            <w:rFonts w:ascii="Times New Roman" w:hAnsi="Times New Roman" w:cs="Times New Roman"/>
          </w:rPr>
          <w:instrText xml:space="preserve"> PAGEREF _Toc17624 \h </w:instrText>
        </w:r>
        <w:r>
          <w:rPr>
            <w:rFonts w:ascii="Times New Roman" w:hAnsi="Times New Roman" w:cs="Times New Roman"/>
          </w:rPr>
        </w:r>
        <w:r>
          <w:rPr>
            <w:rFonts w:ascii="Times New Roman" w:hAnsi="Times New Roman" w:cs="Times New Roman"/>
          </w:rPr>
          <w:fldChar w:fldCharType="separate"/>
        </w:r>
        <w:r>
          <w:rPr>
            <w:rFonts w:ascii="Times New Roman" w:hAnsi="Times New Roman" w:cs="Times New Roman"/>
          </w:rPr>
          <w:t>27</w:t>
        </w:r>
        <w:r>
          <w:rPr>
            <w:rFonts w:ascii="Times New Roman" w:hAnsi="Times New Roman" w:cs="Times New Roman"/>
          </w:rPr>
          <w:fldChar w:fldCharType="end"/>
        </w:r>
      </w:hyperlink>
    </w:p>
    <w:p w:rsidR="00ED5264" w:rsidRDefault="00B65917">
      <w:pPr>
        <w:pStyle w:val="21"/>
        <w:tabs>
          <w:tab w:val="right" w:leader="dot" w:pos="8306"/>
        </w:tabs>
        <w:rPr>
          <w:rFonts w:ascii="Times New Roman" w:hAnsi="Times New Roman" w:cs="Times New Roman"/>
        </w:rPr>
      </w:pPr>
      <w:hyperlink w:anchor="_Toc20183" w:history="1">
        <w:r>
          <w:rPr>
            <w:rFonts w:ascii="Times New Roman" w:hAnsi="Times New Roman" w:cs="Times New Roman"/>
            <w:bCs/>
            <w:szCs w:val="24"/>
          </w:rPr>
          <w:t xml:space="preserve">6.2 </w:t>
        </w:r>
        <w:r>
          <w:rPr>
            <w:rFonts w:ascii="Times New Roman" w:hAnsi="Times New Roman" w:cs="Times New Roman"/>
            <w:bCs/>
            <w:szCs w:val="24"/>
          </w:rPr>
          <w:t>配合比计算</w:t>
        </w:r>
        <w:r>
          <w:rPr>
            <w:rFonts w:ascii="Times New Roman" w:hAnsi="Times New Roman" w:cs="Times New Roman"/>
          </w:rPr>
          <w:tab/>
        </w:r>
        <w:r>
          <w:rPr>
            <w:rFonts w:ascii="Times New Roman" w:hAnsi="Times New Roman" w:cs="Times New Roman"/>
          </w:rPr>
          <w:fldChar w:fldCharType="begin"/>
        </w:r>
        <w:r>
          <w:rPr>
            <w:rFonts w:ascii="Times New Roman" w:hAnsi="Times New Roman" w:cs="Times New Roman"/>
          </w:rPr>
          <w:instrText xml:space="preserve"> PAGEREF _Toc20183 \h </w:instrText>
        </w:r>
        <w:r>
          <w:rPr>
            <w:rFonts w:ascii="Times New Roman" w:hAnsi="Times New Roman" w:cs="Times New Roman"/>
          </w:rPr>
        </w:r>
        <w:r>
          <w:rPr>
            <w:rFonts w:ascii="Times New Roman" w:hAnsi="Times New Roman" w:cs="Times New Roman"/>
          </w:rPr>
          <w:fldChar w:fldCharType="separate"/>
        </w:r>
        <w:r>
          <w:rPr>
            <w:rFonts w:ascii="Times New Roman" w:hAnsi="Times New Roman" w:cs="Times New Roman"/>
          </w:rPr>
          <w:t>27</w:t>
        </w:r>
        <w:r>
          <w:rPr>
            <w:rFonts w:ascii="Times New Roman" w:hAnsi="Times New Roman" w:cs="Times New Roman"/>
          </w:rPr>
          <w:fldChar w:fldCharType="end"/>
        </w:r>
      </w:hyperlink>
    </w:p>
    <w:p w:rsidR="00ED5264" w:rsidRDefault="00B65917">
      <w:pPr>
        <w:pStyle w:val="21"/>
        <w:tabs>
          <w:tab w:val="right" w:leader="dot" w:pos="8306"/>
        </w:tabs>
        <w:rPr>
          <w:rFonts w:ascii="Times New Roman" w:hAnsi="Times New Roman" w:cs="Times New Roman"/>
        </w:rPr>
      </w:pPr>
      <w:hyperlink w:anchor="_Toc21673" w:history="1">
        <w:r>
          <w:rPr>
            <w:rFonts w:ascii="Times New Roman" w:hAnsi="Times New Roman" w:cs="Times New Roman"/>
            <w:bCs/>
            <w:szCs w:val="24"/>
          </w:rPr>
          <w:t xml:space="preserve">6.3  </w:t>
        </w:r>
        <w:r>
          <w:rPr>
            <w:rFonts w:ascii="Times New Roman" w:hAnsi="Times New Roman" w:cs="Times New Roman"/>
            <w:bCs/>
            <w:szCs w:val="24"/>
          </w:rPr>
          <w:t>配合比设计参数选择</w:t>
        </w:r>
        <w:r>
          <w:rPr>
            <w:rFonts w:ascii="Times New Roman" w:hAnsi="Times New Roman" w:cs="Times New Roman"/>
          </w:rPr>
          <w:tab/>
        </w:r>
        <w:r>
          <w:rPr>
            <w:rFonts w:ascii="Times New Roman" w:hAnsi="Times New Roman" w:cs="Times New Roman"/>
          </w:rPr>
          <w:fldChar w:fldCharType="begin"/>
        </w:r>
        <w:r>
          <w:rPr>
            <w:rFonts w:ascii="Times New Roman" w:hAnsi="Times New Roman" w:cs="Times New Roman"/>
          </w:rPr>
          <w:instrText xml:space="preserve"> PAGEREF _Toc21673 \h </w:instrText>
        </w:r>
        <w:r>
          <w:rPr>
            <w:rFonts w:ascii="Times New Roman" w:hAnsi="Times New Roman" w:cs="Times New Roman"/>
          </w:rPr>
        </w:r>
        <w:r>
          <w:rPr>
            <w:rFonts w:ascii="Times New Roman" w:hAnsi="Times New Roman" w:cs="Times New Roman"/>
          </w:rPr>
          <w:fldChar w:fldCharType="separate"/>
        </w:r>
        <w:r>
          <w:rPr>
            <w:rFonts w:ascii="Times New Roman" w:hAnsi="Times New Roman" w:cs="Times New Roman"/>
          </w:rPr>
          <w:t>27</w:t>
        </w:r>
        <w:r>
          <w:rPr>
            <w:rFonts w:ascii="Times New Roman" w:hAnsi="Times New Roman" w:cs="Times New Roman"/>
          </w:rPr>
          <w:fldChar w:fldCharType="end"/>
        </w:r>
      </w:hyperlink>
    </w:p>
    <w:p w:rsidR="00ED5264" w:rsidRDefault="00B65917">
      <w:pPr>
        <w:pStyle w:val="11"/>
        <w:tabs>
          <w:tab w:val="right" w:leader="dot" w:pos="8306"/>
        </w:tabs>
        <w:rPr>
          <w:rFonts w:ascii="Times New Roman" w:hAnsi="Times New Roman" w:cs="Times New Roman"/>
        </w:rPr>
      </w:pPr>
      <w:hyperlink w:anchor="_Toc22774" w:history="1">
        <w:r>
          <w:rPr>
            <w:rFonts w:ascii="Times New Roman" w:hAnsi="Times New Roman" w:cs="Times New Roman"/>
          </w:rPr>
          <w:t xml:space="preserve">7  </w:t>
        </w:r>
        <w:r>
          <w:rPr>
            <w:rFonts w:ascii="Times New Roman" w:hAnsi="Times New Roman" w:cs="Times New Roman"/>
          </w:rPr>
          <w:t>生产与施工</w:t>
        </w:r>
        <w:r>
          <w:rPr>
            <w:rFonts w:ascii="Times New Roman" w:hAnsi="Times New Roman" w:cs="Times New Roman"/>
          </w:rPr>
          <w:tab/>
        </w:r>
        <w:r>
          <w:rPr>
            <w:rFonts w:ascii="Times New Roman" w:hAnsi="Times New Roman" w:cs="Times New Roman"/>
          </w:rPr>
          <w:t>2</w:t>
        </w:r>
      </w:hyperlink>
      <w:r>
        <w:rPr>
          <w:rFonts w:ascii="Times New Roman" w:hAnsi="Times New Roman" w:cs="Times New Roman"/>
        </w:rPr>
        <w:t>9</w:t>
      </w:r>
    </w:p>
    <w:p w:rsidR="00ED5264" w:rsidRDefault="00B65917">
      <w:pPr>
        <w:pStyle w:val="21"/>
        <w:tabs>
          <w:tab w:val="right" w:leader="dot" w:pos="8306"/>
        </w:tabs>
        <w:rPr>
          <w:rFonts w:ascii="Times New Roman" w:hAnsi="Times New Roman" w:cs="Times New Roman"/>
        </w:rPr>
      </w:pPr>
      <w:hyperlink w:anchor="_Toc18227" w:history="1">
        <w:r>
          <w:rPr>
            <w:rFonts w:ascii="Times New Roman" w:hAnsi="Times New Roman" w:cs="Times New Roman"/>
            <w:bCs/>
            <w:szCs w:val="24"/>
          </w:rPr>
          <w:t>7.1</w:t>
        </w:r>
        <w:r>
          <w:rPr>
            <w:rFonts w:ascii="Times New Roman" w:hAnsi="Times New Roman" w:cs="Times New Roman"/>
            <w:bCs/>
            <w:szCs w:val="24"/>
          </w:rPr>
          <w:t xml:space="preserve">  </w:t>
        </w:r>
        <w:r>
          <w:rPr>
            <w:rFonts w:ascii="Times New Roman" w:hAnsi="Times New Roman" w:cs="Times New Roman"/>
            <w:bCs/>
            <w:szCs w:val="24"/>
          </w:rPr>
          <w:t>一般规定</w:t>
        </w:r>
        <w:r>
          <w:rPr>
            <w:rFonts w:ascii="Times New Roman" w:hAnsi="Times New Roman" w:cs="Times New Roman"/>
          </w:rPr>
          <w:tab/>
        </w:r>
        <w:r>
          <w:rPr>
            <w:rFonts w:ascii="Times New Roman" w:hAnsi="Times New Roman" w:cs="Times New Roman" w:hint="eastAsia"/>
          </w:rPr>
          <w:t>2</w:t>
        </w:r>
      </w:hyperlink>
      <w:r>
        <w:rPr>
          <w:rFonts w:ascii="Times New Roman" w:hAnsi="Times New Roman" w:cs="Times New Roman" w:hint="eastAsia"/>
        </w:rPr>
        <w:t>9</w:t>
      </w:r>
    </w:p>
    <w:p w:rsidR="00ED5264" w:rsidRDefault="00B65917">
      <w:pPr>
        <w:pStyle w:val="21"/>
        <w:tabs>
          <w:tab w:val="right" w:leader="dot" w:pos="8306"/>
        </w:tabs>
        <w:rPr>
          <w:rFonts w:ascii="Times New Roman" w:hAnsi="Times New Roman" w:cs="Times New Roman"/>
        </w:rPr>
      </w:pPr>
      <w:hyperlink w:anchor="_Toc5571" w:history="1">
        <w:r>
          <w:rPr>
            <w:rFonts w:ascii="Times New Roman" w:hAnsi="Times New Roman" w:cs="Times New Roman"/>
            <w:bCs/>
            <w:szCs w:val="24"/>
          </w:rPr>
          <w:t xml:space="preserve">7.2 </w:t>
        </w:r>
        <w:r>
          <w:rPr>
            <w:rFonts w:ascii="Times New Roman" w:hAnsi="Times New Roman" w:cs="Times New Roman"/>
            <w:bCs/>
            <w:szCs w:val="24"/>
          </w:rPr>
          <w:t>原材料进场</w:t>
        </w:r>
        <w:r>
          <w:rPr>
            <w:rFonts w:ascii="Times New Roman" w:hAnsi="Times New Roman" w:cs="Times New Roman"/>
          </w:rPr>
          <w:tab/>
        </w:r>
        <w:r>
          <w:rPr>
            <w:rFonts w:ascii="Times New Roman" w:hAnsi="Times New Roman" w:cs="Times New Roman" w:hint="eastAsia"/>
          </w:rPr>
          <w:t>2</w:t>
        </w:r>
      </w:hyperlink>
      <w:r>
        <w:rPr>
          <w:rFonts w:ascii="Times New Roman" w:hAnsi="Times New Roman" w:cs="Times New Roman" w:hint="eastAsia"/>
        </w:rPr>
        <w:t>9</w:t>
      </w:r>
    </w:p>
    <w:p w:rsidR="00ED5264" w:rsidRDefault="00B65917">
      <w:pPr>
        <w:pStyle w:val="21"/>
        <w:tabs>
          <w:tab w:val="right" w:leader="dot" w:pos="8306"/>
        </w:tabs>
        <w:rPr>
          <w:rFonts w:ascii="Times New Roman" w:hAnsi="Times New Roman" w:cs="Times New Roman"/>
        </w:rPr>
      </w:pPr>
      <w:hyperlink w:anchor="_Toc32299" w:history="1">
        <w:r>
          <w:rPr>
            <w:rFonts w:ascii="Times New Roman" w:hAnsi="Times New Roman" w:cs="Times New Roman"/>
            <w:bCs/>
            <w:szCs w:val="24"/>
          </w:rPr>
          <w:t xml:space="preserve">7.3 </w:t>
        </w:r>
        <w:r>
          <w:rPr>
            <w:rFonts w:ascii="Times New Roman" w:hAnsi="Times New Roman" w:cs="Times New Roman"/>
            <w:bCs/>
            <w:szCs w:val="24"/>
          </w:rPr>
          <w:t>计量</w:t>
        </w:r>
        <w:r>
          <w:rPr>
            <w:rFonts w:ascii="Times New Roman" w:hAnsi="Times New Roman" w:cs="Times New Roman"/>
          </w:rPr>
          <w:tab/>
        </w:r>
        <w:r>
          <w:rPr>
            <w:rFonts w:ascii="Times New Roman" w:hAnsi="Times New Roman" w:cs="Times New Roman" w:hint="eastAsia"/>
          </w:rPr>
          <w:t>2</w:t>
        </w:r>
      </w:hyperlink>
      <w:r>
        <w:rPr>
          <w:rFonts w:ascii="Times New Roman" w:hAnsi="Times New Roman" w:cs="Times New Roman" w:hint="eastAsia"/>
        </w:rPr>
        <w:t>9</w:t>
      </w:r>
    </w:p>
    <w:p w:rsidR="00ED5264" w:rsidRDefault="00B65917">
      <w:pPr>
        <w:pStyle w:val="21"/>
        <w:tabs>
          <w:tab w:val="right" w:leader="dot" w:pos="8306"/>
        </w:tabs>
        <w:rPr>
          <w:rFonts w:ascii="Times New Roman" w:hAnsi="Times New Roman" w:cs="Times New Roman"/>
        </w:rPr>
      </w:pPr>
      <w:hyperlink w:anchor="_Toc10453" w:history="1">
        <w:r>
          <w:rPr>
            <w:rFonts w:ascii="Times New Roman" w:hAnsi="Times New Roman" w:cs="Times New Roman"/>
            <w:bCs/>
            <w:szCs w:val="24"/>
          </w:rPr>
          <w:t xml:space="preserve">7.4 </w:t>
        </w:r>
        <w:r>
          <w:rPr>
            <w:rFonts w:ascii="Times New Roman" w:hAnsi="Times New Roman" w:cs="Times New Roman"/>
            <w:bCs/>
            <w:szCs w:val="24"/>
          </w:rPr>
          <w:t>搅拌</w:t>
        </w:r>
        <w:r>
          <w:rPr>
            <w:rFonts w:ascii="Times New Roman" w:hAnsi="Times New Roman" w:cs="Times New Roman"/>
          </w:rPr>
          <w:tab/>
        </w:r>
        <w:r>
          <w:rPr>
            <w:rFonts w:ascii="Times New Roman" w:hAnsi="Times New Roman" w:cs="Times New Roman" w:hint="eastAsia"/>
          </w:rPr>
          <w:t>2</w:t>
        </w:r>
      </w:hyperlink>
      <w:r>
        <w:rPr>
          <w:rFonts w:ascii="Times New Roman" w:hAnsi="Times New Roman" w:cs="Times New Roman" w:hint="eastAsia"/>
        </w:rPr>
        <w:t>9</w:t>
      </w:r>
    </w:p>
    <w:p w:rsidR="00ED5264" w:rsidRDefault="00B65917">
      <w:pPr>
        <w:pStyle w:val="21"/>
        <w:tabs>
          <w:tab w:val="right" w:leader="dot" w:pos="8306"/>
        </w:tabs>
        <w:rPr>
          <w:rFonts w:ascii="Times New Roman" w:hAnsi="Times New Roman" w:cs="Times New Roman"/>
        </w:rPr>
      </w:pPr>
      <w:hyperlink w:anchor="_Toc7333" w:history="1">
        <w:r>
          <w:rPr>
            <w:rFonts w:ascii="Times New Roman" w:hAnsi="Times New Roman" w:cs="Times New Roman"/>
            <w:bCs/>
            <w:szCs w:val="24"/>
          </w:rPr>
          <w:t xml:space="preserve">7.5 </w:t>
        </w:r>
        <w:r>
          <w:rPr>
            <w:rFonts w:ascii="Times New Roman" w:hAnsi="Times New Roman" w:cs="Times New Roman"/>
            <w:bCs/>
            <w:szCs w:val="24"/>
          </w:rPr>
          <w:t>运输</w:t>
        </w:r>
        <w:r>
          <w:rPr>
            <w:rFonts w:ascii="Times New Roman" w:hAnsi="Times New Roman" w:cs="Times New Roman"/>
          </w:rPr>
          <w:tab/>
        </w:r>
        <w:r>
          <w:rPr>
            <w:rFonts w:ascii="Times New Roman" w:hAnsi="Times New Roman" w:cs="Times New Roman" w:hint="eastAsia"/>
          </w:rPr>
          <w:t>2</w:t>
        </w:r>
      </w:hyperlink>
      <w:r>
        <w:rPr>
          <w:rFonts w:ascii="Times New Roman" w:hAnsi="Times New Roman" w:cs="Times New Roman" w:hint="eastAsia"/>
        </w:rPr>
        <w:t>9</w:t>
      </w:r>
    </w:p>
    <w:p w:rsidR="00ED5264" w:rsidRDefault="00B65917">
      <w:pPr>
        <w:pStyle w:val="21"/>
        <w:tabs>
          <w:tab w:val="right" w:leader="dot" w:pos="8306"/>
        </w:tabs>
        <w:rPr>
          <w:rFonts w:ascii="Times New Roman" w:hAnsi="Times New Roman" w:cs="Times New Roman"/>
        </w:rPr>
      </w:pPr>
      <w:hyperlink w:anchor="_Toc18301" w:history="1">
        <w:r>
          <w:rPr>
            <w:rFonts w:ascii="Times New Roman" w:hAnsi="Times New Roman" w:cs="Times New Roman"/>
            <w:bCs/>
            <w:szCs w:val="24"/>
          </w:rPr>
          <w:t xml:space="preserve">7.6 </w:t>
        </w:r>
        <w:r>
          <w:rPr>
            <w:rFonts w:ascii="Times New Roman" w:hAnsi="Times New Roman" w:cs="Times New Roman"/>
            <w:bCs/>
            <w:szCs w:val="24"/>
          </w:rPr>
          <w:t>浇筑</w:t>
        </w:r>
        <w:r>
          <w:rPr>
            <w:rFonts w:ascii="Times New Roman" w:hAnsi="Times New Roman" w:cs="Times New Roman"/>
          </w:rPr>
          <w:tab/>
        </w:r>
        <w:r>
          <w:rPr>
            <w:rFonts w:ascii="Times New Roman" w:hAnsi="Times New Roman" w:cs="Times New Roman" w:hint="eastAsia"/>
          </w:rPr>
          <w:t>3</w:t>
        </w:r>
      </w:hyperlink>
      <w:r>
        <w:rPr>
          <w:rFonts w:ascii="Times New Roman" w:hAnsi="Times New Roman" w:cs="Times New Roman" w:hint="eastAsia"/>
        </w:rPr>
        <w:t>0</w:t>
      </w:r>
    </w:p>
    <w:p w:rsidR="00ED5264" w:rsidRDefault="00B65917">
      <w:pPr>
        <w:pStyle w:val="21"/>
        <w:tabs>
          <w:tab w:val="right" w:leader="dot" w:pos="8306"/>
        </w:tabs>
        <w:rPr>
          <w:rFonts w:ascii="Times New Roman" w:hAnsi="Times New Roman" w:cs="Times New Roman"/>
        </w:rPr>
      </w:pPr>
      <w:hyperlink w:anchor="_Toc20232" w:history="1">
        <w:r>
          <w:rPr>
            <w:rFonts w:ascii="Times New Roman" w:hAnsi="Times New Roman" w:cs="Times New Roman"/>
            <w:bCs/>
            <w:szCs w:val="24"/>
          </w:rPr>
          <w:t xml:space="preserve">7.7 </w:t>
        </w:r>
        <w:r>
          <w:rPr>
            <w:rFonts w:ascii="Times New Roman" w:hAnsi="Times New Roman" w:cs="Times New Roman"/>
            <w:bCs/>
            <w:szCs w:val="24"/>
          </w:rPr>
          <w:t>养护</w:t>
        </w:r>
        <w:r>
          <w:rPr>
            <w:rFonts w:ascii="Times New Roman" w:hAnsi="Times New Roman" w:cs="Times New Roman"/>
          </w:rPr>
          <w:tab/>
        </w:r>
        <w:r>
          <w:rPr>
            <w:rFonts w:ascii="Times New Roman" w:hAnsi="Times New Roman" w:cs="Times New Roman" w:hint="eastAsia"/>
          </w:rPr>
          <w:t>3</w:t>
        </w:r>
      </w:hyperlink>
      <w:r>
        <w:rPr>
          <w:rFonts w:ascii="Times New Roman" w:hAnsi="Times New Roman" w:cs="Times New Roman" w:hint="eastAsia"/>
        </w:rPr>
        <w:t>0</w:t>
      </w:r>
    </w:p>
    <w:p w:rsidR="00ED5264" w:rsidRDefault="00B65917">
      <w:pPr>
        <w:pStyle w:val="11"/>
        <w:tabs>
          <w:tab w:val="right" w:leader="dot" w:pos="8306"/>
        </w:tabs>
        <w:rPr>
          <w:rFonts w:ascii="Times New Roman" w:hAnsi="Times New Roman" w:cs="Times New Roman"/>
        </w:rPr>
      </w:pPr>
      <w:hyperlink w:anchor="_Toc3938" w:history="1">
        <w:r>
          <w:rPr>
            <w:rFonts w:ascii="Times New Roman" w:hAnsi="Times New Roman" w:cs="Times New Roman"/>
          </w:rPr>
          <w:t>8</w:t>
        </w:r>
        <w:r>
          <w:rPr>
            <w:rFonts w:ascii="Times New Roman" w:hAnsi="Times New Roman" w:cs="Times New Roman"/>
          </w:rPr>
          <w:t xml:space="preserve">  </w:t>
        </w:r>
        <w:r>
          <w:rPr>
            <w:rFonts w:ascii="Times New Roman" w:hAnsi="Times New Roman" w:cs="Times New Roman"/>
          </w:rPr>
          <w:t>质量检验和验收</w:t>
        </w:r>
        <w:r>
          <w:rPr>
            <w:rFonts w:ascii="Times New Roman" w:hAnsi="Times New Roman" w:cs="Times New Roman"/>
          </w:rPr>
          <w:tab/>
        </w:r>
        <w:r>
          <w:rPr>
            <w:rFonts w:ascii="Times New Roman" w:hAnsi="Times New Roman" w:cs="Times New Roman" w:hint="eastAsia"/>
          </w:rPr>
          <w:t>3</w:t>
        </w:r>
      </w:hyperlink>
      <w:r>
        <w:rPr>
          <w:rFonts w:ascii="Times New Roman" w:hAnsi="Times New Roman" w:cs="Times New Roman" w:hint="eastAsia"/>
        </w:rPr>
        <w:t>1</w:t>
      </w:r>
    </w:p>
    <w:p w:rsidR="00ED5264" w:rsidRDefault="00B65917">
      <w:pPr>
        <w:pStyle w:val="21"/>
        <w:tabs>
          <w:tab w:val="right" w:leader="dot" w:pos="8306"/>
        </w:tabs>
        <w:rPr>
          <w:rFonts w:ascii="Times New Roman" w:hAnsi="Times New Roman" w:cs="Times New Roman"/>
        </w:rPr>
      </w:pPr>
      <w:hyperlink w:anchor="_Toc15316" w:history="1">
        <w:r>
          <w:rPr>
            <w:rFonts w:ascii="Times New Roman" w:hAnsi="Times New Roman" w:cs="Times New Roman"/>
            <w:bCs/>
            <w:szCs w:val="24"/>
          </w:rPr>
          <w:t xml:space="preserve">8.1 </w:t>
        </w:r>
        <w:r>
          <w:rPr>
            <w:rFonts w:ascii="Times New Roman" w:hAnsi="Times New Roman" w:cs="Times New Roman"/>
            <w:bCs/>
            <w:szCs w:val="24"/>
          </w:rPr>
          <w:t>原材料质量检验</w:t>
        </w:r>
        <w:r>
          <w:rPr>
            <w:rFonts w:ascii="Times New Roman" w:hAnsi="Times New Roman" w:cs="Times New Roman"/>
          </w:rPr>
          <w:tab/>
        </w:r>
      </w:hyperlink>
      <w:r>
        <w:rPr>
          <w:rFonts w:ascii="Times New Roman" w:hAnsi="Times New Roman" w:cs="Times New Roman" w:hint="eastAsia"/>
        </w:rPr>
        <w:t>31</w:t>
      </w:r>
    </w:p>
    <w:p w:rsidR="00ED5264" w:rsidRDefault="00B65917">
      <w:pPr>
        <w:pStyle w:val="21"/>
        <w:tabs>
          <w:tab w:val="right" w:leader="dot" w:pos="8306"/>
        </w:tabs>
        <w:rPr>
          <w:rFonts w:ascii="Times New Roman" w:hAnsi="Times New Roman" w:cs="Times New Roman"/>
        </w:rPr>
      </w:pPr>
      <w:hyperlink w:anchor="_Toc22183" w:history="1">
        <w:r>
          <w:rPr>
            <w:rFonts w:ascii="Times New Roman" w:hAnsi="Times New Roman" w:cs="Times New Roman"/>
            <w:bCs/>
            <w:szCs w:val="24"/>
          </w:rPr>
          <w:t xml:space="preserve">8.2 </w:t>
        </w:r>
        <w:r>
          <w:rPr>
            <w:rFonts w:ascii="Times New Roman" w:hAnsi="Times New Roman" w:cs="Times New Roman"/>
            <w:bCs/>
            <w:szCs w:val="24"/>
          </w:rPr>
          <w:t>黄河超细砂混凝土</w:t>
        </w:r>
        <w:r>
          <w:rPr>
            <w:rFonts w:ascii="Times New Roman" w:hAnsi="Times New Roman" w:cs="Times New Roman"/>
            <w:bCs/>
            <w:szCs w:val="24"/>
          </w:rPr>
          <w:t>性能检验</w:t>
        </w:r>
        <w:r>
          <w:rPr>
            <w:rFonts w:ascii="Times New Roman" w:hAnsi="Times New Roman" w:cs="Times New Roman"/>
          </w:rPr>
          <w:tab/>
        </w:r>
        <w:r>
          <w:rPr>
            <w:rFonts w:ascii="Times New Roman" w:hAnsi="Times New Roman" w:cs="Times New Roman" w:hint="eastAsia"/>
          </w:rPr>
          <w:t>3</w:t>
        </w:r>
      </w:hyperlink>
      <w:r>
        <w:rPr>
          <w:rFonts w:ascii="Times New Roman" w:hAnsi="Times New Roman" w:cs="Times New Roman" w:hint="eastAsia"/>
        </w:rPr>
        <w:t>1</w:t>
      </w:r>
    </w:p>
    <w:p w:rsidR="00ED5264" w:rsidRDefault="00B65917">
      <w:pPr>
        <w:pStyle w:val="11"/>
        <w:tabs>
          <w:tab w:val="right" w:leader="dot" w:pos="8306"/>
        </w:tabs>
        <w:ind w:firstLineChars="100" w:firstLine="220"/>
        <w:rPr>
          <w:rFonts w:ascii="Times New Roman" w:hAnsi="Times New Roman" w:cs="Times New Roman"/>
        </w:rPr>
      </w:pPr>
      <w:hyperlink w:anchor="_Toc11173" w:history="1">
        <w:r>
          <w:rPr>
            <w:rFonts w:ascii="Times New Roman" w:hAnsi="Times New Roman" w:cs="Times New Roman"/>
            <w:bCs/>
            <w:szCs w:val="24"/>
          </w:rPr>
          <w:t xml:space="preserve">8.3 </w:t>
        </w:r>
        <w:r>
          <w:rPr>
            <w:rFonts w:ascii="Times New Roman" w:hAnsi="Times New Roman" w:cs="Times New Roman"/>
            <w:bCs/>
            <w:szCs w:val="24"/>
          </w:rPr>
          <w:t>验收</w:t>
        </w:r>
        <w:r>
          <w:rPr>
            <w:rFonts w:ascii="Times New Roman" w:hAnsi="Times New Roman" w:cs="Times New Roman"/>
          </w:rPr>
          <w:tab/>
        </w:r>
        <w:r>
          <w:rPr>
            <w:rFonts w:ascii="Times New Roman" w:hAnsi="Times New Roman" w:cs="Times New Roman" w:hint="eastAsia"/>
          </w:rPr>
          <w:t>3</w:t>
        </w:r>
      </w:hyperlink>
      <w:r>
        <w:rPr>
          <w:rFonts w:ascii="Times New Roman" w:hAnsi="Times New Roman" w:cs="Times New Roman" w:hint="eastAsia"/>
        </w:rPr>
        <w:t>1</w:t>
      </w:r>
    </w:p>
    <w:p w:rsidR="00ED5264" w:rsidRDefault="00ED5264">
      <w:pPr>
        <w:pStyle w:val="11"/>
        <w:tabs>
          <w:tab w:val="right" w:leader="dot" w:pos="8306"/>
        </w:tabs>
        <w:rPr>
          <w:rFonts w:ascii="Times New Roman" w:hAnsi="Times New Roman" w:cs="Times New Roman"/>
        </w:rPr>
      </w:pPr>
    </w:p>
    <w:p w:rsidR="00ED5264" w:rsidRDefault="00B65917">
      <w:pPr>
        <w:pStyle w:val="af3"/>
        <w:tabs>
          <w:tab w:val="center" w:pos="4153"/>
        </w:tabs>
        <w:rPr>
          <w:rFonts w:ascii="Times New Roman" w:hAnsi="Times New Roman"/>
        </w:rPr>
      </w:pPr>
      <w:bookmarkStart w:id="588" w:name="_Toc472351497"/>
      <w:bookmarkStart w:id="589" w:name="_Toc25912871"/>
      <w:bookmarkStart w:id="590" w:name="_Toc509849362"/>
      <w:bookmarkStart w:id="591" w:name="_Toc23260875"/>
      <w:bookmarkStart w:id="592" w:name="_Toc481589729"/>
      <w:bookmarkStart w:id="593" w:name="_Toc481589625"/>
      <w:bookmarkStart w:id="594" w:name="_Toc509849565"/>
      <w:bookmarkStart w:id="595" w:name="_Toc486247930"/>
      <w:bookmarkStart w:id="596" w:name="_Toc23260546"/>
      <w:bookmarkStart w:id="597" w:name="_Toc22895669"/>
      <w:bookmarkStart w:id="598" w:name="_Toc481586530"/>
      <w:bookmarkStart w:id="599" w:name="_Toc20708"/>
      <w:bookmarkStart w:id="600" w:name="_Toc6615"/>
      <w:bookmarkStart w:id="601" w:name="_Toc481589833"/>
      <w:bookmarkStart w:id="602" w:name="_Toc10248"/>
      <w:bookmarkStart w:id="603" w:name="_Toc14810"/>
      <w:bookmarkEnd w:id="568"/>
      <w:bookmarkEnd w:id="569"/>
      <w:bookmarkEnd w:id="570"/>
      <w:bookmarkEnd w:id="571"/>
      <w:bookmarkEnd w:id="572"/>
      <w:bookmarkEnd w:id="573"/>
      <w:bookmarkEnd w:id="574"/>
      <w:bookmarkEnd w:id="575"/>
      <w:bookmarkEnd w:id="576"/>
      <w:bookmarkEnd w:id="577"/>
      <w:bookmarkEnd w:id="578"/>
      <w:bookmarkEnd w:id="579"/>
      <w:bookmarkEnd w:id="580"/>
      <w:bookmarkEnd w:id="581"/>
      <w:bookmarkEnd w:id="582"/>
      <w:bookmarkEnd w:id="583"/>
      <w:bookmarkEnd w:id="584"/>
      <w:bookmarkEnd w:id="585"/>
      <w:bookmarkEnd w:id="586"/>
      <w:bookmarkEnd w:id="587"/>
      <w:r>
        <w:rPr>
          <w:rFonts w:ascii="Times New Roman" w:hAnsi="Times New Roman"/>
        </w:rPr>
        <w:br w:type="page"/>
      </w:r>
    </w:p>
    <w:p w:rsidR="00ED5264" w:rsidRDefault="00B65917">
      <w:pPr>
        <w:pStyle w:val="aff4"/>
        <w:spacing w:before="312" w:after="312"/>
      </w:pPr>
      <w:bookmarkStart w:id="604" w:name="_Toc32517"/>
      <w:bookmarkStart w:id="605" w:name="_Toc21439"/>
      <w:bookmarkStart w:id="606" w:name="_Toc18926"/>
      <w:r>
        <w:lastRenderedPageBreak/>
        <w:t xml:space="preserve">1  </w:t>
      </w:r>
      <w:r>
        <w:t>总</w:t>
      </w:r>
      <w:r>
        <w:t xml:space="preserve"> </w:t>
      </w:r>
      <w:r>
        <w:t>则</w:t>
      </w:r>
      <w:bookmarkEnd w:id="588"/>
      <w:bookmarkEnd w:id="589"/>
      <w:bookmarkEnd w:id="590"/>
      <w:bookmarkEnd w:id="591"/>
      <w:bookmarkEnd w:id="592"/>
      <w:bookmarkEnd w:id="593"/>
      <w:bookmarkEnd w:id="594"/>
      <w:bookmarkEnd w:id="595"/>
      <w:bookmarkEnd w:id="596"/>
      <w:bookmarkEnd w:id="597"/>
      <w:bookmarkEnd w:id="598"/>
      <w:bookmarkEnd w:id="599"/>
      <w:bookmarkEnd w:id="600"/>
      <w:bookmarkEnd w:id="601"/>
      <w:bookmarkEnd w:id="602"/>
      <w:bookmarkEnd w:id="603"/>
      <w:bookmarkEnd w:id="604"/>
      <w:bookmarkEnd w:id="605"/>
      <w:bookmarkEnd w:id="606"/>
    </w:p>
    <w:p w:rsidR="00ED5264" w:rsidRDefault="00B65917">
      <w:pPr>
        <w:spacing w:line="400" w:lineRule="atLeast"/>
      </w:pPr>
      <w:r>
        <w:rPr>
          <w:b/>
        </w:rPr>
        <w:t>1.0.1</w:t>
      </w:r>
      <w:r>
        <w:t xml:space="preserve">  </w:t>
      </w:r>
      <w:r>
        <w:t>本条规定了本标准的编制目的是规范并促进</w:t>
      </w:r>
      <w:r>
        <w:rPr>
          <w:rFonts w:hint="eastAsia"/>
        </w:rPr>
        <w:t>黄河超细砂</w:t>
      </w:r>
      <w:r>
        <w:t>混凝土应用技术的发展，在确保建设工程质量时，有统一的</w:t>
      </w:r>
      <w:r>
        <w:rPr>
          <w:rFonts w:hint="eastAsia"/>
        </w:rPr>
        <w:t>黄河超细砂</w:t>
      </w:r>
      <w:r>
        <w:t>混凝土技术规程作为依据，并做到技术先进、安全可靠、经济合理。</w:t>
      </w:r>
    </w:p>
    <w:p w:rsidR="00ED5264" w:rsidRDefault="00B65917">
      <w:pPr>
        <w:spacing w:line="400" w:lineRule="atLeast"/>
      </w:pPr>
      <w:r>
        <w:rPr>
          <w:b/>
        </w:rPr>
        <w:t>1.0.2</w:t>
      </w:r>
      <w:r>
        <w:t xml:space="preserve">  </w:t>
      </w:r>
      <w:r>
        <w:t>本标准规定了</w:t>
      </w:r>
      <w:r>
        <w:rPr>
          <w:rFonts w:hint="eastAsia"/>
        </w:rPr>
        <w:t>黄河超细砂</w:t>
      </w:r>
      <w:r>
        <w:t>混凝土的适用范围。</w:t>
      </w:r>
      <w:r>
        <w:rPr>
          <w:rFonts w:hint="eastAsia"/>
        </w:rPr>
        <w:t>调研发现，黄河超细砂的处置方式</w:t>
      </w:r>
      <w:r>
        <w:rPr>
          <w:rFonts w:hint="eastAsia"/>
        </w:rPr>
        <w:t>以</w:t>
      </w:r>
      <w:r>
        <w:rPr>
          <w:rFonts w:hint="eastAsia"/>
        </w:rPr>
        <w:t>堆弃或者填埋处理，处理过程占用了大量的耕地，且堆弃过程中黄河砂细颗粒遇风飞扬，可产生大量扬尘，对周边的大气环境造成污染。</w:t>
      </w:r>
      <w:r>
        <w:t>从生态环保角度考虑，本标准所涉及的</w:t>
      </w:r>
      <w:r>
        <w:rPr>
          <w:rFonts w:hint="eastAsia"/>
        </w:rPr>
        <w:t>黄河超细砂</w:t>
      </w:r>
      <w:r>
        <w:t>是</w:t>
      </w:r>
      <w:r>
        <w:rPr>
          <w:rFonts w:hint="eastAsia"/>
        </w:rPr>
        <w:t>山东境内丰富的天然资源</w:t>
      </w:r>
      <w:r>
        <w:rPr>
          <w:rFonts w:hint="eastAsia"/>
        </w:rPr>
        <w:t>，</w:t>
      </w:r>
      <w:r>
        <w:rPr>
          <w:rFonts w:hint="eastAsia"/>
        </w:rPr>
        <w:t>将黄河超细砂取代部分河砂应用到混凝土中</w:t>
      </w:r>
      <w:r>
        <w:rPr>
          <w:rFonts w:hint="eastAsia"/>
        </w:rPr>
        <w:t>，</w:t>
      </w:r>
      <w:r>
        <w:rPr>
          <w:rFonts w:hint="eastAsia"/>
        </w:rPr>
        <w:t>缓解河砂资源匮乏问题的同时，将丰富的黄河超细砂资源充分利用。</w:t>
      </w:r>
      <w:r>
        <w:t>在尽量保证生态环境不受破坏的前提下，合理有序开发利用</w:t>
      </w:r>
      <w:r>
        <w:rPr>
          <w:rFonts w:hint="eastAsia"/>
        </w:rPr>
        <w:t>黄河超细砂</w:t>
      </w:r>
      <w:r>
        <w:t>。</w:t>
      </w:r>
    </w:p>
    <w:p w:rsidR="00ED5264" w:rsidRDefault="00B65917">
      <w:pPr>
        <w:spacing w:line="400" w:lineRule="atLeast"/>
      </w:pPr>
      <w:r>
        <w:rPr>
          <w:b/>
        </w:rPr>
        <w:t>1.0.</w:t>
      </w:r>
      <w:r>
        <w:rPr>
          <w:b/>
        </w:rPr>
        <w:t>3</w:t>
      </w:r>
      <w:r>
        <w:t xml:space="preserve">  </w:t>
      </w:r>
      <w:r>
        <w:t>对于</w:t>
      </w:r>
      <w:r>
        <w:rPr>
          <w:rFonts w:hint="eastAsia"/>
        </w:rPr>
        <w:t>黄河超细砂</w:t>
      </w:r>
      <w:r>
        <w:t>混凝土的有关技术内容，本标准规定的以本标准为准，未作规定的应按国家现行相关标准执行。</w:t>
      </w:r>
    </w:p>
    <w:p w:rsidR="00ED5264" w:rsidRDefault="00ED5264">
      <w:pPr>
        <w:spacing w:beforeLines="50" w:before="156"/>
      </w:pPr>
    </w:p>
    <w:p w:rsidR="00ED5264" w:rsidRDefault="00ED5264">
      <w:pPr>
        <w:spacing w:beforeLines="50" w:before="156"/>
      </w:pPr>
    </w:p>
    <w:p w:rsidR="00ED5264" w:rsidRDefault="00B65917">
      <w:pPr>
        <w:pStyle w:val="aff4"/>
        <w:spacing w:before="312" w:after="312"/>
      </w:pPr>
      <w:r>
        <w:br w:type="page"/>
      </w:r>
      <w:bookmarkStart w:id="607" w:name="_Toc19001"/>
      <w:bookmarkStart w:id="608" w:name="_Toc23260876"/>
      <w:bookmarkStart w:id="609" w:name="_Toc1402"/>
      <w:bookmarkStart w:id="610" w:name="_Toc481589626"/>
      <w:bookmarkStart w:id="611" w:name="_Toc22895670"/>
      <w:bookmarkStart w:id="612" w:name="_Toc509849566"/>
      <w:bookmarkStart w:id="613" w:name="_Toc17952"/>
      <w:bookmarkStart w:id="614" w:name="_Toc481586531"/>
      <w:bookmarkStart w:id="615" w:name="_Toc19208"/>
      <w:bookmarkStart w:id="616" w:name="_Toc481589834"/>
      <w:bookmarkStart w:id="617" w:name="_Toc12626"/>
      <w:bookmarkStart w:id="618" w:name="_Toc23260547"/>
      <w:bookmarkStart w:id="619" w:name="_Toc3517"/>
      <w:bookmarkStart w:id="620" w:name="_Toc481589730"/>
      <w:bookmarkStart w:id="621" w:name="_Toc25912872"/>
      <w:bookmarkStart w:id="622" w:name="_Toc509849363"/>
      <w:bookmarkStart w:id="623" w:name="_Toc472351498"/>
      <w:bookmarkStart w:id="624" w:name="_Toc486247931"/>
      <w:bookmarkStart w:id="625" w:name="_Toc23632"/>
      <w:r>
        <w:lastRenderedPageBreak/>
        <w:t xml:space="preserve">2  </w:t>
      </w:r>
      <w:r>
        <w:t>术语</w:t>
      </w:r>
      <w:r w:rsidR="00465A2A">
        <w:rPr>
          <w:rFonts w:hint="eastAsia"/>
        </w:rPr>
        <w:t>和</w:t>
      </w:r>
      <w:bookmarkStart w:id="626" w:name="_GoBack"/>
      <w:bookmarkEnd w:id="626"/>
      <w:r>
        <w:t>符号</w:t>
      </w:r>
      <w:bookmarkEnd w:id="607"/>
      <w:bookmarkEnd w:id="608"/>
      <w:bookmarkEnd w:id="609"/>
      <w:bookmarkEnd w:id="610"/>
      <w:bookmarkEnd w:id="611"/>
      <w:bookmarkEnd w:id="612"/>
      <w:bookmarkEnd w:id="613"/>
      <w:bookmarkEnd w:id="614"/>
      <w:bookmarkEnd w:id="615"/>
      <w:bookmarkEnd w:id="616"/>
      <w:bookmarkEnd w:id="617"/>
      <w:bookmarkEnd w:id="618"/>
      <w:bookmarkEnd w:id="619"/>
      <w:bookmarkEnd w:id="620"/>
      <w:bookmarkEnd w:id="621"/>
      <w:bookmarkEnd w:id="622"/>
      <w:bookmarkEnd w:id="623"/>
      <w:bookmarkEnd w:id="624"/>
      <w:bookmarkEnd w:id="625"/>
    </w:p>
    <w:p w:rsidR="00ED5264" w:rsidRDefault="00B65917">
      <w:pPr>
        <w:spacing w:line="400" w:lineRule="atLeast"/>
        <w:rPr>
          <w:highlight w:val="yellow"/>
        </w:rPr>
      </w:pPr>
      <w:r>
        <w:rPr>
          <w:b/>
        </w:rPr>
        <w:t>2.1.</w:t>
      </w:r>
      <w:r>
        <w:rPr>
          <w:rFonts w:hint="eastAsia"/>
          <w:b/>
        </w:rPr>
        <w:t>1</w:t>
      </w:r>
      <w:r>
        <w:rPr>
          <w:b/>
        </w:rPr>
        <w:t xml:space="preserve"> </w:t>
      </w:r>
      <w:r>
        <w:t>本条规定了</w:t>
      </w:r>
      <w:r>
        <w:rPr>
          <w:rFonts w:hint="eastAsia"/>
        </w:rPr>
        <w:t>黄河超细砂</w:t>
      </w:r>
      <w:r>
        <w:t>的定义</w:t>
      </w:r>
      <w:r>
        <w:rPr>
          <w:rFonts w:hint="eastAsia"/>
        </w:rPr>
        <w:t>，</w:t>
      </w:r>
      <w:r>
        <w:rPr>
          <w:rFonts w:hint="eastAsia"/>
        </w:rPr>
        <w:t>凡是满足本条规定的采自黄河沉砂池、疏砂池内的砂均可称为黄河超细砂</w:t>
      </w:r>
      <w:r>
        <w:t>。</w:t>
      </w:r>
      <w:r>
        <w:rPr>
          <w:rFonts w:hint="eastAsia"/>
        </w:rPr>
        <w:t>然而，未经洗砂工艺</w:t>
      </w:r>
      <w:r>
        <w:rPr>
          <w:rFonts w:hint="eastAsia"/>
        </w:rPr>
        <w:t>直接在黄河河道、沉砂池中挖取的黄河超细砂</w:t>
      </w:r>
      <w:r>
        <w:rPr>
          <w:rFonts w:hint="eastAsia"/>
        </w:rPr>
        <w:t>MB</w:t>
      </w:r>
      <w:r>
        <w:rPr>
          <w:rFonts w:hint="eastAsia"/>
        </w:rPr>
        <w:t>值含量高，且</w:t>
      </w:r>
      <w:r>
        <w:rPr>
          <w:rFonts w:hint="eastAsia"/>
        </w:rPr>
        <w:t>MB</w:t>
      </w:r>
      <w:r>
        <w:rPr>
          <w:rFonts w:hint="eastAsia"/>
        </w:rPr>
        <w:t>值波动大，质量很难控制。通过一定的科学合理的洗砂工艺挖取的黄河超细砂</w:t>
      </w:r>
      <w:r>
        <w:rPr>
          <w:rFonts w:hint="eastAsia"/>
        </w:rPr>
        <w:t>MB</w:t>
      </w:r>
      <w:r>
        <w:rPr>
          <w:rFonts w:hint="eastAsia"/>
        </w:rPr>
        <w:t>值含量低且稳定，更宜用于混凝土的配制及生产。</w:t>
      </w:r>
    </w:p>
    <w:p w:rsidR="00ED5264" w:rsidRDefault="00B65917">
      <w:pPr>
        <w:spacing w:line="400" w:lineRule="atLeast"/>
      </w:pPr>
      <w:r>
        <w:rPr>
          <w:b/>
        </w:rPr>
        <w:t>2.1.</w:t>
      </w:r>
      <w:r>
        <w:rPr>
          <w:rFonts w:hint="eastAsia"/>
          <w:b/>
        </w:rPr>
        <w:t>3</w:t>
      </w:r>
      <w:r>
        <w:rPr>
          <w:b/>
        </w:rPr>
        <w:t xml:space="preserve"> </w:t>
      </w:r>
      <w:r>
        <w:t>本条规定了</w:t>
      </w:r>
      <w:r>
        <w:rPr>
          <w:rFonts w:hint="eastAsia"/>
        </w:rPr>
        <w:t>黄河超细砂混合砂</w:t>
      </w:r>
      <w:r>
        <w:t>的定义。本标准所涉及的</w:t>
      </w:r>
      <w:r>
        <w:rPr>
          <w:rFonts w:hint="eastAsia"/>
        </w:rPr>
        <w:t>黄河超细砂是黄河超细</w:t>
      </w:r>
      <w:r>
        <w:rPr>
          <w:rFonts w:hint="eastAsia"/>
        </w:rPr>
        <w:t>砂与机制砂以一定比例混合而成的砂类，细度模数在</w:t>
      </w:r>
      <w:r>
        <w:rPr>
          <w:rFonts w:hint="eastAsia"/>
        </w:rPr>
        <w:t>2.3~3.0</w:t>
      </w:r>
      <w:r>
        <w:rPr>
          <w:rFonts w:hint="eastAsia"/>
        </w:rPr>
        <w:t>之间。</w:t>
      </w:r>
    </w:p>
    <w:p w:rsidR="00ED5264" w:rsidRDefault="00B65917">
      <w:pPr>
        <w:spacing w:line="400" w:lineRule="atLeast"/>
      </w:pPr>
      <w:r>
        <w:rPr>
          <w:b/>
        </w:rPr>
        <w:t>2.1.</w:t>
      </w:r>
      <w:r>
        <w:rPr>
          <w:rFonts w:hint="eastAsia"/>
          <w:b/>
        </w:rPr>
        <w:t>6</w:t>
      </w:r>
      <w:r>
        <w:rPr>
          <w:b/>
        </w:rPr>
        <w:t xml:space="preserve"> </w:t>
      </w:r>
      <w:r>
        <w:t>本条规定了</w:t>
      </w:r>
      <w:r>
        <w:rPr>
          <w:rFonts w:hint="eastAsia"/>
        </w:rPr>
        <w:t>黄河超细砂</w:t>
      </w:r>
      <w:r>
        <w:t>混凝土的定义</w:t>
      </w:r>
      <w:r>
        <w:rPr>
          <w:rFonts w:hint="eastAsia"/>
        </w:rPr>
        <w:t>。</w:t>
      </w:r>
      <w:r>
        <w:rPr>
          <w:rFonts w:hint="eastAsia"/>
        </w:rPr>
        <w:t>黄河超细砂</w:t>
      </w:r>
      <w:r>
        <w:t>混凝土应</w:t>
      </w:r>
      <w:r>
        <w:rPr>
          <w:rFonts w:hint="eastAsia"/>
        </w:rPr>
        <w:t>采用黄河超细砂混合砂配制及生产，黄河超细砂混合砂中黄河超细砂的比例</w:t>
      </w:r>
      <w:r>
        <w:t>充分考虑</w:t>
      </w:r>
      <w:r>
        <w:rPr>
          <w:rFonts w:hint="eastAsia"/>
        </w:rPr>
        <w:t>混凝土的结构部位、功能需求、</w:t>
      </w:r>
      <w:r>
        <w:t>实际应用的环境，且</w:t>
      </w:r>
      <w:r>
        <w:rPr>
          <w:rFonts w:hint="eastAsia"/>
        </w:rPr>
        <w:t>黄河超细砂</w:t>
      </w:r>
      <w:r>
        <w:t>占</w:t>
      </w:r>
      <w:r>
        <w:rPr>
          <w:rFonts w:hint="eastAsia"/>
        </w:rPr>
        <w:t>黄河超细砂混合砂的质量比不应高于</w:t>
      </w:r>
      <w:r>
        <w:rPr>
          <w:rFonts w:hint="eastAsia"/>
        </w:rPr>
        <w:t>25%</w:t>
      </w:r>
      <w:r>
        <w:rPr>
          <w:rFonts w:hint="eastAsia"/>
        </w:rPr>
        <w:t>，其最大掺量应通过试验确定</w:t>
      </w:r>
      <w:r>
        <w:t>。</w:t>
      </w:r>
    </w:p>
    <w:p w:rsidR="00ED5264" w:rsidRDefault="00B65917">
      <w:pPr>
        <w:spacing w:line="400" w:lineRule="atLeast"/>
      </w:pPr>
      <w:r>
        <w:rPr>
          <w:b/>
        </w:rPr>
        <w:t>2.1.</w:t>
      </w:r>
      <w:r>
        <w:rPr>
          <w:rFonts w:hint="eastAsia"/>
          <w:b/>
        </w:rPr>
        <w:t>7</w:t>
      </w:r>
      <w:r>
        <w:rPr>
          <w:b/>
        </w:rPr>
        <w:t xml:space="preserve"> </w:t>
      </w:r>
      <w:r>
        <w:t>本条规定了</w:t>
      </w:r>
      <w:r>
        <w:rPr>
          <w:rFonts w:hint="eastAsia"/>
        </w:rPr>
        <w:t>黄河超细砂比表面积指数</w:t>
      </w:r>
      <w:r>
        <w:t>的定义</w:t>
      </w:r>
      <w:r>
        <w:rPr>
          <w:rFonts w:hint="eastAsia"/>
        </w:rPr>
        <w:t>。</w:t>
      </w:r>
      <w:r>
        <w:rPr>
          <w:rFonts w:hint="eastAsia"/>
        </w:rPr>
        <w:t>参照标准《高性能混凝土用骨料》</w:t>
      </w:r>
      <w:r>
        <w:rPr>
          <w:rFonts w:hint="eastAsia"/>
        </w:rPr>
        <w:t>T/CBMF-38</w:t>
      </w:r>
      <w:r>
        <w:rPr>
          <w:rFonts w:hint="eastAsia"/>
        </w:rPr>
        <w:t>-</w:t>
      </w:r>
      <w:r>
        <w:rPr>
          <w:rFonts w:hint="eastAsia"/>
        </w:rPr>
        <w:t>2018</w:t>
      </w:r>
      <w:r>
        <w:rPr>
          <w:rFonts w:hint="eastAsia"/>
        </w:rPr>
        <w:t>的</w:t>
      </w:r>
      <w:r>
        <w:rPr>
          <w:rFonts w:hint="eastAsia"/>
        </w:rPr>
        <w:t>相关规定，将砂视为球形颗粒，相同质量的每一粒级砂的粒径均比相邻粒级砂的粒径相差</w:t>
      </w:r>
      <w:r>
        <w:rPr>
          <w:rFonts w:hint="eastAsia"/>
        </w:rPr>
        <w:t>1/2</w:t>
      </w:r>
      <w:r>
        <w:rPr>
          <w:rFonts w:hint="eastAsia"/>
        </w:rPr>
        <w:t>，称其为比表面积指数</w:t>
      </w:r>
      <w:r>
        <w:t>。</w:t>
      </w:r>
    </w:p>
    <w:p w:rsidR="00ED5264" w:rsidRDefault="00B65917">
      <w:pPr>
        <w:spacing w:line="400" w:lineRule="atLeast"/>
      </w:pPr>
      <w:r>
        <w:rPr>
          <w:b/>
        </w:rPr>
        <w:t>2.1.</w:t>
      </w:r>
      <w:r>
        <w:rPr>
          <w:rFonts w:hint="eastAsia"/>
          <w:b/>
        </w:rPr>
        <w:t>8</w:t>
      </w:r>
      <w:r>
        <w:rPr>
          <w:b/>
        </w:rPr>
        <w:t xml:space="preserve"> </w:t>
      </w:r>
      <w:r>
        <w:t>本条规定了</w:t>
      </w:r>
      <w:r>
        <w:rPr>
          <w:rFonts w:hint="eastAsia"/>
        </w:rPr>
        <w:t>黄河超细砂比例度</w:t>
      </w:r>
      <w:r>
        <w:t>的定义</w:t>
      </w:r>
      <w:r>
        <w:rPr>
          <w:rFonts w:hint="eastAsia"/>
        </w:rPr>
        <w:t>。</w:t>
      </w:r>
      <w:r>
        <w:rPr>
          <w:rFonts w:hint="eastAsia"/>
        </w:rPr>
        <w:t>标准《高性能混凝土用骨料》</w:t>
      </w:r>
      <w:r>
        <w:rPr>
          <w:rFonts w:hint="eastAsia"/>
        </w:rPr>
        <w:t>T/CBMF-38</w:t>
      </w:r>
      <w:r>
        <w:rPr>
          <w:rFonts w:hint="eastAsia"/>
        </w:rPr>
        <w:t>-</w:t>
      </w:r>
      <w:r>
        <w:rPr>
          <w:rFonts w:hint="eastAsia"/>
        </w:rPr>
        <w:t>2018</w:t>
      </w:r>
      <w:r>
        <w:rPr>
          <w:rFonts w:hint="eastAsia"/>
        </w:rPr>
        <w:t>提出</w:t>
      </w:r>
      <w:r>
        <w:rPr>
          <w:rFonts w:hint="eastAsia"/>
        </w:rPr>
        <w:t>比粒度即各粒级分计筛余与相应比表面积指数的乘积，是衡量砂粗细程度的指标。</w:t>
      </w:r>
      <w:r>
        <w:rPr>
          <w:rFonts w:hint="eastAsia"/>
        </w:rPr>
        <w:t>对于颗粒粒径远小于普通砂黄河超细砂，参考</w:t>
      </w:r>
      <w:r>
        <w:rPr>
          <w:rFonts w:hint="eastAsia"/>
        </w:rPr>
        <w:t>标准《高性能混凝土用骨料》</w:t>
      </w:r>
      <w:r>
        <w:rPr>
          <w:rFonts w:hint="eastAsia"/>
        </w:rPr>
        <w:t>T/CBMF-38</w:t>
      </w:r>
      <w:r>
        <w:rPr>
          <w:rFonts w:hint="eastAsia"/>
        </w:rPr>
        <w:t>-</w:t>
      </w:r>
      <w:r>
        <w:rPr>
          <w:rFonts w:hint="eastAsia"/>
        </w:rPr>
        <w:t>2018</w:t>
      </w:r>
      <w:r>
        <w:rPr>
          <w:rFonts w:hint="eastAsia"/>
        </w:rPr>
        <w:t>，</w:t>
      </w:r>
      <w:r>
        <w:rPr>
          <w:rFonts w:hint="eastAsia"/>
        </w:rPr>
        <w:t>引入比例度指标来评判超细砂的粗细情况，用以控制黄河超细砂的产品性能</w:t>
      </w:r>
      <w:r>
        <w:t>。</w:t>
      </w:r>
    </w:p>
    <w:p w:rsidR="00ED5264" w:rsidRDefault="00B65917">
      <w:pPr>
        <w:pStyle w:val="aff4"/>
        <w:spacing w:before="312" w:after="312"/>
        <w:rPr>
          <w:sz w:val="30"/>
          <w:szCs w:val="22"/>
        </w:rPr>
      </w:pPr>
      <w:r>
        <w:br w:type="page"/>
      </w:r>
      <w:bookmarkStart w:id="627" w:name="_Toc397343918"/>
      <w:bookmarkStart w:id="628" w:name="_Toc397343989"/>
      <w:bookmarkStart w:id="629" w:name="_Toc18976"/>
      <w:bookmarkStart w:id="630" w:name="_Toc23260548"/>
      <w:bookmarkStart w:id="631" w:name="_Toc25912873"/>
      <w:bookmarkStart w:id="632" w:name="_Toc11205"/>
      <w:bookmarkStart w:id="633" w:name="_Toc15052"/>
      <w:bookmarkStart w:id="634" w:name="_Toc5274"/>
      <w:bookmarkStart w:id="635" w:name="_Toc398482233"/>
      <w:bookmarkStart w:id="636" w:name="_Toc481589835"/>
      <w:bookmarkStart w:id="637" w:name="_Toc481589731"/>
      <w:bookmarkStart w:id="638" w:name="_Toc22895671"/>
      <w:bookmarkStart w:id="639" w:name="_Toc388880771"/>
      <w:bookmarkStart w:id="640" w:name="_Toc5908"/>
      <w:bookmarkStart w:id="641" w:name="_Toc6542"/>
      <w:bookmarkStart w:id="642" w:name="_Toc388881387"/>
      <w:bookmarkStart w:id="643" w:name="_Toc23260877"/>
      <w:bookmarkStart w:id="644" w:name="_Toc388880972"/>
      <w:bookmarkStart w:id="645" w:name="_Toc28852"/>
      <w:bookmarkStart w:id="646" w:name="_Toc388860312"/>
      <w:bookmarkStart w:id="647" w:name="_Toc481586532"/>
      <w:bookmarkStart w:id="648" w:name="_Toc388464242"/>
      <w:bookmarkStart w:id="649" w:name="_Toc472351499"/>
      <w:bookmarkStart w:id="650" w:name="_Toc486247932"/>
      <w:bookmarkStart w:id="651" w:name="_Toc481589627"/>
      <w:bookmarkStart w:id="652" w:name="_Toc509849567"/>
      <w:bookmarkStart w:id="653" w:name="_Toc509849364"/>
      <w:r>
        <w:lastRenderedPageBreak/>
        <w:t xml:space="preserve">3  </w:t>
      </w:r>
      <w:r>
        <w:t>基本规定</w:t>
      </w:r>
      <w:bookmarkEnd w:id="627"/>
      <w:bookmarkEnd w:id="628"/>
      <w:bookmarkEnd w:id="629"/>
      <w:bookmarkEnd w:id="630"/>
      <w:bookmarkEnd w:id="631"/>
      <w:bookmarkEnd w:id="632"/>
      <w:bookmarkEnd w:id="633"/>
      <w:bookmarkEnd w:id="634"/>
      <w:bookmarkEnd w:id="635"/>
      <w:bookmarkEnd w:id="636"/>
      <w:bookmarkEnd w:id="637"/>
      <w:bookmarkEnd w:id="638"/>
      <w:bookmarkEnd w:id="639"/>
      <w:bookmarkEnd w:id="640"/>
      <w:bookmarkEnd w:id="641"/>
      <w:bookmarkEnd w:id="642"/>
      <w:bookmarkEnd w:id="643"/>
      <w:bookmarkEnd w:id="644"/>
      <w:bookmarkEnd w:id="645"/>
      <w:bookmarkEnd w:id="646"/>
      <w:bookmarkEnd w:id="647"/>
      <w:bookmarkEnd w:id="648"/>
      <w:bookmarkEnd w:id="649"/>
      <w:bookmarkEnd w:id="650"/>
      <w:bookmarkEnd w:id="651"/>
      <w:bookmarkEnd w:id="652"/>
      <w:bookmarkEnd w:id="653"/>
    </w:p>
    <w:p w:rsidR="00ED5264" w:rsidRDefault="00B65917">
      <w:pPr>
        <w:pStyle w:val="aff9"/>
        <w:spacing w:line="360" w:lineRule="auto"/>
        <w:rPr>
          <w:sz w:val="21"/>
          <w:szCs w:val="21"/>
        </w:rPr>
      </w:pPr>
      <w:r>
        <w:rPr>
          <w:b/>
          <w:sz w:val="21"/>
          <w:szCs w:val="21"/>
        </w:rPr>
        <w:t>3.0.1</w:t>
      </w:r>
      <w:r>
        <w:rPr>
          <w:sz w:val="21"/>
          <w:szCs w:val="21"/>
        </w:rPr>
        <w:t xml:space="preserve">  </w:t>
      </w:r>
      <w:r>
        <w:rPr>
          <w:rFonts w:hint="eastAsia"/>
          <w:sz w:val="21"/>
          <w:szCs w:val="21"/>
        </w:rPr>
        <w:t>考虑到混凝土强度等级越高，胶凝</w:t>
      </w:r>
      <w:r>
        <w:rPr>
          <w:rFonts w:hint="eastAsia"/>
          <w:sz w:val="21"/>
          <w:szCs w:val="21"/>
        </w:rPr>
        <w:t>材料用量越大，因黄河超细砂掺用导致混凝土发生的收缩、开裂等风险越高。目前</w:t>
      </w:r>
      <w:r>
        <w:rPr>
          <w:sz w:val="21"/>
          <w:szCs w:val="21"/>
        </w:rPr>
        <w:t>，</w:t>
      </w:r>
      <w:r>
        <w:rPr>
          <w:rFonts w:hint="eastAsia"/>
          <w:sz w:val="21"/>
          <w:szCs w:val="21"/>
        </w:rPr>
        <w:t>在黄河超细砂混凝土配制及性能研究方面主要在</w:t>
      </w:r>
      <w:r>
        <w:rPr>
          <w:rFonts w:hint="eastAsia"/>
          <w:sz w:val="21"/>
          <w:szCs w:val="21"/>
        </w:rPr>
        <w:t>C10~C60</w:t>
      </w:r>
      <w:r>
        <w:rPr>
          <w:rFonts w:hint="eastAsia"/>
          <w:sz w:val="21"/>
          <w:szCs w:val="21"/>
        </w:rPr>
        <w:t>混凝土范围内开展，也有大量</w:t>
      </w:r>
      <w:r>
        <w:rPr>
          <w:rFonts w:hint="eastAsia"/>
          <w:sz w:val="21"/>
          <w:szCs w:val="21"/>
        </w:rPr>
        <w:t>C10~C60</w:t>
      </w:r>
      <w:r>
        <w:rPr>
          <w:rFonts w:hint="eastAsia"/>
          <w:sz w:val="21"/>
          <w:szCs w:val="21"/>
        </w:rPr>
        <w:t>混凝土方面的应用案例，故而将黄河超细砂混凝土的应用等级范围界定为</w:t>
      </w:r>
      <w:r>
        <w:rPr>
          <w:rFonts w:hint="eastAsia"/>
          <w:sz w:val="21"/>
          <w:szCs w:val="21"/>
        </w:rPr>
        <w:t>C10~C60</w:t>
      </w:r>
      <w:r>
        <w:rPr>
          <w:rFonts w:hint="eastAsia"/>
          <w:sz w:val="21"/>
          <w:szCs w:val="21"/>
        </w:rPr>
        <w:t>，</w:t>
      </w:r>
      <w:r>
        <w:rPr>
          <w:rFonts w:hint="eastAsia"/>
          <w:bCs/>
          <w:sz w:val="21"/>
          <w:szCs w:val="21"/>
        </w:rPr>
        <w:t>并参考《预拌混凝土》</w:t>
      </w:r>
      <w:r>
        <w:rPr>
          <w:rFonts w:hint="eastAsia"/>
          <w:bCs/>
          <w:sz w:val="21"/>
          <w:szCs w:val="21"/>
        </w:rPr>
        <w:t>GB/T 14902</w:t>
      </w:r>
      <w:r>
        <w:rPr>
          <w:rFonts w:hint="eastAsia"/>
          <w:bCs/>
          <w:sz w:val="21"/>
          <w:szCs w:val="21"/>
        </w:rPr>
        <w:t>中混凝土强度等级的划分方法</w:t>
      </w:r>
      <w:r>
        <w:rPr>
          <w:rFonts w:hint="eastAsia"/>
          <w:bCs/>
          <w:sz w:val="21"/>
          <w:szCs w:val="21"/>
        </w:rPr>
        <w:t>将</w:t>
      </w:r>
      <w:r>
        <w:rPr>
          <w:rFonts w:hint="eastAsia"/>
          <w:bCs/>
          <w:sz w:val="21"/>
          <w:szCs w:val="21"/>
        </w:rPr>
        <w:t>黄河超细砂混凝土</w:t>
      </w:r>
      <w:r>
        <w:rPr>
          <w:rFonts w:hint="eastAsia"/>
          <w:bCs/>
          <w:sz w:val="21"/>
          <w:szCs w:val="21"/>
        </w:rPr>
        <w:t>强度等级划分为</w:t>
      </w:r>
      <w:r>
        <w:rPr>
          <w:rFonts w:hint="eastAsia"/>
          <w:bCs/>
          <w:sz w:val="21"/>
          <w:szCs w:val="21"/>
        </w:rPr>
        <w:t>：</w:t>
      </w:r>
      <w:r>
        <w:rPr>
          <w:rFonts w:hint="eastAsia"/>
          <w:bCs/>
          <w:sz w:val="21"/>
          <w:szCs w:val="21"/>
        </w:rPr>
        <w:t>C10</w:t>
      </w:r>
      <w:r>
        <w:rPr>
          <w:rFonts w:hint="eastAsia"/>
          <w:bCs/>
          <w:sz w:val="21"/>
          <w:szCs w:val="21"/>
        </w:rPr>
        <w:t>、</w:t>
      </w:r>
      <w:r>
        <w:rPr>
          <w:rFonts w:hint="eastAsia"/>
          <w:bCs/>
          <w:sz w:val="21"/>
          <w:szCs w:val="21"/>
        </w:rPr>
        <w:t>C15</w:t>
      </w:r>
      <w:r>
        <w:rPr>
          <w:rFonts w:hint="eastAsia"/>
          <w:bCs/>
          <w:sz w:val="21"/>
          <w:szCs w:val="21"/>
        </w:rPr>
        <w:t>、</w:t>
      </w:r>
      <w:r>
        <w:rPr>
          <w:rFonts w:hint="eastAsia"/>
          <w:bCs/>
          <w:sz w:val="21"/>
          <w:szCs w:val="21"/>
        </w:rPr>
        <w:t>C20</w:t>
      </w:r>
      <w:r>
        <w:rPr>
          <w:rFonts w:hint="eastAsia"/>
          <w:bCs/>
          <w:sz w:val="21"/>
          <w:szCs w:val="21"/>
        </w:rPr>
        <w:t>、</w:t>
      </w:r>
      <w:r>
        <w:rPr>
          <w:rFonts w:hint="eastAsia"/>
          <w:bCs/>
          <w:sz w:val="21"/>
          <w:szCs w:val="21"/>
        </w:rPr>
        <w:t>C25</w:t>
      </w:r>
      <w:r>
        <w:rPr>
          <w:rFonts w:hint="eastAsia"/>
          <w:bCs/>
          <w:sz w:val="21"/>
          <w:szCs w:val="21"/>
        </w:rPr>
        <w:t>、</w:t>
      </w:r>
      <w:r>
        <w:rPr>
          <w:rFonts w:hint="eastAsia"/>
          <w:bCs/>
          <w:sz w:val="21"/>
          <w:szCs w:val="21"/>
        </w:rPr>
        <w:t>C30</w:t>
      </w:r>
      <w:r>
        <w:rPr>
          <w:rFonts w:hint="eastAsia"/>
          <w:bCs/>
          <w:sz w:val="21"/>
          <w:szCs w:val="21"/>
        </w:rPr>
        <w:t>、</w:t>
      </w:r>
      <w:r>
        <w:rPr>
          <w:rFonts w:hint="eastAsia"/>
          <w:bCs/>
          <w:sz w:val="21"/>
          <w:szCs w:val="21"/>
        </w:rPr>
        <w:t>C35</w:t>
      </w:r>
      <w:r>
        <w:rPr>
          <w:rFonts w:hint="eastAsia"/>
          <w:bCs/>
          <w:sz w:val="21"/>
          <w:szCs w:val="21"/>
        </w:rPr>
        <w:t>、</w:t>
      </w:r>
      <w:r>
        <w:rPr>
          <w:rFonts w:hint="eastAsia"/>
          <w:bCs/>
          <w:sz w:val="21"/>
          <w:szCs w:val="21"/>
        </w:rPr>
        <w:t>C40</w:t>
      </w:r>
      <w:bookmarkStart w:id="654" w:name="OLE_LINK11"/>
      <w:r>
        <w:rPr>
          <w:rFonts w:hint="eastAsia"/>
          <w:bCs/>
          <w:sz w:val="21"/>
          <w:szCs w:val="21"/>
        </w:rPr>
        <w:t>、</w:t>
      </w:r>
      <w:r>
        <w:rPr>
          <w:rFonts w:hint="eastAsia"/>
          <w:bCs/>
          <w:sz w:val="21"/>
          <w:szCs w:val="21"/>
        </w:rPr>
        <w:t>C45</w:t>
      </w:r>
      <w:r>
        <w:rPr>
          <w:rFonts w:hint="eastAsia"/>
          <w:bCs/>
          <w:sz w:val="21"/>
          <w:szCs w:val="21"/>
        </w:rPr>
        <w:t>、</w:t>
      </w:r>
      <w:r>
        <w:rPr>
          <w:rFonts w:hint="eastAsia"/>
          <w:bCs/>
          <w:sz w:val="21"/>
          <w:szCs w:val="21"/>
        </w:rPr>
        <w:t>C50</w:t>
      </w:r>
      <w:bookmarkEnd w:id="654"/>
      <w:r>
        <w:rPr>
          <w:rFonts w:hint="eastAsia"/>
          <w:bCs/>
          <w:sz w:val="21"/>
          <w:szCs w:val="21"/>
        </w:rPr>
        <w:t>、</w:t>
      </w:r>
      <w:r>
        <w:rPr>
          <w:rFonts w:hint="eastAsia"/>
          <w:bCs/>
          <w:sz w:val="21"/>
          <w:szCs w:val="21"/>
        </w:rPr>
        <w:t>C55</w:t>
      </w:r>
      <w:r>
        <w:rPr>
          <w:rFonts w:hint="eastAsia"/>
          <w:bCs/>
          <w:sz w:val="21"/>
          <w:szCs w:val="21"/>
        </w:rPr>
        <w:t>、</w:t>
      </w:r>
      <w:r>
        <w:rPr>
          <w:rFonts w:hint="eastAsia"/>
          <w:bCs/>
          <w:sz w:val="21"/>
          <w:szCs w:val="21"/>
        </w:rPr>
        <w:t>C60</w:t>
      </w:r>
      <w:r>
        <w:rPr>
          <w:rFonts w:hint="eastAsia"/>
          <w:bCs/>
          <w:sz w:val="21"/>
          <w:szCs w:val="21"/>
        </w:rPr>
        <w:t>。</w:t>
      </w:r>
    </w:p>
    <w:p w:rsidR="00ED5264" w:rsidRDefault="00B65917">
      <w:pPr>
        <w:pStyle w:val="aff9"/>
        <w:spacing w:line="360" w:lineRule="auto"/>
        <w:rPr>
          <w:bCs/>
          <w:sz w:val="21"/>
          <w:szCs w:val="21"/>
        </w:rPr>
      </w:pPr>
      <w:r>
        <w:rPr>
          <w:b/>
          <w:sz w:val="21"/>
          <w:szCs w:val="21"/>
        </w:rPr>
        <w:t>3.0.2</w:t>
      </w:r>
      <w:r>
        <w:rPr>
          <w:bCs/>
          <w:sz w:val="21"/>
          <w:szCs w:val="21"/>
        </w:rPr>
        <w:t xml:space="preserve"> </w:t>
      </w:r>
      <w:r>
        <w:rPr>
          <w:rFonts w:hint="eastAsia"/>
          <w:bCs/>
          <w:sz w:val="21"/>
          <w:szCs w:val="21"/>
        </w:rPr>
        <w:t xml:space="preserve"> </w:t>
      </w:r>
      <w:r>
        <w:rPr>
          <w:bCs/>
          <w:sz w:val="21"/>
          <w:szCs w:val="21"/>
        </w:rPr>
        <w:t>本条</w:t>
      </w:r>
      <w:r>
        <w:rPr>
          <w:rFonts w:hint="eastAsia"/>
          <w:bCs/>
          <w:sz w:val="21"/>
          <w:szCs w:val="21"/>
        </w:rPr>
        <w:t>对选用黄河超细砂混合砂配制及生产强度等级高于</w:t>
      </w:r>
      <w:r>
        <w:rPr>
          <w:sz w:val="21"/>
          <w:szCs w:val="21"/>
        </w:rPr>
        <w:t>C</w:t>
      </w:r>
      <w:r>
        <w:rPr>
          <w:rFonts w:hint="eastAsia"/>
          <w:sz w:val="21"/>
          <w:szCs w:val="21"/>
        </w:rPr>
        <w:t>6</w:t>
      </w:r>
      <w:r>
        <w:rPr>
          <w:sz w:val="21"/>
          <w:szCs w:val="21"/>
        </w:rPr>
        <w:t>0</w:t>
      </w:r>
      <w:r>
        <w:rPr>
          <w:rFonts w:hint="eastAsia"/>
          <w:bCs/>
          <w:sz w:val="21"/>
          <w:szCs w:val="21"/>
        </w:rPr>
        <w:t>的混凝土时做出了规定，</w:t>
      </w:r>
      <w:r>
        <w:rPr>
          <w:bCs/>
          <w:sz w:val="21"/>
          <w:szCs w:val="21"/>
        </w:rPr>
        <w:t>规定了</w:t>
      </w:r>
      <w:r>
        <w:rPr>
          <w:rFonts w:hint="eastAsia"/>
          <w:bCs/>
          <w:sz w:val="21"/>
          <w:szCs w:val="21"/>
        </w:rPr>
        <w:t>当选用黄河超细砂混合砂配置高于</w:t>
      </w:r>
      <w:r>
        <w:rPr>
          <w:sz w:val="21"/>
          <w:szCs w:val="21"/>
        </w:rPr>
        <w:t>C</w:t>
      </w:r>
      <w:r>
        <w:rPr>
          <w:rFonts w:hint="eastAsia"/>
          <w:sz w:val="21"/>
          <w:szCs w:val="21"/>
        </w:rPr>
        <w:t>6</w:t>
      </w:r>
      <w:r>
        <w:rPr>
          <w:sz w:val="21"/>
          <w:szCs w:val="21"/>
        </w:rPr>
        <w:t>0</w:t>
      </w:r>
      <w:r>
        <w:rPr>
          <w:rFonts w:hint="eastAsia"/>
          <w:bCs/>
          <w:sz w:val="21"/>
          <w:szCs w:val="21"/>
        </w:rPr>
        <w:t>的混凝土时，应通过试验取得可靠数据，经技术论证，在满足工程技术要求后方可使用。</w:t>
      </w:r>
    </w:p>
    <w:p w:rsidR="00ED5264" w:rsidRDefault="00B65917">
      <w:pPr>
        <w:pStyle w:val="aff9"/>
        <w:spacing w:line="360" w:lineRule="auto"/>
        <w:rPr>
          <w:bCs/>
          <w:sz w:val="21"/>
          <w:szCs w:val="21"/>
        </w:rPr>
      </w:pPr>
      <w:bookmarkStart w:id="655" w:name="OLE_LINK12"/>
      <w:r>
        <w:rPr>
          <w:b/>
          <w:sz w:val="21"/>
          <w:szCs w:val="21"/>
        </w:rPr>
        <w:t>3.0.</w:t>
      </w:r>
      <w:r>
        <w:rPr>
          <w:rFonts w:hint="eastAsia"/>
          <w:b/>
          <w:sz w:val="21"/>
          <w:szCs w:val="21"/>
        </w:rPr>
        <w:t>3</w:t>
      </w:r>
      <w:r>
        <w:rPr>
          <w:rFonts w:hint="eastAsia"/>
          <w:b/>
          <w:sz w:val="21"/>
          <w:szCs w:val="21"/>
        </w:rPr>
        <w:t>、</w:t>
      </w:r>
      <w:r>
        <w:rPr>
          <w:rFonts w:hint="eastAsia"/>
          <w:b/>
          <w:sz w:val="21"/>
          <w:szCs w:val="21"/>
        </w:rPr>
        <w:t>3.0.4</w:t>
      </w:r>
      <w:r>
        <w:rPr>
          <w:bCs/>
          <w:sz w:val="21"/>
          <w:szCs w:val="21"/>
        </w:rPr>
        <w:t xml:space="preserve">  </w:t>
      </w:r>
      <w:r>
        <w:rPr>
          <w:rFonts w:hint="eastAsia"/>
          <w:bCs/>
          <w:sz w:val="21"/>
          <w:szCs w:val="21"/>
        </w:rPr>
        <w:t>为确保黄河超细砂混凝土的质量和混凝土结构使用者的生命健康安全，提出了黄河超细砂碱活性和放射性要求。</w:t>
      </w:r>
    </w:p>
    <w:bookmarkEnd w:id="655"/>
    <w:p w:rsidR="00ED5264" w:rsidRDefault="00B65917">
      <w:pPr>
        <w:pStyle w:val="aff4"/>
        <w:spacing w:before="312" w:after="312"/>
      </w:pPr>
      <w:r>
        <w:br w:type="page"/>
      </w:r>
      <w:bookmarkStart w:id="656" w:name="_Toc481589732"/>
      <w:bookmarkStart w:id="657" w:name="_Toc12903"/>
      <w:bookmarkStart w:id="658" w:name="_Toc21414"/>
      <w:bookmarkStart w:id="659" w:name="_Toc22895672"/>
      <w:bookmarkStart w:id="660" w:name="_Toc23260549"/>
      <w:bookmarkStart w:id="661" w:name="_Toc472351500"/>
      <w:bookmarkStart w:id="662" w:name="_Toc509849365"/>
      <w:bookmarkStart w:id="663" w:name="_Toc481589628"/>
      <w:bookmarkStart w:id="664" w:name="_Toc8782"/>
      <w:bookmarkStart w:id="665" w:name="_Toc23260878"/>
      <w:bookmarkStart w:id="666" w:name="_Toc25912874"/>
      <w:bookmarkStart w:id="667" w:name="_Toc16628"/>
      <w:bookmarkStart w:id="668" w:name="_Toc481589836"/>
      <w:bookmarkStart w:id="669" w:name="_Toc481586533"/>
      <w:bookmarkStart w:id="670" w:name="_Toc509849568"/>
      <w:bookmarkStart w:id="671" w:name="_Toc19961"/>
      <w:bookmarkStart w:id="672" w:name="_Toc8733"/>
      <w:bookmarkStart w:id="673" w:name="_Toc486247933"/>
      <w:bookmarkStart w:id="674" w:name="_Toc8543"/>
      <w:r>
        <w:lastRenderedPageBreak/>
        <w:t xml:space="preserve">4  </w:t>
      </w:r>
      <w:r>
        <w:t>原材料</w:t>
      </w:r>
      <w:bookmarkEnd w:id="656"/>
      <w:bookmarkEnd w:id="657"/>
      <w:bookmarkEnd w:id="658"/>
      <w:bookmarkEnd w:id="659"/>
      <w:bookmarkEnd w:id="660"/>
      <w:bookmarkEnd w:id="661"/>
      <w:bookmarkEnd w:id="662"/>
      <w:bookmarkEnd w:id="663"/>
      <w:bookmarkEnd w:id="664"/>
      <w:bookmarkEnd w:id="665"/>
      <w:bookmarkEnd w:id="666"/>
      <w:bookmarkEnd w:id="667"/>
      <w:bookmarkEnd w:id="668"/>
      <w:bookmarkEnd w:id="669"/>
      <w:bookmarkEnd w:id="670"/>
      <w:bookmarkEnd w:id="671"/>
      <w:bookmarkEnd w:id="672"/>
      <w:bookmarkEnd w:id="673"/>
      <w:bookmarkEnd w:id="674"/>
    </w:p>
    <w:p w:rsidR="00ED5264" w:rsidRDefault="00B65917">
      <w:pPr>
        <w:spacing w:beforeLines="100" w:before="312" w:afterLines="100" w:after="312" w:line="300" w:lineRule="auto"/>
        <w:jc w:val="center"/>
        <w:outlineLvl w:val="1"/>
        <w:rPr>
          <w:b/>
          <w:bCs/>
          <w:sz w:val="24"/>
          <w:szCs w:val="24"/>
        </w:rPr>
      </w:pPr>
      <w:bookmarkStart w:id="675" w:name="_Toc23260879"/>
      <w:bookmarkStart w:id="676" w:name="_Toc10539"/>
      <w:bookmarkStart w:id="677" w:name="_Toc23260550"/>
      <w:bookmarkStart w:id="678" w:name="_Toc25912875"/>
      <w:bookmarkStart w:id="679" w:name="_Toc22895673"/>
      <w:bookmarkStart w:id="680" w:name="_Toc5514"/>
      <w:bookmarkStart w:id="681" w:name="_Toc19980"/>
      <w:bookmarkStart w:id="682" w:name="_Toc31978"/>
      <w:r>
        <w:rPr>
          <w:b/>
          <w:bCs/>
          <w:sz w:val="24"/>
          <w:szCs w:val="24"/>
        </w:rPr>
        <w:t xml:space="preserve">4.1  </w:t>
      </w:r>
      <w:bookmarkEnd w:id="675"/>
      <w:bookmarkEnd w:id="676"/>
      <w:bookmarkEnd w:id="677"/>
      <w:bookmarkEnd w:id="678"/>
      <w:bookmarkEnd w:id="679"/>
      <w:r>
        <w:rPr>
          <w:rFonts w:hint="eastAsia"/>
          <w:b/>
          <w:bCs/>
          <w:sz w:val="24"/>
          <w:szCs w:val="24"/>
        </w:rPr>
        <w:t>黄河超细砂混合砂</w:t>
      </w:r>
      <w:bookmarkEnd w:id="680"/>
      <w:bookmarkEnd w:id="681"/>
      <w:bookmarkEnd w:id="682"/>
    </w:p>
    <w:p w:rsidR="00ED5264" w:rsidRDefault="00B65917">
      <w:pPr>
        <w:spacing w:line="400" w:lineRule="atLeast"/>
        <w:rPr>
          <w:bCs/>
        </w:rPr>
      </w:pPr>
      <w:r>
        <w:rPr>
          <w:b/>
          <w:bCs/>
        </w:rPr>
        <w:t>4.1.</w:t>
      </w:r>
      <w:r>
        <w:rPr>
          <w:rFonts w:hint="eastAsia"/>
          <w:b/>
          <w:bCs/>
        </w:rPr>
        <w:t>1</w:t>
      </w:r>
      <w:r>
        <w:rPr>
          <w:b/>
          <w:bCs/>
        </w:rPr>
        <w:t xml:space="preserve">  </w:t>
      </w:r>
      <w:r>
        <w:rPr>
          <w:rFonts w:hint="eastAsia"/>
        </w:rPr>
        <w:t>本条规定了</w:t>
      </w:r>
      <w:r>
        <w:rPr>
          <w:rFonts w:hint="eastAsia"/>
        </w:rPr>
        <w:t>黄河超细砂混合砂</w:t>
      </w:r>
      <w:r>
        <w:rPr>
          <w:rFonts w:hint="eastAsia"/>
        </w:rPr>
        <w:t>的性能要求，支出</w:t>
      </w:r>
      <w:r>
        <w:rPr>
          <w:rFonts w:hint="eastAsia"/>
          <w:bCs/>
        </w:rPr>
        <w:t>黄河超细砂与机制砂按照一定比例复合后形成的混合砂应满足现行</w:t>
      </w:r>
      <w:r>
        <w:rPr>
          <w:rFonts w:hint="eastAsia"/>
          <w:bCs/>
        </w:rPr>
        <w:t>国家标准</w:t>
      </w:r>
      <w:r>
        <w:rPr>
          <w:rFonts w:hint="eastAsia"/>
        </w:rPr>
        <w:t>GB/T 14684</w:t>
      </w:r>
      <w:r>
        <w:rPr>
          <w:rFonts w:hint="eastAsia"/>
        </w:rPr>
        <w:t>的</w:t>
      </w:r>
      <w:r>
        <w:rPr>
          <w:rFonts w:hint="eastAsia"/>
          <w:bCs/>
        </w:rPr>
        <w:t>要求</w:t>
      </w:r>
      <w:r>
        <w:rPr>
          <w:bCs/>
        </w:rPr>
        <w:t>。</w:t>
      </w:r>
    </w:p>
    <w:p w:rsidR="00ED5264" w:rsidRDefault="00B65917">
      <w:pPr>
        <w:spacing w:line="400" w:lineRule="atLeast"/>
        <w:rPr>
          <w:bCs/>
        </w:rPr>
      </w:pPr>
      <w:r>
        <w:rPr>
          <w:b/>
          <w:bCs/>
        </w:rPr>
        <w:t>4.1.</w:t>
      </w:r>
      <w:r>
        <w:rPr>
          <w:rFonts w:hint="eastAsia"/>
          <w:b/>
          <w:bCs/>
        </w:rPr>
        <w:t>2</w:t>
      </w:r>
      <w:r>
        <w:rPr>
          <w:b/>
          <w:bCs/>
        </w:rPr>
        <w:t xml:space="preserve"> </w:t>
      </w:r>
      <w:r>
        <w:rPr>
          <w:rFonts w:hint="eastAsia"/>
        </w:rPr>
        <w:t>本条</w:t>
      </w:r>
      <w:r>
        <w:rPr>
          <w:rFonts w:hint="eastAsia"/>
          <w:bCs/>
        </w:rPr>
        <w:t>提出了黄河超细砂的</w:t>
      </w:r>
      <w:r>
        <w:rPr>
          <w:rFonts w:hint="eastAsia"/>
          <w:bCs/>
        </w:rPr>
        <w:t>MB</w:t>
      </w:r>
      <w:r>
        <w:rPr>
          <w:rFonts w:hint="eastAsia"/>
          <w:bCs/>
        </w:rPr>
        <w:t>值控制范围，当黄河超细砂混合砂的实测</w:t>
      </w:r>
      <w:r>
        <w:rPr>
          <w:rFonts w:hint="eastAsia"/>
          <w:bCs/>
        </w:rPr>
        <w:t>MB</w:t>
      </w:r>
      <w:r>
        <w:rPr>
          <w:rFonts w:hint="eastAsia"/>
          <w:bCs/>
        </w:rPr>
        <w:t>值超出标准</w:t>
      </w:r>
      <w:r>
        <w:rPr>
          <w:rFonts w:hint="eastAsia"/>
          <w:bCs/>
        </w:rPr>
        <w:t>GB/T 14684</w:t>
      </w:r>
      <w:r>
        <w:rPr>
          <w:rFonts w:hint="eastAsia"/>
          <w:bCs/>
        </w:rPr>
        <w:t>要求时，应减少黄河超细砂的质量比例</w:t>
      </w:r>
      <w:r>
        <w:rPr>
          <w:rFonts w:hint="eastAsia"/>
          <w:bCs/>
        </w:rPr>
        <w:t>，</w:t>
      </w:r>
      <w:r>
        <w:rPr>
          <w:rFonts w:hint="eastAsia"/>
          <w:bCs/>
        </w:rPr>
        <w:t>并经试验证明</w:t>
      </w:r>
      <w:r>
        <w:rPr>
          <w:rFonts w:hint="eastAsia"/>
          <w:bCs/>
        </w:rPr>
        <w:t>，</w:t>
      </w:r>
      <w:r>
        <w:rPr>
          <w:rFonts w:hint="eastAsia"/>
          <w:bCs/>
        </w:rPr>
        <w:t>且</w:t>
      </w:r>
      <w:r>
        <w:rPr>
          <w:rFonts w:hint="eastAsia"/>
          <w:bCs/>
        </w:rPr>
        <w:t>能确保混凝土质量后</w:t>
      </w:r>
      <w:r>
        <w:rPr>
          <w:rFonts w:hint="eastAsia"/>
          <w:bCs/>
        </w:rPr>
        <w:t>，</w:t>
      </w:r>
      <w:r>
        <w:rPr>
          <w:rFonts w:hint="eastAsia"/>
          <w:bCs/>
        </w:rPr>
        <w:t>方可允许使用。</w:t>
      </w:r>
      <w:r>
        <w:rPr>
          <w:rFonts w:hint="eastAsia"/>
        </w:rPr>
        <w:t>调研发现</w:t>
      </w:r>
      <w:r>
        <w:rPr>
          <w:rFonts w:hint="eastAsia"/>
          <w:bCs/>
        </w:rPr>
        <w:t>黄河超细砂</w:t>
      </w:r>
      <w:r>
        <w:rPr>
          <w:rFonts w:hint="eastAsia"/>
          <w:bCs/>
        </w:rPr>
        <w:t>的</w:t>
      </w:r>
      <w:r>
        <w:rPr>
          <w:rFonts w:hint="eastAsia"/>
          <w:bCs/>
        </w:rPr>
        <w:t>MB</w:t>
      </w:r>
      <w:r>
        <w:rPr>
          <w:rFonts w:hint="eastAsia"/>
          <w:bCs/>
        </w:rPr>
        <w:t>值一般在</w:t>
      </w:r>
      <w:r>
        <w:rPr>
          <w:rFonts w:hint="eastAsia"/>
          <w:bCs/>
        </w:rPr>
        <w:t>6.0</w:t>
      </w:r>
      <w:r>
        <w:rPr>
          <w:rFonts w:hint="eastAsia"/>
          <w:bCs/>
        </w:rPr>
        <w:t>以内，少量砂</w:t>
      </w:r>
      <w:r>
        <w:rPr>
          <w:rFonts w:hint="eastAsia"/>
          <w:bCs/>
        </w:rPr>
        <w:t>MB</w:t>
      </w:r>
      <w:r>
        <w:rPr>
          <w:rFonts w:hint="eastAsia"/>
          <w:bCs/>
        </w:rPr>
        <w:t>值可达</w:t>
      </w:r>
      <w:r>
        <w:rPr>
          <w:rFonts w:hint="eastAsia"/>
          <w:bCs/>
        </w:rPr>
        <w:t>15.0</w:t>
      </w:r>
      <w:r>
        <w:rPr>
          <w:rFonts w:hint="eastAsia"/>
          <w:bCs/>
        </w:rPr>
        <w:t>，但经过特定洗砂工艺处理后的砂的</w:t>
      </w:r>
      <w:r>
        <w:rPr>
          <w:rFonts w:hint="eastAsia"/>
          <w:bCs/>
        </w:rPr>
        <w:t>M</w:t>
      </w:r>
      <w:r>
        <w:rPr>
          <w:rFonts w:hint="eastAsia"/>
          <w:bCs/>
        </w:rPr>
        <w:t>B</w:t>
      </w:r>
      <w:r>
        <w:rPr>
          <w:rFonts w:hint="eastAsia"/>
          <w:bCs/>
        </w:rPr>
        <w:t>值可在</w:t>
      </w:r>
      <w:r>
        <w:rPr>
          <w:rFonts w:hint="eastAsia"/>
          <w:bCs/>
        </w:rPr>
        <w:t>2.0</w:t>
      </w:r>
      <w:r>
        <w:rPr>
          <w:rFonts w:hint="eastAsia"/>
          <w:bCs/>
        </w:rPr>
        <w:t>以内，部分砂的</w:t>
      </w:r>
      <w:r>
        <w:rPr>
          <w:rFonts w:hint="eastAsia"/>
          <w:bCs/>
        </w:rPr>
        <w:t>MB</w:t>
      </w:r>
      <w:r>
        <w:rPr>
          <w:rFonts w:hint="eastAsia"/>
          <w:bCs/>
        </w:rPr>
        <w:t>值可达</w:t>
      </w:r>
      <w:r>
        <w:rPr>
          <w:rFonts w:hint="eastAsia"/>
          <w:bCs/>
        </w:rPr>
        <w:t>1.0</w:t>
      </w:r>
      <w:r>
        <w:rPr>
          <w:rFonts w:hint="eastAsia"/>
          <w:bCs/>
        </w:rPr>
        <w:t>以内</w:t>
      </w:r>
      <w:r>
        <w:rPr>
          <w:bCs/>
        </w:rPr>
        <w:t>。</w:t>
      </w:r>
      <w:r>
        <w:rPr>
          <w:rFonts w:hint="eastAsia"/>
          <w:bCs/>
        </w:rPr>
        <w:t>调研和试验验证发现，配制和生产有承重需求的混凝土时，砂的</w:t>
      </w:r>
      <w:r>
        <w:rPr>
          <w:rFonts w:hint="eastAsia"/>
          <w:bCs/>
        </w:rPr>
        <w:t>MB</w:t>
      </w:r>
      <w:r>
        <w:rPr>
          <w:rFonts w:hint="eastAsia"/>
          <w:bCs/>
        </w:rPr>
        <w:t>值宜控制在</w:t>
      </w:r>
      <w:r>
        <w:rPr>
          <w:rFonts w:hint="eastAsia"/>
          <w:bCs/>
        </w:rPr>
        <w:t>5.0</w:t>
      </w:r>
      <w:r>
        <w:rPr>
          <w:rFonts w:hint="eastAsia"/>
          <w:bCs/>
        </w:rPr>
        <w:t>以内。</w:t>
      </w:r>
    </w:p>
    <w:p w:rsidR="00ED5264" w:rsidRDefault="00B65917">
      <w:pPr>
        <w:spacing w:line="400" w:lineRule="atLeast"/>
      </w:pPr>
      <w:r>
        <w:rPr>
          <w:b/>
          <w:bCs/>
        </w:rPr>
        <w:t>4.1.</w:t>
      </w:r>
      <w:r>
        <w:rPr>
          <w:rFonts w:hint="eastAsia"/>
          <w:b/>
          <w:bCs/>
        </w:rPr>
        <w:t>3</w:t>
      </w:r>
      <w:r>
        <w:rPr>
          <w:b/>
          <w:bCs/>
        </w:rPr>
        <w:t xml:space="preserve">  </w:t>
      </w:r>
      <w:r>
        <w:rPr>
          <w:rFonts w:hint="eastAsia"/>
        </w:rPr>
        <w:t>本条提出了黄河超细砂的细度模数范围。调研发现，黄河超细砂的细度模数在</w:t>
      </w:r>
      <w:r>
        <w:rPr>
          <w:rFonts w:hint="eastAsia"/>
        </w:rPr>
        <w:t>0~0.6</w:t>
      </w:r>
      <w:r>
        <w:rPr>
          <w:rFonts w:hint="eastAsia"/>
        </w:rPr>
        <w:t>范围内</w:t>
      </w:r>
      <w:r>
        <w:rPr>
          <w:rFonts w:hint="eastAsia"/>
        </w:rPr>
        <w:t>。总体而言，山东地区的黄河超细砂细度模数在</w:t>
      </w:r>
      <w:r>
        <w:rPr>
          <w:rFonts w:hint="eastAsia"/>
        </w:rPr>
        <w:t>0.01~0.2</w:t>
      </w:r>
      <w:r>
        <w:rPr>
          <w:rFonts w:hint="eastAsia"/>
        </w:rPr>
        <w:t>范围内，河南、山西、内蒙等地区的黄河超细砂的细度模数大多在</w:t>
      </w:r>
      <w:r>
        <w:rPr>
          <w:rFonts w:hint="eastAsia"/>
        </w:rPr>
        <w:t>0.2~0.3</w:t>
      </w:r>
      <w:r>
        <w:rPr>
          <w:rFonts w:hint="eastAsia"/>
        </w:rPr>
        <w:t>范围内，少数可达</w:t>
      </w:r>
      <w:r>
        <w:rPr>
          <w:rFonts w:hint="eastAsia"/>
        </w:rPr>
        <w:t>0.3</w:t>
      </w:r>
      <w:r>
        <w:rPr>
          <w:rFonts w:hint="eastAsia"/>
        </w:rPr>
        <w:t>以上，但很少能超过</w:t>
      </w:r>
      <w:r>
        <w:rPr>
          <w:rFonts w:hint="eastAsia"/>
        </w:rPr>
        <w:t>0.6</w:t>
      </w:r>
      <w:r>
        <w:rPr>
          <w:rFonts w:hint="eastAsia"/>
        </w:rPr>
        <w:t>。</w:t>
      </w:r>
    </w:p>
    <w:p w:rsidR="00ED5264" w:rsidRDefault="00B65917">
      <w:pPr>
        <w:spacing w:line="400" w:lineRule="atLeast"/>
        <w:rPr>
          <w:b/>
          <w:bCs/>
        </w:rPr>
      </w:pPr>
      <w:r>
        <w:rPr>
          <w:b/>
          <w:bCs/>
        </w:rPr>
        <w:t>4.1.</w:t>
      </w:r>
      <w:r>
        <w:rPr>
          <w:rFonts w:hint="eastAsia"/>
          <w:b/>
          <w:bCs/>
        </w:rPr>
        <w:t>4</w:t>
      </w:r>
      <w:r>
        <w:rPr>
          <w:b/>
          <w:bCs/>
        </w:rPr>
        <w:t xml:space="preserve">  </w:t>
      </w:r>
      <w:r>
        <w:rPr>
          <w:rFonts w:hint="eastAsia"/>
        </w:rPr>
        <w:t>参照标准《高性能混凝土用骨料》</w:t>
      </w:r>
      <w:r>
        <w:rPr>
          <w:rFonts w:hint="eastAsia"/>
        </w:rPr>
        <w:t>T/CBMF-38</w:t>
      </w:r>
      <w:r>
        <w:rPr>
          <w:rFonts w:hint="eastAsia"/>
        </w:rPr>
        <w:t>-</w:t>
      </w:r>
      <w:r>
        <w:rPr>
          <w:rFonts w:hint="eastAsia"/>
        </w:rPr>
        <w:t>2018</w:t>
      </w:r>
      <w:r>
        <w:rPr>
          <w:rFonts w:hint="eastAsia"/>
        </w:rPr>
        <w:t>提出黄河超细砂的比例度指标及计算公式</w:t>
      </w:r>
      <w:r>
        <w:rPr>
          <w:rFonts w:hint="eastAsia"/>
        </w:rPr>
        <w:t>。考虑到黄河超细砂中</w:t>
      </w:r>
      <w:r>
        <w:rPr>
          <w:rFonts w:hint="eastAsia"/>
        </w:rPr>
        <w:t>0.075mm~0.15mm</w:t>
      </w:r>
      <w:r>
        <w:rPr>
          <w:rFonts w:hint="eastAsia"/>
        </w:rPr>
        <w:t>粒径颗粒占比较高的客观事实，将比例度计算公式对应的砂的最小粒径增加到</w:t>
      </w:r>
      <w:r>
        <w:rPr>
          <w:rFonts w:hint="eastAsia"/>
        </w:rPr>
        <w:t>0.075mm~0.15mm</w:t>
      </w:r>
      <w:r>
        <w:rPr>
          <w:rFonts w:hint="eastAsia"/>
        </w:rPr>
        <w:t>。</w:t>
      </w:r>
    </w:p>
    <w:p w:rsidR="00ED5264" w:rsidRDefault="00ED5264">
      <w:pPr>
        <w:spacing w:line="400" w:lineRule="atLeast"/>
      </w:pPr>
    </w:p>
    <w:p w:rsidR="00ED5264" w:rsidRDefault="00B65917">
      <w:pPr>
        <w:spacing w:beforeLines="100" w:before="312" w:afterLines="100" w:after="312" w:line="300" w:lineRule="auto"/>
        <w:jc w:val="center"/>
        <w:outlineLvl w:val="1"/>
        <w:rPr>
          <w:b/>
          <w:bCs/>
          <w:sz w:val="24"/>
          <w:szCs w:val="24"/>
        </w:rPr>
      </w:pPr>
      <w:bookmarkStart w:id="683" w:name="_Toc32123"/>
      <w:bookmarkStart w:id="684" w:name="_Toc23260551"/>
      <w:bookmarkStart w:id="685" w:name="_Toc4332"/>
      <w:bookmarkStart w:id="686" w:name="_Toc6570"/>
      <w:bookmarkStart w:id="687" w:name="_Toc25912876"/>
      <w:bookmarkStart w:id="688" w:name="_Toc22895676"/>
      <w:bookmarkStart w:id="689" w:name="_Toc26037"/>
      <w:bookmarkStart w:id="690" w:name="_Toc23260880"/>
      <w:r>
        <w:rPr>
          <w:b/>
          <w:bCs/>
          <w:sz w:val="24"/>
          <w:szCs w:val="24"/>
        </w:rPr>
        <w:t xml:space="preserve">4.2  </w:t>
      </w:r>
      <w:r>
        <w:rPr>
          <w:b/>
          <w:bCs/>
          <w:sz w:val="24"/>
          <w:szCs w:val="24"/>
        </w:rPr>
        <w:t>其它原材料</w:t>
      </w:r>
      <w:bookmarkEnd w:id="683"/>
      <w:bookmarkEnd w:id="684"/>
      <w:bookmarkEnd w:id="685"/>
      <w:bookmarkEnd w:id="686"/>
      <w:bookmarkEnd w:id="687"/>
      <w:bookmarkEnd w:id="688"/>
      <w:bookmarkEnd w:id="689"/>
      <w:bookmarkEnd w:id="690"/>
    </w:p>
    <w:p w:rsidR="00ED5264" w:rsidRDefault="00B65917">
      <w:pPr>
        <w:spacing w:line="400" w:lineRule="atLeast"/>
        <w:rPr>
          <w:bCs/>
        </w:rPr>
      </w:pPr>
      <w:r>
        <w:rPr>
          <w:b/>
          <w:bCs/>
        </w:rPr>
        <w:t>4.2.1~4.2.</w:t>
      </w:r>
      <w:r>
        <w:rPr>
          <w:rFonts w:hint="eastAsia"/>
          <w:b/>
          <w:bCs/>
        </w:rPr>
        <w:t>4</w:t>
      </w:r>
      <w:r>
        <w:rPr>
          <w:b/>
          <w:bCs/>
        </w:rPr>
        <w:t xml:space="preserve">  </w:t>
      </w:r>
      <w:r>
        <w:rPr>
          <w:rFonts w:hint="eastAsia"/>
        </w:rPr>
        <w:t>本条规定了除细骨料外，</w:t>
      </w:r>
      <w:r>
        <w:rPr>
          <w:rFonts w:hint="eastAsia"/>
        </w:rPr>
        <w:t>黄河超细砂混凝土</w:t>
      </w:r>
      <w:r>
        <w:rPr>
          <w:rFonts w:hint="eastAsia"/>
        </w:rPr>
        <w:t>用其他原材料的性能要求</w:t>
      </w:r>
      <w:r>
        <w:rPr>
          <w:rFonts w:hint="eastAsia"/>
        </w:rPr>
        <w:t>。</w:t>
      </w:r>
      <w:r>
        <w:rPr>
          <w:rFonts w:hint="eastAsia"/>
        </w:rPr>
        <w:t>黄河超细砂混凝土</w:t>
      </w:r>
      <w:r>
        <w:t>的其它原材料主要</w:t>
      </w:r>
      <w:r>
        <w:rPr>
          <w:rFonts w:hint="eastAsia"/>
        </w:rPr>
        <w:t>包括</w:t>
      </w:r>
      <w:r>
        <w:t>水泥、水、</w:t>
      </w:r>
      <w:r>
        <w:rPr>
          <w:rFonts w:hint="eastAsia"/>
        </w:rPr>
        <w:t>粗骨料、</w:t>
      </w:r>
      <w:r>
        <w:t>各种化学外加剂和矿物掺合料。这些原材料的各项技术性能及要求都应符合行国家现行有关标准的规定；</w:t>
      </w:r>
      <w:r>
        <w:rPr>
          <w:bCs/>
        </w:rPr>
        <w:t>外加剂与水泥和矿物掺合料应有良好的适应性，</w:t>
      </w:r>
      <w:r>
        <w:rPr>
          <w:rFonts w:hint="eastAsia"/>
          <w:bCs/>
        </w:rPr>
        <w:t>外加剂宜选用具有良好坍落度保持作用的聚羧酸系高性能减水剂，当混凝土损失明显时，宜掺入一定的缓释型聚羧酸系高性能减水剂，</w:t>
      </w:r>
      <w:r>
        <w:rPr>
          <w:bCs/>
        </w:rPr>
        <w:t>并应经试验验证</w:t>
      </w:r>
      <w:r>
        <w:rPr>
          <w:rFonts w:hint="eastAsia"/>
          <w:bCs/>
        </w:rPr>
        <w:t>。</w:t>
      </w:r>
      <w:r>
        <w:rPr>
          <w:bCs/>
        </w:rPr>
        <w:t>此外，</w:t>
      </w:r>
      <w:r>
        <w:rPr>
          <w:rFonts w:hint="eastAsia"/>
          <w:bCs/>
        </w:rPr>
        <w:t>为控制混凝土的收缩，采用减缩剂、减蒸剂、膨胀剂、内氧护剂等功能型外加剂时，所采用的</w:t>
      </w:r>
      <w:r>
        <w:rPr>
          <w:bCs/>
        </w:rPr>
        <w:t>外加剂也应符合相应标准要求</w:t>
      </w:r>
      <w:r>
        <w:rPr>
          <w:rFonts w:hint="eastAsia"/>
          <w:bCs/>
        </w:rPr>
        <w:t>且应</w:t>
      </w:r>
      <w:r>
        <w:rPr>
          <w:bCs/>
        </w:rPr>
        <w:t>通过试验验证。</w:t>
      </w:r>
    </w:p>
    <w:p w:rsidR="00ED5264" w:rsidRDefault="00ED5264">
      <w:pPr>
        <w:spacing w:line="400" w:lineRule="atLeast"/>
        <w:rPr>
          <w:bCs/>
        </w:rPr>
      </w:pPr>
    </w:p>
    <w:p w:rsidR="00ED5264" w:rsidRDefault="00B65917">
      <w:pPr>
        <w:pStyle w:val="aff4"/>
        <w:spacing w:before="312" w:after="312"/>
      </w:pPr>
      <w:r>
        <w:br w:type="page"/>
      </w:r>
      <w:bookmarkStart w:id="691" w:name="_Toc15070"/>
      <w:bookmarkStart w:id="692" w:name="_Toc10412"/>
      <w:bookmarkStart w:id="693" w:name="_Toc23260552"/>
      <w:bookmarkStart w:id="694" w:name="_Toc22895677"/>
      <w:bookmarkStart w:id="695" w:name="_Toc29038"/>
      <w:bookmarkStart w:id="696" w:name="_Toc23260881"/>
      <w:bookmarkStart w:id="697" w:name="_Toc6492"/>
      <w:bookmarkStart w:id="698" w:name="_Toc25912877"/>
      <w:r>
        <w:lastRenderedPageBreak/>
        <w:t xml:space="preserve">5  </w:t>
      </w:r>
      <w:r>
        <w:rPr>
          <w:rFonts w:hint="eastAsia"/>
        </w:rPr>
        <w:t>混凝土</w:t>
      </w:r>
      <w:r>
        <w:t>性能</w:t>
      </w:r>
      <w:bookmarkEnd w:id="691"/>
      <w:bookmarkEnd w:id="692"/>
      <w:bookmarkEnd w:id="693"/>
      <w:bookmarkEnd w:id="694"/>
      <w:bookmarkEnd w:id="695"/>
      <w:bookmarkEnd w:id="696"/>
      <w:bookmarkEnd w:id="697"/>
      <w:bookmarkEnd w:id="698"/>
    </w:p>
    <w:p w:rsidR="00ED5264" w:rsidRDefault="00B65917">
      <w:pPr>
        <w:spacing w:beforeLines="100" w:before="312" w:afterLines="100" w:after="312" w:line="300" w:lineRule="auto"/>
        <w:jc w:val="center"/>
        <w:outlineLvl w:val="1"/>
        <w:rPr>
          <w:b/>
          <w:bCs/>
          <w:sz w:val="24"/>
          <w:szCs w:val="24"/>
        </w:rPr>
      </w:pPr>
      <w:bookmarkStart w:id="699" w:name="_Toc23260553"/>
      <w:bookmarkStart w:id="700" w:name="_Toc25912878"/>
      <w:bookmarkStart w:id="701" w:name="_Toc2312"/>
      <w:bookmarkStart w:id="702" w:name="_Toc5338"/>
      <w:bookmarkStart w:id="703" w:name="_Toc24676"/>
      <w:bookmarkStart w:id="704" w:name="_Toc22895678"/>
      <w:bookmarkStart w:id="705" w:name="_Toc16652"/>
      <w:bookmarkStart w:id="706" w:name="_Toc23260882"/>
      <w:r>
        <w:rPr>
          <w:b/>
          <w:bCs/>
          <w:sz w:val="24"/>
          <w:szCs w:val="24"/>
        </w:rPr>
        <w:t xml:space="preserve">5.1  </w:t>
      </w:r>
      <w:r>
        <w:rPr>
          <w:rFonts w:hint="eastAsia"/>
          <w:b/>
          <w:bCs/>
          <w:sz w:val="24"/>
          <w:szCs w:val="24"/>
        </w:rPr>
        <w:t>工作</w:t>
      </w:r>
      <w:r>
        <w:rPr>
          <w:b/>
          <w:bCs/>
          <w:sz w:val="24"/>
          <w:szCs w:val="24"/>
        </w:rPr>
        <w:t>性能</w:t>
      </w:r>
      <w:bookmarkEnd w:id="699"/>
      <w:bookmarkEnd w:id="700"/>
      <w:bookmarkEnd w:id="701"/>
      <w:bookmarkEnd w:id="702"/>
      <w:bookmarkEnd w:id="703"/>
      <w:bookmarkEnd w:id="704"/>
      <w:bookmarkEnd w:id="705"/>
      <w:bookmarkEnd w:id="706"/>
    </w:p>
    <w:p w:rsidR="00ED5264" w:rsidRDefault="00B65917">
      <w:pPr>
        <w:pStyle w:val="affc"/>
        <w:rPr>
          <w:rFonts w:cs="Times New Roman"/>
          <w:sz w:val="21"/>
          <w:szCs w:val="21"/>
        </w:rPr>
      </w:pPr>
      <w:r>
        <w:rPr>
          <w:rFonts w:cs="Times New Roman"/>
          <w:b/>
          <w:bCs/>
          <w:sz w:val="21"/>
          <w:szCs w:val="21"/>
        </w:rPr>
        <w:t>5.1.1~5.1.5</w:t>
      </w:r>
      <w:r>
        <w:rPr>
          <w:rFonts w:cs="Times New Roman"/>
          <w:sz w:val="21"/>
          <w:szCs w:val="21"/>
        </w:rPr>
        <w:t xml:space="preserve">  </w:t>
      </w:r>
      <w:r>
        <w:rPr>
          <w:rFonts w:cs="Times New Roman"/>
          <w:sz w:val="21"/>
          <w:szCs w:val="21"/>
        </w:rPr>
        <w:t>对</w:t>
      </w:r>
      <w:r>
        <w:rPr>
          <w:rFonts w:cs="Times New Roman" w:hint="eastAsia"/>
          <w:sz w:val="21"/>
          <w:szCs w:val="21"/>
        </w:rPr>
        <w:t>黄河超细砂混凝土</w:t>
      </w:r>
      <w:r>
        <w:rPr>
          <w:rFonts w:cs="Times New Roman"/>
          <w:sz w:val="21"/>
          <w:szCs w:val="21"/>
        </w:rPr>
        <w:t>的拌合物性能进行了规定</w:t>
      </w:r>
      <w:r>
        <w:rPr>
          <w:rFonts w:cs="Times New Roman" w:hint="eastAsia"/>
          <w:sz w:val="21"/>
          <w:szCs w:val="21"/>
        </w:rPr>
        <w:t>。</w:t>
      </w:r>
      <w:r>
        <w:rPr>
          <w:rFonts w:cs="Times New Roman" w:hint="eastAsia"/>
          <w:sz w:val="21"/>
          <w:szCs w:val="21"/>
        </w:rPr>
        <w:t>对</w:t>
      </w:r>
      <w:r>
        <w:rPr>
          <w:rFonts w:cs="Times New Roman" w:hint="eastAsia"/>
          <w:sz w:val="21"/>
          <w:szCs w:val="21"/>
        </w:rPr>
        <w:t>C10~C60</w:t>
      </w:r>
      <w:r>
        <w:rPr>
          <w:rFonts w:cs="Times New Roman" w:hint="eastAsia"/>
          <w:sz w:val="21"/>
          <w:szCs w:val="21"/>
        </w:rPr>
        <w:t>混凝土的拌合物性能进行验证，验证发现证，</w:t>
      </w:r>
      <w:r>
        <w:rPr>
          <w:rFonts w:cs="Times New Roman" w:hint="eastAsia"/>
          <w:sz w:val="21"/>
          <w:szCs w:val="21"/>
        </w:rPr>
        <w:t>黄河超细砂混凝土</w:t>
      </w:r>
      <w:r>
        <w:rPr>
          <w:rFonts w:cs="Times New Roman"/>
          <w:sz w:val="21"/>
          <w:szCs w:val="21"/>
        </w:rPr>
        <w:t>的拌合物</w:t>
      </w:r>
      <w:r>
        <w:rPr>
          <w:rFonts w:cs="Times New Roman" w:hint="eastAsia"/>
          <w:sz w:val="21"/>
          <w:szCs w:val="21"/>
        </w:rPr>
        <w:t>性能与普通预拌混凝土相当，故规定黄河超细砂混凝土</w:t>
      </w:r>
      <w:r>
        <w:rPr>
          <w:rFonts w:cs="Times New Roman"/>
          <w:sz w:val="21"/>
          <w:szCs w:val="21"/>
        </w:rPr>
        <w:t>对应的技术参数与现行国家标准《预拌混凝土》</w:t>
      </w:r>
      <w:r>
        <w:rPr>
          <w:rFonts w:cs="Times New Roman"/>
          <w:sz w:val="21"/>
          <w:szCs w:val="21"/>
        </w:rPr>
        <w:t>GB/T 14902</w:t>
      </w:r>
      <w:r>
        <w:rPr>
          <w:rFonts w:cs="Times New Roman"/>
          <w:sz w:val="21"/>
          <w:szCs w:val="21"/>
        </w:rPr>
        <w:t>协调一致。</w:t>
      </w:r>
    </w:p>
    <w:p w:rsidR="00ED5264" w:rsidRDefault="00B65917">
      <w:pPr>
        <w:spacing w:beforeLines="100" w:before="312" w:afterLines="100" w:after="312" w:line="300" w:lineRule="auto"/>
        <w:jc w:val="center"/>
        <w:outlineLvl w:val="1"/>
        <w:rPr>
          <w:b/>
          <w:bCs/>
          <w:sz w:val="24"/>
          <w:szCs w:val="24"/>
        </w:rPr>
      </w:pPr>
      <w:bookmarkStart w:id="707" w:name="_Toc5826"/>
      <w:bookmarkStart w:id="708" w:name="_Toc15148"/>
      <w:bookmarkStart w:id="709" w:name="_Toc22895679"/>
      <w:bookmarkStart w:id="710" w:name="_Toc23260883"/>
      <w:bookmarkStart w:id="711" w:name="_Toc8487"/>
      <w:bookmarkStart w:id="712" w:name="_Toc23260554"/>
      <w:bookmarkStart w:id="713" w:name="_Toc25912879"/>
      <w:bookmarkStart w:id="714" w:name="_Toc21899"/>
      <w:r>
        <w:rPr>
          <w:b/>
          <w:bCs/>
          <w:sz w:val="24"/>
          <w:szCs w:val="24"/>
        </w:rPr>
        <w:t xml:space="preserve">5.2  </w:t>
      </w:r>
      <w:r>
        <w:rPr>
          <w:b/>
          <w:bCs/>
          <w:sz w:val="24"/>
          <w:szCs w:val="24"/>
        </w:rPr>
        <w:t>力学性能</w:t>
      </w:r>
      <w:bookmarkEnd w:id="707"/>
      <w:bookmarkEnd w:id="708"/>
      <w:bookmarkEnd w:id="709"/>
      <w:bookmarkEnd w:id="710"/>
      <w:bookmarkEnd w:id="711"/>
      <w:bookmarkEnd w:id="712"/>
      <w:bookmarkEnd w:id="713"/>
      <w:bookmarkEnd w:id="714"/>
    </w:p>
    <w:p w:rsidR="00ED5264" w:rsidRDefault="00B65917">
      <w:pPr>
        <w:pStyle w:val="affc"/>
        <w:rPr>
          <w:rFonts w:cs="Times New Roman"/>
          <w:sz w:val="21"/>
          <w:szCs w:val="21"/>
        </w:rPr>
      </w:pPr>
      <w:r>
        <w:rPr>
          <w:rFonts w:cs="Times New Roman"/>
          <w:b/>
          <w:bCs/>
          <w:sz w:val="21"/>
          <w:szCs w:val="21"/>
        </w:rPr>
        <w:t>5.2.1~5.2.4</w:t>
      </w:r>
      <w:r>
        <w:rPr>
          <w:rFonts w:cs="Times New Roman"/>
          <w:sz w:val="21"/>
          <w:szCs w:val="21"/>
        </w:rPr>
        <w:t xml:space="preserve">   </w:t>
      </w:r>
      <w:r>
        <w:rPr>
          <w:rFonts w:cs="Times New Roman"/>
          <w:sz w:val="21"/>
          <w:szCs w:val="21"/>
        </w:rPr>
        <w:t>对</w:t>
      </w:r>
      <w:r>
        <w:rPr>
          <w:rFonts w:cs="Times New Roman" w:hint="eastAsia"/>
          <w:sz w:val="21"/>
          <w:szCs w:val="21"/>
        </w:rPr>
        <w:t>黄河超细砂混凝土</w:t>
      </w:r>
      <w:r>
        <w:rPr>
          <w:rFonts w:cs="Times New Roman"/>
          <w:sz w:val="21"/>
          <w:szCs w:val="21"/>
        </w:rPr>
        <w:t>的</w:t>
      </w:r>
      <w:r>
        <w:rPr>
          <w:rFonts w:cs="Times New Roman" w:hint="eastAsia"/>
          <w:sz w:val="21"/>
          <w:szCs w:val="21"/>
        </w:rPr>
        <w:t>力学</w:t>
      </w:r>
      <w:r>
        <w:rPr>
          <w:rFonts w:cs="Times New Roman"/>
          <w:sz w:val="21"/>
          <w:szCs w:val="21"/>
        </w:rPr>
        <w:t>性能进行了规定</w:t>
      </w:r>
      <w:r>
        <w:rPr>
          <w:rFonts w:cs="Times New Roman" w:hint="eastAsia"/>
          <w:sz w:val="21"/>
          <w:szCs w:val="21"/>
        </w:rPr>
        <w:t>。</w:t>
      </w:r>
      <w:r>
        <w:rPr>
          <w:rFonts w:cs="Times New Roman" w:hint="eastAsia"/>
          <w:sz w:val="21"/>
          <w:szCs w:val="21"/>
        </w:rPr>
        <w:t>对</w:t>
      </w:r>
      <w:r>
        <w:rPr>
          <w:rFonts w:cs="Times New Roman" w:hint="eastAsia"/>
          <w:sz w:val="21"/>
          <w:szCs w:val="21"/>
        </w:rPr>
        <w:t>C10~C60</w:t>
      </w:r>
      <w:r>
        <w:rPr>
          <w:rFonts w:cs="Times New Roman" w:hint="eastAsia"/>
          <w:sz w:val="21"/>
          <w:szCs w:val="21"/>
        </w:rPr>
        <w:t>黄河超细砂混凝土的力学性能进行验证，验证发现证，</w:t>
      </w:r>
      <w:r>
        <w:rPr>
          <w:rFonts w:cs="Times New Roman" w:hint="eastAsia"/>
          <w:sz w:val="21"/>
          <w:szCs w:val="21"/>
        </w:rPr>
        <w:t>黄河超细砂混凝土</w:t>
      </w:r>
      <w:r>
        <w:rPr>
          <w:rFonts w:cs="Times New Roman"/>
          <w:sz w:val="21"/>
          <w:szCs w:val="21"/>
        </w:rPr>
        <w:t>的</w:t>
      </w:r>
      <w:r>
        <w:rPr>
          <w:rFonts w:cs="Times New Roman" w:hint="eastAsia"/>
          <w:sz w:val="21"/>
          <w:szCs w:val="21"/>
        </w:rPr>
        <w:t>28d</w:t>
      </w:r>
      <w:r>
        <w:rPr>
          <w:rFonts w:cs="Times New Roman" w:hint="eastAsia"/>
          <w:sz w:val="21"/>
          <w:szCs w:val="21"/>
        </w:rPr>
        <w:t>抗压强度、轴压强度不低于同配合比的机制砂和河砂混凝土，</w:t>
      </w:r>
      <w:r>
        <w:rPr>
          <w:rFonts w:cs="Times New Roman" w:hint="eastAsia"/>
          <w:sz w:val="21"/>
          <w:szCs w:val="21"/>
        </w:rPr>
        <w:t>7d</w:t>
      </w:r>
      <w:r>
        <w:rPr>
          <w:rFonts w:cs="Times New Roman" w:hint="eastAsia"/>
          <w:sz w:val="21"/>
          <w:szCs w:val="21"/>
        </w:rPr>
        <w:t>抗压强度略低，其他力学性能指标与普通混凝土相当</w:t>
      </w:r>
      <w:r>
        <w:rPr>
          <w:rFonts w:cs="Times New Roman"/>
          <w:sz w:val="21"/>
          <w:szCs w:val="21"/>
        </w:rPr>
        <w:t>。</w:t>
      </w:r>
    </w:p>
    <w:p w:rsidR="00ED5264" w:rsidRDefault="00B65917">
      <w:pPr>
        <w:spacing w:beforeLines="100" w:before="312" w:afterLines="100" w:after="312" w:line="300" w:lineRule="auto"/>
        <w:jc w:val="center"/>
        <w:outlineLvl w:val="1"/>
        <w:rPr>
          <w:b/>
          <w:bCs/>
          <w:sz w:val="24"/>
          <w:szCs w:val="24"/>
        </w:rPr>
      </w:pPr>
      <w:bookmarkStart w:id="715" w:name="_Toc14849"/>
      <w:bookmarkStart w:id="716" w:name="_Toc13071"/>
      <w:bookmarkStart w:id="717" w:name="_Toc25912880"/>
      <w:bookmarkStart w:id="718" w:name="_Toc23260555"/>
      <w:bookmarkStart w:id="719" w:name="_Toc23260884"/>
      <w:bookmarkStart w:id="720" w:name="_Toc9405"/>
      <w:bookmarkStart w:id="721" w:name="_Toc10580"/>
      <w:bookmarkStart w:id="722" w:name="_Toc22895680"/>
      <w:r>
        <w:rPr>
          <w:b/>
          <w:bCs/>
          <w:sz w:val="24"/>
          <w:szCs w:val="24"/>
        </w:rPr>
        <w:t xml:space="preserve">5.3  </w:t>
      </w:r>
      <w:r>
        <w:rPr>
          <w:b/>
          <w:bCs/>
          <w:sz w:val="24"/>
          <w:szCs w:val="24"/>
        </w:rPr>
        <w:t>长期性能与耐久性能</w:t>
      </w:r>
      <w:bookmarkEnd w:id="715"/>
      <w:bookmarkEnd w:id="716"/>
      <w:bookmarkEnd w:id="717"/>
      <w:bookmarkEnd w:id="718"/>
      <w:bookmarkEnd w:id="719"/>
      <w:bookmarkEnd w:id="720"/>
      <w:bookmarkEnd w:id="721"/>
      <w:bookmarkEnd w:id="722"/>
    </w:p>
    <w:p w:rsidR="00ED5264" w:rsidRDefault="00B65917">
      <w:pPr>
        <w:pStyle w:val="affc"/>
        <w:rPr>
          <w:rFonts w:cs="Times New Roman"/>
          <w:sz w:val="21"/>
          <w:szCs w:val="21"/>
        </w:rPr>
      </w:pPr>
      <w:r>
        <w:rPr>
          <w:rFonts w:cs="Times New Roman"/>
          <w:b/>
          <w:bCs/>
          <w:sz w:val="21"/>
          <w:szCs w:val="21"/>
        </w:rPr>
        <w:t>5.3.1~5.3.4</w:t>
      </w:r>
      <w:r>
        <w:rPr>
          <w:rFonts w:cs="Times New Roman"/>
          <w:sz w:val="21"/>
          <w:szCs w:val="21"/>
        </w:rPr>
        <w:t xml:space="preserve">   </w:t>
      </w:r>
      <w:r>
        <w:rPr>
          <w:rFonts w:cs="Times New Roman"/>
          <w:sz w:val="21"/>
          <w:szCs w:val="21"/>
        </w:rPr>
        <w:t>对</w:t>
      </w:r>
      <w:r>
        <w:rPr>
          <w:rFonts w:cs="Times New Roman" w:hint="eastAsia"/>
          <w:sz w:val="21"/>
          <w:szCs w:val="21"/>
        </w:rPr>
        <w:t>黄河超细砂混凝土</w:t>
      </w:r>
      <w:r>
        <w:rPr>
          <w:rFonts w:cs="Times New Roman"/>
          <w:sz w:val="21"/>
          <w:szCs w:val="21"/>
        </w:rPr>
        <w:t>的</w:t>
      </w:r>
      <w:r>
        <w:rPr>
          <w:rFonts w:cs="Times New Roman" w:hint="eastAsia"/>
          <w:sz w:val="21"/>
          <w:szCs w:val="21"/>
        </w:rPr>
        <w:t>长期性能和耐久性能</w:t>
      </w:r>
      <w:r>
        <w:rPr>
          <w:rFonts w:cs="Times New Roman"/>
          <w:sz w:val="21"/>
          <w:szCs w:val="21"/>
        </w:rPr>
        <w:t>进行了规定</w:t>
      </w:r>
      <w:r>
        <w:rPr>
          <w:rFonts w:cs="Times New Roman" w:hint="eastAsia"/>
          <w:sz w:val="21"/>
          <w:szCs w:val="21"/>
        </w:rPr>
        <w:t>。</w:t>
      </w:r>
      <w:r>
        <w:rPr>
          <w:rFonts w:cs="Times New Roman" w:hint="eastAsia"/>
          <w:sz w:val="21"/>
          <w:szCs w:val="21"/>
        </w:rPr>
        <w:t>对</w:t>
      </w:r>
      <w:r>
        <w:rPr>
          <w:rFonts w:cs="Times New Roman" w:hint="eastAsia"/>
          <w:sz w:val="21"/>
          <w:szCs w:val="21"/>
        </w:rPr>
        <w:t>C10~C60</w:t>
      </w:r>
      <w:r>
        <w:rPr>
          <w:rFonts w:cs="Times New Roman" w:hint="eastAsia"/>
          <w:sz w:val="21"/>
          <w:szCs w:val="21"/>
        </w:rPr>
        <w:t>混凝土的长期性能和耐久性能进行了验证，验证发现证，与同强度等级的机制砂混凝土和河砂混凝土相比，</w:t>
      </w:r>
      <w:r>
        <w:rPr>
          <w:rFonts w:cs="Times New Roman" w:hint="eastAsia"/>
          <w:sz w:val="21"/>
          <w:szCs w:val="21"/>
        </w:rPr>
        <w:t>黄河超细砂混凝土的</w:t>
      </w:r>
      <w:r>
        <w:rPr>
          <w:rFonts w:cs="Times New Roman" w:hint="eastAsia"/>
          <w:sz w:val="21"/>
          <w:szCs w:val="21"/>
        </w:rPr>
        <w:t>收缩更大，早期开裂性能更高</w:t>
      </w:r>
      <w:r>
        <w:rPr>
          <w:rFonts w:cs="Times New Roman" w:hint="eastAsia"/>
          <w:sz w:val="21"/>
          <w:szCs w:val="21"/>
        </w:rPr>
        <w:t>，</w:t>
      </w:r>
      <w:r>
        <w:rPr>
          <w:rFonts w:cs="Times New Roman" w:hint="eastAsia"/>
          <w:sz w:val="21"/>
          <w:szCs w:val="21"/>
        </w:rPr>
        <w:t>部分耐久性能指标更优。验证还发现，通过配合比调整及采用一定外加剂可减少混凝土的收缩及开裂。从确保黄河超细砂混凝土长期性能与耐久性能方面</w:t>
      </w:r>
      <w:r>
        <w:rPr>
          <w:rFonts w:cs="Times New Roman" w:hint="eastAsia"/>
          <w:sz w:val="21"/>
          <w:szCs w:val="21"/>
        </w:rPr>
        <w:t>考虑，</w:t>
      </w:r>
      <w:r>
        <w:rPr>
          <w:rFonts w:cs="Times New Roman" w:hint="eastAsia"/>
          <w:sz w:val="21"/>
          <w:szCs w:val="21"/>
        </w:rPr>
        <w:t>黄河超细砂混凝土</w:t>
      </w:r>
      <w:r>
        <w:rPr>
          <w:rFonts w:cs="Times New Roman"/>
          <w:sz w:val="21"/>
          <w:szCs w:val="21"/>
        </w:rPr>
        <w:t>与普通混凝土同样应具有良好的耐久性能和长期性能，</w:t>
      </w:r>
      <w:r>
        <w:rPr>
          <w:rFonts w:cs="Times New Roman" w:hint="eastAsia"/>
          <w:sz w:val="21"/>
          <w:szCs w:val="21"/>
        </w:rPr>
        <w:t>均应符合</w:t>
      </w:r>
      <w:r>
        <w:rPr>
          <w:rFonts w:cs="Times New Roman"/>
          <w:sz w:val="21"/>
          <w:szCs w:val="21"/>
        </w:rPr>
        <w:t>现行国家标准《混凝土结构设计</w:t>
      </w:r>
      <w:r>
        <w:rPr>
          <w:rFonts w:cs="Times New Roman" w:hint="eastAsia"/>
          <w:sz w:val="21"/>
          <w:szCs w:val="21"/>
        </w:rPr>
        <w:t>标准</w:t>
      </w:r>
      <w:r>
        <w:rPr>
          <w:rFonts w:cs="Times New Roman"/>
          <w:sz w:val="21"/>
          <w:szCs w:val="21"/>
        </w:rPr>
        <w:t>》</w:t>
      </w:r>
      <w:r>
        <w:rPr>
          <w:rFonts w:cs="Times New Roman" w:hint="eastAsia"/>
          <w:sz w:val="21"/>
          <w:szCs w:val="21"/>
        </w:rPr>
        <w:t>GB/T 50010</w:t>
      </w:r>
      <w:r>
        <w:rPr>
          <w:rFonts w:cs="Times New Roman" w:hint="eastAsia"/>
          <w:sz w:val="21"/>
          <w:szCs w:val="21"/>
        </w:rPr>
        <w:t>及设计要求</w:t>
      </w:r>
      <w:r>
        <w:rPr>
          <w:rFonts w:cs="Times New Roman"/>
          <w:sz w:val="21"/>
          <w:szCs w:val="21"/>
        </w:rPr>
        <w:t>。</w:t>
      </w:r>
    </w:p>
    <w:p w:rsidR="00ED5264" w:rsidRDefault="00ED5264">
      <w:pPr>
        <w:spacing w:beforeLines="50" w:before="156"/>
      </w:pPr>
    </w:p>
    <w:p w:rsidR="00ED5264" w:rsidRDefault="00ED5264">
      <w:pPr>
        <w:spacing w:beforeLines="50" w:before="156"/>
      </w:pPr>
    </w:p>
    <w:p w:rsidR="00ED5264" w:rsidRDefault="00ED5264">
      <w:pPr>
        <w:spacing w:beforeLines="50" w:before="156"/>
      </w:pPr>
    </w:p>
    <w:p w:rsidR="00ED5264" w:rsidRDefault="00B65917">
      <w:pPr>
        <w:pStyle w:val="aff4"/>
        <w:spacing w:before="312" w:after="312"/>
      </w:pPr>
      <w:r>
        <w:br w:type="page"/>
      </w:r>
      <w:bookmarkStart w:id="723" w:name="_Toc481589631"/>
      <w:bookmarkStart w:id="724" w:name="_Toc23260885"/>
      <w:bookmarkStart w:id="725" w:name="_Toc5869"/>
      <w:bookmarkStart w:id="726" w:name="_Toc486247936"/>
      <w:bookmarkStart w:id="727" w:name="_Toc22895681"/>
      <w:bookmarkStart w:id="728" w:name="_Toc439"/>
      <w:bookmarkStart w:id="729" w:name="_Toc29197"/>
      <w:bookmarkStart w:id="730" w:name="_Toc30128"/>
      <w:bookmarkStart w:id="731" w:name="_Toc481586536"/>
      <w:bookmarkStart w:id="732" w:name="_Toc25912881"/>
      <w:bookmarkStart w:id="733" w:name="_Toc481589735"/>
      <w:bookmarkStart w:id="734" w:name="_Toc509849571"/>
      <w:bookmarkStart w:id="735" w:name="_Toc481589839"/>
      <w:bookmarkStart w:id="736" w:name="_Toc25296"/>
      <w:bookmarkStart w:id="737" w:name="_Toc22541"/>
      <w:bookmarkStart w:id="738" w:name="_Toc472351503"/>
      <w:bookmarkStart w:id="739" w:name="_Toc23260556"/>
      <w:bookmarkStart w:id="740" w:name="_Toc21722"/>
      <w:bookmarkStart w:id="741" w:name="_Toc509849368"/>
      <w:r>
        <w:lastRenderedPageBreak/>
        <w:t xml:space="preserve">6  </w:t>
      </w:r>
      <w:r>
        <w:t>配合比设计</w:t>
      </w:r>
      <w:bookmarkEnd w:id="723"/>
      <w:bookmarkEnd w:id="724"/>
      <w:bookmarkEnd w:id="725"/>
      <w:bookmarkEnd w:id="726"/>
      <w:bookmarkEnd w:id="727"/>
      <w:bookmarkEnd w:id="728"/>
      <w:bookmarkEnd w:id="729"/>
      <w:bookmarkEnd w:id="730"/>
      <w:bookmarkEnd w:id="731"/>
      <w:bookmarkEnd w:id="732"/>
      <w:bookmarkEnd w:id="733"/>
      <w:bookmarkEnd w:id="734"/>
      <w:bookmarkEnd w:id="735"/>
      <w:bookmarkEnd w:id="736"/>
      <w:bookmarkEnd w:id="737"/>
      <w:bookmarkEnd w:id="738"/>
      <w:bookmarkEnd w:id="739"/>
      <w:bookmarkEnd w:id="740"/>
      <w:bookmarkEnd w:id="741"/>
    </w:p>
    <w:p w:rsidR="00ED5264" w:rsidRDefault="00B65917">
      <w:pPr>
        <w:spacing w:beforeLines="100" w:before="312" w:afterLines="100" w:after="312"/>
        <w:jc w:val="center"/>
        <w:outlineLvl w:val="1"/>
        <w:rPr>
          <w:b/>
          <w:bCs/>
          <w:sz w:val="24"/>
          <w:szCs w:val="24"/>
        </w:rPr>
      </w:pPr>
      <w:bookmarkStart w:id="742" w:name="_Toc17617"/>
      <w:bookmarkStart w:id="743" w:name="_Toc481586537"/>
      <w:bookmarkStart w:id="744" w:name="_Toc23260557"/>
      <w:bookmarkStart w:id="745" w:name="_Toc509849369"/>
      <w:bookmarkStart w:id="746" w:name="_Toc481589632"/>
      <w:bookmarkStart w:id="747" w:name="_Toc25912882"/>
      <w:bookmarkStart w:id="748" w:name="_Toc22895682"/>
      <w:bookmarkStart w:id="749" w:name="_Toc481589736"/>
      <w:bookmarkStart w:id="750" w:name="_Toc32104"/>
      <w:bookmarkStart w:id="751" w:name="_Toc23260886"/>
      <w:bookmarkStart w:id="752" w:name="_Toc5831"/>
      <w:bookmarkStart w:id="753" w:name="_Toc472351504"/>
      <w:bookmarkStart w:id="754" w:name="_Toc17624"/>
      <w:bookmarkStart w:id="755" w:name="_Toc11242"/>
      <w:bookmarkStart w:id="756" w:name="_Toc509849572"/>
      <w:bookmarkStart w:id="757" w:name="_Toc2364"/>
      <w:bookmarkStart w:id="758" w:name="_Toc3803"/>
      <w:bookmarkStart w:id="759" w:name="_Toc486247937"/>
      <w:bookmarkStart w:id="760" w:name="_Toc481589840"/>
      <w:r>
        <w:rPr>
          <w:b/>
          <w:bCs/>
          <w:sz w:val="24"/>
          <w:szCs w:val="24"/>
        </w:rPr>
        <w:t xml:space="preserve">6.1  </w:t>
      </w:r>
      <w:r>
        <w:rPr>
          <w:b/>
          <w:bCs/>
          <w:sz w:val="24"/>
          <w:szCs w:val="24"/>
        </w:rPr>
        <w:t>一般要求</w:t>
      </w:r>
      <w:bookmarkEnd w:id="742"/>
      <w:bookmarkEnd w:id="743"/>
      <w:bookmarkEnd w:id="744"/>
      <w:bookmarkEnd w:id="745"/>
      <w:bookmarkEnd w:id="746"/>
      <w:bookmarkEnd w:id="747"/>
      <w:bookmarkEnd w:id="748"/>
      <w:bookmarkEnd w:id="749"/>
      <w:bookmarkEnd w:id="750"/>
      <w:bookmarkEnd w:id="751"/>
      <w:bookmarkEnd w:id="752"/>
      <w:bookmarkEnd w:id="753"/>
      <w:bookmarkEnd w:id="754"/>
      <w:bookmarkEnd w:id="755"/>
      <w:bookmarkEnd w:id="756"/>
      <w:bookmarkEnd w:id="757"/>
      <w:bookmarkEnd w:id="758"/>
      <w:bookmarkEnd w:id="759"/>
      <w:bookmarkEnd w:id="760"/>
    </w:p>
    <w:p w:rsidR="00ED5264" w:rsidRDefault="00B65917">
      <w:pPr>
        <w:pStyle w:val="affc"/>
        <w:rPr>
          <w:rFonts w:cs="Times New Roman"/>
          <w:sz w:val="21"/>
          <w:szCs w:val="21"/>
        </w:rPr>
      </w:pPr>
      <w:r>
        <w:rPr>
          <w:rFonts w:cs="Times New Roman"/>
          <w:b/>
          <w:bCs/>
          <w:sz w:val="21"/>
          <w:szCs w:val="21"/>
        </w:rPr>
        <w:t>6.1.1</w:t>
      </w:r>
      <w:r>
        <w:rPr>
          <w:rFonts w:cs="Times New Roman"/>
          <w:sz w:val="21"/>
          <w:szCs w:val="21"/>
        </w:rPr>
        <w:t xml:space="preserve">  </w:t>
      </w:r>
      <w:r>
        <w:rPr>
          <w:rFonts w:cs="Times New Roman"/>
          <w:sz w:val="21"/>
          <w:szCs w:val="21"/>
        </w:rPr>
        <w:t>本条文</w:t>
      </w:r>
      <w:r>
        <w:rPr>
          <w:rFonts w:cs="Times New Roman" w:hint="eastAsia"/>
          <w:sz w:val="21"/>
          <w:szCs w:val="21"/>
        </w:rPr>
        <w:t>强调了黄河超细砂混凝土的配合比设计必须经过试配试验。规定与机制砂按照一定比例混合形成的黄河超细混合砂的性能满足《建设用砂》</w:t>
      </w:r>
      <w:r>
        <w:rPr>
          <w:rFonts w:cs="Times New Roman" w:hint="eastAsia"/>
          <w:sz w:val="21"/>
          <w:szCs w:val="21"/>
        </w:rPr>
        <w:t>GB/T 14684</w:t>
      </w:r>
      <w:r>
        <w:rPr>
          <w:rFonts w:cs="Times New Roman" w:hint="eastAsia"/>
          <w:sz w:val="21"/>
          <w:szCs w:val="21"/>
        </w:rPr>
        <w:t>要求，考虑到黄河超细砂混凝土是采用黄河超细混合砂配制的，故规定黄河超细砂混凝土的配合比设计参与目前常用的配合比设计标准《普通混凝土配合比设计规程》</w:t>
      </w:r>
      <w:r>
        <w:rPr>
          <w:rFonts w:cs="Times New Roman" w:hint="eastAsia"/>
          <w:sz w:val="21"/>
          <w:szCs w:val="21"/>
        </w:rPr>
        <w:t>JGJ 55</w:t>
      </w:r>
      <w:r>
        <w:rPr>
          <w:rFonts w:cs="Times New Roman" w:hint="eastAsia"/>
          <w:sz w:val="21"/>
          <w:szCs w:val="21"/>
        </w:rPr>
        <w:t>进行。</w:t>
      </w:r>
    </w:p>
    <w:p w:rsidR="00ED5264" w:rsidRDefault="00B65917">
      <w:pPr>
        <w:pStyle w:val="affc"/>
        <w:rPr>
          <w:rFonts w:cs="Times New Roman"/>
          <w:sz w:val="21"/>
          <w:szCs w:val="21"/>
        </w:rPr>
      </w:pPr>
      <w:r>
        <w:rPr>
          <w:rFonts w:cs="Times New Roman"/>
          <w:b/>
          <w:sz w:val="21"/>
          <w:szCs w:val="21"/>
        </w:rPr>
        <w:t>6.1.2</w:t>
      </w:r>
      <w:r>
        <w:rPr>
          <w:rFonts w:cs="Times New Roman"/>
          <w:sz w:val="21"/>
          <w:szCs w:val="21"/>
        </w:rPr>
        <w:t xml:space="preserve">  </w:t>
      </w:r>
      <w:r>
        <w:rPr>
          <w:rFonts w:cs="Times New Roman" w:hint="eastAsia"/>
          <w:sz w:val="21"/>
          <w:szCs w:val="21"/>
        </w:rPr>
        <w:t>黄河超细砂混凝土</w:t>
      </w:r>
      <w:r>
        <w:rPr>
          <w:rFonts w:cs="Times New Roman"/>
          <w:sz w:val="21"/>
          <w:szCs w:val="21"/>
        </w:rPr>
        <w:t>配合比设计应采用实际</w:t>
      </w:r>
      <w:r>
        <w:rPr>
          <w:rFonts w:cs="Times New Roman" w:hint="eastAsia"/>
          <w:sz w:val="21"/>
          <w:szCs w:val="21"/>
        </w:rPr>
        <w:t>生产用</w:t>
      </w:r>
      <w:r>
        <w:rPr>
          <w:rFonts w:cs="Times New Roman"/>
          <w:sz w:val="21"/>
          <w:szCs w:val="21"/>
        </w:rPr>
        <w:t>原材料，并应以合理使用材料和节约</w:t>
      </w:r>
      <w:r>
        <w:rPr>
          <w:rFonts w:cs="Times New Roman" w:hint="eastAsia"/>
          <w:sz w:val="21"/>
          <w:szCs w:val="21"/>
        </w:rPr>
        <w:t>水泥，低碳、环保</w:t>
      </w:r>
      <w:r>
        <w:rPr>
          <w:rFonts w:cs="Times New Roman"/>
          <w:sz w:val="21"/>
          <w:szCs w:val="21"/>
        </w:rPr>
        <w:t>为原则。</w:t>
      </w:r>
      <w:r>
        <w:rPr>
          <w:rFonts w:cs="Times New Roman" w:hint="eastAsia"/>
          <w:sz w:val="21"/>
          <w:szCs w:val="21"/>
        </w:rPr>
        <w:t>与普通混凝土相比，黄河超细砂混凝土采用的是机制砂与黄河超细砂的混合砂，因此，与其他混凝土相比，黄河超细砂混凝土用砂的品种更多，不同品种砂的级配、</w:t>
      </w:r>
      <w:r>
        <w:rPr>
          <w:rFonts w:cs="Times New Roman" w:hint="eastAsia"/>
          <w:sz w:val="21"/>
          <w:szCs w:val="21"/>
        </w:rPr>
        <w:t>MB</w:t>
      </w:r>
      <w:r>
        <w:rPr>
          <w:rFonts w:cs="Times New Roman" w:hint="eastAsia"/>
          <w:sz w:val="21"/>
          <w:szCs w:val="21"/>
        </w:rPr>
        <w:t>值等指标不同，</w:t>
      </w:r>
      <w:r>
        <w:rPr>
          <w:rFonts w:cs="Times New Roman"/>
          <w:sz w:val="21"/>
          <w:szCs w:val="21"/>
        </w:rPr>
        <w:t>多种骨料配制</w:t>
      </w:r>
      <w:r>
        <w:rPr>
          <w:rFonts w:cs="Times New Roman" w:hint="eastAsia"/>
          <w:sz w:val="21"/>
          <w:szCs w:val="21"/>
        </w:rPr>
        <w:t>黄河超细砂混凝土</w:t>
      </w:r>
      <w:r>
        <w:rPr>
          <w:rFonts w:cs="Times New Roman"/>
          <w:sz w:val="21"/>
          <w:szCs w:val="21"/>
        </w:rPr>
        <w:t>情况相对复杂，影响因素</w:t>
      </w:r>
      <w:r>
        <w:rPr>
          <w:rFonts w:cs="Times New Roman" w:hint="eastAsia"/>
          <w:sz w:val="21"/>
          <w:szCs w:val="21"/>
        </w:rPr>
        <w:t>更</w:t>
      </w:r>
      <w:r>
        <w:rPr>
          <w:rFonts w:cs="Times New Roman"/>
          <w:sz w:val="21"/>
          <w:szCs w:val="21"/>
        </w:rPr>
        <w:t>多，故掺用的比例应通过试验确定。</w:t>
      </w:r>
    </w:p>
    <w:p w:rsidR="00ED5264" w:rsidRDefault="00B65917">
      <w:pPr>
        <w:pStyle w:val="affc"/>
        <w:rPr>
          <w:rFonts w:cs="Times New Roman"/>
          <w:sz w:val="21"/>
          <w:szCs w:val="21"/>
        </w:rPr>
      </w:pPr>
      <w:r>
        <w:rPr>
          <w:rFonts w:cs="Times New Roman"/>
          <w:b/>
          <w:sz w:val="21"/>
          <w:szCs w:val="21"/>
        </w:rPr>
        <w:t>6.1.3</w:t>
      </w:r>
      <w:r>
        <w:rPr>
          <w:rFonts w:cs="Times New Roman"/>
          <w:sz w:val="21"/>
          <w:szCs w:val="21"/>
        </w:rPr>
        <w:t xml:space="preserve">  </w:t>
      </w:r>
      <w:r>
        <w:rPr>
          <w:rFonts w:cs="Times New Roman"/>
          <w:sz w:val="21"/>
          <w:szCs w:val="21"/>
        </w:rPr>
        <w:t>化学外加剂和掺和料品种很多，性能各异。其品种与掺量会对水泥适应性的产生影响，因此，为了保证</w:t>
      </w:r>
      <w:r>
        <w:rPr>
          <w:rFonts w:cs="Times New Roman" w:hint="eastAsia"/>
          <w:sz w:val="21"/>
          <w:szCs w:val="21"/>
        </w:rPr>
        <w:t>黄河超细砂混凝土</w:t>
      </w:r>
      <w:r>
        <w:rPr>
          <w:rFonts w:cs="Times New Roman"/>
          <w:sz w:val="21"/>
          <w:szCs w:val="21"/>
        </w:rPr>
        <w:t>的</w:t>
      </w:r>
      <w:r>
        <w:rPr>
          <w:rFonts w:cs="Times New Roman" w:hint="eastAsia"/>
          <w:sz w:val="21"/>
          <w:szCs w:val="21"/>
        </w:rPr>
        <w:t>性能与</w:t>
      </w:r>
      <w:r>
        <w:rPr>
          <w:rFonts w:cs="Times New Roman"/>
          <w:sz w:val="21"/>
          <w:szCs w:val="21"/>
        </w:rPr>
        <w:t>质量，特制定本条文。</w:t>
      </w:r>
    </w:p>
    <w:p w:rsidR="00ED5264" w:rsidRDefault="00B65917">
      <w:pPr>
        <w:spacing w:beforeLines="100" w:before="312" w:afterLines="100" w:after="312" w:line="300" w:lineRule="auto"/>
        <w:jc w:val="center"/>
        <w:outlineLvl w:val="1"/>
        <w:rPr>
          <w:b/>
          <w:bCs/>
          <w:sz w:val="24"/>
          <w:szCs w:val="24"/>
        </w:rPr>
      </w:pPr>
      <w:bookmarkStart w:id="761" w:name="_Toc486247938"/>
      <w:bookmarkStart w:id="762" w:name="_Toc481589633"/>
      <w:bookmarkStart w:id="763" w:name="_Toc22895683"/>
      <w:bookmarkStart w:id="764" w:name="_Toc23260558"/>
      <w:bookmarkStart w:id="765" w:name="_Toc509849370"/>
      <w:bookmarkStart w:id="766" w:name="_Toc25912883"/>
      <w:bookmarkStart w:id="767" w:name="_Toc17842"/>
      <w:bookmarkStart w:id="768" w:name="_Toc509849573"/>
      <w:bookmarkStart w:id="769" w:name="_Toc472351505"/>
      <w:bookmarkStart w:id="770" w:name="_Toc28539"/>
      <w:bookmarkStart w:id="771" w:name="_Toc481589737"/>
      <w:bookmarkStart w:id="772" w:name="_Toc481589841"/>
      <w:bookmarkStart w:id="773" w:name="_Toc2331"/>
      <w:bookmarkStart w:id="774" w:name="_Toc22230"/>
      <w:bookmarkStart w:id="775" w:name="_Toc481586538"/>
      <w:bookmarkStart w:id="776" w:name="_Toc23260887"/>
      <w:bookmarkStart w:id="777" w:name="_Toc20183"/>
      <w:bookmarkStart w:id="778" w:name="_Toc5018"/>
      <w:bookmarkStart w:id="779" w:name="_Toc29560"/>
      <w:r>
        <w:rPr>
          <w:b/>
          <w:bCs/>
          <w:sz w:val="24"/>
          <w:szCs w:val="24"/>
        </w:rPr>
        <w:t xml:space="preserve">6.2 </w:t>
      </w:r>
      <w:bookmarkEnd w:id="761"/>
      <w:bookmarkEnd w:id="762"/>
      <w:bookmarkEnd w:id="763"/>
      <w:bookmarkEnd w:id="764"/>
      <w:bookmarkEnd w:id="765"/>
      <w:bookmarkEnd w:id="766"/>
      <w:bookmarkEnd w:id="767"/>
      <w:bookmarkEnd w:id="768"/>
      <w:bookmarkEnd w:id="769"/>
      <w:bookmarkEnd w:id="770"/>
      <w:bookmarkEnd w:id="771"/>
      <w:bookmarkEnd w:id="772"/>
      <w:bookmarkEnd w:id="773"/>
      <w:bookmarkEnd w:id="774"/>
      <w:bookmarkEnd w:id="775"/>
      <w:bookmarkEnd w:id="776"/>
      <w:r>
        <w:rPr>
          <w:rFonts w:hint="eastAsia"/>
          <w:b/>
          <w:bCs/>
          <w:sz w:val="24"/>
          <w:szCs w:val="24"/>
        </w:rPr>
        <w:t>配合比计算</w:t>
      </w:r>
      <w:bookmarkEnd w:id="777"/>
      <w:bookmarkEnd w:id="778"/>
      <w:bookmarkEnd w:id="779"/>
    </w:p>
    <w:p w:rsidR="00ED5264" w:rsidRDefault="00B65917">
      <w:pPr>
        <w:pStyle w:val="affc"/>
        <w:rPr>
          <w:rFonts w:cs="Times New Roman"/>
          <w:sz w:val="21"/>
          <w:szCs w:val="21"/>
        </w:rPr>
      </w:pPr>
      <w:r>
        <w:rPr>
          <w:rFonts w:cs="Times New Roman"/>
          <w:b/>
          <w:bCs/>
          <w:sz w:val="21"/>
          <w:szCs w:val="21"/>
        </w:rPr>
        <w:t>6.2.1</w:t>
      </w:r>
      <w:r>
        <w:rPr>
          <w:rFonts w:cs="Times New Roman"/>
          <w:sz w:val="21"/>
          <w:szCs w:val="21"/>
        </w:rPr>
        <w:t xml:space="preserve">  </w:t>
      </w:r>
      <w:r>
        <w:rPr>
          <w:rFonts w:cs="Times New Roman"/>
          <w:sz w:val="21"/>
          <w:szCs w:val="21"/>
        </w:rPr>
        <w:t>本条文</w:t>
      </w:r>
      <w:r>
        <w:rPr>
          <w:rFonts w:cs="Times New Roman" w:hint="eastAsia"/>
          <w:sz w:val="21"/>
          <w:szCs w:val="21"/>
        </w:rPr>
        <w:t>提供了已知机制砂和黄河超细砂细度模数的情况下，为混合成目标细度模数的黄河超细砂混合砂，所需要黄河超细砂混合砂中超细砂的掺合比例的计算公式</w:t>
      </w:r>
      <w:r>
        <w:rPr>
          <w:rFonts w:cs="Times New Roman"/>
          <w:sz w:val="21"/>
          <w:szCs w:val="21"/>
        </w:rPr>
        <w:t>。</w:t>
      </w:r>
    </w:p>
    <w:p w:rsidR="00ED5264" w:rsidRDefault="00B65917">
      <w:pPr>
        <w:pStyle w:val="affc"/>
        <w:rPr>
          <w:rFonts w:cs="Times New Roman"/>
          <w:sz w:val="21"/>
          <w:szCs w:val="21"/>
        </w:rPr>
      </w:pPr>
      <w:r>
        <w:rPr>
          <w:rFonts w:cs="Times New Roman"/>
          <w:b/>
          <w:bCs/>
          <w:sz w:val="21"/>
          <w:szCs w:val="21"/>
        </w:rPr>
        <w:t>6.2.</w:t>
      </w:r>
      <w:r>
        <w:rPr>
          <w:rFonts w:cs="Times New Roman" w:hint="eastAsia"/>
          <w:b/>
          <w:bCs/>
          <w:sz w:val="21"/>
          <w:szCs w:val="21"/>
        </w:rPr>
        <w:t>2</w:t>
      </w:r>
      <w:r>
        <w:rPr>
          <w:rFonts w:cs="Times New Roman"/>
          <w:sz w:val="21"/>
          <w:szCs w:val="21"/>
        </w:rPr>
        <w:t xml:space="preserve">  </w:t>
      </w:r>
      <w:r>
        <w:rPr>
          <w:rFonts w:cs="Times New Roman"/>
          <w:sz w:val="21"/>
          <w:szCs w:val="21"/>
        </w:rPr>
        <w:t>本条文</w:t>
      </w:r>
      <w:r>
        <w:rPr>
          <w:rFonts w:cs="Times New Roman" w:hint="eastAsia"/>
          <w:sz w:val="21"/>
          <w:szCs w:val="21"/>
        </w:rPr>
        <w:t>提供了已知机制砂和黄河超细砂细度模数的情况下，通过不同掺配比例推算出的黄河超细砂混合砂细度模数的计算公式</w:t>
      </w:r>
      <w:r>
        <w:rPr>
          <w:rFonts w:cs="Times New Roman"/>
          <w:sz w:val="21"/>
          <w:szCs w:val="21"/>
        </w:rPr>
        <w:t>。</w:t>
      </w:r>
      <w:r>
        <w:rPr>
          <w:rFonts w:cs="Times New Roman" w:hint="eastAsia"/>
          <w:sz w:val="21"/>
          <w:szCs w:val="21"/>
        </w:rPr>
        <w:t>由于推算值和实际值吻合度存在一定的差异，实际应用过程中，宜将两者按比例混合后测试两者混合后的细度模数作为最终的混合砂细度模数实际值。</w:t>
      </w:r>
    </w:p>
    <w:p w:rsidR="00ED5264" w:rsidRDefault="00ED5264">
      <w:pPr>
        <w:pStyle w:val="affc"/>
        <w:rPr>
          <w:rFonts w:cs="Times New Roman"/>
          <w:sz w:val="21"/>
          <w:szCs w:val="21"/>
        </w:rPr>
      </w:pPr>
    </w:p>
    <w:p w:rsidR="00ED5264" w:rsidRDefault="00B65917">
      <w:pPr>
        <w:spacing w:beforeLines="100" w:before="312" w:afterLines="100" w:after="312" w:line="300" w:lineRule="auto"/>
        <w:jc w:val="center"/>
        <w:outlineLvl w:val="1"/>
        <w:rPr>
          <w:b/>
          <w:bCs/>
          <w:sz w:val="24"/>
          <w:szCs w:val="24"/>
        </w:rPr>
      </w:pPr>
      <w:bookmarkStart w:id="780" w:name="_Toc21673"/>
      <w:bookmarkStart w:id="781" w:name="_Toc11379"/>
      <w:bookmarkStart w:id="782" w:name="_Toc11987"/>
      <w:r>
        <w:rPr>
          <w:b/>
          <w:bCs/>
          <w:sz w:val="24"/>
          <w:szCs w:val="24"/>
        </w:rPr>
        <w:t xml:space="preserve">6.3  </w:t>
      </w:r>
      <w:r>
        <w:rPr>
          <w:b/>
          <w:bCs/>
          <w:sz w:val="24"/>
          <w:szCs w:val="24"/>
        </w:rPr>
        <w:t>配合比设计参数选择</w:t>
      </w:r>
      <w:bookmarkEnd w:id="780"/>
      <w:bookmarkEnd w:id="781"/>
      <w:bookmarkEnd w:id="782"/>
    </w:p>
    <w:p w:rsidR="00ED5264" w:rsidRDefault="00B65917">
      <w:pPr>
        <w:pStyle w:val="af3"/>
        <w:spacing w:line="360" w:lineRule="auto"/>
        <w:rPr>
          <w:rFonts w:ascii="Times New Roman" w:hAnsi="Times New Roman"/>
        </w:rPr>
      </w:pPr>
      <w:r>
        <w:rPr>
          <w:rFonts w:ascii="Times New Roman" w:hAnsi="Times New Roman"/>
          <w:b/>
        </w:rPr>
        <w:t>6.3.1</w:t>
      </w:r>
      <w:r>
        <w:rPr>
          <w:rFonts w:ascii="Times New Roman" w:hAnsi="Times New Roman"/>
        </w:rPr>
        <w:t xml:space="preserve">  </w:t>
      </w:r>
      <w:r>
        <w:rPr>
          <w:rFonts w:ascii="Times New Roman" w:hAnsi="Times New Roman" w:hint="eastAsia"/>
        </w:rPr>
        <w:t>本条</w:t>
      </w:r>
      <w:r>
        <w:rPr>
          <w:rFonts w:ascii="Times New Roman" w:hAnsi="Times New Roman" w:hint="eastAsia"/>
        </w:rPr>
        <w:t>规定了黄河超细砂</w:t>
      </w:r>
      <w:r>
        <w:rPr>
          <w:rFonts w:ascii="Times New Roman" w:hAnsi="Times New Roman"/>
        </w:rPr>
        <w:t>混凝土的</w:t>
      </w:r>
      <w:r>
        <w:rPr>
          <w:rFonts w:ascii="Times New Roman" w:hAnsi="Times New Roman" w:hint="eastAsia"/>
        </w:rPr>
        <w:t>黄河超细砂掺量及配合比</w:t>
      </w:r>
      <w:r>
        <w:rPr>
          <w:rFonts w:ascii="Times New Roman" w:hAnsi="Times New Roman"/>
        </w:rPr>
        <w:t>。</w:t>
      </w:r>
      <w:r>
        <w:rPr>
          <w:rFonts w:ascii="Times New Roman" w:hAnsi="Times New Roman" w:hint="eastAsia"/>
        </w:rPr>
        <w:t>调研发现，国标和行标的混凝土设计标准中未有对不同结构部位混凝土抗裂等级的划分。部分地方标准中提出了不同结构部位混凝土的抗裂等级要求，如，《轨道交通及隧道工程混凝土结构耐久性设计施工技术标准》</w:t>
      </w:r>
      <w:r>
        <w:rPr>
          <w:rFonts w:ascii="Times New Roman" w:hAnsi="Times New Roman" w:hint="eastAsia"/>
        </w:rPr>
        <w:t>DG/T J08-2128-2021</w:t>
      </w:r>
      <w:r>
        <w:rPr>
          <w:rFonts w:ascii="Times New Roman" w:hAnsi="Times New Roman" w:hint="eastAsia"/>
        </w:rPr>
        <w:t>提出，轨道交通的盾构法管片和顶管法管节混凝土的抗裂等级不宜低于</w:t>
      </w:r>
      <w:r>
        <w:rPr>
          <w:rFonts w:ascii="Times New Roman" w:hAnsi="Times New Roman" w:hint="eastAsia"/>
        </w:rPr>
        <w:t>L-</w:t>
      </w:r>
      <w:r>
        <w:rPr>
          <w:rFonts w:ascii="Times New Roman" w:hAnsi="Times New Roman" w:hint="eastAsia"/>
        </w:rPr>
        <w:fldChar w:fldCharType="begin"/>
      </w:r>
      <w:r>
        <w:rPr>
          <w:rFonts w:ascii="Times New Roman" w:hAnsi="Times New Roman" w:hint="eastAsia"/>
        </w:rPr>
        <w:instrText xml:space="preserve"> = 5 \* ROMAN \* MERGEFORMAT </w:instrText>
      </w:r>
      <w:r>
        <w:rPr>
          <w:rFonts w:ascii="Times New Roman" w:hAnsi="Times New Roman" w:hint="eastAsia"/>
        </w:rPr>
        <w:fldChar w:fldCharType="separate"/>
      </w:r>
      <w:r>
        <w:rPr>
          <w:rFonts w:ascii="Times New Roman" w:hAnsi="Times New Roman" w:hint="eastAsia"/>
        </w:rPr>
        <w:t>V</w:t>
      </w:r>
      <w:r>
        <w:rPr>
          <w:rFonts w:ascii="Times New Roman" w:hAnsi="Times New Roman" w:hint="eastAsia"/>
        </w:rPr>
        <w:fldChar w:fldCharType="end"/>
      </w:r>
      <w:r>
        <w:rPr>
          <w:rFonts w:ascii="Times New Roman" w:hAnsi="Times New Roman" w:hint="eastAsia"/>
        </w:rPr>
        <w:t>，其他结构不宜低于</w:t>
      </w:r>
      <w:r>
        <w:rPr>
          <w:rFonts w:ascii="Times New Roman" w:hAnsi="Times New Roman" w:hint="eastAsia"/>
        </w:rPr>
        <w:t>L-</w:t>
      </w:r>
      <w:r>
        <w:rPr>
          <w:rFonts w:ascii="Times New Roman" w:hAnsi="Times New Roman"/>
        </w:rPr>
        <w:t>Ⅳ</w:t>
      </w:r>
      <w:r>
        <w:rPr>
          <w:rFonts w:ascii="Times New Roman" w:hAnsi="Times New Roman" w:hint="eastAsia"/>
        </w:rPr>
        <w:t>。《高性能混凝土应用技术标准》</w:t>
      </w:r>
      <w:r>
        <w:rPr>
          <w:rFonts w:ascii="Times New Roman" w:hAnsi="Times New Roman" w:hint="eastAsia"/>
        </w:rPr>
        <w:t>DBJ50/T-389-2021</w:t>
      </w:r>
      <w:r>
        <w:rPr>
          <w:rFonts w:ascii="Times New Roman" w:hAnsi="Times New Roman" w:hint="eastAsia"/>
        </w:rPr>
        <w:t>提出，高性能混凝土抗裂等级不宜低于</w:t>
      </w:r>
      <w:r>
        <w:rPr>
          <w:rFonts w:ascii="Times New Roman" w:hAnsi="Times New Roman" w:hint="eastAsia"/>
        </w:rPr>
        <w:t>L-</w:t>
      </w:r>
      <w:r>
        <w:rPr>
          <w:rFonts w:ascii="Times New Roman" w:hAnsi="Times New Roman" w:hint="eastAsia"/>
        </w:rPr>
        <w:t>Ⅲ，《城市综合管廊结构混凝土应用技术规程》</w:t>
      </w:r>
      <w:r>
        <w:rPr>
          <w:rFonts w:ascii="Times New Roman" w:hAnsi="Times New Roman" w:hint="eastAsia"/>
        </w:rPr>
        <w:lastRenderedPageBreak/>
        <w:t>T/CBMF 90-2020</w:t>
      </w:r>
      <w:r>
        <w:rPr>
          <w:rFonts w:ascii="Times New Roman" w:hAnsi="Times New Roman" w:hint="eastAsia"/>
        </w:rPr>
        <w:t>中规定了混凝土的抗裂等级不宜低于</w:t>
      </w:r>
      <w:r>
        <w:rPr>
          <w:rFonts w:ascii="Times New Roman" w:hAnsi="Times New Roman" w:hint="eastAsia"/>
        </w:rPr>
        <w:t>L-</w:t>
      </w:r>
      <w:r>
        <w:rPr>
          <w:rFonts w:ascii="Times New Roman" w:hAnsi="Times New Roman"/>
        </w:rPr>
        <w:t>Ⅳ</w:t>
      </w:r>
      <w:r>
        <w:rPr>
          <w:rFonts w:ascii="Times New Roman" w:hAnsi="Times New Roman" w:hint="eastAsia"/>
        </w:rPr>
        <w:t>。</w:t>
      </w:r>
      <w:r>
        <w:rPr>
          <w:rFonts w:ascii="Times New Roman" w:hAnsi="Times New Roman" w:hint="eastAsia"/>
        </w:rPr>
        <w:t>考虑到上述标准对部分混凝土结构抗裂性能提出了更高的要求，为确保黄河超细砂混凝土在上述相关混凝土结构中的应用，结合验证试验结果，提出了不同抗裂等级下黄河超细砂混凝土中黄河超细砂的掺量和配合比参数要求。</w:t>
      </w:r>
    </w:p>
    <w:p w:rsidR="00ED5264" w:rsidRDefault="00B65917">
      <w:pPr>
        <w:pStyle w:val="af3"/>
        <w:spacing w:line="360" w:lineRule="auto"/>
        <w:rPr>
          <w:rFonts w:ascii="Times New Roman" w:hAnsi="Times New Roman"/>
        </w:rPr>
      </w:pPr>
      <w:r>
        <w:rPr>
          <w:rFonts w:ascii="Times New Roman" w:hAnsi="Times New Roman"/>
          <w:b/>
        </w:rPr>
        <w:t>6.3.</w:t>
      </w:r>
      <w:r>
        <w:rPr>
          <w:rFonts w:ascii="Times New Roman" w:hAnsi="Times New Roman" w:hint="eastAsia"/>
          <w:b/>
        </w:rPr>
        <w:t>2</w:t>
      </w:r>
      <w:r>
        <w:rPr>
          <w:rFonts w:ascii="Times New Roman" w:hAnsi="Times New Roman" w:hint="eastAsia"/>
        </w:rPr>
        <w:t xml:space="preserve"> </w:t>
      </w:r>
      <w:r>
        <w:rPr>
          <w:rFonts w:ascii="Times New Roman" w:hAnsi="Times New Roman" w:hint="eastAsia"/>
        </w:rPr>
        <w:t>本条规定了黄河超细砂混凝土中</w:t>
      </w:r>
      <w:r>
        <w:rPr>
          <w:rFonts w:ascii="Times New Roman" w:hAnsi="Times New Roman"/>
        </w:rPr>
        <w:t>矿物掺合料的</w:t>
      </w:r>
      <w:r>
        <w:rPr>
          <w:rFonts w:ascii="Times New Roman" w:hAnsi="Times New Roman" w:hint="eastAsia"/>
        </w:rPr>
        <w:t>种类及掺量</w:t>
      </w:r>
      <w:r>
        <w:rPr>
          <w:rFonts w:ascii="Times New Roman" w:hAnsi="Times New Roman" w:hint="eastAsia"/>
        </w:rPr>
        <w:t>，</w:t>
      </w:r>
      <w:r>
        <w:rPr>
          <w:rFonts w:ascii="Times New Roman" w:hAnsi="Times New Roman" w:hint="eastAsia"/>
        </w:rPr>
        <w:t>与其他混凝土一样，黄河超细砂混凝土可掺</w:t>
      </w:r>
      <w:r>
        <w:rPr>
          <w:rFonts w:ascii="Times New Roman" w:hAnsi="Times New Roman" w:hint="eastAsia"/>
        </w:rPr>
        <w:t>用一定量的矿物掺合料，</w:t>
      </w:r>
      <w:r>
        <w:rPr>
          <w:rFonts w:ascii="Times New Roman" w:hAnsi="Times New Roman"/>
        </w:rPr>
        <w:t>矿物掺合料的最大掺量应符合</w:t>
      </w:r>
      <w:r>
        <w:rPr>
          <w:rFonts w:ascii="Times New Roman" w:hAnsi="Times New Roman" w:hint="eastAsia"/>
        </w:rPr>
        <w:t>现行国家</w:t>
      </w:r>
      <w:r>
        <w:rPr>
          <w:rFonts w:ascii="Times New Roman" w:hAnsi="Times New Roman"/>
        </w:rPr>
        <w:t>标准《</w:t>
      </w:r>
      <w:r>
        <w:rPr>
          <w:rFonts w:ascii="Times New Roman" w:hAnsi="Times New Roman" w:hint="eastAsia"/>
        </w:rPr>
        <w:t>高性能混凝土技术条件</w:t>
      </w:r>
      <w:r>
        <w:rPr>
          <w:rFonts w:ascii="Times New Roman" w:hAnsi="Times New Roman"/>
        </w:rPr>
        <w:t>》</w:t>
      </w:r>
      <w:r>
        <w:rPr>
          <w:rFonts w:ascii="Times New Roman" w:hAnsi="Times New Roman"/>
        </w:rPr>
        <w:t>GB/T 41054</w:t>
      </w:r>
      <w:r>
        <w:rPr>
          <w:rFonts w:ascii="Times New Roman" w:hAnsi="Times New Roman"/>
        </w:rPr>
        <w:t>的规定。</w:t>
      </w:r>
    </w:p>
    <w:p w:rsidR="00ED5264" w:rsidRDefault="00B65917">
      <w:pPr>
        <w:topLinePunct/>
        <w:adjustRightInd w:val="0"/>
        <w:spacing w:before="156" w:line="360" w:lineRule="auto"/>
      </w:pPr>
      <w:r>
        <w:rPr>
          <w:b/>
        </w:rPr>
        <w:t>6.3.</w:t>
      </w:r>
      <w:r>
        <w:rPr>
          <w:rFonts w:hint="eastAsia"/>
          <w:b/>
        </w:rPr>
        <w:t>3</w:t>
      </w:r>
      <w:bookmarkStart w:id="783" w:name="OLE_LINK30"/>
      <w:r>
        <w:rPr>
          <w:rFonts w:hint="eastAsia"/>
        </w:rPr>
        <w:t xml:space="preserve"> </w:t>
      </w:r>
      <w:r>
        <w:rPr>
          <w:rFonts w:hint="eastAsia"/>
        </w:rPr>
        <w:t>本条规定了黄河超细砂混凝土</w:t>
      </w:r>
      <w:r>
        <w:rPr>
          <w:rFonts w:hint="eastAsia"/>
        </w:rPr>
        <w:t>的砂率</w:t>
      </w:r>
      <w:bookmarkEnd w:id="783"/>
      <w:r>
        <w:rPr>
          <w:rFonts w:hint="eastAsia"/>
        </w:rPr>
        <w:t>，黄河超细砂</w:t>
      </w:r>
      <w:r>
        <w:t>混凝土的砂率应经试验确定</w:t>
      </w:r>
      <w:r>
        <w:rPr>
          <w:rFonts w:hint="eastAsia"/>
        </w:rPr>
        <w:t>，</w:t>
      </w:r>
      <w:r>
        <w:rPr>
          <w:rFonts w:hint="eastAsia"/>
        </w:rPr>
        <w:t>在确保混凝土拌合物性能的基础上，宜选用更低的砂率</w:t>
      </w:r>
      <w:r>
        <w:t>。</w:t>
      </w:r>
    </w:p>
    <w:p w:rsidR="00ED5264" w:rsidRDefault="00B65917">
      <w:pPr>
        <w:topLinePunct/>
        <w:adjustRightInd w:val="0"/>
        <w:spacing w:before="156" w:line="360" w:lineRule="auto"/>
      </w:pPr>
      <w:r>
        <w:rPr>
          <w:b/>
        </w:rPr>
        <w:t>6.3.</w:t>
      </w:r>
      <w:r>
        <w:rPr>
          <w:rFonts w:hint="eastAsia"/>
          <w:b/>
        </w:rPr>
        <w:t>4</w:t>
      </w:r>
      <w:r>
        <w:t xml:space="preserve"> </w:t>
      </w:r>
      <w:r>
        <w:rPr>
          <w:rFonts w:hint="eastAsia"/>
        </w:rPr>
        <w:t>本条规定了黄河超细砂</w:t>
      </w:r>
      <w:r>
        <w:rPr>
          <w:rFonts w:hint="eastAsia"/>
        </w:rPr>
        <w:t>的比例度和黄河超细砂混合砂的细度模数。考虑到</w:t>
      </w:r>
      <w:r>
        <w:rPr>
          <w:rFonts w:hint="eastAsia"/>
        </w:rPr>
        <w:t>C50</w:t>
      </w:r>
      <w:r>
        <w:rPr>
          <w:rFonts w:hint="eastAsia"/>
        </w:rPr>
        <w:t>、</w:t>
      </w:r>
      <w:r>
        <w:rPr>
          <w:rFonts w:hint="eastAsia"/>
        </w:rPr>
        <w:t>C55</w:t>
      </w:r>
      <w:r>
        <w:rPr>
          <w:rFonts w:hint="eastAsia"/>
        </w:rPr>
        <w:t>和</w:t>
      </w:r>
      <w:r>
        <w:rPr>
          <w:rFonts w:hint="eastAsia"/>
        </w:rPr>
        <w:t>C60</w:t>
      </w:r>
      <w:r>
        <w:rPr>
          <w:rFonts w:hint="eastAsia"/>
        </w:rPr>
        <w:t>混凝土相对较高的强度等级、相对较多的胶凝材料用量和较大的收缩值和更高的开裂风险，对黄河超细砂的细度进行控制，经调研和试验验证，建议用比粒度不宜大于</w:t>
      </w:r>
      <w:r>
        <w:rPr>
          <w:rFonts w:hint="eastAsia"/>
        </w:rPr>
        <w:t>2600</w:t>
      </w:r>
      <w:r>
        <w:rPr>
          <w:rFonts w:hint="eastAsia"/>
        </w:rPr>
        <w:t>的略粗的</w:t>
      </w:r>
      <w:r>
        <w:rPr>
          <w:rFonts w:hint="eastAsia"/>
        </w:rPr>
        <w:t>黄河超细砂，为控制砂率，建议采用</w:t>
      </w:r>
      <w:r>
        <w:t>细度模数宜为</w:t>
      </w:r>
      <w:r>
        <w:t>2.3~3.</w:t>
      </w:r>
      <w:r>
        <w:rPr>
          <w:rFonts w:hint="eastAsia"/>
        </w:rPr>
        <w:t>0</w:t>
      </w:r>
      <w:r>
        <w:rPr>
          <w:rFonts w:hint="eastAsia"/>
        </w:rPr>
        <w:t>的中砂。</w:t>
      </w:r>
    </w:p>
    <w:p w:rsidR="00ED5264" w:rsidRDefault="00ED5264">
      <w:pPr>
        <w:pStyle w:val="af3"/>
        <w:spacing w:line="360" w:lineRule="auto"/>
        <w:rPr>
          <w:rFonts w:ascii="Times New Roman" w:hAnsi="Times New Roman"/>
        </w:rPr>
      </w:pPr>
    </w:p>
    <w:p w:rsidR="00ED5264" w:rsidRDefault="00B65917">
      <w:pPr>
        <w:pStyle w:val="aff4"/>
        <w:spacing w:before="312" w:after="312"/>
        <w:rPr>
          <w:sz w:val="30"/>
          <w:szCs w:val="22"/>
        </w:rPr>
      </w:pPr>
      <w:r>
        <w:rPr>
          <w:b w:val="0"/>
          <w:bCs w:val="0"/>
          <w:sz w:val="21"/>
          <w:szCs w:val="21"/>
        </w:rPr>
        <w:br w:type="page"/>
      </w:r>
      <w:bookmarkStart w:id="784" w:name="_Toc22895687"/>
      <w:bookmarkStart w:id="785" w:name="_Toc481589863"/>
      <w:bookmarkStart w:id="786" w:name="_Toc481589759"/>
      <w:bookmarkStart w:id="787" w:name="_Toc762"/>
      <w:bookmarkStart w:id="788" w:name="_Toc23260891"/>
      <w:bookmarkStart w:id="789" w:name="_Toc481586560"/>
      <w:bookmarkStart w:id="790" w:name="_Toc31826"/>
      <w:bookmarkStart w:id="791" w:name="_Toc25912886"/>
      <w:bookmarkStart w:id="792" w:name="_Toc12808"/>
      <w:bookmarkStart w:id="793" w:name="_Toc509849595"/>
      <w:bookmarkStart w:id="794" w:name="_Toc22774"/>
      <w:bookmarkStart w:id="795" w:name="_Toc509849392"/>
      <w:bookmarkStart w:id="796" w:name="_Toc22862"/>
      <w:bookmarkStart w:id="797" w:name="_Toc472351527"/>
      <w:bookmarkStart w:id="798" w:name="_Toc27632"/>
      <w:bookmarkStart w:id="799" w:name="_Toc23260562"/>
      <w:bookmarkStart w:id="800" w:name="_Toc24935"/>
      <w:bookmarkStart w:id="801" w:name="_Toc486247964"/>
      <w:bookmarkStart w:id="802" w:name="_Toc481589655"/>
      <w:r>
        <w:lastRenderedPageBreak/>
        <w:t xml:space="preserve">7  </w:t>
      </w:r>
      <w:r>
        <w:t>生产与施工</w:t>
      </w:r>
      <w:bookmarkEnd w:id="784"/>
      <w:bookmarkEnd w:id="785"/>
      <w:bookmarkEnd w:id="786"/>
      <w:bookmarkEnd w:id="787"/>
      <w:bookmarkEnd w:id="788"/>
      <w:bookmarkEnd w:id="789"/>
      <w:bookmarkEnd w:id="790"/>
      <w:bookmarkEnd w:id="791"/>
      <w:bookmarkEnd w:id="792"/>
      <w:bookmarkEnd w:id="793"/>
      <w:bookmarkEnd w:id="794"/>
      <w:bookmarkEnd w:id="795"/>
      <w:bookmarkEnd w:id="796"/>
      <w:bookmarkEnd w:id="797"/>
      <w:bookmarkEnd w:id="798"/>
      <w:bookmarkEnd w:id="799"/>
      <w:bookmarkEnd w:id="800"/>
      <w:bookmarkEnd w:id="801"/>
      <w:bookmarkEnd w:id="802"/>
    </w:p>
    <w:p w:rsidR="00ED5264" w:rsidRDefault="00B65917">
      <w:pPr>
        <w:spacing w:beforeLines="100" w:before="312" w:afterLines="100" w:after="312"/>
        <w:jc w:val="center"/>
        <w:outlineLvl w:val="1"/>
        <w:rPr>
          <w:b/>
          <w:bCs/>
          <w:sz w:val="24"/>
          <w:szCs w:val="24"/>
        </w:rPr>
      </w:pPr>
      <w:bookmarkStart w:id="803" w:name="_Toc20574"/>
      <w:bookmarkStart w:id="804" w:name="_Toc481586561"/>
      <w:bookmarkStart w:id="805" w:name="_Toc22895688"/>
      <w:bookmarkStart w:id="806" w:name="_Toc25767"/>
      <w:bookmarkStart w:id="807" w:name="_Toc18973"/>
      <w:bookmarkStart w:id="808" w:name="_Toc23260892"/>
      <w:bookmarkStart w:id="809" w:name="_Toc509849596"/>
      <w:bookmarkStart w:id="810" w:name="_Toc481589760"/>
      <w:bookmarkStart w:id="811" w:name="_Toc472351528"/>
      <w:bookmarkStart w:id="812" w:name="_Toc6954"/>
      <w:bookmarkStart w:id="813" w:name="_Toc18227"/>
      <w:bookmarkStart w:id="814" w:name="_Toc23260563"/>
      <w:bookmarkStart w:id="815" w:name="_Toc486247965"/>
      <w:bookmarkStart w:id="816" w:name="_Toc481589864"/>
      <w:bookmarkStart w:id="817" w:name="_Toc509849393"/>
      <w:bookmarkStart w:id="818" w:name="_Toc15267"/>
      <w:bookmarkStart w:id="819" w:name="_Toc25912887"/>
      <w:bookmarkStart w:id="820" w:name="_Toc14482"/>
      <w:bookmarkStart w:id="821" w:name="_Toc481589656"/>
      <w:r>
        <w:rPr>
          <w:b/>
          <w:bCs/>
          <w:sz w:val="24"/>
          <w:szCs w:val="24"/>
        </w:rPr>
        <w:t xml:space="preserve">7.1  </w:t>
      </w:r>
      <w:r>
        <w:rPr>
          <w:b/>
          <w:bCs/>
          <w:sz w:val="24"/>
          <w:szCs w:val="24"/>
        </w:rPr>
        <w:t>一般规定</w:t>
      </w:r>
      <w:bookmarkEnd w:id="803"/>
      <w:bookmarkEnd w:id="804"/>
      <w:bookmarkEnd w:id="805"/>
      <w:bookmarkEnd w:id="806"/>
      <w:bookmarkEnd w:id="807"/>
      <w:bookmarkEnd w:id="808"/>
      <w:bookmarkEnd w:id="809"/>
      <w:bookmarkEnd w:id="810"/>
      <w:bookmarkEnd w:id="811"/>
      <w:bookmarkEnd w:id="812"/>
      <w:bookmarkEnd w:id="813"/>
      <w:bookmarkEnd w:id="814"/>
      <w:bookmarkEnd w:id="815"/>
      <w:bookmarkEnd w:id="816"/>
      <w:bookmarkEnd w:id="817"/>
      <w:bookmarkEnd w:id="818"/>
      <w:bookmarkEnd w:id="819"/>
      <w:bookmarkEnd w:id="820"/>
      <w:bookmarkEnd w:id="821"/>
    </w:p>
    <w:p w:rsidR="00ED5264" w:rsidRDefault="00B65917">
      <w:pPr>
        <w:pStyle w:val="affc"/>
        <w:rPr>
          <w:rFonts w:cs="Times New Roman"/>
          <w:sz w:val="21"/>
          <w:szCs w:val="21"/>
        </w:rPr>
      </w:pPr>
      <w:r>
        <w:rPr>
          <w:rFonts w:cs="Times New Roman"/>
          <w:b/>
          <w:bCs/>
          <w:sz w:val="21"/>
          <w:szCs w:val="21"/>
        </w:rPr>
        <w:t>7.1.</w:t>
      </w:r>
      <w:r>
        <w:rPr>
          <w:rFonts w:cs="Times New Roman" w:hint="eastAsia"/>
          <w:b/>
          <w:bCs/>
          <w:sz w:val="21"/>
          <w:szCs w:val="21"/>
        </w:rPr>
        <w:t>1</w:t>
      </w:r>
      <w:r>
        <w:rPr>
          <w:rFonts w:cs="Times New Roman"/>
          <w:sz w:val="21"/>
          <w:szCs w:val="21"/>
        </w:rPr>
        <w:t xml:space="preserve">  </w:t>
      </w:r>
      <w:r>
        <w:rPr>
          <w:rFonts w:cs="Times New Roman" w:hint="eastAsia"/>
          <w:sz w:val="21"/>
          <w:szCs w:val="21"/>
        </w:rPr>
        <w:t>黄河超细砂</w:t>
      </w:r>
      <w:r>
        <w:rPr>
          <w:rFonts w:cs="Times New Roman" w:hint="eastAsia"/>
          <w:sz w:val="21"/>
          <w:szCs w:val="21"/>
        </w:rPr>
        <w:t>混凝土生产通常在集中搅拌站按现代预拌商品混凝土的一般生产模式进行</w:t>
      </w:r>
      <w:r>
        <w:rPr>
          <w:rFonts w:cs="Times New Roman" w:hint="eastAsia"/>
          <w:sz w:val="21"/>
          <w:szCs w:val="21"/>
        </w:rPr>
        <w:t>，</w:t>
      </w:r>
      <w:r>
        <w:rPr>
          <w:rFonts w:cs="Times New Roman" w:hint="eastAsia"/>
          <w:sz w:val="21"/>
          <w:szCs w:val="21"/>
        </w:rPr>
        <w:t>所以采用的搅拌站</w:t>
      </w:r>
      <w:r>
        <w:rPr>
          <w:rFonts w:cs="Times New Roman" w:hint="eastAsia"/>
          <w:sz w:val="21"/>
          <w:szCs w:val="21"/>
        </w:rPr>
        <w:t>(</w:t>
      </w:r>
      <w:r>
        <w:rPr>
          <w:rFonts w:cs="Times New Roman" w:hint="eastAsia"/>
          <w:sz w:val="21"/>
          <w:szCs w:val="21"/>
        </w:rPr>
        <w:t>楼</w:t>
      </w:r>
      <w:r>
        <w:rPr>
          <w:rFonts w:cs="Times New Roman" w:hint="eastAsia"/>
          <w:sz w:val="21"/>
          <w:szCs w:val="21"/>
        </w:rPr>
        <w:t>)</w:t>
      </w:r>
      <w:r>
        <w:rPr>
          <w:rFonts w:cs="Times New Roman" w:hint="eastAsia"/>
          <w:sz w:val="21"/>
          <w:szCs w:val="21"/>
        </w:rPr>
        <w:t>应符合现行国家标准《混凝土搅拌站</w:t>
      </w:r>
      <w:r>
        <w:rPr>
          <w:rFonts w:cs="Times New Roman" w:hint="eastAsia"/>
          <w:sz w:val="21"/>
          <w:szCs w:val="21"/>
        </w:rPr>
        <w:t>(</w:t>
      </w:r>
      <w:r>
        <w:rPr>
          <w:rFonts w:cs="Times New Roman" w:hint="eastAsia"/>
          <w:sz w:val="21"/>
          <w:szCs w:val="21"/>
        </w:rPr>
        <w:t>楼</w:t>
      </w:r>
      <w:r>
        <w:rPr>
          <w:rFonts w:cs="Times New Roman" w:hint="eastAsia"/>
          <w:sz w:val="21"/>
          <w:szCs w:val="21"/>
        </w:rPr>
        <w:t>)</w:t>
      </w:r>
      <w:r>
        <w:rPr>
          <w:rFonts w:cs="Times New Roman" w:hint="eastAsia"/>
          <w:sz w:val="21"/>
          <w:szCs w:val="21"/>
        </w:rPr>
        <w:t>》</w:t>
      </w:r>
      <w:r>
        <w:rPr>
          <w:rFonts w:cs="Times New Roman" w:hint="eastAsia"/>
          <w:sz w:val="21"/>
          <w:szCs w:val="21"/>
        </w:rPr>
        <w:t>GB/T 10171</w:t>
      </w:r>
      <w:r>
        <w:rPr>
          <w:rFonts w:cs="Times New Roman" w:hint="eastAsia"/>
          <w:sz w:val="21"/>
          <w:szCs w:val="21"/>
        </w:rPr>
        <w:t>的规定。</w:t>
      </w:r>
    </w:p>
    <w:p w:rsidR="00ED5264" w:rsidRDefault="00B65917">
      <w:pPr>
        <w:pStyle w:val="affc"/>
        <w:rPr>
          <w:rFonts w:cs="Times New Roman"/>
          <w:sz w:val="21"/>
          <w:szCs w:val="21"/>
        </w:rPr>
      </w:pPr>
      <w:r>
        <w:rPr>
          <w:rFonts w:cs="Times New Roman"/>
          <w:b/>
          <w:bCs/>
          <w:sz w:val="21"/>
          <w:szCs w:val="21"/>
        </w:rPr>
        <w:t>7.1.</w:t>
      </w:r>
      <w:r>
        <w:rPr>
          <w:rFonts w:cs="Times New Roman" w:hint="eastAsia"/>
          <w:b/>
          <w:bCs/>
          <w:sz w:val="21"/>
          <w:szCs w:val="21"/>
        </w:rPr>
        <w:t xml:space="preserve">3  </w:t>
      </w:r>
      <w:r>
        <w:rPr>
          <w:rFonts w:cs="Times New Roman" w:hint="eastAsia"/>
          <w:sz w:val="21"/>
          <w:szCs w:val="21"/>
        </w:rPr>
        <w:t>黄河超细砂</w:t>
      </w:r>
      <w:r>
        <w:rPr>
          <w:rFonts w:cs="Times New Roman" w:hint="eastAsia"/>
          <w:sz w:val="21"/>
          <w:szCs w:val="21"/>
        </w:rPr>
        <w:t>混凝土</w:t>
      </w:r>
      <w:r>
        <w:rPr>
          <w:rFonts w:cs="Times New Roman" w:hint="eastAsia"/>
          <w:sz w:val="21"/>
          <w:szCs w:val="21"/>
        </w:rPr>
        <w:t>的生产、施工应与现行其他标准相协调，考虑到黄河超细砂混凝土开裂风险更高，对于开裂性能要求高的混凝土施工，应制定好专项施工方案，加强混凝土养护。</w:t>
      </w:r>
    </w:p>
    <w:p w:rsidR="00ED5264" w:rsidRDefault="00B65917">
      <w:pPr>
        <w:spacing w:beforeLines="100" w:before="312" w:afterLines="100" w:after="312"/>
        <w:jc w:val="center"/>
        <w:outlineLvl w:val="1"/>
        <w:rPr>
          <w:b/>
          <w:bCs/>
          <w:sz w:val="24"/>
          <w:szCs w:val="24"/>
        </w:rPr>
      </w:pPr>
      <w:bookmarkStart w:id="822" w:name="_Toc6697"/>
      <w:bookmarkStart w:id="823" w:name="_Toc22895689"/>
      <w:bookmarkStart w:id="824" w:name="_Toc23260893"/>
      <w:bookmarkStart w:id="825" w:name="_Toc509849394"/>
      <w:bookmarkStart w:id="826" w:name="_Toc244"/>
      <w:bookmarkStart w:id="827" w:name="_Toc481589865"/>
      <w:bookmarkStart w:id="828" w:name="_Toc472351529"/>
      <w:bookmarkStart w:id="829" w:name="_Toc481589761"/>
      <w:bookmarkStart w:id="830" w:name="_Toc24250"/>
      <w:bookmarkStart w:id="831" w:name="_Toc486247966"/>
      <w:bookmarkStart w:id="832" w:name="_Toc25912888"/>
      <w:bookmarkStart w:id="833" w:name="_Toc23260564"/>
      <w:bookmarkStart w:id="834" w:name="_Toc481586562"/>
      <w:bookmarkStart w:id="835" w:name="_Toc5571"/>
      <w:bookmarkStart w:id="836" w:name="_Toc479"/>
      <w:bookmarkStart w:id="837" w:name="_Toc19132"/>
      <w:bookmarkStart w:id="838" w:name="_Toc481589657"/>
      <w:bookmarkStart w:id="839" w:name="_Toc11665"/>
      <w:bookmarkStart w:id="840" w:name="_Toc509849597"/>
      <w:r>
        <w:rPr>
          <w:b/>
          <w:bCs/>
          <w:sz w:val="24"/>
          <w:szCs w:val="24"/>
        </w:rPr>
        <w:t xml:space="preserve">7.2 </w:t>
      </w:r>
      <w:r>
        <w:rPr>
          <w:b/>
          <w:bCs/>
          <w:sz w:val="24"/>
          <w:szCs w:val="24"/>
        </w:rPr>
        <w:t>原材料进场</w:t>
      </w:r>
      <w:bookmarkEnd w:id="822"/>
      <w:bookmarkEnd w:id="823"/>
      <w:bookmarkEnd w:id="824"/>
      <w:bookmarkEnd w:id="825"/>
      <w:bookmarkEnd w:id="826"/>
      <w:bookmarkEnd w:id="827"/>
      <w:bookmarkEnd w:id="828"/>
      <w:bookmarkEnd w:id="829"/>
      <w:bookmarkEnd w:id="830"/>
      <w:bookmarkEnd w:id="831"/>
      <w:bookmarkEnd w:id="832"/>
      <w:bookmarkEnd w:id="833"/>
      <w:bookmarkEnd w:id="834"/>
      <w:bookmarkEnd w:id="835"/>
      <w:bookmarkEnd w:id="836"/>
      <w:bookmarkEnd w:id="837"/>
      <w:bookmarkEnd w:id="838"/>
      <w:bookmarkEnd w:id="839"/>
      <w:bookmarkEnd w:id="840"/>
    </w:p>
    <w:p w:rsidR="00ED5264" w:rsidRDefault="00B65917">
      <w:pPr>
        <w:pStyle w:val="affc"/>
        <w:rPr>
          <w:rFonts w:cs="Times New Roman"/>
          <w:sz w:val="21"/>
          <w:szCs w:val="21"/>
        </w:rPr>
      </w:pPr>
      <w:r>
        <w:rPr>
          <w:rFonts w:cs="Times New Roman"/>
          <w:b/>
          <w:bCs/>
          <w:sz w:val="21"/>
          <w:szCs w:val="21"/>
        </w:rPr>
        <w:t>7.2.1</w:t>
      </w:r>
      <w:r>
        <w:rPr>
          <w:rFonts w:cs="Times New Roman"/>
          <w:sz w:val="21"/>
          <w:szCs w:val="21"/>
        </w:rPr>
        <w:t xml:space="preserve">  </w:t>
      </w:r>
      <w:r>
        <w:rPr>
          <w:rFonts w:cs="Times New Roman" w:hint="eastAsia"/>
          <w:sz w:val="21"/>
          <w:szCs w:val="21"/>
        </w:rPr>
        <w:t>本条对混凝土原材料进场做出要求，规定</w:t>
      </w:r>
      <w:r>
        <w:rPr>
          <w:rFonts w:cs="Times New Roman"/>
          <w:sz w:val="21"/>
          <w:szCs w:val="21"/>
        </w:rPr>
        <w:t>原材料进场应符合现行国家标准《混凝土质量控制标准》</w:t>
      </w:r>
      <w:r>
        <w:rPr>
          <w:rFonts w:cs="Times New Roman"/>
          <w:sz w:val="21"/>
          <w:szCs w:val="21"/>
        </w:rPr>
        <w:t>GB 50164</w:t>
      </w:r>
      <w:r>
        <w:rPr>
          <w:rFonts w:cs="Times New Roman"/>
          <w:sz w:val="21"/>
          <w:szCs w:val="21"/>
        </w:rPr>
        <w:t>和《混凝土结构工程施工规范》</w:t>
      </w:r>
      <w:r>
        <w:rPr>
          <w:rFonts w:cs="Times New Roman"/>
          <w:sz w:val="21"/>
          <w:szCs w:val="21"/>
        </w:rPr>
        <w:t>GB 50666</w:t>
      </w:r>
      <w:r>
        <w:rPr>
          <w:rFonts w:cs="Times New Roman"/>
          <w:sz w:val="21"/>
          <w:szCs w:val="21"/>
        </w:rPr>
        <w:t>对相应原材料的规定。</w:t>
      </w:r>
    </w:p>
    <w:p w:rsidR="00ED5264" w:rsidRDefault="00B65917">
      <w:pPr>
        <w:pStyle w:val="aff9"/>
        <w:spacing w:line="360" w:lineRule="auto"/>
        <w:rPr>
          <w:sz w:val="21"/>
          <w:szCs w:val="21"/>
        </w:rPr>
      </w:pPr>
      <w:r>
        <w:rPr>
          <w:rFonts w:hint="eastAsia"/>
          <w:b/>
          <w:sz w:val="21"/>
          <w:szCs w:val="21"/>
        </w:rPr>
        <w:t>7</w:t>
      </w:r>
      <w:r>
        <w:rPr>
          <w:b/>
          <w:sz w:val="21"/>
          <w:szCs w:val="21"/>
        </w:rPr>
        <w:t>.</w:t>
      </w:r>
      <w:r>
        <w:rPr>
          <w:rFonts w:hint="eastAsia"/>
          <w:b/>
          <w:sz w:val="21"/>
          <w:szCs w:val="21"/>
        </w:rPr>
        <w:t>2</w:t>
      </w:r>
      <w:r>
        <w:rPr>
          <w:b/>
          <w:sz w:val="21"/>
          <w:szCs w:val="21"/>
        </w:rPr>
        <w:t>.</w:t>
      </w:r>
      <w:r>
        <w:rPr>
          <w:rFonts w:hint="eastAsia"/>
          <w:b/>
          <w:sz w:val="21"/>
          <w:szCs w:val="21"/>
        </w:rPr>
        <w:t>2</w:t>
      </w:r>
      <w:r>
        <w:rPr>
          <w:rFonts w:hint="eastAsia"/>
          <w:b/>
          <w:sz w:val="21"/>
          <w:szCs w:val="21"/>
        </w:rPr>
        <w:t>、</w:t>
      </w:r>
      <w:r>
        <w:rPr>
          <w:rFonts w:hint="eastAsia"/>
          <w:b/>
          <w:sz w:val="21"/>
          <w:szCs w:val="21"/>
        </w:rPr>
        <w:t>7.2.3</w:t>
      </w:r>
      <w:r>
        <w:rPr>
          <w:sz w:val="21"/>
          <w:szCs w:val="21"/>
        </w:rPr>
        <w:t xml:space="preserve"> </w:t>
      </w:r>
      <w:r>
        <w:rPr>
          <w:rFonts w:hint="eastAsia"/>
          <w:sz w:val="21"/>
          <w:szCs w:val="21"/>
        </w:rPr>
        <w:t xml:space="preserve"> </w:t>
      </w:r>
      <w:r>
        <w:rPr>
          <w:rFonts w:hint="eastAsia"/>
          <w:sz w:val="21"/>
          <w:szCs w:val="21"/>
        </w:rPr>
        <w:t>本条规定黄河超细砂及其混合砂进场应提供的文件和检验的项目。黄河超细砂混合砂的出厂检验项目应包括</w:t>
      </w:r>
      <w:r>
        <w:rPr>
          <w:sz w:val="21"/>
          <w:szCs w:val="21"/>
        </w:rPr>
        <w:t>细度模数、</w:t>
      </w:r>
      <w:r>
        <w:rPr>
          <w:sz w:val="21"/>
          <w:szCs w:val="21"/>
        </w:rPr>
        <w:t>亚甲蓝值</w:t>
      </w:r>
      <w:r>
        <w:rPr>
          <w:sz w:val="21"/>
          <w:szCs w:val="21"/>
        </w:rPr>
        <w:t>（</w:t>
      </w:r>
      <w:r>
        <w:rPr>
          <w:sz w:val="21"/>
          <w:szCs w:val="21"/>
        </w:rPr>
        <w:t>MB</w:t>
      </w:r>
      <w:r>
        <w:rPr>
          <w:sz w:val="21"/>
          <w:szCs w:val="21"/>
        </w:rPr>
        <w:t>）</w:t>
      </w:r>
      <w:r>
        <w:rPr>
          <w:sz w:val="21"/>
          <w:szCs w:val="21"/>
        </w:rPr>
        <w:t>、颗粒级配</w:t>
      </w:r>
      <w:r>
        <w:rPr>
          <w:rFonts w:hint="eastAsia"/>
          <w:sz w:val="21"/>
          <w:szCs w:val="21"/>
        </w:rPr>
        <w:t>等</w:t>
      </w:r>
      <w:r>
        <w:rPr>
          <w:rFonts w:hint="eastAsia"/>
          <w:sz w:val="21"/>
          <w:szCs w:val="21"/>
        </w:rPr>
        <w:t>GB/T 14684</w:t>
      </w:r>
      <w:r>
        <w:rPr>
          <w:rFonts w:hint="eastAsia"/>
          <w:sz w:val="21"/>
          <w:szCs w:val="21"/>
        </w:rPr>
        <w:t>中关于混合砂进场检验项目的要求。黄河超细砂的出厂检验项目包括</w:t>
      </w:r>
      <w:r>
        <w:rPr>
          <w:sz w:val="21"/>
          <w:szCs w:val="21"/>
        </w:rPr>
        <w:t>亚甲蓝值</w:t>
      </w:r>
      <w:r>
        <w:rPr>
          <w:sz w:val="21"/>
          <w:szCs w:val="21"/>
        </w:rPr>
        <w:t>（</w:t>
      </w:r>
      <w:r>
        <w:rPr>
          <w:sz w:val="21"/>
          <w:szCs w:val="21"/>
        </w:rPr>
        <w:t>MB</w:t>
      </w:r>
      <w:r>
        <w:rPr>
          <w:sz w:val="21"/>
          <w:szCs w:val="21"/>
        </w:rPr>
        <w:t>）</w:t>
      </w:r>
      <w:r>
        <w:rPr>
          <w:sz w:val="21"/>
          <w:szCs w:val="21"/>
        </w:rPr>
        <w:t>、</w:t>
      </w:r>
      <w:r>
        <w:rPr>
          <w:rFonts w:hint="eastAsia"/>
          <w:sz w:val="21"/>
          <w:szCs w:val="21"/>
        </w:rPr>
        <w:t>泥块含量、</w:t>
      </w:r>
      <w:r>
        <w:rPr>
          <w:sz w:val="21"/>
          <w:szCs w:val="21"/>
        </w:rPr>
        <w:t>颗粒级配</w:t>
      </w:r>
      <w:r>
        <w:rPr>
          <w:rFonts w:hint="eastAsia"/>
          <w:sz w:val="21"/>
          <w:szCs w:val="21"/>
        </w:rPr>
        <w:t>和比粒度。</w:t>
      </w:r>
    </w:p>
    <w:p w:rsidR="00ED5264" w:rsidRDefault="00B65917">
      <w:pPr>
        <w:pStyle w:val="affc"/>
        <w:rPr>
          <w:rFonts w:cs="Times New Roman"/>
          <w:sz w:val="21"/>
          <w:szCs w:val="21"/>
        </w:rPr>
      </w:pPr>
      <w:r>
        <w:rPr>
          <w:rFonts w:cs="Times New Roman"/>
          <w:b/>
          <w:bCs/>
          <w:sz w:val="21"/>
          <w:szCs w:val="21"/>
        </w:rPr>
        <w:t>7.2</w:t>
      </w:r>
      <w:r>
        <w:rPr>
          <w:rFonts w:cs="Times New Roman" w:hint="eastAsia"/>
          <w:b/>
          <w:bCs/>
          <w:sz w:val="21"/>
          <w:szCs w:val="21"/>
        </w:rPr>
        <w:t>4</w:t>
      </w:r>
      <w:r>
        <w:rPr>
          <w:rFonts w:cs="Times New Roman"/>
          <w:sz w:val="21"/>
          <w:szCs w:val="21"/>
        </w:rPr>
        <w:t xml:space="preserve">  </w:t>
      </w:r>
      <w:r>
        <w:rPr>
          <w:rFonts w:cs="Times New Roman" w:hint="eastAsia"/>
          <w:sz w:val="21"/>
          <w:szCs w:val="21"/>
        </w:rPr>
        <w:t>本条是对</w:t>
      </w:r>
      <w:r>
        <w:rPr>
          <w:rFonts w:cs="Times New Roman" w:hint="eastAsia"/>
          <w:sz w:val="21"/>
          <w:szCs w:val="21"/>
        </w:rPr>
        <w:t>胶凝材料</w:t>
      </w:r>
      <w:r>
        <w:rPr>
          <w:rFonts w:cs="Times New Roman" w:hint="eastAsia"/>
          <w:sz w:val="21"/>
          <w:szCs w:val="21"/>
        </w:rPr>
        <w:t>储存的一般要求。</w:t>
      </w:r>
    </w:p>
    <w:p w:rsidR="00ED5264" w:rsidRDefault="00B65917">
      <w:pPr>
        <w:pStyle w:val="affc"/>
        <w:rPr>
          <w:rFonts w:cs="Times New Roman"/>
          <w:sz w:val="21"/>
          <w:szCs w:val="21"/>
        </w:rPr>
      </w:pPr>
      <w:r>
        <w:rPr>
          <w:rFonts w:cs="Times New Roman"/>
          <w:b/>
          <w:bCs/>
          <w:sz w:val="21"/>
          <w:szCs w:val="21"/>
        </w:rPr>
        <w:t>7.2.</w:t>
      </w:r>
      <w:r>
        <w:rPr>
          <w:rFonts w:cs="Times New Roman" w:hint="eastAsia"/>
          <w:b/>
          <w:bCs/>
          <w:sz w:val="21"/>
          <w:szCs w:val="21"/>
        </w:rPr>
        <w:t>5</w:t>
      </w:r>
      <w:r>
        <w:rPr>
          <w:rFonts w:cs="Times New Roman"/>
          <w:sz w:val="21"/>
          <w:szCs w:val="21"/>
        </w:rPr>
        <w:t xml:space="preserve">  </w:t>
      </w:r>
      <w:r>
        <w:rPr>
          <w:rFonts w:cs="Times New Roman" w:hint="eastAsia"/>
          <w:sz w:val="21"/>
          <w:szCs w:val="21"/>
        </w:rPr>
        <w:t>本条是对外加剂储存的一般要求</w:t>
      </w:r>
      <w:r>
        <w:rPr>
          <w:rFonts w:cs="Times New Roman" w:hint="eastAsia"/>
          <w:sz w:val="21"/>
          <w:szCs w:val="21"/>
        </w:rPr>
        <w:t>。</w:t>
      </w:r>
    </w:p>
    <w:p w:rsidR="00ED5264" w:rsidRDefault="00B65917">
      <w:pPr>
        <w:pStyle w:val="affc"/>
        <w:rPr>
          <w:rFonts w:cs="Times New Roman"/>
          <w:sz w:val="21"/>
          <w:szCs w:val="21"/>
        </w:rPr>
      </w:pPr>
      <w:r>
        <w:rPr>
          <w:rFonts w:cs="Times New Roman"/>
          <w:b/>
          <w:bCs/>
          <w:sz w:val="21"/>
          <w:szCs w:val="21"/>
        </w:rPr>
        <w:t>7.2.</w:t>
      </w:r>
      <w:r>
        <w:rPr>
          <w:rFonts w:cs="Times New Roman" w:hint="eastAsia"/>
          <w:b/>
          <w:bCs/>
          <w:sz w:val="21"/>
          <w:szCs w:val="21"/>
        </w:rPr>
        <w:t>6</w:t>
      </w:r>
      <w:r>
        <w:rPr>
          <w:rFonts w:cs="Times New Roman"/>
          <w:sz w:val="21"/>
          <w:szCs w:val="21"/>
        </w:rPr>
        <w:t xml:space="preserve">  </w:t>
      </w:r>
      <w:r>
        <w:rPr>
          <w:rFonts w:cs="Times New Roman" w:hint="eastAsia"/>
          <w:sz w:val="21"/>
          <w:szCs w:val="21"/>
        </w:rPr>
        <w:t>本条规定</w:t>
      </w:r>
      <w:r>
        <w:rPr>
          <w:rFonts w:cs="Times New Roman" w:hint="eastAsia"/>
          <w:sz w:val="21"/>
          <w:szCs w:val="21"/>
        </w:rPr>
        <w:t>各种原材料贮存处应有明显标识</w:t>
      </w:r>
      <w:r>
        <w:rPr>
          <w:rFonts w:cs="Times New Roman" w:hint="eastAsia"/>
          <w:sz w:val="21"/>
          <w:szCs w:val="21"/>
        </w:rPr>
        <w:t>，</w:t>
      </w:r>
      <w:r>
        <w:rPr>
          <w:rFonts w:cs="Times New Roman" w:hint="eastAsia"/>
          <w:sz w:val="21"/>
          <w:szCs w:val="21"/>
        </w:rPr>
        <w:t>黄河超细砂和黄河超细砂混合砂应分开储存，明确标识</w:t>
      </w:r>
      <w:r>
        <w:rPr>
          <w:rFonts w:cs="Times New Roman" w:hint="eastAsia"/>
          <w:sz w:val="21"/>
          <w:szCs w:val="21"/>
        </w:rPr>
        <w:t>。</w:t>
      </w:r>
    </w:p>
    <w:p w:rsidR="00ED5264" w:rsidRDefault="00B65917">
      <w:pPr>
        <w:spacing w:beforeLines="100" w:before="312" w:afterLines="100" w:after="312"/>
        <w:jc w:val="center"/>
        <w:outlineLvl w:val="1"/>
        <w:rPr>
          <w:b/>
          <w:bCs/>
          <w:sz w:val="24"/>
          <w:szCs w:val="24"/>
        </w:rPr>
      </w:pPr>
      <w:bookmarkStart w:id="841" w:name="_Toc509849395"/>
      <w:bookmarkStart w:id="842" w:name="_Toc509849598"/>
      <w:bookmarkStart w:id="843" w:name="_Toc486247967"/>
      <w:bookmarkStart w:id="844" w:name="_Toc481589866"/>
      <w:bookmarkStart w:id="845" w:name="_Toc481589658"/>
      <w:bookmarkStart w:id="846" w:name="_Toc23260565"/>
      <w:bookmarkStart w:id="847" w:name="_Toc23260894"/>
      <w:bookmarkStart w:id="848" w:name="_Toc481589762"/>
      <w:bookmarkStart w:id="849" w:name="_Toc16563"/>
      <w:bookmarkStart w:id="850" w:name="_Toc13732"/>
      <w:bookmarkStart w:id="851" w:name="_Toc5363"/>
      <w:bookmarkStart w:id="852" w:name="_Toc481586563"/>
      <w:bookmarkStart w:id="853" w:name="_Toc472351530"/>
      <w:bookmarkStart w:id="854" w:name="_Toc25654"/>
      <w:bookmarkStart w:id="855" w:name="_Toc22895690"/>
      <w:bookmarkStart w:id="856" w:name="_Toc25912889"/>
      <w:bookmarkStart w:id="857" w:name="_Toc8483"/>
      <w:bookmarkStart w:id="858" w:name="_Toc32299"/>
      <w:bookmarkStart w:id="859" w:name="_Toc29240"/>
      <w:r>
        <w:rPr>
          <w:b/>
          <w:bCs/>
          <w:sz w:val="24"/>
          <w:szCs w:val="24"/>
        </w:rPr>
        <w:t xml:space="preserve">7.3 </w:t>
      </w:r>
      <w:r>
        <w:rPr>
          <w:b/>
          <w:bCs/>
          <w:sz w:val="24"/>
          <w:szCs w:val="24"/>
        </w:rPr>
        <w:t>计量</w:t>
      </w:r>
      <w:bookmarkEnd w:id="841"/>
      <w:bookmarkEnd w:id="842"/>
      <w:bookmarkEnd w:id="843"/>
      <w:bookmarkEnd w:id="844"/>
      <w:bookmarkEnd w:id="845"/>
      <w:bookmarkEnd w:id="846"/>
      <w:bookmarkEnd w:id="847"/>
      <w:bookmarkEnd w:id="848"/>
      <w:bookmarkEnd w:id="849"/>
      <w:bookmarkEnd w:id="850"/>
      <w:bookmarkEnd w:id="851"/>
      <w:bookmarkEnd w:id="852"/>
      <w:bookmarkEnd w:id="853"/>
      <w:bookmarkEnd w:id="854"/>
      <w:bookmarkEnd w:id="855"/>
      <w:bookmarkEnd w:id="856"/>
      <w:bookmarkEnd w:id="857"/>
      <w:bookmarkEnd w:id="858"/>
      <w:bookmarkEnd w:id="859"/>
    </w:p>
    <w:p w:rsidR="00ED5264" w:rsidRDefault="00B65917">
      <w:pPr>
        <w:pStyle w:val="af3"/>
        <w:spacing w:line="400" w:lineRule="exact"/>
        <w:rPr>
          <w:rFonts w:ascii="Times New Roman" w:hAnsi="Times New Roman"/>
        </w:rPr>
      </w:pPr>
      <w:r>
        <w:rPr>
          <w:rFonts w:ascii="Times New Roman" w:hAnsi="Times New Roman"/>
          <w:b/>
          <w:bCs/>
        </w:rPr>
        <w:t>7.3.1</w:t>
      </w:r>
      <w:r>
        <w:rPr>
          <w:rFonts w:ascii="Times New Roman" w:hAnsi="Times New Roman" w:hint="eastAsia"/>
          <w:b/>
          <w:bCs/>
        </w:rPr>
        <w:t>~7.3.2</w:t>
      </w:r>
      <w:r>
        <w:rPr>
          <w:rFonts w:ascii="Times New Roman" w:eastAsia="黑体" w:hAnsi="Times New Roman"/>
        </w:rPr>
        <w:t xml:space="preserve">  </w:t>
      </w:r>
      <w:r>
        <w:rPr>
          <w:rFonts w:ascii="Times New Roman" w:hAnsi="Times New Roman" w:hint="eastAsia"/>
        </w:rPr>
        <w:t>本条对混凝土用原材料的计量设备做出规定，原材料计量装置必须可靠，才能保证各种配合比的有效实现。</w:t>
      </w:r>
    </w:p>
    <w:p w:rsidR="00ED5264" w:rsidRDefault="00B65917">
      <w:pPr>
        <w:pStyle w:val="affc"/>
        <w:rPr>
          <w:rFonts w:eastAsia="黑体" w:cs="Times New Roman"/>
          <w:sz w:val="21"/>
          <w:szCs w:val="21"/>
        </w:rPr>
      </w:pPr>
      <w:r>
        <w:rPr>
          <w:rFonts w:cs="Times New Roman"/>
          <w:b/>
          <w:bCs/>
          <w:sz w:val="21"/>
          <w:szCs w:val="21"/>
        </w:rPr>
        <w:t>7.3.</w:t>
      </w:r>
      <w:r>
        <w:rPr>
          <w:rFonts w:cs="Times New Roman" w:hint="eastAsia"/>
          <w:b/>
          <w:bCs/>
          <w:sz w:val="21"/>
          <w:szCs w:val="21"/>
        </w:rPr>
        <w:t>4</w:t>
      </w:r>
      <w:r>
        <w:rPr>
          <w:rFonts w:eastAsia="黑体" w:cs="Times New Roman"/>
          <w:sz w:val="21"/>
          <w:szCs w:val="21"/>
        </w:rPr>
        <w:t xml:space="preserve">  </w:t>
      </w:r>
      <w:r>
        <w:rPr>
          <w:rFonts w:cs="Times New Roman" w:hint="eastAsia"/>
          <w:sz w:val="21"/>
          <w:szCs w:val="21"/>
        </w:rPr>
        <w:t>本条规定</w:t>
      </w:r>
      <w:r>
        <w:rPr>
          <w:rFonts w:cs="Times New Roman" w:hint="eastAsia"/>
          <w:sz w:val="21"/>
          <w:szCs w:val="21"/>
        </w:rPr>
        <w:t>了</w:t>
      </w:r>
      <w:r>
        <w:rPr>
          <w:rFonts w:cs="Times New Roman" w:hint="eastAsia"/>
          <w:sz w:val="21"/>
          <w:szCs w:val="21"/>
        </w:rPr>
        <w:t>各种材料</w:t>
      </w:r>
      <w:r>
        <w:rPr>
          <w:rFonts w:cs="Times New Roman" w:hint="eastAsia"/>
          <w:sz w:val="21"/>
          <w:szCs w:val="21"/>
        </w:rPr>
        <w:t>的</w:t>
      </w:r>
      <w:r>
        <w:rPr>
          <w:rFonts w:cs="Times New Roman" w:hint="eastAsia"/>
          <w:sz w:val="21"/>
          <w:szCs w:val="21"/>
        </w:rPr>
        <w:t>计量允许偏差。</w:t>
      </w:r>
    </w:p>
    <w:p w:rsidR="00ED5264" w:rsidRDefault="00B65917">
      <w:pPr>
        <w:spacing w:beforeLines="100" w:before="312" w:afterLines="100" w:after="312"/>
        <w:jc w:val="center"/>
        <w:outlineLvl w:val="1"/>
        <w:rPr>
          <w:b/>
          <w:bCs/>
          <w:sz w:val="24"/>
          <w:szCs w:val="24"/>
        </w:rPr>
      </w:pPr>
      <w:bookmarkStart w:id="860" w:name="_Toc481589763"/>
      <w:bookmarkStart w:id="861" w:name="_Toc29297"/>
      <w:bookmarkStart w:id="862" w:name="_Toc481586564"/>
      <w:bookmarkStart w:id="863" w:name="_Toc509849599"/>
      <w:bookmarkStart w:id="864" w:name="_Toc22895691"/>
      <w:bookmarkStart w:id="865" w:name="_Toc481589867"/>
      <w:bookmarkStart w:id="866" w:name="_Toc11637"/>
      <w:bookmarkStart w:id="867" w:name="_Toc486247968"/>
      <w:bookmarkStart w:id="868" w:name="_Toc31580"/>
      <w:bookmarkStart w:id="869" w:name="_Toc481589659"/>
      <w:bookmarkStart w:id="870" w:name="_Toc16999"/>
      <w:bookmarkStart w:id="871" w:name="_Toc21109"/>
      <w:bookmarkStart w:id="872" w:name="_Toc23260895"/>
      <w:bookmarkStart w:id="873" w:name="_Toc509849396"/>
      <w:bookmarkStart w:id="874" w:name="_Toc22588"/>
      <w:bookmarkStart w:id="875" w:name="_Toc472351531"/>
      <w:bookmarkStart w:id="876" w:name="_Toc23260566"/>
      <w:bookmarkStart w:id="877" w:name="_Toc25912890"/>
      <w:bookmarkStart w:id="878" w:name="_Toc10453"/>
      <w:r>
        <w:rPr>
          <w:b/>
          <w:bCs/>
          <w:sz w:val="24"/>
          <w:szCs w:val="24"/>
        </w:rPr>
        <w:t xml:space="preserve">7.4 </w:t>
      </w:r>
      <w:r>
        <w:rPr>
          <w:b/>
          <w:bCs/>
          <w:sz w:val="24"/>
          <w:szCs w:val="24"/>
        </w:rPr>
        <w:t>搅拌</w:t>
      </w:r>
      <w:bookmarkEnd w:id="860"/>
      <w:bookmarkEnd w:id="861"/>
      <w:bookmarkEnd w:id="862"/>
      <w:bookmarkEnd w:id="863"/>
      <w:bookmarkEnd w:id="864"/>
      <w:bookmarkEnd w:id="865"/>
      <w:bookmarkEnd w:id="866"/>
      <w:bookmarkEnd w:id="867"/>
      <w:bookmarkEnd w:id="868"/>
      <w:bookmarkEnd w:id="869"/>
      <w:bookmarkEnd w:id="870"/>
      <w:bookmarkEnd w:id="871"/>
      <w:bookmarkEnd w:id="872"/>
      <w:bookmarkEnd w:id="873"/>
      <w:bookmarkEnd w:id="874"/>
      <w:bookmarkEnd w:id="875"/>
      <w:bookmarkEnd w:id="876"/>
      <w:bookmarkEnd w:id="877"/>
      <w:bookmarkEnd w:id="878"/>
    </w:p>
    <w:p w:rsidR="00ED5264" w:rsidRDefault="00B65917">
      <w:pPr>
        <w:pStyle w:val="affc"/>
        <w:rPr>
          <w:rFonts w:cs="Times New Roman"/>
          <w:sz w:val="21"/>
          <w:szCs w:val="21"/>
        </w:rPr>
      </w:pPr>
      <w:r>
        <w:rPr>
          <w:rFonts w:cs="Times New Roman"/>
          <w:b/>
          <w:bCs/>
          <w:sz w:val="21"/>
          <w:szCs w:val="21"/>
        </w:rPr>
        <w:t>7.4.1</w:t>
      </w:r>
      <w:r>
        <w:rPr>
          <w:rFonts w:cs="Times New Roman" w:hint="eastAsia"/>
          <w:b/>
          <w:bCs/>
          <w:sz w:val="21"/>
          <w:szCs w:val="21"/>
        </w:rPr>
        <w:t xml:space="preserve"> </w:t>
      </w:r>
      <w:r>
        <w:rPr>
          <w:rFonts w:eastAsia="黑体"/>
        </w:rPr>
        <w:t xml:space="preserve"> </w:t>
      </w:r>
      <w:r>
        <w:rPr>
          <w:rFonts w:cs="Times New Roman" w:hint="eastAsia"/>
          <w:sz w:val="21"/>
          <w:szCs w:val="21"/>
        </w:rPr>
        <w:t>本条对混凝土</w:t>
      </w:r>
      <w:r>
        <w:rPr>
          <w:rFonts w:cs="Times New Roman" w:hint="eastAsia"/>
          <w:sz w:val="21"/>
          <w:szCs w:val="21"/>
        </w:rPr>
        <w:t>的搅拌</w:t>
      </w:r>
      <w:r>
        <w:rPr>
          <w:rFonts w:cs="Times New Roman" w:hint="eastAsia"/>
          <w:sz w:val="21"/>
          <w:szCs w:val="21"/>
        </w:rPr>
        <w:t>做出规定，</w:t>
      </w:r>
      <w:r>
        <w:rPr>
          <w:rFonts w:cs="Times New Roman" w:hint="eastAsia"/>
          <w:sz w:val="21"/>
          <w:szCs w:val="21"/>
        </w:rPr>
        <w:t>黄河超细砂的</w:t>
      </w:r>
      <w:r>
        <w:rPr>
          <w:rFonts w:cs="Times New Roman" w:hint="eastAsia"/>
          <w:sz w:val="21"/>
          <w:szCs w:val="21"/>
        </w:rPr>
        <w:t>掺入使得黄河超细砂混凝土较普通混凝土更难搅拌充分</w:t>
      </w:r>
      <w:r>
        <w:rPr>
          <w:rFonts w:cs="Times New Roman"/>
          <w:sz w:val="21"/>
          <w:szCs w:val="21"/>
        </w:rPr>
        <w:t>。因此，</w:t>
      </w:r>
      <w:r>
        <w:rPr>
          <w:rFonts w:cs="Times New Roman" w:hint="eastAsia"/>
          <w:sz w:val="21"/>
          <w:szCs w:val="21"/>
        </w:rPr>
        <w:t>应适当延长黄河超细砂混凝土的搅拌时间</w:t>
      </w:r>
      <w:r>
        <w:rPr>
          <w:rFonts w:cs="Times New Roman"/>
          <w:sz w:val="21"/>
          <w:szCs w:val="21"/>
        </w:rPr>
        <w:t>。</w:t>
      </w:r>
    </w:p>
    <w:p w:rsidR="00ED5264" w:rsidRDefault="00B65917">
      <w:pPr>
        <w:spacing w:beforeLines="100" w:before="312" w:afterLines="100" w:after="312"/>
        <w:jc w:val="center"/>
        <w:outlineLvl w:val="1"/>
        <w:rPr>
          <w:b/>
          <w:bCs/>
          <w:sz w:val="24"/>
          <w:szCs w:val="24"/>
        </w:rPr>
      </w:pPr>
      <w:bookmarkStart w:id="879" w:name="_Toc472351532"/>
      <w:bookmarkStart w:id="880" w:name="_Toc20407"/>
      <w:bookmarkStart w:id="881" w:name="_Toc7333"/>
      <w:bookmarkStart w:id="882" w:name="_Toc25912891"/>
      <w:bookmarkStart w:id="883" w:name="_Toc486247969"/>
      <w:bookmarkStart w:id="884" w:name="_Toc15281"/>
      <w:bookmarkStart w:id="885" w:name="_Toc23260567"/>
      <w:bookmarkStart w:id="886" w:name="_Toc481589868"/>
      <w:bookmarkStart w:id="887" w:name="_Toc481586565"/>
      <w:bookmarkStart w:id="888" w:name="_Toc6560"/>
      <w:bookmarkStart w:id="889" w:name="_Toc509849397"/>
      <w:bookmarkStart w:id="890" w:name="_Toc22895692"/>
      <w:bookmarkStart w:id="891" w:name="_Toc481589764"/>
      <w:bookmarkStart w:id="892" w:name="_Toc509849600"/>
      <w:bookmarkStart w:id="893" w:name="_Toc23260896"/>
      <w:bookmarkStart w:id="894" w:name="_Toc6546"/>
      <w:bookmarkStart w:id="895" w:name="_Toc468"/>
      <w:bookmarkStart w:id="896" w:name="_Toc481589660"/>
      <w:bookmarkStart w:id="897" w:name="_Toc20727"/>
      <w:r>
        <w:rPr>
          <w:b/>
          <w:bCs/>
          <w:sz w:val="24"/>
          <w:szCs w:val="24"/>
        </w:rPr>
        <w:t xml:space="preserve">7.5 </w:t>
      </w:r>
      <w:r>
        <w:rPr>
          <w:b/>
          <w:bCs/>
          <w:sz w:val="24"/>
          <w:szCs w:val="24"/>
        </w:rPr>
        <w:t>运输</w:t>
      </w:r>
      <w:bookmarkEnd w:id="879"/>
      <w:bookmarkEnd w:id="880"/>
      <w:bookmarkEnd w:id="881"/>
      <w:bookmarkEnd w:id="882"/>
      <w:bookmarkEnd w:id="883"/>
      <w:bookmarkEnd w:id="884"/>
      <w:bookmarkEnd w:id="885"/>
      <w:bookmarkEnd w:id="886"/>
      <w:bookmarkEnd w:id="887"/>
      <w:bookmarkEnd w:id="888"/>
      <w:bookmarkEnd w:id="889"/>
      <w:bookmarkEnd w:id="890"/>
      <w:bookmarkEnd w:id="891"/>
      <w:bookmarkEnd w:id="892"/>
      <w:bookmarkEnd w:id="893"/>
      <w:bookmarkEnd w:id="894"/>
      <w:bookmarkEnd w:id="895"/>
      <w:bookmarkEnd w:id="896"/>
      <w:bookmarkEnd w:id="897"/>
    </w:p>
    <w:p w:rsidR="00ED5264" w:rsidRDefault="00B65917">
      <w:pPr>
        <w:pStyle w:val="affc"/>
        <w:rPr>
          <w:rFonts w:cs="Times New Roman"/>
          <w:sz w:val="21"/>
          <w:szCs w:val="21"/>
        </w:rPr>
      </w:pPr>
      <w:r>
        <w:rPr>
          <w:rFonts w:cs="Times New Roman"/>
          <w:b/>
          <w:bCs/>
          <w:sz w:val="21"/>
          <w:szCs w:val="21"/>
        </w:rPr>
        <w:lastRenderedPageBreak/>
        <w:t>7.5.1</w:t>
      </w:r>
      <w:r>
        <w:rPr>
          <w:rFonts w:cs="Times New Roman"/>
          <w:sz w:val="21"/>
          <w:szCs w:val="21"/>
        </w:rPr>
        <w:t xml:space="preserve">  </w:t>
      </w:r>
      <w:r>
        <w:rPr>
          <w:rFonts w:cs="Times New Roman" w:hint="eastAsia"/>
          <w:sz w:val="21"/>
          <w:szCs w:val="21"/>
        </w:rPr>
        <w:t>预拌商品混凝土的运输车</w:t>
      </w:r>
      <w:r>
        <w:rPr>
          <w:rFonts w:cs="Times New Roman" w:hint="eastAsia"/>
          <w:sz w:val="21"/>
          <w:szCs w:val="21"/>
        </w:rPr>
        <w:t>应</w:t>
      </w:r>
      <w:r>
        <w:rPr>
          <w:rFonts w:cs="Times New Roman" w:hint="eastAsia"/>
          <w:sz w:val="21"/>
          <w:szCs w:val="21"/>
        </w:rPr>
        <w:t>采用混凝土专用运输车</w:t>
      </w:r>
      <w:r>
        <w:rPr>
          <w:rFonts w:cs="Times New Roman" w:hint="eastAsia"/>
          <w:sz w:val="21"/>
          <w:szCs w:val="21"/>
        </w:rPr>
        <w:t>，</w:t>
      </w:r>
      <w:r>
        <w:rPr>
          <w:rFonts w:cs="Times New Roman" w:hint="eastAsia"/>
          <w:sz w:val="21"/>
          <w:szCs w:val="21"/>
        </w:rPr>
        <w:t>运输车</w:t>
      </w:r>
      <w:r>
        <w:rPr>
          <w:rFonts w:cs="Times New Roman" w:hint="eastAsia"/>
          <w:sz w:val="21"/>
          <w:szCs w:val="21"/>
        </w:rPr>
        <w:t>应符合</w:t>
      </w:r>
      <w:r>
        <w:rPr>
          <w:rFonts w:cs="Times New Roman" w:hint="eastAsia"/>
          <w:sz w:val="21"/>
          <w:szCs w:val="21"/>
        </w:rPr>
        <w:t>现行行业</w:t>
      </w:r>
      <w:r>
        <w:rPr>
          <w:rFonts w:cs="Times New Roman" w:hint="eastAsia"/>
          <w:sz w:val="21"/>
          <w:szCs w:val="21"/>
        </w:rPr>
        <w:t>标准《混凝土搅拌运输车》</w:t>
      </w:r>
      <w:r>
        <w:rPr>
          <w:rFonts w:cs="Times New Roman" w:hint="eastAsia"/>
          <w:sz w:val="21"/>
          <w:szCs w:val="21"/>
        </w:rPr>
        <w:t>JG/T</w:t>
      </w:r>
      <w:r>
        <w:rPr>
          <w:rFonts w:cs="Times New Roman" w:hint="eastAsia"/>
          <w:sz w:val="21"/>
          <w:szCs w:val="21"/>
        </w:rPr>
        <w:t xml:space="preserve"> </w:t>
      </w:r>
      <w:r>
        <w:rPr>
          <w:rFonts w:cs="Times New Roman" w:hint="eastAsia"/>
          <w:sz w:val="21"/>
          <w:szCs w:val="21"/>
        </w:rPr>
        <w:t>5094</w:t>
      </w:r>
      <w:r>
        <w:rPr>
          <w:rFonts w:cs="Times New Roman" w:hint="eastAsia"/>
          <w:sz w:val="21"/>
          <w:szCs w:val="21"/>
        </w:rPr>
        <w:t>的规定</w:t>
      </w:r>
      <w:r>
        <w:rPr>
          <w:rFonts w:cs="Times New Roman" w:hint="eastAsia"/>
          <w:sz w:val="21"/>
          <w:szCs w:val="21"/>
        </w:rPr>
        <w:t>，</w:t>
      </w:r>
      <w:r>
        <w:rPr>
          <w:rFonts w:cs="Times New Roman" w:hint="eastAsia"/>
          <w:sz w:val="21"/>
          <w:szCs w:val="21"/>
        </w:rPr>
        <w:t>翻斗车由于密封不好等原因</w:t>
      </w:r>
      <w:r>
        <w:rPr>
          <w:rFonts w:cs="Times New Roman" w:hint="eastAsia"/>
          <w:sz w:val="21"/>
          <w:szCs w:val="21"/>
        </w:rPr>
        <w:t>，</w:t>
      </w:r>
      <w:r>
        <w:rPr>
          <w:rFonts w:cs="Times New Roman" w:hint="eastAsia"/>
          <w:sz w:val="21"/>
          <w:szCs w:val="21"/>
        </w:rPr>
        <w:t>仅限用于运送坍落度较小的混凝土拌合物。由于混凝土要求均匀浇筑</w:t>
      </w:r>
      <w:r>
        <w:rPr>
          <w:rFonts w:cs="Times New Roman" w:hint="eastAsia"/>
          <w:sz w:val="21"/>
          <w:szCs w:val="21"/>
        </w:rPr>
        <w:t>，</w:t>
      </w:r>
      <w:r>
        <w:rPr>
          <w:rFonts w:cs="Times New Roman" w:hint="eastAsia"/>
          <w:sz w:val="21"/>
          <w:szCs w:val="21"/>
        </w:rPr>
        <w:t>所以浇筑前的运输过程不能让拌合物产生分层离析。对于寒冷或炎热的气候情况</w:t>
      </w:r>
      <w:r>
        <w:rPr>
          <w:rFonts w:cs="Times New Roman" w:hint="eastAsia"/>
          <w:sz w:val="21"/>
          <w:szCs w:val="21"/>
        </w:rPr>
        <w:t>,</w:t>
      </w:r>
      <w:r>
        <w:rPr>
          <w:rFonts w:cs="Times New Roman" w:hint="eastAsia"/>
          <w:sz w:val="21"/>
          <w:szCs w:val="21"/>
        </w:rPr>
        <w:t>搅拌运输车的搅拌罐应有保温隔热措施</w:t>
      </w:r>
      <w:r>
        <w:rPr>
          <w:rFonts w:cs="Times New Roman" w:hint="eastAsia"/>
          <w:sz w:val="21"/>
          <w:szCs w:val="21"/>
        </w:rPr>
        <w:t>，</w:t>
      </w:r>
      <w:r>
        <w:rPr>
          <w:rFonts w:cs="Times New Roman" w:hint="eastAsia"/>
          <w:sz w:val="21"/>
          <w:szCs w:val="21"/>
        </w:rPr>
        <w:t>目的是不让混凝土受冻或受热。</w:t>
      </w:r>
    </w:p>
    <w:p w:rsidR="00ED5264" w:rsidRDefault="00B65917">
      <w:pPr>
        <w:pStyle w:val="affc"/>
        <w:rPr>
          <w:rFonts w:cs="Times New Roman"/>
          <w:sz w:val="21"/>
          <w:szCs w:val="21"/>
        </w:rPr>
      </w:pPr>
      <w:r>
        <w:rPr>
          <w:rFonts w:cs="Times New Roman"/>
          <w:b/>
          <w:bCs/>
          <w:sz w:val="21"/>
          <w:szCs w:val="21"/>
        </w:rPr>
        <w:t>7.5.2</w:t>
      </w:r>
      <w:r>
        <w:rPr>
          <w:rFonts w:cs="Times New Roman"/>
          <w:sz w:val="21"/>
          <w:szCs w:val="21"/>
        </w:rPr>
        <w:t xml:space="preserve">  </w:t>
      </w:r>
      <w:r>
        <w:rPr>
          <w:rFonts w:cs="Times New Roman" w:hint="eastAsia"/>
          <w:sz w:val="21"/>
          <w:szCs w:val="21"/>
        </w:rPr>
        <w:t>混凝土严禁</w:t>
      </w:r>
      <w:r>
        <w:rPr>
          <w:rFonts w:cs="Times New Roman" w:hint="eastAsia"/>
          <w:sz w:val="21"/>
          <w:szCs w:val="21"/>
        </w:rPr>
        <w:t>运输过程</w:t>
      </w:r>
      <w:r>
        <w:rPr>
          <w:rFonts w:cs="Times New Roman" w:hint="eastAsia"/>
          <w:sz w:val="21"/>
          <w:szCs w:val="21"/>
        </w:rPr>
        <w:t>中途加水，</w:t>
      </w:r>
      <w:r>
        <w:rPr>
          <w:rFonts w:cs="Times New Roman" w:hint="eastAsia"/>
          <w:sz w:val="21"/>
          <w:szCs w:val="21"/>
        </w:rPr>
        <w:t>改变混凝土的</w:t>
      </w:r>
      <w:r>
        <w:rPr>
          <w:rFonts w:cs="Times New Roman" w:hint="eastAsia"/>
          <w:sz w:val="21"/>
          <w:szCs w:val="21"/>
        </w:rPr>
        <w:t>实际</w:t>
      </w:r>
      <w:r>
        <w:rPr>
          <w:rFonts w:cs="Times New Roman" w:hint="eastAsia"/>
          <w:sz w:val="21"/>
          <w:szCs w:val="21"/>
        </w:rPr>
        <w:t>水胶比。卸料前可以根据拌合物坍落度损失情况掺</w:t>
      </w:r>
      <w:r>
        <w:rPr>
          <w:rFonts w:cs="Times New Roman" w:hint="eastAsia"/>
          <w:sz w:val="21"/>
          <w:szCs w:val="21"/>
        </w:rPr>
        <w:t>入</w:t>
      </w:r>
      <w:r>
        <w:rPr>
          <w:rFonts w:cs="Times New Roman" w:hint="eastAsia"/>
          <w:sz w:val="21"/>
          <w:szCs w:val="21"/>
        </w:rPr>
        <w:t>有预案的外加剂</w:t>
      </w:r>
      <w:r>
        <w:rPr>
          <w:rFonts w:cs="Times New Roman" w:hint="eastAsia"/>
          <w:sz w:val="21"/>
          <w:szCs w:val="21"/>
        </w:rPr>
        <w:t>，</w:t>
      </w:r>
      <w:r>
        <w:rPr>
          <w:rFonts w:cs="Times New Roman" w:hint="eastAsia"/>
          <w:sz w:val="21"/>
          <w:szCs w:val="21"/>
        </w:rPr>
        <w:t>并快速旋转搅拌罐</w:t>
      </w:r>
      <w:r>
        <w:rPr>
          <w:rFonts w:cs="Times New Roman" w:hint="eastAsia"/>
          <w:sz w:val="21"/>
          <w:szCs w:val="21"/>
        </w:rPr>
        <w:t>,</w:t>
      </w:r>
      <w:r>
        <w:rPr>
          <w:rFonts w:cs="Times New Roman" w:hint="eastAsia"/>
          <w:sz w:val="21"/>
          <w:szCs w:val="21"/>
        </w:rPr>
        <w:t>使混凝土拌合物均匀。</w:t>
      </w:r>
    </w:p>
    <w:p w:rsidR="00ED5264" w:rsidRDefault="00B65917">
      <w:pPr>
        <w:pStyle w:val="affc"/>
        <w:rPr>
          <w:rFonts w:cs="Times New Roman"/>
          <w:sz w:val="21"/>
          <w:szCs w:val="21"/>
        </w:rPr>
      </w:pPr>
      <w:r>
        <w:rPr>
          <w:rFonts w:cs="Times New Roman"/>
          <w:b/>
          <w:bCs/>
          <w:sz w:val="21"/>
          <w:szCs w:val="21"/>
        </w:rPr>
        <w:t>7.5.3</w:t>
      </w:r>
      <w:r>
        <w:rPr>
          <w:rFonts w:cs="Times New Roman"/>
          <w:sz w:val="21"/>
          <w:szCs w:val="21"/>
        </w:rPr>
        <w:t xml:space="preserve">  </w:t>
      </w:r>
      <w:r>
        <w:rPr>
          <w:rFonts w:cs="Times New Roman" w:hint="eastAsia"/>
          <w:sz w:val="21"/>
          <w:szCs w:val="21"/>
        </w:rPr>
        <w:t>限定混凝土运输时间不大于</w:t>
      </w:r>
      <w:r>
        <w:rPr>
          <w:rFonts w:cs="Times New Roman" w:hint="eastAsia"/>
          <w:sz w:val="21"/>
          <w:szCs w:val="21"/>
        </w:rPr>
        <w:t>90min</w:t>
      </w:r>
      <w:r>
        <w:rPr>
          <w:rFonts w:cs="Times New Roman" w:hint="eastAsia"/>
          <w:sz w:val="21"/>
          <w:szCs w:val="21"/>
        </w:rPr>
        <w:t>，</w:t>
      </w:r>
      <w:r>
        <w:rPr>
          <w:rFonts w:cs="Times New Roman" w:hint="eastAsia"/>
          <w:sz w:val="21"/>
          <w:szCs w:val="21"/>
        </w:rPr>
        <w:t>是为了后续泵送浇筑振捣时拌合物还有足够的工作性能</w:t>
      </w:r>
      <w:r>
        <w:rPr>
          <w:rFonts w:cs="Times New Roman" w:hint="eastAsia"/>
          <w:sz w:val="21"/>
          <w:szCs w:val="21"/>
        </w:rPr>
        <w:t>，</w:t>
      </w:r>
      <w:r>
        <w:rPr>
          <w:rFonts w:cs="Times New Roman" w:hint="eastAsia"/>
          <w:sz w:val="21"/>
          <w:szCs w:val="21"/>
        </w:rPr>
        <w:t>如需延长运送时间，则应采取有效措施</w:t>
      </w:r>
      <w:r>
        <w:rPr>
          <w:rFonts w:cs="Times New Roman" w:hint="eastAsia"/>
          <w:sz w:val="21"/>
          <w:szCs w:val="21"/>
        </w:rPr>
        <w:t>，</w:t>
      </w:r>
      <w:r>
        <w:rPr>
          <w:rFonts w:cs="Times New Roman" w:hint="eastAsia"/>
          <w:sz w:val="21"/>
          <w:szCs w:val="21"/>
        </w:rPr>
        <w:t>如增加外加剂的缓凝</w:t>
      </w:r>
      <w:r>
        <w:rPr>
          <w:rFonts w:cs="Times New Roman" w:hint="eastAsia"/>
          <w:sz w:val="21"/>
          <w:szCs w:val="21"/>
        </w:rPr>
        <w:t>和缓释</w:t>
      </w:r>
      <w:r>
        <w:rPr>
          <w:rFonts w:cs="Times New Roman" w:hint="eastAsia"/>
          <w:sz w:val="21"/>
          <w:szCs w:val="21"/>
        </w:rPr>
        <w:t>成分</w:t>
      </w:r>
      <w:r>
        <w:rPr>
          <w:rFonts w:cs="Times New Roman" w:hint="eastAsia"/>
          <w:sz w:val="21"/>
          <w:szCs w:val="21"/>
        </w:rPr>
        <w:t>；</w:t>
      </w:r>
      <w:r>
        <w:rPr>
          <w:rFonts w:cs="Times New Roman" w:hint="eastAsia"/>
          <w:sz w:val="21"/>
          <w:szCs w:val="21"/>
        </w:rPr>
        <w:t>当采用翻斗车运输时，由于密封不好</w:t>
      </w:r>
      <w:r>
        <w:rPr>
          <w:rFonts w:cs="Times New Roman" w:hint="eastAsia"/>
          <w:sz w:val="21"/>
          <w:szCs w:val="21"/>
        </w:rPr>
        <w:t>，</w:t>
      </w:r>
      <w:r>
        <w:rPr>
          <w:rFonts w:cs="Times New Roman" w:hint="eastAsia"/>
          <w:sz w:val="21"/>
          <w:szCs w:val="21"/>
        </w:rPr>
        <w:t>应缩短运输时间。</w:t>
      </w:r>
    </w:p>
    <w:p w:rsidR="00ED5264" w:rsidRDefault="00B65917">
      <w:pPr>
        <w:pStyle w:val="affc"/>
        <w:rPr>
          <w:rFonts w:cs="Times New Roman"/>
          <w:sz w:val="21"/>
          <w:szCs w:val="21"/>
        </w:rPr>
      </w:pPr>
      <w:r>
        <w:rPr>
          <w:rFonts w:cs="Times New Roman"/>
          <w:b/>
          <w:bCs/>
          <w:sz w:val="21"/>
          <w:szCs w:val="21"/>
        </w:rPr>
        <w:t>7.5.</w:t>
      </w:r>
      <w:r>
        <w:rPr>
          <w:rFonts w:cs="Times New Roman" w:hint="eastAsia"/>
          <w:b/>
          <w:bCs/>
          <w:sz w:val="21"/>
          <w:szCs w:val="21"/>
        </w:rPr>
        <w:t>4</w:t>
      </w:r>
      <w:r>
        <w:rPr>
          <w:rFonts w:cs="Times New Roman"/>
          <w:sz w:val="21"/>
          <w:szCs w:val="21"/>
        </w:rPr>
        <w:t xml:space="preserve">  </w:t>
      </w:r>
      <w:r>
        <w:rPr>
          <w:rFonts w:cs="Times New Roman" w:hint="eastAsia"/>
          <w:sz w:val="21"/>
          <w:szCs w:val="21"/>
        </w:rPr>
        <w:t>如果混凝土运输间断</w:t>
      </w:r>
      <w:r>
        <w:rPr>
          <w:rFonts w:cs="Times New Roman" w:hint="eastAsia"/>
          <w:sz w:val="21"/>
          <w:szCs w:val="21"/>
        </w:rPr>
        <w:t>，</w:t>
      </w:r>
      <w:r>
        <w:rPr>
          <w:rFonts w:cs="Times New Roman" w:hint="eastAsia"/>
          <w:sz w:val="21"/>
          <w:szCs w:val="21"/>
        </w:rPr>
        <w:t>浇筑现场出现停工待料</w:t>
      </w:r>
      <w:r>
        <w:rPr>
          <w:rFonts w:cs="Times New Roman" w:hint="eastAsia"/>
          <w:sz w:val="21"/>
          <w:szCs w:val="21"/>
        </w:rPr>
        <w:t>，</w:t>
      </w:r>
      <w:r>
        <w:rPr>
          <w:rFonts w:cs="Times New Roman" w:hint="eastAsia"/>
          <w:sz w:val="21"/>
          <w:szCs w:val="21"/>
        </w:rPr>
        <w:t>就可能会造成浇筑冷缝和蜂窝麻面狗洞等质量缺陷</w:t>
      </w:r>
      <w:r>
        <w:rPr>
          <w:rFonts w:cs="Times New Roman" w:hint="eastAsia"/>
          <w:sz w:val="21"/>
          <w:szCs w:val="21"/>
        </w:rPr>
        <w:t>，</w:t>
      </w:r>
      <w:r>
        <w:rPr>
          <w:rFonts w:cs="Times New Roman" w:hint="eastAsia"/>
          <w:sz w:val="21"/>
          <w:szCs w:val="21"/>
        </w:rPr>
        <w:t>所以运输必须保证现场浇筑的连续性。</w:t>
      </w:r>
    </w:p>
    <w:p w:rsidR="00ED5264" w:rsidRDefault="00B65917">
      <w:pPr>
        <w:spacing w:beforeLines="100" w:before="312" w:afterLines="100" w:after="312"/>
        <w:jc w:val="center"/>
        <w:outlineLvl w:val="1"/>
        <w:rPr>
          <w:b/>
          <w:bCs/>
          <w:sz w:val="24"/>
          <w:szCs w:val="24"/>
        </w:rPr>
      </w:pPr>
      <w:bookmarkStart w:id="898" w:name="_Toc25912892"/>
      <w:bookmarkStart w:id="899" w:name="_Toc5445"/>
      <w:bookmarkStart w:id="900" w:name="_Toc11223"/>
      <w:bookmarkStart w:id="901" w:name="_Toc23260568"/>
      <w:bookmarkStart w:id="902" w:name="_Toc486247970"/>
      <w:bookmarkStart w:id="903" w:name="_Toc509849601"/>
      <w:bookmarkStart w:id="904" w:name="_Toc472351533"/>
      <w:bookmarkStart w:id="905" w:name="_Toc6051"/>
      <w:bookmarkStart w:id="906" w:name="_Toc8857"/>
      <w:bookmarkStart w:id="907" w:name="_Toc22895693"/>
      <w:bookmarkStart w:id="908" w:name="_Toc509849398"/>
      <w:bookmarkStart w:id="909" w:name="_Toc18301"/>
      <w:bookmarkStart w:id="910" w:name="_Toc481589661"/>
      <w:bookmarkStart w:id="911" w:name="_Toc23260897"/>
      <w:bookmarkStart w:id="912" w:name="_Toc481586566"/>
      <w:bookmarkStart w:id="913" w:name="_Toc22882"/>
      <w:bookmarkStart w:id="914" w:name="_Toc481589869"/>
      <w:bookmarkStart w:id="915" w:name="_Toc481589765"/>
      <w:bookmarkStart w:id="916" w:name="_Toc17937"/>
      <w:r>
        <w:rPr>
          <w:b/>
          <w:bCs/>
          <w:sz w:val="24"/>
          <w:szCs w:val="24"/>
        </w:rPr>
        <w:t xml:space="preserve">7.6 </w:t>
      </w:r>
      <w:r>
        <w:rPr>
          <w:b/>
          <w:bCs/>
          <w:sz w:val="24"/>
          <w:szCs w:val="24"/>
        </w:rPr>
        <w:t>浇筑</w:t>
      </w:r>
      <w:bookmarkEnd w:id="898"/>
      <w:bookmarkEnd w:id="899"/>
      <w:bookmarkEnd w:id="900"/>
      <w:bookmarkEnd w:id="901"/>
      <w:bookmarkEnd w:id="902"/>
      <w:bookmarkEnd w:id="903"/>
      <w:bookmarkEnd w:id="904"/>
      <w:bookmarkEnd w:id="905"/>
      <w:bookmarkEnd w:id="906"/>
      <w:bookmarkEnd w:id="907"/>
      <w:bookmarkEnd w:id="908"/>
      <w:bookmarkEnd w:id="909"/>
      <w:bookmarkEnd w:id="910"/>
      <w:bookmarkEnd w:id="911"/>
      <w:bookmarkEnd w:id="912"/>
      <w:bookmarkEnd w:id="913"/>
      <w:bookmarkEnd w:id="914"/>
      <w:bookmarkEnd w:id="915"/>
      <w:bookmarkEnd w:id="916"/>
    </w:p>
    <w:p w:rsidR="00ED5264" w:rsidRDefault="00B65917">
      <w:pPr>
        <w:pStyle w:val="affc"/>
        <w:rPr>
          <w:rFonts w:cs="Times New Roman"/>
          <w:sz w:val="21"/>
          <w:szCs w:val="21"/>
        </w:rPr>
      </w:pPr>
      <w:r>
        <w:rPr>
          <w:rFonts w:cs="Times New Roman"/>
          <w:b/>
          <w:bCs/>
          <w:sz w:val="21"/>
          <w:szCs w:val="21"/>
        </w:rPr>
        <w:t>7.6.1</w:t>
      </w:r>
      <w:r>
        <w:rPr>
          <w:rFonts w:cs="Times New Roman"/>
          <w:sz w:val="21"/>
          <w:szCs w:val="21"/>
        </w:rPr>
        <w:t xml:space="preserve">  </w:t>
      </w:r>
      <w:r>
        <w:rPr>
          <w:rFonts w:cs="Times New Roman" w:hint="eastAsia"/>
          <w:sz w:val="21"/>
          <w:szCs w:val="21"/>
        </w:rPr>
        <w:t>检查混凝土模板稳定性和拼缝密合性</w:t>
      </w:r>
      <w:r>
        <w:rPr>
          <w:rFonts w:cs="Times New Roman" w:hint="eastAsia"/>
          <w:sz w:val="21"/>
          <w:szCs w:val="21"/>
        </w:rPr>
        <w:t>，</w:t>
      </w:r>
      <w:r>
        <w:rPr>
          <w:rFonts w:cs="Times New Roman" w:hint="eastAsia"/>
          <w:sz w:val="21"/>
          <w:szCs w:val="21"/>
        </w:rPr>
        <w:t>是为了保证混凝土</w:t>
      </w:r>
      <w:r>
        <w:rPr>
          <w:rFonts w:cs="Times New Roman" w:hint="eastAsia"/>
          <w:sz w:val="21"/>
          <w:szCs w:val="21"/>
        </w:rPr>
        <w:t>实体的</w:t>
      </w:r>
      <w:r>
        <w:rPr>
          <w:rFonts w:cs="Times New Roman" w:hint="eastAsia"/>
          <w:sz w:val="21"/>
          <w:szCs w:val="21"/>
        </w:rPr>
        <w:t>浇筑质量。</w:t>
      </w:r>
    </w:p>
    <w:p w:rsidR="00ED5264" w:rsidRDefault="00B65917">
      <w:pPr>
        <w:pStyle w:val="affc"/>
        <w:rPr>
          <w:rFonts w:cs="Times New Roman"/>
          <w:sz w:val="21"/>
          <w:szCs w:val="21"/>
        </w:rPr>
      </w:pPr>
      <w:r>
        <w:rPr>
          <w:rFonts w:cs="Times New Roman"/>
          <w:b/>
          <w:bCs/>
          <w:sz w:val="21"/>
          <w:szCs w:val="21"/>
        </w:rPr>
        <w:t>7.6.2</w:t>
      </w:r>
      <w:r>
        <w:rPr>
          <w:rFonts w:cs="Times New Roman"/>
          <w:sz w:val="21"/>
          <w:szCs w:val="21"/>
        </w:rPr>
        <w:t xml:space="preserve">  </w:t>
      </w:r>
      <w:r>
        <w:rPr>
          <w:rFonts w:cs="Times New Roman" w:hint="eastAsia"/>
          <w:sz w:val="21"/>
          <w:szCs w:val="21"/>
        </w:rPr>
        <w:t>炎热季节限定拌合物入模温度不宜高于</w:t>
      </w:r>
      <w:r>
        <w:rPr>
          <w:rFonts w:cs="Times New Roman" w:hint="eastAsia"/>
          <w:sz w:val="21"/>
          <w:szCs w:val="21"/>
        </w:rPr>
        <w:t>35</w:t>
      </w:r>
      <w:r>
        <w:rPr>
          <w:rFonts w:cs="Times New Roman" w:hint="eastAsia"/>
          <w:sz w:val="21"/>
          <w:szCs w:val="21"/>
        </w:rPr>
        <w:t>℃，选择一天中气温较低时段进行浇筑，采取隔热措施；冬期限定拌合物入模温度不宜低于</w:t>
      </w:r>
      <w:r>
        <w:rPr>
          <w:rFonts w:cs="Times New Roman" w:hint="eastAsia"/>
          <w:sz w:val="21"/>
          <w:szCs w:val="21"/>
        </w:rPr>
        <w:t>5</w:t>
      </w:r>
      <w:r>
        <w:rPr>
          <w:rFonts w:cs="Times New Roman" w:hint="eastAsia"/>
          <w:sz w:val="21"/>
          <w:szCs w:val="21"/>
        </w:rPr>
        <w:t>℃，采取保温措施</w:t>
      </w:r>
      <w:r>
        <w:rPr>
          <w:rFonts w:cs="Times New Roman" w:hint="eastAsia"/>
          <w:sz w:val="21"/>
          <w:szCs w:val="21"/>
        </w:rPr>
        <w:t>等</w:t>
      </w:r>
      <w:r>
        <w:rPr>
          <w:rFonts w:cs="Times New Roman" w:hint="eastAsia"/>
          <w:sz w:val="21"/>
          <w:szCs w:val="21"/>
        </w:rPr>
        <w:t>都是为了保证混凝土结构构件的浇筑质量。</w:t>
      </w:r>
    </w:p>
    <w:p w:rsidR="00ED5264" w:rsidRDefault="00B65917">
      <w:pPr>
        <w:pStyle w:val="affc"/>
        <w:rPr>
          <w:rFonts w:cs="Times New Roman"/>
          <w:sz w:val="21"/>
          <w:szCs w:val="21"/>
        </w:rPr>
      </w:pPr>
      <w:r>
        <w:rPr>
          <w:rFonts w:cs="Times New Roman"/>
          <w:b/>
          <w:bCs/>
          <w:sz w:val="21"/>
          <w:szCs w:val="21"/>
        </w:rPr>
        <w:t>7.6.3</w:t>
      </w:r>
      <w:r>
        <w:rPr>
          <w:rFonts w:cs="Times New Roman"/>
          <w:sz w:val="21"/>
          <w:szCs w:val="21"/>
        </w:rPr>
        <w:t xml:space="preserve">  </w:t>
      </w:r>
      <w:r>
        <w:rPr>
          <w:rFonts w:cs="Times New Roman" w:hint="eastAsia"/>
          <w:sz w:val="21"/>
          <w:szCs w:val="21"/>
        </w:rPr>
        <w:t>对于运输到达施工现场的混凝土拌合物</w:t>
      </w:r>
      <w:r>
        <w:rPr>
          <w:rFonts w:cs="Times New Roman" w:hint="eastAsia"/>
          <w:sz w:val="21"/>
          <w:szCs w:val="21"/>
        </w:rPr>
        <w:t>,</w:t>
      </w:r>
      <w:r>
        <w:rPr>
          <w:rFonts w:cs="Times New Roman" w:hint="eastAsia"/>
          <w:sz w:val="21"/>
          <w:szCs w:val="21"/>
        </w:rPr>
        <w:t>如果选用泵机进行泵送</w:t>
      </w:r>
      <w:r>
        <w:rPr>
          <w:rFonts w:cs="Times New Roman" w:hint="eastAsia"/>
          <w:sz w:val="21"/>
          <w:szCs w:val="21"/>
        </w:rPr>
        <w:t>,</w:t>
      </w:r>
      <w:r>
        <w:rPr>
          <w:rFonts w:cs="Times New Roman" w:hint="eastAsia"/>
          <w:sz w:val="21"/>
          <w:szCs w:val="21"/>
        </w:rPr>
        <w:t>则泵送设备的选择、布置及司泵操作执行现行行业标准</w:t>
      </w:r>
      <w:r>
        <w:rPr>
          <w:rFonts w:cs="Times New Roman" w:hint="eastAsia"/>
          <w:sz w:val="21"/>
          <w:szCs w:val="21"/>
        </w:rPr>
        <w:t>JGJ/T</w:t>
      </w:r>
      <w:r>
        <w:rPr>
          <w:rFonts w:cs="Times New Roman" w:hint="eastAsia"/>
          <w:sz w:val="21"/>
          <w:szCs w:val="21"/>
        </w:rPr>
        <w:t xml:space="preserve"> </w:t>
      </w:r>
      <w:r>
        <w:rPr>
          <w:rFonts w:cs="Times New Roman" w:hint="eastAsia"/>
          <w:sz w:val="21"/>
          <w:szCs w:val="21"/>
        </w:rPr>
        <w:t xml:space="preserve">10 </w:t>
      </w:r>
      <w:r>
        <w:rPr>
          <w:rFonts w:cs="Times New Roman" w:hint="eastAsia"/>
          <w:sz w:val="21"/>
          <w:szCs w:val="21"/>
        </w:rPr>
        <w:t>的规定。</w:t>
      </w:r>
    </w:p>
    <w:p w:rsidR="00ED5264" w:rsidRDefault="00B65917">
      <w:pPr>
        <w:spacing w:beforeLines="100" w:before="312" w:afterLines="100" w:after="312"/>
        <w:jc w:val="center"/>
        <w:outlineLvl w:val="1"/>
        <w:rPr>
          <w:b/>
          <w:bCs/>
          <w:sz w:val="24"/>
          <w:szCs w:val="24"/>
        </w:rPr>
      </w:pPr>
      <w:bookmarkStart w:id="917" w:name="_Toc509849602"/>
      <w:bookmarkStart w:id="918" w:name="_Toc5043"/>
      <w:bookmarkStart w:id="919" w:name="_Toc22895694"/>
      <w:bookmarkStart w:id="920" w:name="_Toc509849399"/>
      <w:bookmarkStart w:id="921" w:name="_Toc23260898"/>
      <w:bookmarkStart w:id="922" w:name="_Toc486247971"/>
      <w:bookmarkStart w:id="923" w:name="_Toc481589870"/>
      <w:bookmarkStart w:id="924" w:name="_Toc481589662"/>
      <w:bookmarkStart w:id="925" w:name="_Toc472351534"/>
      <w:bookmarkStart w:id="926" w:name="_Toc481586567"/>
      <w:bookmarkStart w:id="927" w:name="_Toc23260569"/>
      <w:bookmarkStart w:id="928" w:name="_Toc25912893"/>
      <w:bookmarkStart w:id="929" w:name="_Toc28595"/>
      <w:bookmarkStart w:id="930" w:name="_Toc28135"/>
      <w:bookmarkStart w:id="931" w:name="_Toc481589766"/>
      <w:bookmarkStart w:id="932" w:name="_Toc29148"/>
      <w:bookmarkStart w:id="933" w:name="_Toc20232"/>
      <w:bookmarkStart w:id="934" w:name="_Toc22720"/>
      <w:bookmarkStart w:id="935" w:name="_Toc455"/>
      <w:r>
        <w:rPr>
          <w:b/>
          <w:bCs/>
          <w:sz w:val="24"/>
          <w:szCs w:val="24"/>
        </w:rPr>
        <w:t xml:space="preserve">7.7 </w:t>
      </w:r>
      <w:r>
        <w:rPr>
          <w:b/>
          <w:bCs/>
          <w:sz w:val="24"/>
          <w:szCs w:val="24"/>
        </w:rPr>
        <w:t>养护</w:t>
      </w:r>
      <w:bookmarkEnd w:id="917"/>
      <w:bookmarkEnd w:id="918"/>
      <w:bookmarkEnd w:id="919"/>
      <w:bookmarkEnd w:id="920"/>
      <w:bookmarkEnd w:id="921"/>
      <w:bookmarkEnd w:id="922"/>
      <w:bookmarkEnd w:id="923"/>
      <w:bookmarkEnd w:id="924"/>
      <w:bookmarkEnd w:id="925"/>
      <w:bookmarkEnd w:id="926"/>
      <w:bookmarkEnd w:id="927"/>
      <w:bookmarkEnd w:id="928"/>
      <w:bookmarkEnd w:id="929"/>
      <w:bookmarkEnd w:id="930"/>
      <w:bookmarkEnd w:id="931"/>
      <w:bookmarkEnd w:id="932"/>
      <w:bookmarkEnd w:id="933"/>
      <w:bookmarkEnd w:id="934"/>
      <w:bookmarkEnd w:id="935"/>
    </w:p>
    <w:p w:rsidR="00ED5264" w:rsidRDefault="00B65917">
      <w:pPr>
        <w:pStyle w:val="affc"/>
        <w:rPr>
          <w:rFonts w:cs="Times New Roman"/>
          <w:sz w:val="21"/>
          <w:szCs w:val="21"/>
        </w:rPr>
      </w:pPr>
      <w:r>
        <w:rPr>
          <w:rFonts w:cs="Times New Roman"/>
          <w:b/>
          <w:bCs/>
          <w:sz w:val="21"/>
          <w:szCs w:val="21"/>
        </w:rPr>
        <w:t>7.7.1</w:t>
      </w:r>
      <w:r>
        <w:rPr>
          <w:rFonts w:cs="Times New Roman"/>
          <w:sz w:val="21"/>
          <w:szCs w:val="21"/>
        </w:rPr>
        <w:t xml:space="preserve">  </w:t>
      </w:r>
      <w:r>
        <w:rPr>
          <w:rFonts w:cs="Times New Roman" w:hint="eastAsia"/>
          <w:sz w:val="21"/>
          <w:szCs w:val="21"/>
        </w:rPr>
        <w:t>水分散失是新浇筑混凝土结构构件开裂的重要原因</w:t>
      </w:r>
      <w:r>
        <w:rPr>
          <w:rFonts w:cs="Times New Roman" w:hint="eastAsia"/>
          <w:sz w:val="21"/>
          <w:szCs w:val="21"/>
        </w:rPr>
        <w:t>之一</w:t>
      </w:r>
      <w:r>
        <w:rPr>
          <w:rFonts w:cs="Times New Roman" w:hint="eastAsia"/>
          <w:sz w:val="21"/>
          <w:szCs w:val="21"/>
        </w:rPr>
        <w:t>，所以及时用塑料薄膜等覆盖物覆盖新浇筑的混凝土，能有效防止水分散失。</w:t>
      </w:r>
    </w:p>
    <w:p w:rsidR="00ED5264" w:rsidRDefault="00B65917">
      <w:pPr>
        <w:pStyle w:val="affc"/>
        <w:rPr>
          <w:rFonts w:cs="Times New Roman"/>
          <w:sz w:val="21"/>
          <w:szCs w:val="21"/>
        </w:rPr>
      </w:pPr>
      <w:r>
        <w:rPr>
          <w:rFonts w:cs="Times New Roman"/>
          <w:b/>
          <w:bCs/>
          <w:sz w:val="21"/>
          <w:szCs w:val="21"/>
        </w:rPr>
        <w:t>7.7.2</w:t>
      </w:r>
      <w:r>
        <w:rPr>
          <w:rFonts w:cs="Times New Roman"/>
          <w:sz w:val="21"/>
          <w:szCs w:val="21"/>
        </w:rPr>
        <w:t xml:space="preserve">  </w:t>
      </w:r>
      <w:r>
        <w:rPr>
          <w:rFonts w:cs="Times New Roman" w:hint="eastAsia"/>
          <w:sz w:val="21"/>
          <w:szCs w:val="21"/>
        </w:rPr>
        <w:t>限定养护水温与混凝土表面温</w:t>
      </w:r>
      <w:r>
        <w:rPr>
          <w:rFonts w:cs="Times New Roman" w:hint="eastAsia"/>
          <w:sz w:val="21"/>
          <w:szCs w:val="21"/>
        </w:rPr>
        <w:t>度之差能有效控制温度裂缝</w:t>
      </w:r>
      <w:r>
        <w:rPr>
          <w:rFonts w:cs="Times New Roman" w:hint="eastAsia"/>
          <w:sz w:val="21"/>
          <w:szCs w:val="21"/>
        </w:rPr>
        <w:t>，</w:t>
      </w:r>
      <w:r>
        <w:rPr>
          <w:rFonts w:cs="Times New Roman" w:hint="eastAsia"/>
          <w:sz w:val="21"/>
          <w:szCs w:val="21"/>
        </w:rPr>
        <w:t>充分保温保湿养护能有效促进水泥水化反应</w:t>
      </w:r>
      <w:r>
        <w:rPr>
          <w:rFonts w:cs="Times New Roman" w:hint="eastAsia"/>
          <w:sz w:val="21"/>
          <w:szCs w:val="21"/>
        </w:rPr>
        <w:t>，</w:t>
      </w:r>
      <w:r>
        <w:rPr>
          <w:rFonts w:cs="Times New Roman" w:hint="eastAsia"/>
          <w:sz w:val="21"/>
          <w:szCs w:val="21"/>
        </w:rPr>
        <w:t>保障混凝土强度发展和混凝土体积稳定。</w:t>
      </w:r>
      <w:r>
        <w:rPr>
          <w:rFonts w:cs="Times New Roman" w:hint="eastAsia"/>
          <w:sz w:val="21"/>
          <w:szCs w:val="21"/>
        </w:rPr>
        <w:t>混凝土的温度收缩主要发生在浇筑后的</w:t>
      </w:r>
      <w:r>
        <w:rPr>
          <w:rFonts w:cs="Times New Roman" w:hint="eastAsia"/>
          <w:sz w:val="21"/>
          <w:szCs w:val="21"/>
        </w:rPr>
        <w:t>3d</w:t>
      </w:r>
      <w:r>
        <w:rPr>
          <w:rFonts w:cs="Times New Roman" w:hint="eastAsia"/>
          <w:sz w:val="21"/>
          <w:szCs w:val="21"/>
        </w:rPr>
        <w:t>内，干燥收缩主要发生在浇筑后的</w:t>
      </w:r>
      <w:r>
        <w:rPr>
          <w:rFonts w:cs="Times New Roman" w:hint="eastAsia"/>
          <w:sz w:val="21"/>
          <w:szCs w:val="21"/>
        </w:rPr>
        <w:t>14d</w:t>
      </w:r>
      <w:r>
        <w:rPr>
          <w:rFonts w:cs="Times New Roman" w:hint="eastAsia"/>
          <w:sz w:val="21"/>
          <w:szCs w:val="21"/>
        </w:rPr>
        <w:t>内，为减少混凝土的干缩开裂风险，协调其他标准提出混凝土的保湿养护不低于</w:t>
      </w:r>
      <w:r>
        <w:rPr>
          <w:rFonts w:cs="Times New Roman" w:hint="eastAsia"/>
          <w:sz w:val="21"/>
          <w:szCs w:val="21"/>
        </w:rPr>
        <w:t>14d</w:t>
      </w:r>
      <w:r>
        <w:rPr>
          <w:rFonts w:cs="Times New Roman" w:hint="eastAsia"/>
          <w:sz w:val="21"/>
          <w:szCs w:val="21"/>
        </w:rPr>
        <w:t>的规定。</w:t>
      </w:r>
    </w:p>
    <w:p w:rsidR="00ED5264" w:rsidRDefault="00B65917">
      <w:pPr>
        <w:pStyle w:val="affc"/>
        <w:rPr>
          <w:rFonts w:cs="Times New Roman"/>
          <w:sz w:val="21"/>
          <w:szCs w:val="21"/>
        </w:rPr>
      </w:pPr>
      <w:r>
        <w:rPr>
          <w:rFonts w:cs="Times New Roman"/>
          <w:b/>
          <w:bCs/>
          <w:sz w:val="21"/>
          <w:szCs w:val="21"/>
        </w:rPr>
        <w:t>7.7.3</w:t>
      </w:r>
      <w:r>
        <w:rPr>
          <w:rFonts w:cs="Times New Roman"/>
          <w:sz w:val="21"/>
          <w:szCs w:val="21"/>
        </w:rPr>
        <w:t xml:space="preserve">  </w:t>
      </w:r>
      <w:r>
        <w:rPr>
          <w:rFonts w:cs="Times New Roman" w:hint="eastAsia"/>
          <w:sz w:val="21"/>
          <w:szCs w:val="21"/>
        </w:rPr>
        <w:t>大体积混凝土施工</w:t>
      </w:r>
      <w:r>
        <w:rPr>
          <w:rFonts w:cs="Times New Roman" w:hint="eastAsia"/>
          <w:sz w:val="21"/>
          <w:szCs w:val="21"/>
        </w:rPr>
        <w:t>，</w:t>
      </w:r>
      <w:r>
        <w:rPr>
          <w:rFonts w:cs="Times New Roman" w:hint="eastAsia"/>
          <w:sz w:val="21"/>
          <w:szCs w:val="21"/>
        </w:rPr>
        <w:t>都必须采取温控措施</w:t>
      </w:r>
      <w:r>
        <w:rPr>
          <w:rFonts w:cs="Times New Roman" w:hint="eastAsia"/>
          <w:sz w:val="21"/>
          <w:szCs w:val="21"/>
        </w:rPr>
        <w:t>，</w:t>
      </w:r>
      <w:r>
        <w:rPr>
          <w:rFonts w:cs="Times New Roman" w:hint="eastAsia"/>
          <w:sz w:val="21"/>
          <w:szCs w:val="21"/>
        </w:rPr>
        <w:t>控制混凝土中心温度与混凝土体表温度之差不超过</w:t>
      </w:r>
      <w:r>
        <w:rPr>
          <w:rFonts w:cs="Times New Roman" w:hint="eastAsia"/>
          <w:sz w:val="21"/>
          <w:szCs w:val="21"/>
        </w:rPr>
        <w:t>25</w:t>
      </w:r>
      <w:r>
        <w:rPr>
          <w:rFonts w:cs="Times New Roman" w:hint="eastAsia"/>
          <w:sz w:val="21"/>
          <w:szCs w:val="21"/>
        </w:rPr>
        <w:t>℃</w:t>
      </w:r>
      <w:r>
        <w:rPr>
          <w:rFonts w:cs="Times New Roman" w:hint="eastAsia"/>
          <w:sz w:val="21"/>
          <w:szCs w:val="21"/>
        </w:rPr>
        <w:t>，</w:t>
      </w:r>
      <w:r>
        <w:rPr>
          <w:rFonts w:cs="Times New Roman" w:hint="eastAsia"/>
          <w:sz w:val="21"/>
          <w:szCs w:val="21"/>
        </w:rPr>
        <w:t>同时控制混凝土体表温度与大气温度之差不大于</w:t>
      </w:r>
      <w:r>
        <w:rPr>
          <w:rFonts w:cs="Times New Roman" w:hint="eastAsia"/>
          <w:sz w:val="21"/>
          <w:szCs w:val="21"/>
        </w:rPr>
        <w:t>20</w:t>
      </w:r>
      <w:r>
        <w:rPr>
          <w:rFonts w:cs="Times New Roman" w:hint="eastAsia"/>
          <w:sz w:val="21"/>
          <w:szCs w:val="21"/>
        </w:rPr>
        <w:t>℃</w:t>
      </w:r>
      <w:r>
        <w:rPr>
          <w:rFonts w:cs="Times New Roman" w:hint="eastAsia"/>
          <w:sz w:val="21"/>
          <w:szCs w:val="21"/>
        </w:rPr>
        <w:t>,</w:t>
      </w:r>
      <w:r>
        <w:rPr>
          <w:rFonts w:cs="Times New Roman" w:hint="eastAsia"/>
          <w:sz w:val="21"/>
          <w:szCs w:val="21"/>
        </w:rPr>
        <w:t>以防止产生结构性裂缝。</w:t>
      </w:r>
    </w:p>
    <w:p w:rsidR="00ED5264" w:rsidRDefault="00B65917">
      <w:pPr>
        <w:pStyle w:val="affc"/>
        <w:rPr>
          <w:rFonts w:cs="Times New Roman"/>
          <w:sz w:val="21"/>
          <w:szCs w:val="21"/>
        </w:rPr>
      </w:pPr>
      <w:r>
        <w:rPr>
          <w:rFonts w:cs="Times New Roman"/>
          <w:b/>
          <w:bCs/>
          <w:sz w:val="21"/>
          <w:szCs w:val="21"/>
        </w:rPr>
        <w:t>7.7.</w:t>
      </w:r>
      <w:r>
        <w:rPr>
          <w:rFonts w:cs="Times New Roman" w:hint="eastAsia"/>
          <w:b/>
          <w:bCs/>
          <w:sz w:val="21"/>
          <w:szCs w:val="21"/>
        </w:rPr>
        <w:t>4</w:t>
      </w:r>
      <w:r>
        <w:rPr>
          <w:rFonts w:cs="Times New Roman"/>
          <w:sz w:val="21"/>
          <w:szCs w:val="21"/>
        </w:rPr>
        <w:t xml:space="preserve">  </w:t>
      </w:r>
      <w:r>
        <w:rPr>
          <w:rFonts w:cs="Times New Roman" w:hint="eastAsia"/>
          <w:sz w:val="21"/>
          <w:szCs w:val="21"/>
        </w:rPr>
        <w:t>本</w:t>
      </w:r>
      <w:r>
        <w:rPr>
          <w:rFonts w:cs="Times New Roman" w:hint="eastAsia"/>
          <w:sz w:val="21"/>
          <w:szCs w:val="21"/>
        </w:rPr>
        <w:t>条规定了</w:t>
      </w:r>
      <w:r>
        <w:rPr>
          <w:rFonts w:cs="Times New Roman" w:hint="eastAsia"/>
          <w:sz w:val="21"/>
          <w:szCs w:val="21"/>
        </w:rPr>
        <w:t>黄河超细砂</w:t>
      </w:r>
      <w:r>
        <w:rPr>
          <w:rFonts w:cs="Times New Roman" w:hint="eastAsia"/>
          <w:sz w:val="21"/>
          <w:szCs w:val="21"/>
        </w:rPr>
        <w:t>混合砂混凝土养护过程中的质量控制依据。</w:t>
      </w:r>
    </w:p>
    <w:p w:rsidR="00ED5264" w:rsidRDefault="00B65917">
      <w:pPr>
        <w:pStyle w:val="affc"/>
        <w:rPr>
          <w:rFonts w:cs="Times New Roman"/>
          <w:sz w:val="21"/>
          <w:szCs w:val="21"/>
        </w:rPr>
      </w:pPr>
      <w:r>
        <w:rPr>
          <w:rFonts w:cs="Times New Roman"/>
          <w:b/>
          <w:bCs/>
          <w:sz w:val="21"/>
          <w:szCs w:val="21"/>
        </w:rPr>
        <w:t>7.7.</w:t>
      </w:r>
      <w:r>
        <w:rPr>
          <w:rFonts w:cs="Times New Roman" w:hint="eastAsia"/>
          <w:b/>
          <w:bCs/>
          <w:sz w:val="21"/>
          <w:szCs w:val="21"/>
        </w:rPr>
        <w:t>5</w:t>
      </w:r>
      <w:r>
        <w:rPr>
          <w:rFonts w:cs="Times New Roman"/>
          <w:sz w:val="21"/>
          <w:szCs w:val="21"/>
        </w:rPr>
        <w:t xml:space="preserve">  </w:t>
      </w:r>
      <w:r>
        <w:rPr>
          <w:rFonts w:cs="Times New Roman" w:hint="eastAsia"/>
          <w:sz w:val="21"/>
          <w:szCs w:val="21"/>
        </w:rPr>
        <w:t>本</w:t>
      </w:r>
      <w:r>
        <w:rPr>
          <w:rFonts w:cs="Times New Roman" w:hint="eastAsia"/>
          <w:sz w:val="21"/>
          <w:szCs w:val="21"/>
        </w:rPr>
        <w:t>条规定了</w:t>
      </w:r>
      <w:r>
        <w:rPr>
          <w:rFonts w:cs="Times New Roman" w:hint="eastAsia"/>
          <w:sz w:val="21"/>
          <w:szCs w:val="21"/>
        </w:rPr>
        <w:t>黄河超细砂</w:t>
      </w:r>
      <w:r>
        <w:rPr>
          <w:rFonts w:cs="Times New Roman" w:hint="eastAsia"/>
          <w:sz w:val="21"/>
          <w:szCs w:val="21"/>
        </w:rPr>
        <w:t>混合砂混凝土</w:t>
      </w:r>
      <w:r>
        <w:rPr>
          <w:rFonts w:cs="Times New Roman" w:hint="eastAsia"/>
          <w:sz w:val="21"/>
          <w:szCs w:val="21"/>
        </w:rPr>
        <w:t>冬期</w:t>
      </w:r>
      <w:r>
        <w:rPr>
          <w:rFonts w:cs="Times New Roman" w:hint="eastAsia"/>
          <w:sz w:val="21"/>
          <w:szCs w:val="21"/>
        </w:rPr>
        <w:t>养护</w:t>
      </w:r>
      <w:r>
        <w:rPr>
          <w:rFonts w:cs="Times New Roman" w:hint="eastAsia"/>
          <w:sz w:val="21"/>
          <w:szCs w:val="21"/>
        </w:rPr>
        <w:t>措施</w:t>
      </w:r>
      <w:r>
        <w:rPr>
          <w:rFonts w:cs="Times New Roman" w:hint="eastAsia"/>
          <w:sz w:val="21"/>
          <w:szCs w:val="21"/>
        </w:rPr>
        <w:t>。</w:t>
      </w:r>
    </w:p>
    <w:p w:rsidR="00ED5264" w:rsidRDefault="00B65917">
      <w:pPr>
        <w:pStyle w:val="affc"/>
        <w:rPr>
          <w:rFonts w:cs="Times New Roman"/>
          <w:sz w:val="21"/>
          <w:szCs w:val="21"/>
        </w:rPr>
      </w:pPr>
      <w:r>
        <w:rPr>
          <w:rFonts w:cs="Times New Roman"/>
          <w:b/>
          <w:bCs/>
          <w:sz w:val="21"/>
          <w:szCs w:val="21"/>
        </w:rPr>
        <w:t>7.7.</w:t>
      </w:r>
      <w:r>
        <w:rPr>
          <w:rFonts w:cs="Times New Roman" w:hint="eastAsia"/>
          <w:b/>
          <w:bCs/>
          <w:sz w:val="21"/>
          <w:szCs w:val="21"/>
        </w:rPr>
        <w:t>5</w:t>
      </w:r>
      <w:r>
        <w:rPr>
          <w:rFonts w:cs="Times New Roman"/>
          <w:sz w:val="21"/>
          <w:szCs w:val="21"/>
        </w:rPr>
        <w:t xml:space="preserve">  </w:t>
      </w:r>
      <w:r>
        <w:rPr>
          <w:rFonts w:cs="Times New Roman" w:hint="eastAsia"/>
          <w:sz w:val="21"/>
          <w:szCs w:val="21"/>
        </w:rPr>
        <w:t>本</w:t>
      </w:r>
      <w:r>
        <w:rPr>
          <w:rFonts w:cs="Times New Roman" w:hint="eastAsia"/>
          <w:sz w:val="21"/>
          <w:szCs w:val="21"/>
        </w:rPr>
        <w:t>条规定了</w:t>
      </w:r>
      <w:r>
        <w:rPr>
          <w:rFonts w:cs="Times New Roman" w:hint="eastAsia"/>
          <w:sz w:val="21"/>
          <w:szCs w:val="21"/>
        </w:rPr>
        <w:t>用于蒸汽养护的黄河超细砂</w:t>
      </w:r>
      <w:r>
        <w:rPr>
          <w:rFonts w:cs="Times New Roman" w:hint="eastAsia"/>
          <w:sz w:val="21"/>
          <w:szCs w:val="21"/>
        </w:rPr>
        <w:t>混合砂混凝土</w:t>
      </w:r>
      <w:r>
        <w:rPr>
          <w:rFonts w:cs="Times New Roman" w:hint="eastAsia"/>
          <w:sz w:val="21"/>
          <w:szCs w:val="21"/>
        </w:rPr>
        <w:t>的养护要求</w:t>
      </w:r>
      <w:r>
        <w:rPr>
          <w:rFonts w:cs="Times New Roman" w:hint="eastAsia"/>
          <w:sz w:val="21"/>
          <w:szCs w:val="21"/>
        </w:rPr>
        <w:t>。</w:t>
      </w:r>
    </w:p>
    <w:p w:rsidR="00ED5264" w:rsidRDefault="00ED5264">
      <w:pPr>
        <w:pStyle w:val="affc"/>
        <w:rPr>
          <w:rFonts w:cs="Times New Roman"/>
          <w:sz w:val="21"/>
          <w:szCs w:val="21"/>
        </w:rPr>
      </w:pPr>
    </w:p>
    <w:p w:rsidR="00ED5264" w:rsidRDefault="00B65917">
      <w:pPr>
        <w:pStyle w:val="aff4"/>
        <w:spacing w:before="312" w:after="312"/>
        <w:rPr>
          <w:sz w:val="30"/>
          <w:szCs w:val="22"/>
        </w:rPr>
      </w:pPr>
      <w:bookmarkStart w:id="936" w:name="_Toc18222"/>
      <w:bookmarkStart w:id="937" w:name="_Toc7944"/>
      <w:bookmarkStart w:id="938" w:name="_Toc3938"/>
      <w:bookmarkStart w:id="939" w:name="_Toc481589871"/>
      <w:bookmarkStart w:id="940" w:name="_Toc27392"/>
      <w:bookmarkStart w:id="941" w:name="_Toc509849400"/>
      <w:bookmarkStart w:id="942" w:name="_Toc22895695"/>
      <w:bookmarkStart w:id="943" w:name="_Toc25912894"/>
      <w:bookmarkStart w:id="944" w:name="_Toc481586568"/>
      <w:bookmarkStart w:id="945" w:name="_Toc481589767"/>
      <w:bookmarkStart w:id="946" w:name="_Toc481589663"/>
      <w:bookmarkStart w:id="947" w:name="_Toc22964"/>
      <w:bookmarkStart w:id="948" w:name="_Toc486247972"/>
      <w:bookmarkStart w:id="949" w:name="_Toc12789"/>
      <w:bookmarkStart w:id="950" w:name="_Toc23260899"/>
      <w:bookmarkStart w:id="951" w:name="_Toc13555"/>
      <w:bookmarkStart w:id="952" w:name="_Toc509849603"/>
      <w:bookmarkStart w:id="953" w:name="_Toc472351535"/>
      <w:bookmarkStart w:id="954" w:name="_Toc23260570"/>
      <w:r>
        <w:rPr>
          <w:rFonts w:hint="eastAsia"/>
        </w:rPr>
        <w:t>8</w:t>
      </w:r>
      <w:r>
        <w:t xml:space="preserve">  </w:t>
      </w:r>
      <w:r>
        <w:t>质量检验和验收</w:t>
      </w:r>
      <w:bookmarkEnd w:id="936"/>
      <w:bookmarkEnd w:id="937"/>
      <w:bookmarkEnd w:id="938"/>
    </w:p>
    <w:p w:rsidR="00ED5264" w:rsidRDefault="00B65917">
      <w:pPr>
        <w:spacing w:beforeLines="100" w:before="312" w:afterLines="100" w:after="312"/>
        <w:jc w:val="center"/>
        <w:outlineLvl w:val="1"/>
        <w:rPr>
          <w:b/>
          <w:bCs/>
          <w:sz w:val="24"/>
          <w:szCs w:val="24"/>
        </w:rPr>
      </w:pPr>
      <w:bookmarkStart w:id="955" w:name="_Toc486247973"/>
      <w:bookmarkStart w:id="956" w:name="_Toc509849401"/>
      <w:bookmarkStart w:id="957" w:name="_Toc472351536"/>
      <w:bookmarkStart w:id="958" w:name="_Toc23260900"/>
      <w:bookmarkStart w:id="959" w:name="_Toc23320"/>
      <w:bookmarkStart w:id="960" w:name="_Toc22895696"/>
      <w:bookmarkStart w:id="961" w:name="_Toc25912895"/>
      <w:bookmarkStart w:id="962" w:name="_Toc15316"/>
      <w:bookmarkStart w:id="963" w:name="_Toc5030"/>
      <w:bookmarkStart w:id="964" w:name="_Toc481589664"/>
      <w:bookmarkStart w:id="965" w:name="_Toc481589872"/>
      <w:bookmarkStart w:id="966" w:name="_Toc26988"/>
      <w:bookmarkStart w:id="967" w:name="_Toc481586569"/>
      <w:bookmarkStart w:id="968" w:name="_Toc11781"/>
      <w:bookmarkStart w:id="969" w:name="_Toc509849604"/>
      <w:bookmarkStart w:id="970" w:name="_Toc18761"/>
      <w:bookmarkStart w:id="971" w:name="_Toc8461"/>
      <w:bookmarkStart w:id="972" w:name="_Toc23260571"/>
      <w:bookmarkStart w:id="973" w:name="_Toc481589768"/>
      <w:bookmarkEnd w:id="939"/>
      <w:bookmarkEnd w:id="940"/>
      <w:bookmarkEnd w:id="941"/>
      <w:bookmarkEnd w:id="942"/>
      <w:bookmarkEnd w:id="943"/>
      <w:bookmarkEnd w:id="944"/>
      <w:bookmarkEnd w:id="945"/>
      <w:bookmarkEnd w:id="946"/>
      <w:bookmarkEnd w:id="947"/>
      <w:bookmarkEnd w:id="948"/>
      <w:bookmarkEnd w:id="949"/>
      <w:bookmarkEnd w:id="950"/>
      <w:bookmarkEnd w:id="951"/>
      <w:bookmarkEnd w:id="952"/>
      <w:bookmarkEnd w:id="953"/>
      <w:bookmarkEnd w:id="954"/>
      <w:r>
        <w:rPr>
          <w:b/>
          <w:bCs/>
          <w:sz w:val="24"/>
          <w:szCs w:val="24"/>
        </w:rPr>
        <w:t xml:space="preserve">8.1 </w:t>
      </w:r>
      <w:r>
        <w:rPr>
          <w:b/>
          <w:bCs/>
          <w:sz w:val="24"/>
          <w:szCs w:val="24"/>
        </w:rPr>
        <w:t>原材料质量检验</w:t>
      </w:r>
      <w:bookmarkEnd w:id="955"/>
      <w:bookmarkEnd w:id="956"/>
      <w:bookmarkEnd w:id="957"/>
      <w:bookmarkEnd w:id="958"/>
      <w:bookmarkEnd w:id="959"/>
      <w:bookmarkEnd w:id="960"/>
      <w:bookmarkEnd w:id="961"/>
      <w:bookmarkEnd w:id="962"/>
      <w:bookmarkEnd w:id="963"/>
      <w:bookmarkEnd w:id="964"/>
      <w:bookmarkEnd w:id="965"/>
      <w:bookmarkEnd w:id="966"/>
      <w:bookmarkEnd w:id="967"/>
      <w:bookmarkEnd w:id="968"/>
      <w:bookmarkEnd w:id="969"/>
      <w:bookmarkEnd w:id="970"/>
      <w:bookmarkEnd w:id="971"/>
      <w:bookmarkEnd w:id="972"/>
      <w:bookmarkEnd w:id="973"/>
    </w:p>
    <w:p w:rsidR="00ED5264" w:rsidRDefault="00B65917">
      <w:pPr>
        <w:pStyle w:val="affc"/>
        <w:rPr>
          <w:rFonts w:cs="Times New Roman"/>
          <w:b/>
          <w:bCs/>
          <w:sz w:val="21"/>
          <w:szCs w:val="21"/>
        </w:rPr>
      </w:pPr>
      <w:r>
        <w:rPr>
          <w:rFonts w:cs="Times New Roman"/>
          <w:b/>
          <w:bCs/>
          <w:sz w:val="21"/>
          <w:szCs w:val="21"/>
        </w:rPr>
        <w:t xml:space="preserve">8.1.1~8.1.2  </w:t>
      </w:r>
      <w:r>
        <w:rPr>
          <w:rFonts w:cs="Times New Roman"/>
          <w:bCs/>
          <w:sz w:val="21"/>
          <w:szCs w:val="21"/>
        </w:rPr>
        <w:t>本条</w:t>
      </w:r>
      <w:r>
        <w:rPr>
          <w:rFonts w:cs="Times New Roman" w:hint="eastAsia"/>
          <w:bCs/>
          <w:sz w:val="21"/>
          <w:szCs w:val="21"/>
        </w:rPr>
        <w:t>对黄河超细砂</w:t>
      </w:r>
      <w:r>
        <w:rPr>
          <w:rFonts w:cs="Times New Roman"/>
          <w:bCs/>
          <w:sz w:val="21"/>
          <w:szCs w:val="21"/>
        </w:rPr>
        <w:t>混凝土原材料进场</w:t>
      </w:r>
      <w:r>
        <w:rPr>
          <w:rFonts w:cs="Times New Roman" w:hint="eastAsia"/>
          <w:bCs/>
          <w:sz w:val="21"/>
          <w:szCs w:val="21"/>
        </w:rPr>
        <w:t>作出</w:t>
      </w:r>
      <w:r>
        <w:rPr>
          <w:rFonts w:cs="Times New Roman"/>
          <w:bCs/>
          <w:sz w:val="21"/>
          <w:szCs w:val="21"/>
        </w:rPr>
        <w:t>规定，</w:t>
      </w:r>
      <w:r>
        <w:rPr>
          <w:rFonts w:cs="Times New Roman" w:hint="eastAsia"/>
          <w:bCs/>
          <w:sz w:val="21"/>
          <w:szCs w:val="21"/>
        </w:rPr>
        <w:t>黄河超细砂混凝土</w:t>
      </w:r>
      <w:r>
        <w:rPr>
          <w:rFonts w:cs="Times New Roman"/>
          <w:bCs/>
          <w:sz w:val="21"/>
          <w:szCs w:val="21"/>
        </w:rPr>
        <w:t>原材料进场检验应包括型式检验报告、出厂检验报告或合格证等质量证明文件的查验和收存。其中外加剂还应有产品说明书；并且规定在混凝土生产过程中，宜对进场的原材料进行随机抽检，以确保生产过程中</w:t>
      </w:r>
      <w:r>
        <w:rPr>
          <w:rFonts w:cs="Times New Roman" w:hint="eastAsia"/>
          <w:bCs/>
          <w:sz w:val="21"/>
          <w:szCs w:val="21"/>
        </w:rPr>
        <w:t>黄河超细砂混凝土</w:t>
      </w:r>
      <w:r>
        <w:rPr>
          <w:rFonts w:cs="Times New Roman"/>
          <w:bCs/>
          <w:sz w:val="21"/>
          <w:szCs w:val="21"/>
        </w:rPr>
        <w:t>的质量。</w:t>
      </w:r>
    </w:p>
    <w:p w:rsidR="00ED5264" w:rsidRDefault="00B65917">
      <w:pPr>
        <w:spacing w:beforeLines="100" w:before="312" w:afterLines="100" w:after="312"/>
        <w:jc w:val="center"/>
        <w:outlineLvl w:val="1"/>
        <w:rPr>
          <w:b/>
          <w:bCs/>
          <w:sz w:val="24"/>
          <w:szCs w:val="24"/>
        </w:rPr>
      </w:pPr>
      <w:bookmarkStart w:id="974" w:name="_Toc25912896"/>
      <w:bookmarkStart w:id="975" w:name="_Toc12891"/>
      <w:bookmarkStart w:id="976" w:name="_Toc22895697"/>
      <w:bookmarkStart w:id="977" w:name="_Toc22183"/>
      <w:bookmarkStart w:id="978" w:name="_Toc481589873"/>
      <w:bookmarkStart w:id="979" w:name="_Toc12067"/>
      <w:bookmarkStart w:id="980" w:name="_Toc472351537"/>
      <w:bookmarkStart w:id="981" w:name="_Toc509849402"/>
      <w:bookmarkStart w:id="982" w:name="_Toc23260572"/>
      <w:bookmarkStart w:id="983" w:name="_Toc481589665"/>
      <w:bookmarkStart w:id="984" w:name="_Toc23260901"/>
      <w:bookmarkStart w:id="985" w:name="_Toc20822"/>
      <w:bookmarkStart w:id="986" w:name="_Toc9241"/>
      <w:bookmarkStart w:id="987" w:name="_Toc31462"/>
      <w:bookmarkStart w:id="988" w:name="_Toc481586570"/>
      <w:bookmarkStart w:id="989" w:name="_Toc15475"/>
      <w:bookmarkStart w:id="990" w:name="_Toc509849605"/>
      <w:bookmarkStart w:id="991" w:name="_Toc481589769"/>
      <w:bookmarkStart w:id="992" w:name="_Toc486247974"/>
      <w:r>
        <w:rPr>
          <w:b/>
          <w:bCs/>
          <w:sz w:val="24"/>
          <w:szCs w:val="24"/>
        </w:rPr>
        <w:t xml:space="preserve">8.2 </w:t>
      </w:r>
      <w:r>
        <w:rPr>
          <w:rFonts w:hint="eastAsia"/>
          <w:b/>
          <w:bCs/>
          <w:sz w:val="24"/>
          <w:szCs w:val="24"/>
        </w:rPr>
        <w:t>黄河超细砂混凝土</w:t>
      </w:r>
      <w:r>
        <w:rPr>
          <w:b/>
          <w:bCs/>
          <w:sz w:val="24"/>
          <w:szCs w:val="24"/>
        </w:rPr>
        <w:t>性能检验</w:t>
      </w:r>
      <w:bookmarkEnd w:id="974"/>
      <w:bookmarkEnd w:id="975"/>
      <w:bookmarkEnd w:id="976"/>
      <w:bookmarkEnd w:id="977"/>
      <w:bookmarkEnd w:id="978"/>
      <w:bookmarkEnd w:id="979"/>
      <w:bookmarkEnd w:id="980"/>
      <w:bookmarkEnd w:id="981"/>
      <w:bookmarkEnd w:id="982"/>
      <w:bookmarkEnd w:id="983"/>
      <w:bookmarkEnd w:id="984"/>
      <w:bookmarkEnd w:id="985"/>
      <w:bookmarkEnd w:id="986"/>
      <w:bookmarkEnd w:id="987"/>
      <w:bookmarkEnd w:id="988"/>
      <w:bookmarkEnd w:id="989"/>
      <w:bookmarkEnd w:id="990"/>
      <w:bookmarkEnd w:id="991"/>
      <w:bookmarkEnd w:id="992"/>
    </w:p>
    <w:p w:rsidR="00ED5264" w:rsidRDefault="00B65917">
      <w:pPr>
        <w:pStyle w:val="affc"/>
        <w:rPr>
          <w:rFonts w:cs="Times New Roman"/>
          <w:bCs/>
          <w:sz w:val="21"/>
          <w:szCs w:val="21"/>
        </w:rPr>
      </w:pPr>
      <w:r>
        <w:rPr>
          <w:rFonts w:cs="Times New Roman"/>
          <w:b/>
          <w:bCs/>
          <w:sz w:val="21"/>
          <w:szCs w:val="21"/>
        </w:rPr>
        <w:t>8.2.1</w:t>
      </w:r>
      <w:r>
        <w:rPr>
          <w:rFonts w:cs="Times New Roman"/>
          <w:sz w:val="21"/>
          <w:szCs w:val="21"/>
        </w:rPr>
        <w:t xml:space="preserve">  </w:t>
      </w:r>
      <w:r>
        <w:rPr>
          <w:rFonts w:cs="Times New Roman"/>
          <w:sz w:val="21"/>
          <w:szCs w:val="21"/>
        </w:rPr>
        <w:t>本条文</w:t>
      </w:r>
      <w:r>
        <w:rPr>
          <w:rFonts w:cs="Times New Roman" w:hint="eastAsia"/>
          <w:sz w:val="21"/>
          <w:szCs w:val="21"/>
        </w:rPr>
        <w:t>对</w:t>
      </w:r>
      <w:r>
        <w:rPr>
          <w:rFonts w:cs="Times New Roman" w:hint="eastAsia"/>
          <w:sz w:val="21"/>
          <w:szCs w:val="21"/>
        </w:rPr>
        <w:t>黄河超细砂混凝土</w:t>
      </w:r>
      <w:r>
        <w:rPr>
          <w:rFonts w:cs="Times New Roman"/>
          <w:sz w:val="21"/>
          <w:szCs w:val="21"/>
        </w:rPr>
        <w:t>拌合物、力学性能、长期性能和耐久性能的试验方法</w:t>
      </w:r>
      <w:r>
        <w:rPr>
          <w:rFonts w:cs="Times New Roman" w:hint="eastAsia"/>
          <w:sz w:val="21"/>
          <w:szCs w:val="21"/>
        </w:rPr>
        <w:t>做出规定。与普通混凝土一样，黄河超细砂混凝土的</w:t>
      </w:r>
      <w:r>
        <w:rPr>
          <w:rFonts w:cs="Times New Roman"/>
          <w:sz w:val="21"/>
          <w:szCs w:val="21"/>
        </w:rPr>
        <w:t>拌合物、力学性能、长期性能和耐久性能的试验方法</w:t>
      </w:r>
      <w:r>
        <w:rPr>
          <w:rFonts w:cs="Times New Roman"/>
          <w:bCs/>
          <w:sz w:val="21"/>
          <w:szCs w:val="21"/>
        </w:rPr>
        <w:t>应分别符合现行国家标准《普通混凝土拌合物性能试验方法标准》</w:t>
      </w:r>
      <w:r>
        <w:rPr>
          <w:rFonts w:cs="Times New Roman"/>
          <w:bCs/>
          <w:sz w:val="21"/>
          <w:szCs w:val="21"/>
        </w:rPr>
        <w:t>GB/T 50080</w:t>
      </w:r>
      <w:r>
        <w:rPr>
          <w:rFonts w:cs="Times New Roman"/>
          <w:bCs/>
          <w:sz w:val="21"/>
          <w:szCs w:val="21"/>
        </w:rPr>
        <w:t>、《混凝土物理力学性能试验方法标准》</w:t>
      </w:r>
      <w:r>
        <w:rPr>
          <w:rFonts w:cs="Times New Roman"/>
          <w:bCs/>
          <w:sz w:val="21"/>
          <w:szCs w:val="21"/>
        </w:rPr>
        <w:t>GB/T 50081</w:t>
      </w:r>
      <w:r>
        <w:rPr>
          <w:rFonts w:cs="Times New Roman"/>
          <w:bCs/>
          <w:sz w:val="21"/>
          <w:szCs w:val="21"/>
        </w:rPr>
        <w:t>和《混凝土长期性能和耐久性能试验方法标准》</w:t>
      </w:r>
      <w:r>
        <w:rPr>
          <w:rFonts w:cs="Times New Roman"/>
          <w:bCs/>
          <w:sz w:val="21"/>
          <w:szCs w:val="21"/>
        </w:rPr>
        <w:t>GB/T 50082</w:t>
      </w:r>
      <w:r>
        <w:rPr>
          <w:rFonts w:cs="Times New Roman"/>
          <w:bCs/>
          <w:sz w:val="21"/>
          <w:szCs w:val="21"/>
        </w:rPr>
        <w:t>的规定</w:t>
      </w:r>
      <w:r>
        <w:rPr>
          <w:rFonts w:cs="Times New Roman" w:hint="eastAsia"/>
          <w:bCs/>
          <w:sz w:val="21"/>
          <w:szCs w:val="21"/>
        </w:rPr>
        <w:t>。</w:t>
      </w:r>
    </w:p>
    <w:p w:rsidR="00ED5264" w:rsidRDefault="00B65917">
      <w:pPr>
        <w:pStyle w:val="affc"/>
        <w:rPr>
          <w:rFonts w:cs="Times New Roman"/>
          <w:sz w:val="21"/>
          <w:szCs w:val="21"/>
        </w:rPr>
      </w:pPr>
      <w:r>
        <w:rPr>
          <w:rFonts w:cs="Times New Roman"/>
          <w:b/>
          <w:bCs/>
          <w:sz w:val="21"/>
          <w:szCs w:val="21"/>
        </w:rPr>
        <w:t>8.2.2</w:t>
      </w:r>
      <w:r>
        <w:rPr>
          <w:rFonts w:cs="Times New Roman"/>
          <w:sz w:val="21"/>
          <w:szCs w:val="21"/>
        </w:rPr>
        <w:t xml:space="preserve">  </w:t>
      </w:r>
      <w:r>
        <w:rPr>
          <w:rFonts w:cs="Times New Roman"/>
          <w:sz w:val="21"/>
          <w:szCs w:val="21"/>
        </w:rPr>
        <w:t>本条文规定了</w:t>
      </w:r>
      <w:r>
        <w:rPr>
          <w:rFonts w:cs="Times New Roman" w:hint="eastAsia"/>
          <w:sz w:val="21"/>
          <w:szCs w:val="21"/>
        </w:rPr>
        <w:t>黄河超细砂混凝土</w:t>
      </w:r>
      <w:r>
        <w:rPr>
          <w:rFonts w:cs="Times New Roman"/>
          <w:sz w:val="21"/>
          <w:szCs w:val="21"/>
        </w:rPr>
        <w:t>拌合物具体的检验项目和频次。</w:t>
      </w:r>
    </w:p>
    <w:p w:rsidR="00ED5264" w:rsidRDefault="00B65917">
      <w:pPr>
        <w:pStyle w:val="affc"/>
        <w:rPr>
          <w:rFonts w:cs="Times New Roman"/>
          <w:sz w:val="21"/>
          <w:szCs w:val="21"/>
        </w:rPr>
      </w:pPr>
      <w:r>
        <w:rPr>
          <w:rFonts w:cs="Times New Roman"/>
          <w:b/>
          <w:bCs/>
          <w:sz w:val="21"/>
          <w:szCs w:val="21"/>
        </w:rPr>
        <w:t>8.2.3</w:t>
      </w:r>
      <w:r>
        <w:rPr>
          <w:rFonts w:cs="Times New Roman"/>
          <w:sz w:val="21"/>
          <w:szCs w:val="21"/>
        </w:rPr>
        <w:t xml:space="preserve">  </w:t>
      </w:r>
      <w:r>
        <w:rPr>
          <w:rFonts w:cs="Times New Roman"/>
          <w:sz w:val="21"/>
          <w:szCs w:val="21"/>
        </w:rPr>
        <w:t>本条文规定了硬化</w:t>
      </w:r>
      <w:r>
        <w:rPr>
          <w:rFonts w:cs="Times New Roman" w:hint="eastAsia"/>
          <w:sz w:val="21"/>
          <w:szCs w:val="21"/>
        </w:rPr>
        <w:t>黄河超细砂混凝土</w:t>
      </w:r>
      <w:r>
        <w:rPr>
          <w:rFonts w:cs="Times New Roman"/>
          <w:sz w:val="21"/>
          <w:szCs w:val="21"/>
        </w:rPr>
        <w:t>强度的检验</w:t>
      </w:r>
      <w:r>
        <w:rPr>
          <w:rFonts w:cs="Times New Roman"/>
          <w:sz w:val="21"/>
          <w:szCs w:val="21"/>
        </w:rPr>
        <w:t>次数和评定方法。和普通混凝土一样，应按现行国家标准《混凝土强度检验评定标准》</w:t>
      </w:r>
      <w:r>
        <w:rPr>
          <w:rFonts w:cs="Times New Roman"/>
          <w:sz w:val="21"/>
          <w:szCs w:val="21"/>
        </w:rPr>
        <w:t>GB/T 50107</w:t>
      </w:r>
      <w:r>
        <w:rPr>
          <w:rFonts w:cs="Times New Roman"/>
          <w:sz w:val="21"/>
          <w:szCs w:val="21"/>
        </w:rPr>
        <w:t>的规定进行。耐久性能和长期性能的检验评定应符合现行行业标准《混凝土耐久性检验评定标准》</w:t>
      </w:r>
      <w:r>
        <w:rPr>
          <w:rFonts w:cs="Times New Roman"/>
          <w:sz w:val="21"/>
          <w:szCs w:val="21"/>
        </w:rPr>
        <w:t>JGJ/T 193</w:t>
      </w:r>
      <w:r>
        <w:rPr>
          <w:rFonts w:cs="Times New Roman"/>
          <w:sz w:val="21"/>
          <w:szCs w:val="21"/>
        </w:rPr>
        <w:t>的规定。</w:t>
      </w:r>
    </w:p>
    <w:p w:rsidR="00ED5264" w:rsidRDefault="00B65917">
      <w:pPr>
        <w:pStyle w:val="affc"/>
        <w:rPr>
          <w:rFonts w:cs="Times New Roman"/>
          <w:bCs/>
          <w:sz w:val="21"/>
          <w:szCs w:val="21"/>
        </w:rPr>
      </w:pPr>
      <w:r>
        <w:rPr>
          <w:rFonts w:cs="Times New Roman"/>
          <w:b/>
          <w:bCs/>
          <w:sz w:val="21"/>
          <w:szCs w:val="21"/>
        </w:rPr>
        <w:t xml:space="preserve">8.2.4  </w:t>
      </w:r>
      <w:r>
        <w:rPr>
          <w:rFonts w:cs="Times New Roman"/>
          <w:bCs/>
          <w:sz w:val="21"/>
          <w:szCs w:val="21"/>
        </w:rPr>
        <w:t>本条文规定</w:t>
      </w:r>
      <w:r>
        <w:rPr>
          <w:rFonts w:cs="Times New Roman" w:hint="eastAsia"/>
          <w:bCs/>
          <w:sz w:val="21"/>
          <w:szCs w:val="21"/>
        </w:rPr>
        <w:t>了当结构设计有混凝土长期性能和耐久性能指标时，混合砂混凝土的长期性能和耐久性能应进行抽样检验。</w:t>
      </w:r>
    </w:p>
    <w:p w:rsidR="00ED5264" w:rsidRDefault="00B65917">
      <w:pPr>
        <w:spacing w:beforeLines="100" w:before="312" w:afterLines="100" w:after="312"/>
        <w:jc w:val="center"/>
        <w:outlineLvl w:val="1"/>
        <w:rPr>
          <w:b/>
          <w:bCs/>
          <w:sz w:val="24"/>
          <w:szCs w:val="24"/>
        </w:rPr>
      </w:pPr>
      <w:bookmarkStart w:id="993" w:name="_Toc23260573"/>
      <w:bookmarkStart w:id="994" w:name="_Toc509849403"/>
      <w:bookmarkStart w:id="995" w:name="_Toc509849606"/>
      <w:bookmarkStart w:id="996" w:name="_Toc23260902"/>
      <w:bookmarkStart w:id="997" w:name="_Toc1212"/>
      <w:bookmarkStart w:id="998" w:name="_Toc17379"/>
      <w:bookmarkStart w:id="999" w:name="_Toc22895698"/>
      <w:bookmarkStart w:id="1000" w:name="_Toc19721"/>
      <w:bookmarkStart w:id="1001" w:name="_Toc10943"/>
      <w:bookmarkStart w:id="1002" w:name="_Toc481589874"/>
      <w:bookmarkStart w:id="1003" w:name="_Toc486247975"/>
      <w:bookmarkStart w:id="1004" w:name="_Toc25912897"/>
      <w:bookmarkStart w:id="1005" w:name="_Toc10713"/>
      <w:bookmarkStart w:id="1006" w:name="_Toc11173"/>
      <w:bookmarkStart w:id="1007" w:name="_Toc481589666"/>
      <w:bookmarkStart w:id="1008" w:name="_Toc481586571"/>
      <w:bookmarkStart w:id="1009" w:name="_Toc481589770"/>
      <w:bookmarkStart w:id="1010" w:name="_Toc15326"/>
      <w:bookmarkStart w:id="1011" w:name="_Toc472351538"/>
      <w:r>
        <w:rPr>
          <w:b/>
          <w:bCs/>
          <w:sz w:val="24"/>
          <w:szCs w:val="24"/>
        </w:rPr>
        <w:t xml:space="preserve">8.3 </w:t>
      </w:r>
      <w:r>
        <w:rPr>
          <w:b/>
          <w:bCs/>
          <w:sz w:val="24"/>
          <w:szCs w:val="24"/>
        </w:rPr>
        <w:t>验收</w:t>
      </w:r>
      <w:bookmarkEnd w:id="993"/>
      <w:bookmarkEnd w:id="994"/>
      <w:bookmarkEnd w:id="995"/>
      <w:bookmarkEnd w:id="996"/>
      <w:bookmarkEnd w:id="997"/>
      <w:bookmarkEnd w:id="998"/>
      <w:bookmarkEnd w:id="999"/>
      <w:bookmarkEnd w:id="1000"/>
      <w:bookmarkEnd w:id="1001"/>
      <w:bookmarkEnd w:id="1002"/>
      <w:bookmarkEnd w:id="1003"/>
      <w:bookmarkEnd w:id="1004"/>
      <w:bookmarkEnd w:id="1005"/>
      <w:bookmarkEnd w:id="1006"/>
      <w:bookmarkEnd w:id="1007"/>
      <w:bookmarkEnd w:id="1008"/>
      <w:bookmarkEnd w:id="1009"/>
      <w:bookmarkEnd w:id="1010"/>
      <w:bookmarkEnd w:id="1011"/>
    </w:p>
    <w:p w:rsidR="00ED5264" w:rsidRDefault="00B65917">
      <w:pPr>
        <w:pStyle w:val="affc"/>
        <w:rPr>
          <w:sz w:val="21"/>
          <w:szCs w:val="21"/>
        </w:rPr>
      </w:pPr>
      <w:r>
        <w:rPr>
          <w:rFonts w:cs="Times New Roman"/>
          <w:b/>
          <w:bCs/>
          <w:sz w:val="21"/>
          <w:szCs w:val="21"/>
        </w:rPr>
        <w:t xml:space="preserve">8.3.1 </w:t>
      </w:r>
      <w:r>
        <w:rPr>
          <w:rFonts w:cs="Times New Roman"/>
          <w:sz w:val="21"/>
          <w:szCs w:val="21"/>
        </w:rPr>
        <w:t xml:space="preserve"> </w:t>
      </w:r>
      <w:r>
        <w:rPr>
          <w:rFonts w:hint="eastAsia"/>
          <w:sz w:val="21"/>
          <w:szCs w:val="21"/>
        </w:rPr>
        <w:t>本条规定了</w:t>
      </w:r>
      <w:r>
        <w:rPr>
          <w:rFonts w:hint="eastAsia"/>
          <w:bCs/>
          <w:sz w:val="21"/>
          <w:szCs w:val="21"/>
        </w:rPr>
        <w:t>黄河超细砂</w:t>
      </w:r>
      <w:r>
        <w:rPr>
          <w:sz w:val="21"/>
          <w:szCs w:val="21"/>
        </w:rPr>
        <w:t>混凝土</w:t>
      </w:r>
      <w:r>
        <w:rPr>
          <w:rFonts w:hint="eastAsia"/>
          <w:sz w:val="21"/>
          <w:szCs w:val="21"/>
        </w:rPr>
        <w:t>的</w:t>
      </w:r>
      <w:r>
        <w:rPr>
          <w:rFonts w:hint="eastAsia"/>
          <w:sz w:val="21"/>
          <w:szCs w:val="21"/>
        </w:rPr>
        <w:t>强度、长期性能和耐久性能评价</w:t>
      </w:r>
      <w:r>
        <w:rPr>
          <w:rFonts w:hint="eastAsia"/>
          <w:sz w:val="21"/>
          <w:szCs w:val="21"/>
        </w:rPr>
        <w:t>依据</w:t>
      </w:r>
      <w:r>
        <w:rPr>
          <w:rFonts w:hint="eastAsia"/>
          <w:sz w:val="21"/>
          <w:szCs w:val="21"/>
        </w:rPr>
        <w:t>。</w:t>
      </w:r>
    </w:p>
    <w:p w:rsidR="00ED5264" w:rsidRDefault="00B65917">
      <w:pPr>
        <w:pStyle w:val="affc"/>
        <w:rPr>
          <w:sz w:val="21"/>
          <w:szCs w:val="21"/>
        </w:rPr>
      </w:pPr>
      <w:r>
        <w:rPr>
          <w:rFonts w:cs="Times New Roman"/>
          <w:b/>
          <w:bCs/>
          <w:sz w:val="21"/>
          <w:szCs w:val="21"/>
        </w:rPr>
        <w:t>8.3.</w:t>
      </w:r>
      <w:r>
        <w:rPr>
          <w:rFonts w:cs="Times New Roman" w:hint="eastAsia"/>
          <w:b/>
          <w:bCs/>
          <w:sz w:val="21"/>
          <w:szCs w:val="21"/>
        </w:rPr>
        <w:t>2</w:t>
      </w:r>
      <w:r>
        <w:rPr>
          <w:rFonts w:cs="Times New Roman"/>
          <w:b/>
          <w:bCs/>
          <w:sz w:val="21"/>
          <w:szCs w:val="21"/>
        </w:rPr>
        <w:t xml:space="preserve"> </w:t>
      </w:r>
      <w:r>
        <w:rPr>
          <w:rFonts w:cs="Times New Roman"/>
          <w:sz w:val="21"/>
          <w:szCs w:val="21"/>
        </w:rPr>
        <w:t xml:space="preserve"> </w:t>
      </w:r>
      <w:r>
        <w:rPr>
          <w:rFonts w:hint="eastAsia"/>
          <w:sz w:val="21"/>
          <w:szCs w:val="21"/>
        </w:rPr>
        <w:t>本条规定了</w:t>
      </w:r>
      <w:r>
        <w:rPr>
          <w:rFonts w:hint="eastAsia"/>
          <w:bCs/>
          <w:sz w:val="21"/>
          <w:szCs w:val="21"/>
        </w:rPr>
        <w:t>黄河超细砂</w:t>
      </w:r>
      <w:r>
        <w:rPr>
          <w:sz w:val="21"/>
          <w:szCs w:val="21"/>
        </w:rPr>
        <w:t>混凝土</w:t>
      </w:r>
      <w:r>
        <w:rPr>
          <w:rFonts w:hint="eastAsia"/>
          <w:sz w:val="21"/>
          <w:szCs w:val="21"/>
        </w:rPr>
        <w:t>的工程施工质量验收依据</w:t>
      </w:r>
      <w:r>
        <w:rPr>
          <w:rFonts w:hint="eastAsia"/>
          <w:sz w:val="21"/>
          <w:szCs w:val="21"/>
        </w:rPr>
        <w:t>。</w:t>
      </w:r>
    </w:p>
    <w:p w:rsidR="00ED5264" w:rsidRDefault="00ED5264">
      <w:pPr>
        <w:pStyle w:val="affc"/>
      </w:pPr>
    </w:p>
    <w:p w:rsidR="00ED5264" w:rsidRDefault="00ED5264">
      <w:pPr>
        <w:spacing w:line="400" w:lineRule="atLeast"/>
        <w:rPr>
          <w:b/>
          <w:bCs/>
        </w:rPr>
      </w:pPr>
    </w:p>
    <w:p w:rsidR="00ED5264" w:rsidRDefault="00ED5264">
      <w:pPr>
        <w:spacing w:beforeLines="50" w:before="156"/>
      </w:pPr>
    </w:p>
    <w:sectPr w:rsidR="00ED5264">
      <w:footerReference w:type="default" r:id="rId23"/>
      <w:pgSz w:w="11906" w:h="16838"/>
      <w:pgMar w:top="1440" w:right="1800" w:bottom="1440" w:left="1800" w:header="851" w:footer="992" w:gutter="0"/>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B65917" w:rsidRDefault="00B65917">
      <w:r>
        <w:separator/>
      </w:r>
    </w:p>
  </w:endnote>
  <w:endnote w:type="continuationSeparator" w:id="0">
    <w:p w:rsidR="00B65917" w:rsidRDefault="00B6591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黑体">
    <w:altName w:val="SimHei"/>
    <w:panose1 w:val="02010609060101010101"/>
    <w:charset w:val="86"/>
    <w:family w:val="modern"/>
    <w:pitch w:val="fixed"/>
    <w:sig w:usb0="800002BF" w:usb1="38CF7CFA"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0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楷体_GB2312">
    <w:altName w:val="楷体"/>
    <w:charset w:val="86"/>
    <w:family w:val="modern"/>
    <w:pitch w:val="default"/>
    <w:sig w:usb0="00000000" w:usb1="00000000" w:usb2="00000000" w:usb3="00000000" w:csb0="00040000" w:csb1="00000000"/>
  </w:font>
  <w:font w:name="Cambria Math">
    <w:panose1 w:val="02040503050406030204"/>
    <w:charset w:val="00"/>
    <w:family w:val="roman"/>
    <w:pitch w:val="variable"/>
    <w:sig w:usb0="E00006FF" w:usb1="420024FF" w:usb2="02000000" w:usb3="00000000" w:csb0="0000019F" w:csb1="00000000"/>
  </w:font>
  <w:font w:name="仿宋_GB2312">
    <w:altName w:val="仿宋"/>
    <w:charset w:val="86"/>
    <w:family w:val="modern"/>
    <w:pitch w:val="default"/>
    <w:sig w:usb0="00000000" w:usb1="00000000" w:usb2="00000000" w:usb3="00000000" w:csb0="00040000"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D5264" w:rsidRDefault="00ED5264">
    <w:pPr>
      <w:pStyle w:val="af9"/>
      <w:jc w:val="center"/>
    </w:pPr>
  </w:p>
  <w:p w:rsidR="00ED5264" w:rsidRDefault="00ED5264">
    <w:pPr>
      <w:pStyle w:val="af9"/>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D5264" w:rsidRDefault="00B65917">
    <w:pPr>
      <w:pStyle w:val="af9"/>
    </w:pPr>
    <w:r>
      <w:rPr>
        <w:noProof/>
      </w:rPr>
      <mc:AlternateContent>
        <mc:Choice Requires="wps">
          <w:drawing>
            <wp:anchor distT="0" distB="0" distL="114300" distR="114300" simplePos="0" relativeHeight="251666432"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ED5264" w:rsidRDefault="00B65917">
                          <w:pPr>
                            <w:pStyle w:val="af9"/>
                          </w:pPr>
                          <w:r>
                            <w:rPr>
                              <w:rFonts w:hint="eastAsia"/>
                            </w:rPr>
                            <w:fldChar w:fldCharType="begin"/>
                          </w:r>
                          <w:r>
                            <w:rPr>
                              <w:rFonts w:hint="eastAsia"/>
                            </w:rPr>
                            <w:instrText xml:space="preserve"> PAGE  \* MERGEFORMAT </w:instrText>
                          </w:r>
                          <w:r>
                            <w:rPr>
                              <w:rFonts w:hint="eastAsia"/>
                            </w:rPr>
                            <w:fldChar w:fldCharType="separate"/>
                          </w:r>
                          <w:r w:rsidR="00465A2A">
                            <w:rPr>
                              <w:noProof/>
                            </w:rPr>
                            <w:t>2</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2" o:spid="_x0000_s1026" type="#_x0000_t202" style="position:absolute;margin-left:0;margin-top:0;width:2in;height:2in;z-index:251666432;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" filled="f" stroked="f" strokeweight=".5pt">
              <v:textbox style="mso-fit-shape-to-text:t" inset="0,0,0,0">
                <w:txbxContent>
                  <w:p w:rsidR="00ED5264" w:rsidRDefault="00B65917">
                    <w:pPr>
                      <w:pStyle w:val="af9"/>
                    </w:pPr>
                    <w:r>
                      <w:rPr>
                        <w:rFonts w:hint="eastAsia"/>
                      </w:rPr>
                      <w:fldChar w:fldCharType="begin"/>
                    </w:r>
                    <w:r>
                      <w:rPr>
                        <w:rFonts w:hint="eastAsia"/>
                      </w:rPr>
                      <w:instrText xml:space="preserve"> PAGE  \* MERGEFORMAT </w:instrText>
                    </w:r>
                    <w:r>
                      <w:rPr>
                        <w:rFonts w:hint="eastAsia"/>
                      </w:rPr>
                      <w:fldChar w:fldCharType="separate"/>
                    </w:r>
                    <w:r w:rsidR="00465A2A">
                      <w:rPr>
                        <w:noProof/>
                      </w:rPr>
                      <w:t>2</w:t>
                    </w:r>
                    <w:r>
                      <w:rPr>
                        <w:rFonts w:hint="eastAsia"/>
                      </w:rPr>
                      <w:fldChar w:fldCharType="end"/>
                    </w:r>
                  </w:p>
                </w:txbxContent>
              </v:textbox>
              <w10:wrap anchorx="margin"/>
            </v:shape>
          </w:pict>
        </mc:Fallback>
      </mc:AlternateContent>
    </w: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D5264" w:rsidRDefault="00B65917">
    <w:pPr>
      <w:pStyle w:val="af9"/>
      <w:jc w:val="center"/>
    </w:pPr>
    <w:r>
      <w:rPr>
        <w:noProof/>
      </w:rPr>
      <mc:AlternateContent>
        <mc:Choice Requires="wps">
          <w:drawing>
            <wp:anchor distT="0" distB="0" distL="114300" distR="114300" simplePos="0" relativeHeight="251665408"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ED5264" w:rsidRDefault="00B65917">
                          <w:pPr>
                            <w:pStyle w:val="af9"/>
                          </w:pPr>
                          <w:r>
                            <w:rPr>
                              <w:rFonts w:hint="eastAsia"/>
                            </w:rPr>
                            <w:fldChar w:fldCharType="begin"/>
                          </w:r>
                          <w:r>
                            <w:rPr>
                              <w:rFonts w:hint="eastAsia"/>
                            </w:rPr>
                            <w:instrText xml:space="preserve"> PAGE  \* MERGEFORMAT </w:instrText>
                          </w:r>
                          <w:r>
                            <w:rPr>
                              <w:rFonts w:hint="eastAsia"/>
                            </w:rPr>
                            <w:fldChar w:fldCharType="separate"/>
                          </w:r>
                          <w:r w:rsidR="00465A2A">
                            <w:rPr>
                              <w:noProof/>
                            </w:rPr>
                            <w:t>1</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1027" type="#_x0000_t202" style="position:absolute;left:0;text-align:left;margin-left:0;margin-top:0;width:2in;height:2in;z-index:251665408;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" filled="f" stroked="f" strokeweight=".5pt">
              <v:textbox style="mso-fit-shape-to-text:t" inset="0,0,0,0">
                <w:txbxContent>
                  <w:p w:rsidR="00ED5264" w:rsidRDefault="00B65917">
                    <w:pPr>
                      <w:pStyle w:val="af9"/>
                    </w:pPr>
                    <w:r>
                      <w:rPr>
                        <w:rFonts w:hint="eastAsia"/>
                      </w:rPr>
                      <w:fldChar w:fldCharType="begin"/>
                    </w:r>
                    <w:r>
                      <w:rPr>
                        <w:rFonts w:hint="eastAsia"/>
                      </w:rPr>
                      <w:instrText xml:space="preserve"> PAGE  \* MERGEFORMAT </w:instrText>
                    </w:r>
                    <w:r>
                      <w:rPr>
                        <w:rFonts w:hint="eastAsia"/>
                      </w:rPr>
                      <w:fldChar w:fldCharType="separate"/>
                    </w:r>
                    <w:r w:rsidR="00465A2A">
                      <w:rPr>
                        <w:noProof/>
                      </w:rPr>
                      <w:t>1</w:t>
                    </w:r>
                    <w:r>
                      <w:rPr>
                        <w:rFonts w:hint="eastAsia"/>
                      </w:rPr>
                      <w:fldChar w:fldCharType="end"/>
                    </w:r>
                  </w:p>
                </w:txbxContent>
              </v:textbox>
              <w10:wrap anchorx="margin"/>
            </v:shape>
          </w:pict>
        </mc:Fallback>
      </mc:AlternateContent>
    </w:r>
  </w:p>
  <w:p w:rsidR="00ED5264" w:rsidRDefault="00ED5264">
    <w:pPr>
      <w:pStyle w:val="af9"/>
    </w:pPr>
  </w:p>
</w:ftr>
</file>

<file path=word/footer4.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D5264" w:rsidRDefault="00B65917">
    <w:pPr>
      <w:pStyle w:val="af9"/>
    </w:pPr>
    <w:r>
      <w:rPr>
        <w:noProof/>
      </w:rPr>
      <mc:AlternateContent>
        <mc:Choice Requires="wps">
          <w:drawing>
            <wp:anchor distT="0" distB="0" distL="114300" distR="114300" simplePos="0" relativeHeight="251664384" behindDoc="0" locked="0" layoutInCell="1" allowOverlap="1">
              <wp:simplePos x="0" y="0"/>
              <wp:positionH relativeFrom="margin">
                <wp:align>center</wp:align>
              </wp:positionH>
              <wp:positionV relativeFrom="paragraph">
                <wp:posOffset>0</wp:posOffset>
              </wp:positionV>
              <wp:extent cx="1828800" cy="1828800"/>
              <wp:effectExtent l="0" t="0" r="0" b="0"/>
              <wp:wrapNone/>
              <wp:docPr id="10" name="文本框 1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ED5264" w:rsidRDefault="00B65917">
                          <w:pPr>
                            <w:pStyle w:val="af9"/>
                          </w:pPr>
                          <w:r>
                            <w:rPr>
                              <w:rFonts w:hint="eastAsia"/>
                            </w:rPr>
                            <w:fldChar w:fldCharType="begin"/>
                          </w:r>
                          <w:r>
                            <w:rPr>
                              <w:rFonts w:hint="eastAsia"/>
                            </w:rPr>
                            <w:instrText xml:space="preserve"> PAGE  \* MERGEFORMAT </w:instrText>
                          </w:r>
                          <w:r>
                            <w:rPr>
                              <w:rFonts w:hint="eastAsia"/>
                            </w:rPr>
                            <w:fldChar w:fldCharType="separate"/>
                          </w:r>
                          <w:r w:rsidR="00465A2A">
                            <w:rPr>
                              <w:noProof/>
                            </w:rPr>
                            <w:t>32</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0" o:spid="_x0000_s1028" type="#_x0000_t202" style="position:absolute;margin-left:0;margin-top:0;width:2in;height:2in;z-index:251664384;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" filled="f" stroked="f" strokeweight=".5pt">
              <v:textbox style="mso-fit-shape-to-text:t" inset="0,0,0,0">
                <w:txbxContent>
                  <w:p w:rsidR="00ED5264" w:rsidRDefault="00B65917">
                    <w:pPr>
                      <w:pStyle w:val="af9"/>
                    </w:pPr>
                    <w:r>
                      <w:rPr>
                        <w:rFonts w:hint="eastAsia"/>
                      </w:rPr>
                      <w:fldChar w:fldCharType="begin"/>
                    </w:r>
                    <w:r>
                      <w:rPr>
                        <w:rFonts w:hint="eastAsia"/>
                      </w:rPr>
                      <w:instrText xml:space="preserve"> PAGE  \* MERGEFORMAT </w:instrText>
                    </w:r>
                    <w:r>
                      <w:rPr>
                        <w:rFonts w:hint="eastAsia"/>
                      </w:rPr>
                      <w:fldChar w:fldCharType="separate"/>
                    </w:r>
                    <w:r w:rsidR="00465A2A">
                      <w:rPr>
                        <w:noProof/>
                      </w:rPr>
                      <w:t>32</w:t>
                    </w:r>
                    <w:r>
                      <w:rPr>
                        <w:rFonts w:hint="eastAsia"/>
                      </w:rPr>
                      <w:fldChar w:fldCharType="end"/>
                    </w:r>
                  </w:p>
                </w:txbxContent>
              </v:textbox>
              <w10:wrap anchorx="margin"/>
            </v:shape>
          </w:pict>
        </mc:Fallback>
      </mc:AlternateContent>
    </w:r>
  </w:p>
</w:ftr>
</file>

<file path=word/footer5.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D5264" w:rsidRDefault="00B65917">
    <w:pPr>
      <w:pStyle w:val="af9"/>
      <w:jc w:val="center"/>
    </w:pPr>
    <w:r>
      <w:rPr>
        <w:noProof/>
      </w:rP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9" name="文本框 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ED5264" w:rsidRDefault="00B65917">
                          <w:pPr>
                            <w:pStyle w:val="af9"/>
                          </w:pPr>
                          <w:r>
                            <w:rPr>
                              <w:rFonts w:hint="eastAsia"/>
                            </w:rPr>
                            <w:fldChar w:fldCharType="begin"/>
                          </w:r>
                          <w:r>
                            <w:rPr>
                              <w:rFonts w:hint="eastAsia"/>
                            </w:rPr>
                            <w:instrText xml:space="preserve"> PAGE  \* MERGEFORMAT </w:instrText>
                          </w:r>
                          <w:r>
                            <w:rPr>
                              <w:rFonts w:hint="eastAsia"/>
                            </w:rPr>
                            <w:fldChar w:fldCharType="separate"/>
                          </w:r>
                          <w:r w:rsidR="00465A2A">
                            <w:rPr>
                              <w:noProof/>
                            </w:rPr>
                            <w:t>3</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9" o:spid="_x0000_s1029" type="#_x0000_t202" style="position:absolute;left:0;text-align:left;margin-left:0;margin-top:0;width:2in;height:2in;z-index:251663360;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" filled="f" stroked="f" strokeweight=".5pt">
              <v:textbox style="mso-fit-shape-to-text:t" inset="0,0,0,0">
                <w:txbxContent>
                  <w:p w:rsidR="00ED5264" w:rsidRDefault="00B65917">
                    <w:pPr>
                      <w:pStyle w:val="af9"/>
                    </w:pPr>
                    <w:r>
                      <w:rPr>
                        <w:rFonts w:hint="eastAsia"/>
                      </w:rPr>
                      <w:fldChar w:fldCharType="begin"/>
                    </w:r>
                    <w:r>
                      <w:rPr>
                        <w:rFonts w:hint="eastAsia"/>
                      </w:rPr>
                      <w:instrText xml:space="preserve"> PAGE  \* MERGEFORMAT </w:instrText>
                    </w:r>
                    <w:r>
                      <w:rPr>
                        <w:rFonts w:hint="eastAsia"/>
                      </w:rPr>
                      <w:fldChar w:fldCharType="separate"/>
                    </w:r>
                    <w:r w:rsidR="00465A2A">
                      <w:rPr>
                        <w:noProof/>
                      </w:rPr>
                      <w:t>3</w:t>
                    </w:r>
                    <w:r>
                      <w:rPr>
                        <w:rFonts w:hint="eastAsia"/>
                      </w:rPr>
                      <w:fldChar w:fldCharType="end"/>
                    </w:r>
                  </w:p>
                </w:txbxContent>
              </v:textbox>
              <w10:wrap anchorx="margin"/>
            </v:shape>
          </w:pict>
        </mc:Fallback>
      </mc:AlternateContent>
    </w:r>
  </w:p>
  <w:p w:rsidR="00ED5264" w:rsidRDefault="00ED5264">
    <w:pPr>
      <w:pStyle w:val="af9"/>
    </w:pPr>
  </w:p>
</w:ftr>
</file>

<file path=word/footer6.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D5264" w:rsidRDefault="00B65917">
    <w:pPr>
      <w:pStyle w:val="af9"/>
      <w:jc w:val="center"/>
    </w:pPr>
    <w:r>
      <w:rPr>
        <w:noProof/>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6" name="文本框 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ED5264" w:rsidRDefault="00B65917">
                          <w:pPr>
                            <w:pStyle w:val="af9"/>
                          </w:pPr>
                          <w:r>
                            <w:rPr>
                              <w:rFonts w:hint="eastAsia"/>
                            </w:rPr>
                            <w:fldChar w:fldCharType="begin"/>
                          </w:r>
                          <w:r>
                            <w:rPr>
                              <w:rFonts w:hint="eastAsia"/>
                            </w:rPr>
                            <w:instrText xml:space="preserve"> PAGE  \* MERGEFORMAT </w:instrText>
                          </w:r>
                          <w:r>
                            <w:rPr>
                              <w:rFonts w:hint="eastAsia"/>
                            </w:rPr>
                            <w:fldChar w:fldCharType="separate"/>
                          </w:r>
                          <w:r w:rsidR="00465A2A">
                            <w:rPr>
                              <w:noProof/>
                            </w:rPr>
                            <w:t>17</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6" o:spid="_x0000_s1030" type="#_x0000_t202" style="position:absolute;left:0;text-align:left;margin-left:0;margin-top:0;width:2in;height:2in;z-index:251660288;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" filled="f" stroked="f" strokeweight=".5pt">
              <v:textbox style="mso-fit-shape-to-text:t" inset="0,0,0,0">
                <w:txbxContent>
                  <w:p w:rsidR="00ED5264" w:rsidRDefault="00B65917">
                    <w:pPr>
                      <w:pStyle w:val="af9"/>
                    </w:pPr>
                    <w:r>
                      <w:rPr>
                        <w:rFonts w:hint="eastAsia"/>
                      </w:rPr>
                      <w:fldChar w:fldCharType="begin"/>
                    </w:r>
                    <w:r>
                      <w:rPr>
                        <w:rFonts w:hint="eastAsia"/>
                      </w:rPr>
                      <w:instrText xml:space="preserve"> PAGE  \* MERGEFORMAT </w:instrText>
                    </w:r>
                    <w:r>
                      <w:rPr>
                        <w:rFonts w:hint="eastAsia"/>
                      </w:rPr>
                      <w:fldChar w:fldCharType="separate"/>
                    </w:r>
                    <w:r w:rsidR="00465A2A">
                      <w:rPr>
                        <w:noProof/>
                      </w:rPr>
                      <w:t>17</w:t>
                    </w:r>
                    <w:r>
                      <w:rPr>
                        <w:rFonts w:hint="eastAsia"/>
                      </w:rPr>
                      <w:fldChar w:fldCharType="end"/>
                    </w:r>
                  </w:p>
                </w:txbxContent>
              </v:textbox>
              <w10:wrap anchorx="margin"/>
            </v:shape>
          </w:pict>
        </mc:Fallback>
      </mc:AlternateContent>
    </w:r>
  </w:p>
  <w:p w:rsidR="00ED5264" w:rsidRDefault="00ED5264">
    <w:pPr>
      <w:pStyle w:val="af9"/>
    </w:pPr>
  </w:p>
</w:ftr>
</file>

<file path=word/footer7.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D5264" w:rsidRDefault="00B65917">
    <w:pPr>
      <w:pStyle w:val="af9"/>
      <w:jc w:val="center"/>
    </w:pPr>
    <w:r>
      <w:rPr>
        <w:noProof/>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7" name="文本框 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ED5264" w:rsidRDefault="00B65917">
                          <w:pPr>
                            <w:pStyle w:val="af9"/>
                          </w:pPr>
                          <w:r>
                            <w:rPr>
                              <w:rFonts w:hint="eastAsia"/>
                            </w:rPr>
                            <w:fldChar w:fldCharType="begin"/>
                          </w:r>
                          <w:r>
                            <w:rPr>
                              <w:rFonts w:hint="eastAsia"/>
                            </w:rPr>
                            <w:instrText xml:space="preserve"> PAGE  \* MERGEFORMAT </w:instrText>
                          </w:r>
                          <w:r>
                            <w:rPr>
                              <w:rFonts w:hint="eastAsia"/>
                            </w:rPr>
                            <w:fldChar w:fldCharType="separate"/>
                          </w:r>
                          <w:r w:rsidR="00465A2A">
                            <w:rPr>
                              <w:noProof/>
                            </w:rPr>
                            <w:t>19</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7" o:spid="_x0000_s1031" type="#_x0000_t202" style="position:absolute;left:0;text-align:left;margin-left:0;margin-top:0;width:2in;height:2in;z-index:251661312;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" filled="f" stroked="f" strokeweight=".5pt">
              <v:textbox style="mso-fit-shape-to-text:t" inset="0,0,0,0">
                <w:txbxContent>
                  <w:p w:rsidR="00ED5264" w:rsidRDefault="00B65917">
                    <w:pPr>
                      <w:pStyle w:val="af9"/>
                    </w:pPr>
                    <w:r>
                      <w:rPr>
                        <w:rFonts w:hint="eastAsia"/>
                      </w:rPr>
                      <w:fldChar w:fldCharType="begin"/>
                    </w:r>
                    <w:r>
                      <w:rPr>
                        <w:rFonts w:hint="eastAsia"/>
                      </w:rPr>
                      <w:instrText xml:space="preserve"> PAGE  \* MERGEFORMAT </w:instrText>
                    </w:r>
                    <w:r>
                      <w:rPr>
                        <w:rFonts w:hint="eastAsia"/>
                      </w:rPr>
                      <w:fldChar w:fldCharType="separate"/>
                    </w:r>
                    <w:r w:rsidR="00465A2A">
                      <w:rPr>
                        <w:noProof/>
                      </w:rPr>
                      <w:t>19</w:t>
                    </w:r>
                    <w:r>
                      <w:rPr>
                        <w:rFonts w:hint="eastAsia"/>
                      </w:rPr>
                      <w:fldChar w:fldCharType="end"/>
                    </w:r>
                  </w:p>
                </w:txbxContent>
              </v:textbox>
              <w10:wrap anchorx="margin"/>
            </v:shape>
          </w:pict>
        </mc:Fallback>
      </mc:AlternateContent>
    </w:r>
  </w:p>
</w:ftr>
</file>

<file path=word/footer8.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D5264" w:rsidRDefault="00B65917">
    <w:pPr>
      <w:pStyle w:val="af9"/>
      <w:jc w:val="center"/>
    </w:pPr>
    <w:r>
      <w:rPr>
        <w:noProof/>
      </w:rP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ED5264" w:rsidRDefault="00B65917">
                          <w:pPr>
                            <w:pStyle w:val="af9"/>
                          </w:pPr>
                          <w:r>
                            <w:rPr>
                              <w:rFonts w:hint="eastAsia"/>
                            </w:rPr>
                            <w:fldChar w:fldCharType="begin"/>
                          </w:r>
                          <w:r>
                            <w:rPr>
                              <w:rFonts w:hint="eastAsia"/>
                            </w:rPr>
                            <w:instrText xml:space="preserve"> PAGE  \* MERGEFORMAT </w:instrText>
                          </w:r>
                          <w:r>
                            <w:rPr>
                              <w:rFonts w:hint="eastAsia"/>
                            </w:rPr>
                            <w:fldChar w:fldCharType="separate"/>
                          </w:r>
                          <w:r w:rsidR="00465A2A">
                            <w:rPr>
                              <w:noProof/>
                            </w:rPr>
                            <w:t>25</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8" o:spid="_x0000_s1032" type="#_x0000_t202" style="position:absolute;left:0;text-align:left;margin-left:0;margin-top:0;width:2in;height:2in;z-index:251662336;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" filled="f" stroked="f" strokeweight=".5pt">
              <v:textbox style="mso-fit-shape-to-text:t" inset="0,0,0,0">
                <w:txbxContent>
                  <w:p w:rsidR="00ED5264" w:rsidRDefault="00B65917">
                    <w:pPr>
                      <w:pStyle w:val="af9"/>
                    </w:pPr>
                    <w:r>
                      <w:rPr>
                        <w:rFonts w:hint="eastAsia"/>
                      </w:rPr>
                      <w:fldChar w:fldCharType="begin"/>
                    </w:r>
                    <w:r>
                      <w:rPr>
                        <w:rFonts w:hint="eastAsia"/>
                      </w:rPr>
                      <w:instrText xml:space="preserve"> PAGE  \* MERGEFORMAT </w:instrText>
                    </w:r>
                    <w:r>
                      <w:rPr>
                        <w:rFonts w:hint="eastAsia"/>
                      </w:rPr>
                      <w:fldChar w:fldCharType="separate"/>
                    </w:r>
                    <w:r w:rsidR="00465A2A">
                      <w:rPr>
                        <w:noProof/>
                      </w:rPr>
                      <w:t>25</w:t>
                    </w:r>
                    <w:r>
                      <w:rPr>
                        <w:rFonts w:hint="eastAsia"/>
                      </w:rPr>
                      <w:fldChar w:fldCharType="end"/>
                    </w:r>
                  </w:p>
                </w:txbxContent>
              </v:textbox>
              <w10:wrap anchorx="margin"/>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B65917" w:rsidRDefault="00B65917">
      <w:r>
        <w:separator/>
      </w:r>
    </w:p>
  </w:footnote>
  <w:footnote w:type="continuationSeparator" w:id="0">
    <w:p w:rsidR="00B65917" w:rsidRDefault="00B6591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D5264" w:rsidRDefault="00B65917">
    <w:pPr>
      <w:spacing w:before="201"/>
      <w:ind w:right="712"/>
      <w:rPr>
        <w:rFonts w:eastAsia="Times New Roman"/>
        <w:sz w:val="18"/>
        <w:szCs w:val="18"/>
      </w:rPr>
    </w:pPr>
    <w:r>
      <w:rPr>
        <w:spacing w:val="-1"/>
        <w:sz w:val="18"/>
        <w:szCs w:val="18"/>
      </w:rPr>
      <w:t>T/CECS</w:t>
    </w:r>
    <w:r>
      <w:rPr>
        <w:sz w:val="18"/>
        <w:szCs w:val="18"/>
      </w:rPr>
      <w:t xml:space="preserve">  ×××××</w:t>
    </w:r>
    <w:r>
      <w:rPr>
        <w:rFonts w:hint="eastAsia"/>
        <w:sz w:val="18"/>
        <w:szCs w:val="18"/>
      </w:rPr>
      <w:t>—</w:t>
    </w:r>
    <w:r>
      <w:rPr>
        <w:sz w:val="18"/>
        <w:szCs w:val="18"/>
      </w:rPr>
      <w:t>20</w:t>
    </w:r>
    <w:r>
      <w:rPr>
        <w:rFonts w:hint="eastAsia"/>
        <w:sz w:val="18"/>
        <w:szCs w:val="18"/>
      </w:rPr>
      <w:t>2</w:t>
    </w:r>
    <w:r>
      <w:rPr>
        <w:sz w:val="18"/>
        <w:szCs w:val="18"/>
      </w:rPr>
      <w:t>×</w:t>
    </w: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D5264" w:rsidRDefault="00B65917">
    <w:pPr>
      <w:spacing w:before="201"/>
      <w:ind w:left="4724" w:firstLine="556"/>
      <w:jc w:val="right"/>
      <w:rPr>
        <w:rFonts w:eastAsia="Times New Roman"/>
        <w:sz w:val="18"/>
        <w:szCs w:val="18"/>
      </w:rPr>
    </w:pPr>
    <w:r>
      <w:rPr>
        <w:spacing w:val="-1"/>
        <w:sz w:val="18"/>
        <w:szCs w:val="18"/>
      </w:rPr>
      <w:t>T/CECS</w:t>
    </w:r>
    <w:r>
      <w:rPr>
        <w:sz w:val="18"/>
        <w:szCs w:val="18"/>
      </w:rPr>
      <w:t xml:space="preserve">  ×××××</w:t>
    </w:r>
    <w:r>
      <w:rPr>
        <w:rFonts w:hint="eastAsia"/>
        <w:sz w:val="18"/>
        <w:szCs w:val="18"/>
      </w:rPr>
      <w:t>—</w:t>
    </w:r>
    <w:r>
      <w:rPr>
        <w:sz w:val="18"/>
        <w:szCs w:val="18"/>
      </w:rPr>
      <w:t>20</w:t>
    </w:r>
    <w:r>
      <w:rPr>
        <w:rFonts w:hint="eastAsia"/>
        <w:sz w:val="18"/>
        <w:szCs w:val="18"/>
      </w:rPr>
      <w:t>2</w:t>
    </w:r>
    <w:r>
      <w:rPr>
        <w:sz w:val="18"/>
        <w:szCs w:val="18"/>
      </w:rPr>
      <w:t>×</w:t>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FC91163"/>
    <w:multiLevelType w:val="multilevel"/>
    <w:tmpl w:val="1FC91163"/>
    <w:lvl w:ilvl="0">
      <w:start w:val="1"/>
      <w:numFmt w:val="decimal"/>
      <w:pStyle w:val="a"/>
      <w:suff w:val="nothing"/>
      <w:lvlText w:val="%1　"/>
      <w:lvlJc w:val="left"/>
      <w:pPr>
        <w:ind w:left="0" w:firstLine="0"/>
      </w:pPr>
      <w:rPr>
        <w:rFonts w:ascii="黑体" w:eastAsia="黑体" w:hAnsi="Times New Roman" w:hint="eastAsia"/>
        <w:b w:val="0"/>
        <w:i w:val="0"/>
        <w:sz w:val="21"/>
        <w:szCs w:val="21"/>
      </w:rPr>
    </w:lvl>
    <w:lvl w:ilvl="1">
      <w:start w:val="1"/>
      <w:numFmt w:val="decimal"/>
      <w:pStyle w:val="a0"/>
      <w:suff w:val="nothing"/>
      <w:lvlText w:val="%1.%2　"/>
      <w:lvlJc w:val="left"/>
      <w:pPr>
        <w:ind w:left="0" w:firstLine="0"/>
      </w:pPr>
      <w:rPr>
        <w:rFonts w:ascii="黑体" w:eastAsia="黑体" w:hAnsi="Times New Roman" w:cs="Times New Roman" w:hint="eastAsia"/>
        <w:b w:val="0"/>
        <w:bCs w:val="0"/>
        <w:i w:val="0"/>
        <w:iCs w:val="0"/>
        <w:caps w:val="0"/>
        <w:strike w:val="0"/>
        <w:dstrike w:val="0"/>
        <w:vanish w:val="0"/>
        <w:color w:val="000000"/>
        <w:spacing w:val="0"/>
        <w:kern w:val="0"/>
        <w:position w:val="0"/>
        <w:sz w:val="21"/>
        <w:szCs w:val="21"/>
        <w:u w:val="none"/>
        <w:vertAlign w:val="baseline"/>
      </w:rPr>
    </w:lvl>
    <w:lvl w:ilvl="2">
      <w:start w:val="1"/>
      <w:numFmt w:val="decimal"/>
      <w:pStyle w:val="a1"/>
      <w:suff w:val="nothing"/>
      <w:lvlText w:val="%1.%2.%3　"/>
      <w:lvlJc w:val="left"/>
      <w:pPr>
        <w:ind w:left="0" w:firstLine="0"/>
      </w:pPr>
      <w:rPr>
        <w:rFonts w:ascii="黑体" w:eastAsia="黑体" w:hAnsi="Times New Roman" w:hint="eastAsia"/>
        <w:b w:val="0"/>
        <w:i w:val="0"/>
        <w:sz w:val="21"/>
      </w:rPr>
    </w:lvl>
    <w:lvl w:ilvl="3">
      <w:start w:val="1"/>
      <w:numFmt w:val="decimal"/>
      <w:pStyle w:val="a2"/>
      <w:suff w:val="nothing"/>
      <w:lvlText w:val="%1.%2.%3.%4　"/>
      <w:lvlJc w:val="left"/>
      <w:pPr>
        <w:ind w:left="0" w:firstLine="0"/>
      </w:pPr>
      <w:rPr>
        <w:rFonts w:ascii="黑体" w:eastAsia="黑体" w:hAnsi="Times New Roman" w:hint="eastAsia"/>
        <w:b w:val="0"/>
        <w:i w:val="0"/>
        <w:sz w:val="21"/>
      </w:rPr>
    </w:lvl>
    <w:lvl w:ilvl="4">
      <w:start w:val="1"/>
      <w:numFmt w:val="decimal"/>
      <w:pStyle w:val="a3"/>
      <w:suff w:val="nothing"/>
      <w:lvlText w:val="%1.%2.%3.%4.%5　"/>
      <w:lvlJc w:val="left"/>
      <w:pPr>
        <w:ind w:left="0" w:firstLine="0"/>
      </w:pPr>
      <w:rPr>
        <w:rFonts w:ascii="黑体" w:eastAsia="黑体" w:hAnsi="Times New Roman" w:hint="eastAsia"/>
        <w:b w:val="0"/>
        <w:i w:val="0"/>
        <w:sz w:val="21"/>
      </w:rPr>
    </w:lvl>
    <w:lvl w:ilvl="5">
      <w:start w:val="1"/>
      <w:numFmt w:val="decimal"/>
      <w:pStyle w:val="a4"/>
      <w:suff w:val="nothing"/>
      <w:lvlText w:val="%1.%2.%3.%4.%5.%6　"/>
      <w:lvlJc w:val="left"/>
      <w:pPr>
        <w:ind w:left="0" w:firstLine="0"/>
      </w:pPr>
      <w:rPr>
        <w:rFonts w:ascii="黑体" w:eastAsia="黑体" w:hAnsi="Times New Roman" w:hint="eastAsia"/>
        <w:b w:val="0"/>
        <w:i w:val="0"/>
        <w:sz w:val="21"/>
      </w:rPr>
    </w:lvl>
    <w:lvl w:ilvl="6">
      <w:start w:val="1"/>
      <w:numFmt w:val="decimal"/>
      <w:suff w:val="nothing"/>
      <w:lvlText w:val="%1%2.%3.%4.%5.%6.%7　"/>
      <w:lvlJc w:val="left"/>
      <w:pPr>
        <w:ind w:left="0" w:firstLine="0"/>
      </w:pPr>
      <w:rPr>
        <w:rFonts w:ascii="黑体" w:eastAsia="黑体" w:hAnsi="Times New Roman" w:hint="eastAsia"/>
        <w:b w:val="0"/>
        <w:i w:val="0"/>
        <w:sz w:val="21"/>
      </w:rPr>
    </w:lvl>
    <w:lvl w:ilvl="7">
      <w:start w:val="1"/>
      <w:numFmt w:val="decimal"/>
      <w:lvlText w:val="%1.%2.%3.%4.%5.%6.%7.%8"/>
      <w:lvlJc w:val="left"/>
      <w:pPr>
        <w:tabs>
          <w:tab w:val="left" w:pos="4351"/>
        </w:tabs>
        <w:ind w:left="3969" w:hanging="1418"/>
      </w:pPr>
      <w:rPr>
        <w:rFonts w:hint="eastAsia"/>
      </w:rPr>
    </w:lvl>
    <w:lvl w:ilvl="8">
      <w:start w:val="1"/>
      <w:numFmt w:val="decimal"/>
      <w:lvlText w:val="%1.%2.%3.%4.%5.%6.%7.%8.%9"/>
      <w:lvlJc w:val="left"/>
      <w:pPr>
        <w:tabs>
          <w:tab w:val="left" w:pos="4777"/>
        </w:tabs>
        <w:ind w:left="4677" w:hanging="1700"/>
      </w:pPr>
      <w:rPr>
        <w:rFonts w:hint="eastAsia"/>
      </w:rPr>
    </w:lvl>
  </w:abstractNum>
  <w:abstractNum w:abstractNumId="1" w15:restartNumberingAfterBreak="0">
    <w:nsid w:val="2EC32B90"/>
    <w:multiLevelType w:val="multilevel"/>
    <w:tmpl w:val="2EC32B90"/>
    <w:lvl w:ilvl="0">
      <w:start w:val="1"/>
      <w:numFmt w:val="decimal"/>
      <w:lvlText w:val="%1"/>
      <w:lvlJc w:val="left"/>
      <w:pPr>
        <w:tabs>
          <w:tab w:val="left" w:pos="420"/>
        </w:tabs>
        <w:ind w:left="420" w:hanging="420"/>
      </w:pPr>
      <w:rPr>
        <w:rFonts w:hint="eastAsia"/>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2" w15:restartNumberingAfterBreak="0">
    <w:nsid w:val="557C2AF5"/>
    <w:multiLevelType w:val="multilevel"/>
    <w:tmpl w:val="557C2AF5"/>
    <w:lvl w:ilvl="0">
      <w:start w:val="1"/>
      <w:numFmt w:val="decimal"/>
      <w:pStyle w:val="a5"/>
      <w:suff w:val="nothing"/>
      <w:lvlText w:val="图%1　"/>
      <w:lvlJc w:val="left"/>
      <w:pPr>
        <w:ind w:left="0" w:firstLine="0"/>
      </w:pPr>
      <w:rPr>
        <w:rFonts w:ascii="黑体" w:eastAsia="黑体" w:hAnsi="Times New Roman" w:hint="eastAsia"/>
        <w:b w:val="0"/>
        <w:i w:val="0"/>
        <w:sz w:val="21"/>
      </w:rPr>
    </w:lvl>
    <w:lvl w:ilvl="1">
      <w:start w:val="1"/>
      <w:numFmt w:val="decimal"/>
      <w:suff w:val="nothing"/>
      <w:lvlText w:val="%1%2　"/>
      <w:lvlJc w:val="left"/>
      <w:pPr>
        <w:ind w:left="0" w:firstLine="0"/>
      </w:pPr>
      <w:rPr>
        <w:rFonts w:ascii="Times New Roman" w:eastAsia="黑体" w:hAnsi="Times New Roman" w:hint="default"/>
        <w:b w:val="0"/>
        <w:i w:val="0"/>
        <w:sz w:val="21"/>
      </w:rPr>
    </w:lvl>
    <w:lvl w:ilvl="2">
      <w:start w:val="1"/>
      <w:numFmt w:val="decimal"/>
      <w:suff w:val="nothing"/>
      <w:lvlText w:val="%1%2.%3　"/>
      <w:lvlJc w:val="left"/>
      <w:pPr>
        <w:ind w:left="0" w:firstLine="0"/>
      </w:pPr>
      <w:rPr>
        <w:rFonts w:ascii="Times New Roman" w:eastAsia="黑体" w:hAnsi="Times New Roman" w:hint="default"/>
        <w:b w:val="0"/>
        <w:i w:val="0"/>
        <w:sz w:val="21"/>
      </w:rPr>
    </w:lvl>
    <w:lvl w:ilvl="3">
      <w:start w:val="1"/>
      <w:numFmt w:val="decimal"/>
      <w:suff w:val="nothing"/>
      <w:lvlText w:val="%1%2.%3.%4　"/>
      <w:lvlJc w:val="left"/>
      <w:pPr>
        <w:ind w:left="0" w:firstLine="0"/>
      </w:pPr>
      <w:rPr>
        <w:rFonts w:ascii="Times New Roman" w:eastAsia="黑体" w:hAnsi="Times New Roman" w:hint="default"/>
        <w:b w:val="0"/>
        <w:i w:val="0"/>
        <w:sz w:val="21"/>
      </w:rPr>
    </w:lvl>
    <w:lvl w:ilvl="4">
      <w:start w:val="1"/>
      <w:numFmt w:val="decimal"/>
      <w:suff w:val="nothing"/>
      <w:lvlText w:val="%1%2.%3.%4.%5　"/>
      <w:lvlJc w:val="left"/>
      <w:pPr>
        <w:ind w:left="0" w:firstLine="0"/>
      </w:pPr>
      <w:rPr>
        <w:rFonts w:ascii="Times New Roman" w:eastAsia="黑体" w:hAnsi="Times New Roman" w:hint="default"/>
        <w:b w:val="0"/>
        <w:i w:val="0"/>
        <w:sz w:val="21"/>
      </w:rPr>
    </w:lvl>
    <w:lvl w:ilvl="5">
      <w:start w:val="1"/>
      <w:numFmt w:val="decimal"/>
      <w:suff w:val="nothing"/>
      <w:lvlText w:val="%1%2.%3.%4.%5.%6　"/>
      <w:lvlJc w:val="left"/>
      <w:pPr>
        <w:ind w:left="0" w:firstLine="0"/>
      </w:pPr>
      <w:rPr>
        <w:rFonts w:ascii="Times New Roman" w:eastAsia="黑体" w:hAnsi="Times New Roman" w:hint="default"/>
        <w:b w:val="0"/>
        <w:i w:val="0"/>
        <w:sz w:val="21"/>
      </w:rPr>
    </w:lvl>
    <w:lvl w:ilvl="6">
      <w:start w:val="1"/>
      <w:numFmt w:val="decimal"/>
      <w:suff w:val="nothing"/>
      <w:lvlText w:val="%1%2.%3.%4.%5.%6.%7　"/>
      <w:lvlJc w:val="left"/>
      <w:pPr>
        <w:ind w:left="0" w:firstLine="0"/>
      </w:pPr>
      <w:rPr>
        <w:rFonts w:ascii="Times New Roman" w:eastAsia="黑体" w:hAnsi="Times New Roman" w:hint="default"/>
        <w:b w:val="0"/>
        <w:i w:val="0"/>
        <w:sz w:val="21"/>
      </w:rPr>
    </w:lvl>
    <w:lvl w:ilvl="7">
      <w:start w:val="1"/>
      <w:numFmt w:val="decimal"/>
      <w:lvlText w:val="%1.%2.%3.%4.%5.%6.%7.%8"/>
      <w:lvlJc w:val="left"/>
      <w:pPr>
        <w:tabs>
          <w:tab w:val="left" w:pos="4351"/>
        </w:tabs>
        <w:ind w:left="3969" w:hanging="1418"/>
      </w:pPr>
      <w:rPr>
        <w:rFonts w:hint="eastAsia"/>
      </w:rPr>
    </w:lvl>
    <w:lvl w:ilvl="8">
      <w:start w:val="1"/>
      <w:numFmt w:val="decimal"/>
      <w:lvlText w:val="%1.%2.%3.%4.%5.%6.%7.%8.%9"/>
      <w:lvlJc w:val="left"/>
      <w:pPr>
        <w:tabs>
          <w:tab w:val="left" w:pos="4777"/>
        </w:tabs>
        <w:ind w:left="4677" w:hanging="1700"/>
      </w:pPr>
      <w:rPr>
        <w:rFonts w:hint="eastAsia"/>
      </w:rPr>
    </w:lvl>
  </w:abstractNum>
  <w:abstractNum w:abstractNumId="3" w15:restartNumberingAfterBreak="0">
    <w:nsid w:val="5A232B39"/>
    <w:multiLevelType w:val="multilevel"/>
    <w:tmpl w:val="5A232B39"/>
    <w:lvl w:ilvl="0">
      <w:start w:val="1"/>
      <w:numFmt w:val="decimal"/>
      <w:pStyle w:val="a6"/>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 w15:restartNumberingAfterBreak="0">
    <w:nsid w:val="646260FA"/>
    <w:multiLevelType w:val="multilevel"/>
    <w:tmpl w:val="646260FA"/>
    <w:lvl w:ilvl="0">
      <w:start w:val="1"/>
      <w:numFmt w:val="decimal"/>
      <w:pStyle w:val="a7"/>
      <w:suff w:val="nothing"/>
      <w:lvlText w:val="表%1　"/>
      <w:lvlJc w:val="left"/>
      <w:pPr>
        <w:ind w:left="4935" w:firstLine="0"/>
      </w:pPr>
      <w:rPr>
        <w:rFonts w:ascii="黑体" w:eastAsia="黑体" w:hAnsi="Times New Roman" w:hint="eastAsia"/>
        <w:b w:val="0"/>
        <w:i w:val="0"/>
        <w:sz w:val="21"/>
      </w:rPr>
    </w:lvl>
    <w:lvl w:ilvl="1">
      <w:start w:val="1"/>
      <w:numFmt w:val="decimal"/>
      <w:lvlText w:val="%1.%2"/>
      <w:lvlJc w:val="left"/>
      <w:pPr>
        <w:tabs>
          <w:tab w:val="left" w:pos="992"/>
        </w:tabs>
        <w:ind w:left="992" w:hanging="567"/>
      </w:pPr>
      <w:rPr>
        <w:rFonts w:hint="eastAsia"/>
      </w:rPr>
    </w:lvl>
    <w:lvl w:ilvl="2">
      <w:start w:val="1"/>
      <w:numFmt w:val="decimal"/>
      <w:lvlText w:val="%1.%2.%3"/>
      <w:lvlJc w:val="left"/>
      <w:pPr>
        <w:tabs>
          <w:tab w:val="left" w:pos="1418"/>
        </w:tabs>
        <w:ind w:left="1418" w:hanging="567"/>
      </w:pPr>
      <w:rPr>
        <w:rFonts w:hint="eastAsia"/>
      </w:rPr>
    </w:lvl>
    <w:lvl w:ilvl="3">
      <w:start w:val="1"/>
      <w:numFmt w:val="decimal"/>
      <w:lvlText w:val="%1.%2.%3.%4"/>
      <w:lvlJc w:val="left"/>
      <w:pPr>
        <w:tabs>
          <w:tab w:val="left" w:pos="1984"/>
        </w:tabs>
        <w:ind w:left="1984" w:hanging="708"/>
      </w:pPr>
      <w:rPr>
        <w:rFonts w:hint="eastAsia"/>
      </w:rPr>
    </w:lvl>
    <w:lvl w:ilvl="4">
      <w:start w:val="1"/>
      <w:numFmt w:val="decimal"/>
      <w:lvlText w:val="%1.%2.%3.%4.%5"/>
      <w:lvlJc w:val="left"/>
      <w:pPr>
        <w:tabs>
          <w:tab w:val="left" w:pos="2551"/>
        </w:tabs>
        <w:ind w:left="2551" w:hanging="850"/>
      </w:pPr>
      <w:rPr>
        <w:rFonts w:hint="eastAsia"/>
      </w:rPr>
    </w:lvl>
    <w:lvl w:ilvl="5">
      <w:start w:val="1"/>
      <w:numFmt w:val="decimal"/>
      <w:lvlText w:val="%1.%2.%3.%4.%5.%6"/>
      <w:lvlJc w:val="left"/>
      <w:pPr>
        <w:tabs>
          <w:tab w:val="left" w:pos="3260"/>
        </w:tabs>
        <w:ind w:left="3260" w:hanging="1134"/>
      </w:pPr>
      <w:rPr>
        <w:rFonts w:hint="eastAsia"/>
      </w:rPr>
    </w:lvl>
    <w:lvl w:ilvl="6">
      <w:start w:val="1"/>
      <w:numFmt w:val="decimal"/>
      <w:lvlText w:val="%1.%2.%3.%4.%5.%6.%7"/>
      <w:lvlJc w:val="left"/>
      <w:pPr>
        <w:tabs>
          <w:tab w:val="left" w:pos="3827"/>
        </w:tabs>
        <w:ind w:left="3827" w:hanging="1276"/>
      </w:pPr>
      <w:rPr>
        <w:rFonts w:hint="eastAsia"/>
      </w:rPr>
    </w:lvl>
    <w:lvl w:ilvl="7">
      <w:start w:val="1"/>
      <w:numFmt w:val="decimal"/>
      <w:lvlText w:val="%1.%2.%3.%4.%5.%6.%7.%8"/>
      <w:lvlJc w:val="left"/>
      <w:pPr>
        <w:tabs>
          <w:tab w:val="left" w:pos="4394"/>
        </w:tabs>
        <w:ind w:left="4394" w:hanging="1418"/>
      </w:pPr>
      <w:rPr>
        <w:rFonts w:hint="eastAsia"/>
      </w:rPr>
    </w:lvl>
    <w:lvl w:ilvl="8">
      <w:start w:val="1"/>
      <w:numFmt w:val="decimal"/>
      <w:lvlText w:val="%1.%2.%3.%4.%5.%6.%7.%8.%9"/>
      <w:lvlJc w:val="left"/>
      <w:pPr>
        <w:tabs>
          <w:tab w:val="left" w:pos="5102"/>
        </w:tabs>
        <w:ind w:left="5102" w:hanging="1700"/>
      </w:pPr>
      <w:rPr>
        <w:rFonts w:hint="eastAsia"/>
      </w:rPr>
    </w:lvl>
  </w:abstractNum>
  <w:num w:numId="1">
    <w:abstractNumId w:val="3"/>
  </w:num>
  <w:num w:numId="2">
    <w:abstractNumId w:val="4"/>
  </w:num>
  <w:num w:numId="3">
    <w:abstractNumId w:val="0"/>
  </w:num>
  <w:num w:numId="4">
    <w:abstractNumId w:val="2"/>
  </w:num>
  <w:num w:numId="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7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19"/>
  <w:evenAndOddHeaders/>
  <w:drawingGridHorizontalSpacing w:val="105"/>
  <w:drawingGridVerticalSpacing w:val="156"/>
  <w:noPunctuationKerning/>
  <w:characterSpacingControl w:val="compressPunctuation"/>
  <w:doNotValidateAgainstSchema/>
  <w:doNotDemarcateInvalidXml/>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TA2ZmU4OTFhZDk1MGNmZGE2MGVjODdjMmVjMjM0OGEifQ=="/>
  </w:docVars>
  <w:rsids>
    <w:rsidRoot w:val="00172A27"/>
    <w:rsid w:val="00001521"/>
    <w:rsid w:val="000015DB"/>
    <w:rsid w:val="00001C74"/>
    <w:rsid w:val="00002172"/>
    <w:rsid w:val="000022EE"/>
    <w:rsid w:val="0000287E"/>
    <w:rsid w:val="000051DC"/>
    <w:rsid w:val="00007CBC"/>
    <w:rsid w:val="000139EC"/>
    <w:rsid w:val="0001573E"/>
    <w:rsid w:val="000165F6"/>
    <w:rsid w:val="000177FE"/>
    <w:rsid w:val="00017E5C"/>
    <w:rsid w:val="00020B11"/>
    <w:rsid w:val="0002139B"/>
    <w:rsid w:val="00023185"/>
    <w:rsid w:val="000236D1"/>
    <w:rsid w:val="00023D7B"/>
    <w:rsid w:val="00023E5B"/>
    <w:rsid w:val="0002498D"/>
    <w:rsid w:val="00024E7E"/>
    <w:rsid w:val="00025C87"/>
    <w:rsid w:val="00025EDE"/>
    <w:rsid w:val="00027644"/>
    <w:rsid w:val="0002781E"/>
    <w:rsid w:val="00030748"/>
    <w:rsid w:val="00030889"/>
    <w:rsid w:val="00031F89"/>
    <w:rsid w:val="00033303"/>
    <w:rsid w:val="000359EF"/>
    <w:rsid w:val="000368E8"/>
    <w:rsid w:val="00037AAB"/>
    <w:rsid w:val="00037FA5"/>
    <w:rsid w:val="00041066"/>
    <w:rsid w:val="0004373F"/>
    <w:rsid w:val="00043BEE"/>
    <w:rsid w:val="0004491A"/>
    <w:rsid w:val="00044D87"/>
    <w:rsid w:val="00044D8B"/>
    <w:rsid w:val="000466A5"/>
    <w:rsid w:val="00047D97"/>
    <w:rsid w:val="00050861"/>
    <w:rsid w:val="000515BB"/>
    <w:rsid w:val="000522CB"/>
    <w:rsid w:val="000524BB"/>
    <w:rsid w:val="0005257D"/>
    <w:rsid w:val="00052BD7"/>
    <w:rsid w:val="00053B0A"/>
    <w:rsid w:val="000543C6"/>
    <w:rsid w:val="000608C3"/>
    <w:rsid w:val="000610BD"/>
    <w:rsid w:val="000626B6"/>
    <w:rsid w:val="0006364E"/>
    <w:rsid w:val="00064179"/>
    <w:rsid w:val="00064482"/>
    <w:rsid w:val="000646CE"/>
    <w:rsid w:val="000663B5"/>
    <w:rsid w:val="00067CA9"/>
    <w:rsid w:val="00070FA6"/>
    <w:rsid w:val="0007179E"/>
    <w:rsid w:val="00072F6F"/>
    <w:rsid w:val="0007349F"/>
    <w:rsid w:val="0007435D"/>
    <w:rsid w:val="00075261"/>
    <w:rsid w:val="00076DDE"/>
    <w:rsid w:val="00081054"/>
    <w:rsid w:val="0008166A"/>
    <w:rsid w:val="000818D5"/>
    <w:rsid w:val="000840E2"/>
    <w:rsid w:val="00084E05"/>
    <w:rsid w:val="00090FCA"/>
    <w:rsid w:val="00091E44"/>
    <w:rsid w:val="000945F2"/>
    <w:rsid w:val="00095B3A"/>
    <w:rsid w:val="000A0592"/>
    <w:rsid w:val="000A15BB"/>
    <w:rsid w:val="000A3D6F"/>
    <w:rsid w:val="000A4C95"/>
    <w:rsid w:val="000A5AFA"/>
    <w:rsid w:val="000A5EF7"/>
    <w:rsid w:val="000A63D1"/>
    <w:rsid w:val="000A6887"/>
    <w:rsid w:val="000A7C03"/>
    <w:rsid w:val="000B231C"/>
    <w:rsid w:val="000B4247"/>
    <w:rsid w:val="000B54CA"/>
    <w:rsid w:val="000B5D16"/>
    <w:rsid w:val="000B5E73"/>
    <w:rsid w:val="000B71BD"/>
    <w:rsid w:val="000B7BF6"/>
    <w:rsid w:val="000C5DF6"/>
    <w:rsid w:val="000D0243"/>
    <w:rsid w:val="000D02A8"/>
    <w:rsid w:val="000D1039"/>
    <w:rsid w:val="000D1229"/>
    <w:rsid w:val="000D1EC6"/>
    <w:rsid w:val="000D5E51"/>
    <w:rsid w:val="000D689E"/>
    <w:rsid w:val="000D74C3"/>
    <w:rsid w:val="000E25D9"/>
    <w:rsid w:val="000E2AB8"/>
    <w:rsid w:val="000E7DBE"/>
    <w:rsid w:val="000F1160"/>
    <w:rsid w:val="000F14F0"/>
    <w:rsid w:val="000F1D47"/>
    <w:rsid w:val="000F2ED9"/>
    <w:rsid w:val="000F2F47"/>
    <w:rsid w:val="000F32AA"/>
    <w:rsid w:val="000F37A1"/>
    <w:rsid w:val="000F3B35"/>
    <w:rsid w:val="000F49A1"/>
    <w:rsid w:val="001024FE"/>
    <w:rsid w:val="00103191"/>
    <w:rsid w:val="00103A56"/>
    <w:rsid w:val="00103E4F"/>
    <w:rsid w:val="00110FD1"/>
    <w:rsid w:val="00111544"/>
    <w:rsid w:val="00111F82"/>
    <w:rsid w:val="00112FF8"/>
    <w:rsid w:val="00113847"/>
    <w:rsid w:val="001149C2"/>
    <w:rsid w:val="0011567F"/>
    <w:rsid w:val="00116B8A"/>
    <w:rsid w:val="00117845"/>
    <w:rsid w:val="0012018E"/>
    <w:rsid w:val="00121042"/>
    <w:rsid w:val="00121358"/>
    <w:rsid w:val="00122B18"/>
    <w:rsid w:val="00126E48"/>
    <w:rsid w:val="00127883"/>
    <w:rsid w:val="001312AD"/>
    <w:rsid w:val="00134DE6"/>
    <w:rsid w:val="001359F2"/>
    <w:rsid w:val="0013781F"/>
    <w:rsid w:val="0013785F"/>
    <w:rsid w:val="00137EEA"/>
    <w:rsid w:val="001406DF"/>
    <w:rsid w:val="00142C11"/>
    <w:rsid w:val="00144060"/>
    <w:rsid w:val="001444A0"/>
    <w:rsid w:val="00144681"/>
    <w:rsid w:val="00145DED"/>
    <w:rsid w:val="00151220"/>
    <w:rsid w:val="001526B5"/>
    <w:rsid w:val="00152C5B"/>
    <w:rsid w:val="00154837"/>
    <w:rsid w:val="00154CD5"/>
    <w:rsid w:val="001568E0"/>
    <w:rsid w:val="001571D7"/>
    <w:rsid w:val="001577A2"/>
    <w:rsid w:val="00157A08"/>
    <w:rsid w:val="00160277"/>
    <w:rsid w:val="00160A0F"/>
    <w:rsid w:val="00160EEE"/>
    <w:rsid w:val="00163530"/>
    <w:rsid w:val="00163F25"/>
    <w:rsid w:val="00165D2E"/>
    <w:rsid w:val="001678F6"/>
    <w:rsid w:val="001709E0"/>
    <w:rsid w:val="00171BB1"/>
    <w:rsid w:val="00171BD1"/>
    <w:rsid w:val="00172A27"/>
    <w:rsid w:val="001735AA"/>
    <w:rsid w:val="001740D1"/>
    <w:rsid w:val="001759FC"/>
    <w:rsid w:val="00175A7A"/>
    <w:rsid w:val="001806E2"/>
    <w:rsid w:val="00182246"/>
    <w:rsid w:val="001824C3"/>
    <w:rsid w:val="00182755"/>
    <w:rsid w:val="001831F1"/>
    <w:rsid w:val="001849EC"/>
    <w:rsid w:val="00184D64"/>
    <w:rsid w:val="00186BA0"/>
    <w:rsid w:val="00190742"/>
    <w:rsid w:val="001933B5"/>
    <w:rsid w:val="001938CD"/>
    <w:rsid w:val="00194CA1"/>
    <w:rsid w:val="0019661C"/>
    <w:rsid w:val="001969B1"/>
    <w:rsid w:val="001A1D02"/>
    <w:rsid w:val="001A538E"/>
    <w:rsid w:val="001A5CE6"/>
    <w:rsid w:val="001A608A"/>
    <w:rsid w:val="001A7598"/>
    <w:rsid w:val="001A7DD6"/>
    <w:rsid w:val="001B017A"/>
    <w:rsid w:val="001B1CF2"/>
    <w:rsid w:val="001B2054"/>
    <w:rsid w:val="001B5121"/>
    <w:rsid w:val="001B5590"/>
    <w:rsid w:val="001C0860"/>
    <w:rsid w:val="001C2496"/>
    <w:rsid w:val="001C2568"/>
    <w:rsid w:val="001C6AA4"/>
    <w:rsid w:val="001C6C68"/>
    <w:rsid w:val="001D119D"/>
    <w:rsid w:val="001D18CB"/>
    <w:rsid w:val="001D28E6"/>
    <w:rsid w:val="001D4C01"/>
    <w:rsid w:val="001D51B1"/>
    <w:rsid w:val="001D5D5F"/>
    <w:rsid w:val="001D6205"/>
    <w:rsid w:val="001D6725"/>
    <w:rsid w:val="001D7FA9"/>
    <w:rsid w:val="001E2255"/>
    <w:rsid w:val="001E22F6"/>
    <w:rsid w:val="001E3A25"/>
    <w:rsid w:val="001E4963"/>
    <w:rsid w:val="001F11AD"/>
    <w:rsid w:val="001F2950"/>
    <w:rsid w:val="001F3C41"/>
    <w:rsid w:val="001F5D95"/>
    <w:rsid w:val="001F6DCA"/>
    <w:rsid w:val="001F7E85"/>
    <w:rsid w:val="002000C9"/>
    <w:rsid w:val="00200F93"/>
    <w:rsid w:val="00201444"/>
    <w:rsid w:val="00202414"/>
    <w:rsid w:val="002027E4"/>
    <w:rsid w:val="0020399E"/>
    <w:rsid w:val="002047CF"/>
    <w:rsid w:val="00204E16"/>
    <w:rsid w:val="00204E1E"/>
    <w:rsid w:val="00206704"/>
    <w:rsid w:val="00210269"/>
    <w:rsid w:val="00210F19"/>
    <w:rsid w:val="002112B7"/>
    <w:rsid w:val="002131E7"/>
    <w:rsid w:val="00213BE3"/>
    <w:rsid w:val="00215BD3"/>
    <w:rsid w:val="0021601F"/>
    <w:rsid w:val="00216313"/>
    <w:rsid w:val="00216586"/>
    <w:rsid w:val="00216F74"/>
    <w:rsid w:val="0021704D"/>
    <w:rsid w:val="00217B13"/>
    <w:rsid w:val="0022007F"/>
    <w:rsid w:val="00220D4C"/>
    <w:rsid w:val="00220E81"/>
    <w:rsid w:val="00220EC4"/>
    <w:rsid w:val="0022284B"/>
    <w:rsid w:val="002228BC"/>
    <w:rsid w:val="00222966"/>
    <w:rsid w:val="002235FE"/>
    <w:rsid w:val="00223E56"/>
    <w:rsid w:val="002241D1"/>
    <w:rsid w:val="00224A1C"/>
    <w:rsid w:val="00224ECA"/>
    <w:rsid w:val="00224ECC"/>
    <w:rsid w:val="002255E4"/>
    <w:rsid w:val="00230938"/>
    <w:rsid w:val="002309CA"/>
    <w:rsid w:val="00231D92"/>
    <w:rsid w:val="002331A2"/>
    <w:rsid w:val="00233522"/>
    <w:rsid w:val="00235ABE"/>
    <w:rsid w:val="00236237"/>
    <w:rsid w:val="002372A6"/>
    <w:rsid w:val="00237439"/>
    <w:rsid w:val="00237669"/>
    <w:rsid w:val="00240852"/>
    <w:rsid w:val="00240B55"/>
    <w:rsid w:val="00242019"/>
    <w:rsid w:val="00242196"/>
    <w:rsid w:val="00243ADB"/>
    <w:rsid w:val="0024475B"/>
    <w:rsid w:val="00246C9E"/>
    <w:rsid w:val="002505C4"/>
    <w:rsid w:val="002521A8"/>
    <w:rsid w:val="00252718"/>
    <w:rsid w:val="00253D10"/>
    <w:rsid w:val="00253EB2"/>
    <w:rsid w:val="00254682"/>
    <w:rsid w:val="00254CF6"/>
    <w:rsid w:val="002550C0"/>
    <w:rsid w:val="0025670C"/>
    <w:rsid w:val="002578A0"/>
    <w:rsid w:val="002578AC"/>
    <w:rsid w:val="00262681"/>
    <w:rsid w:val="0026298C"/>
    <w:rsid w:val="00263737"/>
    <w:rsid w:val="00263744"/>
    <w:rsid w:val="002650C5"/>
    <w:rsid w:val="00270AA8"/>
    <w:rsid w:val="002727FB"/>
    <w:rsid w:val="002735E1"/>
    <w:rsid w:val="002741FF"/>
    <w:rsid w:val="00277963"/>
    <w:rsid w:val="00280135"/>
    <w:rsid w:val="00282FD8"/>
    <w:rsid w:val="002830D1"/>
    <w:rsid w:val="00283DF1"/>
    <w:rsid w:val="00284863"/>
    <w:rsid w:val="002859EE"/>
    <w:rsid w:val="00290FA7"/>
    <w:rsid w:val="0029524D"/>
    <w:rsid w:val="0029546B"/>
    <w:rsid w:val="00296C65"/>
    <w:rsid w:val="002A0166"/>
    <w:rsid w:val="002A0C18"/>
    <w:rsid w:val="002A1495"/>
    <w:rsid w:val="002A2E65"/>
    <w:rsid w:val="002A401A"/>
    <w:rsid w:val="002A43F9"/>
    <w:rsid w:val="002B0F93"/>
    <w:rsid w:val="002B1B42"/>
    <w:rsid w:val="002B31BA"/>
    <w:rsid w:val="002B387A"/>
    <w:rsid w:val="002B3C01"/>
    <w:rsid w:val="002B3EB0"/>
    <w:rsid w:val="002B4142"/>
    <w:rsid w:val="002B4BA7"/>
    <w:rsid w:val="002B57FB"/>
    <w:rsid w:val="002B713C"/>
    <w:rsid w:val="002C0858"/>
    <w:rsid w:val="002C0BC5"/>
    <w:rsid w:val="002C0FAE"/>
    <w:rsid w:val="002C2576"/>
    <w:rsid w:val="002C3EC5"/>
    <w:rsid w:val="002C4297"/>
    <w:rsid w:val="002C5501"/>
    <w:rsid w:val="002C74A9"/>
    <w:rsid w:val="002D2052"/>
    <w:rsid w:val="002D2747"/>
    <w:rsid w:val="002D3910"/>
    <w:rsid w:val="002D3E7C"/>
    <w:rsid w:val="002D59AB"/>
    <w:rsid w:val="002D64BE"/>
    <w:rsid w:val="002E0A6C"/>
    <w:rsid w:val="002E374F"/>
    <w:rsid w:val="002E3BC5"/>
    <w:rsid w:val="002E4930"/>
    <w:rsid w:val="002E5D4A"/>
    <w:rsid w:val="002E5F40"/>
    <w:rsid w:val="002E731B"/>
    <w:rsid w:val="002E745A"/>
    <w:rsid w:val="002F50C4"/>
    <w:rsid w:val="002F53DF"/>
    <w:rsid w:val="002F57D3"/>
    <w:rsid w:val="00303A97"/>
    <w:rsid w:val="0030489B"/>
    <w:rsid w:val="00304BD1"/>
    <w:rsid w:val="00305F79"/>
    <w:rsid w:val="0031050B"/>
    <w:rsid w:val="00310548"/>
    <w:rsid w:val="00310E62"/>
    <w:rsid w:val="00311ED1"/>
    <w:rsid w:val="00312248"/>
    <w:rsid w:val="00312701"/>
    <w:rsid w:val="00312857"/>
    <w:rsid w:val="00312B6E"/>
    <w:rsid w:val="003133BF"/>
    <w:rsid w:val="00313714"/>
    <w:rsid w:val="003146E8"/>
    <w:rsid w:val="00317944"/>
    <w:rsid w:val="00317B47"/>
    <w:rsid w:val="00320119"/>
    <w:rsid w:val="003229F9"/>
    <w:rsid w:val="00322BCA"/>
    <w:rsid w:val="00323B95"/>
    <w:rsid w:val="0032502B"/>
    <w:rsid w:val="003252E2"/>
    <w:rsid w:val="00325ED9"/>
    <w:rsid w:val="0033178C"/>
    <w:rsid w:val="00331DD1"/>
    <w:rsid w:val="003333E9"/>
    <w:rsid w:val="00333A25"/>
    <w:rsid w:val="00333A69"/>
    <w:rsid w:val="003350CF"/>
    <w:rsid w:val="00336125"/>
    <w:rsid w:val="00336436"/>
    <w:rsid w:val="003402E6"/>
    <w:rsid w:val="003412C4"/>
    <w:rsid w:val="00342284"/>
    <w:rsid w:val="003448E8"/>
    <w:rsid w:val="00344BD7"/>
    <w:rsid w:val="00345D8A"/>
    <w:rsid w:val="003461AC"/>
    <w:rsid w:val="003467C2"/>
    <w:rsid w:val="00346ADD"/>
    <w:rsid w:val="00351AEA"/>
    <w:rsid w:val="00352711"/>
    <w:rsid w:val="003529D9"/>
    <w:rsid w:val="00353F95"/>
    <w:rsid w:val="00354138"/>
    <w:rsid w:val="003547A0"/>
    <w:rsid w:val="0035490E"/>
    <w:rsid w:val="00355E6F"/>
    <w:rsid w:val="003562B1"/>
    <w:rsid w:val="00356343"/>
    <w:rsid w:val="003564CB"/>
    <w:rsid w:val="00360754"/>
    <w:rsid w:val="00361294"/>
    <w:rsid w:val="00361B13"/>
    <w:rsid w:val="003627A5"/>
    <w:rsid w:val="003642C2"/>
    <w:rsid w:val="00367ADE"/>
    <w:rsid w:val="00370C7F"/>
    <w:rsid w:val="003721EF"/>
    <w:rsid w:val="00372E4C"/>
    <w:rsid w:val="003736E4"/>
    <w:rsid w:val="003762EF"/>
    <w:rsid w:val="00382A26"/>
    <w:rsid w:val="00383E4B"/>
    <w:rsid w:val="003848FD"/>
    <w:rsid w:val="0038597C"/>
    <w:rsid w:val="00386254"/>
    <w:rsid w:val="00386AAC"/>
    <w:rsid w:val="003917A7"/>
    <w:rsid w:val="00392CE1"/>
    <w:rsid w:val="0039535F"/>
    <w:rsid w:val="00395710"/>
    <w:rsid w:val="003A11B5"/>
    <w:rsid w:val="003A4066"/>
    <w:rsid w:val="003A4AAD"/>
    <w:rsid w:val="003A6D10"/>
    <w:rsid w:val="003A6FDA"/>
    <w:rsid w:val="003A7BD9"/>
    <w:rsid w:val="003B14C7"/>
    <w:rsid w:val="003B5C31"/>
    <w:rsid w:val="003B5C7F"/>
    <w:rsid w:val="003B7C89"/>
    <w:rsid w:val="003C100F"/>
    <w:rsid w:val="003C1B83"/>
    <w:rsid w:val="003C2735"/>
    <w:rsid w:val="003C28F6"/>
    <w:rsid w:val="003C2BDE"/>
    <w:rsid w:val="003C5056"/>
    <w:rsid w:val="003C5900"/>
    <w:rsid w:val="003C6430"/>
    <w:rsid w:val="003C6A83"/>
    <w:rsid w:val="003D00A0"/>
    <w:rsid w:val="003D0C07"/>
    <w:rsid w:val="003D0F25"/>
    <w:rsid w:val="003D13E5"/>
    <w:rsid w:val="003D1B79"/>
    <w:rsid w:val="003D213C"/>
    <w:rsid w:val="003D3689"/>
    <w:rsid w:val="003D453E"/>
    <w:rsid w:val="003D68A1"/>
    <w:rsid w:val="003D71D2"/>
    <w:rsid w:val="003D7C75"/>
    <w:rsid w:val="003E07CD"/>
    <w:rsid w:val="003E20C4"/>
    <w:rsid w:val="003E3633"/>
    <w:rsid w:val="003E656A"/>
    <w:rsid w:val="003F0F46"/>
    <w:rsid w:val="003F1829"/>
    <w:rsid w:val="003F3745"/>
    <w:rsid w:val="003F4557"/>
    <w:rsid w:val="003F502B"/>
    <w:rsid w:val="003F53F7"/>
    <w:rsid w:val="003F618B"/>
    <w:rsid w:val="003F771B"/>
    <w:rsid w:val="003F7A7E"/>
    <w:rsid w:val="004007CA"/>
    <w:rsid w:val="00400DC0"/>
    <w:rsid w:val="00401BC0"/>
    <w:rsid w:val="00404254"/>
    <w:rsid w:val="004048D3"/>
    <w:rsid w:val="004050B3"/>
    <w:rsid w:val="004056AB"/>
    <w:rsid w:val="00405C04"/>
    <w:rsid w:val="0041273A"/>
    <w:rsid w:val="00412ECE"/>
    <w:rsid w:val="0041324C"/>
    <w:rsid w:val="00414561"/>
    <w:rsid w:val="004160BC"/>
    <w:rsid w:val="00416E94"/>
    <w:rsid w:val="004177C6"/>
    <w:rsid w:val="004207AE"/>
    <w:rsid w:val="00421631"/>
    <w:rsid w:val="0042419A"/>
    <w:rsid w:val="004243FA"/>
    <w:rsid w:val="004243FB"/>
    <w:rsid w:val="00424A4D"/>
    <w:rsid w:val="00426AD8"/>
    <w:rsid w:val="00427875"/>
    <w:rsid w:val="0043246C"/>
    <w:rsid w:val="0043418C"/>
    <w:rsid w:val="004342D9"/>
    <w:rsid w:val="004363CA"/>
    <w:rsid w:val="00436E9A"/>
    <w:rsid w:val="004407C9"/>
    <w:rsid w:val="00441E52"/>
    <w:rsid w:val="004421DE"/>
    <w:rsid w:val="00443DB2"/>
    <w:rsid w:val="00445E32"/>
    <w:rsid w:val="0044657B"/>
    <w:rsid w:val="00446D92"/>
    <w:rsid w:val="004471C7"/>
    <w:rsid w:val="00447DBD"/>
    <w:rsid w:val="0045004F"/>
    <w:rsid w:val="004520C7"/>
    <w:rsid w:val="004560CF"/>
    <w:rsid w:val="004572F5"/>
    <w:rsid w:val="00457C41"/>
    <w:rsid w:val="00460079"/>
    <w:rsid w:val="00460561"/>
    <w:rsid w:val="00461DA8"/>
    <w:rsid w:val="00462193"/>
    <w:rsid w:val="0046260F"/>
    <w:rsid w:val="0046465F"/>
    <w:rsid w:val="00465A2A"/>
    <w:rsid w:val="00466B04"/>
    <w:rsid w:val="00467642"/>
    <w:rsid w:val="00470A47"/>
    <w:rsid w:val="00471C2A"/>
    <w:rsid w:val="00471DFF"/>
    <w:rsid w:val="00472E59"/>
    <w:rsid w:val="00473387"/>
    <w:rsid w:val="004736C0"/>
    <w:rsid w:val="00473EF9"/>
    <w:rsid w:val="00473FEA"/>
    <w:rsid w:val="0047405B"/>
    <w:rsid w:val="00474ADC"/>
    <w:rsid w:val="00475520"/>
    <w:rsid w:val="00475956"/>
    <w:rsid w:val="00477CB4"/>
    <w:rsid w:val="0048033F"/>
    <w:rsid w:val="00480F12"/>
    <w:rsid w:val="00481CB9"/>
    <w:rsid w:val="004827B6"/>
    <w:rsid w:val="00482AEA"/>
    <w:rsid w:val="00482C6B"/>
    <w:rsid w:val="00482EF5"/>
    <w:rsid w:val="0048331D"/>
    <w:rsid w:val="0048484C"/>
    <w:rsid w:val="0048607C"/>
    <w:rsid w:val="00486AD2"/>
    <w:rsid w:val="0049023B"/>
    <w:rsid w:val="0049127D"/>
    <w:rsid w:val="00491E01"/>
    <w:rsid w:val="004922BA"/>
    <w:rsid w:val="00493421"/>
    <w:rsid w:val="004934D4"/>
    <w:rsid w:val="00494826"/>
    <w:rsid w:val="00494898"/>
    <w:rsid w:val="0049496E"/>
    <w:rsid w:val="00494992"/>
    <w:rsid w:val="0049553A"/>
    <w:rsid w:val="00496B0D"/>
    <w:rsid w:val="004974A3"/>
    <w:rsid w:val="004A04DE"/>
    <w:rsid w:val="004A222B"/>
    <w:rsid w:val="004A34C2"/>
    <w:rsid w:val="004A4244"/>
    <w:rsid w:val="004A4C02"/>
    <w:rsid w:val="004A619B"/>
    <w:rsid w:val="004A7021"/>
    <w:rsid w:val="004B0A84"/>
    <w:rsid w:val="004B0DF3"/>
    <w:rsid w:val="004B1D43"/>
    <w:rsid w:val="004B2AF5"/>
    <w:rsid w:val="004B38B1"/>
    <w:rsid w:val="004B449A"/>
    <w:rsid w:val="004B4749"/>
    <w:rsid w:val="004B47AB"/>
    <w:rsid w:val="004B4A3D"/>
    <w:rsid w:val="004B783F"/>
    <w:rsid w:val="004C0187"/>
    <w:rsid w:val="004C40DB"/>
    <w:rsid w:val="004C4E27"/>
    <w:rsid w:val="004C50CE"/>
    <w:rsid w:val="004C7567"/>
    <w:rsid w:val="004D0614"/>
    <w:rsid w:val="004D2B26"/>
    <w:rsid w:val="004D2FB6"/>
    <w:rsid w:val="004D3AA7"/>
    <w:rsid w:val="004D4707"/>
    <w:rsid w:val="004D477F"/>
    <w:rsid w:val="004D4D0E"/>
    <w:rsid w:val="004D4F0B"/>
    <w:rsid w:val="004D4F74"/>
    <w:rsid w:val="004D5259"/>
    <w:rsid w:val="004D710F"/>
    <w:rsid w:val="004E33BC"/>
    <w:rsid w:val="004E3754"/>
    <w:rsid w:val="004E3915"/>
    <w:rsid w:val="004E3DCA"/>
    <w:rsid w:val="004E65DA"/>
    <w:rsid w:val="004E77E9"/>
    <w:rsid w:val="004E7D34"/>
    <w:rsid w:val="004F0D8F"/>
    <w:rsid w:val="004F0F17"/>
    <w:rsid w:val="004F1233"/>
    <w:rsid w:val="004F26B8"/>
    <w:rsid w:val="004F2A31"/>
    <w:rsid w:val="004F3595"/>
    <w:rsid w:val="004F380D"/>
    <w:rsid w:val="004F4FC8"/>
    <w:rsid w:val="004F51A0"/>
    <w:rsid w:val="004F556C"/>
    <w:rsid w:val="004F576E"/>
    <w:rsid w:val="004F6727"/>
    <w:rsid w:val="004F73B0"/>
    <w:rsid w:val="0050084A"/>
    <w:rsid w:val="00501D84"/>
    <w:rsid w:val="005027CF"/>
    <w:rsid w:val="00504A40"/>
    <w:rsid w:val="00505FFC"/>
    <w:rsid w:val="00507F31"/>
    <w:rsid w:val="00510C3C"/>
    <w:rsid w:val="00511179"/>
    <w:rsid w:val="00511A88"/>
    <w:rsid w:val="00512AEE"/>
    <w:rsid w:val="005131AF"/>
    <w:rsid w:val="00517C1E"/>
    <w:rsid w:val="00520218"/>
    <w:rsid w:val="0052204C"/>
    <w:rsid w:val="00522437"/>
    <w:rsid w:val="005251F5"/>
    <w:rsid w:val="005259BD"/>
    <w:rsid w:val="005261BC"/>
    <w:rsid w:val="00526C95"/>
    <w:rsid w:val="00530089"/>
    <w:rsid w:val="00530236"/>
    <w:rsid w:val="005337FF"/>
    <w:rsid w:val="005354B6"/>
    <w:rsid w:val="00535677"/>
    <w:rsid w:val="0053574E"/>
    <w:rsid w:val="00535BC2"/>
    <w:rsid w:val="00535D27"/>
    <w:rsid w:val="005376DD"/>
    <w:rsid w:val="005411EE"/>
    <w:rsid w:val="00542B54"/>
    <w:rsid w:val="00543227"/>
    <w:rsid w:val="00543D00"/>
    <w:rsid w:val="00543E51"/>
    <w:rsid w:val="005443DD"/>
    <w:rsid w:val="005455D9"/>
    <w:rsid w:val="005462E3"/>
    <w:rsid w:val="00547CA4"/>
    <w:rsid w:val="00550711"/>
    <w:rsid w:val="00552250"/>
    <w:rsid w:val="00552CE5"/>
    <w:rsid w:val="0055423A"/>
    <w:rsid w:val="0055463B"/>
    <w:rsid w:val="0055479A"/>
    <w:rsid w:val="005549FD"/>
    <w:rsid w:val="00554F2B"/>
    <w:rsid w:val="00555BB7"/>
    <w:rsid w:val="005578DB"/>
    <w:rsid w:val="005627C4"/>
    <w:rsid w:val="00564BF0"/>
    <w:rsid w:val="005651A9"/>
    <w:rsid w:val="0056581A"/>
    <w:rsid w:val="00565EDF"/>
    <w:rsid w:val="00565F9F"/>
    <w:rsid w:val="00570508"/>
    <w:rsid w:val="005707B1"/>
    <w:rsid w:val="005736B9"/>
    <w:rsid w:val="00573FA6"/>
    <w:rsid w:val="0057479E"/>
    <w:rsid w:val="00574A98"/>
    <w:rsid w:val="005757BD"/>
    <w:rsid w:val="00575A30"/>
    <w:rsid w:val="00575E10"/>
    <w:rsid w:val="00577472"/>
    <w:rsid w:val="00577E93"/>
    <w:rsid w:val="00581467"/>
    <w:rsid w:val="005823B8"/>
    <w:rsid w:val="00583492"/>
    <w:rsid w:val="005844E3"/>
    <w:rsid w:val="00585148"/>
    <w:rsid w:val="005851B7"/>
    <w:rsid w:val="005908CE"/>
    <w:rsid w:val="00590CD4"/>
    <w:rsid w:val="00591532"/>
    <w:rsid w:val="005919F1"/>
    <w:rsid w:val="00593557"/>
    <w:rsid w:val="0059396B"/>
    <w:rsid w:val="005A0700"/>
    <w:rsid w:val="005A3CB5"/>
    <w:rsid w:val="005A404C"/>
    <w:rsid w:val="005A4118"/>
    <w:rsid w:val="005A420D"/>
    <w:rsid w:val="005A5E9B"/>
    <w:rsid w:val="005A6A10"/>
    <w:rsid w:val="005B080E"/>
    <w:rsid w:val="005B1BA7"/>
    <w:rsid w:val="005B410D"/>
    <w:rsid w:val="005B5039"/>
    <w:rsid w:val="005B51B4"/>
    <w:rsid w:val="005B6791"/>
    <w:rsid w:val="005B6A4B"/>
    <w:rsid w:val="005C0030"/>
    <w:rsid w:val="005C04EC"/>
    <w:rsid w:val="005C076D"/>
    <w:rsid w:val="005C0DEB"/>
    <w:rsid w:val="005C204B"/>
    <w:rsid w:val="005C4211"/>
    <w:rsid w:val="005C4E36"/>
    <w:rsid w:val="005C4E87"/>
    <w:rsid w:val="005C570D"/>
    <w:rsid w:val="005C7CE8"/>
    <w:rsid w:val="005D0640"/>
    <w:rsid w:val="005D1CF2"/>
    <w:rsid w:val="005D32BE"/>
    <w:rsid w:val="005D34A4"/>
    <w:rsid w:val="005D61E1"/>
    <w:rsid w:val="005E0821"/>
    <w:rsid w:val="005E19F7"/>
    <w:rsid w:val="005E25D2"/>
    <w:rsid w:val="005E3B94"/>
    <w:rsid w:val="005E44FF"/>
    <w:rsid w:val="005E5639"/>
    <w:rsid w:val="005E5B40"/>
    <w:rsid w:val="005E6ECA"/>
    <w:rsid w:val="005E6FA7"/>
    <w:rsid w:val="005E7F22"/>
    <w:rsid w:val="005F017A"/>
    <w:rsid w:val="005F1DA5"/>
    <w:rsid w:val="005F2764"/>
    <w:rsid w:val="005F3631"/>
    <w:rsid w:val="005F3953"/>
    <w:rsid w:val="005F4E93"/>
    <w:rsid w:val="005F5989"/>
    <w:rsid w:val="005F6A3D"/>
    <w:rsid w:val="005F791B"/>
    <w:rsid w:val="00600D2E"/>
    <w:rsid w:val="00602427"/>
    <w:rsid w:val="00603AB6"/>
    <w:rsid w:val="00604845"/>
    <w:rsid w:val="00605789"/>
    <w:rsid w:val="006066FE"/>
    <w:rsid w:val="00606C84"/>
    <w:rsid w:val="0061097A"/>
    <w:rsid w:val="00611AA5"/>
    <w:rsid w:val="00611D39"/>
    <w:rsid w:val="00615653"/>
    <w:rsid w:val="00615D74"/>
    <w:rsid w:val="00615E62"/>
    <w:rsid w:val="006168BF"/>
    <w:rsid w:val="00617163"/>
    <w:rsid w:val="00622CC2"/>
    <w:rsid w:val="00622D5B"/>
    <w:rsid w:val="00623921"/>
    <w:rsid w:val="00623C5A"/>
    <w:rsid w:val="006242A2"/>
    <w:rsid w:val="00624E2A"/>
    <w:rsid w:val="00625D43"/>
    <w:rsid w:val="0062636A"/>
    <w:rsid w:val="00626FE1"/>
    <w:rsid w:val="00627303"/>
    <w:rsid w:val="00630EF6"/>
    <w:rsid w:val="00631E7C"/>
    <w:rsid w:val="00634D13"/>
    <w:rsid w:val="00635A3E"/>
    <w:rsid w:val="00637C68"/>
    <w:rsid w:val="0064001A"/>
    <w:rsid w:val="00640523"/>
    <w:rsid w:val="00641873"/>
    <w:rsid w:val="00643BAC"/>
    <w:rsid w:val="00643E0B"/>
    <w:rsid w:val="00644886"/>
    <w:rsid w:val="00644C25"/>
    <w:rsid w:val="006454E0"/>
    <w:rsid w:val="0064713F"/>
    <w:rsid w:val="00647639"/>
    <w:rsid w:val="0065074A"/>
    <w:rsid w:val="00650CDA"/>
    <w:rsid w:val="00650EC0"/>
    <w:rsid w:val="00651E9B"/>
    <w:rsid w:val="006537A8"/>
    <w:rsid w:val="00654814"/>
    <w:rsid w:val="006557CF"/>
    <w:rsid w:val="00655CA5"/>
    <w:rsid w:val="00656013"/>
    <w:rsid w:val="006565AC"/>
    <w:rsid w:val="00661C4B"/>
    <w:rsid w:val="00661C5E"/>
    <w:rsid w:val="0066382B"/>
    <w:rsid w:val="006642DE"/>
    <w:rsid w:val="00664E07"/>
    <w:rsid w:val="00665432"/>
    <w:rsid w:val="00667FB9"/>
    <w:rsid w:val="006707BD"/>
    <w:rsid w:val="00670F4F"/>
    <w:rsid w:val="006720DC"/>
    <w:rsid w:val="0067222F"/>
    <w:rsid w:val="00672253"/>
    <w:rsid w:val="006722D9"/>
    <w:rsid w:val="00676CCC"/>
    <w:rsid w:val="006777FE"/>
    <w:rsid w:val="00681C43"/>
    <w:rsid w:val="0068241E"/>
    <w:rsid w:val="00682570"/>
    <w:rsid w:val="006840EB"/>
    <w:rsid w:val="0068426C"/>
    <w:rsid w:val="006843AA"/>
    <w:rsid w:val="00684AF5"/>
    <w:rsid w:val="00685406"/>
    <w:rsid w:val="00685DD5"/>
    <w:rsid w:val="00685FE6"/>
    <w:rsid w:val="00691C67"/>
    <w:rsid w:val="00692A83"/>
    <w:rsid w:val="00693C48"/>
    <w:rsid w:val="00693D73"/>
    <w:rsid w:val="00693DDF"/>
    <w:rsid w:val="0069443D"/>
    <w:rsid w:val="00694B8C"/>
    <w:rsid w:val="0069619D"/>
    <w:rsid w:val="00696FDD"/>
    <w:rsid w:val="0069753E"/>
    <w:rsid w:val="00697B29"/>
    <w:rsid w:val="00697EA9"/>
    <w:rsid w:val="006A360E"/>
    <w:rsid w:val="006A4053"/>
    <w:rsid w:val="006A4917"/>
    <w:rsid w:val="006A539A"/>
    <w:rsid w:val="006A5A0C"/>
    <w:rsid w:val="006A5B2D"/>
    <w:rsid w:val="006A67E4"/>
    <w:rsid w:val="006A6B30"/>
    <w:rsid w:val="006A7053"/>
    <w:rsid w:val="006A7B28"/>
    <w:rsid w:val="006A7DB4"/>
    <w:rsid w:val="006B2870"/>
    <w:rsid w:val="006B290F"/>
    <w:rsid w:val="006B476C"/>
    <w:rsid w:val="006B4AF2"/>
    <w:rsid w:val="006B4BFF"/>
    <w:rsid w:val="006B4CF7"/>
    <w:rsid w:val="006B61D8"/>
    <w:rsid w:val="006B68FD"/>
    <w:rsid w:val="006B733A"/>
    <w:rsid w:val="006B7653"/>
    <w:rsid w:val="006B793E"/>
    <w:rsid w:val="006B79C7"/>
    <w:rsid w:val="006C075B"/>
    <w:rsid w:val="006C1C72"/>
    <w:rsid w:val="006C539D"/>
    <w:rsid w:val="006C5501"/>
    <w:rsid w:val="006D20DD"/>
    <w:rsid w:val="006D348E"/>
    <w:rsid w:val="006D3EA7"/>
    <w:rsid w:val="006D4A29"/>
    <w:rsid w:val="006D4F1C"/>
    <w:rsid w:val="006D5C2B"/>
    <w:rsid w:val="006D76FF"/>
    <w:rsid w:val="006E2F0E"/>
    <w:rsid w:val="006E5251"/>
    <w:rsid w:val="006E64E9"/>
    <w:rsid w:val="006F10EB"/>
    <w:rsid w:val="006F28B5"/>
    <w:rsid w:val="006F462A"/>
    <w:rsid w:val="006F76B4"/>
    <w:rsid w:val="007008F3"/>
    <w:rsid w:val="007010F0"/>
    <w:rsid w:val="007025F1"/>
    <w:rsid w:val="00703AD6"/>
    <w:rsid w:val="00704CBD"/>
    <w:rsid w:val="00704FF6"/>
    <w:rsid w:val="00705AF2"/>
    <w:rsid w:val="00705E2E"/>
    <w:rsid w:val="00710A71"/>
    <w:rsid w:val="0071121E"/>
    <w:rsid w:val="00711812"/>
    <w:rsid w:val="00711A14"/>
    <w:rsid w:val="00712DBD"/>
    <w:rsid w:val="007136C1"/>
    <w:rsid w:val="0071380F"/>
    <w:rsid w:val="00715CB5"/>
    <w:rsid w:val="0071609F"/>
    <w:rsid w:val="00716B76"/>
    <w:rsid w:val="00716BDA"/>
    <w:rsid w:val="00716F59"/>
    <w:rsid w:val="00717978"/>
    <w:rsid w:val="00721E28"/>
    <w:rsid w:val="00726049"/>
    <w:rsid w:val="007263D3"/>
    <w:rsid w:val="0072646E"/>
    <w:rsid w:val="00726514"/>
    <w:rsid w:val="00726C25"/>
    <w:rsid w:val="007274CB"/>
    <w:rsid w:val="00730F31"/>
    <w:rsid w:val="007330CC"/>
    <w:rsid w:val="00733DB7"/>
    <w:rsid w:val="00734123"/>
    <w:rsid w:val="0073653D"/>
    <w:rsid w:val="00740AE8"/>
    <w:rsid w:val="00740F77"/>
    <w:rsid w:val="00741198"/>
    <w:rsid w:val="00742949"/>
    <w:rsid w:val="0074353C"/>
    <w:rsid w:val="00744A85"/>
    <w:rsid w:val="00745FE2"/>
    <w:rsid w:val="0074688A"/>
    <w:rsid w:val="00746DC4"/>
    <w:rsid w:val="00746DF1"/>
    <w:rsid w:val="00747B9F"/>
    <w:rsid w:val="00747CEC"/>
    <w:rsid w:val="00747F19"/>
    <w:rsid w:val="007508D2"/>
    <w:rsid w:val="00752089"/>
    <w:rsid w:val="007520AD"/>
    <w:rsid w:val="00753382"/>
    <w:rsid w:val="00755502"/>
    <w:rsid w:val="00755582"/>
    <w:rsid w:val="00756008"/>
    <w:rsid w:val="007561F0"/>
    <w:rsid w:val="00756504"/>
    <w:rsid w:val="0076072C"/>
    <w:rsid w:val="00762CFA"/>
    <w:rsid w:val="00762FC7"/>
    <w:rsid w:val="00763299"/>
    <w:rsid w:val="00763E68"/>
    <w:rsid w:val="007678FE"/>
    <w:rsid w:val="00770782"/>
    <w:rsid w:val="007722C0"/>
    <w:rsid w:val="00772EE1"/>
    <w:rsid w:val="00774DE7"/>
    <w:rsid w:val="007754B2"/>
    <w:rsid w:val="00777FB2"/>
    <w:rsid w:val="00780A82"/>
    <w:rsid w:val="0078123C"/>
    <w:rsid w:val="00784D19"/>
    <w:rsid w:val="00785D9D"/>
    <w:rsid w:val="00786F6A"/>
    <w:rsid w:val="007875C3"/>
    <w:rsid w:val="00787A57"/>
    <w:rsid w:val="00790488"/>
    <w:rsid w:val="00790676"/>
    <w:rsid w:val="00790C48"/>
    <w:rsid w:val="00790E79"/>
    <w:rsid w:val="007917DA"/>
    <w:rsid w:val="0079477F"/>
    <w:rsid w:val="0079488B"/>
    <w:rsid w:val="00794FC7"/>
    <w:rsid w:val="00795E61"/>
    <w:rsid w:val="00796452"/>
    <w:rsid w:val="00796A3B"/>
    <w:rsid w:val="007A13DA"/>
    <w:rsid w:val="007A16AF"/>
    <w:rsid w:val="007A16CE"/>
    <w:rsid w:val="007A34FB"/>
    <w:rsid w:val="007A4EA6"/>
    <w:rsid w:val="007A6646"/>
    <w:rsid w:val="007A712E"/>
    <w:rsid w:val="007A7F07"/>
    <w:rsid w:val="007B0149"/>
    <w:rsid w:val="007B2358"/>
    <w:rsid w:val="007B48F6"/>
    <w:rsid w:val="007B6707"/>
    <w:rsid w:val="007B7A56"/>
    <w:rsid w:val="007B7F43"/>
    <w:rsid w:val="007C004E"/>
    <w:rsid w:val="007C155A"/>
    <w:rsid w:val="007C17DC"/>
    <w:rsid w:val="007C27C1"/>
    <w:rsid w:val="007C282B"/>
    <w:rsid w:val="007C282E"/>
    <w:rsid w:val="007C30C7"/>
    <w:rsid w:val="007C3901"/>
    <w:rsid w:val="007C3F8C"/>
    <w:rsid w:val="007C56EE"/>
    <w:rsid w:val="007C6DAA"/>
    <w:rsid w:val="007C6FCD"/>
    <w:rsid w:val="007D05B5"/>
    <w:rsid w:val="007D2DF6"/>
    <w:rsid w:val="007D341A"/>
    <w:rsid w:val="007D53C2"/>
    <w:rsid w:val="007D732E"/>
    <w:rsid w:val="007D76C1"/>
    <w:rsid w:val="007D7D28"/>
    <w:rsid w:val="007E3A52"/>
    <w:rsid w:val="007E3DBD"/>
    <w:rsid w:val="007E4E0B"/>
    <w:rsid w:val="007E596E"/>
    <w:rsid w:val="007E75A8"/>
    <w:rsid w:val="007F3163"/>
    <w:rsid w:val="007F3FED"/>
    <w:rsid w:val="007F4289"/>
    <w:rsid w:val="007F4365"/>
    <w:rsid w:val="007F58D4"/>
    <w:rsid w:val="007F733F"/>
    <w:rsid w:val="008009CF"/>
    <w:rsid w:val="0080198D"/>
    <w:rsid w:val="00802635"/>
    <w:rsid w:val="0080451F"/>
    <w:rsid w:val="00805A5A"/>
    <w:rsid w:val="00806142"/>
    <w:rsid w:val="008078A4"/>
    <w:rsid w:val="008102FB"/>
    <w:rsid w:val="00810610"/>
    <w:rsid w:val="00811A81"/>
    <w:rsid w:val="00812551"/>
    <w:rsid w:val="00813218"/>
    <w:rsid w:val="00814634"/>
    <w:rsid w:val="00814ED4"/>
    <w:rsid w:val="00815237"/>
    <w:rsid w:val="00816018"/>
    <w:rsid w:val="00817B90"/>
    <w:rsid w:val="008200C5"/>
    <w:rsid w:val="00820386"/>
    <w:rsid w:val="008211FC"/>
    <w:rsid w:val="0082150F"/>
    <w:rsid w:val="00821950"/>
    <w:rsid w:val="00823C6B"/>
    <w:rsid w:val="00824067"/>
    <w:rsid w:val="00824840"/>
    <w:rsid w:val="0082700A"/>
    <w:rsid w:val="00832615"/>
    <w:rsid w:val="008339D9"/>
    <w:rsid w:val="00834115"/>
    <w:rsid w:val="00835D42"/>
    <w:rsid w:val="00836A12"/>
    <w:rsid w:val="008378BF"/>
    <w:rsid w:val="00840056"/>
    <w:rsid w:val="00842217"/>
    <w:rsid w:val="00843D7D"/>
    <w:rsid w:val="008455B4"/>
    <w:rsid w:val="00845AC8"/>
    <w:rsid w:val="0085032F"/>
    <w:rsid w:val="00850912"/>
    <w:rsid w:val="0085363D"/>
    <w:rsid w:val="008540E6"/>
    <w:rsid w:val="0085512D"/>
    <w:rsid w:val="00856B05"/>
    <w:rsid w:val="00856CD0"/>
    <w:rsid w:val="0086120C"/>
    <w:rsid w:val="00862E26"/>
    <w:rsid w:val="008636E1"/>
    <w:rsid w:val="008646D0"/>
    <w:rsid w:val="008657A1"/>
    <w:rsid w:val="00865C54"/>
    <w:rsid w:val="00866019"/>
    <w:rsid w:val="00866178"/>
    <w:rsid w:val="008704A7"/>
    <w:rsid w:val="00871B39"/>
    <w:rsid w:val="00873738"/>
    <w:rsid w:val="008751AE"/>
    <w:rsid w:val="0087560D"/>
    <w:rsid w:val="008758CB"/>
    <w:rsid w:val="00875E0A"/>
    <w:rsid w:val="0087640D"/>
    <w:rsid w:val="00876487"/>
    <w:rsid w:val="008769AC"/>
    <w:rsid w:val="00877881"/>
    <w:rsid w:val="00880047"/>
    <w:rsid w:val="00880E99"/>
    <w:rsid w:val="00881321"/>
    <w:rsid w:val="00883207"/>
    <w:rsid w:val="008837A1"/>
    <w:rsid w:val="00883908"/>
    <w:rsid w:val="008845DA"/>
    <w:rsid w:val="0088530D"/>
    <w:rsid w:val="008879FE"/>
    <w:rsid w:val="0089020F"/>
    <w:rsid w:val="00891351"/>
    <w:rsid w:val="0089484E"/>
    <w:rsid w:val="008952F8"/>
    <w:rsid w:val="00895887"/>
    <w:rsid w:val="008A0F9D"/>
    <w:rsid w:val="008A56A7"/>
    <w:rsid w:val="008A5CDB"/>
    <w:rsid w:val="008A7111"/>
    <w:rsid w:val="008A78E2"/>
    <w:rsid w:val="008A7913"/>
    <w:rsid w:val="008B02BE"/>
    <w:rsid w:val="008B0533"/>
    <w:rsid w:val="008B061F"/>
    <w:rsid w:val="008B216C"/>
    <w:rsid w:val="008B3D6C"/>
    <w:rsid w:val="008B4419"/>
    <w:rsid w:val="008B52D2"/>
    <w:rsid w:val="008B5BD3"/>
    <w:rsid w:val="008C13B1"/>
    <w:rsid w:val="008C1D53"/>
    <w:rsid w:val="008C3BC2"/>
    <w:rsid w:val="008C4CA6"/>
    <w:rsid w:val="008C71DB"/>
    <w:rsid w:val="008C7611"/>
    <w:rsid w:val="008D0F98"/>
    <w:rsid w:val="008D22C1"/>
    <w:rsid w:val="008D2BC7"/>
    <w:rsid w:val="008D31FC"/>
    <w:rsid w:val="008D53FF"/>
    <w:rsid w:val="008D542E"/>
    <w:rsid w:val="008D5497"/>
    <w:rsid w:val="008D6F01"/>
    <w:rsid w:val="008D75FF"/>
    <w:rsid w:val="008D77FD"/>
    <w:rsid w:val="008E130C"/>
    <w:rsid w:val="008E181C"/>
    <w:rsid w:val="008E2BC1"/>
    <w:rsid w:val="008E327B"/>
    <w:rsid w:val="008E3955"/>
    <w:rsid w:val="008E3DFA"/>
    <w:rsid w:val="008E6FDA"/>
    <w:rsid w:val="008F29D3"/>
    <w:rsid w:val="008F31E4"/>
    <w:rsid w:val="008F4A82"/>
    <w:rsid w:val="008F4DDF"/>
    <w:rsid w:val="008F540B"/>
    <w:rsid w:val="008F590A"/>
    <w:rsid w:val="008F61E0"/>
    <w:rsid w:val="008F766D"/>
    <w:rsid w:val="0090007E"/>
    <w:rsid w:val="009004C1"/>
    <w:rsid w:val="00900877"/>
    <w:rsid w:val="00900996"/>
    <w:rsid w:val="00900AA3"/>
    <w:rsid w:val="00902BC4"/>
    <w:rsid w:val="00902BEE"/>
    <w:rsid w:val="00903F26"/>
    <w:rsid w:val="009046FE"/>
    <w:rsid w:val="00904C58"/>
    <w:rsid w:val="0090583D"/>
    <w:rsid w:val="009071E4"/>
    <w:rsid w:val="009108EE"/>
    <w:rsid w:val="009114FA"/>
    <w:rsid w:val="009123DD"/>
    <w:rsid w:val="009129AA"/>
    <w:rsid w:val="00912DB7"/>
    <w:rsid w:val="0091358B"/>
    <w:rsid w:val="00913807"/>
    <w:rsid w:val="009144E1"/>
    <w:rsid w:val="00917DD7"/>
    <w:rsid w:val="00920BB0"/>
    <w:rsid w:val="00922DF3"/>
    <w:rsid w:val="009246D5"/>
    <w:rsid w:val="009250BA"/>
    <w:rsid w:val="009277D7"/>
    <w:rsid w:val="00930737"/>
    <w:rsid w:val="00934844"/>
    <w:rsid w:val="00935B67"/>
    <w:rsid w:val="009368FF"/>
    <w:rsid w:val="0094196A"/>
    <w:rsid w:val="0094202B"/>
    <w:rsid w:val="00944785"/>
    <w:rsid w:val="00944836"/>
    <w:rsid w:val="00945071"/>
    <w:rsid w:val="00946273"/>
    <w:rsid w:val="00947F13"/>
    <w:rsid w:val="00951BB0"/>
    <w:rsid w:val="00953EDF"/>
    <w:rsid w:val="0095514F"/>
    <w:rsid w:val="00956861"/>
    <w:rsid w:val="00957135"/>
    <w:rsid w:val="009573C7"/>
    <w:rsid w:val="009602B2"/>
    <w:rsid w:val="00961936"/>
    <w:rsid w:val="00966011"/>
    <w:rsid w:val="00967A82"/>
    <w:rsid w:val="009742F1"/>
    <w:rsid w:val="00974859"/>
    <w:rsid w:val="00976E49"/>
    <w:rsid w:val="0098006D"/>
    <w:rsid w:val="00980218"/>
    <w:rsid w:val="00981176"/>
    <w:rsid w:val="00981E6A"/>
    <w:rsid w:val="00984F3C"/>
    <w:rsid w:val="0098605D"/>
    <w:rsid w:val="00987370"/>
    <w:rsid w:val="00991AD6"/>
    <w:rsid w:val="00991B01"/>
    <w:rsid w:val="00994547"/>
    <w:rsid w:val="00995B82"/>
    <w:rsid w:val="00995C90"/>
    <w:rsid w:val="0099617D"/>
    <w:rsid w:val="00996AED"/>
    <w:rsid w:val="009A0058"/>
    <w:rsid w:val="009A3E66"/>
    <w:rsid w:val="009A4049"/>
    <w:rsid w:val="009A4B40"/>
    <w:rsid w:val="009A55BB"/>
    <w:rsid w:val="009A5727"/>
    <w:rsid w:val="009A6733"/>
    <w:rsid w:val="009A75AA"/>
    <w:rsid w:val="009B11C8"/>
    <w:rsid w:val="009B1C80"/>
    <w:rsid w:val="009B2520"/>
    <w:rsid w:val="009B252F"/>
    <w:rsid w:val="009B4716"/>
    <w:rsid w:val="009B540A"/>
    <w:rsid w:val="009B631D"/>
    <w:rsid w:val="009C031B"/>
    <w:rsid w:val="009C2098"/>
    <w:rsid w:val="009C257D"/>
    <w:rsid w:val="009C5CBB"/>
    <w:rsid w:val="009C798F"/>
    <w:rsid w:val="009C7FFC"/>
    <w:rsid w:val="009D03CC"/>
    <w:rsid w:val="009D0896"/>
    <w:rsid w:val="009D0E17"/>
    <w:rsid w:val="009D1B8B"/>
    <w:rsid w:val="009D223D"/>
    <w:rsid w:val="009D2539"/>
    <w:rsid w:val="009D2B69"/>
    <w:rsid w:val="009D3E23"/>
    <w:rsid w:val="009D423B"/>
    <w:rsid w:val="009D42CE"/>
    <w:rsid w:val="009D49B2"/>
    <w:rsid w:val="009D51B7"/>
    <w:rsid w:val="009D65B3"/>
    <w:rsid w:val="009E0933"/>
    <w:rsid w:val="009E0D6C"/>
    <w:rsid w:val="009E207D"/>
    <w:rsid w:val="009E2532"/>
    <w:rsid w:val="009E3623"/>
    <w:rsid w:val="009E39B7"/>
    <w:rsid w:val="009E3D26"/>
    <w:rsid w:val="009E4C31"/>
    <w:rsid w:val="009E664C"/>
    <w:rsid w:val="009E6B95"/>
    <w:rsid w:val="009E70BB"/>
    <w:rsid w:val="009F045D"/>
    <w:rsid w:val="009F14B9"/>
    <w:rsid w:val="009F28D5"/>
    <w:rsid w:val="009F2E25"/>
    <w:rsid w:val="009F4529"/>
    <w:rsid w:val="009F5729"/>
    <w:rsid w:val="009F69A5"/>
    <w:rsid w:val="00A00CAE"/>
    <w:rsid w:val="00A01365"/>
    <w:rsid w:val="00A01DFF"/>
    <w:rsid w:val="00A03C83"/>
    <w:rsid w:val="00A048F5"/>
    <w:rsid w:val="00A05105"/>
    <w:rsid w:val="00A05586"/>
    <w:rsid w:val="00A07EF1"/>
    <w:rsid w:val="00A11FD2"/>
    <w:rsid w:val="00A12114"/>
    <w:rsid w:val="00A1213E"/>
    <w:rsid w:val="00A1300E"/>
    <w:rsid w:val="00A1420B"/>
    <w:rsid w:val="00A15575"/>
    <w:rsid w:val="00A156C7"/>
    <w:rsid w:val="00A15996"/>
    <w:rsid w:val="00A17625"/>
    <w:rsid w:val="00A20095"/>
    <w:rsid w:val="00A213D7"/>
    <w:rsid w:val="00A22C46"/>
    <w:rsid w:val="00A22EA4"/>
    <w:rsid w:val="00A25473"/>
    <w:rsid w:val="00A276A3"/>
    <w:rsid w:val="00A27940"/>
    <w:rsid w:val="00A33FE4"/>
    <w:rsid w:val="00A34044"/>
    <w:rsid w:val="00A35816"/>
    <w:rsid w:val="00A364C0"/>
    <w:rsid w:val="00A40F84"/>
    <w:rsid w:val="00A416FD"/>
    <w:rsid w:val="00A4189F"/>
    <w:rsid w:val="00A43317"/>
    <w:rsid w:val="00A47467"/>
    <w:rsid w:val="00A47E71"/>
    <w:rsid w:val="00A50380"/>
    <w:rsid w:val="00A53F90"/>
    <w:rsid w:val="00A54059"/>
    <w:rsid w:val="00A56255"/>
    <w:rsid w:val="00A5645A"/>
    <w:rsid w:val="00A565C2"/>
    <w:rsid w:val="00A569DE"/>
    <w:rsid w:val="00A6079D"/>
    <w:rsid w:val="00A61176"/>
    <w:rsid w:val="00A632A5"/>
    <w:rsid w:val="00A63ABD"/>
    <w:rsid w:val="00A65B6F"/>
    <w:rsid w:val="00A66D2F"/>
    <w:rsid w:val="00A67605"/>
    <w:rsid w:val="00A70C31"/>
    <w:rsid w:val="00A71856"/>
    <w:rsid w:val="00A724B3"/>
    <w:rsid w:val="00A724F2"/>
    <w:rsid w:val="00A72AD6"/>
    <w:rsid w:val="00A7359E"/>
    <w:rsid w:val="00A735E8"/>
    <w:rsid w:val="00A74235"/>
    <w:rsid w:val="00A7579F"/>
    <w:rsid w:val="00A76C70"/>
    <w:rsid w:val="00A7758F"/>
    <w:rsid w:val="00A809BB"/>
    <w:rsid w:val="00A8183C"/>
    <w:rsid w:val="00A81B29"/>
    <w:rsid w:val="00A81D7F"/>
    <w:rsid w:val="00A825C5"/>
    <w:rsid w:val="00A83026"/>
    <w:rsid w:val="00A866B1"/>
    <w:rsid w:val="00A87167"/>
    <w:rsid w:val="00A877AC"/>
    <w:rsid w:val="00A912CB"/>
    <w:rsid w:val="00A92069"/>
    <w:rsid w:val="00A92873"/>
    <w:rsid w:val="00A933A1"/>
    <w:rsid w:val="00A94E27"/>
    <w:rsid w:val="00A95C22"/>
    <w:rsid w:val="00A965A6"/>
    <w:rsid w:val="00A967CF"/>
    <w:rsid w:val="00AA24E6"/>
    <w:rsid w:val="00AA49FB"/>
    <w:rsid w:val="00AA5E89"/>
    <w:rsid w:val="00AA6A59"/>
    <w:rsid w:val="00AA6B17"/>
    <w:rsid w:val="00AB190F"/>
    <w:rsid w:val="00AB245C"/>
    <w:rsid w:val="00AB2482"/>
    <w:rsid w:val="00AB2701"/>
    <w:rsid w:val="00AB3214"/>
    <w:rsid w:val="00AB399A"/>
    <w:rsid w:val="00AB4090"/>
    <w:rsid w:val="00AB487D"/>
    <w:rsid w:val="00AB4C1C"/>
    <w:rsid w:val="00AB4F21"/>
    <w:rsid w:val="00AB67CA"/>
    <w:rsid w:val="00AB6A6A"/>
    <w:rsid w:val="00AC1A6A"/>
    <w:rsid w:val="00AC1C51"/>
    <w:rsid w:val="00AC3878"/>
    <w:rsid w:val="00AC3BB0"/>
    <w:rsid w:val="00AC470A"/>
    <w:rsid w:val="00AC5C40"/>
    <w:rsid w:val="00AD311D"/>
    <w:rsid w:val="00AD69B2"/>
    <w:rsid w:val="00AD6D19"/>
    <w:rsid w:val="00AD6F08"/>
    <w:rsid w:val="00AD77EC"/>
    <w:rsid w:val="00AE2047"/>
    <w:rsid w:val="00AE2F13"/>
    <w:rsid w:val="00AE48CC"/>
    <w:rsid w:val="00AE49BF"/>
    <w:rsid w:val="00AE4B89"/>
    <w:rsid w:val="00AE556B"/>
    <w:rsid w:val="00AE605B"/>
    <w:rsid w:val="00AE6F5F"/>
    <w:rsid w:val="00AE73C2"/>
    <w:rsid w:val="00AE7B9D"/>
    <w:rsid w:val="00AF050F"/>
    <w:rsid w:val="00AF0EF2"/>
    <w:rsid w:val="00AF11DB"/>
    <w:rsid w:val="00AF2F8A"/>
    <w:rsid w:val="00AF3418"/>
    <w:rsid w:val="00AF52B0"/>
    <w:rsid w:val="00AF5FED"/>
    <w:rsid w:val="00AF68F9"/>
    <w:rsid w:val="00B00967"/>
    <w:rsid w:val="00B01BF1"/>
    <w:rsid w:val="00B023FD"/>
    <w:rsid w:val="00B02D4B"/>
    <w:rsid w:val="00B03E5C"/>
    <w:rsid w:val="00B03EFF"/>
    <w:rsid w:val="00B05C02"/>
    <w:rsid w:val="00B06D68"/>
    <w:rsid w:val="00B07636"/>
    <w:rsid w:val="00B07E94"/>
    <w:rsid w:val="00B11EDD"/>
    <w:rsid w:val="00B1427A"/>
    <w:rsid w:val="00B14BA8"/>
    <w:rsid w:val="00B15098"/>
    <w:rsid w:val="00B16739"/>
    <w:rsid w:val="00B211F3"/>
    <w:rsid w:val="00B21858"/>
    <w:rsid w:val="00B218EE"/>
    <w:rsid w:val="00B22D03"/>
    <w:rsid w:val="00B23AF9"/>
    <w:rsid w:val="00B26C62"/>
    <w:rsid w:val="00B310BC"/>
    <w:rsid w:val="00B34EB3"/>
    <w:rsid w:val="00B3552F"/>
    <w:rsid w:val="00B35654"/>
    <w:rsid w:val="00B3632A"/>
    <w:rsid w:val="00B379AD"/>
    <w:rsid w:val="00B37B68"/>
    <w:rsid w:val="00B41F00"/>
    <w:rsid w:val="00B4438D"/>
    <w:rsid w:val="00B4457E"/>
    <w:rsid w:val="00B446C6"/>
    <w:rsid w:val="00B44BF9"/>
    <w:rsid w:val="00B44EC6"/>
    <w:rsid w:val="00B46CC3"/>
    <w:rsid w:val="00B46F6F"/>
    <w:rsid w:val="00B5029B"/>
    <w:rsid w:val="00B53826"/>
    <w:rsid w:val="00B556FB"/>
    <w:rsid w:val="00B56273"/>
    <w:rsid w:val="00B5641A"/>
    <w:rsid w:val="00B56DA6"/>
    <w:rsid w:val="00B57663"/>
    <w:rsid w:val="00B576F7"/>
    <w:rsid w:val="00B607F7"/>
    <w:rsid w:val="00B612A2"/>
    <w:rsid w:val="00B61EFF"/>
    <w:rsid w:val="00B61F29"/>
    <w:rsid w:val="00B63DC9"/>
    <w:rsid w:val="00B64403"/>
    <w:rsid w:val="00B65917"/>
    <w:rsid w:val="00B659C4"/>
    <w:rsid w:val="00B673D7"/>
    <w:rsid w:val="00B702D0"/>
    <w:rsid w:val="00B71D82"/>
    <w:rsid w:val="00B727C1"/>
    <w:rsid w:val="00B7396B"/>
    <w:rsid w:val="00B73A25"/>
    <w:rsid w:val="00B77821"/>
    <w:rsid w:val="00B7799D"/>
    <w:rsid w:val="00B8002A"/>
    <w:rsid w:val="00B80B98"/>
    <w:rsid w:val="00B81702"/>
    <w:rsid w:val="00B83403"/>
    <w:rsid w:val="00B853AF"/>
    <w:rsid w:val="00B85F41"/>
    <w:rsid w:val="00B90BE9"/>
    <w:rsid w:val="00B914F2"/>
    <w:rsid w:val="00B941A0"/>
    <w:rsid w:val="00B941F7"/>
    <w:rsid w:val="00B94B3B"/>
    <w:rsid w:val="00B95917"/>
    <w:rsid w:val="00B95F54"/>
    <w:rsid w:val="00B95F8F"/>
    <w:rsid w:val="00B97939"/>
    <w:rsid w:val="00B97A0D"/>
    <w:rsid w:val="00BA0858"/>
    <w:rsid w:val="00BA12AE"/>
    <w:rsid w:val="00BA1F50"/>
    <w:rsid w:val="00BA426D"/>
    <w:rsid w:val="00BA63EF"/>
    <w:rsid w:val="00BA758A"/>
    <w:rsid w:val="00BA77D5"/>
    <w:rsid w:val="00BB04F1"/>
    <w:rsid w:val="00BB3121"/>
    <w:rsid w:val="00BB3777"/>
    <w:rsid w:val="00BB3B0C"/>
    <w:rsid w:val="00BB4132"/>
    <w:rsid w:val="00BB475C"/>
    <w:rsid w:val="00BB497F"/>
    <w:rsid w:val="00BC4045"/>
    <w:rsid w:val="00BC47EF"/>
    <w:rsid w:val="00BC59A1"/>
    <w:rsid w:val="00BC5E84"/>
    <w:rsid w:val="00BC7C7E"/>
    <w:rsid w:val="00BC7D0D"/>
    <w:rsid w:val="00BD199E"/>
    <w:rsid w:val="00BD234D"/>
    <w:rsid w:val="00BD2600"/>
    <w:rsid w:val="00BD301E"/>
    <w:rsid w:val="00BD5300"/>
    <w:rsid w:val="00BD6517"/>
    <w:rsid w:val="00BD717A"/>
    <w:rsid w:val="00BE107C"/>
    <w:rsid w:val="00BE1246"/>
    <w:rsid w:val="00BE3226"/>
    <w:rsid w:val="00BE4217"/>
    <w:rsid w:val="00BE4502"/>
    <w:rsid w:val="00BE486A"/>
    <w:rsid w:val="00BE4A3B"/>
    <w:rsid w:val="00BE4EDE"/>
    <w:rsid w:val="00BE66BF"/>
    <w:rsid w:val="00BF27E9"/>
    <w:rsid w:val="00BF3107"/>
    <w:rsid w:val="00BF498B"/>
    <w:rsid w:val="00BF5136"/>
    <w:rsid w:val="00BF5242"/>
    <w:rsid w:val="00BF6663"/>
    <w:rsid w:val="00BF6BEE"/>
    <w:rsid w:val="00BF791F"/>
    <w:rsid w:val="00BF7C8D"/>
    <w:rsid w:val="00C004CB"/>
    <w:rsid w:val="00C01029"/>
    <w:rsid w:val="00C02DA2"/>
    <w:rsid w:val="00C03740"/>
    <w:rsid w:val="00C03826"/>
    <w:rsid w:val="00C03E9F"/>
    <w:rsid w:val="00C04045"/>
    <w:rsid w:val="00C05D2E"/>
    <w:rsid w:val="00C06DCF"/>
    <w:rsid w:val="00C06FEA"/>
    <w:rsid w:val="00C07329"/>
    <w:rsid w:val="00C07746"/>
    <w:rsid w:val="00C0797A"/>
    <w:rsid w:val="00C10712"/>
    <w:rsid w:val="00C107C3"/>
    <w:rsid w:val="00C10CF9"/>
    <w:rsid w:val="00C12229"/>
    <w:rsid w:val="00C122B4"/>
    <w:rsid w:val="00C12330"/>
    <w:rsid w:val="00C14616"/>
    <w:rsid w:val="00C15F8C"/>
    <w:rsid w:val="00C162A6"/>
    <w:rsid w:val="00C17051"/>
    <w:rsid w:val="00C209E8"/>
    <w:rsid w:val="00C23280"/>
    <w:rsid w:val="00C2381B"/>
    <w:rsid w:val="00C254DE"/>
    <w:rsid w:val="00C26AA5"/>
    <w:rsid w:val="00C303DA"/>
    <w:rsid w:val="00C306DE"/>
    <w:rsid w:val="00C312A3"/>
    <w:rsid w:val="00C31D74"/>
    <w:rsid w:val="00C339AD"/>
    <w:rsid w:val="00C36EB6"/>
    <w:rsid w:val="00C406C2"/>
    <w:rsid w:val="00C41245"/>
    <w:rsid w:val="00C41F72"/>
    <w:rsid w:val="00C4214B"/>
    <w:rsid w:val="00C45355"/>
    <w:rsid w:val="00C4751B"/>
    <w:rsid w:val="00C4767E"/>
    <w:rsid w:val="00C516B7"/>
    <w:rsid w:val="00C52EA0"/>
    <w:rsid w:val="00C536C2"/>
    <w:rsid w:val="00C5488A"/>
    <w:rsid w:val="00C5513F"/>
    <w:rsid w:val="00C55D50"/>
    <w:rsid w:val="00C56336"/>
    <w:rsid w:val="00C568CC"/>
    <w:rsid w:val="00C57022"/>
    <w:rsid w:val="00C61FF9"/>
    <w:rsid w:val="00C62F5B"/>
    <w:rsid w:val="00C65534"/>
    <w:rsid w:val="00C65EE6"/>
    <w:rsid w:val="00C67DF3"/>
    <w:rsid w:val="00C71C95"/>
    <w:rsid w:val="00C72B9F"/>
    <w:rsid w:val="00C73CC8"/>
    <w:rsid w:val="00C73EDC"/>
    <w:rsid w:val="00C754AD"/>
    <w:rsid w:val="00C761FA"/>
    <w:rsid w:val="00C809CE"/>
    <w:rsid w:val="00C8214D"/>
    <w:rsid w:val="00C829EE"/>
    <w:rsid w:val="00C82DBA"/>
    <w:rsid w:val="00C85175"/>
    <w:rsid w:val="00C85694"/>
    <w:rsid w:val="00C85E2F"/>
    <w:rsid w:val="00C868AC"/>
    <w:rsid w:val="00C872C8"/>
    <w:rsid w:val="00C876C3"/>
    <w:rsid w:val="00C87858"/>
    <w:rsid w:val="00C90422"/>
    <w:rsid w:val="00C914BD"/>
    <w:rsid w:val="00C926A7"/>
    <w:rsid w:val="00C93DBF"/>
    <w:rsid w:val="00C9470D"/>
    <w:rsid w:val="00C96CA2"/>
    <w:rsid w:val="00CA065A"/>
    <w:rsid w:val="00CA1A95"/>
    <w:rsid w:val="00CA29AB"/>
    <w:rsid w:val="00CA3121"/>
    <w:rsid w:val="00CA414E"/>
    <w:rsid w:val="00CA5DC8"/>
    <w:rsid w:val="00CB082F"/>
    <w:rsid w:val="00CB0D8C"/>
    <w:rsid w:val="00CB1377"/>
    <w:rsid w:val="00CB2601"/>
    <w:rsid w:val="00CB716B"/>
    <w:rsid w:val="00CB76F4"/>
    <w:rsid w:val="00CC0CDB"/>
    <w:rsid w:val="00CC2BE2"/>
    <w:rsid w:val="00CC4E0D"/>
    <w:rsid w:val="00CC6739"/>
    <w:rsid w:val="00CD166F"/>
    <w:rsid w:val="00CD19FC"/>
    <w:rsid w:val="00CD341F"/>
    <w:rsid w:val="00CD3ED9"/>
    <w:rsid w:val="00CD4D5C"/>
    <w:rsid w:val="00CD6BFE"/>
    <w:rsid w:val="00CD6D64"/>
    <w:rsid w:val="00CD7427"/>
    <w:rsid w:val="00CD760A"/>
    <w:rsid w:val="00CE149E"/>
    <w:rsid w:val="00CE1818"/>
    <w:rsid w:val="00CE1865"/>
    <w:rsid w:val="00CE3AD8"/>
    <w:rsid w:val="00CE3F38"/>
    <w:rsid w:val="00CE42FF"/>
    <w:rsid w:val="00CE45AD"/>
    <w:rsid w:val="00CE64D2"/>
    <w:rsid w:val="00CE6D68"/>
    <w:rsid w:val="00CE73E5"/>
    <w:rsid w:val="00CF0352"/>
    <w:rsid w:val="00CF26E9"/>
    <w:rsid w:val="00CF477D"/>
    <w:rsid w:val="00CF517B"/>
    <w:rsid w:val="00CF6679"/>
    <w:rsid w:val="00D00BE2"/>
    <w:rsid w:val="00D00D33"/>
    <w:rsid w:val="00D011C3"/>
    <w:rsid w:val="00D03452"/>
    <w:rsid w:val="00D036D5"/>
    <w:rsid w:val="00D043FD"/>
    <w:rsid w:val="00D05789"/>
    <w:rsid w:val="00D06CD6"/>
    <w:rsid w:val="00D07116"/>
    <w:rsid w:val="00D10403"/>
    <w:rsid w:val="00D1283C"/>
    <w:rsid w:val="00D1371E"/>
    <w:rsid w:val="00D20A5E"/>
    <w:rsid w:val="00D21008"/>
    <w:rsid w:val="00D21C40"/>
    <w:rsid w:val="00D22402"/>
    <w:rsid w:val="00D2309F"/>
    <w:rsid w:val="00D231B2"/>
    <w:rsid w:val="00D23DA2"/>
    <w:rsid w:val="00D25A4B"/>
    <w:rsid w:val="00D26114"/>
    <w:rsid w:val="00D263CB"/>
    <w:rsid w:val="00D272F1"/>
    <w:rsid w:val="00D278DE"/>
    <w:rsid w:val="00D316B0"/>
    <w:rsid w:val="00D31F3F"/>
    <w:rsid w:val="00D34CA4"/>
    <w:rsid w:val="00D34CC3"/>
    <w:rsid w:val="00D36236"/>
    <w:rsid w:val="00D36C10"/>
    <w:rsid w:val="00D374D2"/>
    <w:rsid w:val="00D37F5F"/>
    <w:rsid w:val="00D401AB"/>
    <w:rsid w:val="00D4099D"/>
    <w:rsid w:val="00D40BC6"/>
    <w:rsid w:val="00D41501"/>
    <w:rsid w:val="00D41BC9"/>
    <w:rsid w:val="00D4360D"/>
    <w:rsid w:val="00D4421D"/>
    <w:rsid w:val="00D457E1"/>
    <w:rsid w:val="00D473AF"/>
    <w:rsid w:val="00D51627"/>
    <w:rsid w:val="00D51827"/>
    <w:rsid w:val="00D522C5"/>
    <w:rsid w:val="00D528CF"/>
    <w:rsid w:val="00D539CE"/>
    <w:rsid w:val="00D54726"/>
    <w:rsid w:val="00D55CA0"/>
    <w:rsid w:val="00D55CEF"/>
    <w:rsid w:val="00D56AC9"/>
    <w:rsid w:val="00D56B22"/>
    <w:rsid w:val="00D56B49"/>
    <w:rsid w:val="00D573A9"/>
    <w:rsid w:val="00D5763C"/>
    <w:rsid w:val="00D57676"/>
    <w:rsid w:val="00D63BAF"/>
    <w:rsid w:val="00D646D8"/>
    <w:rsid w:val="00D67E7C"/>
    <w:rsid w:val="00D7064A"/>
    <w:rsid w:val="00D72588"/>
    <w:rsid w:val="00D73316"/>
    <w:rsid w:val="00D74D50"/>
    <w:rsid w:val="00D7552F"/>
    <w:rsid w:val="00D7655F"/>
    <w:rsid w:val="00D77705"/>
    <w:rsid w:val="00D80DA2"/>
    <w:rsid w:val="00D81057"/>
    <w:rsid w:val="00D8388E"/>
    <w:rsid w:val="00D85ABB"/>
    <w:rsid w:val="00D916EB"/>
    <w:rsid w:val="00D920C7"/>
    <w:rsid w:val="00D93624"/>
    <w:rsid w:val="00D93F7C"/>
    <w:rsid w:val="00D94A23"/>
    <w:rsid w:val="00D94D26"/>
    <w:rsid w:val="00D9527E"/>
    <w:rsid w:val="00D95293"/>
    <w:rsid w:val="00D956D1"/>
    <w:rsid w:val="00D95C2A"/>
    <w:rsid w:val="00D962DF"/>
    <w:rsid w:val="00DA062F"/>
    <w:rsid w:val="00DA09CF"/>
    <w:rsid w:val="00DA16FA"/>
    <w:rsid w:val="00DA3080"/>
    <w:rsid w:val="00DA42B4"/>
    <w:rsid w:val="00DA4E08"/>
    <w:rsid w:val="00DA601F"/>
    <w:rsid w:val="00DA6664"/>
    <w:rsid w:val="00DA684D"/>
    <w:rsid w:val="00DA6EC8"/>
    <w:rsid w:val="00DA7914"/>
    <w:rsid w:val="00DB081C"/>
    <w:rsid w:val="00DB0931"/>
    <w:rsid w:val="00DB1928"/>
    <w:rsid w:val="00DB1ABA"/>
    <w:rsid w:val="00DB1BB9"/>
    <w:rsid w:val="00DB1D9E"/>
    <w:rsid w:val="00DB24BE"/>
    <w:rsid w:val="00DB26C0"/>
    <w:rsid w:val="00DB4929"/>
    <w:rsid w:val="00DB62E6"/>
    <w:rsid w:val="00DB6646"/>
    <w:rsid w:val="00DB7ACD"/>
    <w:rsid w:val="00DC0EFC"/>
    <w:rsid w:val="00DC2C92"/>
    <w:rsid w:val="00DC5443"/>
    <w:rsid w:val="00DC5AE3"/>
    <w:rsid w:val="00DC6E63"/>
    <w:rsid w:val="00DD09BC"/>
    <w:rsid w:val="00DD2B8F"/>
    <w:rsid w:val="00DD31A7"/>
    <w:rsid w:val="00DD34BE"/>
    <w:rsid w:val="00DD41E0"/>
    <w:rsid w:val="00DD47C6"/>
    <w:rsid w:val="00DD5AD1"/>
    <w:rsid w:val="00DD69DB"/>
    <w:rsid w:val="00DD72A6"/>
    <w:rsid w:val="00DD7D98"/>
    <w:rsid w:val="00DE113A"/>
    <w:rsid w:val="00DE12AA"/>
    <w:rsid w:val="00DE2E7F"/>
    <w:rsid w:val="00DE4429"/>
    <w:rsid w:val="00DE47A7"/>
    <w:rsid w:val="00DE67CB"/>
    <w:rsid w:val="00DE6948"/>
    <w:rsid w:val="00DE7254"/>
    <w:rsid w:val="00DF12F2"/>
    <w:rsid w:val="00DF1982"/>
    <w:rsid w:val="00DF43C8"/>
    <w:rsid w:val="00DF4C85"/>
    <w:rsid w:val="00DF5285"/>
    <w:rsid w:val="00DF578E"/>
    <w:rsid w:val="00E00597"/>
    <w:rsid w:val="00E01663"/>
    <w:rsid w:val="00E032FB"/>
    <w:rsid w:val="00E0372D"/>
    <w:rsid w:val="00E04A51"/>
    <w:rsid w:val="00E069FE"/>
    <w:rsid w:val="00E071A9"/>
    <w:rsid w:val="00E1031A"/>
    <w:rsid w:val="00E109E9"/>
    <w:rsid w:val="00E11426"/>
    <w:rsid w:val="00E11D56"/>
    <w:rsid w:val="00E148C9"/>
    <w:rsid w:val="00E14C81"/>
    <w:rsid w:val="00E15C4A"/>
    <w:rsid w:val="00E15C5B"/>
    <w:rsid w:val="00E15CEE"/>
    <w:rsid w:val="00E16911"/>
    <w:rsid w:val="00E202F6"/>
    <w:rsid w:val="00E20AE2"/>
    <w:rsid w:val="00E21B1E"/>
    <w:rsid w:val="00E22C19"/>
    <w:rsid w:val="00E245D5"/>
    <w:rsid w:val="00E24838"/>
    <w:rsid w:val="00E24E10"/>
    <w:rsid w:val="00E26D0D"/>
    <w:rsid w:val="00E2767B"/>
    <w:rsid w:val="00E30EA4"/>
    <w:rsid w:val="00E31379"/>
    <w:rsid w:val="00E32746"/>
    <w:rsid w:val="00E3295C"/>
    <w:rsid w:val="00E32F1F"/>
    <w:rsid w:val="00E333CD"/>
    <w:rsid w:val="00E339A3"/>
    <w:rsid w:val="00E3632C"/>
    <w:rsid w:val="00E377AC"/>
    <w:rsid w:val="00E41286"/>
    <w:rsid w:val="00E4253D"/>
    <w:rsid w:val="00E42A1F"/>
    <w:rsid w:val="00E42C51"/>
    <w:rsid w:val="00E42EE5"/>
    <w:rsid w:val="00E43808"/>
    <w:rsid w:val="00E438E1"/>
    <w:rsid w:val="00E43F98"/>
    <w:rsid w:val="00E44112"/>
    <w:rsid w:val="00E44FFE"/>
    <w:rsid w:val="00E45122"/>
    <w:rsid w:val="00E45279"/>
    <w:rsid w:val="00E46113"/>
    <w:rsid w:val="00E46D31"/>
    <w:rsid w:val="00E474D8"/>
    <w:rsid w:val="00E5005A"/>
    <w:rsid w:val="00E5018E"/>
    <w:rsid w:val="00E51421"/>
    <w:rsid w:val="00E51B9D"/>
    <w:rsid w:val="00E51D3A"/>
    <w:rsid w:val="00E521AC"/>
    <w:rsid w:val="00E5320F"/>
    <w:rsid w:val="00E5390B"/>
    <w:rsid w:val="00E53D2F"/>
    <w:rsid w:val="00E55CA3"/>
    <w:rsid w:val="00E562CE"/>
    <w:rsid w:val="00E566C9"/>
    <w:rsid w:val="00E61161"/>
    <w:rsid w:val="00E61C18"/>
    <w:rsid w:val="00E61EF6"/>
    <w:rsid w:val="00E63A53"/>
    <w:rsid w:val="00E64393"/>
    <w:rsid w:val="00E663E7"/>
    <w:rsid w:val="00E67F6E"/>
    <w:rsid w:val="00E7009B"/>
    <w:rsid w:val="00E711D4"/>
    <w:rsid w:val="00E71898"/>
    <w:rsid w:val="00E719BD"/>
    <w:rsid w:val="00E725E5"/>
    <w:rsid w:val="00E74DD0"/>
    <w:rsid w:val="00E756AB"/>
    <w:rsid w:val="00E758A7"/>
    <w:rsid w:val="00E766CF"/>
    <w:rsid w:val="00E76E1E"/>
    <w:rsid w:val="00E7744F"/>
    <w:rsid w:val="00E77842"/>
    <w:rsid w:val="00E8071B"/>
    <w:rsid w:val="00E81BDF"/>
    <w:rsid w:val="00E82600"/>
    <w:rsid w:val="00E82C92"/>
    <w:rsid w:val="00E82E2B"/>
    <w:rsid w:val="00E831B9"/>
    <w:rsid w:val="00E8346B"/>
    <w:rsid w:val="00E8490D"/>
    <w:rsid w:val="00E85550"/>
    <w:rsid w:val="00E87E1B"/>
    <w:rsid w:val="00E909EA"/>
    <w:rsid w:val="00E91813"/>
    <w:rsid w:val="00E923EB"/>
    <w:rsid w:val="00E93908"/>
    <w:rsid w:val="00E946CB"/>
    <w:rsid w:val="00E94E37"/>
    <w:rsid w:val="00E95021"/>
    <w:rsid w:val="00EA2DCC"/>
    <w:rsid w:val="00EA4503"/>
    <w:rsid w:val="00EA45B2"/>
    <w:rsid w:val="00EA489A"/>
    <w:rsid w:val="00EA54CE"/>
    <w:rsid w:val="00EA69A5"/>
    <w:rsid w:val="00EB0E9B"/>
    <w:rsid w:val="00EB1511"/>
    <w:rsid w:val="00EB1FEA"/>
    <w:rsid w:val="00EB2201"/>
    <w:rsid w:val="00EB4162"/>
    <w:rsid w:val="00EC0EE6"/>
    <w:rsid w:val="00EC27F2"/>
    <w:rsid w:val="00EC6D58"/>
    <w:rsid w:val="00ED140E"/>
    <w:rsid w:val="00ED2BAB"/>
    <w:rsid w:val="00ED2E8C"/>
    <w:rsid w:val="00ED5264"/>
    <w:rsid w:val="00ED55C0"/>
    <w:rsid w:val="00ED56C2"/>
    <w:rsid w:val="00ED6D04"/>
    <w:rsid w:val="00ED6EC0"/>
    <w:rsid w:val="00ED7497"/>
    <w:rsid w:val="00ED7BA9"/>
    <w:rsid w:val="00EE01AA"/>
    <w:rsid w:val="00EE0B35"/>
    <w:rsid w:val="00EE1454"/>
    <w:rsid w:val="00EE1C7B"/>
    <w:rsid w:val="00EE4CF5"/>
    <w:rsid w:val="00EE5551"/>
    <w:rsid w:val="00EE5ABC"/>
    <w:rsid w:val="00EE6808"/>
    <w:rsid w:val="00EE72BE"/>
    <w:rsid w:val="00EE784D"/>
    <w:rsid w:val="00EF72E2"/>
    <w:rsid w:val="00EF7D3D"/>
    <w:rsid w:val="00F00090"/>
    <w:rsid w:val="00F04B0D"/>
    <w:rsid w:val="00F05418"/>
    <w:rsid w:val="00F0767F"/>
    <w:rsid w:val="00F07B67"/>
    <w:rsid w:val="00F1075D"/>
    <w:rsid w:val="00F10965"/>
    <w:rsid w:val="00F1096B"/>
    <w:rsid w:val="00F14AF5"/>
    <w:rsid w:val="00F1532B"/>
    <w:rsid w:val="00F167B7"/>
    <w:rsid w:val="00F20D43"/>
    <w:rsid w:val="00F21FCC"/>
    <w:rsid w:val="00F24A94"/>
    <w:rsid w:val="00F24B3E"/>
    <w:rsid w:val="00F26881"/>
    <w:rsid w:val="00F31265"/>
    <w:rsid w:val="00F32638"/>
    <w:rsid w:val="00F3324D"/>
    <w:rsid w:val="00F34326"/>
    <w:rsid w:val="00F3505B"/>
    <w:rsid w:val="00F35996"/>
    <w:rsid w:val="00F35AF5"/>
    <w:rsid w:val="00F36EC0"/>
    <w:rsid w:val="00F37D39"/>
    <w:rsid w:val="00F37D7B"/>
    <w:rsid w:val="00F403A8"/>
    <w:rsid w:val="00F40CD5"/>
    <w:rsid w:val="00F43115"/>
    <w:rsid w:val="00F44E20"/>
    <w:rsid w:val="00F4501C"/>
    <w:rsid w:val="00F46565"/>
    <w:rsid w:val="00F46ADF"/>
    <w:rsid w:val="00F46B6B"/>
    <w:rsid w:val="00F473ED"/>
    <w:rsid w:val="00F525A0"/>
    <w:rsid w:val="00F548F7"/>
    <w:rsid w:val="00F54924"/>
    <w:rsid w:val="00F55BE0"/>
    <w:rsid w:val="00F56383"/>
    <w:rsid w:val="00F601A2"/>
    <w:rsid w:val="00F60AAF"/>
    <w:rsid w:val="00F630B5"/>
    <w:rsid w:val="00F64164"/>
    <w:rsid w:val="00F64CD4"/>
    <w:rsid w:val="00F65118"/>
    <w:rsid w:val="00F654AF"/>
    <w:rsid w:val="00F65A02"/>
    <w:rsid w:val="00F65D55"/>
    <w:rsid w:val="00F6780C"/>
    <w:rsid w:val="00F70207"/>
    <w:rsid w:val="00F70EB3"/>
    <w:rsid w:val="00F714CE"/>
    <w:rsid w:val="00F72916"/>
    <w:rsid w:val="00F732A0"/>
    <w:rsid w:val="00F73CD2"/>
    <w:rsid w:val="00F73F5C"/>
    <w:rsid w:val="00F742AD"/>
    <w:rsid w:val="00F75AC9"/>
    <w:rsid w:val="00F760C8"/>
    <w:rsid w:val="00F77493"/>
    <w:rsid w:val="00F80739"/>
    <w:rsid w:val="00F815CD"/>
    <w:rsid w:val="00F8357C"/>
    <w:rsid w:val="00F838CD"/>
    <w:rsid w:val="00F849A2"/>
    <w:rsid w:val="00F84C8D"/>
    <w:rsid w:val="00F85121"/>
    <w:rsid w:val="00F87A06"/>
    <w:rsid w:val="00F87AC8"/>
    <w:rsid w:val="00F902DE"/>
    <w:rsid w:val="00F904DF"/>
    <w:rsid w:val="00F91814"/>
    <w:rsid w:val="00F92767"/>
    <w:rsid w:val="00F94631"/>
    <w:rsid w:val="00F94F70"/>
    <w:rsid w:val="00F967BA"/>
    <w:rsid w:val="00F96E5D"/>
    <w:rsid w:val="00F97B64"/>
    <w:rsid w:val="00FA016B"/>
    <w:rsid w:val="00FA0D1A"/>
    <w:rsid w:val="00FA1FAD"/>
    <w:rsid w:val="00FA255D"/>
    <w:rsid w:val="00FA2D65"/>
    <w:rsid w:val="00FA4623"/>
    <w:rsid w:val="00FB5AB3"/>
    <w:rsid w:val="00FB612E"/>
    <w:rsid w:val="00FC0252"/>
    <w:rsid w:val="00FC046D"/>
    <w:rsid w:val="00FC1789"/>
    <w:rsid w:val="00FC2507"/>
    <w:rsid w:val="00FC4187"/>
    <w:rsid w:val="00FC443B"/>
    <w:rsid w:val="00FC4E02"/>
    <w:rsid w:val="00FC607B"/>
    <w:rsid w:val="00FC6580"/>
    <w:rsid w:val="00FD02CF"/>
    <w:rsid w:val="00FD03C2"/>
    <w:rsid w:val="00FD0DAA"/>
    <w:rsid w:val="00FD11B0"/>
    <w:rsid w:val="00FD26EE"/>
    <w:rsid w:val="00FD7248"/>
    <w:rsid w:val="00FD7499"/>
    <w:rsid w:val="00FD7939"/>
    <w:rsid w:val="00FD7A57"/>
    <w:rsid w:val="00FE063C"/>
    <w:rsid w:val="00FE071A"/>
    <w:rsid w:val="00FE19B4"/>
    <w:rsid w:val="00FE331B"/>
    <w:rsid w:val="00FE362D"/>
    <w:rsid w:val="00FE5172"/>
    <w:rsid w:val="00FE6543"/>
    <w:rsid w:val="00FE6828"/>
    <w:rsid w:val="00FE77A6"/>
    <w:rsid w:val="00FF1AA8"/>
    <w:rsid w:val="00FF2A8C"/>
    <w:rsid w:val="00FF3ABF"/>
    <w:rsid w:val="00FF5F76"/>
    <w:rsid w:val="00FF6BDF"/>
    <w:rsid w:val="00FF7421"/>
    <w:rsid w:val="00FF7C15"/>
    <w:rsid w:val="00FF7F62"/>
    <w:rsid w:val="010D620C"/>
    <w:rsid w:val="016618E5"/>
    <w:rsid w:val="01FF451B"/>
    <w:rsid w:val="02A90B72"/>
    <w:rsid w:val="02F060D7"/>
    <w:rsid w:val="030307EE"/>
    <w:rsid w:val="030D5343"/>
    <w:rsid w:val="03886294"/>
    <w:rsid w:val="03953354"/>
    <w:rsid w:val="03A37929"/>
    <w:rsid w:val="03D03C59"/>
    <w:rsid w:val="040B4813"/>
    <w:rsid w:val="040D5CD7"/>
    <w:rsid w:val="04250EE4"/>
    <w:rsid w:val="0452096A"/>
    <w:rsid w:val="046507F1"/>
    <w:rsid w:val="04AE6A32"/>
    <w:rsid w:val="04BC5D9C"/>
    <w:rsid w:val="052109CE"/>
    <w:rsid w:val="05381DAC"/>
    <w:rsid w:val="054B2E22"/>
    <w:rsid w:val="05715C5C"/>
    <w:rsid w:val="05832354"/>
    <w:rsid w:val="061F1253"/>
    <w:rsid w:val="06F176EE"/>
    <w:rsid w:val="07326327"/>
    <w:rsid w:val="07603356"/>
    <w:rsid w:val="078B5BE0"/>
    <w:rsid w:val="0794707F"/>
    <w:rsid w:val="079F5BAA"/>
    <w:rsid w:val="07AD6F10"/>
    <w:rsid w:val="07ED693F"/>
    <w:rsid w:val="08407B76"/>
    <w:rsid w:val="08415C92"/>
    <w:rsid w:val="090744EA"/>
    <w:rsid w:val="09632DA8"/>
    <w:rsid w:val="09A10383"/>
    <w:rsid w:val="0A083499"/>
    <w:rsid w:val="0A2B2D67"/>
    <w:rsid w:val="0A5C646B"/>
    <w:rsid w:val="0A645809"/>
    <w:rsid w:val="0A850EE9"/>
    <w:rsid w:val="0A8634A4"/>
    <w:rsid w:val="0AE11A34"/>
    <w:rsid w:val="0AE9213D"/>
    <w:rsid w:val="0B116715"/>
    <w:rsid w:val="0B4B5B84"/>
    <w:rsid w:val="0B524B36"/>
    <w:rsid w:val="0B56464E"/>
    <w:rsid w:val="0BBB725F"/>
    <w:rsid w:val="0BD30229"/>
    <w:rsid w:val="0BDA452C"/>
    <w:rsid w:val="0BE36F56"/>
    <w:rsid w:val="0BE42F9A"/>
    <w:rsid w:val="0C081210"/>
    <w:rsid w:val="0C584D05"/>
    <w:rsid w:val="0C926814"/>
    <w:rsid w:val="0C977C7B"/>
    <w:rsid w:val="0C9D0A51"/>
    <w:rsid w:val="0CAD6B44"/>
    <w:rsid w:val="0D7E5724"/>
    <w:rsid w:val="0DDC3680"/>
    <w:rsid w:val="0E005FCB"/>
    <w:rsid w:val="0E0E4F34"/>
    <w:rsid w:val="0E143D01"/>
    <w:rsid w:val="0E5F630E"/>
    <w:rsid w:val="0E8F4521"/>
    <w:rsid w:val="0E913745"/>
    <w:rsid w:val="0EA627EF"/>
    <w:rsid w:val="0EEF4074"/>
    <w:rsid w:val="0F452494"/>
    <w:rsid w:val="0F572F70"/>
    <w:rsid w:val="0F5E4008"/>
    <w:rsid w:val="0FF805B4"/>
    <w:rsid w:val="0FFE3071"/>
    <w:rsid w:val="10303FAF"/>
    <w:rsid w:val="103416F1"/>
    <w:rsid w:val="109D29E9"/>
    <w:rsid w:val="10CA2010"/>
    <w:rsid w:val="11007CAB"/>
    <w:rsid w:val="111E203D"/>
    <w:rsid w:val="112158BD"/>
    <w:rsid w:val="11285AA4"/>
    <w:rsid w:val="112E13BF"/>
    <w:rsid w:val="11562479"/>
    <w:rsid w:val="115762F2"/>
    <w:rsid w:val="117C2AE0"/>
    <w:rsid w:val="11EB2F9D"/>
    <w:rsid w:val="12836512"/>
    <w:rsid w:val="12B6070D"/>
    <w:rsid w:val="12D76BF8"/>
    <w:rsid w:val="1367335E"/>
    <w:rsid w:val="139773D8"/>
    <w:rsid w:val="13B13EB6"/>
    <w:rsid w:val="13DA2D54"/>
    <w:rsid w:val="1427212A"/>
    <w:rsid w:val="144167AD"/>
    <w:rsid w:val="144E4536"/>
    <w:rsid w:val="148F124C"/>
    <w:rsid w:val="14924B5F"/>
    <w:rsid w:val="14CD64C4"/>
    <w:rsid w:val="14DE6C6B"/>
    <w:rsid w:val="1529623B"/>
    <w:rsid w:val="1641580C"/>
    <w:rsid w:val="16601392"/>
    <w:rsid w:val="166E0637"/>
    <w:rsid w:val="168F797C"/>
    <w:rsid w:val="16962444"/>
    <w:rsid w:val="16990F80"/>
    <w:rsid w:val="16D21D59"/>
    <w:rsid w:val="16E95556"/>
    <w:rsid w:val="16F906CA"/>
    <w:rsid w:val="17057A65"/>
    <w:rsid w:val="170C63AB"/>
    <w:rsid w:val="17110A74"/>
    <w:rsid w:val="171D5851"/>
    <w:rsid w:val="172B2F4B"/>
    <w:rsid w:val="173407F9"/>
    <w:rsid w:val="17357F81"/>
    <w:rsid w:val="173E6CBD"/>
    <w:rsid w:val="1771404B"/>
    <w:rsid w:val="178F3AFD"/>
    <w:rsid w:val="17957193"/>
    <w:rsid w:val="179661E7"/>
    <w:rsid w:val="17EB596F"/>
    <w:rsid w:val="183C796F"/>
    <w:rsid w:val="189D7F5D"/>
    <w:rsid w:val="18B44858"/>
    <w:rsid w:val="18B71D6E"/>
    <w:rsid w:val="18EC3A27"/>
    <w:rsid w:val="196505E0"/>
    <w:rsid w:val="19924054"/>
    <w:rsid w:val="199C5D63"/>
    <w:rsid w:val="19DA1708"/>
    <w:rsid w:val="19EE2813"/>
    <w:rsid w:val="1A57560F"/>
    <w:rsid w:val="1A9D443C"/>
    <w:rsid w:val="1B360162"/>
    <w:rsid w:val="1B5418CA"/>
    <w:rsid w:val="1B570174"/>
    <w:rsid w:val="1B6D2EEB"/>
    <w:rsid w:val="1BDC7A2B"/>
    <w:rsid w:val="1C170123"/>
    <w:rsid w:val="1C184548"/>
    <w:rsid w:val="1C511ADE"/>
    <w:rsid w:val="1C650470"/>
    <w:rsid w:val="1C83224A"/>
    <w:rsid w:val="1C86794D"/>
    <w:rsid w:val="1C8C12C9"/>
    <w:rsid w:val="1C9414BF"/>
    <w:rsid w:val="1CD1628D"/>
    <w:rsid w:val="1CE57A12"/>
    <w:rsid w:val="1CE64B69"/>
    <w:rsid w:val="1CFB6287"/>
    <w:rsid w:val="1D075E36"/>
    <w:rsid w:val="1D214C35"/>
    <w:rsid w:val="1D2B3B7A"/>
    <w:rsid w:val="1D4F0D7B"/>
    <w:rsid w:val="1DA8312A"/>
    <w:rsid w:val="1DBE3AF4"/>
    <w:rsid w:val="1E132B9A"/>
    <w:rsid w:val="1E37370F"/>
    <w:rsid w:val="1E7A2AF8"/>
    <w:rsid w:val="1E7E4515"/>
    <w:rsid w:val="1E892D3B"/>
    <w:rsid w:val="1E9036A8"/>
    <w:rsid w:val="1EC74CE2"/>
    <w:rsid w:val="1F55242E"/>
    <w:rsid w:val="1F9A3603"/>
    <w:rsid w:val="1FA71191"/>
    <w:rsid w:val="1FCC7F20"/>
    <w:rsid w:val="1FD31003"/>
    <w:rsid w:val="200272B2"/>
    <w:rsid w:val="207277FE"/>
    <w:rsid w:val="20AF5E8D"/>
    <w:rsid w:val="20B56698"/>
    <w:rsid w:val="20CA4C74"/>
    <w:rsid w:val="21102FA9"/>
    <w:rsid w:val="212820CF"/>
    <w:rsid w:val="212F7994"/>
    <w:rsid w:val="214655BE"/>
    <w:rsid w:val="21506273"/>
    <w:rsid w:val="218913AA"/>
    <w:rsid w:val="21B662E3"/>
    <w:rsid w:val="21D17B20"/>
    <w:rsid w:val="21D40FA3"/>
    <w:rsid w:val="21DE76E3"/>
    <w:rsid w:val="22020813"/>
    <w:rsid w:val="22396EB5"/>
    <w:rsid w:val="224739AC"/>
    <w:rsid w:val="225272AD"/>
    <w:rsid w:val="225B679C"/>
    <w:rsid w:val="2266006E"/>
    <w:rsid w:val="228A57B9"/>
    <w:rsid w:val="228F6446"/>
    <w:rsid w:val="229B0472"/>
    <w:rsid w:val="22AF299F"/>
    <w:rsid w:val="22D13905"/>
    <w:rsid w:val="22D54C12"/>
    <w:rsid w:val="231A7697"/>
    <w:rsid w:val="23D10FCC"/>
    <w:rsid w:val="23DE7BB1"/>
    <w:rsid w:val="23F65353"/>
    <w:rsid w:val="2404043A"/>
    <w:rsid w:val="24083E34"/>
    <w:rsid w:val="241D57E8"/>
    <w:rsid w:val="2421351A"/>
    <w:rsid w:val="24383B71"/>
    <w:rsid w:val="245120F8"/>
    <w:rsid w:val="24602463"/>
    <w:rsid w:val="24F85E47"/>
    <w:rsid w:val="25585215"/>
    <w:rsid w:val="259F4B80"/>
    <w:rsid w:val="25BE53D4"/>
    <w:rsid w:val="25D72EA6"/>
    <w:rsid w:val="25F368D9"/>
    <w:rsid w:val="26382AA3"/>
    <w:rsid w:val="265D78BC"/>
    <w:rsid w:val="267E2C3E"/>
    <w:rsid w:val="26CA127B"/>
    <w:rsid w:val="275B551F"/>
    <w:rsid w:val="281B7742"/>
    <w:rsid w:val="28223F47"/>
    <w:rsid w:val="284E6B29"/>
    <w:rsid w:val="28513926"/>
    <w:rsid w:val="288B44C1"/>
    <w:rsid w:val="28A6603A"/>
    <w:rsid w:val="292C62DB"/>
    <w:rsid w:val="29773264"/>
    <w:rsid w:val="297B565C"/>
    <w:rsid w:val="29980C17"/>
    <w:rsid w:val="29DD2CB5"/>
    <w:rsid w:val="29E55368"/>
    <w:rsid w:val="2A0A1A27"/>
    <w:rsid w:val="2A2D0DE6"/>
    <w:rsid w:val="2A525DAC"/>
    <w:rsid w:val="2A532EBF"/>
    <w:rsid w:val="2A69244E"/>
    <w:rsid w:val="2AE20B5D"/>
    <w:rsid w:val="2B126E0D"/>
    <w:rsid w:val="2B5C1C77"/>
    <w:rsid w:val="2B6435E9"/>
    <w:rsid w:val="2C183950"/>
    <w:rsid w:val="2C540723"/>
    <w:rsid w:val="2CA43FDE"/>
    <w:rsid w:val="2CCC5E7A"/>
    <w:rsid w:val="2CE85F95"/>
    <w:rsid w:val="2D8F6443"/>
    <w:rsid w:val="2DD20EF2"/>
    <w:rsid w:val="2DE03652"/>
    <w:rsid w:val="2DFF2D7C"/>
    <w:rsid w:val="2E0C59E2"/>
    <w:rsid w:val="2E110555"/>
    <w:rsid w:val="2E1F3913"/>
    <w:rsid w:val="2E4F5A2C"/>
    <w:rsid w:val="2E6E1A1E"/>
    <w:rsid w:val="2EBE02E7"/>
    <w:rsid w:val="2ED57E0E"/>
    <w:rsid w:val="2EF762D2"/>
    <w:rsid w:val="2EFA13E0"/>
    <w:rsid w:val="2F2B53D1"/>
    <w:rsid w:val="2F61371F"/>
    <w:rsid w:val="300C43DA"/>
    <w:rsid w:val="302C0793"/>
    <w:rsid w:val="30331EAB"/>
    <w:rsid w:val="30516C1F"/>
    <w:rsid w:val="305B24C9"/>
    <w:rsid w:val="308C73AF"/>
    <w:rsid w:val="30C125FF"/>
    <w:rsid w:val="30D50E0C"/>
    <w:rsid w:val="30DA5678"/>
    <w:rsid w:val="31333A4A"/>
    <w:rsid w:val="315F0A6F"/>
    <w:rsid w:val="317C067C"/>
    <w:rsid w:val="31DF329E"/>
    <w:rsid w:val="32346773"/>
    <w:rsid w:val="327A3D62"/>
    <w:rsid w:val="32853B02"/>
    <w:rsid w:val="32A911D7"/>
    <w:rsid w:val="32CF6E8E"/>
    <w:rsid w:val="330A1107"/>
    <w:rsid w:val="33142BFB"/>
    <w:rsid w:val="334455FD"/>
    <w:rsid w:val="33A42C7A"/>
    <w:rsid w:val="33A83053"/>
    <w:rsid w:val="33C45CC5"/>
    <w:rsid w:val="33CB0B62"/>
    <w:rsid w:val="33CF7779"/>
    <w:rsid w:val="33FC2096"/>
    <w:rsid w:val="342E6137"/>
    <w:rsid w:val="34445BC9"/>
    <w:rsid w:val="345442E2"/>
    <w:rsid w:val="348967B5"/>
    <w:rsid w:val="34A81D60"/>
    <w:rsid w:val="34DA316E"/>
    <w:rsid w:val="352D5887"/>
    <w:rsid w:val="35635AA6"/>
    <w:rsid w:val="363E4A5F"/>
    <w:rsid w:val="36433D9B"/>
    <w:rsid w:val="367D16BA"/>
    <w:rsid w:val="36AC640C"/>
    <w:rsid w:val="36C5283E"/>
    <w:rsid w:val="36C63D69"/>
    <w:rsid w:val="370C3E31"/>
    <w:rsid w:val="37AC64D9"/>
    <w:rsid w:val="37CA4E59"/>
    <w:rsid w:val="37D33F07"/>
    <w:rsid w:val="37EC3F69"/>
    <w:rsid w:val="38200B76"/>
    <w:rsid w:val="382928A8"/>
    <w:rsid w:val="38803869"/>
    <w:rsid w:val="391A659D"/>
    <w:rsid w:val="394B530E"/>
    <w:rsid w:val="39605AF7"/>
    <w:rsid w:val="396B157C"/>
    <w:rsid w:val="397F4434"/>
    <w:rsid w:val="39AA2B5A"/>
    <w:rsid w:val="39E86A5C"/>
    <w:rsid w:val="39ED1A4A"/>
    <w:rsid w:val="3A1B189F"/>
    <w:rsid w:val="3A375EB0"/>
    <w:rsid w:val="3A5C0EAC"/>
    <w:rsid w:val="3A914FF9"/>
    <w:rsid w:val="3ADB04DA"/>
    <w:rsid w:val="3AEE435A"/>
    <w:rsid w:val="3B1C47D8"/>
    <w:rsid w:val="3B3A4A54"/>
    <w:rsid w:val="3B93581A"/>
    <w:rsid w:val="3BA61031"/>
    <w:rsid w:val="3BEB6AFA"/>
    <w:rsid w:val="3BFF433A"/>
    <w:rsid w:val="3C405CFF"/>
    <w:rsid w:val="3C965F84"/>
    <w:rsid w:val="3D305BC8"/>
    <w:rsid w:val="3D593957"/>
    <w:rsid w:val="3DA16634"/>
    <w:rsid w:val="3DCF68AE"/>
    <w:rsid w:val="3E2A2813"/>
    <w:rsid w:val="3E407181"/>
    <w:rsid w:val="3E576E67"/>
    <w:rsid w:val="3EDE0403"/>
    <w:rsid w:val="3EF05AC6"/>
    <w:rsid w:val="3EF105E6"/>
    <w:rsid w:val="3F2D2E17"/>
    <w:rsid w:val="3F502DAB"/>
    <w:rsid w:val="3F765D4D"/>
    <w:rsid w:val="3FA34B22"/>
    <w:rsid w:val="3FC947C3"/>
    <w:rsid w:val="3FD933FF"/>
    <w:rsid w:val="3FF51267"/>
    <w:rsid w:val="400C6FD5"/>
    <w:rsid w:val="40104C12"/>
    <w:rsid w:val="40125860"/>
    <w:rsid w:val="40DB6A3E"/>
    <w:rsid w:val="40FE68FE"/>
    <w:rsid w:val="41420DE4"/>
    <w:rsid w:val="416647E8"/>
    <w:rsid w:val="41D60B1D"/>
    <w:rsid w:val="41E43284"/>
    <w:rsid w:val="42042A2E"/>
    <w:rsid w:val="42615815"/>
    <w:rsid w:val="429F6C8E"/>
    <w:rsid w:val="42C6561D"/>
    <w:rsid w:val="42CC77BC"/>
    <w:rsid w:val="42EF4A77"/>
    <w:rsid w:val="431774D8"/>
    <w:rsid w:val="433B16A5"/>
    <w:rsid w:val="43A00DB4"/>
    <w:rsid w:val="43A40F9B"/>
    <w:rsid w:val="43B90223"/>
    <w:rsid w:val="43D6330F"/>
    <w:rsid w:val="43FC7E21"/>
    <w:rsid w:val="443B0247"/>
    <w:rsid w:val="443C5A4F"/>
    <w:rsid w:val="444A7A0B"/>
    <w:rsid w:val="445245FF"/>
    <w:rsid w:val="446D7AB5"/>
    <w:rsid w:val="44727434"/>
    <w:rsid w:val="447A0374"/>
    <w:rsid w:val="44F361DE"/>
    <w:rsid w:val="44F97AD7"/>
    <w:rsid w:val="45A659E0"/>
    <w:rsid w:val="45C71877"/>
    <w:rsid w:val="45CB38FA"/>
    <w:rsid w:val="45EC0957"/>
    <w:rsid w:val="45EE2ECC"/>
    <w:rsid w:val="463523D8"/>
    <w:rsid w:val="46E230C8"/>
    <w:rsid w:val="46F96400"/>
    <w:rsid w:val="47122A15"/>
    <w:rsid w:val="47557E86"/>
    <w:rsid w:val="476D71FB"/>
    <w:rsid w:val="47AE4093"/>
    <w:rsid w:val="47B75D9F"/>
    <w:rsid w:val="47B92D5B"/>
    <w:rsid w:val="47E76342"/>
    <w:rsid w:val="4816109D"/>
    <w:rsid w:val="486A2859"/>
    <w:rsid w:val="48A64720"/>
    <w:rsid w:val="48D105AD"/>
    <w:rsid w:val="48F826E7"/>
    <w:rsid w:val="49D64AB3"/>
    <w:rsid w:val="4A4E74E7"/>
    <w:rsid w:val="4A822826"/>
    <w:rsid w:val="4A8F26FB"/>
    <w:rsid w:val="4AE916E2"/>
    <w:rsid w:val="4AF01B22"/>
    <w:rsid w:val="4B1B41D2"/>
    <w:rsid w:val="4B2D2803"/>
    <w:rsid w:val="4B3471B7"/>
    <w:rsid w:val="4B367DC9"/>
    <w:rsid w:val="4B434214"/>
    <w:rsid w:val="4B686409"/>
    <w:rsid w:val="4B7A5635"/>
    <w:rsid w:val="4C0863BF"/>
    <w:rsid w:val="4C8363C2"/>
    <w:rsid w:val="4CB4426C"/>
    <w:rsid w:val="4CBC4E92"/>
    <w:rsid w:val="4D4537A7"/>
    <w:rsid w:val="4E340490"/>
    <w:rsid w:val="4E6824B2"/>
    <w:rsid w:val="4E68713F"/>
    <w:rsid w:val="4F4B6754"/>
    <w:rsid w:val="4F533F73"/>
    <w:rsid w:val="4F7326AB"/>
    <w:rsid w:val="4F7E728B"/>
    <w:rsid w:val="4FB27C5F"/>
    <w:rsid w:val="50123604"/>
    <w:rsid w:val="50185682"/>
    <w:rsid w:val="50573AD2"/>
    <w:rsid w:val="50A96BE8"/>
    <w:rsid w:val="50B93F83"/>
    <w:rsid w:val="50E16F08"/>
    <w:rsid w:val="512E0CC7"/>
    <w:rsid w:val="517059D6"/>
    <w:rsid w:val="51726C9A"/>
    <w:rsid w:val="517C0002"/>
    <w:rsid w:val="51844958"/>
    <w:rsid w:val="518917E1"/>
    <w:rsid w:val="51A169F2"/>
    <w:rsid w:val="51D266DF"/>
    <w:rsid w:val="51F33183"/>
    <w:rsid w:val="520A1933"/>
    <w:rsid w:val="52104863"/>
    <w:rsid w:val="521F69CA"/>
    <w:rsid w:val="52587951"/>
    <w:rsid w:val="527D3B52"/>
    <w:rsid w:val="528948B1"/>
    <w:rsid w:val="52A508DE"/>
    <w:rsid w:val="52CA4C60"/>
    <w:rsid w:val="52DB0B94"/>
    <w:rsid w:val="53104E84"/>
    <w:rsid w:val="532D0240"/>
    <w:rsid w:val="53457470"/>
    <w:rsid w:val="53577196"/>
    <w:rsid w:val="53EE6568"/>
    <w:rsid w:val="54172462"/>
    <w:rsid w:val="5452127B"/>
    <w:rsid w:val="547A68C8"/>
    <w:rsid w:val="549A0168"/>
    <w:rsid w:val="54B953BE"/>
    <w:rsid w:val="55817166"/>
    <w:rsid w:val="561F5899"/>
    <w:rsid w:val="562A1A41"/>
    <w:rsid w:val="56395C80"/>
    <w:rsid w:val="56995F97"/>
    <w:rsid w:val="56B70A24"/>
    <w:rsid w:val="56C9341C"/>
    <w:rsid w:val="56DB6311"/>
    <w:rsid w:val="57157F19"/>
    <w:rsid w:val="575574BB"/>
    <w:rsid w:val="57B65C47"/>
    <w:rsid w:val="5822558A"/>
    <w:rsid w:val="585A3E52"/>
    <w:rsid w:val="589169F2"/>
    <w:rsid w:val="58AD5110"/>
    <w:rsid w:val="58C47260"/>
    <w:rsid w:val="58C65A65"/>
    <w:rsid w:val="58D06B21"/>
    <w:rsid w:val="58D23D23"/>
    <w:rsid w:val="58FC45DB"/>
    <w:rsid w:val="59384AD1"/>
    <w:rsid w:val="595F6E94"/>
    <w:rsid w:val="59912EA7"/>
    <w:rsid w:val="59AC040B"/>
    <w:rsid w:val="59ED3476"/>
    <w:rsid w:val="5A0207D7"/>
    <w:rsid w:val="5A3D24E1"/>
    <w:rsid w:val="5A4266CE"/>
    <w:rsid w:val="5A627B23"/>
    <w:rsid w:val="5AA36C57"/>
    <w:rsid w:val="5AD21C59"/>
    <w:rsid w:val="5B630042"/>
    <w:rsid w:val="5B6D74B0"/>
    <w:rsid w:val="5BDE6DC6"/>
    <w:rsid w:val="5BE75F05"/>
    <w:rsid w:val="5C63750F"/>
    <w:rsid w:val="5C6D4C11"/>
    <w:rsid w:val="5C961856"/>
    <w:rsid w:val="5CA123F2"/>
    <w:rsid w:val="5CB94328"/>
    <w:rsid w:val="5CD3119E"/>
    <w:rsid w:val="5CD769B3"/>
    <w:rsid w:val="5CE32C2D"/>
    <w:rsid w:val="5CF055E1"/>
    <w:rsid w:val="5CFC4835"/>
    <w:rsid w:val="5D1B2BC8"/>
    <w:rsid w:val="5D206A15"/>
    <w:rsid w:val="5D226B55"/>
    <w:rsid w:val="5D611742"/>
    <w:rsid w:val="5D6A5A49"/>
    <w:rsid w:val="5D9F1414"/>
    <w:rsid w:val="5DA941AF"/>
    <w:rsid w:val="5DBD2ED6"/>
    <w:rsid w:val="5E027877"/>
    <w:rsid w:val="5E471956"/>
    <w:rsid w:val="5E9B47B5"/>
    <w:rsid w:val="5F1149A3"/>
    <w:rsid w:val="5F706E24"/>
    <w:rsid w:val="5FA36AB1"/>
    <w:rsid w:val="5FAF038A"/>
    <w:rsid w:val="601D0970"/>
    <w:rsid w:val="60295286"/>
    <w:rsid w:val="60711087"/>
    <w:rsid w:val="60B313F9"/>
    <w:rsid w:val="60CB40D5"/>
    <w:rsid w:val="60D5541C"/>
    <w:rsid w:val="61543FBB"/>
    <w:rsid w:val="61850608"/>
    <w:rsid w:val="61B37997"/>
    <w:rsid w:val="61C242C4"/>
    <w:rsid w:val="61D474BF"/>
    <w:rsid w:val="62443F57"/>
    <w:rsid w:val="624A7EF6"/>
    <w:rsid w:val="62A9537C"/>
    <w:rsid w:val="634433F1"/>
    <w:rsid w:val="63555A33"/>
    <w:rsid w:val="635E0217"/>
    <w:rsid w:val="637803D4"/>
    <w:rsid w:val="637938F2"/>
    <w:rsid w:val="639030D3"/>
    <w:rsid w:val="63AF2381"/>
    <w:rsid w:val="63B0792F"/>
    <w:rsid w:val="63C21EDD"/>
    <w:rsid w:val="64304E05"/>
    <w:rsid w:val="64305A57"/>
    <w:rsid w:val="64320A89"/>
    <w:rsid w:val="643238BA"/>
    <w:rsid w:val="64471B37"/>
    <w:rsid w:val="64624FA5"/>
    <w:rsid w:val="64893E12"/>
    <w:rsid w:val="64EE5AC8"/>
    <w:rsid w:val="65295B76"/>
    <w:rsid w:val="65584961"/>
    <w:rsid w:val="659F55FD"/>
    <w:rsid w:val="65CF7CE7"/>
    <w:rsid w:val="66033537"/>
    <w:rsid w:val="663312D9"/>
    <w:rsid w:val="665A3964"/>
    <w:rsid w:val="666619EF"/>
    <w:rsid w:val="66BF77AA"/>
    <w:rsid w:val="671A4C74"/>
    <w:rsid w:val="679F39BE"/>
    <w:rsid w:val="67B14BC6"/>
    <w:rsid w:val="67F12BA7"/>
    <w:rsid w:val="684F4C6C"/>
    <w:rsid w:val="6855776F"/>
    <w:rsid w:val="68750AF0"/>
    <w:rsid w:val="68782A01"/>
    <w:rsid w:val="688614CA"/>
    <w:rsid w:val="68C23D44"/>
    <w:rsid w:val="68DE6DAC"/>
    <w:rsid w:val="68EF14D2"/>
    <w:rsid w:val="69214832"/>
    <w:rsid w:val="69923382"/>
    <w:rsid w:val="69C25D7A"/>
    <w:rsid w:val="6A2D0CA6"/>
    <w:rsid w:val="6A310754"/>
    <w:rsid w:val="6A6E23B2"/>
    <w:rsid w:val="6A7E7542"/>
    <w:rsid w:val="6A8F4107"/>
    <w:rsid w:val="6ABC25A2"/>
    <w:rsid w:val="6AE91FDE"/>
    <w:rsid w:val="6B753615"/>
    <w:rsid w:val="6BF3665C"/>
    <w:rsid w:val="6C3D7938"/>
    <w:rsid w:val="6C613575"/>
    <w:rsid w:val="6C6E7CA5"/>
    <w:rsid w:val="6CCE2744"/>
    <w:rsid w:val="6CDD1835"/>
    <w:rsid w:val="6D5212BE"/>
    <w:rsid w:val="6D6C1DEB"/>
    <w:rsid w:val="6DEA77F1"/>
    <w:rsid w:val="6DFA4688"/>
    <w:rsid w:val="6E0E2640"/>
    <w:rsid w:val="6E1D00B5"/>
    <w:rsid w:val="6E4A597E"/>
    <w:rsid w:val="6E4D3F1C"/>
    <w:rsid w:val="6E715517"/>
    <w:rsid w:val="6E74495E"/>
    <w:rsid w:val="6EC35BD0"/>
    <w:rsid w:val="6EDC41D0"/>
    <w:rsid w:val="6F1F37D2"/>
    <w:rsid w:val="6F381DA3"/>
    <w:rsid w:val="6F666B65"/>
    <w:rsid w:val="6F7F150D"/>
    <w:rsid w:val="6FB812E5"/>
    <w:rsid w:val="6FD44A65"/>
    <w:rsid w:val="6FF03FE9"/>
    <w:rsid w:val="702C0AC8"/>
    <w:rsid w:val="70522086"/>
    <w:rsid w:val="70720558"/>
    <w:rsid w:val="707C1C5C"/>
    <w:rsid w:val="70C05063"/>
    <w:rsid w:val="70C4199E"/>
    <w:rsid w:val="70E07441"/>
    <w:rsid w:val="70E6550D"/>
    <w:rsid w:val="70E70B5D"/>
    <w:rsid w:val="70E9162C"/>
    <w:rsid w:val="71642EFC"/>
    <w:rsid w:val="7167308B"/>
    <w:rsid w:val="718E3F53"/>
    <w:rsid w:val="71B26EE6"/>
    <w:rsid w:val="71DA6F28"/>
    <w:rsid w:val="727110E5"/>
    <w:rsid w:val="729A1911"/>
    <w:rsid w:val="72F037F7"/>
    <w:rsid w:val="733F1941"/>
    <w:rsid w:val="73461A2D"/>
    <w:rsid w:val="739236CA"/>
    <w:rsid w:val="73C174E5"/>
    <w:rsid w:val="73F20799"/>
    <w:rsid w:val="742C30C1"/>
    <w:rsid w:val="74702200"/>
    <w:rsid w:val="74755F57"/>
    <w:rsid w:val="74880266"/>
    <w:rsid w:val="748B79FD"/>
    <w:rsid w:val="74B86E12"/>
    <w:rsid w:val="74D050D2"/>
    <w:rsid w:val="75165085"/>
    <w:rsid w:val="754E3D2C"/>
    <w:rsid w:val="75A5214F"/>
    <w:rsid w:val="75EF297C"/>
    <w:rsid w:val="75F92000"/>
    <w:rsid w:val="76940302"/>
    <w:rsid w:val="76BF11CD"/>
    <w:rsid w:val="76D1332B"/>
    <w:rsid w:val="76DB6C24"/>
    <w:rsid w:val="773F7B5E"/>
    <w:rsid w:val="775C532C"/>
    <w:rsid w:val="77772E42"/>
    <w:rsid w:val="77A43A1F"/>
    <w:rsid w:val="78F45DA0"/>
    <w:rsid w:val="79147A1D"/>
    <w:rsid w:val="7916657E"/>
    <w:rsid w:val="7922089F"/>
    <w:rsid w:val="792D2533"/>
    <w:rsid w:val="79B2694C"/>
    <w:rsid w:val="79BA2AD1"/>
    <w:rsid w:val="7A08579B"/>
    <w:rsid w:val="7A236D15"/>
    <w:rsid w:val="7AA54D68"/>
    <w:rsid w:val="7B0D52CF"/>
    <w:rsid w:val="7B3562CE"/>
    <w:rsid w:val="7B3F4722"/>
    <w:rsid w:val="7B9050A3"/>
    <w:rsid w:val="7B9769C3"/>
    <w:rsid w:val="7C523F84"/>
    <w:rsid w:val="7CAD2FF5"/>
    <w:rsid w:val="7CCB587C"/>
    <w:rsid w:val="7D093677"/>
    <w:rsid w:val="7D2A03BA"/>
    <w:rsid w:val="7D4062E6"/>
    <w:rsid w:val="7D5652C4"/>
    <w:rsid w:val="7D6361C6"/>
    <w:rsid w:val="7D673246"/>
    <w:rsid w:val="7E090552"/>
    <w:rsid w:val="7E1067B0"/>
    <w:rsid w:val="7E4222AF"/>
    <w:rsid w:val="7E641D58"/>
    <w:rsid w:val="7EA834CD"/>
    <w:rsid w:val="7EAE2E11"/>
    <w:rsid w:val="7EB64CA0"/>
    <w:rsid w:val="7F4173A0"/>
    <w:rsid w:val="7F643A33"/>
    <w:rsid w:val="7F78201F"/>
    <w:rsid w:val="7FBD0477"/>
    <w:rsid w:val="7FC332B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strokecolor="#739cc3">
      <v:fill angle="90" type="gradient">
        <o:fill v:ext="view" type="gradientUnscaled"/>
      </v:fill>
      <v:stroke color="#739cc3" weight="1.25pt"/>
    </o:shapedefaults>
    <o:shapelayout v:ext="edit">
      <o:idmap v:ext="edit" data="1"/>
    </o:shapelayout>
  </w:shapeDefaults>
  <w:decimalSymbol w:val="."/>
  <w:listSeparator w:val=","/>
  <w14:docId w14:val="19285E52"/>
  <w15:docId w15:val="{78447FF2-4E3B-4D54-B430-0A01BE824B0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locked="1" w:qFormat="1"/>
    <w:lsdException w:name="heading 3" w:qFormat="1"/>
    <w:lsdException w:name="heading 4" w:locked="1" w:qFormat="1"/>
    <w:lsdException w:name="heading 5" w:locked="1" w:qFormat="1"/>
    <w:lsdException w:name="heading 6" w:locked="1" w:qFormat="1"/>
    <w:lsdException w:name="heading 7" w:locked="1" w:qFormat="1"/>
    <w:lsdException w:name="heading 8" w:locked="1" w:qFormat="1"/>
    <w:lsdException w:name="heading 9" w:lock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qFormat="1"/>
    <w:lsdException w:name="toc 2" w:uiPriority="39" w:qFormat="1"/>
    <w:lsdException w:name="toc 3" w:uiPriority="39" w:qFormat="1"/>
    <w:lsdException w:name="toc 4" w:locked="1" w:uiPriority="39" w:qFormat="1"/>
    <w:lsdException w:name="toc 5" w:locked="1" w:uiPriority="39" w:qFormat="1"/>
    <w:lsdException w:name="toc 6" w:locked="1" w:uiPriority="39" w:qFormat="1"/>
    <w:lsdException w:name="toc 7" w:locked="1" w:uiPriority="39" w:qFormat="1"/>
    <w:lsdException w:name="toc 8" w:locked="1" w:uiPriority="39" w:qFormat="1"/>
    <w:lsdException w:name="toc 9" w:locked="1" w:uiPriority="39" w:qFormat="1"/>
    <w:lsdException w:name="Normal Indent" w:semiHidden="1" w:unhideWhenUsed="1"/>
    <w:lsdException w:name="footnote text" w:semiHidden="1" w:unhideWhenUsed="1"/>
    <w:lsdException w:name="annotation text" w:semiHidden="1" w:qFormat="1"/>
    <w:lsdException w:name="header" w:qFormat="1"/>
    <w:lsdException w:name="footer" w:uiPriority="99" w:qFormat="1"/>
    <w:lsdException w:name="index heading" w:semiHidden="1" w:unhideWhenUsed="1"/>
    <w:lsdException w:name="caption" w:locked="1"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qFormat="1"/>
    <w:lsdException w:name="line number" w:semiHidden="1" w:unhideWhenUsed="1"/>
    <w:lsdException w:name="page number" w:qFormat="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qFormat="1"/>
    <w:lsdException w:name="Closing" w:semiHidden="1" w:unhideWhenUsed="1"/>
    <w:lsdException w:name="Signature" w:semiHidden="1" w:unhideWhenUsed="1"/>
    <w:lsdException w:name="Default Paragraph Font" w:semiHidden="1" w:uiPriority="1" w:unhideWhenUsed="1" w:qFormat="1"/>
    <w:lsdException w:name="Body Text" w:qFormat="1"/>
    <w:lsdException w:name="Body Text Indent" w:qFormat="1"/>
    <w:lsdException w:name="List Continue" w:semiHidden="1" w:unhideWhenUsed="1"/>
    <w:lsdException w:name="Message Header" w:semiHidden="1" w:unhideWhenUsed="1"/>
    <w:lsdException w:name="Subtitle" w:locked="1" w:qFormat="1"/>
    <w:lsdException w:name="Salutation" w:semiHidden="1" w:unhideWhenUsed="1"/>
    <w:lsdException w:name="Date" w:uiPriority="99"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iPriority="99" w:qFormat="1"/>
    <w:lsdException w:name="FollowedHyperlink" w:semiHidden="1" w:unhideWhenUsed="1"/>
    <w:lsdException w:name="Strong" w:locked="1" w:qFormat="1"/>
    <w:lsdException w:name="Emphasis" w:locked="1" w:uiPriority="20" w:qFormat="1"/>
    <w:lsdException w:name="Document Map" w:qFormat="1"/>
    <w:lsdException w:name="Plain Text" w:qFormat="1"/>
    <w:lsdException w:name="E-mail Signature" w:semiHidden="1" w:unhideWhenUsed="1"/>
    <w:lsdException w:name="HTML Top of Form" w:semiHidden="1" w:uiPriority="99" w:unhideWhenUsed="1"/>
    <w:lsdException w:name="HTML Bottom of Form" w:semiHidden="1" w:uiPriority="99"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iPriority="99" w:unhideWhenUsed="1" w:qFormat="1"/>
    <w:lsdException w:name="annotation subject"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iPriority="99" w:unhideWhenUsed="1"/>
    <w:lsdException w:name="Table Simple 2" w:semiHidden="1" w:uiPriority="99" w:unhideWhenUsed="1"/>
    <w:lsdException w:name="Table Simple 3" w:semiHidden="1" w:uiPriority="99" w:unhideWhenUsed="1"/>
    <w:lsdException w:name="Table Classic 1" w:semiHidden="1" w:uiPriority="99" w:unhideWhenUsed="1"/>
    <w:lsdException w:name="Table Classic 2" w:semiHidden="1" w:uiPriority="99" w:unhideWhenUsed="1"/>
    <w:lsdException w:name="Table Classic 3" w:semiHidden="1" w:uiPriority="99" w:unhideWhenUsed="1"/>
    <w:lsdException w:name="Table Classic 4" w:semiHidden="1" w:uiPriority="99" w:unhideWhenUsed="1"/>
    <w:lsdException w:name="Table Colorful 1" w:semiHidden="1" w:uiPriority="99" w:unhideWhenUsed="1"/>
    <w:lsdException w:name="Table Colorful 2" w:semiHidden="1" w:uiPriority="99" w:unhideWhenUsed="1"/>
    <w:lsdException w:name="Table Colorful 3" w:semiHidden="1" w:uiPriority="99" w:unhideWhenUsed="1"/>
    <w:lsdException w:name="Table Columns 1" w:semiHidden="1" w:uiPriority="99" w:unhideWhenUsed="1"/>
    <w:lsdException w:name="Table Columns 2" w:semiHidden="1" w:uiPriority="99" w:unhideWhenUsed="1"/>
    <w:lsdException w:name="Table Columns 3" w:semiHidden="1" w:uiPriority="99" w:unhideWhenUsed="1"/>
    <w:lsdException w:name="Table Columns 4" w:semiHidden="1" w:uiPriority="99" w:unhideWhenUsed="1"/>
    <w:lsdException w:name="Table Columns 5" w:semiHidden="1" w:uiPriority="99" w:unhideWhenUsed="1"/>
    <w:lsdException w:name="Table Grid 1" w:semiHidden="1" w:uiPriority="99" w:unhideWhenUsed="1"/>
    <w:lsdException w:name="Table Grid 2" w:semiHidden="1" w:uiPriority="99" w:unhideWhenUsed="1"/>
    <w:lsdException w:name="Table Grid 3" w:semiHidden="1" w:uiPriority="99" w:unhideWhenUsed="1"/>
    <w:lsdException w:name="Table Grid 4" w:semiHidden="1" w:uiPriority="99" w:unhideWhenUsed="1"/>
    <w:lsdException w:name="Table Grid 5" w:semiHidden="1" w:uiPriority="99" w:unhideWhenUsed="1"/>
    <w:lsdException w:name="Table Grid 6" w:semiHidden="1" w:uiPriority="99" w:unhideWhenUsed="1"/>
    <w:lsdException w:name="Table Grid 7" w:semiHidden="1" w:uiPriority="99" w:unhideWhenUsed="1"/>
    <w:lsdException w:name="Table Grid 8" w:semiHidden="1" w:uiPriority="99" w:unhideWhenUsed="1"/>
    <w:lsdException w:name="Table List 1" w:semiHidden="1" w:uiPriority="99" w:unhideWhenUsed="1"/>
    <w:lsdException w:name="Table List 2" w:semiHidden="1" w:uiPriority="99" w:unhideWhenUsed="1"/>
    <w:lsdException w:name="Table List 3" w:semiHidden="1" w:uiPriority="99" w:unhideWhenUsed="1"/>
    <w:lsdException w:name="Table List 4" w:semiHidden="1" w:uiPriority="99" w:unhideWhenUsed="1"/>
    <w:lsdException w:name="Table List 5" w:semiHidden="1" w:uiPriority="99" w:unhideWhenUsed="1"/>
    <w:lsdException w:name="Table List 6" w:semiHidden="1" w:uiPriority="99" w:unhideWhenUsed="1"/>
    <w:lsdException w:name="Table List 7" w:semiHidden="1" w:uiPriority="99" w:unhideWhenUsed="1"/>
    <w:lsdException w:name="Table List 8" w:semiHidden="1" w:uiPriority="99" w:unhideWhenUsed="1"/>
    <w:lsdException w:name="Table 3D effects 1" w:semiHidden="1" w:uiPriority="99" w:unhideWhenUsed="1"/>
    <w:lsdException w:name="Table 3D effects 2" w:semiHidden="1" w:uiPriority="99" w:unhideWhenUsed="1"/>
    <w:lsdException w:name="Table 3D effects 3" w:semiHidden="1" w:uiPriority="99" w:unhideWhenUsed="1"/>
    <w:lsdException w:name="Table Contemporary" w:semiHidden="1" w:uiPriority="99" w:unhideWhenUsed="1"/>
    <w:lsdException w:name="Table Elegant" w:semiHidden="1" w:uiPriority="99" w:unhideWhenUsed="1"/>
    <w:lsdException w:name="Table Professional" w:semiHidden="1" w:uiPriority="99" w:unhideWhenUsed="1"/>
    <w:lsdException w:name="Table Subtle 1" w:semiHidden="1" w:uiPriority="99" w:unhideWhenUsed="1"/>
    <w:lsdException w:name="Table Subtle 2" w:semiHidden="1" w:uiPriority="99" w:unhideWhenUsed="1"/>
    <w:lsdException w:name="Table Web 1" w:semiHidden="1" w:uiPriority="99" w:unhideWhenUsed="1"/>
    <w:lsdException w:name="Table Web 2" w:semiHidden="1" w:uiPriority="99" w:unhideWhenUsed="1"/>
    <w:lsdException w:name="Table Web 3" w:semiHidden="1" w:uiPriority="99" w:unhideWhenUsed="1"/>
    <w:lsdException w:name="Balloon Text" w:uiPriority="99" w:qFormat="1"/>
    <w:lsdException w:name="Table Grid" w:semiHidden="1" w:unhideWhenUsed="1" w:qFormat="1"/>
    <w:lsdException w:name="Table Theme" w:semiHidden="1" w:uiPriority="99"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8">
    <w:name w:val="Normal"/>
    <w:next w:val="a9"/>
    <w:qFormat/>
    <w:pPr>
      <w:widowControl w:val="0"/>
      <w:jc w:val="both"/>
    </w:pPr>
    <w:rPr>
      <w:kern w:val="2"/>
      <w:sz w:val="21"/>
      <w:szCs w:val="21"/>
    </w:rPr>
  </w:style>
  <w:style w:type="paragraph" w:styleId="1">
    <w:name w:val="heading 1"/>
    <w:basedOn w:val="a8"/>
    <w:next w:val="a8"/>
    <w:link w:val="10"/>
    <w:qFormat/>
    <w:pPr>
      <w:keepNext/>
      <w:keepLines/>
      <w:spacing w:before="340" w:after="330" w:line="578" w:lineRule="auto"/>
      <w:outlineLvl w:val="0"/>
    </w:pPr>
    <w:rPr>
      <w:b/>
      <w:bCs/>
      <w:kern w:val="44"/>
      <w:sz w:val="44"/>
      <w:szCs w:val="44"/>
    </w:rPr>
  </w:style>
  <w:style w:type="paragraph" w:styleId="2">
    <w:name w:val="heading 2"/>
    <w:basedOn w:val="a8"/>
    <w:next w:val="a8"/>
    <w:link w:val="20"/>
    <w:qFormat/>
    <w:locked/>
    <w:pPr>
      <w:keepNext/>
      <w:keepLines/>
      <w:spacing w:before="260" w:after="260" w:line="416" w:lineRule="auto"/>
      <w:outlineLvl w:val="1"/>
    </w:pPr>
    <w:rPr>
      <w:rFonts w:ascii="Arial" w:eastAsia="黑体" w:hAnsi="Arial"/>
      <w:b/>
      <w:bCs/>
      <w:sz w:val="32"/>
      <w:szCs w:val="32"/>
    </w:rPr>
  </w:style>
  <w:style w:type="paragraph" w:styleId="3">
    <w:name w:val="heading 3"/>
    <w:basedOn w:val="a8"/>
    <w:next w:val="a8"/>
    <w:link w:val="30"/>
    <w:qFormat/>
    <w:pPr>
      <w:keepNext/>
      <w:keepLines/>
      <w:spacing w:before="260" w:after="260" w:line="416" w:lineRule="auto"/>
      <w:outlineLvl w:val="2"/>
    </w:pPr>
    <w:rPr>
      <w:b/>
      <w:bCs/>
      <w:sz w:val="32"/>
      <w:szCs w:val="32"/>
    </w:rPr>
  </w:style>
  <w:style w:type="paragraph" w:styleId="4">
    <w:name w:val="heading 4"/>
    <w:basedOn w:val="a8"/>
    <w:next w:val="a8"/>
    <w:link w:val="40"/>
    <w:qFormat/>
    <w:locked/>
    <w:pPr>
      <w:keepNext/>
      <w:keepLines/>
      <w:tabs>
        <w:tab w:val="left" w:pos="864"/>
      </w:tabs>
      <w:adjustRightInd w:val="0"/>
      <w:spacing w:before="280" w:after="290" w:line="376" w:lineRule="auto"/>
      <w:ind w:left="864" w:hanging="864"/>
      <w:jc w:val="left"/>
      <w:textAlignment w:val="baseline"/>
      <w:outlineLvl w:val="3"/>
    </w:pPr>
    <w:rPr>
      <w:rFonts w:ascii="Arial" w:eastAsia="黑体" w:hAnsi="Arial"/>
      <w:b/>
      <w:bCs/>
      <w:sz w:val="28"/>
      <w:szCs w:val="28"/>
    </w:rPr>
  </w:style>
  <w:style w:type="paragraph" w:styleId="5">
    <w:name w:val="heading 5"/>
    <w:basedOn w:val="a8"/>
    <w:next w:val="a8"/>
    <w:link w:val="50"/>
    <w:qFormat/>
    <w:locked/>
    <w:pPr>
      <w:keepNext/>
      <w:keepLines/>
      <w:tabs>
        <w:tab w:val="left" w:pos="1008"/>
      </w:tabs>
      <w:adjustRightInd w:val="0"/>
      <w:spacing w:before="280" w:after="290" w:line="376" w:lineRule="auto"/>
      <w:ind w:left="1008" w:hanging="1008"/>
      <w:jc w:val="left"/>
      <w:textAlignment w:val="baseline"/>
      <w:outlineLvl w:val="4"/>
    </w:pPr>
    <w:rPr>
      <w:b/>
      <w:bCs/>
      <w:sz w:val="28"/>
      <w:szCs w:val="28"/>
    </w:rPr>
  </w:style>
  <w:style w:type="paragraph" w:styleId="6">
    <w:name w:val="heading 6"/>
    <w:basedOn w:val="a8"/>
    <w:next w:val="a8"/>
    <w:link w:val="60"/>
    <w:qFormat/>
    <w:locked/>
    <w:pPr>
      <w:keepNext/>
      <w:keepLines/>
      <w:tabs>
        <w:tab w:val="left" w:pos="1152"/>
      </w:tabs>
      <w:adjustRightInd w:val="0"/>
      <w:spacing w:before="240" w:after="64" w:line="320" w:lineRule="auto"/>
      <w:ind w:left="1152" w:hanging="1152"/>
      <w:jc w:val="left"/>
      <w:textAlignment w:val="baseline"/>
      <w:outlineLvl w:val="5"/>
    </w:pPr>
    <w:rPr>
      <w:rFonts w:ascii="Arial" w:eastAsia="黑体" w:hAnsi="Arial"/>
      <w:b/>
      <w:bCs/>
      <w:sz w:val="24"/>
      <w:szCs w:val="24"/>
    </w:rPr>
  </w:style>
  <w:style w:type="paragraph" w:styleId="7">
    <w:name w:val="heading 7"/>
    <w:basedOn w:val="a8"/>
    <w:next w:val="a8"/>
    <w:link w:val="70"/>
    <w:qFormat/>
    <w:locked/>
    <w:pPr>
      <w:keepNext/>
      <w:keepLines/>
      <w:tabs>
        <w:tab w:val="left" w:pos="1296"/>
      </w:tabs>
      <w:adjustRightInd w:val="0"/>
      <w:spacing w:before="240" w:after="64" w:line="320" w:lineRule="auto"/>
      <w:ind w:left="1296" w:hanging="1296"/>
      <w:jc w:val="left"/>
      <w:textAlignment w:val="baseline"/>
      <w:outlineLvl w:val="6"/>
    </w:pPr>
    <w:rPr>
      <w:b/>
      <w:bCs/>
      <w:sz w:val="24"/>
      <w:szCs w:val="24"/>
    </w:rPr>
  </w:style>
  <w:style w:type="paragraph" w:styleId="8">
    <w:name w:val="heading 8"/>
    <w:basedOn w:val="a8"/>
    <w:next w:val="a8"/>
    <w:link w:val="80"/>
    <w:qFormat/>
    <w:locked/>
    <w:pPr>
      <w:keepNext/>
      <w:keepLines/>
      <w:tabs>
        <w:tab w:val="left" w:pos="1440"/>
      </w:tabs>
      <w:adjustRightInd w:val="0"/>
      <w:spacing w:before="240" w:after="64" w:line="320" w:lineRule="auto"/>
      <w:ind w:left="1440" w:hanging="1440"/>
      <w:jc w:val="left"/>
      <w:textAlignment w:val="baseline"/>
      <w:outlineLvl w:val="7"/>
    </w:pPr>
    <w:rPr>
      <w:rFonts w:ascii="Arial" w:eastAsia="黑体" w:hAnsi="Arial"/>
      <w:sz w:val="24"/>
      <w:szCs w:val="24"/>
    </w:rPr>
  </w:style>
  <w:style w:type="paragraph" w:styleId="9">
    <w:name w:val="heading 9"/>
    <w:basedOn w:val="a8"/>
    <w:next w:val="a8"/>
    <w:link w:val="90"/>
    <w:qFormat/>
    <w:locked/>
    <w:pPr>
      <w:keepNext/>
      <w:keepLines/>
      <w:tabs>
        <w:tab w:val="left" w:pos="1584"/>
      </w:tabs>
      <w:adjustRightInd w:val="0"/>
      <w:spacing w:before="240" w:after="64" w:line="320" w:lineRule="auto"/>
      <w:ind w:left="1584" w:hanging="1584"/>
      <w:jc w:val="left"/>
      <w:textAlignment w:val="baseline"/>
      <w:outlineLvl w:val="8"/>
    </w:pPr>
    <w:rPr>
      <w:rFonts w:ascii="Arial" w:eastAsia="黑体" w:hAnsi="Arial"/>
    </w:rPr>
  </w:style>
  <w:style w:type="character" w:default="1" w:styleId="aa">
    <w:name w:val="Default Paragraph Font"/>
    <w:uiPriority w:val="1"/>
    <w:semiHidden/>
    <w:unhideWhenUsed/>
  </w:style>
  <w:style w:type="table" w:default="1" w:styleId="ab">
    <w:name w:val="Normal Table"/>
    <w:uiPriority w:val="99"/>
    <w:semiHidden/>
    <w:unhideWhenUsed/>
    <w:tblPr>
      <w:tblInd w:w="0" w:type="dxa"/>
      <w:tblCellMar>
        <w:top w:w="0" w:type="dxa"/>
        <w:left w:w="108" w:type="dxa"/>
        <w:bottom w:w="0" w:type="dxa"/>
        <w:right w:w="108" w:type="dxa"/>
      </w:tblCellMar>
    </w:tblPr>
  </w:style>
  <w:style w:type="numbering" w:default="1" w:styleId="ac">
    <w:name w:val="No List"/>
    <w:uiPriority w:val="99"/>
    <w:semiHidden/>
    <w:unhideWhenUsed/>
  </w:style>
  <w:style w:type="paragraph" w:styleId="a9">
    <w:name w:val="Body Text"/>
    <w:basedOn w:val="a8"/>
    <w:qFormat/>
    <w:pPr>
      <w:spacing w:after="120"/>
    </w:pPr>
  </w:style>
  <w:style w:type="paragraph" w:styleId="71">
    <w:name w:val="toc 7"/>
    <w:basedOn w:val="a8"/>
    <w:next w:val="a8"/>
    <w:uiPriority w:val="39"/>
    <w:qFormat/>
    <w:locked/>
    <w:pPr>
      <w:ind w:leftChars="1200" w:left="2520"/>
    </w:pPr>
    <w:rPr>
      <w:szCs w:val="20"/>
    </w:rPr>
  </w:style>
  <w:style w:type="paragraph" w:styleId="ad">
    <w:name w:val="Document Map"/>
    <w:basedOn w:val="a8"/>
    <w:link w:val="ae"/>
    <w:qFormat/>
    <w:rPr>
      <w:rFonts w:ascii="宋体"/>
      <w:sz w:val="18"/>
      <w:szCs w:val="18"/>
    </w:rPr>
  </w:style>
  <w:style w:type="paragraph" w:styleId="af">
    <w:name w:val="annotation text"/>
    <w:basedOn w:val="a8"/>
    <w:link w:val="af0"/>
    <w:semiHidden/>
    <w:qFormat/>
    <w:pPr>
      <w:jc w:val="left"/>
    </w:pPr>
    <w:rPr>
      <w:kern w:val="0"/>
    </w:rPr>
  </w:style>
  <w:style w:type="paragraph" w:styleId="af1">
    <w:name w:val="Body Text Indent"/>
    <w:basedOn w:val="a8"/>
    <w:link w:val="af2"/>
    <w:qFormat/>
    <w:pPr>
      <w:ind w:firstLine="425"/>
    </w:pPr>
    <w:rPr>
      <w:rFonts w:ascii="宋体"/>
      <w:sz w:val="28"/>
      <w:szCs w:val="20"/>
    </w:rPr>
  </w:style>
  <w:style w:type="paragraph" w:styleId="51">
    <w:name w:val="toc 5"/>
    <w:basedOn w:val="a8"/>
    <w:next w:val="a8"/>
    <w:uiPriority w:val="39"/>
    <w:qFormat/>
    <w:locked/>
    <w:pPr>
      <w:ind w:leftChars="800" w:left="1680"/>
    </w:pPr>
    <w:rPr>
      <w:szCs w:val="20"/>
    </w:rPr>
  </w:style>
  <w:style w:type="paragraph" w:styleId="31">
    <w:name w:val="toc 3"/>
    <w:basedOn w:val="a8"/>
    <w:next w:val="a8"/>
    <w:uiPriority w:val="39"/>
    <w:qFormat/>
    <w:pPr>
      <w:widowControl/>
      <w:spacing w:after="100" w:line="276" w:lineRule="auto"/>
      <w:ind w:left="440"/>
      <w:jc w:val="left"/>
    </w:pPr>
    <w:rPr>
      <w:rFonts w:ascii="Calibri" w:hAnsi="Calibri" w:cs="Calibri"/>
      <w:kern w:val="0"/>
      <w:sz w:val="22"/>
      <w:szCs w:val="22"/>
    </w:rPr>
  </w:style>
  <w:style w:type="paragraph" w:styleId="af3">
    <w:name w:val="Plain Text"/>
    <w:basedOn w:val="a8"/>
    <w:link w:val="af4"/>
    <w:qFormat/>
    <w:rPr>
      <w:rFonts w:ascii="宋体" w:hAnsi="Courier New"/>
    </w:rPr>
  </w:style>
  <w:style w:type="paragraph" w:styleId="81">
    <w:name w:val="toc 8"/>
    <w:basedOn w:val="a8"/>
    <w:next w:val="a8"/>
    <w:uiPriority w:val="39"/>
    <w:qFormat/>
    <w:locked/>
    <w:pPr>
      <w:ind w:leftChars="1400" w:left="2940"/>
    </w:pPr>
    <w:rPr>
      <w:szCs w:val="20"/>
    </w:rPr>
  </w:style>
  <w:style w:type="paragraph" w:styleId="af5">
    <w:name w:val="Date"/>
    <w:basedOn w:val="a8"/>
    <w:next w:val="a8"/>
    <w:link w:val="af6"/>
    <w:uiPriority w:val="99"/>
    <w:qFormat/>
    <w:pPr>
      <w:ind w:leftChars="2500" w:left="100"/>
    </w:pPr>
    <w:rPr>
      <w:kern w:val="0"/>
    </w:rPr>
  </w:style>
  <w:style w:type="paragraph" w:styleId="af7">
    <w:name w:val="Balloon Text"/>
    <w:basedOn w:val="a8"/>
    <w:link w:val="af8"/>
    <w:uiPriority w:val="99"/>
    <w:qFormat/>
    <w:rPr>
      <w:sz w:val="18"/>
      <w:szCs w:val="18"/>
    </w:rPr>
  </w:style>
  <w:style w:type="paragraph" w:styleId="af9">
    <w:name w:val="footer"/>
    <w:basedOn w:val="a8"/>
    <w:link w:val="afa"/>
    <w:uiPriority w:val="99"/>
    <w:qFormat/>
    <w:pPr>
      <w:tabs>
        <w:tab w:val="center" w:pos="4153"/>
        <w:tab w:val="right" w:pos="8306"/>
      </w:tabs>
      <w:snapToGrid w:val="0"/>
      <w:jc w:val="left"/>
    </w:pPr>
    <w:rPr>
      <w:kern w:val="0"/>
      <w:sz w:val="18"/>
      <w:szCs w:val="18"/>
    </w:rPr>
  </w:style>
  <w:style w:type="paragraph" w:styleId="afb">
    <w:name w:val="header"/>
    <w:basedOn w:val="a8"/>
    <w:link w:val="afc"/>
    <w:qFormat/>
    <w:pPr>
      <w:pBdr>
        <w:bottom w:val="single" w:sz="6" w:space="1" w:color="auto"/>
      </w:pBdr>
      <w:tabs>
        <w:tab w:val="center" w:pos="4153"/>
        <w:tab w:val="right" w:pos="8306"/>
      </w:tabs>
      <w:snapToGrid w:val="0"/>
      <w:jc w:val="center"/>
    </w:pPr>
    <w:rPr>
      <w:kern w:val="0"/>
      <w:sz w:val="18"/>
      <w:szCs w:val="18"/>
    </w:rPr>
  </w:style>
  <w:style w:type="paragraph" w:styleId="11">
    <w:name w:val="toc 1"/>
    <w:basedOn w:val="a8"/>
    <w:next w:val="a8"/>
    <w:uiPriority w:val="39"/>
    <w:qFormat/>
    <w:pPr>
      <w:widowControl/>
      <w:spacing w:after="100" w:line="276" w:lineRule="auto"/>
      <w:jc w:val="left"/>
    </w:pPr>
    <w:rPr>
      <w:rFonts w:ascii="Calibri" w:hAnsi="Calibri" w:cs="Calibri"/>
      <w:kern w:val="0"/>
      <w:sz w:val="22"/>
      <w:szCs w:val="22"/>
    </w:rPr>
  </w:style>
  <w:style w:type="paragraph" w:styleId="41">
    <w:name w:val="toc 4"/>
    <w:basedOn w:val="a8"/>
    <w:next w:val="a8"/>
    <w:uiPriority w:val="39"/>
    <w:qFormat/>
    <w:locked/>
    <w:pPr>
      <w:ind w:leftChars="600" w:left="1260"/>
    </w:pPr>
    <w:rPr>
      <w:szCs w:val="20"/>
    </w:rPr>
  </w:style>
  <w:style w:type="paragraph" w:styleId="61">
    <w:name w:val="toc 6"/>
    <w:basedOn w:val="a8"/>
    <w:next w:val="a8"/>
    <w:uiPriority w:val="39"/>
    <w:qFormat/>
    <w:locked/>
    <w:pPr>
      <w:ind w:leftChars="1000" w:left="2100"/>
    </w:pPr>
    <w:rPr>
      <w:szCs w:val="20"/>
    </w:rPr>
  </w:style>
  <w:style w:type="paragraph" w:styleId="21">
    <w:name w:val="toc 2"/>
    <w:basedOn w:val="a8"/>
    <w:next w:val="a8"/>
    <w:uiPriority w:val="39"/>
    <w:qFormat/>
    <w:pPr>
      <w:widowControl/>
      <w:spacing w:after="100" w:line="276" w:lineRule="auto"/>
      <w:ind w:left="220"/>
      <w:jc w:val="left"/>
    </w:pPr>
    <w:rPr>
      <w:rFonts w:ascii="Calibri" w:hAnsi="Calibri" w:cs="Calibri"/>
      <w:kern w:val="0"/>
      <w:sz w:val="22"/>
      <w:szCs w:val="22"/>
    </w:rPr>
  </w:style>
  <w:style w:type="paragraph" w:styleId="91">
    <w:name w:val="toc 9"/>
    <w:basedOn w:val="a8"/>
    <w:next w:val="a8"/>
    <w:uiPriority w:val="39"/>
    <w:qFormat/>
    <w:locked/>
    <w:pPr>
      <w:ind w:leftChars="1600" w:left="3360"/>
    </w:pPr>
    <w:rPr>
      <w:szCs w:val="20"/>
    </w:rPr>
  </w:style>
  <w:style w:type="paragraph" w:styleId="afd">
    <w:name w:val="annotation subject"/>
    <w:basedOn w:val="af"/>
    <w:next w:val="af"/>
    <w:link w:val="afe"/>
    <w:semiHidden/>
    <w:qFormat/>
    <w:rPr>
      <w:b/>
      <w:bCs/>
    </w:rPr>
  </w:style>
  <w:style w:type="table" w:styleId="aff">
    <w:name w:val="Table Grid"/>
    <w:basedOn w:val="ab"/>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f0">
    <w:name w:val="page number"/>
    <w:basedOn w:val="aa"/>
    <w:qFormat/>
  </w:style>
  <w:style w:type="character" w:styleId="aff1">
    <w:name w:val="Emphasis"/>
    <w:uiPriority w:val="20"/>
    <w:qFormat/>
    <w:locked/>
    <w:rPr>
      <w:i/>
      <w:iCs/>
    </w:rPr>
  </w:style>
  <w:style w:type="character" w:styleId="aff2">
    <w:name w:val="Hyperlink"/>
    <w:uiPriority w:val="99"/>
    <w:qFormat/>
    <w:rPr>
      <w:rFonts w:cs="Times New Roman"/>
      <w:color w:val="auto"/>
      <w:u w:val="single"/>
    </w:rPr>
  </w:style>
  <w:style w:type="character" w:styleId="aff3">
    <w:name w:val="annotation reference"/>
    <w:semiHidden/>
    <w:qFormat/>
    <w:rPr>
      <w:rFonts w:cs="Times New Roman"/>
      <w:sz w:val="21"/>
      <w:szCs w:val="21"/>
    </w:rPr>
  </w:style>
  <w:style w:type="character" w:customStyle="1" w:styleId="10">
    <w:name w:val="标题 1 字符"/>
    <w:link w:val="1"/>
    <w:qFormat/>
    <w:locked/>
    <w:rPr>
      <w:rFonts w:cs="Times New Roman"/>
      <w:b/>
      <w:bCs/>
      <w:kern w:val="44"/>
      <w:sz w:val="44"/>
      <w:szCs w:val="44"/>
    </w:rPr>
  </w:style>
  <w:style w:type="character" w:customStyle="1" w:styleId="20">
    <w:name w:val="标题 2 字符"/>
    <w:link w:val="2"/>
    <w:qFormat/>
    <w:rPr>
      <w:rFonts w:ascii="Arial" w:eastAsia="黑体" w:hAnsi="Arial"/>
      <w:b/>
      <w:bCs/>
      <w:kern w:val="2"/>
      <w:sz w:val="32"/>
      <w:szCs w:val="32"/>
    </w:rPr>
  </w:style>
  <w:style w:type="character" w:customStyle="1" w:styleId="30">
    <w:name w:val="标题 3 字符"/>
    <w:link w:val="3"/>
    <w:semiHidden/>
    <w:qFormat/>
    <w:locked/>
    <w:rPr>
      <w:rFonts w:cs="Times New Roman"/>
      <w:b/>
      <w:bCs/>
      <w:kern w:val="2"/>
      <w:sz w:val="32"/>
      <w:szCs w:val="32"/>
    </w:rPr>
  </w:style>
  <w:style w:type="character" w:customStyle="1" w:styleId="afe">
    <w:name w:val="批注主题 字符"/>
    <w:link w:val="afd"/>
    <w:semiHidden/>
    <w:qFormat/>
    <w:locked/>
    <w:rPr>
      <w:rFonts w:cs="Times New Roman"/>
      <w:b/>
      <w:bCs/>
      <w:sz w:val="21"/>
      <w:szCs w:val="21"/>
    </w:rPr>
  </w:style>
  <w:style w:type="character" w:customStyle="1" w:styleId="af0">
    <w:name w:val="批注文字 字符"/>
    <w:link w:val="af"/>
    <w:semiHidden/>
    <w:qFormat/>
    <w:locked/>
    <w:rPr>
      <w:rFonts w:cs="Times New Roman"/>
      <w:sz w:val="21"/>
      <w:szCs w:val="21"/>
    </w:rPr>
  </w:style>
  <w:style w:type="character" w:customStyle="1" w:styleId="af6">
    <w:name w:val="日期 字符"/>
    <w:link w:val="af5"/>
    <w:uiPriority w:val="99"/>
    <w:qFormat/>
    <w:locked/>
    <w:rPr>
      <w:rFonts w:cs="Times New Roman"/>
      <w:sz w:val="21"/>
      <w:szCs w:val="21"/>
    </w:rPr>
  </w:style>
  <w:style w:type="character" w:customStyle="1" w:styleId="ae">
    <w:name w:val="文档结构图 字符"/>
    <w:link w:val="ad"/>
    <w:qFormat/>
    <w:rPr>
      <w:rFonts w:ascii="宋体"/>
      <w:kern w:val="2"/>
      <w:sz w:val="18"/>
      <w:szCs w:val="18"/>
    </w:rPr>
  </w:style>
  <w:style w:type="character" w:customStyle="1" w:styleId="apple-converted-space">
    <w:name w:val="apple-converted-space"/>
    <w:basedOn w:val="aa"/>
    <w:qFormat/>
  </w:style>
  <w:style w:type="character" w:customStyle="1" w:styleId="af8">
    <w:name w:val="批注框文本 字符"/>
    <w:link w:val="af7"/>
    <w:uiPriority w:val="99"/>
    <w:qFormat/>
    <w:rPr>
      <w:kern w:val="2"/>
      <w:sz w:val="18"/>
      <w:szCs w:val="18"/>
    </w:rPr>
  </w:style>
  <w:style w:type="character" w:customStyle="1" w:styleId="afc">
    <w:name w:val="页眉 字符"/>
    <w:link w:val="afb"/>
    <w:qFormat/>
    <w:locked/>
    <w:rPr>
      <w:rFonts w:cs="Times New Roman"/>
      <w:sz w:val="18"/>
      <w:szCs w:val="18"/>
    </w:rPr>
  </w:style>
  <w:style w:type="character" w:customStyle="1" w:styleId="af4">
    <w:name w:val="纯文本 字符"/>
    <w:link w:val="af3"/>
    <w:qFormat/>
    <w:locked/>
    <w:rPr>
      <w:rFonts w:ascii="宋体" w:hAnsi="Courier New" w:cs="宋体"/>
      <w:kern w:val="2"/>
      <w:sz w:val="21"/>
      <w:szCs w:val="21"/>
    </w:rPr>
  </w:style>
  <w:style w:type="character" w:customStyle="1" w:styleId="afa">
    <w:name w:val="页脚 字符"/>
    <w:link w:val="af9"/>
    <w:uiPriority w:val="99"/>
    <w:qFormat/>
    <w:locked/>
    <w:rPr>
      <w:rFonts w:cs="Times New Roman"/>
      <w:sz w:val="18"/>
      <w:szCs w:val="18"/>
    </w:rPr>
  </w:style>
  <w:style w:type="character" w:customStyle="1" w:styleId="Char">
    <w:name w:val="博士论文正文 Char"/>
    <w:link w:val="a6"/>
    <w:qFormat/>
    <w:rPr>
      <w:rFonts w:ascii="宋体" w:hAnsi="宋体"/>
      <w:sz w:val="24"/>
      <w:szCs w:val="24"/>
    </w:rPr>
  </w:style>
  <w:style w:type="paragraph" w:customStyle="1" w:styleId="a6">
    <w:name w:val="博士论文正文"/>
    <w:basedOn w:val="a8"/>
    <w:link w:val="Char"/>
    <w:qFormat/>
    <w:pPr>
      <w:numPr>
        <w:numId w:val="1"/>
      </w:numPr>
      <w:spacing w:line="300" w:lineRule="auto"/>
    </w:pPr>
    <w:rPr>
      <w:rFonts w:ascii="宋体" w:hAnsi="宋体"/>
      <w:kern w:val="0"/>
      <w:sz w:val="24"/>
      <w:szCs w:val="24"/>
    </w:rPr>
  </w:style>
  <w:style w:type="paragraph" w:customStyle="1" w:styleId="aff4">
    <w:name w:val="章"/>
    <w:basedOn w:val="a8"/>
    <w:link w:val="Char0"/>
    <w:qFormat/>
    <w:pPr>
      <w:spacing w:beforeLines="100" w:afterLines="100" w:line="300" w:lineRule="auto"/>
      <w:jc w:val="center"/>
      <w:outlineLvl w:val="0"/>
    </w:pPr>
    <w:rPr>
      <w:b/>
      <w:bCs/>
      <w:sz w:val="28"/>
      <w:szCs w:val="28"/>
    </w:rPr>
  </w:style>
  <w:style w:type="paragraph" w:customStyle="1" w:styleId="a7">
    <w:name w:val="正文表标题"/>
    <w:next w:val="a8"/>
    <w:qFormat/>
    <w:pPr>
      <w:numPr>
        <w:numId w:val="2"/>
      </w:numPr>
      <w:spacing w:beforeLines="50" w:afterLines="50"/>
      <w:jc w:val="center"/>
    </w:pPr>
    <w:rPr>
      <w:rFonts w:ascii="黑体" w:eastAsia="黑体"/>
      <w:sz w:val="21"/>
    </w:rPr>
  </w:style>
  <w:style w:type="paragraph" w:customStyle="1" w:styleId="wz">
    <w:name w:val="wz"/>
    <w:basedOn w:val="a8"/>
    <w:qFormat/>
    <w:pPr>
      <w:widowControl/>
      <w:ind w:firstLine="480"/>
      <w:jc w:val="left"/>
    </w:pPr>
    <w:rPr>
      <w:rFonts w:ascii="宋体" w:hAnsi="宋体" w:cs="宋体"/>
      <w:kern w:val="0"/>
      <w:sz w:val="24"/>
      <w:szCs w:val="24"/>
    </w:rPr>
  </w:style>
  <w:style w:type="paragraph" w:customStyle="1" w:styleId="aff5">
    <w:name w:val="段"/>
    <w:link w:val="Char1"/>
    <w:qFormat/>
    <w:pPr>
      <w:tabs>
        <w:tab w:val="center" w:pos="4201"/>
        <w:tab w:val="right" w:leader="dot" w:pos="9298"/>
      </w:tabs>
      <w:autoSpaceDE w:val="0"/>
      <w:autoSpaceDN w:val="0"/>
      <w:ind w:firstLineChars="200" w:firstLine="420"/>
      <w:jc w:val="both"/>
    </w:pPr>
    <w:rPr>
      <w:rFonts w:ascii="宋体"/>
      <w:kern w:val="2"/>
      <w:sz w:val="21"/>
      <w:szCs w:val="22"/>
    </w:rPr>
  </w:style>
  <w:style w:type="character" w:customStyle="1" w:styleId="Char1">
    <w:name w:val="段 Char"/>
    <w:link w:val="aff5"/>
    <w:qFormat/>
    <w:rPr>
      <w:rFonts w:ascii="宋体"/>
      <w:kern w:val="2"/>
      <w:sz w:val="21"/>
      <w:szCs w:val="22"/>
      <w:lang w:bidi="ar-SA"/>
    </w:rPr>
  </w:style>
  <w:style w:type="paragraph" w:customStyle="1" w:styleId="aff6">
    <w:name w:val="表格样式"/>
    <w:basedOn w:val="a8"/>
    <w:qFormat/>
    <w:pPr>
      <w:jc w:val="center"/>
    </w:pPr>
    <w:rPr>
      <w:szCs w:val="24"/>
    </w:rPr>
  </w:style>
  <w:style w:type="paragraph" w:customStyle="1" w:styleId="TOC1">
    <w:name w:val="TOC 标题1"/>
    <w:basedOn w:val="1"/>
    <w:next w:val="a8"/>
    <w:uiPriority w:val="39"/>
    <w:qFormat/>
    <w:pPr>
      <w:widowControl/>
      <w:spacing w:before="480" w:after="0" w:line="276" w:lineRule="auto"/>
      <w:jc w:val="left"/>
      <w:outlineLvl w:val="9"/>
    </w:pPr>
    <w:rPr>
      <w:rFonts w:ascii="Cambria" w:hAnsi="Cambria"/>
      <w:color w:val="365F91"/>
      <w:kern w:val="0"/>
      <w:sz w:val="28"/>
      <w:szCs w:val="28"/>
    </w:rPr>
  </w:style>
  <w:style w:type="paragraph" w:customStyle="1" w:styleId="Default">
    <w:name w:val="Default"/>
    <w:qFormat/>
    <w:pPr>
      <w:widowControl w:val="0"/>
      <w:autoSpaceDE w:val="0"/>
      <w:autoSpaceDN w:val="0"/>
      <w:adjustRightInd w:val="0"/>
    </w:pPr>
    <w:rPr>
      <w:rFonts w:ascii="宋体" w:cs="宋体"/>
      <w:color w:val="000000"/>
      <w:sz w:val="24"/>
      <w:szCs w:val="24"/>
    </w:rPr>
  </w:style>
  <w:style w:type="paragraph" w:customStyle="1" w:styleId="reader-word-layer">
    <w:name w:val="reader-word-layer"/>
    <w:basedOn w:val="a8"/>
    <w:qFormat/>
    <w:pPr>
      <w:widowControl/>
      <w:spacing w:before="100" w:beforeAutospacing="1" w:after="100" w:afterAutospacing="1"/>
      <w:jc w:val="left"/>
    </w:pPr>
    <w:rPr>
      <w:rFonts w:ascii="宋体" w:hAnsi="宋体" w:cs="宋体"/>
      <w:kern w:val="0"/>
      <w:sz w:val="24"/>
      <w:szCs w:val="24"/>
    </w:rPr>
  </w:style>
  <w:style w:type="paragraph" w:customStyle="1" w:styleId="TOC11">
    <w:name w:val="TOC 标题11"/>
    <w:basedOn w:val="1"/>
    <w:next w:val="a8"/>
    <w:qFormat/>
    <w:pPr>
      <w:widowControl/>
      <w:spacing w:before="480" w:after="0" w:line="276" w:lineRule="auto"/>
      <w:jc w:val="left"/>
      <w:outlineLvl w:val="9"/>
    </w:pPr>
    <w:rPr>
      <w:rFonts w:ascii="Calibri Light" w:hAnsi="Calibri Light" w:cs="Calibri Light"/>
      <w:color w:val="2E74B5"/>
      <w:kern w:val="0"/>
      <w:sz w:val="28"/>
      <w:szCs w:val="28"/>
    </w:rPr>
  </w:style>
  <w:style w:type="paragraph" w:customStyle="1" w:styleId="12">
    <w:name w:val="列出段落1"/>
    <w:basedOn w:val="a8"/>
    <w:qFormat/>
    <w:pPr>
      <w:ind w:firstLineChars="200" w:firstLine="420"/>
    </w:pPr>
  </w:style>
  <w:style w:type="paragraph" w:styleId="aff7">
    <w:name w:val="List Paragraph"/>
    <w:basedOn w:val="a8"/>
    <w:uiPriority w:val="34"/>
    <w:qFormat/>
    <w:pPr>
      <w:widowControl/>
      <w:ind w:firstLineChars="200" w:firstLine="420"/>
      <w:jc w:val="left"/>
    </w:pPr>
    <w:rPr>
      <w:rFonts w:ascii="宋体" w:hAnsi="宋体" w:cs="宋体"/>
      <w:kern w:val="0"/>
      <w:sz w:val="24"/>
      <w:szCs w:val="24"/>
    </w:rPr>
  </w:style>
  <w:style w:type="paragraph" w:customStyle="1" w:styleId="aff8">
    <w:name w:val="图表表头"/>
    <w:basedOn w:val="a8"/>
    <w:qFormat/>
    <w:pPr>
      <w:jc w:val="center"/>
    </w:pPr>
    <w:rPr>
      <w:szCs w:val="24"/>
    </w:rPr>
  </w:style>
  <w:style w:type="paragraph" w:customStyle="1" w:styleId="13">
    <w:name w:val="修订1"/>
    <w:hidden/>
    <w:uiPriority w:val="99"/>
    <w:unhideWhenUsed/>
    <w:qFormat/>
    <w:rPr>
      <w:kern w:val="2"/>
      <w:sz w:val="21"/>
      <w:szCs w:val="21"/>
    </w:rPr>
  </w:style>
  <w:style w:type="paragraph" w:customStyle="1" w:styleId="aff9">
    <w:name w:val="条文"/>
    <w:basedOn w:val="a8"/>
    <w:qFormat/>
    <w:pPr>
      <w:spacing w:line="300" w:lineRule="auto"/>
      <w:outlineLvl w:val="2"/>
    </w:pPr>
    <w:rPr>
      <w:sz w:val="24"/>
      <w:szCs w:val="24"/>
    </w:rPr>
  </w:style>
  <w:style w:type="paragraph" w:customStyle="1" w:styleId="affa">
    <w:name w:val="标准用正文"/>
    <w:basedOn w:val="a8"/>
    <w:qFormat/>
    <w:pPr>
      <w:wordWrap w:val="0"/>
      <w:topLinePunct/>
      <w:autoSpaceDE w:val="0"/>
      <w:autoSpaceDN w:val="0"/>
      <w:snapToGrid w:val="0"/>
      <w:spacing w:line="360" w:lineRule="exact"/>
    </w:pPr>
    <w:rPr>
      <w:snapToGrid w:val="0"/>
    </w:rPr>
  </w:style>
  <w:style w:type="character" w:customStyle="1" w:styleId="Char0">
    <w:name w:val="章 Char"/>
    <w:link w:val="aff4"/>
    <w:qFormat/>
    <w:rPr>
      <w:b/>
      <w:bCs/>
      <w:kern w:val="2"/>
      <w:sz w:val="28"/>
      <w:szCs w:val="28"/>
    </w:rPr>
  </w:style>
  <w:style w:type="paragraph" w:customStyle="1" w:styleId="a0">
    <w:name w:val="一级条标题"/>
    <w:next w:val="a8"/>
    <w:qFormat/>
    <w:pPr>
      <w:numPr>
        <w:ilvl w:val="1"/>
        <w:numId w:val="3"/>
      </w:numPr>
      <w:spacing w:beforeLines="50" w:afterLines="50"/>
      <w:outlineLvl w:val="2"/>
    </w:pPr>
    <w:rPr>
      <w:rFonts w:ascii="黑体" w:eastAsia="黑体"/>
      <w:sz w:val="21"/>
      <w:szCs w:val="21"/>
    </w:rPr>
  </w:style>
  <w:style w:type="paragraph" w:customStyle="1" w:styleId="a3">
    <w:name w:val="四级条标题"/>
    <w:basedOn w:val="a2"/>
    <w:next w:val="a8"/>
    <w:qFormat/>
    <w:pPr>
      <w:numPr>
        <w:ilvl w:val="4"/>
      </w:numPr>
      <w:outlineLvl w:val="5"/>
    </w:pPr>
  </w:style>
  <w:style w:type="paragraph" w:customStyle="1" w:styleId="a2">
    <w:name w:val="三级条标题"/>
    <w:basedOn w:val="a1"/>
    <w:next w:val="a8"/>
    <w:qFormat/>
    <w:pPr>
      <w:numPr>
        <w:ilvl w:val="3"/>
      </w:numPr>
      <w:outlineLvl w:val="4"/>
    </w:pPr>
  </w:style>
  <w:style w:type="paragraph" w:customStyle="1" w:styleId="a1">
    <w:name w:val="二级条标题"/>
    <w:basedOn w:val="a0"/>
    <w:next w:val="a8"/>
    <w:qFormat/>
    <w:pPr>
      <w:numPr>
        <w:ilvl w:val="2"/>
      </w:numPr>
      <w:spacing w:before="50" w:after="50"/>
      <w:outlineLvl w:val="3"/>
    </w:pPr>
  </w:style>
  <w:style w:type="paragraph" w:customStyle="1" w:styleId="a">
    <w:name w:val="章标题"/>
    <w:next w:val="a8"/>
    <w:qFormat/>
    <w:pPr>
      <w:numPr>
        <w:numId w:val="3"/>
      </w:numPr>
      <w:spacing w:beforeLines="100" w:afterLines="100"/>
      <w:jc w:val="both"/>
      <w:outlineLvl w:val="1"/>
    </w:pPr>
    <w:rPr>
      <w:rFonts w:ascii="黑体" w:eastAsia="黑体"/>
      <w:sz w:val="21"/>
    </w:rPr>
  </w:style>
  <w:style w:type="paragraph" w:customStyle="1" w:styleId="a4">
    <w:name w:val="五级条标题"/>
    <w:basedOn w:val="a3"/>
    <w:next w:val="a8"/>
    <w:qFormat/>
    <w:pPr>
      <w:numPr>
        <w:ilvl w:val="5"/>
      </w:numPr>
      <w:outlineLvl w:val="6"/>
    </w:pPr>
  </w:style>
  <w:style w:type="paragraph" w:customStyle="1" w:styleId="Char2">
    <w:name w:val="Char"/>
    <w:basedOn w:val="a8"/>
    <w:qFormat/>
    <w:pPr>
      <w:widowControl/>
      <w:spacing w:after="160" w:line="240" w:lineRule="exact"/>
      <w:jc w:val="left"/>
    </w:pPr>
    <w:rPr>
      <w:rFonts w:ascii="Arial" w:eastAsia="Times New Roman" w:hAnsi="Arial" w:cs="Verdana"/>
      <w:b/>
      <w:kern w:val="0"/>
      <w:sz w:val="24"/>
      <w:szCs w:val="24"/>
      <w:lang w:eastAsia="en-US"/>
    </w:rPr>
  </w:style>
  <w:style w:type="paragraph" w:customStyle="1" w:styleId="affb">
    <w:name w:val="正文图标题"/>
    <w:next w:val="a8"/>
    <w:qFormat/>
    <w:pPr>
      <w:tabs>
        <w:tab w:val="left" w:pos="360"/>
      </w:tabs>
      <w:spacing w:beforeLines="50" w:afterLines="50"/>
      <w:jc w:val="center"/>
    </w:pPr>
    <w:rPr>
      <w:rFonts w:ascii="黑体" w:eastAsia="黑体"/>
      <w:sz w:val="21"/>
    </w:rPr>
  </w:style>
  <w:style w:type="paragraph" w:customStyle="1" w:styleId="affc">
    <w:name w:val="条"/>
    <w:basedOn w:val="a8"/>
    <w:qFormat/>
    <w:pPr>
      <w:spacing w:line="400" w:lineRule="atLeast"/>
    </w:pPr>
    <w:rPr>
      <w:rFonts w:cs="Arial"/>
      <w:sz w:val="24"/>
      <w:szCs w:val="22"/>
    </w:rPr>
  </w:style>
  <w:style w:type="character" w:customStyle="1" w:styleId="40">
    <w:name w:val="标题 4 字符"/>
    <w:link w:val="4"/>
    <w:qFormat/>
    <w:rPr>
      <w:rFonts w:ascii="Arial" w:eastAsia="黑体" w:hAnsi="Arial"/>
      <w:b/>
      <w:bCs/>
      <w:kern w:val="2"/>
      <w:sz w:val="28"/>
      <w:szCs w:val="28"/>
    </w:rPr>
  </w:style>
  <w:style w:type="character" w:customStyle="1" w:styleId="50">
    <w:name w:val="标题 5 字符"/>
    <w:link w:val="5"/>
    <w:qFormat/>
    <w:rPr>
      <w:b/>
      <w:bCs/>
      <w:kern w:val="2"/>
      <w:sz w:val="28"/>
      <w:szCs w:val="28"/>
    </w:rPr>
  </w:style>
  <w:style w:type="character" w:customStyle="1" w:styleId="60">
    <w:name w:val="标题 6 字符"/>
    <w:link w:val="6"/>
    <w:qFormat/>
    <w:rPr>
      <w:rFonts w:ascii="Arial" w:eastAsia="黑体" w:hAnsi="Arial"/>
      <w:b/>
      <w:bCs/>
      <w:kern w:val="2"/>
      <w:sz w:val="24"/>
      <w:szCs w:val="24"/>
    </w:rPr>
  </w:style>
  <w:style w:type="character" w:customStyle="1" w:styleId="70">
    <w:name w:val="标题 7 字符"/>
    <w:link w:val="7"/>
    <w:qFormat/>
    <w:rPr>
      <w:b/>
      <w:bCs/>
      <w:kern w:val="2"/>
      <w:sz w:val="24"/>
      <w:szCs w:val="24"/>
    </w:rPr>
  </w:style>
  <w:style w:type="character" w:customStyle="1" w:styleId="80">
    <w:name w:val="标题 8 字符"/>
    <w:link w:val="8"/>
    <w:qFormat/>
    <w:rPr>
      <w:rFonts w:ascii="Arial" w:eastAsia="黑体" w:hAnsi="Arial"/>
      <w:kern w:val="2"/>
      <w:sz w:val="24"/>
      <w:szCs w:val="24"/>
    </w:rPr>
  </w:style>
  <w:style w:type="character" w:customStyle="1" w:styleId="90">
    <w:name w:val="标题 9 字符"/>
    <w:link w:val="9"/>
    <w:qFormat/>
    <w:rPr>
      <w:rFonts w:ascii="Arial" w:eastAsia="黑体" w:hAnsi="Arial"/>
      <w:kern w:val="2"/>
      <w:sz w:val="21"/>
      <w:szCs w:val="21"/>
    </w:rPr>
  </w:style>
  <w:style w:type="character" w:customStyle="1" w:styleId="Char10">
    <w:name w:val="纯文本 Char1"/>
    <w:uiPriority w:val="99"/>
    <w:semiHidden/>
    <w:qFormat/>
    <w:rPr>
      <w:rFonts w:ascii="宋体" w:eastAsia="宋体" w:hAnsi="Courier New" w:cs="Courier New"/>
      <w:kern w:val="2"/>
      <w:sz w:val="21"/>
      <w:szCs w:val="21"/>
    </w:rPr>
  </w:style>
  <w:style w:type="character" w:customStyle="1" w:styleId="2Char">
    <w:name w:val="样式公式2 Char"/>
    <w:link w:val="22"/>
    <w:qFormat/>
    <w:locked/>
    <w:rPr>
      <w:kern w:val="2"/>
      <w:sz w:val="24"/>
      <w:szCs w:val="24"/>
    </w:rPr>
  </w:style>
  <w:style w:type="paragraph" w:customStyle="1" w:styleId="22">
    <w:name w:val="样式公式2"/>
    <w:basedOn w:val="a8"/>
    <w:link w:val="2Char"/>
    <w:qFormat/>
    <w:pPr>
      <w:tabs>
        <w:tab w:val="center" w:pos="4200"/>
        <w:tab w:val="right" w:pos="8295"/>
      </w:tabs>
      <w:spacing w:line="400" w:lineRule="atLeast"/>
      <w:ind w:right="-17"/>
    </w:pPr>
    <w:rPr>
      <w:sz w:val="24"/>
      <w:szCs w:val="24"/>
    </w:rPr>
  </w:style>
  <w:style w:type="character" w:customStyle="1" w:styleId="CharChar2">
    <w:name w:val="Char Char2"/>
    <w:qFormat/>
    <w:rPr>
      <w:rFonts w:ascii="宋体" w:eastAsia="宋体" w:hAnsi="Courier New"/>
      <w:kern w:val="2"/>
      <w:sz w:val="21"/>
      <w:lang w:val="en-US" w:eastAsia="zh-CN" w:bidi="ar-SA"/>
    </w:rPr>
  </w:style>
  <w:style w:type="character" w:customStyle="1" w:styleId="font11">
    <w:name w:val="font11"/>
    <w:qFormat/>
    <w:rPr>
      <w:rFonts w:ascii="宋体" w:eastAsia="宋体" w:hAnsi="宋体" w:cs="宋体" w:hint="eastAsia"/>
      <w:color w:val="000000"/>
      <w:sz w:val="24"/>
      <w:szCs w:val="24"/>
      <w:u w:val="none"/>
    </w:rPr>
  </w:style>
  <w:style w:type="character" w:customStyle="1" w:styleId="af2">
    <w:name w:val="正文文本缩进 字符"/>
    <w:link w:val="af1"/>
    <w:qFormat/>
    <w:rPr>
      <w:rFonts w:ascii="宋体"/>
      <w:kern w:val="2"/>
      <w:sz w:val="28"/>
    </w:rPr>
  </w:style>
  <w:style w:type="paragraph" w:customStyle="1" w:styleId="a5">
    <w:name w:val="其他发布日期"/>
    <w:basedOn w:val="a8"/>
    <w:qFormat/>
    <w:pPr>
      <w:framePr w:w="3997" w:h="471" w:hRule="exact" w:vSpace="181" w:wrap="around" w:vAnchor="page" w:hAnchor="page" w:x="1419" w:y="14097" w:anchorLock="1"/>
      <w:widowControl/>
      <w:numPr>
        <w:numId w:val="4"/>
      </w:numPr>
      <w:jc w:val="left"/>
    </w:pPr>
    <w:rPr>
      <w:rFonts w:eastAsia="黑体"/>
      <w:kern w:val="0"/>
      <w:sz w:val="28"/>
      <w:szCs w:val="20"/>
    </w:rPr>
  </w:style>
  <w:style w:type="paragraph" w:customStyle="1" w:styleId="affd">
    <w:name w:val="表"/>
    <w:basedOn w:val="a8"/>
    <w:qFormat/>
    <w:pPr>
      <w:jc w:val="center"/>
    </w:pPr>
    <w:rPr>
      <w:sz w:val="18"/>
      <w:szCs w:val="24"/>
    </w:rPr>
  </w:style>
  <w:style w:type="paragraph" w:customStyle="1" w:styleId="CharChar8">
    <w:name w:val="Char Char8"/>
    <w:basedOn w:val="a8"/>
    <w:qFormat/>
    <w:pPr>
      <w:widowControl/>
      <w:spacing w:after="160" w:line="240" w:lineRule="exact"/>
      <w:jc w:val="left"/>
    </w:pPr>
    <w:rPr>
      <w:rFonts w:ascii="Arial" w:eastAsia="Times New Roman" w:hAnsi="Arial" w:cs="Verdana"/>
      <w:b/>
      <w:kern w:val="0"/>
      <w:sz w:val="24"/>
      <w:szCs w:val="24"/>
      <w:lang w:eastAsia="en-US"/>
    </w:rPr>
  </w:style>
  <w:style w:type="paragraph" w:customStyle="1" w:styleId="affe">
    <w:name w:val="表内容"/>
    <w:basedOn w:val="a8"/>
    <w:qFormat/>
    <w:pPr>
      <w:spacing w:line="240" w:lineRule="exact"/>
      <w:jc w:val="center"/>
    </w:pPr>
    <w:rPr>
      <w:rFonts w:cs="Arial"/>
      <w:sz w:val="18"/>
      <w:szCs w:val="22"/>
    </w:rPr>
  </w:style>
  <w:style w:type="paragraph" w:customStyle="1" w:styleId="afff">
    <w:name w:val="表头"/>
    <w:basedOn w:val="a8"/>
    <w:qFormat/>
    <w:pPr>
      <w:spacing w:beforeLines="50" w:afterLines="50" w:line="300" w:lineRule="auto"/>
      <w:jc w:val="center"/>
    </w:pPr>
    <w:rPr>
      <w:b/>
      <w:szCs w:val="20"/>
    </w:rPr>
  </w:style>
  <w:style w:type="paragraph" w:customStyle="1" w:styleId="CharCharCharCharCharCharChar">
    <w:name w:val="Char Char Char Char Char Char Char"/>
    <w:basedOn w:val="a8"/>
    <w:qFormat/>
    <w:pPr>
      <w:widowControl/>
      <w:topLinePunct/>
      <w:adjustRightInd w:val="0"/>
      <w:spacing w:after="160" w:line="240" w:lineRule="exact"/>
      <w:jc w:val="left"/>
    </w:pPr>
    <w:rPr>
      <w:rFonts w:ascii="Arial" w:eastAsia="Times New Roman" w:hAnsi="Arial" w:cs="Verdana"/>
      <w:b/>
      <w:kern w:val="0"/>
      <w:sz w:val="24"/>
      <w:szCs w:val="24"/>
      <w:lang w:eastAsia="en-US"/>
    </w:rPr>
  </w:style>
  <w:style w:type="paragraph" w:customStyle="1" w:styleId="afff0">
    <w:name w:val="节"/>
    <w:basedOn w:val="a8"/>
    <w:qFormat/>
    <w:pPr>
      <w:spacing w:beforeLines="100" w:afterLines="100"/>
      <w:jc w:val="center"/>
      <w:outlineLvl w:val="1"/>
    </w:pPr>
    <w:rPr>
      <w:rFonts w:cs="Arial"/>
      <w:b/>
      <w:sz w:val="24"/>
      <w:szCs w:val="22"/>
    </w:rPr>
  </w:style>
  <w:style w:type="paragraph" w:customStyle="1" w:styleId="MTDisplayEquation">
    <w:name w:val="MTDisplayEquation"/>
    <w:basedOn w:val="a8"/>
    <w:next w:val="a8"/>
    <w:link w:val="MTDisplayEquation0"/>
    <w:qFormat/>
    <w:pPr>
      <w:tabs>
        <w:tab w:val="center" w:pos="3740"/>
        <w:tab w:val="right" w:pos="7480"/>
      </w:tabs>
      <w:snapToGrid w:val="0"/>
      <w:spacing w:line="400" w:lineRule="atLeast"/>
      <w:jc w:val="right"/>
    </w:pPr>
  </w:style>
  <w:style w:type="character" w:customStyle="1" w:styleId="MTDisplayEquation0">
    <w:name w:val="MTDisplayEquation 字符"/>
    <w:link w:val="MTDisplayEquation"/>
    <w:qFormat/>
    <w:rPr>
      <w:kern w:val="2"/>
      <w:sz w:val="21"/>
      <w:szCs w:val="21"/>
    </w:rPr>
  </w:style>
  <w:style w:type="character" w:customStyle="1" w:styleId="font81">
    <w:name w:val="font81"/>
    <w:basedOn w:val="aa"/>
    <w:qFormat/>
    <w:rPr>
      <w:rFonts w:ascii="宋体" w:eastAsia="宋体" w:hAnsi="宋体" w:cs="宋体" w:hint="eastAsia"/>
      <w:b/>
      <w:color w:val="FF0000"/>
      <w:sz w:val="21"/>
      <w:szCs w:val="21"/>
      <w:u w:val="none"/>
    </w:rPr>
  </w:style>
  <w:style w:type="character" w:customStyle="1" w:styleId="font31">
    <w:name w:val="font31"/>
    <w:basedOn w:val="aa"/>
    <w:qFormat/>
    <w:rPr>
      <w:rFonts w:ascii="Times New Roman" w:hAnsi="Times New Roman" w:cs="Times New Roman" w:hint="default"/>
      <w:color w:val="000000"/>
      <w:sz w:val="22"/>
      <w:szCs w:val="22"/>
      <w:u w:val="none"/>
    </w:rPr>
  </w:style>
  <w:style w:type="character" w:customStyle="1" w:styleId="font21">
    <w:name w:val="font21"/>
    <w:basedOn w:val="aa"/>
    <w:qFormat/>
    <w:rPr>
      <w:rFonts w:ascii="宋体" w:eastAsia="宋体" w:hAnsi="宋体" w:cs="宋体" w:hint="eastAsia"/>
      <w:color w:val="000000"/>
      <w:sz w:val="20"/>
      <w:szCs w:val="20"/>
      <w:u w:val="none"/>
    </w:rPr>
  </w:style>
  <w:style w:type="character" w:customStyle="1" w:styleId="font91">
    <w:name w:val="font91"/>
    <w:basedOn w:val="aa"/>
    <w:qFormat/>
    <w:rPr>
      <w:rFonts w:ascii="Times New Roman" w:hAnsi="Times New Roman" w:cs="Times New Roman" w:hint="default"/>
      <w:color w:val="000000"/>
      <w:sz w:val="20"/>
      <w:szCs w:val="20"/>
      <w:u w:val="none"/>
    </w:rPr>
  </w:style>
  <w:style w:type="character" w:customStyle="1" w:styleId="font01">
    <w:name w:val="font01"/>
    <w:basedOn w:val="aa"/>
    <w:qFormat/>
    <w:rPr>
      <w:rFonts w:ascii="宋体" w:eastAsia="宋体" w:hAnsi="宋体" w:cs="宋体" w:hint="eastAsia"/>
      <w:color w:val="000000"/>
      <w:sz w:val="22"/>
      <w:szCs w:val="22"/>
      <w:u w:val="none"/>
    </w:rPr>
  </w:style>
  <w:style w:type="character" w:customStyle="1" w:styleId="font71">
    <w:name w:val="font71"/>
    <w:basedOn w:val="aa"/>
    <w:qFormat/>
    <w:rPr>
      <w:rFonts w:ascii="宋体" w:eastAsia="宋体" w:hAnsi="宋体" w:cs="宋体" w:hint="eastAsia"/>
      <w:color w:val="FF0000"/>
      <w:sz w:val="22"/>
      <w:szCs w:val="22"/>
      <w:u w:val="none"/>
    </w:rPr>
  </w:style>
  <w:style w:type="character" w:customStyle="1" w:styleId="font101">
    <w:name w:val="font101"/>
    <w:basedOn w:val="aa"/>
    <w:qFormat/>
    <w:rPr>
      <w:rFonts w:ascii="Times New Roman" w:hAnsi="Times New Roman" w:cs="Times New Roman" w:hint="default"/>
      <w:color w:val="FF0000"/>
      <w:sz w:val="22"/>
      <w:szCs w:val="22"/>
      <w:u w: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2.xml"/><Relationship Id="rId18" Type="http://schemas.openxmlformats.org/officeDocument/2006/relationships/image" Target="media/image2.wmf"/><Relationship Id="rId3" Type="http://schemas.openxmlformats.org/officeDocument/2006/relationships/numbering" Target="numbering.xml"/><Relationship Id="rId21" Type="http://schemas.openxmlformats.org/officeDocument/2006/relationships/oleObject" Target="embeddings/oleObject2.bin"/><Relationship Id="rId7" Type="http://schemas.openxmlformats.org/officeDocument/2006/relationships/footnotes" Target="footnotes.xml"/><Relationship Id="rId12" Type="http://schemas.openxmlformats.org/officeDocument/2006/relationships/footer" Target="footer1.xml"/><Relationship Id="rId17" Type="http://schemas.openxmlformats.org/officeDocument/2006/relationships/footer" Target="footer6.xml"/><Relationship Id="rId25"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oter" Target="footer5.xml"/><Relationship Id="rId20" Type="http://schemas.openxmlformats.org/officeDocument/2006/relationships/image" Target="media/image3.wmf"/><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2.xml"/><Relationship Id="rId24" Type="http://schemas.openxmlformats.org/officeDocument/2006/relationships/fontTable" Target="fontTable.xml"/><Relationship Id="rId5" Type="http://schemas.openxmlformats.org/officeDocument/2006/relationships/settings" Target="settings.xml"/><Relationship Id="rId15" Type="http://schemas.openxmlformats.org/officeDocument/2006/relationships/footer" Target="footer4.xml"/><Relationship Id="rId23" Type="http://schemas.openxmlformats.org/officeDocument/2006/relationships/footer" Target="footer8.xml"/><Relationship Id="rId10" Type="http://schemas.openxmlformats.org/officeDocument/2006/relationships/header" Target="header1.xml"/><Relationship Id="rId19" Type="http://schemas.openxmlformats.org/officeDocument/2006/relationships/oleObject" Target="embeddings/oleObject1.bin"/><Relationship Id="rId4" Type="http://schemas.openxmlformats.org/officeDocument/2006/relationships/styles" Target="styles.xml"/><Relationship Id="rId9" Type="http://schemas.openxmlformats.org/officeDocument/2006/relationships/image" Target="media/image1.emf"/><Relationship Id="rId14" Type="http://schemas.openxmlformats.org/officeDocument/2006/relationships/footer" Target="footer3.xml"/><Relationship Id="rId22" Type="http://schemas.openxmlformats.org/officeDocument/2006/relationships/footer" Target="footer7.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4B828BEA-F834-4CE6-A888-1C878213040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17</TotalTime>
  <Pages>41</Pages>
  <Words>3458</Words>
  <Characters>19714</Characters>
  <Application>Microsoft Office Word</Application>
  <DocSecurity>0</DocSecurity>
  <Lines>164</Lines>
  <Paragraphs>46</Paragraphs>
  <ScaleCrop>false</ScaleCrop>
  <Company/>
  <LinksUpToDate>false</LinksUpToDate>
  <CharactersWithSpaces>23126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再生水泥基</dc:title>
  <dc:creator>X</dc:creator>
  <cp:lastModifiedBy>cbs</cp:lastModifiedBy>
  <cp:revision>30</cp:revision>
  <cp:lastPrinted>2019-11-29T01:43:00Z</cp:lastPrinted>
  <dcterms:created xsi:type="dcterms:W3CDTF">2019-11-19T02:49:00Z</dcterms:created>
  <dcterms:modified xsi:type="dcterms:W3CDTF">2025-10-24T02:57:00Z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2052-11.8.2.8950</vt:lpwstr>
  </property>
  <property fmtid="{D5CDD505-2E9C-101B-9397-08002B2CF9AE}" pid="3" name="ICV">
    <vt:lpwstr>7D0FEAB82DD84166A67C925E521500EA_13</vt:lpwstr>
  </property>
  <property fmtid="{D5CDD505-2E9C-101B-9397-08002B2CF9AE}" pid="4" name="KSOTemplateDocerSaveRecord">
    <vt:lpwstr>eyJoZGlkIjoiMTBmMmQ4ZWRjYmVkNjlmNThkN2Q1ZmQwZjhkMDEyODIiLCJ1c2VySWQiOiIzNDIwOTI5NTAifQ==</vt:lpwstr>
  </property>
</Properties>
</file>