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ordWrap w:val="0"/>
        <w:spacing w:before="156" w:beforeLines="50" w:line="360" w:lineRule="auto"/>
        <w:jc w:val="right"/>
        <w:rPr>
          <w:rFonts w:ascii="Times New Roman" w:hAnsi="Times New Roman" w:eastAsia="黑体"/>
          <w:color w:val="auto"/>
        </w:rPr>
      </w:pPr>
      <w:r>
        <w:rPr>
          <w:rFonts w:ascii="Times New Roman" w:hAnsi="Times New Roman" w:eastAsia="黑体"/>
          <w:color w:val="auto"/>
          <w:lang w:val="en-US"/>
        </w:rPr>
        <w:drawing>
          <wp:anchor distT="0" distB="0" distL="114300" distR="114300" simplePos="0" relativeHeight="251660288" behindDoc="0" locked="0" layoutInCell="1" allowOverlap="1">
            <wp:simplePos x="0" y="0"/>
            <wp:positionH relativeFrom="column">
              <wp:posOffset>0</wp:posOffset>
            </wp:positionH>
            <wp:positionV relativeFrom="paragraph">
              <wp:posOffset>103505</wp:posOffset>
            </wp:positionV>
            <wp:extent cx="1724025" cy="1104900"/>
            <wp:effectExtent l="0" t="0" r="9525"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ascii="Times New Roman" w:hAnsi="Times New Roman" w:eastAsia="黑体"/>
          <w:color w:val="auto"/>
        </w:rPr>
        <w:t xml:space="preserve">    </w:t>
      </w:r>
    </w:p>
    <w:p>
      <w:pPr>
        <w:pStyle w:val="8"/>
        <w:spacing w:before="156" w:beforeLines="50" w:line="360" w:lineRule="auto"/>
        <w:jc w:val="right"/>
        <w:rPr>
          <w:rFonts w:ascii="Times New Roman" w:hAnsi="Times New Roman" w:eastAsia="黑体"/>
          <w:color w:val="auto"/>
        </w:rPr>
      </w:pPr>
    </w:p>
    <w:p>
      <w:pPr>
        <w:pStyle w:val="8"/>
        <w:spacing w:before="156" w:beforeLines="50" w:line="360" w:lineRule="auto"/>
        <w:jc w:val="right"/>
        <w:rPr>
          <w:rFonts w:ascii="Times New Roman" w:hAnsi="Times New Roman" w:eastAsia="黑体"/>
          <w:color w:val="auto"/>
        </w:rPr>
      </w:pPr>
      <w:r>
        <w:rPr>
          <w:rFonts w:ascii="Times New Roman" w:hAnsi="Times New Roman" w:eastAsia="黑体"/>
          <w:color w:val="auto"/>
        </w:rPr>
        <w:t xml:space="preserve">   </w:t>
      </w:r>
      <w:r>
        <w:rPr>
          <w:rFonts w:ascii="Times New Roman" w:hAnsi="Times New Roman" w:eastAsia="黑体"/>
          <w:color w:val="auto"/>
          <w:sz w:val="30"/>
          <w:szCs w:val="30"/>
        </w:rPr>
        <w:t>CECS XXX:20</w:t>
      </w:r>
      <w:r>
        <w:rPr>
          <w:rFonts w:hint="eastAsia" w:ascii="Times New Roman" w:hAnsi="Times New Roman" w:eastAsia="黑体"/>
          <w:color w:val="auto"/>
          <w:sz w:val="30"/>
          <w:szCs w:val="30"/>
          <w:lang w:val="en-US"/>
        </w:rPr>
        <w:t>2</w:t>
      </w:r>
      <w:r>
        <w:rPr>
          <w:rFonts w:ascii="Times New Roman" w:hAnsi="Times New Roman" w:eastAsia="黑体"/>
          <w:color w:val="auto"/>
          <w:sz w:val="30"/>
          <w:szCs w:val="30"/>
        </w:rPr>
        <w:t>X</w:t>
      </w:r>
    </w:p>
    <w:p>
      <w:pPr>
        <w:pStyle w:val="8"/>
        <w:spacing w:before="156" w:beforeLines="50" w:line="360" w:lineRule="auto"/>
        <w:jc w:val="center"/>
        <w:rPr>
          <w:rFonts w:ascii="Times New Roman" w:hAnsi="Times New Roman" w:eastAsia="黑体"/>
          <w:color w:val="auto"/>
        </w:rPr>
      </w:pPr>
    </w:p>
    <w:p>
      <w:pPr>
        <w:pStyle w:val="8"/>
        <w:spacing w:before="156" w:beforeLines="50" w:line="360" w:lineRule="auto"/>
        <w:jc w:val="center"/>
        <w:rPr>
          <w:rFonts w:ascii="Times New Roman" w:hAnsi="Times New Roman" w:eastAsia="黑体"/>
          <w:color w:val="auto"/>
        </w:rPr>
      </w:pPr>
      <w:r>
        <w:rPr>
          <w:rFonts w:ascii="Times New Roman" w:hAnsi="Times New Roman"/>
          <w:color w:val="auto"/>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0" r="0" b="0"/>
                <wp:wrapNone/>
                <wp:docPr id="8" name="Line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dAq2fSAAAAAgEAAA8AAAAAAAAAAQAgAAAAIgAAAGRycy9kb3ducmV2&#10;LnhtbFBLAQIUABQAAAAIAIdO4kDA0FSxyQEAAJ8DAAAOAAAAAAAAAAEAIAAAACEBAABkcnMvZTJv&#10;RG9jLnhtbFBLBQYAAAAABgAGAFkBAABcBQAAAAA=&#10;">
                <v:fill on="f" focussize="0,0"/>
                <v:stroke color="#000000" joinstyle="round"/>
                <v:imagedata o:title=""/>
                <o:lock v:ext="edit" aspectratio="f"/>
              </v:line>
            </w:pict>
          </mc:Fallback>
        </mc:AlternateContent>
      </w:r>
    </w:p>
    <w:p>
      <w:pPr>
        <w:pStyle w:val="8"/>
        <w:spacing w:before="156" w:beforeLines="50" w:line="360" w:lineRule="auto"/>
        <w:jc w:val="center"/>
        <w:rPr>
          <w:rFonts w:ascii="Times New Roman" w:hAnsi="Times New Roman" w:eastAsia="黑体"/>
          <w:color w:val="auto"/>
        </w:rPr>
      </w:pPr>
    </w:p>
    <w:p>
      <w:pPr>
        <w:pStyle w:val="8"/>
        <w:spacing w:before="156" w:beforeLines="50" w:line="360" w:lineRule="auto"/>
        <w:jc w:val="center"/>
        <w:rPr>
          <w:rFonts w:ascii="Times New Roman" w:hAnsi="Times New Roman" w:eastAsia="黑体"/>
          <w:color w:val="auto"/>
          <w:sz w:val="28"/>
          <w:szCs w:val="28"/>
        </w:rPr>
      </w:pPr>
      <w:r>
        <w:rPr>
          <w:rFonts w:ascii="Times New Roman" w:hAnsi="Times New Roman" w:eastAsia="黑体"/>
          <w:color w:val="auto"/>
          <w:sz w:val="28"/>
          <w:szCs w:val="28"/>
        </w:rPr>
        <w:t>中国工程建设标准化协会标准</w:t>
      </w:r>
    </w:p>
    <w:p>
      <w:pPr>
        <w:pStyle w:val="8"/>
        <w:spacing w:before="156" w:beforeLines="50" w:line="360" w:lineRule="auto"/>
        <w:jc w:val="center"/>
        <w:rPr>
          <w:rFonts w:ascii="Times New Roman" w:hAnsi="Times New Roman" w:eastAsia="黑体"/>
          <w:color w:val="auto"/>
        </w:rPr>
      </w:pPr>
    </w:p>
    <w:p>
      <w:pPr>
        <w:pStyle w:val="8"/>
        <w:spacing w:before="156" w:beforeLines="50" w:line="360" w:lineRule="auto"/>
        <w:jc w:val="center"/>
        <w:rPr>
          <w:rFonts w:ascii="Times New Roman" w:hAnsi="Times New Roman" w:eastAsia="黑体"/>
          <w:color w:val="auto"/>
          <w:sz w:val="44"/>
          <w:szCs w:val="44"/>
        </w:rPr>
      </w:pPr>
      <w:r>
        <w:rPr>
          <w:rFonts w:hint="eastAsia" w:ascii="Times New Roman" w:hAnsi="Times New Roman" w:eastAsia="黑体"/>
          <w:color w:val="auto"/>
          <w:sz w:val="44"/>
          <w:szCs w:val="44"/>
        </w:rPr>
        <w:t>水泥混凝土路面用高韧性修补材料</w:t>
      </w:r>
    </w:p>
    <w:p>
      <w:pPr>
        <w:pStyle w:val="8"/>
        <w:spacing w:before="156" w:beforeLines="50" w:line="360" w:lineRule="auto"/>
        <w:jc w:val="center"/>
        <w:rPr>
          <w:rFonts w:ascii="Times New Roman" w:hAnsi="Times New Roman" w:eastAsia="黑体"/>
          <w:color w:val="auto"/>
          <w:sz w:val="30"/>
          <w:szCs w:val="30"/>
          <w:lang w:val="en-US"/>
        </w:rPr>
      </w:pPr>
      <w:r>
        <w:rPr>
          <w:rFonts w:ascii="Times New Roman" w:hAnsi="Times New Roman" w:eastAsia="黑体"/>
          <w:color w:val="auto"/>
          <w:sz w:val="30"/>
          <w:szCs w:val="30"/>
          <w:lang w:val="en-US"/>
        </w:rPr>
        <w:t>High toughness repair material for cement concrete pavement</w:t>
      </w:r>
    </w:p>
    <w:p>
      <w:pPr>
        <w:pStyle w:val="8"/>
        <w:spacing w:before="156" w:beforeLines="50" w:line="360" w:lineRule="auto"/>
        <w:jc w:val="center"/>
        <w:rPr>
          <w:rFonts w:ascii="Times New Roman" w:hAnsi="Times New Roman" w:eastAsia="黑体"/>
          <w:color w:val="auto"/>
          <w:sz w:val="30"/>
          <w:szCs w:val="30"/>
          <w:lang w:val="en-US"/>
        </w:rPr>
      </w:pPr>
    </w:p>
    <w:p>
      <w:pPr>
        <w:pStyle w:val="8"/>
        <w:spacing w:before="156" w:beforeLines="50" w:line="360" w:lineRule="auto"/>
        <w:jc w:val="center"/>
        <w:rPr>
          <w:rFonts w:ascii="Times New Roman" w:hAnsi="Times New Roman" w:eastAsia="黑体"/>
          <w:color w:val="auto"/>
          <w:lang w:val="en-US"/>
        </w:rPr>
      </w:pPr>
    </w:p>
    <w:p>
      <w:pPr>
        <w:pStyle w:val="8"/>
        <w:spacing w:before="156" w:beforeLines="50" w:line="360" w:lineRule="auto"/>
        <w:jc w:val="center"/>
        <w:rPr>
          <w:rFonts w:ascii="Times New Roman" w:hAnsi="Times New Roman" w:eastAsia="黑体"/>
          <w:color w:val="auto"/>
          <w:sz w:val="30"/>
          <w:szCs w:val="30"/>
          <w:lang w:val="en-US"/>
        </w:rPr>
      </w:pPr>
      <w:r>
        <w:rPr>
          <w:rFonts w:ascii="Times New Roman" w:hAnsi="Times New Roman" w:eastAsia="黑体"/>
          <w:color w:val="auto"/>
          <w:sz w:val="30"/>
          <w:szCs w:val="30"/>
          <w:lang w:val="en-US"/>
        </w:rPr>
        <w:t>（</w:t>
      </w:r>
      <w:r>
        <w:rPr>
          <w:rFonts w:hint="eastAsia" w:ascii="Times New Roman" w:hAnsi="Times New Roman" w:eastAsia="黑体"/>
          <w:color w:val="auto"/>
          <w:sz w:val="30"/>
          <w:szCs w:val="30"/>
          <w:lang w:val="en-US"/>
        </w:rPr>
        <w:t>征求意见稿</w:t>
      </w:r>
      <w:r>
        <w:rPr>
          <w:rFonts w:ascii="Times New Roman" w:hAnsi="Times New Roman" w:eastAsia="黑体"/>
          <w:color w:val="auto"/>
          <w:sz w:val="30"/>
          <w:szCs w:val="30"/>
          <w:lang w:val="en-US"/>
        </w:rPr>
        <w:t>）</w:t>
      </w:r>
    </w:p>
    <w:p>
      <w:pPr>
        <w:pStyle w:val="8"/>
        <w:spacing w:before="156" w:beforeLines="50" w:line="360" w:lineRule="auto"/>
        <w:ind w:left="1750" w:leftChars="258" w:hanging="1209" w:hangingChars="576"/>
        <w:rPr>
          <w:rFonts w:ascii="Times New Roman" w:hAnsi="Times New Roman" w:eastAsia="黑体"/>
          <w:color w:val="auto"/>
          <w:lang w:val="en-US"/>
        </w:rPr>
      </w:pPr>
    </w:p>
    <w:p>
      <w:pPr>
        <w:pStyle w:val="8"/>
        <w:spacing w:before="156" w:beforeLines="50" w:line="360" w:lineRule="auto"/>
        <w:jc w:val="center"/>
        <w:rPr>
          <w:rFonts w:ascii="Times New Roman" w:hAnsi="Times New Roman"/>
          <w:color w:val="auto"/>
          <w:lang w:val="en-US"/>
        </w:rPr>
      </w:pPr>
    </w:p>
    <w:p>
      <w:pPr>
        <w:pStyle w:val="8"/>
        <w:spacing w:before="156" w:beforeLines="50" w:line="360" w:lineRule="auto"/>
        <w:rPr>
          <w:rFonts w:ascii="Times New Roman" w:hAnsi="Times New Roman"/>
          <w:color w:val="auto"/>
          <w:lang w:val="en-US"/>
        </w:rPr>
      </w:pPr>
    </w:p>
    <w:p>
      <w:pPr>
        <w:pStyle w:val="8"/>
        <w:spacing w:before="156" w:beforeLines="50" w:line="360" w:lineRule="auto"/>
        <w:jc w:val="center"/>
        <w:rPr>
          <w:rFonts w:ascii="Times New Roman" w:hAnsi="Times New Roman"/>
          <w:color w:val="auto"/>
          <w:lang w:val="en-US"/>
        </w:rPr>
      </w:pPr>
    </w:p>
    <w:p>
      <w:pPr>
        <w:pStyle w:val="8"/>
        <w:spacing w:before="156" w:beforeLines="50" w:line="360" w:lineRule="auto"/>
        <w:jc w:val="center"/>
        <w:rPr>
          <w:rFonts w:ascii="Times New Roman" w:hAnsi="Times New Roman"/>
          <w:color w:val="auto"/>
          <w:lang w:val="en-US"/>
        </w:rPr>
      </w:pPr>
    </w:p>
    <w:p>
      <w:pPr>
        <w:pStyle w:val="8"/>
        <w:spacing w:before="156" w:beforeLines="50" w:line="360" w:lineRule="auto"/>
        <w:rPr>
          <w:rFonts w:ascii="Times New Roman" w:hAnsi="Times New Roman"/>
          <w:color w:val="auto"/>
          <w:lang w:val="en-US"/>
        </w:rPr>
      </w:pPr>
    </w:p>
    <w:p>
      <w:pPr>
        <w:pStyle w:val="8"/>
        <w:spacing w:before="156" w:beforeLines="50" w:line="360" w:lineRule="auto"/>
        <w:jc w:val="center"/>
        <w:rPr>
          <w:rFonts w:ascii="Times New Roman" w:hAnsi="Times New Roman" w:eastAsia="黑体"/>
          <w:color w:val="auto"/>
          <w:sz w:val="28"/>
          <w:szCs w:val="28"/>
          <w:lang w:val="en-US"/>
        </w:rPr>
      </w:pPr>
      <w:r>
        <w:rPr>
          <w:rFonts w:ascii="Times New Roman" w:hAnsi="Times New Roman" w:eastAsia="黑体"/>
          <w:color w:val="auto"/>
          <w:sz w:val="28"/>
          <w:szCs w:val="28"/>
          <w:lang w:val="en-US"/>
        </w:rPr>
        <w:t>XXX</w:t>
      </w:r>
      <w:r>
        <w:rPr>
          <w:rFonts w:ascii="Times New Roman" w:hAnsi="Times New Roman" w:eastAsia="黑体"/>
          <w:color w:val="auto"/>
          <w:sz w:val="28"/>
          <w:szCs w:val="28"/>
        </w:rPr>
        <w:t>出版社</w:t>
      </w:r>
    </w:p>
    <w:p>
      <w:pPr>
        <w:spacing w:before="156" w:beforeLines="50" w:line="360" w:lineRule="auto"/>
        <w:jc w:val="center"/>
        <w:rPr>
          <w:rFonts w:eastAsia="黑体"/>
          <w:b/>
          <w:color w:val="auto"/>
          <w:sz w:val="28"/>
          <w:szCs w:val="28"/>
        </w:rPr>
        <w:sectPr>
          <w:footerReference r:id="rId4" w:type="first"/>
          <w:footerReference r:id="rId3" w:type="default"/>
          <w:pgSz w:w="11906" w:h="16838"/>
          <w:pgMar w:top="1440" w:right="1797" w:bottom="1440" w:left="1797" w:header="851" w:footer="555" w:gutter="0"/>
          <w:pgNumType w:start="1"/>
          <w:cols w:space="720" w:num="1"/>
          <w:docGrid w:type="linesAndChars" w:linePitch="312" w:charSpace="0"/>
        </w:sectPr>
      </w:pPr>
    </w:p>
    <w:p>
      <w:pPr>
        <w:spacing w:before="156" w:beforeLines="50" w:line="360" w:lineRule="auto"/>
        <w:jc w:val="center"/>
        <w:rPr>
          <w:rFonts w:eastAsia="黑体"/>
          <w:b/>
          <w:color w:val="auto"/>
          <w:sz w:val="28"/>
          <w:szCs w:val="28"/>
        </w:rPr>
      </w:pPr>
      <w:r>
        <w:rPr>
          <w:rFonts w:eastAsia="黑体"/>
          <w:b/>
          <w:color w:val="auto"/>
          <w:sz w:val="28"/>
          <w:szCs w:val="28"/>
        </w:rPr>
        <w:t>前   言</w:t>
      </w:r>
    </w:p>
    <w:p>
      <w:pPr>
        <w:spacing w:line="360" w:lineRule="auto"/>
        <w:ind w:firstLine="480" w:firstLineChars="200"/>
        <w:rPr>
          <w:color w:val="auto"/>
          <w:sz w:val="24"/>
          <w:szCs w:val="24"/>
        </w:rPr>
      </w:pPr>
      <w:r>
        <w:rPr>
          <w:rFonts w:hint="eastAsia"/>
          <w:color w:val="auto"/>
          <w:sz w:val="24"/>
          <w:szCs w:val="24"/>
        </w:rPr>
        <w:t>根据中国工程建设标准化协会《关于印发&lt;2023年第二批协会标准制订、修订计划&gt;的通知》（建标协字[2023]50号）的要求</w:t>
      </w:r>
      <w:r>
        <w:rPr>
          <w:color w:val="auto"/>
          <w:sz w:val="24"/>
          <w:szCs w:val="24"/>
        </w:rPr>
        <w:t>，标准编制组经广泛调查研究，认真总结各地实践经验，参考有关国内外标准，并在广泛征求意见的基础上，制定本</w:t>
      </w:r>
      <w:r>
        <w:rPr>
          <w:rFonts w:hint="eastAsia"/>
          <w:color w:val="auto"/>
          <w:sz w:val="24"/>
          <w:szCs w:val="24"/>
        </w:rPr>
        <w:t>标</w:t>
      </w:r>
      <w:r>
        <w:rPr>
          <w:color w:val="auto"/>
          <w:sz w:val="24"/>
          <w:szCs w:val="24"/>
        </w:rPr>
        <w:t>准。</w:t>
      </w:r>
    </w:p>
    <w:p>
      <w:pPr>
        <w:spacing w:line="360" w:lineRule="auto"/>
        <w:ind w:firstLine="480" w:firstLineChars="200"/>
        <w:jc w:val="left"/>
        <w:rPr>
          <w:color w:val="auto"/>
          <w:sz w:val="24"/>
          <w:szCs w:val="24"/>
        </w:rPr>
      </w:pPr>
      <w:r>
        <w:rPr>
          <w:color w:val="auto"/>
          <w:sz w:val="24"/>
          <w:szCs w:val="24"/>
        </w:rPr>
        <w:t>本</w:t>
      </w:r>
      <w:r>
        <w:rPr>
          <w:rFonts w:hint="eastAsia"/>
          <w:color w:val="auto"/>
          <w:sz w:val="24"/>
          <w:szCs w:val="24"/>
        </w:rPr>
        <w:t>标</w:t>
      </w:r>
      <w:r>
        <w:rPr>
          <w:color w:val="auto"/>
          <w:sz w:val="24"/>
          <w:szCs w:val="24"/>
        </w:rPr>
        <w:t>准共分</w:t>
      </w:r>
      <w:r>
        <w:rPr>
          <w:rFonts w:hint="eastAsia"/>
          <w:color w:val="auto"/>
          <w:sz w:val="24"/>
          <w:szCs w:val="24"/>
          <w:lang w:val="en-US" w:eastAsia="zh-CN"/>
        </w:rPr>
        <w:t>9</w:t>
      </w:r>
      <w:r>
        <w:rPr>
          <w:color w:val="auto"/>
          <w:sz w:val="24"/>
          <w:szCs w:val="24"/>
        </w:rPr>
        <w:t>章。主要技术内容包括：</w:t>
      </w:r>
      <w:r>
        <w:rPr>
          <w:rFonts w:hint="eastAsia"/>
          <w:color w:val="auto"/>
          <w:sz w:val="24"/>
          <w:szCs w:val="24"/>
        </w:rPr>
        <w:t>总则、术语与定义、原材料、性能要求、配合比设计、试验方法、检验规则、标志、包装、运输与储存</w:t>
      </w:r>
      <w:r>
        <w:rPr>
          <w:color w:val="auto"/>
          <w:sz w:val="24"/>
          <w:szCs w:val="24"/>
        </w:rPr>
        <w:t>。</w:t>
      </w:r>
    </w:p>
    <w:p>
      <w:pPr>
        <w:spacing w:line="360" w:lineRule="auto"/>
        <w:ind w:firstLine="480" w:firstLineChars="200"/>
        <w:jc w:val="left"/>
        <w:rPr>
          <w:color w:val="auto"/>
          <w:sz w:val="24"/>
          <w:szCs w:val="24"/>
        </w:rPr>
      </w:pPr>
      <w:r>
        <w:rPr>
          <w:rFonts w:hint="eastAsia" w:ascii="宋体" w:hAnsi="宋体" w:cs="宋体"/>
          <w:color w:val="auto"/>
          <w:sz w:val="24"/>
          <w:szCs w:val="24"/>
        </w:rPr>
        <w:t>本标</w:t>
      </w:r>
      <w:r>
        <w:rPr>
          <w:rFonts w:ascii="宋体" w:hAnsi="宋体" w:cs="宋体"/>
          <w:color w:val="auto"/>
          <w:sz w:val="24"/>
          <w:szCs w:val="24"/>
        </w:rPr>
        <w:t>准</w:t>
      </w:r>
      <w:r>
        <w:rPr>
          <w:rFonts w:hint="eastAsia" w:ascii="宋体" w:hAnsi="宋体" w:cs="宋体"/>
          <w:color w:val="auto"/>
          <w:sz w:val="24"/>
          <w:szCs w:val="24"/>
        </w:rPr>
        <w:t>的某些内容可能直接或间接涉及专利，本标</w:t>
      </w:r>
      <w:r>
        <w:rPr>
          <w:rFonts w:ascii="宋体" w:hAnsi="宋体" w:cs="宋体"/>
          <w:color w:val="auto"/>
          <w:sz w:val="24"/>
          <w:szCs w:val="24"/>
        </w:rPr>
        <w:t>准</w:t>
      </w:r>
      <w:r>
        <w:rPr>
          <w:rFonts w:hint="eastAsia" w:ascii="宋体" w:hAnsi="宋体" w:cs="宋体"/>
          <w:color w:val="auto"/>
          <w:sz w:val="24"/>
          <w:szCs w:val="24"/>
        </w:rPr>
        <w:t>的发布机构不承担识别这些专利的责任。</w:t>
      </w:r>
    </w:p>
    <w:p>
      <w:pPr>
        <w:spacing w:line="360" w:lineRule="auto"/>
        <w:ind w:firstLine="480" w:firstLineChars="200"/>
        <w:rPr>
          <w:color w:val="auto"/>
          <w:sz w:val="24"/>
          <w:szCs w:val="24"/>
        </w:rPr>
      </w:pPr>
      <w:r>
        <w:rPr>
          <w:color w:val="auto"/>
          <w:sz w:val="24"/>
          <w:szCs w:val="24"/>
        </w:rPr>
        <w:t>本</w:t>
      </w:r>
      <w:r>
        <w:rPr>
          <w:rFonts w:hint="eastAsia"/>
          <w:color w:val="auto"/>
          <w:sz w:val="24"/>
          <w:szCs w:val="24"/>
        </w:rPr>
        <w:t>标</w:t>
      </w:r>
      <w:r>
        <w:rPr>
          <w:color w:val="auto"/>
          <w:sz w:val="24"/>
          <w:szCs w:val="24"/>
        </w:rPr>
        <w:t>准由中国工程建设标准化协会</w:t>
      </w:r>
      <w:r>
        <w:rPr>
          <w:rFonts w:hint="eastAsia"/>
          <w:color w:val="auto"/>
          <w:sz w:val="24"/>
          <w:szCs w:val="24"/>
        </w:rPr>
        <w:t>防</w:t>
      </w:r>
      <w:r>
        <w:rPr>
          <w:color w:val="auto"/>
          <w:sz w:val="24"/>
          <w:szCs w:val="24"/>
        </w:rPr>
        <w:t>水防护与修复</w:t>
      </w:r>
      <w:r>
        <w:rPr>
          <w:rFonts w:hint="eastAsia"/>
          <w:color w:val="auto"/>
          <w:sz w:val="24"/>
          <w:szCs w:val="24"/>
        </w:rPr>
        <w:t>专业</w:t>
      </w:r>
      <w:r>
        <w:rPr>
          <w:color w:val="auto"/>
          <w:sz w:val="24"/>
          <w:szCs w:val="24"/>
        </w:rPr>
        <w:t>委员会归口管理，</w:t>
      </w:r>
      <w:r>
        <w:rPr>
          <w:rFonts w:hint="eastAsia"/>
          <w:color w:val="auto"/>
          <w:sz w:val="24"/>
          <w:szCs w:val="24"/>
        </w:rPr>
        <w:t>由北京科技大学负责具体技术内容的解释。执行过程中，如有意见或建议，请反馈给北京科技大学（地址：北京市海淀区学院路30号，邮政编码：100083），以供今后修订时参考。</w:t>
      </w:r>
    </w:p>
    <w:p>
      <w:pPr>
        <w:spacing w:before="156" w:beforeLines="50" w:line="360" w:lineRule="auto"/>
        <w:ind w:firstLine="480" w:firstLineChars="200"/>
        <w:rPr>
          <w:color w:val="auto"/>
          <w:sz w:val="24"/>
          <w:szCs w:val="24"/>
        </w:rPr>
      </w:pPr>
    </w:p>
    <w:p>
      <w:pPr>
        <w:spacing w:before="156" w:beforeLines="50" w:line="360" w:lineRule="auto"/>
        <w:ind w:firstLine="480" w:firstLineChars="200"/>
        <w:rPr>
          <w:color w:val="auto"/>
          <w:sz w:val="24"/>
          <w:szCs w:val="24"/>
        </w:rPr>
      </w:pPr>
      <w:r>
        <w:rPr>
          <w:b/>
          <w:color w:val="auto"/>
          <w:sz w:val="24"/>
          <w:szCs w:val="24"/>
        </w:rPr>
        <w:t>主编单位</w:t>
      </w:r>
      <w:r>
        <w:rPr>
          <w:color w:val="auto"/>
          <w:sz w:val="24"/>
          <w:szCs w:val="24"/>
        </w:rPr>
        <w:t>：</w:t>
      </w:r>
      <w:r>
        <w:rPr>
          <w:rFonts w:hint="eastAsia"/>
          <w:color w:val="auto"/>
          <w:sz w:val="24"/>
          <w:szCs w:val="24"/>
        </w:rPr>
        <w:t>北京科技大学、北京建工新型建材有限责任公司</w:t>
      </w:r>
    </w:p>
    <w:p>
      <w:pPr>
        <w:spacing w:before="156" w:beforeLines="50" w:line="360" w:lineRule="auto"/>
        <w:ind w:firstLine="480" w:firstLineChars="200"/>
        <w:rPr>
          <w:color w:val="auto"/>
          <w:sz w:val="24"/>
          <w:szCs w:val="24"/>
        </w:rPr>
      </w:pPr>
      <w:r>
        <w:rPr>
          <w:b/>
          <w:color w:val="auto"/>
          <w:sz w:val="24"/>
          <w:szCs w:val="24"/>
        </w:rPr>
        <w:t>参编单位</w:t>
      </w:r>
      <w:r>
        <w:rPr>
          <w:color w:val="auto"/>
          <w:sz w:val="24"/>
          <w:szCs w:val="24"/>
        </w:rPr>
        <w:t>：</w:t>
      </w:r>
      <w:r>
        <w:rPr>
          <w:rFonts w:hint="eastAsia"/>
          <w:bCs/>
          <w:color w:val="auto"/>
          <w:sz w:val="24"/>
          <w:szCs w:val="24"/>
        </w:rPr>
        <w:t>中铁十五局集团有限公司、</w:t>
      </w:r>
      <w:r>
        <w:rPr>
          <w:rFonts w:hint="eastAsia"/>
          <w:color w:val="auto"/>
          <w:sz w:val="24"/>
          <w:szCs w:val="24"/>
        </w:rPr>
        <w:t>哈尔</w:t>
      </w:r>
      <w:r>
        <w:rPr>
          <w:color w:val="auto"/>
          <w:sz w:val="24"/>
          <w:szCs w:val="24"/>
        </w:rPr>
        <w:t>滨工业大学</w:t>
      </w:r>
      <w:r>
        <w:rPr>
          <w:rFonts w:hint="eastAsia"/>
          <w:color w:val="auto"/>
          <w:sz w:val="24"/>
          <w:szCs w:val="24"/>
        </w:rPr>
        <w:t>、齐鲁理工学院、中</w:t>
      </w:r>
      <w:r>
        <w:rPr>
          <w:color w:val="auto"/>
          <w:sz w:val="24"/>
          <w:szCs w:val="24"/>
        </w:rPr>
        <w:t>国建筑科学研究院</w:t>
      </w:r>
      <w:r>
        <w:rPr>
          <w:rFonts w:hint="eastAsia"/>
          <w:color w:val="auto"/>
          <w:sz w:val="24"/>
          <w:szCs w:val="24"/>
        </w:rPr>
        <w:t>、招</w:t>
      </w:r>
      <w:r>
        <w:rPr>
          <w:color w:val="auto"/>
          <w:sz w:val="24"/>
          <w:szCs w:val="24"/>
        </w:rPr>
        <w:t>商局重庆交通科研设计院有限公司</w:t>
      </w:r>
      <w:r>
        <w:rPr>
          <w:rFonts w:hint="eastAsia"/>
          <w:color w:val="auto"/>
          <w:sz w:val="24"/>
          <w:szCs w:val="24"/>
        </w:rPr>
        <w:t>、中</w:t>
      </w:r>
      <w:r>
        <w:rPr>
          <w:color w:val="auto"/>
          <w:sz w:val="24"/>
          <w:szCs w:val="24"/>
        </w:rPr>
        <w:t>交</w:t>
      </w:r>
      <w:r>
        <w:rPr>
          <w:rFonts w:hint="eastAsia"/>
          <w:color w:val="auto"/>
          <w:sz w:val="24"/>
          <w:szCs w:val="24"/>
        </w:rPr>
        <w:t>基础</w:t>
      </w:r>
      <w:r>
        <w:rPr>
          <w:color w:val="auto"/>
          <w:sz w:val="24"/>
          <w:szCs w:val="24"/>
        </w:rPr>
        <w:t>设施养护集团</w:t>
      </w:r>
      <w:r>
        <w:rPr>
          <w:rFonts w:hint="eastAsia"/>
          <w:color w:val="auto"/>
          <w:sz w:val="24"/>
          <w:szCs w:val="24"/>
        </w:rPr>
        <w:t>有</w:t>
      </w:r>
      <w:r>
        <w:rPr>
          <w:color w:val="auto"/>
          <w:sz w:val="24"/>
          <w:szCs w:val="24"/>
        </w:rPr>
        <w:t>限公司</w:t>
      </w:r>
      <w:r>
        <w:rPr>
          <w:rFonts w:hint="eastAsia"/>
          <w:color w:val="auto"/>
          <w:sz w:val="24"/>
          <w:szCs w:val="24"/>
        </w:rPr>
        <w:t>、长</w:t>
      </w:r>
      <w:r>
        <w:rPr>
          <w:color w:val="auto"/>
          <w:sz w:val="24"/>
          <w:szCs w:val="24"/>
        </w:rPr>
        <w:t>沙理工大学</w:t>
      </w:r>
    </w:p>
    <w:p>
      <w:pPr>
        <w:spacing w:before="156" w:beforeLines="50" w:line="360" w:lineRule="auto"/>
        <w:ind w:firstLine="480" w:firstLineChars="200"/>
        <w:rPr>
          <w:color w:val="auto"/>
          <w:sz w:val="24"/>
          <w:szCs w:val="24"/>
        </w:rPr>
      </w:pPr>
      <w:r>
        <w:rPr>
          <w:b/>
          <w:color w:val="auto"/>
          <w:sz w:val="24"/>
          <w:szCs w:val="24"/>
        </w:rPr>
        <w:t>主要起草人</w:t>
      </w:r>
      <w:r>
        <w:rPr>
          <w:color w:val="auto"/>
          <w:sz w:val="24"/>
          <w:szCs w:val="24"/>
        </w:rPr>
        <w:t>：</w:t>
      </w:r>
    </w:p>
    <w:p>
      <w:pPr>
        <w:spacing w:before="156" w:beforeLines="50" w:line="360" w:lineRule="auto"/>
        <w:ind w:firstLine="480" w:firstLineChars="200"/>
        <w:rPr>
          <w:color w:val="auto"/>
          <w:sz w:val="24"/>
          <w:szCs w:val="24"/>
        </w:rPr>
      </w:pPr>
      <w:r>
        <w:rPr>
          <w:b/>
          <w:color w:val="auto"/>
          <w:sz w:val="24"/>
          <w:szCs w:val="24"/>
        </w:rPr>
        <w:t>主要</w:t>
      </w:r>
      <w:r>
        <w:rPr>
          <w:rFonts w:hint="eastAsia"/>
          <w:b/>
          <w:color w:val="auto"/>
          <w:sz w:val="24"/>
          <w:szCs w:val="24"/>
        </w:rPr>
        <w:t>审</w:t>
      </w:r>
      <w:r>
        <w:rPr>
          <w:b/>
          <w:color w:val="auto"/>
          <w:sz w:val="24"/>
          <w:szCs w:val="24"/>
        </w:rPr>
        <w:t>查人</w:t>
      </w:r>
      <w:r>
        <w:rPr>
          <w:color w:val="auto"/>
          <w:sz w:val="24"/>
          <w:szCs w:val="24"/>
        </w:rPr>
        <w:t>：</w:t>
      </w:r>
    </w:p>
    <w:p>
      <w:pPr>
        <w:spacing w:before="156" w:beforeLines="50" w:line="360" w:lineRule="auto"/>
        <w:rPr>
          <w:color w:val="auto"/>
          <w:sz w:val="24"/>
          <w:szCs w:val="24"/>
        </w:rPr>
        <w:sectPr>
          <w:footerReference r:id="rId5" w:type="default"/>
          <w:pgSz w:w="11906" w:h="16838"/>
          <w:pgMar w:top="1440" w:right="1797" w:bottom="1440" w:left="1797" w:header="851" w:footer="555" w:gutter="0"/>
          <w:pgNumType w:start="1"/>
          <w:cols w:space="720" w:num="1"/>
          <w:docGrid w:type="linesAndChars" w:linePitch="312" w:charSpace="0"/>
        </w:sectPr>
      </w:pPr>
      <w:r>
        <w:rPr>
          <w:rFonts w:hint="eastAsia"/>
          <w:color w:val="auto"/>
          <w:sz w:val="24"/>
          <w:szCs w:val="24"/>
        </w:rPr>
        <w:t xml:space="preserve">  </w:t>
      </w:r>
    </w:p>
    <w:sdt>
      <w:sdtPr>
        <w:rPr>
          <w:rFonts w:ascii="Times New Roman" w:hAnsi="Times New Roman" w:eastAsia="宋体" w:cs="Times New Roman"/>
          <w:b/>
          <w:bCs/>
          <w:color w:val="auto"/>
          <w:sz w:val="21"/>
          <w:szCs w:val="21"/>
          <w:lang w:val="zh-CN"/>
        </w:rPr>
        <w:id w:val="-184756700"/>
        <w:docPartObj>
          <w:docPartGallery w:val="Table of Contents"/>
          <w:docPartUnique/>
        </w:docPartObj>
      </w:sdtPr>
      <w:sdtEndPr>
        <w:rPr>
          <w:rFonts w:ascii="Times New Roman" w:hAnsi="Times New Roman" w:eastAsia="宋体" w:cs="Times New Roman"/>
          <w:b/>
          <w:bCs/>
          <w:color w:val="auto"/>
          <w:sz w:val="21"/>
          <w:szCs w:val="21"/>
          <w:lang w:val="zh-CN"/>
        </w:rPr>
      </w:sdtEndPr>
      <w:sdtContent>
        <w:p>
          <w:pPr>
            <w:pStyle w:val="44"/>
            <w:spacing w:before="0" w:line="360" w:lineRule="auto"/>
            <w:jc w:val="center"/>
            <w:rPr>
              <w:rFonts w:hint="eastAsia" w:ascii="黑体" w:hAnsi="黑体" w:eastAsia="宋体"/>
              <w:b/>
              <w:bCs/>
              <w:color w:val="auto"/>
            </w:rPr>
          </w:pPr>
          <w:bookmarkStart w:id="0" w:name="OLE_LINK1"/>
          <w:r>
            <w:rPr>
              <w:rFonts w:ascii="黑体" w:hAnsi="黑体" w:eastAsia="宋体"/>
              <w:b/>
              <w:bCs/>
              <w:color w:val="auto"/>
              <w:lang w:val="zh-CN"/>
            </w:rPr>
            <w:t>目录</w:t>
          </w:r>
        </w:p>
        <w:p>
          <w:pPr>
            <w:pStyle w:val="13"/>
            <w:tabs>
              <w:tab w:val="right" w:leader="dot" w:pos="8312"/>
            </w:tabs>
            <w:spacing w:after="0" w:line="312" w:lineRule="auto"/>
            <w:rPr>
              <w:rFonts w:ascii="Times New Roman" w:hAnsi="Times New Roman"/>
              <w:color w:val="auto"/>
              <w:sz w:val="24"/>
            </w:rPr>
          </w:pPr>
          <w:bookmarkStart w:id="1" w:name="OLE_LINK4"/>
          <w:r>
            <w:rPr>
              <w:rFonts w:ascii="Times New Roman" w:hAnsi="Times New Roman"/>
              <w:color w:val="auto"/>
              <w:sz w:val="24"/>
            </w:rPr>
            <w:fldChar w:fldCharType="begin"/>
          </w:r>
          <w:r>
            <w:rPr>
              <w:rFonts w:ascii="Times New Roman" w:hAnsi="Times New Roman"/>
              <w:color w:val="auto"/>
              <w:sz w:val="24"/>
            </w:rPr>
            <w:instrText xml:space="preserve"> TOC \o "1-3" \h \z \u </w:instrText>
          </w:r>
          <w:r>
            <w:rPr>
              <w:rFonts w:ascii="Times New Roman" w:hAnsi="Times New Roman"/>
              <w:color w:val="auto"/>
              <w:sz w:val="24"/>
            </w:rPr>
            <w:fldChar w:fldCharType="separate"/>
          </w:r>
          <w:r>
            <w:fldChar w:fldCharType="begin"/>
          </w:r>
          <w:r>
            <w:instrText xml:space="preserve"> HYPERLINK \l "_Toc7192" </w:instrText>
          </w:r>
          <w:r>
            <w:fldChar w:fldCharType="separate"/>
          </w:r>
          <w:r>
            <w:rPr>
              <w:rFonts w:hint="eastAsia" w:ascii="Times New Roman" w:hAnsi="Times New Roman"/>
              <w:color w:val="auto"/>
              <w:kern w:val="44"/>
              <w:sz w:val="24"/>
              <w:szCs w:val="30"/>
            </w:rPr>
            <w:t>1  总 则</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_Toc7192 \h </w:instrText>
          </w:r>
          <w:r>
            <w:rPr>
              <w:rFonts w:ascii="Times New Roman" w:hAnsi="Times New Roman"/>
              <w:color w:val="auto"/>
              <w:sz w:val="24"/>
            </w:rPr>
            <w:fldChar w:fldCharType="separate"/>
          </w:r>
          <w:r>
            <w:rPr>
              <w:rFonts w:ascii="Times New Roman" w:hAnsi="Times New Roman"/>
              <w:color w:val="auto"/>
              <w:sz w:val="24"/>
            </w:rPr>
            <w:t>1</w:t>
          </w:r>
          <w:r>
            <w:rPr>
              <w:rFonts w:ascii="Times New Roman" w:hAnsi="Times New Roman"/>
              <w:color w:val="auto"/>
              <w:sz w:val="24"/>
            </w:rPr>
            <w:fldChar w:fldCharType="end"/>
          </w:r>
          <w:r>
            <w:rPr>
              <w:rFonts w:ascii="Times New Roman" w:hAnsi="Times New Roman"/>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"_Toc17032" </w:instrText>
          </w:r>
          <w:r>
            <w:fldChar w:fldCharType="separate"/>
          </w:r>
          <w:r>
            <w:rPr>
              <w:rFonts w:hint="eastAsia" w:ascii="Times New Roman" w:hAnsi="Times New Roman"/>
              <w:color w:val="auto"/>
              <w:kern w:val="44"/>
              <w:sz w:val="24"/>
              <w:szCs w:val="30"/>
            </w:rPr>
            <w:t>2</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术 语</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_Toc17032 \h </w:instrText>
          </w:r>
          <w:r>
            <w:rPr>
              <w:rFonts w:ascii="Times New Roman" w:hAnsi="Times New Roman"/>
              <w:color w:val="auto"/>
              <w:sz w:val="24"/>
            </w:rPr>
            <w:fldChar w:fldCharType="separate"/>
          </w:r>
          <w:r>
            <w:rPr>
              <w:rFonts w:ascii="Times New Roman" w:hAnsi="Times New Roman"/>
              <w:color w:val="auto"/>
              <w:sz w:val="24"/>
            </w:rPr>
            <w:t>2</w:t>
          </w:r>
          <w:r>
            <w:rPr>
              <w:rFonts w:ascii="Times New Roman" w:hAnsi="Times New Roman"/>
              <w:color w:val="auto"/>
              <w:sz w:val="24"/>
            </w:rPr>
            <w:fldChar w:fldCharType="end"/>
          </w:r>
          <w:r>
            <w:rPr>
              <w:rFonts w:ascii="Times New Roman" w:hAnsi="Times New Roman"/>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"_Toc6432" </w:instrText>
          </w:r>
          <w:r>
            <w:fldChar w:fldCharType="separate"/>
          </w:r>
          <w:r>
            <w:rPr>
              <w:rFonts w:hint="eastAsia" w:ascii="Times New Roman" w:hAnsi="Times New Roman" w:cs="宋体"/>
              <w:color w:val="auto"/>
              <w:kern w:val="44"/>
              <w:sz w:val="24"/>
              <w:szCs w:val="30"/>
            </w:rPr>
            <w:t>3  原材料</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_Toc6432 \h </w:instrText>
          </w:r>
          <w:r>
            <w:rPr>
              <w:rFonts w:ascii="Times New Roman" w:hAnsi="Times New Roman"/>
              <w:color w:val="auto"/>
              <w:sz w:val="24"/>
            </w:rPr>
            <w:fldChar w:fldCharType="separate"/>
          </w:r>
          <w:r>
            <w:rPr>
              <w:rFonts w:ascii="Times New Roman" w:hAnsi="Times New Roman"/>
              <w:color w:val="auto"/>
              <w:sz w:val="24"/>
            </w:rPr>
            <w:t>3</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"_Toc2382" </w:instrText>
          </w:r>
          <w:r>
            <w:fldChar w:fldCharType="separate"/>
          </w:r>
          <w:r>
            <w:rPr>
              <w:rFonts w:hint="eastAsia" w:cs="黑体"/>
              <w:color w:val="auto"/>
              <w:sz w:val="24"/>
              <w:szCs w:val="24"/>
            </w:rPr>
            <w:t>3.1  水泥</w:t>
          </w:r>
          <w:r>
            <w:rPr>
              <w:color w:val="auto"/>
              <w:sz w:val="24"/>
            </w:rPr>
            <w:tab/>
          </w:r>
          <w:r>
            <w:rPr>
              <w:color w:val="auto"/>
              <w:sz w:val="24"/>
            </w:rPr>
            <w:fldChar w:fldCharType="begin"/>
          </w:r>
          <w:r>
            <w:rPr>
              <w:color w:val="auto"/>
              <w:sz w:val="24"/>
            </w:rPr>
            <w:instrText xml:space="preserve"> PAGEREF _Toc2382 \h </w:instrText>
          </w:r>
          <w:r>
            <w:rPr>
              <w:color w:val="auto"/>
              <w:sz w:val="24"/>
            </w:rPr>
            <w:fldChar w:fldCharType="separate"/>
          </w:r>
          <w:r>
            <w:rPr>
              <w:color w:val="auto"/>
              <w:sz w:val="24"/>
            </w:rPr>
            <w:t>3</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"_Toc10195" </w:instrText>
          </w:r>
          <w:r>
            <w:fldChar w:fldCharType="separate"/>
          </w:r>
          <w:r>
            <w:rPr>
              <w:rFonts w:hint="eastAsia" w:cs="黑体"/>
              <w:color w:val="auto"/>
              <w:sz w:val="24"/>
              <w:szCs w:val="24"/>
            </w:rPr>
            <w:t>3.2  矿物掺合料</w:t>
          </w:r>
          <w:r>
            <w:rPr>
              <w:color w:val="auto"/>
              <w:sz w:val="24"/>
            </w:rPr>
            <w:tab/>
          </w:r>
          <w:r>
            <w:rPr>
              <w:color w:val="auto"/>
              <w:sz w:val="24"/>
            </w:rPr>
            <w:fldChar w:fldCharType="begin"/>
          </w:r>
          <w:r>
            <w:rPr>
              <w:color w:val="auto"/>
              <w:sz w:val="24"/>
            </w:rPr>
            <w:instrText xml:space="preserve"> PAGEREF _Toc10195 \h </w:instrText>
          </w:r>
          <w:r>
            <w:rPr>
              <w:color w:val="auto"/>
              <w:sz w:val="24"/>
            </w:rPr>
            <w:fldChar w:fldCharType="separate"/>
          </w:r>
          <w:r>
            <w:rPr>
              <w:color w:val="auto"/>
              <w:sz w:val="24"/>
            </w:rPr>
            <w:t>3</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"_Toc24136" </w:instrText>
          </w:r>
          <w:r>
            <w:fldChar w:fldCharType="separate"/>
          </w:r>
          <w:r>
            <w:rPr>
              <w:rFonts w:hint="eastAsia" w:cs="黑体"/>
              <w:color w:val="auto"/>
              <w:sz w:val="24"/>
              <w:szCs w:val="24"/>
            </w:rPr>
            <w:t>3.3  骨料</w:t>
          </w:r>
          <w:r>
            <w:rPr>
              <w:color w:val="auto"/>
              <w:sz w:val="24"/>
            </w:rPr>
            <w:tab/>
          </w:r>
          <w:r>
            <w:rPr>
              <w:color w:val="auto"/>
              <w:sz w:val="24"/>
            </w:rPr>
            <w:fldChar w:fldCharType="begin"/>
          </w:r>
          <w:r>
            <w:rPr>
              <w:color w:val="auto"/>
              <w:sz w:val="24"/>
            </w:rPr>
            <w:instrText xml:space="preserve"> PAGEREF _Toc24136 \h </w:instrText>
          </w:r>
          <w:r>
            <w:rPr>
              <w:color w:val="auto"/>
              <w:sz w:val="24"/>
            </w:rPr>
            <w:fldChar w:fldCharType="separate"/>
          </w:r>
          <w:r>
            <w:rPr>
              <w:color w:val="auto"/>
              <w:sz w:val="24"/>
            </w:rPr>
            <w:t>3</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"_Toc10056" </w:instrText>
          </w:r>
          <w:r>
            <w:fldChar w:fldCharType="separate"/>
          </w:r>
          <w:r>
            <w:rPr>
              <w:rFonts w:hint="eastAsia" w:cs="黑体"/>
              <w:color w:val="auto"/>
              <w:sz w:val="24"/>
              <w:szCs w:val="24"/>
            </w:rPr>
            <w:t>3.4  外加剂</w:t>
          </w:r>
          <w:r>
            <w:rPr>
              <w:color w:val="auto"/>
              <w:sz w:val="24"/>
            </w:rPr>
            <w:tab/>
          </w:r>
          <w:r>
            <w:rPr>
              <w:color w:val="auto"/>
              <w:sz w:val="24"/>
            </w:rPr>
            <w:fldChar w:fldCharType="begin"/>
          </w:r>
          <w:r>
            <w:rPr>
              <w:color w:val="auto"/>
              <w:sz w:val="24"/>
            </w:rPr>
            <w:instrText xml:space="preserve"> PAGEREF _Toc10056 \h </w:instrText>
          </w:r>
          <w:r>
            <w:rPr>
              <w:color w:val="auto"/>
              <w:sz w:val="24"/>
            </w:rPr>
            <w:fldChar w:fldCharType="separate"/>
          </w:r>
          <w:r>
            <w:rPr>
              <w:color w:val="auto"/>
              <w:sz w:val="24"/>
            </w:rPr>
            <w:t>3</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"_Toc24541" </w:instrText>
          </w:r>
          <w:r>
            <w:fldChar w:fldCharType="separate"/>
          </w:r>
          <w:r>
            <w:rPr>
              <w:rFonts w:hint="eastAsia" w:cs="黑体"/>
              <w:color w:val="auto"/>
              <w:sz w:val="24"/>
              <w:szCs w:val="24"/>
            </w:rPr>
            <w:t>3.5  纤维</w:t>
          </w:r>
          <w:r>
            <w:rPr>
              <w:color w:val="auto"/>
              <w:sz w:val="24"/>
            </w:rPr>
            <w:tab/>
          </w:r>
          <w:r>
            <w:rPr>
              <w:color w:val="auto"/>
              <w:sz w:val="24"/>
            </w:rPr>
            <w:fldChar w:fldCharType="begin"/>
          </w:r>
          <w:r>
            <w:rPr>
              <w:color w:val="auto"/>
              <w:sz w:val="24"/>
            </w:rPr>
            <w:instrText xml:space="preserve"> PAGEREF _Toc24541 \h </w:instrText>
          </w:r>
          <w:r>
            <w:rPr>
              <w:color w:val="auto"/>
              <w:sz w:val="24"/>
            </w:rPr>
            <w:fldChar w:fldCharType="separate"/>
          </w:r>
          <w:r>
            <w:rPr>
              <w:color w:val="auto"/>
              <w:sz w:val="24"/>
            </w:rPr>
            <w:t>3</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"_Toc12625" </w:instrText>
          </w:r>
          <w:r>
            <w:fldChar w:fldCharType="separate"/>
          </w:r>
          <w:r>
            <w:rPr>
              <w:rFonts w:hint="eastAsia" w:ascii="Times New Roman" w:hAnsi="Times New Roman"/>
              <w:color w:val="auto"/>
              <w:kern w:val="44"/>
              <w:sz w:val="24"/>
              <w:szCs w:val="30"/>
            </w:rPr>
            <w:t>4</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分类和标记</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_Toc12625 \h </w:instrText>
          </w:r>
          <w:r>
            <w:rPr>
              <w:rFonts w:ascii="Times New Roman" w:hAnsi="Times New Roman"/>
              <w:color w:val="auto"/>
              <w:sz w:val="24"/>
            </w:rPr>
            <w:fldChar w:fldCharType="separate"/>
          </w:r>
          <w:r>
            <w:rPr>
              <w:rFonts w:ascii="Times New Roman" w:hAnsi="Times New Roman"/>
              <w:color w:val="auto"/>
              <w:sz w:val="24"/>
            </w:rPr>
            <w:t>5</w:t>
          </w:r>
          <w:r>
            <w:rPr>
              <w:rFonts w:ascii="Times New Roman" w:hAnsi="Times New Roman"/>
              <w:color w:val="auto"/>
              <w:sz w:val="24"/>
            </w:rPr>
            <w:fldChar w:fldCharType="end"/>
          </w:r>
          <w:r>
            <w:rPr>
              <w:rFonts w:ascii="Times New Roman" w:hAnsi="Times New Roman"/>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"_Toc27024" </w:instrText>
          </w:r>
          <w:r>
            <w:fldChar w:fldCharType="separate"/>
          </w:r>
          <w:r>
            <w:rPr>
              <w:rFonts w:hint="eastAsia" w:ascii="Times New Roman" w:hAnsi="Times New Roman"/>
              <w:color w:val="auto"/>
              <w:kern w:val="44"/>
              <w:sz w:val="24"/>
              <w:szCs w:val="30"/>
            </w:rPr>
            <w:t>5</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性能要求</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_Toc27024 \h </w:instrText>
          </w:r>
          <w:r>
            <w:rPr>
              <w:rFonts w:ascii="Times New Roman" w:hAnsi="Times New Roman"/>
              <w:color w:val="auto"/>
              <w:sz w:val="24"/>
            </w:rPr>
            <w:fldChar w:fldCharType="separate"/>
          </w:r>
          <w:r>
            <w:rPr>
              <w:rFonts w:ascii="Times New Roman" w:hAnsi="Times New Roman"/>
              <w:color w:val="auto"/>
              <w:sz w:val="24"/>
            </w:rPr>
            <w:t>6</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"_Toc8306" </w:instrText>
          </w:r>
          <w:r>
            <w:fldChar w:fldCharType="separate"/>
          </w:r>
          <w:r>
            <w:rPr>
              <w:rFonts w:hint="eastAsia" w:cs="黑体"/>
              <w:color w:val="auto"/>
              <w:sz w:val="24"/>
              <w:szCs w:val="24"/>
            </w:rPr>
            <w:t>5.1  新拌性能和力学性能</w:t>
          </w:r>
          <w:r>
            <w:rPr>
              <w:color w:val="auto"/>
              <w:sz w:val="24"/>
            </w:rPr>
            <w:tab/>
          </w:r>
          <w:r>
            <w:rPr>
              <w:color w:val="auto"/>
              <w:sz w:val="24"/>
            </w:rPr>
            <w:fldChar w:fldCharType="begin"/>
          </w:r>
          <w:r>
            <w:rPr>
              <w:color w:val="auto"/>
              <w:sz w:val="24"/>
            </w:rPr>
            <w:instrText xml:space="preserve"> PAGEREF _Toc8306 \h </w:instrText>
          </w:r>
          <w:r>
            <w:rPr>
              <w:color w:val="auto"/>
              <w:sz w:val="24"/>
            </w:rPr>
            <w:fldChar w:fldCharType="separate"/>
          </w:r>
          <w:r>
            <w:rPr>
              <w:color w:val="auto"/>
              <w:sz w:val="24"/>
            </w:rPr>
            <w:t>6</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"_Toc27802" </w:instrText>
          </w:r>
          <w:r>
            <w:fldChar w:fldCharType="separate"/>
          </w:r>
          <w:r>
            <w:rPr>
              <w:rFonts w:hint="eastAsia" w:cs="黑体"/>
              <w:color w:val="auto"/>
              <w:sz w:val="24"/>
              <w:szCs w:val="24"/>
            </w:rPr>
            <w:t>5.2  长期性能和耐久性能</w:t>
          </w:r>
          <w:r>
            <w:rPr>
              <w:color w:val="auto"/>
              <w:sz w:val="24"/>
            </w:rPr>
            <w:tab/>
          </w:r>
          <w:r>
            <w:rPr>
              <w:color w:val="auto"/>
              <w:sz w:val="24"/>
            </w:rPr>
            <w:fldChar w:fldCharType="begin"/>
          </w:r>
          <w:r>
            <w:rPr>
              <w:color w:val="auto"/>
              <w:sz w:val="24"/>
            </w:rPr>
            <w:instrText xml:space="preserve"> PAGEREF _Toc27802 \h </w:instrText>
          </w:r>
          <w:r>
            <w:rPr>
              <w:color w:val="auto"/>
              <w:sz w:val="24"/>
            </w:rPr>
            <w:fldChar w:fldCharType="separate"/>
          </w:r>
          <w:r>
            <w:rPr>
              <w:color w:val="auto"/>
              <w:sz w:val="24"/>
            </w:rPr>
            <w:t>6</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"_Toc18085" </w:instrText>
          </w:r>
          <w:r>
            <w:fldChar w:fldCharType="separate"/>
          </w:r>
          <w:r>
            <w:rPr>
              <w:rFonts w:hint="eastAsia" w:ascii="Times New Roman" w:hAnsi="Times New Roman"/>
              <w:color w:val="auto"/>
              <w:kern w:val="44"/>
              <w:sz w:val="24"/>
              <w:szCs w:val="30"/>
            </w:rPr>
            <w:t>6</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混凝土配合比设计</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_Toc18085 \h </w:instrText>
          </w:r>
          <w:r>
            <w:rPr>
              <w:rFonts w:ascii="Times New Roman" w:hAnsi="Times New Roman"/>
              <w:color w:val="auto"/>
              <w:sz w:val="24"/>
            </w:rPr>
            <w:fldChar w:fldCharType="separate"/>
          </w:r>
          <w:r>
            <w:rPr>
              <w:rFonts w:ascii="Times New Roman" w:hAnsi="Times New Roman"/>
              <w:color w:val="auto"/>
              <w:sz w:val="24"/>
            </w:rPr>
            <w:t>7</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"_Toc2609" </w:instrText>
          </w:r>
          <w:r>
            <w:fldChar w:fldCharType="separate"/>
          </w:r>
          <w:r>
            <w:rPr>
              <w:rFonts w:hint="eastAsia" w:cs="黑体"/>
              <w:color w:val="auto"/>
              <w:sz w:val="24"/>
              <w:szCs w:val="24"/>
            </w:rPr>
            <w:t>6.1  一般规定</w:t>
          </w:r>
          <w:r>
            <w:rPr>
              <w:color w:val="auto"/>
              <w:sz w:val="24"/>
            </w:rPr>
            <w:tab/>
          </w:r>
          <w:r>
            <w:rPr>
              <w:color w:val="auto"/>
              <w:sz w:val="24"/>
            </w:rPr>
            <w:fldChar w:fldCharType="begin"/>
          </w:r>
          <w:r>
            <w:rPr>
              <w:color w:val="auto"/>
              <w:sz w:val="24"/>
            </w:rPr>
            <w:instrText xml:space="preserve"> PAGEREF _Toc2609 \h </w:instrText>
          </w:r>
          <w:r>
            <w:rPr>
              <w:color w:val="auto"/>
              <w:sz w:val="24"/>
            </w:rPr>
            <w:fldChar w:fldCharType="separate"/>
          </w:r>
          <w:r>
            <w:rPr>
              <w:color w:val="auto"/>
              <w:sz w:val="24"/>
            </w:rPr>
            <w:t>7</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"_Toc25338" </w:instrText>
          </w:r>
          <w:r>
            <w:fldChar w:fldCharType="separate"/>
          </w:r>
          <w:r>
            <w:rPr>
              <w:rFonts w:hint="eastAsia" w:cs="黑体"/>
              <w:color w:val="auto"/>
              <w:sz w:val="24"/>
              <w:szCs w:val="24"/>
            </w:rPr>
            <w:t>6.2  主要参数</w:t>
          </w:r>
          <w:r>
            <w:rPr>
              <w:color w:val="auto"/>
              <w:sz w:val="24"/>
            </w:rPr>
            <w:tab/>
          </w:r>
          <w:r>
            <w:rPr>
              <w:color w:val="auto"/>
              <w:sz w:val="24"/>
            </w:rPr>
            <w:fldChar w:fldCharType="begin"/>
          </w:r>
          <w:r>
            <w:rPr>
              <w:color w:val="auto"/>
              <w:sz w:val="24"/>
            </w:rPr>
            <w:instrText xml:space="preserve"> PAGEREF _Toc25338 \h </w:instrText>
          </w:r>
          <w:r>
            <w:rPr>
              <w:color w:val="auto"/>
              <w:sz w:val="24"/>
            </w:rPr>
            <w:fldChar w:fldCharType="separate"/>
          </w:r>
          <w:r>
            <w:rPr>
              <w:color w:val="auto"/>
              <w:sz w:val="24"/>
            </w:rPr>
            <w:t>7</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"_Toc25861" </w:instrText>
          </w:r>
          <w:r>
            <w:fldChar w:fldCharType="separate"/>
          </w:r>
          <w:r>
            <w:rPr>
              <w:rFonts w:hint="eastAsia" w:ascii="Times New Roman" w:hAnsi="Times New Roman"/>
              <w:color w:val="auto"/>
              <w:kern w:val="44"/>
              <w:sz w:val="24"/>
              <w:szCs w:val="30"/>
            </w:rPr>
            <w:t>7</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试验方法</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_Toc25861 \h </w:instrText>
          </w:r>
          <w:r>
            <w:rPr>
              <w:rFonts w:ascii="Times New Roman" w:hAnsi="Times New Roman"/>
              <w:color w:val="auto"/>
              <w:sz w:val="24"/>
            </w:rPr>
            <w:fldChar w:fldCharType="separate"/>
          </w:r>
          <w:r>
            <w:rPr>
              <w:rFonts w:ascii="Times New Roman" w:hAnsi="Times New Roman"/>
              <w:color w:val="auto"/>
              <w:sz w:val="24"/>
            </w:rPr>
            <w:t>9</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"_Toc5537" </w:instrText>
          </w:r>
          <w:r>
            <w:fldChar w:fldCharType="separate"/>
          </w:r>
          <w:r>
            <w:rPr>
              <w:rFonts w:hint="eastAsia" w:cs="黑体"/>
              <w:color w:val="auto"/>
              <w:sz w:val="24"/>
              <w:szCs w:val="24"/>
            </w:rPr>
            <w:t>7.1  试验条件</w:t>
          </w:r>
          <w:r>
            <w:rPr>
              <w:color w:val="auto"/>
              <w:sz w:val="24"/>
            </w:rPr>
            <w:tab/>
          </w:r>
          <w:r>
            <w:rPr>
              <w:color w:val="auto"/>
              <w:sz w:val="24"/>
            </w:rPr>
            <w:fldChar w:fldCharType="begin"/>
          </w:r>
          <w:r>
            <w:rPr>
              <w:color w:val="auto"/>
              <w:sz w:val="24"/>
            </w:rPr>
            <w:instrText xml:space="preserve"> PAGEREF _Toc5537 \h </w:instrText>
          </w:r>
          <w:r>
            <w:rPr>
              <w:color w:val="auto"/>
              <w:sz w:val="24"/>
            </w:rPr>
            <w:fldChar w:fldCharType="separate"/>
          </w:r>
          <w:r>
            <w:rPr>
              <w:color w:val="auto"/>
              <w:sz w:val="24"/>
            </w:rPr>
            <w:t>9</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"_Toc3013" </w:instrText>
          </w:r>
          <w:r>
            <w:fldChar w:fldCharType="separate"/>
          </w:r>
          <w:r>
            <w:rPr>
              <w:rFonts w:hint="eastAsia" w:cs="黑体"/>
              <w:color w:val="auto"/>
              <w:sz w:val="24"/>
              <w:szCs w:val="24"/>
            </w:rPr>
            <w:t>7.2  新拌性能与初凝时间</w:t>
          </w:r>
          <w:r>
            <w:rPr>
              <w:color w:val="auto"/>
              <w:sz w:val="24"/>
            </w:rPr>
            <w:tab/>
          </w:r>
          <w:r>
            <w:rPr>
              <w:color w:val="auto"/>
              <w:sz w:val="24"/>
            </w:rPr>
            <w:fldChar w:fldCharType="begin"/>
          </w:r>
          <w:r>
            <w:rPr>
              <w:color w:val="auto"/>
              <w:sz w:val="24"/>
            </w:rPr>
            <w:instrText xml:space="preserve"> PAGEREF _Toc3013 \h </w:instrText>
          </w:r>
          <w:r>
            <w:rPr>
              <w:color w:val="auto"/>
              <w:sz w:val="24"/>
            </w:rPr>
            <w:fldChar w:fldCharType="separate"/>
          </w:r>
          <w:r>
            <w:rPr>
              <w:color w:val="auto"/>
              <w:sz w:val="24"/>
            </w:rPr>
            <w:t>9</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"_Toc19681" </w:instrText>
          </w:r>
          <w:r>
            <w:fldChar w:fldCharType="separate"/>
          </w:r>
          <w:r>
            <w:rPr>
              <w:rFonts w:hint="eastAsia" w:cs="黑体"/>
              <w:color w:val="auto"/>
              <w:sz w:val="24"/>
              <w:szCs w:val="24"/>
            </w:rPr>
            <w:t>7.3  力学性能</w:t>
          </w:r>
          <w:r>
            <w:rPr>
              <w:color w:val="auto"/>
              <w:sz w:val="24"/>
            </w:rPr>
            <w:tab/>
          </w:r>
          <w:r>
            <w:rPr>
              <w:color w:val="auto"/>
              <w:sz w:val="24"/>
            </w:rPr>
            <w:fldChar w:fldCharType="begin"/>
          </w:r>
          <w:r>
            <w:rPr>
              <w:color w:val="auto"/>
              <w:sz w:val="24"/>
            </w:rPr>
            <w:instrText xml:space="preserve"> PAGEREF _Toc19681 \h </w:instrText>
          </w:r>
          <w:r>
            <w:rPr>
              <w:color w:val="auto"/>
              <w:sz w:val="24"/>
            </w:rPr>
            <w:fldChar w:fldCharType="separate"/>
          </w:r>
          <w:r>
            <w:rPr>
              <w:color w:val="auto"/>
              <w:sz w:val="24"/>
            </w:rPr>
            <w:t>9</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"_Toc11431" </w:instrText>
          </w:r>
          <w:r>
            <w:fldChar w:fldCharType="separate"/>
          </w:r>
          <w:r>
            <w:rPr>
              <w:rFonts w:hint="eastAsia" w:cs="黑体"/>
              <w:color w:val="auto"/>
              <w:sz w:val="24"/>
              <w:szCs w:val="24"/>
            </w:rPr>
            <w:t>7.4  耐久性能</w:t>
          </w:r>
          <w:r>
            <w:rPr>
              <w:color w:val="auto"/>
              <w:sz w:val="24"/>
            </w:rPr>
            <w:tab/>
          </w:r>
          <w:r>
            <w:rPr>
              <w:color w:val="auto"/>
              <w:sz w:val="24"/>
            </w:rPr>
            <w:fldChar w:fldCharType="begin"/>
          </w:r>
          <w:r>
            <w:rPr>
              <w:color w:val="auto"/>
              <w:sz w:val="24"/>
            </w:rPr>
            <w:instrText xml:space="preserve"> PAGEREF _Toc11431 \h </w:instrText>
          </w:r>
          <w:r>
            <w:rPr>
              <w:color w:val="auto"/>
              <w:sz w:val="24"/>
            </w:rPr>
            <w:fldChar w:fldCharType="separate"/>
          </w:r>
          <w:r>
            <w:rPr>
              <w:color w:val="auto"/>
              <w:sz w:val="24"/>
            </w:rPr>
            <w:t>10</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"_Toc15097" </w:instrText>
          </w:r>
          <w:r>
            <w:fldChar w:fldCharType="separate"/>
          </w:r>
          <w:r>
            <w:rPr>
              <w:rFonts w:hint="eastAsia" w:ascii="Times New Roman" w:hAnsi="Times New Roman"/>
              <w:color w:val="auto"/>
              <w:kern w:val="44"/>
              <w:sz w:val="24"/>
              <w:szCs w:val="30"/>
            </w:rPr>
            <w:t>8</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检验规则</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_Toc15097 \h </w:instrText>
          </w:r>
          <w:r>
            <w:rPr>
              <w:rFonts w:ascii="Times New Roman" w:hAnsi="Times New Roman"/>
              <w:color w:val="auto"/>
              <w:sz w:val="24"/>
            </w:rPr>
            <w:fldChar w:fldCharType="separate"/>
          </w:r>
          <w:r>
            <w:rPr>
              <w:rFonts w:ascii="Times New Roman" w:hAnsi="Times New Roman"/>
              <w:color w:val="auto"/>
              <w:sz w:val="24"/>
            </w:rPr>
            <w:t>11</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"_Toc579" </w:instrText>
          </w:r>
          <w:r>
            <w:fldChar w:fldCharType="separate"/>
          </w:r>
          <w:r>
            <w:rPr>
              <w:rFonts w:hint="eastAsia" w:cs="黑体"/>
              <w:color w:val="auto"/>
              <w:sz w:val="24"/>
              <w:szCs w:val="24"/>
            </w:rPr>
            <w:t>8.1  质量检验</w:t>
          </w:r>
          <w:r>
            <w:rPr>
              <w:color w:val="auto"/>
              <w:sz w:val="24"/>
            </w:rPr>
            <w:tab/>
          </w:r>
          <w:r>
            <w:rPr>
              <w:color w:val="auto"/>
              <w:sz w:val="24"/>
            </w:rPr>
            <w:fldChar w:fldCharType="begin"/>
          </w:r>
          <w:r>
            <w:rPr>
              <w:color w:val="auto"/>
              <w:sz w:val="24"/>
            </w:rPr>
            <w:instrText xml:space="preserve"> PAGEREF _Toc579 \h </w:instrText>
          </w:r>
          <w:r>
            <w:rPr>
              <w:color w:val="auto"/>
              <w:sz w:val="24"/>
            </w:rPr>
            <w:fldChar w:fldCharType="separate"/>
          </w:r>
          <w:r>
            <w:rPr>
              <w:color w:val="auto"/>
              <w:sz w:val="24"/>
            </w:rPr>
            <w:t>11</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"_Toc9236" </w:instrText>
          </w:r>
          <w:r>
            <w:fldChar w:fldCharType="separate"/>
          </w:r>
          <w:r>
            <w:rPr>
              <w:rFonts w:hint="eastAsia" w:cs="黑体"/>
              <w:color w:val="auto"/>
              <w:sz w:val="24"/>
              <w:szCs w:val="24"/>
            </w:rPr>
            <w:t>8.2  检测项目</w:t>
          </w:r>
          <w:r>
            <w:rPr>
              <w:color w:val="auto"/>
              <w:sz w:val="24"/>
            </w:rPr>
            <w:tab/>
          </w:r>
          <w:r>
            <w:rPr>
              <w:color w:val="auto"/>
              <w:sz w:val="24"/>
            </w:rPr>
            <w:fldChar w:fldCharType="begin"/>
          </w:r>
          <w:r>
            <w:rPr>
              <w:color w:val="auto"/>
              <w:sz w:val="24"/>
            </w:rPr>
            <w:instrText xml:space="preserve"> PAGEREF _Toc9236 \h </w:instrText>
          </w:r>
          <w:r>
            <w:rPr>
              <w:color w:val="auto"/>
              <w:sz w:val="24"/>
            </w:rPr>
            <w:fldChar w:fldCharType="separate"/>
          </w:r>
          <w:r>
            <w:rPr>
              <w:color w:val="auto"/>
              <w:sz w:val="24"/>
            </w:rPr>
            <w:t>11</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"_Toc11335" </w:instrText>
          </w:r>
          <w:r>
            <w:fldChar w:fldCharType="separate"/>
          </w:r>
          <w:r>
            <w:rPr>
              <w:rFonts w:hint="eastAsia" w:cs="黑体"/>
              <w:color w:val="auto"/>
              <w:sz w:val="24"/>
              <w:szCs w:val="24"/>
            </w:rPr>
            <w:t>8.3  批量与抽样</w:t>
          </w:r>
          <w:r>
            <w:rPr>
              <w:color w:val="auto"/>
              <w:sz w:val="24"/>
            </w:rPr>
            <w:tab/>
          </w:r>
          <w:r>
            <w:rPr>
              <w:color w:val="auto"/>
              <w:sz w:val="24"/>
            </w:rPr>
            <w:fldChar w:fldCharType="begin"/>
          </w:r>
          <w:r>
            <w:rPr>
              <w:color w:val="auto"/>
              <w:sz w:val="24"/>
            </w:rPr>
            <w:instrText xml:space="preserve"> PAGEREF _Toc11335 \h </w:instrText>
          </w:r>
          <w:r>
            <w:rPr>
              <w:color w:val="auto"/>
              <w:sz w:val="24"/>
            </w:rPr>
            <w:fldChar w:fldCharType="separate"/>
          </w:r>
          <w:r>
            <w:rPr>
              <w:color w:val="auto"/>
              <w:sz w:val="24"/>
            </w:rPr>
            <w:t>12</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"_Toc3238" </w:instrText>
          </w:r>
          <w:r>
            <w:fldChar w:fldCharType="separate"/>
          </w:r>
          <w:r>
            <w:rPr>
              <w:rFonts w:hint="eastAsia" w:cs="黑体"/>
              <w:color w:val="auto"/>
              <w:sz w:val="24"/>
              <w:szCs w:val="24"/>
            </w:rPr>
            <w:t>8.4  判定规则</w:t>
          </w:r>
          <w:r>
            <w:rPr>
              <w:color w:val="auto"/>
              <w:sz w:val="24"/>
            </w:rPr>
            <w:tab/>
          </w:r>
          <w:r>
            <w:rPr>
              <w:color w:val="auto"/>
              <w:sz w:val="24"/>
            </w:rPr>
            <w:fldChar w:fldCharType="begin"/>
          </w:r>
          <w:r>
            <w:rPr>
              <w:color w:val="auto"/>
              <w:sz w:val="24"/>
            </w:rPr>
            <w:instrText xml:space="preserve"> PAGEREF _Toc3238 \h </w:instrText>
          </w:r>
          <w:r>
            <w:rPr>
              <w:color w:val="auto"/>
              <w:sz w:val="24"/>
            </w:rPr>
            <w:fldChar w:fldCharType="separate"/>
          </w:r>
          <w:r>
            <w:rPr>
              <w:color w:val="auto"/>
              <w:sz w:val="24"/>
            </w:rPr>
            <w:t>12</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"_Toc31440" </w:instrText>
          </w:r>
          <w:r>
            <w:fldChar w:fldCharType="separate"/>
          </w:r>
          <w:r>
            <w:rPr>
              <w:rFonts w:hint="eastAsia" w:ascii="Times New Roman" w:hAnsi="Times New Roman"/>
              <w:color w:val="auto"/>
              <w:kern w:val="44"/>
              <w:sz w:val="24"/>
              <w:szCs w:val="30"/>
            </w:rPr>
            <w:t>9</w:t>
          </w:r>
          <w:r>
            <w:rPr>
              <w:rFonts w:ascii="Times New Roman" w:hAnsi="Times New Roman"/>
              <w:color w:val="auto"/>
              <w:kern w:val="44"/>
              <w:sz w:val="24"/>
              <w:szCs w:val="30"/>
            </w:rPr>
            <w:t xml:space="preserve">  </w:t>
          </w:r>
          <w:r>
            <w:rPr>
              <w:rFonts w:hint="eastAsia" w:ascii="Times New Roman" w:hAnsi="Times New Roman"/>
              <w:color w:val="auto"/>
              <w:kern w:val="44"/>
              <w:sz w:val="24"/>
              <w:szCs w:val="30"/>
            </w:rPr>
            <w:t>标志、包装、运输与储存</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_Toc31440 \h </w:instrText>
          </w:r>
          <w:r>
            <w:rPr>
              <w:rFonts w:ascii="Times New Roman" w:hAnsi="Times New Roman"/>
              <w:color w:val="auto"/>
              <w:sz w:val="24"/>
            </w:rPr>
            <w:fldChar w:fldCharType="separate"/>
          </w:r>
          <w:r>
            <w:rPr>
              <w:rFonts w:ascii="Times New Roman" w:hAnsi="Times New Roman"/>
              <w:color w:val="auto"/>
              <w:sz w:val="24"/>
            </w:rPr>
            <w:t>13</w:t>
          </w:r>
          <w:r>
            <w:rPr>
              <w:rFonts w:ascii="Times New Roman" w:hAnsi="Times New Roman"/>
              <w:color w:val="auto"/>
              <w:sz w:val="24"/>
            </w:rPr>
            <w:fldChar w:fldCharType="end"/>
          </w:r>
          <w:r>
            <w:rPr>
              <w:rFonts w:ascii="Times New Roman" w:hAnsi="Times New Roman"/>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"_Toc21489" </w:instrText>
          </w:r>
          <w:r>
            <w:fldChar w:fldCharType="separate"/>
          </w:r>
          <w:r>
            <w:rPr>
              <w:rFonts w:hint="eastAsia" w:cs="黑体"/>
              <w:color w:val="auto"/>
              <w:sz w:val="24"/>
              <w:szCs w:val="24"/>
            </w:rPr>
            <w:t>9.1  标志和包装</w:t>
          </w:r>
          <w:r>
            <w:rPr>
              <w:color w:val="auto"/>
              <w:sz w:val="24"/>
            </w:rPr>
            <w:tab/>
          </w:r>
          <w:r>
            <w:rPr>
              <w:color w:val="auto"/>
              <w:sz w:val="24"/>
            </w:rPr>
            <w:fldChar w:fldCharType="begin"/>
          </w:r>
          <w:r>
            <w:rPr>
              <w:color w:val="auto"/>
              <w:sz w:val="24"/>
            </w:rPr>
            <w:instrText xml:space="preserve"> PAGEREF _Toc21489 \h </w:instrText>
          </w:r>
          <w:r>
            <w:rPr>
              <w:color w:val="auto"/>
              <w:sz w:val="24"/>
            </w:rPr>
            <w:fldChar w:fldCharType="separate"/>
          </w:r>
          <w:r>
            <w:rPr>
              <w:color w:val="auto"/>
              <w:sz w:val="24"/>
            </w:rPr>
            <w:t>13</w:t>
          </w:r>
          <w:r>
            <w:rPr>
              <w:color w:val="auto"/>
              <w:sz w:val="24"/>
            </w:rPr>
            <w:fldChar w:fldCharType="end"/>
          </w:r>
          <w:r>
            <w:rPr>
              <w:color w:val="auto"/>
              <w:sz w:val="24"/>
            </w:rPr>
            <w:fldChar w:fldCharType="end"/>
          </w:r>
        </w:p>
        <w:p>
          <w:pPr>
            <w:pStyle w:val="14"/>
            <w:tabs>
              <w:tab w:val="right" w:leader="dot" w:pos="8312"/>
            </w:tabs>
            <w:spacing w:line="312" w:lineRule="auto"/>
            <w:rPr>
              <w:color w:val="auto"/>
              <w:sz w:val="24"/>
            </w:rPr>
          </w:pPr>
          <w:r>
            <w:fldChar w:fldCharType="begin"/>
          </w:r>
          <w:r>
            <w:instrText xml:space="preserve"> HYPERLINK \l "_Toc10593" </w:instrText>
          </w:r>
          <w:r>
            <w:fldChar w:fldCharType="separate"/>
          </w:r>
          <w:r>
            <w:rPr>
              <w:rFonts w:hint="eastAsia" w:cs="黑体"/>
              <w:color w:val="auto"/>
              <w:sz w:val="24"/>
              <w:szCs w:val="24"/>
            </w:rPr>
            <w:t>9.2  运输与储存</w:t>
          </w:r>
          <w:r>
            <w:rPr>
              <w:color w:val="auto"/>
              <w:sz w:val="24"/>
            </w:rPr>
            <w:tab/>
          </w:r>
          <w:r>
            <w:rPr>
              <w:color w:val="auto"/>
              <w:sz w:val="24"/>
            </w:rPr>
            <w:fldChar w:fldCharType="begin"/>
          </w:r>
          <w:r>
            <w:rPr>
              <w:color w:val="auto"/>
              <w:sz w:val="24"/>
            </w:rPr>
            <w:instrText xml:space="preserve"> PAGEREF _Toc10593 \h </w:instrText>
          </w:r>
          <w:r>
            <w:rPr>
              <w:color w:val="auto"/>
              <w:sz w:val="24"/>
            </w:rPr>
            <w:fldChar w:fldCharType="separate"/>
          </w:r>
          <w:r>
            <w:rPr>
              <w:color w:val="auto"/>
              <w:sz w:val="24"/>
            </w:rPr>
            <w:t>13</w:t>
          </w:r>
          <w:r>
            <w:rPr>
              <w:color w:val="auto"/>
              <w:sz w:val="24"/>
            </w:rPr>
            <w:fldChar w:fldCharType="end"/>
          </w:r>
          <w:r>
            <w:rPr>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"_Toc25481" </w:instrText>
          </w:r>
          <w:r>
            <w:fldChar w:fldCharType="separate"/>
          </w:r>
          <w:r>
            <w:rPr>
              <w:rFonts w:ascii="Times New Roman" w:hAnsi="Times New Roman"/>
              <w:color w:val="auto"/>
              <w:kern w:val="44"/>
              <w:sz w:val="24"/>
              <w:szCs w:val="30"/>
            </w:rPr>
            <w:t>本规程用词说明</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_Toc25481 \h </w:instrText>
          </w:r>
          <w:r>
            <w:rPr>
              <w:rFonts w:ascii="Times New Roman" w:hAnsi="Times New Roman"/>
              <w:color w:val="auto"/>
              <w:sz w:val="24"/>
            </w:rPr>
            <w:fldChar w:fldCharType="separate"/>
          </w:r>
          <w:r>
            <w:rPr>
              <w:rFonts w:ascii="Times New Roman" w:hAnsi="Times New Roman"/>
              <w:color w:val="auto"/>
              <w:sz w:val="24"/>
            </w:rPr>
            <w:t>14</w:t>
          </w:r>
          <w:r>
            <w:rPr>
              <w:rFonts w:ascii="Times New Roman" w:hAnsi="Times New Roman"/>
              <w:color w:val="auto"/>
              <w:sz w:val="24"/>
            </w:rPr>
            <w:fldChar w:fldCharType="end"/>
          </w:r>
          <w:r>
            <w:rPr>
              <w:rFonts w:ascii="Times New Roman" w:hAnsi="Times New Roman"/>
              <w:color w:val="auto"/>
              <w:sz w:val="24"/>
            </w:rPr>
            <w:fldChar w:fldCharType="end"/>
          </w:r>
        </w:p>
        <w:p>
          <w:pPr>
            <w:pStyle w:val="13"/>
            <w:tabs>
              <w:tab w:val="right" w:leader="dot" w:pos="8312"/>
            </w:tabs>
            <w:spacing w:after="0" w:line="312" w:lineRule="auto"/>
            <w:rPr>
              <w:rFonts w:ascii="Times New Roman" w:hAnsi="Times New Roman"/>
              <w:color w:val="auto"/>
              <w:sz w:val="24"/>
            </w:rPr>
          </w:pPr>
          <w:r>
            <w:fldChar w:fldCharType="begin"/>
          </w:r>
          <w:r>
            <w:instrText xml:space="preserve"> HYPERLINK \l "_Toc11992" </w:instrText>
          </w:r>
          <w:r>
            <w:fldChar w:fldCharType="separate"/>
          </w:r>
          <w:r>
            <w:rPr>
              <w:rFonts w:ascii="Times New Roman" w:hAnsi="Times New Roman"/>
              <w:color w:val="auto"/>
              <w:kern w:val="44"/>
              <w:sz w:val="24"/>
              <w:szCs w:val="30"/>
            </w:rPr>
            <w:t>引用标准名录</w:t>
          </w:r>
          <w:r>
            <w:rPr>
              <w:rFonts w:ascii="Times New Roman" w:hAnsi="Times New Roman"/>
              <w:color w:val="auto"/>
              <w:sz w:val="24"/>
            </w:rPr>
            <w:tab/>
          </w:r>
          <w:r>
            <w:rPr>
              <w:rFonts w:ascii="Times New Roman" w:hAnsi="Times New Roman"/>
              <w:color w:val="auto"/>
              <w:sz w:val="24"/>
            </w:rPr>
            <w:fldChar w:fldCharType="begin"/>
          </w:r>
          <w:r>
            <w:rPr>
              <w:rFonts w:ascii="Times New Roman" w:hAnsi="Times New Roman"/>
              <w:color w:val="auto"/>
              <w:sz w:val="24"/>
            </w:rPr>
            <w:instrText xml:space="preserve"> PAGEREF _Toc11992 \h </w:instrText>
          </w:r>
          <w:r>
            <w:rPr>
              <w:rFonts w:ascii="Times New Roman" w:hAnsi="Times New Roman"/>
              <w:color w:val="auto"/>
              <w:sz w:val="24"/>
            </w:rPr>
            <w:fldChar w:fldCharType="separate"/>
          </w:r>
          <w:r>
            <w:rPr>
              <w:rFonts w:ascii="Times New Roman" w:hAnsi="Times New Roman"/>
              <w:color w:val="auto"/>
              <w:sz w:val="24"/>
            </w:rPr>
            <w:t>15</w:t>
          </w:r>
          <w:r>
            <w:rPr>
              <w:rFonts w:ascii="Times New Roman" w:hAnsi="Times New Roman"/>
              <w:color w:val="auto"/>
              <w:sz w:val="24"/>
            </w:rPr>
            <w:fldChar w:fldCharType="end"/>
          </w:r>
          <w:r>
            <w:rPr>
              <w:rFonts w:ascii="Times New Roman" w:hAnsi="Times New Roman"/>
              <w:color w:val="auto"/>
              <w:sz w:val="24"/>
            </w:rPr>
            <w:fldChar w:fldCharType="end"/>
          </w:r>
        </w:p>
        <w:p>
          <w:pPr>
            <w:spacing w:line="312" w:lineRule="auto"/>
            <w:rPr>
              <w:color w:val="auto"/>
            </w:rPr>
          </w:pPr>
          <w:r>
            <w:rPr>
              <w:color w:val="auto"/>
              <w:sz w:val="24"/>
              <w:lang w:val="zh-CN"/>
            </w:rPr>
            <w:fldChar w:fldCharType="end"/>
          </w:r>
        </w:p>
      </w:sdtContent>
    </w:sdt>
    <w:bookmarkEnd w:id="0"/>
    <w:bookmarkEnd w:id="1"/>
    <w:p>
      <w:pPr>
        <w:widowControl/>
        <w:tabs>
          <w:tab w:val="right" w:leader="dot" w:pos="8312"/>
        </w:tabs>
        <w:spacing w:after="100" w:line="360" w:lineRule="auto"/>
        <w:jc w:val="center"/>
        <w:rPr>
          <w:rFonts w:ascii="Calibri" w:hAnsi="Calibri" w:cs="Calibri"/>
          <w:b/>
          <w:bCs/>
          <w:color w:val="auto"/>
          <w:sz w:val="30"/>
          <w:szCs w:val="30"/>
        </w:rPr>
      </w:pPr>
    </w:p>
    <w:p>
      <w:pPr>
        <w:widowControl/>
        <w:tabs>
          <w:tab w:val="right" w:leader="dot" w:pos="8312"/>
        </w:tabs>
        <w:spacing w:after="100" w:line="360" w:lineRule="auto"/>
        <w:jc w:val="center"/>
        <w:rPr>
          <w:rFonts w:cs="Calibri"/>
          <w:b/>
          <w:bCs/>
          <w:color w:val="auto"/>
          <w:sz w:val="32"/>
          <w:szCs w:val="30"/>
        </w:rPr>
        <w:sectPr>
          <w:footerReference r:id="rId6" w:type="default"/>
          <w:pgSz w:w="11906" w:h="16838"/>
          <w:pgMar w:top="1440" w:right="1797" w:bottom="1440" w:left="1797" w:header="851" w:footer="555" w:gutter="0"/>
          <w:pgNumType w:start="1"/>
          <w:cols w:space="720" w:num="1"/>
          <w:docGrid w:type="linesAndChars" w:linePitch="312" w:charSpace="0"/>
        </w:sectPr>
      </w:pPr>
    </w:p>
    <w:p>
      <w:pPr>
        <w:widowControl/>
        <w:tabs>
          <w:tab w:val="right" w:leader="dot" w:pos="8312"/>
        </w:tabs>
        <w:spacing w:after="100" w:line="360" w:lineRule="auto"/>
        <w:jc w:val="center"/>
        <w:rPr>
          <w:rFonts w:cs="Calibri"/>
          <w:b/>
          <w:bCs/>
          <w:color w:val="auto"/>
          <w:sz w:val="32"/>
          <w:szCs w:val="30"/>
        </w:rPr>
      </w:pPr>
      <w:r>
        <w:rPr>
          <w:rFonts w:cs="Calibri"/>
          <w:b/>
          <w:bCs/>
          <w:color w:val="auto"/>
          <w:sz w:val="32"/>
          <w:szCs w:val="30"/>
        </w:rPr>
        <w:t>Contents</w:t>
      </w:r>
    </w:p>
    <w:p>
      <w:pPr>
        <w:widowControl/>
        <w:tabs>
          <w:tab w:val="right" w:leader="dot" w:pos="8302"/>
        </w:tabs>
        <w:spacing w:line="312" w:lineRule="auto"/>
        <w:jc w:val="left"/>
        <w:rPr>
          <w:rFonts w:cs="Calibri"/>
          <w:color w:val="auto"/>
          <w:kern w:val="44"/>
          <w:sz w:val="24"/>
          <w:szCs w:val="24"/>
        </w:rPr>
      </w:pPr>
      <w:r>
        <w:rPr>
          <w:rFonts w:cs="Calibri"/>
          <w:color w:val="auto"/>
          <w:sz w:val="24"/>
          <w:szCs w:val="24"/>
        </w:rPr>
        <w:fldChar w:fldCharType="begin"/>
      </w:r>
      <w:r>
        <w:rPr>
          <w:rFonts w:cs="Calibri"/>
          <w:color w:val="auto"/>
          <w:sz w:val="24"/>
          <w:szCs w:val="24"/>
        </w:rPr>
        <w:instrText xml:space="preserve"> TOC \o "1-3" \h \z \u </w:instrText>
      </w:r>
      <w:r>
        <w:rPr>
          <w:rFonts w:cs="Calibri"/>
          <w:color w:val="auto"/>
          <w:sz w:val="24"/>
          <w:szCs w:val="24"/>
        </w:rPr>
        <w:fldChar w:fldCharType="separate"/>
      </w:r>
      <w:r>
        <w:fldChar w:fldCharType="begin"/>
      </w:r>
      <w:r>
        <w:instrText xml:space="preserve"> HYPERLINK "file:///C:\\Users\\admin\\Desktop\\7.15水泥混凝土路面高韧性修补材料.docx" \l "_Toc203504461" </w:instrText>
      </w:r>
      <w:r>
        <w:fldChar w:fldCharType="separate"/>
      </w:r>
      <w:r>
        <w:rPr>
          <w:rFonts w:cs="Calibri"/>
          <w:color w:val="auto"/>
          <w:kern w:val="44"/>
          <w:sz w:val="24"/>
          <w:szCs w:val="24"/>
        </w:rPr>
        <w:t>1  General provisions</w:t>
      </w:r>
      <w:r>
        <w:rPr>
          <w:rFonts w:cs="Calibri"/>
          <w:color w:val="auto"/>
          <w:kern w:val="44"/>
          <w:sz w:val="24"/>
          <w:szCs w:val="24"/>
        </w:rPr>
        <w:tab/>
      </w:r>
      <w:r>
        <w:rPr>
          <w:rFonts w:cs="Calibri"/>
          <w:color w:val="auto"/>
          <w:kern w:val="44"/>
          <w:sz w:val="24"/>
          <w:szCs w:val="24"/>
        </w:rPr>
        <w:fldChar w:fldCharType="begin"/>
      </w:r>
      <w:r>
        <w:rPr>
          <w:rFonts w:cs="Calibri"/>
          <w:color w:val="auto"/>
          <w:kern w:val="44"/>
          <w:sz w:val="24"/>
          <w:szCs w:val="24"/>
        </w:rPr>
        <w:instrText xml:space="preserve"> PAGEREF _Toc203504461 \h </w:instrText>
      </w:r>
      <w:r>
        <w:rPr>
          <w:rFonts w:cs="Calibri"/>
          <w:color w:val="auto"/>
          <w:kern w:val="44"/>
          <w:sz w:val="24"/>
          <w:szCs w:val="24"/>
        </w:rPr>
        <w:fldChar w:fldCharType="separate"/>
      </w:r>
      <w:r>
        <w:rPr>
          <w:rFonts w:cs="Calibri"/>
          <w:color w:val="auto"/>
          <w:kern w:val="44"/>
          <w:sz w:val="24"/>
          <w:szCs w:val="24"/>
        </w:rPr>
        <w:t>1</w:t>
      </w:r>
      <w:r>
        <w:rPr>
          <w:rFonts w:cs="Calibri"/>
          <w:color w:val="auto"/>
          <w:kern w:val="44"/>
          <w:sz w:val="24"/>
          <w:szCs w:val="24"/>
        </w:rPr>
        <w:fldChar w:fldCharType="end"/>
      </w:r>
      <w:r>
        <w:rPr>
          <w:rFonts w:cs="Calibri"/>
          <w:color w:val="auto"/>
          <w:kern w:val="44"/>
          <w:sz w:val="24"/>
          <w:szCs w:val="24"/>
        </w:rPr>
        <w:fldChar w:fldCharType="end"/>
      </w:r>
    </w:p>
    <w:p>
      <w:pPr>
        <w:widowControl/>
        <w:tabs>
          <w:tab w:val="right" w:leader="dot" w:pos="8302"/>
        </w:tabs>
        <w:spacing w:line="312" w:lineRule="auto"/>
        <w:jc w:val="left"/>
        <w:rPr>
          <w:rFonts w:ascii="Calibri" w:hAnsi="Calibri"/>
          <w:color w:val="auto"/>
          <w:kern w:val="2"/>
          <w:sz w:val="24"/>
          <w:szCs w:val="24"/>
          <w14:ligatures w14:val="standardContextual"/>
        </w:rPr>
      </w:pPr>
      <w:r>
        <w:fldChar w:fldCharType="begin"/>
      </w:r>
      <w:r>
        <w:instrText xml:space="preserve"> HYPERLINK "file:///C:\\Users\\admin\\Desktop\\7.15水泥混凝土路面高韧性修补材料.docx" \l "_Toc203504462" </w:instrText>
      </w:r>
      <w:r>
        <w:fldChar w:fldCharType="separate"/>
      </w:r>
      <w:r>
        <w:rPr>
          <w:rFonts w:cs="Calibri"/>
          <w:color w:val="auto"/>
          <w:kern w:val="44"/>
          <w:sz w:val="24"/>
          <w:szCs w:val="24"/>
        </w:rPr>
        <w:t xml:space="preserve">2  </w:t>
      </w:r>
      <w:r>
        <w:rPr>
          <w:rFonts w:hint="eastAsia" w:cs="Calibri"/>
          <w:color w:val="auto"/>
          <w:kern w:val="44"/>
          <w:sz w:val="24"/>
          <w:szCs w:val="24"/>
        </w:rPr>
        <w:t>T</w:t>
      </w:r>
      <w:r>
        <w:rPr>
          <w:rFonts w:cs="Calibri"/>
          <w:color w:val="auto"/>
          <w:kern w:val="44"/>
          <w:sz w:val="24"/>
          <w:szCs w:val="24"/>
        </w:rPr>
        <w:t>erms and definitions</w:t>
      </w:r>
      <w:r>
        <w:rPr>
          <w:rFonts w:cs="Calibri"/>
          <w:color w:val="auto"/>
          <w:sz w:val="24"/>
          <w:szCs w:val="24"/>
        </w:rPr>
        <w:tab/>
      </w:r>
      <w:r>
        <w:rPr>
          <w:rFonts w:cs="Calibri"/>
          <w:color w:val="auto"/>
          <w:sz w:val="24"/>
          <w:szCs w:val="24"/>
        </w:rPr>
        <w:fldChar w:fldCharType="begin"/>
      </w:r>
      <w:r>
        <w:rPr>
          <w:rFonts w:cs="Calibri"/>
          <w:color w:val="auto"/>
          <w:sz w:val="24"/>
          <w:szCs w:val="24"/>
        </w:rPr>
        <w:instrText xml:space="preserve"> PAGEREF _Toc203504462 \h </w:instrText>
      </w:r>
      <w:r>
        <w:rPr>
          <w:rFonts w:cs="Calibri"/>
          <w:color w:val="auto"/>
          <w:sz w:val="24"/>
          <w:szCs w:val="24"/>
        </w:rPr>
        <w:fldChar w:fldCharType="separate"/>
      </w:r>
      <w:r>
        <w:rPr>
          <w:rFonts w:cs="Calibri"/>
          <w:color w:val="auto"/>
          <w:sz w:val="24"/>
          <w:szCs w:val="24"/>
        </w:rPr>
        <w:t>2</w:t>
      </w:r>
      <w:r>
        <w:rPr>
          <w:rFonts w:cs="Calibri"/>
          <w:color w:val="auto"/>
          <w:sz w:val="24"/>
          <w:szCs w:val="24"/>
        </w:rPr>
        <w:fldChar w:fldCharType="end"/>
      </w:r>
      <w:r>
        <w:rPr>
          <w:rFonts w:cs="Calibri"/>
          <w:color w:val="auto"/>
          <w:sz w:val="24"/>
          <w:szCs w:val="24"/>
        </w:rPr>
        <w:fldChar w:fldCharType="end"/>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"_Toc203504463" </w:instrText>
      </w:r>
      <w:r>
        <w:fldChar w:fldCharType="separate"/>
      </w:r>
      <w:r>
        <w:rPr>
          <w:rFonts w:cs="宋体"/>
          <w:color w:val="auto"/>
          <w:kern w:val="44"/>
          <w:sz w:val="24"/>
          <w:szCs w:val="24"/>
        </w:rPr>
        <w:t>3  Material</w:t>
      </w:r>
      <w:r>
        <w:rPr>
          <w:rFonts w:cs="Calibri"/>
          <w:color w:val="auto"/>
          <w:sz w:val="24"/>
          <w:szCs w:val="24"/>
        </w:rPr>
        <w:tab/>
      </w:r>
      <w:r>
        <w:rPr>
          <w:rFonts w:cs="Calibri"/>
          <w:color w:val="auto"/>
          <w:sz w:val="24"/>
          <w:szCs w:val="24"/>
        </w:rPr>
        <w:fldChar w:fldCharType="begin"/>
      </w:r>
      <w:r>
        <w:rPr>
          <w:rFonts w:cs="Calibri"/>
          <w:color w:val="auto"/>
          <w:sz w:val="24"/>
          <w:szCs w:val="24"/>
        </w:rPr>
        <w:instrText xml:space="preserve"> PAGEREF _Toc203504463 \h </w:instrText>
      </w:r>
      <w:r>
        <w:rPr>
          <w:rFonts w:cs="Calibri"/>
          <w:color w:val="auto"/>
          <w:sz w:val="24"/>
          <w:szCs w:val="24"/>
        </w:rPr>
        <w:fldChar w:fldCharType="separate"/>
      </w:r>
      <w:r>
        <w:rPr>
          <w:rFonts w:cs="Calibri"/>
          <w:color w:val="auto"/>
          <w:sz w:val="24"/>
          <w:szCs w:val="24"/>
        </w:rPr>
        <w:t>3</w:t>
      </w:r>
      <w:r>
        <w:rPr>
          <w:rFonts w:cs="Calibri"/>
          <w:color w:val="auto"/>
          <w:sz w:val="24"/>
          <w:szCs w:val="24"/>
        </w:rPr>
        <w:fldChar w:fldCharType="end"/>
      </w:r>
      <w:r>
        <w:rPr>
          <w:rFonts w:cs="Calibri"/>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"_Toc203504464" </w:instrText>
      </w:r>
      <w:r>
        <w:fldChar w:fldCharType="separate"/>
      </w:r>
      <w:r>
        <w:rPr>
          <w:rFonts w:cs="黑体"/>
          <w:color w:val="auto"/>
          <w:sz w:val="24"/>
          <w:szCs w:val="24"/>
        </w:rPr>
        <w:t xml:space="preserve">3.1  </w:t>
      </w:r>
      <w:r>
        <w:rPr>
          <w:rFonts w:hint="eastAsia" w:cs="黑体"/>
          <w:color w:val="auto"/>
          <w:sz w:val="24"/>
          <w:szCs w:val="24"/>
        </w:rPr>
        <w:t>C</w:t>
      </w:r>
      <w:r>
        <w:rPr>
          <w:rFonts w:cs="黑体"/>
          <w:color w:val="auto"/>
          <w:sz w:val="24"/>
          <w:szCs w:val="24"/>
        </w:rPr>
        <w:t>ement</w:t>
      </w:r>
      <w:r>
        <w:rPr>
          <w:color w:val="auto"/>
          <w:sz w:val="24"/>
          <w:szCs w:val="24"/>
        </w:rPr>
        <w:tab/>
      </w:r>
      <w:r>
        <w:rPr>
          <w:color w:val="auto"/>
          <w:sz w:val="24"/>
          <w:szCs w:val="24"/>
        </w:rPr>
        <w:fldChar w:fldCharType="begin"/>
      </w:r>
      <w:r>
        <w:rPr>
          <w:color w:val="auto"/>
          <w:sz w:val="24"/>
          <w:szCs w:val="24"/>
        </w:rPr>
        <w:instrText xml:space="preserve"> PAGEREF _Toc203504464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"_Toc203504465" </w:instrText>
      </w:r>
      <w:r>
        <w:fldChar w:fldCharType="separate"/>
      </w:r>
      <w:r>
        <w:rPr>
          <w:rFonts w:cs="黑体"/>
          <w:color w:val="auto"/>
          <w:sz w:val="24"/>
          <w:szCs w:val="24"/>
        </w:rPr>
        <w:t>3.2  Mineral admixture</w:t>
      </w:r>
      <w:r>
        <w:rPr>
          <w:color w:val="auto"/>
          <w:sz w:val="24"/>
          <w:szCs w:val="24"/>
        </w:rPr>
        <w:tab/>
      </w:r>
      <w:r>
        <w:rPr>
          <w:color w:val="auto"/>
          <w:sz w:val="24"/>
          <w:szCs w:val="24"/>
        </w:rPr>
        <w:fldChar w:fldCharType="begin"/>
      </w:r>
      <w:r>
        <w:rPr>
          <w:color w:val="auto"/>
          <w:sz w:val="24"/>
          <w:szCs w:val="24"/>
        </w:rPr>
        <w:instrText xml:space="preserve"> PAGEREF _Toc203504465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"_Toc203504466" </w:instrText>
      </w:r>
      <w:r>
        <w:fldChar w:fldCharType="separate"/>
      </w:r>
      <w:r>
        <w:rPr>
          <w:rFonts w:cs="黑体"/>
          <w:color w:val="auto"/>
          <w:sz w:val="24"/>
          <w:szCs w:val="24"/>
        </w:rPr>
        <w:t xml:space="preserve">3.3  </w:t>
      </w:r>
      <w:r>
        <w:rPr>
          <w:rFonts w:hint="eastAsia" w:cs="黑体"/>
          <w:color w:val="auto"/>
          <w:sz w:val="24"/>
          <w:szCs w:val="24"/>
        </w:rPr>
        <w:t>A</w:t>
      </w:r>
      <w:r>
        <w:rPr>
          <w:rFonts w:cs="黑体"/>
          <w:color w:val="auto"/>
          <w:sz w:val="24"/>
          <w:szCs w:val="24"/>
        </w:rPr>
        <w:t>ggregate</w:t>
      </w:r>
      <w:r>
        <w:rPr>
          <w:color w:val="auto"/>
          <w:sz w:val="24"/>
          <w:szCs w:val="24"/>
        </w:rPr>
        <w:tab/>
      </w:r>
      <w:r>
        <w:rPr>
          <w:color w:val="auto"/>
          <w:sz w:val="24"/>
          <w:szCs w:val="24"/>
        </w:rPr>
        <w:fldChar w:fldCharType="begin"/>
      </w:r>
      <w:r>
        <w:rPr>
          <w:color w:val="auto"/>
          <w:sz w:val="24"/>
          <w:szCs w:val="24"/>
        </w:rPr>
        <w:instrText xml:space="preserve"> PAGEREF _Toc203504466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"_Toc203504467" </w:instrText>
      </w:r>
      <w:r>
        <w:fldChar w:fldCharType="separate"/>
      </w:r>
      <w:r>
        <w:rPr>
          <w:rFonts w:cs="黑体"/>
          <w:color w:val="auto"/>
          <w:sz w:val="24"/>
          <w:szCs w:val="24"/>
        </w:rPr>
        <w:t>3.4  Admixture</w:t>
      </w:r>
      <w:r>
        <w:rPr>
          <w:color w:val="auto"/>
          <w:sz w:val="24"/>
          <w:szCs w:val="24"/>
        </w:rPr>
        <w:tab/>
      </w:r>
      <w:r>
        <w:rPr>
          <w:color w:val="auto"/>
          <w:sz w:val="24"/>
          <w:szCs w:val="24"/>
        </w:rPr>
        <w:fldChar w:fldCharType="begin"/>
      </w:r>
      <w:r>
        <w:rPr>
          <w:color w:val="auto"/>
          <w:sz w:val="24"/>
          <w:szCs w:val="24"/>
        </w:rPr>
        <w:instrText xml:space="preserve"> PAGEREF _Toc203504467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"_Toc203504468" </w:instrText>
      </w:r>
      <w:r>
        <w:fldChar w:fldCharType="separate"/>
      </w:r>
      <w:r>
        <w:rPr>
          <w:rFonts w:cs="黑体"/>
          <w:color w:val="auto"/>
          <w:sz w:val="24"/>
          <w:szCs w:val="24"/>
        </w:rPr>
        <w:t xml:space="preserve">3.5  </w:t>
      </w:r>
      <w:r>
        <w:rPr>
          <w:rFonts w:hint="eastAsia" w:cs="黑体"/>
          <w:color w:val="auto"/>
          <w:sz w:val="24"/>
          <w:szCs w:val="24"/>
        </w:rPr>
        <w:t>F</w:t>
      </w:r>
      <w:r>
        <w:rPr>
          <w:rFonts w:cs="黑体"/>
          <w:color w:val="auto"/>
          <w:sz w:val="24"/>
          <w:szCs w:val="24"/>
        </w:rPr>
        <w:t>ibers</w:t>
      </w:r>
      <w:r>
        <w:rPr>
          <w:color w:val="auto"/>
          <w:sz w:val="24"/>
          <w:szCs w:val="24"/>
        </w:rPr>
        <w:tab/>
      </w:r>
      <w:r>
        <w:rPr>
          <w:color w:val="auto"/>
          <w:sz w:val="24"/>
          <w:szCs w:val="24"/>
        </w:rPr>
        <w:fldChar w:fldCharType="begin"/>
      </w:r>
      <w:r>
        <w:rPr>
          <w:color w:val="auto"/>
          <w:sz w:val="24"/>
          <w:szCs w:val="24"/>
        </w:rPr>
        <w:instrText xml:space="preserve"> PAGEREF _Toc203504468 \h </w:instrText>
      </w:r>
      <w:r>
        <w:rPr>
          <w:color w:val="auto"/>
          <w:sz w:val="24"/>
          <w:szCs w:val="24"/>
        </w:rPr>
        <w:fldChar w:fldCharType="separate"/>
      </w:r>
      <w:r>
        <w:rPr>
          <w:color w:val="auto"/>
          <w:sz w:val="24"/>
          <w:szCs w:val="24"/>
        </w:rPr>
        <w:t>3</w:t>
      </w:r>
      <w:r>
        <w:rPr>
          <w:color w:val="auto"/>
          <w:sz w:val="24"/>
          <w:szCs w:val="24"/>
        </w:rPr>
        <w:fldChar w:fldCharType="end"/>
      </w:r>
      <w:r>
        <w:rPr>
          <w:color w:val="auto"/>
          <w:sz w:val="24"/>
          <w:szCs w:val="24"/>
        </w:rPr>
        <w:fldChar w:fldCharType="end"/>
      </w:r>
    </w:p>
    <w:p>
      <w:pPr>
        <w:tabs>
          <w:tab w:val="right" w:leader="dot" w:pos="8302"/>
        </w:tabs>
        <w:spacing w:line="312" w:lineRule="auto"/>
        <w:rPr>
          <w:color w:val="auto"/>
          <w:sz w:val="24"/>
          <w:szCs w:val="24"/>
        </w:rPr>
      </w:pPr>
      <w:r>
        <w:fldChar w:fldCharType="begin"/>
      </w:r>
      <w:r>
        <w:instrText xml:space="preserve"> HYPERLINK "file:///C:\\Users\\admin\\Desktop\\7.15水泥混凝土路面高韧性修补材料.docx" \l "_Toc203504469" </w:instrText>
      </w:r>
      <w:r>
        <w:fldChar w:fldCharType="separate"/>
      </w:r>
      <w:r>
        <w:rPr>
          <w:rFonts w:hint="eastAsia"/>
          <w:color w:val="auto"/>
        </w:rPr>
        <w:t>4</w:t>
      </w:r>
      <w:r>
        <w:rPr>
          <w:rFonts w:cs="Calibri"/>
          <w:color w:val="auto"/>
          <w:kern w:val="44"/>
          <w:sz w:val="24"/>
          <w:szCs w:val="24"/>
        </w:rPr>
        <w:t xml:space="preserve">  </w:t>
      </w:r>
      <w:r>
        <w:rPr>
          <w:rFonts w:hint="eastAsia" w:cs="Calibri"/>
          <w:color w:val="auto"/>
          <w:kern w:val="44"/>
          <w:sz w:val="24"/>
          <w:szCs w:val="24"/>
        </w:rPr>
        <w:t>Classification and marking</w:t>
      </w:r>
      <w:r>
        <w:rPr>
          <w:rFonts w:cs="Calibri"/>
          <w:color w:val="auto"/>
          <w:sz w:val="24"/>
          <w:szCs w:val="24"/>
        </w:rPr>
        <w:tab/>
      </w:r>
      <w:r>
        <w:rPr>
          <w:rFonts w:cs="Calibri"/>
          <w:color w:val="auto"/>
          <w:sz w:val="24"/>
          <w:szCs w:val="24"/>
        </w:rPr>
        <w:fldChar w:fldCharType="begin"/>
      </w:r>
      <w:r>
        <w:rPr>
          <w:rFonts w:cs="Calibri"/>
          <w:color w:val="auto"/>
          <w:sz w:val="24"/>
          <w:szCs w:val="24"/>
        </w:rPr>
        <w:instrText xml:space="preserve"> PAGEREF _Toc203504469 \h </w:instrText>
      </w:r>
      <w:r>
        <w:rPr>
          <w:rFonts w:cs="Calibri"/>
          <w:color w:val="auto"/>
          <w:sz w:val="24"/>
          <w:szCs w:val="24"/>
        </w:rPr>
        <w:fldChar w:fldCharType="separate"/>
      </w:r>
      <w:r>
        <w:rPr>
          <w:rFonts w:cs="Calibri"/>
          <w:color w:val="auto"/>
          <w:sz w:val="24"/>
          <w:szCs w:val="24"/>
        </w:rPr>
        <w:t>5</w:t>
      </w:r>
      <w:r>
        <w:rPr>
          <w:rFonts w:cs="Calibri"/>
          <w:color w:val="auto"/>
          <w:sz w:val="24"/>
          <w:szCs w:val="24"/>
        </w:rPr>
        <w:fldChar w:fldCharType="end"/>
      </w:r>
      <w:r>
        <w:rPr>
          <w:rFonts w:cs="Calibri"/>
          <w:color w:val="auto"/>
          <w:sz w:val="24"/>
          <w:szCs w:val="24"/>
        </w:rPr>
        <w:fldChar w:fldCharType="end"/>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"_Toc203504469" </w:instrText>
      </w:r>
      <w:r>
        <w:fldChar w:fldCharType="separate"/>
      </w:r>
      <w:r>
        <w:rPr>
          <w:rFonts w:hint="eastAsia"/>
          <w:color w:val="auto"/>
        </w:rPr>
        <w:t>5</w:t>
      </w:r>
      <w:r>
        <w:rPr>
          <w:rFonts w:cs="Calibri"/>
          <w:color w:val="auto"/>
          <w:kern w:val="44"/>
          <w:sz w:val="24"/>
          <w:szCs w:val="24"/>
        </w:rPr>
        <w:t xml:space="preserve">  Performance </w:t>
      </w:r>
      <w:r>
        <w:rPr>
          <w:rFonts w:hint="eastAsia" w:cs="Calibri"/>
          <w:color w:val="auto"/>
          <w:kern w:val="44"/>
          <w:sz w:val="24"/>
          <w:szCs w:val="24"/>
        </w:rPr>
        <w:t>r</w:t>
      </w:r>
      <w:r>
        <w:rPr>
          <w:rFonts w:cs="Calibri"/>
          <w:color w:val="auto"/>
          <w:kern w:val="44"/>
          <w:sz w:val="24"/>
          <w:szCs w:val="24"/>
        </w:rPr>
        <w:t>equirements</w:t>
      </w:r>
      <w:r>
        <w:rPr>
          <w:rFonts w:cs="Calibri"/>
          <w:color w:val="auto"/>
          <w:sz w:val="24"/>
          <w:szCs w:val="24"/>
        </w:rPr>
        <w:tab/>
      </w:r>
      <w:r>
        <w:rPr>
          <w:rFonts w:hint="eastAsia" w:cs="Calibri"/>
          <w:color w:val="auto"/>
          <w:sz w:val="24"/>
          <w:szCs w:val="24"/>
        </w:rPr>
        <w:t>6</w:t>
      </w:r>
      <w:r>
        <w:rPr>
          <w:rFonts w:hint="eastAsia" w:cs="Calibri"/>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"_Toc203504470" </w:instrText>
      </w:r>
      <w:r>
        <w:fldChar w:fldCharType="separate"/>
      </w:r>
      <w:r>
        <w:rPr>
          <w:rFonts w:hint="eastAsia" w:cs="黑体"/>
          <w:color w:val="auto"/>
          <w:sz w:val="24"/>
          <w:szCs w:val="24"/>
        </w:rPr>
        <w:t>5</w:t>
      </w:r>
      <w:r>
        <w:rPr>
          <w:rFonts w:cs="黑体"/>
          <w:color w:val="auto"/>
          <w:sz w:val="24"/>
          <w:szCs w:val="24"/>
        </w:rPr>
        <w:t>.1  Performance of the mixture</w:t>
      </w:r>
      <w:r>
        <w:rPr>
          <w:rFonts w:hint="eastAsia" w:cs="黑体"/>
          <w:color w:val="auto"/>
          <w:sz w:val="24"/>
          <w:szCs w:val="24"/>
        </w:rPr>
        <w:t xml:space="preserve"> and</w:t>
      </w:r>
      <w:r>
        <w:rPr>
          <w:color w:val="auto"/>
          <w:sz w:val="24"/>
          <w:szCs w:val="24"/>
        </w:rPr>
        <w:t xml:space="preserve"> </w:t>
      </w:r>
      <w:r>
        <w:rPr>
          <w:rFonts w:cs="黑体"/>
          <w:color w:val="auto"/>
          <w:sz w:val="24"/>
          <w:szCs w:val="24"/>
        </w:rPr>
        <w:t>Mechanical properties</w:t>
      </w:r>
      <w:r>
        <w:rPr>
          <w:color w:val="auto"/>
          <w:sz w:val="24"/>
          <w:szCs w:val="24"/>
        </w:rPr>
        <w:tab/>
      </w:r>
      <w:r>
        <w:rPr>
          <w:rFonts w:hint="eastAsia"/>
          <w:color w:val="auto"/>
          <w:sz w:val="24"/>
          <w:szCs w:val="24"/>
        </w:rPr>
        <w:t>6</w:t>
      </w:r>
      <w:r>
        <w:rPr>
          <w:rFonts w:hint="eastAsia"/>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"_Toc203504472" </w:instrText>
      </w:r>
      <w:r>
        <w:fldChar w:fldCharType="separate"/>
      </w:r>
      <w:r>
        <w:rPr>
          <w:rFonts w:hint="eastAsia" w:cs="黑体"/>
          <w:color w:val="auto"/>
          <w:sz w:val="24"/>
          <w:szCs w:val="24"/>
        </w:rPr>
        <w:t>5</w:t>
      </w:r>
      <w:r>
        <w:rPr>
          <w:rFonts w:cs="黑体"/>
          <w:color w:val="auto"/>
          <w:sz w:val="24"/>
          <w:szCs w:val="24"/>
        </w:rPr>
        <w:t>.</w:t>
      </w:r>
      <w:r>
        <w:rPr>
          <w:rFonts w:hint="eastAsia" w:cs="黑体"/>
          <w:color w:val="auto"/>
          <w:sz w:val="24"/>
          <w:szCs w:val="24"/>
        </w:rPr>
        <w:t>2</w:t>
      </w:r>
      <w:r>
        <w:rPr>
          <w:rFonts w:cs="黑体"/>
          <w:color w:val="auto"/>
          <w:sz w:val="24"/>
          <w:szCs w:val="24"/>
        </w:rPr>
        <w:t xml:space="preserve">  Long term performance and durability</w:t>
      </w:r>
      <w:r>
        <w:rPr>
          <w:color w:val="auto"/>
          <w:sz w:val="24"/>
          <w:szCs w:val="24"/>
        </w:rPr>
        <w:tab/>
      </w:r>
      <w:r>
        <w:rPr>
          <w:rFonts w:hint="eastAsia"/>
          <w:color w:val="auto"/>
          <w:sz w:val="24"/>
          <w:szCs w:val="24"/>
        </w:rPr>
        <w:t>6</w:t>
      </w:r>
      <w:r>
        <w:rPr>
          <w:rFonts w:hint="eastAsia"/>
          <w:color w:val="auto"/>
          <w:sz w:val="24"/>
          <w:szCs w:val="24"/>
        </w:rPr>
        <w:fldChar w:fldCharType="end"/>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"_Toc203504473" </w:instrText>
      </w:r>
      <w:r>
        <w:fldChar w:fldCharType="separate"/>
      </w:r>
      <w:r>
        <w:rPr>
          <w:rFonts w:hint="eastAsia" w:cs="Calibri"/>
          <w:color w:val="auto"/>
          <w:kern w:val="44"/>
          <w:sz w:val="24"/>
          <w:szCs w:val="24"/>
        </w:rPr>
        <w:t>6</w:t>
      </w:r>
      <w:r>
        <w:rPr>
          <w:rFonts w:cs="Calibri"/>
          <w:color w:val="auto"/>
          <w:kern w:val="44"/>
          <w:sz w:val="24"/>
          <w:szCs w:val="24"/>
        </w:rPr>
        <w:t xml:space="preserve">  </w:t>
      </w:r>
      <w:r>
        <w:rPr>
          <w:rFonts w:hint="eastAsia" w:cs="Calibri"/>
          <w:color w:val="auto"/>
          <w:kern w:val="44"/>
          <w:sz w:val="24"/>
          <w:szCs w:val="24"/>
        </w:rPr>
        <w:t>M</w:t>
      </w:r>
      <w:r>
        <w:rPr>
          <w:rFonts w:cs="Calibri"/>
          <w:color w:val="auto"/>
          <w:kern w:val="44"/>
          <w:sz w:val="24"/>
          <w:szCs w:val="24"/>
        </w:rPr>
        <w:t>ix design</w:t>
      </w:r>
      <w:r>
        <w:rPr>
          <w:rFonts w:cs="Calibri"/>
          <w:color w:val="auto"/>
          <w:sz w:val="24"/>
          <w:szCs w:val="24"/>
        </w:rPr>
        <w:tab/>
      </w:r>
      <w:r>
        <w:rPr>
          <w:rFonts w:hint="eastAsia" w:cs="Calibri"/>
          <w:color w:val="auto"/>
          <w:sz w:val="24"/>
          <w:szCs w:val="24"/>
        </w:rPr>
        <w:t>7</w:t>
      </w:r>
      <w:r>
        <w:rPr>
          <w:rFonts w:hint="eastAsia" w:cs="Calibri"/>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"_Toc203504474" </w:instrText>
      </w:r>
      <w:r>
        <w:fldChar w:fldCharType="separate"/>
      </w:r>
      <w:r>
        <w:rPr>
          <w:rFonts w:hint="eastAsia" w:cs="黑体"/>
          <w:color w:val="auto"/>
          <w:sz w:val="24"/>
          <w:szCs w:val="24"/>
        </w:rPr>
        <w:t>6</w:t>
      </w:r>
      <w:r>
        <w:rPr>
          <w:rFonts w:cs="黑体"/>
          <w:color w:val="auto"/>
          <w:sz w:val="24"/>
          <w:szCs w:val="24"/>
        </w:rPr>
        <w:t>.1  General requirements</w:t>
      </w:r>
      <w:r>
        <w:rPr>
          <w:color w:val="auto"/>
          <w:sz w:val="24"/>
          <w:szCs w:val="24"/>
        </w:rPr>
        <w:tab/>
      </w:r>
      <w:r>
        <w:rPr>
          <w:rFonts w:hint="eastAsia"/>
          <w:color w:val="auto"/>
          <w:sz w:val="24"/>
          <w:szCs w:val="24"/>
        </w:rPr>
        <w:t>7</w:t>
      </w:r>
      <w:r>
        <w:rPr>
          <w:rFonts w:hint="eastAsia"/>
          <w:color w:val="auto"/>
          <w:sz w:val="24"/>
          <w:szCs w:val="24"/>
        </w:rPr>
        <w:fldChar w:fldCharType="end"/>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"_Toc203504475" </w:instrText>
      </w:r>
      <w:r>
        <w:fldChar w:fldCharType="separate"/>
      </w:r>
      <w:r>
        <w:rPr>
          <w:rFonts w:hint="eastAsia" w:cs="黑体"/>
          <w:color w:val="auto"/>
          <w:sz w:val="24"/>
          <w:szCs w:val="24"/>
        </w:rPr>
        <w:t>6</w:t>
      </w:r>
      <w:r>
        <w:rPr>
          <w:rFonts w:cs="黑体"/>
          <w:color w:val="auto"/>
          <w:sz w:val="24"/>
          <w:szCs w:val="24"/>
        </w:rPr>
        <w:t>.2  Main parameters</w:t>
      </w:r>
      <w:r>
        <w:rPr>
          <w:color w:val="auto"/>
          <w:sz w:val="24"/>
          <w:szCs w:val="24"/>
        </w:rPr>
        <w:tab/>
      </w:r>
      <w:r>
        <w:rPr>
          <w:rFonts w:hint="eastAsia"/>
          <w:color w:val="auto"/>
          <w:sz w:val="24"/>
          <w:szCs w:val="24"/>
        </w:rPr>
        <w:t>7</w:t>
      </w:r>
      <w:r>
        <w:rPr>
          <w:rFonts w:hint="eastAsia"/>
          <w:color w:val="auto"/>
          <w:sz w:val="24"/>
          <w:szCs w:val="24"/>
        </w:rPr>
        <w:fldChar w:fldCharType="end"/>
      </w:r>
    </w:p>
    <w:p>
      <w:pPr>
        <w:pStyle w:val="13"/>
        <w:tabs>
          <w:tab w:val="right" w:leader="dot" w:pos="8302"/>
        </w:tabs>
        <w:spacing w:after="0" w:line="312" w:lineRule="auto"/>
        <w:rPr>
          <w:rFonts w:ascii="Times New Roman" w:hAnsi="Times New Roman" w:cstheme="minorBidi"/>
          <w:color w:val="auto"/>
          <w:kern w:val="2"/>
          <w:sz w:val="24"/>
          <w:szCs w:val="24"/>
          <w14:ligatures w14:val="standardContextual"/>
        </w:rPr>
      </w:pPr>
      <w:r>
        <w:fldChar w:fldCharType="begin"/>
      </w:r>
      <w:r>
        <w:instrText xml:space="preserve"> HYPERLINK \l "_Toc203590981" </w:instrText>
      </w:r>
      <w:r>
        <w:fldChar w:fldCharType="separate"/>
      </w:r>
      <w:r>
        <w:rPr>
          <w:rFonts w:hint="eastAsia"/>
          <w:color w:val="auto"/>
        </w:rPr>
        <w:t>7</w:t>
      </w:r>
      <w:r>
        <w:rPr>
          <w:rStyle w:val="22"/>
          <w:rFonts w:hint="eastAsia" w:ascii="Times New Roman" w:hAnsi="Times New Roman"/>
          <w:color w:val="auto"/>
          <w:kern w:val="44"/>
          <w:sz w:val="24"/>
          <w:szCs w:val="24"/>
        </w:rPr>
        <w:t xml:space="preserve">  </w:t>
      </w:r>
      <w:r>
        <w:rPr>
          <w:rStyle w:val="22"/>
          <w:rFonts w:ascii="Times New Roman" w:hAnsi="Times New Roman"/>
          <w:color w:val="auto"/>
          <w:kern w:val="44"/>
          <w:sz w:val="24"/>
          <w:szCs w:val="24"/>
        </w:rPr>
        <w:t>Test methods</w:t>
      </w:r>
      <w:r>
        <w:rPr>
          <w:rFonts w:hint="eastAsia" w:ascii="Times New Roman" w:hAnsi="Times New Roman"/>
          <w:color w:val="auto"/>
          <w:sz w:val="24"/>
          <w:szCs w:val="24"/>
        </w:rPr>
        <w:tab/>
      </w:r>
      <w:r>
        <w:rPr>
          <w:rFonts w:hint="eastAsia" w:ascii="Times New Roman" w:hAnsi="Times New Roman"/>
          <w:color w:val="auto"/>
          <w:sz w:val="24"/>
          <w:szCs w:val="24"/>
        </w:rPr>
        <w:t>9</w:t>
      </w:r>
      <w:r>
        <w:rPr>
          <w:rFonts w:hint="eastAsia" w:ascii="Times New Roman" w:hAnsi="Times New Roman"/>
          <w:color w:val="auto"/>
          <w:sz w:val="24"/>
          <w:szCs w:val="24"/>
        </w:rPr>
        <w:fldChar w:fldCharType="end"/>
      </w:r>
    </w:p>
    <w:p>
      <w:pPr>
        <w:pStyle w:val="14"/>
        <w:tabs>
          <w:tab w:val="right" w:leader="dot" w:pos="8302"/>
        </w:tabs>
        <w:spacing w:line="312" w:lineRule="auto"/>
        <w:rPr>
          <w:rFonts w:cstheme="minorBidi"/>
          <w:color w:val="auto"/>
          <w:kern w:val="2"/>
          <w:sz w:val="24"/>
          <w:szCs w:val="24"/>
          <w14:ligatures w14:val="standardContextual"/>
        </w:rPr>
      </w:pPr>
      <w:r>
        <w:fldChar w:fldCharType="begin"/>
      </w:r>
      <w:r>
        <w:instrText xml:space="preserve"> HYPERLINK \l "_Toc203590982" </w:instrText>
      </w:r>
      <w:r>
        <w:fldChar w:fldCharType="separate"/>
      </w:r>
      <w:r>
        <w:rPr>
          <w:rStyle w:val="22"/>
          <w:rFonts w:hint="eastAsia" w:cs="黑体"/>
          <w:color w:val="auto"/>
          <w:sz w:val="24"/>
          <w:szCs w:val="24"/>
        </w:rPr>
        <w:t>7.1  Test conditions</w:t>
      </w:r>
      <w:r>
        <w:rPr>
          <w:rFonts w:hint="eastAsia"/>
          <w:color w:val="auto"/>
          <w:sz w:val="24"/>
          <w:szCs w:val="24"/>
        </w:rPr>
        <w:tab/>
      </w:r>
      <w:r>
        <w:rPr>
          <w:rFonts w:hint="eastAsia"/>
          <w:color w:val="auto"/>
          <w:sz w:val="24"/>
          <w:szCs w:val="24"/>
        </w:rPr>
        <w:t>9</w:t>
      </w:r>
      <w:r>
        <w:rPr>
          <w:rFonts w:hint="eastAsia"/>
          <w:color w:val="auto"/>
          <w:sz w:val="24"/>
          <w:szCs w:val="24"/>
        </w:rPr>
        <w:fldChar w:fldCharType="end"/>
      </w:r>
    </w:p>
    <w:p>
      <w:pPr>
        <w:pStyle w:val="14"/>
        <w:tabs>
          <w:tab w:val="right" w:leader="dot" w:pos="8302"/>
        </w:tabs>
        <w:spacing w:line="312" w:lineRule="auto"/>
        <w:rPr>
          <w:rFonts w:cstheme="minorBidi"/>
          <w:color w:val="auto"/>
          <w:kern w:val="2"/>
          <w:sz w:val="24"/>
          <w:szCs w:val="24"/>
          <w14:ligatures w14:val="standardContextual"/>
        </w:rPr>
      </w:pPr>
      <w:r>
        <w:fldChar w:fldCharType="begin"/>
      </w:r>
      <w:r>
        <w:instrText xml:space="preserve"> HYPERLINK \l "_Toc203590983" </w:instrText>
      </w:r>
      <w:r>
        <w:fldChar w:fldCharType="separate"/>
      </w:r>
      <w:r>
        <w:rPr>
          <w:rStyle w:val="22"/>
          <w:rFonts w:hint="eastAsia" w:cs="黑体"/>
          <w:color w:val="auto"/>
          <w:sz w:val="24"/>
          <w:szCs w:val="24"/>
        </w:rPr>
        <w:t xml:space="preserve">7.2  Fresh </w:t>
      </w:r>
      <w:r>
        <w:rPr>
          <w:rStyle w:val="22"/>
          <w:rFonts w:cs="黑体"/>
          <w:color w:val="auto"/>
          <w:sz w:val="24"/>
          <w:szCs w:val="24"/>
        </w:rPr>
        <w:t>m</w:t>
      </w:r>
      <w:r>
        <w:rPr>
          <w:rStyle w:val="22"/>
          <w:rFonts w:hint="eastAsia" w:cs="黑体"/>
          <w:color w:val="auto"/>
          <w:sz w:val="24"/>
          <w:szCs w:val="24"/>
        </w:rPr>
        <w:t xml:space="preserve">ix </w:t>
      </w:r>
      <w:r>
        <w:rPr>
          <w:rStyle w:val="22"/>
          <w:rFonts w:cs="黑体"/>
          <w:color w:val="auto"/>
          <w:sz w:val="24"/>
          <w:szCs w:val="24"/>
        </w:rPr>
        <w:t>p</w:t>
      </w:r>
      <w:r>
        <w:rPr>
          <w:rStyle w:val="22"/>
          <w:rFonts w:hint="eastAsia" w:cs="黑体"/>
          <w:color w:val="auto"/>
          <w:sz w:val="24"/>
          <w:szCs w:val="24"/>
        </w:rPr>
        <w:t>erformance</w:t>
      </w:r>
      <w:r>
        <w:rPr>
          <w:rFonts w:hint="eastAsia"/>
          <w:color w:val="auto"/>
          <w:sz w:val="24"/>
          <w:szCs w:val="24"/>
        </w:rPr>
        <w:tab/>
      </w:r>
      <w:r>
        <w:rPr>
          <w:rFonts w:hint="eastAsia"/>
          <w:color w:val="auto"/>
          <w:sz w:val="24"/>
          <w:szCs w:val="24"/>
        </w:rPr>
        <w:t>9</w:t>
      </w:r>
      <w:r>
        <w:rPr>
          <w:rFonts w:hint="eastAsia"/>
          <w:color w:val="auto"/>
          <w:sz w:val="24"/>
          <w:szCs w:val="24"/>
        </w:rPr>
        <w:fldChar w:fldCharType="end"/>
      </w:r>
    </w:p>
    <w:p>
      <w:pPr>
        <w:pStyle w:val="14"/>
        <w:tabs>
          <w:tab w:val="right" w:leader="dot" w:pos="8302"/>
        </w:tabs>
        <w:spacing w:line="312" w:lineRule="auto"/>
        <w:rPr>
          <w:rFonts w:cstheme="minorBidi"/>
          <w:color w:val="auto"/>
          <w:kern w:val="2"/>
          <w:sz w:val="24"/>
          <w:szCs w:val="24"/>
          <w14:ligatures w14:val="standardContextual"/>
        </w:rPr>
      </w:pPr>
      <w:r>
        <w:fldChar w:fldCharType="begin"/>
      </w:r>
      <w:r>
        <w:instrText xml:space="preserve"> HYPERLINK \l "_Toc203590984" </w:instrText>
      </w:r>
      <w:r>
        <w:fldChar w:fldCharType="separate"/>
      </w:r>
      <w:r>
        <w:rPr>
          <w:rStyle w:val="22"/>
          <w:rFonts w:hint="eastAsia" w:cs="黑体"/>
          <w:color w:val="auto"/>
          <w:sz w:val="24"/>
          <w:szCs w:val="24"/>
        </w:rPr>
        <w:t xml:space="preserve">7.3  Mechanical </w:t>
      </w:r>
      <w:r>
        <w:rPr>
          <w:rStyle w:val="22"/>
          <w:rFonts w:cs="黑体"/>
          <w:color w:val="auto"/>
          <w:sz w:val="24"/>
          <w:szCs w:val="24"/>
        </w:rPr>
        <w:t>p</w:t>
      </w:r>
      <w:r>
        <w:rPr>
          <w:rStyle w:val="22"/>
          <w:rFonts w:hint="eastAsia" w:cs="黑体"/>
          <w:color w:val="auto"/>
          <w:sz w:val="24"/>
          <w:szCs w:val="24"/>
        </w:rPr>
        <w:t>erformance</w:t>
      </w:r>
      <w:r>
        <w:rPr>
          <w:rFonts w:hint="eastAsia"/>
          <w:color w:val="auto"/>
          <w:sz w:val="24"/>
          <w:szCs w:val="24"/>
        </w:rPr>
        <w:tab/>
      </w:r>
      <w:r>
        <w:rPr>
          <w:rFonts w:hint="eastAsia"/>
          <w:color w:val="auto"/>
          <w:sz w:val="24"/>
          <w:szCs w:val="24"/>
        </w:rPr>
        <w:t>9</w:t>
      </w:r>
      <w:r>
        <w:rPr>
          <w:rFonts w:hint="eastAsia"/>
          <w:color w:val="auto"/>
          <w:sz w:val="24"/>
          <w:szCs w:val="24"/>
        </w:rPr>
        <w:fldChar w:fldCharType="end"/>
      </w:r>
    </w:p>
    <w:p>
      <w:pPr>
        <w:pStyle w:val="14"/>
        <w:tabs>
          <w:tab w:val="right" w:leader="dot" w:pos="8302"/>
        </w:tabs>
        <w:spacing w:line="312" w:lineRule="auto"/>
        <w:rPr>
          <w:rFonts w:cstheme="minorBidi"/>
          <w:color w:val="auto"/>
          <w:kern w:val="2"/>
          <w:sz w:val="24"/>
          <w:szCs w:val="24"/>
          <w14:ligatures w14:val="standardContextual"/>
        </w:rPr>
      </w:pPr>
      <w:r>
        <w:fldChar w:fldCharType="begin"/>
      </w:r>
      <w:r>
        <w:instrText xml:space="preserve"> HYPERLINK \l "_Toc203590985" </w:instrText>
      </w:r>
      <w:r>
        <w:fldChar w:fldCharType="separate"/>
      </w:r>
      <w:r>
        <w:rPr>
          <w:rStyle w:val="22"/>
          <w:rFonts w:hint="eastAsia" w:cs="黑体"/>
          <w:color w:val="auto"/>
          <w:sz w:val="24"/>
          <w:szCs w:val="24"/>
        </w:rPr>
        <w:t xml:space="preserve">7.4  </w:t>
      </w:r>
      <w:r>
        <w:rPr>
          <w:rStyle w:val="22"/>
          <w:rFonts w:cs="黑体"/>
          <w:color w:val="auto"/>
          <w:sz w:val="24"/>
          <w:szCs w:val="24"/>
        </w:rPr>
        <w:t>Long term performance and durability</w:t>
      </w:r>
      <w:r>
        <w:rPr>
          <w:rFonts w:hint="eastAsia"/>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0</w:t>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"_Toc203504476" </w:instrText>
      </w:r>
      <w:r>
        <w:fldChar w:fldCharType="separate"/>
      </w:r>
      <w:r>
        <w:rPr>
          <w:rFonts w:hint="eastAsia" w:cs="Calibri"/>
          <w:color w:val="auto"/>
          <w:kern w:val="44"/>
          <w:sz w:val="24"/>
          <w:szCs w:val="24"/>
        </w:rPr>
        <w:t>8</w:t>
      </w:r>
      <w:r>
        <w:rPr>
          <w:rFonts w:cs="Calibri"/>
          <w:color w:val="auto"/>
          <w:kern w:val="44"/>
          <w:sz w:val="24"/>
          <w:szCs w:val="24"/>
        </w:rPr>
        <w:t xml:space="preserve">  Inspection rules</w:t>
      </w:r>
      <w:r>
        <w:rPr>
          <w:rFonts w:cs="Calibri"/>
          <w:color w:val="auto"/>
          <w:sz w:val="24"/>
          <w:szCs w:val="24"/>
        </w:rPr>
        <w:tab/>
      </w:r>
      <w:r>
        <w:rPr>
          <w:rFonts w:hint="eastAsia" w:cs="Calibri"/>
          <w:color w:val="auto"/>
          <w:sz w:val="24"/>
          <w:szCs w:val="24"/>
        </w:rPr>
        <w:t>1</w:t>
      </w:r>
      <w:r>
        <w:rPr>
          <w:rFonts w:hint="eastAsia" w:cs="Calibri"/>
          <w:color w:val="auto"/>
          <w:sz w:val="24"/>
          <w:szCs w:val="24"/>
        </w:rPr>
        <w:fldChar w:fldCharType="end"/>
      </w:r>
      <w:r>
        <w:rPr>
          <w:rFonts w:hint="eastAsia" w:cs="Calibri"/>
          <w:color w:val="auto"/>
          <w:sz w:val="24"/>
          <w:szCs w:val="24"/>
        </w:rPr>
        <w:t>1</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"_Toc203504477" </w:instrText>
      </w:r>
      <w:r>
        <w:fldChar w:fldCharType="separate"/>
      </w:r>
      <w:r>
        <w:rPr>
          <w:rFonts w:hint="eastAsia" w:cs="黑体"/>
          <w:color w:val="auto"/>
          <w:sz w:val="24"/>
          <w:szCs w:val="24"/>
        </w:rPr>
        <w:t>8</w:t>
      </w:r>
      <w:r>
        <w:rPr>
          <w:rFonts w:cs="黑体"/>
          <w:color w:val="auto"/>
          <w:sz w:val="24"/>
          <w:szCs w:val="24"/>
        </w:rPr>
        <w:t xml:space="preserve">.1  </w:t>
      </w:r>
      <w:r>
        <w:rPr>
          <w:rFonts w:hint="eastAsia" w:cs="黑体"/>
          <w:color w:val="auto"/>
          <w:sz w:val="24"/>
          <w:szCs w:val="24"/>
        </w:rPr>
        <w:t>Q</w:t>
      </w:r>
      <w:r>
        <w:rPr>
          <w:rFonts w:cs="黑体"/>
          <w:color w:val="auto"/>
          <w:sz w:val="24"/>
          <w:szCs w:val="24"/>
        </w:rPr>
        <w:t>uality control</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1</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"_Toc203504478" </w:instrText>
      </w:r>
      <w:r>
        <w:fldChar w:fldCharType="separate"/>
      </w:r>
      <w:r>
        <w:rPr>
          <w:rFonts w:hint="eastAsia" w:cs="黑体"/>
          <w:color w:val="auto"/>
          <w:sz w:val="24"/>
          <w:szCs w:val="24"/>
        </w:rPr>
        <w:t>8</w:t>
      </w:r>
      <w:r>
        <w:rPr>
          <w:rFonts w:cs="黑体"/>
          <w:color w:val="auto"/>
          <w:sz w:val="24"/>
          <w:szCs w:val="24"/>
        </w:rPr>
        <w:t>.2  Detection items</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1</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"_Toc203504479" </w:instrText>
      </w:r>
      <w:r>
        <w:fldChar w:fldCharType="separate"/>
      </w:r>
      <w:r>
        <w:rPr>
          <w:rFonts w:hint="eastAsia" w:cs="黑体"/>
          <w:color w:val="auto"/>
          <w:sz w:val="24"/>
          <w:szCs w:val="24"/>
        </w:rPr>
        <w:t>8</w:t>
      </w:r>
      <w:r>
        <w:rPr>
          <w:rFonts w:cs="黑体"/>
          <w:color w:val="auto"/>
          <w:sz w:val="24"/>
          <w:szCs w:val="24"/>
        </w:rPr>
        <w:t>.3  Batch and sampling</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2</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"_Toc203504480" </w:instrText>
      </w:r>
      <w:r>
        <w:fldChar w:fldCharType="separate"/>
      </w:r>
      <w:r>
        <w:rPr>
          <w:rFonts w:hint="eastAsia"/>
          <w:color w:val="auto"/>
          <w:sz w:val="24"/>
          <w:szCs w:val="24"/>
        </w:rPr>
        <w:t>8</w:t>
      </w:r>
      <w:r>
        <w:rPr>
          <w:rFonts w:cs="黑体"/>
          <w:color w:val="auto"/>
          <w:sz w:val="24"/>
          <w:szCs w:val="24"/>
        </w:rPr>
        <w:t>.4  Rules of judgement</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2</w:t>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"_Toc203504481" </w:instrText>
      </w:r>
      <w:r>
        <w:fldChar w:fldCharType="separate"/>
      </w:r>
      <w:r>
        <w:rPr>
          <w:rFonts w:hint="eastAsia"/>
          <w:color w:val="auto"/>
        </w:rPr>
        <w:t>9</w:t>
      </w:r>
      <w:r>
        <w:rPr>
          <w:rFonts w:cs="Calibri"/>
          <w:color w:val="auto"/>
          <w:kern w:val="44"/>
          <w:sz w:val="24"/>
          <w:szCs w:val="24"/>
        </w:rPr>
        <w:t xml:space="preserve">  Marking, packing, transportation and storage</w:t>
      </w:r>
      <w:r>
        <w:rPr>
          <w:rFonts w:cs="Calibri"/>
          <w:color w:val="auto"/>
          <w:sz w:val="24"/>
          <w:szCs w:val="24"/>
        </w:rPr>
        <w:tab/>
      </w:r>
      <w:r>
        <w:rPr>
          <w:rFonts w:hint="eastAsia" w:cs="Calibri"/>
          <w:color w:val="auto"/>
          <w:sz w:val="24"/>
          <w:szCs w:val="24"/>
        </w:rPr>
        <w:t>1</w:t>
      </w:r>
      <w:r>
        <w:rPr>
          <w:rFonts w:hint="eastAsia" w:cs="Calibri"/>
          <w:color w:val="auto"/>
          <w:sz w:val="24"/>
          <w:szCs w:val="24"/>
        </w:rPr>
        <w:fldChar w:fldCharType="end"/>
      </w:r>
      <w:r>
        <w:rPr>
          <w:rFonts w:hint="eastAsia" w:cs="Calibri"/>
          <w:color w:val="auto"/>
          <w:sz w:val="24"/>
          <w:szCs w:val="24"/>
        </w:rPr>
        <w:t>3</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"_Toc203504482" </w:instrText>
      </w:r>
      <w:r>
        <w:fldChar w:fldCharType="separate"/>
      </w:r>
      <w:r>
        <w:rPr>
          <w:rFonts w:hint="eastAsia"/>
          <w:color w:val="auto"/>
          <w:sz w:val="24"/>
          <w:szCs w:val="24"/>
        </w:rPr>
        <w:t>9</w:t>
      </w:r>
      <w:r>
        <w:rPr>
          <w:rFonts w:cs="黑体"/>
          <w:color w:val="auto"/>
          <w:sz w:val="24"/>
          <w:szCs w:val="24"/>
        </w:rPr>
        <w:t>.1  Marking and packaging</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3</w:t>
      </w:r>
    </w:p>
    <w:p>
      <w:pPr>
        <w:tabs>
          <w:tab w:val="right" w:leader="dot" w:pos="8302"/>
        </w:tabs>
        <w:spacing w:line="312" w:lineRule="auto"/>
        <w:ind w:firstLine="420" w:firstLineChars="200"/>
        <w:rPr>
          <w:color w:val="auto"/>
          <w:sz w:val="24"/>
          <w:szCs w:val="24"/>
        </w:rPr>
      </w:pPr>
      <w:r>
        <w:fldChar w:fldCharType="begin"/>
      </w:r>
      <w:r>
        <w:instrText xml:space="preserve"> HYPERLINK "file:///C:\\Users\\admin\\Desktop\\7.15水泥混凝土路面高韧性修补材料.docx" \l "_Toc203504483" </w:instrText>
      </w:r>
      <w:r>
        <w:fldChar w:fldCharType="separate"/>
      </w:r>
      <w:r>
        <w:rPr>
          <w:rFonts w:hint="eastAsia" w:cs="黑体"/>
          <w:color w:val="auto"/>
          <w:sz w:val="24"/>
          <w:szCs w:val="24"/>
        </w:rPr>
        <w:t>9</w:t>
      </w:r>
      <w:r>
        <w:rPr>
          <w:rFonts w:cs="黑体"/>
          <w:color w:val="auto"/>
          <w:sz w:val="24"/>
          <w:szCs w:val="24"/>
        </w:rPr>
        <w:t>.2  Transportation and storage</w:t>
      </w:r>
      <w:r>
        <w:rPr>
          <w:color w:val="auto"/>
          <w:sz w:val="24"/>
          <w:szCs w:val="24"/>
        </w:rPr>
        <w:tab/>
      </w:r>
      <w:r>
        <w:rPr>
          <w:rFonts w:hint="eastAsia"/>
          <w:color w:val="auto"/>
          <w:sz w:val="24"/>
          <w:szCs w:val="24"/>
        </w:rPr>
        <w:t>1</w:t>
      </w:r>
      <w:r>
        <w:rPr>
          <w:rFonts w:hint="eastAsia"/>
          <w:color w:val="auto"/>
          <w:sz w:val="24"/>
          <w:szCs w:val="24"/>
        </w:rPr>
        <w:fldChar w:fldCharType="end"/>
      </w:r>
      <w:r>
        <w:rPr>
          <w:rFonts w:hint="eastAsia"/>
          <w:color w:val="auto"/>
          <w:sz w:val="24"/>
          <w:szCs w:val="24"/>
        </w:rPr>
        <w:t>3</w:t>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"_Toc203504484" </w:instrText>
      </w:r>
      <w:r>
        <w:fldChar w:fldCharType="separate"/>
      </w:r>
      <w:r>
        <w:rPr>
          <w:rFonts w:cs="Calibri"/>
          <w:color w:val="auto"/>
          <w:kern w:val="44"/>
          <w:sz w:val="24"/>
          <w:szCs w:val="24"/>
        </w:rPr>
        <w:t>Explanation of wording</w:t>
      </w:r>
      <w:r>
        <w:rPr>
          <w:rFonts w:cs="Calibri"/>
          <w:color w:val="auto"/>
          <w:sz w:val="24"/>
          <w:szCs w:val="24"/>
        </w:rPr>
        <w:tab/>
      </w:r>
      <w:r>
        <w:rPr>
          <w:rFonts w:hint="eastAsia" w:cs="Calibri"/>
          <w:color w:val="auto"/>
          <w:sz w:val="24"/>
          <w:szCs w:val="24"/>
        </w:rPr>
        <w:t>1</w:t>
      </w:r>
      <w:r>
        <w:rPr>
          <w:rFonts w:hint="eastAsia" w:cs="Calibri"/>
          <w:color w:val="auto"/>
          <w:sz w:val="24"/>
          <w:szCs w:val="24"/>
        </w:rPr>
        <w:fldChar w:fldCharType="end"/>
      </w:r>
      <w:r>
        <w:rPr>
          <w:rFonts w:hint="eastAsia" w:cs="Calibri"/>
          <w:color w:val="auto"/>
          <w:sz w:val="24"/>
          <w:szCs w:val="24"/>
        </w:rPr>
        <w:t>4</w:t>
      </w:r>
    </w:p>
    <w:p>
      <w:pPr>
        <w:widowControl/>
        <w:tabs>
          <w:tab w:val="right" w:leader="dot" w:pos="8302"/>
        </w:tabs>
        <w:spacing w:line="312" w:lineRule="auto"/>
        <w:jc w:val="left"/>
        <w:rPr>
          <w:color w:val="auto"/>
          <w:kern w:val="2"/>
          <w:sz w:val="24"/>
          <w:szCs w:val="24"/>
          <w14:ligatures w14:val="standardContextual"/>
        </w:rPr>
      </w:pPr>
      <w:r>
        <w:fldChar w:fldCharType="begin"/>
      </w:r>
      <w:r>
        <w:instrText xml:space="preserve"> HYPERLINK "file:///C:\\Users\\admin\\Desktop\\7.15水泥混凝土路面高韧性修补材料.docx" \l "_Toc203504485" </w:instrText>
      </w:r>
      <w:r>
        <w:fldChar w:fldCharType="separate"/>
      </w:r>
      <w:r>
        <w:rPr>
          <w:rFonts w:cs="Calibri"/>
          <w:color w:val="auto"/>
          <w:kern w:val="44"/>
          <w:sz w:val="24"/>
          <w:szCs w:val="24"/>
        </w:rPr>
        <w:t>List of quoted standards</w:t>
      </w:r>
      <w:r>
        <w:rPr>
          <w:rFonts w:cs="Calibri"/>
          <w:color w:val="auto"/>
          <w:sz w:val="24"/>
          <w:szCs w:val="24"/>
        </w:rPr>
        <w:tab/>
      </w:r>
      <w:r>
        <w:rPr>
          <w:rFonts w:hint="eastAsia" w:cs="Calibri"/>
          <w:color w:val="auto"/>
          <w:sz w:val="24"/>
          <w:szCs w:val="24"/>
        </w:rPr>
        <w:t>1</w:t>
      </w:r>
      <w:r>
        <w:rPr>
          <w:rFonts w:hint="eastAsia" w:cs="Calibri"/>
          <w:color w:val="auto"/>
          <w:sz w:val="24"/>
          <w:szCs w:val="24"/>
        </w:rPr>
        <w:fldChar w:fldCharType="end"/>
      </w:r>
      <w:r>
        <w:rPr>
          <w:rFonts w:hint="eastAsia" w:cs="Calibri"/>
          <w:color w:val="auto"/>
          <w:sz w:val="24"/>
          <w:szCs w:val="24"/>
        </w:rPr>
        <w:t>5</w:t>
      </w:r>
    </w:p>
    <w:p>
      <w:pPr>
        <w:keepNext/>
        <w:keepLines/>
        <w:tabs>
          <w:tab w:val="left" w:pos="3165"/>
          <w:tab w:val="center" w:pos="4153"/>
        </w:tabs>
        <w:spacing w:line="312" w:lineRule="auto"/>
        <w:jc w:val="center"/>
        <w:outlineLvl w:val="0"/>
        <w:rPr>
          <w:color w:val="auto"/>
          <w:lang w:val="zh-CN"/>
        </w:rPr>
        <w:sectPr>
          <w:footerReference r:id="rId7" w:type="default"/>
          <w:pgSz w:w="11906" w:h="16838"/>
          <w:pgMar w:top="1440" w:right="1797" w:bottom="1440" w:left="1797" w:header="851" w:footer="555" w:gutter="0"/>
          <w:pgNumType w:start="1"/>
          <w:cols w:space="720" w:num="1"/>
          <w:docGrid w:type="linesAndChars" w:linePitch="312" w:charSpace="0"/>
        </w:sectPr>
      </w:pPr>
      <w:r>
        <w:rPr>
          <w:color w:val="auto"/>
          <w:sz w:val="24"/>
          <w:szCs w:val="24"/>
          <w:lang w:val="zh-CN"/>
        </w:rPr>
        <w:fldChar w:fldCharType="end"/>
      </w:r>
      <w:bookmarkStart w:id="2" w:name="_Toc203504444"/>
      <w:bookmarkStart w:id="3" w:name="_Toc276108767"/>
      <w:bookmarkStart w:id="4" w:name="_Toc388605271"/>
    </w:p>
    <w:p>
      <w:pPr>
        <w:keepNext/>
        <w:keepLines/>
        <w:tabs>
          <w:tab w:val="left" w:pos="3165"/>
          <w:tab w:val="center" w:pos="4153"/>
        </w:tabs>
        <w:spacing w:before="156" w:beforeLines="50" w:line="360" w:lineRule="auto"/>
        <w:jc w:val="center"/>
        <w:outlineLvl w:val="0"/>
        <w:rPr>
          <w:b/>
          <w:bCs/>
          <w:color w:val="auto"/>
          <w:kern w:val="44"/>
          <w:sz w:val="30"/>
          <w:szCs w:val="30"/>
        </w:rPr>
      </w:pPr>
      <w:bookmarkStart w:id="5" w:name="_Toc4452"/>
      <w:bookmarkStart w:id="6" w:name="_Toc7192"/>
      <w:r>
        <w:rPr>
          <w:rFonts w:hint="eastAsia"/>
          <w:b/>
          <w:bCs/>
          <w:color w:val="auto"/>
          <w:kern w:val="44"/>
          <w:sz w:val="30"/>
          <w:szCs w:val="30"/>
        </w:rPr>
        <w:t>1  总 则</w:t>
      </w:r>
      <w:bookmarkEnd w:id="2"/>
      <w:bookmarkEnd w:id="5"/>
      <w:bookmarkEnd w:id="6"/>
    </w:p>
    <w:p>
      <w:pPr>
        <w:spacing w:line="360" w:lineRule="auto"/>
        <w:rPr>
          <w:b/>
          <w:color w:val="auto"/>
          <w:sz w:val="24"/>
          <w:szCs w:val="24"/>
        </w:rPr>
      </w:pPr>
      <w:r>
        <w:rPr>
          <w:b/>
          <w:color w:val="auto"/>
          <w:sz w:val="24"/>
          <w:szCs w:val="24"/>
        </w:rPr>
        <w:t>1.</w:t>
      </w:r>
      <w:r>
        <w:rPr>
          <w:rFonts w:hint="eastAsia"/>
          <w:b/>
          <w:color w:val="auto"/>
          <w:sz w:val="24"/>
          <w:szCs w:val="24"/>
        </w:rPr>
        <w:t>0.</w:t>
      </w:r>
      <w:r>
        <w:rPr>
          <w:b/>
          <w:color w:val="auto"/>
          <w:sz w:val="24"/>
          <w:szCs w:val="24"/>
        </w:rPr>
        <w:t>1</w:t>
      </w:r>
      <w:r>
        <w:rPr>
          <w:color w:val="auto"/>
          <w:sz w:val="24"/>
          <w:szCs w:val="24"/>
        </w:rPr>
        <w:t xml:space="preserve">  </w:t>
      </w:r>
      <w:r>
        <w:rPr>
          <w:rFonts w:hint="eastAsia"/>
          <w:color w:val="auto"/>
          <w:sz w:val="24"/>
          <w:szCs w:val="24"/>
        </w:rPr>
        <w:t>为适应混凝土路面建设和交通运输发展的需要，规范</w:t>
      </w:r>
      <w:bookmarkStart w:id="7" w:name="_Hlk162377150"/>
      <w:r>
        <w:rPr>
          <w:rFonts w:hint="eastAsia"/>
          <w:color w:val="auto"/>
          <w:sz w:val="24"/>
          <w:szCs w:val="24"/>
        </w:rPr>
        <w:t>水泥混凝土路面用高韧性修补材料</w:t>
      </w:r>
      <w:bookmarkEnd w:id="7"/>
      <w:r>
        <w:rPr>
          <w:rFonts w:hint="eastAsia"/>
          <w:color w:val="auto"/>
          <w:sz w:val="24"/>
          <w:szCs w:val="24"/>
        </w:rPr>
        <w:t>在道路修补工程中的应用</w:t>
      </w:r>
      <w:r>
        <w:rPr>
          <w:color w:val="auto"/>
          <w:sz w:val="24"/>
          <w:szCs w:val="24"/>
        </w:rPr>
        <w:t>，</w:t>
      </w:r>
      <w:r>
        <w:rPr>
          <w:rFonts w:hint="eastAsia"/>
          <w:color w:val="auto"/>
          <w:sz w:val="24"/>
          <w:szCs w:val="24"/>
        </w:rPr>
        <w:t>提高我国水泥混凝土路面（简称混凝土路面）工程的施工技术水平，</w:t>
      </w:r>
      <w:r>
        <w:rPr>
          <w:color w:val="auto"/>
          <w:sz w:val="24"/>
          <w:szCs w:val="24"/>
        </w:rPr>
        <w:t>做到</w:t>
      </w:r>
      <w:r>
        <w:rPr>
          <w:rFonts w:hint="eastAsia"/>
          <w:color w:val="auto"/>
          <w:sz w:val="24"/>
          <w:szCs w:val="24"/>
        </w:rPr>
        <w:t>安全适用、</w:t>
      </w:r>
      <w:r>
        <w:rPr>
          <w:color w:val="auto"/>
          <w:sz w:val="24"/>
          <w:szCs w:val="24"/>
        </w:rPr>
        <w:t>技术先进、</w:t>
      </w:r>
      <w:r>
        <w:rPr>
          <w:rFonts w:hint="eastAsia"/>
          <w:color w:val="auto"/>
          <w:sz w:val="24"/>
          <w:szCs w:val="24"/>
        </w:rPr>
        <w:t>经济合理、确保质量</w:t>
      </w:r>
      <w:r>
        <w:rPr>
          <w:color w:val="auto"/>
          <w:sz w:val="24"/>
          <w:szCs w:val="24"/>
        </w:rPr>
        <w:t>，制定本</w:t>
      </w:r>
      <w:r>
        <w:rPr>
          <w:rFonts w:hint="eastAsia"/>
          <w:color w:val="auto"/>
          <w:sz w:val="24"/>
          <w:szCs w:val="24"/>
        </w:rPr>
        <w:t>规程</w:t>
      </w:r>
      <w:r>
        <w:rPr>
          <w:color w:val="auto"/>
          <w:sz w:val="24"/>
          <w:szCs w:val="24"/>
        </w:rPr>
        <w:t>。</w:t>
      </w:r>
    </w:p>
    <w:p>
      <w:pPr>
        <w:spacing w:line="360" w:lineRule="auto"/>
        <w:rPr>
          <w:color w:val="auto"/>
          <w:sz w:val="24"/>
          <w:szCs w:val="24"/>
        </w:rPr>
      </w:pPr>
      <w:r>
        <w:rPr>
          <w:b/>
          <w:color w:val="auto"/>
          <w:sz w:val="24"/>
          <w:szCs w:val="24"/>
        </w:rPr>
        <w:t>1.</w:t>
      </w:r>
      <w:r>
        <w:rPr>
          <w:rFonts w:hint="eastAsia"/>
          <w:b/>
          <w:color w:val="auto"/>
          <w:sz w:val="24"/>
          <w:szCs w:val="24"/>
        </w:rPr>
        <w:t>0.</w:t>
      </w:r>
      <w:r>
        <w:rPr>
          <w:b/>
          <w:color w:val="auto"/>
          <w:sz w:val="24"/>
          <w:szCs w:val="24"/>
        </w:rPr>
        <w:t>2</w:t>
      </w:r>
      <w:r>
        <w:rPr>
          <w:color w:val="auto"/>
          <w:sz w:val="24"/>
          <w:szCs w:val="24"/>
        </w:rPr>
        <w:t xml:space="preserve">  </w:t>
      </w:r>
      <w:r>
        <w:rPr>
          <w:rFonts w:hint="eastAsia"/>
          <w:color w:val="auto"/>
          <w:sz w:val="24"/>
          <w:szCs w:val="24"/>
        </w:rPr>
        <w:t>本规程适用于公路工程水泥混凝土高韧性修复材料。</w:t>
      </w:r>
    </w:p>
    <w:p>
      <w:pPr>
        <w:spacing w:line="360" w:lineRule="auto"/>
        <w:rPr>
          <w:color w:val="auto"/>
          <w:sz w:val="24"/>
          <w:szCs w:val="24"/>
        </w:rPr>
      </w:pPr>
      <w:r>
        <w:rPr>
          <w:b/>
          <w:color w:val="auto"/>
          <w:sz w:val="24"/>
          <w:szCs w:val="24"/>
        </w:rPr>
        <w:t>1.</w:t>
      </w:r>
      <w:r>
        <w:rPr>
          <w:rFonts w:hint="eastAsia"/>
          <w:b/>
          <w:color w:val="auto"/>
          <w:sz w:val="24"/>
          <w:szCs w:val="24"/>
        </w:rPr>
        <w:t>0.</w:t>
      </w:r>
      <w:r>
        <w:rPr>
          <w:b/>
          <w:color w:val="auto"/>
          <w:sz w:val="24"/>
          <w:szCs w:val="24"/>
        </w:rPr>
        <w:t>3</w:t>
      </w:r>
      <w:r>
        <w:rPr>
          <w:color w:val="auto"/>
          <w:sz w:val="24"/>
          <w:szCs w:val="24"/>
        </w:rPr>
        <w:t xml:space="preserve">  </w:t>
      </w:r>
      <w:r>
        <w:rPr>
          <w:rFonts w:hint="eastAsia"/>
          <w:color w:val="auto"/>
          <w:sz w:val="24"/>
          <w:szCs w:val="24"/>
        </w:rPr>
        <w:t>本规程规定公路工程水泥混凝土高韧性修复材料的术语与定义、原材料、性能要求、配合比设计、试验方法、检验规则、交货与验收、标志、包装、运输和贮存。</w:t>
      </w:r>
    </w:p>
    <w:p>
      <w:pPr>
        <w:spacing w:line="360" w:lineRule="auto"/>
        <w:rPr>
          <w:color w:val="auto"/>
          <w:sz w:val="24"/>
          <w:szCs w:val="24"/>
        </w:rPr>
      </w:pPr>
      <w:r>
        <w:rPr>
          <w:b/>
          <w:color w:val="auto"/>
          <w:sz w:val="24"/>
          <w:szCs w:val="24"/>
        </w:rPr>
        <w:t>1.</w:t>
      </w:r>
      <w:r>
        <w:rPr>
          <w:rFonts w:hint="eastAsia"/>
          <w:b/>
          <w:color w:val="auto"/>
          <w:sz w:val="24"/>
          <w:szCs w:val="24"/>
        </w:rPr>
        <w:t>0.</w:t>
      </w:r>
      <w:r>
        <w:rPr>
          <w:b/>
          <w:color w:val="auto"/>
          <w:sz w:val="24"/>
          <w:szCs w:val="24"/>
        </w:rPr>
        <w:t>4</w:t>
      </w:r>
      <w:r>
        <w:rPr>
          <w:color w:val="auto"/>
          <w:sz w:val="24"/>
          <w:szCs w:val="24"/>
        </w:rPr>
        <w:t xml:space="preserve">  </w:t>
      </w:r>
      <w:r>
        <w:rPr>
          <w:rFonts w:hint="eastAsia"/>
          <w:color w:val="auto"/>
          <w:sz w:val="24"/>
          <w:szCs w:val="24"/>
        </w:rPr>
        <w:t>水泥混凝土路面用高韧性修补材料</w:t>
      </w:r>
      <w:r>
        <w:rPr>
          <w:color w:val="auto"/>
          <w:sz w:val="24"/>
          <w:szCs w:val="24"/>
        </w:rPr>
        <w:t>的应用除应符合本规程外，尚应符合国家现行有关标准的规定。</w:t>
      </w:r>
    </w:p>
    <w:p>
      <w:pPr>
        <w:spacing w:line="360" w:lineRule="auto"/>
        <w:jc w:val="left"/>
        <w:rPr>
          <w:b/>
          <w:bCs/>
          <w:color w:val="auto"/>
          <w:kern w:val="44"/>
          <w:sz w:val="28"/>
          <w:szCs w:val="28"/>
        </w:rPr>
      </w:pPr>
      <w:r>
        <w:rPr>
          <w:b/>
          <w:bCs/>
          <w:color w:val="auto"/>
          <w:kern w:val="44"/>
          <w:sz w:val="28"/>
          <w:szCs w:val="28"/>
        </w:rPr>
        <w:br w:type="page"/>
      </w:r>
    </w:p>
    <w:bookmarkEnd w:id="3"/>
    <w:bookmarkEnd w:id="4"/>
    <w:p>
      <w:pPr>
        <w:pStyle w:val="8"/>
        <w:spacing w:line="360" w:lineRule="auto"/>
        <w:ind w:left="210" w:leftChars="100" w:firstLine="240" w:firstLineChars="100"/>
        <w:rPr>
          <w:rFonts w:ascii="Times New Roman" w:hAnsi="Times New Roman"/>
          <w:color w:val="auto"/>
          <w:sz w:val="24"/>
          <w:szCs w:val="24"/>
          <w:lang w:val="en-US"/>
        </w:rPr>
        <w:sectPr>
          <w:footerReference r:id="rId8" w:type="default"/>
          <w:pgSz w:w="11906" w:h="16838"/>
          <w:pgMar w:top="1440" w:right="1797" w:bottom="1440" w:left="1797" w:header="851" w:footer="555" w:gutter="0"/>
          <w:pgNumType w:start="1"/>
          <w:cols w:space="720" w:num="1"/>
          <w:docGrid w:type="linesAndChars" w:linePitch="312" w:charSpace="0"/>
        </w:sectPr>
      </w:pPr>
    </w:p>
    <w:p>
      <w:pPr>
        <w:keepNext/>
        <w:keepLines/>
        <w:tabs>
          <w:tab w:val="left" w:pos="3165"/>
          <w:tab w:val="center" w:pos="4153"/>
        </w:tabs>
        <w:spacing w:before="156" w:beforeLines="50" w:line="360" w:lineRule="auto"/>
        <w:jc w:val="center"/>
        <w:outlineLvl w:val="0"/>
        <w:rPr>
          <w:b/>
          <w:bCs/>
          <w:color w:val="auto"/>
          <w:kern w:val="44"/>
          <w:sz w:val="30"/>
          <w:szCs w:val="30"/>
        </w:rPr>
      </w:pPr>
      <w:bookmarkStart w:id="8" w:name="_Toc24747"/>
      <w:bookmarkStart w:id="9" w:name="_Toc172534360"/>
      <w:bookmarkStart w:id="10" w:name="_Toc203504445"/>
      <w:bookmarkStart w:id="11" w:name="_Toc966"/>
      <w:bookmarkStart w:id="12" w:name="_Toc17032"/>
      <w:r>
        <w:rPr>
          <w:rFonts w:hint="eastAsia"/>
          <w:b/>
          <w:bCs/>
          <w:color w:val="auto"/>
          <w:kern w:val="44"/>
          <w:sz w:val="30"/>
          <w:szCs w:val="30"/>
        </w:rPr>
        <w:t>2</w:t>
      </w:r>
      <w:r>
        <w:rPr>
          <w:b/>
          <w:bCs/>
          <w:color w:val="auto"/>
          <w:kern w:val="44"/>
          <w:sz w:val="30"/>
          <w:szCs w:val="30"/>
        </w:rPr>
        <w:t xml:space="preserve">  </w:t>
      </w:r>
      <w:bookmarkEnd w:id="8"/>
      <w:bookmarkStart w:id="13" w:name="_Hlk203587473"/>
      <w:r>
        <w:rPr>
          <w:rFonts w:hint="eastAsia"/>
          <w:b/>
          <w:bCs/>
          <w:color w:val="auto"/>
          <w:kern w:val="44"/>
          <w:sz w:val="30"/>
          <w:szCs w:val="30"/>
        </w:rPr>
        <w:t>术 语</w:t>
      </w:r>
      <w:bookmarkEnd w:id="9"/>
      <w:bookmarkEnd w:id="10"/>
      <w:bookmarkEnd w:id="11"/>
      <w:bookmarkEnd w:id="12"/>
      <w:bookmarkEnd w:id="13"/>
    </w:p>
    <w:p>
      <w:pPr>
        <w:pStyle w:val="8"/>
        <w:spacing w:line="360" w:lineRule="auto"/>
        <w:rPr>
          <w:rFonts w:ascii="Times New Roman" w:hAnsi="Times New Roman"/>
          <w:bCs/>
          <w:color w:val="auto"/>
          <w:sz w:val="24"/>
          <w:szCs w:val="24"/>
          <w:lang w:val="en-US"/>
        </w:rPr>
      </w:pPr>
      <w:r>
        <w:rPr>
          <w:rFonts w:hint="eastAsia" w:ascii="Times New Roman" w:hAnsi="Times New Roman"/>
          <w:b/>
          <w:color w:val="auto"/>
          <w:sz w:val="24"/>
          <w:szCs w:val="24"/>
          <w:lang w:val="en-US"/>
        </w:rPr>
        <w:t>2</w:t>
      </w:r>
      <w:r>
        <w:rPr>
          <w:rFonts w:ascii="Times New Roman" w:hAnsi="Times New Roman"/>
          <w:b/>
          <w:color w:val="auto"/>
          <w:sz w:val="24"/>
          <w:szCs w:val="24"/>
          <w:lang w:val="en-US"/>
        </w:rPr>
        <w:t>.</w:t>
      </w:r>
      <w:r>
        <w:rPr>
          <w:rFonts w:hint="eastAsia" w:ascii="Times New Roman" w:hAnsi="Times New Roman"/>
          <w:b/>
          <w:color w:val="auto"/>
          <w:sz w:val="24"/>
          <w:szCs w:val="24"/>
          <w:lang w:val="en-US"/>
        </w:rPr>
        <w:t>0.</w:t>
      </w:r>
      <w:r>
        <w:rPr>
          <w:rFonts w:ascii="Times New Roman" w:hAnsi="Times New Roman"/>
          <w:b/>
          <w:color w:val="auto"/>
          <w:sz w:val="24"/>
          <w:szCs w:val="24"/>
          <w:lang w:val="en-US"/>
        </w:rPr>
        <w:t>1</w:t>
      </w:r>
      <w:r>
        <w:rPr>
          <w:rFonts w:ascii="Times New Roman" w:hAnsi="Times New Roman"/>
          <w:bCs/>
          <w:color w:val="auto"/>
          <w:sz w:val="24"/>
          <w:szCs w:val="24"/>
          <w:lang w:val="en-US"/>
        </w:rPr>
        <w:t xml:space="preserve">  </w:t>
      </w:r>
      <w:bookmarkStart w:id="14" w:name="_Hlk203554394"/>
      <w:r>
        <w:rPr>
          <w:rFonts w:hint="eastAsia" w:ascii="Times New Roman" w:hAnsi="Times New Roman"/>
          <w:bCs/>
          <w:color w:val="auto"/>
          <w:sz w:val="24"/>
          <w:szCs w:val="24"/>
          <w:lang w:val="en-US"/>
        </w:rPr>
        <w:t>水泥混凝土路面用高韧性修补材料</w:t>
      </w:r>
      <w:bookmarkEnd w:id="14"/>
      <w:r>
        <w:rPr>
          <w:rFonts w:hint="eastAsia" w:ascii="Times New Roman" w:hAnsi="Times New Roman"/>
          <w:bCs/>
          <w:color w:val="auto"/>
          <w:sz w:val="24"/>
          <w:szCs w:val="24"/>
          <w:lang w:val="en-US"/>
        </w:rPr>
        <w:t xml:space="preserve">  </w:t>
      </w:r>
      <w:r>
        <w:rPr>
          <w:rFonts w:ascii="Times New Roman" w:hAnsi="Times New Roman"/>
          <w:bCs/>
          <w:color w:val="auto"/>
          <w:sz w:val="24"/>
          <w:szCs w:val="24"/>
          <w:lang w:val="en-US"/>
        </w:rPr>
        <w:t xml:space="preserve">high </w:t>
      </w:r>
      <w:r>
        <w:rPr>
          <w:rFonts w:hint="eastAsia" w:ascii="Times New Roman" w:hAnsi="Times New Roman"/>
          <w:bCs/>
          <w:color w:val="auto"/>
          <w:sz w:val="24"/>
          <w:szCs w:val="24"/>
          <w:lang w:val="en-US"/>
        </w:rPr>
        <w:t>t</w:t>
      </w:r>
      <w:r>
        <w:rPr>
          <w:rFonts w:ascii="Times New Roman" w:hAnsi="Times New Roman"/>
          <w:bCs/>
          <w:color w:val="auto"/>
          <w:sz w:val="24"/>
          <w:szCs w:val="24"/>
          <w:lang w:val="en-US"/>
        </w:rPr>
        <w:t xml:space="preserve">oughness </w:t>
      </w:r>
      <w:r>
        <w:rPr>
          <w:rFonts w:hint="eastAsia" w:ascii="Times New Roman" w:hAnsi="Times New Roman"/>
          <w:bCs/>
          <w:color w:val="auto"/>
          <w:sz w:val="24"/>
          <w:szCs w:val="24"/>
          <w:lang w:val="en-US"/>
        </w:rPr>
        <w:t>r</w:t>
      </w:r>
      <w:r>
        <w:rPr>
          <w:rFonts w:ascii="Times New Roman" w:hAnsi="Times New Roman"/>
          <w:bCs/>
          <w:color w:val="auto"/>
          <w:sz w:val="24"/>
          <w:szCs w:val="24"/>
          <w:lang w:val="en-US"/>
        </w:rPr>
        <w:t xml:space="preserve">epair </w:t>
      </w:r>
      <w:r>
        <w:rPr>
          <w:rFonts w:hint="eastAsia" w:ascii="Times New Roman" w:hAnsi="Times New Roman"/>
          <w:bCs/>
          <w:color w:val="auto"/>
          <w:sz w:val="24"/>
          <w:szCs w:val="24"/>
          <w:lang w:val="en-US"/>
        </w:rPr>
        <w:t>m</w:t>
      </w:r>
      <w:r>
        <w:rPr>
          <w:rFonts w:ascii="Times New Roman" w:hAnsi="Times New Roman"/>
          <w:bCs/>
          <w:color w:val="auto"/>
          <w:sz w:val="24"/>
          <w:szCs w:val="24"/>
          <w:lang w:val="en-US"/>
        </w:rPr>
        <w:t xml:space="preserve">aterial for </w:t>
      </w:r>
      <w:r>
        <w:rPr>
          <w:rFonts w:hint="eastAsia" w:ascii="Times New Roman" w:hAnsi="Times New Roman"/>
          <w:bCs/>
          <w:color w:val="auto"/>
          <w:sz w:val="24"/>
          <w:szCs w:val="24"/>
          <w:lang w:val="en-US"/>
        </w:rPr>
        <w:t>c</w:t>
      </w:r>
      <w:r>
        <w:rPr>
          <w:rFonts w:ascii="Times New Roman" w:hAnsi="Times New Roman"/>
          <w:bCs/>
          <w:color w:val="auto"/>
          <w:sz w:val="24"/>
          <w:szCs w:val="24"/>
          <w:lang w:val="en-US"/>
        </w:rPr>
        <w:t xml:space="preserve">ement </w:t>
      </w:r>
      <w:r>
        <w:rPr>
          <w:rFonts w:hint="eastAsia" w:ascii="Times New Roman" w:hAnsi="Times New Roman"/>
          <w:bCs/>
          <w:color w:val="auto"/>
          <w:sz w:val="24"/>
          <w:szCs w:val="24"/>
          <w:lang w:val="en-US"/>
        </w:rPr>
        <w:t>c</w:t>
      </w:r>
      <w:r>
        <w:rPr>
          <w:rFonts w:ascii="Times New Roman" w:hAnsi="Times New Roman"/>
          <w:bCs/>
          <w:color w:val="auto"/>
          <w:sz w:val="24"/>
          <w:szCs w:val="24"/>
          <w:lang w:val="en-US"/>
        </w:rPr>
        <w:t xml:space="preserve">oncrete </w:t>
      </w:r>
      <w:r>
        <w:rPr>
          <w:rFonts w:hint="eastAsia" w:ascii="Times New Roman" w:hAnsi="Times New Roman"/>
          <w:bCs/>
          <w:color w:val="auto"/>
          <w:sz w:val="24"/>
          <w:szCs w:val="24"/>
          <w:lang w:val="en-US"/>
        </w:rPr>
        <w:t>p</w:t>
      </w:r>
      <w:r>
        <w:rPr>
          <w:rFonts w:ascii="Times New Roman" w:hAnsi="Times New Roman"/>
          <w:bCs/>
          <w:color w:val="auto"/>
          <w:sz w:val="24"/>
          <w:szCs w:val="24"/>
          <w:lang w:val="en-US"/>
        </w:rPr>
        <w:t>avement</w:t>
      </w:r>
    </w:p>
    <w:p>
      <w:pPr>
        <w:pStyle w:val="8"/>
        <w:spacing w:line="360" w:lineRule="auto"/>
        <w:ind w:firstLine="480" w:firstLineChars="200"/>
        <w:rPr>
          <w:rFonts w:ascii="Times New Roman" w:hAnsi="Times New Roman"/>
          <w:color w:val="auto"/>
          <w:sz w:val="24"/>
          <w:szCs w:val="24"/>
          <w:lang w:val="en-US"/>
        </w:rPr>
      </w:pPr>
      <w:bookmarkStart w:id="15" w:name="_Hlk203554406"/>
      <w:r>
        <w:rPr>
          <w:rFonts w:hint="eastAsia" w:ascii="Times New Roman" w:hAnsi="Times New Roman"/>
          <w:color w:val="auto"/>
          <w:sz w:val="24"/>
          <w:szCs w:val="24"/>
          <w:lang w:val="en-US"/>
        </w:rPr>
        <w:t>是一种以水硬性胶凝材料、矿物掺合料、骨料、纤维、外加剂、水等为原料，按适当的比例通过严格的工艺或施工措施，制备的高韧性修补材料。</w:t>
      </w:r>
    </w:p>
    <w:bookmarkEnd w:id="15"/>
    <w:p>
      <w:pPr>
        <w:pStyle w:val="8"/>
        <w:spacing w:line="360" w:lineRule="auto"/>
        <w:rPr>
          <w:rFonts w:ascii="Times New Roman" w:hAnsi="Times New Roman"/>
          <w:bCs/>
          <w:color w:val="auto"/>
          <w:sz w:val="24"/>
          <w:szCs w:val="24"/>
          <w:lang w:val="en-US"/>
        </w:rPr>
      </w:pPr>
      <w:r>
        <w:rPr>
          <w:rFonts w:hint="eastAsia" w:ascii="Times New Roman" w:hAnsi="Times New Roman"/>
          <w:b/>
          <w:color w:val="auto"/>
          <w:sz w:val="24"/>
          <w:szCs w:val="24"/>
          <w:lang w:val="en-US"/>
        </w:rPr>
        <w:t>2</w:t>
      </w:r>
      <w:r>
        <w:rPr>
          <w:rFonts w:ascii="Times New Roman" w:hAnsi="Times New Roman"/>
          <w:b/>
          <w:color w:val="auto"/>
          <w:sz w:val="24"/>
          <w:szCs w:val="24"/>
          <w:lang w:val="en-US"/>
        </w:rPr>
        <w:t>.</w:t>
      </w:r>
      <w:r>
        <w:rPr>
          <w:rFonts w:hint="eastAsia" w:ascii="Times New Roman" w:hAnsi="Times New Roman"/>
          <w:b/>
          <w:color w:val="auto"/>
          <w:sz w:val="24"/>
          <w:szCs w:val="24"/>
          <w:lang w:val="en-US"/>
        </w:rPr>
        <w:t>0.</w:t>
      </w:r>
      <w:r>
        <w:rPr>
          <w:rFonts w:ascii="Times New Roman" w:hAnsi="Times New Roman"/>
          <w:b/>
          <w:color w:val="auto"/>
          <w:sz w:val="24"/>
          <w:szCs w:val="24"/>
          <w:lang w:val="en-US"/>
        </w:rPr>
        <w:t>2</w:t>
      </w:r>
      <w:r>
        <w:rPr>
          <w:rFonts w:ascii="Times New Roman" w:hAnsi="Times New Roman"/>
          <w:bCs/>
          <w:color w:val="auto"/>
          <w:sz w:val="24"/>
          <w:szCs w:val="24"/>
          <w:lang w:val="en-US"/>
        </w:rPr>
        <w:t xml:space="preserve">  </w:t>
      </w:r>
      <w:r>
        <w:rPr>
          <w:rFonts w:hint="eastAsia" w:ascii="Times New Roman" w:hAnsi="Times New Roman"/>
          <w:bCs/>
          <w:color w:val="auto"/>
          <w:sz w:val="24"/>
          <w:szCs w:val="24"/>
          <w:lang w:val="en-US"/>
        </w:rPr>
        <w:t>水泥混凝土路面  cement concrete pavement</w:t>
      </w:r>
    </w:p>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以水泥混凝土作面层（配筋或不配筋）的路面。</w:t>
      </w:r>
    </w:p>
    <w:p>
      <w:pPr>
        <w:pStyle w:val="8"/>
        <w:spacing w:line="360" w:lineRule="auto"/>
        <w:jc w:val="left"/>
        <w:rPr>
          <w:rFonts w:ascii="Times New Roman" w:hAnsi="Times New Roman"/>
          <w:bCs/>
          <w:color w:val="auto"/>
          <w:sz w:val="24"/>
          <w:szCs w:val="24"/>
          <w:lang w:val="en-US"/>
        </w:rPr>
      </w:pPr>
      <w:r>
        <w:rPr>
          <w:rFonts w:hint="eastAsia" w:ascii="Times New Roman" w:hAnsi="Times New Roman"/>
          <w:b/>
          <w:color w:val="auto"/>
          <w:sz w:val="24"/>
          <w:szCs w:val="24"/>
          <w:lang w:val="en-US"/>
        </w:rPr>
        <w:t>2</w:t>
      </w:r>
      <w:r>
        <w:rPr>
          <w:rFonts w:ascii="Times New Roman" w:hAnsi="Times New Roman"/>
          <w:b/>
          <w:color w:val="auto"/>
          <w:sz w:val="24"/>
          <w:szCs w:val="24"/>
          <w:lang w:val="en-US"/>
        </w:rPr>
        <w:t>.</w:t>
      </w:r>
      <w:r>
        <w:rPr>
          <w:rFonts w:hint="eastAsia" w:ascii="Times New Roman" w:hAnsi="Times New Roman"/>
          <w:b/>
          <w:color w:val="auto"/>
          <w:sz w:val="24"/>
          <w:szCs w:val="24"/>
          <w:lang w:val="en-US"/>
        </w:rPr>
        <w:t>0.3</w:t>
      </w:r>
      <w:r>
        <w:rPr>
          <w:rFonts w:ascii="Times New Roman" w:hAnsi="Times New Roman"/>
          <w:bCs/>
          <w:color w:val="auto"/>
          <w:sz w:val="24"/>
          <w:szCs w:val="24"/>
          <w:lang w:val="en-US"/>
        </w:rPr>
        <w:t xml:space="preserve">  </w:t>
      </w:r>
      <w:r>
        <w:rPr>
          <w:rFonts w:hint="eastAsia" w:ascii="Times New Roman" w:hAnsi="Times New Roman"/>
          <w:bCs/>
          <w:color w:val="auto"/>
          <w:sz w:val="24"/>
          <w:szCs w:val="24"/>
          <w:lang w:val="en-US"/>
        </w:rPr>
        <w:t>纤维  fibers</w:t>
      </w:r>
    </w:p>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为提高修补材料韧性而添加的聚乙烯醇纤维和聚丙烯纤维。</w:t>
      </w:r>
    </w:p>
    <w:p>
      <w:pPr>
        <w:pStyle w:val="8"/>
        <w:spacing w:line="360" w:lineRule="auto"/>
        <w:jc w:val="left"/>
        <w:rPr>
          <w:rFonts w:ascii="Times New Roman" w:hAnsi="Times New Roman"/>
          <w:bCs/>
          <w:color w:val="auto"/>
          <w:sz w:val="24"/>
          <w:szCs w:val="24"/>
          <w:lang w:val="en-US"/>
        </w:rPr>
      </w:pPr>
      <w:r>
        <w:rPr>
          <w:rFonts w:hint="eastAsia" w:ascii="Times New Roman" w:hAnsi="Times New Roman"/>
          <w:b/>
          <w:color w:val="auto"/>
          <w:sz w:val="24"/>
          <w:szCs w:val="24"/>
          <w:lang w:val="en-US"/>
        </w:rPr>
        <w:t>2</w:t>
      </w:r>
      <w:r>
        <w:rPr>
          <w:rFonts w:ascii="Times New Roman" w:hAnsi="Times New Roman"/>
          <w:b/>
          <w:color w:val="auto"/>
          <w:sz w:val="24"/>
          <w:szCs w:val="24"/>
          <w:lang w:val="en-US"/>
        </w:rPr>
        <w:t>.</w:t>
      </w:r>
      <w:r>
        <w:rPr>
          <w:rFonts w:hint="eastAsia" w:ascii="Times New Roman" w:hAnsi="Times New Roman"/>
          <w:b/>
          <w:color w:val="auto"/>
          <w:sz w:val="24"/>
          <w:szCs w:val="24"/>
          <w:lang w:val="en-US"/>
        </w:rPr>
        <w:t>0.4</w:t>
      </w:r>
      <w:r>
        <w:rPr>
          <w:rFonts w:ascii="Times New Roman" w:hAnsi="Times New Roman"/>
          <w:bCs/>
          <w:color w:val="auto"/>
          <w:sz w:val="24"/>
          <w:szCs w:val="24"/>
          <w:lang w:val="en-US"/>
        </w:rPr>
        <w:t xml:space="preserve"> </w:t>
      </w:r>
      <w:r>
        <w:rPr>
          <w:rFonts w:hint="eastAsia" w:ascii="Times New Roman" w:hAnsi="Times New Roman"/>
          <w:bCs/>
          <w:color w:val="auto"/>
          <w:sz w:val="24"/>
          <w:szCs w:val="24"/>
          <w:lang w:val="en-US"/>
        </w:rPr>
        <w:t xml:space="preserve"> 弯曲韧性  </w:t>
      </w:r>
      <w:bookmarkStart w:id="118" w:name="_GoBack"/>
      <w:r>
        <w:rPr>
          <w:rFonts w:ascii="Times New Roman" w:hAnsi="Times New Roman"/>
          <w:bCs/>
          <w:color w:val="auto"/>
          <w:sz w:val="24"/>
          <w:szCs w:val="24"/>
          <w:lang w:val="en-US"/>
        </w:rPr>
        <w:t>bending toughness</w:t>
      </w:r>
    </w:p>
    <w:bookmarkEnd w:id="118"/>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用于评价混凝土在弯曲荷载下抵抗开裂和维持残余强度的能力。</w:t>
      </w:r>
    </w:p>
    <w:p>
      <w:pPr>
        <w:keepNext/>
        <w:keepLines/>
        <w:tabs>
          <w:tab w:val="left" w:pos="3165"/>
          <w:tab w:val="center" w:pos="4153"/>
        </w:tabs>
        <w:spacing w:before="156" w:beforeLines="50" w:line="360" w:lineRule="auto"/>
        <w:jc w:val="center"/>
        <w:outlineLvl w:val="0"/>
        <w:rPr>
          <w:b/>
          <w:bCs/>
          <w:color w:val="auto"/>
          <w:kern w:val="44"/>
          <w:sz w:val="30"/>
          <w:szCs w:val="30"/>
        </w:rPr>
      </w:pPr>
      <w:bookmarkStart w:id="16" w:name="_Toc388605274"/>
      <w:r>
        <w:rPr>
          <w:b/>
          <w:bCs/>
          <w:color w:val="auto"/>
          <w:kern w:val="44"/>
          <w:sz w:val="30"/>
          <w:szCs w:val="30"/>
        </w:rPr>
        <w:br w:type="page"/>
      </w:r>
      <w:bookmarkEnd w:id="16"/>
      <w:bookmarkStart w:id="17" w:name="_Toc32053"/>
      <w:bookmarkStart w:id="18" w:name="_Toc172534361"/>
      <w:bookmarkStart w:id="19" w:name="_Toc6432"/>
      <w:bookmarkStart w:id="20" w:name="_Toc203504446"/>
      <w:bookmarkStart w:id="21" w:name="_Toc19898"/>
      <w:r>
        <w:rPr>
          <w:rFonts w:hint="eastAsia" w:ascii="宋体" w:hAnsi="宋体" w:cs="宋体"/>
          <w:b/>
          <w:bCs/>
          <w:color w:val="auto"/>
          <w:kern w:val="44"/>
          <w:sz w:val="30"/>
          <w:szCs w:val="30"/>
        </w:rPr>
        <w:t xml:space="preserve">3  </w:t>
      </w:r>
      <w:bookmarkEnd w:id="17"/>
      <w:r>
        <w:rPr>
          <w:rFonts w:hint="eastAsia" w:ascii="宋体" w:hAnsi="宋体" w:cs="宋体"/>
          <w:b/>
          <w:bCs/>
          <w:color w:val="auto"/>
          <w:kern w:val="44"/>
          <w:sz w:val="30"/>
          <w:szCs w:val="30"/>
        </w:rPr>
        <w:t>原材料</w:t>
      </w:r>
      <w:bookmarkEnd w:id="18"/>
      <w:bookmarkEnd w:id="19"/>
      <w:bookmarkEnd w:id="20"/>
      <w:bookmarkEnd w:id="21"/>
    </w:p>
    <w:p>
      <w:pPr>
        <w:spacing w:line="360" w:lineRule="auto"/>
        <w:jc w:val="center"/>
        <w:outlineLvl w:val="1"/>
        <w:rPr>
          <w:rFonts w:hint="eastAsia" w:ascii="黑体" w:hAnsi="黑体" w:eastAsia="黑体" w:cs="黑体"/>
          <w:color w:val="auto"/>
          <w:sz w:val="24"/>
          <w:szCs w:val="24"/>
        </w:rPr>
      </w:pPr>
      <w:bookmarkStart w:id="22" w:name="_Toc28484"/>
      <w:bookmarkStart w:id="23" w:name="_Toc2382"/>
      <w:r>
        <w:rPr>
          <w:rFonts w:hint="eastAsia" w:ascii="黑体" w:hAnsi="黑体" w:eastAsia="黑体" w:cs="黑体"/>
          <w:b/>
          <w:color w:val="auto"/>
          <w:sz w:val="24"/>
          <w:szCs w:val="24"/>
        </w:rPr>
        <w:t>3.1  水泥</w:t>
      </w:r>
      <w:bookmarkEnd w:id="22"/>
      <w:bookmarkEnd w:id="23"/>
    </w:p>
    <w:p>
      <w:pPr>
        <w:spacing w:line="360" w:lineRule="auto"/>
        <w:rPr>
          <w:bCs/>
          <w:color w:val="auto"/>
          <w:sz w:val="24"/>
        </w:rPr>
      </w:pPr>
      <w:r>
        <w:rPr>
          <w:rFonts w:hint="eastAsia"/>
          <w:b/>
          <w:bCs/>
          <w:color w:val="auto"/>
          <w:sz w:val="24"/>
          <w:szCs w:val="24"/>
        </w:rPr>
        <w:t>3.1.1</w:t>
      </w:r>
      <w:r>
        <w:rPr>
          <w:rFonts w:hint="eastAsia"/>
          <w:color w:val="auto"/>
          <w:sz w:val="24"/>
          <w:szCs w:val="24"/>
        </w:rPr>
        <w:t xml:space="preserve">  水硬性胶凝材料</w:t>
      </w:r>
      <w:r>
        <w:rPr>
          <w:color w:val="auto"/>
          <w:sz w:val="24"/>
          <w:szCs w:val="24"/>
        </w:rPr>
        <w:t>宜采用</w:t>
      </w:r>
      <w:r>
        <w:rPr>
          <w:rFonts w:hint="eastAsia"/>
          <w:color w:val="auto"/>
          <w:sz w:val="24"/>
          <w:szCs w:val="24"/>
        </w:rPr>
        <w:t>硅酸盐水泥或普通</w:t>
      </w:r>
      <w:r>
        <w:rPr>
          <w:color w:val="auto"/>
          <w:sz w:val="24"/>
          <w:szCs w:val="24"/>
        </w:rPr>
        <w:t>硅酸盐水泥，</w:t>
      </w:r>
      <w:r>
        <w:rPr>
          <w:rFonts w:hint="eastAsia"/>
          <w:color w:val="auto"/>
          <w:sz w:val="24"/>
          <w:szCs w:val="24"/>
        </w:rPr>
        <w:t>强度等级</w:t>
      </w:r>
      <w:r>
        <w:rPr>
          <w:bCs/>
          <w:color w:val="auto"/>
          <w:sz w:val="24"/>
        </w:rPr>
        <w:t>宜为42.5及以上</w:t>
      </w:r>
      <w:r>
        <w:rPr>
          <w:rFonts w:hint="eastAsia"/>
          <w:bCs/>
          <w:color w:val="auto"/>
          <w:sz w:val="24"/>
        </w:rPr>
        <w:t>，</w:t>
      </w:r>
      <w:r>
        <w:rPr>
          <w:color w:val="auto"/>
          <w:sz w:val="24"/>
          <w:szCs w:val="24"/>
        </w:rPr>
        <w:t>并应符合现行国家标准《通用硅酸盐水泥》GB 175</w:t>
      </w:r>
      <w:r>
        <w:rPr>
          <w:rFonts w:hint="eastAsia"/>
          <w:color w:val="auto"/>
          <w:sz w:val="24"/>
          <w:szCs w:val="24"/>
        </w:rPr>
        <w:t>。</w:t>
      </w:r>
    </w:p>
    <w:p>
      <w:pPr>
        <w:spacing w:line="360" w:lineRule="auto"/>
        <w:rPr>
          <w:bCs/>
          <w:color w:val="auto"/>
          <w:sz w:val="24"/>
        </w:rPr>
      </w:pPr>
      <w:r>
        <w:rPr>
          <w:rFonts w:hint="eastAsia"/>
          <w:b/>
          <w:color w:val="auto"/>
          <w:sz w:val="24"/>
        </w:rPr>
        <w:t xml:space="preserve">3.1.2  </w:t>
      </w:r>
      <w:r>
        <w:rPr>
          <w:rFonts w:hint="eastAsia"/>
          <w:color w:val="auto"/>
          <w:sz w:val="24"/>
          <w:szCs w:val="24"/>
        </w:rPr>
        <w:t>辅助水硬性胶凝材料</w:t>
      </w:r>
      <w:r>
        <w:rPr>
          <w:color w:val="auto"/>
          <w:sz w:val="24"/>
          <w:szCs w:val="24"/>
        </w:rPr>
        <w:t>宜采用</w:t>
      </w:r>
      <w:r>
        <w:rPr>
          <w:rFonts w:hint="eastAsia"/>
          <w:color w:val="auto"/>
          <w:sz w:val="24"/>
          <w:szCs w:val="24"/>
        </w:rPr>
        <w:t>快硬硫铝酸盐</w:t>
      </w:r>
      <w:r>
        <w:rPr>
          <w:color w:val="auto"/>
          <w:sz w:val="24"/>
          <w:szCs w:val="24"/>
        </w:rPr>
        <w:t>水泥，</w:t>
      </w:r>
      <w:r>
        <w:rPr>
          <w:rFonts w:hint="eastAsia"/>
          <w:color w:val="auto"/>
          <w:sz w:val="24"/>
          <w:szCs w:val="24"/>
        </w:rPr>
        <w:t>强度等级</w:t>
      </w:r>
      <w:r>
        <w:rPr>
          <w:bCs/>
          <w:color w:val="auto"/>
          <w:sz w:val="24"/>
        </w:rPr>
        <w:t>宜为42.5及以上</w:t>
      </w:r>
      <w:r>
        <w:rPr>
          <w:rFonts w:hint="eastAsia"/>
          <w:bCs/>
          <w:color w:val="auto"/>
          <w:sz w:val="24"/>
        </w:rPr>
        <w:t>，</w:t>
      </w:r>
      <w:r>
        <w:rPr>
          <w:rFonts w:hint="eastAsia"/>
          <w:color w:val="auto"/>
          <w:sz w:val="24"/>
          <w:szCs w:val="24"/>
        </w:rPr>
        <w:t>并</w:t>
      </w:r>
      <w:r>
        <w:rPr>
          <w:color w:val="auto"/>
          <w:sz w:val="24"/>
          <w:szCs w:val="24"/>
        </w:rPr>
        <w:t>应符合现行国家标准</w:t>
      </w:r>
      <w:r>
        <w:rPr>
          <w:rFonts w:hint="eastAsia"/>
          <w:color w:val="auto"/>
          <w:sz w:val="24"/>
          <w:szCs w:val="24"/>
        </w:rPr>
        <w:t>《硫铝酸盐水泥》GB 20472</w:t>
      </w:r>
      <w:r>
        <w:rPr>
          <w:color w:val="auto"/>
          <w:sz w:val="24"/>
          <w:szCs w:val="24"/>
        </w:rPr>
        <w:t>的规定。</w:t>
      </w:r>
    </w:p>
    <w:p>
      <w:pPr>
        <w:spacing w:line="360" w:lineRule="auto"/>
        <w:jc w:val="center"/>
        <w:outlineLvl w:val="1"/>
        <w:rPr>
          <w:rFonts w:hint="eastAsia" w:ascii="黑体" w:hAnsi="黑体" w:eastAsia="黑体" w:cs="黑体"/>
          <w:b/>
          <w:color w:val="auto"/>
          <w:sz w:val="24"/>
          <w:szCs w:val="24"/>
        </w:rPr>
      </w:pPr>
      <w:bookmarkStart w:id="24" w:name="_Toc9318"/>
      <w:bookmarkStart w:id="25" w:name="_Toc10195"/>
      <w:r>
        <w:rPr>
          <w:rFonts w:hint="eastAsia" w:ascii="黑体" w:hAnsi="黑体" w:eastAsia="黑体" w:cs="黑体"/>
          <w:b/>
          <w:color w:val="auto"/>
          <w:sz w:val="24"/>
          <w:szCs w:val="24"/>
        </w:rPr>
        <w:t>3.2  矿物掺合料</w:t>
      </w:r>
      <w:bookmarkEnd w:id="24"/>
      <w:bookmarkEnd w:id="25"/>
    </w:p>
    <w:p>
      <w:pPr>
        <w:spacing w:line="360" w:lineRule="auto"/>
        <w:rPr>
          <w:bCs/>
          <w:color w:val="auto"/>
          <w:sz w:val="24"/>
        </w:rPr>
      </w:pPr>
      <w:r>
        <w:rPr>
          <w:rFonts w:hint="eastAsia"/>
          <w:b/>
          <w:bCs/>
          <w:color w:val="auto"/>
          <w:sz w:val="24"/>
          <w:szCs w:val="24"/>
        </w:rPr>
        <w:t>3.2.1</w:t>
      </w:r>
      <w:r>
        <w:rPr>
          <w:rFonts w:hint="eastAsia"/>
          <w:color w:val="auto"/>
          <w:sz w:val="24"/>
          <w:szCs w:val="24"/>
        </w:rPr>
        <w:t xml:space="preserve">  </w:t>
      </w:r>
      <w:r>
        <w:rPr>
          <w:bCs/>
          <w:color w:val="auto"/>
          <w:sz w:val="24"/>
        </w:rPr>
        <w:t>粒化高炉矿渣粉</w:t>
      </w:r>
      <w:r>
        <w:rPr>
          <w:color w:val="auto"/>
          <w:sz w:val="24"/>
          <w:szCs w:val="24"/>
        </w:rPr>
        <w:t>应符合现行国家标准《用于水泥和混凝土中的粒化高炉矿渣粉》GB/T 18046</w:t>
      </w:r>
      <w:r>
        <w:rPr>
          <w:rFonts w:hint="eastAsia"/>
          <w:color w:val="auto"/>
          <w:sz w:val="24"/>
          <w:szCs w:val="24"/>
        </w:rPr>
        <w:t>中</w:t>
      </w:r>
      <w:r>
        <w:rPr>
          <w:bCs/>
          <w:color w:val="auto"/>
          <w:sz w:val="24"/>
        </w:rPr>
        <w:t>S95及以上粒化高炉矿渣粉</w:t>
      </w:r>
      <w:r>
        <w:rPr>
          <w:rFonts w:hint="eastAsia"/>
          <w:bCs/>
          <w:color w:val="auto"/>
          <w:sz w:val="24"/>
        </w:rPr>
        <w:t>的有关规定。</w:t>
      </w:r>
    </w:p>
    <w:p>
      <w:pPr>
        <w:spacing w:line="360" w:lineRule="auto"/>
        <w:rPr>
          <w:bCs/>
          <w:color w:val="auto"/>
          <w:sz w:val="24"/>
        </w:rPr>
      </w:pPr>
      <w:r>
        <w:rPr>
          <w:rFonts w:hint="eastAsia"/>
          <w:b/>
          <w:color w:val="auto"/>
          <w:sz w:val="24"/>
        </w:rPr>
        <w:t xml:space="preserve">3.2.2  </w:t>
      </w:r>
      <w:r>
        <w:rPr>
          <w:rFonts w:hint="eastAsia"/>
          <w:color w:val="auto"/>
          <w:sz w:val="24"/>
          <w:szCs w:val="24"/>
        </w:rPr>
        <w:t>粉煤灰应符合</w:t>
      </w:r>
      <w:r>
        <w:rPr>
          <w:color w:val="auto"/>
          <w:sz w:val="24"/>
          <w:szCs w:val="24"/>
        </w:rPr>
        <w:t>现行国家标准《用于水泥和混凝土中的粉煤灰》GB/T 1596</w:t>
      </w:r>
      <w:r>
        <w:rPr>
          <w:bCs/>
          <w:color w:val="auto"/>
          <w:sz w:val="24"/>
        </w:rPr>
        <w:t>中II级及以上粉煤灰</w:t>
      </w:r>
      <w:r>
        <w:rPr>
          <w:rFonts w:hint="eastAsia"/>
          <w:bCs/>
          <w:color w:val="auto"/>
          <w:sz w:val="24"/>
        </w:rPr>
        <w:t>的有关规定</w:t>
      </w:r>
      <w:r>
        <w:rPr>
          <w:color w:val="auto"/>
          <w:sz w:val="24"/>
          <w:szCs w:val="24"/>
        </w:rPr>
        <w:t>。</w:t>
      </w:r>
    </w:p>
    <w:p>
      <w:pPr>
        <w:spacing w:line="360" w:lineRule="auto"/>
        <w:jc w:val="center"/>
        <w:outlineLvl w:val="1"/>
        <w:rPr>
          <w:rFonts w:hint="eastAsia" w:ascii="黑体" w:hAnsi="黑体" w:eastAsia="黑体" w:cs="黑体"/>
          <w:b/>
          <w:color w:val="auto"/>
          <w:sz w:val="24"/>
          <w:szCs w:val="24"/>
        </w:rPr>
      </w:pPr>
      <w:bookmarkStart w:id="26" w:name="_Toc24136"/>
      <w:bookmarkStart w:id="27" w:name="_Toc12270"/>
      <w:r>
        <w:rPr>
          <w:rFonts w:hint="eastAsia" w:ascii="黑体" w:hAnsi="黑体" w:eastAsia="黑体" w:cs="黑体"/>
          <w:b/>
          <w:color w:val="auto"/>
          <w:sz w:val="24"/>
          <w:szCs w:val="24"/>
        </w:rPr>
        <w:t>3.3  骨料</w:t>
      </w:r>
      <w:bookmarkEnd w:id="26"/>
      <w:bookmarkEnd w:id="27"/>
    </w:p>
    <w:p>
      <w:pPr>
        <w:spacing w:line="360" w:lineRule="auto"/>
        <w:rPr>
          <w:bCs/>
          <w:color w:val="auto"/>
          <w:sz w:val="24"/>
        </w:rPr>
      </w:pPr>
      <w:r>
        <w:rPr>
          <w:rFonts w:hint="eastAsia"/>
          <w:b/>
          <w:bCs/>
          <w:color w:val="auto"/>
          <w:sz w:val="24"/>
          <w:szCs w:val="24"/>
        </w:rPr>
        <w:t>3.3.1</w:t>
      </w:r>
      <w:r>
        <w:rPr>
          <w:rFonts w:hint="eastAsia"/>
          <w:color w:val="auto"/>
          <w:sz w:val="24"/>
          <w:szCs w:val="24"/>
        </w:rPr>
        <w:t xml:space="preserve">  细骨料包括天然砂和机制砂，</w:t>
      </w:r>
      <w:r>
        <w:rPr>
          <w:color w:val="auto"/>
          <w:sz w:val="24"/>
        </w:rPr>
        <w:t>指标</w:t>
      </w:r>
      <w:r>
        <w:rPr>
          <w:color w:val="auto"/>
          <w:sz w:val="24"/>
          <w:lang w:val="zh-CN"/>
        </w:rPr>
        <w:t>应符合现行国家标准《建设用砂》GB/T 14684</w:t>
      </w:r>
      <w:r>
        <w:rPr>
          <w:rFonts w:hint="eastAsia"/>
          <w:color w:val="auto"/>
          <w:sz w:val="24"/>
          <w:lang w:val="zh-CN"/>
        </w:rPr>
        <w:t>，</w:t>
      </w:r>
      <w:r>
        <w:rPr>
          <w:color w:val="auto"/>
          <w:sz w:val="24"/>
          <w:lang w:val="zh-CN"/>
        </w:rPr>
        <w:t>细度模数宜控制在2.3~3.</w:t>
      </w:r>
      <w:r>
        <w:rPr>
          <w:color w:val="auto"/>
          <w:sz w:val="24"/>
        </w:rPr>
        <w:t>2</w:t>
      </w:r>
      <w:r>
        <w:rPr>
          <w:color w:val="auto"/>
          <w:sz w:val="24"/>
          <w:lang w:val="zh-CN"/>
        </w:rPr>
        <w:t>范围内</w:t>
      </w:r>
      <w:r>
        <w:rPr>
          <w:rFonts w:hint="eastAsia"/>
          <w:bCs/>
          <w:color w:val="auto"/>
          <w:sz w:val="24"/>
        </w:rPr>
        <w:t>，也应符合</w:t>
      </w:r>
      <w:r>
        <w:rPr>
          <w:rFonts w:hint="eastAsia"/>
          <w:color w:val="auto"/>
          <w:sz w:val="24"/>
          <w:lang w:val="zh-CN"/>
        </w:rPr>
        <w:t>行业标准</w:t>
      </w:r>
      <w:r>
        <w:rPr>
          <w:color w:val="auto"/>
          <w:sz w:val="24"/>
          <w:lang w:val="zh-CN"/>
        </w:rPr>
        <w:t>《</w:t>
      </w:r>
      <w:r>
        <w:rPr>
          <w:rFonts w:hint="eastAsia"/>
          <w:color w:val="auto"/>
          <w:sz w:val="24"/>
          <w:lang w:val="zh-CN"/>
        </w:rPr>
        <w:t>公路水泥混凝土路面施工技术细则</w:t>
      </w:r>
      <w:r>
        <w:rPr>
          <w:color w:val="auto"/>
          <w:sz w:val="24"/>
          <w:lang w:val="zh-CN"/>
        </w:rPr>
        <w:t>》</w:t>
      </w:r>
      <w:r>
        <w:rPr>
          <w:rFonts w:hint="eastAsia"/>
          <w:color w:val="auto"/>
          <w:sz w:val="24"/>
          <w:lang w:val="zh-CN"/>
        </w:rPr>
        <w:t>JTG/T F30中天然砂/机制砂质量标准中</w:t>
      </w:r>
      <w:r>
        <w:rPr>
          <w:bCs/>
          <w:color w:val="auto"/>
          <w:sz w:val="24"/>
        </w:rPr>
        <w:t>II级</w:t>
      </w:r>
      <w:r>
        <w:rPr>
          <w:rFonts w:hint="eastAsia"/>
          <w:bCs/>
          <w:color w:val="auto"/>
          <w:sz w:val="24"/>
        </w:rPr>
        <w:t>及以上的技术要求。</w:t>
      </w:r>
    </w:p>
    <w:p>
      <w:pPr>
        <w:spacing w:line="360" w:lineRule="auto"/>
        <w:rPr>
          <w:bCs/>
          <w:color w:val="auto"/>
          <w:sz w:val="24"/>
        </w:rPr>
      </w:pPr>
      <w:r>
        <w:rPr>
          <w:rFonts w:hint="eastAsia"/>
          <w:b/>
          <w:color w:val="auto"/>
          <w:sz w:val="24"/>
        </w:rPr>
        <w:t xml:space="preserve">3.3.2  </w:t>
      </w:r>
      <w:r>
        <w:rPr>
          <w:rFonts w:hint="eastAsia"/>
          <w:color w:val="auto"/>
          <w:sz w:val="24"/>
          <w:szCs w:val="24"/>
        </w:rPr>
        <w:t>粗骨料</w:t>
      </w:r>
      <w:r>
        <w:rPr>
          <w:color w:val="auto"/>
          <w:sz w:val="24"/>
        </w:rPr>
        <w:t>指标应符合现行国家标准</w:t>
      </w:r>
      <w:r>
        <w:rPr>
          <w:color w:val="auto"/>
          <w:sz w:val="24"/>
          <w:lang w:val="zh-CN"/>
        </w:rPr>
        <w:t>《建设用卵石、碎石》GB/T 14685</w:t>
      </w:r>
      <w:r>
        <w:rPr>
          <w:rFonts w:hint="eastAsia"/>
          <w:color w:val="auto"/>
          <w:sz w:val="24"/>
        </w:rPr>
        <w:t>，</w:t>
      </w:r>
      <w:r>
        <w:rPr>
          <w:rFonts w:hint="eastAsia"/>
          <w:color w:val="auto"/>
          <w:sz w:val="24"/>
          <w:szCs w:val="24"/>
        </w:rPr>
        <w:t>应采用最大粒径宜为 25 mm 的连续级配石子，</w:t>
      </w:r>
      <w:r>
        <w:rPr>
          <w:rFonts w:hint="eastAsia"/>
          <w:bCs/>
          <w:color w:val="auto"/>
          <w:sz w:val="24"/>
        </w:rPr>
        <w:t>也应符合</w:t>
      </w:r>
      <w:r>
        <w:rPr>
          <w:rFonts w:hint="eastAsia"/>
          <w:color w:val="auto"/>
          <w:sz w:val="24"/>
          <w:lang w:val="zh-CN"/>
        </w:rPr>
        <w:t>行业标准</w:t>
      </w:r>
      <w:r>
        <w:rPr>
          <w:color w:val="auto"/>
          <w:sz w:val="24"/>
          <w:lang w:val="zh-CN"/>
        </w:rPr>
        <w:t>《</w:t>
      </w:r>
      <w:r>
        <w:rPr>
          <w:rFonts w:hint="eastAsia"/>
          <w:color w:val="auto"/>
          <w:sz w:val="24"/>
          <w:lang w:val="zh-CN"/>
        </w:rPr>
        <w:t>公路水泥混凝土路面施工技术细则</w:t>
      </w:r>
      <w:r>
        <w:rPr>
          <w:color w:val="auto"/>
          <w:sz w:val="24"/>
          <w:lang w:val="zh-CN"/>
        </w:rPr>
        <w:t>》</w:t>
      </w:r>
      <w:r>
        <w:rPr>
          <w:rFonts w:hint="eastAsia"/>
          <w:color w:val="auto"/>
          <w:sz w:val="24"/>
          <w:lang w:val="zh-CN"/>
        </w:rPr>
        <w:t>JTG/T F30中碎石、破碎卵石和卵石质量标准中的</w:t>
      </w:r>
      <w:r>
        <w:rPr>
          <w:bCs/>
          <w:color w:val="auto"/>
          <w:sz w:val="24"/>
        </w:rPr>
        <w:t>II级</w:t>
      </w:r>
      <w:r>
        <w:rPr>
          <w:rFonts w:hint="eastAsia"/>
          <w:bCs/>
          <w:color w:val="auto"/>
          <w:sz w:val="24"/>
        </w:rPr>
        <w:t>及以上的技术要求。</w:t>
      </w:r>
    </w:p>
    <w:p>
      <w:pPr>
        <w:spacing w:line="360" w:lineRule="auto"/>
        <w:jc w:val="center"/>
        <w:outlineLvl w:val="1"/>
        <w:rPr>
          <w:rFonts w:hint="eastAsia" w:ascii="黑体" w:hAnsi="黑体" w:eastAsia="黑体" w:cs="黑体"/>
          <w:b/>
          <w:color w:val="auto"/>
          <w:sz w:val="24"/>
          <w:szCs w:val="24"/>
        </w:rPr>
      </w:pPr>
      <w:bookmarkStart w:id="28" w:name="_Toc10056"/>
      <w:bookmarkStart w:id="29" w:name="_Toc25593"/>
      <w:r>
        <w:rPr>
          <w:rFonts w:hint="eastAsia" w:ascii="黑体" w:hAnsi="黑体" w:eastAsia="黑体" w:cs="黑体"/>
          <w:b/>
          <w:color w:val="auto"/>
          <w:sz w:val="24"/>
          <w:szCs w:val="24"/>
        </w:rPr>
        <w:t>3.4  外加剂</w:t>
      </w:r>
      <w:bookmarkEnd w:id="28"/>
      <w:bookmarkEnd w:id="29"/>
    </w:p>
    <w:p>
      <w:pPr>
        <w:spacing w:line="360" w:lineRule="auto"/>
        <w:rPr>
          <w:color w:val="auto"/>
          <w:sz w:val="24"/>
          <w:szCs w:val="24"/>
        </w:rPr>
      </w:pPr>
      <w:r>
        <w:rPr>
          <w:rFonts w:hint="eastAsia"/>
          <w:b/>
          <w:bCs/>
          <w:color w:val="auto"/>
          <w:sz w:val="24"/>
          <w:szCs w:val="24"/>
        </w:rPr>
        <w:t>3.4.1</w:t>
      </w:r>
      <w:r>
        <w:rPr>
          <w:rFonts w:hint="eastAsia"/>
          <w:color w:val="auto"/>
          <w:sz w:val="24"/>
          <w:szCs w:val="24"/>
        </w:rPr>
        <w:t xml:space="preserve">  </w:t>
      </w:r>
      <w:r>
        <w:rPr>
          <w:color w:val="auto"/>
          <w:sz w:val="24"/>
          <w:szCs w:val="24"/>
        </w:rPr>
        <w:t>外加剂应符合现行国家标准《混凝土外加剂》GB 8076和《混凝土外加剂应用技术规范》GB 50119的规定</w:t>
      </w:r>
      <w:r>
        <w:rPr>
          <w:rFonts w:hint="eastAsia"/>
          <w:color w:val="auto"/>
          <w:sz w:val="24"/>
          <w:szCs w:val="24"/>
        </w:rPr>
        <w:t>。</w:t>
      </w:r>
    </w:p>
    <w:p>
      <w:pPr>
        <w:spacing w:line="360" w:lineRule="auto"/>
        <w:jc w:val="center"/>
        <w:outlineLvl w:val="1"/>
        <w:rPr>
          <w:rFonts w:hint="eastAsia" w:ascii="黑体" w:hAnsi="黑体" w:eastAsia="黑体" w:cs="黑体"/>
          <w:b/>
          <w:color w:val="auto"/>
          <w:sz w:val="24"/>
          <w:szCs w:val="24"/>
        </w:rPr>
      </w:pPr>
      <w:bookmarkStart w:id="30" w:name="_Toc32161"/>
      <w:bookmarkStart w:id="31" w:name="_Toc24541"/>
      <w:r>
        <w:rPr>
          <w:rFonts w:hint="eastAsia" w:ascii="黑体" w:hAnsi="黑体" w:eastAsia="黑体" w:cs="黑体"/>
          <w:b/>
          <w:color w:val="auto"/>
          <w:sz w:val="24"/>
          <w:szCs w:val="24"/>
        </w:rPr>
        <w:t>3.5  纤维</w:t>
      </w:r>
      <w:bookmarkEnd w:id="30"/>
      <w:bookmarkEnd w:id="31"/>
    </w:p>
    <w:p>
      <w:pPr>
        <w:spacing w:line="360" w:lineRule="auto"/>
        <w:rPr>
          <w:color w:val="auto"/>
          <w:sz w:val="24"/>
          <w:szCs w:val="24"/>
        </w:rPr>
      </w:pPr>
      <w:r>
        <w:rPr>
          <w:rFonts w:hint="eastAsia"/>
          <w:b/>
          <w:bCs/>
          <w:color w:val="auto"/>
          <w:sz w:val="24"/>
          <w:szCs w:val="24"/>
        </w:rPr>
        <w:t>3.5.1</w:t>
      </w:r>
      <w:r>
        <w:rPr>
          <w:rFonts w:hint="eastAsia"/>
          <w:color w:val="auto"/>
          <w:sz w:val="24"/>
          <w:szCs w:val="24"/>
        </w:rPr>
        <w:t xml:space="preserve">  纤维应符合《水泥混凝土和砂浆用合成纤维》GB/T 21120标准，采用的高强增韧纤维性能指标应满足表3.5.1的要求。</w:t>
      </w:r>
    </w:p>
    <w:p>
      <w:pPr>
        <w:snapToGrid w:val="0"/>
        <w:spacing w:line="360" w:lineRule="auto"/>
        <w:jc w:val="center"/>
        <w:rPr>
          <w:b/>
          <w:bCs/>
          <w:color w:val="auto"/>
          <w:kern w:val="2"/>
        </w:rPr>
      </w:pPr>
      <w:r>
        <w:rPr>
          <w:rFonts w:hint="eastAsia"/>
          <w:b/>
          <w:bCs/>
          <w:color w:val="auto"/>
          <w:kern w:val="2"/>
        </w:rPr>
        <w:t>表3.5.1 高强增韧纤维技术指标要求</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7"/>
        <w:gridCol w:w="3831"/>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Align w:val="center"/>
          </w:tcPr>
          <w:p>
            <w:pPr>
              <w:spacing w:line="360" w:lineRule="auto"/>
              <w:jc w:val="center"/>
              <w:rPr>
                <w:color w:val="auto"/>
                <w:szCs w:val="24"/>
              </w:rPr>
            </w:pPr>
            <w:r>
              <w:rPr>
                <w:rFonts w:hint="eastAsia"/>
                <w:color w:val="auto"/>
                <w:szCs w:val="24"/>
              </w:rPr>
              <w:t>纤维种类</w:t>
            </w:r>
          </w:p>
        </w:tc>
        <w:tc>
          <w:tcPr>
            <w:tcW w:w="2247" w:type="pct"/>
            <w:vAlign w:val="center"/>
          </w:tcPr>
          <w:p>
            <w:pPr>
              <w:spacing w:line="360" w:lineRule="auto"/>
              <w:jc w:val="center"/>
              <w:rPr>
                <w:color w:val="auto"/>
                <w:szCs w:val="24"/>
              </w:rPr>
            </w:pPr>
            <w:r>
              <w:rPr>
                <w:rFonts w:hint="eastAsia"/>
                <w:color w:val="auto"/>
                <w:szCs w:val="24"/>
              </w:rPr>
              <w:t>技术指标</w:t>
            </w:r>
          </w:p>
        </w:tc>
        <w:tc>
          <w:tcPr>
            <w:tcW w:w="1218" w:type="pct"/>
            <w:vAlign w:val="center"/>
          </w:tcPr>
          <w:p>
            <w:pPr>
              <w:spacing w:line="360" w:lineRule="auto"/>
              <w:jc w:val="center"/>
              <w:rPr>
                <w:color w:val="auto"/>
                <w:szCs w:val="24"/>
              </w:rPr>
            </w:pPr>
            <w:r>
              <w:rPr>
                <w:rFonts w:hint="eastAsia"/>
                <w:color w:val="auto"/>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restart"/>
            <w:vAlign w:val="center"/>
          </w:tcPr>
          <w:p>
            <w:pPr>
              <w:spacing w:line="360" w:lineRule="auto"/>
              <w:jc w:val="center"/>
              <w:rPr>
                <w:color w:val="auto"/>
                <w:szCs w:val="24"/>
              </w:rPr>
            </w:pPr>
            <w:r>
              <w:rPr>
                <w:rFonts w:hint="eastAsia"/>
                <w:color w:val="auto"/>
                <w:szCs w:val="24"/>
              </w:rPr>
              <w:t>聚乙烯醇纤维</w:t>
            </w:r>
          </w:p>
        </w:tc>
        <w:tc>
          <w:tcPr>
            <w:tcW w:w="2247" w:type="pct"/>
            <w:vAlign w:val="center"/>
          </w:tcPr>
          <w:p>
            <w:pPr>
              <w:spacing w:line="360" w:lineRule="auto"/>
              <w:jc w:val="center"/>
              <w:rPr>
                <w:color w:val="auto"/>
                <w:szCs w:val="24"/>
              </w:rPr>
            </w:pPr>
            <w:r>
              <w:rPr>
                <w:rFonts w:hint="eastAsia"/>
                <w:color w:val="auto"/>
                <w:szCs w:val="24"/>
              </w:rPr>
              <w:t>断裂强度/MPa</w:t>
            </w:r>
          </w:p>
        </w:tc>
        <w:tc>
          <w:tcPr>
            <w:tcW w:w="1218" w:type="pct"/>
            <w:vAlign w:val="center"/>
          </w:tcPr>
          <w:p>
            <w:pPr>
              <w:spacing w:line="360" w:lineRule="auto"/>
              <w:jc w:val="center"/>
              <w:rPr>
                <w:color w:val="auto"/>
                <w:szCs w:val="24"/>
              </w:rPr>
            </w:pPr>
            <w:r>
              <w:rPr>
                <w:rFonts w:hint="eastAsia"/>
                <w:color w:val="auto"/>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初始模量/MPa</w:t>
            </w:r>
          </w:p>
        </w:tc>
        <w:tc>
          <w:tcPr>
            <w:tcW w:w="1218" w:type="pct"/>
            <w:vAlign w:val="center"/>
          </w:tcPr>
          <w:p>
            <w:pPr>
              <w:spacing w:line="360" w:lineRule="auto"/>
              <w:jc w:val="center"/>
              <w:rPr>
                <w:color w:val="auto"/>
                <w:szCs w:val="24"/>
              </w:rPr>
            </w:pPr>
            <w:r>
              <w:rPr>
                <w:rFonts w:hint="eastAsia"/>
                <w:color w:val="auto"/>
                <w:szCs w:val="24"/>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断裂延伸率/%</w:t>
            </w:r>
          </w:p>
        </w:tc>
        <w:tc>
          <w:tcPr>
            <w:tcW w:w="1218" w:type="pct"/>
            <w:vAlign w:val="center"/>
          </w:tcPr>
          <w:p>
            <w:pPr>
              <w:spacing w:line="360" w:lineRule="auto"/>
              <w:jc w:val="center"/>
              <w:rPr>
                <w:color w:val="auto"/>
                <w:szCs w:val="24"/>
              </w:rPr>
            </w:pPr>
            <w:r>
              <w:rPr>
                <w:rFonts w:hint="eastAsia"/>
                <w:color w:val="auto"/>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直径/</w:t>
            </w:r>
            <w:r>
              <w:rPr>
                <w:color w:val="auto"/>
                <w:szCs w:val="24"/>
              </w:rPr>
              <w:t>μm</w:t>
            </w:r>
          </w:p>
        </w:tc>
        <w:tc>
          <w:tcPr>
            <w:tcW w:w="1218" w:type="pct"/>
            <w:vAlign w:val="center"/>
          </w:tcPr>
          <w:p>
            <w:pPr>
              <w:spacing w:line="360" w:lineRule="auto"/>
              <w:jc w:val="center"/>
              <w:rPr>
                <w:color w:val="auto"/>
                <w:szCs w:val="24"/>
              </w:rPr>
            </w:pPr>
            <w:r>
              <w:rPr>
                <w:rFonts w:hint="eastAsia"/>
                <w:color w:val="auto"/>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restart"/>
            <w:vAlign w:val="center"/>
          </w:tcPr>
          <w:p>
            <w:pPr>
              <w:spacing w:line="360" w:lineRule="auto"/>
              <w:jc w:val="center"/>
              <w:rPr>
                <w:color w:val="auto"/>
                <w:szCs w:val="24"/>
              </w:rPr>
            </w:pPr>
            <w:r>
              <w:rPr>
                <w:rFonts w:hint="eastAsia"/>
                <w:color w:val="auto"/>
                <w:szCs w:val="24"/>
              </w:rPr>
              <w:t>聚丙烯纤维</w:t>
            </w:r>
          </w:p>
        </w:tc>
        <w:tc>
          <w:tcPr>
            <w:tcW w:w="2247" w:type="pct"/>
            <w:vAlign w:val="center"/>
          </w:tcPr>
          <w:p>
            <w:pPr>
              <w:spacing w:line="360" w:lineRule="auto"/>
              <w:jc w:val="center"/>
              <w:rPr>
                <w:color w:val="auto"/>
                <w:szCs w:val="24"/>
              </w:rPr>
            </w:pPr>
            <w:r>
              <w:rPr>
                <w:rFonts w:hint="eastAsia"/>
                <w:color w:val="auto"/>
                <w:szCs w:val="24"/>
              </w:rPr>
              <w:t>断裂强度/MPa</w:t>
            </w:r>
          </w:p>
        </w:tc>
        <w:tc>
          <w:tcPr>
            <w:tcW w:w="1218" w:type="pct"/>
            <w:vAlign w:val="center"/>
          </w:tcPr>
          <w:p>
            <w:pPr>
              <w:spacing w:line="360" w:lineRule="auto"/>
              <w:jc w:val="center"/>
              <w:rPr>
                <w:color w:val="auto"/>
                <w:szCs w:val="24"/>
              </w:rPr>
            </w:pPr>
            <w:r>
              <w:rPr>
                <w:rFonts w:hint="eastAsia"/>
                <w:color w:val="auto"/>
                <w:szCs w:val="24"/>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初始模量/MPa</w:t>
            </w:r>
          </w:p>
        </w:tc>
        <w:tc>
          <w:tcPr>
            <w:tcW w:w="1218" w:type="pct"/>
            <w:vAlign w:val="center"/>
          </w:tcPr>
          <w:p>
            <w:pPr>
              <w:spacing w:line="360" w:lineRule="auto"/>
              <w:jc w:val="center"/>
              <w:rPr>
                <w:color w:val="auto"/>
                <w:szCs w:val="24"/>
              </w:rPr>
            </w:pPr>
            <w:r>
              <w:rPr>
                <w:rFonts w:hint="eastAsia"/>
                <w:color w:val="auto"/>
                <w:szCs w:val="24"/>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断裂延伸率/%</w:t>
            </w:r>
          </w:p>
        </w:tc>
        <w:tc>
          <w:tcPr>
            <w:tcW w:w="1218" w:type="pct"/>
            <w:vAlign w:val="center"/>
          </w:tcPr>
          <w:p>
            <w:pPr>
              <w:spacing w:line="360" w:lineRule="auto"/>
              <w:jc w:val="center"/>
              <w:rPr>
                <w:color w:val="auto"/>
                <w:szCs w:val="24"/>
              </w:rPr>
            </w:pPr>
            <w:r>
              <w:rPr>
                <w:rFonts w:hint="eastAsia"/>
                <w:color w:val="auto"/>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5" w:type="pct"/>
            <w:vMerge w:val="continue"/>
            <w:vAlign w:val="center"/>
          </w:tcPr>
          <w:p>
            <w:pPr>
              <w:spacing w:line="360" w:lineRule="auto"/>
              <w:jc w:val="center"/>
              <w:rPr>
                <w:color w:val="auto"/>
                <w:szCs w:val="24"/>
              </w:rPr>
            </w:pPr>
          </w:p>
        </w:tc>
        <w:tc>
          <w:tcPr>
            <w:tcW w:w="2247" w:type="pct"/>
            <w:vAlign w:val="center"/>
          </w:tcPr>
          <w:p>
            <w:pPr>
              <w:spacing w:line="360" w:lineRule="auto"/>
              <w:jc w:val="center"/>
              <w:rPr>
                <w:color w:val="auto"/>
                <w:szCs w:val="24"/>
              </w:rPr>
            </w:pPr>
            <w:r>
              <w:rPr>
                <w:rFonts w:hint="eastAsia"/>
                <w:color w:val="auto"/>
                <w:szCs w:val="24"/>
              </w:rPr>
              <w:t>直径/</w:t>
            </w:r>
            <w:r>
              <w:rPr>
                <w:color w:val="auto"/>
                <w:szCs w:val="24"/>
              </w:rPr>
              <w:t>μm</w:t>
            </w:r>
          </w:p>
        </w:tc>
        <w:tc>
          <w:tcPr>
            <w:tcW w:w="1218" w:type="pct"/>
            <w:vAlign w:val="center"/>
          </w:tcPr>
          <w:p>
            <w:pPr>
              <w:spacing w:line="360" w:lineRule="auto"/>
              <w:jc w:val="center"/>
              <w:rPr>
                <w:color w:val="auto"/>
                <w:szCs w:val="24"/>
              </w:rPr>
            </w:pPr>
            <w:r>
              <w:rPr>
                <w:rFonts w:hint="eastAsia"/>
                <w:color w:val="auto"/>
                <w:szCs w:val="24"/>
              </w:rPr>
              <w:t>＞100</w:t>
            </w:r>
          </w:p>
        </w:tc>
      </w:tr>
    </w:tbl>
    <w:p>
      <w:pPr>
        <w:spacing w:line="360" w:lineRule="auto"/>
        <w:rPr>
          <w:color w:val="auto"/>
          <w:sz w:val="24"/>
          <w:szCs w:val="24"/>
        </w:rPr>
      </w:pPr>
    </w:p>
    <w:p>
      <w:pPr>
        <w:widowControl/>
        <w:jc w:val="left"/>
        <w:rPr>
          <w:b/>
          <w:bCs/>
          <w:color w:val="auto"/>
          <w:kern w:val="44"/>
          <w:sz w:val="30"/>
          <w:szCs w:val="30"/>
        </w:rPr>
      </w:pPr>
      <w:bookmarkStart w:id="32" w:name="_Toc8550"/>
      <w:bookmarkStart w:id="33" w:name="_Toc203504447"/>
      <w:bookmarkStart w:id="34" w:name="_Toc8768"/>
      <w:bookmarkStart w:id="35" w:name="_Toc172534362"/>
      <w:r>
        <w:rPr>
          <w:b/>
          <w:bCs/>
          <w:color w:val="auto"/>
          <w:kern w:val="44"/>
          <w:sz w:val="30"/>
          <w:szCs w:val="30"/>
        </w:rPr>
        <w:br w:type="page"/>
      </w:r>
    </w:p>
    <w:p>
      <w:pPr>
        <w:keepNext/>
        <w:keepLines/>
        <w:tabs>
          <w:tab w:val="left" w:pos="3165"/>
          <w:tab w:val="center" w:pos="4153"/>
        </w:tabs>
        <w:spacing w:before="156" w:beforeLines="50" w:line="360" w:lineRule="auto"/>
        <w:jc w:val="center"/>
        <w:outlineLvl w:val="0"/>
        <w:rPr>
          <w:b/>
          <w:bCs/>
          <w:color w:val="auto"/>
          <w:kern w:val="44"/>
          <w:sz w:val="30"/>
          <w:szCs w:val="30"/>
        </w:rPr>
      </w:pPr>
      <w:bookmarkStart w:id="36" w:name="_Toc12625"/>
      <w:bookmarkStart w:id="37" w:name="_Hlk204350684"/>
      <w:r>
        <w:rPr>
          <w:rFonts w:hint="eastAsia"/>
          <w:b/>
          <w:bCs/>
          <w:color w:val="auto"/>
          <w:kern w:val="44"/>
          <w:sz w:val="30"/>
          <w:szCs w:val="30"/>
        </w:rPr>
        <w:t>4</w:t>
      </w:r>
      <w:r>
        <w:rPr>
          <w:b/>
          <w:bCs/>
          <w:color w:val="auto"/>
          <w:kern w:val="44"/>
          <w:sz w:val="30"/>
          <w:szCs w:val="30"/>
        </w:rPr>
        <w:t xml:space="preserve">  </w:t>
      </w:r>
      <w:r>
        <w:rPr>
          <w:rFonts w:hint="eastAsia"/>
          <w:b/>
          <w:bCs/>
          <w:color w:val="auto"/>
          <w:kern w:val="44"/>
          <w:sz w:val="30"/>
          <w:szCs w:val="30"/>
        </w:rPr>
        <w:t>分类和标记</w:t>
      </w:r>
      <w:bookmarkEnd w:id="36"/>
    </w:p>
    <w:p>
      <w:pPr>
        <w:pStyle w:val="8"/>
        <w:spacing w:line="360" w:lineRule="auto"/>
        <w:rPr>
          <w:rFonts w:ascii="Times New Roman" w:hAnsi="Times New Roman"/>
          <w:bCs/>
          <w:color w:val="auto"/>
          <w:sz w:val="24"/>
          <w:szCs w:val="24"/>
          <w:lang w:val="en-US"/>
        </w:rPr>
      </w:pPr>
      <w:r>
        <w:rPr>
          <w:rFonts w:hint="eastAsia" w:ascii="Times New Roman" w:hAnsi="Times New Roman"/>
          <w:b/>
          <w:color w:val="auto"/>
          <w:sz w:val="24"/>
          <w:szCs w:val="24"/>
          <w:lang w:val="en-US"/>
        </w:rPr>
        <w:t>4</w:t>
      </w:r>
      <w:r>
        <w:rPr>
          <w:rFonts w:ascii="Times New Roman" w:hAnsi="Times New Roman"/>
          <w:b/>
          <w:color w:val="auto"/>
          <w:sz w:val="24"/>
          <w:szCs w:val="24"/>
          <w:lang w:val="en-US"/>
        </w:rPr>
        <w:t>.</w:t>
      </w:r>
      <w:r>
        <w:rPr>
          <w:rFonts w:hint="eastAsia" w:ascii="Times New Roman" w:hAnsi="Times New Roman"/>
          <w:b/>
          <w:color w:val="auto"/>
          <w:sz w:val="24"/>
          <w:szCs w:val="24"/>
          <w:lang w:val="en-US"/>
        </w:rPr>
        <w:t>0.</w:t>
      </w:r>
      <w:r>
        <w:rPr>
          <w:rFonts w:ascii="Times New Roman" w:hAnsi="Times New Roman"/>
          <w:b/>
          <w:color w:val="auto"/>
          <w:sz w:val="24"/>
          <w:szCs w:val="24"/>
          <w:lang w:val="en-US"/>
        </w:rPr>
        <w:t>1</w:t>
      </w:r>
      <w:r>
        <w:rPr>
          <w:rFonts w:ascii="Times New Roman" w:hAnsi="Times New Roman"/>
          <w:bCs/>
          <w:color w:val="auto"/>
          <w:sz w:val="24"/>
          <w:szCs w:val="24"/>
          <w:lang w:val="en-US"/>
        </w:rPr>
        <w:t xml:space="preserve">  </w:t>
      </w:r>
      <w:r>
        <w:rPr>
          <w:rFonts w:hint="eastAsia" w:ascii="Times New Roman" w:hAnsi="Times New Roman"/>
          <w:color w:val="auto"/>
          <w:sz w:val="24"/>
          <w:szCs w:val="24"/>
          <w:lang w:val="en-US"/>
        </w:rPr>
        <w:t>按胶凝材料中水泥种类可分为只有硅酸盐水泥（代号为P）以及硅酸盐水泥和硫铝酸盐水泥都存在（代号为PS），按样品种类可分为混凝土（代号为C）和砂浆（代号为M），按纤维种类可分为聚丙烯纤维（代号为P）和聚乙烯醇纤维（代号为A）</w:t>
      </w:r>
    </w:p>
    <w:p>
      <w:pPr>
        <w:pStyle w:val="8"/>
        <w:spacing w:line="360" w:lineRule="auto"/>
        <w:rPr>
          <w:rFonts w:ascii="Times New Roman" w:hAnsi="Times New Roman"/>
          <w:bCs/>
          <w:color w:val="auto"/>
          <w:sz w:val="24"/>
          <w:szCs w:val="24"/>
          <w:lang w:val="en-US"/>
        </w:rPr>
      </w:pPr>
      <w:r>
        <w:rPr>
          <w:rFonts w:hint="eastAsia" w:ascii="Times New Roman" w:hAnsi="Times New Roman"/>
          <w:b/>
          <w:color w:val="auto"/>
          <w:sz w:val="24"/>
          <w:szCs w:val="24"/>
          <w:lang w:val="en-US"/>
        </w:rPr>
        <w:t>4</w:t>
      </w:r>
      <w:r>
        <w:rPr>
          <w:rFonts w:ascii="Times New Roman" w:hAnsi="Times New Roman"/>
          <w:b/>
          <w:color w:val="auto"/>
          <w:sz w:val="24"/>
          <w:szCs w:val="24"/>
          <w:lang w:val="en-US"/>
        </w:rPr>
        <w:t>.</w:t>
      </w:r>
      <w:r>
        <w:rPr>
          <w:rFonts w:hint="eastAsia" w:ascii="Times New Roman" w:hAnsi="Times New Roman"/>
          <w:b/>
          <w:color w:val="auto"/>
          <w:sz w:val="24"/>
          <w:szCs w:val="24"/>
          <w:lang w:val="en-US"/>
        </w:rPr>
        <w:t>0.</w:t>
      </w:r>
      <w:r>
        <w:rPr>
          <w:rFonts w:ascii="Times New Roman" w:hAnsi="Times New Roman"/>
          <w:b/>
          <w:color w:val="auto"/>
          <w:sz w:val="24"/>
          <w:szCs w:val="24"/>
          <w:lang w:val="en-US"/>
        </w:rPr>
        <w:t>2</w:t>
      </w:r>
      <w:r>
        <w:rPr>
          <w:rFonts w:ascii="Times New Roman" w:hAnsi="Times New Roman"/>
          <w:bCs/>
          <w:color w:val="auto"/>
          <w:sz w:val="24"/>
          <w:szCs w:val="24"/>
          <w:lang w:val="en-US"/>
        </w:rPr>
        <w:t xml:space="preserve">  </w:t>
      </w:r>
      <w:r>
        <w:rPr>
          <w:rFonts w:hint="eastAsia" w:ascii="Times New Roman" w:hAnsi="Times New Roman"/>
          <w:color w:val="auto"/>
          <w:sz w:val="24"/>
          <w:szCs w:val="24"/>
          <w:lang w:val="en-US"/>
        </w:rPr>
        <w:t>水泥混凝土路面用高韧性修补材料的标记由水泥种类、样品种类和纤维种类编号组成。标记形式可按如下方式：</w:t>
      </w:r>
    </w:p>
    <w:p>
      <w:pPr>
        <w:pStyle w:val="8"/>
        <w:spacing w:line="360" w:lineRule="auto"/>
        <w:ind w:firstLine="420" w:firstLineChars="200"/>
        <w:jc w:val="center"/>
        <w:rPr>
          <w:rFonts w:ascii="Times New Roman" w:hAnsi="Times New Roman"/>
          <w:color w:val="auto"/>
          <w:sz w:val="24"/>
          <w:szCs w:val="24"/>
          <w:lang w:val="en-US"/>
        </w:rPr>
      </w:pPr>
      <w:r>
        <w:rPr>
          <w:color w:val="auto"/>
        </w:rPr>
        <w:drawing>
          <wp:inline distT="0" distB="0" distL="0" distR="0">
            <wp:extent cx="4050030" cy="1363980"/>
            <wp:effectExtent l="0" t="0" r="3810" b="7620"/>
            <wp:docPr id="17907248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24886" name="图片 1"/>
                    <pic:cNvPicPr>
                      <a:picLocks noChangeAspect="1"/>
                    </pic:cNvPicPr>
                  </pic:nvPicPr>
                  <pic:blipFill>
                    <a:blip r:embed="rId14"/>
                    <a:stretch>
                      <a:fillRect/>
                    </a:stretch>
                  </pic:blipFill>
                  <pic:spPr>
                    <a:xfrm>
                      <a:off x="0" y="0"/>
                      <a:ext cx="4118384" cy="1387328"/>
                    </a:xfrm>
                    <a:prstGeom prst="rect">
                      <a:avLst/>
                    </a:prstGeom>
                  </pic:spPr>
                </pic:pic>
              </a:graphicData>
            </a:graphic>
          </wp:inline>
        </w:drawing>
      </w:r>
    </w:p>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示例：</w:t>
      </w:r>
    </w:p>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胶凝材料中含有硅酸盐水泥和铝硫酸盐水泥、样品为混凝土、纤维为聚丙烯纤维和聚乙烯醇纤维的水泥混凝土路面用高韧性修补材料表示为：PSC-PA。</w:t>
      </w:r>
    </w:p>
    <w:bookmarkEnd w:id="37"/>
    <w:p>
      <w:pPr>
        <w:widowControl/>
        <w:jc w:val="left"/>
        <w:rPr>
          <w:b/>
          <w:bCs/>
          <w:color w:val="auto"/>
          <w:kern w:val="44"/>
          <w:sz w:val="30"/>
          <w:szCs w:val="30"/>
        </w:rPr>
      </w:pPr>
      <w:r>
        <w:rPr>
          <w:b/>
          <w:bCs/>
          <w:color w:val="auto"/>
          <w:kern w:val="44"/>
          <w:sz w:val="30"/>
          <w:szCs w:val="30"/>
        </w:rPr>
        <w:br w:type="page"/>
      </w:r>
    </w:p>
    <w:p>
      <w:pPr>
        <w:keepNext/>
        <w:keepLines/>
        <w:tabs>
          <w:tab w:val="left" w:pos="3165"/>
          <w:tab w:val="center" w:pos="4153"/>
        </w:tabs>
        <w:spacing w:before="156" w:beforeLines="50" w:line="360" w:lineRule="auto"/>
        <w:jc w:val="center"/>
        <w:outlineLvl w:val="0"/>
        <w:rPr>
          <w:b/>
          <w:bCs/>
          <w:color w:val="auto"/>
          <w:kern w:val="44"/>
          <w:sz w:val="30"/>
          <w:szCs w:val="30"/>
        </w:rPr>
      </w:pPr>
      <w:bookmarkStart w:id="38" w:name="_Toc27024"/>
      <w:r>
        <w:rPr>
          <w:rFonts w:hint="eastAsia"/>
          <w:b/>
          <w:bCs/>
          <w:color w:val="auto"/>
          <w:kern w:val="44"/>
          <w:sz w:val="30"/>
          <w:szCs w:val="30"/>
        </w:rPr>
        <w:t>5</w:t>
      </w:r>
      <w:r>
        <w:rPr>
          <w:b/>
          <w:bCs/>
          <w:color w:val="auto"/>
          <w:kern w:val="44"/>
          <w:sz w:val="30"/>
          <w:szCs w:val="30"/>
        </w:rPr>
        <w:t xml:space="preserve">  </w:t>
      </w:r>
      <w:bookmarkEnd w:id="32"/>
      <w:r>
        <w:rPr>
          <w:rFonts w:hint="eastAsia"/>
          <w:b/>
          <w:bCs/>
          <w:color w:val="auto"/>
          <w:kern w:val="44"/>
          <w:sz w:val="30"/>
          <w:szCs w:val="30"/>
        </w:rPr>
        <w:t>性能要求</w:t>
      </w:r>
      <w:bookmarkEnd w:id="33"/>
      <w:bookmarkEnd w:id="34"/>
      <w:bookmarkEnd w:id="35"/>
      <w:bookmarkEnd w:id="38"/>
    </w:p>
    <w:p>
      <w:pPr>
        <w:spacing w:line="360" w:lineRule="auto"/>
        <w:jc w:val="center"/>
        <w:outlineLvl w:val="1"/>
        <w:rPr>
          <w:rFonts w:hint="eastAsia" w:ascii="黑体" w:hAnsi="黑体" w:eastAsia="黑体" w:cs="黑体"/>
          <w:b/>
          <w:color w:val="auto"/>
          <w:sz w:val="24"/>
          <w:szCs w:val="24"/>
        </w:rPr>
      </w:pPr>
      <w:bookmarkStart w:id="39" w:name="_Toc26316"/>
      <w:bookmarkStart w:id="40" w:name="_Toc8306"/>
      <w:r>
        <w:rPr>
          <w:rFonts w:hint="eastAsia" w:ascii="黑体" w:hAnsi="黑体" w:eastAsia="黑体" w:cs="黑体"/>
          <w:b/>
          <w:color w:val="auto"/>
          <w:sz w:val="24"/>
          <w:szCs w:val="24"/>
        </w:rPr>
        <w:t>5.1  新拌性能和力学性能</w:t>
      </w:r>
      <w:bookmarkEnd w:id="39"/>
      <w:bookmarkEnd w:id="40"/>
    </w:p>
    <w:p>
      <w:pPr>
        <w:spacing w:line="360" w:lineRule="auto"/>
        <w:rPr>
          <w:color w:val="auto"/>
          <w:sz w:val="24"/>
          <w:szCs w:val="24"/>
        </w:rPr>
      </w:pPr>
      <w:r>
        <w:rPr>
          <w:rFonts w:hint="eastAsia"/>
          <w:b/>
          <w:color w:val="auto"/>
          <w:sz w:val="24"/>
          <w:szCs w:val="24"/>
        </w:rPr>
        <w:t>5.1.1</w:t>
      </w:r>
      <w:r>
        <w:rPr>
          <w:color w:val="auto"/>
          <w:sz w:val="24"/>
          <w:szCs w:val="24"/>
        </w:rPr>
        <w:t xml:space="preserve">  </w:t>
      </w:r>
      <w:bookmarkStart w:id="41" w:name="_Hlk162381495"/>
      <w:r>
        <w:rPr>
          <w:rFonts w:hint="eastAsia"/>
          <w:color w:val="auto"/>
          <w:sz w:val="24"/>
          <w:szCs w:val="24"/>
        </w:rPr>
        <w:t>水泥混凝土路面用高韧性修补材料的工作性能和力学性能应符合表5.1.1的要求</w:t>
      </w:r>
      <w:bookmarkEnd w:id="41"/>
      <w:r>
        <w:rPr>
          <w:rFonts w:hint="eastAsia"/>
          <w:color w:val="auto"/>
          <w:sz w:val="24"/>
          <w:szCs w:val="24"/>
        </w:rPr>
        <w:t>，且28d强度应比基准混凝土设计强度提高一个等级值。</w:t>
      </w:r>
    </w:p>
    <w:p>
      <w:pPr>
        <w:snapToGrid w:val="0"/>
        <w:spacing w:line="360" w:lineRule="auto"/>
        <w:jc w:val="center"/>
        <w:rPr>
          <w:b/>
          <w:bCs/>
          <w:color w:val="auto"/>
          <w:kern w:val="2"/>
        </w:rPr>
      </w:pPr>
      <w:r>
        <w:rPr>
          <w:rFonts w:hint="eastAsia"/>
          <w:b/>
          <w:bCs/>
          <w:color w:val="auto"/>
          <w:kern w:val="2"/>
        </w:rPr>
        <w:t>表5.1.1 水泥混凝土路用高韧性修补材料新拌性能和力学性能要求</w:t>
      </w:r>
    </w:p>
    <w:tbl>
      <w:tblPr>
        <w:tblStyle w:val="18"/>
        <w:tblpPr w:leftFromText="180" w:rightFromText="180" w:vertAnchor="text" w:tblpXSpec="center" w:tblpY="1"/>
        <w:tblOverlap w:val="never"/>
        <w:tblW w:w="8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2557"/>
        <w:gridCol w:w="993"/>
        <w:gridCol w:w="1275"/>
        <w:gridCol w:w="1134"/>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40" w:type="dxa"/>
            <w:vMerge w:val="restart"/>
            <w:vAlign w:val="center"/>
          </w:tcPr>
          <w:p>
            <w:pPr>
              <w:spacing w:line="360" w:lineRule="auto"/>
              <w:jc w:val="center"/>
              <w:rPr>
                <w:color w:val="auto"/>
              </w:rPr>
            </w:pPr>
            <w:bookmarkStart w:id="42" w:name="_Hlk162379309"/>
            <w:r>
              <w:rPr>
                <w:rFonts w:hint="eastAsia"/>
                <w:color w:val="auto"/>
              </w:rPr>
              <w:t>序号</w:t>
            </w:r>
          </w:p>
        </w:tc>
        <w:tc>
          <w:tcPr>
            <w:tcW w:w="3550" w:type="dxa"/>
            <w:gridSpan w:val="2"/>
            <w:vMerge w:val="restart"/>
            <w:vAlign w:val="center"/>
          </w:tcPr>
          <w:p>
            <w:pPr>
              <w:spacing w:line="360" w:lineRule="auto"/>
              <w:jc w:val="center"/>
              <w:rPr>
                <w:color w:val="auto"/>
              </w:rPr>
            </w:pPr>
            <w:r>
              <w:rPr>
                <w:rFonts w:hint="eastAsia"/>
                <w:color w:val="auto"/>
              </w:rPr>
              <w:t>检验项目</w:t>
            </w:r>
          </w:p>
        </w:tc>
        <w:tc>
          <w:tcPr>
            <w:tcW w:w="3677" w:type="dxa"/>
            <w:gridSpan w:val="3"/>
            <w:vAlign w:val="center"/>
          </w:tcPr>
          <w:p>
            <w:pPr>
              <w:spacing w:line="360" w:lineRule="auto"/>
              <w:jc w:val="center"/>
              <w:rPr>
                <w:color w:val="auto"/>
              </w:rPr>
            </w:pPr>
            <w:r>
              <w:rPr>
                <w:rFonts w:hint="eastAsia"/>
                <w:color w:val="auto"/>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840" w:type="dxa"/>
            <w:vMerge w:val="continue"/>
            <w:vAlign w:val="center"/>
          </w:tcPr>
          <w:p>
            <w:pPr>
              <w:spacing w:line="360" w:lineRule="auto"/>
              <w:jc w:val="center"/>
              <w:rPr>
                <w:color w:val="auto"/>
              </w:rPr>
            </w:pPr>
          </w:p>
        </w:tc>
        <w:tc>
          <w:tcPr>
            <w:tcW w:w="3550" w:type="dxa"/>
            <w:gridSpan w:val="2"/>
            <w:vMerge w:val="continue"/>
            <w:vAlign w:val="center"/>
          </w:tcPr>
          <w:p>
            <w:pPr>
              <w:spacing w:line="360" w:lineRule="auto"/>
              <w:jc w:val="center"/>
              <w:rPr>
                <w:color w:val="auto"/>
              </w:rPr>
            </w:pPr>
          </w:p>
        </w:tc>
        <w:tc>
          <w:tcPr>
            <w:tcW w:w="1275" w:type="dxa"/>
            <w:vAlign w:val="center"/>
          </w:tcPr>
          <w:p>
            <w:pPr>
              <w:spacing w:line="360" w:lineRule="auto"/>
              <w:jc w:val="center"/>
              <w:rPr>
                <w:color w:val="auto"/>
              </w:rPr>
            </w:pPr>
            <w:r>
              <w:rPr>
                <w:color w:val="auto"/>
              </w:rPr>
              <w:fldChar w:fldCharType="begin"/>
            </w:r>
            <w:r>
              <w:rPr>
                <w:color w:val="auto"/>
              </w:rPr>
              <w:instrText xml:space="preserve"> </w:instrText>
            </w:r>
            <w:r>
              <w:rPr>
                <w:rFonts w:hint="eastAsia"/>
                <w:color w:val="auto"/>
              </w:rPr>
              <w:instrText xml:space="preserve">= 1 \* ROMAN</w:instrText>
            </w:r>
            <w:r>
              <w:rPr>
                <w:color w:val="auto"/>
              </w:rPr>
              <w:instrText xml:space="preserve"> </w:instrText>
            </w:r>
            <w:r>
              <w:rPr>
                <w:color w:val="auto"/>
              </w:rPr>
              <w:fldChar w:fldCharType="separate"/>
            </w:r>
            <w:r>
              <w:rPr>
                <w:color w:val="auto"/>
              </w:rPr>
              <w:t>I</w:t>
            </w:r>
            <w:r>
              <w:rPr>
                <w:color w:val="auto"/>
              </w:rPr>
              <w:fldChar w:fldCharType="end"/>
            </w:r>
            <w:r>
              <w:rPr>
                <w:rFonts w:hint="eastAsia"/>
                <w:color w:val="auto"/>
              </w:rPr>
              <w:t>型</w:t>
            </w:r>
          </w:p>
        </w:tc>
        <w:tc>
          <w:tcPr>
            <w:tcW w:w="1134" w:type="dxa"/>
            <w:vAlign w:val="center"/>
          </w:tcPr>
          <w:p>
            <w:pPr>
              <w:spacing w:line="360" w:lineRule="auto"/>
              <w:jc w:val="center"/>
              <w:rPr>
                <w:color w:val="auto"/>
              </w:rPr>
            </w:pPr>
            <w:r>
              <w:rPr>
                <w:color w:val="auto"/>
              </w:rPr>
              <w:fldChar w:fldCharType="begin"/>
            </w:r>
            <w:r>
              <w:rPr>
                <w:color w:val="auto"/>
              </w:rPr>
              <w:instrText xml:space="preserve"> </w:instrText>
            </w:r>
            <w:r>
              <w:rPr>
                <w:rFonts w:hint="eastAsia"/>
                <w:color w:val="auto"/>
              </w:rPr>
              <w:instrText xml:space="preserve">= 2 \* ROMAN</w:instrText>
            </w:r>
            <w:r>
              <w:rPr>
                <w:color w:val="auto"/>
              </w:rPr>
              <w:instrText xml:space="preserve"> </w:instrText>
            </w:r>
            <w:r>
              <w:rPr>
                <w:color w:val="auto"/>
              </w:rPr>
              <w:fldChar w:fldCharType="separate"/>
            </w:r>
            <w:r>
              <w:rPr>
                <w:color w:val="auto"/>
              </w:rPr>
              <w:t>II</w:t>
            </w:r>
            <w:r>
              <w:rPr>
                <w:color w:val="auto"/>
              </w:rPr>
              <w:fldChar w:fldCharType="end"/>
            </w:r>
            <w:r>
              <w:rPr>
                <w:rFonts w:hint="eastAsia"/>
                <w:color w:val="auto"/>
              </w:rPr>
              <w:t>型</w:t>
            </w:r>
          </w:p>
        </w:tc>
        <w:tc>
          <w:tcPr>
            <w:tcW w:w="1268" w:type="dxa"/>
            <w:vAlign w:val="center"/>
          </w:tcPr>
          <w:p>
            <w:pPr>
              <w:spacing w:line="360" w:lineRule="auto"/>
              <w:jc w:val="center"/>
              <w:rPr>
                <w:color w:val="auto"/>
              </w:rPr>
            </w:pPr>
            <w:r>
              <w:rPr>
                <w:color w:val="auto"/>
              </w:rPr>
              <w:t>Ⅲ</w:t>
            </w:r>
            <w:r>
              <w:rPr>
                <w:rFonts w:hint="eastAsia"/>
                <w:color w:val="auto"/>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40" w:type="dxa"/>
            <w:vAlign w:val="center"/>
          </w:tcPr>
          <w:p>
            <w:pPr>
              <w:spacing w:line="360" w:lineRule="auto"/>
              <w:jc w:val="center"/>
              <w:rPr>
                <w:color w:val="auto"/>
              </w:rPr>
            </w:pPr>
            <w:r>
              <w:rPr>
                <w:rFonts w:hint="eastAsia"/>
                <w:color w:val="auto"/>
              </w:rPr>
              <w:t>1</w:t>
            </w:r>
          </w:p>
        </w:tc>
        <w:tc>
          <w:tcPr>
            <w:tcW w:w="3550" w:type="dxa"/>
            <w:gridSpan w:val="2"/>
            <w:vAlign w:val="center"/>
          </w:tcPr>
          <w:p>
            <w:pPr>
              <w:spacing w:line="360" w:lineRule="auto"/>
              <w:jc w:val="center"/>
              <w:rPr>
                <w:color w:val="auto"/>
              </w:rPr>
            </w:pPr>
            <w:r>
              <w:rPr>
                <w:rFonts w:hint="eastAsia"/>
                <w:color w:val="auto"/>
              </w:rPr>
              <w:t>初凝时间，min</w:t>
            </w:r>
          </w:p>
        </w:tc>
        <w:tc>
          <w:tcPr>
            <w:tcW w:w="1275" w:type="dxa"/>
            <w:vAlign w:val="center"/>
          </w:tcPr>
          <w:p>
            <w:pPr>
              <w:spacing w:line="360" w:lineRule="auto"/>
              <w:jc w:val="center"/>
              <w:rPr>
                <w:color w:val="auto"/>
              </w:rPr>
            </w:pPr>
            <w:r>
              <w:rPr>
                <w:rFonts w:hint="eastAsia"/>
                <w:color w:val="auto"/>
              </w:rPr>
              <w:t>≥15</w:t>
            </w:r>
          </w:p>
        </w:tc>
        <w:tc>
          <w:tcPr>
            <w:tcW w:w="1134" w:type="dxa"/>
            <w:vAlign w:val="center"/>
          </w:tcPr>
          <w:p>
            <w:pPr>
              <w:spacing w:line="360" w:lineRule="auto"/>
              <w:jc w:val="center"/>
              <w:rPr>
                <w:color w:val="auto"/>
              </w:rPr>
            </w:pPr>
            <w:r>
              <w:rPr>
                <w:rFonts w:hint="eastAsia"/>
                <w:color w:val="auto"/>
              </w:rPr>
              <w:t>≥60</w:t>
            </w:r>
          </w:p>
        </w:tc>
        <w:tc>
          <w:tcPr>
            <w:tcW w:w="1268" w:type="dxa"/>
            <w:vAlign w:val="center"/>
          </w:tcPr>
          <w:p>
            <w:pPr>
              <w:spacing w:line="360" w:lineRule="auto"/>
              <w:jc w:val="center"/>
              <w:rPr>
                <w:color w:val="auto"/>
              </w:rPr>
            </w:pPr>
            <w:r>
              <w:rPr>
                <w:rFonts w:hint="eastAsia"/>
                <w:color w:val="auto"/>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40" w:type="dxa"/>
            <w:vAlign w:val="center"/>
          </w:tcPr>
          <w:p>
            <w:pPr>
              <w:spacing w:line="360" w:lineRule="auto"/>
              <w:jc w:val="center"/>
              <w:rPr>
                <w:color w:val="auto"/>
              </w:rPr>
            </w:pPr>
            <w:r>
              <w:rPr>
                <w:rFonts w:hint="eastAsia"/>
                <w:color w:val="auto"/>
              </w:rPr>
              <w:t>2</w:t>
            </w:r>
          </w:p>
        </w:tc>
        <w:tc>
          <w:tcPr>
            <w:tcW w:w="3550" w:type="dxa"/>
            <w:gridSpan w:val="2"/>
            <w:vAlign w:val="center"/>
          </w:tcPr>
          <w:p>
            <w:pPr>
              <w:spacing w:line="360" w:lineRule="auto"/>
              <w:jc w:val="center"/>
              <w:rPr>
                <w:color w:val="auto"/>
              </w:rPr>
            </w:pPr>
            <w:r>
              <w:rPr>
                <w:rFonts w:hint="eastAsia"/>
                <w:color w:val="auto"/>
              </w:rPr>
              <w:t>流动度</w:t>
            </w:r>
            <w:r>
              <w:rPr>
                <w:rFonts w:hint="eastAsia"/>
                <w:color w:val="auto"/>
                <w:vertAlign w:val="superscript"/>
              </w:rPr>
              <w:t>a</w:t>
            </w:r>
            <w:r>
              <w:rPr>
                <w:rFonts w:hint="eastAsia"/>
                <w:color w:val="auto"/>
              </w:rPr>
              <w:t>，mm</w:t>
            </w:r>
          </w:p>
        </w:tc>
        <w:tc>
          <w:tcPr>
            <w:tcW w:w="1275" w:type="dxa"/>
            <w:vAlign w:val="center"/>
          </w:tcPr>
          <w:p>
            <w:pPr>
              <w:spacing w:line="360" w:lineRule="auto"/>
              <w:jc w:val="center"/>
              <w:rPr>
                <w:color w:val="auto"/>
              </w:rPr>
            </w:pPr>
            <w:r>
              <w:rPr>
                <w:rFonts w:hint="eastAsia"/>
                <w:color w:val="auto"/>
              </w:rPr>
              <w:t>≥120</w:t>
            </w:r>
          </w:p>
        </w:tc>
        <w:tc>
          <w:tcPr>
            <w:tcW w:w="1134" w:type="dxa"/>
            <w:vAlign w:val="center"/>
          </w:tcPr>
          <w:p>
            <w:pPr>
              <w:spacing w:line="360" w:lineRule="auto"/>
              <w:jc w:val="center"/>
              <w:rPr>
                <w:color w:val="auto"/>
              </w:rPr>
            </w:pPr>
            <w:r>
              <w:rPr>
                <w:rFonts w:hint="eastAsia"/>
                <w:color w:val="auto"/>
              </w:rPr>
              <w:t>≥180</w:t>
            </w:r>
          </w:p>
        </w:tc>
        <w:tc>
          <w:tcPr>
            <w:tcW w:w="1268" w:type="dxa"/>
            <w:vAlign w:val="center"/>
          </w:tcPr>
          <w:p>
            <w:pPr>
              <w:spacing w:line="360" w:lineRule="auto"/>
              <w:jc w:val="center"/>
              <w:rPr>
                <w:color w:val="auto"/>
              </w:rPr>
            </w:pPr>
            <w:r>
              <w:rPr>
                <w:rFonts w:hint="eastAsia"/>
                <w:color w:val="auto"/>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840" w:type="dxa"/>
            <w:vAlign w:val="center"/>
          </w:tcPr>
          <w:p>
            <w:pPr>
              <w:spacing w:line="360" w:lineRule="auto"/>
              <w:jc w:val="center"/>
              <w:rPr>
                <w:color w:val="auto"/>
              </w:rPr>
            </w:pPr>
            <w:r>
              <w:rPr>
                <w:rFonts w:hint="eastAsia"/>
                <w:color w:val="auto"/>
              </w:rPr>
              <w:t>3</w:t>
            </w:r>
          </w:p>
        </w:tc>
        <w:tc>
          <w:tcPr>
            <w:tcW w:w="3550" w:type="dxa"/>
            <w:gridSpan w:val="2"/>
            <w:vAlign w:val="center"/>
          </w:tcPr>
          <w:p>
            <w:pPr>
              <w:spacing w:line="360" w:lineRule="auto"/>
              <w:jc w:val="center"/>
              <w:rPr>
                <w:b/>
                <w:bCs/>
                <w:color w:val="auto"/>
              </w:rPr>
            </w:pPr>
            <w:r>
              <w:rPr>
                <w:rFonts w:hint="eastAsia"/>
                <w:color w:val="auto"/>
              </w:rPr>
              <w:t>坍落度</w:t>
            </w:r>
            <w:r>
              <w:rPr>
                <w:rFonts w:hint="eastAsia"/>
                <w:color w:val="auto"/>
                <w:vertAlign w:val="superscript"/>
              </w:rPr>
              <w:t>b</w:t>
            </w:r>
            <w:r>
              <w:rPr>
                <w:rFonts w:hint="eastAsia"/>
                <w:color w:val="auto"/>
              </w:rPr>
              <w:t>，mm</w:t>
            </w:r>
          </w:p>
        </w:tc>
        <w:tc>
          <w:tcPr>
            <w:tcW w:w="1275" w:type="dxa"/>
            <w:vAlign w:val="center"/>
          </w:tcPr>
          <w:p>
            <w:pPr>
              <w:spacing w:line="360" w:lineRule="auto"/>
              <w:jc w:val="center"/>
              <w:rPr>
                <w:color w:val="auto"/>
              </w:rPr>
            </w:pPr>
            <w:r>
              <w:rPr>
                <w:rFonts w:hint="eastAsia"/>
                <w:color w:val="auto"/>
              </w:rPr>
              <w:t>≥120</w:t>
            </w:r>
          </w:p>
        </w:tc>
        <w:tc>
          <w:tcPr>
            <w:tcW w:w="1134" w:type="dxa"/>
            <w:vAlign w:val="center"/>
          </w:tcPr>
          <w:p>
            <w:pPr>
              <w:spacing w:line="360" w:lineRule="auto"/>
              <w:jc w:val="center"/>
              <w:rPr>
                <w:color w:val="auto"/>
              </w:rPr>
            </w:pPr>
            <w:r>
              <w:rPr>
                <w:rFonts w:hint="eastAsia"/>
                <w:color w:val="auto"/>
              </w:rPr>
              <w:t>≥180</w:t>
            </w:r>
          </w:p>
        </w:tc>
        <w:tc>
          <w:tcPr>
            <w:tcW w:w="1268" w:type="dxa"/>
            <w:vAlign w:val="center"/>
          </w:tcPr>
          <w:p>
            <w:pPr>
              <w:spacing w:line="360" w:lineRule="auto"/>
              <w:jc w:val="center"/>
              <w:rPr>
                <w:color w:val="auto"/>
              </w:rPr>
            </w:pPr>
            <w:r>
              <w:rPr>
                <w:rFonts w:hint="eastAsia"/>
                <w:color w:val="auto"/>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40" w:type="dxa"/>
            <w:vAlign w:val="center"/>
          </w:tcPr>
          <w:p>
            <w:pPr>
              <w:spacing w:line="360" w:lineRule="auto"/>
              <w:jc w:val="center"/>
              <w:rPr>
                <w:color w:val="auto"/>
              </w:rPr>
            </w:pPr>
            <w:r>
              <w:rPr>
                <w:rFonts w:hint="eastAsia"/>
                <w:color w:val="auto"/>
              </w:rPr>
              <w:t>4</w:t>
            </w:r>
          </w:p>
        </w:tc>
        <w:tc>
          <w:tcPr>
            <w:tcW w:w="2557" w:type="dxa"/>
            <w:vAlign w:val="center"/>
          </w:tcPr>
          <w:p>
            <w:pPr>
              <w:spacing w:line="360" w:lineRule="auto"/>
              <w:jc w:val="center"/>
              <w:rPr>
                <w:color w:val="auto"/>
              </w:rPr>
            </w:pPr>
            <w:r>
              <w:rPr>
                <w:rFonts w:hint="eastAsia"/>
                <w:color w:val="auto"/>
              </w:rPr>
              <w:t>混凝土抗压强度，MPa</w:t>
            </w:r>
          </w:p>
        </w:tc>
        <w:tc>
          <w:tcPr>
            <w:tcW w:w="993" w:type="dxa"/>
            <w:vAlign w:val="center"/>
          </w:tcPr>
          <w:p>
            <w:pPr>
              <w:spacing w:line="360" w:lineRule="auto"/>
              <w:jc w:val="center"/>
              <w:rPr>
                <w:color w:val="auto"/>
              </w:rPr>
            </w:pPr>
            <w:r>
              <w:rPr>
                <w:rFonts w:hint="eastAsia"/>
                <w:color w:val="auto"/>
              </w:rPr>
              <w:t>3d</w:t>
            </w:r>
          </w:p>
        </w:tc>
        <w:tc>
          <w:tcPr>
            <w:tcW w:w="1275" w:type="dxa"/>
            <w:vAlign w:val="center"/>
          </w:tcPr>
          <w:p>
            <w:pPr>
              <w:spacing w:line="360" w:lineRule="auto"/>
              <w:jc w:val="center"/>
              <w:rPr>
                <w:color w:val="auto"/>
              </w:rPr>
            </w:pPr>
            <w:r>
              <w:rPr>
                <w:rFonts w:hint="eastAsia"/>
                <w:color w:val="auto"/>
              </w:rPr>
              <w:t>≥40.0</w:t>
            </w:r>
          </w:p>
        </w:tc>
        <w:tc>
          <w:tcPr>
            <w:tcW w:w="1134" w:type="dxa"/>
            <w:vAlign w:val="center"/>
          </w:tcPr>
          <w:p>
            <w:pPr>
              <w:spacing w:line="360" w:lineRule="auto"/>
              <w:jc w:val="center"/>
              <w:rPr>
                <w:color w:val="auto"/>
              </w:rPr>
            </w:pPr>
            <w:r>
              <w:rPr>
                <w:rFonts w:hint="eastAsia"/>
                <w:color w:val="auto"/>
              </w:rPr>
              <w:t>≥35.0</w:t>
            </w:r>
          </w:p>
        </w:tc>
        <w:tc>
          <w:tcPr>
            <w:tcW w:w="1268" w:type="dxa"/>
            <w:vAlign w:val="center"/>
          </w:tcPr>
          <w:p>
            <w:pPr>
              <w:spacing w:line="360" w:lineRule="auto"/>
              <w:jc w:val="center"/>
              <w:rPr>
                <w:color w:val="auto"/>
              </w:rPr>
            </w:pPr>
            <w:r>
              <w:rPr>
                <w:rFonts w:hint="eastAsia"/>
                <w:color w:val="auto"/>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40" w:type="dxa"/>
            <w:vAlign w:val="center"/>
          </w:tcPr>
          <w:p>
            <w:pPr>
              <w:spacing w:line="360" w:lineRule="auto"/>
              <w:jc w:val="center"/>
              <w:rPr>
                <w:color w:val="auto"/>
              </w:rPr>
            </w:pPr>
            <w:r>
              <w:rPr>
                <w:rFonts w:hint="eastAsia"/>
                <w:color w:val="auto"/>
              </w:rPr>
              <w:t>5</w:t>
            </w:r>
          </w:p>
        </w:tc>
        <w:tc>
          <w:tcPr>
            <w:tcW w:w="2557" w:type="dxa"/>
            <w:vAlign w:val="center"/>
          </w:tcPr>
          <w:p>
            <w:pPr>
              <w:spacing w:line="360" w:lineRule="auto"/>
              <w:jc w:val="center"/>
              <w:rPr>
                <w:color w:val="auto"/>
              </w:rPr>
            </w:pPr>
            <w:r>
              <w:rPr>
                <w:rFonts w:hint="eastAsia"/>
                <w:color w:val="auto"/>
              </w:rPr>
              <w:t>砂浆抗压强度，MPa</w:t>
            </w:r>
          </w:p>
        </w:tc>
        <w:tc>
          <w:tcPr>
            <w:tcW w:w="993" w:type="dxa"/>
            <w:vAlign w:val="center"/>
          </w:tcPr>
          <w:p>
            <w:pPr>
              <w:spacing w:line="360" w:lineRule="auto"/>
              <w:jc w:val="center"/>
              <w:rPr>
                <w:color w:val="auto"/>
              </w:rPr>
            </w:pPr>
            <w:r>
              <w:rPr>
                <w:rFonts w:hint="eastAsia"/>
                <w:color w:val="auto"/>
              </w:rPr>
              <w:t>3d</w:t>
            </w:r>
          </w:p>
        </w:tc>
        <w:tc>
          <w:tcPr>
            <w:tcW w:w="1275" w:type="dxa"/>
            <w:vAlign w:val="center"/>
          </w:tcPr>
          <w:p>
            <w:pPr>
              <w:spacing w:line="360" w:lineRule="auto"/>
              <w:jc w:val="center"/>
              <w:rPr>
                <w:color w:val="auto"/>
              </w:rPr>
            </w:pPr>
            <w:r>
              <w:rPr>
                <w:rFonts w:hint="eastAsia"/>
                <w:color w:val="auto"/>
              </w:rPr>
              <w:t>≥40.0</w:t>
            </w:r>
          </w:p>
        </w:tc>
        <w:tc>
          <w:tcPr>
            <w:tcW w:w="1134" w:type="dxa"/>
            <w:vAlign w:val="center"/>
          </w:tcPr>
          <w:p>
            <w:pPr>
              <w:spacing w:line="360" w:lineRule="auto"/>
              <w:jc w:val="center"/>
              <w:rPr>
                <w:color w:val="auto"/>
              </w:rPr>
            </w:pPr>
            <w:r>
              <w:rPr>
                <w:rFonts w:hint="eastAsia"/>
                <w:color w:val="auto"/>
              </w:rPr>
              <w:t>≥35.0</w:t>
            </w:r>
          </w:p>
        </w:tc>
        <w:tc>
          <w:tcPr>
            <w:tcW w:w="1268" w:type="dxa"/>
            <w:vAlign w:val="center"/>
          </w:tcPr>
          <w:p>
            <w:pPr>
              <w:spacing w:line="360" w:lineRule="auto"/>
              <w:jc w:val="center"/>
              <w:rPr>
                <w:color w:val="auto"/>
              </w:rPr>
            </w:pPr>
            <w:r>
              <w:rPr>
                <w:rFonts w:hint="eastAsia"/>
                <w:color w:val="auto"/>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840" w:type="dxa"/>
            <w:vAlign w:val="center"/>
          </w:tcPr>
          <w:p>
            <w:pPr>
              <w:spacing w:line="360" w:lineRule="auto"/>
              <w:jc w:val="center"/>
              <w:rPr>
                <w:color w:val="auto"/>
              </w:rPr>
            </w:pPr>
            <w:r>
              <w:rPr>
                <w:rFonts w:hint="eastAsia"/>
                <w:color w:val="auto"/>
              </w:rPr>
              <w:t>6</w:t>
            </w:r>
          </w:p>
        </w:tc>
        <w:tc>
          <w:tcPr>
            <w:tcW w:w="2557" w:type="dxa"/>
            <w:vAlign w:val="center"/>
          </w:tcPr>
          <w:p>
            <w:pPr>
              <w:spacing w:line="360" w:lineRule="auto"/>
              <w:jc w:val="center"/>
              <w:rPr>
                <w:color w:val="auto"/>
              </w:rPr>
            </w:pPr>
            <w:r>
              <w:rPr>
                <w:rFonts w:hint="eastAsia"/>
                <w:color w:val="auto"/>
              </w:rPr>
              <w:t>混凝土抗折强度，MPa</w:t>
            </w:r>
          </w:p>
        </w:tc>
        <w:tc>
          <w:tcPr>
            <w:tcW w:w="993" w:type="dxa"/>
            <w:vAlign w:val="center"/>
          </w:tcPr>
          <w:p>
            <w:pPr>
              <w:spacing w:line="360" w:lineRule="auto"/>
              <w:jc w:val="center"/>
              <w:rPr>
                <w:color w:val="auto"/>
              </w:rPr>
            </w:pPr>
            <w:r>
              <w:rPr>
                <w:rFonts w:hint="eastAsia"/>
                <w:color w:val="auto"/>
              </w:rPr>
              <w:t>3d</w:t>
            </w:r>
          </w:p>
        </w:tc>
        <w:tc>
          <w:tcPr>
            <w:tcW w:w="1275" w:type="dxa"/>
            <w:vAlign w:val="center"/>
          </w:tcPr>
          <w:p>
            <w:pPr>
              <w:spacing w:line="360" w:lineRule="auto"/>
              <w:jc w:val="center"/>
              <w:rPr>
                <w:color w:val="auto"/>
              </w:rPr>
            </w:pPr>
            <w:r>
              <w:rPr>
                <w:rFonts w:hint="eastAsia"/>
                <w:color w:val="auto"/>
              </w:rPr>
              <w:t>≥5.0</w:t>
            </w:r>
          </w:p>
        </w:tc>
        <w:tc>
          <w:tcPr>
            <w:tcW w:w="1134" w:type="dxa"/>
            <w:vAlign w:val="center"/>
          </w:tcPr>
          <w:p>
            <w:pPr>
              <w:spacing w:line="360" w:lineRule="auto"/>
              <w:jc w:val="center"/>
              <w:rPr>
                <w:color w:val="auto"/>
              </w:rPr>
            </w:pPr>
            <w:r>
              <w:rPr>
                <w:rFonts w:hint="eastAsia"/>
                <w:color w:val="auto"/>
              </w:rPr>
              <w:t>≥4.5</w:t>
            </w:r>
          </w:p>
        </w:tc>
        <w:tc>
          <w:tcPr>
            <w:tcW w:w="1268" w:type="dxa"/>
            <w:vAlign w:val="center"/>
          </w:tcPr>
          <w:p>
            <w:pPr>
              <w:spacing w:line="360" w:lineRule="auto"/>
              <w:jc w:val="center"/>
              <w:rPr>
                <w:color w:val="auto"/>
              </w:rPr>
            </w:pPr>
            <w:r>
              <w:rPr>
                <w:rFonts w:hint="eastAsia"/>
                <w:color w:val="auto"/>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840" w:type="dxa"/>
            <w:vAlign w:val="center"/>
          </w:tcPr>
          <w:p>
            <w:pPr>
              <w:spacing w:line="360" w:lineRule="auto"/>
              <w:jc w:val="center"/>
              <w:rPr>
                <w:color w:val="auto"/>
              </w:rPr>
            </w:pPr>
            <w:r>
              <w:rPr>
                <w:rFonts w:hint="eastAsia"/>
                <w:color w:val="auto"/>
              </w:rPr>
              <w:t>7</w:t>
            </w:r>
          </w:p>
        </w:tc>
        <w:tc>
          <w:tcPr>
            <w:tcW w:w="2557" w:type="dxa"/>
            <w:vAlign w:val="center"/>
          </w:tcPr>
          <w:p>
            <w:pPr>
              <w:spacing w:line="360" w:lineRule="auto"/>
              <w:jc w:val="center"/>
              <w:rPr>
                <w:color w:val="auto"/>
              </w:rPr>
            </w:pPr>
            <w:r>
              <w:rPr>
                <w:rFonts w:hint="eastAsia"/>
                <w:color w:val="auto"/>
              </w:rPr>
              <w:t>砂浆抗折强度，MPa</w:t>
            </w:r>
          </w:p>
        </w:tc>
        <w:tc>
          <w:tcPr>
            <w:tcW w:w="993" w:type="dxa"/>
            <w:vAlign w:val="center"/>
          </w:tcPr>
          <w:p>
            <w:pPr>
              <w:spacing w:line="360" w:lineRule="auto"/>
              <w:jc w:val="center"/>
              <w:rPr>
                <w:color w:val="auto"/>
              </w:rPr>
            </w:pPr>
            <w:r>
              <w:rPr>
                <w:rFonts w:hint="eastAsia"/>
                <w:color w:val="auto"/>
              </w:rPr>
              <w:t>3d</w:t>
            </w:r>
          </w:p>
        </w:tc>
        <w:tc>
          <w:tcPr>
            <w:tcW w:w="1275" w:type="dxa"/>
            <w:vAlign w:val="center"/>
          </w:tcPr>
          <w:p>
            <w:pPr>
              <w:spacing w:line="360" w:lineRule="auto"/>
              <w:jc w:val="center"/>
              <w:rPr>
                <w:color w:val="auto"/>
              </w:rPr>
            </w:pPr>
            <w:r>
              <w:rPr>
                <w:rFonts w:hint="eastAsia"/>
                <w:color w:val="auto"/>
              </w:rPr>
              <w:t>≥6.5</w:t>
            </w:r>
          </w:p>
        </w:tc>
        <w:tc>
          <w:tcPr>
            <w:tcW w:w="1134" w:type="dxa"/>
            <w:vAlign w:val="center"/>
          </w:tcPr>
          <w:p>
            <w:pPr>
              <w:spacing w:line="360" w:lineRule="auto"/>
              <w:jc w:val="center"/>
              <w:rPr>
                <w:color w:val="auto"/>
              </w:rPr>
            </w:pPr>
            <w:r>
              <w:rPr>
                <w:rFonts w:hint="eastAsia"/>
                <w:color w:val="auto"/>
              </w:rPr>
              <w:t>≥6.0</w:t>
            </w:r>
          </w:p>
        </w:tc>
        <w:tc>
          <w:tcPr>
            <w:tcW w:w="1268" w:type="dxa"/>
            <w:vAlign w:val="center"/>
          </w:tcPr>
          <w:p>
            <w:pPr>
              <w:spacing w:line="360" w:lineRule="auto"/>
              <w:jc w:val="center"/>
              <w:rPr>
                <w:color w:val="auto"/>
              </w:rPr>
            </w:pPr>
            <w:r>
              <w:rPr>
                <w:rFonts w:hint="eastAsia"/>
                <w:color w:val="auto"/>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40" w:type="dxa"/>
            <w:vAlign w:val="center"/>
          </w:tcPr>
          <w:p>
            <w:pPr>
              <w:spacing w:line="360" w:lineRule="auto"/>
              <w:jc w:val="center"/>
              <w:rPr>
                <w:color w:val="auto"/>
              </w:rPr>
            </w:pPr>
            <w:r>
              <w:rPr>
                <w:rFonts w:hint="eastAsia"/>
                <w:color w:val="auto"/>
              </w:rPr>
              <w:t>8</w:t>
            </w:r>
          </w:p>
        </w:tc>
        <w:tc>
          <w:tcPr>
            <w:tcW w:w="3550" w:type="dxa"/>
            <w:gridSpan w:val="2"/>
            <w:vAlign w:val="center"/>
          </w:tcPr>
          <w:p>
            <w:pPr>
              <w:spacing w:line="360" w:lineRule="auto"/>
              <w:jc w:val="center"/>
              <w:rPr>
                <w:color w:val="auto"/>
              </w:rPr>
            </w:pPr>
            <w:r>
              <w:rPr>
                <w:rFonts w:hint="eastAsia"/>
                <w:color w:val="auto"/>
              </w:rPr>
              <w:t>1d与基准混凝土黏结强度，MPa</w:t>
            </w:r>
          </w:p>
        </w:tc>
        <w:tc>
          <w:tcPr>
            <w:tcW w:w="1275" w:type="dxa"/>
            <w:vAlign w:val="center"/>
          </w:tcPr>
          <w:p>
            <w:pPr>
              <w:spacing w:line="360" w:lineRule="auto"/>
              <w:jc w:val="center"/>
              <w:rPr>
                <w:color w:val="auto"/>
              </w:rPr>
            </w:pPr>
            <w:r>
              <w:rPr>
                <w:rFonts w:hint="eastAsia"/>
                <w:color w:val="auto"/>
              </w:rPr>
              <w:t>≥1.2</w:t>
            </w:r>
          </w:p>
        </w:tc>
        <w:tc>
          <w:tcPr>
            <w:tcW w:w="1134" w:type="dxa"/>
            <w:vAlign w:val="center"/>
          </w:tcPr>
          <w:p>
            <w:pPr>
              <w:spacing w:line="360" w:lineRule="auto"/>
              <w:jc w:val="center"/>
              <w:rPr>
                <w:color w:val="auto"/>
              </w:rPr>
            </w:pPr>
            <w:r>
              <w:rPr>
                <w:rFonts w:hint="eastAsia"/>
                <w:color w:val="auto"/>
              </w:rPr>
              <w:t>≥1.5</w:t>
            </w:r>
          </w:p>
        </w:tc>
        <w:tc>
          <w:tcPr>
            <w:tcW w:w="1268" w:type="dxa"/>
            <w:vAlign w:val="center"/>
          </w:tcPr>
          <w:p>
            <w:pPr>
              <w:spacing w:line="360" w:lineRule="auto"/>
              <w:jc w:val="center"/>
              <w:rPr>
                <w:color w:val="auto"/>
              </w:rPr>
            </w:pPr>
            <w:r>
              <w:rPr>
                <w:rFonts w:hint="eastAsia"/>
                <w:color w:val="auto"/>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40" w:type="dxa"/>
            <w:vAlign w:val="center"/>
          </w:tcPr>
          <w:p>
            <w:pPr>
              <w:spacing w:line="360" w:lineRule="auto"/>
              <w:jc w:val="center"/>
              <w:rPr>
                <w:color w:val="auto"/>
              </w:rPr>
            </w:pPr>
            <w:r>
              <w:rPr>
                <w:rFonts w:hint="eastAsia"/>
                <w:color w:val="auto"/>
              </w:rPr>
              <w:t>9</w:t>
            </w:r>
          </w:p>
        </w:tc>
        <w:tc>
          <w:tcPr>
            <w:tcW w:w="2557" w:type="dxa"/>
            <w:vAlign w:val="center"/>
          </w:tcPr>
          <w:p>
            <w:pPr>
              <w:spacing w:line="360" w:lineRule="auto"/>
              <w:jc w:val="center"/>
              <w:rPr>
                <w:color w:val="auto"/>
              </w:rPr>
            </w:pPr>
            <w:r>
              <w:rPr>
                <w:rFonts w:hint="eastAsia"/>
                <w:color w:val="auto"/>
              </w:rPr>
              <w:t>等效弯曲韧性</w:t>
            </w:r>
            <w:r>
              <w:rPr>
                <w:rFonts w:hint="eastAsia"/>
                <w:color w:val="auto"/>
                <w:vertAlign w:val="superscript"/>
              </w:rPr>
              <w:t>c</w:t>
            </w:r>
            <w:r>
              <w:rPr>
                <w:rFonts w:hint="eastAsia"/>
                <w:color w:val="auto"/>
              </w:rPr>
              <w:t>，kJ/m</w:t>
            </w:r>
            <w:r>
              <w:rPr>
                <w:rFonts w:hint="eastAsia"/>
                <w:color w:val="auto"/>
                <w:vertAlign w:val="superscript"/>
              </w:rPr>
              <w:t>3</w:t>
            </w:r>
          </w:p>
        </w:tc>
        <w:tc>
          <w:tcPr>
            <w:tcW w:w="993" w:type="dxa"/>
            <w:vAlign w:val="center"/>
          </w:tcPr>
          <w:p>
            <w:pPr>
              <w:spacing w:line="360" w:lineRule="auto"/>
              <w:jc w:val="center"/>
              <w:rPr>
                <w:color w:val="auto"/>
              </w:rPr>
            </w:pPr>
            <w:r>
              <w:rPr>
                <w:rFonts w:hint="eastAsia"/>
                <w:color w:val="auto"/>
              </w:rPr>
              <w:t>28d</w:t>
            </w:r>
          </w:p>
        </w:tc>
        <w:tc>
          <w:tcPr>
            <w:tcW w:w="1275" w:type="dxa"/>
            <w:vAlign w:val="center"/>
          </w:tcPr>
          <w:p>
            <w:pPr>
              <w:spacing w:line="360" w:lineRule="auto"/>
              <w:jc w:val="center"/>
              <w:rPr>
                <w:rFonts w:cstheme="minorBidi"/>
                <w:color w:val="auto"/>
                <w:kern w:val="2"/>
                <w:szCs w:val="24"/>
              </w:rPr>
            </w:pPr>
            <w:r>
              <w:rPr>
                <w:rFonts w:hint="eastAsia" w:cstheme="minorBidi"/>
                <w:color w:val="auto"/>
                <w:kern w:val="2"/>
                <w:szCs w:val="24"/>
              </w:rPr>
              <w:t>≥15</w:t>
            </w:r>
          </w:p>
        </w:tc>
        <w:tc>
          <w:tcPr>
            <w:tcW w:w="1134" w:type="dxa"/>
            <w:vAlign w:val="center"/>
          </w:tcPr>
          <w:p>
            <w:pPr>
              <w:spacing w:line="360" w:lineRule="auto"/>
              <w:jc w:val="center"/>
              <w:rPr>
                <w:rFonts w:cstheme="minorBidi"/>
                <w:color w:val="auto"/>
                <w:kern w:val="2"/>
                <w:szCs w:val="24"/>
              </w:rPr>
            </w:pPr>
            <w:r>
              <w:rPr>
                <w:rFonts w:hint="eastAsia" w:cstheme="minorBidi"/>
                <w:color w:val="auto"/>
                <w:kern w:val="2"/>
                <w:szCs w:val="24"/>
              </w:rPr>
              <w:t>≥20</w:t>
            </w:r>
          </w:p>
        </w:tc>
        <w:tc>
          <w:tcPr>
            <w:tcW w:w="1268" w:type="dxa"/>
            <w:vAlign w:val="center"/>
          </w:tcPr>
          <w:p>
            <w:pPr>
              <w:spacing w:line="360" w:lineRule="auto"/>
              <w:jc w:val="center"/>
              <w:rPr>
                <w:rFonts w:cstheme="minorBidi"/>
                <w:color w:val="auto"/>
                <w:kern w:val="2"/>
                <w:szCs w:val="24"/>
              </w:rPr>
            </w:pPr>
            <w:r>
              <w:rPr>
                <w:rFonts w:hint="eastAsia" w:cstheme="minorBidi"/>
                <w:color w:val="auto"/>
                <w:kern w:val="2"/>
                <w:szCs w:val="24"/>
              </w:rPr>
              <w:t>≥15</w:t>
            </w:r>
          </w:p>
        </w:tc>
      </w:tr>
      <w:bookmarkEnd w:id="4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067" w:type="dxa"/>
            <w:gridSpan w:val="6"/>
            <w:vAlign w:val="center"/>
          </w:tcPr>
          <w:p>
            <w:pPr>
              <w:spacing w:line="360" w:lineRule="auto"/>
              <w:rPr>
                <w:color w:val="auto"/>
              </w:rPr>
            </w:pPr>
            <w:r>
              <w:rPr>
                <w:rFonts w:hint="eastAsia"/>
                <w:color w:val="auto"/>
              </w:rPr>
              <w:t>a水泥胶砂用高韧性修补材料的工作性能。</w:t>
            </w:r>
          </w:p>
          <w:p>
            <w:pPr>
              <w:spacing w:line="360" w:lineRule="auto"/>
              <w:rPr>
                <w:color w:val="auto"/>
              </w:rPr>
            </w:pPr>
            <w:r>
              <w:rPr>
                <w:rFonts w:hint="eastAsia"/>
                <w:color w:val="auto"/>
              </w:rPr>
              <w:t>b水泥混凝土用高韧性修补材料的工作性能。</w:t>
            </w:r>
          </w:p>
          <w:p>
            <w:pPr>
              <w:spacing w:line="360" w:lineRule="auto"/>
              <w:rPr>
                <w:color w:val="auto"/>
              </w:rPr>
            </w:pPr>
            <w:r>
              <w:rPr>
                <w:rFonts w:hint="eastAsia"/>
                <w:color w:val="auto"/>
              </w:rPr>
              <w:t>c等效弯曲韧性为挠度为</w:t>
            </w:r>
            <w:r>
              <w:rPr>
                <w:color w:val="auto"/>
              </w:rPr>
              <w:t>δ</w:t>
            </w:r>
            <w:r>
              <w:rPr>
                <w:rFonts w:hint="eastAsia"/>
                <w:color w:val="auto"/>
                <w:vertAlign w:val="subscript"/>
              </w:rPr>
              <w:t>k</w:t>
            </w:r>
            <w:r>
              <w:rPr>
                <w:rFonts w:hint="eastAsia"/>
                <w:color w:val="auto"/>
              </w:rPr>
              <w:t>时挠度-荷载曲线下面积与试件截面b</w:t>
            </w:r>
            <w:r>
              <w:rPr>
                <w:color w:val="auto"/>
              </w:rPr>
              <w:t>H</w:t>
            </w:r>
            <w:r>
              <w:rPr>
                <w:color w:val="auto"/>
                <w:vertAlign w:val="superscript"/>
              </w:rPr>
              <w:t>2</w:t>
            </w:r>
            <w:r>
              <w:rPr>
                <w:rFonts w:hint="eastAsia"/>
                <w:color w:val="auto"/>
              </w:rPr>
              <w:t>的比值。</w:t>
            </w:r>
          </w:p>
        </w:tc>
      </w:tr>
    </w:tbl>
    <w:p>
      <w:pPr>
        <w:spacing w:line="360" w:lineRule="auto"/>
        <w:jc w:val="center"/>
        <w:outlineLvl w:val="1"/>
        <w:rPr>
          <w:rFonts w:hint="eastAsia" w:ascii="黑体" w:hAnsi="黑体" w:eastAsia="黑体" w:cs="黑体"/>
          <w:b/>
          <w:color w:val="auto"/>
          <w:sz w:val="24"/>
          <w:szCs w:val="24"/>
        </w:rPr>
      </w:pPr>
      <w:bookmarkStart w:id="43" w:name="_Toc11359"/>
      <w:bookmarkStart w:id="44" w:name="_Toc27802"/>
      <w:r>
        <w:rPr>
          <w:rFonts w:hint="eastAsia" w:ascii="黑体" w:hAnsi="黑体" w:eastAsia="黑体" w:cs="黑体"/>
          <w:b/>
          <w:color w:val="auto"/>
          <w:sz w:val="24"/>
          <w:szCs w:val="24"/>
        </w:rPr>
        <w:t>5.2  长期性能和耐久性能</w:t>
      </w:r>
      <w:bookmarkEnd w:id="43"/>
      <w:bookmarkEnd w:id="44"/>
    </w:p>
    <w:p>
      <w:pPr>
        <w:spacing w:line="360" w:lineRule="auto"/>
        <w:rPr>
          <w:color w:val="auto"/>
          <w:sz w:val="24"/>
          <w:szCs w:val="24"/>
        </w:rPr>
      </w:pPr>
      <w:r>
        <w:rPr>
          <w:rFonts w:hint="eastAsia"/>
          <w:b/>
          <w:color w:val="auto"/>
          <w:sz w:val="24"/>
          <w:szCs w:val="24"/>
        </w:rPr>
        <w:t>5</w:t>
      </w:r>
      <w:r>
        <w:rPr>
          <w:b/>
          <w:color w:val="auto"/>
          <w:sz w:val="24"/>
          <w:szCs w:val="24"/>
        </w:rPr>
        <w:t>.</w:t>
      </w:r>
      <w:r>
        <w:rPr>
          <w:rFonts w:hint="eastAsia"/>
          <w:b/>
          <w:color w:val="auto"/>
          <w:sz w:val="24"/>
          <w:szCs w:val="24"/>
        </w:rPr>
        <w:t>2</w:t>
      </w:r>
      <w:r>
        <w:rPr>
          <w:b/>
          <w:color w:val="auto"/>
          <w:sz w:val="24"/>
          <w:szCs w:val="24"/>
        </w:rPr>
        <w:t>.1</w:t>
      </w:r>
      <w:r>
        <w:rPr>
          <w:color w:val="auto"/>
          <w:sz w:val="24"/>
          <w:szCs w:val="24"/>
        </w:rPr>
        <w:t xml:space="preserve">  </w:t>
      </w:r>
      <w:r>
        <w:rPr>
          <w:rFonts w:hint="eastAsia"/>
          <w:color w:val="auto"/>
          <w:sz w:val="24"/>
          <w:szCs w:val="24"/>
        </w:rPr>
        <w:t>水泥混凝土路面用高韧性修补材料的耐久性能应符合表5.2.1的要求</w:t>
      </w:r>
      <w:bookmarkStart w:id="45" w:name="_Hlk162440730"/>
      <w:r>
        <w:rPr>
          <w:rFonts w:hint="eastAsia"/>
          <w:color w:val="auto"/>
          <w:sz w:val="24"/>
          <w:szCs w:val="24"/>
        </w:rPr>
        <w:t>。</w:t>
      </w:r>
    </w:p>
    <w:p>
      <w:pPr>
        <w:snapToGrid w:val="0"/>
        <w:spacing w:line="360" w:lineRule="auto"/>
        <w:jc w:val="center"/>
        <w:rPr>
          <w:b/>
          <w:bCs/>
          <w:color w:val="auto"/>
          <w:sz w:val="24"/>
          <w:szCs w:val="24"/>
        </w:rPr>
      </w:pPr>
      <w:r>
        <w:rPr>
          <w:rFonts w:hint="eastAsia"/>
          <w:b/>
          <w:bCs/>
          <w:color w:val="auto"/>
          <w:kern w:val="2"/>
        </w:rPr>
        <w:t xml:space="preserve">表5.2.1 </w:t>
      </w:r>
      <w:bookmarkStart w:id="46" w:name="_Hlk203419449"/>
      <w:r>
        <w:rPr>
          <w:rFonts w:hint="eastAsia"/>
          <w:b/>
          <w:bCs/>
          <w:color w:val="auto"/>
          <w:kern w:val="2"/>
        </w:rPr>
        <w:t>水泥混凝土路用高韧性修补材料</w:t>
      </w:r>
      <w:bookmarkEnd w:id="46"/>
      <w:r>
        <w:rPr>
          <w:rFonts w:hint="eastAsia"/>
          <w:b/>
          <w:bCs/>
          <w:color w:val="auto"/>
          <w:kern w:val="2"/>
        </w:rPr>
        <w:t>耐久性能要求</w:t>
      </w:r>
    </w:p>
    <w:bookmarkEnd w:id="45"/>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2242"/>
        <w:gridCol w:w="5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809" w:type="dxa"/>
            <w:vAlign w:val="center"/>
          </w:tcPr>
          <w:p>
            <w:pPr>
              <w:spacing w:line="360" w:lineRule="auto"/>
              <w:jc w:val="center"/>
              <w:rPr>
                <w:color w:val="auto"/>
              </w:rPr>
            </w:pPr>
            <w:r>
              <w:rPr>
                <w:rFonts w:hint="eastAsia"/>
                <w:color w:val="auto"/>
              </w:rPr>
              <w:t>序号</w:t>
            </w:r>
          </w:p>
        </w:tc>
        <w:tc>
          <w:tcPr>
            <w:tcW w:w="2242" w:type="dxa"/>
            <w:vAlign w:val="center"/>
          </w:tcPr>
          <w:p>
            <w:pPr>
              <w:spacing w:line="360" w:lineRule="auto"/>
              <w:jc w:val="center"/>
              <w:rPr>
                <w:color w:val="auto"/>
              </w:rPr>
            </w:pPr>
            <w:r>
              <w:rPr>
                <w:rFonts w:hint="eastAsia"/>
                <w:color w:val="auto"/>
              </w:rPr>
              <w:t>检验项目</w:t>
            </w:r>
          </w:p>
        </w:tc>
        <w:tc>
          <w:tcPr>
            <w:tcW w:w="5251" w:type="dxa"/>
            <w:vAlign w:val="center"/>
          </w:tcPr>
          <w:p>
            <w:pPr>
              <w:spacing w:line="360" w:lineRule="auto"/>
              <w:jc w:val="center"/>
              <w:rPr>
                <w:color w:val="auto"/>
              </w:rPr>
            </w:pPr>
            <w:r>
              <w:rPr>
                <w:rFonts w:hint="eastAsia"/>
                <w:color w:val="auto"/>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809" w:type="dxa"/>
            <w:vAlign w:val="center"/>
          </w:tcPr>
          <w:p>
            <w:pPr>
              <w:spacing w:line="360" w:lineRule="auto"/>
              <w:jc w:val="center"/>
              <w:rPr>
                <w:color w:val="auto"/>
              </w:rPr>
            </w:pPr>
            <w:r>
              <w:rPr>
                <w:rFonts w:hint="eastAsia"/>
                <w:color w:val="auto"/>
              </w:rPr>
              <w:t>1</w:t>
            </w:r>
          </w:p>
        </w:tc>
        <w:tc>
          <w:tcPr>
            <w:tcW w:w="2242" w:type="dxa"/>
            <w:vAlign w:val="center"/>
          </w:tcPr>
          <w:p>
            <w:pPr>
              <w:spacing w:line="360" w:lineRule="auto"/>
              <w:jc w:val="center"/>
              <w:rPr>
                <w:color w:val="auto"/>
              </w:rPr>
            </w:pPr>
            <w:r>
              <w:rPr>
                <w:rFonts w:hint="eastAsia"/>
                <w:color w:val="auto"/>
              </w:rPr>
              <w:t>抗氯离子渗透性能</w:t>
            </w:r>
          </w:p>
        </w:tc>
        <w:tc>
          <w:tcPr>
            <w:tcW w:w="5251" w:type="dxa"/>
            <w:vAlign w:val="center"/>
          </w:tcPr>
          <w:p>
            <w:pPr>
              <w:spacing w:line="360" w:lineRule="auto"/>
              <w:ind w:firstLine="420" w:firstLineChars="200"/>
              <w:jc w:val="center"/>
              <w:rPr>
                <w:color w:val="auto"/>
              </w:rPr>
            </w:pPr>
            <w:r>
              <w:rPr>
                <w:rFonts w:hint="eastAsia"/>
                <w:color w:val="auto"/>
              </w:rPr>
              <w:t>≥</w:t>
            </w:r>
            <w:r>
              <w:rPr>
                <w:color w:val="auto"/>
              </w:rPr>
              <w:t>RCM-Ⅲ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09" w:type="dxa"/>
            <w:vAlign w:val="center"/>
          </w:tcPr>
          <w:p>
            <w:pPr>
              <w:spacing w:line="360" w:lineRule="auto"/>
              <w:jc w:val="center"/>
              <w:rPr>
                <w:color w:val="auto"/>
              </w:rPr>
            </w:pPr>
            <w:r>
              <w:rPr>
                <w:rFonts w:hint="eastAsia"/>
                <w:color w:val="auto"/>
              </w:rPr>
              <w:t>2</w:t>
            </w:r>
          </w:p>
        </w:tc>
        <w:tc>
          <w:tcPr>
            <w:tcW w:w="2242" w:type="dxa"/>
            <w:vAlign w:val="center"/>
          </w:tcPr>
          <w:p>
            <w:pPr>
              <w:spacing w:line="360" w:lineRule="auto"/>
              <w:jc w:val="center"/>
              <w:rPr>
                <w:color w:val="auto"/>
              </w:rPr>
            </w:pPr>
            <w:r>
              <w:rPr>
                <w:rFonts w:hint="eastAsia"/>
                <w:color w:val="auto"/>
              </w:rPr>
              <w:t>抗冻性</w:t>
            </w:r>
          </w:p>
        </w:tc>
        <w:tc>
          <w:tcPr>
            <w:tcW w:w="5251" w:type="dxa"/>
            <w:vAlign w:val="center"/>
          </w:tcPr>
          <w:p>
            <w:pPr>
              <w:spacing w:line="360" w:lineRule="auto"/>
              <w:ind w:firstLine="420" w:firstLineChars="200"/>
              <w:jc w:val="center"/>
              <w:rPr>
                <w:color w:val="auto"/>
              </w:rPr>
            </w:pPr>
            <w:r>
              <w:rPr>
                <w:rFonts w:hint="eastAsia"/>
                <w:color w:val="auto"/>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pPr>
              <w:spacing w:line="360" w:lineRule="auto"/>
              <w:jc w:val="center"/>
              <w:rPr>
                <w:color w:val="auto"/>
              </w:rPr>
            </w:pPr>
            <w:r>
              <w:rPr>
                <w:rFonts w:hint="eastAsia"/>
                <w:color w:val="auto"/>
              </w:rPr>
              <w:t>3</w:t>
            </w:r>
          </w:p>
        </w:tc>
        <w:tc>
          <w:tcPr>
            <w:tcW w:w="2242" w:type="dxa"/>
            <w:vAlign w:val="center"/>
          </w:tcPr>
          <w:p>
            <w:pPr>
              <w:spacing w:line="360" w:lineRule="auto"/>
              <w:jc w:val="center"/>
              <w:rPr>
                <w:color w:val="auto"/>
              </w:rPr>
            </w:pPr>
            <w:r>
              <w:rPr>
                <w:rFonts w:hint="eastAsia"/>
                <w:color w:val="auto"/>
              </w:rPr>
              <w:t>磨损量，kg/m</w:t>
            </w:r>
            <w:r>
              <w:rPr>
                <w:rFonts w:hint="eastAsia"/>
                <w:color w:val="auto"/>
                <w:vertAlign w:val="superscript"/>
              </w:rPr>
              <w:t>2</w:t>
            </w:r>
          </w:p>
        </w:tc>
        <w:tc>
          <w:tcPr>
            <w:tcW w:w="5251" w:type="dxa"/>
            <w:vAlign w:val="center"/>
          </w:tcPr>
          <w:p>
            <w:pPr>
              <w:spacing w:line="360" w:lineRule="auto"/>
              <w:ind w:firstLine="420" w:firstLineChars="200"/>
              <w:jc w:val="center"/>
              <w:rPr>
                <w:color w:val="auto"/>
              </w:rPr>
            </w:pPr>
            <w:r>
              <w:rPr>
                <w:rFonts w:hint="eastAsia"/>
                <w:color w:val="auto"/>
              </w:rPr>
              <w:t>≤4.0</w:t>
            </w:r>
          </w:p>
        </w:tc>
      </w:tr>
    </w:tbl>
    <w:p>
      <w:pPr>
        <w:spacing w:line="360" w:lineRule="auto"/>
        <w:rPr>
          <w:color w:val="auto"/>
          <w:sz w:val="24"/>
          <w:szCs w:val="24"/>
        </w:rPr>
        <w:sectPr>
          <w:footerReference r:id="rId9" w:type="default"/>
          <w:pgSz w:w="11906" w:h="16838"/>
          <w:pgMar w:top="1440" w:right="1797" w:bottom="1440" w:left="1797" w:header="851" w:footer="692" w:gutter="0"/>
          <w:cols w:space="720" w:num="1"/>
          <w:docGrid w:type="linesAndChars" w:linePitch="312" w:charSpace="0"/>
        </w:sectPr>
      </w:pPr>
    </w:p>
    <w:p>
      <w:pPr>
        <w:keepNext/>
        <w:keepLines/>
        <w:tabs>
          <w:tab w:val="left" w:pos="3165"/>
          <w:tab w:val="center" w:pos="4153"/>
        </w:tabs>
        <w:spacing w:before="159" w:beforeLines="50" w:line="360" w:lineRule="auto"/>
        <w:jc w:val="center"/>
        <w:outlineLvl w:val="0"/>
        <w:rPr>
          <w:b/>
          <w:bCs/>
          <w:color w:val="auto"/>
          <w:kern w:val="44"/>
          <w:sz w:val="30"/>
          <w:szCs w:val="30"/>
        </w:rPr>
      </w:pPr>
      <w:bookmarkStart w:id="47" w:name="_Toc18085"/>
      <w:bookmarkStart w:id="48" w:name="_Toc172534363"/>
      <w:bookmarkStart w:id="49" w:name="_Toc203504448"/>
      <w:bookmarkStart w:id="50" w:name="_Toc25263"/>
      <w:bookmarkStart w:id="51" w:name="_Toc21269"/>
      <w:r>
        <w:rPr>
          <w:rFonts w:hint="eastAsia"/>
          <w:b/>
          <w:bCs/>
          <w:color w:val="auto"/>
          <w:kern w:val="44"/>
          <w:sz w:val="30"/>
          <w:szCs w:val="30"/>
        </w:rPr>
        <w:t>6</w:t>
      </w:r>
      <w:r>
        <w:rPr>
          <w:b/>
          <w:bCs/>
          <w:color w:val="auto"/>
          <w:kern w:val="44"/>
          <w:sz w:val="30"/>
          <w:szCs w:val="30"/>
        </w:rPr>
        <w:t xml:space="preserve">  </w:t>
      </w:r>
      <w:r>
        <w:rPr>
          <w:rFonts w:hint="eastAsia"/>
          <w:b/>
          <w:bCs/>
          <w:color w:val="auto"/>
          <w:kern w:val="44"/>
          <w:sz w:val="30"/>
          <w:szCs w:val="30"/>
        </w:rPr>
        <w:t>混凝土配合比设计</w:t>
      </w:r>
      <w:bookmarkEnd w:id="47"/>
      <w:bookmarkEnd w:id="48"/>
      <w:bookmarkEnd w:id="49"/>
      <w:bookmarkEnd w:id="50"/>
    </w:p>
    <w:p>
      <w:pPr>
        <w:spacing w:line="360" w:lineRule="auto"/>
        <w:jc w:val="center"/>
        <w:outlineLvl w:val="1"/>
        <w:rPr>
          <w:rFonts w:hint="eastAsia" w:ascii="黑体" w:hAnsi="黑体" w:eastAsia="黑体" w:cs="黑体"/>
          <w:b/>
          <w:color w:val="auto"/>
          <w:sz w:val="24"/>
          <w:szCs w:val="24"/>
        </w:rPr>
      </w:pPr>
      <w:bookmarkStart w:id="52" w:name="_Hlk162425072"/>
      <w:bookmarkStart w:id="53" w:name="_Toc2609"/>
      <w:bookmarkStart w:id="54" w:name="_Toc10394"/>
      <w:r>
        <w:rPr>
          <w:rFonts w:hint="eastAsia" w:ascii="黑体" w:hAnsi="黑体" w:eastAsia="黑体" w:cs="黑体"/>
          <w:b/>
          <w:color w:val="auto"/>
          <w:sz w:val="24"/>
          <w:szCs w:val="24"/>
        </w:rPr>
        <w:t xml:space="preserve">6.1  </w:t>
      </w:r>
      <w:bookmarkEnd w:id="52"/>
      <w:r>
        <w:rPr>
          <w:rFonts w:hint="eastAsia" w:ascii="黑体" w:hAnsi="黑体" w:eastAsia="黑体" w:cs="黑体"/>
          <w:b/>
          <w:color w:val="auto"/>
          <w:sz w:val="24"/>
          <w:szCs w:val="24"/>
        </w:rPr>
        <w:t>一般规定</w:t>
      </w:r>
      <w:bookmarkEnd w:id="53"/>
      <w:bookmarkEnd w:id="54"/>
    </w:p>
    <w:p>
      <w:pPr>
        <w:spacing w:line="360" w:lineRule="auto"/>
        <w:rPr>
          <w:color w:val="auto"/>
          <w:sz w:val="24"/>
          <w:szCs w:val="24"/>
        </w:rPr>
      </w:pPr>
      <w:bookmarkStart w:id="55" w:name="_Hlk162382605"/>
      <w:r>
        <w:rPr>
          <w:rFonts w:hint="eastAsia"/>
          <w:b/>
          <w:bCs/>
          <w:color w:val="auto"/>
          <w:kern w:val="2"/>
          <w:sz w:val="24"/>
          <w:szCs w:val="24"/>
        </w:rPr>
        <w:t xml:space="preserve">6.1.1  </w:t>
      </w:r>
      <w:bookmarkStart w:id="56" w:name="_Hlk203568791"/>
      <w:r>
        <w:rPr>
          <w:rFonts w:hint="eastAsia"/>
          <w:color w:val="auto"/>
          <w:kern w:val="2"/>
          <w:sz w:val="24"/>
          <w:szCs w:val="24"/>
        </w:rPr>
        <w:t>水泥混凝土路用高韧性修补材料</w:t>
      </w:r>
      <w:bookmarkEnd w:id="56"/>
      <w:r>
        <w:rPr>
          <w:bCs/>
          <w:color w:val="auto"/>
          <w:sz w:val="24"/>
        </w:rPr>
        <w:t>配合比，应根据混凝土工程需求及施工方法进行设计</w:t>
      </w:r>
      <w:r>
        <w:rPr>
          <w:rFonts w:hint="eastAsia"/>
          <w:color w:val="auto"/>
          <w:sz w:val="24"/>
          <w:szCs w:val="24"/>
        </w:rPr>
        <w:t>。</w:t>
      </w:r>
    </w:p>
    <w:p>
      <w:pPr>
        <w:spacing w:line="360" w:lineRule="auto"/>
        <w:rPr>
          <w:color w:val="auto"/>
          <w:kern w:val="2"/>
          <w:sz w:val="24"/>
          <w:szCs w:val="24"/>
        </w:rPr>
      </w:pPr>
      <w:r>
        <w:rPr>
          <w:rFonts w:hint="eastAsia"/>
          <w:b/>
          <w:bCs/>
          <w:color w:val="auto"/>
          <w:kern w:val="2"/>
          <w:sz w:val="24"/>
          <w:szCs w:val="24"/>
        </w:rPr>
        <w:t xml:space="preserve">6.1.2  </w:t>
      </w:r>
      <w:bookmarkEnd w:id="55"/>
      <w:r>
        <w:rPr>
          <w:rFonts w:hint="eastAsia"/>
          <w:color w:val="auto"/>
          <w:kern w:val="2"/>
          <w:sz w:val="24"/>
          <w:szCs w:val="24"/>
        </w:rPr>
        <w:t>水泥混凝土路用高韧性修补材料配合比设计，应满足混凝土配制强度及其他力学性能、拌合物性能、长期性能和耐久性能的要求。</w:t>
      </w:r>
    </w:p>
    <w:p>
      <w:pPr>
        <w:spacing w:line="360" w:lineRule="auto"/>
        <w:rPr>
          <w:color w:val="auto"/>
          <w:sz w:val="24"/>
          <w:szCs w:val="24"/>
        </w:rPr>
      </w:pPr>
      <w:r>
        <w:rPr>
          <w:rFonts w:hint="eastAsia"/>
          <w:b/>
          <w:bCs/>
          <w:color w:val="auto"/>
          <w:kern w:val="2"/>
          <w:sz w:val="24"/>
          <w:szCs w:val="24"/>
        </w:rPr>
        <w:t xml:space="preserve">6.1.3  </w:t>
      </w:r>
      <w:r>
        <w:rPr>
          <w:rFonts w:hint="eastAsia"/>
          <w:color w:val="auto"/>
          <w:sz w:val="24"/>
        </w:rPr>
        <w:t>配置更高韧性的</w:t>
      </w:r>
      <w:r>
        <w:rPr>
          <w:rFonts w:hint="eastAsia"/>
          <w:color w:val="auto"/>
          <w:kern w:val="2"/>
          <w:sz w:val="24"/>
          <w:szCs w:val="24"/>
        </w:rPr>
        <w:t>水泥混凝土路用高韧性修补材料</w:t>
      </w:r>
      <w:r>
        <w:rPr>
          <w:bCs/>
          <w:color w:val="auto"/>
          <w:sz w:val="24"/>
        </w:rPr>
        <w:t>，</w:t>
      </w:r>
      <w:r>
        <w:rPr>
          <w:rFonts w:hint="eastAsia"/>
          <w:bCs/>
          <w:color w:val="auto"/>
          <w:sz w:val="24"/>
        </w:rPr>
        <w:t>在满足拌合物性能和施工要求的情况下</w:t>
      </w:r>
      <w:r>
        <w:rPr>
          <w:rFonts w:hint="eastAsia"/>
          <w:color w:val="auto"/>
          <w:sz w:val="24"/>
          <w:szCs w:val="24"/>
        </w:rPr>
        <w:t>，</w:t>
      </w:r>
      <w:r>
        <w:rPr>
          <w:rFonts w:hint="eastAsia"/>
          <w:bCs/>
          <w:color w:val="auto"/>
          <w:sz w:val="24"/>
        </w:rPr>
        <w:t>应提高纤维含量。</w:t>
      </w:r>
    </w:p>
    <w:p>
      <w:pPr>
        <w:spacing w:line="360" w:lineRule="auto"/>
        <w:jc w:val="center"/>
        <w:outlineLvl w:val="1"/>
        <w:rPr>
          <w:rFonts w:hint="eastAsia" w:ascii="黑体" w:hAnsi="黑体" w:eastAsia="黑体" w:cs="黑体"/>
          <w:b/>
          <w:color w:val="auto"/>
          <w:sz w:val="24"/>
          <w:szCs w:val="24"/>
        </w:rPr>
      </w:pPr>
      <w:bookmarkStart w:id="57" w:name="_Toc25338"/>
      <w:bookmarkStart w:id="58" w:name="_Toc25204"/>
      <w:r>
        <w:rPr>
          <w:rFonts w:hint="eastAsia" w:ascii="黑体" w:hAnsi="黑体" w:eastAsia="黑体" w:cs="黑体"/>
          <w:b/>
          <w:color w:val="auto"/>
          <w:sz w:val="24"/>
          <w:szCs w:val="24"/>
        </w:rPr>
        <w:t>6.2  主要参数</w:t>
      </w:r>
      <w:bookmarkEnd w:id="57"/>
      <w:bookmarkEnd w:id="58"/>
    </w:p>
    <w:p>
      <w:pPr>
        <w:spacing w:line="360" w:lineRule="auto"/>
        <w:rPr>
          <w:color w:val="auto"/>
          <w:sz w:val="24"/>
          <w:szCs w:val="24"/>
        </w:rPr>
      </w:pPr>
      <w:r>
        <w:rPr>
          <w:rFonts w:hint="eastAsia"/>
          <w:b/>
          <w:bCs/>
          <w:color w:val="auto"/>
          <w:kern w:val="2"/>
          <w:sz w:val="24"/>
          <w:szCs w:val="24"/>
        </w:rPr>
        <w:t xml:space="preserve">6.2.1  </w:t>
      </w:r>
      <w:r>
        <w:rPr>
          <w:rFonts w:hint="eastAsia"/>
          <w:color w:val="auto"/>
          <w:kern w:val="2"/>
          <w:sz w:val="24"/>
          <w:szCs w:val="24"/>
        </w:rPr>
        <w:t>配制各强度等级水泥混凝土路用高韧性修补材料（混凝土）时，水胶比选择范围宜符合表6.2.1的规定，水胶比不宜超过0.4</w:t>
      </w:r>
      <w:r>
        <w:rPr>
          <w:bCs/>
          <w:color w:val="auto"/>
          <w:sz w:val="24"/>
        </w:rPr>
        <w:t>。</w:t>
      </w:r>
    </w:p>
    <w:p>
      <w:pPr>
        <w:snapToGrid w:val="0"/>
        <w:spacing w:line="360" w:lineRule="auto"/>
        <w:jc w:val="center"/>
        <w:rPr>
          <w:b/>
          <w:bCs/>
          <w:color w:val="auto"/>
          <w:kern w:val="2"/>
        </w:rPr>
      </w:pPr>
      <w:r>
        <w:rPr>
          <w:b/>
          <w:bCs/>
          <w:color w:val="auto"/>
          <w:kern w:val="2"/>
        </w:rPr>
        <w:t>表</w:t>
      </w:r>
      <w:r>
        <w:rPr>
          <w:rFonts w:hint="eastAsia"/>
          <w:b/>
          <w:bCs/>
          <w:color w:val="auto"/>
          <w:kern w:val="2"/>
        </w:rPr>
        <w:t>6</w:t>
      </w:r>
      <w:r>
        <w:rPr>
          <w:b/>
          <w:bCs/>
          <w:color w:val="auto"/>
          <w:kern w:val="2"/>
        </w:rPr>
        <w:t>.2.1  各强度等级</w:t>
      </w:r>
      <w:r>
        <w:rPr>
          <w:rFonts w:hint="eastAsia"/>
          <w:b/>
          <w:bCs/>
          <w:color w:val="auto"/>
          <w:kern w:val="2"/>
        </w:rPr>
        <w:t>水泥混凝土路用高韧性修补材料（混凝土）</w:t>
      </w:r>
      <w:r>
        <w:rPr>
          <w:b/>
          <w:bCs/>
          <w:color w:val="auto"/>
          <w:kern w:val="2"/>
        </w:rPr>
        <w:t>水胶比的选择范围</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0"/>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强度等级</w:t>
            </w:r>
          </w:p>
        </w:tc>
        <w:tc>
          <w:tcPr>
            <w:tcW w:w="2503" w:type="pct"/>
            <w:vAlign w:val="center"/>
          </w:tcPr>
          <w:p>
            <w:pPr>
              <w:spacing w:line="360" w:lineRule="auto"/>
              <w:jc w:val="center"/>
              <w:rPr>
                <w:color w:val="auto"/>
              </w:rPr>
            </w:pPr>
            <w:r>
              <w:rPr>
                <w:color w:val="auto"/>
              </w:rPr>
              <w:t>水胶比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C40</w:t>
            </w:r>
          </w:p>
        </w:tc>
        <w:tc>
          <w:tcPr>
            <w:tcW w:w="2503" w:type="pct"/>
            <w:vAlign w:val="center"/>
          </w:tcPr>
          <w:p>
            <w:pPr>
              <w:spacing w:line="360" w:lineRule="auto"/>
              <w:jc w:val="center"/>
              <w:rPr>
                <w:color w:val="auto"/>
              </w:rPr>
            </w:pPr>
            <w:r>
              <w:rPr>
                <w:color w:val="auto"/>
              </w:rPr>
              <w:t>0.3</w:t>
            </w:r>
            <w:r>
              <w:rPr>
                <w:rFonts w:hint="eastAsia"/>
                <w:color w:val="auto"/>
              </w:rPr>
              <w:t>7</w:t>
            </w:r>
            <w:r>
              <w:rPr>
                <w:color w:val="auto"/>
              </w:rPr>
              <w:t>~0.4</w:t>
            </w:r>
            <w:r>
              <w:rPr>
                <w:rFonts w:hint="eastAsia"/>
                <w:color w:va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C45</w:t>
            </w:r>
          </w:p>
        </w:tc>
        <w:tc>
          <w:tcPr>
            <w:tcW w:w="2503" w:type="pct"/>
            <w:vAlign w:val="center"/>
          </w:tcPr>
          <w:p>
            <w:pPr>
              <w:spacing w:line="360" w:lineRule="auto"/>
              <w:jc w:val="center"/>
              <w:rPr>
                <w:color w:val="auto"/>
              </w:rPr>
            </w:pPr>
            <w:r>
              <w:rPr>
                <w:color w:val="auto"/>
              </w:rPr>
              <w:t>0.3</w:t>
            </w:r>
            <w:r>
              <w:rPr>
                <w:rFonts w:hint="eastAsia"/>
                <w:color w:val="auto"/>
              </w:rPr>
              <w:t>5</w:t>
            </w:r>
            <w:r>
              <w:rPr>
                <w:color w:val="auto"/>
              </w:rPr>
              <w:t>~0.3</w:t>
            </w:r>
            <w:r>
              <w:rPr>
                <w:rFonts w:hint="eastAsia"/>
                <w:color w:val="auto"/>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C50</w:t>
            </w:r>
          </w:p>
        </w:tc>
        <w:tc>
          <w:tcPr>
            <w:tcW w:w="2503" w:type="pct"/>
            <w:vAlign w:val="center"/>
          </w:tcPr>
          <w:p>
            <w:pPr>
              <w:spacing w:line="360" w:lineRule="auto"/>
              <w:jc w:val="center"/>
              <w:rPr>
                <w:color w:val="auto"/>
              </w:rPr>
            </w:pPr>
            <w:r>
              <w:rPr>
                <w:color w:val="auto"/>
              </w:rPr>
              <w:t>0.3</w:t>
            </w:r>
            <w:r>
              <w:rPr>
                <w:rFonts w:hint="eastAsia"/>
                <w:color w:val="auto"/>
              </w:rPr>
              <w:t>2</w:t>
            </w:r>
            <w:r>
              <w:rPr>
                <w:color w:val="auto"/>
              </w:rPr>
              <w:t>~0.3</w:t>
            </w:r>
            <w:r>
              <w:rPr>
                <w:rFonts w:hint="eastAsia"/>
                <w:color w:val="auto"/>
              </w:rPr>
              <w:t>5</w:t>
            </w:r>
          </w:p>
        </w:tc>
      </w:tr>
    </w:tbl>
    <w:p>
      <w:pPr>
        <w:spacing w:line="360" w:lineRule="auto"/>
        <w:rPr>
          <w:color w:val="auto"/>
          <w:sz w:val="24"/>
          <w:szCs w:val="24"/>
        </w:rPr>
      </w:pPr>
      <w:r>
        <w:rPr>
          <w:rFonts w:hint="eastAsia"/>
          <w:b/>
          <w:bCs/>
          <w:color w:val="auto"/>
          <w:kern w:val="2"/>
          <w:sz w:val="24"/>
          <w:szCs w:val="24"/>
        </w:rPr>
        <w:t xml:space="preserve">6.2.2  </w:t>
      </w:r>
      <w:r>
        <w:rPr>
          <w:rFonts w:hint="eastAsia"/>
          <w:color w:val="auto"/>
          <w:kern w:val="2"/>
          <w:sz w:val="24"/>
          <w:szCs w:val="24"/>
        </w:rPr>
        <w:t>配制各强度等级水泥混凝土路用高韧性修补材料（胶砂）时，水胶比选择范围宜符合表6.2.2的规定，水胶比不宜超过0.45，胶砂比不应低于1:3</w:t>
      </w:r>
      <w:r>
        <w:rPr>
          <w:bCs/>
          <w:color w:val="auto"/>
          <w:sz w:val="24"/>
        </w:rPr>
        <w:t>。</w:t>
      </w:r>
    </w:p>
    <w:p>
      <w:pPr>
        <w:snapToGrid w:val="0"/>
        <w:spacing w:line="360" w:lineRule="auto"/>
        <w:jc w:val="center"/>
        <w:rPr>
          <w:b/>
          <w:bCs/>
          <w:color w:val="auto"/>
        </w:rPr>
      </w:pPr>
      <w:r>
        <w:rPr>
          <w:b/>
          <w:bCs/>
          <w:color w:val="auto"/>
        </w:rPr>
        <w:t>表</w:t>
      </w:r>
      <w:r>
        <w:rPr>
          <w:rFonts w:hint="eastAsia"/>
          <w:b/>
          <w:bCs/>
          <w:color w:val="auto"/>
        </w:rPr>
        <w:t>6</w:t>
      </w:r>
      <w:r>
        <w:rPr>
          <w:b/>
          <w:bCs/>
          <w:color w:val="auto"/>
        </w:rPr>
        <w:t>.2.</w:t>
      </w:r>
      <w:r>
        <w:rPr>
          <w:rFonts w:hint="eastAsia"/>
          <w:b/>
          <w:bCs/>
          <w:color w:val="auto"/>
        </w:rPr>
        <w:t>2</w:t>
      </w:r>
      <w:r>
        <w:rPr>
          <w:b/>
          <w:bCs/>
          <w:color w:val="auto"/>
        </w:rPr>
        <w:t xml:space="preserve">  各强度等级</w:t>
      </w:r>
      <w:r>
        <w:rPr>
          <w:rFonts w:hint="eastAsia"/>
          <w:b/>
          <w:bCs/>
          <w:color w:val="auto"/>
        </w:rPr>
        <w:t>水泥混凝土路用高韧性修补材料（胶砂）</w:t>
      </w:r>
      <w:r>
        <w:rPr>
          <w:b/>
          <w:bCs/>
          <w:color w:val="auto"/>
        </w:rPr>
        <w:t>水胶比的选择范围</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0"/>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强度等级</w:t>
            </w:r>
          </w:p>
        </w:tc>
        <w:tc>
          <w:tcPr>
            <w:tcW w:w="2503" w:type="pct"/>
            <w:vAlign w:val="center"/>
          </w:tcPr>
          <w:p>
            <w:pPr>
              <w:spacing w:line="360" w:lineRule="auto"/>
              <w:jc w:val="center"/>
              <w:rPr>
                <w:color w:val="auto"/>
              </w:rPr>
            </w:pPr>
            <w:r>
              <w:rPr>
                <w:color w:val="auto"/>
              </w:rPr>
              <w:t>水胶比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rFonts w:hint="eastAsia"/>
                <w:color w:val="auto"/>
              </w:rPr>
              <w:t>M40</w:t>
            </w:r>
          </w:p>
        </w:tc>
        <w:tc>
          <w:tcPr>
            <w:tcW w:w="2503" w:type="pct"/>
            <w:vAlign w:val="center"/>
          </w:tcPr>
          <w:p>
            <w:pPr>
              <w:spacing w:line="360" w:lineRule="auto"/>
              <w:jc w:val="center"/>
              <w:rPr>
                <w:color w:val="auto"/>
              </w:rPr>
            </w:pPr>
            <w:r>
              <w:rPr>
                <w:color w:val="auto"/>
              </w:rPr>
              <w:t>0.</w:t>
            </w:r>
            <w:r>
              <w:rPr>
                <w:rFonts w:hint="eastAsia"/>
                <w:color w:val="auto"/>
              </w:rPr>
              <w:t>42</w:t>
            </w:r>
            <w:r>
              <w:rPr>
                <w:color w:val="auto"/>
              </w:rPr>
              <w:t>~0.4</w:t>
            </w:r>
            <w:r>
              <w:rPr>
                <w:rFonts w:hint="eastAsia"/>
                <w:color w:val="auto"/>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rFonts w:hint="eastAsia"/>
                <w:color w:val="auto"/>
              </w:rPr>
              <w:t>M</w:t>
            </w:r>
            <w:r>
              <w:rPr>
                <w:color w:val="auto"/>
              </w:rPr>
              <w:t>45</w:t>
            </w:r>
          </w:p>
        </w:tc>
        <w:tc>
          <w:tcPr>
            <w:tcW w:w="2503" w:type="pct"/>
            <w:vAlign w:val="center"/>
          </w:tcPr>
          <w:p>
            <w:pPr>
              <w:spacing w:line="360" w:lineRule="auto"/>
              <w:jc w:val="center"/>
              <w:rPr>
                <w:color w:val="auto"/>
              </w:rPr>
            </w:pPr>
            <w:r>
              <w:rPr>
                <w:color w:val="auto"/>
              </w:rPr>
              <w:t>0.3</w:t>
            </w:r>
            <w:r>
              <w:rPr>
                <w:rFonts w:hint="eastAsia"/>
                <w:color w:val="auto"/>
              </w:rPr>
              <w:t>9</w:t>
            </w:r>
            <w:r>
              <w:rPr>
                <w:color w:val="auto"/>
              </w:rPr>
              <w:t>~0.</w:t>
            </w:r>
            <w:r>
              <w:rPr>
                <w:rFonts w:hint="eastAsia"/>
                <w:color w:val="auto"/>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rFonts w:hint="eastAsia"/>
                <w:color w:val="auto"/>
              </w:rPr>
              <w:t>M</w:t>
            </w:r>
            <w:r>
              <w:rPr>
                <w:color w:val="auto"/>
              </w:rPr>
              <w:t>50</w:t>
            </w:r>
          </w:p>
        </w:tc>
        <w:tc>
          <w:tcPr>
            <w:tcW w:w="2503" w:type="pct"/>
            <w:vAlign w:val="center"/>
          </w:tcPr>
          <w:p>
            <w:pPr>
              <w:spacing w:line="360" w:lineRule="auto"/>
              <w:jc w:val="center"/>
              <w:rPr>
                <w:color w:val="auto"/>
              </w:rPr>
            </w:pPr>
            <w:r>
              <w:rPr>
                <w:color w:val="auto"/>
              </w:rPr>
              <w:t>0.3</w:t>
            </w:r>
            <w:r>
              <w:rPr>
                <w:rFonts w:hint="eastAsia"/>
                <w:color w:val="auto"/>
              </w:rPr>
              <w:t>6</w:t>
            </w:r>
            <w:r>
              <w:rPr>
                <w:color w:val="auto"/>
              </w:rPr>
              <w:t>~0.3</w:t>
            </w:r>
            <w:r>
              <w:rPr>
                <w:rFonts w:hint="eastAsia"/>
                <w:color w:val="auto"/>
              </w:rPr>
              <w:t>9</w:t>
            </w:r>
          </w:p>
        </w:tc>
      </w:tr>
    </w:tbl>
    <w:p>
      <w:pPr>
        <w:snapToGrid w:val="0"/>
        <w:spacing w:line="360" w:lineRule="auto"/>
        <w:rPr>
          <w:bCs/>
          <w:color w:val="auto"/>
          <w:sz w:val="24"/>
        </w:rPr>
      </w:pPr>
      <w:r>
        <w:rPr>
          <w:rFonts w:hint="eastAsia"/>
          <w:b/>
          <w:color w:val="auto"/>
          <w:sz w:val="24"/>
        </w:rPr>
        <w:t>6</w:t>
      </w:r>
      <w:r>
        <w:rPr>
          <w:b/>
          <w:color w:val="auto"/>
          <w:sz w:val="24"/>
          <w:lang w:val="zh-CN"/>
        </w:rPr>
        <w:t>.2.</w:t>
      </w:r>
      <w:r>
        <w:rPr>
          <w:rFonts w:hint="eastAsia"/>
          <w:b/>
          <w:color w:val="auto"/>
          <w:sz w:val="24"/>
          <w:lang w:val="zh-CN"/>
        </w:rPr>
        <w:t>3</w:t>
      </w:r>
      <w:r>
        <w:rPr>
          <w:bCs/>
          <w:color w:val="auto"/>
          <w:sz w:val="24"/>
          <w:lang w:val="zh-CN"/>
        </w:rPr>
        <w:t xml:space="preserve">  各强度等级</w:t>
      </w:r>
      <w:r>
        <w:rPr>
          <w:rFonts w:hint="eastAsia"/>
          <w:color w:val="auto"/>
          <w:kern w:val="2"/>
          <w:sz w:val="24"/>
          <w:szCs w:val="24"/>
        </w:rPr>
        <w:t>水泥混凝土路用高韧性修补材料</w:t>
      </w:r>
      <w:bookmarkStart w:id="59" w:name="_Hlk203498984"/>
      <w:r>
        <w:rPr>
          <w:rFonts w:hint="eastAsia"/>
          <w:color w:val="auto"/>
          <w:kern w:val="2"/>
          <w:sz w:val="24"/>
          <w:szCs w:val="24"/>
        </w:rPr>
        <w:t>（混凝土）</w:t>
      </w:r>
      <w:bookmarkEnd w:id="59"/>
      <w:r>
        <w:rPr>
          <w:bCs/>
          <w:color w:val="auto"/>
          <w:sz w:val="24"/>
          <w:lang w:val="zh-CN"/>
        </w:rPr>
        <w:t>中</w:t>
      </w:r>
      <w:r>
        <w:rPr>
          <w:bCs/>
          <w:color w:val="auto"/>
          <w:sz w:val="24"/>
        </w:rPr>
        <w:t>胶凝材料</w:t>
      </w:r>
      <w:r>
        <w:rPr>
          <w:bCs/>
          <w:color w:val="auto"/>
          <w:sz w:val="24"/>
          <w:lang w:val="zh-CN"/>
        </w:rPr>
        <w:t>用量</w:t>
      </w:r>
      <w:r>
        <w:rPr>
          <w:bCs/>
          <w:color w:val="auto"/>
          <w:sz w:val="24"/>
        </w:rPr>
        <w:t>宜符合</w:t>
      </w:r>
      <w:r>
        <w:rPr>
          <w:rFonts w:hint="eastAsia"/>
          <w:bCs/>
          <w:color w:val="auto"/>
          <w:sz w:val="24"/>
        </w:rPr>
        <w:t>表6.2.3的规定。</w:t>
      </w:r>
    </w:p>
    <w:p>
      <w:pPr>
        <w:snapToGrid w:val="0"/>
        <w:spacing w:line="360" w:lineRule="auto"/>
        <w:jc w:val="center"/>
        <w:rPr>
          <w:b/>
          <w:bCs/>
          <w:color w:val="auto"/>
        </w:rPr>
      </w:pPr>
      <w:r>
        <w:rPr>
          <w:b/>
          <w:bCs/>
          <w:color w:val="auto"/>
        </w:rPr>
        <w:t>表</w:t>
      </w:r>
      <w:r>
        <w:rPr>
          <w:rFonts w:hint="eastAsia"/>
          <w:b/>
          <w:bCs/>
          <w:color w:val="auto"/>
        </w:rPr>
        <w:t>6</w:t>
      </w:r>
      <w:r>
        <w:rPr>
          <w:b/>
          <w:bCs/>
          <w:color w:val="auto"/>
        </w:rPr>
        <w:t>.2.</w:t>
      </w:r>
      <w:r>
        <w:rPr>
          <w:rFonts w:hint="eastAsia"/>
          <w:b/>
          <w:bCs/>
          <w:color w:val="auto"/>
        </w:rPr>
        <w:t>3</w:t>
      </w:r>
      <w:r>
        <w:rPr>
          <w:b/>
          <w:bCs/>
          <w:color w:val="auto"/>
        </w:rPr>
        <w:t xml:space="preserve">  </w:t>
      </w:r>
      <w:r>
        <w:rPr>
          <w:rFonts w:hint="eastAsia"/>
          <w:b/>
          <w:bCs/>
          <w:color w:val="auto"/>
        </w:rPr>
        <w:t>水泥混凝土路用高韧性修补材料（混凝土）中胶凝材料用量（kg/m</w:t>
      </w:r>
      <w:r>
        <w:rPr>
          <w:rFonts w:hint="eastAsia"/>
          <w:b/>
          <w:bCs/>
          <w:color w:val="auto"/>
          <w:vertAlign w:val="superscript"/>
        </w:rPr>
        <w:t>3</w:t>
      </w:r>
      <w:r>
        <w:rPr>
          <w:rFonts w:hint="eastAsia"/>
          <w:b/>
          <w:bCs/>
          <w:color w:val="auto"/>
        </w:rPr>
        <w:t>）</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0"/>
        <w:gridCol w:w="4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强度等级</w:t>
            </w:r>
          </w:p>
        </w:tc>
        <w:tc>
          <w:tcPr>
            <w:tcW w:w="2503" w:type="pct"/>
            <w:vAlign w:val="center"/>
          </w:tcPr>
          <w:p>
            <w:pPr>
              <w:spacing w:line="360" w:lineRule="auto"/>
              <w:jc w:val="center"/>
              <w:rPr>
                <w:color w:val="auto"/>
              </w:rPr>
            </w:pPr>
            <w:r>
              <w:rPr>
                <w:rFonts w:hint="eastAsia"/>
                <w:color w:val="auto"/>
              </w:rPr>
              <w:t>胶凝材料用量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C40</w:t>
            </w:r>
          </w:p>
        </w:tc>
        <w:tc>
          <w:tcPr>
            <w:tcW w:w="2503" w:type="pct"/>
          </w:tcPr>
          <w:p>
            <w:pPr>
              <w:spacing w:line="360" w:lineRule="auto"/>
              <w:jc w:val="center"/>
              <w:rPr>
                <w:color w:val="auto"/>
              </w:rPr>
            </w:pPr>
            <w:r>
              <w:rPr>
                <w:rFonts w:hint="eastAsia"/>
                <w:color w:val="auto"/>
              </w:rPr>
              <w:t>380</w:t>
            </w:r>
            <w:r>
              <w:rPr>
                <w:color w:val="auto"/>
              </w:rPr>
              <w:t>~</w:t>
            </w:r>
            <w:r>
              <w:rPr>
                <w:rFonts w:hint="eastAsia"/>
                <w:color w:val="auto"/>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C45</w:t>
            </w:r>
          </w:p>
        </w:tc>
        <w:tc>
          <w:tcPr>
            <w:tcW w:w="2503" w:type="pct"/>
          </w:tcPr>
          <w:p>
            <w:pPr>
              <w:spacing w:line="360" w:lineRule="auto"/>
              <w:jc w:val="center"/>
              <w:rPr>
                <w:color w:val="auto"/>
              </w:rPr>
            </w:pPr>
            <w:r>
              <w:rPr>
                <w:rFonts w:hint="eastAsia"/>
                <w:color w:val="auto"/>
              </w:rPr>
              <w:t>420</w:t>
            </w:r>
            <w:r>
              <w:rPr>
                <w:color w:val="auto"/>
              </w:rPr>
              <w:t>~</w:t>
            </w:r>
            <w:r>
              <w:rPr>
                <w:rFonts w:hint="eastAsia"/>
                <w:color w:val="auto"/>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pPr>
              <w:spacing w:line="360" w:lineRule="auto"/>
              <w:jc w:val="center"/>
              <w:rPr>
                <w:color w:val="auto"/>
              </w:rPr>
            </w:pPr>
            <w:r>
              <w:rPr>
                <w:color w:val="auto"/>
              </w:rPr>
              <w:t>C50</w:t>
            </w:r>
          </w:p>
        </w:tc>
        <w:tc>
          <w:tcPr>
            <w:tcW w:w="2503" w:type="pct"/>
          </w:tcPr>
          <w:p>
            <w:pPr>
              <w:spacing w:line="360" w:lineRule="auto"/>
              <w:jc w:val="center"/>
              <w:rPr>
                <w:color w:val="auto"/>
              </w:rPr>
            </w:pPr>
            <w:r>
              <w:rPr>
                <w:rFonts w:hint="eastAsia"/>
                <w:color w:val="auto"/>
              </w:rPr>
              <w:t>450</w:t>
            </w:r>
            <w:r>
              <w:rPr>
                <w:color w:val="auto"/>
              </w:rPr>
              <w:t>~</w:t>
            </w:r>
            <w:r>
              <w:rPr>
                <w:rFonts w:hint="eastAsia"/>
                <w:color w:val="auto"/>
              </w:rPr>
              <w:t>500</w:t>
            </w:r>
          </w:p>
        </w:tc>
      </w:tr>
    </w:tbl>
    <w:p>
      <w:pPr>
        <w:snapToGrid w:val="0"/>
        <w:spacing w:line="360" w:lineRule="auto"/>
        <w:rPr>
          <w:bCs/>
          <w:color w:val="auto"/>
          <w:sz w:val="24"/>
        </w:rPr>
      </w:pPr>
      <w:r>
        <w:rPr>
          <w:rFonts w:hint="eastAsia"/>
          <w:b/>
          <w:color w:val="auto"/>
          <w:sz w:val="24"/>
        </w:rPr>
        <w:t>6</w:t>
      </w:r>
      <w:r>
        <w:rPr>
          <w:b/>
          <w:color w:val="auto"/>
          <w:sz w:val="24"/>
        </w:rPr>
        <w:t>.2.</w:t>
      </w:r>
      <w:r>
        <w:rPr>
          <w:rFonts w:hint="eastAsia"/>
          <w:b/>
          <w:color w:val="auto"/>
          <w:sz w:val="24"/>
        </w:rPr>
        <w:t>4</w:t>
      </w:r>
      <w:r>
        <w:rPr>
          <w:bCs/>
          <w:color w:val="auto"/>
          <w:sz w:val="24"/>
        </w:rPr>
        <w:t xml:space="preserve">  配制各强度等级</w:t>
      </w:r>
      <w:bookmarkStart w:id="60" w:name="_Hlk203500249"/>
      <w:r>
        <w:rPr>
          <w:rFonts w:hint="eastAsia"/>
          <w:bCs/>
          <w:color w:val="auto"/>
          <w:sz w:val="24"/>
        </w:rPr>
        <w:t>水泥混凝土路用高韧性修补材料</w:t>
      </w:r>
      <w:r>
        <w:rPr>
          <w:bCs/>
          <w:color w:val="auto"/>
          <w:sz w:val="24"/>
        </w:rPr>
        <w:t>时</w:t>
      </w:r>
      <w:bookmarkEnd w:id="60"/>
      <w:r>
        <w:rPr>
          <w:bCs/>
          <w:color w:val="auto"/>
          <w:sz w:val="24"/>
        </w:rPr>
        <w:t>，胶凝材料中</w:t>
      </w:r>
      <w:r>
        <w:rPr>
          <w:rFonts w:hint="eastAsia"/>
          <w:bCs/>
          <w:color w:val="auto"/>
          <w:sz w:val="24"/>
        </w:rPr>
        <w:t>矿物</w:t>
      </w:r>
      <w:r>
        <w:rPr>
          <w:bCs/>
          <w:color w:val="auto"/>
          <w:sz w:val="24"/>
        </w:rPr>
        <w:t>掺合料</w:t>
      </w:r>
      <w:r>
        <w:rPr>
          <w:rFonts w:hint="eastAsia"/>
          <w:bCs/>
          <w:color w:val="auto"/>
          <w:sz w:val="24"/>
        </w:rPr>
        <w:t>和硫铝酸盐水泥</w:t>
      </w:r>
      <w:r>
        <w:rPr>
          <w:bCs/>
          <w:color w:val="auto"/>
          <w:sz w:val="24"/>
        </w:rPr>
        <w:t>最高用量宜符合表</w:t>
      </w:r>
      <w:r>
        <w:rPr>
          <w:rFonts w:hint="eastAsia"/>
          <w:bCs/>
          <w:color w:val="auto"/>
          <w:sz w:val="24"/>
        </w:rPr>
        <w:t>6</w:t>
      </w:r>
      <w:r>
        <w:rPr>
          <w:bCs/>
          <w:color w:val="auto"/>
          <w:sz w:val="24"/>
        </w:rPr>
        <w:t>.2.4的规定。</w:t>
      </w:r>
    </w:p>
    <w:p>
      <w:pPr>
        <w:snapToGrid w:val="0"/>
        <w:spacing w:line="360" w:lineRule="auto"/>
        <w:jc w:val="center"/>
        <w:rPr>
          <w:b/>
          <w:bCs/>
          <w:color w:val="auto"/>
        </w:rPr>
      </w:pPr>
      <w:r>
        <w:rPr>
          <w:b/>
          <w:bCs/>
          <w:color w:val="auto"/>
        </w:rPr>
        <w:t>表</w:t>
      </w:r>
      <w:r>
        <w:rPr>
          <w:rFonts w:hint="eastAsia"/>
          <w:b/>
          <w:bCs/>
          <w:color w:val="auto"/>
        </w:rPr>
        <w:t>6</w:t>
      </w:r>
      <w:r>
        <w:rPr>
          <w:b/>
          <w:bCs/>
          <w:color w:val="auto"/>
        </w:rPr>
        <w:t xml:space="preserve">.2.4  </w:t>
      </w:r>
      <w:r>
        <w:rPr>
          <w:rFonts w:hint="eastAsia"/>
          <w:b/>
          <w:bCs/>
          <w:color w:val="auto"/>
        </w:rPr>
        <w:t>水泥混凝土路用高韧性修补材料</w:t>
      </w:r>
      <w:r>
        <w:rPr>
          <w:b/>
          <w:bCs/>
          <w:color w:val="auto"/>
        </w:rPr>
        <w:t>中</w:t>
      </w:r>
      <w:r>
        <w:rPr>
          <w:rFonts w:hint="eastAsia"/>
          <w:b/>
          <w:bCs/>
          <w:color w:val="auto"/>
        </w:rPr>
        <w:t>胶凝材料建议组分</w:t>
      </w:r>
      <w:r>
        <w:rPr>
          <w:b/>
          <w:bCs/>
          <w:color w:val="auto"/>
        </w:rPr>
        <w:t>用量</w:t>
      </w:r>
    </w:p>
    <w:tbl>
      <w:tblPr>
        <w:tblStyle w:val="17"/>
        <w:tblW w:w="37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228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38" w:type="pct"/>
            <w:noWrap/>
            <w:vAlign w:val="center"/>
          </w:tcPr>
          <w:p>
            <w:pPr>
              <w:widowControl/>
              <w:spacing w:line="360" w:lineRule="auto"/>
              <w:jc w:val="center"/>
              <w:rPr>
                <w:color w:val="auto"/>
              </w:rPr>
            </w:pPr>
            <w:r>
              <w:rPr>
                <w:color w:val="auto"/>
              </w:rPr>
              <w:t>种类</w:t>
            </w:r>
          </w:p>
        </w:tc>
        <w:tc>
          <w:tcPr>
            <w:tcW w:w="1730" w:type="pct"/>
            <w:noWrap/>
            <w:vAlign w:val="center"/>
          </w:tcPr>
          <w:p>
            <w:pPr>
              <w:widowControl/>
              <w:spacing w:line="360" w:lineRule="auto"/>
              <w:jc w:val="center"/>
              <w:rPr>
                <w:color w:val="auto"/>
              </w:rPr>
            </w:pPr>
            <w:r>
              <w:rPr>
                <w:color w:val="auto"/>
              </w:rPr>
              <w:t>硅酸盐水泥</w:t>
            </w:r>
          </w:p>
        </w:tc>
        <w:tc>
          <w:tcPr>
            <w:tcW w:w="1732" w:type="pct"/>
            <w:noWrap/>
            <w:vAlign w:val="center"/>
          </w:tcPr>
          <w:p>
            <w:pPr>
              <w:widowControl/>
              <w:spacing w:line="360" w:lineRule="auto"/>
              <w:jc w:val="center"/>
              <w:rPr>
                <w:color w:val="auto"/>
              </w:rPr>
            </w:pPr>
            <w:r>
              <w:rPr>
                <w:color w:val="auto"/>
              </w:rPr>
              <w:t>普通硅酸盐水泥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38" w:type="pct"/>
            <w:vAlign w:val="center"/>
          </w:tcPr>
          <w:p>
            <w:pPr>
              <w:widowControl/>
              <w:spacing w:line="360" w:lineRule="auto"/>
              <w:jc w:val="center"/>
              <w:rPr>
                <w:color w:val="auto"/>
              </w:rPr>
            </w:pPr>
            <w:r>
              <w:rPr>
                <w:color w:val="auto"/>
              </w:rPr>
              <w:t>粉煤灰</w:t>
            </w:r>
          </w:p>
        </w:tc>
        <w:tc>
          <w:tcPr>
            <w:tcW w:w="1730" w:type="pct"/>
            <w:vAlign w:val="center"/>
          </w:tcPr>
          <w:p>
            <w:pPr>
              <w:widowControl/>
              <w:spacing w:line="360" w:lineRule="auto"/>
              <w:jc w:val="center"/>
              <w:rPr>
                <w:color w:val="auto"/>
              </w:rPr>
            </w:pPr>
            <w:r>
              <w:rPr>
                <w:color w:val="auto"/>
              </w:rPr>
              <w:t>≤2</w:t>
            </w:r>
            <w:r>
              <w:rPr>
                <w:rFonts w:hint="eastAsia"/>
                <w:color w:val="auto"/>
              </w:rPr>
              <w:t>0</w:t>
            </w:r>
            <w:r>
              <w:rPr>
                <w:color w:val="auto"/>
              </w:rPr>
              <w:t>%</w:t>
            </w:r>
          </w:p>
        </w:tc>
        <w:tc>
          <w:tcPr>
            <w:tcW w:w="1732" w:type="pct"/>
            <w:vAlign w:val="center"/>
          </w:tcPr>
          <w:p>
            <w:pPr>
              <w:widowControl/>
              <w:spacing w:line="360" w:lineRule="auto"/>
              <w:jc w:val="center"/>
              <w:rPr>
                <w:color w:val="auto"/>
              </w:rPr>
            </w:pPr>
            <w:r>
              <w:rPr>
                <w:color w:val="auto"/>
              </w:rPr>
              <w:t>≤</w:t>
            </w:r>
            <w:r>
              <w:rPr>
                <w:rFonts w:hint="eastAsia"/>
                <w:color w:val="auto"/>
              </w:rPr>
              <w:t>15</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38" w:type="pct"/>
            <w:vAlign w:val="center"/>
          </w:tcPr>
          <w:p>
            <w:pPr>
              <w:widowControl/>
              <w:spacing w:line="360" w:lineRule="auto"/>
              <w:jc w:val="center"/>
              <w:rPr>
                <w:color w:val="auto"/>
              </w:rPr>
            </w:pPr>
            <w:r>
              <w:rPr>
                <w:color w:val="auto"/>
              </w:rPr>
              <w:t>矿粉</w:t>
            </w:r>
          </w:p>
        </w:tc>
        <w:tc>
          <w:tcPr>
            <w:tcW w:w="1730" w:type="pct"/>
            <w:vAlign w:val="center"/>
          </w:tcPr>
          <w:p>
            <w:pPr>
              <w:widowControl/>
              <w:spacing w:line="360" w:lineRule="auto"/>
              <w:jc w:val="center"/>
              <w:rPr>
                <w:color w:val="auto"/>
              </w:rPr>
            </w:pPr>
            <w:r>
              <w:rPr>
                <w:color w:val="auto"/>
              </w:rPr>
              <w:t>≤</w:t>
            </w:r>
            <w:r>
              <w:rPr>
                <w:rFonts w:hint="eastAsia"/>
                <w:color w:val="auto"/>
              </w:rPr>
              <w:t>35</w:t>
            </w:r>
            <w:r>
              <w:rPr>
                <w:color w:val="auto"/>
              </w:rPr>
              <w:t>%</w:t>
            </w:r>
          </w:p>
        </w:tc>
        <w:tc>
          <w:tcPr>
            <w:tcW w:w="1732" w:type="pct"/>
            <w:vAlign w:val="center"/>
          </w:tcPr>
          <w:p>
            <w:pPr>
              <w:widowControl/>
              <w:spacing w:line="360" w:lineRule="auto"/>
              <w:jc w:val="center"/>
              <w:rPr>
                <w:color w:val="auto"/>
              </w:rPr>
            </w:pPr>
            <w:r>
              <w:rPr>
                <w:color w:val="auto"/>
              </w:rPr>
              <w:t>≤</w:t>
            </w:r>
            <w:r>
              <w:rPr>
                <w:rFonts w:hint="eastAsia"/>
                <w:color w:val="auto"/>
              </w:rPr>
              <w:t>25</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38" w:type="pct"/>
            <w:vAlign w:val="center"/>
          </w:tcPr>
          <w:p>
            <w:pPr>
              <w:widowControl/>
              <w:spacing w:line="360" w:lineRule="auto"/>
              <w:jc w:val="center"/>
              <w:rPr>
                <w:color w:val="auto"/>
              </w:rPr>
            </w:pPr>
            <w:r>
              <w:rPr>
                <w:rFonts w:hint="eastAsia"/>
                <w:color w:val="auto"/>
              </w:rPr>
              <w:t>硫铝酸盐水泥</w:t>
            </w:r>
          </w:p>
        </w:tc>
        <w:tc>
          <w:tcPr>
            <w:tcW w:w="1730" w:type="pct"/>
            <w:vAlign w:val="center"/>
          </w:tcPr>
          <w:p>
            <w:pPr>
              <w:widowControl/>
              <w:spacing w:line="360" w:lineRule="auto"/>
              <w:jc w:val="center"/>
              <w:rPr>
                <w:color w:val="auto"/>
              </w:rPr>
            </w:pPr>
            <w:r>
              <w:rPr>
                <w:color w:val="auto"/>
              </w:rPr>
              <w:t>≤</w:t>
            </w:r>
            <w:r>
              <w:rPr>
                <w:rFonts w:hint="eastAsia"/>
                <w:color w:val="auto"/>
              </w:rPr>
              <w:t>30</w:t>
            </w:r>
            <w:r>
              <w:rPr>
                <w:color w:val="auto"/>
              </w:rPr>
              <w:t>%</w:t>
            </w:r>
          </w:p>
        </w:tc>
        <w:tc>
          <w:tcPr>
            <w:tcW w:w="1732" w:type="pct"/>
            <w:vAlign w:val="center"/>
          </w:tcPr>
          <w:p>
            <w:pPr>
              <w:widowControl/>
              <w:spacing w:line="360" w:lineRule="auto"/>
              <w:jc w:val="center"/>
              <w:rPr>
                <w:color w:val="auto"/>
              </w:rPr>
            </w:pPr>
            <w:r>
              <w:rPr>
                <w:color w:val="auto"/>
              </w:rPr>
              <w:t>≤</w:t>
            </w:r>
            <w:r>
              <w:rPr>
                <w:rFonts w:hint="eastAsia"/>
                <w:color w:val="auto"/>
              </w:rPr>
              <w:t>30</w:t>
            </w:r>
            <w:r>
              <w:rPr>
                <w:color w:val="auto"/>
              </w:rPr>
              <w:t>%</w:t>
            </w:r>
          </w:p>
        </w:tc>
      </w:tr>
    </w:tbl>
    <w:p>
      <w:pPr>
        <w:snapToGrid w:val="0"/>
        <w:spacing w:line="360" w:lineRule="auto"/>
        <w:rPr>
          <w:bCs/>
          <w:color w:val="auto"/>
          <w:sz w:val="24"/>
        </w:rPr>
      </w:pPr>
      <w:r>
        <w:rPr>
          <w:rFonts w:hint="eastAsia"/>
          <w:b/>
          <w:color w:val="auto"/>
          <w:sz w:val="24"/>
        </w:rPr>
        <w:t>6</w:t>
      </w:r>
      <w:r>
        <w:rPr>
          <w:b/>
          <w:color w:val="auto"/>
          <w:sz w:val="24"/>
        </w:rPr>
        <w:t>.2.5</w:t>
      </w:r>
      <w:r>
        <w:rPr>
          <w:bCs/>
          <w:color w:val="auto"/>
          <w:sz w:val="24"/>
        </w:rPr>
        <w:t xml:space="preserve">  当加入其他矿物掺合料时，应进行试验验证。</w:t>
      </w:r>
    </w:p>
    <w:p>
      <w:pPr>
        <w:snapToGrid w:val="0"/>
        <w:spacing w:line="360" w:lineRule="auto"/>
        <w:rPr>
          <w:bCs/>
          <w:color w:val="auto"/>
          <w:sz w:val="24"/>
        </w:rPr>
      </w:pPr>
      <w:r>
        <w:rPr>
          <w:rFonts w:hint="eastAsia"/>
          <w:b/>
          <w:color w:val="auto"/>
          <w:sz w:val="24"/>
        </w:rPr>
        <w:t>6</w:t>
      </w:r>
      <w:r>
        <w:rPr>
          <w:b/>
          <w:color w:val="auto"/>
          <w:sz w:val="24"/>
        </w:rPr>
        <w:t>.2.</w:t>
      </w:r>
      <w:r>
        <w:rPr>
          <w:rFonts w:hint="eastAsia"/>
          <w:b/>
          <w:color w:val="auto"/>
          <w:sz w:val="24"/>
        </w:rPr>
        <w:t>6</w:t>
      </w:r>
      <w:r>
        <w:rPr>
          <w:bCs/>
          <w:color w:val="auto"/>
          <w:sz w:val="24"/>
        </w:rPr>
        <w:t xml:space="preserve">  配制各强度等级</w:t>
      </w:r>
      <w:r>
        <w:rPr>
          <w:rFonts w:hint="eastAsia"/>
          <w:bCs/>
          <w:color w:val="auto"/>
          <w:sz w:val="24"/>
        </w:rPr>
        <w:t>水泥混凝土路用高韧性修补材料时</w:t>
      </w:r>
      <w:r>
        <w:rPr>
          <w:bCs/>
          <w:color w:val="auto"/>
          <w:sz w:val="24"/>
        </w:rPr>
        <w:t>，</w:t>
      </w:r>
      <w:r>
        <w:rPr>
          <w:rFonts w:hint="eastAsia"/>
          <w:bCs/>
          <w:color w:val="auto"/>
          <w:sz w:val="24"/>
        </w:rPr>
        <w:t>纤维的</w:t>
      </w:r>
      <w:r>
        <w:rPr>
          <w:bCs/>
          <w:color w:val="auto"/>
          <w:sz w:val="24"/>
        </w:rPr>
        <w:t>用量宜符合表</w:t>
      </w:r>
      <w:r>
        <w:rPr>
          <w:rFonts w:hint="eastAsia"/>
          <w:bCs/>
          <w:color w:val="auto"/>
          <w:sz w:val="24"/>
        </w:rPr>
        <w:t>6</w:t>
      </w:r>
      <w:r>
        <w:rPr>
          <w:bCs/>
          <w:color w:val="auto"/>
          <w:sz w:val="24"/>
        </w:rPr>
        <w:t>.2.</w:t>
      </w:r>
      <w:r>
        <w:rPr>
          <w:rFonts w:hint="eastAsia"/>
          <w:bCs/>
          <w:color w:val="auto"/>
          <w:sz w:val="24"/>
        </w:rPr>
        <w:t>6</w:t>
      </w:r>
      <w:r>
        <w:rPr>
          <w:bCs/>
          <w:color w:val="auto"/>
          <w:sz w:val="24"/>
        </w:rPr>
        <w:t>的规定。</w:t>
      </w:r>
    </w:p>
    <w:p>
      <w:pPr>
        <w:snapToGrid w:val="0"/>
        <w:spacing w:line="360" w:lineRule="auto"/>
        <w:jc w:val="center"/>
        <w:rPr>
          <w:b/>
          <w:bCs/>
          <w:color w:val="auto"/>
        </w:rPr>
      </w:pPr>
      <w:r>
        <w:rPr>
          <w:b/>
          <w:bCs/>
          <w:color w:val="auto"/>
        </w:rPr>
        <w:t>表</w:t>
      </w:r>
      <w:r>
        <w:rPr>
          <w:rFonts w:hint="eastAsia"/>
          <w:b/>
          <w:bCs/>
          <w:color w:val="auto"/>
        </w:rPr>
        <w:t>6</w:t>
      </w:r>
      <w:r>
        <w:rPr>
          <w:b/>
          <w:bCs/>
          <w:color w:val="auto"/>
        </w:rPr>
        <w:t>.2.</w:t>
      </w:r>
      <w:r>
        <w:rPr>
          <w:rFonts w:hint="eastAsia"/>
          <w:b/>
          <w:bCs/>
          <w:color w:val="auto"/>
        </w:rPr>
        <w:t>6</w:t>
      </w:r>
      <w:r>
        <w:rPr>
          <w:b/>
          <w:bCs/>
          <w:color w:val="auto"/>
        </w:rPr>
        <w:t xml:space="preserve">  </w:t>
      </w:r>
      <w:r>
        <w:rPr>
          <w:rFonts w:hint="eastAsia"/>
          <w:b/>
          <w:bCs/>
          <w:color w:val="auto"/>
        </w:rPr>
        <w:t>水泥混凝土路用高韧性修补材料中纤维的建议</w:t>
      </w:r>
      <w:r>
        <w:rPr>
          <w:b/>
          <w:bCs/>
          <w:color w:val="auto"/>
        </w:rPr>
        <w:t>用量</w:t>
      </w:r>
    </w:p>
    <w:tbl>
      <w:tblPr>
        <w:tblStyle w:val="17"/>
        <w:tblW w:w="36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1"/>
        <w:gridCol w:w="2184"/>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56" w:type="pct"/>
            <w:noWrap/>
            <w:vAlign w:val="center"/>
          </w:tcPr>
          <w:p>
            <w:pPr>
              <w:widowControl/>
              <w:spacing w:line="360" w:lineRule="auto"/>
              <w:jc w:val="center"/>
              <w:rPr>
                <w:color w:val="auto"/>
              </w:rPr>
            </w:pPr>
            <w:r>
              <w:rPr>
                <w:color w:val="auto"/>
              </w:rPr>
              <w:t>种类</w:t>
            </w:r>
          </w:p>
        </w:tc>
        <w:tc>
          <w:tcPr>
            <w:tcW w:w="1666" w:type="pct"/>
            <w:noWrap/>
            <w:vAlign w:val="center"/>
          </w:tcPr>
          <w:p>
            <w:pPr>
              <w:widowControl/>
              <w:spacing w:line="360" w:lineRule="auto"/>
              <w:jc w:val="center"/>
              <w:rPr>
                <w:color w:val="auto"/>
              </w:rPr>
            </w:pPr>
            <w:r>
              <w:rPr>
                <w:rFonts w:hint="eastAsia"/>
                <w:color w:val="auto"/>
              </w:rPr>
              <w:t>聚乙烯醇纤维</w:t>
            </w:r>
          </w:p>
        </w:tc>
        <w:tc>
          <w:tcPr>
            <w:tcW w:w="1677" w:type="pct"/>
            <w:noWrap/>
            <w:vAlign w:val="center"/>
          </w:tcPr>
          <w:p>
            <w:pPr>
              <w:widowControl/>
              <w:spacing w:line="360" w:lineRule="auto"/>
              <w:jc w:val="center"/>
              <w:rPr>
                <w:color w:val="auto"/>
              </w:rPr>
            </w:pPr>
            <w:r>
              <w:rPr>
                <w:rFonts w:hint="eastAsia"/>
                <w:color w:val="auto"/>
              </w:rPr>
              <w:t>聚丙烯纤维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56" w:type="pct"/>
            <w:vAlign w:val="center"/>
          </w:tcPr>
          <w:p>
            <w:pPr>
              <w:widowControl/>
              <w:spacing w:line="360" w:lineRule="auto"/>
              <w:jc w:val="center"/>
              <w:rPr>
                <w:color w:val="auto"/>
              </w:rPr>
            </w:pPr>
            <w:r>
              <w:rPr>
                <w:rFonts w:hint="eastAsia"/>
                <w:color w:val="auto"/>
              </w:rPr>
              <w:t>体积率（%）</w:t>
            </w:r>
          </w:p>
        </w:tc>
        <w:tc>
          <w:tcPr>
            <w:tcW w:w="1666" w:type="pct"/>
            <w:vAlign w:val="center"/>
          </w:tcPr>
          <w:p>
            <w:pPr>
              <w:widowControl/>
              <w:spacing w:line="360" w:lineRule="auto"/>
              <w:jc w:val="center"/>
              <w:rPr>
                <w:color w:val="auto"/>
              </w:rPr>
            </w:pPr>
            <w:r>
              <w:rPr>
                <w:rFonts w:hint="eastAsia"/>
                <w:color w:val="auto"/>
              </w:rPr>
              <w:t>0.3~1.5</w:t>
            </w:r>
          </w:p>
        </w:tc>
        <w:tc>
          <w:tcPr>
            <w:tcW w:w="1677" w:type="pct"/>
            <w:vAlign w:val="center"/>
          </w:tcPr>
          <w:p>
            <w:pPr>
              <w:widowControl/>
              <w:spacing w:line="360" w:lineRule="auto"/>
              <w:jc w:val="center"/>
              <w:rPr>
                <w:color w:val="auto"/>
              </w:rPr>
            </w:pPr>
            <w:r>
              <w:rPr>
                <w:rFonts w:hint="eastAsia"/>
                <w:color w:val="auto"/>
              </w:rPr>
              <w:t>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56" w:type="pct"/>
            <w:vAlign w:val="center"/>
          </w:tcPr>
          <w:p>
            <w:pPr>
              <w:widowControl/>
              <w:spacing w:line="360" w:lineRule="auto"/>
              <w:jc w:val="center"/>
              <w:rPr>
                <w:color w:val="auto"/>
              </w:rPr>
            </w:pPr>
            <w:r>
              <w:rPr>
                <w:rFonts w:hint="eastAsia"/>
                <w:color w:val="auto"/>
              </w:rPr>
              <w:t>掺量范围（kg/m</w:t>
            </w:r>
            <w:r>
              <w:rPr>
                <w:rFonts w:hint="eastAsia"/>
                <w:color w:val="auto"/>
                <w:vertAlign w:val="superscript"/>
              </w:rPr>
              <w:t>3</w:t>
            </w:r>
            <w:r>
              <w:rPr>
                <w:rFonts w:hint="eastAsia"/>
                <w:color w:val="auto"/>
              </w:rPr>
              <w:t>）</w:t>
            </w:r>
          </w:p>
        </w:tc>
        <w:tc>
          <w:tcPr>
            <w:tcW w:w="1666" w:type="pct"/>
            <w:vAlign w:val="center"/>
          </w:tcPr>
          <w:p>
            <w:pPr>
              <w:widowControl/>
              <w:spacing w:line="360" w:lineRule="auto"/>
              <w:jc w:val="center"/>
              <w:rPr>
                <w:color w:val="auto"/>
              </w:rPr>
            </w:pPr>
            <w:r>
              <w:rPr>
                <w:rFonts w:hint="eastAsia"/>
                <w:color w:val="auto"/>
              </w:rPr>
              <w:t>3.9~19.5</w:t>
            </w:r>
          </w:p>
        </w:tc>
        <w:tc>
          <w:tcPr>
            <w:tcW w:w="1677" w:type="pct"/>
            <w:vAlign w:val="center"/>
          </w:tcPr>
          <w:p>
            <w:pPr>
              <w:widowControl/>
              <w:spacing w:line="360" w:lineRule="auto"/>
              <w:jc w:val="center"/>
              <w:rPr>
                <w:color w:val="auto"/>
              </w:rPr>
            </w:pPr>
            <w:r>
              <w:rPr>
                <w:rFonts w:hint="eastAsia"/>
                <w:color w:val="auto"/>
              </w:rPr>
              <w:t>2.7~13.7</w:t>
            </w:r>
          </w:p>
        </w:tc>
      </w:tr>
    </w:tbl>
    <w:p>
      <w:pPr>
        <w:spacing w:line="360" w:lineRule="auto"/>
        <w:rPr>
          <w:bCs/>
          <w:color w:val="auto"/>
          <w:sz w:val="24"/>
        </w:rPr>
      </w:pPr>
      <w:r>
        <w:rPr>
          <w:rFonts w:hint="eastAsia"/>
          <w:b/>
          <w:bCs/>
          <w:color w:val="auto"/>
          <w:kern w:val="2"/>
          <w:sz w:val="24"/>
          <w:szCs w:val="24"/>
        </w:rPr>
        <w:t xml:space="preserve">6.2.7  </w:t>
      </w:r>
      <w:r>
        <w:rPr>
          <w:rFonts w:hint="eastAsia"/>
          <w:bCs/>
          <w:color w:val="auto"/>
          <w:sz w:val="24"/>
        </w:rPr>
        <w:t>水泥混凝土路用高韧性修补材料</w:t>
      </w:r>
      <w:r>
        <w:rPr>
          <w:bCs/>
          <w:color w:val="auto"/>
          <w:sz w:val="24"/>
        </w:rPr>
        <w:t>拌合物应具有良好的和易性，不应离析或泌水，且坍落度、扩展度、坍落度经时损失、扩展度经时损失和凝结时间应满足施工要求。</w:t>
      </w:r>
    </w:p>
    <w:p>
      <w:pPr>
        <w:widowControl/>
        <w:jc w:val="left"/>
        <w:rPr>
          <w:b/>
          <w:bCs/>
          <w:color w:val="auto"/>
          <w:kern w:val="44"/>
          <w:sz w:val="30"/>
          <w:szCs w:val="30"/>
        </w:rPr>
      </w:pPr>
      <w:r>
        <w:rPr>
          <w:b/>
          <w:bCs/>
          <w:color w:val="auto"/>
          <w:kern w:val="44"/>
          <w:sz w:val="30"/>
          <w:szCs w:val="30"/>
        </w:rPr>
        <w:br w:type="page"/>
      </w:r>
    </w:p>
    <w:p>
      <w:pPr>
        <w:spacing w:line="360" w:lineRule="auto"/>
        <w:jc w:val="center"/>
        <w:outlineLvl w:val="0"/>
        <w:rPr>
          <w:b/>
          <w:bCs/>
          <w:color w:val="auto"/>
          <w:kern w:val="44"/>
          <w:sz w:val="30"/>
          <w:szCs w:val="30"/>
        </w:rPr>
      </w:pPr>
      <w:bookmarkStart w:id="61" w:name="_Toc25861"/>
      <w:bookmarkStart w:id="62" w:name="_Toc32641"/>
      <w:r>
        <w:rPr>
          <w:rFonts w:hint="eastAsia"/>
          <w:b/>
          <w:bCs/>
          <w:color w:val="auto"/>
          <w:kern w:val="44"/>
          <w:sz w:val="30"/>
          <w:szCs w:val="30"/>
        </w:rPr>
        <w:t>7</w:t>
      </w:r>
      <w:r>
        <w:rPr>
          <w:b/>
          <w:bCs/>
          <w:color w:val="auto"/>
          <w:kern w:val="44"/>
          <w:sz w:val="30"/>
          <w:szCs w:val="30"/>
        </w:rPr>
        <w:t xml:space="preserve">  </w:t>
      </w:r>
      <w:r>
        <w:rPr>
          <w:rFonts w:hint="eastAsia"/>
          <w:b/>
          <w:bCs/>
          <w:color w:val="auto"/>
          <w:kern w:val="44"/>
          <w:sz w:val="30"/>
          <w:szCs w:val="30"/>
        </w:rPr>
        <w:t>试验方法</w:t>
      </w:r>
      <w:bookmarkEnd w:id="61"/>
      <w:bookmarkEnd w:id="62"/>
    </w:p>
    <w:p>
      <w:pPr>
        <w:spacing w:line="360" w:lineRule="auto"/>
        <w:jc w:val="center"/>
        <w:outlineLvl w:val="1"/>
        <w:rPr>
          <w:rFonts w:hint="eastAsia" w:ascii="黑体" w:hAnsi="黑体" w:eastAsia="黑体" w:cs="黑体"/>
          <w:b/>
          <w:color w:val="auto"/>
          <w:sz w:val="24"/>
          <w:szCs w:val="24"/>
        </w:rPr>
      </w:pPr>
      <w:bookmarkStart w:id="63" w:name="_Toc5537"/>
      <w:bookmarkStart w:id="64" w:name="_Toc16443"/>
      <w:r>
        <w:rPr>
          <w:rFonts w:hint="eastAsia" w:ascii="黑体" w:hAnsi="黑体" w:eastAsia="黑体" w:cs="黑体"/>
          <w:b/>
          <w:color w:val="auto"/>
          <w:sz w:val="24"/>
          <w:szCs w:val="24"/>
        </w:rPr>
        <w:t>7.1  试验条件</w:t>
      </w:r>
      <w:bookmarkEnd w:id="63"/>
      <w:bookmarkEnd w:id="64"/>
    </w:p>
    <w:p>
      <w:pPr>
        <w:spacing w:line="360" w:lineRule="auto"/>
        <w:rPr>
          <w:b/>
          <w:bCs/>
          <w:color w:val="auto"/>
          <w:kern w:val="2"/>
          <w:sz w:val="24"/>
          <w:szCs w:val="24"/>
        </w:rPr>
      </w:pPr>
      <w:r>
        <w:rPr>
          <w:rFonts w:hint="eastAsia"/>
          <w:b/>
          <w:bCs/>
          <w:color w:val="auto"/>
          <w:kern w:val="2"/>
          <w:sz w:val="24"/>
          <w:szCs w:val="24"/>
        </w:rPr>
        <w:t xml:space="preserve">7.1.1  </w:t>
      </w:r>
      <w:r>
        <w:rPr>
          <w:rFonts w:hint="eastAsia"/>
          <w:color w:val="auto"/>
          <w:kern w:val="2"/>
          <w:sz w:val="24"/>
          <w:szCs w:val="24"/>
        </w:rPr>
        <w:t>试验室的温度和湿度应满足</w:t>
      </w:r>
      <w:bookmarkStart w:id="65" w:name="OLE_LINK6"/>
      <w:r>
        <w:rPr>
          <w:rFonts w:hint="eastAsia"/>
          <w:color w:val="auto"/>
          <w:kern w:val="2"/>
          <w:sz w:val="24"/>
          <w:szCs w:val="24"/>
        </w:rPr>
        <w:t>《水泥胶砂强度检验方法（ISO法）》GB/T 17671</w:t>
      </w:r>
      <w:bookmarkEnd w:id="65"/>
      <w:r>
        <w:rPr>
          <w:rFonts w:hint="eastAsia"/>
          <w:color w:val="auto"/>
          <w:kern w:val="2"/>
          <w:sz w:val="24"/>
          <w:szCs w:val="24"/>
        </w:rPr>
        <w:t>中的相关要求，产品说明书如有特殊规定，还应满足产品说明书要求。</w:t>
      </w:r>
    </w:p>
    <w:p>
      <w:pPr>
        <w:spacing w:line="360" w:lineRule="auto"/>
        <w:rPr>
          <w:color w:val="auto"/>
          <w:sz w:val="24"/>
          <w:szCs w:val="24"/>
        </w:rPr>
      </w:pPr>
      <w:r>
        <w:rPr>
          <w:rFonts w:hint="eastAsia"/>
          <w:b/>
          <w:bCs/>
          <w:color w:val="auto"/>
          <w:kern w:val="2"/>
          <w:sz w:val="24"/>
          <w:szCs w:val="24"/>
        </w:rPr>
        <w:t xml:space="preserve">7.1.2  </w:t>
      </w:r>
      <w:bookmarkStart w:id="66" w:name="OLE_LINK9"/>
      <w:r>
        <w:rPr>
          <w:rFonts w:hint="eastAsia"/>
          <w:color w:val="auto"/>
          <w:sz w:val="24"/>
          <w:szCs w:val="24"/>
        </w:rPr>
        <w:t>试验用</w:t>
      </w:r>
      <w:bookmarkStart w:id="67" w:name="OLE_LINK8"/>
      <w:r>
        <w:rPr>
          <w:rFonts w:hint="eastAsia"/>
          <w:color w:val="auto"/>
          <w:sz w:val="24"/>
          <w:szCs w:val="24"/>
        </w:rPr>
        <w:t>砂浆搅拌机</w:t>
      </w:r>
      <w:bookmarkEnd w:id="67"/>
      <w:r>
        <w:rPr>
          <w:rFonts w:hint="eastAsia"/>
          <w:color w:val="auto"/>
          <w:sz w:val="24"/>
          <w:szCs w:val="24"/>
        </w:rPr>
        <w:t>应符合</w:t>
      </w:r>
      <w:bookmarkEnd w:id="66"/>
      <w:bookmarkStart w:id="68" w:name="OLE_LINK7"/>
      <w:r>
        <w:rPr>
          <w:rFonts w:hint="eastAsia"/>
          <w:color w:val="auto"/>
          <w:sz w:val="24"/>
          <w:szCs w:val="24"/>
        </w:rPr>
        <w:t>《行星式水泥胶砂搅拌机》JC/T 681</w:t>
      </w:r>
      <w:bookmarkEnd w:id="68"/>
      <w:r>
        <w:rPr>
          <w:rFonts w:hint="eastAsia"/>
          <w:color w:val="auto"/>
          <w:sz w:val="24"/>
          <w:szCs w:val="24"/>
        </w:rPr>
        <w:t>的规定，水泥胶砂试件</w:t>
      </w:r>
      <w:bookmarkStart w:id="69" w:name="OLE_LINK10"/>
      <w:r>
        <w:rPr>
          <w:rFonts w:hint="eastAsia"/>
          <w:color w:val="auto"/>
          <w:sz w:val="24"/>
          <w:szCs w:val="24"/>
        </w:rPr>
        <w:t>成型振实台</w:t>
      </w:r>
      <w:bookmarkEnd w:id="69"/>
      <w:r>
        <w:rPr>
          <w:rFonts w:hint="eastAsia"/>
          <w:color w:val="auto"/>
          <w:sz w:val="24"/>
          <w:szCs w:val="24"/>
        </w:rPr>
        <w:t>应符合《水泥胶砂试体成型振实台》JC/T 682的规定。</w:t>
      </w:r>
    </w:p>
    <w:p>
      <w:pPr>
        <w:spacing w:line="360" w:lineRule="auto"/>
        <w:rPr>
          <w:color w:val="auto"/>
          <w:sz w:val="24"/>
          <w:szCs w:val="24"/>
        </w:rPr>
      </w:pPr>
      <w:r>
        <w:rPr>
          <w:rFonts w:hint="eastAsia"/>
          <w:b/>
          <w:bCs/>
          <w:color w:val="auto"/>
          <w:sz w:val="24"/>
          <w:szCs w:val="24"/>
        </w:rPr>
        <w:t>7.1.3</w:t>
      </w:r>
      <w:r>
        <w:rPr>
          <w:rFonts w:hint="eastAsia"/>
          <w:color w:val="auto"/>
          <w:sz w:val="24"/>
          <w:szCs w:val="24"/>
        </w:rPr>
        <w:t xml:space="preserve">  试验用混凝土搅拌机应符合《建筑施工机械与设备混凝土搅拌机》GB/T 9142的规定。</w:t>
      </w:r>
    </w:p>
    <w:p>
      <w:pPr>
        <w:spacing w:line="360" w:lineRule="auto"/>
        <w:jc w:val="center"/>
        <w:outlineLvl w:val="1"/>
        <w:rPr>
          <w:rFonts w:hint="eastAsia" w:ascii="黑体" w:hAnsi="黑体" w:eastAsia="黑体" w:cs="黑体"/>
          <w:b/>
          <w:color w:val="auto"/>
          <w:sz w:val="24"/>
          <w:szCs w:val="24"/>
        </w:rPr>
      </w:pPr>
      <w:bookmarkStart w:id="70" w:name="_Toc3929"/>
      <w:bookmarkStart w:id="71" w:name="_Toc3013"/>
      <w:r>
        <w:rPr>
          <w:rFonts w:hint="eastAsia" w:ascii="黑体" w:hAnsi="黑体" w:eastAsia="黑体" w:cs="黑体"/>
          <w:b/>
          <w:color w:val="auto"/>
          <w:sz w:val="24"/>
          <w:szCs w:val="24"/>
        </w:rPr>
        <w:t>7.2  新拌性能</w:t>
      </w:r>
      <w:bookmarkEnd w:id="70"/>
      <w:r>
        <w:rPr>
          <w:rFonts w:hint="eastAsia" w:ascii="黑体" w:hAnsi="黑体" w:eastAsia="黑体" w:cs="黑体"/>
          <w:b/>
          <w:color w:val="auto"/>
          <w:sz w:val="24"/>
          <w:szCs w:val="24"/>
        </w:rPr>
        <w:t>与初凝时间</w:t>
      </w:r>
      <w:bookmarkEnd w:id="71"/>
    </w:p>
    <w:p>
      <w:pPr>
        <w:spacing w:line="360" w:lineRule="auto"/>
        <w:rPr>
          <w:color w:val="auto"/>
          <w:sz w:val="24"/>
          <w:szCs w:val="24"/>
        </w:rPr>
      </w:pPr>
      <w:bookmarkStart w:id="72" w:name="_Hlk162425109"/>
      <w:r>
        <w:rPr>
          <w:rFonts w:hint="eastAsia"/>
          <w:b/>
          <w:color w:val="auto"/>
          <w:sz w:val="24"/>
          <w:szCs w:val="24"/>
        </w:rPr>
        <w:t xml:space="preserve">7.2.1  </w:t>
      </w:r>
      <w:bookmarkEnd w:id="72"/>
      <w:r>
        <w:rPr>
          <w:rFonts w:hint="eastAsia"/>
          <w:color w:val="auto"/>
          <w:sz w:val="24"/>
          <w:szCs w:val="24"/>
        </w:rPr>
        <w:t>胶凝材料初凝时间试验方法应符合现行国家标准《公路工程水泥及水泥混凝土试验规程》JTG 3420-T0592的有关规定。</w:t>
      </w:r>
    </w:p>
    <w:p>
      <w:pPr>
        <w:spacing w:line="360" w:lineRule="auto"/>
        <w:rPr>
          <w:color w:val="auto"/>
          <w:sz w:val="24"/>
          <w:szCs w:val="24"/>
        </w:rPr>
      </w:pPr>
      <w:r>
        <w:rPr>
          <w:rFonts w:hint="eastAsia"/>
          <w:b/>
          <w:color w:val="auto"/>
          <w:sz w:val="24"/>
          <w:szCs w:val="24"/>
        </w:rPr>
        <w:t xml:space="preserve">7.2.2  </w:t>
      </w:r>
      <w:r>
        <w:rPr>
          <w:rFonts w:hint="eastAsia"/>
          <w:color w:val="auto"/>
          <w:sz w:val="24"/>
          <w:szCs w:val="24"/>
        </w:rPr>
        <w:t>混凝土坍落度试验方法应符合现行国家标准</w:t>
      </w:r>
      <w:bookmarkStart w:id="73" w:name="_Hlk204447453"/>
      <w:r>
        <w:rPr>
          <w:rFonts w:hint="eastAsia"/>
          <w:color w:val="auto"/>
          <w:sz w:val="24"/>
          <w:szCs w:val="24"/>
        </w:rPr>
        <w:t>《普通混凝土拌合物性能试验方法标准》GB/T 50080</w:t>
      </w:r>
      <w:bookmarkEnd w:id="73"/>
      <w:r>
        <w:rPr>
          <w:rFonts w:hint="eastAsia"/>
          <w:color w:val="auto"/>
          <w:sz w:val="24"/>
          <w:szCs w:val="24"/>
        </w:rPr>
        <w:t>的有关规定。</w:t>
      </w:r>
    </w:p>
    <w:p>
      <w:pPr>
        <w:spacing w:line="360" w:lineRule="auto"/>
        <w:rPr>
          <w:color w:val="auto"/>
          <w:sz w:val="24"/>
          <w:szCs w:val="24"/>
        </w:rPr>
      </w:pPr>
      <w:r>
        <w:rPr>
          <w:rFonts w:hint="eastAsia"/>
          <w:b/>
          <w:color w:val="auto"/>
          <w:sz w:val="24"/>
          <w:szCs w:val="24"/>
        </w:rPr>
        <w:t xml:space="preserve">7.2.3  </w:t>
      </w:r>
      <w:r>
        <w:rPr>
          <w:rFonts w:hint="eastAsia"/>
          <w:color w:val="auto"/>
          <w:sz w:val="24"/>
          <w:szCs w:val="24"/>
        </w:rPr>
        <w:t>砂浆流动度试验方法应符合现行国家标准《水泥胶砂流动度测定方法》GB/T 2419的有关规定。</w:t>
      </w:r>
    </w:p>
    <w:p>
      <w:pPr>
        <w:spacing w:line="360" w:lineRule="auto"/>
        <w:jc w:val="center"/>
        <w:outlineLvl w:val="1"/>
        <w:rPr>
          <w:rFonts w:hint="eastAsia" w:ascii="黑体" w:hAnsi="黑体" w:eastAsia="黑体" w:cs="黑体"/>
          <w:b/>
          <w:color w:val="auto"/>
          <w:sz w:val="24"/>
          <w:szCs w:val="24"/>
        </w:rPr>
      </w:pPr>
      <w:bookmarkStart w:id="74" w:name="_Toc19681"/>
      <w:bookmarkStart w:id="75" w:name="_Toc9037"/>
      <w:r>
        <w:rPr>
          <w:rFonts w:hint="eastAsia" w:ascii="黑体" w:hAnsi="黑体" w:eastAsia="黑体" w:cs="黑体"/>
          <w:b/>
          <w:color w:val="auto"/>
          <w:sz w:val="24"/>
          <w:szCs w:val="24"/>
        </w:rPr>
        <w:t>7.3  力学性能</w:t>
      </w:r>
      <w:bookmarkEnd w:id="74"/>
      <w:bookmarkEnd w:id="75"/>
    </w:p>
    <w:p>
      <w:pPr>
        <w:spacing w:line="360" w:lineRule="auto"/>
        <w:rPr>
          <w:color w:val="auto"/>
          <w:sz w:val="24"/>
          <w:szCs w:val="24"/>
        </w:rPr>
      </w:pPr>
      <w:bookmarkStart w:id="76" w:name="_Hlk162426368"/>
      <w:r>
        <w:rPr>
          <w:rFonts w:hint="eastAsia"/>
          <w:b/>
          <w:color w:val="auto"/>
          <w:sz w:val="24"/>
          <w:szCs w:val="24"/>
        </w:rPr>
        <w:t xml:space="preserve">7.3.1  </w:t>
      </w:r>
      <w:bookmarkEnd w:id="76"/>
      <w:r>
        <w:rPr>
          <w:rFonts w:hint="eastAsia"/>
          <w:color w:val="auto"/>
          <w:sz w:val="24"/>
          <w:szCs w:val="24"/>
        </w:rPr>
        <w:t>混凝土力学性能试验方法应符合现行国家标准《混凝土物理力学性能试验方法标准》GB/T 50081的有关规定。</w:t>
      </w:r>
    </w:p>
    <w:p>
      <w:pPr>
        <w:spacing w:line="360" w:lineRule="auto"/>
        <w:rPr>
          <w:color w:val="auto"/>
          <w:sz w:val="24"/>
          <w:szCs w:val="24"/>
        </w:rPr>
      </w:pPr>
      <w:r>
        <w:rPr>
          <w:rFonts w:hint="eastAsia"/>
          <w:b/>
          <w:color w:val="auto"/>
          <w:sz w:val="24"/>
          <w:szCs w:val="24"/>
        </w:rPr>
        <w:t xml:space="preserve">7.3.2  </w:t>
      </w:r>
      <w:r>
        <w:rPr>
          <w:rFonts w:hint="eastAsia"/>
          <w:color w:val="auto"/>
          <w:sz w:val="24"/>
          <w:szCs w:val="24"/>
        </w:rPr>
        <w:t>砂浆力学性能试验方法应符合现行国家标准《水泥胶砂强度检验方法(ISO法)》GB/T 17671的有关规定。</w:t>
      </w:r>
    </w:p>
    <w:p>
      <w:pPr>
        <w:spacing w:line="360" w:lineRule="auto"/>
        <w:rPr>
          <w:color w:val="auto"/>
          <w:sz w:val="24"/>
          <w:szCs w:val="24"/>
        </w:rPr>
      </w:pPr>
      <w:r>
        <w:rPr>
          <w:rFonts w:hint="eastAsia"/>
          <w:b/>
          <w:color w:val="auto"/>
          <w:sz w:val="24"/>
          <w:szCs w:val="24"/>
        </w:rPr>
        <w:t xml:space="preserve">7.3.3  </w:t>
      </w:r>
      <w:r>
        <w:rPr>
          <w:rFonts w:hint="eastAsia"/>
          <w:color w:val="auto"/>
          <w:sz w:val="24"/>
          <w:szCs w:val="24"/>
        </w:rPr>
        <w:t>弯曲韧性试验方法应符合现行国家标准《纤维混凝土应用技术规程》JGJ∕T 221-2010和《纤维混凝土试验方法标准》</w:t>
      </w:r>
      <w:r>
        <w:rPr>
          <w:color w:val="auto"/>
          <w:sz w:val="24"/>
          <w:szCs w:val="24"/>
        </w:rPr>
        <w:t>CECS 13-2009</w:t>
      </w:r>
      <w:r>
        <w:rPr>
          <w:rFonts w:hint="eastAsia"/>
          <w:color w:val="auto"/>
          <w:sz w:val="24"/>
          <w:szCs w:val="24"/>
        </w:rPr>
        <w:t>的有关规定，测试得到试件荷载-挠度曲线。计算跨中挠度为</w:t>
      </w:r>
      <w:r>
        <w:rPr>
          <w:color w:val="auto"/>
          <w:sz w:val="24"/>
          <w:szCs w:val="24"/>
        </w:rPr>
        <w:t>δ</w:t>
      </w:r>
      <w:r>
        <w:rPr>
          <w:rFonts w:hint="eastAsia"/>
          <w:color w:val="auto"/>
          <w:sz w:val="24"/>
          <w:szCs w:val="24"/>
          <w:vertAlign w:val="subscript"/>
        </w:rPr>
        <w:t>k</w:t>
      </w:r>
      <w:r>
        <w:rPr>
          <w:rFonts w:hint="eastAsia"/>
          <w:color w:val="auto"/>
          <w:sz w:val="24"/>
          <w:szCs w:val="24"/>
        </w:rPr>
        <w:t>时荷载-挠度曲线下的面积</w:t>
      </w:r>
      <w:r>
        <w:rPr>
          <w:color w:val="auto"/>
          <w:sz w:val="24"/>
          <w:szCs w:val="24"/>
        </w:rPr>
        <w:t>Ω</w:t>
      </w:r>
      <w:r>
        <w:rPr>
          <w:rFonts w:hint="eastAsia"/>
          <w:color w:val="auto"/>
          <w:sz w:val="24"/>
          <w:szCs w:val="24"/>
          <w:vertAlign w:val="subscript"/>
        </w:rPr>
        <w:t>k</w:t>
      </w:r>
      <w:r>
        <w:rPr>
          <w:rFonts w:hint="eastAsia"/>
          <w:color w:val="auto"/>
          <w:sz w:val="24"/>
          <w:szCs w:val="24"/>
        </w:rPr>
        <w:t>，再根据式（7.</w:t>
      </w:r>
      <w:r>
        <w:rPr>
          <w:color w:val="auto"/>
          <w:sz w:val="24"/>
          <w:szCs w:val="24"/>
        </w:rPr>
        <w:t>3</w:t>
      </w:r>
      <w:r>
        <w:rPr>
          <w:rFonts w:hint="eastAsia"/>
          <w:color w:val="auto"/>
          <w:sz w:val="24"/>
          <w:szCs w:val="24"/>
        </w:rPr>
        <w:t>.</w:t>
      </w:r>
      <w:r>
        <w:rPr>
          <w:color w:val="auto"/>
          <w:sz w:val="24"/>
          <w:szCs w:val="24"/>
        </w:rPr>
        <w:t>1</w:t>
      </w:r>
      <w:r>
        <w:rPr>
          <w:rFonts w:hint="eastAsia"/>
          <w:color w:val="auto"/>
          <w:sz w:val="24"/>
          <w:szCs w:val="24"/>
        </w:rPr>
        <w:t>）计算等效弯曲韧性</w:t>
      </w:r>
      <m:oMath>
        <m:sSubSup>
          <m:sSubSupPr>
            <m:ctrlPr>
              <w:rPr>
                <w:rFonts w:ascii="Cambria Math" w:hAnsi="Cambria Math" w:cstheme="minorBidi"/>
                <w:color w:val="auto"/>
                <w:kern w:val="2"/>
                <w:sz w:val="24"/>
                <w:szCs w:val="24"/>
              </w:rPr>
            </m:ctrlPr>
          </m:sSubSupPr>
          <m:e>
            <m:r>
              <m:rPr/>
              <w:rPr>
                <w:rFonts w:hint="eastAsia" w:ascii="Cambria Math" w:hAnsi="Cambria Math"/>
                <w:color w:val="auto"/>
                <w:sz w:val="24"/>
                <w:szCs w:val="24"/>
              </w:rPr>
              <m:t>W</m:t>
            </m:r>
            <m:ctrlPr>
              <w:rPr>
                <w:rFonts w:ascii="Cambria Math" w:hAnsi="Cambria Math" w:cstheme="minorBidi"/>
                <w:color w:val="auto"/>
                <w:kern w:val="2"/>
                <w:sz w:val="24"/>
                <w:szCs w:val="24"/>
              </w:rPr>
            </m:ctrlPr>
          </m:e>
          <m:sub>
            <m:r>
              <m:rPr/>
              <w:rPr>
                <w:rFonts w:hint="eastAsia" w:ascii="Cambria Math" w:hAnsi="Cambria Math"/>
                <w:color w:val="auto"/>
                <w:sz w:val="24"/>
                <w:szCs w:val="24"/>
              </w:rPr>
              <m:t>e</m:t>
            </m:r>
            <m:ctrlPr>
              <w:rPr>
                <w:rFonts w:ascii="Cambria Math" w:hAnsi="Cambria Math" w:cstheme="minorBidi"/>
                <w:color w:val="auto"/>
                <w:kern w:val="2"/>
                <w:sz w:val="24"/>
                <w:szCs w:val="24"/>
              </w:rPr>
            </m:ctrlPr>
          </m:sub>
          <m:sup>
            <m:r>
              <m:rPr/>
              <w:rPr>
                <w:rFonts w:hint="eastAsia" w:ascii="Cambria Math" w:hAnsi="Cambria Math"/>
                <w:color w:val="auto"/>
                <w:sz w:val="24"/>
                <w:szCs w:val="24"/>
              </w:rPr>
              <m:t>k</m:t>
            </m:r>
            <m:ctrlPr>
              <w:rPr>
                <w:rFonts w:ascii="Cambria Math" w:hAnsi="Cambria Math" w:cstheme="minorBidi"/>
                <w:color w:val="auto"/>
                <w:kern w:val="2"/>
                <w:sz w:val="24"/>
                <w:szCs w:val="24"/>
              </w:rPr>
            </m:ctrlPr>
          </m:sup>
        </m:sSubSup>
      </m:oMath>
      <w:r>
        <w:rPr>
          <w:rFonts w:hint="eastAsia"/>
          <w:color w:val="auto"/>
          <w:sz w:val="24"/>
          <w:szCs w:val="24"/>
        </w:rPr>
        <w:t>值。</w:t>
      </w:r>
    </w:p>
    <w:p>
      <w:pPr>
        <w:snapToGrid w:val="0"/>
        <w:spacing w:line="360" w:lineRule="auto"/>
        <w:jc w:val="right"/>
        <w:rPr>
          <w:color w:val="auto"/>
          <w:sz w:val="24"/>
          <w:szCs w:val="24"/>
        </w:rPr>
      </w:pPr>
      <m:oMath>
        <m:sSubSup>
          <m:sSubSupPr>
            <m:ctrlPr>
              <w:rPr>
                <w:rFonts w:ascii="Cambria Math" w:hAnsi="Cambria Math"/>
                <w:color w:val="auto"/>
                <w:sz w:val="24"/>
                <w:szCs w:val="24"/>
              </w:rPr>
            </m:ctrlPr>
          </m:sSubSupPr>
          <m:e>
            <m:r>
              <m:rPr/>
              <w:rPr>
                <w:rFonts w:hint="eastAsia" w:ascii="Cambria Math" w:hAnsi="Cambria Math"/>
                <w:color w:val="auto"/>
                <w:sz w:val="24"/>
                <w:szCs w:val="24"/>
              </w:rPr>
              <m:t>W</m:t>
            </m:r>
            <m:ctrlPr>
              <w:rPr>
                <w:rFonts w:ascii="Cambria Math" w:hAnsi="Cambria Math"/>
                <w:color w:val="auto"/>
                <w:sz w:val="24"/>
                <w:szCs w:val="24"/>
              </w:rPr>
            </m:ctrlPr>
          </m:e>
          <m:sub>
            <m:r>
              <m:rPr/>
              <w:rPr>
                <w:rFonts w:hint="eastAsia" w:ascii="Cambria Math" w:hAnsi="Cambria Math"/>
                <w:color w:val="auto"/>
                <w:sz w:val="24"/>
                <w:szCs w:val="24"/>
              </w:rPr>
              <m:t>e</m:t>
            </m:r>
            <m:ctrlPr>
              <w:rPr>
                <w:rFonts w:ascii="Cambria Math" w:hAnsi="Cambria Math"/>
                <w:color w:val="auto"/>
                <w:sz w:val="24"/>
                <w:szCs w:val="24"/>
              </w:rPr>
            </m:ctrlPr>
          </m:sub>
          <m:sup>
            <m:r>
              <m:rPr/>
              <w:rPr>
                <w:rFonts w:hint="eastAsia" w:ascii="Cambria Math" w:hAnsi="Cambria Math"/>
                <w:color w:val="auto"/>
                <w:sz w:val="24"/>
                <w:szCs w:val="24"/>
              </w:rPr>
              <m:t>k</m:t>
            </m:r>
            <m:ctrlPr>
              <w:rPr>
                <w:rFonts w:ascii="Cambria Math" w:hAnsi="Cambria Math"/>
                <w:color w:val="auto"/>
                <w:sz w:val="24"/>
                <w:szCs w:val="24"/>
              </w:rPr>
            </m:ctrlPr>
          </m:sup>
        </m:sSubSup>
        <m:r>
          <m:rPr/>
          <w:rPr>
            <w:rFonts w:ascii="Cambria Math" w:hAnsi="Cambria Math"/>
            <w:color w:val="auto"/>
            <w:sz w:val="24"/>
            <w:szCs w:val="24"/>
          </w:rPr>
          <m:t>=</m:t>
        </m:r>
        <m:f>
          <m:fPr>
            <m:ctrlPr>
              <w:rPr>
                <w:rFonts w:ascii="Cambria Math" w:hAnsi="Cambria Math"/>
                <w:i/>
                <w:color w:val="auto"/>
                <w:sz w:val="24"/>
                <w:szCs w:val="24"/>
              </w:rPr>
            </m:ctrlPr>
          </m:fPr>
          <m:num>
            <m:sSub>
              <m:sSubPr>
                <m:ctrlPr>
                  <w:rPr>
                    <w:rFonts w:ascii="Cambria Math" w:hAnsi="Cambria Math"/>
                    <w:i/>
                    <w:color w:val="auto"/>
                    <w:sz w:val="24"/>
                    <w:szCs w:val="24"/>
                  </w:rPr>
                </m:ctrlPr>
              </m:sSubPr>
              <m:e>
                <m:r>
                  <m:rPr>
                    <m:sty m:val="p"/>
                  </m:rPr>
                  <w:rPr>
                    <w:rFonts w:ascii="Cambria Math" w:hAnsi="Cambria Math"/>
                    <w:color w:val="auto"/>
                    <w:sz w:val="24"/>
                    <w:szCs w:val="24"/>
                  </w:rPr>
                  <m:t>Ω</m:t>
                </m:r>
                <m:ctrlPr>
                  <w:rPr>
                    <w:rFonts w:ascii="Cambria Math" w:hAnsi="Cambria Math"/>
                    <w:i/>
                    <w:color w:val="auto"/>
                    <w:sz w:val="24"/>
                    <w:szCs w:val="24"/>
                  </w:rPr>
                </m:ctrlPr>
              </m:e>
              <m:sub>
                <m:r>
                  <m:rPr/>
                  <w:rPr>
                    <w:rFonts w:hint="eastAsia" w:ascii="Cambria Math" w:hAnsi="Cambria Math"/>
                    <w:color w:val="auto"/>
                    <w:sz w:val="24"/>
                    <w:szCs w:val="24"/>
                  </w:rPr>
                  <m:t>k</m:t>
                </m:r>
                <m:ctrlPr>
                  <w:rPr>
                    <w:rFonts w:ascii="Cambria Math" w:hAnsi="Cambria Math"/>
                    <w:i/>
                    <w:color w:val="auto"/>
                    <w:sz w:val="24"/>
                    <w:szCs w:val="24"/>
                  </w:rPr>
                </m:ctrlPr>
              </m:sub>
            </m:sSub>
            <m:ctrlPr>
              <w:rPr>
                <w:rFonts w:ascii="Cambria Math" w:hAnsi="Cambria Math"/>
                <w:i/>
                <w:color w:val="auto"/>
                <w:sz w:val="24"/>
                <w:szCs w:val="24"/>
              </w:rPr>
            </m:ctrlPr>
          </m:num>
          <m:den>
            <m:r>
              <m:rPr/>
              <w:rPr>
                <w:rFonts w:hint="eastAsia" w:ascii="Cambria Math" w:hAnsi="Cambria Math"/>
                <w:color w:val="auto"/>
                <w:sz w:val="24"/>
                <w:szCs w:val="24"/>
              </w:rPr>
              <m:t>b</m:t>
            </m:r>
            <m:sSup>
              <m:sSupPr>
                <m:ctrlPr>
                  <w:rPr>
                    <w:rFonts w:ascii="Cambria Math" w:hAnsi="Cambria Math"/>
                    <w:i/>
                    <w:color w:val="auto"/>
                    <w:sz w:val="24"/>
                    <w:szCs w:val="24"/>
                  </w:rPr>
                </m:ctrlPr>
              </m:sSupPr>
              <m:e>
                <m:r>
                  <m:rPr/>
                  <w:rPr>
                    <w:rFonts w:hint="eastAsia" w:ascii="Cambria Math" w:hAnsi="Cambria Math"/>
                    <w:color w:val="auto"/>
                    <w:sz w:val="24"/>
                    <w:szCs w:val="24"/>
                  </w:rPr>
                  <m:t>H</m:t>
                </m:r>
                <m:ctrlPr>
                  <w:rPr>
                    <w:rFonts w:ascii="Cambria Math" w:hAnsi="Cambria Math"/>
                    <w:i/>
                    <w:color w:val="auto"/>
                    <w:sz w:val="24"/>
                    <w:szCs w:val="24"/>
                  </w:rPr>
                </m:ctrlPr>
              </m:e>
              <m:sup>
                <m:r>
                  <m:rPr/>
                  <w:rPr>
                    <w:rFonts w:ascii="Cambria Math" w:hAnsi="Cambria Math"/>
                    <w:color w:val="auto"/>
                    <w:sz w:val="24"/>
                    <w:szCs w:val="24"/>
                  </w:rPr>
                  <m:t>2</m:t>
                </m:r>
                <m:ctrlPr>
                  <w:rPr>
                    <w:rFonts w:ascii="Cambria Math" w:hAnsi="Cambria Math"/>
                    <w:i/>
                    <w:color w:val="auto"/>
                    <w:sz w:val="24"/>
                    <w:szCs w:val="24"/>
                  </w:rPr>
                </m:ctrlPr>
              </m:sup>
            </m:sSup>
            <m:ctrlPr>
              <w:rPr>
                <w:rFonts w:ascii="Cambria Math" w:hAnsi="Cambria Math"/>
                <w:i/>
                <w:color w:val="auto"/>
                <w:sz w:val="24"/>
                <w:szCs w:val="24"/>
              </w:rPr>
            </m:ctrlPr>
          </m:den>
        </m:f>
      </m:oMath>
      <w:r>
        <w:rPr>
          <w:color w:val="auto"/>
          <w:sz w:val="24"/>
          <w:szCs w:val="24"/>
        </w:rPr>
        <w:t xml:space="preserve">                        </w:t>
      </w:r>
      <w:r>
        <w:rPr>
          <w:rFonts w:hint="eastAsia"/>
          <w:color w:val="auto"/>
          <w:sz w:val="24"/>
          <w:szCs w:val="24"/>
        </w:rPr>
        <w:t>（7.</w:t>
      </w:r>
      <w:r>
        <w:rPr>
          <w:color w:val="auto"/>
          <w:sz w:val="24"/>
          <w:szCs w:val="24"/>
        </w:rPr>
        <w:t>3</w:t>
      </w:r>
      <w:r>
        <w:rPr>
          <w:rFonts w:hint="eastAsia"/>
          <w:color w:val="auto"/>
          <w:sz w:val="24"/>
          <w:szCs w:val="24"/>
        </w:rPr>
        <w:t>.</w:t>
      </w:r>
      <w:r>
        <w:rPr>
          <w:color w:val="auto"/>
          <w:sz w:val="24"/>
          <w:szCs w:val="24"/>
        </w:rPr>
        <w:t>1</w:t>
      </w:r>
      <w:r>
        <w:rPr>
          <w:rFonts w:hint="eastAsia"/>
          <w:color w:val="auto"/>
          <w:sz w:val="24"/>
          <w:szCs w:val="24"/>
        </w:rPr>
        <w:t>）</w:t>
      </w:r>
    </w:p>
    <w:p>
      <w:pPr>
        <w:snapToGrid w:val="0"/>
        <w:spacing w:line="400" w:lineRule="exact"/>
        <w:rPr>
          <w:color w:val="auto"/>
          <w:sz w:val="24"/>
          <w:szCs w:val="24"/>
        </w:rPr>
      </w:pPr>
      <w:r>
        <w:rPr>
          <w:rFonts w:hint="eastAsia"/>
          <w:color w:val="auto"/>
          <w:sz w:val="24"/>
          <w:szCs w:val="24"/>
        </w:rPr>
        <w:t>式中：</w:t>
      </w:r>
      <m:oMath>
        <m:sSubSup>
          <m:sSubSupPr>
            <m:ctrlPr>
              <w:rPr>
                <w:rFonts w:ascii="Cambria Math" w:hAnsi="Cambria Math"/>
                <w:color w:val="auto"/>
                <w:sz w:val="24"/>
                <w:szCs w:val="24"/>
              </w:rPr>
            </m:ctrlPr>
          </m:sSubSupPr>
          <m:e>
            <m:r>
              <m:rPr/>
              <w:rPr>
                <w:rFonts w:hint="eastAsia" w:ascii="Cambria Math" w:hAnsi="Cambria Math"/>
                <w:color w:val="auto"/>
                <w:sz w:val="24"/>
                <w:szCs w:val="24"/>
              </w:rPr>
              <m:t>W</m:t>
            </m:r>
            <m:ctrlPr>
              <w:rPr>
                <w:rFonts w:ascii="Cambria Math" w:hAnsi="Cambria Math"/>
                <w:color w:val="auto"/>
                <w:sz w:val="24"/>
                <w:szCs w:val="24"/>
              </w:rPr>
            </m:ctrlPr>
          </m:e>
          <m:sub>
            <m:r>
              <m:rPr/>
              <w:rPr>
                <w:rFonts w:hint="eastAsia" w:ascii="Cambria Math" w:hAnsi="Cambria Math"/>
                <w:color w:val="auto"/>
                <w:sz w:val="24"/>
                <w:szCs w:val="24"/>
              </w:rPr>
              <m:t>e</m:t>
            </m:r>
            <m:ctrlPr>
              <w:rPr>
                <w:rFonts w:ascii="Cambria Math" w:hAnsi="Cambria Math"/>
                <w:color w:val="auto"/>
                <w:sz w:val="24"/>
                <w:szCs w:val="24"/>
              </w:rPr>
            </m:ctrlPr>
          </m:sub>
          <m:sup>
            <m:r>
              <m:rPr/>
              <w:rPr>
                <w:rFonts w:hint="eastAsia" w:ascii="Cambria Math" w:hAnsi="Cambria Math"/>
                <w:color w:val="auto"/>
                <w:sz w:val="24"/>
                <w:szCs w:val="24"/>
              </w:rPr>
              <m:t>k</m:t>
            </m:r>
            <m:ctrlPr>
              <w:rPr>
                <w:rFonts w:ascii="Cambria Math" w:hAnsi="Cambria Math"/>
                <w:color w:val="auto"/>
                <w:sz w:val="24"/>
                <w:szCs w:val="24"/>
              </w:rPr>
            </m:ctrlPr>
          </m:sup>
        </m:sSubSup>
      </m:oMath>
      <w:r>
        <w:rPr>
          <w:rFonts w:hint="eastAsia"/>
          <w:color w:val="auto"/>
          <w:sz w:val="24"/>
          <w:szCs w:val="24"/>
        </w:rPr>
        <w:t>——等效弯曲韧性（kJ/</w:t>
      </w:r>
      <w:r>
        <w:rPr>
          <w:color w:val="auto"/>
          <w:sz w:val="24"/>
          <w:szCs w:val="24"/>
        </w:rPr>
        <w:t>m</w:t>
      </w:r>
      <w:r>
        <w:rPr>
          <w:color w:val="auto"/>
          <w:sz w:val="24"/>
          <w:szCs w:val="24"/>
          <w:vertAlign w:val="superscript"/>
        </w:rPr>
        <w:t>3</w:t>
      </w:r>
      <w:r>
        <w:rPr>
          <w:rFonts w:hint="eastAsia"/>
          <w:color w:val="auto"/>
          <w:sz w:val="24"/>
          <w:szCs w:val="24"/>
        </w:rPr>
        <w:t>），精确至0.</w:t>
      </w:r>
      <w:r>
        <w:rPr>
          <w:color w:val="auto"/>
          <w:sz w:val="24"/>
          <w:szCs w:val="24"/>
        </w:rPr>
        <w:t>1</w:t>
      </w:r>
      <w:r>
        <w:rPr>
          <w:rFonts w:hint="eastAsia"/>
          <w:color w:val="auto"/>
          <w:sz w:val="24"/>
          <w:szCs w:val="24"/>
        </w:rPr>
        <w:t xml:space="preserve"> kJ/</w:t>
      </w:r>
      <w:r>
        <w:rPr>
          <w:color w:val="auto"/>
          <w:sz w:val="24"/>
          <w:szCs w:val="24"/>
        </w:rPr>
        <w:t>m</w:t>
      </w:r>
      <w:r>
        <w:rPr>
          <w:color w:val="auto"/>
          <w:sz w:val="24"/>
          <w:szCs w:val="24"/>
          <w:vertAlign w:val="superscript"/>
        </w:rPr>
        <w:t>3</w:t>
      </w:r>
      <w:r>
        <w:rPr>
          <w:rFonts w:hint="eastAsia"/>
          <w:color w:val="auto"/>
          <w:sz w:val="24"/>
          <w:szCs w:val="24"/>
        </w:rPr>
        <w:t>；</w:t>
      </w:r>
    </w:p>
    <w:p>
      <w:pPr>
        <w:snapToGrid w:val="0"/>
        <w:spacing w:line="400" w:lineRule="exact"/>
        <w:ind w:firstLine="709"/>
        <w:rPr>
          <w:color w:val="auto"/>
          <w:sz w:val="24"/>
          <w:szCs w:val="24"/>
        </w:rPr>
      </w:pPr>
      <w:r>
        <w:rPr>
          <w:color w:val="auto"/>
          <w:sz w:val="24"/>
          <w:szCs w:val="24"/>
        </w:rPr>
        <w:t>Ω</w:t>
      </w:r>
      <w:r>
        <w:rPr>
          <w:rFonts w:hint="eastAsia"/>
          <w:color w:val="auto"/>
          <w:sz w:val="24"/>
          <w:szCs w:val="24"/>
          <w:vertAlign w:val="subscript"/>
        </w:rPr>
        <w:t>k</w:t>
      </w:r>
      <w:r>
        <w:rPr>
          <w:rFonts w:hint="eastAsia"/>
          <w:color w:val="auto"/>
          <w:sz w:val="24"/>
          <w:szCs w:val="24"/>
        </w:rPr>
        <w:t>——跨中挠度为</w:t>
      </w:r>
      <w:r>
        <w:rPr>
          <w:color w:val="auto"/>
          <w:sz w:val="24"/>
          <w:szCs w:val="24"/>
        </w:rPr>
        <w:t>δ</w:t>
      </w:r>
      <w:r>
        <w:rPr>
          <w:rFonts w:hint="eastAsia"/>
          <w:color w:val="auto"/>
          <w:sz w:val="24"/>
          <w:szCs w:val="24"/>
          <w:vertAlign w:val="subscript"/>
        </w:rPr>
        <w:t>k</w:t>
      </w:r>
      <w:r>
        <w:rPr>
          <w:rFonts w:hint="eastAsia"/>
          <w:color w:val="auto"/>
          <w:sz w:val="24"/>
          <w:szCs w:val="24"/>
        </w:rPr>
        <w:t>时荷载-挠度曲线下的面积（N</w:t>
      </w:r>
      <w:r>
        <w:rPr>
          <w:color w:val="auto"/>
          <w:sz w:val="24"/>
          <w:szCs w:val="24"/>
        </w:rPr>
        <w:t>·mm</w:t>
      </w:r>
      <w:r>
        <w:rPr>
          <w:rFonts w:hint="eastAsia"/>
          <w:color w:val="auto"/>
          <w:sz w:val="24"/>
          <w:szCs w:val="24"/>
        </w:rPr>
        <w:t>），对于混凝土试件，</w:t>
      </w:r>
      <w:r>
        <w:rPr>
          <w:color w:val="auto"/>
          <w:sz w:val="24"/>
          <w:szCs w:val="24"/>
        </w:rPr>
        <w:t>δ</w:t>
      </w:r>
      <w:r>
        <w:rPr>
          <w:rFonts w:hint="eastAsia"/>
          <w:color w:val="auto"/>
          <w:sz w:val="24"/>
          <w:szCs w:val="24"/>
          <w:vertAlign w:val="subscript"/>
        </w:rPr>
        <w:t>k</w:t>
      </w:r>
      <w:r>
        <w:rPr>
          <w:rFonts w:hint="eastAsia"/>
          <w:color w:val="auto"/>
          <w:sz w:val="24"/>
          <w:szCs w:val="24"/>
        </w:rPr>
        <w:t>取L/</w:t>
      </w:r>
      <w:r>
        <w:rPr>
          <w:color w:val="auto"/>
          <w:sz w:val="24"/>
          <w:szCs w:val="24"/>
        </w:rPr>
        <w:t>150</w:t>
      </w:r>
      <w:r>
        <w:rPr>
          <w:rFonts w:hint="eastAsia"/>
          <w:color w:val="auto"/>
          <w:sz w:val="24"/>
          <w:szCs w:val="24"/>
        </w:rPr>
        <w:t>，对于砂浆试件（4</w:t>
      </w:r>
      <w:r>
        <w:rPr>
          <w:color w:val="auto"/>
          <w:sz w:val="24"/>
          <w:szCs w:val="24"/>
        </w:rPr>
        <w:t>0×40×160</w:t>
      </w:r>
      <w:r>
        <w:rPr>
          <w:rFonts w:hint="eastAsia"/>
          <w:color w:val="auto"/>
          <w:sz w:val="24"/>
          <w:szCs w:val="24"/>
        </w:rPr>
        <w:t>mm），</w:t>
      </w:r>
      <w:r>
        <w:rPr>
          <w:color w:val="auto"/>
          <w:sz w:val="24"/>
          <w:szCs w:val="24"/>
        </w:rPr>
        <w:t>δ</w:t>
      </w:r>
      <w:r>
        <w:rPr>
          <w:rFonts w:hint="eastAsia"/>
          <w:color w:val="auto"/>
          <w:sz w:val="24"/>
          <w:szCs w:val="24"/>
          <w:vertAlign w:val="subscript"/>
        </w:rPr>
        <w:t>k</w:t>
      </w:r>
      <w:r>
        <w:rPr>
          <w:rFonts w:hint="eastAsia"/>
          <w:color w:val="auto"/>
          <w:sz w:val="24"/>
          <w:szCs w:val="24"/>
        </w:rPr>
        <w:t>取L/</w:t>
      </w:r>
      <w:r>
        <w:rPr>
          <w:color w:val="auto"/>
          <w:sz w:val="24"/>
          <w:szCs w:val="24"/>
        </w:rPr>
        <w:t>50</w:t>
      </w:r>
      <w:r>
        <w:rPr>
          <w:rFonts w:hint="eastAsia"/>
          <w:color w:val="auto"/>
          <w:sz w:val="24"/>
          <w:szCs w:val="24"/>
        </w:rPr>
        <w:t>，其中L为试验梁支座间的跨距（mm）；</w:t>
      </w:r>
    </w:p>
    <w:p>
      <w:pPr>
        <w:snapToGrid w:val="0"/>
        <w:spacing w:line="400" w:lineRule="exact"/>
        <w:ind w:firstLine="709"/>
        <w:rPr>
          <w:color w:val="auto"/>
          <w:sz w:val="24"/>
          <w:szCs w:val="24"/>
        </w:rPr>
      </w:pPr>
      <w:r>
        <w:rPr>
          <w:rFonts w:hint="eastAsia"/>
          <w:color w:val="auto"/>
          <w:sz w:val="24"/>
          <w:szCs w:val="24"/>
        </w:rPr>
        <w:t>b、H——试件的截面宽度和高度（mm）。</w:t>
      </w:r>
    </w:p>
    <w:p>
      <w:pPr>
        <w:spacing w:line="360" w:lineRule="auto"/>
        <w:rPr>
          <w:b/>
          <w:color w:val="auto"/>
          <w:sz w:val="24"/>
          <w:szCs w:val="24"/>
        </w:rPr>
      </w:pPr>
      <w:bookmarkStart w:id="77" w:name="_Hlk162428030"/>
      <w:r>
        <w:rPr>
          <w:rFonts w:hint="eastAsia"/>
          <w:b/>
          <w:color w:val="auto"/>
          <w:sz w:val="24"/>
          <w:szCs w:val="24"/>
        </w:rPr>
        <w:t xml:space="preserve">7.3.4  </w:t>
      </w:r>
      <w:bookmarkEnd w:id="77"/>
      <w:r>
        <w:rPr>
          <w:rFonts w:hint="eastAsia"/>
          <w:color w:val="auto"/>
          <w:sz w:val="24"/>
          <w:szCs w:val="24"/>
        </w:rPr>
        <w:t>1d与基准混凝土黏结强度试验方法应符合现行国家标准《工程结构加固材料安全性鉴定技术规范》GB 50728-2011附录G的有关规定。</w:t>
      </w:r>
    </w:p>
    <w:p>
      <w:pPr>
        <w:spacing w:line="360" w:lineRule="auto"/>
        <w:jc w:val="center"/>
        <w:outlineLvl w:val="1"/>
        <w:rPr>
          <w:rFonts w:hint="eastAsia" w:ascii="黑体" w:hAnsi="黑体" w:eastAsia="黑体" w:cs="黑体"/>
          <w:b/>
          <w:color w:val="auto"/>
          <w:sz w:val="24"/>
          <w:szCs w:val="24"/>
        </w:rPr>
      </w:pPr>
      <w:bookmarkStart w:id="78" w:name="_Toc1017"/>
      <w:bookmarkStart w:id="79" w:name="_Toc11431"/>
      <w:r>
        <w:rPr>
          <w:rFonts w:hint="eastAsia" w:ascii="黑体" w:hAnsi="黑体" w:eastAsia="黑体" w:cs="黑体"/>
          <w:b/>
          <w:color w:val="auto"/>
          <w:sz w:val="24"/>
          <w:szCs w:val="24"/>
        </w:rPr>
        <w:t>7.4  长期性能和耐久性能</w:t>
      </w:r>
      <w:bookmarkEnd w:id="78"/>
      <w:bookmarkEnd w:id="79"/>
    </w:p>
    <w:p>
      <w:pPr>
        <w:spacing w:line="360" w:lineRule="auto"/>
        <w:rPr>
          <w:b/>
          <w:color w:val="auto"/>
          <w:sz w:val="24"/>
          <w:szCs w:val="24"/>
        </w:rPr>
      </w:pPr>
      <w:r>
        <w:rPr>
          <w:rFonts w:hint="eastAsia"/>
          <w:b/>
          <w:color w:val="auto"/>
          <w:sz w:val="24"/>
          <w:szCs w:val="24"/>
        </w:rPr>
        <w:t xml:space="preserve">7.4.1  </w:t>
      </w:r>
      <w:r>
        <w:rPr>
          <w:rFonts w:hint="eastAsia"/>
          <w:color w:val="auto"/>
          <w:sz w:val="24"/>
          <w:szCs w:val="24"/>
        </w:rPr>
        <w:t>混凝土抗氯离子渗透性能试验方法应符合现行国家标准《混凝土长期性能和耐久性能试验方法标准》</w:t>
      </w:r>
      <w:r>
        <w:rPr>
          <w:color w:val="auto"/>
          <w:sz w:val="24"/>
          <w:szCs w:val="24"/>
        </w:rPr>
        <w:t>GB/T 50082</w:t>
      </w:r>
      <w:r>
        <w:rPr>
          <w:rFonts w:hint="eastAsia"/>
          <w:color w:val="auto"/>
          <w:sz w:val="24"/>
          <w:szCs w:val="24"/>
        </w:rPr>
        <w:t>的有关规定。</w:t>
      </w:r>
    </w:p>
    <w:p>
      <w:pPr>
        <w:spacing w:line="360" w:lineRule="auto"/>
        <w:rPr>
          <w:color w:val="auto"/>
          <w:sz w:val="24"/>
          <w:szCs w:val="24"/>
        </w:rPr>
      </w:pPr>
      <w:bookmarkStart w:id="80" w:name="_Hlk162428747"/>
      <w:r>
        <w:rPr>
          <w:rFonts w:hint="eastAsia"/>
          <w:b/>
          <w:color w:val="auto"/>
          <w:sz w:val="24"/>
          <w:szCs w:val="24"/>
        </w:rPr>
        <w:t xml:space="preserve">7.4.2  </w:t>
      </w:r>
      <w:bookmarkEnd w:id="80"/>
      <w:r>
        <w:rPr>
          <w:rFonts w:hint="eastAsia"/>
          <w:color w:val="auto"/>
          <w:sz w:val="24"/>
          <w:szCs w:val="24"/>
        </w:rPr>
        <w:t>混凝土抗冻性能试验方法应符合现行国家标准《混凝土长期性能和耐久性能试验方法标准》</w:t>
      </w:r>
      <w:r>
        <w:rPr>
          <w:color w:val="auto"/>
          <w:sz w:val="24"/>
          <w:szCs w:val="24"/>
        </w:rPr>
        <w:t>GB/T 50082</w:t>
      </w:r>
      <w:r>
        <w:rPr>
          <w:rFonts w:hint="eastAsia"/>
          <w:color w:val="auto"/>
          <w:sz w:val="24"/>
          <w:szCs w:val="24"/>
        </w:rPr>
        <w:t>的有关规定。</w:t>
      </w:r>
    </w:p>
    <w:p>
      <w:pPr>
        <w:spacing w:line="360" w:lineRule="auto"/>
        <w:rPr>
          <w:color w:val="auto"/>
          <w:sz w:val="24"/>
          <w:szCs w:val="24"/>
        </w:rPr>
      </w:pPr>
      <w:bookmarkStart w:id="81" w:name="_Hlk162445585"/>
      <w:r>
        <w:rPr>
          <w:rFonts w:hint="eastAsia"/>
          <w:b/>
          <w:color w:val="auto"/>
          <w:sz w:val="24"/>
          <w:szCs w:val="24"/>
        </w:rPr>
        <w:t xml:space="preserve">7.4.3 </w:t>
      </w:r>
      <w:bookmarkEnd w:id="81"/>
      <w:r>
        <w:rPr>
          <w:rFonts w:hint="eastAsia"/>
          <w:b/>
          <w:color w:val="auto"/>
          <w:sz w:val="24"/>
          <w:szCs w:val="24"/>
        </w:rPr>
        <w:t xml:space="preserve"> </w:t>
      </w:r>
      <w:r>
        <w:rPr>
          <w:rFonts w:hint="eastAsia"/>
          <w:color w:val="auto"/>
          <w:sz w:val="24"/>
          <w:szCs w:val="24"/>
        </w:rPr>
        <w:t>混凝土耐磨性试验方法应符合现行国家标准《公路工程水泥及水泥混凝土试验规程》</w:t>
      </w:r>
      <w:r>
        <w:rPr>
          <w:color w:val="auto"/>
          <w:sz w:val="24"/>
          <w:szCs w:val="24"/>
        </w:rPr>
        <w:t>JTG 3420</w:t>
      </w:r>
      <w:r>
        <w:rPr>
          <w:rFonts w:hint="eastAsia"/>
          <w:color w:val="auto"/>
          <w:sz w:val="24"/>
          <w:szCs w:val="24"/>
        </w:rPr>
        <w:t>的有关规定。</w:t>
      </w:r>
    </w:p>
    <w:p>
      <w:pPr>
        <w:snapToGrid w:val="0"/>
        <w:spacing w:line="360" w:lineRule="auto"/>
        <w:rPr>
          <w:b/>
          <w:color w:val="auto"/>
          <w:lang w:val="zh-CN"/>
        </w:rPr>
      </w:pPr>
      <w:r>
        <w:rPr>
          <w:b/>
          <w:color w:val="auto"/>
          <w:lang w:val="zh-CN"/>
        </w:rPr>
        <w:br w:type="page"/>
      </w:r>
    </w:p>
    <w:p>
      <w:pPr>
        <w:spacing w:line="360" w:lineRule="auto"/>
        <w:jc w:val="center"/>
        <w:outlineLvl w:val="0"/>
        <w:rPr>
          <w:b/>
          <w:bCs/>
          <w:color w:val="auto"/>
          <w:kern w:val="44"/>
          <w:sz w:val="30"/>
          <w:szCs w:val="30"/>
        </w:rPr>
      </w:pPr>
      <w:bookmarkStart w:id="82" w:name="_Toc172534364"/>
      <w:bookmarkStart w:id="83" w:name="_Toc27404"/>
      <w:bookmarkStart w:id="84" w:name="_Toc203504449"/>
      <w:bookmarkStart w:id="85" w:name="_Toc15097"/>
      <w:bookmarkStart w:id="86" w:name="_Toc172534365"/>
      <w:r>
        <w:rPr>
          <w:rFonts w:hint="eastAsia"/>
          <w:b/>
          <w:bCs/>
          <w:color w:val="auto"/>
          <w:kern w:val="44"/>
          <w:sz w:val="30"/>
          <w:szCs w:val="30"/>
        </w:rPr>
        <w:t>8</w:t>
      </w:r>
      <w:r>
        <w:rPr>
          <w:b/>
          <w:bCs/>
          <w:color w:val="auto"/>
          <w:kern w:val="44"/>
          <w:sz w:val="30"/>
          <w:szCs w:val="30"/>
        </w:rPr>
        <w:t xml:space="preserve">  </w:t>
      </w:r>
      <w:r>
        <w:rPr>
          <w:rFonts w:hint="eastAsia"/>
          <w:b/>
          <w:bCs/>
          <w:color w:val="auto"/>
          <w:kern w:val="44"/>
          <w:sz w:val="30"/>
          <w:szCs w:val="30"/>
        </w:rPr>
        <w:t>检验规则</w:t>
      </w:r>
      <w:bookmarkEnd w:id="82"/>
      <w:bookmarkEnd w:id="83"/>
      <w:bookmarkEnd w:id="84"/>
      <w:bookmarkEnd w:id="85"/>
    </w:p>
    <w:p>
      <w:pPr>
        <w:spacing w:line="360" w:lineRule="auto"/>
        <w:jc w:val="center"/>
        <w:outlineLvl w:val="1"/>
        <w:rPr>
          <w:rFonts w:hint="eastAsia" w:ascii="黑体" w:hAnsi="黑体" w:eastAsia="黑体" w:cs="黑体"/>
          <w:b/>
          <w:color w:val="auto"/>
          <w:sz w:val="24"/>
          <w:szCs w:val="24"/>
        </w:rPr>
      </w:pPr>
      <w:bookmarkStart w:id="87" w:name="_Toc15996"/>
      <w:bookmarkStart w:id="88" w:name="_Toc579"/>
      <w:r>
        <w:rPr>
          <w:rFonts w:hint="eastAsia" w:ascii="黑体" w:hAnsi="黑体" w:eastAsia="黑体" w:cs="黑体"/>
          <w:b/>
          <w:color w:val="auto"/>
          <w:sz w:val="24"/>
          <w:szCs w:val="24"/>
        </w:rPr>
        <w:t>8.1  质量检验</w:t>
      </w:r>
      <w:bookmarkEnd w:id="87"/>
      <w:bookmarkEnd w:id="88"/>
    </w:p>
    <w:p>
      <w:pPr>
        <w:tabs>
          <w:tab w:val="left" w:pos="5404"/>
        </w:tabs>
        <w:spacing w:line="360" w:lineRule="auto"/>
        <w:rPr>
          <w:color w:val="auto"/>
          <w:sz w:val="24"/>
        </w:rPr>
      </w:pPr>
      <w:r>
        <w:rPr>
          <w:rFonts w:hint="eastAsia"/>
          <w:b/>
          <w:bCs/>
          <w:color w:val="auto"/>
          <w:sz w:val="24"/>
          <w:szCs w:val="24"/>
        </w:rPr>
        <w:t>8.1.1</w:t>
      </w:r>
      <w:r>
        <w:rPr>
          <w:b/>
          <w:bCs/>
          <w:color w:val="auto"/>
          <w:sz w:val="24"/>
          <w:szCs w:val="24"/>
        </w:rPr>
        <w:t xml:space="preserve">  </w:t>
      </w:r>
      <w:r>
        <w:rPr>
          <w:rFonts w:hint="eastAsia"/>
          <w:color w:val="auto"/>
          <w:sz w:val="24"/>
        </w:rPr>
        <w:t>高韧性修补</w:t>
      </w:r>
      <w:r>
        <w:rPr>
          <w:color w:val="auto"/>
          <w:sz w:val="24"/>
        </w:rPr>
        <w:t>混凝土原材料进场时，应对材料的品种、外观、规格、等级、生产日期等进行检验，并按检验批随机抽取样品进行检验。每个检验批不得少于1次。</w:t>
      </w:r>
    </w:p>
    <w:p>
      <w:pPr>
        <w:tabs>
          <w:tab w:val="left" w:pos="5404"/>
        </w:tabs>
        <w:spacing w:line="360" w:lineRule="auto"/>
        <w:rPr>
          <w:color w:val="auto"/>
          <w:sz w:val="24"/>
        </w:rPr>
      </w:pPr>
      <w:r>
        <w:rPr>
          <w:rFonts w:hint="eastAsia"/>
          <w:b/>
          <w:bCs/>
          <w:color w:val="auto"/>
          <w:sz w:val="24"/>
        </w:rPr>
        <w:t>8</w:t>
      </w:r>
      <w:r>
        <w:rPr>
          <w:b/>
          <w:bCs/>
          <w:color w:val="auto"/>
          <w:sz w:val="24"/>
        </w:rPr>
        <w:t>.1.</w:t>
      </w:r>
      <w:r>
        <w:rPr>
          <w:rFonts w:hint="eastAsia"/>
          <w:b/>
          <w:bCs/>
          <w:color w:val="auto"/>
          <w:sz w:val="24"/>
        </w:rPr>
        <w:t>2</w:t>
      </w:r>
      <w:r>
        <w:rPr>
          <w:color w:val="auto"/>
          <w:sz w:val="24"/>
        </w:rPr>
        <w:t xml:space="preserve">  除本规程第</w:t>
      </w:r>
      <w:r>
        <w:rPr>
          <w:rFonts w:hint="eastAsia"/>
          <w:color w:val="auto"/>
          <w:sz w:val="24"/>
        </w:rPr>
        <w:t>4</w:t>
      </w:r>
      <w:r>
        <w:rPr>
          <w:color w:val="auto"/>
          <w:sz w:val="24"/>
        </w:rPr>
        <w:t>章的规定外，混凝土原材料的其他检验项目应符合现行国家标准《混凝土质量控制标准》GB 50164</w:t>
      </w:r>
      <w:r>
        <w:rPr>
          <w:rFonts w:hint="eastAsia"/>
          <w:color w:val="auto"/>
          <w:sz w:val="24"/>
        </w:rPr>
        <w:t>的有关规定</w:t>
      </w:r>
      <w:r>
        <w:rPr>
          <w:color w:val="auto"/>
          <w:sz w:val="24"/>
        </w:rPr>
        <w:t>。</w:t>
      </w:r>
    </w:p>
    <w:p>
      <w:pPr>
        <w:tabs>
          <w:tab w:val="left" w:pos="5404"/>
        </w:tabs>
        <w:spacing w:line="360" w:lineRule="auto"/>
        <w:rPr>
          <w:color w:val="auto"/>
          <w:sz w:val="24"/>
        </w:rPr>
      </w:pPr>
      <w:r>
        <w:rPr>
          <w:rFonts w:hint="eastAsia"/>
          <w:b/>
          <w:bCs/>
          <w:color w:val="auto"/>
          <w:sz w:val="24"/>
        </w:rPr>
        <w:t>8.</w:t>
      </w:r>
      <w:r>
        <w:rPr>
          <w:b/>
          <w:bCs/>
          <w:color w:val="auto"/>
          <w:sz w:val="24"/>
        </w:rPr>
        <w:t>1.</w:t>
      </w:r>
      <w:r>
        <w:rPr>
          <w:rFonts w:hint="eastAsia"/>
          <w:b/>
          <w:bCs/>
          <w:color w:val="auto"/>
          <w:sz w:val="24"/>
        </w:rPr>
        <w:t>3</w:t>
      </w:r>
      <w:r>
        <w:rPr>
          <w:b/>
          <w:bCs/>
          <w:color w:val="auto"/>
          <w:sz w:val="24"/>
        </w:rPr>
        <w:t xml:space="preserve">  </w:t>
      </w:r>
      <w:r>
        <w:rPr>
          <w:rFonts w:hint="eastAsia"/>
          <w:color w:val="auto"/>
          <w:sz w:val="24"/>
          <w:szCs w:val="24"/>
        </w:rPr>
        <w:t>水泥混凝土</w:t>
      </w:r>
      <w:r>
        <w:rPr>
          <w:rFonts w:hint="eastAsia"/>
          <w:color w:val="auto"/>
          <w:sz w:val="24"/>
        </w:rPr>
        <w:t>高韧性修补材料</w:t>
      </w:r>
      <w:r>
        <w:rPr>
          <w:color w:val="auto"/>
          <w:sz w:val="24"/>
        </w:rPr>
        <w:t>拌合物性能检验应符合</w:t>
      </w:r>
      <w:r>
        <w:rPr>
          <w:rFonts w:hint="eastAsia"/>
          <w:color w:val="auto"/>
          <w:sz w:val="24"/>
        </w:rPr>
        <w:t>《普通混凝土拌合物性能试验方法标准》GB/T 50080和《水泥胶砂流动度测定方法》GB/T 2419的有关规定</w:t>
      </w:r>
      <w:r>
        <w:rPr>
          <w:color w:val="auto"/>
          <w:sz w:val="24"/>
        </w:rPr>
        <w:t>。</w:t>
      </w:r>
      <w:r>
        <w:rPr>
          <w:rFonts w:hint="eastAsia"/>
          <w:color w:val="auto"/>
          <w:sz w:val="24"/>
          <w:szCs w:val="24"/>
        </w:rPr>
        <w:t>水泥混凝土</w:t>
      </w:r>
      <w:r>
        <w:rPr>
          <w:rFonts w:hint="eastAsia"/>
          <w:color w:val="auto"/>
          <w:sz w:val="24"/>
        </w:rPr>
        <w:t>高韧性修补</w:t>
      </w:r>
      <w:r>
        <w:rPr>
          <w:color w:val="auto"/>
          <w:sz w:val="24"/>
        </w:rPr>
        <w:t>材料拌合物性能应符合本规程</w:t>
      </w:r>
      <w:r>
        <w:rPr>
          <w:rFonts w:hint="eastAsia"/>
          <w:color w:val="auto"/>
          <w:sz w:val="24"/>
        </w:rPr>
        <w:t>5.1</w:t>
      </w:r>
      <w:r>
        <w:rPr>
          <w:color w:val="auto"/>
          <w:sz w:val="24"/>
        </w:rPr>
        <w:t>节</w:t>
      </w:r>
      <w:r>
        <w:rPr>
          <w:rFonts w:hint="eastAsia"/>
          <w:color w:val="auto"/>
          <w:sz w:val="24"/>
        </w:rPr>
        <w:t>的有关规定</w:t>
      </w:r>
      <w:r>
        <w:rPr>
          <w:color w:val="auto"/>
          <w:sz w:val="24"/>
        </w:rPr>
        <w:t>。</w:t>
      </w:r>
    </w:p>
    <w:p>
      <w:pPr>
        <w:tabs>
          <w:tab w:val="left" w:pos="5404"/>
        </w:tabs>
        <w:spacing w:line="360" w:lineRule="auto"/>
        <w:rPr>
          <w:color w:val="auto"/>
          <w:sz w:val="24"/>
        </w:rPr>
      </w:pPr>
      <w:r>
        <w:rPr>
          <w:rFonts w:hint="eastAsia"/>
          <w:b/>
          <w:bCs/>
          <w:color w:val="auto"/>
          <w:sz w:val="24"/>
        </w:rPr>
        <w:t>8</w:t>
      </w:r>
      <w:r>
        <w:rPr>
          <w:b/>
          <w:bCs/>
          <w:color w:val="auto"/>
          <w:sz w:val="24"/>
        </w:rPr>
        <w:t>.1.</w:t>
      </w:r>
      <w:r>
        <w:rPr>
          <w:rFonts w:hint="eastAsia"/>
          <w:b/>
          <w:bCs/>
          <w:color w:val="auto"/>
          <w:sz w:val="24"/>
        </w:rPr>
        <w:t>4</w:t>
      </w:r>
      <w:r>
        <w:rPr>
          <w:color w:val="auto"/>
          <w:sz w:val="24"/>
        </w:rPr>
        <w:t xml:space="preserve">  </w:t>
      </w:r>
      <w:r>
        <w:rPr>
          <w:rFonts w:hint="eastAsia"/>
          <w:color w:val="auto"/>
          <w:sz w:val="24"/>
          <w:szCs w:val="24"/>
        </w:rPr>
        <w:t>水泥混凝土</w:t>
      </w:r>
      <w:r>
        <w:rPr>
          <w:rFonts w:hint="eastAsia"/>
          <w:color w:val="auto"/>
          <w:sz w:val="24"/>
        </w:rPr>
        <w:t>高韧性修补</w:t>
      </w:r>
      <w:r>
        <w:rPr>
          <w:color w:val="auto"/>
          <w:sz w:val="24"/>
        </w:rPr>
        <w:t>材料强度检验评定应符合现行国家标准《混凝土强度检验评定标准》GB/T 50107</w:t>
      </w:r>
      <w:r>
        <w:rPr>
          <w:rFonts w:hint="eastAsia"/>
          <w:color w:val="auto"/>
          <w:sz w:val="24"/>
        </w:rPr>
        <w:t>和《水泥胶砂流动度测定方法》GB/T 2419的有关规定。</w:t>
      </w:r>
      <w:r>
        <w:rPr>
          <w:rFonts w:hint="eastAsia"/>
          <w:color w:val="auto"/>
          <w:sz w:val="24"/>
          <w:szCs w:val="24"/>
        </w:rPr>
        <w:t>水泥混凝土</w:t>
      </w:r>
      <w:r>
        <w:rPr>
          <w:rFonts w:hint="eastAsia"/>
          <w:color w:val="auto"/>
          <w:sz w:val="24"/>
        </w:rPr>
        <w:t>高韧性修补</w:t>
      </w:r>
      <w:r>
        <w:rPr>
          <w:color w:val="auto"/>
          <w:sz w:val="24"/>
        </w:rPr>
        <w:t>材料力学性能应符合本规程</w:t>
      </w:r>
      <w:r>
        <w:rPr>
          <w:rFonts w:hint="eastAsia"/>
          <w:color w:val="auto"/>
          <w:sz w:val="24"/>
        </w:rPr>
        <w:t>5.1</w:t>
      </w:r>
      <w:r>
        <w:rPr>
          <w:color w:val="auto"/>
          <w:sz w:val="24"/>
        </w:rPr>
        <w:t>节的规定。</w:t>
      </w:r>
    </w:p>
    <w:p>
      <w:pPr>
        <w:tabs>
          <w:tab w:val="left" w:pos="5404"/>
        </w:tabs>
        <w:spacing w:line="360" w:lineRule="auto"/>
        <w:rPr>
          <w:rFonts w:eastAsiaTheme="minorEastAsia"/>
          <w:color w:val="auto"/>
          <w:sz w:val="24"/>
        </w:rPr>
      </w:pPr>
      <w:r>
        <w:rPr>
          <w:rFonts w:hint="eastAsia"/>
          <w:b/>
          <w:bCs/>
          <w:color w:val="auto"/>
          <w:sz w:val="24"/>
          <w:szCs w:val="24"/>
        </w:rPr>
        <w:t>8.1.5</w:t>
      </w:r>
      <w:r>
        <w:rPr>
          <w:rFonts w:hint="eastAsia"/>
          <w:color w:val="auto"/>
          <w:sz w:val="24"/>
          <w:szCs w:val="24"/>
        </w:rPr>
        <w:t xml:space="preserve">  水泥混凝土</w:t>
      </w:r>
      <w:r>
        <w:rPr>
          <w:rFonts w:hint="eastAsia"/>
          <w:color w:val="auto"/>
          <w:sz w:val="24"/>
        </w:rPr>
        <w:t>高韧性修补</w:t>
      </w:r>
      <w:r>
        <w:rPr>
          <w:color w:val="auto"/>
          <w:sz w:val="24"/>
        </w:rPr>
        <w:t>材料耐久性能检验评定应符合现行行业标准《混凝土耐久性检验评定标准》JGJ/T 193</w:t>
      </w:r>
      <w:r>
        <w:rPr>
          <w:rFonts w:hint="eastAsia"/>
          <w:color w:val="auto"/>
          <w:sz w:val="24"/>
        </w:rPr>
        <w:t>和《公路工程水泥及水泥混凝土试验规程》JTG 3420的有关规定</w:t>
      </w:r>
      <w:r>
        <w:rPr>
          <w:color w:val="auto"/>
          <w:sz w:val="24"/>
        </w:rPr>
        <w:t>。长期性能</w:t>
      </w:r>
      <w:r>
        <w:rPr>
          <w:rFonts w:hint="eastAsia"/>
          <w:color w:val="auto"/>
          <w:sz w:val="24"/>
        </w:rPr>
        <w:t>和</w:t>
      </w:r>
      <w:r>
        <w:rPr>
          <w:color w:val="auto"/>
          <w:sz w:val="24"/>
        </w:rPr>
        <w:t>耐久性能应符合本规程</w:t>
      </w:r>
      <w:r>
        <w:rPr>
          <w:rFonts w:hint="eastAsia"/>
          <w:color w:val="auto"/>
          <w:sz w:val="24"/>
        </w:rPr>
        <w:t>5.2</w:t>
      </w:r>
      <w:r>
        <w:rPr>
          <w:color w:val="auto"/>
          <w:sz w:val="24"/>
        </w:rPr>
        <w:t>节的规定。</w:t>
      </w:r>
    </w:p>
    <w:p>
      <w:pPr>
        <w:spacing w:line="360" w:lineRule="auto"/>
        <w:rPr>
          <w:color w:val="auto"/>
          <w:sz w:val="24"/>
          <w:szCs w:val="24"/>
        </w:rPr>
      </w:pPr>
      <w:r>
        <w:rPr>
          <w:rFonts w:hint="eastAsia"/>
          <w:b/>
          <w:bCs/>
          <w:color w:val="auto"/>
          <w:sz w:val="24"/>
          <w:szCs w:val="24"/>
        </w:rPr>
        <w:t>8.1.6</w:t>
      </w:r>
      <w:r>
        <w:rPr>
          <w:rFonts w:hint="eastAsia"/>
          <w:color w:val="auto"/>
          <w:sz w:val="24"/>
          <w:szCs w:val="24"/>
        </w:rPr>
        <w:t xml:space="preserve">  水泥混凝土高韧性修补材料检验分出厂检验和型式检验。产品出厂前应进行出厂检验。有下列情况之一，应进行型式检验：</w:t>
      </w:r>
    </w:p>
    <w:p>
      <w:pPr>
        <w:spacing w:line="360" w:lineRule="auto"/>
        <w:ind w:firstLine="480" w:firstLineChars="200"/>
        <w:rPr>
          <w:color w:val="auto"/>
          <w:sz w:val="24"/>
          <w:szCs w:val="24"/>
        </w:rPr>
      </w:pPr>
      <w:r>
        <w:rPr>
          <w:rFonts w:hint="eastAsia"/>
          <w:color w:val="auto"/>
          <w:sz w:val="24"/>
          <w:szCs w:val="24"/>
        </w:rPr>
        <w:t>a）新产品的试制定型检测；</w:t>
      </w:r>
    </w:p>
    <w:p>
      <w:pPr>
        <w:spacing w:line="360" w:lineRule="auto"/>
        <w:ind w:firstLine="480" w:firstLineChars="200"/>
        <w:rPr>
          <w:color w:val="auto"/>
          <w:sz w:val="24"/>
          <w:szCs w:val="24"/>
        </w:rPr>
      </w:pPr>
      <w:r>
        <w:rPr>
          <w:rFonts w:hint="eastAsia"/>
          <w:color w:val="auto"/>
          <w:sz w:val="24"/>
          <w:szCs w:val="24"/>
        </w:rPr>
        <w:t>b）正常生产时，每年进行一次检验；</w:t>
      </w:r>
    </w:p>
    <w:p>
      <w:pPr>
        <w:spacing w:line="360" w:lineRule="auto"/>
        <w:ind w:firstLine="480" w:firstLineChars="200"/>
        <w:rPr>
          <w:color w:val="auto"/>
          <w:sz w:val="24"/>
          <w:szCs w:val="24"/>
        </w:rPr>
      </w:pPr>
      <w:r>
        <w:rPr>
          <w:rFonts w:hint="eastAsia"/>
          <w:color w:val="auto"/>
          <w:sz w:val="24"/>
          <w:szCs w:val="24"/>
        </w:rPr>
        <w:t>c）正式生产后，工艺或原材料有变化，影响产品性能时；</w:t>
      </w:r>
    </w:p>
    <w:p>
      <w:pPr>
        <w:spacing w:line="360" w:lineRule="auto"/>
        <w:ind w:firstLine="480" w:firstLineChars="200"/>
        <w:rPr>
          <w:color w:val="auto"/>
          <w:sz w:val="24"/>
          <w:szCs w:val="24"/>
        </w:rPr>
      </w:pPr>
      <w:r>
        <w:rPr>
          <w:rFonts w:hint="eastAsia"/>
          <w:color w:val="auto"/>
          <w:sz w:val="24"/>
          <w:szCs w:val="24"/>
        </w:rPr>
        <w:t>d）停产半年以上，重新恢复生产时；</w:t>
      </w:r>
    </w:p>
    <w:p>
      <w:pPr>
        <w:spacing w:line="360" w:lineRule="auto"/>
        <w:ind w:firstLine="480" w:firstLineChars="200"/>
        <w:rPr>
          <w:color w:val="auto"/>
          <w:sz w:val="24"/>
          <w:szCs w:val="24"/>
        </w:rPr>
      </w:pPr>
      <w:r>
        <w:rPr>
          <w:rFonts w:hint="eastAsia"/>
          <w:color w:val="auto"/>
          <w:sz w:val="24"/>
          <w:szCs w:val="24"/>
        </w:rPr>
        <w:t>e）出厂检测结果与上次型式检测有较大差异时；</w:t>
      </w:r>
    </w:p>
    <w:p>
      <w:pPr>
        <w:spacing w:line="360" w:lineRule="auto"/>
        <w:ind w:firstLine="480" w:firstLineChars="200"/>
        <w:rPr>
          <w:color w:val="auto"/>
          <w:sz w:val="24"/>
          <w:szCs w:val="24"/>
        </w:rPr>
      </w:pPr>
      <w:r>
        <w:rPr>
          <w:rFonts w:hint="eastAsia"/>
          <w:color w:val="auto"/>
          <w:sz w:val="24"/>
          <w:szCs w:val="24"/>
        </w:rPr>
        <w:t>f）国家或行业质量技术监督部门提出产品检测要求时。</w:t>
      </w:r>
    </w:p>
    <w:p>
      <w:pPr>
        <w:spacing w:line="360" w:lineRule="auto"/>
        <w:jc w:val="center"/>
        <w:outlineLvl w:val="1"/>
        <w:rPr>
          <w:rFonts w:hint="eastAsia" w:ascii="黑体" w:hAnsi="黑体" w:eastAsia="黑体" w:cs="黑体"/>
          <w:b/>
          <w:color w:val="auto"/>
          <w:sz w:val="24"/>
          <w:szCs w:val="24"/>
        </w:rPr>
      </w:pPr>
      <w:bookmarkStart w:id="89" w:name="_Toc32359"/>
      <w:bookmarkStart w:id="90" w:name="_Toc9236"/>
      <w:r>
        <w:rPr>
          <w:rFonts w:hint="eastAsia" w:ascii="黑体" w:hAnsi="黑体" w:eastAsia="黑体" w:cs="黑体"/>
          <w:b/>
          <w:color w:val="auto"/>
          <w:sz w:val="24"/>
          <w:szCs w:val="24"/>
        </w:rPr>
        <w:t>8.2  检测项目</w:t>
      </w:r>
      <w:bookmarkEnd w:id="89"/>
      <w:bookmarkEnd w:id="90"/>
    </w:p>
    <w:p>
      <w:pPr>
        <w:spacing w:line="360" w:lineRule="auto"/>
        <w:ind w:firstLine="480" w:firstLineChars="200"/>
        <w:rPr>
          <w:color w:val="auto"/>
          <w:sz w:val="24"/>
          <w:szCs w:val="24"/>
        </w:rPr>
      </w:pPr>
      <w:r>
        <w:rPr>
          <w:rFonts w:hint="eastAsia"/>
          <w:color w:val="auto"/>
          <w:sz w:val="24"/>
          <w:szCs w:val="24"/>
        </w:rPr>
        <w:t>型式检验应对本标准中规定的全部技术要求进行检验。型式检验和出厂检验的项目见表8.2.1。</w:t>
      </w:r>
    </w:p>
    <w:p>
      <w:pPr>
        <w:snapToGrid w:val="0"/>
        <w:spacing w:line="360" w:lineRule="auto"/>
        <w:jc w:val="center"/>
        <w:rPr>
          <w:b/>
          <w:bCs/>
          <w:color w:val="auto"/>
          <w:kern w:val="2"/>
        </w:rPr>
      </w:pPr>
      <w:r>
        <w:rPr>
          <w:rFonts w:hint="eastAsia"/>
          <w:b/>
          <w:bCs/>
          <w:color w:val="auto"/>
          <w:kern w:val="2"/>
        </w:rPr>
        <w:t>表8.2.1 检验项目</w:t>
      </w:r>
    </w:p>
    <w:tbl>
      <w:tblPr>
        <w:tblStyle w:val="18"/>
        <w:tblW w:w="49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3168"/>
        <w:gridCol w:w="1266"/>
        <w:gridCol w:w="1744"/>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color w:val="auto"/>
              </w:rPr>
              <w:t>序号</w:t>
            </w:r>
          </w:p>
        </w:tc>
        <w:tc>
          <w:tcPr>
            <w:tcW w:w="1817" w:type="pct"/>
          </w:tcPr>
          <w:p>
            <w:pPr>
              <w:spacing w:line="360" w:lineRule="auto"/>
              <w:jc w:val="center"/>
              <w:rPr>
                <w:color w:val="auto"/>
              </w:rPr>
            </w:pPr>
            <w:r>
              <w:rPr>
                <w:color w:val="auto"/>
              </w:rPr>
              <w:t>检测项目</w:t>
            </w:r>
          </w:p>
        </w:tc>
        <w:tc>
          <w:tcPr>
            <w:tcW w:w="726" w:type="pct"/>
          </w:tcPr>
          <w:p>
            <w:pPr>
              <w:spacing w:line="360" w:lineRule="auto"/>
              <w:jc w:val="center"/>
              <w:rPr>
                <w:color w:val="auto"/>
              </w:rPr>
            </w:pPr>
            <w:r>
              <w:rPr>
                <w:color w:val="auto"/>
              </w:rPr>
              <w:t>技术要求</w:t>
            </w:r>
          </w:p>
        </w:tc>
        <w:tc>
          <w:tcPr>
            <w:tcW w:w="1000" w:type="pct"/>
          </w:tcPr>
          <w:p>
            <w:pPr>
              <w:spacing w:line="360" w:lineRule="auto"/>
              <w:jc w:val="center"/>
              <w:rPr>
                <w:color w:val="auto"/>
              </w:rPr>
            </w:pPr>
            <w:r>
              <w:rPr>
                <w:color w:val="auto"/>
                <w:sz w:val="24"/>
                <w:szCs w:val="24"/>
              </w:rPr>
              <w:t>型式检验</w:t>
            </w:r>
          </w:p>
        </w:tc>
        <w:tc>
          <w:tcPr>
            <w:tcW w:w="1002" w:type="pct"/>
          </w:tcPr>
          <w:p>
            <w:pPr>
              <w:spacing w:line="360" w:lineRule="auto"/>
              <w:jc w:val="center"/>
              <w:rPr>
                <w:color w:val="auto"/>
              </w:rPr>
            </w:pPr>
            <w:r>
              <w:rPr>
                <w:color w:val="auto"/>
                <w:sz w:val="24"/>
                <w:szCs w:val="24"/>
              </w:rPr>
              <w:t>出厂检验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54" w:type="pct"/>
          </w:tcPr>
          <w:p>
            <w:pPr>
              <w:spacing w:line="360" w:lineRule="auto"/>
              <w:jc w:val="center"/>
              <w:rPr>
                <w:color w:val="auto"/>
              </w:rPr>
            </w:pPr>
            <w:r>
              <w:rPr>
                <w:color w:val="auto"/>
              </w:rPr>
              <w:t>1</w:t>
            </w:r>
          </w:p>
        </w:tc>
        <w:tc>
          <w:tcPr>
            <w:tcW w:w="1817" w:type="pct"/>
          </w:tcPr>
          <w:p>
            <w:pPr>
              <w:spacing w:line="360" w:lineRule="auto"/>
              <w:jc w:val="center"/>
              <w:rPr>
                <w:color w:val="auto"/>
              </w:rPr>
            </w:pPr>
            <w:r>
              <w:rPr>
                <w:color w:val="auto"/>
              </w:rPr>
              <w:t>初凝时间</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.1.1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color w:val="auto"/>
              </w:rPr>
              <w:t>2</w:t>
            </w:r>
          </w:p>
        </w:tc>
        <w:tc>
          <w:tcPr>
            <w:tcW w:w="1817" w:type="pct"/>
          </w:tcPr>
          <w:p>
            <w:pPr>
              <w:spacing w:line="360" w:lineRule="auto"/>
              <w:jc w:val="center"/>
              <w:rPr>
                <w:color w:val="auto"/>
              </w:rPr>
            </w:pPr>
            <w:r>
              <w:rPr>
                <w:color w:val="auto"/>
              </w:rPr>
              <w:t>抗压强度</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.1.1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color w:val="auto"/>
              </w:rPr>
              <w:t>3</w:t>
            </w:r>
          </w:p>
        </w:tc>
        <w:tc>
          <w:tcPr>
            <w:tcW w:w="1817" w:type="pct"/>
          </w:tcPr>
          <w:p>
            <w:pPr>
              <w:spacing w:line="360" w:lineRule="auto"/>
              <w:jc w:val="center"/>
              <w:rPr>
                <w:color w:val="auto"/>
              </w:rPr>
            </w:pPr>
            <w:r>
              <w:rPr>
                <w:color w:val="auto"/>
              </w:rPr>
              <w:t>抗折强度</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.1.1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454" w:type="pct"/>
          </w:tcPr>
          <w:p>
            <w:pPr>
              <w:spacing w:line="360" w:lineRule="auto"/>
              <w:jc w:val="center"/>
              <w:rPr>
                <w:color w:val="auto"/>
              </w:rPr>
            </w:pPr>
            <w:r>
              <w:rPr>
                <w:color w:val="auto"/>
              </w:rPr>
              <w:t>4</w:t>
            </w:r>
          </w:p>
        </w:tc>
        <w:tc>
          <w:tcPr>
            <w:tcW w:w="1817" w:type="pct"/>
          </w:tcPr>
          <w:p>
            <w:pPr>
              <w:spacing w:line="360" w:lineRule="auto"/>
              <w:jc w:val="center"/>
              <w:rPr>
                <w:color w:val="auto"/>
              </w:rPr>
            </w:pPr>
            <w:r>
              <w:rPr>
                <w:color w:val="auto"/>
              </w:rPr>
              <w:t>1d与基准混凝土黏结强度</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.1.1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vAlign w:val="center"/>
          </w:tcPr>
          <w:p>
            <w:pPr>
              <w:spacing w:line="360" w:lineRule="auto"/>
              <w:jc w:val="center"/>
              <w:rPr>
                <w:color w:val="auto"/>
              </w:rPr>
            </w:pPr>
            <w:r>
              <w:rPr>
                <w:rFonts w:hint="eastAsia"/>
                <w:color w:val="auto"/>
              </w:rPr>
              <w:t>5</w:t>
            </w:r>
          </w:p>
        </w:tc>
        <w:tc>
          <w:tcPr>
            <w:tcW w:w="1817" w:type="pct"/>
            <w:vAlign w:val="center"/>
          </w:tcPr>
          <w:p>
            <w:pPr>
              <w:spacing w:line="360" w:lineRule="auto"/>
              <w:jc w:val="center"/>
              <w:rPr>
                <w:color w:val="auto"/>
              </w:rPr>
            </w:pPr>
            <w:r>
              <w:rPr>
                <w:rFonts w:hint="eastAsia"/>
                <w:color w:val="auto"/>
              </w:rPr>
              <w:t>弯曲韧性</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.1.1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color w:val="auto"/>
              </w:rPr>
              <w:t>6</w:t>
            </w:r>
          </w:p>
        </w:tc>
        <w:tc>
          <w:tcPr>
            <w:tcW w:w="1817" w:type="pct"/>
            <w:vAlign w:val="center"/>
          </w:tcPr>
          <w:p>
            <w:pPr>
              <w:spacing w:line="360" w:lineRule="auto"/>
              <w:jc w:val="center"/>
              <w:rPr>
                <w:color w:val="auto"/>
              </w:rPr>
            </w:pPr>
            <w:r>
              <w:rPr>
                <w:color w:val="auto"/>
              </w:rPr>
              <w:t>抗氯离子渗透性能</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.2.1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color w:val="auto"/>
              </w:rPr>
              <w:t>7</w:t>
            </w:r>
          </w:p>
        </w:tc>
        <w:tc>
          <w:tcPr>
            <w:tcW w:w="1817" w:type="pct"/>
            <w:vAlign w:val="center"/>
          </w:tcPr>
          <w:p>
            <w:pPr>
              <w:spacing w:line="360" w:lineRule="auto"/>
              <w:jc w:val="center"/>
              <w:rPr>
                <w:color w:val="auto"/>
              </w:rPr>
            </w:pPr>
            <w:r>
              <w:rPr>
                <w:color w:val="auto"/>
              </w:rPr>
              <w:t>抗冻性</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.2.1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54" w:type="pct"/>
          </w:tcPr>
          <w:p>
            <w:pPr>
              <w:spacing w:line="360" w:lineRule="auto"/>
              <w:jc w:val="center"/>
              <w:rPr>
                <w:color w:val="auto"/>
              </w:rPr>
            </w:pPr>
            <w:r>
              <w:rPr>
                <w:rFonts w:hint="eastAsia"/>
                <w:color w:val="auto"/>
              </w:rPr>
              <w:t>8</w:t>
            </w:r>
          </w:p>
        </w:tc>
        <w:tc>
          <w:tcPr>
            <w:tcW w:w="1817" w:type="pct"/>
            <w:vAlign w:val="center"/>
          </w:tcPr>
          <w:p>
            <w:pPr>
              <w:spacing w:line="360" w:lineRule="auto"/>
              <w:jc w:val="center"/>
              <w:rPr>
                <w:color w:val="auto"/>
              </w:rPr>
            </w:pPr>
            <w:r>
              <w:rPr>
                <w:color w:val="auto"/>
              </w:rPr>
              <w:t>磨损量</w:t>
            </w:r>
          </w:p>
        </w:tc>
        <w:tc>
          <w:tcPr>
            <w:tcW w:w="726" w:type="pct"/>
          </w:tcPr>
          <w:p>
            <w:pPr>
              <w:spacing w:line="360" w:lineRule="auto"/>
              <w:jc w:val="center"/>
              <w:rPr>
                <w:color w:val="auto"/>
              </w:rPr>
            </w:pPr>
            <w:r>
              <w:rPr>
                <w:color w:val="auto"/>
              </w:rPr>
              <w:t>表</w:t>
            </w:r>
            <w:r>
              <w:rPr>
                <w:rFonts w:hint="eastAsia"/>
                <w:color w:val="auto"/>
                <w:lang w:val="en-US" w:eastAsia="zh-CN"/>
              </w:rPr>
              <w:t>5</w:t>
            </w:r>
            <w:r>
              <w:rPr>
                <w:rFonts w:hint="eastAsia"/>
                <w:color w:val="auto"/>
              </w:rPr>
              <w:t>.2.1</w:t>
            </w:r>
          </w:p>
        </w:tc>
        <w:tc>
          <w:tcPr>
            <w:tcW w:w="1000" w:type="pct"/>
          </w:tcPr>
          <w:p>
            <w:pPr>
              <w:spacing w:line="360" w:lineRule="auto"/>
              <w:jc w:val="center"/>
              <w:rPr>
                <w:color w:val="auto"/>
              </w:rPr>
            </w:pPr>
            <w:r>
              <w:rPr>
                <w:color w:val="auto"/>
              </w:rPr>
              <w:t>+</w:t>
            </w:r>
          </w:p>
        </w:tc>
        <w:tc>
          <w:tcPr>
            <w:tcW w:w="1002" w:type="pct"/>
          </w:tcPr>
          <w:p>
            <w:pPr>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tcPr>
          <w:p>
            <w:pPr>
              <w:spacing w:line="360" w:lineRule="auto"/>
              <w:rPr>
                <w:color w:val="auto"/>
              </w:rPr>
            </w:pPr>
            <w:r>
              <w:rPr>
                <w:rFonts w:hint="eastAsia"/>
                <w:color w:val="auto"/>
              </w:rPr>
              <w:t>注:“+”表示必检项目,“-”表示免检项目。</w:t>
            </w:r>
          </w:p>
        </w:tc>
      </w:tr>
    </w:tbl>
    <w:p>
      <w:pPr>
        <w:spacing w:line="360" w:lineRule="auto"/>
        <w:jc w:val="center"/>
        <w:outlineLvl w:val="1"/>
        <w:rPr>
          <w:rFonts w:hint="eastAsia" w:ascii="黑体" w:hAnsi="黑体" w:eastAsia="黑体" w:cs="黑体"/>
          <w:b/>
          <w:color w:val="auto"/>
          <w:sz w:val="24"/>
          <w:szCs w:val="24"/>
        </w:rPr>
      </w:pPr>
      <w:bookmarkStart w:id="91" w:name="_Toc11335"/>
      <w:bookmarkStart w:id="92" w:name="_Toc21351"/>
      <w:r>
        <w:rPr>
          <w:rFonts w:hint="eastAsia" w:ascii="黑体" w:hAnsi="黑体" w:eastAsia="黑体" w:cs="黑体"/>
          <w:b/>
          <w:color w:val="auto"/>
          <w:sz w:val="24"/>
          <w:szCs w:val="24"/>
        </w:rPr>
        <w:t>8.3  批量与抽样</w:t>
      </w:r>
      <w:bookmarkEnd w:id="91"/>
      <w:bookmarkEnd w:id="92"/>
    </w:p>
    <w:p>
      <w:pPr>
        <w:spacing w:line="360" w:lineRule="auto"/>
        <w:rPr>
          <w:b/>
          <w:bCs/>
          <w:color w:val="auto"/>
          <w:sz w:val="24"/>
          <w:szCs w:val="24"/>
        </w:rPr>
      </w:pPr>
      <w:r>
        <w:rPr>
          <w:rFonts w:hint="eastAsia"/>
          <w:b/>
          <w:bCs/>
          <w:color w:val="auto"/>
          <w:sz w:val="24"/>
          <w:szCs w:val="24"/>
        </w:rPr>
        <w:t>8.3.1</w:t>
      </w:r>
      <w:r>
        <w:rPr>
          <w:b/>
          <w:bCs/>
          <w:color w:val="auto"/>
          <w:sz w:val="24"/>
          <w:szCs w:val="24"/>
        </w:rPr>
        <w:t xml:space="preserve">  </w:t>
      </w:r>
      <w:r>
        <w:rPr>
          <w:rFonts w:hint="eastAsia"/>
          <w:color w:val="auto"/>
          <w:kern w:val="2"/>
          <w:sz w:val="24"/>
          <w:szCs w:val="24"/>
        </w:rPr>
        <w:t>按</w:t>
      </w:r>
      <w:r>
        <w:rPr>
          <w:color w:val="auto"/>
          <w:sz w:val="24"/>
        </w:rPr>
        <w:t>《</w:t>
      </w:r>
      <w:r>
        <w:rPr>
          <w:rFonts w:hint="eastAsia"/>
          <w:color w:val="auto"/>
          <w:sz w:val="24"/>
        </w:rPr>
        <w:t>公路工程水泥混凝土用快速修补材料第1部分:水泥基修补材料</w:t>
      </w:r>
      <w:r>
        <w:rPr>
          <w:color w:val="auto"/>
          <w:sz w:val="24"/>
        </w:rPr>
        <w:t>》</w:t>
      </w:r>
      <w:r>
        <w:rPr>
          <w:color w:val="auto"/>
          <w:kern w:val="2"/>
          <w:sz w:val="24"/>
          <w:szCs w:val="24"/>
        </w:rPr>
        <w:t>JT/T 1211.1</w:t>
      </w:r>
      <w:r>
        <w:rPr>
          <w:rFonts w:hint="eastAsia"/>
          <w:color w:val="auto"/>
          <w:sz w:val="24"/>
          <w:szCs w:val="24"/>
        </w:rPr>
        <w:t>以相同原料、相同生产工艺、同一类型、稳定连续生产的产品50t为一个检验批；稳定连续生产产量不足50t亦为一个检验批。水泥、矿物掺合料等其他原材料的检验批量应符合现行国家标准《混凝土质量控制标准》GB 50164的有关规定。</w:t>
      </w:r>
    </w:p>
    <w:p>
      <w:pPr>
        <w:spacing w:line="360" w:lineRule="auto"/>
        <w:rPr>
          <w:b/>
          <w:bCs/>
          <w:color w:val="auto"/>
          <w:sz w:val="24"/>
          <w:szCs w:val="24"/>
        </w:rPr>
      </w:pPr>
      <w:r>
        <w:rPr>
          <w:rFonts w:hint="eastAsia"/>
          <w:b/>
          <w:bCs/>
          <w:color w:val="auto"/>
          <w:sz w:val="24"/>
          <w:szCs w:val="24"/>
        </w:rPr>
        <w:t>8.3.2</w:t>
      </w:r>
      <w:r>
        <w:rPr>
          <w:b/>
          <w:bCs/>
          <w:color w:val="auto"/>
          <w:sz w:val="24"/>
          <w:szCs w:val="24"/>
        </w:rPr>
        <w:t xml:space="preserve">  </w:t>
      </w:r>
      <w:r>
        <w:rPr>
          <w:rFonts w:hint="eastAsia"/>
          <w:color w:val="auto"/>
          <w:kern w:val="2"/>
          <w:sz w:val="24"/>
          <w:szCs w:val="24"/>
        </w:rPr>
        <w:t xml:space="preserve">按 </w:t>
      </w:r>
      <w:r>
        <w:rPr>
          <w:color w:val="auto"/>
          <w:sz w:val="24"/>
        </w:rPr>
        <w:t>《</w:t>
      </w:r>
      <w:r>
        <w:rPr>
          <w:rFonts w:hint="eastAsia"/>
          <w:color w:val="auto"/>
          <w:sz w:val="24"/>
        </w:rPr>
        <w:t>水泥取样方法</w:t>
      </w:r>
      <w:r>
        <w:rPr>
          <w:color w:val="auto"/>
          <w:sz w:val="24"/>
        </w:rPr>
        <w:t>》</w:t>
      </w:r>
      <w:r>
        <w:rPr>
          <w:rFonts w:hint="eastAsia"/>
          <w:color w:val="auto"/>
          <w:kern w:val="2"/>
          <w:sz w:val="24"/>
          <w:szCs w:val="24"/>
        </w:rPr>
        <w:t>GB/T12573的方法对修补材料进行取样。取样应具有代表性，可连续取，也可从不少于20 袋的不同部位取等量样品，总量不少于12kg。</w:t>
      </w:r>
    </w:p>
    <w:p>
      <w:pPr>
        <w:spacing w:line="360" w:lineRule="auto"/>
        <w:jc w:val="center"/>
        <w:outlineLvl w:val="1"/>
        <w:rPr>
          <w:rFonts w:hint="eastAsia" w:ascii="黑体" w:hAnsi="黑体" w:eastAsia="黑体" w:cs="黑体"/>
          <w:b/>
          <w:color w:val="auto"/>
          <w:sz w:val="24"/>
          <w:szCs w:val="24"/>
        </w:rPr>
      </w:pPr>
      <w:bookmarkStart w:id="93" w:name="_Toc3025"/>
      <w:bookmarkStart w:id="94" w:name="_Toc3238"/>
      <w:r>
        <w:rPr>
          <w:rFonts w:hint="eastAsia" w:ascii="黑体" w:hAnsi="黑体" w:eastAsia="黑体" w:cs="黑体"/>
          <w:b/>
          <w:color w:val="auto"/>
          <w:sz w:val="24"/>
          <w:szCs w:val="24"/>
        </w:rPr>
        <w:t>8.4  判定规则</w:t>
      </w:r>
      <w:bookmarkEnd w:id="93"/>
      <w:bookmarkEnd w:id="94"/>
    </w:p>
    <w:p>
      <w:pPr>
        <w:spacing w:line="360" w:lineRule="auto"/>
        <w:rPr>
          <w:color w:val="auto"/>
        </w:rPr>
      </w:pPr>
      <w:r>
        <w:rPr>
          <w:rFonts w:hint="eastAsia"/>
          <w:b/>
          <w:bCs/>
          <w:color w:val="auto"/>
          <w:kern w:val="2"/>
          <w:sz w:val="24"/>
          <w:szCs w:val="24"/>
        </w:rPr>
        <w:t>8.4.1</w:t>
      </w:r>
      <w:r>
        <w:rPr>
          <w:rFonts w:hint="eastAsia"/>
          <w:color w:val="auto"/>
          <w:kern w:val="2"/>
          <w:sz w:val="24"/>
          <w:szCs w:val="24"/>
        </w:rPr>
        <w:t xml:space="preserve">  根据表8.2.1检验项目，</w:t>
      </w:r>
      <w:r>
        <w:rPr>
          <w:rFonts w:ascii="宋体" w:hAnsi="宋体"/>
          <w:color w:val="auto"/>
          <w:kern w:val="44"/>
          <w:sz w:val="24"/>
          <w:szCs w:val="24"/>
        </w:rPr>
        <w:t>出厂检验和型式检验的</w:t>
      </w:r>
      <w:r>
        <w:rPr>
          <w:rFonts w:hint="eastAsia" w:ascii="宋体" w:hAnsi="宋体"/>
          <w:color w:val="auto"/>
          <w:kern w:val="44"/>
          <w:sz w:val="24"/>
          <w:szCs w:val="24"/>
        </w:rPr>
        <w:t>必须</w:t>
      </w:r>
      <w:r>
        <w:rPr>
          <w:rFonts w:ascii="宋体" w:hAnsi="宋体"/>
          <w:color w:val="auto"/>
          <w:kern w:val="44"/>
          <w:sz w:val="24"/>
          <w:szCs w:val="24"/>
        </w:rPr>
        <w:t>所有项目若全部合格则判定为该批次产品合格</w:t>
      </w:r>
      <w:r>
        <w:rPr>
          <w:rFonts w:hint="eastAsia" w:ascii="宋体" w:hAnsi="宋体"/>
          <w:color w:val="auto"/>
          <w:kern w:val="44"/>
          <w:sz w:val="24"/>
          <w:szCs w:val="24"/>
        </w:rPr>
        <w:t>；</w:t>
      </w:r>
      <w:r>
        <w:rPr>
          <w:rFonts w:ascii="宋体" w:hAnsi="宋体"/>
          <w:color w:val="auto"/>
          <w:kern w:val="44"/>
          <w:sz w:val="24"/>
          <w:szCs w:val="24"/>
        </w:rPr>
        <w:t>若有一项指标不符合要求</w:t>
      </w:r>
      <w:r>
        <w:rPr>
          <w:rFonts w:hint="eastAsia" w:ascii="宋体" w:hAnsi="宋体"/>
          <w:color w:val="auto"/>
          <w:kern w:val="44"/>
          <w:sz w:val="24"/>
          <w:szCs w:val="24"/>
        </w:rPr>
        <w:t>，</w:t>
      </w:r>
      <w:r>
        <w:rPr>
          <w:rFonts w:ascii="宋体" w:hAnsi="宋体"/>
          <w:color w:val="auto"/>
          <w:kern w:val="44"/>
          <w:sz w:val="24"/>
          <w:szCs w:val="24"/>
        </w:rPr>
        <w:t>允许在该检验批样品中加倍抽样进行单项复验。若复验全部达到要求</w:t>
      </w:r>
      <w:r>
        <w:rPr>
          <w:rFonts w:hint="eastAsia" w:ascii="宋体" w:hAnsi="宋体"/>
          <w:color w:val="auto"/>
          <w:kern w:val="44"/>
          <w:sz w:val="24"/>
          <w:szCs w:val="24"/>
        </w:rPr>
        <w:t>，</w:t>
      </w:r>
      <w:r>
        <w:rPr>
          <w:rFonts w:ascii="宋体" w:hAnsi="宋体"/>
          <w:color w:val="auto"/>
          <w:kern w:val="44"/>
          <w:sz w:val="24"/>
          <w:szCs w:val="24"/>
        </w:rPr>
        <w:t>则判定该检验批产品合格</w:t>
      </w:r>
      <w:r>
        <w:rPr>
          <w:rFonts w:hint="eastAsia" w:ascii="宋体" w:hAnsi="宋体"/>
          <w:color w:val="auto"/>
          <w:kern w:val="44"/>
          <w:sz w:val="24"/>
          <w:szCs w:val="24"/>
        </w:rPr>
        <w:t>；</w:t>
      </w:r>
      <w:r>
        <w:rPr>
          <w:rFonts w:ascii="宋体" w:hAnsi="宋体"/>
          <w:color w:val="auto"/>
          <w:kern w:val="44"/>
          <w:sz w:val="24"/>
          <w:szCs w:val="24"/>
        </w:rPr>
        <w:t>若仍有一项达不到规定要求</w:t>
      </w:r>
      <w:r>
        <w:rPr>
          <w:rFonts w:hint="eastAsia" w:ascii="宋体" w:hAnsi="宋体"/>
          <w:color w:val="auto"/>
          <w:kern w:val="44"/>
          <w:sz w:val="24"/>
          <w:szCs w:val="24"/>
        </w:rPr>
        <w:t>，</w:t>
      </w:r>
      <w:r>
        <w:rPr>
          <w:rFonts w:ascii="宋体" w:hAnsi="宋体"/>
          <w:color w:val="auto"/>
          <w:kern w:val="44"/>
          <w:sz w:val="24"/>
          <w:szCs w:val="24"/>
        </w:rPr>
        <w:t>则应判</w:t>
      </w:r>
      <w:r>
        <w:rPr>
          <w:rFonts w:hint="eastAsia" w:ascii="宋体" w:hAnsi="宋体"/>
          <w:color w:val="auto"/>
          <w:kern w:val="44"/>
          <w:sz w:val="24"/>
          <w:szCs w:val="24"/>
        </w:rPr>
        <w:t>定</w:t>
      </w:r>
      <w:r>
        <w:rPr>
          <w:rFonts w:ascii="宋体" w:hAnsi="宋体"/>
          <w:color w:val="auto"/>
          <w:kern w:val="44"/>
          <w:sz w:val="24"/>
          <w:szCs w:val="24"/>
        </w:rPr>
        <w:t>该检验批产品不合格。</w:t>
      </w:r>
    </w:p>
    <w:p>
      <w:pPr>
        <w:spacing w:line="360" w:lineRule="auto"/>
        <w:rPr>
          <w:color w:val="auto"/>
        </w:rPr>
      </w:pPr>
      <w:r>
        <w:rPr>
          <w:rFonts w:hint="eastAsia"/>
          <w:b/>
          <w:bCs/>
          <w:color w:val="auto"/>
          <w:kern w:val="2"/>
          <w:sz w:val="24"/>
          <w:szCs w:val="24"/>
        </w:rPr>
        <w:t>8.4.2</w:t>
      </w:r>
      <w:r>
        <w:rPr>
          <w:rFonts w:hint="eastAsia"/>
          <w:color w:val="auto"/>
          <w:kern w:val="2"/>
          <w:sz w:val="24"/>
          <w:szCs w:val="24"/>
        </w:rPr>
        <w:t xml:space="preserve">  </w:t>
      </w:r>
      <w:r>
        <w:rPr>
          <w:rFonts w:hint="eastAsia" w:ascii="宋体" w:hAnsi="宋体"/>
          <w:color w:val="auto"/>
          <w:kern w:val="44"/>
          <w:sz w:val="24"/>
          <w:szCs w:val="24"/>
        </w:rPr>
        <w:t>复验样品应采用不吸湿密封方式封存。如果使用单位要求现场取样，应在生产和使用单位及第三方人员在场的情况下于现场取具有代表性的样品。</w:t>
      </w:r>
    </w:p>
    <w:p>
      <w:pPr>
        <w:spacing w:line="360" w:lineRule="auto"/>
        <w:rPr>
          <w:b/>
          <w:bCs/>
          <w:color w:val="auto"/>
          <w:kern w:val="44"/>
          <w:sz w:val="30"/>
          <w:szCs w:val="30"/>
        </w:rPr>
      </w:pPr>
      <w:r>
        <w:rPr>
          <w:rFonts w:hint="eastAsia"/>
          <w:b/>
          <w:bCs/>
          <w:color w:val="auto"/>
          <w:kern w:val="44"/>
          <w:sz w:val="30"/>
          <w:szCs w:val="30"/>
        </w:rPr>
        <w:br w:type="page"/>
      </w:r>
    </w:p>
    <w:p>
      <w:pPr>
        <w:spacing w:line="360" w:lineRule="auto"/>
        <w:jc w:val="center"/>
        <w:outlineLvl w:val="0"/>
        <w:rPr>
          <w:b/>
          <w:bCs/>
          <w:color w:val="auto"/>
          <w:kern w:val="44"/>
          <w:sz w:val="30"/>
          <w:szCs w:val="30"/>
        </w:rPr>
      </w:pPr>
      <w:bookmarkStart w:id="95" w:name="_Toc203504450"/>
      <w:bookmarkStart w:id="96" w:name="_Toc31440"/>
      <w:bookmarkStart w:id="97" w:name="_Toc6979"/>
      <w:r>
        <w:rPr>
          <w:rFonts w:hint="eastAsia"/>
          <w:b/>
          <w:bCs/>
          <w:color w:val="auto"/>
          <w:kern w:val="44"/>
          <w:sz w:val="30"/>
          <w:szCs w:val="30"/>
        </w:rPr>
        <w:t>9</w:t>
      </w:r>
      <w:r>
        <w:rPr>
          <w:b/>
          <w:bCs/>
          <w:color w:val="auto"/>
          <w:kern w:val="44"/>
          <w:sz w:val="30"/>
          <w:szCs w:val="30"/>
        </w:rPr>
        <w:t xml:space="preserve">  </w:t>
      </w:r>
      <w:r>
        <w:rPr>
          <w:rFonts w:hint="eastAsia"/>
          <w:b/>
          <w:bCs/>
          <w:color w:val="auto"/>
          <w:kern w:val="44"/>
          <w:sz w:val="30"/>
          <w:szCs w:val="30"/>
        </w:rPr>
        <w:t>标志、包装、运输与储存</w:t>
      </w:r>
      <w:bookmarkEnd w:id="86"/>
      <w:bookmarkEnd w:id="95"/>
      <w:bookmarkEnd w:id="96"/>
      <w:bookmarkEnd w:id="97"/>
    </w:p>
    <w:p>
      <w:pPr>
        <w:spacing w:line="360" w:lineRule="auto"/>
        <w:jc w:val="center"/>
        <w:outlineLvl w:val="1"/>
        <w:rPr>
          <w:rFonts w:hint="eastAsia" w:ascii="黑体" w:hAnsi="黑体" w:eastAsia="黑体" w:cs="黑体"/>
          <w:b/>
          <w:color w:val="auto"/>
          <w:sz w:val="24"/>
          <w:szCs w:val="24"/>
        </w:rPr>
      </w:pPr>
      <w:bookmarkStart w:id="98" w:name="_Toc26126"/>
      <w:bookmarkStart w:id="99" w:name="_Toc21489"/>
      <w:r>
        <w:rPr>
          <w:rFonts w:hint="eastAsia" w:ascii="黑体" w:hAnsi="黑体" w:eastAsia="黑体" w:cs="黑体"/>
          <w:b/>
          <w:color w:val="auto"/>
          <w:sz w:val="24"/>
          <w:szCs w:val="24"/>
        </w:rPr>
        <w:t>9.1  标志和包装</w:t>
      </w:r>
      <w:bookmarkEnd w:id="98"/>
      <w:bookmarkEnd w:id="99"/>
    </w:p>
    <w:p>
      <w:pPr>
        <w:spacing w:line="360" w:lineRule="auto"/>
        <w:rPr>
          <w:color w:val="auto"/>
          <w:sz w:val="24"/>
          <w:szCs w:val="24"/>
        </w:rPr>
      </w:pPr>
      <w:r>
        <w:rPr>
          <w:rFonts w:hint="eastAsia"/>
          <w:b/>
          <w:bCs/>
          <w:color w:val="auto"/>
          <w:kern w:val="2"/>
          <w:sz w:val="24"/>
          <w:szCs w:val="24"/>
        </w:rPr>
        <w:t>9.1.1</w:t>
      </w:r>
      <w:r>
        <w:rPr>
          <w:rFonts w:hint="eastAsia"/>
          <w:color w:val="auto"/>
          <w:sz w:val="24"/>
          <w:szCs w:val="24"/>
        </w:rPr>
        <w:t xml:space="preserve">  包装袋上应清楚标明：产品名称，型号、净质量、执行标准号，生产厂家名称和地址，出厂编号、包装日期（年、月、日）保质储存期以及严防受潮等字样。</w:t>
      </w:r>
    </w:p>
    <w:p>
      <w:pPr>
        <w:spacing w:line="360" w:lineRule="auto"/>
        <w:jc w:val="center"/>
        <w:outlineLvl w:val="1"/>
        <w:rPr>
          <w:rFonts w:hint="eastAsia" w:ascii="黑体" w:hAnsi="黑体" w:eastAsia="黑体" w:cs="黑体"/>
          <w:b/>
          <w:color w:val="auto"/>
          <w:sz w:val="24"/>
          <w:szCs w:val="24"/>
        </w:rPr>
      </w:pPr>
      <w:bookmarkStart w:id="100" w:name="_Toc10593"/>
      <w:bookmarkStart w:id="101" w:name="_Toc28854"/>
      <w:r>
        <w:rPr>
          <w:rFonts w:hint="eastAsia" w:ascii="黑体" w:hAnsi="黑体" w:eastAsia="黑体" w:cs="黑体"/>
          <w:b/>
          <w:color w:val="auto"/>
          <w:sz w:val="24"/>
          <w:szCs w:val="24"/>
        </w:rPr>
        <w:t>9.2  运输与储存</w:t>
      </w:r>
      <w:bookmarkEnd w:id="100"/>
      <w:bookmarkEnd w:id="101"/>
    </w:p>
    <w:p>
      <w:pPr>
        <w:spacing w:line="360" w:lineRule="auto"/>
        <w:rPr>
          <w:color w:val="auto"/>
          <w:kern w:val="2"/>
          <w:sz w:val="24"/>
          <w:szCs w:val="24"/>
        </w:rPr>
      </w:pPr>
      <w:r>
        <w:rPr>
          <w:rFonts w:hint="eastAsia"/>
          <w:b/>
          <w:bCs/>
          <w:color w:val="auto"/>
          <w:kern w:val="2"/>
          <w:sz w:val="24"/>
          <w:szCs w:val="24"/>
        </w:rPr>
        <w:t xml:space="preserve">9.2.1  </w:t>
      </w:r>
      <w:r>
        <w:rPr>
          <w:rFonts w:hint="eastAsia"/>
          <w:color w:val="auto"/>
          <w:kern w:val="2"/>
          <w:sz w:val="24"/>
          <w:szCs w:val="24"/>
        </w:rPr>
        <w:t>产品在运输与储存时，不得受潮和混入杂物，不同品种产品应分别储存，不得混杂。运输和储存应符合</w:t>
      </w:r>
      <w:r>
        <w:rPr>
          <w:color w:val="auto"/>
          <w:sz w:val="24"/>
        </w:rPr>
        <w:t>《</w:t>
      </w:r>
      <w:r>
        <w:rPr>
          <w:rFonts w:hint="eastAsia"/>
          <w:color w:val="auto"/>
          <w:sz w:val="24"/>
        </w:rPr>
        <w:t>公路工程水泥混凝土用快速修补材料第1部分:水泥基修补材料</w:t>
      </w:r>
      <w:r>
        <w:rPr>
          <w:color w:val="auto"/>
          <w:sz w:val="24"/>
        </w:rPr>
        <w:t>》</w:t>
      </w:r>
      <w:r>
        <w:rPr>
          <w:color w:val="auto"/>
          <w:kern w:val="2"/>
          <w:sz w:val="24"/>
          <w:szCs w:val="24"/>
        </w:rPr>
        <w:t>JT/T 1211.1</w:t>
      </w:r>
      <w:r>
        <w:rPr>
          <w:rFonts w:hint="eastAsia"/>
          <w:color w:val="auto"/>
          <w:kern w:val="2"/>
          <w:sz w:val="24"/>
          <w:szCs w:val="24"/>
        </w:rPr>
        <w:t>相关规定。</w:t>
      </w:r>
    </w:p>
    <w:p>
      <w:pPr>
        <w:spacing w:line="360" w:lineRule="auto"/>
        <w:rPr>
          <w:b/>
          <w:bCs/>
          <w:color w:val="auto"/>
          <w:kern w:val="44"/>
          <w:sz w:val="30"/>
          <w:szCs w:val="30"/>
        </w:rPr>
      </w:pPr>
      <w:r>
        <w:rPr>
          <w:rFonts w:hint="eastAsia"/>
          <w:b/>
          <w:bCs/>
          <w:color w:val="auto"/>
          <w:kern w:val="44"/>
          <w:sz w:val="30"/>
          <w:szCs w:val="30"/>
        </w:rPr>
        <w:br w:type="page"/>
      </w:r>
      <w:bookmarkEnd w:id="51"/>
      <w:bookmarkStart w:id="102" w:name="_Toc514680092"/>
      <w:bookmarkStart w:id="103" w:name="_Toc517704880"/>
      <w:bookmarkStart w:id="104" w:name="_Toc25850"/>
      <w:bookmarkStart w:id="105" w:name="_Toc303873176"/>
      <w:bookmarkStart w:id="106" w:name="_Toc345416578"/>
      <w:bookmarkStart w:id="107" w:name="_Toc303868322"/>
      <w:bookmarkStart w:id="108" w:name="_Toc334205084"/>
      <w:bookmarkStart w:id="109" w:name="_Toc345323578"/>
      <w:bookmarkStart w:id="110" w:name="_Toc303868567"/>
    </w:p>
    <w:p>
      <w:pPr>
        <w:keepNext/>
        <w:keepLines/>
        <w:tabs>
          <w:tab w:val="left" w:pos="3165"/>
          <w:tab w:val="center" w:pos="4153"/>
        </w:tabs>
        <w:spacing w:before="159" w:beforeLines="50" w:line="360" w:lineRule="auto"/>
        <w:jc w:val="center"/>
        <w:outlineLvl w:val="0"/>
        <w:rPr>
          <w:b/>
          <w:bCs/>
          <w:color w:val="auto"/>
          <w:kern w:val="44"/>
          <w:sz w:val="30"/>
          <w:szCs w:val="30"/>
        </w:rPr>
      </w:pPr>
      <w:bookmarkStart w:id="111" w:name="_Toc203504451"/>
      <w:bookmarkStart w:id="112" w:name="_Toc25481"/>
      <w:bookmarkStart w:id="113" w:name="_Toc19543"/>
      <w:r>
        <w:rPr>
          <w:b/>
          <w:bCs/>
          <w:color w:val="auto"/>
          <w:kern w:val="44"/>
          <w:sz w:val="30"/>
          <w:szCs w:val="30"/>
        </w:rPr>
        <w:t>本规程用词说明</w:t>
      </w:r>
      <w:bookmarkEnd w:id="102"/>
      <w:bookmarkEnd w:id="103"/>
      <w:bookmarkEnd w:id="111"/>
      <w:bookmarkEnd w:id="112"/>
      <w:bookmarkEnd w:id="113"/>
    </w:p>
    <w:p>
      <w:pPr>
        <w:spacing w:line="360" w:lineRule="auto"/>
        <w:rPr>
          <w:color w:val="auto"/>
        </w:rPr>
      </w:pPr>
    </w:p>
    <w:p>
      <w:pPr>
        <w:spacing w:before="159" w:beforeLines="50" w:line="360" w:lineRule="auto"/>
        <w:ind w:firstLine="482" w:firstLineChars="200"/>
        <w:rPr>
          <w:color w:val="auto"/>
          <w:sz w:val="24"/>
          <w:szCs w:val="24"/>
        </w:rPr>
      </w:pPr>
      <w:r>
        <w:rPr>
          <w:b/>
          <w:color w:val="auto"/>
          <w:sz w:val="24"/>
          <w:szCs w:val="24"/>
        </w:rPr>
        <w:t>1</w:t>
      </w:r>
      <w:r>
        <w:rPr>
          <w:color w:val="auto"/>
          <w:sz w:val="24"/>
          <w:szCs w:val="24"/>
        </w:rPr>
        <w:t xml:space="preserve">  为便于在执行本规程条文时区别对待，对要求严格程度不同的用词说明如下：</w:t>
      </w:r>
    </w:p>
    <w:p>
      <w:pPr>
        <w:spacing w:before="159" w:beforeLines="50" w:line="360" w:lineRule="auto"/>
        <w:ind w:firstLine="840" w:firstLineChars="350"/>
        <w:rPr>
          <w:color w:val="auto"/>
          <w:sz w:val="24"/>
          <w:szCs w:val="24"/>
        </w:rPr>
      </w:pPr>
      <w:r>
        <w:rPr>
          <w:color w:val="auto"/>
          <w:sz w:val="24"/>
          <w:szCs w:val="24"/>
        </w:rPr>
        <w:t>1）表示很严格，非这样做不可的：</w:t>
      </w:r>
    </w:p>
    <w:p>
      <w:pPr>
        <w:spacing w:before="159" w:beforeLines="50" w:line="360" w:lineRule="auto"/>
        <w:ind w:firstLine="1200" w:firstLineChars="500"/>
        <w:rPr>
          <w:color w:val="auto"/>
          <w:sz w:val="24"/>
          <w:szCs w:val="24"/>
        </w:rPr>
      </w:pPr>
      <w:r>
        <w:rPr>
          <w:color w:val="auto"/>
          <w:sz w:val="24"/>
          <w:szCs w:val="24"/>
        </w:rPr>
        <w:t>正面词采用“必须”，反面词采用“严禁”；</w:t>
      </w:r>
    </w:p>
    <w:p>
      <w:pPr>
        <w:spacing w:before="159" w:beforeLines="50" w:line="360" w:lineRule="auto"/>
        <w:ind w:firstLine="840" w:firstLineChars="350"/>
        <w:rPr>
          <w:color w:val="auto"/>
          <w:sz w:val="24"/>
          <w:szCs w:val="24"/>
        </w:rPr>
      </w:pPr>
      <w:r>
        <w:rPr>
          <w:color w:val="auto"/>
          <w:sz w:val="24"/>
          <w:szCs w:val="24"/>
        </w:rPr>
        <w:t>2）表示严格，在正常情况下均应这样做的：</w:t>
      </w:r>
    </w:p>
    <w:p>
      <w:pPr>
        <w:spacing w:before="159" w:beforeLines="50" w:line="360" w:lineRule="auto"/>
        <w:ind w:firstLine="1200" w:firstLineChars="500"/>
        <w:rPr>
          <w:color w:val="auto"/>
          <w:sz w:val="24"/>
          <w:szCs w:val="24"/>
        </w:rPr>
      </w:pPr>
      <w:r>
        <w:rPr>
          <w:color w:val="auto"/>
          <w:sz w:val="24"/>
          <w:szCs w:val="24"/>
        </w:rPr>
        <w:t>正面词采用“应”，反面词采用“不应”或“不得”；</w:t>
      </w:r>
    </w:p>
    <w:p>
      <w:pPr>
        <w:spacing w:before="159" w:beforeLines="50" w:line="360" w:lineRule="auto"/>
        <w:ind w:firstLine="840" w:firstLineChars="350"/>
        <w:rPr>
          <w:color w:val="auto"/>
          <w:sz w:val="24"/>
          <w:szCs w:val="24"/>
        </w:rPr>
      </w:pPr>
      <w:r>
        <w:rPr>
          <w:color w:val="auto"/>
          <w:sz w:val="24"/>
          <w:szCs w:val="24"/>
        </w:rPr>
        <w:t>3）表示允许稍有选择，在条件许可时，首先应这样做的：</w:t>
      </w:r>
    </w:p>
    <w:p>
      <w:pPr>
        <w:spacing w:before="159" w:beforeLines="50" w:line="360" w:lineRule="auto"/>
        <w:ind w:firstLine="1200" w:firstLineChars="500"/>
        <w:rPr>
          <w:color w:val="auto"/>
          <w:sz w:val="24"/>
          <w:szCs w:val="24"/>
        </w:rPr>
      </w:pPr>
      <w:r>
        <w:rPr>
          <w:color w:val="auto"/>
          <w:sz w:val="24"/>
          <w:szCs w:val="24"/>
        </w:rPr>
        <w:t>正面词采用“宜”，反面词采用“不宜”；</w:t>
      </w:r>
    </w:p>
    <w:p>
      <w:pPr>
        <w:spacing w:before="159" w:beforeLines="50" w:line="360" w:lineRule="auto"/>
        <w:ind w:firstLine="840" w:firstLineChars="350"/>
        <w:rPr>
          <w:color w:val="auto"/>
          <w:sz w:val="24"/>
          <w:szCs w:val="24"/>
        </w:rPr>
      </w:pPr>
      <w:r>
        <w:rPr>
          <w:color w:val="auto"/>
          <w:sz w:val="24"/>
          <w:szCs w:val="24"/>
        </w:rPr>
        <w:t>4）表示有选择，在一定条件下可以这样做的，采用“可”。</w:t>
      </w:r>
    </w:p>
    <w:p>
      <w:pPr>
        <w:spacing w:before="159" w:beforeLines="50" w:line="360" w:lineRule="auto"/>
        <w:ind w:firstLine="482" w:firstLineChars="200"/>
        <w:rPr>
          <w:color w:val="auto"/>
          <w:sz w:val="24"/>
          <w:szCs w:val="24"/>
        </w:rPr>
      </w:pPr>
      <w:r>
        <w:rPr>
          <w:b/>
          <w:color w:val="auto"/>
          <w:sz w:val="24"/>
          <w:szCs w:val="24"/>
        </w:rPr>
        <w:t>2</w:t>
      </w:r>
      <w:r>
        <w:rPr>
          <w:color w:val="auto"/>
          <w:sz w:val="24"/>
          <w:szCs w:val="24"/>
        </w:rPr>
        <w:t xml:space="preserve">  条文中指明应按其他有关标准执行的写法为：“应符合……的规定”或“应按……执行”。</w:t>
      </w:r>
    </w:p>
    <w:p>
      <w:pPr>
        <w:spacing w:line="360" w:lineRule="auto"/>
        <w:rPr>
          <w:color w:val="auto"/>
        </w:rPr>
      </w:pPr>
    </w:p>
    <w:bookmarkEnd w:id="104"/>
    <w:bookmarkEnd w:id="105"/>
    <w:bookmarkEnd w:id="106"/>
    <w:bookmarkEnd w:id="107"/>
    <w:bookmarkEnd w:id="108"/>
    <w:bookmarkEnd w:id="109"/>
    <w:bookmarkEnd w:id="110"/>
    <w:p>
      <w:pPr>
        <w:keepNext/>
        <w:keepLines/>
        <w:tabs>
          <w:tab w:val="left" w:pos="3165"/>
          <w:tab w:val="center" w:pos="4153"/>
        </w:tabs>
        <w:spacing w:before="159" w:beforeLines="50" w:line="360" w:lineRule="auto"/>
        <w:jc w:val="center"/>
        <w:outlineLvl w:val="0"/>
        <w:rPr>
          <w:b/>
          <w:bCs/>
          <w:color w:val="auto"/>
          <w:kern w:val="44"/>
          <w:sz w:val="30"/>
          <w:szCs w:val="30"/>
        </w:rPr>
      </w:pPr>
      <w:r>
        <w:rPr>
          <w:color w:val="auto"/>
        </w:rPr>
        <w:br w:type="page"/>
      </w:r>
      <w:bookmarkStart w:id="114" w:name="_Toc11992"/>
      <w:bookmarkStart w:id="115" w:name="_Toc20631"/>
      <w:bookmarkStart w:id="116" w:name="_Toc517704881"/>
      <w:bookmarkStart w:id="117" w:name="_Toc203504452"/>
      <w:r>
        <w:rPr>
          <w:b/>
          <w:bCs/>
          <w:color w:val="auto"/>
          <w:kern w:val="44"/>
          <w:sz w:val="30"/>
          <w:szCs w:val="30"/>
        </w:rPr>
        <w:t>引用标准名录</w:t>
      </w:r>
      <w:bookmarkEnd w:id="114"/>
      <w:bookmarkEnd w:id="115"/>
      <w:bookmarkEnd w:id="116"/>
      <w:bookmarkEnd w:id="117"/>
    </w:p>
    <w:p>
      <w:pPr>
        <w:pStyle w:val="8"/>
        <w:spacing w:line="360" w:lineRule="auto"/>
        <w:ind w:firstLine="480" w:firstLineChars="200"/>
        <w:rPr>
          <w:rFonts w:ascii="Times New Roman" w:hAnsi="Times New Roman"/>
          <w:color w:val="auto"/>
          <w:sz w:val="24"/>
          <w:szCs w:val="24"/>
          <w:lang w:val="en-US"/>
        </w:rPr>
      </w:pPr>
      <w:r>
        <w:rPr>
          <w:rFonts w:hint="eastAsia" w:ascii="Times New Roman" w:hAnsi="Times New Roman"/>
          <w:color w:val="auto"/>
          <w:sz w:val="24"/>
          <w:szCs w:val="24"/>
          <w:lang w:val="en-US"/>
        </w:rPr>
        <w:t>下列文件对于本文件的应用是必不可少的。凡是注日期的引用文件，仅注日期的版本适用于本文件。凡是不注日期的引用文件，其最新版本（包括所有的修改单）适用于本文件。</w:t>
      </w:r>
    </w:p>
    <w:p>
      <w:pPr>
        <w:snapToGrid w:val="0"/>
        <w:spacing w:line="360" w:lineRule="auto"/>
        <w:rPr>
          <w:bCs/>
          <w:color w:val="auto"/>
          <w:sz w:val="24"/>
          <w:szCs w:val="24"/>
        </w:rPr>
      </w:pPr>
      <w:r>
        <w:rPr>
          <w:bCs/>
          <w:color w:val="auto"/>
          <w:sz w:val="24"/>
          <w:szCs w:val="24"/>
        </w:rPr>
        <w:t>《普通混凝土拌合物性能试验方法标准》 GB/T 50080</w:t>
      </w:r>
    </w:p>
    <w:p>
      <w:pPr>
        <w:snapToGrid w:val="0"/>
        <w:spacing w:line="360" w:lineRule="auto"/>
        <w:rPr>
          <w:bCs/>
          <w:color w:val="auto"/>
          <w:sz w:val="24"/>
          <w:szCs w:val="24"/>
        </w:rPr>
      </w:pPr>
      <w:r>
        <w:rPr>
          <w:bCs/>
          <w:color w:val="auto"/>
          <w:sz w:val="24"/>
          <w:szCs w:val="24"/>
        </w:rPr>
        <w:t>《混凝土物理力学性能试验方法标准》 GB/T 50081</w:t>
      </w:r>
    </w:p>
    <w:p>
      <w:pPr>
        <w:snapToGrid w:val="0"/>
        <w:spacing w:line="360" w:lineRule="auto"/>
        <w:rPr>
          <w:bCs/>
          <w:color w:val="auto"/>
          <w:sz w:val="24"/>
          <w:szCs w:val="24"/>
        </w:rPr>
      </w:pPr>
      <w:r>
        <w:rPr>
          <w:bCs/>
          <w:color w:val="auto"/>
          <w:sz w:val="24"/>
          <w:szCs w:val="24"/>
        </w:rPr>
        <w:t>《混凝土强度检验评定标准》 GB/T 50107</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《通用硅酸盐水泥》 GB 175</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rPr>
        <w:t>《硫铝酸盐水泥》</w:t>
      </w:r>
      <w:r>
        <w:rPr>
          <w:rFonts w:hint="eastAsia" w:ascii="Times New Roman" w:hAnsi="Times New Roman"/>
          <w:color w:val="auto"/>
          <w:sz w:val="24"/>
          <w:szCs w:val="24"/>
          <w:lang w:val="en-US"/>
        </w:rPr>
        <w:t xml:space="preserve"> </w:t>
      </w:r>
      <w:r>
        <w:rPr>
          <w:rFonts w:hint="eastAsia" w:ascii="Times New Roman" w:hAnsi="Times New Roman"/>
          <w:color w:val="auto"/>
          <w:sz w:val="24"/>
          <w:szCs w:val="24"/>
        </w:rPr>
        <w:t>GB20472</w:t>
      </w:r>
    </w:p>
    <w:p>
      <w:pPr>
        <w:pStyle w:val="8"/>
        <w:spacing w:line="360" w:lineRule="auto"/>
        <w:rPr>
          <w:rFonts w:ascii="Times New Roman" w:hAnsi="Times New Roman"/>
          <w:color w:val="auto"/>
          <w:sz w:val="24"/>
          <w:szCs w:val="24"/>
        </w:rPr>
      </w:pPr>
      <w:r>
        <w:rPr>
          <w:rFonts w:hint="eastAsia" w:ascii="Times New Roman" w:hAnsi="Times New Roman"/>
          <w:color w:val="auto"/>
          <w:sz w:val="24"/>
          <w:szCs w:val="24"/>
        </w:rPr>
        <w:t>《</w:t>
      </w:r>
      <w:r>
        <w:rPr>
          <w:rFonts w:ascii="Times New Roman" w:hAnsi="Times New Roman"/>
          <w:color w:val="auto"/>
          <w:sz w:val="24"/>
          <w:szCs w:val="24"/>
        </w:rPr>
        <w:t>用于水泥和混凝土中的粒化高炉矿渣粉</w:t>
      </w:r>
      <w:r>
        <w:rPr>
          <w:rFonts w:hint="eastAsia" w:ascii="Times New Roman" w:hAnsi="Times New Roman"/>
          <w:color w:val="auto"/>
          <w:sz w:val="24"/>
          <w:szCs w:val="24"/>
        </w:rPr>
        <w:t>》</w:t>
      </w:r>
      <w:r>
        <w:rPr>
          <w:rFonts w:hint="eastAsia" w:ascii="Times New Roman" w:hAnsi="Times New Roman"/>
          <w:color w:val="auto"/>
          <w:sz w:val="24"/>
          <w:szCs w:val="24"/>
          <w:lang w:val="en-US"/>
        </w:rPr>
        <w:t xml:space="preserve"> </w:t>
      </w:r>
      <w:r>
        <w:rPr>
          <w:rFonts w:ascii="Times New Roman" w:hAnsi="Times New Roman"/>
          <w:color w:val="auto"/>
          <w:sz w:val="24"/>
          <w:szCs w:val="24"/>
        </w:rPr>
        <w:t>GB/T 18046</w:t>
      </w:r>
      <w:r>
        <w:rPr>
          <w:rFonts w:hint="eastAsia" w:ascii="Times New Roman" w:hAnsi="Times New Roman"/>
          <w:color w:val="auto"/>
          <w:sz w:val="24"/>
          <w:szCs w:val="24"/>
          <w:lang w:val="en-US"/>
        </w:rPr>
        <w:t xml:space="preserve"> </w:t>
      </w:r>
    </w:p>
    <w:p>
      <w:pPr>
        <w:pStyle w:val="8"/>
        <w:spacing w:line="360" w:lineRule="auto"/>
        <w:rPr>
          <w:rFonts w:ascii="Times New Roman" w:hAnsi="Times New Roman"/>
          <w:color w:val="auto"/>
          <w:sz w:val="24"/>
        </w:rPr>
      </w:pPr>
      <w:r>
        <w:rPr>
          <w:rFonts w:hint="eastAsia" w:ascii="Times New Roman" w:hAnsi="Times New Roman"/>
          <w:color w:val="auto"/>
          <w:sz w:val="24"/>
        </w:rPr>
        <w:t>《</w:t>
      </w:r>
      <w:r>
        <w:rPr>
          <w:rFonts w:ascii="Times New Roman" w:hAnsi="Times New Roman"/>
          <w:color w:val="auto"/>
          <w:sz w:val="24"/>
        </w:rPr>
        <w:t>建设用砂</w:t>
      </w:r>
      <w:r>
        <w:rPr>
          <w:rFonts w:hint="eastAsia" w:ascii="Times New Roman" w:hAnsi="Times New Roman"/>
          <w:color w:val="auto"/>
          <w:sz w:val="24"/>
        </w:rPr>
        <w:t>》</w:t>
      </w:r>
      <w:r>
        <w:rPr>
          <w:rFonts w:hint="eastAsia" w:ascii="Times New Roman" w:hAnsi="Times New Roman"/>
          <w:color w:val="auto"/>
          <w:sz w:val="24"/>
          <w:lang w:val="en-US"/>
        </w:rPr>
        <w:t xml:space="preserve"> </w:t>
      </w:r>
      <w:r>
        <w:rPr>
          <w:rFonts w:ascii="Times New Roman" w:hAnsi="Times New Roman"/>
          <w:color w:val="auto"/>
          <w:sz w:val="24"/>
        </w:rPr>
        <w:t>GB/T 14684</w:t>
      </w:r>
      <w:r>
        <w:rPr>
          <w:rFonts w:hint="eastAsia" w:ascii="Times New Roman" w:hAnsi="Times New Roman"/>
          <w:color w:val="auto"/>
          <w:sz w:val="24"/>
          <w:lang w:val="en-US"/>
        </w:rPr>
        <w:t xml:space="preserve"> </w:t>
      </w:r>
    </w:p>
    <w:p>
      <w:pPr>
        <w:spacing w:line="360" w:lineRule="auto"/>
        <w:rPr>
          <w:color w:val="auto"/>
          <w:sz w:val="24"/>
          <w:lang w:val="zh-CN"/>
        </w:rPr>
      </w:pPr>
      <w:r>
        <w:rPr>
          <w:rFonts w:hint="eastAsia"/>
          <w:color w:val="auto"/>
          <w:sz w:val="24"/>
          <w:szCs w:val="24"/>
        </w:rPr>
        <w:t>《</w:t>
      </w:r>
      <w:r>
        <w:rPr>
          <w:color w:val="auto"/>
          <w:sz w:val="24"/>
          <w:szCs w:val="24"/>
        </w:rPr>
        <w:t>混凝土外加剂</w:t>
      </w:r>
      <w:r>
        <w:rPr>
          <w:rFonts w:hint="eastAsia"/>
          <w:color w:val="auto"/>
          <w:sz w:val="24"/>
          <w:szCs w:val="24"/>
        </w:rPr>
        <w:t>》</w:t>
      </w:r>
      <w:r>
        <w:rPr>
          <w:color w:val="auto"/>
          <w:sz w:val="24"/>
          <w:szCs w:val="24"/>
        </w:rPr>
        <w:t>GB 8076</w:t>
      </w:r>
      <w:r>
        <w:rPr>
          <w:rFonts w:hint="eastAsia"/>
          <w:color w:val="auto"/>
          <w:sz w:val="24"/>
          <w:szCs w:val="24"/>
        </w:rPr>
        <w:t xml:space="preserve"> </w:t>
      </w:r>
    </w:p>
    <w:p>
      <w:pPr>
        <w:pStyle w:val="8"/>
        <w:spacing w:line="360" w:lineRule="auto"/>
        <w:rPr>
          <w:rFonts w:ascii="Times New Roman" w:hAnsi="Times New Roman"/>
          <w:color w:val="auto"/>
          <w:sz w:val="24"/>
          <w:szCs w:val="24"/>
        </w:rPr>
      </w:pPr>
      <w:r>
        <w:rPr>
          <w:rFonts w:hint="eastAsia" w:ascii="Times New Roman" w:hAnsi="Times New Roman"/>
          <w:color w:val="auto"/>
          <w:sz w:val="24"/>
          <w:szCs w:val="24"/>
          <w:lang w:val="en-US"/>
        </w:rPr>
        <w:t>《</w:t>
      </w:r>
      <w:r>
        <w:rPr>
          <w:rFonts w:ascii="Times New Roman" w:hAnsi="Times New Roman"/>
          <w:color w:val="auto"/>
          <w:sz w:val="24"/>
          <w:szCs w:val="24"/>
        </w:rPr>
        <w:t>混凝土外加剂应用技术规范</w:t>
      </w:r>
      <w:r>
        <w:rPr>
          <w:rFonts w:hint="eastAsia" w:ascii="Times New Roman" w:hAnsi="Times New Roman"/>
          <w:color w:val="auto"/>
          <w:sz w:val="24"/>
          <w:szCs w:val="24"/>
        </w:rPr>
        <w:t>》</w:t>
      </w:r>
      <w:r>
        <w:rPr>
          <w:rFonts w:ascii="Times New Roman" w:hAnsi="Times New Roman"/>
          <w:color w:val="auto"/>
          <w:sz w:val="24"/>
          <w:szCs w:val="24"/>
        </w:rPr>
        <w:t>GB 50119</w:t>
      </w:r>
      <w:r>
        <w:rPr>
          <w:rFonts w:hint="eastAsia" w:ascii="Times New Roman" w:hAnsi="Times New Roman"/>
          <w:color w:val="auto"/>
          <w:sz w:val="24"/>
          <w:szCs w:val="24"/>
          <w:lang w:val="en-US"/>
        </w:rPr>
        <w:t xml:space="preserve"> </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rPr>
        <w:t>《水泥混凝土和砂浆用合成纤维》GB/T 21120</w:t>
      </w:r>
      <w:r>
        <w:rPr>
          <w:rFonts w:hint="eastAsia" w:ascii="Times New Roman" w:hAnsi="Times New Roman"/>
          <w:color w:val="auto"/>
          <w:sz w:val="24"/>
          <w:szCs w:val="24"/>
          <w:lang w:val="en-US"/>
        </w:rPr>
        <w:t xml:space="preserve"> </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rPr>
        <w:t>《</w:t>
      </w:r>
      <w:r>
        <w:rPr>
          <w:rFonts w:ascii="Times New Roman" w:hAnsi="Times New Roman"/>
          <w:color w:val="auto"/>
          <w:sz w:val="24"/>
          <w:szCs w:val="24"/>
        </w:rPr>
        <w:t>混</w:t>
      </w:r>
      <w:r>
        <w:rPr>
          <w:rFonts w:hint="eastAsia" w:ascii="Times New Roman" w:hAnsi="Times New Roman"/>
          <w:color w:val="auto"/>
          <w:sz w:val="24"/>
          <w:szCs w:val="24"/>
        </w:rPr>
        <w:t>凝土结构通用规范》</w:t>
      </w:r>
      <w:r>
        <w:rPr>
          <w:rFonts w:ascii="Times New Roman" w:hAnsi="Times New Roman"/>
          <w:color w:val="auto"/>
          <w:sz w:val="24"/>
          <w:szCs w:val="24"/>
        </w:rPr>
        <w:t>GB 55008</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《混凝土结构耐久性设计标准》GB/T 50476</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《用于水泥和混凝土中的粉煤灰》GB/T</w:t>
      </w:r>
      <w:r>
        <w:rPr>
          <w:rFonts w:ascii="Times New Roman" w:hAnsi="Times New Roman"/>
          <w:color w:val="auto"/>
          <w:sz w:val="24"/>
          <w:szCs w:val="24"/>
          <w:lang w:val="en-US"/>
        </w:rPr>
        <w:t xml:space="preserve"> </w:t>
      </w:r>
      <w:r>
        <w:rPr>
          <w:rFonts w:hint="eastAsia" w:ascii="Times New Roman" w:hAnsi="Times New Roman"/>
          <w:color w:val="auto"/>
          <w:sz w:val="24"/>
          <w:szCs w:val="24"/>
          <w:lang w:val="en-US"/>
        </w:rPr>
        <w:t>1596</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《水泥胶砂强度检验方法(ISO法)》GB/T 17671</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《混凝土长期性能和耐久性能试验方法标准》GB/T50082</w:t>
      </w:r>
    </w:p>
    <w:p>
      <w:pPr>
        <w:pStyle w:val="8"/>
        <w:spacing w:line="360" w:lineRule="auto"/>
        <w:rPr>
          <w:rFonts w:ascii="Times New Roman" w:hAnsi="Times New Roman"/>
          <w:color w:val="auto"/>
          <w:sz w:val="24"/>
          <w:szCs w:val="24"/>
        </w:rPr>
      </w:pPr>
      <w:r>
        <w:rPr>
          <w:rFonts w:hint="eastAsia" w:ascii="Times New Roman" w:hAnsi="Times New Roman"/>
          <w:color w:val="auto"/>
          <w:sz w:val="24"/>
          <w:szCs w:val="24"/>
        </w:rPr>
        <w:t>《预拌混凝土》</w:t>
      </w:r>
      <w:r>
        <w:rPr>
          <w:rFonts w:ascii="Times New Roman" w:hAnsi="Times New Roman"/>
          <w:color w:val="auto"/>
          <w:sz w:val="24"/>
          <w:szCs w:val="24"/>
        </w:rPr>
        <w:t>GB/T 14902</w:t>
      </w:r>
    </w:p>
    <w:p>
      <w:pPr>
        <w:snapToGrid w:val="0"/>
        <w:spacing w:line="360" w:lineRule="auto"/>
        <w:rPr>
          <w:bCs/>
          <w:color w:val="auto"/>
          <w:sz w:val="24"/>
          <w:szCs w:val="24"/>
        </w:rPr>
      </w:pPr>
      <w:r>
        <w:rPr>
          <w:bCs/>
          <w:color w:val="auto"/>
          <w:sz w:val="24"/>
          <w:szCs w:val="24"/>
        </w:rPr>
        <w:t>《普通混凝土配合比设计规程》 JGJ 55</w:t>
      </w:r>
    </w:p>
    <w:p>
      <w:pPr>
        <w:snapToGrid w:val="0"/>
        <w:spacing w:line="360" w:lineRule="auto"/>
        <w:rPr>
          <w:bCs/>
          <w:color w:val="auto"/>
          <w:sz w:val="24"/>
          <w:szCs w:val="24"/>
        </w:rPr>
      </w:pPr>
      <w:r>
        <w:rPr>
          <w:bCs/>
          <w:color w:val="auto"/>
          <w:sz w:val="24"/>
          <w:szCs w:val="24"/>
        </w:rPr>
        <w:t>《混凝土用水标准》 JGJ 63</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 xml:space="preserve">《工程结构加固材料安全性鉴定技术规范》GB50728 </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rPr>
        <w:t>《混凝土用复合掺合料》</w:t>
      </w:r>
      <w:r>
        <w:rPr>
          <w:rFonts w:ascii="Times New Roman" w:hAnsi="Times New Roman"/>
          <w:color w:val="auto"/>
          <w:sz w:val="24"/>
          <w:szCs w:val="24"/>
          <w:lang w:val="en-US"/>
        </w:rPr>
        <w:t>JG/T 486</w:t>
      </w:r>
    </w:p>
    <w:p>
      <w:pPr>
        <w:pStyle w:val="8"/>
        <w:spacing w:line="360" w:lineRule="auto"/>
        <w:rPr>
          <w:rFonts w:ascii="Times New Roman" w:hAnsi="Times New Roman"/>
          <w:color w:val="auto"/>
          <w:sz w:val="24"/>
          <w:szCs w:val="24"/>
        </w:rPr>
      </w:pPr>
      <w:r>
        <w:rPr>
          <w:rFonts w:hint="eastAsia" w:ascii="Times New Roman" w:hAnsi="Times New Roman"/>
          <w:color w:val="auto"/>
          <w:sz w:val="24"/>
          <w:szCs w:val="24"/>
        </w:rPr>
        <w:t>《建筑砂浆基本性能试验方法标准》</w:t>
      </w:r>
      <w:r>
        <w:rPr>
          <w:rFonts w:hint="eastAsia" w:ascii="Times New Roman" w:hAnsi="Times New Roman"/>
          <w:color w:val="auto"/>
          <w:sz w:val="24"/>
          <w:szCs w:val="24"/>
          <w:lang w:val="en-US"/>
        </w:rPr>
        <w:t>JGJ/T 70-09</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《水泥胶砂耐磨性试验方法》</w:t>
      </w:r>
      <w:r>
        <w:rPr>
          <w:rFonts w:ascii="Times New Roman" w:hAnsi="Times New Roman"/>
          <w:color w:val="auto"/>
          <w:sz w:val="24"/>
          <w:szCs w:val="24"/>
          <w:lang w:val="en-US"/>
        </w:rPr>
        <w:t>JC/T 421</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w:t>
      </w:r>
      <w:r>
        <w:rPr>
          <w:rFonts w:ascii="Times New Roman" w:hAnsi="Times New Roman"/>
          <w:color w:val="auto"/>
          <w:sz w:val="24"/>
          <w:szCs w:val="24"/>
          <w:lang w:val="en-US"/>
        </w:rPr>
        <w:t>公路路基施工技术规范</w:t>
      </w:r>
      <w:r>
        <w:rPr>
          <w:rFonts w:hint="eastAsia" w:ascii="Times New Roman" w:hAnsi="Times New Roman"/>
          <w:color w:val="auto"/>
          <w:sz w:val="24"/>
          <w:szCs w:val="24"/>
          <w:lang w:val="en-US"/>
        </w:rPr>
        <w:t>》</w:t>
      </w:r>
      <w:r>
        <w:rPr>
          <w:rFonts w:ascii="Times New Roman" w:hAnsi="Times New Roman"/>
          <w:color w:val="auto"/>
          <w:sz w:val="24"/>
          <w:szCs w:val="24"/>
          <w:lang w:val="en-US"/>
        </w:rPr>
        <w:t>JTG F10</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 xml:space="preserve">《公路工程水泥及水泥混凝土试验规程》JTG 3420-2020 </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w:t>
      </w:r>
      <w:r>
        <w:rPr>
          <w:rFonts w:ascii="Times New Roman" w:hAnsi="Times New Roman"/>
          <w:color w:val="auto"/>
          <w:sz w:val="24"/>
          <w:szCs w:val="24"/>
          <w:lang w:val="en-US"/>
        </w:rPr>
        <w:t>公</w:t>
      </w:r>
      <w:r>
        <w:rPr>
          <w:rFonts w:hint="eastAsia" w:ascii="Times New Roman" w:hAnsi="Times New Roman"/>
          <w:color w:val="auto"/>
          <w:sz w:val="24"/>
          <w:szCs w:val="24"/>
          <w:lang w:val="en-US"/>
        </w:rPr>
        <w:t>路水泥混凝土路面设计规范》</w:t>
      </w:r>
      <w:r>
        <w:rPr>
          <w:rFonts w:ascii="Times New Roman" w:hAnsi="Times New Roman"/>
          <w:color w:val="auto"/>
          <w:sz w:val="24"/>
          <w:szCs w:val="24"/>
          <w:lang w:val="en-US"/>
        </w:rPr>
        <w:t xml:space="preserve">JTG D40-2011 </w:t>
      </w:r>
    </w:p>
    <w:p>
      <w:pPr>
        <w:pStyle w:val="8"/>
        <w:spacing w:line="360" w:lineRule="auto"/>
        <w:rPr>
          <w:rFonts w:ascii="Times New Roman" w:hAnsi="Times New Roman"/>
          <w:color w:val="auto"/>
          <w:sz w:val="24"/>
          <w:szCs w:val="24"/>
          <w:lang w:val="en-US"/>
        </w:rPr>
      </w:pPr>
      <w:r>
        <w:rPr>
          <w:rFonts w:hint="eastAsia" w:ascii="Times New Roman" w:hAnsi="Times New Roman"/>
          <w:color w:val="auto"/>
          <w:sz w:val="24"/>
          <w:szCs w:val="24"/>
          <w:lang w:val="en-US"/>
        </w:rPr>
        <w:t>《公路工程水泥混凝土用快速修补材料第1部分:水泥基修补材料》</w:t>
      </w:r>
      <w:r>
        <w:rPr>
          <w:rFonts w:ascii="Times New Roman" w:hAnsi="Times New Roman"/>
          <w:color w:val="auto"/>
          <w:sz w:val="24"/>
          <w:szCs w:val="24"/>
          <w:lang w:val="en-US"/>
        </w:rPr>
        <w:t>JT/1211.1-2018</w:t>
      </w:r>
    </w:p>
    <w:p>
      <w:pPr>
        <w:spacing w:line="360" w:lineRule="auto"/>
        <w:rPr>
          <w:color w:val="auto"/>
          <w:sz w:val="24"/>
          <w:szCs w:val="24"/>
        </w:rPr>
      </w:pPr>
      <w:r>
        <w:rPr>
          <w:rFonts w:hint="eastAsia"/>
          <w:color w:val="auto"/>
          <w:sz w:val="24"/>
          <w:szCs w:val="24"/>
        </w:rPr>
        <w:t xml:space="preserve">《水泥混凝土试件制作与硬化水泥混凝土现场取样方法》T0551-2005 </w:t>
      </w:r>
    </w:p>
    <w:p>
      <w:pPr>
        <w:spacing w:line="360" w:lineRule="auto"/>
        <w:rPr>
          <w:color w:val="auto"/>
          <w:sz w:val="24"/>
          <w:lang w:val="zh-CN"/>
        </w:rPr>
      </w:pPr>
      <w:r>
        <w:rPr>
          <w:rFonts w:hint="eastAsia"/>
          <w:color w:val="auto"/>
          <w:sz w:val="24"/>
          <w:lang w:val="zh-CN"/>
        </w:rPr>
        <w:t>《公路水泥混凝土路面施工技术细则》JTG/T F30</w:t>
      </w:r>
      <w:r>
        <w:rPr>
          <w:rFonts w:hint="eastAsia"/>
          <w:color w:val="auto"/>
          <w:sz w:val="24"/>
        </w:rPr>
        <w:t xml:space="preserve"> </w:t>
      </w:r>
    </w:p>
    <w:p>
      <w:pPr>
        <w:spacing w:line="360" w:lineRule="auto"/>
        <w:rPr>
          <w:color w:val="auto"/>
          <w:sz w:val="24"/>
          <w:lang w:val="zh-CN"/>
        </w:rPr>
      </w:pPr>
      <w:r>
        <w:rPr>
          <w:rFonts w:hint="eastAsia"/>
          <w:color w:val="auto"/>
          <w:sz w:val="24"/>
          <w:lang w:val="zh-CN"/>
        </w:rPr>
        <w:t>《</w:t>
      </w:r>
      <w:r>
        <w:rPr>
          <w:color w:val="auto"/>
          <w:sz w:val="24"/>
          <w:lang w:val="zh-CN"/>
        </w:rPr>
        <w:t>建设用卵石、碎石</w:t>
      </w:r>
      <w:r>
        <w:rPr>
          <w:rFonts w:hint="eastAsia"/>
          <w:color w:val="auto"/>
          <w:sz w:val="24"/>
          <w:lang w:val="zh-CN"/>
        </w:rPr>
        <w:t>》</w:t>
      </w:r>
      <w:r>
        <w:rPr>
          <w:color w:val="auto"/>
          <w:sz w:val="24"/>
          <w:lang w:val="zh-CN"/>
        </w:rPr>
        <w:t>GB/T 14685</w:t>
      </w:r>
      <w:r>
        <w:rPr>
          <w:rFonts w:hint="eastAsia"/>
          <w:color w:val="auto"/>
          <w:sz w:val="24"/>
        </w:rPr>
        <w:t xml:space="preserve"> </w:t>
      </w:r>
    </w:p>
    <w:p>
      <w:pPr>
        <w:spacing w:line="360" w:lineRule="auto"/>
        <w:rPr>
          <w:color w:val="auto"/>
          <w:sz w:val="24"/>
        </w:rPr>
      </w:pPr>
      <w:r>
        <w:rPr>
          <w:rFonts w:hint="eastAsia"/>
          <w:color w:val="auto"/>
          <w:sz w:val="24"/>
        </w:rPr>
        <w:t>《工程结构加固材料安全性鉴定技术规范》</w:t>
      </w:r>
      <w:r>
        <w:rPr>
          <w:rFonts w:hint="eastAsia"/>
          <w:color w:val="auto"/>
          <w:sz w:val="24"/>
          <w:szCs w:val="24"/>
        </w:rPr>
        <w:t>GB 50728-2011</w:t>
      </w:r>
    </w:p>
    <w:p>
      <w:pPr>
        <w:spacing w:line="360" w:lineRule="auto"/>
        <w:rPr>
          <w:color w:val="auto"/>
          <w:kern w:val="2"/>
          <w:sz w:val="24"/>
          <w:szCs w:val="24"/>
        </w:rPr>
      </w:pPr>
      <w:r>
        <w:rPr>
          <w:rFonts w:hint="eastAsia"/>
          <w:color w:val="auto"/>
          <w:kern w:val="2"/>
          <w:sz w:val="24"/>
          <w:szCs w:val="24"/>
        </w:rPr>
        <w:t xml:space="preserve">《水泥取样方法》GB/T12573 </w:t>
      </w:r>
    </w:p>
    <w:p>
      <w:pPr>
        <w:spacing w:line="360" w:lineRule="auto"/>
        <w:rPr>
          <w:color w:val="auto"/>
          <w:sz w:val="24"/>
        </w:rPr>
      </w:pPr>
      <w:r>
        <w:rPr>
          <w:color w:val="auto"/>
          <w:sz w:val="24"/>
        </w:rPr>
        <w:t>《混凝土质量控制标准》GB 50164</w:t>
      </w:r>
    </w:p>
    <w:p>
      <w:pPr>
        <w:spacing w:line="360" w:lineRule="auto"/>
        <w:rPr>
          <w:color w:val="auto"/>
          <w:kern w:val="2"/>
          <w:sz w:val="24"/>
          <w:szCs w:val="24"/>
        </w:rPr>
      </w:pPr>
      <w:r>
        <w:rPr>
          <w:color w:val="auto"/>
          <w:sz w:val="24"/>
        </w:rPr>
        <w:t>《混凝土强度检验评定标准》GB/T 50107</w:t>
      </w:r>
    </w:p>
    <w:p>
      <w:pPr>
        <w:spacing w:line="360" w:lineRule="auto"/>
        <w:jc w:val="left"/>
        <w:rPr>
          <w:color w:val="auto"/>
          <w:sz w:val="28"/>
          <w:szCs w:val="28"/>
        </w:rPr>
      </w:pPr>
      <w:r>
        <w:rPr>
          <w:rFonts w:hint="eastAsia"/>
          <w:color w:val="auto"/>
          <w:sz w:val="24"/>
        </w:rPr>
        <w:t>《</w:t>
      </w:r>
      <w:r>
        <w:rPr>
          <w:color w:val="auto"/>
          <w:sz w:val="24"/>
        </w:rPr>
        <w:t>混凝土耐久性检验评定标准》JGJ/T 193</w:t>
      </w:r>
    </w:p>
    <w:p>
      <w:pPr>
        <w:spacing w:line="360" w:lineRule="auto"/>
        <w:jc w:val="left"/>
        <w:rPr>
          <w:color w:val="auto"/>
          <w:sz w:val="28"/>
          <w:szCs w:val="28"/>
        </w:rPr>
      </w:pPr>
      <w:r>
        <w:rPr>
          <w:rFonts w:hint="eastAsia"/>
          <w:color w:val="auto"/>
          <w:kern w:val="2"/>
          <w:sz w:val="24"/>
          <w:szCs w:val="24"/>
        </w:rPr>
        <w:t>《纤维混凝土应用技术规程》JGJ∕T 221-2010</w:t>
      </w:r>
    </w:p>
    <w:sectPr>
      <w:footerReference r:id="rId10" w:type="default"/>
      <w:footerReference r:id="rId11" w:type="even"/>
      <w:pgSz w:w="11907" w:h="16840"/>
      <w:pgMar w:top="1701" w:right="1701" w:bottom="1361" w:left="1247" w:header="737" w:footer="624" w:gutter="284"/>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7367148"/>
      <w:showingPlcHdr/>
    </w:sdtPr>
    <w:sdtEndPr>
      <w:rPr>
        <w:color w:val="auto"/>
      </w:rPr>
    </w:sdtEndPr>
    <w:sdtContent>
      <w:p>
        <w:pPr>
          <w:pStyle w:val="11"/>
          <w:jc w:val="center"/>
          <w:rPr>
            <w:color w:val="auto"/>
          </w:rPr>
        </w:pPr>
        <w:r>
          <w:rPr>
            <w:rFonts w:hint="eastAsia"/>
          </w:rPr>
          <w:t xml:space="preserve">     </w:t>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1</w: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color w:val="auto"/>
      </w:rPr>
    </w:pPr>
    <w:r>
      <w:rPr>
        <w:color w:val="auto"/>
      </w:rPr>
      <w:fldChar w:fldCharType="begin"/>
    </w:r>
    <w:r>
      <w:rPr>
        <w:color w:val="auto"/>
      </w:rPr>
      <w:instrText xml:space="preserve">PAGE   \* MERGEFORMAT</w:instrText>
    </w:r>
    <w:r>
      <w:rPr>
        <w:color w:val="auto"/>
      </w:rPr>
      <w:fldChar w:fldCharType="separate"/>
    </w:r>
    <w:r>
      <w:rPr>
        <w:color w:val="auto"/>
        <w:lang w:val="zh-CN"/>
      </w:rPr>
      <w:t>1</w:t>
    </w:r>
    <w:r>
      <w:rPr>
        <w:color w:val="auto"/>
      </w:rPr>
      <w:fldChar w:fldCharType="end"/>
    </w:r>
  </w:p>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color w:val="auto"/>
      </w:rPr>
    </w:pPr>
    <w:r>
      <w:rPr>
        <w:color w:val="auto"/>
      </w:rPr>
      <w:fldChar w:fldCharType="begin"/>
    </w:r>
    <w:r>
      <w:rPr>
        <w:color w:val="auto"/>
      </w:rPr>
      <w:instrText xml:space="preserve">PAGE   \* MERGEFORMAT</w:instrText>
    </w:r>
    <w:r>
      <w:rPr>
        <w:color w:val="auto"/>
      </w:rPr>
      <w:fldChar w:fldCharType="separate"/>
    </w:r>
    <w:r>
      <w:rPr>
        <w:color w:val="auto"/>
        <w:lang w:val="zh-CN"/>
      </w:rPr>
      <w:t>5</w:t>
    </w:r>
    <w:r>
      <w:rPr>
        <w:color w:val="auto"/>
      </w:rPr>
      <w:fldChar w:fldCharType="end"/>
    </w:r>
  </w:p>
  <w:p>
    <w:pPr>
      <w:pStyle w:val="1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0"/>
        <w:color w:val="auto"/>
      </w:rPr>
    </w:pPr>
    <w:r>
      <w:rPr>
        <w:rStyle w:val="20"/>
        <w:color w:val="auto"/>
      </w:rPr>
      <w:fldChar w:fldCharType="begin"/>
    </w:r>
    <w:r>
      <w:rPr>
        <w:rStyle w:val="20"/>
        <w:color w:val="auto"/>
      </w:rPr>
      <w:instrText xml:space="preserve">PAGE  </w:instrText>
    </w:r>
    <w:r>
      <w:rPr>
        <w:rStyle w:val="20"/>
        <w:color w:val="auto"/>
      </w:rPr>
      <w:fldChar w:fldCharType="separate"/>
    </w:r>
    <w:r>
      <w:rPr>
        <w:rStyle w:val="20"/>
        <w:color w:val="auto"/>
      </w:rPr>
      <w:t>6</w:t>
    </w:r>
    <w:r>
      <w:rPr>
        <w:rStyle w:val="20"/>
        <w:color w:val="auto"/>
      </w:rPr>
      <w:fldChar w:fldCharType="end"/>
    </w:r>
  </w:p>
  <w:p>
    <w:pPr>
      <w:pStyle w:val="11"/>
      <w:rPr>
        <w:color w:val="000000" w:themeColor="text1"/>
        <w14:textFill>
          <w14:solidFill>
            <w14:schemeClr w14:val="tx1"/>
          </w14:solidFill>
        </w14:textFill>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0"/>
      </w:rPr>
    </w:pPr>
    <w:r>
      <w:rPr>
        <w:rStyle w:val="20"/>
      </w:rPr>
      <w:fldChar w:fldCharType="begin"/>
    </w:r>
    <w:r>
      <w:rPr>
        <w:rStyle w:val="20"/>
      </w:rPr>
      <w:instrText xml:space="preserve">PAGE  </w:instrText>
    </w:r>
    <w:r>
      <w:rPr>
        <w:rStyle w:val="20"/>
      </w:rPr>
      <w:fldChar w:fldCharType="separate"/>
    </w:r>
    <w:r>
      <w:rPr>
        <w:rStyle w:val="20"/>
      </w:rPr>
      <w:t>15</w:t>
    </w:r>
    <w:r>
      <w:rPr>
        <w:rStyle w:val="20"/>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6260FA"/>
    <w:multiLevelType w:val="multilevel"/>
    <w:tmpl w:val="646260FA"/>
    <w:lvl w:ilvl="0" w:tentative="0">
      <w:start w:val="1"/>
      <w:numFmt w:val="decimal"/>
      <w:pStyle w:val="39"/>
      <w:suff w:val="nothing"/>
      <w:lvlText w:val="表%1　"/>
      <w:lvlJc w:val="left"/>
      <w:pPr>
        <w:ind w:left="5565" w:firstLine="0"/>
      </w:pPr>
      <w:rPr>
        <w:rFonts w:hint="eastAsia" w:ascii="黑体" w:hAnsi="Times New Roman" w:eastAsia="黑体"/>
        <w:b w:val="0"/>
        <w:i w:val="0"/>
        <w:sz w:val="21"/>
      </w:rPr>
    </w:lvl>
    <w:lvl w:ilvl="1" w:tentative="0">
      <w:start w:val="1"/>
      <w:numFmt w:val="decimal"/>
      <w:lvlText w:val="%1.%2"/>
      <w:lvlJc w:val="left"/>
      <w:pPr>
        <w:tabs>
          <w:tab w:val="left" w:pos="992"/>
        </w:tabs>
        <w:ind w:left="1622" w:hanging="567"/>
      </w:pPr>
      <w:rPr>
        <w:rFonts w:hint="eastAsia"/>
      </w:rPr>
    </w:lvl>
    <w:lvl w:ilvl="2" w:tentative="0">
      <w:start w:val="1"/>
      <w:numFmt w:val="decimal"/>
      <w:lvlText w:val="%1.%2.%3"/>
      <w:lvlJc w:val="left"/>
      <w:pPr>
        <w:tabs>
          <w:tab w:val="left" w:pos="1418"/>
        </w:tabs>
        <w:ind w:left="2048" w:hanging="567"/>
      </w:pPr>
      <w:rPr>
        <w:rFonts w:hint="eastAsia"/>
      </w:rPr>
    </w:lvl>
    <w:lvl w:ilvl="3" w:tentative="0">
      <w:start w:val="1"/>
      <w:numFmt w:val="decimal"/>
      <w:lvlText w:val="%1.%2.%3.%4"/>
      <w:lvlJc w:val="left"/>
      <w:pPr>
        <w:tabs>
          <w:tab w:val="left" w:pos="1984"/>
        </w:tabs>
        <w:ind w:left="2614" w:hanging="708"/>
      </w:pPr>
      <w:rPr>
        <w:rFonts w:hint="eastAsia"/>
      </w:rPr>
    </w:lvl>
    <w:lvl w:ilvl="4" w:tentative="0">
      <w:start w:val="1"/>
      <w:numFmt w:val="decimal"/>
      <w:lvlText w:val="%1.%2.%3.%4.%5"/>
      <w:lvlJc w:val="left"/>
      <w:pPr>
        <w:tabs>
          <w:tab w:val="left" w:pos="2551"/>
        </w:tabs>
        <w:ind w:left="3181" w:hanging="850"/>
      </w:pPr>
      <w:rPr>
        <w:rFonts w:hint="eastAsia"/>
      </w:rPr>
    </w:lvl>
    <w:lvl w:ilvl="5" w:tentative="0">
      <w:start w:val="1"/>
      <w:numFmt w:val="decimal"/>
      <w:lvlText w:val="%1.%2.%3.%4.%5.%6"/>
      <w:lvlJc w:val="left"/>
      <w:pPr>
        <w:tabs>
          <w:tab w:val="left" w:pos="3260"/>
        </w:tabs>
        <w:ind w:left="3890" w:hanging="1134"/>
      </w:pPr>
      <w:rPr>
        <w:rFonts w:hint="eastAsia"/>
      </w:rPr>
    </w:lvl>
    <w:lvl w:ilvl="6" w:tentative="0">
      <w:start w:val="1"/>
      <w:numFmt w:val="decimal"/>
      <w:lvlText w:val="%1.%2.%3.%4.%5.%6.%7"/>
      <w:lvlJc w:val="left"/>
      <w:pPr>
        <w:tabs>
          <w:tab w:val="left" w:pos="3827"/>
        </w:tabs>
        <w:ind w:left="4457" w:hanging="1276"/>
      </w:pPr>
      <w:rPr>
        <w:rFonts w:hint="eastAsia"/>
      </w:rPr>
    </w:lvl>
    <w:lvl w:ilvl="7" w:tentative="0">
      <w:start w:val="1"/>
      <w:numFmt w:val="decimal"/>
      <w:lvlText w:val="%1.%2.%3.%4.%5.%6.%7.%8"/>
      <w:lvlJc w:val="left"/>
      <w:pPr>
        <w:tabs>
          <w:tab w:val="left" w:pos="4394"/>
        </w:tabs>
        <w:ind w:left="5024" w:hanging="1418"/>
      </w:pPr>
      <w:rPr>
        <w:rFonts w:hint="eastAsia"/>
      </w:rPr>
    </w:lvl>
    <w:lvl w:ilvl="8" w:tentative="0">
      <w:start w:val="1"/>
      <w:numFmt w:val="decimal"/>
      <w:lvlText w:val="%1.%2.%3.%4.%5.%6.%7.%8.%9"/>
      <w:lvlJc w:val="left"/>
      <w:pPr>
        <w:tabs>
          <w:tab w:val="left" w:pos="5102"/>
        </w:tabs>
        <w:ind w:left="573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5"/>
  <w:doNotHyphenateCaps/>
  <w:drawingGridHorizontalSpacing w:val="105"/>
  <w:drawingGridVerticalSpacing w:val="31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M2NbY0A9JmxiamBko6SsGpxcWZ+XkgBZa1AJqDYAYsAAAA"/>
    <w:docVar w:name="commondata" w:val="eyJoZGlkIjoiMTFhZmRjOGI3ZDdiNDdiMzY3MjM0ZDRlNzY5M2VlNDgifQ=="/>
  </w:docVars>
  <w:rsids>
    <w:rsidRoot w:val="00F26664"/>
    <w:rsid w:val="000041E9"/>
    <w:rsid w:val="000061CF"/>
    <w:rsid w:val="00010CC9"/>
    <w:rsid w:val="00014D4C"/>
    <w:rsid w:val="0001527C"/>
    <w:rsid w:val="00015ABC"/>
    <w:rsid w:val="00020244"/>
    <w:rsid w:val="00020F71"/>
    <w:rsid w:val="00022898"/>
    <w:rsid w:val="00022973"/>
    <w:rsid w:val="00024C7C"/>
    <w:rsid w:val="00030F46"/>
    <w:rsid w:val="000320A2"/>
    <w:rsid w:val="00033529"/>
    <w:rsid w:val="00034407"/>
    <w:rsid w:val="00035563"/>
    <w:rsid w:val="000416D8"/>
    <w:rsid w:val="00043142"/>
    <w:rsid w:val="0004765C"/>
    <w:rsid w:val="00050AC9"/>
    <w:rsid w:val="00051870"/>
    <w:rsid w:val="00054282"/>
    <w:rsid w:val="00055E5F"/>
    <w:rsid w:val="00060ABB"/>
    <w:rsid w:val="00061ECE"/>
    <w:rsid w:val="000700CE"/>
    <w:rsid w:val="0007034D"/>
    <w:rsid w:val="000758F4"/>
    <w:rsid w:val="0007748F"/>
    <w:rsid w:val="00077756"/>
    <w:rsid w:val="00080D1D"/>
    <w:rsid w:val="000856F6"/>
    <w:rsid w:val="00085CD4"/>
    <w:rsid w:val="00086DB1"/>
    <w:rsid w:val="00087127"/>
    <w:rsid w:val="000878D4"/>
    <w:rsid w:val="00087B26"/>
    <w:rsid w:val="000906C3"/>
    <w:rsid w:val="00091039"/>
    <w:rsid w:val="0009463C"/>
    <w:rsid w:val="00095DA4"/>
    <w:rsid w:val="00097DA1"/>
    <w:rsid w:val="000A3312"/>
    <w:rsid w:val="000A657C"/>
    <w:rsid w:val="000A6E8E"/>
    <w:rsid w:val="000A76F2"/>
    <w:rsid w:val="000C0119"/>
    <w:rsid w:val="000C0984"/>
    <w:rsid w:val="000C1624"/>
    <w:rsid w:val="000C2A1E"/>
    <w:rsid w:val="000C2C50"/>
    <w:rsid w:val="000C3B6D"/>
    <w:rsid w:val="000C3C85"/>
    <w:rsid w:val="000C536A"/>
    <w:rsid w:val="000C53FB"/>
    <w:rsid w:val="000C5BF9"/>
    <w:rsid w:val="000C6155"/>
    <w:rsid w:val="000C7D21"/>
    <w:rsid w:val="000D0C7E"/>
    <w:rsid w:val="000D1540"/>
    <w:rsid w:val="000D1B5F"/>
    <w:rsid w:val="000D3334"/>
    <w:rsid w:val="000D6494"/>
    <w:rsid w:val="000E455F"/>
    <w:rsid w:val="000F119C"/>
    <w:rsid w:val="000F5D8F"/>
    <w:rsid w:val="000F79CB"/>
    <w:rsid w:val="00101BE0"/>
    <w:rsid w:val="00102366"/>
    <w:rsid w:val="0010297B"/>
    <w:rsid w:val="001032A2"/>
    <w:rsid w:val="001039A9"/>
    <w:rsid w:val="00115E2B"/>
    <w:rsid w:val="00116116"/>
    <w:rsid w:val="00117D67"/>
    <w:rsid w:val="00123E3A"/>
    <w:rsid w:val="00124FC4"/>
    <w:rsid w:val="00125AFA"/>
    <w:rsid w:val="00125DDE"/>
    <w:rsid w:val="00131BC5"/>
    <w:rsid w:val="00131C59"/>
    <w:rsid w:val="00134AEA"/>
    <w:rsid w:val="00144D3B"/>
    <w:rsid w:val="00145986"/>
    <w:rsid w:val="001463D0"/>
    <w:rsid w:val="00150BF3"/>
    <w:rsid w:val="001516A1"/>
    <w:rsid w:val="00157ECD"/>
    <w:rsid w:val="00161276"/>
    <w:rsid w:val="001640A4"/>
    <w:rsid w:val="00165A3A"/>
    <w:rsid w:val="0016685B"/>
    <w:rsid w:val="00174535"/>
    <w:rsid w:val="001750A8"/>
    <w:rsid w:val="00177BB7"/>
    <w:rsid w:val="00180A18"/>
    <w:rsid w:val="00186BE4"/>
    <w:rsid w:val="001900C4"/>
    <w:rsid w:val="001931C4"/>
    <w:rsid w:val="001A1301"/>
    <w:rsid w:val="001A2C0C"/>
    <w:rsid w:val="001C282B"/>
    <w:rsid w:val="001C54AB"/>
    <w:rsid w:val="001C60A8"/>
    <w:rsid w:val="001C724C"/>
    <w:rsid w:val="001D255B"/>
    <w:rsid w:val="001D3D01"/>
    <w:rsid w:val="001D6999"/>
    <w:rsid w:val="001E053B"/>
    <w:rsid w:val="001E6CF7"/>
    <w:rsid w:val="001F0AB6"/>
    <w:rsid w:val="001F46C8"/>
    <w:rsid w:val="001F4C4A"/>
    <w:rsid w:val="001F5777"/>
    <w:rsid w:val="001F6739"/>
    <w:rsid w:val="002001B5"/>
    <w:rsid w:val="00200E05"/>
    <w:rsid w:val="002020A5"/>
    <w:rsid w:val="002025FC"/>
    <w:rsid w:val="00203E93"/>
    <w:rsid w:val="00207847"/>
    <w:rsid w:val="0021015B"/>
    <w:rsid w:val="002122B6"/>
    <w:rsid w:val="00213750"/>
    <w:rsid w:val="00213C2B"/>
    <w:rsid w:val="00214985"/>
    <w:rsid w:val="00215D87"/>
    <w:rsid w:val="002171A4"/>
    <w:rsid w:val="00220000"/>
    <w:rsid w:val="00220F0A"/>
    <w:rsid w:val="0022248F"/>
    <w:rsid w:val="002224DC"/>
    <w:rsid w:val="00222742"/>
    <w:rsid w:val="00222B69"/>
    <w:rsid w:val="00224E7C"/>
    <w:rsid w:val="00230532"/>
    <w:rsid w:val="0023172A"/>
    <w:rsid w:val="0023457E"/>
    <w:rsid w:val="002356CC"/>
    <w:rsid w:val="00237461"/>
    <w:rsid w:val="002401BF"/>
    <w:rsid w:val="002420B0"/>
    <w:rsid w:val="00242D8C"/>
    <w:rsid w:val="00243080"/>
    <w:rsid w:val="002437C7"/>
    <w:rsid w:val="00244292"/>
    <w:rsid w:val="00244B89"/>
    <w:rsid w:val="00246DA0"/>
    <w:rsid w:val="00247115"/>
    <w:rsid w:val="00247384"/>
    <w:rsid w:val="00251B2B"/>
    <w:rsid w:val="00253C7F"/>
    <w:rsid w:val="00253FCE"/>
    <w:rsid w:val="00254FCD"/>
    <w:rsid w:val="00255E23"/>
    <w:rsid w:val="00256C72"/>
    <w:rsid w:val="0026005A"/>
    <w:rsid w:val="00264104"/>
    <w:rsid w:val="0026769E"/>
    <w:rsid w:val="002678DF"/>
    <w:rsid w:val="00273176"/>
    <w:rsid w:val="0027647B"/>
    <w:rsid w:val="00276FEF"/>
    <w:rsid w:val="00277ACF"/>
    <w:rsid w:val="002813CC"/>
    <w:rsid w:val="0028697C"/>
    <w:rsid w:val="00286B8B"/>
    <w:rsid w:val="00290229"/>
    <w:rsid w:val="00290506"/>
    <w:rsid w:val="00293AF4"/>
    <w:rsid w:val="00293E3E"/>
    <w:rsid w:val="002955A2"/>
    <w:rsid w:val="002A0A82"/>
    <w:rsid w:val="002A261A"/>
    <w:rsid w:val="002A271A"/>
    <w:rsid w:val="002A3EDC"/>
    <w:rsid w:val="002A47D4"/>
    <w:rsid w:val="002A53B6"/>
    <w:rsid w:val="002B0A9D"/>
    <w:rsid w:val="002B15B3"/>
    <w:rsid w:val="002B245F"/>
    <w:rsid w:val="002B493E"/>
    <w:rsid w:val="002B4AEC"/>
    <w:rsid w:val="002B4BCA"/>
    <w:rsid w:val="002B65D1"/>
    <w:rsid w:val="002C03D8"/>
    <w:rsid w:val="002C0D3C"/>
    <w:rsid w:val="002C40B6"/>
    <w:rsid w:val="002C41A5"/>
    <w:rsid w:val="002C6FF4"/>
    <w:rsid w:val="002C79A7"/>
    <w:rsid w:val="002D0889"/>
    <w:rsid w:val="002D5384"/>
    <w:rsid w:val="002E1B47"/>
    <w:rsid w:val="002E3ACD"/>
    <w:rsid w:val="002E3C82"/>
    <w:rsid w:val="002E4701"/>
    <w:rsid w:val="002E6499"/>
    <w:rsid w:val="002E6E0F"/>
    <w:rsid w:val="002E6E66"/>
    <w:rsid w:val="002F021E"/>
    <w:rsid w:val="002F06AA"/>
    <w:rsid w:val="002F2645"/>
    <w:rsid w:val="002F629D"/>
    <w:rsid w:val="00304055"/>
    <w:rsid w:val="0030564F"/>
    <w:rsid w:val="00305A76"/>
    <w:rsid w:val="00305AC3"/>
    <w:rsid w:val="00305ADA"/>
    <w:rsid w:val="00305CDA"/>
    <w:rsid w:val="00306A41"/>
    <w:rsid w:val="00313D26"/>
    <w:rsid w:val="0031512C"/>
    <w:rsid w:val="0031610C"/>
    <w:rsid w:val="0031633D"/>
    <w:rsid w:val="003221F1"/>
    <w:rsid w:val="00324289"/>
    <w:rsid w:val="00326B44"/>
    <w:rsid w:val="0032761F"/>
    <w:rsid w:val="003277F7"/>
    <w:rsid w:val="003308A0"/>
    <w:rsid w:val="003317CE"/>
    <w:rsid w:val="003320D4"/>
    <w:rsid w:val="00333754"/>
    <w:rsid w:val="003337C8"/>
    <w:rsid w:val="00334826"/>
    <w:rsid w:val="00341709"/>
    <w:rsid w:val="003421DC"/>
    <w:rsid w:val="003428E1"/>
    <w:rsid w:val="00342B36"/>
    <w:rsid w:val="003534E6"/>
    <w:rsid w:val="003562FE"/>
    <w:rsid w:val="00356D3B"/>
    <w:rsid w:val="00360B6F"/>
    <w:rsid w:val="00361150"/>
    <w:rsid w:val="00363705"/>
    <w:rsid w:val="0037254B"/>
    <w:rsid w:val="00380E9B"/>
    <w:rsid w:val="003810C0"/>
    <w:rsid w:val="00381DCF"/>
    <w:rsid w:val="00384E37"/>
    <w:rsid w:val="003921A3"/>
    <w:rsid w:val="00394316"/>
    <w:rsid w:val="003A05D6"/>
    <w:rsid w:val="003A2875"/>
    <w:rsid w:val="003A37AA"/>
    <w:rsid w:val="003A566C"/>
    <w:rsid w:val="003B373E"/>
    <w:rsid w:val="003C0408"/>
    <w:rsid w:val="003C1B4D"/>
    <w:rsid w:val="003C1D15"/>
    <w:rsid w:val="003C2894"/>
    <w:rsid w:val="003C469F"/>
    <w:rsid w:val="003C7450"/>
    <w:rsid w:val="003C7B81"/>
    <w:rsid w:val="003D1808"/>
    <w:rsid w:val="003D293C"/>
    <w:rsid w:val="003D3EED"/>
    <w:rsid w:val="003D47D6"/>
    <w:rsid w:val="003D5961"/>
    <w:rsid w:val="003D5989"/>
    <w:rsid w:val="003D6D3E"/>
    <w:rsid w:val="003E2EED"/>
    <w:rsid w:val="003E2F82"/>
    <w:rsid w:val="003E3613"/>
    <w:rsid w:val="003E3E11"/>
    <w:rsid w:val="003E436F"/>
    <w:rsid w:val="003E4D3C"/>
    <w:rsid w:val="003E4D8A"/>
    <w:rsid w:val="003E559C"/>
    <w:rsid w:val="003F2EBF"/>
    <w:rsid w:val="003F42A5"/>
    <w:rsid w:val="003F531A"/>
    <w:rsid w:val="0040064C"/>
    <w:rsid w:val="0040203E"/>
    <w:rsid w:val="004033CA"/>
    <w:rsid w:val="004038F4"/>
    <w:rsid w:val="00405C24"/>
    <w:rsid w:val="004147A9"/>
    <w:rsid w:val="004154FC"/>
    <w:rsid w:val="00415E9F"/>
    <w:rsid w:val="0041784A"/>
    <w:rsid w:val="00420070"/>
    <w:rsid w:val="00421E49"/>
    <w:rsid w:val="00422348"/>
    <w:rsid w:val="00424A7D"/>
    <w:rsid w:val="004262B2"/>
    <w:rsid w:val="004263E1"/>
    <w:rsid w:val="004269EB"/>
    <w:rsid w:val="004276C5"/>
    <w:rsid w:val="00427829"/>
    <w:rsid w:val="0043022F"/>
    <w:rsid w:val="00430AFE"/>
    <w:rsid w:val="00430C8F"/>
    <w:rsid w:val="00433619"/>
    <w:rsid w:val="0043404F"/>
    <w:rsid w:val="004421EF"/>
    <w:rsid w:val="00442350"/>
    <w:rsid w:val="004429FD"/>
    <w:rsid w:val="004433E3"/>
    <w:rsid w:val="00444433"/>
    <w:rsid w:val="0044520C"/>
    <w:rsid w:val="00445848"/>
    <w:rsid w:val="004502FC"/>
    <w:rsid w:val="00451239"/>
    <w:rsid w:val="004512B4"/>
    <w:rsid w:val="0045368C"/>
    <w:rsid w:val="00454719"/>
    <w:rsid w:val="00455BE3"/>
    <w:rsid w:val="0045609A"/>
    <w:rsid w:val="0045709D"/>
    <w:rsid w:val="0045736D"/>
    <w:rsid w:val="00461E90"/>
    <w:rsid w:val="00464F07"/>
    <w:rsid w:val="00471A3B"/>
    <w:rsid w:val="0047435E"/>
    <w:rsid w:val="00477510"/>
    <w:rsid w:val="00477CAB"/>
    <w:rsid w:val="00477D35"/>
    <w:rsid w:val="00480203"/>
    <w:rsid w:val="004810E2"/>
    <w:rsid w:val="00484125"/>
    <w:rsid w:val="00484AF5"/>
    <w:rsid w:val="004856F0"/>
    <w:rsid w:val="00485982"/>
    <w:rsid w:val="00485BBA"/>
    <w:rsid w:val="00487033"/>
    <w:rsid w:val="004872AF"/>
    <w:rsid w:val="00490D09"/>
    <w:rsid w:val="0049265F"/>
    <w:rsid w:val="004A0C51"/>
    <w:rsid w:val="004A1F12"/>
    <w:rsid w:val="004B0396"/>
    <w:rsid w:val="004B157E"/>
    <w:rsid w:val="004B21AC"/>
    <w:rsid w:val="004B21E4"/>
    <w:rsid w:val="004C0DBC"/>
    <w:rsid w:val="004C3689"/>
    <w:rsid w:val="004C603E"/>
    <w:rsid w:val="004D2121"/>
    <w:rsid w:val="004D248E"/>
    <w:rsid w:val="004D2E26"/>
    <w:rsid w:val="004D44F4"/>
    <w:rsid w:val="004D518C"/>
    <w:rsid w:val="004D6CBD"/>
    <w:rsid w:val="004E51D0"/>
    <w:rsid w:val="004E5E81"/>
    <w:rsid w:val="004E5F00"/>
    <w:rsid w:val="004F0DC3"/>
    <w:rsid w:val="004F342F"/>
    <w:rsid w:val="004F393B"/>
    <w:rsid w:val="004F498D"/>
    <w:rsid w:val="004F67E3"/>
    <w:rsid w:val="005008A6"/>
    <w:rsid w:val="00502452"/>
    <w:rsid w:val="005028EA"/>
    <w:rsid w:val="005105BA"/>
    <w:rsid w:val="00511822"/>
    <w:rsid w:val="00511E7C"/>
    <w:rsid w:val="00513E1E"/>
    <w:rsid w:val="00513E75"/>
    <w:rsid w:val="0051465C"/>
    <w:rsid w:val="00515BFF"/>
    <w:rsid w:val="00516A3E"/>
    <w:rsid w:val="0052031C"/>
    <w:rsid w:val="00520BD1"/>
    <w:rsid w:val="00521746"/>
    <w:rsid w:val="00522A1F"/>
    <w:rsid w:val="0052322A"/>
    <w:rsid w:val="00524A39"/>
    <w:rsid w:val="00525744"/>
    <w:rsid w:val="00526F57"/>
    <w:rsid w:val="00530EA1"/>
    <w:rsid w:val="00534625"/>
    <w:rsid w:val="00535793"/>
    <w:rsid w:val="00535F21"/>
    <w:rsid w:val="00545241"/>
    <w:rsid w:val="00547D8D"/>
    <w:rsid w:val="005504F4"/>
    <w:rsid w:val="0055685F"/>
    <w:rsid w:val="00561513"/>
    <w:rsid w:val="00565F51"/>
    <w:rsid w:val="00567BDE"/>
    <w:rsid w:val="00572181"/>
    <w:rsid w:val="005733D4"/>
    <w:rsid w:val="00574575"/>
    <w:rsid w:val="00574658"/>
    <w:rsid w:val="005767BD"/>
    <w:rsid w:val="00581585"/>
    <w:rsid w:val="005815ED"/>
    <w:rsid w:val="0058475D"/>
    <w:rsid w:val="005847A1"/>
    <w:rsid w:val="00584F81"/>
    <w:rsid w:val="0059128E"/>
    <w:rsid w:val="00592EA1"/>
    <w:rsid w:val="005960BD"/>
    <w:rsid w:val="005A0253"/>
    <w:rsid w:val="005A49E6"/>
    <w:rsid w:val="005A4B27"/>
    <w:rsid w:val="005B07F2"/>
    <w:rsid w:val="005B0CF9"/>
    <w:rsid w:val="005B258B"/>
    <w:rsid w:val="005B41D3"/>
    <w:rsid w:val="005B4B51"/>
    <w:rsid w:val="005B7D0C"/>
    <w:rsid w:val="005C147C"/>
    <w:rsid w:val="005C15A3"/>
    <w:rsid w:val="005D0086"/>
    <w:rsid w:val="005D11FC"/>
    <w:rsid w:val="005D2DD0"/>
    <w:rsid w:val="005D532C"/>
    <w:rsid w:val="005D54C4"/>
    <w:rsid w:val="005D62D2"/>
    <w:rsid w:val="005E4251"/>
    <w:rsid w:val="005E43DD"/>
    <w:rsid w:val="005F14C5"/>
    <w:rsid w:val="00604F82"/>
    <w:rsid w:val="00606DAA"/>
    <w:rsid w:val="00611D35"/>
    <w:rsid w:val="0061468C"/>
    <w:rsid w:val="00615015"/>
    <w:rsid w:val="00616CFA"/>
    <w:rsid w:val="0061730D"/>
    <w:rsid w:val="006213B7"/>
    <w:rsid w:val="0062186F"/>
    <w:rsid w:val="006253C8"/>
    <w:rsid w:val="0063182F"/>
    <w:rsid w:val="006327ED"/>
    <w:rsid w:val="00632890"/>
    <w:rsid w:val="00635E58"/>
    <w:rsid w:val="006408E8"/>
    <w:rsid w:val="00642A6C"/>
    <w:rsid w:val="006458AB"/>
    <w:rsid w:val="00650A0E"/>
    <w:rsid w:val="00656136"/>
    <w:rsid w:val="00656BDC"/>
    <w:rsid w:val="00657C6B"/>
    <w:rsid w:val="006619E6"/>
    <w:rsid w:val="006634AE"/>
    <w:rsid w:val="00670326"/>
    <w:rsid w:val="00670523"/>
    <w:rsid w:val="00671A9E"/>
    <w:rsid w:val="00672CBA"/>
    <w:rsid w:val="006752E6"/>
    <w:rsid w:val="006834C2"/>
    <w:rsid w:val="00683C73"/>
    <w:rsid w:val="00686A29"/>
    <w:rsid w:val="00687943"/>
    <w:rsid w:val="00692005"/>
    <w:rsid w:val="00694490"/>
    <w:rsid w:val="006967A3"/>
    <w:rsid w:val="00697505"/>
    <w:rsid w:val="00697965"/>
    <w:rsid w:val="00697B0F"/>
    <w:rsid w:val="006A0405"/>
    <w:rsid w:val="006A3B89"/>
    <w:rsid w:val="006A5DC2"/>
    <w:rsid w:val="006B121D"/>
    <w:rsid w:val="006B5350"/>
    <w:rsid w:val="006B5677"/>
    <w:rsid w:val="006B65D3"/>
    <w:rsid w:val="006C0629"/>
    <w:rsid w:val="006C1117"/>
    <w:rsid w:val="006C3077"/>
    <w:rsid w:val="006C7131"/>
    <w:rsid w:val="006C7996"/>
    <w:rsid w:val="006D1E5A"/>
    <w:rsid w:val="006D263A"/>
    <w:rsid w:val="006D39FA"/>
    <w:rsid w:val="006D7B81"/>
    <w:rsid w:val="006E0D31"/>
    <w:rsid w:val="006E3E92"/>
    <w:rsid w:val="006F10AD"/>
    <w:rsid w:val="006F25BB"/>
    <w:rsid w:val="006F314E"/>
    <w:rsid w:val="006F4465"/>
    <w:rsid w:val="006F6B7F"/>
    <w:rsid w:val="006F6F87"/>
    <w:rsid w:val="006F7800"/>
    <w:rsid w:val="007000E5"/>
    <w:rsid w:val="007001B4"/>
    <w:rsid w:val="007031C6"/>
    <w:rsid w:val="007061A6"/>
    <w:rsid w:val="00706F85"/>
    <w:rsid w:val="00710A05"/>
    <w:rsid w:val="00711146"/>
    <w:rsid w:val="007131AF"/>
    <w:rsid w:val="0071362A"/>
    <w:rsid w:val="00714702"/>
    <w:rsid w:val="007150FF"/>
    <w:rsid w:val="00717C68"/>
    <w:rsid w:val="00722733"/>
    <w:rsid w:val="007236FF"/>
    <w:rsid w:val="00725F7F"/>
    <w:rsid w:val="00727018"/>
    <w:rsid w:val="007278F1"/>
    <w:rsid w:val="0073143B"/>
    <w:rsid w:val="007324BE"/>
    <w:rsid w:val="00742F20"/>
    <w:rsid w:val="00744E1A"/>
    <w:rsid w:val="00746DF8"/>
    <w:rsid w:val="007552B0"/>
    <w:rsid w:val="00755A30"/>
    <w:rsid w:val="00760DEC"/>
    <w:rsid w:val="00765B92"/>
    <w:rsid w:val="00765E0C"/>
    <w:rsid w:val="0077073B"/>
    <w:rsid w:val="0077255A"/>
    <w:rsid w:val="00773CBD"/>
    <w:rsid w:val="00774806"/>
    <w:rsid w:val="00774CB9"/>
    <w:rsid w:val="0077527C"/>
    <w:rsid w:val="00780643"/>
    <w:rsid w:val="00780A3F"/>
    <w:rsid w:val="007814B1"/>
    <w:rsid w:val="007821ED"/>
    <w:rsid w:val="00782A0C"/>
    <w:rsid w:val="00785699"/>
    <w:rsid w:val="0078615B"/>
    <w:rsid w:val="0079008B"/>
    <w:rsid w:val="00790984"/>
    <w:rsid w:val="00792362"/>
    <w:rsid w:val="007934AA"/>
    <w:rsid w:val="007935E6"/>
    <w:rsid w:val="00795775"/>
    <w:rsid w:val="00797AF6"/>
    <w:rsid w:val="007A1FF0"/>
    <w:rsid w:val="007A3C15"/>
    <w:rsid w:val="007A4763"/>
    <w:rsid w:val="007A6BAD"/>
    <w:rsid w:val="007A6D0C"/>
    <w:rsid w:val="007A783C"/>
    <w:rsid w:val="007B05A5"/>
    <w:rsid w:val="007B3E4D"/>
    <w:rsid w:val="007B422C"/>
    <w:rsid w:val="007B553B"/>
    <w:rsid w:val="007B5ACE"/>
    <w:rsid w:val="007B7A75"/>
    <w:rsid w:val="007C1EF0"/>
    <w:rsid w:val="007C25F8"/>
    <w:rsid w:val="007C32B9"/>
    <w:rsid w:val="007C41DA"/>
    <w:rsid w:val="007C6854"/>
    <w:rsid w:val="007D25F1"/>
    <w:rsid w:val="007D358D"/>
    <w:rsid w:val="007D395B"/>
    <w:rsid w:val="007D6115"/>
    <w:rsid w:val="007E0565"/>
    <w:rsid w:val="007E2DFB"/>
    <w:rsid w:val="007E4621"/>
    <w:rsid w:val="007E59B4"/>
    <w:rsid w:val="007E77DD"/>
    <w:rsid w:val="007E7FA6"/>
    <w:rsid w:val="007F0209"/>
    <w:rsid w:val="007F0385"/>
    <w:rsid w:val="007F0B45"/>
    <w:rsid w:val="007F280B"/>
    <w:rsid w:val="007F2D94"/>
    <w:rsid w:val="007F3E1E"/>
    <w:rsid w:val="007F5095"/>
    <w:rsid w:val="00801574"/>
    <w:rsid w:val="00802E21"/>
    <w:rsid w:val="008030B4"/>
    <w:rsid w:val="0080459A"/>
    <w:rsid w:val="0080490B"/>
    <w:rsid w:val="00805847"/>
    <w:rsid w:val="00807C4C"/>
    <w:rsid w:val="0081183E"/>
    <w:rsid w:val="008121B8"/>
    <w:rsid w:val="00812E8B"/>
    <w:rsid w:val="00816BF4"/>
    <w:rsid w:val="008210C2"/>
    <w:rsid w:val="0082287F"/>
    <w:rsid w:val="00822AC0"/>
    <w:rsid w:val="008248C3"/>
    <w:rsid w:val="00824AC2"/>
    <w:rsid w:val="00824C17"/>
    <w:rsid w:val="00825E73"/>
    <w:rsid w:val="00826D62"/>
    <w:rsid w:val="00831269"/>
    <w:rsid w:val="00834851"/>
    <w:rsid w:val="00834DEF"/>
    <w:rsid w:val="008371FB"/>
    <w:rsid w:val="00841763"/>
    <w:rsid w:val="00841878"/>
    <w:rsid w:val="00842494"/>
    <w:rsid w:val="0084384E"/>
    <w:rsid w:val="00845F58"/>
    <w:rsid w:val="00853709"/>
    <w:rsid w:val="0085394E"/>
    <w:rsid w:val="00854EBC"/>
    <w:rsid w:val="0085627B"/>
    <w:rsid w:val="0085678A"/>
    <w:rsid w:val="00856B4B"/>
    <w:rsid w:val="0085738C"/>
    <w:rsid w:val="00857ABB"/>
    <w:rsid w:val="00864560"/>
    <w:rsid w:val="008719A1"/>
    <w:rsid w:val="008738D8"/>
    <w:rsid w:val="00875BC1"/>
    <w:rsid w:val="00876D65"/>
    <w:rsid w:val="00881588"/>
    <w:rsid w:val="0088281D"/>
    <w:rsid w:val="008850CB"/>
    <w:rsid w:val="00890507"/>
    <w:rsid w:val="008945BD"/>
    <w:rsid w:val="008A03AB"/>
    <w:rsid w:val="008A13F0"/>
    <w:rsid w:val="008A2207"/>
    <w:rsid w:val="008A2360"/>
    <w:rsid w:val="008A2887"/>
    <w:rsid w:val="008A2FD0"/>
    <w:rsid w:val="008A4009"/>
    <w:rsid w:val="008A4568"/>
    <w:rsid w:val="008A7455"/>
    <w:rsid w:val="008B1486"/>
    <w:rsid w:val="008B1744"/>
    <w:rsid w:val="008B69E1"/>
    <w:rsid w:val="008C10BC"/>
    <w:rsid w:val="008C10C6"/>
    <w:rsid w:val="008C2898"/>
    <w:rsid w:val="008C58B0"/>
    <w:rsid w:val="008C7352"/>
    <w:rsid w:val="008D7837"/>
    <w:rsid w:val="008D7E42"/>
    <w:rsid w:val="008E018F"/>
    <w:rsid w:val="008E08FA"/>
    <w:rsid w:val="008E2B4A"/>
    <w:rsid w:val="008E3EED"/>
    <w:rsid w:val="008E4C9D"/>
    <w:rsid w:val="008E4D06"/>
    <w:rsid w:val="008E56EB"/>
    <w:rsid w:val="008E5AA7"/>
    <w:rsid w:val="008E5D6B"/>
    <w:rsid w:val="008E6D3C"/>
    <w:rsid w:val="008E70F0"/>
    <w:rsid w:val="008E73C6"/>
    <w:rsid w:val="008F0904"/>
    <w:rsid w:val="008F1B73"/>
    <w:rsid w:val="008F2C70"/>
    <w:rsid w:val="008F3FA7"/>
    <w:rsid w:val="008F7660"/>
    <w:rsid w:val="0090385E"/>
    <w:rsid w:val="0090546F"/>
    <w:rsid w:val="009065DF"/>
    <w:rsid w:val="009106CD"/>
    <w:rsid w:val="00911840"/>
    <w:rsid w:val="00911F1F"/>
    <w:rsid w:val="00912546"/>
    <w:rsid w:val="00912C2C"/>
    <w:rsid w:val="00916D62"/>
    <w:rsid w:val="0092132F"/>
    <w:rsid w:val="00921BC6"/>
    <w:rsid w:val="00924B51"/>
    <w:rsid w:val="00925BDF"/>
    <w:rsid w:val="00926C2D"/>
    <w:rsid w:val="00926DFD"/>
    <w:rsid w:val="009302D4"/>
    <w:rsid w:val="009323A0"/>
    <w:rsid w:val="00932AB9"/>
    <w:rsid w:val="00936AE0"/>
    <w:rsid w:val="009405B9"/>
    <w:rsid w:val="0094114E"/>
    <w:rsid w:val="00942D13"/>
    <w:rsid w:val="00942DA8"/>
    <w:rsid w:val="009432A1"/>
    <w:rsid w:val="00944BFC"/>
    <w:rsid w:val="00960184"/>
    <w:rsid w:val="009601FE"/>
    <w:rsid w:val="0096255C"/>
    <w:rsid w:val="009631A1"/>
    <w:rsid w:val="00963E4C"/>
    <w:rsid w:val="00964C47"/>
    <w:rsid w:val="00966639"/>
    <w:rsid w:val="00970A9A"/>
    <w:rsid w:val="00971B0A"/>
    <w:rsid w:val="009739F8"/>
    <w:rsid w:val="009756D0"/>
    <w:rsid w:val="00976C7B"/>
    <w:rsid w:val="00976EE7"/>
    <w:rsid w:val="0097732D"/>
    <w:rsid w:val="00977BF6"/>
    <w:rsid w:val="00980825"/>
    <w:rsid w:val="0098143A"/>
    <w:rsid w:val="009826BF"/>
    <w:rsid w:val="00986E84"/>
    <w:rsid w:val="00992444"/>
    <w:rsid w:val="00992E68"/>
    <w:rsid w:val="00994AD6"/>
    <w:rsid w:val="00995B92"/>
    <w:rsid w:val="0099609C"/>
    <w:rsid w:val="0099624A"/>
    <w:rsid w:val="00997C07"/>
    <w:rsid w:val="009A0E3E"/>
    <w:rsid w:val="009A3B2A"/>
    <w:rsid w:val="009A79F3"/>
    <w:rsid w:val="009B0A9D"/>
    <w:rsid w:val="009B7E02"/>
    <w:rsid w:val="009C07FA"/>
    <w:rsid w:val="009C4083"/>
    <w:rsid w:val="009C7331"/>
    <w:rsid w:val="009C7455"/>
    <w:rsid w:val="009D162C"/>
    <w:rsid w:val="009D1A67"/>
    <w:rsid w:val="009D21BC"/>
    <w:rsid w:val="009D2FC9"/>
    <w:rsid w:val="009D4D99"/>
    <w:rsid w:val="009D7753"/>
    <w:rsid w:val="009E34B7"/>
    <w:rsid w:val="009E37B4"/>
    <w:rsid w:val="009E4384"/>
    <w:rsid w:val="009E554E"/>
    <w:rsid w:val="009E73CE"/>
    <w:rsid w:val="009F0944"/>
    <w:rsid w:val="009F2FAC"/>
    <w:rsid w:val="009F4765"/>
    <w:rsid w:val="009F67D5"/>
    <w:rsid w:val="00A01B06"/>
    <w:rsid w:val="00A06731"/>
    <w:rsid w:val="00A077C5"/>
    <w:rsid w:val="00A10F20"/>
    <w:rsid w:val="00A1313C"/>
    <w:rsid w:val="00A16256"/>
    <w:rsid w:val="00A17F97"/>
    <w:rsid w:val="00A20621"/>
    <w:rsid w:val="00A23907"/>
    <w:rsid w:val="00A26040"/>
    <w:rsid w:val="00A27FF9"/>
    <w:rsid w:val="00A304E7"/>
    <w:rsid w:val="00A316F6"/>
    <w:rsid w:val="00A331FE"/>
    <w:rsid w:val="00A35A87"/>
    <w:rsid w:val="00A36134"/>
    <w:rsid w:val="00A36CB6"/>
    <w:rsid w:val="00A432BC"/>
    <w:rsid w:val="00A43505"/>
    <w:rsid w:val="00A5013B"/>
    <w:rsid w:val="00A50206"/>
    <w:rsid w:val="00A504B6"/>
    <w:rsid w:val="00A5674E"/>
    <w:rsid w:val="00A567C1"/>
    <w:rsid w:val="00A61E05"/>
    <w:rsid w:val="00A6347C"/>
    <w:rsid w:val="00A63856"/>
    <w:rsid w:val="00A643B0"/>
    <w:rsid w:val="00A660C4"/>
    <w:rsid w:val="00A669BE"/>
    <w:rsid w:val="00A670D0"/>
    <w:rsid w:val="00A70581"/>
    <w:rsid w:val="00A763DF"/>
    <w:rsid w:val="00A76F43"/>
    <w:rsid w:val="00A8188E"/>
    <w:rsid w:val="00A82DBB"/>
    <w:rsid w:val="00A82E08"/>
    <w:rsid w:val="00A836FF"/>
    <w:rsid w:val="00A84731"/>
    <w:rsid w:val="00A86B5E"/>
    <w:rsid w:val="00A909A6"/>
    <w:rsid w:val="00A926FA"/>
    <w:rsid w:val="00A9312D"/>
    <w:rsid w:val="00A93BFA"/>
    <w:rsid w:val="00A956E0"/>
    <w:rsid w:val="00AA1A00"/>
    <w:rsid w:val="00AA44DF"/>
    <w:rsid w:val="00AA5059"/>
    <w:rsid w:val="00AA5F88"/>
    <w:rsid w:val="00AA6E27"/>
    <w:rsid w:val="00AA6F8C"/>
    <w:rsid w:val="00AB493E"/>
    <w:rsid w:val="00AB5884"/>
    <w:rsid w:val="00AB6296"/>
    <w:rsid w:val="00AB6ACA"/>
    <w:rsid w:val="00AB6D88"/>
    <w:rsid w:val="00AC1F7B"/>
    <w:rsid w:val="00AC2E2E"/>
    <w:rsid w:val="00AC3BC2"/>
    <w:rsid w:val="00AC4DE0"/>
    <w:rsid w:val="00AC6AF7"/>
    <w:rsid w:val="00AC7019"/>
    <w:rsid w:val="00AC776B"/>
    <w:rsid w:val="00AC7BFA"/>
    <w:rsid w:val="00AD0D1F"/>
    <w:rsid w:val="00AD27AF"/>
    <w:rsid w:val="00AD37FD"/>
    <w:rsid w:val="00AD4A4F"/>
    <w:rsid w:val="00AD685D"/>
    <w:rsid w:val="00AE0041"/>
    <w:rsid w:val="00AE1536"/>
    <w:rsid w:val="00AF137C"/>
    <w:rsid w:val="00AF2293"/>
    <w:rsid w:val="00AF272A"/>
    <w:rsid w:val="00B03338"/>
    <w:rsid w:val="00B0427F"/>
    <w:rsid w:val="00B07F4E"/>
    <w:rsid w:val="00B11198"/>
    <w:rsid w:val="00B12623"/>
    <w:rsid w:val="00B13A0C"/>
    <w:rsid w:val="00B21276"/>
    <w:rsid w:val="00B22054"/>
    <w:rsid w:val="00B22488"/>
    <w:rsid w:val="00B2307C"/>
    <w:rsid w:val="00B23439"/>
    <w:rsid w:val="00B26AB5"/>
    <w:rsid w:val="00B27952"/>
    <w:rsid w:val="00B30835"/>
    <w:rsid w:val="00B313F3"/>
    <w:rsid w:val="00B31A4A"/>
    <w:rsid w:val="00B32A12"/>
    <w:rsid w:val="00B33262"/>
    <w:rsid w:val="00B407D1"/>
    <w:rsid w:val="00B426E0"/>
    <w:rsid w:val="00B42865"/>
    <w:rsid w:val="00B47372"/>
    <w:rsid w:val="00B5106E"/>
    <w:rsid w:val="00B51BBA"/>
    <w:rsid w:val="00B53CA1"/>
    <w:rsid w:val="00B562E0"/>
    <w:rsid w:val="00B565D2"/>
    <w:rsid w:val="00B6174D"/>
    <w:rsid w:val="00B62951"/>
    <w:rsid w:val="00B62CFD"/>
    <w:rsid w:val="00B63779"/>
    <w:rsid w:val="00B65361"/>
    <w:rsid w:val="00B674F1"/>
    <w:rsid w:val="00B7213F"/>
    <w:rsid w:val="00B7313F"/>
    <w:rsid w:val="00B742C9"/>
    <w:rsid w:val="00B809B7"/>
    <w:rsid w:val="00B81838"/>
    <w:rsid w:val="00B82A96"/>
    <w:rsid w:val="00B830AB"/>
    <w:rsid w:val="00B84310"/>
    <w:rsid w:val="00B8488B"/>
    <w:rsid w:val="00B8716F"/>
    <w:rsid w:val="00B87229"/>
    <w:rsid w:val="00B879B4"/>
    <w:rsid w:val="00B91C55"/>
    <w:rsid w:val="00B93297"/>
    <w:rsid w:val="00B93347"/>
    <w:rsid w:val="00B9511A"/>
    <w:rsid w:val="00B9668C"/>
    <w:rsid w:val="00B96E37"/>
    <w:rsid w:val="00BA19DE"/>
    <w:rsid w:val="00BA1F28"/>
    <w:rsid w:val="00BA23EF"/>
    <w:rsid w:val="00BA2B19"/>
    <w:rsid w:val="00BB0E80"/>
    <w:rsid w:val="00BB110E"/>
    <w:rsid w:val="00BB3DC2"/>
    <w:rsid w:val="00BB5AC3"/>
    <w:rsid w:val="00BB7286"/>
    <w:rsid w:val="00BB7E35"/>
    <w:rsid w:val="00BC076B"/>
    <w:rsid w:val="00BC0DCC"/>
    <w:rsid w:val="00BC172C"/>
    <w:rsid w:val="00BC19A5"/>
    <w:rsid w:val="00BC1F6D"/>
    <w:rsid w:val="00BC3B43"/>
    <w:rsid w:val="00BC6659"/>
    <w:rsid w:val="00BD085D"/>
    <w:rsid w:val="00BD09E4"/>
    <w:rsid w:val="00BD0BD6"/>
    <w:rsid w:val="00BD0E65"/>
    <w:rsid w:val="00BD4567"/>
    <w:rsid w:val="00BD7301"/>
    <w:rsid w:val="00BD7415"/>
    <w:rsid w:val="00BE11C4"/>
    <w:rsid w:val="00BF038B"/>
    <w:rsid w:val="00BF057E"/>
    <w:rsid w:val="00BF0716"/>
    <w:rsid w:val="00BF31E1"/>
    <w:rsid w:val="00BF714B"/>
    <w:rsid w:val="00C01564"/>
    <w:rsid w:val="00C02CEB"/>
    <w:rsid w:val="00C07C5C"/>
    <w:rsid w:val="00C142E9"/>
    <w:rsid w:val="00C1523C"/>
    <w:rsid w:val="00C155AF"/>
    <w:rsid w:val="00C2231E"/>
    <w:rsid w:val="00C23298"/>
    <w:rsid w:val="00C246E6"/>
    <w:rsid w:val="00C24CFC"/>
    <w:rsid w:val="00C26CEC"/>
    <w:rsid w:val="00C30BB1"/>
    <w:rsid w:val="00C310BE"/>
    <w:rsid w:val="00C327C9"/>
    <w:rsid w:val="00C37BAC"/>
    <w:rsid w:val="00C42D6D"/>
    <w:rsid w:val="00C43EC2"/>
    <w:rsid w:val="00C45748"/>
    <w:rsid w:val="00C46DC7"/>
    <w:rsid w:val="00C472A6"/>
    <w:rsid w:val="00C51A91"/>
    <w:rsid w:val="00C52042"/>
    <w:rsid w:val="00C546C1"/>
    <w:rsid w:val="00C54C32"/>
    <w:rsid w:val="00C55D13"/>
    <w:rsid w:val="00C55E84"/>
    <w:rsid w:val="00C63212"/>
    <w:rsid w:val="00C71679"/>
    <w:rsid w:val="00C71E8F"/>
    <w:rsid w:val="00C726B1"/>
    <w:rsid w:val="00C75A78"/>
    <w:rsid w:val="00C77172"/>
    <w:rsid w:val="00C801CF"/>
    <w:rsid w:val="00C8582B"/>
    <w:rsid w:val="00C91D23"/>
    <w:rsid w:val="00C92291"/>
    <w:rsid w:val="00C95AC3"/>
    <w:rsid w:val="00CA0854"/>
    <w:rsid w:val="00CA170A"/>
    <w:rsid w:val="00CA2107"/>
    <w:rsid w:val="00CA34B6"/>
    <w:rsid w:val="00CA3534"/>
    <w:rsid w:val="00CA3717"/>
    <w:rsid w:val="00CA3BBC"/>
    <w:rsid w:val="00CA6237"/>
    <w:rsid w:val="00CA70A6"/>
    <w:rsid w:val="00CB0865"/>
    <w:rsid w:val="00CB21F8"/>
    <w:rsid w:val="00CB24DB"/>
    <w:rsid w:val="00CB41AD"/>
    <w:rsid w:val="00CB4E73"/>
    <w:rsid w:val="00CB7974"/>
    <w:rsid w:val="00CC0EDA"/>
    <w:rsid w:val="00CC17AB"/>
    <w:rsid w:val="00CC1B34"/>
    <w:rsid w:val="00CC5210"/>
    <w:rsid w:val="00CC5367"/>
    <w:rsid w:val="00CC7CCE"/>
    <w:rsid w:val="00CD043F"/>
    <w:rsid w:val="00CD1047"/>
    <w:rsid w:val="00CD401B"/>
    <w:rsid w:val="00CD413C"/>
    <w:rsid w:val="00CD4A66"/>
    <w:rsid w:val="00CD50FE"/>
    <w:rsid w:val="00CD60B0"/>
    <w:rsid w:val="00CD7408"/>
    <w:rsid w:val="00CD75DF"/>
    <w:rsid w:val="00CD784F"/>
    <w:rsid w:val="00CD792C"/>
    <w:rsid w:val="00CE0A4F"/>
    <w:rsid w:val="00CE1F38"/>
    <w:rsid w:val="00CE42A0"/>
    <w:rsid w:val="00CE4942"/>
    <w:rsid w:val="00CE5025"/>
    <w:rsid w:val="00CE55D5"/>
    <w:rsid w:val="00CE5C46"/>
    <w:rsid w:val="00CF0B03"/>
    <w:rsid w:val="00CF103A"/>
    <w:rsid w:val="00CF3DCC"/>
    <w:rsid w:val="00CF67A0"/>
    <w:rsid w:val="00D07EFE"/>
    <w:rsid w:val="00D12031"/>
    <w:rsid w:val="00D123F5"/>
    <w:rsid w:val="00D224BF"/>
    <w:rsid w:val="00D25A0A"/>
    <w:rsid w:val="00D2647A"/>
    <w:rsid w:val="00D26CF9"/>
    <w:rsid w:val="00D301B5"/>
    <w:rsid w:val="00D30A13"/>
    <w:rsid w:val="00D31106"/>
    <w:rsid w:val="00D3172A"/>
    <w:rsid w:val="00D31AC8"/>
    <w:rsid w:val="00D32260"/>
    <w:rsid w:val="00D32D2B"/>
    <w:rsid w:val="00D32D93"/>
    <w:rsid w:val="00D3385E"/>
    <w:rsid w:val="00D346CB"/>
    <w:rsid w:val="00D36809"/>
    <w:rsid w:val="00D36E07"/>
    <w:rsid w:val="00D40B81"/>
    <w:rsid w:val="00D420D9"/>
    <w:rsid w:val="00D431E5"/>
    <w:rsid w:val="00D4681E"/>
    <w:rsid w:val="00D50F69"/>
    <w:rsid w:val="00D527F2"/>
    <w:rsid w:val="00D52C5D"/>
    <w:rsid w:val="00D52F0F"/>
    <w:rsid w:val="00D5395D"/>
    <w:rsid w:val="00D558FD"/>
    <w:rsid w:val="00D624AA"/>
    <w:rsid w:val="00D627CB"/>
    <w:rsid w:val="00D62874"/>
    <w:rsid w:val="00D66842"/>
    <w:rsid w:val="00D73708"/>
    <w:rsid w:val="00D74637"/>
    <w:rsid w:val="00D76C9B"/>
    <w:rsid w:val="00D80928"/>
    <w:rsid w:val="00D85155"/>
    <w:rsid w:val="00D9143C"/>
    <w:rsid w:val="00D92731"/>
    <w:rsid w:val="00D97358"/>
    <w:rsid w:val="00DA06C6"/>
    <w:rsid w:val="00DA1445"/>
    <w:rsid w:val="00DA471E"/>
    <w:rsid w:val="00DA5284"/>
    <w:rsid w:val="00DA630D"/>
    <w:rsid w:val="00DB0785"/>
    <w:rsid w:val="00DB161C"/>
    <w:rsid w:val="00DB2375"/>
    <w:rsid w:val="00DB28C6"/>
    <w:rsid w:val="00DB3306"/>
    <w:rsid w:val="00DB57CE"/>
    <w:rsid w:val="00DB5FFE"/>
    <w:rsid w:val="00DC045B"/>
    <w:rsid w:val="00DD03F2"/>
    <w:rsid w:val="00DD0639"/>
    <w:rsid w:val="00DD09B9"/>
    <w:rsid w:val="00DD3B9D"/>
    <w:rsid w:val="00DD3E4D"/>
    <w:rsid w:val="00DD7DE0"/>
    <w:rsid w:val="00DE1388"/>
    <w:rsid w:val="00DE2A80"/>
    <w:rsid w:val="00DE39C9"/>
    <w:rsid w:val="00DE4422"/>
    <w:rsid w:val="00DE5516"/>
    <w:rsid w:val="00DE67DF"/>
    <w:rsid w:val="00DE7324"/>
    <w:rsid w:val="00DF4FCC"/>
    <w:rsid w:val="00DF6BC1"/>
    <w:rsid w:val="00E016D9"/>
    <w:rsid w:val="00E037D1"/>
    <w:rsid w:val="00E054BB"/>
    <w:rsid w:val="00E06C6A"/>
    <w:rsid w:val="00E074D1"/>
    <w:rsid w:val="00E103BD"/>
    <w:rsid w:val="00E1389A"/>
    <w:rsid w:val="00E13E3E"/>
    <w:rsid w:val="00E1409B"/>
    <w:rsid w:val="00E220DA"/>
    <w:rsid w:val="00E23AFD"/>
    <w:rsid w:val="00E324A7"/>
    <w:rsid w:val="00E3288B"/>
    <w:rsid w:val="00E332EA"/>
    <w:rsid w:val="00E33D5E"/>
    <w:rsid w:val="00E3466D"/>
    <w:rsid w:val="00E35EBB"/>
    <w:rsid w:val="00E44B90"/>
    <w:rsid w:val="00E45384"/>
    <w:rsid w:val="00E46702"/>
    <w:rsid w:val="00E50A32"/>
    <w:rsid w:val="00E513E6"/>
    <w:rsid w:val="00E52276"/>
    <w:rsid w:val="00E536F7"/>
    <w:rsid w:val="00E55EF7"/>
    <w:rsid w:val="00E5716F"/>
    <w:rsid w:val="00E57D1A"/>
    <w:rsid w:val="00E60672"/>
    <w:rsid w:val="00E62334"/>
    <w:rsid w:val="00E63ADB"/>
    <w:rsid w:val="00E63D1B"/>
    <w:rsid w:val="00E67FEA"/>
    <w:rsid w:val="00E73E46"/>
    <w:rsid w:val="00E75EB2"/>
    <w:rsid w:val="00E76197"/>
    <w:rsid w:val="00E817BE"/>
    <w:rsid w:val="00E83E57"/>
    <w:rsid w:val="00E86C87"/>
    <w:rsid w:val="00E91280"/>
    <w:rsid w:val="00E91918"/>
    <w:rsid w:val="00E94DAF"/>
    <w:rsid w:val="00E966BE"/>
    <w:rsid w:val="00E96F3C"/>
    <w:rsid w:val="00E9754A"/>
    <w:rsid w:val="00EA18F9"/>
    <w:rsid w:val="00EA1BCA"/>
    <w:rsid w:val="00EA410E"/>
    <w:rsid w:val="00EA46BF"/>
    <w:rsid w:val="00EA5462"/>
    <w:rsid w:val="00EC11D5"/>
    <w:rsid w:val="00EC1563"/>
    <w:rsid w:val="00EC1C87"/>
    <w:rsid w:val="00EC3628"/>
    <w:rsid w:val="00EC49E5"/>
    <w:rsid w:val="00EC4B45"/>
    <w:rsid w:val="00EC7405"/>
    <w:rsid w:val="00ED2317"/>
    <w:rsid w:val="00ED2437"/>
    <w:rsid w:val="00ED31C5"/>
    <w:rsid w:val="00ED33CE"/>
    <w:rsid w:val="00ED6541"/>
    <w:rsid w:val="00ED6700"/>
    <w:rsid w:val="00ED6FD0"/>
    <w:rsid w:val="00EE146D"/>
    <w:rsid w:val="00EE2DE8"/>
    <w:rsid w:val="00EE3A4B"/>
    <w:rsid w:val="00EE64D1"/>
    <w:rsid w:val="00EF0F68"/>
    <w:rsid w:val="00EF260B"/>
    <w:rsid w:val="00EF387A"/>
    <w:rsid w:val="00EF695B"/>
    <w:rsid w:val="00F0086E"/>
    <w:rsid w:val="00F01ABD"/>
    <w:rsid w:val="00F02A54"/>
    <w:rsid w:val="00F03A4B"/>
    <w:rsid w:val="00F07720"/>
    <w:rsid w:val="00F104BF"/>
    <w:rsid w:val="00F1221C"/>
    <w:rsid w:val="00F1419B"/>
    <w:rsid w:val="00F1454D"/>
    <w:rsid w:val="00F14C42"/>
    <w:rsid w:val="00F168E3"/>
    <w:rsid w:val="00F16944"/>
    <w:rsid w:val="00F21D2E"/>
    <w:rsid w:val="00F23293"/>
    <w:rsid w:val="00F2610D"/>
    <w:rsid w:val="00F26664"/>
    <w:rsid w:val="00F3086A"/>
    <w:rsid w:val="00F313A2"/>
    <w:rsid w:val="00F318DA"/>
    <w:rsid w:val="00F331F4"/>
    <w:rsid w:val="00F33559"/>
    <w:rsid w:val="00F35E29"/>
    <w:rsid w:val="00F40240"/>
    <w:rsid w:val="00F45185"/>
    <w:rsid w:val="00F51225"/>
    <w:rsid w:val="00F5159E"/>
    <w:rsid w:val="00F521F4"/>
    <w:rsid w:val="00F5338E"/>
    <w:rsid w:val="00F54D58"/>
    <w:rsid w:val="00F567C8"/>
    <w:rsid w:val="00F578F3"/>
    <w:rsid w:val="00F57D3C"/>
    <w:rsid w:val="00F63D22"/>
    <w:rsid w:val="00F64E50"/>
    <w:rsid w:val="00F66B24"/>
    <w:rsid w:val="00F66BB6"/>
    <w:rsid w:val="00F67333"/>
    <w:rsid w:val="00F674EF"/>
    <w:rsid w:val="00F77AA6"/>
    <w:rsid w:val="00F82BB2"/>
    <w:rsid w:val="00F83101"/>
    <w:rsid w:val="00F83C20"/>
    <w:rsid w:val="00F8468F"/>
    <w:rsid w:val="00F84A9E"/>
    <w:rsid w:val="00F854A3"/>
    <w:rsid w:val="00F854F2"/>
    <w:rsid w:val="00F85801"/>
    <w:rsid w:val="00F87A24"/>
    <w:rsid w:val="00F908D2"/>
    <w:rsid w:val="00F92CE8"/>
    <w:rsid w:val="00F93454"/>
    <w:rsid w:val="00F93EBF"/>
    <w:rsid w:val="00F94267"/>
    <w:rsid w:val="00F97E05"/>
    <w:rsid w:val="00FA0FA2"/>
    <w:rsid w:val="00FA295E"/>
    <w:rsid w:val="00FA3701"/>
    <w:rsid w:val="00FB140C"/>
    <w:rsid w:val="00FB28D7"/>
    <w:rsid w:val="00FB4C48"/>
    <w:rsid w:val="00FB5EF4"/>
    <w:rsid w:val="00FC12A7"/>
    <w:rsid w:val="00FC2131"/>
    <w:rsid w:val="00FC2A42"/>
    <w:rsid w:val="00FC4632"/>
    <w:rsid w:val="00FC6C5B"/>
    <w:rsid w:val="00FD435C"/>
    <w:rsid w:val="00FD624E"/>
    <w:rsid w:val="00FD6545"/>
    <w:rsid w:val="00FD6893"/>
    <w:rsid w:val="00FE0763"/>
    <w:rsid w:val="00FE082D"/>
    <w:rsid w:val="00FE1E68"/>
    <w:rsid w:val="00FE2748"/>
    <w:rsid w:val="00FE3AFD"/>
    <w:rsid w:val="00FE6B7F"/>
    <w:rsid w:val="00FF374A"/>
    <w:rsid w:val="00FF57C8"/>
    <w:rsid w:val="011032FE"/>
    <w:rsid w:val="024B1016"/>
    <w:rsid w:val="09D12C49"/>
    <w:rsid w:val="0E0C1814"/>
    <w:rsid w:val="14A31845"/>
    <w:rsid w:val="14F61D66"/>
    <w:rsid w:val="18356139"/>
    <w:rsid w:val="1A0F6516"/>
    <w:rsid w:val="1B2E5D60"/>
    <w:rsid w:val="1B6D5BEA"/>
    <w:rsid w:val="21B4406F"/>
    <w:rsid w:val="26B219EC"/>
    <w:rsid w:val="27602BF4"/>
    <w:rsid w:val="29657F00"/>
    <w:rsid w:val="2B851C77"/>
    <w:rsid w:val="2C457F9B"/>
    <w:rsid w:val="34F81A59"/>
    <w:rsid w:val="354D71E1"/>
    <w:rsid w:val="38C417E8"/>
    <w:rsid w:val="3D852CAD"/>
    <w:rsid w:val="3F2E7D26"/>
    <w:rsid w:val="425819AE"/>
    <w:rsid w:val="42D923BF"/>
    <w:rsid w:val="4BAD5A0B"/>
    <w:rsid w:val="4BBC79FC"/>
    <w:rsid w:val="4C7D7B3E"/>
    <w:rsid w:val="56362DE5"/>
    <w:rsid w:val="567A69A5"/>
    <w:rsid w:val="580540F1"/>
    <w:rsid w:val="58191D6A"/>
    <w:rsid w:val="582B07D2"/>
    <w:rsid w:val="5B9A0728"/>
    <w:rsid w:val="61D513C0"/>
    <w:rsid w:val="692A57F8"/>
    <w:rsid w:val="6A4E683D"/>
    <w:rsid w:val="74827D6A"/>
    <w:rsid w:val="78581280"/>
    <w:rsid w:val="7E3C1A35"/>
    <w:rsid w:val="7E9E01DE"/>
    <w:rsid w:val="7EAE29BA"/>
    <w:rsid w:val="7F9B3A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99"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41"/>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38"/>
    <w:unhideWhenUsed/>
    <w:qFormat/>
    <w:locked/>
    <w:uiPriority w:val="0"/>
    <w:pPr>
      <w:keepNext/>
      <w:keepLines/>
      <w:spacing w:before="260" w:after="260" w:line="416" w:lineRule="auto"/>
      <w:jc w:val="left"/>
      <w:outlineLvl w:val="1"/>
    </w:pPr>
    <w:rPr>
      <w:rFonts w:asciiTheme="majorHAnsi" w:hAnsiTheme="majorHAnsi" w:eastAsiaTheme="majorEastAsia" w:cstheme="majorBidi"/>
      <w:b/>
      <w:bCs/>
      <w:color w:val="auto"/>
      <w:sz w:val="32"/>
      <w:szCs w:val="32"/>
    </w:rPr>
  </w:style>
  <w:style w:type="paragraph" w:styleId="4">
    <w:name w:val="heading 3"/>
    <w:basedOn w:val="1"/>
    <w:next w:val="1"/>
    <w:link w:val="24"/>
    <w:qFormat/>
    <w:uiPriority w:val="99"/>
    <w:pPr>
      <w:widowControl/>
      <w:jc w:val="left"/>
      <w:outlineLvl w:val="2"/>
    </w:pPr>
    <w:rPr>
      <w:rFonts w:ascii="宋体" w:hAnsi="宋体" w:cs="宋体"/>
      <w:b/>
      <w:bCs/>
      <w:color w:val="auto"/>
      <w:sz w:val="27"/>
      <w:szCs w:val="27"/>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9"/>
    <w:semiHidden/>
    <w:qFormat/>
    <w:uiPriority w:val="99"/>
    <w:pPr>
      <w:shd w:val="clear" w:color="auto" w:fill="000080"/>
    </w:pPr>
  </w:style>
  <w:style w:type="paragraph" w:styleId="6">
    <w:name w:val="annotation text"/>
    <w:basedOn w:val="1"/>
    <w:link w:val="35"/>
    <w:semiHidden/>
    <w:unhideWhenUsed/>
    <w:qFormat/>
    <w:uiPriority w:val="99"/>
    <w:pPr>
      <w:jc w:val="left"/>
    </w:pPr>
  </w:style>
  <w:style w:type="paragraph" w:styleId="7">
    <w:name w:val="Body Text Indent"/>
    <w:basedOn w:val="1"/>
    <w:link w:val="26"/>
    <w:qFormat/>
    <w:uiPriority w:val="99"/>
    <w:pPr>
      <w:ind w:firstLine="523" w:firstLineChars="218"/>
    </w:pPr>
    <w:rPr>
      <w:rFonts w:ascii="宋体" w:hAnsi="宋体" w:cs="宋体"/>
      <w:color w:val="auto"/>
      <w:sz w:val="24"/>
      <w:szCs w:val="24"/>
    </w:rPr>
  </w:style>
  <w:style w:type="paragraph" w:styleId="8">
    <w:name w:val="Plain Text"/>
    <w:basedOn w:val="1"/>
    <w:link w:val="40"/>
    <w:qFormat/>
    <w:uiPriority w:val="0"/>
    <w:rPr>
      <w:rFonts w:ascii="宋体" w:hAnsi="Courier New"/>
      <w:lang w:val="zh-CN"/>
    </w:rPr>
  </w:style>
  <w:style w:type="paragraph" w:styleId="9">
    <w:name w:val="Body Text Indent 2"/>
    <w:basedOn w:val="1"/>
    <w:link w:val="27"/>
    <w:qFormat/>
    <w:uiPriority w:val="99"/>
    <w:pPr>
      <w:spacing w:line="300" w:lineRule="auto"/>
      <w:ind w:firstLine="420" w:firstLineChars="175"/>
    </w:pPr>
    <w:rPr>
      <w:sz w:val="24"/>
      <w:szCs w:val="24"/>
    </w:rPr>
  </w:style>
  <w:style w:type="paragraph" w:styleId="10">
    <w:name w:val="Balloon Text"/>
    <w:basedOn w:val="1"/>
    <w:link w:val="31"/>
    <w:semiHidden/>
    <w:qFormat/>
    <w:uiPriority w:val="99"/>
    <w:rPr>
      <w:color w:val="auto"/>
      <w:kern w:val="2"/>
      <w:sz w:val="18"/>
      <w:szCs w:val="18"/>
    </w:rPr>
  </w:style>
  <w:style w:type="paragraph" w:styleId="11">
    <w:name w:val="footer"/>
    <w:basedOn w:val="1"/>
    <w:link w:val="25"/>
    <w:qFormat/>
    <w:uiPriority w:val="99"/>
    <w:pPr>
      <w:tabs>
        <w:tab w:val="center" w:pos="4153"/>
        <w:tab w:val="right" w:pos="8306"/>
      </w:tabs>
      <w:snapToGrid w:val="0"/>
      <w:jc w:val="left"/>
    </w:pPr>
    <w:rPr>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widowControl/>
      <w:spacing w:after="100" w:line="276" w:lineRule="auto"/>
      <w:jc w:val="left"/>
    </w:pPr>
    <w:rPr>
      <w:rFonts w:ascii="Calibri" w:hAnsi="Calibri" w:cs="Calibri"/>
      <w:sz w:val="22"/>
      <w:szCs w:val="22"/>
    </w:rPr>
  </w:style>
  <w:style w:type="paragraph" w:styleId="14">
    <w:name w:val="toc 2"/>
    <w:basedOn w:val="1"/>
    <w:next w:val="1"/>
    <w:unhideWhenUsed/>
    <w:qFormat/>
    <w:uiPriority w:val="39"/>
    <w:pPr>
      <w:ind w:left="420" w:leftChars="200"/>
    </w:pPr>
  </w:style>
  <w:style w:type="paragraph" w:styleId="15">
    <w:name w:val="Normal (Web)"/>
    <w:basedOn w:val="1"/>
    <w:qFormat/>
    <w:uiPriority w:val="0"/>
    <w:pPr>
      <w:widowControl/>
      <w:spacing w:before="100" w:beforeAutospacing="1" w:after="100" w:afterAutospacing="1"/>
      <w:jc w:val="left"/>
    </w:pPr>
    <w:rPr>
      <w:rFonts w:ascii="宋体" w:hAnsi="宋体" w:cs="宋体"/>
      <w:color w:val="auto"/>
      <w:sz w:val="24"/>
      <w:szCs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Emphasis"/>
    <w:basedOn w:val="19"/>
    <w:qFormat/>
    <w:uiPriority w:val="99"/>
    <w:rPr>
      <w:i/>
      <w:iCs/>
    </w:rPr>
  </w:style>
  <w:style w:type="character" w:styleId="22">
    <w:name w:val="Hyperlink"/>
    <w:basedOn w:val="19"/>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标题 3 字符"/>
    <w:basedOn w:val="19"/>
    <w:link w:val="4"/>
    <w:qFormat/>
    <w:locked/>
    <w:uiPriority w:val="99"/>
    <w:rPr>
      <w:rFonts w:ascii="宋体" w:eastAsia="宋体" w:cs="宋体"/>
      <w:b/>
      <w:bCs/>
      <w:sz w:val="27"/>
      <w:szCs w:val="27"/>
    </w:rPr>
  </w:style>
  <w:style w:type="character" w:customStyle="1" w:styleId="25">
    <w:name w:val="页脚 字符"/>
    <w:basedOn w:val="19"/>
    <w:link w:val="11"/>
    <w:qFormat/>
    <w:uiPriority w:val="99"/>
    <w:rPr>
      <w:color w:val="0000FF"/>
      <w:kern w:val="0"/>
      <w:sz w:val="18"/>
      <w:szCs w:val="18"/>
    </w:rPr>
  </w:style>
  <w:style w:type="character" w:customStyle="1" w:styleId="26">
    <w:name w:val="正文文本缩进 字符"/>
    <w:basedOn w:val="19"/>
    <w:link w:val="7"/>
    <w:semiHidden/>
    <w:qFormat/>
    <w:uiPriority w:val="99"/>
    <w:rPr>
      <w:color w:val="0000FF"/>
      <w:kern w:val="0"/>
      <w:szCs w:val="21"/>
    </w:rPr>
  </w:style>
  <w:style w:type="character" w:customStyle="1" w:styleId="27">
    <w:name w:val="正文文本缩进 2 字符"/>
    <w:basedOn w:val="19"/>
    <w:link w:val="9"/>
    <w:semiHidden/>
    <w:qFormat/>
    <w:uiPriority w:val="99"/>
    <w:rPr>
      <w:color w:val="0000FF"/>
      <w:kern w:val="0"/>
      <w:szCs w:val="21"/>
    </w:rPr>
  </w:style>
  <w:style w:type="paragraph" w:customStyle="1" w:styleId="28">
    <w:name w:val="Char Char Char Char Char Char Char"/>
    <w:basedOn w:val="1"/>
    <w:qFormat/>
    <w:uiPriority w:val="99"/>
    <w:pPr>
      <w:widowControl/>
      <w:spacing w:after="160" w:line="240" w:lineRule="exact"/>
      <w:jc w:val="left"/>
    </w:pPr>
    <w:rPr>
      <w:rFonts w:ascii="Arial" w:hAnsi="Arial" w:cs="Arial"/>
      <w:b/>
      <w:bCs/>
      <w:color w:val="auto"/>
      <w:sz w:val="24"/>
      <w:szCs w:val="24"/>
      <w:lang w:eastAsia="en-US"/>
    </w:rPr>
  </w:style>
  <w:style w:type="character" w:customStyle="1" w:styleId="29">
    <w:name w:val="文档结构图 字符"/>
    <w:basedOn w:val="19"/>
    <w:link w:val="5"/>
    <w:semiHidden/>
    <w:qFormat/>
    <w:uiPriority w:val="99"/>
    <w:rPr>
      <w:color w:val="0000FF"/>
      <w:kern w:val="0"/>
      <w:sz w:val="0"/>
      <w:szCs w:val="0"/>
    </w:rPr>
  </w:style>
  <w:style w:type="character" w:customStyle="1" w:styleId="30">
    <w:name w:val="页眉 字符"/>
    <w:basedOn w:val="19"/>
    <w:link w:val="12"/>
    <w:qFormat/>
    <w:locked/>
    <w:uiPriority w:val="99"/>
    <w:rPr>
      <w:color w:val="0000FF"/>
      <w:sz w:val="18"/>
      <w:szCs w:val="18"/>
    </w:rPr>
  </w:style>
  <w:style w:type="character" w:customStyle="1" w:styleId="31">
    <w:name w:val="批注框文本 字符"/>
    <w:basedOn w:val="19"/>
    <w:link w:val="10"/>
    <w:qFormat/>
    <w:locked/>
    <w:uiPriority w:val="99"/>
    <w:rPr>
      <w:kern w:val="2"/>
      <w:sz w:val="18"/>
      <w:szCs w:val="18"/>
    </w:rPr>
  </w:style>
  <w:style w:type="character" w:customStyle="1" w:styleId="32">
    <w:name w:val="wen251"/>
    <w:qFormat/>
    <w:uiPriority w:val="99"/>
    <w:rPr>
      <w:rFonts w:ascii="宋体" w:hAnsi="宋体" w:eastAsia="宋体" w:cs="宋体"/>
      <w:color w:val="auto"/>
      <w:sz w:val="25"/>
      <w:szCs w:val="25"/>
      <w:u w:val="none"/>
    </w:rPr>
  </w:style>
  <w:style w:type="paragraph" w:customStyle="1" w:styleId="33">
    <w:name w:val="条文"/>
    <w:basedOn w:val="1"/>
    <w:qFormat/>
    <w:uiPriority w:val="99"/>
    <w:pPr>
      <w:adjustRightInd w:val="0"/>
      <w:spacing w:line="300" w:lineRule="auto"/>
      <w:ind w:firstLine="200" w:firstLineChars="200"/>
      <w:outlineLvl w:val="2"/>
    </w:pPr>
    <w:rPr>
      <w:color w:val="auto"/>
      <w:kern w:val="2"/>
      <w:sz w:val="24"/>
      <w:szCs w:val="24"/>
    </w:rPr>
  </w:style>
  <w:style w:type="paragraph" w:customStyle="1" w:styleId="34">
    <w:name w:val="节"/>
    <w:basedOn w:val="1"/>
    <w:qFormat/>
    <w:uiPriority w:val="99"/>
    <w:pPr>
      <w:adjustRightInd w:val="0"/>
      <w:spacing w:beforeLines="100" w:line="300" w:lineRule="auto"/>
      <w:ind w:firstLine="200" w:firstLineChars="200"/>
      <w:jc w:val="center"/>
      <w:outlineLvl w:val="1"/>
    </w:pPr>
    <w:rPr>
      <w:b/>
      <w:bCs/>
      <w:color w:val="auto"/>
      <w:kern w:val="2"/>
      <w:sz w:val="24"/>
      <w:szCs w:val="24"/>
    </w:rPr>
  </w:style>
  <w:style w:type="character" w:customStyle="1" w:styleId="35">
    <w:name w:val="批注文字 字符"/>
    <w:basedOn w:val="19"/>
    <w:link w:val="6"/>
    <w:semiHidden/>
    <w:qFormat/>
    <w:uiPriority w:val="99"/>
    <w:rPr>
      <w:color w:val="0000FF"/>
      <w:kern w:val="0"/>
      <w:szCs w:val="21"/>
    </w:rPr>
  </w:style>
  <w:style w:type="character" w:customStyle="1" w:styleId="36">
    <w:name w:val="批注主题 字符"/>
    <w:basedOn w:val="35"/>
    <w:link w:val="16"/>
    <w:semiHidden/>
    <w:qFormat/>
    <w:uiPriority w:val="99"/>
    <w:rPr>
      <w:b/>
      <w:bCs/>
      <w:color w:val="0000FF"/>
      <w:kern w:val="0"/>
      <w:szCs w:val="21"/>
    </w:rPr>
  </w:style>
  <w:style w:type="paragraph" w:styleId="37">
    <w:name w:val="List Paragraph"/>
    <w:basedOn w:val="1"/>
    <w:qFormat/>
    <w:uiPriority w:val="34"/>
    <w:pPr>
      <w:ind w:firstLine="420" w:firstLineChars="200"/>
    </w:pPr>
  </w:style>
  <w:style w:type="character" w:customStyle="1" w:styleId="38">
    <w:name w:val="标题 2 字符"/>
    <w:basedOn w:val="19"/>
    <w:link w:val="3"/>
    <w:qFormat/>
    <w:uiPriority w:val="0"/>
    <w:rPr>
      <w:rFonts w:asciiTheme="majorHAnsi" w:hAnsiTheme="majorHAnsi" w:eastAsiaTheme="majorEastAsia" w:cstheme="majorBidi"/>
      <w:b/>
      <w:bCs/>
      <w:kern w:val="0"/>
      <w:sz w:val="32"/>
      <w:szCs w:val="32"/>
    </w:rPr>
  </w:style>
  <w:style w:type="paragraph" w:customStyle="1" w:styleId="39">
    <w:name w:val="正文表标题"/>
    <w:next w:val="1"/>
    <w:qFormat/>
    <w:uiPriority w:val="0"/>
    <w:pPr>
      <w:numPr>
        <w:ilvl w:val="0"/>
        <w:numId w:val="1"/>
      </w:numPr>
      <w:spacing w:before="156" w:beforeLines="50" w:after="156" w:afterLines="50"/>
      <w:jc w:val="center"/>
    </w:pPr>
    <w:rPr>
      <w:rFonts w:ascii="黑体" w:hAnsi="Times New Roman" w:eastAsia="黑体" w:cs="Times New Roman"/>
      <w:sz w:val="21"/>
      <w:lang w:val="en-US" w:eastAsia="zh-CN" w:bidi="ar-SA"/>
    </w:rPr>
  </w:style>
  <w:style w:type="character" w:customStyle="1" w:styleId="40">
    <w:name w:val="纯文本 字符"/>
    <w:basedOn w:val="19"/>
    <w:link w:val="8"/>
    <w:qFormat/>
    <w:uiPriority w:val="0"/>
    <w:rPr>
      <w:rFonts w:ascii="宋体" w:hAnsi="Courier New"/>
      <w:color w:val="0000FF"/>
      <w:sz w:val="21"/>
      <w:szCs w:val="21"/>
      <w:lang w:val="zh-CN"/>
    </w:rPr>
  </w:style>
  <w:style w:type="character" w:customStyle="1" w:styleId="41">
    <w:name w:val="标题 1 字符"/>
    <w:basedOn w:val="19"/>
    <w:link w:val="2"/>
    <w:qFormat/>
    <w:uiPriority w:val="0"/>
    <w:rPr>
      <w:b/>
      <w:bCs/>
      <w:color w:val="0000FF"/>
      <w:kern w:val="44"/>
      <w:sz w:val="44"/>
      <w:szCs w:val="44"/>
    </w:rPr>
  </w:style>
  <w:style w:type="paragraph" w:customStyle="1" w:styleId="4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43">
    <w:name w:val="未处理的提及1"/>
    <w:basedOn w:val="19"/>
    <w:semiHidden/>
    <w:unhideWhenUsed/>
    <w:qFormat/>
    <w:uiPriority w:val="99"/>
    <w:rPr>
      <w:color w:val="605E5C"/>
      <w:shd w:val="clear" w:color="auto" w:fill="E1DFDD"/>
    </w:rPr>
  </w:style>
  <w:style w:type="paragraph" w:customStyle="1" w:styleId="44">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C005C1-8236-4136-9065-FF925FDECBB8}">
  <ds:schemaRefs/>
</ds:datastoreItem>
</file>

<file path=docProps/app.xml><?xml version="1.0" encoding="utf-8"?>
<Properties xmlns="http://schemas.openxmlformats.org/officeDocument/2006/extended-properties" xmlns:vt="http://schemas.openxmlformats.org/officeDocument/2006/docPropsVTypes">
  <Template>Normal</Template>
  <Company>jyy</Company>
  <Pages>20</Pages>
  <Words>690</Words>
  <Characters>812</Characters>
  <Lines>1019</Lines>
  <Paragraphs>1263</Paragraphs>
  <TotalTime>5</TotalTime>
  <ScaleCrop>false</ScaleCrop>
  <LinksUpToDate>false</LinksUpToDate>
  <CharactersWithSpaces>980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2025-07-19T10:01:00Z</dcterms:created>
  <dc:creator>陈乐端</dc:creator>
  <cp:lastModifiedBy>78164</cp:lastModifiedBy>
  <cp:lastPrinted>2025-07-15T07:10:00Z</cp:lastPrinted>
  <dcterms:modified xsi:type="dcterms:W3CDTF">2025-11-07T01:57:15Z</dcterms:modified>
  <dc:title>《绿色商店建筑评价标准》国家标准</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B2C5640DA8364A45B9B4D2E71F815B16_13</vt:lpwstr>
  </property>
  <property fmtid="{D5CDD505-2E9C-101B-9397-08002B2CF9AE}" pid="4" name="KSOTemplateDocerSaveRecord">
    <vt:lpwstr>eyJoZGlkIjoiZDI0OGVjMjExOWU3MGFkYzZlMGVhZTdjMGE4MDk3ZDgiLCJ1c2VySWQiOiI0MDAxMDgxNzMifQ==</vt:lpwstr>
  </property>
</Properties>
</file>