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40166">
      <w:pPr>
        <w:autoSpaceDE/>
        <w:autoSpaceDN/>
        <w:spacing w:line="300" w:lineRule="auto"/>
        <w:rPr>
          <w:rFonts w:cs="Times New Roman"/>
          <w:spacing w:val="-1"/>
          <w:sz w:val="28"/>
          <w:szCs w:val="28"/>
        </w:rPr>
      </w:pPr>
      <w:r>
        <w:rPr>
          <w:rFonts w:cs="Times New Roman"/>
          <w:lang w:val="en-US" w:bidi="ar-SA"/>
        </w:rPr>
        <w:drawing>
          <wp:inline distT="0" distB="0" distL="0" distR="0">
            <wp:extent cx="1545590" cy="1022985"/>
            <wp:effectExtent l="0" t="0" r="16510" b="5715"/>
            <wp:docPr id="1"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CS新LOGO（小）"/>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545590" cy="1022985"/>
                    </a:xfrm>
                    <a:prstGeom prst="rect">
                      <a:avLst/>
                    </a:prstGeom>
                    <a:noFill/>
                    <a:ln>
                      <a:noFill/>
                    </a:ln>
                  </pic:spPr>
                </pic:pic>
              </a:graphicData>
            </a:graphic>
          </wp:inline>
        </w:drawing>
      </w:r>
    </w:p>
    <w:p w14:paraId="36F96F66">
      <w:pPr>
        <w:autoSpaceDE/>
        <w:autoSpaceDN/>
        <w:spacing w:line="300" w:lineRule="auto"/>
        <w:jc w:val="right"/>
        <w:rPr>
          <w:rFonts w:cs="Times New Roman"/>
          <w:b/>
          <w:sz w:val="28"/>
          <w:szCs w:val="28"/>
        </w:rPr>
      </w:pPr>
      <w:r>
        <w:rPr>
          <w:rFonts w:cs="Times New Roman"/>
          <w:b/>
          <w:spacing w:val="-1"/>
          <w:sz w:val="28"/>
          <w:szCs w:val="28"/>
        </w:rPr>
        <w:t>T/CECS</w:t>
      </w:r>
      <w:r>
        <w:rPr>
          <w:rFonts w:cs="Times New Roman"/>
          <w:b/>
          <w:sz w:val="28"/>
          <w:szCs w:val="28"/>
        </w:rPr>
        <w:t xml:space="preserve"> XXX—202X</w:t>
      </w:r>
    </w:p>
    <w:p w14:paraId="2ACA89EE">
      <w:pPr>
        <w:autoSpaceDE/>
        <w:autoSpaceDN/>
        <w:spacing w:before="5" w:line="300" w:lineRule="auto"/>
        <w:ind w:firstLine="40" w:firstLineChars="200"/>
        <w:rPr>
          <w:rFonts w:cs="Times New Roman"/>
          <w:b/>
          <w:bCs/>
          <w:sz w:val="17"/>
          <w:szCs w:val="17"/>
        </w:rPr>
      </w:pPr>
      <w:r>
        <w:rPr>
          <w:rFonts w:cs="Times New Roman"/>
          <w:sz w:val="2"/>
          <w:szCs w:val="2"/>
          <w:lang w:val="en-US" w:bidi="ar-SA"/>
        </w:rPr>
        <mc:AlternateContent>
          <mc:Choice Requires="wpg">
            <w:drawing>
              <wp:inline distT="0" distB="0" distL="0" distR="0">
                <wp:extent cx="5274310" cy="8890"/>
                <wp:effectExtent l="0" t="0" r="0" b="0"/>
                <wp:docPr id="6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62" name="Group 5"/>
                        <wpg:cNvGrpSpPr/>
                        <wpg:grpSpPr>
                          <a:xfrm>
                            <a:off x="8" y="8"/>
                            <a:ext cx="8684" cy="2"/>
                            <a:chOff x="8" y="8"/>
                            <a:chExt cx="8684" cy="2"/>
                          </a:xfrm>
                        </wpg:grpSpPr>
                        <wps:wsp>
                          <wps:cNvPr id="6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">
                <o:lock v:ext="edit" aspectratio="f"/>
                <v:group id="Group 5" o:spid="_x0000_s1026" o:spt="203" style="position:absolute;left:8;top:8;height:2;width:8684;" coordorigin="8,8" coordsize="8684,2" o:gfxdata="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WW2YS+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8Y8js7wAAADb&#10;AAAADwAAAGRycy9kb3ducmV2LnhtbEWPwWrDMBBE74X8g9hAb43sNJjiRAkkYIhvjtsPWKyNbSKt&#10;jKUkdr++KhR6HGbmDbM7TNaIB42+d6wgXSUgiBune24VfH0Wbx8gfEDWaByTgpk8HPaLlx3m2j35&#10;Qo86tCJC2OeooAthyKX0TUcW/coNxNG7utFiiHJspR7xGeHWyHWSZNJiz3Ghw4FOHTW3+m4VVNp8&#10;GzSb+ZIVVVXOZX3ccK3U6zJNtiACTeE//Nc+awXZO/x+iT9A7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GPI7O8AAAA&#10;2wAAAA8AAAAAAAAAAQAgAAAAIgAAAGRycy9kb3ducmV2LnhtbFBLAQIUABQAAAAIAIdO4kAzLwWe&#10;OwAAADkAAAAQAAAAAAAAAAEAIAAAAAsBAABkcnMvc2hhcGV4bWwueG1sUEsFBgAAAAAGAAYAWwEA&#10;ALUDAAAAAA==&#10;" path="m0,0l8684,0e">
                    <v:path o:connectlocs="0,0;8684,0" o:connectangles="0,0"/>
                    <v:fill on="f" focussize="0,0"/>
                    <v:stroke color="#000000" joinstyle="round"/>
                    <v:imagedata o:title=""/>
                    <o:lock v:ext="edit" aspectratio="f"/>
                  </v:shape>
                </v:group>
                <w10:wrap type="none"/>
                <w10:anchorlock/>
              </v:group>
            </w:pict>
          </mc:Fallback>
        </mc:AlternateContent>
      </w:r>
    </w:p>
    <w:p w14:paraId="64CD4050">
      <w:pPr>
        <w:autoSpaceDE/>
        <w:autoSpaceDN/>
        <w:spacing w:line="20" w:lineRule="atLeast"/>
        <w:ind w:left="119" w:firstLine="40" w:firstLineChars="200"/>
        <w:rPr>
          <w:rFonts w:cs="Times New Roman"/>
          <w:sz w:val="2"/>
          <w:szCs w:val="2"/>
        </w:rPr>
      </w:pPr>
    </w:p>
    <w:p w14:paraId="22B73860">
      <w:pPr>
        <w:autoSpaceDE/>
        <w:autoSpaceDN/>
        <w:spacing w:line="300" w:lineRule="auto"/>
        <w:rPr>
          <w:rFonts w:cs="Times New Roman"/>
          <w:b/>
          <w:bCs/>
          <w:sz w:val="20"/>
          <w:szCs w:val="20"/>
        </w:rPr>
      </w:pPr>
    </w:p>
    <w:p w14:paraId="76BDC98E">
      <w:pPr>
        <w:autoSpaceDE/>
        <w:autoSpaceDN/>
        <w:spacing w:line="300" w:lineRule="auto"/>
        <w:rPr>
          <w:rFonts w:cs="Times New Roman"/>
          <w:b/>
          <w:bCs/>
          <w:sz w:val="20"/>
          <w:szCs w:val="20"/>
        </w:rPr>
      </w:pPr>
    </w:p>
    <w:p w14:paraId="53FDCBD7">
      <w:pPr>
        <w:autoSpaceDE/>
        <w:autoSpaceDN/>
        <w:spacing w:line="300" w:lineRule="auto"/>
        <w:jc w:val="center"/>
        <w:rPr>
          <w:rFonts w:cs="Times New Roman"/>
          <w:b/>
          <w:bCs/>
          <w:sz w:val="32"/>
          <w:szCs w:val="36"/>
        </w:rPr>
      </w:pPr>
      <w:r>
        <w:rPr>
          <w:rFonts w:cs="Times New Roman"/>
          <w:b/>
          <w:bCs/>
          <w:sz w:val="32"/>
          <w:szCs w:val="36"/>
        </w:rPr>
        <w:t>中国工程建设标准化协会标准</w:t>
      </w:r>
    </w:p>
    <w:p w14:paraId="16494AD7">
      <w:pPr>
        <w:autoSpaceDE/>
        <w:autoSpaceDN/>
        <w:spacing w:before="3" w:line="300" w:lineRule="auto"/>
        <w:rPr>
          <w:rFonts w:cs="Times New Roman"/>
          <w:sz w:val="32"/>
          <w:szCs w:val="32"/>
        </w:rPr>
      </w:pPr>
    </w:p>
    <w:p w14:paraId="3B4C8EB5">
      <w:pPr>
        <w:autoSpaceDE/>
        <w:autoSpaceDN/>
        <w:spacing w:before="143" w:line="407" w:lineRule="auto"/>
        <w:ind w:right="-58"/>
        <w:jc w:val="center"/>
        <w:rPr>
          <w:rFonts w:ascii="黑体" w:hAnsi="黑体" w:eastAsia="黑体" w:cs="Times New Roman"/>
          <w:bCs/>
          <w:sz w:val="48"/>
          <w:szCs w:val="44"/>
        </w:rPr>
      </w:pPr>
      <w:r>
        <w:rPr>
          <w:rFonts w:ascii="黑体" w:hAnsi="黑体" w:eastAsia="黑体" w:cs="Times New Roman"/>
          <w:bCs/>
          <w:sz w:val="48"/>
          <w:szCs w:val="44"/>
        </w:rPr>
        <w:t>装配式建筑</w:t>
      </w:r>
      <w:r>
        <w:rPr>
          <w:rFonts w:hint="eastAsia" w:ascii="黑体" w:hAnsi="黑体" w:eastAsia="黑体" w:cs="Times New Roman"/>
          <w:bCs/>
          <w:sz w:val="48"/>
          <w:szCs w:val="44"/>
        </w:rPr>
        <w:t>低碳</w:t>
      </w:r>
      <w:r>
        <w:rPr>
          <w:rFonts w:ascii="黑体" w:hAnsi="黑体" w:eastAsia="黑体" w:cs="Times New Roman"/>
          <w:bCs/>
          <w:sz w:val="48"/>
          <w:szCs w:val="44"/>
        </w:rPr>
        <w:t>评价标准</w:t>
      </w:r>
    </w:p>
    <w:p w14:paraId="7803BF8B">
      <w:pPr>
        <w:autoSpaceDE/>
        <w:autoSpaceDN/>
        <w:spacing w:before="143" w:line="407" w:lineRule="auto"/>
        <w:ind w:right="-58"/>
        <w:jc w:val="center"/>
        <w:rPr>
          <w:rFonts w:cs="Times New Roman"/>
          <w:sz w:val="28"/>
          <w:szCs w:val="44"/>
          <w:lang w:val="en-US"/>
        </w:rPr>
      </w:pPr>
      <w:r>
        <w:rPr>
          <w:rFonts w:hint="eastAsia" w:cs="Times New Roman"/>
          <w:sz w:val="28"/>
          <w:szCs w:val="44"/>
          <w:lang w:val="en-US"/>
        </w:rPr>
        <w:t>Low-carbon evaluation standards for prefabricated buildings</w:t>
      </w:r>
    </w:p>
    <w:p w14:paraId="6E181585">
      <w:pPr>
        <w:autoSpaceDE/>
        <w:autoSpaceDN/>
        <w:spacing w:line="300" w:lineRule="auto"/>
        <w:jc w:val="center"/>
        <w:rPr>
          <w:rFonts w:cs="Times New Roman"/>
          <w:b/>
          <w:bCs/>
          <w:sz w:val="36"/>
          <w:szCs w:val="36"/>
        </w:rPr>
      </w:pPr>
      <w:r>
        <w:rPr>
          <w:rFonts w:cs="Times New Roman"/>
          <w:sz w:val="36"/>
          <w:szCs w:val="36"/>
        </w:rPr>
        <w:t>（</w:t>
      </w:r>
      <w:r>
        <w:rPr>
          <w:rFonts w:hint="eastAsia" w:cs="Times New Roman"/>
          <w:sz w:val="36"/>
          <w:szCs w:val="36"/>
          <w:lang w:eastAsia="zh-CN"/>
        </w:rPr>
        <w:t>征求意见</w:t>
      </w:r>
      <w:r>
        <w:rPr>
          <w:rFonts w:cs="Times New Roman"/>
          <w:sz w:val="36"/>
          <w:szCs w:val="36"/>
          <w:lang w:val="en-US"/>
        </w:rPr>
        <w:t>稿</w:t>
      </w:r>
      <w:r>
        <w:rPr>
          <w:rFonts w:cs="Times New Roman"/>
          <w:sz w:val="36"/>
          <w:szCs w:val="36"/>
        </w:rPr>
        <w:t>）</w:t>
      </w:r>
    </w:p>
    <w:p w14:paraId="3627C331">
      <w:pPr>
        <w:autoSpaceDE/>
        <w:autoSpaceDN/>
        <w:spacing w:line="300" w:lineRule="auto"/>
        <w:rPr>
          <w:rFonts w:cs="Times New Roman"/>
          <w:b/>
          <w:bCs/>
          <w:sz w:val="32"/>
          <w:szCs w:val="32"/>
        </w:rPr>
      </w:pPr>
    </w:p>
    <w:p w14:paraId="037FB0D6">
      <w:pPr>
        <w:autoSpaceDE/>
        <w:autoSpaceDN/>
        <w:spacing w:line="300" w:lineRule="auto"/>
        <w:rPr>
          <w:rFonts w:cs="Times New Roman"/>
          <w:b/>
          <w:bCs/>
          <w:sz w:val="32"/>
          <w:szCs w:val="32"/>
        </w:rPr>
      </w:pPr>
    </w:p>
    <w:p w14:paraId="74079877">
      <w:pPr>
        <w:autoSpaceDE/>
        <w:autoSpaceDN/>
        <w:spacing w:line="300" w:lineRule="auto"/>
        <w:rPr>
          <w:rFonts w:cs="Times New Roman"/>
          <w:b/>
          <w:bCs/>
          <w:sz w:val="32"/>
          <w:szCs w:val="32"/>
        </w:rPr>
      </w:pPr>
    </w:p>
    <w:p w14:paraId="1816AE6E">
      <w:pPr>
        <w:autoSpaceDE/>
        <w:autoSpaceDN/>
        <w:spacing w:line="300" w:lineRule="auto"/>
        <w:rPr>
          <w:rFonts w:cs="Times New Roman"/>
          <w:b/>
          <w:bCs/>
          <w:sz w:val="32"/>
          <w:szCs w:val="32"/>
        </w:rPr>
      </w:pPr>
    </w:p>
    <w:p w14:paraId="0166C78A">
      <w:pPr>
        <w:autoSpaceDE/>
        <w:autoSpaceDN/>
        <w:spacing w:line="300" w:lineRule="auto"/>
        <w:rPr>
          <w:rFonts w:cs="Times New Roman"/>
          <w:b/>
          <w:bCs/>
          <w:sz w:val="32"/>
          <w:szCs w:val="32"/>
        </w:rPr>
      </w:pPr>
      <w:r>
        <w:rPr>
          <w:rFonts w:hint="eastAsia" w:cs="Times New Roman"/>
          <w:b/>
          <w:bCs/>
          <w:sz w:val="28"/>
          <w:szCs w:val="32"/>
          <w:lang w:val="en-US"/>
        </w:rPr>
        <w:t xml:space="preserve"> </w:t>
      </w:r>
    </w:p>
    <w:p w14:paraId="34F6D851">
      <w:pPr>
        <w:autoSpaceDE/>
        <w:autoSpaceDN/>
        <w:spacing w:line="300" w:lineRule="auto"/>
        <w:rPr>
          <w:rFonts w:cs="Times New Roman"/>
          <w:b/>
          <w:bCs/>
          <w:sz w:val="32"/>
          <w:szCs w:val="32"/>
        </w:rPr>
      </w:pPr>
    </w:p>
    <w:p w14:paraId="31E41A24">
      <w:pPr>
        <w:autoSpaceDE/>
        <w:autoSpaceDN/>
        <w:spacing w:line="300" w:lineRule="auto"/>
        <w:rPr>
          <w:rFonts w:cs="Times New Roman"/>
          <w:bCs/>
          <w:sz w:val="32"/>
          <w:szCs w:val="32"/>
        </w:rPr>
      </w:pPr>
    </w:p>
    <w:p w14:paraId="18201766">
      <w:pPr>
        <w:autoSpaceDE/>
        <w:autoSpaceDN/>
        <w:spacing w:line="300" w:lineRule="auto"/>
        <w:jc w:val="center"/>
        <w:rPr>
          <w:rFonts w:eastAsia="仿宋" w:cs="Times New Roman"/>
          <w:b/>
          <w:bCs/>
          <w:sz w:val="36"/>
          <w:szCs w:val="36"/>
        </w:rPr>
      </w:pPr>
      <w:r>
        <w:rPr>
          <w:rFonts w:eastAsia="仿宋" w:cs="Times New Roman"/>
          <w:b/>
          <w:spacing w:val="-1"/>
          <w:sz w:val="30"/>
          <w:szCs w:val="30"/>
        </w:rPr>
        <w:t>中国XX出版社</w:t>
      </w:r>
    </w:p>
    <w:p w14:paraId="1BADD7D2">
      <w:pPr>
        <w:autoSpaceDE/>
        <w:autoSpaceDN/>
        <w:jc w:val="center"/>
        <w:rPr>
          <w:rFonts w:cs="Times New Roman"/>
          <w:b/>
          <w:bCs/>
          <w:sz w:val="36"/>
          <w:szCs w:val="36"/>
        </w:rPr>
      </w:pPr>
    </w:p>
    <w:p w14:paraId="577C501F">
      <w:pPr>
        <w:autoSpaceDE/>
        <w:autoSpaceDN/>
        <w:jc w:val="center"/>
        <w:rPr>
          <w:rFonts w:cs="Times New Roman"/>
          <w:b/>
          <w:bCs/>
          <w:sz w:val="36"/>
          <w:szCs w:val="36"/>
        </w:rPr>
        <w:sectPr>
          <w:footerReference r:id="rId4" w:type="first"/>
          <w:footerReference r:id="rId3" w:type="even"/>
          <w:type w:val="continuous"/>
          <w:pgSz w:w="11906" w:h="16838"/>
          <w:pgMar w:top="1440" w:right="1800" w:bottom="1440" w:left="1800" w:header="851" w:footer="992" w:gutter="0"/>
          <w:pgNumType w:start="1"/>
          <w:cols w:space="720" w:num="1"/>
          <w:docGrid w:type="lines" w:linePitch="326" w:charSpace="0"/>
        </w:sectPr>
      </w:pPr>
    </w:p>
    <w:p w14:paraId="685C5B6A">
      <w:pPr>
        <w:autoSpaceDE/>
        <w:autoSpaceDN/>
        <w:spacing w:after="312" w:afterLines="100"/>
        <w:jc w:val="center"/>
        <w:rPr>
          <w:rFonts w:eastAsia="黑体" w:cs="Times New Roman"/>
          <w:bCs/>
          <w:sz w:val="32"/>
          <w:szCs w:val="32"/>
        </w:rPr>
      </w:pPr>
    </w:p>
    <w:p w14:paraId="62269BA1">
      <w:pPr>
        <w:autoSpaceDE/>
        <w:autoSpaceDN/>
        <w:spacing w:after="312" w:afterLines="100"/>
        <w:jc w:val="center"/>
        <w:rPr>
          <w:rFonts w:eastAsia="黑体" w:cs="Times New Roman"/>
          <w:bCs/>
          <w:sz w:val="32"/>
          <w:szCs w:val="32"/>
        </w:rPr>
      </w:pPr>
      <w:r>
        <w:rPr>
          <w:rFonts w:eastAsia="黑体" w:cs="Times New Roman"/>
          <w:bCs/>
          <w:sz w:val="32"/>
          <w:szCs w:val="32"/>
        </w:rPr>
        <w:t>中国工程建设标准化协会标准</w:t>
      </w:r>
    </w:p>
    <w:p w14:paraId="137BAC96">
      <w:pPr>
        <w:autoSpaceDE/>
        <w:autoSpaceDN/>
        <w:snapToGrid w:val="0"/>
        <w:jc w:val="center"/>
        <w:rPr>
          <w:rFonts w:cs="Times New Roman"/>
          <w:bCs/>
          <w:sz w:val="21"/>
          <w:szCs w:val="32"/>
        </w:rPr>
      </w:pPr>
    </w:p>
    <w:p w14:paraId="24C0653D">
      <w:pPr>
        <w:widowControl/>
        <w:autoSpaceDE/>
        <w:autoSpaceDN/>
        <w:snapToGrid w:val="0"/>
        <w:spacing w:before="312" w:beforeLines="100"/>
        <w:jc w:val="center"/>
        <w:rPr>
          <w:rFonts w:cs="Times New Roman"/>
          <w:b/>
          <w:sz w:val="52"/>
          <w:szCs w:val="44"/>
        </w:rPr>
      </w:pPr>
      <w:r>
        <w:rPr>
          <w:rFonts w:hint="eastAsia" w:cs="Times New Roman"/>
          <w:b/>
          <w:sz w:val="52"/>
          <w:szCs w:val="44"/>
        </w:rPr>
        <w:t>装配式建筑低碳评价标准</w:t>
      </w:r>
    </w:p>
    <w:p w14:paraId="39E810A9">
      <w:pPr>
        <w:autoSpaceDE/>
        <w:autoSpaceDN/>
        <w:spacing w:before="143" w:line="407" w:lineRule="auto"/>
        <w:ind w:right="-58"/>
        <w:jc w:val="center"/>
        <w:rPr>
          <w:rFonts w:cs="Times New Roman"/>
          <w:sz w:val="28"/>
          <w:szCs w:val="44"/>
          <w:lang w:val="en-US"/>
        </w:rPr>
      </w:pPr>
      <w:r>
        <w:rPr>
          <w:rFonts w:hint="eastAsia" w:cs="Times New Roman"/>
          <w:sz w:val="28"/>
          <w:szCs w:val="44"/>
          <w:lang w:val="en-US"/>
        </w:rPr>
        <w:t>Low-carbon evaluation standards for prefabricated buildings</w:t>
      </w:r>
    </w:p>
    <w:p w14:paraId="625C453C">
      <w:pPr>
        <w:autoSpaceDE/>
        <w:autoSpaceDN/>
        <w:spacing w:line="300" w:lineRule="auto"/>
        <w:rPr>
          <w:rFonts w:cs="Times New Roman"/>
          <w:b/>
          <w:bCs/>
          <w:sz w:val="32"/>
          <w:szCs w:val="32"/>
          <w:lang w:val="en-US"/>
        </w:rPr>
      </w:pPr>
    </w:p>
    <w:p w14:paraId="23F7BAF9">
      <w:pPr>
        <w:widowControl/>
        <w:tabs>
          <w:tab w:val="left" w:pos="6379"/>
          <w:tab w:val="left" w:pos="7513"/>
        </w:tabs>
        <w:autoSpaceDE/>
        <w:autoSpaceDN/>
        <w:ind w:right="77" w:rightChars="35"/>
        <w:rPr>
          <w:rFonts w:cs="Times New Roman"/>
          <w:sz w:val="28"/>
          <w:szCs w:val="32"/>
          <w:lang w:val="en-US"/>
        </w:rPr>
      </w:pPr>
    </w:p>
    <w:p w14:paraId="125AD4F8">
      <w:pPr>
        <w:widowControl/>
        <w:tabs>
          <w:tab w:val="left" w:pos="6379"/>
          <w:tab w:val="left" w:pos="7513"/>
        </w:tabs>
        <w:autoSpaceDE/>
        <w:autoSpaceDN/>
        <w:ind w:left="649" w:leftChars="295" w:right="77" w:rightChars="35" w:firstLine="991" w:firstLineChars="354"/>
        <w:rPr>
          <w:rFonts w:cs="Times New Roman"/>
          <w:sz w:val="28"/>
          <w:szCs w:val="32"/>
        </w:rPr>
      </w:pPr>
      <w:r>
        <w:rPr>
          <w:rFonts w:cs="Times New Roman"/>
          <w:sz w:val="28"/>
          <w:szCs w:val="32"/>
        </w:rPr>
        <w:t>主编单位：中国建筑科学研究院有限公司</w:t>
      </w:r>
    </w:p>
    <w:p w14:paraId="380BAD1E">
      <w:pPr>
        <w:widowControl/>
        <w:tabs>
          <w:tab w:val="left" w:pos="6379"/>
          <w:tab w:val="left" w:pos="7513"/>
        </w:tabs>
        <w:autoSpaceDE/>
        <w:autoSpaceDN/>
        <w:ind w:left="649" w:leftChars="295" w:right="77" w:rightChars="35" w:firstLine="991" w:firstLineChars="354"/>
        <w:rPr>
          <w:rFonts w:cs="Times New Roman"/>
          <w:sz w:val="28"/>
          <w:szCs w:val="32"/>
        </w:rPr>
      </w:pPr>
      <w:r>
        <w:rPr>
          <w:rFonts w:cs="Times New Roman"/>
          <w:sz w:val="28"/>
          <w:szCs w:val="32"/>
        </w:rPr>
        <w:t>批准单位：中国工程建设标准化协会</w:t>
      </w:r>
    </w:p>
    <w:p w14:paraId="432EFAED">
      <w:pPr>
        <w:widowControl/>
        <w:tabs>
          <w:tab w:val="left" w:pos="6379"/>
        </w:tabs>
        <w:autoSpaceDE/>
        <w:autoSpaceDN/>
        <w:ind w:left="649" w:leftChars="295" w:right="1896" w:rightChars="862" w:firstLine="991" w:firstLineChars="354"/>
        <w:rPr>
          <w:rFonts w:cs="Times New Roman"/>
          <w:sz w:val="28"/>
          <w:szCs w:val="32"/>
        </w:rPr>
      </w:pPr>
      <w:r>
        <w:rPr>
          <w:rFonts w:cs="Times New Roman"/>
          <w:sz w:val="28"/>
          <w:szCs w:val="32"/>
        </w:rPr>
        <w:t>施行日期：202X年XX月XX日</w:t>
      </w:r>
    </w:p>
    <w:p w14:paraId="220D452C">
      <w:pPr>
        <w:widowControl/>
        <w:autoSpaceDE/>
        <w:autoSpaceDN/>
        <w:rPr>
          <w:rFonts w:cs="Times New Roman"/>
          <w:szCs w:val="32"/>
        </w:rPr>
      </w:pPr>
    </w:p>
    <w:p w14:paraId="4647637B">
      <w:pPr>
        <w:widowControl/>
        <w:autoSpaceDE/>
        <w:autoSpaceDN/>
        <w:rPr>
          <w:rFonts w:cs="Times New Roman"/>
          <w:szCs w:val="32"/>
        </w:rPr>
      </w:pPr>
    </w:p>
    <w:p w14:paraId="0BEF650F">
      <w:pPr>
        <w:widowControl/>
        <w:autoSpaceDE/>
        <w:autoSpaceDN/>
        <w:rPr>
          <w:rFonts w:cs="Times New Roman"/>
          <w:szCs w:val="32"/>
        </w:rPr>
      </w:pPr>
    </w:p>
    <w:p w14:paraId="6AD744D7">
      <w:pPr>
        <w:widowControl/>
        <w:autoSpaceDE/>
        <w:autoSpaceDN/>
        <w:rPr>
          <w:rFonts w:cs="Times New Roman"/>
          <w:szCs w:val="32"/>
        </w:rPr>
      </w:pPr>
    </w:p>
    <w:p w14:paraId="4B9CDF72">
      <w:pPr>
        <w:widowControl/>
        <w:autoSpaceDE/>
        <w:autoSpaceDN/>
        <w:rPr>
          <w:rFonts w:cs="Times New Roman"/>
          <w:szCs w:val="32"/>
        </w:rPr>
      </w:pPr>
    </w:p>
    <w:p w14:paraId="58C680CA">
      <w:pPr>
        <w:widowControl/>
        <w:autoSpaceDE/>
        <w:autoSpaceDN/>
        <w:rPr>
          <w:rFonts w:cs="Times New Roman"/>
          <w:szCs w:val="32"/>
        </w:rPr>
      </w:pPr>
    </w:p>
    <w:p w14:paraId="76F50142">
      <w:pPr>
        <w:widowControl/>
        <w:autoSpaceDE/>
        <w:autoSpaceDN/>
        <w:rPr>
          <w:rFonts w:cs="Times New Roman"/>
          <w:szCs w:val="32"/>
        </w:rPr>
      </w:pPr>
    </w:p>
    <w:p w14:paraId="74E4EBF3">
      <w:pPr>
        <w:widowControl/>
        <w:autoSpaceDE/>
        <w:autoSpaceDN/>
        <w:rPr>
          <w:rFonts w:cs="Times New Roman"/>
          <w:szCs w:val="32"/>
        </w:rPr>
      </w:pPr>
    </w:p>
    <w:p w14:paraId="18C191FA">
      <w:pPr>
        <w:widowControl/>
        <w:autoSpaceDE/>
        <w:autoSpaceDN/>
        <w:rPr>
          <w:rFonts w:cs="Times New Roman"/>
          <w:szCs w:val="32"/>
        </w:rPr>
      </w:pPr>
    </w:p>
    <w:p w14:paraId="0D8F6DEB">
      <w:pPr>
        <w:widowControl/>
        <w:autoSpaceDE/>
        <w:autoSpaceDN/>
        <w:rPr>
          <w:rFonts w:cs="Times New Roman"/>
          <w:szCs w:val="32"/>
        </w:rPr>
      </w:pPr>
    </w:p>
    <w:p w14:paraId="1202895D">
      <w:pPr>
        <w:widowControl/>
        <w:autoSpaceDE/>
        <w:autoSpaceDN/>
        <w:rPr>
          <w:rFonts w:cs="Times New Roman"/>
          <w:szCs w:val="32"/>
        </w:rPr>
      </w:pPr>
    </w:p>
    <w:p w14:paraId="341D770D">
      <w:pPr>
        <w:widowControl/>
        <w:autoSpaceDE/>
        <w:autoSpaceDN/>
        <w:rPr>
          <w:rFonts w:cs="Times New Roman"/>
          <w:szCs w:val="32"/>
        </w:rPr>
      </w:pPr>
    </w:p>
    <w:p w14:paraId="1F25A4ED">
      <w:pPr>
        <w:widowControl/>
        <w:autoSpaceDE/>
        <w:autoSpaceDN/>
        <w:rPr>
          <w:rFonts w:cs="Times New Roman"/>
          <w:szCs w:val="32"/>
        </w:rPr>
      </w:pPr>
    </w:p>
    <w:p w14:paraId="06D7FD12">
      <w:pPr>
        <w:autoSpaceDE/>
        <w:autoSpaceDN/>
        <w:spacing w:line="300" w:lineRule="auto"/>
        <w:jc w:val="center"/>
        <w:rPr>
          <w:rFonts w:eastAsia="仿宋" w:cs="Times New Roman"/>
          <w:b/>
          <w:spacing w:val="-1"/>
          <w:sz w:val="28"/>
          <w:szCs w:val="30"/>
        </w:rPr>
      </w:pPr>
      <w:r>
        <w:rPr>
          <w:rFonts w:eastAsia="仿宋" w:cs="Times New Roman"/>
          <w:b/>
          <w:spacing w:val="-1"/>
          <w:sz w:val="28"/>
          <w:szCs w:val="30"/>
        </w:rPr>
        <w:t>中国XXX出版社</w:t>
      </w:r>
    </w:p>
    <w:p w14:paraId="7E45A7B5">
      <w:pPr>
        <w:widowControl/>
        <w:autoSpaceDE/>
        <w:autoSpaceDN/>
        <w:spacing w:before="312" w:beforeLines="100"/>
        <w:ind w:right="-33" w:rightChars="-15"/>
        <w:jc w:val="center"/>
        <w:rPr>
          <w:rFonts w:eastAsia="黑体" w:cs="Times New Roman"/>
          <w:spacing w:val="-1"/>
          <w:sz w:val="24"/>
          <w:szCs w:val="30"/>
        </w:rPr>
      </w:pPr>
      <w:r>
        <w:rPr>
          <w:rFonts w:eastAsia="黑体" w:cs="Times New Roman"/>
          <w:spacing w:val="-1"/>
          <w:sz w:val="24"/>
          <w:szCs w:val="30"/>
        </w:rPr>
        <w:t>202X年　北　　京</w:t>
      </w:r>
    </w:p>
    <w:p w14:paraId="522106EB">
      <w:pPr>
        <w:widowControl/>
        <w:autoSpaceDE/>
        <w:autoSpaceDN/>
        <w:spacing w:before="312" w:beforeLines="100"/>
        <w:ind w:right="462" w:rightChars="210"/>
        <w:jc w:val="center"/>
        <w:rPr>
          <w:rFonts w:cs="Times New Roman"/>
          <w:spacing w:val="-1"/>
          <w:sz w:val="28"/>
          <w:szCs w:val="30"/>
        </w:rPr>
      </w:pPr>
    </w:p>
    <w:p w14:paraId="51061BEF">
      <w:pPr>
        <w:widowControl/>
        <w:autoSpaceDE/>
        <w:autoSpaceDN/>
        <w:spacing w:before="312" w:beforeLines="100"/>
        <w:ind w:right="462" w:rightChars="210"/>
        <w:jc w:val="center"/>
        <w:rPr>
          <w:rFonts w:cs="Times New Roman"/>
          <w:spacing w:val="-1"/>
          <w:sz w:val="28"/>
          <w:szCs w:val="30"/>
        </w:rPr>
        <w:sectPr>
          <w:footerReference r:id="rId5" w:type="default"/>
          <w:pgSz w:w="11906" w:h="16838"/>
          <w:pgMar w:top="1440" w:right="1080" w:bottom="1440" w:left="1080" w:header="851" w:footer="992" w:gutter="0"/>
          <w:cols w:space="425" w:num="1"/>
          <w:docGrid w:type="lines" w:linePitch="312" w:charSpace="0"/>
        </w:sectPr>
      </w:pPr>
    </w:p>
    <w:p w14:paraId="52321E57">
      <w:pPr>
        <w:autoSpaceDE/>
        <w:autoSpaceDN/>
        <w:jc w:val="center"/>
        <w:rPr>
          <w:rFonts w:ascii="黑体" w:hAnsi="黑体" w:eastAsia="黑体" w:cs="Times New Roman"/>
          <w:b/>
          <w:color w:val="auto"/>
          <w:sz w:val="32"/>
        </w:rPr>
      </w:pPr>
      <w:bookmarkStart w:id="0" w:name="_Toc34065088"/>
      <w:r>
        <w:rPr>
          <w:rFonts w:ascii="黑体" w:hAnsi="黑体" w:eastAsia="黑体" w:cs="Times New Roman"/>
          <w:color w:val="auto"/>
          <w:sz w:val="32"/>
        </w:rPr>
        <w:t>前　　言</w:t>
      </w:r>
      <w:bookmarkEnd w:id="0"/>
    </w:p>
    <w:p w14:paraId="369171A7">
      <w:pPr>
        <w:autoSpaceDE/>
        <w:autoSpaceDN/>
        <w:ind w:firstLine="480" w:firstLineChars="200"/>
        <w:jc w:val="both"/>
        <w:rPr>
          <w:rFonts w:cs="Times New Roman"/>
          <w:color w:val="auto"/>
          <w:sz w:val="24"/>
          <w:szCs w:val="24"/>
        </w:rPr>
      </w:pPr>
      <w:r>
        <w:rPr>
          <w:rFonts w:cs="Times New Roman"/>
          <w:color w:val="auto"/>
          <w:sz w:val="24"/>
          <w:szCs w:val="24"/>
        </w:rPr>
        <w:t>根据中国工程建设标准化协会《关于印发&lt;20</w:t>
      </w:r>
      <w:r>
        <w:rPr>
          <w:rFonts w:hint="eastAsia" w:cs="Times New Roman"/>
          <w:color w:val="auto"/>
          <w:sz w:val="24"/>
          <w:szCs w:val="24"/>
          <w:lang w:val="en-US"/>
        </w:rPr>
        <w:t>22</w:t>
      </w:r>
      <w:r>
        <w:rPr>
          <w:rFonts w:cs="Times New Roman"/>
          <w:color w:val="auto"/>
          <w:sz w:val="24"/>
          <w:szCs w:val="24"/>
        </w:rPr>
        <w:t>年第</w:t>
      </w:r>
      <w:r>
        <w:rPr>
          <w:rFonts w:hint="eastAsia" w:cs="Times New Roman"/>
          <w:color w:val="auto"/>
          <w:sz w:val="24"/>
          <w:szCs w:val="24"/>
        </w:rPr>
        <w:t>一</w:t>
      </w:r>
      <w:r>
        <w:rPr>
          <w:rFonts w:cs="Times New Roman"/>
          <w:color w:val="auto"/>
          <w:sz w:val="24"/>
          <w:szCs w:val="24"/>
        </w:rPr>
        <w:t>批协会标准制订、修订计划&gt;的通知》（</w:t>
      </w:r>
      <w:r>
        <w:rPr>
          <w:rFonts w:hint="eastAsia" w:cs="Times New Roman"/>
          <w:color w:val="auto"/>
          <w:sz w:val="24"/>
          <w:szCs w:val="24"/>
        </w:rPr>
        <w:t>建标协字〔2022〕13号</w:t>
      </w:r>
      <w:r>
        <w:rPr>
          <w:rFonts w:cs="Times New Roman"/>
          <w:color w:val="auto"/>
          <w:sz w:val="24"/>
          <w:szCs w:val="24"/>
        </w:rPr>
        <w:t>）的要求，标准编制组经过深入调查研究，认真总结实践经验，参考有关国外和国内先进标准，并在广泛征求意见的基础上，制定本标准。</w:t>
      </w:r>
    </w:p>
    <w:p w14:paraId="58347A59">
      <w:pPr>
        <w:autoSpaceDE/>
        <w:autoSpaceDN/>
        <w:ind w:firstLine="480" w:firstLineChars="200"/>
        <w:jc w:val="both"/>
        <w:rPr>
          <w:rFonts w:cs="Times New Roman"/>
          <w:color w:val="auto"/>
          <w:sz w:val="24"/>
          <w:szCs w:val="24"/>
        </w:rPr>
      </w:pPr>
      <w:r>
        <w:rPr>
          <w:rFonts w:cs="Times New Roman"/>
          <w:color w:val="auto"/>
          <w:sz w:val="24"/>
          <w:szCs w:val="24"/>
        </w:rPr>
        <w:t>本标准共分为</w:t>
      </w:r>
      <w:r>
        <w:rPr>
          <w:rFonts w:hint="eastAsia" w:cs="Times New Roman"/>
          <w:color w:val="auto"/>
          <w:sz w:val="24"/>
          <w:szCs w:val="24"/>
          <w:lang w:val="en-US" w:eastAsia="zh-CN"/>
        </w:rPr>
        <w:t>7</w:t>
      </w:r>
      <w:r>
        <w:rPr>
          <w:rFonts w:cs="Times New Roman"/>
          <w:color w:val="auto"/>
          <w:sz w:val="24"/>
          <w:szCs w:val="24"/>
        </w:rPr>
        <w:t>章，主要技术内容包括：总则、术语、基本规定、</w:t>
      </w:r>
      <w:r>
        <w:rPr>
          <w:rFonts w:hint="eastAsia" w:cs="Times New Roman"/>
          <w:color w:val="auto"/>
          <w:sz w:val="24"/>
          <w:szCs w:val="24"/>
        </w:rPr>
        <w:t>低碳设计</w:t>
      </w:r>
      <w:r>
        <w:rPr>
          <w:rFonts w:cs="Times New Roman"/>
          <w:color w:val="auto"/>
          <w:sz w:val="24"/>
          <w:szCs w:val="24"/>
        </w:rPr>
        <w:t>、</w:t>
      </w:r>
      <w:r>
        <w:rPr>
          <w:rFonts w:hint="eastAsia" w:cs="Times New Roman"/>
          <w:color w:val="auto"/>
          <w:sz w:val="24"/>
          <w:szCs w:val="24"/>
        </w:rPr>
        <w:t>低碳生产</w:t>
      </w:r>
      <w:r>
        <w:rPr>
          <w:rFonts w:hint="eastAsia" w:cs="Times New Roman"/>
          <w:color w:val="auto"/>
          <w:sz w:val="24"/>
          <w:szCs w:val="24"/>
          <w:lang w:eastAsia="zh-CN"/>
        </w:rPr>
        <w:t>与</w:t>
      </w:r>
      <w:r>
        <w:rPr>
          <w:rFonts w:hint="eastAsia" w:cs="Times New Roman"/>
          <w:color w:val="auto"/>
          <w:sz w:val="24"/>
          <w:szCs w:val="24"/>
        </w:rPr>
        <w:t>施工</w:t>
      </w:r>
      <w:r>
        <w:rPr>
          <w:rFonts w:cs="Times New Roman"/>
          <w:color w:val="auto"/>
          <w:sz w:val="24"/>
          <w:szCs w:val="24"/>
        </w:rPr>
        <w:t>、</w:t>
      </w:r>
      <w:r>
        <w:rPr>
          <w:rFonts w:hint="eastAsia" w:cs="Times New Roman"/>
          <w:color w:val="auto"/>
          <w:sz w:val="24"/>
          <w:szCs w:val="24"/>
        </w:rPr>
        <w:t>低碳运营</w:t>
      </w:r>
      <w:r>
        <w:rPr>
          <w:rFonts w:cs="Times New Roman"/>
          <w:color w:val="auto"/>
          <w:sz w:val="24"/>
          <w:szCs w:val="24"/>
        </w:rPr>
        <w:t>、提高与创新。</w:t>
      </w:r>
    </w:p>
    <w:p w14:paraId="365D38FD">
      <w:pPr>
        <w:autoSpaceDE/>
        <w:autoSpaceDN/>
        <w:ind w:firstLine="480" w:firstLineChars="200"/>
        <w:jc w:val="both"/>
        <w:rPr>
          <w:rFonts w:cs="Times New Roman"/>
          <w:color w:val="auto"/>
          <w:sz w:val="24"/>
          <w:szCs w:val="24"/>
        </w:rPr>
      </w:pPr>
      <w:r>
        <w:rPr>
          <w:rFonts w:cs="Times New Roman"/>
          <w:color w:val="auto"/>
          <w:sz w:val="24"/>
          <w:szCs w:val="24"/>
        </w:rPr>
        <w:t>请注意本标准的某些内容可能直接或间接涉及专利，本标准的发布机构不承担识别这些专利的责任。</w:t>
      </w:r>
    </w:p>
    <w:p w14:paraId="6FC2A85B">
      <w:pPr>
        <w:autoSpaceDE/>
        <w:autoSpaceDN/>
        <w:ind w:firstLine="480" w:firstLineChars="200"/>
        <w:jc w:val="both"/>
        <w:rPr>
          <w:rFonts w:cs="Times New Roman"/>
          <w:color w:val="auto"/>
          <w:sz w:val="24"/>
          <w:szCs w:val="24"/>
        </w:rPr>
      </w:pPr>
      <w:r>
        <w:rPr>
          <w:rFonts w:cs="Times New Roman"/>
          <w:color w:val="auto"/>
          <w:sz w:val="24"/>
          <w:szCs w:val="24"/>
        </w:rPr>
        <w:t>本标准由中国工程建设标准化协会绿色建筑与生态城区分会归口管理，由中国建筑科学研究院有限公司负责具体技术内容的解释。本标准在使用过程中如有需要修改或补充之处，请将有关资料和建议寄送解释单位（地址：北京市北三环东路30号；邮政编码：100013；邮箱：</w:t>
      </w:r>
      <w:r>
        <w:rPr>
          <w:rFonts w:cs="Times New Roman"/>
          <w:color w:val="auto"/>
          <w:sz w:val="24"/>
          <w:szCs w:val="24"/>
          <w:lang w:val="en-US"/>
        </w:rPr>
        <w:t>651231857@qq.com</w:t>
      </w:r>
      <w:r>
        <w:rPr>
          <w:rFonts w:cs="Times New Roman"/>
          <w:color w:val="auto"/>
          <w:sz w:val="24"/>
          <w:szCs w:val="24"/>
        </w:rPr>
        <w:t>），以供修订时参考。</w:t>
      </w:r>
    </w:p>
    <w:p w14:paraId="25466C73">
      <w:pPr>
        <w:autoSpaceDE/>
        <w:autoSpaceDN/>
        <w:ind w:firstLine="616" w:firstLineChars="220"/>
        <w:rPr>
          <w:rFonts w:cs="Times New Roman"/>
          <w:spacing w:val="20"/>
          <w:sz w:val="24"/>
          <w:szCs w:val="24"/>
          <w:lang w:val="en-US"/>
        </w:rPr>
      </w:pPr>
      <w:r>
        <w:rPr>
          <w:rFonts w:ascii="黑体" w:hAnsi="黑体" w:eastAsia="黑体" w:cs="Times New Roman"/>
          <w:spacing w:val="20"/>
          <w:sz w:val="24"/>
          <w:szCs w:val="24"/>
        </w:rPr>
        <w:t>主编单位</w:t>
      </w:r>
      <w:r>
        <w:rPr>
          <w:rFonts w:cs="Times New Roman"/>
          <w:spacing w:val="20"/>
          <w:sz w:val="24"/>
          <w:szCs w:val="24"/>
        </w:rPr>
        <w:t>：</w:t>
      </w:r>
      <w:r>
        <w:rPr>
          <w:rFonts w:cs="Times New Roman"/>
          <w:spacing w:val="20"/>
          <w:sz w:val="24"/>
          <w:szCs w:val="24"/>
          <w:lang w:val="en-US"/>
        </w:rPr>
        <w:t>中国建筑科学研究院有限公司</w:t>
      </w:r>
    </w:p>
    <w:p w14:paraId="7C692C04">
      <w:pPr>
        <w:autoSpaceDE/>
        <w:autoSpaceDN/>
        <w:ind w:left="1980" w:leftChars="900"/>
        <w:rPr>
          <w:rFonts w:cs="Times New Roman"/>
          <w:spacing w:val="20"/>
          <w:sz w:val="24"/>
          <w:szCs w:val="24"/>
          <w:lang w:val="en-US"/>
        </w:rPr>
      </w:pPr>
      <w:r>
        <w:rPr>
          <w:rFonts w:hint="eastAsia" w:cs="Times New Roman"/>
          <w:spacing w:val="20"/>
          <w:sz w:val="24"/>
          <w:szCs w:val="24"/>
          <w:lang w:val="en-US"/>
        </w:rPr>
        <w:t>住房和城乡建设部科技与产业化发展中心</w:t>
      </w:r>
    </w:p>
    <w:p w14:paraId="3EB5D79A">
      <w:pPr>
        <w:autoSpaceDE/>
        <w:autoSpaceDN/>
        <w:ind w:firstLine="616" w:firstLineChars="220"/>
        <w:rPr>
          <w:rFonts w:cs="Times New Roman"/>
          <w:sz w:val="24"/>
          <w:szCs w:val="24"/>
        </w:rPr>
      </w:pPr>
      <w:r>
        <w:rPr>
          <w:rFonts w:ascii="黑体" w:hAnsi="黑体" w:eastAsia="黑体" w:cs="Times New Roman"/>
          <w:spacing w:val="20"/>
          <w:sz w:val="24"/>
          <w:szCs w:val="24"/>
        </w:rPr>
        <w:t>参编单位</w:t>
      </w:r>
      <w:r>
        <w:rPr>
          <w:rFonts w:cs="Times New Roman"/>
          <w:spacing w:val="20"/>
          <w:sz w:val="24"/>
          <w:szCs w:val="24"/>
        </w:rPr>
        <w:t>：</w:t>
      </w:r>
    </w:p>
    <w:p w14:paraId="269888FD">
      <w:pPr>
        <w:autoSpaceDE/>
        <w:autoSpaceDN/>
        <w:ind w:firstLine="528" w:firstLineChars="220"/>
        <w:rPr>
          <w:rFonts w:cs="Times New Roman"/>
          <w:sz w:val="24"/>
          <w:szCs w:val="24"/>
          <w:lang w:val="en-US"/>
        </w:rPr>
      </w:pPr>
      <w:r>
        <w:rPr>
          <w:rFonts w:ascii="黑体" w:hAnsi="黑体" w:eastAsia="黑体" w:cs="Times New Roman"/>
          <w:sz w:val="24"/>
          <w:szCs w:val="24"/>
        </w:rPr>
        <w:t>主要起草人</w:t>
      </w:r>
      <w:r>
        <w:rPr>
          <w:rFonts w:cs="Times New Roman"/>
          <w:spacing w:val="20"/>
          <w:sz w:val="24"/>
          <w:szCs w:val="24"/>
        </w:rPr>
        <w:t>：</w:t>
      </w:r>
      <w:r>
        <w:rPr>
          <w:rFonts w:cs="Times New Roman"/>
          <w:sz w:val="24"/>
          <w:szCs w:val="24"/>
          <w:lang w:val="en-US"/>
        </w:rPr>
        <w:t xml:space="preserve"> </w:t>
      </w:r>
    </w:p>
    <w:p w14:paraId="039EB420">
      <w:pPr>
        <w:autoSpaceDE/>
        <w:autoSpaceDN/>
        <w:ind w:firstLine="528" w:firstLineChars="220"/>
        <w:rPr>
          <w:rFonts w:cs="Times New Roman"/>
          <w:sz w:val="24"/>
          <w:szCs w:val="24"/>
          <w:lang w:val="en-US"/>
        </w:rPr>
      </w:pPr>
      <w:r>
        <w:rPr>
          <w:rFonts w:ascii="黑体" w:hAnsi="黑体" w:eastAsia="黑体" w:cs="Times New Roman"/>
          <w:sz w:val="24"/>
          <w:szCs w:val="24"/>
        </w:rPr>
        <w:t>主要审查人</w:t>
      </w:r>
      <w:r>
        <w:rPr>
          <w:rFonts w:cs="Times New Roman"/>
          <w:sz w:val="24"/>
          <w:szCs w:val="24"/>
        </w:rPr>
        <w:t>：</w:t>
      </w:r>
      <w:r>
        <w:rPr>
          <w:rFonts w:hint="eastAsia" w:cs="Times New Roman"/>
          <w:sz w:val="6"/>
          <w:szCs w:val="6"/>
          <w:lang w:val="en-US"/>
        </w:rPr>
        <w:t xml:space="preserve"> </w:t>
      </w:r>
    </w:p>
    <w:p w14:paraId="01C6C881">
      <w:pPr>
        <w:autoSpaceDE/>
        <w:autoSpaceDN/>
        <w:ind w:firstLine="1858" w:firstLineChars="845"/>
        <w:rPr>
          <w:rFonts w:cs="Times New Roman"/>
        </w:rPr>
      </w:pPr>
    </w:p>
    <w:p w14:paraId="111F849C">
      <w:pPr>
        <w:autoSpaceDE/>
        <w:autoSpaceDN/>
        <w:jc w:val="center"/>
        <w:rPr>
          <w:rFonts w:cs="Times New Roman"/>
          <w:sz w:val="40"/>
          <w:szCs w:val="44"/>
        </w:rPr>
        <w:sectPr>
          <w:footerReference r:id="rId6" w:type="default"/>
          <w:pgSz w:w="11906" w:h="16838"/>
          <w:pgMar w:top="1440" w:right="1080" w:bottom="1440" w:left="1080" w:header="851" w:footer="992" w:gutter="0"/>
          <w:cols w:space="425" w:num="1"/>
          <w:docGrid w:type="lines" w:linePitch="312" w:charSpace="0"/>
        </w:sectPr>
      </w:pPr>
    </w:p>
    <w:sdt>
      <w:sdtPr>
        <w:rPr>
          <w:rFonts w:cs="Times New Roman"/>
          <w:sz w:val="40"/>
          <w:szCs w:val="44"/>
        </w:rPr>
        <w:id w:val="147477397"/>
        <w:docPartObj>
          <w:docPartGallery w:val="Table of Contents"/>
          <w:docPartUnique/>
        </w:docPartObj>
      </w:sdtPr>
      <w:sdtEndPr>
        <w:rPr>
          <w:rFonts w:cs="Times New Roman"/>
          <w:sz w:val="40"/>
          <w:szCs w:val="44"/>
        </w:rPr>
      </w:sdtEndPr>
      <w:sdtContent>
        <w:p w14:paraId="5D228375">
          <w:pPr>
            <w:autoSpaceDE/>
            <w:autoSpaceDN/>
            <w:spacing w:before="312" w:beforeLines="100" w:after="312" w:afterLines="100"/>
            <w:jc w:val="center"/>
            <w:rPr>
              <w:rFonts w:cs="Times New Roman"/>
              <w:sz w:val="44"/>
              <w:szCs w:val="44"/>
              <w:lang w:val="en-US"/>
            </w:rPr>
          </w:pPr>
          <w:r>
            <w:rPr>
              <w:rFonts w:eastAsia="仿宋" w:cs="Times New Roman"/>
              <w:b/>
              <w:sz w:val="32"/>
              <w:szCs w:val="44"/>
            </w:rPr>
            <w:t>目</w:t>
          </w:r>
          <w:r>
            <w:rPr>
              <w:rFonts w:eastAsia="仿宋" w:cs="Times New Roman"/>
              <w:b/>
              <w:sz w:val="32"/>
              <w:szCs w:val="44"/>
              <w:lang w:val="en-US"/>
            </w:rPr>
            <w:t>　　次</w:t>
          </w:r>
        </w:p>
        <w:p w14:paraId="34BAE328">
          <w:pPr>
            <w:pStyle w:val="17"/>
            <w:tabs>
              <w:tab w:val="right" w:leader="dot" w:pos="9746"/>
            </w:tabs>
            <w:spacing w:line="360" w:lineRule="auto"/>
            <w:rPr>
              <w:b/>
              <w:bCs/>
            </w:rPr>
          </w:pPr>
          <w:r>
            <w:rPr>
              <w:rFonts w:cs="Times New Roman"/>
            </w:rPr>
            <w:fldChar w:fldCharType="begin"/>
          </w:r>
          <w:r>
            <w:rPr>
              <w:rFonts w:cs="Times New Roman"/>
            </w:rPr>
            <w:instrText xml:space="preserve">TOC \o "1-3" \h \u </w:instrText>
          </w:r>
          <w:r>
            <w:rPr>
              <w:rFonts w:cs="Times New Roman"/>
            </w:rPr>
            <w:fldChar w:fldCharType="separate"/>
          </w:r>
          <w:r>
            <w:rPr>
              <w:rFonts w:cs="Times New Roman"/>
              <w:b/>
              <w:bCs/>
            </w:rPr>
            <w:fldChar w:fldCharType="begin"/>
          </w:r>
          <w:r>
            <w:rPr>
              <w:rFonts w:cs="Times New Roman"/>
              <w:b/>
              <w:bCs/>
            </w:rPr>
            <w:instrText xml:space="preserve"> HYPERLINK \l _Toc2947 </w:instrText>
          </w:r>
          <w:r>
            <w:rPr>
              <w:rFonts w:cs="Times New Roman"/>
              <w:b/>
              <w:bCs/>
            </w:rPr>
            <w:fldChar w:fldCharType="separate"/>
          </w:r>
          <w:r>
            <w:rPr>
              <w:rFonts w:ascii="Times New Roman" w:hAnsi="Times New Roman" w:eastAsia="宋体" w:cs="Times New Roman"/>
              <w:b/>
              <w:bCs/>
              <w:szCs w:val="32"/>
              <w:lang w:val="en-US"/>
            </w:rPr>
            <w:t>1　总　　则</w:t>
          </w:r>
          <w:r>
            <w:rPr>
              <w:b/>
              <w:bCs/>
            </w:rPr>
            <w:tab/>
          </w:r>
          <w:r>
            <w:rPr>
              <w:b/>
              <w:bCs/>
            </w:rPr>
            <w:fldChar w:fldCharType="begin"/>
          </w:r>
          <w:r>
            <w:rPr>
              <w:b/>
              <w:bCs/>
            </w:rPr>
            <w:instrText xml:space="preserve"> PAGEREF _Toc2947 \h </w:instrText>
          </w:r>
          <w:r>
            <w:rPr>
              <w:b/>
              <w:bCs/>
            </w:rPr>
            <w:fldChar w:fldCharType="separate"/>
          </w:r>
          <w:r>
            <w:rPr>
              <w:b/>
              <w:bCs/>
            </w:rPr>
            <w:t>1</w:t>
          </w:r>
          <w:r>
            <w:rPr>
              <w:b/>
              <w:bCs/>
            </w:rPr>
            <w:fldChar w:fldCharType="end"/>
          </w:r>
          <w:r>
            <w:rPr>
              <w:rFonts w:cs="Times New Roman"/>
              <w:b/>
              <w:bCs/>
            </w:rPr>
            <w:fldChar w:fldCharType="end"/>
          </w:r>
        </w:p>
        <w:p w14:paraId="2DFAF93C">
          <w:pPr>
            <w:pStyle w:val="17"/>
            <w:tabs>
              <w:tab w:val="right" w:leader="dot" w:pos="9746"/>
            </w:tabs>
            <w:spacing w:line="360" w:lineRule="auto"/>
            <w:rPr>
              <w:b/>
              <w:bCs/>
            </w:rPr>
          </w:pPr>
          <w:r>
            <w:rPr>
              <w:rFonts w:cs="Times New Roman"/>
              <w:b/>
              <w:bCs/>
            </w:rPr>
            <w:fldChar w:fldCharType="begin"/>
          </w:r>
          <w:r>
            <w:rPr>
              <w:rFonts w:cs="Times New Roman"/>
              <w:b/>
              <w:bCs/>
            </w:rPr>
            <w:instrText xml:space="preserve"> HYPERLINK \l _Toc15630 </w:instrText>
          </w:r>
          <w:r>
            <w:rPr>
              <w:rFonts w:cs="Times New Roman"/>
              <w:b/>
              <w:bCs/>
            </w:rPr>
            <w:fldChar w:fldCharType="separate"/>
          </w:r>
          <w:r>
            <w:rPr>
              <w:rFonts w:ascii="Times New Roman" w:hAnsi="Times New Roman" w:eastAsia="宋体" w:cs="Times New Roman"/>
              <w:b/>
              <w:bCs/>
              <w:szCs w:val="32"/>
              <w:lang w:val="en-US"/>
            </w:rPr>
            <w:t>2　术　　语</w:t>
          </w:r>
          <w:r>
            <w:rPr>
              <w:b/>
              <w:bCs/>
            </w:rPr>
            <w:tab/>
          </w:r>
          <w:r>
            <w:rPr>
              <w:b/>
              <w:bCs/>
            </w:rPr>
            <w:fldChar w:fldCharType="begin"/>
          </w:r>
          <w:r>
            <w:rPr>
              <w:b/>
              <w:bCs/>
            </w:rPr>
            <w:instrText xml:space="preserve"> PAGEREF _Toc15630 \h </w:instrText>
          </w:r>
          <w:r>
            <w:rPr>
              <w:b/>
              <w:bCs/>
            </w:rPr>
            <w:fldChar w:fldCharType="separate"/>
          </w:r>
          <w:r>
            <w:rPr>
              <w:b/>
              <w:bCs/>
            </w:rPr>
            <w:t>2</w:t>
          </w:r>
          <w:r>
            <w:rPr>
              <w:b/>
              <w:bCs/>
            </w:rPr>
            <w:fldChar w:fldCharType="end"/>
          </w:r>
          <w:r>
            <w:rPr>
              <w:rFonts w:cs="Times New Roman"/>
              <w:b/>
              <w:bCs/>
            </w:rPr>
            <w:fldChar w:fldCharType="end"/>
          </w:r>
        </w:p>
        <w:p w14:paraId="71B1D817">
          <w:pPr>
            <w:pStyle w:val="17"/>
            <w:tabs>
              <w:tab w:val="right" w:leader="dot" w:pos="9746"/>
            </w:tabs>
            <w:spacing w:line="360" w:lineRule="auto"/>
            <w:rPr>
              <w:b/>
              <w:bCs/>
            </w:rPr>
          </w:pPr>
          <w:r>
            <w:rPr>
              <w:rFonts w:cs="Times New Roman"/>
              <w:b/>
              <w:bCs/>
            </w:rPr>
            <w:fldChar w:fldCharType="begin"/>
          </w:r>
          <w:r>
            <w:rPr>
              <w:rFonts w:cs="Times New Roman"/>
              <w:b/>
              <w:bCs/>
            </w:rPr>
            <w:instrText xml:space="preserve"> HYPERLINK \l _Toc20427 </w:instrText>
          </w:r>
          <w:r>
            <w:rPr>
              <w:rFonts w:cs="Times New Roman"/>
              <w:b/>
              <w:bCs/>
            </w:rPr>
            <w:fldChar w:fldCharType="separate"/>
          </w:r>
          <w:r>
            <w:rPr>
              <w:rFonts w:ascii="Times New Roman" w:hAnsi="Times New Roman" w:eastAsia="宋体" w:cs="Times New Roman"/>
              <w:b/>
              <w:bCs/>
              <w:szCs w:val="32"/>
              <w:lang w:val="en-US"/>
            </w:rPr>
            <w:t>3　基本规定</w:t>
          </w:r>
          <w:r>
            <w:rPr>
              <w:b/>
              <w:bCs/>
            </w:rPr>
            <w:tab/>
          </w:r>
          <w:r>
            <w:rPr>
              <w:b/>
              <w:bCs/>
            </w:rPr>
            <w:fldChar w:fldCharType="begin"/>
          </w:r>
          <w:r>
            <w:rPr>
              <w:b/>
              <w:bCs/>
            </w:rPr>
            <w:instrText xml:space="preserve"> PAGEREF _Toc20427 \h </w:instrText>
          </w:r>
          <w:r>
            <w:rPr>
              <w:b/>
              <w:bCs/>
            </w:rPr>
            <w:fldChar w:fldCharType="separate"/>
          </w:r>
          <w:r>
            <w:rPr>
              <w:b/>
              <w:bCs/>
            </w:rPr>
            <w:t>3</w:t>
          </w:r>
          <w:r>
            <w:rPr>
              <w:b/>
              <w:bCs/>
            </w:rPr>
            <w:fldChar w:fldCharType="end"/>
          </w:r>
          <w:r>
            <w:rPr>
              <w:rFonts w:cs="Times New Roman"/>
              <w:b/>
              <w:bCs/>
            </w:rPr>
            <w:fldChar w:fldCharType="end"/>
          </w:r>
        </w:p>
        <w:p w14:paraId="40D81692">
          <w:pPr>
            <w:pStyle w:val="19"/>
            <w:tabs>
              <w:tab w:val="right" w:leader="dot" w:pos="9746"/>
            </w:tabs>
            <w:spacing w:line="360" w:lineRule="auto"/>
          </w:pPr>
          <w:r>
            <w:rPr>
              <w:rFonts w:cs="Times New Roman"/>
            </w:rPr>
            <w:fldChar w:fldCharType="begin"/>
          </w:r>
          <w:r>
            <w:rPr>
              <w:rFonts w:cs="Times New Roman"/>
            </w:rPr>
            <w:instrText xml:space="preserve"> HYPERLINK \l _Toc12524 </w:instrText>
          </w:r>
          <w:r>
            <w:rPr>
              <w:rFonts w:cs="Times New Roman"/>
            </w:rPr>
            <w:fldChar w:fldCharType="separate"/>
          </w:r>
          <w:r>
            <w:rPr>
              <w:rFonts w:ascii="Times New Roman" w:hAnsi="Times New Roman" w:eastAsia="宋体" w:cs="Times New Roman"/>
              <w:bCs/>
              <w:szCs w:val="24"/>
              <w:lang w:val="en-US"/>
            </w:rPr>
            <w:t>3.1　</w:t>
          </w:r>
          <w:r>
            <w:rPr>
              <w:rFonts w:ascii="Times New Roman" w:hAnsi="Times New Roman" w:cs="Times New Roman"/>
              <w:bCs/>
              <w:szCs w:val="24"/>
              <w:lang w:val="en-US"/>
            </w:rPr>
            <w:t>评价</w:t>
          </w:r>
          <w:r>
            <w:rPr>
              <w:rFonts w:hint="eastAsia" w:ascii="Times New Roman" w:hAnsi="Times New Roman" w:cs="Times New Roman"/>
              <w:bCs/>
              <w:szCs w:val="24"/>
              <w:lang w:val="en-US"/>
            </w:rPr>
            <w:t>方法</w:t>
          </w:r>
          <w:r>
            <w:tab/>
          </w:r>
          <w:r>
            <w:fldChar w:fldCharType="begin"/>
          </w:r>
          <w:r>
            <w:instrText xml:space="preserve"> PAGEREF _Toc12524 \h </w:instrText>
          </w:r>
          <w:r>
            <w:fldChar w:fldCharType="separate"/>
          </w:r>
          <w:r>
            <w:t>3</w:t>
          </w:r>
          <w:r>
            <w:fldChar w:fldCharType="end"/>
          </w:r>
          <w:r>
            <w:rPr>
              <w:rFonts w:cs="Times New Roman"/>
            </w:rPr>
            <w:fldChar w:fldCharType="end"/>
          </w:r>
        </w:p>
        <w:p w14:paraId="2D879075">
          <w:pPr>
            <w:pStyle w:val="19"/>
            <w:tabs>
              <w:tab w:val="right" w:leader="dot" w:pos="9746"/>
            </w:tabs>
            <w:spacing w:line="360" w:lineRule="auto"/>
          </w:pPr>
          <w:r>
            <w:rPr>
              <w:rFonts w:cs="Times New Roman"/>
            </w:rPr>
            <w:fldChar w:fldCharType="begin"/>
          </w:r>
          <w:r>
            <w:rPr>
              <w:rFonts w:cs="Times New Roman"/>
            </w:rPr>
            <w:instrText xml:space="preserve"> HYPERLINK \l _Toc21295 </w:instrText>
          </w:r>
          <w:r>
            <w:rPr>
              <w:rFonts w:cs="Times New Roman"/>
            </w:rPr>
            <w:fldChar w:fldCharType="separate"/>
          </w:r>
          <w:r>
            <w:rPr>
              <w:rFonts w:ascii="Times New Roman" w:hAnsi="Times New Roman" w:eastAsia="宋体" w:cs="Times New Roman"/>
              <w:bCs/>
              <w:szCs w:val="24"/>
              <w:lang w:val="en-US"/>
            </w:rPr>
            <w:t>3.2　</w:t>
          </w:r>
          <w:r>
            <w:rPr>
              <w:rFonts w:ascii="Times New Roman" w:hAnsi="Times New Roman" w:cs="Times New Roman"/>
              <w:bCs/>
              <w:szCs w:val="24"/>
              <w:lang w:val="en-US"/>
            </w:rPr>
            <w:t>等级划分</w:t>
          </w:r>
          <w:r>
            <w:tab/>
          </w:r>
          <w:r>
            <w:fldChar w:fldCharType="begin"/>
          </w:r>
          <w:r>
            <w:instrText xml:space="preserve"> PAGEREF _Toc21295 \h </w:instrText>
          </w:r>
          <w:r>
            <w:fldChar w:fldCharType="separate"/>
          </w:r>
          <w:r>
            <w:t>4</w:t>
          </w:r>
          <w:r>
            <w:fldChar w:fldCharType="end"/>
          </w:r>
          <w:r>
            <w:rPr>
              <w:rFonts w:cs="Times New Roman"/>
            </w:rPr>
            <w:fldChar w:fldCharType="end"/>
          </w:r>
        </w:p>
        <w:p w14:paraId="7E3E0C7A">
          <w:pPr>
            <w:pStyle w:val="17"/>
            <w:tabs>
              <w:tab w:val="right" w:leader="dot" w:pos="9746"/>
            </w:tabs>
            <w:spacing w:line="360" w:lineRule="auto"/>
            <w:rPr>
              <w:b/>
              <w:bCs/>
            </w:rPr>
          </w:pPr>
          <w:r>
            <w:rPr>
              <w:rFonts w:cs="Times New Roman"/>
              <w:b/>
              <w:bCs/>
            </w:rPr>
            <w:fldChar w:fldCharType="begin"/>
          </w:r>
          <w:r>
            <w:rPr>
              <w:rFonts w:cs="Times New Roman"/>
              <w:b/>
              <w:bCs/>
            </w:rPr>
            <w:instrText xml:space="preserve"> HYPERLINK \l _Toc9827 </w:instrText>
          </w:r>
          <w:r>
            <w:rPr>
              <w:rFonts w:cs="Times New Roman"/>
              <w:b/>
              <w:bCs/>
            </w:rPr>
            <w:fldChar w:fldCharType="separate"/>
          </w:r>
          <w:r>
            <w:rPr>
              <w:rFonts w:ascii="Times New Roman" w:hAnsi="Times New Roman" w:eastAsia="宋体" w:cs="Times New Roman"/>
              <w:b/>
              <w:bCs/>
              <w:szCs w:val="32"/>
              <w:lang w:val="en-US"/>
            </w:rPr>
            <w:t>4　</w:t>
          </w:r>
          <w:r>
            <w:rPr>
              <w:rFonts w:hint="eastAsia" w:ascii="Times New Roman" w:hAnsi="Times New Roman" w:eastAsia="宋体" w:cs="Times New Roman"/>
              <w:b/>
              <w:bCs/>
              <w:szCs w:val="32"/>
              <w:lang w:val="en-US"/>
            </w:rPr>
            <w:t>低碳设计</w:t>
          </w:r>
          <w:r>
            <w:rPr>
              <w:b/>
              <w:bCs/>
            </w:rPr>
            <w:tab/>
          </w:r>
          <w:r>
            <w:rPr>
              <w:b/>
              <w:bCs/>
            </w:rPr>
            <w:fldChar w:fldCharType="begin"/>
          </w:r>
          <w:r>
            <w:rPr>
              <w:b/>
              <w:bCs/>
            </w:rPr>
            <w:instrText xml:space="preserve"> PAGEREF _Toc9827 \h </w:instrText>
          </w:r>
          <w:r>
            <w:rPr>
              <w:b/>
              <w:bCs/>
            </w:rPr>
            <w:fldChar w:fldCharType="separate"/>
          </w:r>
          <w:r>
            <w:rPr>
              <w:b/>
              <w:bCs/>
            </w:rPr>
            <w:t>6</w:t>
          </w:r>
          <w:r>
            <w:rPr>
              <w:b/>
              <w:bCs/>
            </w:rPr>
            <w:fldChar w:fldCharType="end"/>
          </w:r>
          <w:r>
            <w:rPr>
              <w:rFonts w:cs="Times New Roman"/>
              <w:b/>
              <w:bCs/>
            </w:rPr>
            <w:fldChar w:fldCharType="end"/>
          </w:r>
        </w:p>
        <w:p w14:paraId="60FDABD2">
          <w:pPr>
            <w:pStyle w:val="19"/>
            <w:tabs>
              <w:tab w:val="right" w:leader="dot" w:pos="9746"/>
            </w:tabs>
            <w:spacing w:line="360" w:lineRule="auto"/>
          </w:pPr>
          <w:r>
            <w:rPr>
              <w:rFonts w:cs="Times New Roman"/>
            </w:rPr>
            <w:fldChar w:fldCharType="begin"/>
          </w:r>
          <w:r>
            <w:rPr>
              <w:rFonts w:cs="Times New Roman"/>
            </w:rPr>
            <w:instrText xml:space="preserve"> HYPERLINK \l _Toc7678 </w:instrText>
          </w:r>
          <w:r>
            <w:rPr>
              <w:rFonts w:cs="Times New Roman"/>
            </w:rPr>
            <w:fldChar w:fldCharType="separate"/>
          </w:r>
          <w:r>
            <w:rPr>
              <w:rFonts w:ascii="Times New Roman" w:hAnsi="Times New Roman" w:eastAsia="宋体" w:cs="Times New Roman"/>
              <w:bCs/>
              <w:szCs w:val="24"/>
              <w:lang w:val="en-US"/>
            </w:rPr>
            <w:t>4.1　</w:t>
          </w:r>
          <w:r>
            <w:rPr>
              <w:rFonts w:ascii="Times New Roman" w:hAnsi="Times New Roman" w:cs="Times New Roman"/>
              <w:bCs/>
              <w:szCs w:val="24"/>
              <w:lang w:val="en-US"/>
            </w:rPr>
            <w:t>控制项</w:t>
          </w:r>
          <w:r>
            <w:tab/>
          </w:r>
          <w:r>
            <w:fldChar w:fldCharType="begin"/>
          </w:r>
          <w:r>
            <w:instrText xml:space="preserve"> PAGEREF _Toc7678 \h </w:instrText>
          </w:r>
          <w:r>
            <w:fldChar w:fldCharType="separate"/>
          </w:r>
          <w:r>
            <w:t>6</w:t>
          </w:r>
          <w:r>
            <w:fldChar w:fldCharType="end"/>
          </w:r>
          <w:r>
            <w:rPr>
              <w:rFonts w:cs="Times New Roman"/>
            </w:rPr>
            <w:fldChar w:fldCharType="end"/>
          </w:r>
        </w:p>
        <w:p w14:paraId="3B88355B">
          <w:pPr>
            <w:pStyle w:val="19"/>
            <w:tabs>
              <w:tab w:val="right" w:leader="dot" w:pos="9746"/>
            </w:tabs>
            <w:spacing w:line="360" w:lineRule="auto"/>
          </w:pPr>
          <w:r>
            <w:rPr>
              <w:rFonts w:cs="Times New Roman"/>
            </w:rPr>
            <w:fldChar w:fldCharType="begin"/>
          </w:r>
          <w:r>
            <w:rPr>
              <w:rFonts w:cs="Times New Roman"/>
            </w:rPr>
            <w:instrText xml:space="preserve"> HYPERLINK \l _Toc17916 </w:instrText>
          </w:r>
          <w:r>
            <w:rPr>
              <w:rFonts w:cs="Times New Roman"/>
            </w:rPr>
            <w:fldChar w:fldCharType="separate"/>
          </w:r>
          <w:r>
            <w:rPr>
              <w:rFonts w:ascii="Times New Roman" w:hAnsi="Times New Roman" w:eastAsia="宋体" w:cs="Times New Roman"/>
              <w:bCs/>
              <w:szCs w:val="24"/>
              <w:lang w:val="en-US"/>
            </w:rPr>
            <w:t>4.2　</w:t>
          </w:r>
          <w:r>
            <w:rPr>
              <w:rFonts w:ascii="Times New Roman" w:hAnsi="Times New Roman" w:cs="Times New Roman"/>
              <w:bCs/>
              <w:szCs w:val="24"/>
              <w:lang w:val="en-US"/>
            </w:rPr>
            <w:t>评分项</w:t>
          </w:r>
          <w:r>
            <w:tab/>
          </w:r>
          <w:r>
            <w:fldChar w:fldCharType="begin"/>
          </w:r>
          <w:r>
            <w:instrText xml:space="preserve"> PAGEREF _Toc17916 \h </w:instrText>
          </w:r>
          <w:r>
            <w:fldChar w:fldCharType="separate"/>
          </w:r>
          <w:r>
            <w:t>7</w:t>
          </w:r>
          <w:r>
            <w:fldChar w:fldCharType="end"/>
          </w:r>
          <w:r>
            <w:rPr>
              <w:rFonts w:cs="Times New Roman"/>
            </w:rPr>
            <w:fldChar w:fldCharType="end"/>
          </w:r>
        </w:p>
        <w:p w14:paraId="56A57BA0">
          <w:pPr>
            <w:pStyle w:val="17"/>
            <w:tabs>
              <w:tab w:val="right" w:leader="dot" w:pos="9746"/>
            </w:tabs>
            <w:spacing w:line="360" w:lineRule="auto"/>
            <w:rPr>
              <w:b/>
              <w:bCs/>
            </w:rPr>
          </w:pPr>
          <w:r>
            <w:rPr>
              <w:rFonts w:cs="Times New Roman"/>
              <w:b/>
              <w:bCs/>
            </w:rPr>
            <w:fldChar w:fldCharType="begin"/>
          </w:r>
          <w:r>
            <w:rPr>
              <w:rFonts w:cs="Times New Roman"/>
              <w:b/>
              <w:bCs/>
            </w:rPr>
            <w:instrText xml:space="preserve"> HYPERLINK \l _Toc9919 </w:instrText>
          </w:r>
          <w:r>
            <w:rPr>
              <w:rFonts w:cs="Times New Roman"/>
              <w:b/>
              <w:bCs/>
            </w:rPr>
            <w:fldChar w:fldCharType="separate"/>
          </w:r>
          <w:r>
            <w:rPr>
              <w:rFonts w:ascii="Times New Roman" w:hAnsi="Times New Roman" w:eastAsia="宋体" w:cs="Times New Roman"/>
              <w:b/>
              <w:bCs/>
              <w:szCs w:val="32"/>
              <w:lang w:val="en-US"/>
            </w:rPr>
            <w:t>5　</w:t>
          </w:r>
          <w:r>
            <w:rPr>
              <w:rFonts w:hint="eastAsia" w:ascii="Times New Roman" w:hAnsi="Times New Roman" w:eastAsia="宋体" w:cs="Times New Roman"/>
              <w:b/>
              <w:bCs/>
              <w:szCs w:val="32"/>
              <w:lang w:val="en-US"/>
            </w:rPr>
            <w:t>低碳生产</w:t>
          </w:r>
          <w:r>
            <w:rPr>
              <w:rFonts w:hint="eastAsia" w:ascii="Times New Roman" w:hAnsi="Times New Roman" w:eastAsia="宋体" w:cs="Times New Roman"/>
              <w:b/>
              <w:bCs/>
              <w:szCs w:val="32"/>
              <w:lang w:val="en-US" w:eastAsia="zh-CN"/>
            </w:rPr>
            <w:t>与施工</w:t>
          </w:r>
          <w:r>
            <w:rPr>
              <w:b/>
              <w:bCs/>
            </w:rPr>
            <w:tab/>
          </w:r>
          <w:r>
            <w:rPr>
              <w:b/>
              <w:bCs/>
            </w:rPr>
            <w:fldChar w:fldCharType="begin"/>
          </w:r>
          <w:r>
            <w:rPr>
              <w:b/>
              <w:bCs/>
            </w:rPr>
            <w:instrText xml:space="preserve"> PAGEREF _Toc9919 \h </w:instrText>
          </w:r>
          <w:r>
            <w:rPr>
              <w:b/>
              <w:bCs/>
            </w:rPr>
            <w:fldChar w:fldCharType="separate"/>
          </w:r>
          <w:r>
            <w:rPr>
              <w:b/>
              <w:bCs/>
            </w:rPr>
            <w:t>17</w:t>
          </w:r>
          <w:r>
            <w:rPr>
              <w:b/>
              <w:bCs/>
            </w:rPr>
            <w:fldChar w:fldCharType="end"/>
          </w:r>
          <w:r>
            <w:rPr>
              <w:rFonts w:cs="Times New Roman"/>
              <w:b/>
              <w:bCs/>
            </w:rPr>
            <w:fldChar w:fldCharType="end"/>
          </w:r>
        </w:p>
        <w:p w14:paraId="156524C1">
          <w:pPr>
            <w:pStyle w:val="19"/>
            <w:tabs>
              <w:tab w:val="right" w:leader="dot" w:pos="9746"/>
            </w:tabs>
            <w:spacing w:line="360" w:lineRule="auto"/>
          </w:pPr>
          <w:r>
            <w:rPr>
              <w:rFonts w:cs="Times New Roman"/>
            </w:rPr>
            <w:fldChar w:fldCharType="begin"/>
          </w:r>
          <w:r>
            <w:rPr>
              <w:rFonts w:cs="Times New Roman"/>
            </w:rPr>
            <w:instrText xml:space="preserve"> HYPERLINK \l _Toc10475 </w:instrText>
          </w:r>
          <w:r>
            <w:rPr>
              <w:rFonts w:cs="Times New Roman"/>
            </w:rPr>
            <w:fldChar w:fldCharType="separate"/>
          </w:r>
          <w:r>
            <w:rPr>
              <w:rFonts w:ascii="Times New Roman" w:hAnsi="Times New Roman" w:cs="Times New Roman"/>
              <w:bCs/>
              <w:szCs w:val="24"/>
              <w:lang w:val="en-US"/>
            </w:rPr>
            <w:t>5.1　控制项</w:t>
          </w:r>
          <w:r>
            <w:tab/>
          </w:r>
          <w:r>
            <w:fldChar w:fldCharType="begin"/>
          </w:r>
          <w:r>
            <w:instrText xml:space="preserve"> PAGEREF _Toc10475 \h </w:instrText>
          </w:r>
          <w:r>
            <w:fldChar w:fldCharType="separate"/>
          </w:r>
          <w:r>
            <w:t>17</w:t>
          </w:r>
          <w:r>
            <w:fldChar w:fldCharType="end"/>
          </w:r>
          <w:r>
            <w:rPr>
              <w:rFonts w:cs="Times New Roman"/>
            </w:rPr>
            <w:fldChar w:fldCharType="end"/>
          </w:r>
        </w:p>
        <w:p w14:paraId="31B21D95">
          <w:pPr>
            <w:pStyle w:val="19"/>
            <w:tabs>
              <w:tab w:val="right" w:leader="dot" w:pos="9746"/>
            </w:tabs>
            <w:spacing w:line="360" w:lineRule="auto"/>
          </w:pPr>
          <w:r>
            <w:rPr>
              <w:rFonts w:cs="Times New Roman"/>
            </w:rPr>
            <w:fldChar w:fldCharType="begin"/>
          </w:r>
          <w:r>
            <w:rPr>
              <w:rFonts w:cs="Times New Roman"/>
            </w:rPr>
            <w:instrText xml:space="preserve"> HYPERLINK \l _Toc322 </w:instrText>
          </w:r>
          <w:r>
            <w:rPr>
              <w:rFonts w:cs="Times New Roman"/>
            </w:rPr>
            <w:fldChar w:fldCharType="separate"/>
          </w:r>
          <w:r>
            <w:rPr>
              <w:rFonts w:ascii="Times New Roman" w:hAnsi="Times New Roman" w:cs="Times New Roman"/>
              <w:bCs/>
              <w:szCs w:val="24"/>
              <w:lang w:val="en-US"/>
            </w:rPr>
            <w:t>5.2　评分项</w:t>
          </w:r>
          <w:r>
            <w:tab/>
          </w:r>
          <w:r>
            <w:fldChar w:fldCharType="begin"/>
          </w:r>
          <w:r>
            <w:instrText xml:space="preserve"> PAGEREF _Toc322 \h </w:instrText>
          </w:r>
          <w:r>
            <w:fldChar w:fldCharType="separate"/>
          </w:r>
          <w:r>
            <w:t>18</w:t>
          </w:r>
          <w:r>
            <w:fldChar w:fldCharType="end"/>
          </w:r>
          <w:r>
            <w:rPr>
              <w:rFonts w:cs="Times New Roman"/>
            </w:rPr>
            <w:fldChar w:fldCharType="end"/>
          </w:r>
        </w:p>
        <w:p w14:paraId="16D3AA10">
          <w:pPr>
            <w:pStyle w:val="17"/>
            <w:tabs>
              <w:tab w:val="right" w:leader="dot" w:pos="9746"/>
            </w:tabs>
            <w:spacing w:line="360" w:lineRule="auto"/>
            <w:rPr>
              <w:b/>
              <w:bCs/>
            </w:rPr>
          </w:pPr>
          <w:r>
            <w:rPr>
              <w:rFonts w:cs="Times New Roman"/>
              <w:b/>
              <w:bCs/>
            </w:rPr>
            <w:fldChar w:fldCharType="begin"/>
          </w:r>
          <w:r>
            <w:rPr>
              <w:rFonts w:cs="Times New Roman"/>
              <w:b/>
              <w:bCs/>
            </w:rPr>
            <w:instrText xml:space="preserve"> HYPERLINK \l _Toc13337 </w:instrText>
          </w:r>
          <w:r>
            <w:rPr>
              <w:rFonts w:cs="Times New Roman"/>
              <w:b/>
              <w:bCs/>
            </w:rPr>
            <w:fldChar w:fldCharType="separate"/>
          </w:r>
          <w:r>
            <w:rPr>
              <w:rFonts w:hint="eastAsia" w:ascii="Times New Roman" w:hAnsi="Times New Roman" w:eastAsia="宋体" w:cs="Times New Roman"/>
              <w:b/>
              <w:bCs/>
              <w:szCs w:val="32"/>
              <w:lang w:val="en-US" w:eastAsia="zh-CN"/>
            </w:rPr>
            <w:t>6</w:t>
          </w:r>
          <w:r>
            <w:rPr>
              <w:rFonts w:ascii="Times New Roman" w:hAnsi="Times New Roman" w:eastAsia="宋体" w:cs="Times New Roman"/>
              <w:b/>
              <w:bCs/>
              <w:szCs w:val="32"/>
              <w:lang w:val="en-US"/>
            </w:rPr>
            <w:t>　</w:t>
          </w:r>
          <w:r>
            <w:rPr>
              <w:rFonts w:hint="eastAsia" w:ascii="Times New Roman" w:hAnsi="Times New Roman" w:eastAsia="宋体" w:cs="Times New Roman"/>
              <w:b/>
              <w:bCs/>
              <w:szCs w:val="32"/>
              <w:lang w:val="en-US"/>
            </w:rPr>
            <w:t>低碳运营</w:t>
          </w:r>
          <w:r>
            <w:rPr>
              <w:b/>
              <w:bCs/>
            </w:rPr>
            <w:tab/>
          </w:r>
          <w:r>
            <w:rPr>
              <w:b/>
              <w:bCs/>
            </w:rPr>
            <w:fldChar w:fldCharType="begin"/>
          </w:r>
          <w:r>
            <w:rPr>
              <w:b/>
              <w:bCs/>
            </w:rPr>
            <w:instrText xml:space="preserve"> PAGEREF _Toc13337 \h </w:instrText>
          </w:r>
          <w:r>
            <w:rPr>
              <w:b/>
              <w:bCs/>
            </w:rPr>
            <w:fldChar w:fldCharType="separate"/>
          </w:r>
          <w:r>
            <w:rPr>
              <w:b/>
              <w:bCs/>
            </w:rPr>
            <w:t>21</w:t>
          </w:r>
          <w:r>
            <w:rPr>
              <w:b/>
              <w:bCs/>
            </w:rPr>
            <w:fldChar w:fldCharType="end"/>
          </w:r>
          <w:r>
            <w:rPr>
              <w:rFonts w:cs="Times New Roman"/>
              <w:b/>
              <w:bCs/>
            </w:rPr>
            <w:fldChar w:fldCharType="end"/>
          </w:r>
        </w:p>
        <w:p w14:paraId="56C28AAF">
          <w:pPr>
            <w:pStyle w:val="19"/>
            <w:tabs>
              <w:tab w:val="right" w:leader="dot" w:pos="9746"/>
            </w:tabs>
            <w:spacing w:line="360" w:lineRule="auto"/>
          </w:pPr>
          <w:r>
            <w:rPr>
              <w:rFonts w:cs="Times New Roman"/>
            </w:rPr>
            <w:fldChar w:fldCharType="begin"/>
          </w:r>
          <w:r>
            <w:rPr>
              <w:rFonts w:cs="Times New Roman"/>
            </w:rPr>
            <w:instrText xml:space="preserve"> HYPERLINK \l _Toc7851 </w:instrText>
          </w:r>
          <w:r>
            <w:rPr>
              <w:rFonts w:cs="Times New Roman"/>
            </w:rPr>
            <w:fldChar w:fldCharType="separate"/>
          </w:r>
          <w:r>
            <w:rPr>
              <w:rFonts w:hint="eastAsia" w:ascii="Times New Roman" w:hAnsi="Times New Roman" w:cs="Times New Roman"/>
              <w:bCs/>
              <w:szCs w:val="24"/>
              <w:lang w:val="en-US" w:eastAsia="zh-CN"/>
            </w:rPr>
            <w:t>6</w:t>
          </w:r>
          <w:r>
            <w:rPr>
              <w:rFonts w:ascii="Times New Roman" w:hAnsi="Times New Roman" w:cs="Times New Roman"/>
              <w:bCs/>
              <w:szCs w:val="24"/>
              <w:lang w:val="en-US"/>
            </w:rPr>
            <w:t>.1　控制项</w:t>
          </w:r>
          <w:r>
            <w:tab/>
          </w:r>
          <w:r>
            <w:fldChar w:fldCharType="begin"/>
          </w:r>
          <w:r>
            <w:instrText xml:space="preserve"> PAGEREF _Toc7851 \h </w:instrText>
          </w:r>
          <w:r>
            <w:fldChar w:fldCharType="separate"/>
          </w:r>
          <w:r>
            <w:t>21</w:t>
          </w:r>
          <w:r>
            <w:fldChar w:fldCharType="end"/>
          </w:r>
          <w:r>
            <w:rPr>
              <w:rFonts w:cs="Times New Roman"/>
            </w:rPr>
            <w:fldChar w:fldCharType="end"/>
          </w:r>
        </w:p>
        <w:p w14:paraId="10E9C799">
          <w:pPr>
            <w:pStyle w:val="19"/>
            <w:tabs>
              <w:tab w:val="right" w:leader="dot" w:pos="9746"/>
            </w:tabs>
            <w:spacing w:line="360" w:lineRule="auto"/>
          </w:pPr>
          <w:r>
            <w:rPr>
              <w:rFonts w:cs="Times New Roman"/>
            </w:rPr>
            <w:fldChar w:fldCharType="begin"/>
          </w:r>
          <w:r>
            <w:rPr>
              <w:rFonts w:cs="Times New Roman"/>
            </w:rPr>
            <w:instrText xml:space="preserve"> HYPERLINK \l _Toc29092 </w:instrText>
          </w:r>
          <w:r>
            <w:rPr>
              <w:rFonts w:cs="Times New Roman"/>
            </w:rPr>
            <w:fldChar w:fldCharType="separate"/>
          </w:r>
          <w:r>
            <w:rPr>
              <w:rFonts w:hint="eastAsia" w:cs="Times New Roman"/>
              <w:bCs/>
              <w:szCs w:val="24"/>
              <w:lang w:val="en-US" w:eastAsia="zh-CN"/>
            </w:rPr>
            <w:t>6</w:t>
          </w:r>
          <w:r>
            <w:rPr>
              <w:rFonts w:ascii="Times New Roman" w:hAnsi="Times New Roman" w:cs="Times New Roman"/>
              <w:bCs/>
              <w:szCs w:val="24"/>
              <w:lang w:val="en-US"/>
            </w:rPr>
            <w:t>.2　评分项</w:t>
          </w:r>
          <w:r>
            <w:tab/>
          </w:r>
          <w:r>
            <w:fldChar w:fldCharType="begin"/>
          </w:r>
          <w:r>
            <w:instrText xml:space="preserve"> PAGEREF _Toc29092 \h </w:instrText>
          </w:r>
          <w:r>
            <w:fldChar w:fldCharType="separate"/>
          </w:r>
          <w:r>
            <w:t>21</w:t>
          </w:r>
          <w:r>
            <w:fldChar w:fldCharType="end"/>
          </w:r>
          <w:r>
            <w:rPr>
              <w:rFonts w:cs="Times New Roman"/>
            </w:rPr>
            <w:fldChar w:fldCharType="end"/>
          </w:r>
        </w:p>
        <w:p w14:paraId="11B9600B">
          <w:pPr>
            <w:pStyle w:val="17"/>
            <w:tabs>
              <w:tab w:val="right" w:leader="dot" w:pos="9746"/>
            </w:tabs>
            <w:spacing w:line="360" w:lineRule="auto"/>
            <w:rPr>
              <w:b/>
              <w:bCs/>
            </w:rPr>
          </w:pPr>
          <w:r>
            <w:rPr>
              <w:rFonts w:cs="Times New Roman"/>
              <w:b/>
              <w:bCs/>
            </w:rPr>
            <w:fldChar w:fldCharType="begin"/>
          </w:r>
          <w:r>
            <w:rPr>
              <w:rFonts w:cs="Times New Roman"/>
              <w:b/>
              <w:bCs/>
            </w:rPr>
            <w:instrText xml:space="preserve"> HYPERLINK \l _Toc11488 </w:instrText>
          </w:r>
          <w:r>
            <w:rPr>
              <w:rFonts w:cs="Times New Roman"/>
              <w:b/>
              <w:bCs/>
            </w:rPr>
            <w:fldChar w:fldCharType="separate"/>
          </w:r>
          <w:r>
            <w:rPr>
              <w:rFonts w:hint="eastAsia" w:ascii="Times New Roman" w:hAnsi="Times New Roman" w:eastAsia="宋体" w:cs="Times New Roman"/>
              <w:b/>
              <w:bCs/>
              <w:szCs w:val="32"/>
              <w:lang w:val="en-US" w:eastAsia="zh-CN"/>
            </w:rPr>
            <w:t>7</w:t>
          </w:r>
          <w:r>
            <w:rPr>
              <w:rFonts w:ascii="Times New Roman" w:hAnsi="Times New Roman" w:eastAsia="宋体" w:cs="Times New Roman"/>
              <w:b/>
              <w:bCs/>
              <w:szCs w:val="32"/>
              <w:lang w:val="en-US"/>
            </w:rPr>
            <w:t>　提高与创新</w:t>
          </w:r>
          <w:r>
            <w:rPr>
              <w:b/>
              <w:bCs/>
            </w:rPr>
            <w:tab/>
          </w:r>
          <w:r>
            <w:rPr>
              <w:b/>
              <w:bCs/>
            </w:rPr>
            <w:fldChar w:fldCharType="begin"/>
          </w:r>
          <w:r>
            <w:rPr>
              <w:b/>
              <w:bCs/>
            </w:rPr>
            <w:instrText xml:space="preserve"> PAGEREF _Toc11488 \h </w:instrText>
          </w:r>
          <w:r>
            <w:rPr>
              <w:b/>
              <w:bCs/>
            </w:rPr>
            <w:fldChar w:fldCharType="separate"/>
          </w:r>
          <w:r>
            <w:rPr>
              <w:b/>
              <w:bCs/>
            </w:rPr>
            <w:t>25</w:t>
          </w:r>
          <w:r>
            <w:rPr>
              <w:b/>
              <w:bCs/>
            </w:rPr>
            <w:fldChar w:fldCharType="end"/>
          </w:r>
          <w:r>
            <w:rPr>
              <w:rFonts w:cs="Times New Roman"/>
              <w:b/>
              <w:bCs/>
            </w:rPr>
            <w:fldChar w:fldCharType="end"/>
          </w:r>
        </w:p>
        <w:p w14:paraId="04AD27FA">
          <w:pPr>
            <w:pStyle w:val="17"/>
            <w:tabs>
              <w:tab w:val="right" w:leader="dot" w:pos="9746"/>
            </w:tabs>
            <w:spacing w:line="360" w:lineRule="auto"/>
            <w:rPr>
              <w:b/>
              <w:bCs/>
            </w:rPr>
          </w:pPr>
          <w:r>
            <w:rPr>
              <w:rFonts w:cs="Times New Roman"/>
              <w:b/>
              <w:bCs/>
            </w:rPr>
            <w:fldChar w:fldCharType="begin"/>
          </w:r>
          <w:r>
            <w:rPr>
              <w:rFonts w:cs="Times New Roman"/>
              <w:b/>
              <w:bCs/>
            </w:rPr>
            <w:instrText xml:space="preserve"> HYPERLINK \l _Toc23075 </w:instrText>
          </w:r>
          <w:r>
            <w:rPr>
              <w:rFonts w:cs="Times New Roman"/>
              <w:b/>
              <w:bCs/>
            </w:rPr>
            <w:fldChar w:fldCharType="separate"/>
          </w:r>
          <w:r>
            <w:rPr>
              <w:rFonts w:ascii="Times New Roman" w:hAnsi="Times New Roman" w:eastAsia="宋体" w:cs="Times New Roman"/>
              <w:b/>
              <w:bCs/>
              <w:szCs w:val="32"/>
              <w:lang w:val="en-US"/>
            </w:rPr>
            <w:t>本标准用词说明</w:t>
          </w:r>
          <w:r>
            <w:rPr>
              <w:b/>
              <w:bCs/>
            </w:rPr>
            <w:tab/>
          </w:r>
          <w:r>
            <w:rPr>
              <w:b/>
              <w:bCs/>
            </w:rPr>
            <w:fldChar w:fldCharType="begin"/>
          </w:r>
          <w:r>
            <w:rPr>
              <w:b/>
              <w:bCs/>
            </w:rPr>
            <w:instrText xml:space="preserve"> PAGEREF _Toc23075 \h </w:instrText>
          </w:r>
          <w:r>
            <w:rPr>
              <w:b/>
              <w:bCs/>
            </w:rPr>
            <w:fldChar w:fldCharType="separate"/>
          </w:r>
          <w:r>
            <w:rPr>
              <w:b/>
              <w:bCs/>
            </w:rPr>
            <w:t>30</w:t>
          </w:r>
          <w:r>
            <w:rPr>
              <w:b/>
              <w:bCs/>
            </w:rPr>
            <w:fldChar w:fldCharType="end"/>
          </w:r>
          <w:r>
            <w:rPr>
              <w:rFonts w:cs="Times New Roman"/>
              <w:b/>
              <w:bCs/>
            </w:rPr>
            <w:fldChar w:fldCharType="end"/>
          </w:r>
        </w:p>
        <w:p w14:paraId="2376C0CE">
          <w:pPr>
            <w:pStyle w:val="17"/>
            <w:tabs>
              <w:tab w:val="right" w:leader="dot" w:pos="9746"/>
            </w:tabs>
            <w:spacing w:line="360" w:lineRule="auto"/>
            <w:rPr>
              <w:rFonts w:hint="eastAsia" w:eastAsia="宋体"/>
              <w:b/>
              <w:bCs/>
              <w:lang w:val="en-US" w:eastAsia="zh-CN"/>
            </w:rPr>
          </w:pPr>
          <w:r>
            <w:rPr>
              <w:rFonts w:cs="Times New Roman"/>
              <w:b/>
              <w:bCs/>
            </w:rPr>
            <w:fldChar w:fldCharType="begin"/>
          </w:r>
          <w:r>
            <w:rPr>
              <w:rFonts w:cs="Times New Roman"/>
              <w:b/>
              <w:bCs/>
            </w:rPr>
            <w:instrText xml:space="preserve"> HYPERLINK \l _Toc19642 </w:instrText>
          </w:r>
          <w:r>
            <w:rPr>
              <w:rFonts w:cs="Times New Roman"/>
              <w:b/>
              <w:bCs/>
            </w:rPr>
            <w:fldChar w:fldCharType="separate"/>
          </w:r>
          <w:r>
            <w:rPr>
              <w:rFonts w:ascii="Times New Roman" w:hAnsi="Times New Roman" w:eastAsia="宋体" w:cs="Times New Roman"/>
              <w:b/>
              <w:bCs/>
              <w:szCs w:val="32"/>
              <w:lang w:val="en-US"/>
            </w:rPr>
            <w:t>条文说明</w:t>
          </w:r>
          <w:r>
            <w:rPr>
              <w:b/>
              <w:bCs/>
            </w:rPr>
            <w:tab/>
          </w:r>
          <w:r>
            <w:rPr>
              <w:b/>
              <w:bCs/>
            </w:rPr>
            <w:fldChar w:fldCharType="begin"/>
          </w:r>
          <w:r>
            <w:rPr>
              <w:b/>
              <w:bCs/>
            </w:rPr>
            <w:instrText xml:space="preserve"> PAGEREF _Toc19642 \h </w:instrText>
          </w:r>
          <w:r>
            <w:rPr>
              <w:b/>
              <w:bCs/>
            </w:rPr>
            <w:fldChar w:fldCharType="separate"/>
          </w:r>
          <w:r>
            <w:rPr>
              <w:b/>
              <w:bCs/>
            </w:rPr>
            <w:t>31</w:t>
          </w:r>
          <w:r>
            <w:rPr>
              <w:b/>
              <w:bCs/>
            </w:rPr>
            <w:fldChar w:fldCharType="end"/>
          </w:r>
          <w:r>
            <w:rPr>
              <w:rFonts w:cs="Times New Roman"/>
              <w:b/>
              <w:bCs/>
            </w:rPr>
            <w:fldChar w:fldCharType="end"/>
          </w:r>
        </w:p>
        <w:p w14:paraId="56909178">
          <w:pPr>
            <w:autoSpaceDE/>
            <w:autoSpaceDN/>
            <w:spacing w:line="360" w:lineRule="auto"/>
            <w:rPr>
              <w:rFonts w:cs="Times New Roman"/>
            </w:rPr>
          </w:pPr>
          <w:r>
            <w:rPr>
              <w:rFonts w:cs="Times New Roman"/>
            </w:rPr>
            <w:fldChar w:fldCharType="end"/>
          </w:r>
        </w:p>
      </w:sdtContent>
    </w:sdt>
    <w:p w14:paraId="2D4EAF57">
      <w:pPr>
        <w:autoSpaceDE/>
        <w:autoSpaceDN/>
        <w:rPr>
          <w:rFonts w:cs="Times New Roman"/>
          <w:sz w:val="32"/>
          <w:szCs w:val="32"/>
          <w:lang w:val="en-US"/>
        </w:rPr>
      </w:pPr>
      <w:bookmarkStart w:id="1" w:name="_Toc11375"/>
      <w:r>
        <w:rPr>
          <w:rFonts w:cs="Times New Roman"/>
          <w:sz w:val="32"/>
          <w:szCs w:val="32"/>
          <w:lang w:val="en-US"/>
        </w:rPr>
        <w:br w:type="page"/>
      </w:r>
    </w:p>
    <w:sdt>
      <w:sdtPr>
        <w:rPr>
          <w:rFonts w:cs="Times New Roman"/>
          <w:b/>
          <w:sz w:val="32"/>
          <w:szCs w:val="44"/>
        </w:rPr>
        <w:id w:val="547417049"/>
        <w:docPartObj>
          <w:docPartGallery w:val="Table of Contents"/>
          <w:docPartUnique/>
        </w:docPartObj>
      </w:sdtPr>
      <w:sdtEndPr>
        <w:rPr>
          <w:rFonts w:cs="Times New Roman"/>
          <w:b w:val="0"/>
          <w:sz w:val="24"/>
          <w:szCs w:val="24"/>
        </w:rPr>
      </w:sdtEndPr>
      <w:sdtContent>
        <w:p w14:paraId="7D63F5A4">
          <w:pPr>
            <w:autoSpaceDE/>
            <w:autoSpaceDN/>
            <w:spacing w:before="312" w:beforeLines="100" w:after="312" w:afterLines="100"/>
            <w:jc w:val="center"/>
            <w:rPr>
              <w:rFonts w:cs="Times New Roman"/>
              <w:b/>
              <w:sz w:val="32"/>
              <w:szCs w:val="44"/>
              <w:lang w:val="en-US"/>
            </w:rPr>
          </w:pPr>
          <w:r>
            <w:rPr>
              <w:rFonts w:cs="Times New Roman"/>
              <w:b/>
              <w:sz w:val="32"/>
              <w:szCs w:val="44"/>
              <w:lang w:val="en-US"/>
            </w:rPr>
            <w:t>Contents</w:t>
          </w:r>
        </w:p>
        <w:p w14:paraId="247DC754">
          <w:pPr>
            <w:pStyle w:val="17"/>
            <w:tabs>
              <w:tab w:val="right" w:leader="dot" w:pos="9746"/>
            </w:tabs>
            <w:spacing w:line="360" w:lineRule="auto"/>
            <w:rPr>
              <w:b/>
              <w:bCs/>
              <w:sz w:val="24"/>
              <w:szCs w:val="24"/>
            </w:rPr>
          </w:pPr>
          <w:r>
            <w:rPr>
              <w:rFonts w:cs="Times New Roman"/>
              <w:b/>
              <w:bCs/>
              <w:sz w:val="24"/>
              <w:szCs w:val="24"/>
              <w:lang w:val="en-US"/>
            </w:rPr>
            <w:t>1　General provision</w:t>
          </w:r>
          <w:r>
            <w:rPr>
              <w:b/>
              <w:bCs/>
              <w:sz w:val="24"/>
              <w:szCs w:val="24"/>
            </w:rPr>
            <w:tab/>
          </w:r>
          <w:r>
            <w:rPr>
              <w:b/>
              <w:bCs/>
              <w:sz w:val="24"/>
              <w:szCs w:val="24"/>
            </w:rPr>
            <w:t>1</w:t>
          </w:r>
        </w:p>
        <w:p w14:paraId="40F8739F">
          <w:pPr>
            <w:pStyle w:val="17"/>
            <w:tabs>
              <w:tab w:val="right" w:leader="dot" w:pos="9746"/>
            </w:tabs>
            <w:spacing w:line="360" w:lineRule="auto"/>
            <w:rPr>
              <w:b/>
              <w:bCs/>
              <w:sz w:val="24"/>
              <w:szCs w:val="24"/>
            </w:rPr>
          </w:pPr>
          <w:r>
            <w:rPr>
              <w:rFonts w:cs="Times New Roman"/>
              <w:b/>
              <w:bCs/>
              <w:sz w:val="24"/>
              <w:szCs w:val="24"/>
              <w:lang w:val="en-US"/>
            </w:rPr>
            <w:t>2　Terms</w:t>
          </w:r>
          <w:r>
            <w:rPr>
              <w:b/>
              <w:bCs/>
              <w:sz w:val="24"/>
              <w:szCs w:val="24"/>
            </w:rPr>
            <w:tab/>
          </w:r>
          <w:r>
            <w:rPr>
              <w:b/>
              <w:bCs/>
              <w:sz w:val="24"/>
              <w:szCs w:val="24"/>
            </w:rPr>
            <w:t>2</w:t>
          </w:r>
        </w:p>
        <w:p w14:paraId="3CBC9322">
          <w:pPr>
            <w:pStyle w:val="17"/>
            <w:tabs>
              <w:tab w:val="right" w:leader="dot" w:pos="9746"/>
            </w:tabs>
            <w:spacing w:line="360" w:lineRule="auto"/>
            <w:rPr>
              <w:b/>
              <w:bCs/>
              <w:sz w:val="24"/>
              <w:szCs w:val="24"/>
            </w:rPr>
          </w:pPr>
          <w:r>
            <w:rPr>
              <w:rFonts w:cs="Times New Roman"/>
              <w:b/>
              <w:bCs/>
              <w:sz w:val="24"/>
              <w:szCs w:val="24"/>
              <w:lang w:val="en-US"/>
            </w:rPr>
            <w:t>3　Basic requirements</w:t>
          </w:r>
          <w:r>
            <w:rPr>
              <w:b/>
              <w:bCs/>
              <w:sz w:val="24"/>
              <w:szCs w:val="24"/>
            </w:rPr>
            <w:tab/>
          </w:r>
          <w:r>
            <w:rPr>
              <w:b/>
              <w:bCs/>
              <w:sz w:val="24"/>
              <w:szCs w:val="24"/>
            </w:rPr>
            <w:t>3</w:t>
          </w:r>
        </w:p>
        <w:p w14:paraId="26AD7D65">
          <w:pPr>
            <w:pStyle w:val="19"/>
            <w:tabs>
              <w:tab w:val="right" w:leader="dot" w:pos="9746"/>
            </w:tabs>
            <w:spacing w:line="360" w:lineRule="auto"/>
            <w:ind w:left="440"/>
            <w:rPr>
              <w:sz w:val="24"/>
              <w:szCs w:val="24"/>
            </w:rPr>
          </w:pPr>
          <w:r>
            <w:rPr>
              <w:rFonts w:cs="Times New Roman"/>
              <w:bCs/>
              <w:sz w:val="24"/>
              <w:szCs w:val="24"/>
              <w:lang w:val="en-US"/>
            </w:rPr>
            <w:t>3.1　Evaluation method</w:t>
          </w:r>
          <w:r>
            <w:rPr>
              <w:sz w:val="24"/>
              <w:szCs w:val="24"/>
            </w:rPr>
            <w:tab/>
          </w:r>
          <w:r>
            <w:rPr>
              <w:sz w:val="24"/>
              <w:szCs w:val="24"/>
            </w:rPr>
            <w:t>3</w:t>
          </w:r>
        </w:p>
        <w:p w14:paraId="7A673806">
          <w:pPr>
            <w:pStyle w:val="19"/>
            <w:tabs>
              <w:tab w:val="right" w:leader="dot" w:pos="9746"/>
            </w:tabs>
            <w:spacing w:line="360" w:lineRule="auto"/>
            <w:ind w:left="440"/>
            <w:rPr>
              <w:rFonts w:hint="eastAsia" w:eastAsia="宋体"/>
              <w:sz w:val="24"/>
              <w:szCs w:val="24"/>
              <w:lang w:eastAsia="zh-CN"/>
            </w:rPr>
          </w:pPr>
          <w:r>
            <w:rPr>
              <w:rFonts w:cs="Times New Roman"/>
              <w:bCs/>
              <w:color w:val="0454A4" w:themeColor="hyperlink" w:themeShade="D9"/>
              <w:sz w:val="24"/>
              <w:szCs w:val="24"/>
              <w:lang w:val="en-US"/>
            </w:rPr>
            <w:t>3.2　</w:t>
          </w:r>
          <w:r>
            <w:rPr>
              <w:rFonts w:cs="Times New Roman"/>
              <w:bCs/>
              <w:sz w:val="24"/>
              <w:szCs w:val="24"/>
              <w:lang w:val="en-US"/>
            </w:rPr>
            <w:t>Differentiation of grade</w:t>
          </w:r>
          <w:r>
            <w:rPr>
              <w:sz w:val="24"/>
              <w:szCs w:val="24"/>
            </w:rPr>
            <w:tab/>
          </w:r>
          <w:r>
            <w:rPr>
              <w:rFonts w:hint="eastAsia"/>
              <w:sz w:val="24"/>
              <w:szCs w:val="24"/>
              <w:lang w:val="en-US" w:eastAsia="zh-CN"/>
            </w:rPr>
            <w:t>4</w:t>
          </w:r>
        </w:p>
        <w:p w14:paraId="5101DFBD">
          <w:pPr>
            <w:pStyle w:val="17"/>
            <w:tabs>
              <w:tab w:val="right" w:leader="dot" w:pos="9746"/>
            </w:tabs>
            <w:spacing w:line="360" w:lineRule="auto"/>
            <w:rPr>
              <w:rFonts w:hint="eastAsia" w:eastAsia="宋体"/>
              <w:b/>
              <w:bCs/>
              <w:sz w:val="24"/>
              <w:szCs w:val="24"/>
              <w:lang w:eastAsia="zh-CN"/>
            </w:rPr>
          </w:pPr>
          <w:r>
            <w:rPr>
              <w:rFonts w:cs="Times New Roman"/>
              <w:b/>
              <w:bCs/>
              <w:sz w:val="24"/>
              <w:szCs w:val="24"/>
              <w:lang w:val="en-US"/>
            </w:rPr>
            <w:t>4　</w:t>
          </w:r>
          <w:r>
            <w:rPr>
              <w:rFonts w:hint="eastAsia" w:cs="Times New Roman"/>
              <w:b/>
              <w:bCs/>
              <w:sz w:val="24"/>
              <w:szCs w:val="24"/>
              <w:lang w:val="en-US"/>
            </w:rPr>
            <w:t>Low-carbon design</w:t>
          </w:r>
          <w:r>
            <w:rPr>
              <w:b/>
              <w:bCs/>
              <w:sz w:val="24"/>
              <w:szCs w:val="24"/>
            </w:rPr>
            <w:tab/>
          </w:r>
          <w:r>
            <w:rPr>
              <w:rFonts w:hint="eastAsia"/>
              <w:b/>
              <w:bCs/>
              <w:sz w:val="24"/>
              <w:szCs w:val="24"/>
              <w:lang w:val="en-US" w:eastAsia="zh-CN"/>
            </w:rPr>
            <w:t>6</w:t>
          </w:r>
        </w:p>
        <w:p w14:paraId="0593F67E">
          <w:pPr>
            <w:pStyle w:val="19"/>
            <w:tabs>
              <w:tab w:val="right" w:leader="dot" w:pos="9746"/>
            </w:tabs>
            <w:spacing w:line="360" w:lineRule="auto"/>
            <w:ind w:left="440"/>
            <w:rPr>
              <w:rFonts w:hint="eastAsia" w:eastAsia="宋体"/>
              <w:sz w:val="24"/>
              <w:szCs w:val="24"/>
              <w:lang w:eastAsia="zh-CN"/>
            </w:rPr>
          </w:pPr>
          <w:r>
            <w:rPr>
              <w:rFonts w:cs="Times New Roman"/>
              <w:bCs/>
              <w:sz w:val="24"/>
              <w:szCs w:val="24"/>
              <w:lang w:val="en-US"/>
            </w:rPr>
            <w:t>4.1　Prerequisite items</w:t>
          </w:r>
          <w:r>
            <w:rPr>
              <w:sz w:val="24"/>
              <w:szCs w:val="24"/>
            </w:rPr>
            <w:tab/>
          </w:r>
          <w:r>
            <w:rPr>
              <w:rFonts w:hint="eastAsia"/>
              <w:sz w:val="24"/>
              <w:szCs w:val="24"/>
              <w:lang w:val="en-US" w:eastAsia="zh-CN"/>
            </w:rPr>
            <w:t>6</w:t>
          </w:r>
        </w:p>
        <w:p w14:paraId="14F3E7A8">
          <w:pPr>
            <w:pStyle w:val="19"/>
            <w:tabs>
              <w:tab w:val="right" w:leader="dot" w:pos="9746"/>
            </w:tabs>
            <w:spacing w:line="360" w:lineRule="auto"/>
            <w:ind w:left="440"/>
            <w:rPr>
              <w:rFonts w:hint="eastAsia" w:eastAsia="宋体"/>
              <w:sz w:val="24"/>
              <w:szCs w:val="24"/>
              <w:lang w:val="en-US" w:eastAsia="zh-CN"/>
            </w:rPr>
          </w:pPr>
          <w:r>
            <w:rPr>
              <w:rFonts w:cs="Times New Roman"/>
              <w:bCs/>
              <w:sz w:val="24"/>
              <w:szCs w:val="24"/>
              <w:lang w:val="en-US"/>
            </w:rPr>
            <w:t>4.2　</w:t>
          </w:r>
          <w:r>
            <w:rPr>
              <w:rFonts w:cs="Times New Roman"/>
              <w:bCs/>
              <w:sz w:val="24"/>
              <w:szCs w:val="24"/>
            </w:rPr>
            <w:t>Scoring item</w:t>
          </w:r>
          <w:r>
            <w:rPr>
              <w:rFonts w:cs="Times New Roman"/>
              <w:bCs/>
              <w:sz w:val="24"/>
              <w:szCs w:val="24"/>
              <w:lang w:val="en-US"/>
            </w:rPr>
            <w:t>s</w:t>
          </w:r>
          <w:r>
            <w:rPr>
              <w:sz w:val="24"/>
              <w:szCs w:val="24"/>
            </w:rPr>
            <w:tab/>
          </w:r>
          <w:r>
            <w:rPr>
              <w:rFonts w:hint="eastAsia"/>
              <w:sz w:val="24"/>
              <w:szCs w:val="24"/>
              <w:lang w:val="en-US" w:eastAsia="zh-CN"/>
            </w:rPr>
            <w:t>7</w:t>
          </w:r>
        </w:p>
        <w:p w14:paraId="47EBE9DE">
          <w:pPr>
            <w:pStyle w:val="17"/>
            <w:tabs>
              <w:tab w:val="right" w:leader="dot" w:pos="9746"/>
            </w:tabs>
            <w:spacing w:line="360" w:lineRule="auto"/>
            <w:rPr>
              <w:rFonts w:hint="default" w:eastAsia="宋体"/>
              <w:b/>
              <w:bCs/>
              <w:sz w:val="24"/>
              <w:szCs w:val="24"/>
              <w:lang w:val="en-US" w:eastAsia="zh-CN"/>
            </w:rPr>
          </w:pPr>
          <w:r>
            <w:rPr>
              <w:rFonts w:cs="Times New Roman"/>
              <w:b/>
              <w:bCs/>
              <w:sz w:val="24"/>
              <w:szCs w:val="24"/>
              <w:lang w:val="en-US"/>
            </w:rPr>
            <w:t>5　</w:t>
          </w:r>
          <w:r>
            <w:rPr>
              <w:rFonts w:hint="eastAsia" w:cs="Times New Roman"/>
              <w:b/>
              <w:bCs/>
              <w:sz w:val="24"/>
              <w:szCs w:val="24"/>
              <w:lang w:val="en-US"/>
            </w:rPr>
            <w:t>Low-carbon production</w:t>
          </w:r>
          <w:r>
            <w:rPr>
              <w:rFonts w:hint="eastAsia" w:cs="Times New Roman"/>
              <w:b/>
              <w:bCs/>
              <w:sz w:val="24"/>
              <w:szCs w:val="24"/>
              <w:lang w:val="en-US" w:eastAsia="zh-CN"/>
            </w:rPr>
            <w:t xml:space="preserve"> and </w:t>
          </w:r>
          <w:r>
            <w:rPr>
              <w:rFonts w:hint="eastAsia" w:cs="Times New Roman"/>
              <w:b/>
              <w:bCs/>
              <w:sz w:val="24"/>
              <w:szCs w:val="24"/>
              <w:lang w:val="en-US"/>
            </w:rPr>
            <w:t>construction</w:t>
          </w:r>
          <w:r>
            <w:rPr>
              <w:b/>
              <w:bCs/>
              <w:sz w:val="24"/>
              <w:szCs w:val="24"/>
            </w:rPr>
            <w:tab/>
          </w:r>
          <w:r>
            <w:rPr>
              <w:rFonts w:hint="eastAsia"/>
              <w:b/>
              <w:bCs/>
              <w:sz w:val="24"/>
              <w:szCs w:val="24"/>
              <w:lang w:val="en-US" w:eastAsia="zh-CN"/>
            </w:rPr>
            <w:t>17</w:t>
          </w:r>
        </w:p>
        <w:p w14:paraId="4FCE6CC3">
          <w:pPr>
            <w:pStyle w:val="19"/>
            <w:tabs>
              <w:tab w:val="right" w:leader="dot" w:pos="9746"/>
            </w:tabs>
            <w:spacing w:line="360" w:lineRule="auto"/>
            <w:ind w:left="440"/>
            <w:rPr>
              <w:rFonts w:hint="default" w:eastAsia="宋体"/>
              <w:sz w:val="24"/>
              <w:szCs w:val="24"/>
              <w:lang w:val="en-US" w:eastAsia="zh-CN"/>
            </w:rPr>
          </w:pPr>
          <w:r>
            <w:rPr>
              <w:rFonts w:cs="Times New Roman"/>
              <w:bCs/>
              <w:sz w:val="24"/>
              <w:szCs w:val="24"/>
              <w:lang w:val="en-US"/>
            </w:rPr>
            <w:t>5.1　Prerequisite items</w:t>
          </w:r>
          <w:r>
            <w:rPr>
              <w:sz w:val="24"/>
              <w:szCs w:val="24"/>
            </w:rPr>
            <w:tab/>
          </w:r>
          <w:r>
            <w:rPr>
              <w:rFonts w:hint="eastAsia"/>
              <w:sz w:val="24"/>
              <w:szCs w:val="24"/>
              <w:lang w:val="en-US" w:eastAsia="zh-CN"/>
            </w:rPr>
            <w:t>17</w:t>
          </w:r>
        </w:p>
        <w:p w14:paraId="6604B144">
          <w:pPr>
            <w:pStyle w:val="19"/>
            <w:tabs>
              <w:tab w:val="right" w:leader="dot" w:pos="9746"/>
            </w:tabs>
            <w:spacing w:line="360" w:lineRule="auto"/>
            <w:ind w:left="440"/>
            <w:rPr>
              <w:rFonts w:hint="default" w:eastAsia="宋体"/>
              <w:sz w:val="24"/>
              <w:szCs w:val="24"/>
              <w:lang w:val="en-US" w:eastAsia="zh-CN"/>
            </w:rPr>
          </w:pPr>
          <w:r>
            <w:rPr>
              <w:rFonts w:cs="Times New Roman"/>
              <w:bCs/>
              <w:sz w:val="24"/>
              <w:szCs w:val="24"/>
              <w:lang w:val="en-US"/>
            </w:rPr>
            <w:t>5.2　</w:t>
          </w:r>
          <w:r>
            <w:rPr>
              <w:rFonts w:cs="Times New Roman"/>
              <w:bCs/>
              <w:sz w:val="24"/>
              <w:szCs w:val="24"/>
            </w:rPr>
            <w:t>Scoring item</w:t>
          </w:r>
          <w:r>
            <w:rPr>
              <w:rFonts w:cs="Times New Roman"/>
              <w:bCs/>
              <w:sz w:val="24"/>
              <w:szCs w:val="24"/>
              <w:lang w:val="en-US"/>
            </w:rPr>
            <w:t>s</w:t>
          </w:r>
          <w:r>
            <w:rPr>
              <w:sz w:val="24"/>
              <w:szCs w:val="24"/>
            </w:rPr>
            <w:tab/>
          </w:r>
          <w:r>
            <w:rPr>
              <w:rFonts w:hint="eastAsia"/>
              <w:sz w:val="24"/>
              <w:szCs w:val="24"/>
              <w:lang w:val="en-US" w:eastAsia="zh-CN"/>
            </w:rPr>
            <w:t>18</w:t>
          </w:r>
        </w:p>
        <w:p w14:paraId="38C591B1">
          <w:pPr>
            <w:pStyle w:val="17"/>
            <w:tabs>
              <w:tab w:val="right" w:leader="dot" w:pos="9746"/>
            </w:tabs>
            <w:spacing w:line="360" w:lineRule="auto"/>
            <w:rPr>
              <w:rFonts w:hint="eastAsia" w:eastAsia="宋体"/>
              <w:b/>
              <w:bCs w:val="0"/>
              <w:sz w:val="24"/>
              <w:szCs w:val="24"/>
              <w:lang w:eastAsia="zh-CN"/>
            </w:rPr>
          </w:pPr>
          <w:r>
            <w:rPr>
              <w:rFonts w:cs="Times New Roman"/>
              <w:b/>
              <w:bCs w:val="0"/>
              <w:sz w:val="24"/>
              <w:szCs w:val="24"/>
              <w:lang w:val="en-US"/>
            </w:rPr>
            <w:t>6　</w:t>
          </w:r>
          <w:r>
            <w:rPr>
              <w:rFonts w:hint="eastAsia" w:cs="Times New Roman"/>
              <w:b/>
              <w:bCs w:val="0"/>
              <w:sz w:val="24"/>
              <w:szCs w:val="24"/>
              <w:lang w:val="en-US"/>
            </w:rPr>
            <w:t>Low-carbon operating</w:t>
          </w:r>
          <w:r>
            <w:rPr>
              <w:b/>
              <w:bCs w:val="0"/>
              <w:sz w:val="24"/>
              <w:szCs w:val="24"/>
            </w:rPr>
            <w:tab/>
          </w:r>
          <w:r>
            <w:rPr>
              <w:b/>
              <w:bCs w:val="0"/>
              <w:sz w:val="24"/>
              <w:szCs w:val="24"/>
            </w:rPr>
            <w:t>2</w:t>
          </w:r>
          <w:r>
            <w:rPr>
              <w:rFonts w:hint="eastAsia"/>
              <w:b/>
              <w:bCs w:val="0"/>
              <w:sz w:val="24"/>
              <w:szCs w:val="24"/>
              <w:lang w:val="en-US" w:eastAsia="zh-CN"/>
            </w:rPr>
            <w:t>1</w:t>
          </w:r>
        </w:p>
        <w:p w14:paraId="5A5E47D2">
          <w:pPr>
            <w:pStyle w:val="19"/>
            <w:tabs>
              <w:tab w:val="right" w:leader="dot" w:pos="9746"/>
            </w:tabs>
            <w:spacing w:line="360" w:lineRule="auto"/>
            <w:ind w:left="440"/>
            <w:rPr>
              <w:rFonts w:hint="eastAsia" w:eastAsia="宋体"/>
              <w:sz w:val="24"/>
              <w:szCs w:val="24"/>
              <w:lang w:eastAsia="zh-CN"/>
            </w:rPr>
          </w:pPr>
          <w:r>
            <w:rPr>
              <w:rFonts w:cs="Times New Roman"/>
              <w:bCs/>
              <w:sz w:val="24"/>
              <w:szCs w:val="24"/>
              <w:lang w:val="en-US"/>
            </w:rPr>
            <w:t>6.1　Prerequisite items</w:t>
          </w:r>
          <w:r>
            <w:rPr>
              <w:sz w:val="24"/>
              <w:szCs w:val="24"/>
            </w:rPr>
            <w:tab/>
          </w:r>
          <w:r>
            <w:rPr>
              <w:sz w:val="24"/>
              <w:szCs w:val="24"/>
            </w:rPr>
            <w:t>2</w:t>
          </w:r>
          <w:r>
            <w:rPr>
              <w:rFonts w:hint="eastAsia"/>
              <w:sz w:val="24"/>
              <w:szCs w:val="24"/>
              <w:lang w:val="en-US" w:eastAsia="zh-CN"/>
            </w:rPr>
            <w:t>1</w:t>
          </w:r>
        </w:p>
        <w:p w14:paraId="59A674B1">
          <w:pPr>
            <w:pStyle w:val="19"/>
            <w:tabs>
              <w:tab w:val="right" w:leader="dot" w:pos="9746"/>
            </w:tabs>
            <w:spacing w:line="360" w:lineRule="auto"/>
            <w:ind w:left="440"/>
            <w:rPr>
              <w:rFonts w:hint="eastAsia" w:eastAsia="宋体"/>
              <w:sz w:val="24"/>
              <w:szCs w:val="24"/>
              <w:lang w:eastAsia="zh-CN"/>
            </w:rPr>
          </w:pPr>
          <w:r>
            <w:rPr>
              <w:rFonts w:cs="Times New Roman"/>
              <w:bCs/>
              <w:sz w:val="24"/>
              <w:szCs w:val="24"/>
              <w:lang w:val="en-US"/>
            </w:rPr>
            <w:t>6.2　</w:t>
          </w:r>
          <w:r>
            <w:rPr>
              <w:rFonts w:cs="Times New Roman"/>
              <w:bCs/>
              <w:sz w:val="24"/>
              <w:szCs w:val="24"/>
            </w:rPr>
            <w:t>Scoring item</w:t>
          </w:r>
          <w:r>
            <w:rPr>
              <w:rFonts w:cs="Times New Roman"/>
              <w:bCs/>
              <w:sz w:val="24"/>
              <w:szCs w:val="24"/>
              <w:lang w:val="en-US"/>
            </w:rPr>
            <w:t>s</w:t>
          </w:r>
          <w:r>
            <w:rPr>
              <w:sz w:val="24"/>
              <w:szCs w:val="24"/>
            </w:rPr>
            <w:tab/>
          </w:r>
          <w:r>
            <w:rPr>
              <w:sz w:val="24"/>
              <w:szCs w:val="24"/>
            </w:rPr>
            <w:t>2</w:t>
          </w:r>
          <w:r>
            <w:rPr>
              <w:rFonts w:hint="eastAsia"/>
              <w:sz w:val="24"/>
              <w:szCs w:val="24"/>
              <w:lang w:val="en-US" w:eastAsia="zh-CN"/>
            </w:rPr>
            <w:t>1</w:t>
          </w:r>
        </w:p>
        <w:p w14:paraId="7C291256">
          <w:pPr>
            <w:pStyle w:val="17"/>
            <w:tabs>
              <w:tab w:val="right" w:leader="dot" w:pos="9746"/>
            </w:tabs>
            <w:spacing w:line="360" w:lineRule="auto"/>
            <w:rPr>
              <w:rFonts w:hint="default" w:eastAsia="宋体"/>
              <w:b/>
              <w:bCs/>
              <w:sz w:val="24"/>
              <w:szCs w:val="24"/>
              <w:lang w:val="en-US" w:eastAsia="zh-CN"/>
            </w:rPr>
          </w:pPr>
          <w:r>
            <w:rPr>
              <w:rFonts w:cs="Times New Roman"/>
              <w:b/>
              <w:bCs/>
              <w:sz w:val="24"/>
              <w:szCs w:val="24"/>
              <w:lang w:val="en-US"/>
            </w:rPr>
            <w:t>7　Improvement and innovation</w:t>
          </w:r>
          <w:r>
            <w:rPr>
              <w:b/>
              <w:bCs/>
              <w:sz w:val="24"/>
              <w:szCs w:val="24"/>
            </w:rPr>
            <w:tab/>
          </w:r>
          <w:r>
            <w:rPr>
              <w:rFonts w:hint="eastAsia"/>
              <w:b/>
              <w:bCs/>
              <w:sz w:val="24"/>
              <w:szCs w:val="24"/>
              <w:lang w:val="en-US" w:eastAsia="zh-CN"/>
            </w:rPr>
            <w:t>25</w:t>
          </w:r>
        </w:p>
        <w:p w14:paraId="3D112756">
          <w:pPr>
            <w:pStyle w:val="17"/>
            <w:tabs>
              <w:tab w:val="right" w:leader="dot" w:pos="9746"/>
            </w:tabs>
            <w:spacing w:line="360" w:lineRule="auto"/>
            <w:rPr>
              <w:rFonts w:hint="default"/>
              <w:b/>
              <w:bCs/>
              <w:sz w:val="24"/>
              <w:szCs w:val="24"/>
              <w:lang w:val="en-US"/>
            </w:rPr>
          </w:pPr>
          <w:r>
            <w:rPr>
              <w:rFonts w:cs="Times New Roman"/>
              <w:b/>
              <w:bCs/>
              <w:sz w:val="24"/>
              <w:szCs w:val="24"/>
            </w:rPr>
            <w:t>Explanation of wording in this standard</w:t>
          </w:r>
          <w:r>
            <w:rPr>
              <w:b/>
              <w:bCs/>
              <w:sz w:val="24"/>
              <w:szCs w:val="24"/>
            </w:rPr>
            <w:tab/>
          </w:r>
          <w:r>
            <w:rPr>
              <w:rFonts w:hint="eastAsia"/>
              <w:b/>
              <w:bCs/>
              <w:sz w:val="24"/>
              <w:szCs w:val="24"/>
              <w:lang w:val="en-US" w:eastAsia="zh-CN"/>
            </w:rPr>
            <w:t>30</w:t>
          </w:r>
        </w:p>
        <w:p w14:paraId="59F5E053">
          <w:pPr>
            <w:pStyle w:val="17"/>
            <w:tabs>
              <w:tab w:val="right" w:leader="dot" w:pos="9746"/>
            </w:tabs>
            <w:spacing w:line="360" w:lineRule="auto"/>
            <w:rPr>
              <w:rFonts w:hint="eastAsia" w:eastAsia="宋体"/>
              <w:b/>
              <w:bCs/>
              <w:sz w:val="24"/>
              <w:szCs w:val="24"/>
              <w:lang w:eastAsia="zh-CN"/>
            </w:rPr>
          </w:pPr>
          <w:r>
            <w:rPr>
              <w:rFonts w:cs="Times New Roman"/>
              <w:b/>
              <w:bCs/>
              <w:sz w:val="24"/>
              <w:szCs w:val="24"/>
              <w:lang w:val="en-US"/>
            </w:rPr>
            <w:t>Addition: Explanation of provisions</w:t>
          </w:r>
          <w:r>
            <w:rPr>
              <w:b/>
              <w:bCs/>
              <w:sz w:val="24"/>
              <w:szCs w:val="24"/>
            </w:rPr>
            <w:tab/>
          </w:r>
          <w:r>
            <w:rPr>
              <w:rFonts w:hint="eastAsia"/>
              <w:b/>
              <w:bCs/>
              <w:sz w:val="24"/>
              <w:szCs w:val="24"/>
              <w:lang w:val="en-US" w:eastAsia="zh-CN"/>
            </w:rPr>
            <w:t>31</w:t>
          </w:r>
        </w:p>
        <w:p w14:paraId="67936C5F">
          <w:pPr>
            <w:autoSpaceDE/>
            <w:autoSpaceDN/>
            <w:spacing w:line="360" w:lineRule="auto"/>
            <w:rPr>
              <w:rFonts w:cs="Times New Roman"/>
              <w:sz w:val="24"/>
              <w:szCs w:val="24"/>
            </w:rPr>
          </w:pPr>
        </w:p>
      </w:sdtContent>
    </w:sdt>
    <w:p w14:paraId="63F4C493">
      <w:pPr>
        <w:autoSpaceDE/>
        <w:autoSpaceDN/>
        <w:rPr>
          <w:rFonts w:cs="Times New Roman"/>
          <w:sz w:val="40"/>
          <w:szCs w:val="44"/>
          <w:lang w:val="en-US"/>
        </w:rPr>
        <w:sectPr>
          <w:footerReference r:id="rId7" w:type="default"/>
          <w:pgSz w:w="11906" w:h="16838"/>
          <w:pgMar w:top="1440" w:right="1080" w:bottom="1440" w:left="1080" w:header="851" w:footer="992" w:gutter="0"/>
          <w:cols w:space="425" w:num="1"/>
          <w:docGrid w:type="lines" w:linePitch="312" w:charSpace="0"/>
        </w:sectPr>
      </w:pPr>
      <w:r>
        <w:rPr>
          <w:rFonts w:cs="Times New Roman"/>
          <w:sz w:val="40"/>
          <w:szCs w:val="44"/>
          <w:lang w:val="en-US"/>
        </w:rPr>
        <w:t xml:space="preserve"> </w:t>
      </w:r>
    </w:p>
    <w:p w14:paraId="7A67CE9A">
      <w:pPr>
        <w:pStyle w:val="2"/>
        <w:numPr>
          <w:ilvl w:val="0"/>
          <w:numId w:val="0"/>
        </w:numPr>
        <w:autoSpaceDE/>
        <w:autoSpaceDN/>
        <w:spacing w:before="156" w:beforeLines="50" w:after="156" w:afterLines="50" w:line="360" w:lineRule="auto"/>
        <w:ind w:left="425" w:hanging="425"/>
        <w:jc w:val="center"/>
        <w:rPr>
          <w:rFonts w:ascii="Times New Roman" w:hAnsi="Times New Roman" w:eastAsia="宋体" w:cs="Times New Roman"/>
          <w:sz w:val="32"/>
          <w:szCs w:val="32"/>
          <w:lang w:val="en-US"/>
        </w:rPr>
      </w:pPr>
      <w:bookmarkStart w:id="2" w:name="_Toc14812"/>
      <w:bookmarkStart w:id="3" w:name="_Toc18173"/>
      <w:bookmarkStart w:id="4" w:name="_Toc2947"/>
      <w:r>
        <w:rPr>
          <w:rFonts w:ascii="Times New Roman" w:hAnsi="Times New Roman" w:eastAsia="宋体" w:cs="Times New Roman"/>
          <w:sz w:val="32"/>
          <w:szCs w:val="32"/>
          <w:lang w:val="en-US"/>
        </w:rPr>
        <w:t>1　总　　则</w:t>
      </w:r>
      <w:bookmarkEnd w:id="1"/>
      <w:bookmarkEnd w:id="2"/>
      <w:bookmarkEnd w:id="3"/>
      <w:bookmarkEnd w:id="4"/>
    </w:p>
    <w:p w14:paraId="535F2A59">
      <w:pPr>
        <w:autoSpaceDE/>
        <w:autoSpaceDN/>
        <w:spacing w:line="360" w:lineRule="auto"/>
        <w:rPr>
          <w:rFonts w:cs="Times New Roman"/>
          <w:color w:val="000000" w:themeColor="text1"/>
          <w:lang w:val="en-US"/>
          <w14:textFill>
            <w14:solidFill>
              <w14:schemeClr w14:val="tx1"/>
            </w14:solidFill>
          </w14:textFill>
        </w:rPr>
      </w:pPr>
      <w:r>
        <w:rPr>
          <w:rFonts w:cs="Times New Roman"/>
          <w:b/>
          <w:bCs/>
          <w:color w:val="000000" w:themeColor="text1"/>
          <w:lang w:val="en-US"/>
          <w14:textFill>
            <w14:solidFill>
              <w14:schemeClr w14:val="tx1"/>
            </w14:solidFill>
          </w14:textFill>
        </w:rPr>
        <w:t>1.0.1　</w:t>
      </w:r>
      <w:r>
        <w:rPr>
          <w:rFonts w:cs="Times New Roman"/>
          <w:color w:val="000000" w:themeColor="text1"/>
          <w:lang w:val="en-US"/>
          <w14:textFill>
            <w14:solidFill>
              <w14:schemeClr w14:val="tx1"/>
            </w14:solidFill>
          </w14:textFill>
        </w:rPr>
        <w:t>为贯彻落实绿色</w:t>
      </w:r>
      <w:r>
        <w:rPr>
          <w:rFonts w:hint="eastAsia" w:cs="Times New Roman"/>
          <w:color w:val="000000" w:themeColor="text1"/>
          <w:lang w:val="en-US"/>
          <w14:textFill>
            <w14:solidFill>
              <w14:schemeClr w14:val="tx1"/>
            </w14:solidFill>
          </w14:textFill>
        </w:rPr>
        <w:t>低碳</w:t>
      </w:r>
      <w:r>
        <w:rPr>
          <w:rFonts w:cs="Times New Roman"/>
          <w:color w:val="000000" w:themeColor="text1"/>
          <w:lang w:val="en-US"/>
          <w14:textFill>
            <w14:solidFill>
              <w14:schemeClr w14:val="tx1"/>
            </w14:solidFill>
          </w14:textFill>
        </w:rPr>
        <w:t>发展理念，规范装配式建筑</w:t>
      </w:r>
      <w:r>
        <w:rPr>
          <w:rFonts w:hint="eastAsia" w:cs="Times New Roman"/>
          <w:color w:val="000000" w:themeColor="text1"/>
          <w:lang w:val="en-US"/>
          <w14:textFill>
            <w14:solidFill>
              <w14:schemeClr w14:val="tx1"/>
            </w14:solidFill>
          </w14:textFill>
        </w:rPr>
        <w:t>低碳性能</w:t>
      </w:r>
      <w:r>
        <w:rPr>
          <w:rFonts w:cs="Times New Roman"/>
          <w:color w:val="000000" w:themeColor="text1"/>
          <w:lang w:val="en-US"/>
          <w14:textFill>
            <w14:solidFill>
              <w14:schemeClr w14:val="tx1"/>
            </w14:solidFill>
          </w14:textFill>
        </w:rPr>
        <w:t>评价技术要求，制定本标准。</w:t>
      </w:r>
    </w:p>
    <w:p w14:paraId="38A6B51E">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【条文说明】随着全球对环境保护意识的增强以及资源节约型、环境友好型社会建设的需求日益迫切，绿色低碳发展理念已经成为现代建筑行业发展的重要指导原则之一。</w:t>
      </w:r>
    </w:p>
    <w:p w14:paraId="28D76336">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装配式建筑作为一种新型建造方式，具有工业化程度高、施工速度快、质量易于控制等优点，同时也有助于减少施工现场的废弃物排放和能源消耗。然而，为了确保装配式建筑在</w:t>
      </w:r>
      <w:r>
        <w:rPr>
          <w:rFonts w:hint="eastAsia"/>
          <w:i/>
          <w:iCs/>
          <w:color w:val="000000"/>
          <w:sz w:val="22"/>
          <w:lang w:eastAsia="zh-CN"/>
        </w:rPr>
        <w:t>全寿命期</w:t>
      </w:r>
      <w:r>
        <w:rPr>
          <w:rFonts w:hint="eastAsia"/>
          <w:i/>
          <w:iCs/>
          <w:color w:val="000000"/>
          <w:sz w:val="22"/>
        </w:rPr>
        <w:t>内实现真正的低碳效益，需建立一套科学合理且可操作性强的技术评价体系来规范其低碳性能。</w:t>
      </w:r>
    </w:p>
    <w:p w14:paraId="543757C2">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default"/>
          <w:i/>
          <w:iCs/>
          <w:color w:val="000000"/>
          <w:sz w:val="22"/>
          <w:lang w:val="en-US" w:eastAsia="zh-CN"/>
        </w:rPr>
      </w:pPr>
      <w:r>
        <w:rPr>
          <w:rFonts w:hint="eastAsia"/>
          <w:i/>
          <w:iCs/>
          <w:color w:val="000000"/>
          <w:sz w:val="22"/>
        </w:rPr>
        <w:t>因此，</w:t>
      </w:r>
      <w:r>
        <w:rPr>
          <w:rFonts w:hint="eastAsia"/>
          <w:i/>
          <w:iCs/>
          <w:color w:val="000000"/>
          <w:sz w:val="22"/>
          <w:lang w:eastAsia="zh-CN"/>
        </w:rPr>
        <w:t>为了</w:t>
      </w:r>
      <w:r>
        <w:rPr>
          <w:rFonts w:hint="eastAsia"/>
          <w:i/>
          <w:iCs/>
          <w:color w:val="000000"/>
          <w:sz w:val="22"/>
        </w:rPr>
        <w:t>统一规范</w:t>
      </w:r>
      <w:r>
        <w:rPr>
          <w:rFonts w:hint="eastAsia"/>
          <w:i/>
          <w:iCs/>
          <w:color w:val="000000"/>
          <w:sz w:val="22"/>
          <w:lang w:eastAsia="zh-CN"/>
        </w:rPr>
        <w:t>装配式建筑低碳性能</w:t>
      </w:r>
      <w:r>
        <w:rPr>
          <w:rFonts w:hint="eastAsia"/>
          <w:i/>
          <w:iCs/>
          <w:color w:val="000000"/>
          <w:sz w:val="22"/>
        </w:rPr>
        <w:t>评价</w:t>
      </w:r>
      <w:r>
        <w:rPr>
          <w:rFonts w:hint="eastAsia"/>
          <w:i/>
          <w:iCs/>
          <w:color w:val="000000"/>
          <w:sz w:val="22"/>
          <w:lang w:eastAsia="zh-CN"/>
        </w:rPr>
        <w:t>工作，</w:t>
      </w:r>
      <w:r>
        <w:rPr>
          <w:rFonts w:hint="eastAsia"/>
          <w:i/>
          <w:iCs/>
          <w:color w:val="000000"/>
          <w:sz w:val="22"/>
        </w:rPr>
        <w:t>促进装配式建筑项目在规划、设计、生产、运输、安装及后期维护管理各阶段遵循绿色低碳的原则进行优化选择与实践</w:t>
      </w:r>
      <w:r>
        <w:rPr>
          <w:rFonts w:hint="eastAsia"/>
          <w:i/>
          <w:iCs/>
          <w:color w:val="000000"/>
          <w:sz w:val="22"/>
          <w:lang w:eastAsia="zh-CN"/>
        </w:rPr>
        <w:t>，</w:t>
      </w:r>
      <w:r>
        <w:rPr>
          <w:rFonts w:hint="eastAsia"/>
          <w:i/>
          <w:iCs/>
          <w:color w:val="000000"/>
          <w:sz w:val="22"/>
        </w:rPr>
        <w:t>提升装配式建筑自身的</w:t>
      </w:r>
      <w:r>
        <w:rPr>
          <w:rFonts w:hint="eastAsia"/>
          <w:i/>
          <w:iCs/>
          <w:color w:val="000000"/>
          <w:sz w:val="22"/>
          <w:lang w:eastAsia="zh-CN"/>
        </w:rPr>
        <w:t>低碳</w:t>
      </w:r>
      <w:r>
        <w:rPr>
          <w:rFonts w:hint="eastAsia"/>
          <w:i/>
          <w:iCs/>
          <w:color w:val="000000"/>
          <w:sz w:val="22"/>
        </w:rPr>
        <w:t>环保性能，</w:t>
      </w:r>
      <w:r>
        <w:rPr>
          <w:rFonts w:hint="eastAsia"/>
          <w:i/>
          <w:iCs/>
          <w:color w:val="000000"/>
          <w:sz w:val="22"/>
          <w:lang w:eastAsia="zh-CN"/>
        </w:rPr>
        <w:t>制定本标准</w:t>
      </w:r>
      <w:r>
        <w:rPr>
          <w:rFonts w:hint="eastAsia"/>
          <w:i/>
          <w:iCs/>
          <w:color w:val="000000"/>
          <w:sz w:val="22"/>
          <w:lang w:val="en-US" w:eastAsia="zh-CN"/>
        </w:rPr>
        <w:t>。</w:t>
      </w:r>
    </w:p>
    <w:p w14:paraId="69145D77">
      <w:pPr>
        <w:autoSpaceDE/>
        <w:autoSpaceDN/>
        <w:spacing w:line="360" w:lineRule="auto"/>
        <w:rPr>
          <w:rFonts w:cs="Times New Roman"/>
          <w:color w:val="000000" w:themeColor="text1"/>
          <w:lang w:val="en-US"/>
          <w14:textFill>
            <w14:solidFill>
              <w14:schemeClr w14:val="tx1"/>
            </w14:solidFill>
          </w14:textFill>
        </w:rPr>
      </w:pPr>
      <w:r>
        <w:rPr>
          <w:rFonts w:cs="Times New Roman"/>
          <w:b/>
          <w:bCs/>
          <w:color w:val="000000" w:themeColor="text1"/>
          <w:lang w:val="en-US"/>
          <w14:textFill>
            <w14:solidFill>
              <w14:schemeClr w14:val="tx1"/>
            </w14:solidFill>
          </w14:textFill>
        </w:rPr>
        <w:t>1.0.2</w:t>
      </w:r>
      <w:r>
        <w:rPr>
          <w:rFonts w:cs="Times New Roman"/>
          <w:color w:val="000000" w:themeColor="text1"/>
          <w:lang w:val="en-US"/>
          <w14:textFill>
            <w14:solidFill>
              <w14:schemeClr w14:val="tx1"/>
            </w14:solidFill>
          </w14:textFill>
        </w:rPr>
        <w:t>　本标准适用于各类新建民用装配式建筑的</w:t>
      </w:r>
      <w:r>
        <w:rPr>
          <w:rFonts w:hint="eastAsia" w:cs="Times New Roman"/>
          <w:color w:val="000000" w:themeColor="text1"/>
          <w:lang w:val="en-US"/>
          <w14:textFill>
            <w14:solidFill>
              <w14:schemeClr w14:val="tx1"/>
            </w14:solidFill>
          </w14:textFill>
        </w:rPr>
        <w:t>低碳</w:t>
      </w:r>
      <w:bookmarkStart w:id="110" w:name="_GoBack"/>
      <w:r>
        <w:rPr>
          <w:rFonts w:hint="eastAsia" w:cs="Times New Roman"/>
          <w:color w:val="000000" w:themeColor="text1"/>
          <w:lang w:val="en-US"/>
          <w14:textFill>
            <w14:solidFill>
              <w14:schemeClr w14:val="tx1"/>
            </w14:solidFill>
          </w14:textFill>
        </w:rPr>
        <w:t>性能</w:t>
      </w:r>
      <w:bookmarkEnd w:id="110"/>
      <w:r>
        <w:rPr>
          <w:rFonts w:cs="Times New Roman"/>
          <w:color w:val="000000" w:themeColor="text1"/>
          <w:lang w:val="en-US"/>
          <w14:textFill>
            <w14:solidFill>
              <w14:schemeClr w14:val="tx1"/>
            </w14:solidFill>
          </w14:textFill>
        </w:rPr>
        <w:t>评价。</w:t>
      </w:r>
    </w:p>
    <w:p w14:paraId="4213628C">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【条文说明】本条规定了本标准的适用范围，即适用于各类新建民用装配式建筑的</w:t>
      </w:r>
      <w:r>
        <w:rPr>
          <w:rFonts w:hint="eastAsia"/>
          <w:i/>
          <w:iCs/>
          <w:color w:val="000000"/>
          <w:sz w:val="22"/>
          <w:lang w:eastAsia="zh-CN"/>
        </w:rPr>
        <w:t>低碳性能</w:t>
      </w:r>
      <w:r>
        <w:rPr>
          <w:rFonts w:hint="eastAsia"/>
          <w:i/>
          <w:iCs/>
          <w:color w:val="000000"/>
          <w:sz w:val="22"/>
        </w:rPr>
        <w:t>评价。改扩建建筑和工业建筑可参照执行。</w:t>
      </w:r>
    </w:p>
    <w:p w14:paraId="6B14A85D">
      <w:pPr>
        <w:autoSpaceDE/>
        <w:autoSpaceDN/>
        <w:spacing w:line="360" w:lineRule="auto"/>
        <w:rPr>
          <w:rFonts w:cs="Times New Roman"/>
          <w:color w:val="000000" w:themeColor="text1"/>
          <w:lang w:val="en-US"/>
          <w14:textFill>
            <w14:solidFill>
              <w14:schemeClr w14:val="tx1"/>
            </w14:solidFill>
          </w14:textFill>
        </w:rPr>
      </w:pPr>
      <w:r>
        <w:rPr>
          <w:rFonts w:cs="Times New Roman"/>
          <w:b/>
          <w:bCs/>
          <w:color w:val="000000" w:themeColor="text1"/>
          <w:lang w:val="en-US"/>
          <w14:textFill>
            <w14:solidFill>
              <w14:schemeClr w14:val="tx1"/>
            </w14:solidFill>
          </w14:textFill>
        </w:rPr>
        <w:t>1.0.3</w:t>
      </w:r>
      <w:r>
        <w:rPr>
          <w:rFonts w:cs="Times New Roman"/>
          <w:color w:val="000000" w:themeColor="text1"/>
          <w:lang w:val="en-US"/>
          <w14:textFill>
            <w14:solidFill>
              <w14:schemeClr w14:val="tx1"/>
            </w14:solidFill>
          </w14:textFill>
        </w:rPr>
        <w:t>　装配式建筑</w:t>
      </w:r>
      <w:r>
        <w:rPr>
          <w:rFonts w:hint="eastAsia" w:cs="Times New Roman"/>
          <w:color w:val="000000" w:themeColor="text1"/>
          <w:lang w:val="en-US"/>
          <w14:textFill>
            <w14:solidFill>
              <w14:schemeClr w14:val="tx1"/>
            </w14:solidFill>
          </w14:textFill>
        </w:rPr>
        <w:t>低碳性能</w:t>
      </w:r>
      <w:r>
        <w:rPr>
          <w:rFonts w:cs="Times New Roman"/>
          <w:color w:val="000000" w:themeColor="text1"/>
          <w:lang w:val="en-US"/>
          <w14:textFill>
            <w14:solidFill>
              <w14:schemeClr w14:val="tx1"/>
            </w14:solidFill>
          </w14:textFill>
        </w:rPr>
        <w:t>评价除应符合本标准的规定外，尚应符合国家现行有关标准的规定。</w:t>
      </w:r>
    </w:p>
    <w:p w14:paraId="6C6E7E17">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【条文说明】符合国家法律法规和现行有关标准的规定，是参与装配式建筑</w:t>
      </w:r>
      <w:r>
        <w:rPr>
          <w:rFonts w:hint="eastAsia"/>
          <w:i/>
          <w:iCs/>
          <w:color w:val="000000"/>
          <w:sz w:val="22"/>
          <w:lang w:eastAsia="zh-CN"/>
        </w:rPr>
        <w:t>低碳性能</w:t>
      </w:r>
      <w:r>
        <w:rPr>
          <w:rFonts w:hint="eastAsia"/>
          <w:i/>
          <w:iCs/>
          <w:color w:val="000000"/>
          <w:sz w:val="22"/>
        </w:rPr>
        <w:t>评价的前提。本标准重点在于对装配式建筑</w:t>
      </w:r>
      <w:r>
        <w:rPr>
          <w:rFonts w:hint="eastAsia"/>
          <w:i/>
          <w:iCs/>
          <w:color w:val="000000"/>
          <w:sz w:val="22"/>
          <w:lang w:eastAsia="zh-CN"/>
        </w:rPr>
        <w:t>低碳</w:t>
      </w:r>
      <w:r>
        <w:rPr>
          <w:rFonts w:hint="eastAsia"/>
          <w:i/>
          <w:iCs/>
          <w:color w:val="000000"/>
          <w:sz w:val="22"/>
        </w:rPr>
        <w:t>水平进行评价，并未涵盖通常建筑物所应有的全部功能和性能要求，故参与评价的建筑尚应符合国家现行有关标准的规定。</w:t>
      </w:r>
    </w:p>
    <w:p w14:paraId="1C4B1E9E">
      <w:pPr>
        <w:autoSpaceDE/>
        <w:autoSpaceDN/>
        <w:rPr>
          <w:rFonts w:cs="Times New Roman"/>
          <w:color w:val="000000" w:themeColor="text1"/>
          <w:lang w:val="en-US"/>
          <w14:textFill>
            <w14:solidFill>
              <w14:schemeClr w14:val="tx1"/>
            </w14:solidFill>
          </w14:textFill>
        </w:rPr>
      </w:pPr>
      <w:r>
        <w:rPr>
          <w:rFonts w:cs="Times New Roman"/>
          <w:color w:val="000000" w:themeColor="text1"/>
          <w:lang w:val="en-US"/>
          <w14:textFill>
            <w14:solidFill>
              <w14:schemeClr w14:val="tx1"/>
            </w14:solidFill>
          </w14:textFill>
        </w:rPr>
        <w:br w:type="page"/>
      </w:r>
    </w:p>
    <w:p w14:paraId="60598B62">
      <w:pPr>
        <w:autoSpaceDE/>
        <w:autoSpaceDN/>
        <w:rPr>
          <w:rFonts w:cs="Times New Roman"/>
          <w:lang w:val="en-US"/>
        </w:rPr>
      </w:pPr>
    </w:p>
    <w:p w14:paraId="26652A63">
      <w:pPr>
        <w:pStyle w:val="2"/>
        <w:numPr>
          <w:ilvl w:val="0"/>
          <w:numId w:val="0"/>
        </w:numPr>
        <w:autoSpaceDE/>
        <w:autoSpaceDN/>
        <w:spacing w:before="156" w:beforeLines="50" w:after="156" w:afterLines="50" w:line="360" w:lineRule="auto"/>
        <w:ind w:left="425" w:hanging="425"/>
        <w:jc w:val="center"/>
        <w:rPr>
          <w:rFonts w:ascii="Times New Roman" w:hAnsi="Times New Roman" w:eastAsia="宋体" w:cs="Times New Roman"/>
          <w:sz w:val="32"/>
          <w:szCs w:val="32"/>
          <w:lang w:val="en-US"/>
        </w:rPr>
      </w:pPr>
      <w:bookmarkStart w:id="5" w:name="_Toc28200"/>
      <w:bookmarkStart w:id="6" w:name="_Toc12655"/>
      <w:bookmarkStart w:id="7" w:name="_Toc25945"/>
      <w:bookmarkStart w:id="8" w:name="_Toc15630"/>
      <w:r>
        <w:rPr>
          <w:rFonts w:ascii="Times New Roman" w:hAnsi="Times New Roman" w:eastAsia="宋体" w:cs="Times New Roman"/>
          <w:sz w:val="32"/>
          <w:szCs w:val="32"/>
          <w:lang w:val="en-US"/>
        </w:rPr>
        <w:t>2　术　　语</w:t>
      </w:r>
      <w:bookmarkEnd w:id="5"/>
      <w:bookmarkEnd w:id="6"/>
      <w:bookmarkEnd w:id="7"/>
      <w:bookmarkEnd w:id="8"/>
    </w:p>
    <w:p w14:paraId="551C3E99">
      <w:pPr>
        <w:autoSpaceDE/>
        <w:autoSpaceDN/>
        <w:spacing w:line="360" w:lineRule="auto"/>
        <w:rPr>
          <w:rFonts w:cs="Times New Roman"/>
          <w:lang w:val="en-US"/>
        </w:rPr>
      </w:pPr>
      <w:r>
        <w:rPr>
          <w:rFonts w:cs="Times New Roman"/>
          <w:b/>
          <w:bCs/>
          <w:lang w:val="en-US"/>
        </w:rPr>
        <w:t>2.0.1</w:t>
      </w:r>
      <w:r>
        <w:rPr>
          <w:rFonts w:cs="Times New Roman"/>
          <w:lang w:val="en-US"/>
        </w:rPr>
        <w:t>　装配式建筑　　prefabricated building</w:t>
      </w:r>
    </w:p>
    <w:p w14:paraId="66281CEA">
      <w:pPr>
        <w:autoSpaceDE/>
        <w:autoSpaceDN/>
        <w:spacing w:line="360" w:lineRule="auto"/>
        <w:ind w:firstLine="420"/>
        <w:rPr>
          <w:rFonts w:cs="Times New Roman"/>
          <w:lang w:val="en-US"/>
        </w:rPr>
      </w:pPr>
      <w:r>
        <w:rPr>
          <w:rFonts w:cs="Times New Roman"/>
          <w:lang w:val="en-US"/>
        </w:rPr>
        <w:t>由预制部品部件在工地装配而成的建筑。</w:t>
      </w:r>
    </w:p>
    <w:p w14:paraId="27FF3072">
      <w:pPr>
        <w:autoSpaceDE/>
        <w:autoSpaceDN/>
        <w:spacing w:line="360" w:lineRule="auto"/>
        <w:rPr>
          <w:rFonts w:cs="Times New Roman"/>
          <w:color w:val="000000" w:themeColor="text1"/>
          <w:lang w:val="en-US"/>
          <w14:textFill>
            <w14:solidFill>
              <w14:schemeClr w14:val="tx1"/>
            </w14:solidFill>
          </w14:textFill>
        </w:rPr>
      </w:pPr>
      <w:r>
        <w:rPr>
          <w:rFonts w:cs="Times New Roman"/>
          <w:b/>
          <w:bCs/>
          <w:color w:val="000000" w:themeColor="text1"/>
          <w:lang w:val="en-US"/>
          <w14:textFill>
            <w14:solidFill>
              <w14:schemeClr w14:val="tx1"/>
            </w14:solidFill>
          </w14:textFill>
        </w:rPr>
        <w:t>2.0.2</w:t>
      </w:r>
      <w:r>
        <w:rPr>
          <w:rFonts w:cs="Times New Roman"/>
          <w:color w:val="000000" w:themeColor="text1"/>
          <w:lang w:val="en-US"/>
          <w14:textFill>
            <w14:solidFill>
              <w14:schemeClr w14:val="tx1"/>
            </w14:solidFill>
          </w14:textFill>
        </w:rPr>
        <w:t>　</w:t>
      </w:r>
      <w:r>
        <w:rPr>
          <w:rFonts w:hint="eastAsia" w:cs="Times New Roman"/>
          <w:lang w:val="en-US"/>
        </w:rPr>
        <w:t>低碳性能</w:t>
      </w:r>
      <w:r>
        <w:rPr>
          <w:rFonts w:cs="Times New Roman"/>
          <w:lang w:val="en-US"/>
        </w:rPr>
        <w:t>　　</w:t>
      </w:r>
      <w:r>
        <w:rPr>
          <w:rFonts w:hint="eastAsia" w:cs="Times New Roman"/>
          <w:lang w:val="en-US"/>
        </w:rPr>
        <w:t>low-carbon performance</w:t>
      </w:r>
    </w:p>
    <w:p w14:paraId="24F62745">
      <w:pPr>
        <w:autoSpaceDE/>
        <w:autoSpaceDN/>
        <w:spacing w:line="360" w:lineRule="auto"/>
        <w:ind w:firstLine="420"/>
        <w:rPr>
          <w:rFonts w:cs="Times New Roman"/>
          <w:lang w:val="en-US"/>
        </w:rPr>
      </w:pPr>
      <w:r>
        <w:rPr>
          <w:rFonts w:hint="eastAsia" w:cs="Times New Roman"/>
          <w:lang w:val="en-US"/>
        </w:rPr>
        <w:t>在建筑全寿命周期内，贯穿设计、生产、施工、运营、拆除回收等阶段，以较少的能源和物质消耗，实现最大限度降低建筑碳排放的性能</w:t>
      </w:r>
      <w:r>
        <w:rPr>
          <w:rFonts w:cs="Times New Roman"/>
          <w:lang w:val="en-US"/>
        </w:rPr>
        <w:t>。</w:t>
      </w:r>
    </w:p>
    <w:p w14:paraId="601E22DE">
      <w:pPr>
        <w:autoSpaceDE/>
        <w:autoSpaceDN/>
        <w:spacing w:line="360" w:lineRule="auto"/>
        <w:rPr>
          <w:rFonts w:hint="eastAsia" w:cs="Times New Roman"/>
          <w:color w:val="000000" w:themeColor="text1"/>
          <w:lang w:val="en-US" w:eastAsia="zh-CN"/>
          <w14:textFill>
            <w14:solidFill>
              <w14:schemeClr w14:val="tx1"/>
            </w14:solidFill>
          </w14:textFill>
        </w:rPr>
      </w:pPr>
      <w:r>
        <w:rPr>
          <w:rFonts w:cs="Times New Roman"/>
          <w:b/>
          <w:bCs/>
          <w:color w:val="000000" w:themeColor="text1"/>
          <w:lang w:val="en-US"/>
          <w14:textFill>
            <w14:solidFill>
              <w14:schemeClr w14:val="tx1"/>
            </w14:solidFill>
          </w14:textFill>
        </w:rPr>
        <w:t>2.0.</w:t>
      </w:r>
      <w:r>
        <w:rPr>
          <w:rFonts w:hint="eastAsia" w:cs="Times New Roman"/>
          <w:b/>
          <w:bCs/>
          <w:color w:val="000000" w:themeColor="text1"/>
          <w:lang w:val="en-US"/>
          <w14:textFill>
            <w14:solidFill>
              <w14:schemeClr w14:val="tx1"/>
            </w14:solidFill>
          </w14:textFill>
        </w:rPr>
        <w:t>3</w:t>
      </w:r>
      <w:r>
        <w:rPr>
          <w:rFonts w:cs="Times New Roman"/>
          <w:color w:val="000000" w:themeColor="text1"/>
          <w:lang w:val="en-US"/>
          <w14:textFill>
            <w14:solidFill>
              <w14:schemeClr w14:val="tx1"/>
            </w14:solidFill>
          </w14:textFill>
        </w:rPr>
        <w:t>　</w:t>
      </w:r>
      <w:r>
        <w:rPr>
          <w:rFonts w:hint="eastAsia" w:cs="Times New Roman"/>
          <w:color w:val="000000" w:themeColor="text1"/>
          <w:lang w:val="en-US" w:eastAsia="zh-CN"/>
          <w14:textFill>
            <w14:solidFill>
              <w14:schemeClr w14:val="tx1"/>
            </w14:solidFill>
          </w14:textFill>
        </w:rPr>
        <w:t>碳强比 carbon intensity ratio</w:t>
      </w:r>
    </w:p>
    <w:p w14:paraId="051FB75C">
      <w:pPr>
        <w:autoSpaceDE/>
        <w:autoSpaceDN/>
        <w:spacing w:line="360" w:lineRule="auto"/>
        <w:ind w:firstLine="420"/>
        <w:rPr>
          <w:rFonts w:hint="default" w:cs="Times New Roman"/>
          <w:lang w:val="en-US" w:eastAsia="zh-CN"/>
        </w:rPr>
      </w:pPr>
      <w:r>
        <w:rPr>
          <w:rFonts w:hint="default" w:cs="Times New Roman"/>
          <w:lang w:val="en-US" w:eastAsia="zh-CN"/>
        </w:rPr>
        <w:t>结构材料每单位强度产生的碳排放量。</w:t>
      </w:r>
    </w:p>
    <w:p w14:paraId="74B94756">
      <w:pPr>
        <w:autoSpaceDE/>
        <w:autoSpaceDN/>
        <w:spacing w:line="360" w:lineRule="auto"/>
        <w:rPr>
          <w:rFonts w:hint="default" w:cs="Times New Roman"/>
          <w:color w:val="000000" w:themeColor="text1"/>
          <w:lang w:val="en-US" w:eastAsia="zh-CN"/>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 xml:space="preserve">2.0.4 </w:t>
      </w:r>
      <w:r>
        <w:rPr>
          <w:rFonts w:hint="eastAsia" w:cs="Times New Roman"/>
          <w:color w:val="000000" w:themeColor="text1"/>
          <w:lang w:val="en-US" w:eastAsia="zh-CN"/>
          <w14:textFill>
            <w14:solidFill>
              <w14:schemeClr w14:val="tx1"/>
            </w14:solidFill>
          </w14:textFill>
        </w:rPr>
        <w:t xml:space="preserve"> 碳计量 carbon measurement</w:t>
      </w:r>
    </w:p>
    <w:p w14:paraId="62254FFF">
      <w:pPr>
        <w:autoSpaceDE/>
        <w:autoSpaceDN/>
        <w:spacing w:line="360" w:lineRule="auto"/>
        <w:ind w:firstLine="420"/>
        <w:rPr>
          <w:rFonts w:hint="default" w:cs="Times New Roman"/>
          <w:lang w:val="en-US" w:eastAsia="zh-CN"/>
        </w:rPr>
      </w:pPr>
      <w:r>
        <w:rPr>
          <w:rFonts w:hint="eastAsia" w:cs="Times New Roman"/>
          <w:lang w:val="en-US" w:eastAsia="zh-CN"/>
        </w:rPr>
        <w:t>对企业、产品或活动直接或间接产生的CO</w:t>
      </w:r>
      <w:r>
        <w:rPr>
          <w:rFonts w:hint="eastAsia" w:cs="Times New Roman"/>
          <w:vertAlign w:val="subscript"/>
          <w:lang w:val="en-US" w:eastAsia="zh-CN"/>
        </w:rPr>
        <w:t>2</w:t>
      </w:r>
      <w:r>
        <w:rPr>
          <w:rFonts w:hint="eastAsia" w:cs="Times New Roman"/>
          <w:lang w:val="en-US" w:eastAsia="zh-CN"/>
        </w:rPr>
        <w:t>排放量进行量化统计的过程。</w:t>
      </w:r>
    </w:p>
    <w:p w14:paraId="1E11CA12">
      <w:pPr>
        <w:autoSpaceDE/>
        <w:autoSpaceDN/>
        <w:spacing w:line="360" w:lineRule="auto"/>
        <w:rPr>
          <w:rFonts w:hint="default" w:cs="Times New Roman"/>
          <w:color w:val="000000" w:themeColor="text1"/>
          <w:lang w:val="en-US" w:eastAsia="zh-CN"/>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 xml:space="preserve">2.0.5 </w:t>
      </w:r>
      <w:r>
        <w:rPr>
          <w:rFonts w:hint="eastAsia" w:cs="Times New Roman"/>
          <w:color w:val="000000" w:themeColor="text1"/>
          <w:lang w:val="en-US" w:eastAsia="zh-CN"/>
          <w14:textFill>
            <w14:solidFill>
              <w14:schemeClr w14:val="tx1"/>
            </w14:solidFill>
          </w14:textFill>
        </w:rPr>
        <w:t xml:space="preserve"> 集成机房 integrated device</w:t>
      </w:r>
    </w:p>
    <w:p w14:paraId="3A15552D">
      <w:pPr>
        <w:autoSpaceDE/>
        <w:autoSpaceDN/>
        <w:spacing w:line="360" w:lineRule="auto"/>
        <w:ind w:firstLine="420"/>
        <w:rPr>
          <w:rFonts w:hint="eastAsia" w:ascii="Times New Roman" w:hAnsi="Times New Roman" w:cs="Times New Roman"/>
          <w:lang w:val="en-US" w:eastAsia="zh-CN"/>
        </w:rPr>
      </w:pPr>
      <w:r>
        <w:rPr>
          <w:rFonts w:hint="eastAsia" w:ascii="Times New Roman" w:hAnsi="Times New Roman" w:cs="Times New Roman"/>
          <w:lang w:val="en-US" w:eastAsia="zh-CN"/>
        </w:rPr>
        <w:t>将设备（如制冷机、供热机、水泵等）、设备管线采用模块化设计、工厂化预制，并在、现场装配化安装的机房。</w:t>
      </w:r>
    </w:p>
    <w:p w14:paraId="13CFD07D">
      <w:pPr>
        <w:autoSpaceDE/>
        <w:autoSpaceDN/>
        <w:spacing w:line="360" w:lineRule="auto"/>
        <w:rPr>
          <w:rFonts w:hint="default" w:cs="Times New Roman"/>
          <w:b/>
          <w:bCs/>
          <w:color w:val="000000" w:themeColor="text1"/>
          <w:lang w:val="en-US" w:eastAsia="zh-CN"/>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 xml:space="preserve">2.0.6 </w:t>
      </w:r>
      <w:r>
        <w:rPr>
          <w:rFonts w:hint="eastAsia" w:cs="Times New Roman"/>
          <w:b w:val="0"/>
          <w:bCs w:val="0"/>
          <w:color w:val="000000" w:themeColor="text1"/>
          <w:lang w:val="en-US" w:eastAsia="zh-CN"/>
          <w14:textFill>
            <w14:solidFill>
              <w14:schemeClr w14:val="tx1"/>
            </w14:solidFill>
          </w14:textFill>
        </w:rPr>
        <w:t xml:space="preserve"> 集成管线 integrated tube well</w:t>
      </w:r>
    </w:p>
    <w:p w14:paraId="25393C64">
      <w:pPr>
        <w:autoSpaceDE/>
        <w:autoSpaceDN/>
        <w:spacing w:line="360" w:lineRule="auto"/>
        <w:ind w:firstLine="420"/>
        <w:rPr>
          <w:rFonts w:hint="default" w:cs="Times New Roman"/>
          <w:b w:val="0"/>
          <w:bCs w:val="0"/>
          <w:color w:val="000000" w:themeColor="text1"/>
          <w:lang w:val="en-US" w:eastAsia="zh-CN"/>
          <w14:textFill>
            <w14:solidFill>
              <w14:schemeClr w14:val="tx1"/>
            </w14:solidFill>
          </w14:textFill>
        </w:rPr>
      </w:pPr>
      <w:r>
        <w:rPr>
          <w:rFonts w:hint="eastAsia" w:cs="Times New Roman"/>
          <w:b w:val="0"/>
          <w:bCs w:val="0"/>
          <w:color w:val="000000" w:themeColor="text1"/>
          <w:lang w:val="en-US" w:eastAsia="zh-CN"/>
          <w14:textFill>
            <w14:solidFill>
              <w14:schemeClr w14:val="tx1"/>
            </w14:solidFill>
          </w14:textFill>
        </w:rPr>
        <w:t>将管线、连接接头等组件在工厂预制集成，并在现场装配式安装的管线体系。</w:t>
      </w:r>
    </w:p>
    <w:p w14:paraId="229FCFA1">
      <w:pPr>
        <w:pStyle w:val="20"/>
        <w:widowControl/>
        <w:autoSpaceDE/>
        <w:autoSpaceDN/>
        <w:spacing w:beforeAutospacing="0" w:afterAutospacing="0" w:line="360" w:lineRule="auto"/>
        <w:ind w:firstLine="420" w:firstLineChars="0"/>
        <w:jc w:val="both"/>
        <w:rPr>
          <w:rFonts w:hint="eastAsia"/>
          <w:i/>
          <w:iCs/>
          <w:color w:val="000000"/>
          <w:sz w:val="22"/>
        </w:rPr>
      </w:pPr>
    </w:p>
    <w:p w14:paraId="287F38D5">
      <w:pPr>
        <w:autoSpaceDE/>
        <w:autoSpaceDN/>
        <w:spacing w:line="360" w:lineRule="auto"/>
        <w:ind w:firstLine="424" w:firstLineChars="193"/>
        <w:rPr>
          <w:rFonts w:cs="Times New Roman"/>
          <w:color w:val="000000" w:themeColor="text1"/>
          <w:lang w:val="en-US"/>
          <w14:textFill>
            <w14:solidFill>
              <w14:schemeClr w14:val="tx1"/>
            </w14:solidFill>
          </w14:textFill>
        </w:rPr>
      </w:pPr>
      <w:r>
        <w:rPr>
          <w:rFonts w:cs="Times New Roman"/>
          <w:color w:val="000000" w:themeColor="text1"/>
          <w:lang w:val="en-US"/>
          <w14:textFill>
            <w14:solidFill>
              <w14:schemeClr w14:val="tx1"/>
            </w14:solidFill>
          </w14:textFill>
        </w:rPr>
        <w:br w:type="page"/>
      </w:r>
    </w:p>
    <w:p w14:paraId="5DB72750">
      <w:pPr>
        <w:pStyle w:val="2"/>
        <w:numPr>
          <w:ilvl w:val="0"/>
          <w:numId w:val="0"/>
        </w:numPr>
        <w:autoSpaceDE/>
        <w:autoSpaceDN/>
        <w:spacing w:before="156" w:beforeLines="50" w:after="156" w:afterLines="50" w:line="360" w:lineRule="auto"/>
        <w:ind w:left="425" w:hanging="425"/>
        <w:jc w:val="center"/>
        <w:rPr>
          <w:rFonts w:ascii="Times New Roman" w:hAnsi="Times New Roman" w:eastAsia="宋体" w:cs="Times New Roman"/>
          <w:sz w:val="32"/>
          <w:szCs w:val="32"/>
          <w:lang w:val="en-US"/>
        </w:rPr>
      </w:pPr>
      <w:bookmarkStart w:id="9" w:name="_Toc20427"/>
      <w:bookmarkStart w:id="10" w:name="_Toc23600"/>
      <w:bookmarkStart w:id="11" w:name="_Toc27363"/>
      <w:bookmarkStart w:id="12" w:name="_Toc13306"/>
      <w:r>
        <w:rPr>
          <w:rFonts w:ascii="Times New Roman" w:hAnsi="Times New Roman" w:eastAsia="宋体" w:cs="Times New Roman"/>
          <w:sz w:val="32"/>
          <w:szCs w:val="32"/>
          <w:lang w:val="en-US"/>
        </w:rPr>
        <w:t>3　基本规定</w:t>
      </w:r>
      <w:bookmarkEnd w:id="9"/>
      <w:bookmarkEnd w:id="10"/>
      <w:bookmarkEnd w:id="11"/>
      <w:bookmarkEnd w:id="12"/>
    </w:p>
    <w:p w14:paraId="5180AFBD">
      <w:pPr>
        <w:pStyle w:val="3"/>
        <w:numPr>
          <w:ilvl w:val="0"/>
          <w:numId w:val="0"/>
        </w:numPr>
        <w:tabs>
          <w:tab w:val="clear" w:pos="0"/>
        </w:tabs>
        <w:autoSpaceDE/>
        <w:autoSpaceDN/>
        <w:spacing w:before="78" w:beforeLines="25" w:after="78" w:afterLines="25"/>
        <w:ind w:left="567" w:hanging="567"/>
        <w:jc w:val="center"/>
        <w:rPr>
          <w:rFonts w:ascii="Times New Roman" w:hAnsi="Times New Roman" w:cs="Times New Roman"/>
          <w:bCs/>
          <w:sz w:val="28"/>
          <w:szCs w:val="24"/>
          <w:lang w:val="en-US"/>
        </w:rPr>
      </w:pPr>
      <w:bookmarkStart w:id="13" w:name="评价范围和要求"/>
      <w:bookmarkEnd w:id="13"/>
      <w:bookmarkStart w:id="14" w:name="_Toc12524"/>
      <w:bookmarkStart w:id="15" w:name="_Toc9580"/>
      <w:r>
        <w:rPr>
          <w:rFonts w:ascii="Times New Roman" w:hAnsi="Times New Roman" w:eastAsia="宋体" w:cs="Times New Roman"/>
          <w:bCs/>
          <w:sz w:val="28"/>
          <w:szCs w:val="24"/>
          <w:lang w:val="en-US"/>
        </w:rPr>
        <w:t>3.1　</w:t>
      </w:r>
      <w:r>
        <w:rPr>
          <w:rFonts w:ascii="Times New Roman" w:hAnsi="Times New Roman" w:cs="Times New Roman"/>
          <w:bCs/>
          <w:sz w:val="28"/>
          <w:szCs w:val="24"/>
          <w:lang w:val="en-US"/>
        </w:rPr>
        <w:t>评价</w:t>
      </w:r>
      <w:r>
        <w:rPr>
          <w:rFonts w:hint="eastAsia" w:ascii="Times New Roman" w:hAnsi="Times New Roman" w:cs="Times New Roman"/>
          <w:bCs/>
          <w:sz w:val="28"/>
          <w:szCs w:val="24"/>
          <w:lang w:val="en-US"/>
        </w:rPr>
        <w:t>方法</w:t>
      </w:r>
      <w:bookmarkEnd w:id="14"/>
      <w:bookmarkEnd w:id="15"/>
    </w:p>
    <w:p w14:paraId="5C62A283">
      <w:pPr>
        <w:autoSpaceDE/>
        <w:autoSpaceDN/>
        <w:spacing w:line="360" w:lineRule="auto"/>
        <w:rPr>
          <w:rFonts w:cs="Times New Roman"/>
          <w:lang w:val="en-US"/>
        </w:rPr>
      </w:pPr>
      <w:r>
        <w:rPr>
          <w:rFonts w:cs="Times New Roman"/>
          <w:b/>
          <w:bCs/>
          <w:lang w:val="en-US"/>
        </w:rPr>
        <w:t>3.1.1</w:t>
      </w:r>
      <w:r>
        <w:rPr>
          <w:rFonts w:cs="Times New Roman"/>
          <w:lang w:val="en-US"/>
        </w:rPr>
        <w:t>　装配式建筑</w:t>
      </w:r>
      <w:r>
        <w:rPr>
          <w:rFonts w:hint="eastAsia" w:cs="Times New Roman"/>
          <w:lang w:val="en-US"/>
        </w:rPr>
        <w:t>低碳性能</w:t>
      </w:r>
      <w:r>
        <w:rPr>
          <w:rFonts w:cs="Times New Roman"/>
          <w:lang w:val="en-US"/>
        </w:rPr>
        <w:t>评价应以单栋建筑或建筑群作为评价单元。</w:t>
      </w:r>
    </w:p>
    <w:p w14:paraId="347DCE84">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【条文说明】建筑单体和建筑群均可以参评装配式建筑</w:t>
      </w:r>
      <w:r>
        <w:rPr>
          <w:rFonts w:hint="eastAsia"/>
          <w:i/>
          <w:iCs/>
          <w:color w:val="000000"/>
          <w:sz w:val="22"/>
          <w:lang w:eastAsia="zh-CN"/>
        </w:rPr>
        <w:t>低碳性能</w:t>
      </w:r>
      <w:r>
        <w:rPr>
          <w:rFonts w:hint="eastAsia"/>
          <w:i/>
          <w:iCs/>
          <w:color w:val="000000"/>
          <w:sz w:val="22"/>
        </w:rPr>
        <w:t>评价，临时建筑不得参评。单栋建筑应为完整的建筑，不得从中剔除部分区域。</w:t>
      </w:r>
    </w:p>
    <w:p w14:paraId="1E2E029F">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建筑群是指位置毗邻、功能相同、权属相同、技术体系相同（相近）的两个及以上单体建筑组成的群体。常见的建筑群有住宅建筑群、办公建筑群。当对建筑群进行评价时，可先用本标准评分项和加分项对各单体建筑进行评价，得到各单体建筑的总得分，再按各单体建筑的建筑面积进行加权计算得到建筑群的总得分，最后按建筑群的总得分确定建筑群的</w:t>
      </w:r>
      <w:r>
        <w:rPr>
          <w:rFonts w:hint="eastAsia"/>
          <w:i/>
          <w:iCs/>
          <w:color w:val="000000"/>
          <w:sz w:val="22"/>
          <w:lang w:eastAsia="zh-CN"/>
        </w:rPr>
        <w:t>低碳性能</w:t>
      </w:r>
      <w:r>
        <w:rPr>
          <w:rFonts w:hint="eastAsia"/>
          <w:i/>
          <w:iCs/>
          <w:color w:val="000000"/>
          <w:sz w:val="22"/>
        </w:rPr>
        <w:t>等级。</w:t>
      </w:r>
    </w:p>
    <w:p w14:paraId="4A5B7AF4">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无论评价对象为单栋建筑还是建筑群，计算系统性、整体性指标时，边界应选取合理、口径一致，一般以城市道路完整围合的最小用地面积为宜。</w:t>
      </w:r>
    </w:p>
    <w:p w14:paraId="5DB862ED">
      <w:pPr>
        <w:autoSpaceDE/>
        <w:autoSpaceDN/>
        <w:spacing w:line="360" w:lineRule="auto"/>
        <w:rPr>
          <w:rFonts w:hint="eastAsia"/>
        </w:rPr>
      </w:pPr>
      <w:r>
        <w:rPr>
          <w:rFonts w:cs="Times New Roman"/>
          <w:b/>
          <w:bCs/>
          <w:lang w:val="en-US"/>
        </w:rPr>
        <w:t>3.1.2　</w:t>
      </w:r>
      <w:r>
        <w:rPr>
          <w:rFonts w:cs="Times New Roman"/>
          <w:lang w:val="en-US"/>
        </w:rPr>
        <w:t>装配式建筑</w:t>
      </w:r>
      <w:r>
        <w:rPr>
          <w:rFonts w:hint="eastAsia" w:cs="Times New Roman"/>
          <w:lang w:val="en-US"/>
        </w:rPr>
        <w:t>低碳性能</w:t>
      </w:r>
      <w:r>
        <w:rPr>
          <w:rFonts w:cs="Times New Roman"/>
          <w:lang w:val="en-US"/>
        </w:rPr>
        <w:t>评价</w:t>
      </w:r>
      <w:r>
        <w:rPr>
          <w:rFonts w:hint="eastAsia"/>
        </w:rPr>
        <w:t>分为“设计阶段评价”和“运行阶段评价”</w:t>
      </w:r>
      <w:r>
        <w:rPr>
          <w:rFonts w:hint="eastAsia"/>
          <w:lang w:eastAsia="zh-CN"/>
        </w:rPr>
        <w:t>，</w:t>
      </w:r>
      <w:r>
        <w:rPr>
          <w:rFonts w:hint="eastAsia"/>
        </w:rPr>
        <w:t>“设计阶段评价”应在施工图完成后进行；“运行阶段评价”应在其投入使用一年后进行。</w:t>
      </w:r>
    </w:p>
    <w:p w14:paraId="484868B7">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jc w:val="both"/>
        <w:textAlignment w:val="auto"/>
        <w:rPr>
          <w:rFonts w:hint="eastAsia"/>
          <w:i/>
          <w:iCs/>
          <w:color w:val="000000"/>
          <w:sz w:val="22"/>
        </w:rPr>
      </w:pPr>
      <w:r>
        <w:rPr>
          <w:rFonts w:hint="eastAsia"/>
          <w:i/>
          <w:iCs/>
          <w:color w:val="000000"/>
          <w:sz w:val="22"/>
        </w:rPr>
        <w:t>【条文说明】装配式建筑</w:t>
      </w:r>
      <w:r>
        <w:rPr>
          <w:rFonts w:hint="eastAsia"/>
          <w:i/>
          <w:iCs/>
          <w:color w:val="000000"/>
          <w:sz w:val="22"/>
          <w:lang w:eastAsia="zh-CN"/>
        </w:rPr>
        <w:t>低碳性能</w:t>
      </w:r>
      <w:r>
        <w:rPr>
          <w:rFonts w:hint="eastAsia"/>
          <w:i/>
          <w:iCs/>
          <w:color w:val="000000"/>
          <w:sz w:val="22"/>
        </w:rPr>
        <w:t>的评价，应在</w:t>
      </w:r>
      <w:r>
        <w:rPr>
          <w:rFonts w:hint="eastAsia"/>
          <w:i/>
          <w:iCs/>
          <w:color w:val="000000"/>
          <w:sz w:val="22"/>
          <w:lang w:eastAsia="zh-CN"/>
        </w:rPr>
        <w:t>建筑投入使用一年</w:t>
      </w:r>
      <w:r>
        <w:rPr>
          <w:rFonts w:hint="eastAsia"/>
          <w:i/>
          <w:iCs/>
          <w:color w:val="000000"/>
          <w:sz w:val="22"/>
        </w:rPr>
        <w:t>后进行</w:t>
      </w:r>
      <w:r>
        <w:rPr>
          <w:rFonts w:hint="eastAsia"/>
          <w:i/>
          <w:iCs/>
          <w:color w:val="000000"/>
          <w:sz w:val="22"/>
          <w:lang w:eastAsia="zh-CN"/>
        </w:rPr>
        <w:t>。</w:t>
      </w:r>
      <w:r>
        <w:rPr>
          <w:rFonts w:hint="eastAsia"/>
          <w:i/>
          <w:iCs/>
          <w:color w:val="000000"/>
          <w:sz w:val="22"/>
        </w:rPr>
        <w:t>在设计工作开展前进行专项策划，在建筑工程施工图设计完成后，进行</w:t>
      </w:r>
      <w:r>
        <w:rPr>
          <w:rFonts w:hint="eastAsia"/>
          <w:i/>
          <w:iCs/>
          <w:color w:val="000000"/>
          <w:sz w:val="22"/>
          <w:lang w:eastAsia="zh-CN"/>
        </w:rPr>
        <w:t>设计阶段评价</w:t>
      </w:r>
      <w:r>
        <w:rPr>
          <w:rFonts w:hint="eastAsia"/>
          <w:i/>
          <w:iCs/>
          <w:color w:val="000000"/>
          <w:sz w:val="22"/>
        </w:rPr>
        <w:t>。</w:t>
      </w:r>
    </w:p>
    <w:p w14:paraId="325D7A7F">
      <w:pPr>
        <w:pStyle w:val="20"/>
        <w:widowControl/>
        <w:autoSpaceDE/>
        <w:autoSpaceDN/>
        <w:spacing w:beforeAutospacing="0" w:afterAutospacing="0" w:line="360" w:lineRule="auto"/>
        <w:rPr>
          <w:sz w:val="22"/>
        </w:rPr>
      </w:pPr>
      <w:bookmarkStart w:id="16" w:name="_Toc15060"/>
      <w:bookmarkStart w:id="17" w:name="_Toc7902"/>
      <w:bookmarkStart w:id="18" w:name="_Toc94165784"/>
      <w:r>
        <w:rPr>
          <w:b/>
          <w:bCs/>
          <w:sz w:val="22"/>
        </w:rPr>
        <w:t>3.</w:t>
      </w:r>
      <w:bookmarkEnd w:id="16"/>
      <w:bookmarkEnd w:id="17"/>
      <w:bookmarkEnd w:id="18"/>
      <w:r>
        <w:rPr>
          <w:rFonts w:hint="eastAsia"/>
          <w:b/>
          <w:bCs/>
          <w:sz w:val="22"/>
        </w:rPr>
        <w:t>1</w:t>
      </w:r>
      <w:r>
        <w:rPr>
          <w:b/>
          <w:bCs/>
          <w:sz w:val="22"/>
        </w:rPr>
        <w:t>.</w:t>
      </w:r>
      <w:r>
        <w:rPr>
          <w:rFonts w:hint="eastAsia"/>
          <w:b/>
          <w:bCs/>
          <w:sz w:val="22"/>
          <w:lang w:val="en-US" w:eastAsia="zh-CN"/>
        </w:rPr>
        <w:t>3</w:t>
      </w:r>
      <w:r>
        <w:rPr>
          <w:sz w:val="22"/>
        </w:rPr>
        <w:t>　装配式建筑</w:t>
      </w:r>
      <w:r>
        <w:rPr>
          <w:rFonts w:hint="eastAsia"/>
          <w:sz w:val="22"/>
        </w:rPr>
        <w:t>低碳性能</w:t>
      </w:r>
      <w:r>
        <w:rPr>
          <w:sz w:val="22"/>
        </w:rPr>
        <w:t>评价指标体系应由</w:t>
      </w:r>
      <w:r>
        <w:rPr>
          <w:rFonts w:hint="eastAsia"/>
          <w:sz w:val="22"/>
        </w:rPr>
        <w:t>低碳设计</w:t>
      </w:r>
      <w:r>
        <w:rPr>
          <w:sz w:val="22"/>
        </w:rPr>
        <w:t>、</w:t>
      </w:r>
      <w:r>
        <w:rPr>
          <w:rFonts w:hint="eastAsia"/>
          <w:sz w:val="22"/>
        </w:rPr>
        <w:t>低碳生产</w:t>
      </w:r>
      <w:r>
        <w:rPr>
          <w:rFonts w:hint="eastAsia"/>
          <w:sz w:val="22"/>
          <w:lang w:eastAsia="zh-CN"/>
        </w:rPr>
        <w:t>与</w:t>
      </w:r>
      <w:r>
        <w:rPr>
          <w:rFonts w:hint="eastAsia"/>
          <w:sz w:val="22"/>
        </w:rPr>
        <w:t>施工</w:t>
      </w:r>
      <w:r>
        <w:rPr>
          <w:sz w:val="22"/>
        </w:rPr>
        <w:t>、</w:t>
      </w:r>
      <w:r>
        <w:rPr>
          <w:rFonts w:hint="eastAsia"/>
          <w:sz w:val="22"/>
        </w:rPr>
        <w:t>低碳运营</w:t>
      </w:r>
      <w:r>
        <w:rPr>
          <w:rFonts w:hint="eastAsia"/>
          <w:sz w:val="22"/>
          <w:lang w:val="en-US" w:eastAsia="zh-CN"/>
        </w:rPr>
        <w:t>3</w:t>
      </w:r>
      <w:r>
        <w:rPr>
          <w:sz w:val="22"/>
        </w:rPr>
        <w:t>类指标组成，每类指标均</w:t>
      </w:r>
      <w:r>
        <w:rPr>
          <w:rFonts w:hint="eastAsia"/>
          <w:sz w:val="22"/>
        </w:rPr>
        <w:t>应</w:t>
      </w:r>
      <w:r>
        <w:rPr>
          <w:sz w:val="22"/>
        </w:rPr>
        <w:t>包括控制项和评分项；评价指标体系还统一设置加分项。</w:t>
      </w:r>
    </w:p>
    <w:p w14:paraId="0ADFD13B">
      <w:pPr>
        <w:pStyle w:val="20"/>
        <w:widowControl/>
        <w:autoSpaceDE/>
        <w:autoSpaceDN/>
        <w:spacing w:beforeAutospacing="0" w:afterAutospacing="0" w:line="360" w:lineRule="auto"/>
        <w:rPr>
          <w:sz w:val="22"/>
        </w:rPr>
      </w:pPr>
      <w:r>
        <w:rPr>
          <w:b/>
          <w:bCs/>
          <w:sz w:val="22"/>
        </w:rPr>
        <w:t>3.</w:t>
      </w:r>
      <w:r>
        <w:rPr>
          <w:rFonts w:hint="eastAsia"/>
          <w:b/>
          <w:bCs/>
          <w:sz w:val="22"/>
        </w:rPr>
        <w:t>1</w:t>
      </w:r>
      <w:r>
        <w:rPr>
          <w:b/>
          <w:bCs/>
          <w:sz w:val="22"/>
        </w:rPr>
        <w:t>.</w:t>
      </w:r>
      <w:r>
        <w:rPr>
          <w:rFonts w:hint="eastAsia"/>
          <w:b/>
          <w:bCs/>
          <w:sz w:val="22"/>
          <w:lang w:val="en-US" w:eastAsia="zh-CN"/>
        </w:rPr>
        <w:t>4</w:t>
      </w:r>
      <w:r>
        <w:rPr>
          <w:sz w:val="22"/>
        </w:rPr>
        <w:t>　控制项的评定结果应为达标或不达标；评分项和加分项的评定结果应为分值。</w:t>
      </w:r>
    </w:p>
    <w:p w14:paraId="6DFFD3B8">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jc w:val="both"/>
        <w:textAlignment w:val="auto"/>
        <w:rPr>
          <w:sz w:val="22"/>
        </w:rPr>
      </w:pPr>
      <w:r>
        <w:rPr>
          <w:rFonts w:hint="eastAsia"/>
          <w:i/>
          <w:iCs/>
          <w:color w:val="000000"/>
          <w:sz w:val="22"/>
        </w:rPr>
        <w:t>【条文说明】控制项为</w:t>
      </w:r>
      <w:r>
        <w:rPr>
          <w:rFonts w:hint="eastAsia"/>
          <w:i/>
          <w:iCs/>
          <w:color w:val="000000"/>
          <w:sz w:val="22"/>
          <w:lang w:eastAsia="zh-CN"/>
        </w:rPr>
        <w:t>低碳性能</w:t>
      </w:r>
      <w:r>
        <w:rPr>
          <w:rFonts w:hint="eastAsia"/>
          <w:i/>
          <w:iCs/>
          <w:color w:val="000000"/>
          <w:sz w:val="22"/>
        </w:rPr>
        <w:t>评价的先决条件，必须满足。评分项的评价，依据评价条文的规定确定得分或不得分，得分时根据需要对具体评分子项确定得分值，或根据具体达标程度确定得分值。加分项的评价，依据评价条文的规定确定得分或不得分</w:t>
      </w:r>
      <w:r>
        <w:rPr>
          <w:rFonts w:hint="eastAsia"/>
          <w:i/>
          <w:iCs/>
          <w:color w:val="000000"/>
          <w:sz w:val="22"/>
          <w:lang w:eastAsia="zh-CN"/>
        </w:rPr>
        <w:t>。</w:t>
      </w:r>
    </w:p>
    <w:p w14:paraId="727C64B7">
      <w:pPr>
        <w:pStyle w:val="20"/>
        <w:widowControl/>
        <w:autoSpaceDE/>
        <w:autoSpaceDN/>
        <w:spacing w:beforeAutospacing="0" w:afterAutospacing="0" w:line="360" w:lineRule="auto"/>
        <w:rPr>
          <w:sz w:val="22"/>
        </w:rPr>
      </w:pPr>
      <w:r>
        <w:rPr>
          <w:b/>
          <w:bCs/>
          <w:sz w:val="22"/>
        </w:rPr>
        <w:t>3.</w:t>
      </w:r>
      <w:r>
        <w:rPr>
          <w:rFonts w:hint="eastAsia"/>
          <w:b/>
          <w:bCs/>
          <w:sz w:val="22"/>
        </w:rPr>
        <w:t>1</w:t>
      </w:r>
      <w:r>
        <w:rPr>
          <w:b/>
          <w:bCs/>
          <w:sz w:val="22"/>
        </w:rPr>
        <w:t>.</w:t>
      </w:r>
      <w:r>
        <w:rPr>
          <w:rFonts w:hint="eastAsia"/>
          <w:b/>
          <w:bCs/>
          <w:sz w:val="22"/>
          <w:lang w:val="en-US" w:eastAsia="zh-CN"/>
        </w:rPr>
        <w:t>5</w:t>
      </w:r>
      <w:r>
        <w:rPr>
          <w:b/>
          <w:bCs/>
          <w:sz w:val="22"/>
        </w:rPr>
        <w:t>　</w:t>
      </w:r>
      <w:r>
        <w:rPr>
          <w:sz w:val="22"/>
        </w:rPr>
        <w:t>装配式建筑</w:t>
      </w:r>
      <w:r>
        <w:rPr>
          <w:rFonts w:hint="eastAsia"/>
          <w:sz w:val="22"/>
        </w:rPr>
        <w:t>低碳性能</w:t>
      </w:r>
      <w:r>
        <w:rPr>
          <w:sz w:val="22"/>
        </w:rPr>
        <w:t>评价的分值设定应符合表</w:t>
      </w:r>
      <w:r>
        <w:rPr>
          <w:rFonts w:hint="eastAsia"/>
          <w:sz w:val="22"/>
        </w:rPr>
        <w:t>3.1.6</w:t>
      </w:r>
      <w:r>
        <w:rPr>
          <w:sz w:val="22"/>
        </w:rPr>
        <w:t>的规定。</w:t>
      </w:r>
    </w:p>
    <w:p w14:paraId="06B02F54">
      <w:pPr>
        <w:pStyle w:val="20"/>
        <w:widowControl/>
        <w:autoSpaceDE/>
        <w:autoSpaceDN/>
        <w:spacing w:before="78" w:beforeLines="25" w:beforeAutospacing="0" w:after="78" w:afterLines="25" w:afterAutospacing="0" w:line="360" w:lineRule="auto"/>
        <w:jc w:val="center"/>
        <w:rPr>
          <w:b/>
          <w:sz w:val="20"/>
          <w:szCs w:val="20"/>
        </w:rPr>
      </w:pPr>
      <w:r>
        <w:rPr>
          <w:b/>
          <w:sz w:val="20"/>
          <w:szCs w:val="20"/>
        </w:rPr>
        <w:t>表3.</w:t>
      </w:r>
      <w:r>
        <w:rPr>
          <w:rFonts w:hint="eastAsia"/>
          <w:b/>
          <w:sz w:val="20"/>
          <w:szCs w:val="20"/>
        </w:rPr>
        <w:t>1</w:t>
      </w:r>
      <w:r>
        <w:rPr>
          <w:b/>
          <w:sz w:val="20"/>
          <w:szCs w:val="20"/>
        </w:rPr>
        <w:t>.</w:t>
      </w:r>
      <w:r>
        <w:rPr>
          <w:rFonts w:hint="eastAsia"/>
          <w:b/>
          <w:sz w:val="20"/>
          <w:szCs w:val="20"/>
          <w:lang w:val="en-US" w:eastAsia="zh-CN"/>
        </w:rPr>
        <w:t>5</w:t>
      </w:r>
      <w:r>
        <w:rPr>
          <w:b/>
          <w:sz w:val="20"/>
          <w:szCs w:val="20"/>
        </w:rPr>
        <w:t>　装配式建筑</w:t>
      </w:r>
      <w:r>
        <w:rPr>
          <w:rFonts w:hint="eastAsia"/>
          <w:b/>
          <w:sz w:val="20"/>
          <w:szCs w:val="20"/>
        </w:rPr>
        <w:t>低碳性能</w:t>
      </w:r>
      <w:r>
        <w:rPr>
          <w:b/>
          <w:sz w:val="20"/>
          <w:szCs w:val="20"/>
        </w:rPr>
        <w:t>评价分值</w:t>
      </w:r>
    </w:p>
    <w:tbl>
      <w:tblPr>
        <w:tblStyle w:val="2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0"/>
        <w:gridCol w:w="2060"/>
        <w:gridCol w:w="1709"/>
        <w:gridCol w:w="1733"/>
        <w:gridCol w:w="2408"/>
      </w:tblGrid>
      <w:tr w14:paraId="4C64E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29" w:type="pct"/>
            <w:vMerge w:val="restart"/>
            <w:vAlign w:val="center"/>
          </w:tcPr>
          <w:p w14:paraId="3F55952D">
            <w:pPr>
              <w:pStyle w:val="20"/>
              <w:widowControl/>
              <w:autoSpaceDE/>
              <w:autoSpaceDN/>
              <w:spacing w:beforeAutospacing="0" w:afterAutospacing="0"/>
              <w:jc w:val="center"/>
              <w:rPr>
                <w:sz w:val="21"/>
              </w:rPr>
            </w:pPr>
            <w:r>
              <w:rPr>
                <w:sz w:val="21"/>
              </w:rPr>
              <w:t>评价指标</w:t>
            </w:r>
          </w:p>
        </w:tc>
        <w:tc>
          <w:tcPr>
            <w:tcW w:w="2762" w:type="pct"/>
            <w:gridSpan w:val="3"/>
            <w:vAlign w:val="center"/>
          </w:tcPr>
          <w:p w14:paraId="5D2DE38F">
            <w:pPr>
              <w:pStyle w:val="20"/>
              <w:widowControl/>
              <w:autoSpaceDE/>
              <w:autoSpaceDN/>
              <w:spacing w:beforeAutospacing="0" w:afterAutospacing="0"/>
              <w:jc w:val="center"/>
              <w:rPr>
                <w:sz w:val="21"/>
              </w:rPr>
            </w:pPr>
            <w:r>
              <w:rPr>
                <w:sz w:val="21"/>
              </w:rPr>
              <w:t>评分项</w:t>
            </w:r>
          </w:p>
        </w:tc>
        <w:tc>
          <w:tcPr>
            <w:tcW w:w="1208" w:type="pct"/>
            <w:vAlign w:val="center"/>
          </w:tcPr>
          <w:p w14:paraId="50F5868A">
            <w:pPr>
              <w:pStyle w:val="20"/>
              <w:widowControl/>
              <w:autoSpaceDE/>
              <w:autoSpaceDN/>
              <w:spacing w:beforeAutospacing="0" w:afterAutospacing="0"/>
              <w:jc w:val="center"/>
              <w:rPr>
                <w:sz w:val="21"/>
              </w:rPr>
            </w:pPr>
            <w:r>
              <w:rPr>
                <w:sz w:val="21"/>
              </w:rPr>
              <w:t>加分项</w:t>
            </w:r>
          </w:p>
        </w:tc>
      </w:tr>
      <w:tr w14:paraId="0D238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29" w:type="pct"/>
            <w:vMerge w:val="continue"/>
            <w:vAlign w:val="center"/>
          </w:tcPr>
          <w:p w14:paraId="2C977AE2">
            <w:pPr>
              <w:pStyle w:val="20"/>
              <w:widowControl/>
              <w:autoSpaceDE/>
              <w:autoSpaceDN/>
              <w:spacing w:beforeAutospacing="0" w:afterAutospacing="0"/>
              <w:jc w:val="center"/>
              <w:rPr>
                <w:sz w:val="21"/>
              </w:rPr>
            </w:pPr>
          </w:p>
        </w:tc>
        <w:tc>
          <w:tcPr>
            <w:tcW w:w="1034" w:type="pct"/>
            <w:vAlign w:val="center"/>
          </w:tcPr>
          <w:p w14:paraId="74D60D6D">
            <w:pPr>
              <w:pStyle w:val="20"/>
              <w:widowControl/>
              <w:autoSpaceDE/>
              <w:autoSpaceDN/>
              <w:spacing w:beforeAutospacing="0" w:afterAutospacing="0"/>
              <w:jc w:val="center"/>
              <w:rPr>
                <w:sz w:val="21"/>
              </w:rPr>
            </w:pPr>
            <w:r>
              <w:rPr>
                <w:rFonts w:hint="eastAsia"/>
                <w:sz w:val="21"/>
              </w:rPr>
              <w:t>低碳设计</w:t>
            </w:r>
          </w:p>
        </w:tc>
        <w:tc>
          <w:tcPr>
            <w:tcW w:w="858" w:type="pct"/>
            <w:vAlign w:val="center"/>
          </w:tcPr>
          <w:p w14:paraId="49684E37">
            <w:pPr>
              <w:pStyle w:val="20"/>
              <w:widowControl/>
              <w:autoSpaceDE/>
              <w:autoSpaceDN/>
              <w:spacing w:beforeAutospacing="0" w:afterAutospacing="0"/>
              <w:jc w:val="center"/>
              <w:rPr>
                <w:rFonts w:hint="eastAsia" w:eastAsia="宋体"/>
                <w:sz w:val="21"/>
                <w:lang w:eastAsia="zh-CN"/>
              </w:rPr>
            </w:pPr>
            <w:r>
              <w:rPr>
                <w:rFonts w:hint="eastAsia"/>
                <w:sz w:val="21"/>
              </w:rPr>
              <w:t>低碳生产</w:t>
            </w:r>
            <w:r>
              <w:rPr>
                <w:rFonts w:hint="eastAsia"/>
                <w:sz w:val="21"/>
                <w:lang w:eastAsia="zh-CN"/>
              </w:rPr>
              <w:t>与施工</w:t>
            </w:r>
          </w:p>
        </w:tc>
        <w:tc>
          <w:tcPr>
            <w:tcW w:w="869" w:type="pct"/>
            <w:vAlign w:val="center"/>
          </w:tcPr>
          <w:p w14:paraId="554AD66E">
            <w:pPr>
              <w:pStyle w:val="20"/>
              <w:widowControl/>
              <w:autoSpaceDE/>
              <w:autoSpaceDN/>
              <w:spacing w:beforeAutospacing="0" w:afterAutospacing="0"/>
              <w:jc w:val="center"/>
              <w:rPr>
                <w:sz w:val="21"/>
              </w:rPr>
            </w:pPr>
            <w:r>
              <w:rPr>
                <w:rFonts w:hint="eastAsia"/>
                <w:sz w:val="21"/>
              </w:rPr>
              <w:t>低碳运营</w:t>
            </w:r>
          </w:p>
        </w:tc>
        <w:tc>
          <w:tcPr>
            <w:tcW w:w="1208" w:type="pct"/>
            <w:vAlign w:val="center"/>
          </w:tcPr>
          <w:p w14:paraId="3F860D42">
            <w:pPr>
              <w:pStyle w:val="20"/>
              <w:widowControl/>
              <w:autoSpaceDE/>
              <w:autoSpaceDN/>
              <w:spacing w:beforeAutospacing="0" w:afterAutospacing="0"/>
              <w:jc w:val="center"/>
              <w:rPr>
                <w:sz w:val="21"/>
              </w:rPr>
            </w:pPr>
            <w:r>
              <w:rPr>
                <w:sz w:val="21"/>
              </w:rPr>
              <w:t>提高与创新</w:t>
            </w:r>
          </w:p>
        </w:tc>
      </w:tr>
      <w:tr w14:paraId="6EBA9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29" w:type="pct"/>
            <w:vAlign w:val="center"/>
          </w:tcPr>
          <w:p w14:paraId="34A4D9AC">
            <w:pPr>
              <w:pStyle w:val="20"/>
              <w:widowControl/>
              <w:autoSpaceDE/>
              <w:autoSpaceDN/>
              <w:spacing w:beforeAutospacing="0" w:afterAutospacing="0"/>
              <w:jc w:val="center"/>
              <w:rPr>
                <w:sz w:val="21"/>
              </w:rPr>
            </w:pPr>
            <w:r>
              <w:rPr>
                <w:sz w:val="21"/>
              </w:rPr>
              <w:t>满分值</w:t>
            </w:r>
          </w:p>
        </w:tc>
        <w:tc>
          <w:tcPr>
            <w:tcW w:w="1034" w:type="pct"/>
            <w:vAlign w:val="center"/>
          </w:tcPr>
          <w:p w14:paraId="4A6DF4AF">
            <w:pPr>
              <w:pStyle w:val="20"/>
              <w:widowControl/>
              <w:autoSpaceDE/>
              <w:autoSpaceDN/>
              <w:spacing w:beforeAutospacing="0" w:afterAutospacing="0"/>
              <w:jc w:val="center"/>
              <w:rPr>
                <w:rFonts w:hint="default" w:eastAsia="宋体"/>
                <w:sz w:val="21"/>
                <w:lang w:val="en-US" w:eastAsia="zh-CN"/>
              </w:rPr>
            </w:pPr>
            <w:r>
              <w:rPr>
                <w:rFonts w:hint="eastAsia"/>
                <w:sz w:val="21"/>
                <w:lang w:val="en-US" w:eastAsia="zh-CN"/>
              </w:rPr>
              <w:t>200</w:t>
            </w:r>
          </w:p>
        </w:tc>
        <w:tc>
          <w:tcPr>
            <w:tcW w:w="858" w:type="pct"/>
            <w:vAlign w:val="center"/>
          </w:tcPr>
          <w:p w14:paraId="4D91DAAF">
            <w:pPr>
              <w:pStyle w:val="20"/>
              <w:widowControl/>
              <w:autoSpaceDE/>
              <w:autoSpaceDN/>
              <w:spacing w:beforeAutospacing="0" w:afterAutospacing="0"/>
              <w:jc w:val="center"/>
              <w:rPr>
                <w:rFonts w:hint="default" w:eastAsia="宋体"/>
                <w:sz w:val="21"/>
                <w:lang w:val="en-US" w:eastAsia="zh-CN"/>
              </w:rPr>
            </w:pPr>
            <w:r>
              <w:rPr>
                <w:rFonts w:hint="eastAsia"/>
                <w:sz w:val="21"/>
                <w:lang w:val="en-US" w:eastAsia="zh-CN"/>
              </w:rPr>
              <w:t>100</w:t>
            </w:r>
          </w:p>
        </w:tc>
        <w:tc>
          <w:tcPr>
            <w:tcW w:w="869" w:type="pct"/>
            <w:vAlign w:val="center"/>
          </w:tcPr>
          <w:p w14:paraId="4B896AA4">
            <w:pPr>
              <w:pStyle w:val="20"/>
              <w:widowControl/>
              <w:autoSpaceDE/>
              <w:autoSpaceDN/>
              <w:spacing w:beforeAutospacing="0" w:afterAutospacing="0"/>
              <w:jc w:val="center"/>
              <w:rPr>
                <w:rFonts w:hint="default" w:eastAsia="宋体"/>
                <w:sz w:val="21"/>
                <w:lang w:val="en-US" w:eastAsia="zh-CN"/>
              </w:rPr>
            </w:pPr>
            <w:r>
              <w:rPr>
                <w:rFonts w:hint="eastAsia"/>
                <w:sz w:val="21"/>
                <w:lang w:val="en-US" w:eastAsia="zh-CN"/>
              </w:rPr>
              <w:t>100</w:t>
            </w:r>
          </w:p>
        </w:tc>
        <w:tc>
          <w:tcPr>
            <w:tcW w:w="1208" w:type="pct"/>
            <w:vAlign w:val="center"/>
          </w:tcPr>
          <w:p w14:paraId="124F4407">
            <w:pPr>
              <w:pStyle w:val="20"/>
              <w:widowControl/>
              <w:autoSpaceDE/>
              <w:autoSpaceDN/>
              <w:spacing w:beforeAutospacing="0" w:afterAutospacing="0"/>
              <w:jc w:val="center"/>
              <w:rPr>
                <w:sz w:val="21"/>
              </w:rPr>
            </w:pPr>
            <w:r>
              <w:rPr>
                <w:sz w:val="21"/>
              </w:rPr>
              <w:t>10</w:t>
            </w:r>
          </w:p>
        </w:tc>
      </w:tr>
    </w:tbl>
    <w:p w14:paraId="7957F506">
      <w:pPr>
        <w:pStyle w:val="20"/>
        <w:keepNext w:val="0"/>
        <w:keepLines w:val="0"/>
        <w:pageBreakBefore w:val="0"/>
        <w:widowControl/>
        <w:kinsoku/>
        <w:wordWrap/>
        <w:overflowPunct/>
        <w:topLinePunct w:val="0"/>
        <w:autoSpaceDE/>
        <w:autoSpaceDN/>
        <w:bidi w:val="0"/>
        <w:adjustRightInd/>
        <w:snapToGrid w:val="0"/>
        <w:spacing w:beforeAutospacing="0" w:afterAutospacing="0" w:line="240" w:lineRule="auto"/>
        <w:textAlignment w:val="auto"/>
        <w:rPr>
          <w:rFonts w:hint="eastAsia"/>
          <w:b/>
          <w:bCs/>
          <w:sz w:val="21"/>
          <w:szCs w:val="21"/>
          <w:lang w:val="en-US" w:eastAsia="zh-CN"/>
        </w:rPr>
      </w:pPr>
      <w:r>
        <w:rPr>
          <w:rFonts w:hint="eastAsia"/>
          <w:b/>
          <w:bCs/>
          <w:sz w:val="21"/>
          <w:szCs w:val="21"/>
          <w:lang w:val="en-US" w:eastAsia="zh-CN"/>
        </w:rPr>
        <w:t>注：“</w:t>
      </w:r>
      <w:r>
        <w:rPr>
          <w:rFonts w:hint="eastAsia"/>
          <w:b/>
          <w:bCs/>
          <w:sz w:val="20"/>
          <w:szCs w:val="21"/>
        </w:rPr>
        <w:t>低碳生产</w:t>
      </w:r>
      <w:r>
        <w:rPr>
          <w:rFonts w:hint="eastAsia"/>
          <w:b/>
          <w:bCs/>
          <w:sz w:val="20"/>
          <w:szCs w:val="21"/>
          <w:lang w:eastAsia="zh-CN"/>
        </w:rPr>
        <w:t>与施工</w:t>
      </w:r>
      <w:r>
        <w:rPr>
          <w:rFonts w:hint="eastAsia"/>
          <w:b/>
          <w:bCs/>
          <w:sz w:val="21"/>
          <w:szCs w:val="21"/>
          <w:lang w:val="en-US" w:eastAsia="zh-CN"/>
        </w:rPr>
        <w:t>”与“</w:t>
      </w:r>
      <w:r>
        <w:rPr>
          <w:rFonts w:hint="eastAsia"/>
          <w:b/>
          <w:bCs/>
          <w:sz w:val="20"/>
          <w:szCs w:val="21"/>
        </w:rPr>
        <w:t>低碳运营</w:t>
      </w:r>
      <w:r>
        <w:rPr>
          <w:rFonts w:hint="eastAsia"/>
          <w:b/>
          <w:bCs/>
          <w:sz w:val="21"/>
          <w:szCs w:val="21"/>
          <w:lang w:val="en-US" w:eastAsia="zh-CN"/>
        </w:rPr>
        <w:t>”指标不参与设计阶段评价。</w:t>
      </w:r>
    </w:p>
    <w:p w14:paraId="66F3FBB8">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jc w:val="both"/>
        <w:textAlignment w:val="auto"/>
        <w:rPr>
          <w:rFonts w:hint="eastAsia" w:eastAsia="宋体"/>
          <w:i/>
          <w:iCs/>
          <w:color w:val="000000"/>
          <w:sz w:val="22"/>
          <w:lang w:eastAsia="zh-CN"/>
        </w:rPr>
      </w:pPr>
      <w:r>
        <w:rPr>
          <w:rFonts w:hint="eastAsia"/>
          <w:i/>
          <w:iCs/>
          <w:color w:val="000000"/>
          <w:sz w:val="22"/>
        </w:rPr>
        <w:t>【条文说明】本条对各类装配式建筑</w:t>
      </w:r>
      <w:r>
        <w:rPr>
          <w:rFonts w:hint="eastAsia"/>
          <w:i/>
          <w:iCs/>
          <w:color w:val="000000"/>
          <w:sz w:val="22"/>
          <w:lang w:eastAsia="zh-CN"/>
        </w:rPr>
        <w:t>低碳性能</w:t>
      </w:r>
      <w:r>
        <w:rPr>
          <w:rFonts w:hint="eastAsia"/>
          <w:i/>
          <w:iCs/>
          <w:color w:val="000000"/>
          <w:sz w:val="22"/>
        </w:rPr>
        <w:t>评价指标的得分做出了规定。表3.1.</w:t>
      </w:r>
      <w:r>
        <w:rPr>
          <w:rFonts w:hint="eastAsia"/>
          <w:i/>
          <w:iCs/>
          <w:color w:val="000000"/>
          <w:sz w:val="22"/>
          <w:lang w:val="en-US" w:eastAsia="zh-CN"/>
        </w:rPr>
        <w:t>5</w:t>
      </w:r>
      <w:r>
        <w:rPr>
          <w:rFonts w:hint="eastAsia"/>
          <w:i/>
          <w:iCs/>
          <w:color w:val="000000"/>
          <w:sz w:val="22"/>
        </w:rPr>
        <w:t>中给出了评价阶段各类指标的得分。</w:t>
      </w:r>
      <w:r>
        <w:rPr>
          <w:rFonts w:hint="eastAsia"/>
          <w:i/>
          <w:iCs/>
          <w:color w:val="000000"/>
          <w:sz w:val="22"/>
          <w:lang w:eastAsia="zh-CN"/>
        </w:rPr>
        <w:t>因设计阶段评价在建筑工程施工图设计完成后进行，故“低碳生产与施工”与“低碳运营”在该阶段不参评。</w:t>
      </w:r>
    </w:p>
    <w:p w14:paraId="3691F7E0">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b/>
          <w:bCs/>
          <w:sz w:val="22"/>
        </w:rPr>
      </w:pPr>
      <w:r>
        <w:rPr>
          <w:b/>
          <w:bCs/>
          <w:sz w:val="22"/>
        </w:rPr>
        <w:t>3.</w:t>
      </w:r>
      <w:r>
        <w:rPr>
          <w:rFonts w:hint="eastAsia"/>
          <w:b/>
          <w:bCs/>
          <w:sz w:val="22"/>
        </w:rPr>
        <w:t>1</w:t>
      </w:r>
      <w:r>
        <w:rPr>
          <w:b/>
          <w:bCs/>
          <w:sz w:val="22"/>
        </w:rPr>
        <w:t>.</w:t>
      </w:r>
      <w:r>
        <w:rPr>
          <w:rFonts w:hint="eastAsia"/>
          <w:b/>
          <w:bCs/>
          <w:sz w:val="22"/>
          <w:lang w:val="en-US" w:eastAsia="zh-CN"/>
        </w:rPr>
        <w:t>6</w:t>
      </w:r>
      <w:r>
        <w:rPr>
          <w:b/>
          <w:bCs/>
          <w:sz w:val="22"/>
        </w:rPr>
        <w:t>　</w:t>
      </w:r>
      <w:r>
        <w:rPr>
          <w:sz w:val="22"/>
        </w:rPr>
        <w:t>装配式建筑</w:t>
      </w:r>
      <w:r>
        <w:rPr>
          <w:rFonts w:hint="eastAsia"/>
          <w:sz w:val="22"/>
        </w:rPr>
        <w:t>低碳性能</w:t>
      </w:r>
      <w:r>
        <w:rPr>
          <w:sz w:val="22"/>
        </w:rPr>
        <w:t>评价的总得分应按下式计算：</w:t>
      </w:r>
    </w:p>
    <w:p w14:paraId="0E764D98">
      <w:pPr>
        <w:pStyle w:val="20"/>
        <w:widowControl/>
        <w:tabs>
          <w:tab w:val="center" w:pos="4620"/>
          <w:tab w:val="right" w:pos="9746"/>
        </w:tabs>
        <w:autoSpaceDE/>
        <w:autoSpaceDN/>
        <w:spacing w:beforeAutospacing="0" w:afterAutospacing="0" w:line="360" w:lineRule="auto"/>
        <w:ind w:firstLine="420"/>
        <w:jc w:val="both"/>
        <w:rPr>
          <w:sz w:val="22"/>
        </w:rPr>
      </w:pPr>
      <w:r>
        <w:rPr>
          <w:sz w:val="22"/>
        </w:rPr>
        <w:tab/>
      </w:r>
      <w:r>
        <w:rPr>
          <w:sz w:val="22"/>
        </w:rPr>
        <w:t xml:space="preserve"> Q＝(Q</w:t>
      </w:r>
      <w:r>
        <w:rPr>
          <w:sz w:val="22"/>
          <w:vertAlign w:val="subscript"/>
        </w:rPr>
        <w:t>1</w:t>
      </w:r>
      <w:r>
        <w:rPr>
          <w:sz w:val="22"/>
        </w:rPr>
        <w:t>＋Q</w:t>
      </w:r>
      <w:r>
        <w:rPr>
          <w:sz w:val="22"/>
          <w:vertAlign w:val="subscript"/>
        </w:rPr>
        <w:t>2</w:t>
      </w:r>
      <w:r>
        <w:rPr>
          <w:sz w:val="22"/>
        </w:rPr>
        <w:t>＋Q</w:t>
      </w:r>
      <w:r>
        <w:rPr>
          <w:sz w:val="22"/>
          <w:vertAlign w:val="subscript"/>
        </w:rPr>
        <w:t>3</w:t>
      </w:r>
      <w:r>
        <w:rPr>
          <w:sz w:val="22"/>
        </w:rPr>
        <w:t>)/</w:t>
      </w:r>
      <w:r>
        <w:rPr>
          <w:rFonts w:hint="eastAsia"/>
          <w:sz w:val="22"/>
          <w:lang w:val="en-US" w:eastAsia="zh-CN"/>
        </w:rPr>
        <w:t>n</w:t>
      </w:r>
      <w:r>
        <w:rPr>
          <w:sz w:val="22"/>
        </w:rPr>
        <w:t>＋Q</w:t>
      </w:r>
      <w:r>
        <w:rPr>
          <w:sz w:val="22"/>
          <w:vertAlign w:val="subscript"/>
        </w:rPr>
        <w:t>A</w:t>
      </w:r>
      <w:r>
        <w:rPr>
          <w:sz w:val="22"/>
        </w:rPr>
        <w:tab/>
      </w:r>
      <w:r>
        <w:rPr>
          <w:sz w:val="22"/>
        </w:rPr>
        <w:t>(3.</w:t>
      </w:r>
      <w:r>
        <w:rPr>
          <w:rFonts w:hint="eastAsia"/>
          <w:sz w:val="22"/>
        </w:rPr>
        <w:t>1</w:t>
      </w:r>
      <w:r>
        <w:rPr>
          <w:sz w:val="22"/>
        </w:rPr>
        <w:t>.</w:t>
      </w:r>
      <w:r>
        <w:rPr>
          <w:rFonts w:hint="eastAsia"/>
          <w:sz w:val="22"/>
          <w:lang w:val="en-US" w:eastAsia="zh-CN"/>
        </w:rPr>
        <w:t>6</w:t>
      </w:r>
      <w:r>
        <w:rPr>
          <w:sz w:val="22"/>
        </w:rPr>
        <w:t>)</w:t>
      </w:r>
    </w:p>
    <w:p w14:paraId="26CC3682">
      <w:pPr>
        <w:pStyle w:val="20"/>
        <w:widowControl/>
        <w:autoSpaceDE/>
        <w:autoSpaceDN/>
        <w:snapToGrid w:val="0"/>
        <w:spacing w:beforeAutospacing="0" w:afterAutospacing="0" w:line="360" w:lineRule="auto"/>
        <w:rPr>
          <w:sz w:val="22"/>
        </w:rPr>
      </w:pPr>
      <w:r>
        <w:rPr>
          <w:sz w:val="22"/>
        </w:rPr>
        <w:t>式中： Q——总得分；</w:t>
      </w:r>
    </w:p>
    <w:p w14:paraId="186D7FCF">
      <w:pPr>
        <w:pStyle w:val="20"/>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770" w:firstLineChars="350"/>
        <w:textAlignment w:val="auto"/>
        <w:rPr>
          <w:sz w:val="22"/>
        </w:rPr>
      </w:pPr>
      <w:r>
        <w:rPr>
          <w:sz w:val="22"/>
        </w:rPr>
        <w:t>Q</w:t>
      </w:r>
      <w:r>
        <w:rPr>
          <w:sz w:val="22"/>
          <w:vertAlign w:val="subscript"/>
        </w:rPr>
        <w:t>1</w:t>
      </w:r>
      <w:r>
        <w:rPr>
          <w:sz w:val="22"/>
        </w:rPr>
        <w:t>～Q</w:t>
      </w:r>
      <w:r>
        <w:rPr>
          <w:rFonts w:hint="eastAsia"/>
          <w:sz w:val="22"/>
          <w:vertAlign w:val="subscript"/>
          <w:lang w:val="en-US" w:eastAsia="zh-CN"/>
        </w:rPr>
        <w:t>3</w:t>
      </w:r>
      <w:r>
        <w:rPr>
          <w:sz w:val="22"/>
        </w:rPr>
        <w:t>——分别为评价指标体系</w:t>
      </w:r>
      <w:r>
        <w:rPr>
          <w:rFonts w:hint="eastAsia"/>
          <w:sz w:val="22"/>
          <w:lang w:val="en-US" w:eastAsia="zh-CN"/>
        </w:rPr>
        <w:t>3</w:t>
      </w:r>
      <w:r>
        <w:rPr>
          <w:sz w:val="22"/>
        </w:rPr>
        <w:t>类指标（</w:t>
      </w:r>
      <w:r>
        <w:rPr>
          <w:rFonts w:hint="eastAsia"/>
          <w:sz w:val="22"/>
        </w:rPr>
        <w:t>低碳设计、低碳生</w:t>
      </w:r>
      <w:r>
        <w:rPr>
          <w:rFonts w:hint="eastAsia"/>
          <w:sz w:val="22"/>
          <w:lang w:eastAsia="zh-CN"/>
        </w:rPr>
        <w:t>与</w:t>
      </w:r>
      <w:r>
        <w:rPr>
          <w:rFonts w:hint="eastAsia"/>
          <w:sz w:val="22"/>
        </w:rPr>
        <w:t>施工、低碳运营</w:t>
      </w:r>
      <w:r>
        <w:rPr>
          <w:sz w:val="22"/>
        </w:rPr>
        <w:t>）评分项得分；</w:t>
      </w:r>
    </w:p>
    <w:p w14:paraId="5703B8F3">
      <w:pPr>
        <w:pStyle w:val="20"/>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770" w:firstLineChars="350"/>
        <w:textAlignment w:val="auto"/>
        <w:rPr>
          <w:sz w:val="22"/>
        </w:rPr>
      </w:pPr>
      <w:r>
        <w:rPr>
          <w:sz w:val="22"/>
        </w:rPr>
        <w:t>Q</w:t>
      </w:r>
      <w:r>
        <w:rPr>
          <w:sz w:val="22"/>
          <w:vertAlign w:val="subscript"/>
        </w:rPr>
        <w:t>A</w:t>
      </w:r>
      <w:r>
        <w:rPr>
          <w:sz w:val="22"/>
        </w:rPr>
        <w:t>——提高与创新加分项得分</w:t>
      </w:r>
      <w:r>
        <w:rPr>
          <w:rFonts w:hint="eastAsia"/>
          <w:sz w:val="22"/>
        </w:rPr>
        <w:t>，当加分项得分大于10分时，应取为10分</w:t>
      </w:r>
      <w:r>
        <w:rPr>
          <w:sz w:val="22"/>
        </w:rPr>
        <w:t>。</w:t>
      </w:r>
    </w:p>
    <w:p w14:paraId="1F9D0DA3">
      <w:pPr>
        <w:pStyle w:val="20"/>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770" w:firstLineChars="350"/>
        <w:textAlignment w:val="auto"/>
        <w:rPr>
          <w:rFonts w:hint="eastAsia"/>
          <w:lang w:val="en-US" w:eastAsia="zh-CN"/>
        </w:rPr>
      </w:pPr>
      <w:r>
        <w:rPr>
          <w:rFonts w:hint="eastAsia"/>
          <w:sz w:val="22"/>
          <w:lang w:val="en-US" w:eastAsia="zh-CN"/>
        </w:rPr>
        <w:t>n</w:t>
      </w:r>
      <w:r>
        <w:rPr>
          <w:sz w:val="22"/>
        </w:rPr>
        <w:t>——</w:t>
      </w:r>
      <w:r>
        <w:rPr>
          <w:rFonts w:hint="eastAsia"/>
        </w:rPr>
        <w:t>“设计阶段评价”</w:t>
      </w:r>
      <w:r>
        <w:rPr>
          <w:rFonts w:hint="eastAsia"/>
          <w:lang w:val="en-US" w:eastAsia="zh-CN"/>
        </w:rPr>
        <w:t>时，取2；</w:t>
      </w:r>
      <w:r>
        <w:rPr>
          <w:rFonts w:hint="eastAsia"/>
        </w:rPr>
        <w:t>“运行阶段评价”</w:t>
      </w:r>
      <w:r>
        <w:rPr>
          <w:rFonts w:hint="eastAsia"/>
          <w:lang w:val="en-US" w:eastAsia="zh-CN"/>
        </w:rPr>
        <w:t>时，取4。</w:t>
      </w:r>
    </w:p>
    <w:p w14:paraId="66706A89">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jc w:val="both"/>
        <w:textAlignment w:val="auto"/>
        <w:rPr>
          <w:rFonts w:hint="eastAsia"/>
          <w:i/>
          <w:iCs/>
          <w:color w:val="000000"/>
          <w:sz w:val="22"/>
        </w:rPr>
      </w:pPr>
      <w:r>
        <w:rPr>
          <w:rFonts w:hint="eastAsia"/>
          <w:i/>
          <w:iCs/>
          <w:color w:val="000000"/>
          <w:sz w:val="22"/>
        </w:rPr>
        <w:t>【条文说明】本条对装配式建筑</w:t>
      </w:r>
      <w:r>
        <w:rPr>
          <w:rFonts w:hint="eastAsia"/>
          <w:i/>
          <w:iCs/>
          <w:color w:val="000000"/>
          <w:sz w:val="22"/>
          <w:lang w:eastAsia="zh-CN"/>
        </w:rPr>
        <w:t>低碳性能</w:t>
      </w:r>
      <w:r>
        <w:rPr>
          <w:rFonts w:hint="eastAsia"/>
          <w:i/>
          <w:iCs/>
          <w:color w:val="000000"/>
          <w:sz w:val="22"/>
        </w:rPr>
        <w:t>的总分数计算方法作出了规定。参评项目的总分数由各类评价指标的评分项总得分和加分项总得分组成</w:t>
      </w:r>
      <w:r>
        <w:rPr>
          <w:rFonts w:hint="eastAsia"/>
          <w:i/>
          <w:iCs/>
          <w:color w:val="000000"/>
          <w:sz w:val="22"/>
          <w:lang w:eastAsia="zh-CN"/>
        </w:rPr>
        <w:t>。</w:t>
      </w:r>
    </w:p>
    <w:p w14:paraId="199B10F3">
      <w:pPr>
        <w:autoSpaceDE/>
        <w:autoSpaceDN/>
        <w:spacing w:line="360" w:lineRule="auto"/>
        <w:rPr>
          <w:rFonts w:cs="Times New Roman"/>
          <w:lang w:val="en-US"/>
        </w:rPr>
      </w:pPr>
      <w:r>
        <w:rPr>
          <w:rFonts w:cs="Times New Roman"/>
          <w:b/>
          <w:bCs/>
          <w:lang w:val="en-US"/>
        </w:rPr>
        <w:t>3.</w:t>
      </w:r>
      <w:r>
        <w:rPr>
          <w:rFonts w:hint="eastAsia" w:cs="Times New Roman"/>
          <w:b/>
          <w:bCs/>
          <w:lang w:val="en-US"/>
        </w:rPr>
        <w:t>1</w:t>
      </w:r>
      <w:r>
        <w:rPr>
          <w:rFonts w:cs="Times New Roman"/>
          <w:b/>
          <w:bCs/>
          <w:lang w:val="en-US"/>
        </w:rPr>
        <w:t>.</w:t>
      </w:r>
      <w:r>
        <w:rPr>
          <w:rFonts w:hint="eastAsia" w:cs="Times New Roman"/>
          <w:b/>
          <w:bCs/>
          <w:lang w:val="en-US" w:eastAsia="zh-CN"/>
        </w:rPr>
        <w:t>7</w:t>
      </w:r>
      <w:r>
        <w:rPr>
          <w:rFonts w:cs="Times New Roman"/>
          <w:lang w:val="en-US"/>
        </w:rPr>
        <w:t>　评价机构应对申请评价方提交的相关文件进行审查，出具评价报告，确定等级。</w:t>
      </w:r>
    </w:p>
    <w:p w14:paraId="3ED8E283">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jc w:val="both"/>
        <w:textAlignment w:val="auto"/>
        <w:rPr>
          <w:rFonts w:hint="eastAsia"/>
          <w:i/>
          <w:iCs/>
          <w:color w:val="000000"/>
          <w:sz w:val="22"/>
        </w:rPr>
      </w:pPr>
      <w:r>
        <w:rPr>
          <w:rFonts w:hint="eastAsia"/>
          <w:i/>
          <w:iCs/>
          <w:color w:val="000000"/>
          <w:sz w:val="22"/>
        </w:rPr>
        <w:t>【条文说明】本条对装配式建筑</w:t>
      </w:r>
      <w:r>
        <w:rPr>
          <w:rFonts w:hint="eastAsia"/>
          <w:i/>
          <w:iCs/>
          <w:color w:val="000000"/>
          <w:sz w:val="22"/>
          <w:lang w:eastAsia="zh-CN"/>
        </w:rPr>
        <w:t>低碳性能</w:t>
      </w:r>
      <w:r>
        <w:rPr>
          <w:rFonts w:hint="eastAsia"/>
          <w:i/>
          <w:iCs/>
          <w:color w:val="000000"/>
          <w:sz w:val="22"/>
        </w:rPr>
        <w:t>评价机构的相关工作提出要求。评价机构依据有关管理制度文件确定，重点审查申请评价方提交的报告、文档、图纸，并在评价报告中确定等级。</w:t>
      </w:r>
    </w:p>
    <w:p w14:paraId="41CCCC88">
      <w:pPr>
        <w:pStyle w:val="3"/>
        <w:numPr>
          <w:ilvl w:val="0"/>
          <w:numId w:val="0"/>
        </w:numPr>
        <w:tabs>
          <w:tab w:val="clear" w:pos="-376"/>
          <w:tab w:val="clear" w:pos="0"/>
        </w:tabs>
        <w:autoSpaceDE/>
        <w:autoSpaceDN/>
        <w:spacing w:before="78" w:beforeLines="25" w:after="78" w:afterLines="25"/>
        <w:ind w:left="567" w:hanging="567"/>
        <w:jc w:val="center"/>
        <w:rPr>
          <w:rFonts w:ascii="Times New Roman" w:hAnsi="Times New Roman" w:cs="Times New Roman"/>
          <w:bCs/>
          <w:sz w:val="28"/>
          <w:szCs w:val="24"/>
          <w:lang w:val="en-US"/>
        </w:rPr>
      </w:pPr>
      <w:bookmarkStart w:id="19" w:name="_Toc21295"/>
      <w:bookmarkStart w:id="20" w:name="_Toc17025"/>
      <w:bookmarkStart w:id="21" w:name="_Toc27079"/>
      <w:bookmarkStart w:id="22" w:name="_Toc1794"/>
      <w:r>
        <w:rPr>
          <w:rFonts w:ascii="Times New Roman" w:hAnsi="Times New Roman" w:eastAsia="宋体" w:cs="Times New Roman"/>
          <w:bCs/>
          <w:sz w:val="28"/>
          <w:szCs w:val="24"/>
          <w:lang w:val="en-US"/>
        </w:rPr>
        <w:t>3.2　</w:t>
      </w:r>
      <w:r>
        <w:rPr>
          <w:rFonts w:ascii="Times New Roman" w:hAnsi="Times New Roman" w:cs="Times New Roman"/>
          <w:bCs/>
          <w:sz w:val="28"/>
          <w:szCs w:val="24"/>
          <w:lang w:val="en-US"/>
        </w:rPr>
        <w:t>等级划分</w:t>
      </w:r>
      <w:bookmarkEnd w:id="19"/>
      <w:bookmarkEnd w:id="20"/>
      <w:bookmarkEnd w:id="21"/>
      <w:bookmarkEnd w:id="22"/>
    </w:p>
    <w:p w14:paraId="49C011CF">
      <w:pPr>
        <w:pStyle w:val="20"/>
        <w:widowControl/>
        <w:autoSpaceDE/>
        <w:autoSpaceDN/>
        <w:spacing w:beforeAutospacing="0" w:afterAutospacing="0" w:line="360" w:lineRule="auto"/>
        <w:rPr>
          <w:sz w:val="22"/>
        </w:rPr>
      </w:pPr>
      <w:r>
        <w:rPr>
          <w:b/>
          <w:bCs/>
          <w:sz w:val="22"/>
        </w:rPr>
        <w:t>3.</w:t>
      </w:r>
      <w:r>
        <w:rPr>
          <w:rFonts w:hint="eastAsia"/>
          <w:b/>
          <w:bCs/>
          <w:sz w:val="22"/>
        </w:rPr>
        <w:t>2</w:t>
      </w:r>
      <w:r>
        <w:rPr>
          <w:b/>
          <w:bCs/>
          <w:sz w:val="22"/>
        </w:rPr>
        <w:t>.1</w:t>
      </w:r>
      <w:r>
        <w:rPr>
          <w:sz w:val="22"/>
        </w:rPr>
        <w:t>　装配式建筑</w:t>
      </w:r>
      <w:r>
        <w:rPr>
          <w:rFonts w:hint="eastAsia"/>
          <w:sz w:val="22"/>
        </w:rPr>
        <w:t>低碳性能</w:t>
      </w:r>
      <w:r>
        <w:rPr>
          <w:sz w:val="22"/>
        </w:rPr>
        <w:t>等级应划分为铜级、银级、金级和铂金级4个等级。</w:t>
      </w:r>
    </w:p>
    <w:p w14:paraId="2864DF61">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jc w:val="both"/>
        <w:textAlignment w:val="auto"/>
        <w:rPr>
          <w:rFonts w:hint="eastAsia"/>
          <w:i/>
          <w:iCs/>
          <w:color w:val="000000"/>
          <w:sz w:val="22"/>
        </w:rPr>
      </w:pPr>
      <w:r>
        <w:rPr>
          <w:rFonts w:hint="eastAsia"/>
          <w:i/>
          <w:iCs/>
          <w:color w:val="000000"/>
          <w:sz w:val="22"/>
        </w:rPr>
        <w:t>【条文说明】</w:t>
      </w:r>
      <w:r>
        <w:rPr>
          <w:rFonts w:hint="eastAsia"/>
          <w:i/>
          <w:iCs/>
          <w:color w:val="000000"/>
          <w:sz w:val="22"/>
          <w:lang w:eastAsia="zh-CN"/>
        </w:rPr>
        <w:t>低碳性能评价</w:t>
      </w:r>
      <w:r>
        <w:rPr>
          <w:rFonts w:hint="eastAsia"/>
          <w:i/>
          <w:iCs/>
          <w:color w:val="000000"/>
          <w:sz w:val="22"/>
        </w:rPr>
        <w:t>作为划分装配式建</w:t>
      </w:r>
      <w:r>
        <w:rPr>
          <w:rFonts w:hint="eastAsia"/>
          <w:i/>
          <w:iCs/>
          <w:color w:val="000000"/>
          <w:sz w:val="22"/>
          <w:lang w:eastAsia="zh-CN"/>
        </w:rPr>
        <w:t>低碳属性优劣层级</w:t>
      </w:r>
      <w:r>
        <w:rPr>
          <w:rFonts w:hint="eastAsia"/>
          <w:i/>
          <w:iCs/>
          <w:color w:val="000000"/>
          <w:sz w:val="22"/>
        </w:rPr>
        <w:t>工具，既要体现其性能评定、技术引领的行业地位，又要兼顾其推广普及的重要作用，故规定装配式建筑</w:t>
      </w:r>
      <w:r>
        <w:rPr>
          <w:rFonts w:hint="eastAsia"/>
          <w:i/>
          <w:iCs/>
          <w:color w:val="000000"/>
          <w:sz w:val="22"/>
          <w:lang w:eastAsia="zh-CN"/>
        </w:rPr>
        <w:t>低碳性能</w:t>
      </w:r>
      <w:r>
        <w:rPr>
          <w:rFonts w:hint="eastAsia"/>
          <w:i/>
          <w:iCs/>
          <w:color w:val="000000"/>
          <w:sz w:val="22"/>
        </w:rPr>
        <w:t>划分为铜级、银级、金级和铂金级4个等级。</w:t>
      </w:r>
    </w:p>
    <w:p w14:paraId="7C06B88B">
      <w:pPr>
        <w:pStyle w:val="20"/>
        <w:widowControl/>
        <w:autoSpaceDE/>
        <w:autoSpaceDN/>
        <w:spacing w:beforeAutospacing="0" w:afterAutospacing="0" w:line="360" w:lineRule="auto"/>
        <w:rPr>
          <w:sz w:val="22"/>
        </w:rPr>
      </w:pPr>
      <w:r>
        <w:rPr>
          <w:b/>
          <w:bCs/>
          <w:sz w:val="22"/>
        </w:rPr>
        <w:t>3.</w:t>
      </w:r>
      <w:r>
        <w:rPr>
          <w:rFonts w:hint="eastAsia"/>
          <w:b/>
          <w:bCs/>
          <w:sz w:val="22"/>
        </w:rPr>
        <w:t>2</w:t>
      </w:r>
      <w:r>
        <w:rPr>
          <w:b/>
          <w:bCs/>
          <w:sz w:val="22"/>
        </w:rPr>
        <w:t>.2</w:t>
      </w:r>
      <w:r>
        <w:rPr>
          <w:sz w:val="22"/>
        </w:rPr>
        <w:t>　铜级、银级、金级和铂金级4个等级均应满足本标准全部控制项的要求，且每类指标的评分项得分不应小于满分值的30％。</w:t>
      </w:r>
    </w:p>
    <w:p w14:paraId="11B121E9">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jc w:val="both"/>
        <w:textAlignment w:val="auto"/>
        <w:rPr>
          <w:rFonts w:hint="eastAsia"/>
          <w:i/>
          <w:iCs/>
          <w:color w:val="000000"/>
          <w:sz w:val="22"/>
        </w:rPr>
      </w:pPr>
      <w:r>
        <w:rPr>
          <w:rFonts w:hint="eastAsia"/>
          <w:i/>
          <w:iCs/>
          <w:color w:val="000000"/>
          <w:sz w:val="22"/>
        </w:rPr>
        <w:t>【条文说明】</w:t>
      </w:r>
      <w:r>
        <w:rPr>
          <w:rFonts w:hint="eastAsia"/>
          <w:i/>
          <w:iCs/>
          <w:color w:val="000000"/>
          <w:sz w:val="22"/>
          <w:lang w:eastAsia="zh-CN"/>
        </w:rPr>
        <w:t>控制项是装配式建筑低碳性能评价的必要条件，不同低碳性能等级的装配式建筑均应满足本标准所有控制项的要求。当进行等级评价时，首先应该满足全部控制项的要求，同时规定了每类评价指标的最低得分要求，即各类指标的评分项得分不应小于其总分值的30%。</w:t>
      </w:r>
    </w:p>
    <w:p w14:paraId="3742250A">
      <w:pPr>
        <w:pStyle w:val="20"/>
        <w:widowControl/>
        <w:autoSpaceDE/>
        <w:autoSpaceDN/>
        <w:spacing w:beforeAutospacing="0" w:afterAutospacing="0" w:line="360" w:lineRule="auto"/>
        <w:jc w:val="both"/>
        <w:rPr>
          <w:sz w:val="22"/>
        </w:rPr>
      </w:pPr>
      <w:r>
        <w:rPr>
          <w:b/>
          <w:bCs/>
          <w:sz w:val="22"/>
        </w:rPr>
        <w:t>3.</w:t>
      </w:r>
      <w:r>
        <w:rPr>
          <w:rFonts w:hint="eastAsia"/>
          <w:b/>
          <w:bCs/>
          <w:sz w:val="22"/>
        </w:rPr>
        <w:t>2</w:t>
      </w:r>
      <w:r>
        <w:rPr>
          <w:b/>
          <w:bCs/>
          <w:sz w:val="22"/>
        </w:rPr>
        <w:t>.3</w:t>
      </w:r>
      <w:r>
        <w:rPr>
          <w:sz w:val="22"/>
        </w:rPr>
        <w:t>　</w:t>
      </w:r>
      <w:r>
        <w:rPr>
          <w:rFonts w:hint="eastAsia"/>
          <w:sz w:val="22"/>
        </w:rPr>
        <w:t>铜级、银级、金级和铂金级4个等级，对应建筑隐碳排放强度分别不应高于630 kg·CO</w:t>
      </w:r>
      <w:r>
        <w:rPr>
          <w:rFonts w:hint="eastAsia"/>
          <w:sz w:val="22"/>
          <w:vertAlign w:val="subscript"/>
        </w:rPr>
        <w:t>2</w:t>
      </w:r>
      <w:r>
        <w:rPr>
          <w:rFonts w:hint="eastAsia"/>
          <w:sz w:val="22"/>
        </w:rPr>
        <w:t>/m²、620 kg·CO</w:t>
      </w:r>
      <w:r>
        <w:rPr>
          <w:rFonts w:hint="eastAsia"/>
          <w:sz w:val="22"/>
          <w:vertAlign w:val="subscript"/>
        </w:rPr>
        <w:t>2</w:t>
      </w:r>
      <w:r>
        <w:rPr>
          <w:rFonts w:hint="eastAsia"/>
          <w:sz w:val="22"/>
        </w:rPr>
        <w:t>/m²、610 kg·CO</w:t>
      </w:r>
      <w:r>
        <w:rPr>
          <w:rFonts w:hint="eastAsia"/>
          <w:sz w:val="22"/>
          <w:vertAlign w:val="subscript"/>
        </w:rPr>
        <w:t>2</w:t>
      </w:r>
      <w:r>
        <w:rPr>
          <w:rFonts w:hint="eastAsia"/>
          <w:sz w:val="22"/>
        </w:rPr>
        <w:t>/m²、600 kg·CO</w:t>
      </w:r>
      <w:r>
        <w:rPr>
          <w:rFonts w:hint="eastAsia"/>
          <w:sz w:val="22"/>
          <w:vertAlign w:val="subscript"/>
        </w:rPr>
        <w:t>2</w:t>
      </w:r>
      <w:r>
        <w:rPr>
          <w:rFonts w:hint="eastAsia"/>
          <w:sz w:val="22"/>
        </w:rPr>
        <w:t>/m²</w:t>
      </w:r>
      <w:r>
        <w:rPr>
          <w:sz w:val="22"/>
        </w:rPr>
        <w:t>。</w:t>
      </w:r>
    </w:p>
    <w:p w14:paraId="7A886BBB">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w:t>
      </w:r>
      <w:r>
        <w:rPr>
          <w:rFonts w:hint="eastAsia"/>
          <w:sz w:val="22"/>
        </w:rPr>
        <w:t>根</w:t>
      </w:r>
      <w:r>
        <w:rPr>
          <w:rFonts w:hint="eastAsia"/>
          <w:i/>
          <w:iCs/>
          <w:color w:val="000000"/>
          <w:sz w:val="22"/>
        </w:rPr>
        <w:t>据《建筑碳排放计算标准》(GB/T51366-2019)中给出的数据测算，我国平均建筑隐含碳排放强度为640 kg·CO</w:t>
      </w:r>
      <w:r>
        <w:rPr>
          <w:rFonts w:hint="eastAsia"/>
          <w:i/>
          <w:iCs/>
          <w:color w:val="000000"/>
          <w:sz w:val="22"/>
          <w:vertAlign w:val="subscript"/>
        </w:rPr>
        <w:t>2</w:t>
      </w:r>
      <w:r>
        <w:rPr>
          <w:rFonts w:hint="eastAsia"/>
          <w:i/>
          <w:iCs/>
          <w:color w:val="000000"/>
          <w:sz w:val="22"/>
        </w:rPr>
        <w:t>/m²。根据经验统计，合理的装配式建筑设计较传统建筑可以降低5%的碳排放量。基于此给出装配式建筑低碳性能评价等级对应的最低建筑隐碳排放强度，从而宏观控制其低碳性能。</w:t>
      </w:r>
    </w:p>
    <w:p w14:paraId="5B8A1DD0">
      <w:pPr>
        <w:pStyle w:val="20"/>
        <w:widowControl/>
        <w:autoSpaceDE/>
        <w:autoSpaceDN/>
        <w:spacing w:beforeAutospacing="0" w:afterAutospacing="0" w:line="360" w:lineRule="auto"/>
        <w:jc w:val="both"/>
        <w:rPr>
          <w:sz w:val="22"/>
        </w:rPr>
      </w:pPr>
      <w:r>
        <w:rPr>
          <w:b/>
          <w:bCs/>
          <w:sz w:val="22"/>
        </w:rPr>
        <w:t>3.</w:t>
      </w:r>
      <w:r>
        <w:rPr>
          <w:rFonts w:hint="eastAsia"/>
          <w:b/>
          <w:bCs/>
          <w:sz w:val="22"/>
        </w:rPr>
        <w:t>2</w:t>
      </w:r>
      <w:r>
        <w:rPr>
          <w:b/>
          <w:bCs/>
          <w:sz w:val="22"/>
        </w:rPr>
        <w:t>.</w:t>
      </w:r>
      <w:r>
        <w:rPr>
          <w:rFonts w:hint="eastAsia"/>
          <w:b/>
          <w:bCs/>
          <w:sz w:val="22"/>
          <w:lang w:val="en-US" w:eastAsia="zh-CN"/>
        </w:rPr>
        <w:t>4</w:t>
      </w:r>
      <w:r>
        <w:rPr>
          <w:sz w:val="22"/>
        </w:rPr>
        <w:t>　当总得分达到60分、70分、80分、90分时，装配式建筑</w:t>
      </w:r>
      <w:r>
        <w:rPr>
          <w:rFonts w:hint="eastAsia"/>
          <w:sz w:val="22"/>
        </w:rPr>
        <w:t>低碳性能</w:t>
      </w:r>
      <w:r>
        <w:rPr>
          <w:sz w:val="22"/>
        </w:rPr>
        <w:t>等级分别为铜级、银级、金级和铂金级。</w:t>
      </w:r>
    </w:p>
    <w:p w14:paraId="20075D9D">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jc w:val="both"/>
        <w:textAlignment w:val="auto"/>
        <w:rPr>
          <w:rFonts w:cs="Times New Roman"/>
          <w:sz w:val="32"/>
          <w:szCs w:val="32"/>
          <w:lang w:val="en-US"/>
        </w:rPr>
      </w:pPr>
      <w:r>
        <w:rPr>
          <w:rFonts w:hint="eastAsia"/>
          <w:i/>
          <w:iCs/>
          <w:color w:val="000000"/>
          <w:sz w:val="22"/>
        </w:rPr>
        <w:t>【条文说明】</w:t>
      </w:r>
      <w:r>
        <w:rPr>
          <w:rFonts w:hint="eastAsia"/>
          <w:i/>
          <w:iCs/>
          <w:color w:val="000000"/>
          <w:sz w:val="22"/>
          <w:lang w:eastAsia="zh-CN"/>
        </w:rPr>
        <w:t>按本标准第3.1.</w:t>
      </w:r>
      <w:r>
        <w:rPr>
          <w:rFonts w:hint="eastAsia"/>
          <w:i/>
          <w:iCs/>
          <w:color w:val="000000"/>
          <w:sz w:val="22"/>
          <w:lang w:val="en-US" w:eastAsia="zh-CN"/>
        </w:rPr>
        <w:t>6</w:t>
      </w:r>
      <w:r>
        <w:rPr>
          <w:rFonts w:hint="eastAsia"/>
          <w:i/>
          <w:iCs/>
          <w:color w:val="000000"/>
          <w:sz w:val="22"/>
          <w:lang w:eastAsia="zh-CN"/>
        </w:rPr>
        <w:t>条计算得到装配式建筑低碳性能总得分，当总得分达到60分、70分、80分、90分，且满足</w:t>
      </w:r>
      <w:r>
        <w:rPr>
          <w:rFonts w:hint="eastAsia"/>
          <w:i/>
          <w:iCs/>
          <w:color w:val="000000"/>
          <w:sz w:val="22"/>
          <w:lang w:val="en-US" w:eastAsia="zh-CN"/>
        </w:rPr>
        <w:t>3.2.3条规定时，</w:t>
      </w:r>
      <w:r>
        <w:rPr>
          <w:rFonts w:hint="eastAsia"/>
          <w:i/>
          <w:iCs/>
          <w:color w:val="000000"/>
          <w:sz w:val="22"/>
          <w:lang w:eastAsia="zh-CN"/>
        </w:rPr>
        <w:t>低碳性能等级分别为铜级、银级、金级和铂金级。</w:t>
      </w:r>
      <w:r>
        <w:rPr>
          <w:rFonts w:cs="Times New Roman"/>
          <w:sz w:val="32"/>
          <w:szCs w:val="32"/>
          <w:lang w:val="en-US"/>
        </w:rPr>
        <w:br w:type="page"/>
      </w:r>
    </w:p>
    <w:p w14:paraId="65209B8A">
      <w:pPr>
        <w:pStyle w:val="2"/>
        <w:numPr>
          <w:ilvl w:val="0"/>
          <w:numId w:val="0"/>
        </w:numPr>
        <w:autoSpaceDE/>
        <w:autoSpaceDN/>
        <w:spacing w:before="156" w:beforeLines="50" w:after="156" w:afterLines="50" w:line="360" w:lineRule="auto"/>
        <w:ind w:left="425" w:hanging="425"/>
        <w:jc w:val="center"/>
        <w:rPr>
          <w:rFonts w:ascii="Times New Roman" w:hAnsi="Times New Roman" w:eastAsia="宋体" w:cs="Times New Roman"/>
          <w:sz w:val="32"/>
          <w:szCs w:val="32"/>
          <w:lang w:val="en-US"/>
        </w:rPr>
      </w:pPr>
      <w:bookmarkStart w:id="23" w:name="_Toc5482"/>
      <w:bookmarkStart w:id="24" w:name="_Toc20218"/>
      <w:bookmarkStart w:id="25" w:name="_Toc9827"/>
      <w:bookmarkStart w:id="26" w:name="_Toc143"/>
      <w:r>
        <w:rPr>
          <w:rFonts w:ascii="Times New Roman" w:hAnsi="Times New Roman" w:eastAsia="宋体" w:cs="Times New Roman"/>
          <w:sz w:val="32"/>
          <w:szCs w:val="32"/>
          <w:lang w:val="en-US"/>
        </w:rPr>
        <w:t>4　</w:t>
      </w:r>
      <w:bookmarkEnd w:id="23"/>
      <w:bookmarkEnd w:id="24"/>
      <w:r>
        <w:rPr>
          <w:rFonts w:hint="eastAsia" w:ascii="Times New Roman" w:hAnsi="Times New Roman" w:eastAsia="宋体" w:cs="Times New Roman"/>
          <w:sz w:val="32"/>
          <w:szCs w:val="32"/>
          <w:lang w:val="en-US"/>
        </w:rPr>
        <w:t>低碳设计</w:t>
      </w:r>
      <w:bookmarkEnd w:id="25"/>
      <w:bookmarkEnd w:id="26"/>
    </w:p>
    <w:p w14:paraId="79961F4E">
      <w:pPr>
        <w:pStyle w:val="3"/>
        <w:numPr>
          <w:ilvl w:val="0"/>
          <w:numId w:val="0"/>
        </w:numPr>
        <w:tabs>
          <w:tab w:val="clear" w:pos="-376"/>
          <w:tab w:val="clear" w:pos="0"/>
        </w:tabs>
        <w:autoSpaceDE/>
        <w:autoSpaceDN/>
        <w:spacing w:before="78" w:beforeLines="25" w:after="78" w:afterLines="25"/>
        <w:ind w:left="567" w:hanging="567"/>
        <w:jc w:val="center"/>
        <w:rPr>
          <w:rFonts w:ascii="Times New Roman" w:hAnsi="Times New Roman" w:cs="Times New Roman"/>
          <w:bCs/>
          <w:sz w:val="28"/>
          <w:szCs w:val="24"/>
          <w:lang w:val="en-US"/>
        </w:rPr>
      </w:pPr>
      <w:bookmarkStart w:id="27" w:name="_Toc7678"/>
      <w:bookmarkStart w:id="28" w:name="_Toc18144"/>
      <w:r>
        <w:rPr>
          <w:rFonts w:ascii="Times New Roman" w:hAnsi="Times New Roman" w:eastAsia="宋体" w:cs="Times New Roman"/>
          <w:bCs/>
          <w:sz w:val="28"/>
          <w:szCs w:val="24"/>
          <w:lang w:val="en-US"/>
        </w:rPr>
        <w:t>4.1　</w:t>
      </w:r>
      <w:bookmarkStart w:id="29" w:name="_Toc9963"/>
      <w:bookmarkStart w:id="30" w:name="_Toc10113"/>
      <w:r>
        <w:rPr>
          <w:rFonts w:ascii="Times New Roman" w:hAnsi="Times New Roman" w:cs="Times New Roman"/>
          <w:bCs/>
          <w:sz w:val="28"/>
          <w:szCs w:val="24"/>
          <w:lang w:val="en-US"/>
        </w:rPr>
        <w:t>控制项</w:t>
      </w:r>
      <w:bookmarkEnd w:id="27"/>
      <w:bookmarkEnd w:id="28"/>
      <w:bookmarkEnd w:id="29"/>
      <w:bookmarkEnd w:id="30"/>
    </w:p>
    <w:p w14:paraId="71C96B21">
      <w:pPr>
        <w:pStyle w:val="20"/>
        <w:widowControl/>
        <w:autoSpaceDE/>
        <w:autoSpaceDN/>
        <w:spacing w:beforeAutospacing="0" w:afterAutospacing="0" w:line="360" w:lineRule="auto"/>
        <w:rPr>
          <w:color w:val="000000"/>
          <w:sz w:val="22"/>
        </w:rPr>
      </w:pPr>
      <w:r>
        <w:rPr>
          <w:b/>
          <w:bCs/>
          <w:color w:val="000000"/>
          <w:sz w:val="22"/>
        </w:rPr>
        <w:t>4.1.1</w:t>
      </w:r>
      <w:r>
        <w:rPr>
          <w:color w:val="000000"/>
          <w:sz w:val="22"/>
        </w:rPr>
        <w:t>　</w:t>
      </w:r>
      <w:r>
        <w:rPr>
          <w:sz w:val="21"/>
          <w:szCs w:val="21"/>
        </w:rPr>
        <w:t>在方案设计阶段应</w:t>
      </w:r>
      <w:r>
        <w:rPr>
          <w:color w:val="000000"/>
          <w:sz w:val="22"/>
        </w:rPr>
        <w:t>进行装配式建筑</w:t>
      </w:r>
      <w:r>
        <w:rPr>
          <w:rFonts w:hint="eastAsia"/>
          <w:color w:val="000000"/>
          <w:sz w:val="22"/>
          <w:lang w:val="en-US" w:eastAsia="zh-CN"/>
        </w:rPr>
        <w:t>低碳</w:t>
      </w:r>
      <w:r>
        <w:rPr>
          <w:color w:val="000000"/>
          <w:sz w:val="22"/>
        </w:rPr>
        <w:t>技术策划，确定建造目标与技术实施方案。</w:t>
      </w:r>
    </w:p>
    <w:p w14:paraId="45450DFE">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装配式建筑是技术复杂程度较深的系统工程，在实施之前，首先要进行技术策划。策划工作应当在建筑设计的前期阶段，结合当地的政策法规、项目位置、项目定位等条件进行。装配式建筑专项技术策划一般包括设计策划、部品部件生产与运输策划、施工安装策划和经济成本策划。</w:t>
      </w:r>
    </w:p>
    <w:p w14:paraId="47D3B81B">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在进行设计策划时，应结合建筑概念方案，以标准化为核心，对建筑平面、结构系统、外围护系统、设备与管线系统、内装系统等的集成设计进行策划，并结合成本估算，选择相应的技术配置。在进行部品部件生产策划时，要根据供应商的技术水平、生产能力和质量管理水平，确定供应商范围；在进行部品部件运输策划时，应根据供应商生产基地与项目用地之间的距离、道路状况、交通管理及场地布置等条件，选择稳定可靠的运输方案。在进行施工安装策划时，应根据建筑概念方案，确定施工组织方案、关键施工技术方案、机具设备的选择方案、质量保障方案等。经济成本策划要确定项目的成本目标，并对装配式建筑实施重要环节的成本优化提出具体指标和控制要求。</w:t>
      </w:r>
    </w:p>
    <w:p w14:paraId="3D9B6CDA">
      <w:pPr>
        <w:pStyle w:val="20"/>
        <w:widowControl/>
        <w:autoSpaceDE/>
        <w:autoSpaceDN/>
        <w:spacing w:beforeAutospacing="0" w:afterAutospacing="0" w:line="360" w:lineRule="auto"/>
        <w:ind w:firstLine="420" w:firstLineChars="0"/>
        <w:jc w:val="both"/>
        <w:rPr>
          <w:i/>
          <w:iCs/>
          <w:color w:val="000000"/>
          <w:sz w:val="22"/>
        </w:rPr>
      </w:pPr>
      <w:r>
        <w:rPr>
          <w:rFonts w:hint="eastAsia"/>
          <w:i/>
          <w:iCs/>
          <w:color w:val="000000"/>
          <w:sz w:val="22"/>
          <w:lang w:val="en-US" w:eastAsia="zh-CN"/>
        </w:rPr>
        <w:t>技术策划工作应由建设单位牵头，组织设计单位、生产单位和施工单位共同编制，或委托具有全过程技术咨询能力的机构进行编制。</w:t>
      </w:r>
    </w:p>
    <w:p w14:paraId="3BFDBF92">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w:t>
      </w:r>
      <w:r>
        <w:rPr>
          <w:rFonts w:hint="eastAsia"/>
          <w:i/>
          <w:iCs/>
          <w:color w:val="000000"/>
          <w:sz w:val="22"/>
          <w:lang w:eastAsia="zh-CN"/>
        </w:rPr>
        <w:t>：设计阶段评价及运行阶段评价</w:t>
      </w:r>
      <w:r>
        <w:rPr>
          <w:rFonts w:hint="eastAsia"/>
          <w:i/>
          <w:iCs/>
          <w:color w:val="000000"/>
          <w:sz w:val="22"/>
        </w:rPr>
        <w:t>查阅</w:t>
      </w:r>
      <w:r>
        <w:rPr>
          <w:rFonts w:hint="eastAsia"/>
          <w:i/>
          <w:iCs/>
          <w:color w:val="000000"/>
          <w:sz w:val="22"/>
          <w:lang w:val="en-US" w:eastAsia="zh-CN"/>
        </w:rPr>
        <w:t>装配式建筑专项技术策划报告等相关证明文件</w:t>
      </w:r>
      <w:r>
        <w:rPr>
          <w:rFonts w:hint="eastAsia"/>
          <w:i/>
          <w:iCs/>
          <w:color w:val="000000"/>
          <w:sz w:val="22"/>
        </w:rPr>
        <w:t>。</w:t>
      </w:r>
    </w:p>
    <w:p w14:paraId="0E35222A">
      <w:pPr>
        <w:pStyle w:val="20"/>
        <w:widowControl/>
        <w:autoSpaceDE/>
        <w:autoSpaceDN/>
        <w:spacing w:beforeAutospacing="0" w:afterAutospacing="0" w:line="360" w:lineRule="auto"/>
        <w:rPr>
          <w:rFonts w:hint="eastAsia"/>
          <w:color w:val="000000"/>
          <w:sz w:val="22"/>
        </w:rPr>
      </w:pPr>
      <w:r>
        <w:rPr>
          <w:b/>
          <w:bCs/>
          <w:color w:val="000000"/>
          <w:sz w:val="22"/>
        </w:rPr>
        <w:t>4.1.</w:t>
      </w:r>
      <w:r>
        <w:rPr>
          <w:rFonts w:hint="eastAsia"/>
          <w:b/>
          <w:bCs/>
          <w:color w:val="000000"/>
          <w:sz w:val="22"/>
          <w:lang w:val="en-US" w:eastAsia="zh-CN"/>
        </w:rPr>
        <w:t>2</w:t>
      </w:r>
      <w:r>
        <w:rPr>
          <w:i/>
          <w:iCs/>
          <w:color w:val="000000"/>
          <w:sz w:val="22"/>
        </w:rPr>
        <w:t>　</w:t>
      </w:r>
      <w:r>
        <w:rPr>
          <w:rFonts w:hint="eastAsia"/>
          <w:color w:val="000000"/>
          <w:sz w:val="22"/>
        </w:rPr>
        <w:t>不得采用国家和地方禁止、限制使用的建筑材料及部品部件。</w:t>
      </w:r>
    </w:p>
    <w:p w14:paraId="63B1DCAB">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w:t>
      </w:r>
      <w:r>
        <w:rPr>
          <w:rFonts w:hint="eastAsia"/>
          <w:i/>
          <w:iCs/>
          <w:color w:val="000000"/>
          <w:sz w:val="22"/>
          <w:lang w:val="en-US" w:eastAsia="zh-CN"/>
        </w:rPr>
        <w:t>在建筑工程实践中，部分建筑材料及其部品部件逐渐显现出诸多弊端与不足，其性能与应用效果已明确表明不再适合作为建筑工程的选用材料。鉴于此，为了确保装配式建筑的可持续发展与高品质实现，严格遵循国家和地方相关主管部门公开颁布的禁止与限制使用清单，对于被列入其中的建筑材料及部品部件，应避免采用。</w:t>
      </w:r>
    </w:p>
    <w:p w14:paraId="1DBDF4BB">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val="en-US" w:eastAsia="zh-CN"/>
        </w:rPr>
        <w:t>各专业设计文件；运行阶段评价</w:t>
      </w:r>
      <w:r>
        <w:rPr>
          <w:rFonts w:hint="eastAsia"/>
          <w:i/>
          <w:iCs/>
          <w:color w:val="000000"/>
          <w:sz w:val="22"/>
        </w:rPr>
        <w:t>查阅</w:t>
      </w:r>
      <w:r>
        <w:rPr>
          <w:rFonts w:hint="eastAsia"/>
          <w:i/>
          <w:iCs/>
          <w:color w:val="000000"/>
          <w:sz w:val="22"/>
          <w:lang w:val="en-US" w:eastAsia="zh-CN"/>
        </w:rPr>
        <w:t>各专业竣工图、材料用量计算书、材料决算清单等相关证明文件</w:t>
      </w:r>
      <w:r>
        <w:rPr>
          <w:rFonts w:hint="eastAsia"/>
          <w:i/>
          <w:iCs/>
          <w:color w:val="000000"/>
          <w:sz w:val="22"/>
        </w:rPr>
        <w:t>。</w:t>
      </w:r>
    </w:p>
    <w:p w14:paraId="7AFF5B81">
      <w:pPr>
        <w:pStyle w:val="20"/>
        <w:widowControl/>
        <w:autoSpaceDE/>
        <w:autoSpaceDN/>
        <w:spacing w:beforeAutospacing="0" w:afterAutospacing="0" w:line="360" w:lineRule="auto"/>
        <w:rPr>
          <w:color w:val="000000"/>
          <w:sz w:val="22"/>
        </w:rPr>
      </w:pPr>
      <w:r>
        <w:rPr>
          <w:b/>
          <w:bCs/>
          <w:color w:val="000000"/>
          <w:sz w:val="22"/>
        </w:rPr>
        <w:t>4.1.</w:t>
      </w:r>
      <w:r>
        <w:rPr>
          <w:rFonts w:hint="eastAsia"/>
          <w:b/>
          <w:bCs/>
          <w:color w:val="000000"/>
          <w:sz w:val="22"/>
          <w:lang w:val="en-US" w:eastAsia="zh-CN"/>
        </w:rPr>
        <w:t>3</w:t>
      </w:r>
      <w:r>
        <w:rPr>
          <w:color w:val="000000"/>
          <w:sz w:val="22"/>
        </w:rPr>
        <w:t>　应采用全装修，并进行土建和装修一体化设计和施工。</w:t>
      </w:r>
    </w:p>
    <w:p w14:paraId="33AE7ED6">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依据现行国家标准《装配式建筑评价标准》GB/T 51129的有关规定，装配式建筑必须全装修。为保证全装修的质量，避免不必要的二次装修，全装修设计、施工及验收应符合国家及行业相关标准的规定。全装修所选用的材料和产品，如瓷砖、卫生器具、板材等，应为质量合格产品，满足相应产品标准的质量要求，并应结合当地的品牌认可和消费习惯，最大程度避免二次装修。</w:t>
      </w:r>
    </w:p>
    <w:p w14:paraId="6B99400B">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lang w:val="en-US" w:eastAsia="zh-CN"/>
        </w:rPr>
        <w:t>土建和装修一体化设计、施工，对节约能源资源有重要作用。土建和装修一体化设计，要求对土建设计和装修设计统一协调，在土建设计时考虑装修设计需求，事先进行孔洞预留和装修面层固定件的预埋，避免在装修时对已有建筑构件打凿、穿孔。这样既可减少设计的反复，又可保证结构的安全，减少材料消耗，并降低装修成本。</w:t>
      </w:r>
    </w:p>
    <w:p w14:paraId="7E0B0D1E">
      <w:pPr>
        <w:pStyle w:val="20"/>
        <w:widowControl/>
        <w:autoSpaceDE/>
        <w:autoSpaceDN/>
        <w:spacing w:beforeAutospacing="0" w:afterAutospacing="0" w:line="360" w:lineRule="auto"/>
        <w:jc w:val="both"/>
        <w:rPr>
          <w:i/>
          <w:iCs/>
          <w:color w:val="000000"/>
          <w:sz w:val="22"/>
        </w:rPr>
      </w:pPr>
      <w:r>
        <w:rPr>
          <w:rFonts w:hint="eastAsia"/>
          <w:i/>
          <w:iCs/>
          <w:color w:val="000000"/>
          <w:sz w:val="22"/>
          <w:lang w:val="en-US" w:eastAsia="zh-CN"/>
        </w:rPr>
        <w:t>在实际工程中，可由建设单位统一组织建筑主体工程和装修施工，也可由建设单位提供菜单式的装修做法由业主选择，统一进行图纸设计、材料购买和施工。在选材和施工时尽可能采取工厂化预先制造的部品部件，减少或避免现场加工，要选择稳定性强、耐久性高、环保和通用的装修装饰材料，实现竣工验收时室内装修一步实施到位，避免二次装修对建筑构件和设施的破坏。</w:t>
      </w:r>
    </w:p>
    <w:p w14:paraId="227B9B5A">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val="en-US" w:eastAsia="zh-CN"/>
        </w:rPr>
        <w:t>土建、装修各专业设计文件；运行阶段评价</w:t>
      </w:r>
      <w:r>
        <w:rPr>
          <w:rFonts w:hint="eastAsia"/>
          <w:i/>
          <w:iCs/>
          <w:color w:val="000000"/>
          <w:sz w:val="22"/>
        </w:rPr>
        <w:t>查阅</w:t>
      </w:r>
      <w:r>
        <w:rPr>
          <w:rFonts w:hint="eastAsia"/>
          <w:i/>
          <w:iCs/>
          <w:color w:val="000000"/>
          <w:sz w:val="22"/>
          <w:lang w:val="en-US" w:eastAsia="zh-CN"/>
        </w:rPr>
        <w:t>土建、装修各专业竣工图、施工过程照片等相关证明文件</w:t>
      </w:r>
      <w:r>
        <w:rPr>
          <w:rFonts w:hint="eastAsia"/>
          <w:i/>
          <w:iCs/>
          <w:color w:val="000000"/>
          <w:sz w:val="22"/>
        </w:rPr>
        <w:t>。</w:t>
      </w:r>
    </w:p>
    <w:p w14:paraId="3626434D">
      <w:pPr>
        <w:autoSpaceDE/>
        <w:autoSpaceDN/>
        <w:spacing w:line="360" w:lineRule="auto"/>
        <w:rPr>
          <w:color w:val="000000" w:themeColor="text1"/>
          <w14:textFill>
            <w14:solidFill>
              <w14:schemeClr w14:val="tx1"/>
            </w14:solidFill>
          </w14:textFill>
        </w:rPr>
      </w:pPr>
      <w:bookmarkStart w:id="31" w:name="_Toc29028"/>
      <w:bookmarkStart w:id="32" w:name="_Toc17916"/>
      <w:r>
        <w:rPr>
          <w:b/>
          <w:bCs/>
          <w:color w:val="000000" w:themeColor="text1"/>
          <w14:textFill>
            <w14:solidFill>
              <w14:schemeClr w14:val="tx1"/>
            </w14:solidFill>
          </w14:textFill>
        </w:rPr>
        <w:t>4.</w:t>
      </w:r>
      <w:r>
        <w:rPr>
          <w:rFonts w:hint="eastAsia"/>
          <w:b/>
          <w:bCs/>
          <w:color w:val="000000" w:themeColor="text1"/>
          <w:lang w:val="en-US" w:eastAsia="zh-CN"/>
          <w14:textFill>
            <w14:solidFill>
              <w14:schemeClr w14:val="tx1"/>
            </w14:solidFill>
          </w14:textFill>
        </w:rPr>
        <w:t>1</w:t>
      </w:r>
      <w:r>
        <w:rPr>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4</w:t>
      </w:r>
      <w:r>
        <w:rPr>
          <w:b/>
          <w:bCs/>
          <w:color w:val="000000" w:themeColor="text1"/>
          <w14:textFill>
            <w14:solidFill>
              <w14:schemeClr w14:val="tx1"/>
            </w14:solidFill>
          </w14:textFill>
        </w:rPr>
        <w:t>　</w:t>
      </w:r>
      <w:r>
        <w:rPr>
          <w:rFonts w:hint="eastAsia"/>
          <w:color w:val="000000" w:themeColor="text1"/>
          <w:lang w:val="en-US" w:eastAsia="zh-CN"/>
          <w14:textFill>
            <w14:solidFill>
              <w14:schemeClr w14:val="tx1"/>
            </w14:solidFill>
          </w14:textFill>
        </w:rPr>
        <w:t>采用碳强比低的结构材料</w:t>
      </w:r>
      <w:r>
        <w:rPr>
          <w:rFonts w:hint="eastAsia"/>
          <w:color w:val="000000" w:themeColor="text1"/>
          <w:lang w:eastAsia="zh-CN"/>
          <w14:textFill>
            <w14:solidFill>
              <w14:schemeClr w14:val="tx1"/>
            </w14:solidFill>
          </w14:textFill>
        </w:rPr>
        <w:t>。</w:t>
      </w:r>
    </w:p>
    <w:p w14:paraId="59D65AED">
      <w:pPr>
        <w:pStyle w:val="20"/>
        <w:widowControl/>
        <w:autoSpaceDE/>
        <w:autoSpaceDN/>
        <w:spacing w:beforeAutospacing="0" w:afterAutospacing="0" w:line="360" w:lineRule="auto"/>
        <w:jc w:val="both"/>
        <w:rPr>
          <w:rFonts w:hint="default"/>
          <w:i/>
          <w:iCs/>
          <w:color w:val="000000"/>
          <w:sz w:val="22"/>
          <w:lang w:val="en-US" w:eastAsia="zh-CN"/>
        </w:rPr>
      </w:pPr>
      <w:r>
        <w:rPr>
          <w:rFonts w:hint="eastAsia"/>
          <w:i/>
          <w:iCs/>
          <w:color w:val="000000"/>
          <w:sz w:val="22"/>
        </w:rPr>
        <w:t>【条文说明】</w:t>
      </w:r>
      <w:r>
        <w:rPr>
          <w:rFonts w:hint="eastAsia"/>
          <w:i/>
          <w:iCs/>
          <w:color w:val="000000"/>
          <w:sz w:val="22"/>
          <w:lang w:val="en-US" w:eastAsia="zh-CN"/>
        </w:rPr>
        <w:t>材料强度既影响材料的用量，有决定材料的碳排放因子。一般来讲，结构材料的强度越高，其用量相比会低，但碳排放因子也会高。由此，很难直接判定强度与碳排放的对应关系。本标准引入碳强比，从而很好的解决了该问题。众所周知：</w:t>
      </w:r>
    </w:p>
    <w:p w14:paraId="6BC4C85E">
      <w:pPr>
        <w:pStyle w:val="20"/>
        <w:keepNext w:val="0"/>
        <w:keepLines w:val="0"/>
        <w:pageBreakBefore w:val="0"/>
        <w:widowControl/>
        <w:tabs>
          <w:tab w:val="center" w:pos="4620"/>
          <w:tab w:val="right" w:pos="9240"/>
        </w:tabs>
        <w:kinsoku/>
        <w:wordWrap/>
        <w:overflowPunct/>
        <w:topLinePunct w:val="0"/>
        <w:autoSpaceDE/>
        <w:autoSpaceDN/>
        <w:bidi w:val="0"/>
        <w:adjustRightInd/>
        <w:snapToGrid/>
        <w:spacing w:beforeAutospacing="0" w:afterAutospacing="0" w:line="360" w:lineRule="auto"/>
        <w:ind w:firstLine="420" w:firstLineChars="0"/>
        <w:jc w:val="both"/>
        <w:textAlignment w:val="auto"/>
        <w:rPr>
          <w:rFonts w:hint="default"/>
          <w:i/>
          <w:iCs/>
          <w:color w:val="000000"/>
          <w:sz w:val="22"/>
          <w:lang w:val="en-US" w:eastAsia="zh-CN"/>
        </w:rPr>
      </w:pPr>
      <w:r>
        <w:rPr>
          <w:rFonts w:hint="default"/>
          <w:i/>
          <w:iCs/>
          <w:color w:val="000000"/>
          <w:sz w:val="22"/>
          <w:lang w:val="en-US" w:eastAsia="zh-CN"/>
        </w:rPr>
        <w:t>构件承载力</w:t>
      </w:r>
      <w:r>
        <w:rPr>
          <w:rFonts w:hint="eastAsia"/>
          <w:i/>
          <w:iCs/>
          <w:color w:val="000000"/>
          <w:sz w:val="22"/>
          <w:lang w:val="en-US" w:eastAsia="zh-CN"/>
        </w:rPr>
        <w:t>：</w:t>
      </w:r>
      <w:r>
        <w:rPr>
          <w:rFonts w:hint="default"/>
          <w:i/>
          <w:iCs/>
          <w:color w:val="000000"/>
          <w:sz w:val="22"/>
          <w:lang w:val="en-US" w:eastAsia="zh-CN"/>
        </w:rPr>
        <w:t xml:space="preserve">    </w:t>
      </w:r>
    </w:p>
    <w:p w14:paraId="577CC856">
      <w:pPr>
        <w:pStyle w:val="20"/>
        <w:keepNext w:val="0"/>
        <w:keepLines w:val="0"/>
        <w:pageBreakBefore w:val="0"/>
        <w:widowControl/>
        <w:tabs>
          <w:tab w:val="center" w:pos="4620"/>
          <w:tab w:val="right" w:pos="9240"/>
        </w:tabs>
        <w:kinsoku/>
        <w:wordWrap/>
        <w:overflowPunct/>
        <w:topLinePunct w:val="0"/>
        <w:autoSpaceDE/>
        <w:autoSpaceDN/>
        <w:bidi w:val="0"/>
        <w:adjustRightInd/>
        <w:snapToGrid/>
        <w:spacing w:beforeAutospacing="0" w:afterAutospacing="0" w:line="360" w:lineRule="auto"/>
        <w:ind w:firstLine="420" w:firstLineChars="0"/>
        <w:jc w:val="both"/>
        <w:textAlignment w:val="auto"/>
        <w:rPr>
          <w:rFonts w:hint="default"/>
          <w:i/>
          <w:iCs/>
          <w:color w:val="000000"/>
          <w:sz w:val="22"/>
          <w:lang w:val="en-US" w:eastAsia="zh-CN"/>
        </w:rPr>
      </w:pPr>
      <w:r>
        <w:rPr>
          <w:rFonts w:hint="eastAsia"/>
          <w:i/>
          <w:iCs/>
          <w:color w:val="000000"/>
          <w:sz w:val="22"/>
          <w:lang w:val="en-US" w:eastAsia="zh-CN"/>
        </w:rPr>
        <w:tab/>
      </w:r>
      <w:r>
        <w:rPr>
          <w:rFonts w:hint="default"/>
          <w:i/>
          <w:iCs/>
          <w:color w:val="000000"/>
          <w:sz w:val="22"/>
          <w:lang w:val="en-US" w:eastAsia="zh-CN"/>
        </w:rPr>
        <w:t>R=A∗f</w:t>
      </w:r>
      <w:r>
        <w:rPr>
          <w:rFonts w:hint="eastAsia"/>
          <w:i/>
          <w:iCs/>
          <w:color w:val="000000"/>
          <w:sz w:val="22"/>
          <w:lang w:val="en-US" w:eastAsia="zh-CN"/>
        </w:rPr>
        <w:tab/>
      </w:r>
      <w:r>
        <w:rPr>
          <w:rFonts w:hint="eastAsia"/>
          <w:i/>
          <w:iCs/>
          <w:color w:val="000000"/>
          <w:sz w:val="22"/>
          <w:lang w:val="en-US" w:eastAsia="zh-CN"/>
        </w:rPr>
        <w:t>（1）</w:t>
      </w:r>
    </w:p>
    <w:p w14:paraId="71D2322B">
      <w:pPr>
        <w:pStyle w:val="20"/>
        <w:widowControl/>
        <w:autoSpaceDE/>
        <w:autoSpaceDN/>
        <w:spacing w:beforeAutospacing="0" w:afterAutospacing="0" w:line="360" w:lineRule="auto"/>
        <w:ind w:firstLine="420" w:firstLineChars="0"/>
        <w:jc w:val="both"/>
        <w:rPr>
          <w:rFonts w:hint="default"/>
          <w:i/>
          <w:iCs/>
          <w:color w:val="000000"/>
          <w:sz w:val="22"/>
          <w:lang w:val="en-US" w:eastAsia="zh-CN"/>
        </w:rPr>
      </w:pPr>
      <w:r>
        <w:rPr>
          <w:rFonts w:hint="default"/>
          <w:i/>
          <w:iCs/>
          <w:color w:val="000000"/>
          <w:sz w:val="22"/>
          <w:lang w:val="en-US" w:eastAsia="zh-CN"/>
        </w:rPr>
        <w:t>构件</w:t>
      </w:r>
      <w:r>
        <w:rPr>
          <w:rFonts w:hint="eastAsia"/>
          <w:i/>
          <w:iCs/>
          <w:color w:val="000000"/>
          <w:sz w:val="22"/>
          <w:lang w:val="en-US" w:eastAsia="zh-CN"/>
        </w:rPr>
        <w:t>材料生产阶段</w:t>
      </w:r>
      <w:r>
        <w:rPr>
          <w:rFonts w:hint="default"/>
          <w:i/>
          <w:iCs/>
          <w:color w:val="000000"/>
          <w:sz w:val="22"/>
          <w:lang w:val="en-US" w:eastAsia="zh-CN"/>
        </w:rPr>
        <w:t>碳排放</w:t>
      </w:r>
      <w:r>
        <w:rPr>
          <w:rFonts w:hint="eastAsia"/>
          <w:i/>
          <w:iCs/>
          <w:color w:val="000000"/>
          <w:sz w:val="22"/>
          <w:lang w:val="en-US" w:eastAsia="zh-CN"/>
        </w:rPr>
        <w:t>：</w:t>
      </w:r>
      <w:r>
        <w:rPr>
          <w:rFonts w:hint="default"/>
          <w:i/>
          <w:iCs/>
          <w:color w:val="000000"/>
          <w:sz w:val="22"/>
          <w:lang w:val="en-US" w:eastAsia="zh-CN"/>
        </w:rPr>
        <w:t xml:space="preserve"> </w:t>
      </w:r>
    </w:p>
    <w:p w14:paraId="78A6F5AB">
      <w:pPr>
        <w:pStyle w:val="20"/>
        <w:keepNext w:val="0"/>
        <w:keepLines w:val="0"/>
        <w:pageBreakBefore w:val="0"/>
        <w:widowControl/>
        <w:tabs>
          <w:tab w:val="center" w:pos="4620"/>
          <w:tab w:val="right" w:pos="9240"/>
        </w:tabs>
        <w:kinsoku/>
        <w:wordWrap/>
        <w:overflowPunct/>
        <w:topLinePunct w:val="0"/>
        <w:autoSpaceDE/>
        <w:autoSpaceDN/>
        <w:bidi w:val="0"/>
        <w:adjustRightInd/>
        <w:snapToGrid/>
        <w:spacing w:beforeAutospacing="0" w:afterAutospacing="0" w:line="360" w:lineRule="auto"/>
        <w:ind w:firstLine="420" w:firstLineChars="0"/>
        <w:jc w:val="both"/>
        <w:textAlignment w:val="auto"/>
        <w:rPr>
          <w:rFonts w:hint="default"/>
          <w:i/>
          <w:iCs/>
          <w:color w:val="000000"/>
          <w:sz w:val="22"/>
          <w:lang w:val="en-US" w:eastAsia="zh-CN"/>
        </w:rPr>
      </w:pPr>
      <w:r>
        <w:rPr>
          <w:rFonts w:hint="eastAsia"/>
          <w:i/>
          <w:iCs/>
          <w:color w:val="000000"/>
          <w:sz w:val="22"/>
          <w:lang w:val="en-US" w:eastAsia="zh-CN"/>
        </w:rPr>
        <w:tab/>
      </w:r>
      <w:r>
        <w:rPr>
          <w:rFonts w:hint="default"/>
          <w:i/>
          <w:iCs/>
          <w:color w:val="000000"/>
          <w:sz w:val="22"/>
          <w:lang w:val="en-US" w:eastAsia="zh-CN"/>
        </w:rPr>
        <w:t>C=M∗F=A∗ρ∗F=R∗ρ∗</w:t>
      </w:r>
      <w:r>
        <w:rPr>
          <w:rFonts w:hint="eastAsia"/>
          <w:i/>
          <w:iCs/>
          <w:color w:val="000000"/>
          <w:sz w:val="22"/>
          <w:lang w:val="en-US" w:eastAsia="zh-CN"/>
        </w:rPr>
        <w:t>（</w:t>
      </w:r>
      <w:r>
        <w:rPr>
          <w:rFonts w:hint="default"/>
          <w:i/>
          <w:iCs/>
          <w:color w:val="000000"/>
          <w:sz w:val="22"/>
          <w:lang w:val="en-US" w:eastAsia="zh-CN"/>
        </w:rPr>
        <w:t>F/f</w:t>
      </w:r>
      <w:r>
        <w:rPr>
          <w:rFonts w:hint="eastAsia"/>
          <w:i/>
          <w:iCs/>
          <w:color w:val="000000"/>
          <w:sz w:val="22"/>
          <w:lang w:val="en-US" w:eastAsia="zh-CN"/>
        </w:rPr>
        <w:t>）</w:t>
      </w:r>
      <w:r>
        <w:rPr>
          <w:rFonts w:hint="default"/>
          <w:i/>
          <w:iCs/>
          <w:color w:val="000000"/>
          <w:sz w:val="22"/>
          <w:lang w:val="en-US" w:eastAsia="zh-CN"/>
        </w:rPr>
        <w:t>=R∗ρ∗μ</w:t>
      </w:r>
      <w:r>
        <w:rPr>
          <w:rFonts w:hint="eastAsia"/>
          <w:i/>
          <w:iCs/>
          <w:color w:val="000000"/>
          <w:sz w:val="22"/>
          <w:lang w:val="en-US" w:eastAsia="zh-CN"/>
        </w:rPr>
        <w:tab/>
      </w:r>
      <w:r>
        <w:rPr>
          <w:rFonts w:hint="eastAsia"/>
          <w:i/>
          <w:iCs/>
          <w:color w:val="000000"/>
          <w:sz w:val="22"/>
          <w:lang w:val="en-US" w:eastAsia="zh-CN"/>
        </w:rPr>
        <w:t>（2）</w:t>
      </w:r>
    </w:p>
    <w:p w14:paraId="18BE4F40">
      <w:pPr>
        <w:pStyle w:val="20"/>
        <w:widowControl/>
        <w:autoSpaceDE/>
        <w:autoSpaceDN/>
        <w:spacing w:beforeAutospacing="0" w:afterAutospacing="0" w:line="360" w:lineRule="auto"/>
        <w:ind w:firstLine="420" w:firstLineChars="0"/>
        <w:jc w:val="both"/>
        <w:rPr>
          <w:rFonts w:hint="default"/>
          <w:i/>
          <w:iCs/>
          <w:color w:val="000000"/>
          <w:sz w:val="22"/>
          <w:lang w:val="en-US" w:eastAsia="zh-CN"/>
        </w:rPr>
      </w:pPr>
      <w:r>
        <w:rPr>
          <w:rFonts w:hint="eastAsia"/>
          <w:i/>
          <w:iCs/>
          <w:color w:val="000000"/>
          <w:sz w:val="22"/>
          <w:lang w:val="en-US" w:eastAsia="zh-CN"/>
        </w:rPr>
        <w:t>式中，A为结构材料的截面面积，</w:t>
      </w:r>
      <w:r>
        <w:rPr>
          <w:rFonts w:hint="default"/>
          <w:i/>
          <w:iCs/>
          <w:color w:val="000000"/>
          <w:sz w:val="22"/>
          <w:lang w:val="en-US" w:eastAsia="zh-CN"/>
        </w:rPr>
        <w:t>f</w:t>
      </w:r>
      <w:r>
        <w:rPr>
          <w:rFonts w:hint="eastAsia"/>
          <w:i/>
          <w:iCs/>
          <w:color w:val="000000"/>
          <w:sz w:val="22"/>
          <w:lang w:val="en-US" w:eastAsia="zh-CN"/>
        </w:rPr>
        <w:t>为材料强度，M为结构材料用量，</w:t>
      </w:r>
      <w:r>
        <w:rPr>
          <w:rFonts w:hint="default"/>
          <w:i/>
          <w:iCs/>
          <w:color w:val="000000"/>
          <w:sz w:val="22"/>
          <w:lang w:val="en-US" w:eastAsia="zh-CN"/>
        </w:rPr>
        <w:t>ρ</w:t>
      </w:r>
      <w:r>
        <w:rPr>
          <w:rFonts w:hint="eastAsia"/>
          <w:i/>
          <w:iCs/>
          <w:color w:val="000000"/>
          <w:sz w:val="22"/>
          <w:lang w:val="en-US" w:eastAsia="zh-CN"/>
        </w:rPr>
        <w:t>为材料的容重，F为材料的碳排放因子，</w:t>
      </w:r>
      <w:r>
        <w:rPr>
          <w:rFonts w:hint="default"/>
          <w:i/>
          <w:iCs/>
          <w:color w:val="000000"/>
          <w:sz w:val="22"/>
          <w:lang w:val="en-US" w:eastAsia="zh-CN"/>
        </w:rPr>
        <w:t>μ</w:t>
      </w:r>
      <w:r>
        <w:rPr>
          <w:rFonts w:hint="eastAsia"/>
          <w:i/>
          <w:iCs/>
          <w:color w:val="000000"/>
          <w:sz w:val="22"/>
          <w:lang w:val="en-US" w:eastAsia="zh-CN"/>
        </w:rPr>
        <w:t>为材料的碳强比。</w:t>
      </w:r>
    </w:p>
    <w:p w14:paraId="298EA8FD">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由上可知，碳排放量C与承载力、材料容重和碳强比成正比。在承载力相同的前提下，对于同类型材料（容重</w:t>
      </w:r>
      <w:r>
        <w:rPr>
          <w:rFonts w:hint="default"/>
          <w:i/>
          <w:iCs/>
          <w:color w:val="000000"/>
          <w:sz w:val="22"/>
          <w:lang w:val="en-US" w:eastAsia="zh-CN"/>
        </w:rPr>
        <w:t>ρ</w:t>
      </w:r>
      <w:r>
        <w:rPr>
          <w:rFonts w:hint="eastAsia"/>
          <w:i/>
          <w:iCs/>
          <w:color w:val="000000"/>
          <w:sz w:val="22"/>
          <w:lang w:val="en-US" w:eastAsia="zh-CN"/>
        </w:rPr>
        <w:t>基本一致），碳排放与碳强比成正比例，即碳强比越低，碳排放量越低。</w:t>
      </w:r>
    </w:p>
    <w:p w14:paraId="0B24101A">
      <w:pPr>
        <w:pStyle w:val="20"/>
        <w:widowControl/>
        <w:autoSpaceDE/>
        <w:autoSpaceDN/>
        <w:spacing w:beforeAutospacing="0" w:afterAutospacing="0" w:line="360" w:lineRule="auto"/>
        <w:ind w:firstLine="420" w:firstLineChars="0"/>
        <w:jc w:val="both"/>
        <w:rPr>
          <w:rFonts w:hint="default"/>
          <w:i/>
          <w:iCs/>
          <w:color w:val="000000"/>
          <w:sz w:val="22"/>
          <w:lang w:val="en-US" w:eastAsia="zh-CN"/>
        </w:rPr>
      </w:pPr>
      <w:r>
        <w:rPr>
          <w:rFonts w:hint="eastAsia"/>
          <w:i/>
          <w:iCs/>
          <w:color w:val="000000"/>
          <w:sz w:val="22"/>
          <w:lang w:val="en-US" w:eastAsia="zh-CN"/>
        </w:rPr>
        <w:t>评价中，重大关注如下：</w:t>
      </w:r>
    </w:p>
    <w:p w14:paraId="775A6515">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1</w:t>
      </w:r>
      <w:r>
        <w:rPr>
          <w:rFonts w:hint="eastAsia"/>
          <w:i/>
          <w:iCs/>
          <w:color w:val="000000"/>
          <w:sz w:val="22"/>
          <w:lang w:eastAsia="zh-CN"/>
        </w:rPr>
        <w:t>）</w:t>
      </w:r>
      <w:r>
        <w:rPr>
          <w:rFonts w:hint="eastAsia"/>
          <w:i/>
          <w:iCs/>
          <w:color w:val="000000"/>
          <w:sz w:val="22"/>
        </w:rPr>
        <w:t>当混凝土梁板柱构件按照</w:t>
      </w:r>
      <w:r>
        <w:rPr>
          <w:rFonts w:hint="eastAsia"/>
          <w:i/>
          <w:iCs/>
          <w:color w:val="000000"/>
          <w:sz w:val="22"/>
          <w:lang w:eastAsia="zh-CN"/>
        </w:rPr>
        <w:t>现行国家标准</w:t>
      </w:r>
      <w:r>
        <w:rPr>
          <w:rFonts w:hint="eastAsia"/>
          <w:i/>
          <w:iCs/>
          <w:color w:val="000000"/>
          <w:sz w:val="22"/>
        </w:rPr>
        <w:t>《混凝土结构设计</w:t>
      </w:r>
      <w:r>
        <w:rPr>
          <w:rFonts w:hint="eastAsia"/>
          <w:i/>
          <w:iCs/>
          <w:color w:val="000000"/>
          <w:sz w:val="22"/>
          <w:lang w:eastAsia="zh-CN"/>
        </w:rPr>
        <w:t>标准</w:t>
      </w:r>
      <w:r>
        <w:rPr>
          <w:rFonts w:hint="eastAsia"/>
          <w:i/>
          <w:iCs/>
          <w:color w:val="000000"/>
          <w:sz w:val="22"/>
        </w:rPr>
        <w:t>》</w:t>
      </w:r>
      <w:r>
        <w:rPr>
          <w:rFonts w:hint="eastAsia"/>
          <w:i/>
          <w:iCs/>
          <w:color w:val="000000"/>
          <w:sz w:val="22"/>
          <w:lang w:val="en-US" w:eastAsia="zh-CN"/>
        </w:rPr>
        <w:t>GB/T 50010</w:t>
      </w:r>
      <w:r>
        <w:rPr>
          <w:rFonts w:hint="eastAsia"/>
          <w:i/>
          <w:iCs/>
          <w:color w:val="000000"/>
          <w:sz w:val="22"/>
        </w:rPr>
        <w:t>的构造要求控制时，梁板构件选用低强度等级混凝土和高强度等级钢筋；混凝土柱选用高强度等级混凝土，纵筋选用低强度等级钢筋且箍筋选用高强度等级钢筋；</w:t>
      </w:r>
    </w:p>
    <w:p w14:paraId="2A9BE059">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2</w:t>
      </w:r>
      <w:r>
        <w:rPr>
          <w:rFonts w:hint="eastAsia"/>
          <w:i/>
          <w:iCs/>
          <w:color w:val="000000"/>
          <w:sz w:val="22"/>
          <w:lang w:eastAsia="zh-CN"/>
        </w:rPr>
        <w:t>）</w:t>
      </w:r>
      <w:r>
        <w:rPr>
          <w:rFonts w:hint="eastAsia"/>
          <w:i/>
          <w:iCs/>
          <w:color w:val="000000"/>
          <w:sz w:val="22"/>
        </w:rPr>
        <w:t>混凝土梁板柱构件按计算配筋控制时，满足正常使用和舒适度的前提下，梁板构件选用低强度等级混凝土，高强度等级钢筋，并尽量减小截面尺寸；混凝土柱小偏心受压时，选用高强度等级混凝土和高强度等级钢筋并减少截面；混凝土柱大偏心受压时，选用低强度等级混凝土和高强度等级钢筋并增加截面；</w:t>
      </w:r>
    </w:p>
    <w:p w14:paraId="79EFC31C">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3</w:t>
      </w:r>
      <w:r>
        <w:rPr>
          <w:rFonts w:hint="eastAsia"/>
          <w:i/>
          <w:iCs/>
          <w:color w:val="000000"/>
          <w:sz w:val="22"/>
          <w:lang w:eastAsia="zh-CN"/>
        </w:rPr>
        <w:t>）</w:t>
      </w:r>
      <w:r>
        <w:rPr>
          <w:rFonts w:hint="eastAsia"/>
          <w:i/>
          <w:iCs/>
          <w:color w:val="000000"/>
          <w:sz w:val="22"/>
        </w:rPr>
        <w:t>剪力墙按构造配筋控制时，选用低强度等级混凝土并尽量减小配筋率；按计算配筋时，选用高强度钢筋；</w:t>
      </w:r>
    </w:p>
    <w:p w14:paraId="75F64B44">
      <w:pPr>
        <w:pStyle w:val="20"/>
        <w:widowControl/>
        <w:autoSpaceDE/>
        <w:autoSpaceDN/>
        <w:spacing w:beforeAutospacing="0" w:afterAutospacing="0" w:line="360" w:lineRule="auto"/>
        <w:ind w:firstLine="420" w:firstLineChars="0"/>
        <w:jc w:val="both"/>
        <w:rPr>
          <w:i/>
          <w:iCs/>
          <w:color w:val="000000"/>
          <w:sz w:val="22"/>
        </w:rPr>
      </w:pPr>
      <w:r>
        <w:rPr>
          <w:rFonts w:hint="eastAsia"/>
          <w:i/>
          <w:iCs/>
          <w:color w:val="000000"/>
          <w:sz w:val="22"/>
        </w:rPr>
        <w:t>4</w:t>
      </w:r>
      <w:r>
        <w:rPr>
          <w:rFonts w:hint="eastAsia"/>
          <w:i/>
          <w:iCs/>
          <w:color w:val="000000"/>
          <w:sz w:val="22"/>
          <w:lang w:eastAsia="zh-CN"/>
        </w:rPr>
        <w:t>）</w:t>
      </w:r>
      <w:r>
        <w:rPr>
          <w:rFonts w:hint="eastAsia"/>
          <w:i/>
          <w:iCs/>
          <w:color w:val="000000"/>
          <w:sz w:val="22"/>
        </w:rPr>
        <w:t>钢结构构件根据碳强比进行低碳设计，当强度控制时，采用高强钢；刚度控制时，采用低强钢。</w:t>
      </w:r>
    </w:p>
    <w:p w14:paraId="5A0D1396">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val="en-US" w:eastAsia="zh-CN"/>
        </w:rPr>
        <w:t>结构</w:t>
      </w:r>
      <w:r>
        <w:rPr>
          <w:rFonts w:hint="eastAsia"/>
          <w:i/>
          <w:iCs/>
          <w:color w:val="000000"/>
          <w:sz w:val="22"/>
          <w:lang w:eastAsia="zh-CN"/>
        </w:rPr>
        <w:t>专业</w:t>
      </w:r>
      <w:r>
        <w:rPr>
          <w:rFonts w:hint="eastAsia"/>
          <w:i/>
          <w:iCs/>
          <w:color w:val="000000"/>
          <w:sz w:val="22"/>
          <w:lang w:val="en-US" w:eastAsia="zh-CN"/>
        </w:rPr>
        <w:t>设计施工图及设计总说明；运行阶段评价</w:t>
      </w:r>
      <w:r>
        <w:rPr>
          <w:rFonts w:hint="eastAsia"/>
          <w:i/>
          <w:iCs/>
          <w:color w:val="000000"/>
          <w:sz w:val="22"/>
        </w:rPr>
        <w:t>查阅</w:t>
      </w:r>
      <w:r>
        <w:rPr>
          <w:rFonts w:hint="eastAsia"/>
          <w:i/>
          <w:iCs/>
          <w:color w:val="000000"/>
          <w:sz w:val="22"/>
          <w:lang w:eastAsia="zh-CN"/>
        </w:rPr>
        <w:t>结构专业竣工图、材料决算清单</w:t>
      </w:r>
      <w:r>
        <w:rPr>
          <w:rFonts w:hint="eastAsia"/>
          <w:i/>
          <w:iCs/>
          <w:color w:val="000000"/>
          <w:sz w:val="22"/>
          <w:lang w:val="en-US" w:eastAsia="zh-CN"/>
        </w:rPr>
        <w:t>等相关证明文件</w:t>
      </w:r>
      <w:r>
        <w:rPr>
          <w:rFonts w:hint="eastAsia"/>
          <w:i/>
          <w:iCs/>
          <w:color w:val="000000"/>
          <w:sz w:val="22"/>
        </w:rPr>
        <w:t>。</w:t>
      </w:r>
    </w:p>
    <w:p w14:paraId="28C7E0DD">
      <w:pPr>
        <w:pStyle w:val="3"/>
        <w:numPr>
          <w:ilvl w:val="0"/>
          <w:numId w:val="0"/>
        </w:numPr>
        <w:tabs>
          <w:tab w:val="clear" w:pos="-376"/>
          <w:tab w:val="clear" w:pos="0"/>
        </w:tabs>
        <w:autoSpaceDE/>
        <w:autoSpaceDN/>
        <w:spacing w:before="78" w:beforeLines="25" w:after="78" w:afterLines="25"/>
        <w:ind w:left="567" w:hanging="567"/>
        <w:jc w:val="center"/>
        <w:rPr>
          <w:rFonts w:ascii="Times New Roman" w:hAnsi="Times New Roman" w:cs="Times New Roman"/>
          <w:bCs/>
          <w:sz w:val="28"/>
          <w:szCs w:val="24"/>
          <w:lang w:val="en-US"/>
        </w:rPr>
      </w:pPr>
      <w:r>
        <w:rPr>
          <w:rFonts w:ascii="Times New Roman" w:hAnsi="Times New Roman" w:eastAsia="宋体" w:cs="Times New Roman"/>
          <w:bCs/>
          <w:sz w:val="28"/>
          <w:szCs w:val="24"/>
          <w:lang w:val="en-US"/>
        </w:rPr>
        <w:t>4.2　</w:t>
      </w:r>
      <w:bookmarkStart w:id="33" w:name="_Toc18606"/>
      <w:bookmarkStart w:id="34" w:name="_Toc10951"/>
      <w:r>
        <w:rPr>
          <w:rFonts w:ascii="Times New Roman" w:hAnsi="Times New Roman" w:cs="Times New Roman"/>
          <w:bCs/>
          <w:sz w:val="28"/>
          <w:szCs w:val="24"/>
          <w:lang w:val="en-US"/>
        </w:rPr>
        <w:t>评分项</w:t>
      </w:r>
      <w:bookmarkEnd w:id="31"/>
      <w:bookmarkEnd w:id="32"/>
      <w:bookmarkEnd w:id="33"/>
      <w:bookmarkEnd w:id="34"/>
      <w:bookmarkStart w:id="35" w:name="_Toc10396"/>
      <w:bookmarkStart w:id="36" w:name="_Toc4350"/>
    </w:p>
    <w:bookmarkEnd w:id="35"/>
    <w:bookmarkEnd w:id="36"/>
    <w:p w14:paraId="265D0B7F">
      <w:pPr>
        <w:pStyle w:val="20"/>
        <w:widowControl/>
        <w:autoSpaceDE/>
        <w:autoSpaceDN/>
        <w:spacing w:before="234" w:beforeLines="75" w:beforeAutospacing="0" w:after="234" w:afterLines="75" w:afterAutospacing="0" w:line="360" w:lineRule="auto"/>
        <w:jc w:val="center"/>
        <w:outlineLvl w:val="2"/>
        <w:rPr>
          <w:rStyle w:val="29"/>
          <w:rFonts w:eastAsia="仿宋"/>
          <w:b/>
          <w:bCs/>
          <w:szCs w:val="22"/>
        </w:rPr>
      </w:pPr>
      <w:bookmarkStart w:id="37" w:name="_Toc5936"/>
      <w:bookmarkStart w:id="38" w:name="_Toc3051"/>
      <w:bookmarkStart w:id="39" w:name="_Toc31163"/>
      <w:bookmarkStart w:id="40" w:name="_Toc94165790"/>
      <w:bookmarkStart w:id="41" w:name="_Toc19689"/>
      <w:bookmarkStart w:id="42" w:name="_Toc29067"/>
      <w:bookmarkStart w:id="43" w:name="_Toc24503"/>
      <w:bookmarkStart w:id="44" w:name="_Toc14917"/>
      <w:r>
        <w:rPr>
          <w:rStyle w:val="29"/>
          <w:rFonts w:eastAsia="仿宋"/>
          <w:b/>
          <w:bCs/>
          <w:szCs w:val="22"/>
        </w:rPr>
        <w:t>Ⅰ　</w:t>
      </w:r>
      <w:bookmarkEnd w:id="37"/>
      <w:bookmarkEnd w:id="38"/>
      <w:bookmarkEnd w:id="39"/>
      <w:bookmarkEnd w:id="40"/>
      <w:bookmarkEnd w:id="41"/>
      <w:bookmarkEnd w:id="42"/>
      <w:bookmarkEnd w:id="43"/>
      <w:r>
        <w:rPr>
          <w:rStyle w:val="29"/>
          <w:rFonts w:hint="eastAsia" w:eastAsia="仿宋"/>
          <w:b/>
          <w:bCs/>
          <w:szCs w:val="22"/>
        </w:rPr>
        <w:t>外围护系统设计</w:t>
      </w:r>
      <w:bookmarkEnd w:id="44"/>
    </w:p>
    <w:p w14:paraId="28BF30C8">
      <w:pPr>
        <w:autoSpaceDE/>
        <w:autoSpaceDN/>
        <w:spacing w:line="360" w:lineRule="auto"/>
        <w:rPr>
          <w:rFonts w:cs="Times New Roman"/>
          <w:lang w:val="en-US"/>
        </w:rPr>
      </w:pPr>
      <w:r>
        <w:rPr>
          <w:rFonts w:cs="Times New Roman"/>
          <w:b/>
          <w:bCs/>
          <w:lang w:val="en-US"/>
        </w:rPr>
        <w:t>4.2.</w:t>
      </w:r>
      <w:r>
        <w:rPr>
          <w:rFonts w:hint="eastAsia" w:cs="Times New Roman"/>
          <w:b/>
          <w:bCs/>
          <w:lang w:val="en-US" w:eastAsia="zh-CN"/>
        </w:rPr>
        <w:t>1</w:t>
      </w:r>
      <w:r>
        <w:rPr>
          <w:rFonts w:cs="Times New Roman"/>
          <w:lang w:val="en-US"/>
        </w:rPr>
        <w:t>　</w:t>
      </w:r>
      <w:r>
        <w:rPr>
          <w:rFonts w:hint="eastAsia" w:cs="Times New Roman"/>
          <w:lang w:val="en-US" w:eastAsia="zh-CN"/>
        </w:rPr>
        <w:t>外立面整洁</w:t>
      </w:r>
      <w:r>
        <w:rPr>
          <w:rFonts w:hint="eastAsia" w:cs="Times New Roman"/>
          <w:lang w:val="en-US"/>
        </w:rPr>
        <w:t>，无大量外出挑构件</w:t>
      </w:r>
      <w:r>
        <w:rPr>
          <w:rFonts w:hint="eastAsia" w:cs="Times New Roman"/>
          <w:lang w:val="en-US" w:eastAsia="zh-CN"/>
        </w:rPr>
        <w:t>，</w:t>
      </w:r>
      <w:r>
        <w:rPr>
          <w:rFonts w:hint="eastAsia" w:cs="Times New Roman"/>
          <w:lang w:val="en-US"/>
        </w:rPr>
        <w:t>评价总分值为</w:t>
      </w:r>
      <w:r>
        <w:rPr>
          <w:rFonts w:hint="eastAsia" w:cs="Times New Roman"/>
          <w:lang w:val="en-US" w:eastAsia="zh-CN"/>
        </w:rPr>
        <w:t>15</w:t>
      </w:r>
      <w:r>
        <w:rPr>
          <w:rFonts w:hint="eastAsia" w:cs="Times New Roman"/>
          <w:lang w:val="en-US"/>
        </w:rPr>
        <w:t>分，应按下列规则评分</w:t>
      </w:r>
      <w:r>
        <w:rPr>
          <w:rFonts w:cs="Times New Roman"/>
          <w:lang w:val="en-US"/>
        </w:rPr>
        <w:t>：</w:t>
      </w:r>
    </w:p>
    <w:p w14:paraId="49C4510F">
      <w:pPr>
        <w:autoSpaceDE/>
        <w:autoSpaceDN/>
        <w:spacing w:line="360" w:lineRule="auto"/>
        <w:ind w:firstLine="565" w:firstLineChars="256"/>
        <w:rPr>
          <w:rFonts w:hint="eastAsia" w:cs="Times New Roman"/>
          <w:lang w:eastAsia="zh-CN"/>
        </w:rPr>
      </w:pPr>
      <w:r>
        <w:rPr>
          <w:rFonts w:cs="Times New Roman"/>
          <w:b/>
          <w:bCs/>
        </w:rPr>
        <w:t>1</w:t>
      </w:r>
      <w:r>
        <w:rPr>
          <w:rFonts w:cs="Times New Roman"/>
        </w:rPr>
        <w:t>　</w:t>
      </w:r>
      <w:r>
        <w:rPr>
          <w:rFonts w:hint="eastAsia" w:cs="Times New Roman"/>
        </w:rPr>
        <w:t>住宅建筑，应按下列规则分别评分并累计</w:t>
      </w:r>
      <w:r>
        <w:rPr>
          <w:rFonts w:hint="eastAsia" w:cs="Times New Roman"/>
          <w:lang w:eastAsia="zh-CN"/>
        </w:rPr>
        <w:t>：</w:t>
      </w:r>
    </w:p>
    <w:p w14:paraId="4935473B">
      <w:pPr>
        <w:autoSpaceDE/>
        <w:autoSpaceDN/>
        <w:spacing w:line="360" w:lineRule="auto"/>
        <w:ind w:firstLine="851"/>
        <w:rPr>
          <w:rFonts w:hint="default" w:cs="Times New Roman"/>
          <w:lang w:val="en-US" w:eastAsia="zh-CN"/>
        </w:rPr>
      </w:pPr>
      <w:bookmarkStart w:id="45" w:name="_Toc9872"/>
      <w:r>
        <w:rPr>
          <w:rFonts w:cs="Times New Roman"/>
          <w:b/>
          <w:bCs/>
        </w:rPr>
        <w:t>1）</w:t>
      </w:r>
      <w:r>
        <w:rPr>
          <w:rFonts w:hint="eastAsia" w:cs="Times New Roman"/>
          <w:lang w:val="en-US" w:eastAsia="zh-CN"/>
        </w:rPr>
        <w:t>外立面无外出挑构件，得15分；</w:t>
      </w:r>
    </w:p>
    <w:p w14:paraId="4A19B4A5">
      <w:pPr>
        <w:autoSpaceDE/>
        <w:autoSpaceDN/>
        <w:spacing w:line="360" w:lineRule="auto"/>
        <w:ind w:firstLine="851"/>
        <w:rPr>
          <w:rFonts w:cs="Times New Roman"/>
        </w:rPr>
      </w:pPr>
      <w:r>
        <w:rPr>
          <w:rFonts w:hint="eastAsia" w:cs="Times New Roman"/>
          <w:b/>
          <w:bCs/>
          <w:lang w:val="en-US" w:eastAsia="zh-CN"/>
        </w:rPr>
        <w:t>2）</w:t>
      </w:r>
      <w:r>
        <w:rPr>
          <w:rFonts w:hint="eastAsia" w:cs="Times New Roman"/>
        </w:rPr>
        <w:t>外出挑构件造价占比不大于1%，得</w:t>
      </w:r>
      <w:r>
        <w:rPr>
          <w:rFonts w:hint="eastAsia" w:cs="Times New Roman"/>
          <w:lang w:val="en-US" w:eastAsia="zh-CN"/>
        </w:rPr>
        <w:t>7</w:t>
      </w:r>
      <w:r>
        <w:rPr>
          <w:rFonts w:hint="eastAsia" w:cs="Times New Roman"/>
        </w:rPr>
        <w:t>分</w:t>
      </w:r>
      <w:r>
        <w:rPr>
          <w:rFonts w:cs="Times New Roman"/>
        </w:rPr>
        <w:t>；</w:t>
      </w:r>
      <w:bookmarkEnd w:id="45"/>
    </w:p>
    <w:p w14:paraId="2856DB4F">
      <w:pPr>
        <w:autoSpaceDE/>
        <w:autoSpaceDN/>
        <w:spacing w:line="360" w:lineRule="auto"/>
        <w:ind w:firstLine="851"/>
        <w:rPr>
          <w:rFonts w:hint="eastAsia" w:eastAsia="宋体" w:cs="Times New Roman"/>
          <w:lang w:eastAsia="zh-CN"/>
        </w:rPr>
      </w:pPr>
      <w:bookmarkStart w:id="46" w:name="_Toc4837"/>
      <w:r>
        <w:rPr>
          <w:rFonts w:hint="eastAsia" w:cs="Times New Roman"/>
          <w:b/>
          <w:bCs/>
          <w:lang w:val="en-US" w:eastAsia="zh-CN"/>
        </w:rPr>
        <w:t>3</w:t>
      </w:r>
      <w:r>
        <w:rPr>
          <w:rFonts w:cs="Times New Roman"/>
          <w:b/>
          <w:bCs/>
          <w:lang w:val="en-US"/>
        </w:rPr>
        <w:t>）</w:t>
      </w:r>
      <w:bookmarkEnd w:id="46"/>
      <w:r>
        <w:rPr>
          <w:rFonts w:hint="eastAsia" w:cs="Times New Roman"/>
        </w:rPr>
        <w:t>阳台、空调板、女儿墙等与结构主体分离式设计，得</w:t>
      </w:r>
      <w:r>
        <w:rPr>
          <w:rFonts w:hint="eastAsia" w:cs="Times New Roman"/>
          <w:lang w:val="en-US" w:eastAsia="zh-CN"/>
        </w:rPr>
        <w:t>8</w:t>
      </w:r>
      <w:r>
        <w:rPr>
          <w:rFonts w:hint="eastAsia" w:cs="Times New Roman"/>
        </w:rPr>
        <w:t>分</w:t>
      </w:r>
      <w:r>
        <w:rPr>
          <w:rFonts w:hint="eastAsia" w:cs="Times New Roman"/>
          <w:lang w:eastAsia="zh-CN"/>
        </w:rPr>
        <w:t>。</w:t>
      </w:r>
    </w:p>
    <w:p w14:paraId="4DE0F3A5">
      <w:pPr>
        <w:autoSpaceDE/>
        <w:autoSpaceDN/>
        <w:spacing w:line="360" w:lineRule="auto"/>
        <w:ind w:firstLine="565" w:firstLineChars="256"/>
        <w:rPr>
          <w:rFonts w:hint="eastAsia" w:cs="Times New Roman"/>
          <w:lang w:eastAsia="zh-CN"/>
        </w:rPr>
      </w:pPr>
      <w:r>
        <w:rPr>
          <w:rFonts w:hint="eastAsia" w:cs="Times New Roman"/>
          <w:b/>
          <w:bCs/>
          <w:lang w:val="en-US" w:eastAsia="zh-CN"/>
        </w:rPr>
        <w:t>2</w:t>
      </w:r>
      <w:r>
        <w:rPr>
          <w:rFonts w:cs="Times New Roman"/>
        </w:rPr>
        <w:t>　</w:t>
      </w:r>
      <w:r>
        <w:rPr>
          <w:rFonts w:hint="eastAsia" w:cs="Times New Roman"/>
        </w:rPr>
        <w:t>公共建筑，应按下列规则分别评分并累计</w:t>
      </w:r>
      <w:r>
        <w:rPr>
          <w:rFonts w:hint="eastAsia" w:cs="Times New Roman"/>
          <w:lang w:eastAsia="zh-CN"/>
        </w:rPr>
        <w:t>：</w:t>
      </w:r>
    </w:p>
    <w:p w14:paraId="331AC627">
      <w:pPr>
        <w:autoSpaceDE/>
        <w:autoSpaceDN/>
        <w:spacing w:line="360" w:lineRule="auto"/>
        <w:ind w:firstLine="851"/>
        <w:rPr>
          <w:rFonts w:hint="default" w:cs="Times New Roman"/>
          <w:lang w:val="en-US" w:eastAsia="zh-CN"/>
        </w:rPr>
      </w:pPr>
      <w:r>
        <w:rPr>
          <w:rFonts w:cs="Times New Roman"/>
          <w:b/>
          <w:bCs/>
        </w:rPr>
        <w:t>1）</w:t>
      </w:r>
      <w:r>
        <w:rPr>
          <w:rFonts w:hint="eastAsia" w:cs="Times New Roman"/>
          <w:lang w:val="en-US" w:eastAsia="zh-CN"/>
        </w:rPr>
        <w:t>外立面无外出挑构件，得15分；</w:t>
      </w:r>
    </w:p>
    <w:p w14:paraId="48D92DC7">
      <w:pPr>
        <w:autoSpaceDE/>
        <w:autoSpaceDN/>
        <w:spacing w:line="360" w:lineRule="auto"/>
        <w:ind w:firstLine="851"/>
        <w:rPr>
          <w:rFonts w:cs="Times New Roman"/>
        </w:rPr>
      </w:pPr>
      <w:r>
        <w:rPr>
          <w:rFonts w:hint="eastAsia" w:cs="Times New Roman"/>
          <w:b/>
          <w:bCs/>
          <w:lang w:val="en-US" w:eastAsia="zh-CN"/>
        </w:rPr>
        <w:t>2</w:t>
      </w:r>
      <w:r>
        <w:rPr>
          <w:rFonts w:cs="Times New Roman"/>
          <w:b/>
          <w:bCs/>
        </w:rPr>
        <w:t>）</w:t>
      </w:r>
      <w:r>
        <w:rPr>
          <w:rFonts w:hint="eastAsia" w:cs="Times New Roman"/>
          <w:b w:val="0"/>
          <w:bCs w:val="0"/>
          <w:lang w:val="en-US" w:eastAsia="zh-CN"/>
        </w:rPr>
        <w:t>外出挑构件造价占比不大于2%，得7分</w:t>
      </w:r>
      <w:r>
        <w:rPr>
          <w:rFonts w:cs="Times New Roman"/>
        </w:rPr>
        <w:t>；</w:t>
      </w:r>
    </w:p>
    <w:p w14:paraId="74CB3678">
      <w:pPr>
        <w:autoSpaceDE/>
        <w:autoSpaceDN/>
        <w:spacing w:line="360" w:lineRule="auto"/>
        <w:ind w:firstLine="851"/>
        <w:rPr>
          <w:rFonts w:hint="eastAsia" w:eastAsia="宋体" w:cs="Times New Roman"/>
          <w:lang w:eastAsia="zh-CN"/>
        </w:rPr>
      </w:pPr>
      <w:r>
        <w:rPr>
          <w:rFonts w:hint="eastAsia" w:cs="Times New Roman"/>
          <w:b/>
          <w:bCs/>
          <w:lang w:val="en-US" w:eastAsia="zh-CN"/>
        </w:rPr>
        <w:t>3</w:t>
      </w:r>
      <w:r>
        <w:rPr>
          <w:rFonts w:cs="Times New Roman"/>
          <w:b/>
          <w:bCs/>
          <w:lang w:val="en-US"/>
        </w:rPr>
        <w:t>）</w:t>
      </w:r>
      <w:r>
        <w:rPr>
          <w:rFonts w:hint="eastAsia" w:cs="Times New Roman"/>
          <w:b w:val="0"/>
          <w:bCs w:val="0"/>
          <w:lang w:val="en-US" w:eastAsia="zh-CN"/>
        </w:rPr>
        <w:t>外出挑构件检修维护便利，得8分</w:t>
      </w:r>
      <w:r>
        <w:rPr>
          <w:rFonts w:hint="eastAsia" w:cs="Times New Roman"/>
          <w:lang w:eastAsia="zh-CN"/>
        </w:rPr>
        <w:t>。</w:t>
      </w:r>
    </w:p>
    <w:p w14:paraId="64DE4D63">
      <w:pPr>
        <w:pStyle w:val="20"/>
        <w:widowControl/>
        <w:autoSpaceDE/>
        <w:autoSpaceDN/>
        <w:spacing w:beforeAutospacing="0" w:afterAutospacing="0" w:line="360" w:lineRule="auto"/>
        <w:jc w:val="both"/>
        <w:rPr>
          <w:rFonts w:hint="default"/>
          <w:i/>
          <w:iCs/>
          <w:color w:val="000000"/>
          <w:sz w:val="22"/>
          <w:lang w:val="en-US" w:eastAsia="zh-CN"/>
        </w:rPr>
      </w:pPr>
      <w:r>
        <w:rPr>
          <w:rFonts w:hint="eastAsia"/>
          <w:i/>
          <w:iCs/>
          <w:color w:val="000000"/>
          <w:sz w:val="22"/>
        </w:rPr>
        <w:t>【条文说明】</w:t>
      </w:r>
      <w:r>
        <w:rPr>
          <w:rFonts w:hint="eastAsia"/>
          <w:i/>
          <w:iCs/>
          <w:color w:val="000000"/>
          <w:sz w:val="22"/>
          <w:lang w:val="en-US" w:eastAsia="zh-CN"/>
        </w:rPr>
        <w:t>合理控制装配式建筑出挑构件的设置规模，对于确保建筑的安全性、经济性、功能性、美观性、环保性和施工便利性都具有重要作用。整洁的装配式建筑立面设计，不但可以降低材料用量，还可以提升施工建造速度和建造质量，是装配式建筑低碳性能的重要方面。鼓励外立面无出挑构件，或者降低出挑构件的数量，可以有效降低建筑隐患碳排放。住宅采用阳台、空调板、女儿墙等与结构主体分离式设计，也可以简化施工建造方案，从而降低碳排放量。公共建筑的出挑构件尤，其高空外出挑构件如遮阳构件等，需要特殊设备或措施才能做好维护。因此，本条鼓励公共建筑采用外出挑构件检修维护便利，可以有效降低其维护阶段碳排放。</w:t>
      </w:r>
    </w:p>
    <w:p w14:paraId="72B7112E">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设计阶段评价查阅建筑</w:t>
      </w:r>
      <w:r>
        <w:rPr>
          <w:rFonts w:hint="eastAsia"/>
          <w:i/>
          <w:iCs/>
          <w:color w:val="000000"/>
          <w:sz w:val="22"/>
          <w:lang w:eastAsia="zh-CN"/>
        </w:rPr>
        <w:t>、</w:t>
      </w:r>
      <w:r>
        <w:rPr>
          <w:rFonts w:hint="eastAsia"/>
          <w:i/>
          <w:iCs/>
          <w:color w:val="000000"/>
          <w:sz w:val="22"/>
          <w:lang w:val="en-US" w:eastAsia="zh-CN"/>
        </w:rPr>
        <w:t>结构专业</w:t>
      </w:r>
      <w:r>
        <w:rPr>
          <w:rFonts w:hint="eastAsia"/>
          <w:i/>
          <w:iCs/>
          <w:color w:val="000000"/>
          <w:sz w:val="22"/>
        </w:rPr>
        <w:t>施工图</w:t>
      </w:r>
      <w:r>
        <w:rPr>
          <w:rFonts w:hint="eastAsia"/>
          <w:i/>
          <w:iCs/>
          <w:color w:val="000000"/>
          <w:sz w:val="22"/>
          <w:lang w:eastAsia="zh-CN"/>
        </w:rPr>
        <w:t>及设计说明、</w:t>
      </w:r>
      <w:r>
        <w:rPr>
          <w:rFonts w:hint="eastAsia"/>
          <w:i/>
          <w:iCs/>
          <w:color w:val="000000"/>
          <w:sz w:val="22"/>
          <w:lang w:val="en-US" w:eastAsia="zh-CN"/>
        </w:rPr>
        <w:t>出挑</w:t>
      </w:r>
      <w:r>
        <w:rPr>
          <w:rFonts w:hint="eastAsia"/>
          <w:i/>
          <w:iCs/>
          <w:color w:val="000000"/>
          <w:sz w:val="22"/>
        </w:rPr>
        <w:t>构件功能说明和造价计算书</w:t>
      </w:r>
      <w:r>
        <w:rPr>
          <w:rFonts w:hint="eastAsia"/>
          <w:i/>
          <w:iCs/>
          <w:color w:val="000000"/>
          <w:sz w:val="22"/>
          <w:lang w:eastAsia="zh-CN"/>
        </w:rPr>
        <w:t>；</w:t>
      </w:r>
      <w:r>
        <w:rPr>
          <w:rFonts w:hint="eastAsia"/>
          <w:i/>
          <w:iCs/>
          <w:color w:val="000000"/>
          <w:sz w:val="22"/>
          <w:lang w:val="en-US" w:eastAsia="zh-CN"/>
        </w:rPr>
        <w:t>运行阶段评价</w:t>
      </w:r>
      <w:r>
        <w:rPr>
          <w:rFonts w:hint="eastAsia"/>
          <w:i/>
          <w:iCs/>
          <w:color w:val="000000"/>
          <w:sz w:val="22"/>
        </w:rPr>
        <w:t>查阅建筑、</w:t>
      </w:r>
      <w:r>
        <w:rPr>
          <w:rFonts w:hint="eastAsia"/>
          <w:i/>
          <w:iCs/>
          <w:color w:val="000000"/>
          <w:sz w:val="22"/>
          <w:lang w:val="en-US" w:eastAsia="zh-CN"/>
        </w:rPr>
        <w:t>结构专业</w:t>
      </w:r>
      <w:r>
        <w:rPr>
          <w:rFonts w:hint="eastAsia"/>
          <w:i/>
          <w:iCs/>
          <w:color w:val="000000"/>
          <w:sz w:val="22"/>
        </w:rPr>
        <w:t>竣工图</w:t>
      </w:r>
      <w:r>
        <w:rPr>
          <w:rFonts w:hint="eastAsia"/>
          <w:i/>
          <w:iCs/>
          <w:color w:val="000000"/>
          <w:sz w:val="22"/>
          <w:lang w:eastAsia="zh-CN"/>
        </w:rPr>
        <w:t>及设计说明</w:t>
      </w:r>
      <w:r>
        <w:rPr>
          <w:rFonts w:hint="eastAsia"/>
          <w:i/>
          <w:iCs/>
          <w:color w:val="000000"/>
          <w:sz w:val="22"/>
        </w:rPr>
        <w:t>、</w:t>
      </w:r>
      <w:r>
        <w:rPr>
          <w:rFonts w:hint="eastAsia"/>
          <w:i/>
          <w:iCs/>
          <w:color w:val="000000"/>
          <w:sz w:val="22"/>
          <w:lang w:eastAsia="zh-CN"/>
        </w:rPr>
        <w:t>竣工</w:t>
      </w:r>
      <w:r>
        <w:rPr>
          <w:rFonts w:hint="eastAsia"/>
          <w:i/>
          <w:iCs/>
          <w:color w:val="000000"/>
          <w:sz w:val="22"/>
        </w:rPr>
        <w:t>造价</w:t>
      </w:r>
      <w:r>
        <w:rPr>
          <w:rFonts w:hint="eastAsia"/>
          <w:i/>
          <w:iCs/>
          <w:color w:val="000000"/>
          <w:sz w:val="22"/>
          <w:lang w:eastAsia="zh-CN"/>
        </w:rPr>
        <w:t>结算书</w:t>
      </w:r>
      <w:r>
        <w:rPr>
          <w:rFonts w:hint="eastAsia"/>
          <w:i/>
          <w:iCs/>
          <w:color w:val="000000"/>
          <w:sz w:val="22"/>
        </w:rPr>
        <w:t>。</w:t>
      </w:r>
    </w:p>
    <w:p w14:paraId="37D878FE">
      <w:pPr>
        <w:autoSpaceDE/>
        <w:autoSpaceDN/>
        <w:spacing w:line="360" w:lineRule="auto"/>
        <w:rPr>
          <w:rFonts w:cs="Times New Roman"/>
          <w:lang w:val="en-US"/>
        </w:rPr>
      </w:pPr>
      <w:r>
        <w:rPr>
          <w:rFonts w:cs="Times New Roman"/>
          <w:b/>
          <w:bCs/>
          <w:lang w:val="en-US"/>
        </w:rPr>
        <w:t>4.2.</w:t>
      </w:r>
      <w:r>
        <w:rPr>
          <w:rFonts w:hint="eastAsia" w:cs="Times New Roman"/>
          <w:b/>
          <w:bCs/>
          <w:lang w:val="en-US" w:eastAsia="zh-CN"/>
        </w:rPr>
        <w:t>2</w:t>
      </w:r>
      <w:r>
        <w:rPr>
          <w:rFonts w:cs="Times New Roman"/>
          <w:lang w:val="en-US"/>
        </w:rPr>
        <w:t>　</w:t>
      </w:r>
      <w:r>
        <w:rPr>
          <w:rFonts w:hint="eastAsia" w:cs="Times New Roman"/>
          <w:lang w:val="en-US"/>
        </w:rPr>
        <w:t>外墙采用装配式墙体，评价总分值为</w:t>
      </w:r>
      <w:r>
        <w:rPr>
          <w:rFonts w:hint="eastAsia" w:cs="Times New Roman"/>
          <w:lang w:val="en-US" w:eastAsia="zh-CN"/>
        </w:rPr>
        <w:t>10</w:t>
      </w:r>
      <w:r>
        <w:rPr>
          <w:rFonts w:hint="eastAsia" w:cs="Times New Roman"/>
          <w:lang w:val="en-US"/>
        </w:rPr>
        <w:t>分。非承重外墙的非砌筑比例</w:t>
      </w:r>
      <w:r>
        <w:rPr>
          <w:rFonts w:hint="eastAsia" w:cs="Times New Roman"/>
          <w:lang w:val="en-US" w:eastAsia="zh-CN"/>
        </w:rPr>
        <w:t>达到</w:t>
      </w:r>
      <w:r>
        <w:rPr>
          <w:rFonts w:hint="eastAsia" w:cs="Times New Roman"/>
          <w:lang w:val="en-US"/>
        </w:rPr>
        <w:t>80%，得</w:t>
      </w:r>
      <w:r>
        <w:rPr>
          <w:rFonts w:hint="eastAsia" w:cs="Times New Roman"/>
          <w:lang w:val="en-US" w:eastAsia="zh-CN"/>
        </w:rPr>
        <w:t>5</w:t>
      </w:r>
      <w:r>
        <w:rPr>
          <w:rFonts w:hint="eastAsia" w:cs="Times New Roman"/>
          <w:lang w:val="en-US"/>
        </w:rPr>
        <w:t>分</w:t>
      </w:r>
      <w:r>
        <w:rPr>
          <w:rFonts w:hint="eastAsia" w:cs="Times New Roman"/>
          <w:lang w:val="en-US" w:eastAsia="zh-CN"/>
        </w:rPr>
        <w:t>；达到100%，得10分。</w:t>
      </w:r>
    </w:p>
    <w:p w14:paraId="3636621B">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w:t>
      </w:r>
      <w:r>
        <w:rPr>
          <w:rFonts w:hint="eastAsia"/>
          <w:i/>
          <w:iCs/>
          <w:color w:val="000000"/>
          <w:sz w:val="22"/>
          <w:lang w:val="en-US" w:eastAsia="zh-CN"/>
        </w:rPr>
        <w:t>外围护结构采用非砌筑墙体，可以减少现场作业量，并减少材料损耗，从而降低建筑碳排放。对于无非承重外墙时，本条直接得10分；对于采用非砌筑的非承重外墙，还应做好模数化和标准化，从而提高利用效率和降低材料损耗；对于材料损耗大于10%的非砌筑非承重外墙，本条不得分。</w:t>
      </w:r>
    </w:p>
    <w:p w14:paraId="2BF7337A">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设计阶段评价查阅建筑、结构</w:t>
      </w:r>
      <w:r>
        <w:rPr>
          <w:rFonts w:hint="eastAsia"/>
          <w:i/>
          <w:iCs/>
          <w:color w:val="000000"/>
          <w:sz w:val="22"/>
          <w:lang w:eastAsia="zh-CN"/>
        </w:rPr>
        <w:t>专业</w:t>
      </w:r>
      <w:r>
        <w:rPr>
          <w:rFonts w:hint="eastAsia"/>
          <w:i/>
          <w:iCs/>
          <w:color w:val="000000"/>
          <w:sz w:val="22"/>
        </w:rPr>
        <w:t>施工图及</w:t>
      </w:r>
      <w:r>
        <w:rPr>
          <w:rFonts w:hint="eastAsia"/>
          <w:i/>
          <w:iCs/>
          <w:color w:val="000000"/>
          <w:sz w:val="22"/>
          <w:lang w:eastAsia="zh-CN"/>
        </w:rPr>
        <w:t>设计</w:t>
      </w:r>
      <w:r>
        <w:rPr>
          <w:rFonts w:hint="eastAsia"/>
          <w:i/>
          <w:iCs/>
          <w:color w:val="000000"/>
          <w:sz w:val="22"/>
        </w:rPr>
        <w:t>说明</w:t>
      </w:r>
      <w:r>
        <w:rPr>
          <w:rFonts w:hint="eastAsia"/>
          <w:i/>
          <w:iCs/>
          <w:color w:val="000000"/>
          <w:sz w:val="22"/>
          <w:lang w:eastAsia="zh-CN"/>
        </w:rPr>
        <w:t>、</w:t>
      </w:r>
      <w:r>
        <w:rPr>
          <w:rFonts w:hint="eastAsia"/>
          <w:i/>
          <w:iCs/>
          <w:color w:val="000000"/>
          <w:sz w:val="22"/>
        </w:rPr>
        <w:t>非砌筑比例计算书；</w:t>
      </w:r>
      <w:r>
        <w:rPr>
          <w:rFonts w:hint="eastAsia"/>
          <w:i/>
          <w:iCs/>
          <w:color w:val="000000"/>
          <w:sz w:val="22"/>
          <w:lang w:val="en-US" w:eastAsia="zh-CN"/>
        </w:rPr>
        <w:t>运行阶段评价</w:t>
      </w:r>
      <w:r>
        <w:rPr>
          <w:rFonts w:hint="eastAsia"/>
          <w:i/>
          <w:iCs/>
          <w:color w:val="000000"/>
          <w:sz w:val="22"/>
        </w:rPr>
        <w:t>查阅建筑、结构竣工图及</w:t>
      </w:r>
      <w:r>
        <w:rPr>
          <w:rFonts w:hint="eastAsia"/>
          <w:i/>
          <w:iCs/>
          <w:color w:val="000000"/>
          <w:sz w:val="22"/>
          <w:lang w:eastAsia="zh-CN"/>
        </w:rPr>
        <w:t>设计</w:t>
      </w:r>
      <w:r>
        <w:rPr>
          <w:rFonts w:hint="eastAsia"/>
          <w:i/>
          <w:iCs/>
          <w:color w:val="000000"/>
          <w:sz w:val="22"/>
        </w:rPr>
        <w:t>说明、现场施工影像资料。</w:t>
      </w:r>
    </w:p>
    <w:p w14:paraId="1AF03FEB">
      <w:pPr>
        <w:autoSpaceDE/>
        <w:autoSpaceDN/>
        <w:spacing w:line="360" w:lineRule="auto"/>
        <w:rPr>
          <w:rFonts w:cs="Times New Roman"/>
          <w:lang w:val="en-US"/>
        </w:rPr>
      </w:pPr>
      <w:r>
        <w:rPr>
          <w:rFonts w:cs="Times New Roman"/>
          <w:b/>
          <w:bCs/>
          <w:lang w:val="en-US"/>
        </w:rPr>
        <w:t>4.2.</w:t>
      </w:r>
      <w:r>
        <w:rPr>
          <w:rFonts w:hint="eastAsia" w:cs="Times New Roman"/>
          <w:b/>
          <w:bCs/>
          <w:lang w:val="en-US" w:eastAsia="zh-CN"/>
        </w:rPr>
        <w:t>3</w:t>
      </w:r>
      <w:r>
        <w:rPr>
          <w:rFonts w:cs="Times New Roman"/>
          <w:lang w:val="en-US"/>
        </w:rPr>
        <w:t>　</w:t>
      </w:r>
      <w:r>
        <w:rPr>
          <w:rFonts w:hint="eastAsia" w:cs="Times New Roman"/>
          <w:lang w:val="en-US"/>
        </w:rPr>
        <w:t>外围护系统采用免饰面做法，评价分值为</w:t>
      </w:r>
      <w:r>
        <w:rPr>
          <w:rFonts w:hint="eastAsia" w:cs="Times New Roman"/>
          <w:lang w:val="en-US" w:eastAsia="zh-CN"/>
        </w:rPr>
        <w:t>10</w:t>
      </w:r>
      <w:r>
        <w:rPr>
          <w:rFonts w:hint="eastAsia" w:cs="Times New Roman"/>
          <w:lang w:val="en-US"/>
        </w:rPr>
        <w:t>分</w:t>
      </w:r>
      <w:r>
        <w:rPr>
          <w:rFonts w:hint="eastAsia" w:cs="Times New Roman"/>
          <w:lang w:val="en-US" w:eastAsia="zh-CN"/>
        </w:rPr>
        <w:t>。</w:t>
      </w:r>
    </w:p>
    <w:p w14:paraId="4B137A7F">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w:t>
      </w:r>
      <w:r>
        <w:rPr>
          <w:rFonts w:hint="eastAsia"/>
          <w:i/>
          <w:iCs/>
          <w:color w:val="000000"/>
          <w:sz w:val="22"/>
          <w:lang w:val="en-US" w:eastAsia="zh-CN"/>
        </w:rPr>
        <w:t>外围护系统免饰面做法指保持必要的性能标准的同时，外饰面在材料选择和施工方法上，使用更高效环保的方式，具体可采用清水混凝土、装饰混凝土、面砖、石材以及涂料等，与预制外墙在工厂一次浇注或制作成型工艺，从而避免施工现场进行饰面施工的做法。</w:t>
      </w:r>
    </w:p>
    <w:p w14:paraId="73A8B882">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相关施工图、围护墙装修一体化应用比例计算书；</w:t>
      </w:r>
      <w:r>
        <w:rPr>
          <w:rFonts w:hint="eastAsia"/>
          <w:i/>
          <w:iCs/>
          <w:color w:val="000000"/>
          <w:sz w:val="22"/>
          <w:lang w:val="en-US" w:eastAsia="zh-CN"/>
        </w:rPr>
        <w:t>运行阶段评价</w:t>
      </w:r>
      <w:r>
        <w:rPr>
          <w:rFonts w:hint="eastAsia"/>
          <w:i/>
          <w:iCs/>
          <w:color w:val="000000"/>
          <w:sz w:val="22"/>
        </w:rPr>
        <w:t>查阅</w:t>
      </w:r>
      <w:r>
        <w:rPr>
          <w:rFonts w:hint="eastAsia"/>
          <w:i/>
          <w:iCs/>
          <w:color w:val="000000"/>
          <w:sz w:val="22"/>
          <w:lang w:eastAsia="zh-CN"/>
        </w:rPr>
        <w:t>相关专业竣工图、围护墙装修一体化应用比例计算书、</w:t>
      </w:r>
      <w:r>
        <w:rPr>
          <w:rFonts w:hint="eastAsia"/>
          <w:i/>
          <w:iCs/>
          <w:color w:val="000000"/>
          <w:sz w:val="22"/>
        </w:rPr>
        <w:t>现场施工影像资料。</w:t>
      </w:r>
    </w:p>
    <w:p w14:paraId="5C3862FC">
      <w:pPr>
        <w:autoSpaceDE/>
        <w:autoSpaceDN/>
        <w:spacing w:line="360" w:lineRule="auto"/>
        <w:rPr>
          <w:rFonts w:cs="Times New Roman"/>
          <w:lang w:val="en-US"/>
        </w:rPr>
      </w:pPr>
      <w:r>
        <w:rPr>
          <w:rFonts w:cs="Times New Roman"/>
          <w:b/>
          <w:bCs/>
          <w:lang w:val="en-US"/>
        </w:rPr>
        <w:t>4.2.</w:t>
      </w:r>
      <w:r>
        <w:rPr>
          <w:rFonts w:hint="eastAsia" w:cs="Times New Roman"/>
          <w:b/>
          <w:bCs/>
          <w:lang w:val="en-US" w:eastAsia="zh-CN"/>
        </w:rPr>
        <w:t>4</w:t>
      </w:r>
      <w:r>
        <w:rPr>
          <w:rFonts w:cs="Times New Roman"/>
          <w:lang w:val="en-US"/>
        </w:rPr>
        <w:t>　</w:t>
      </w:r>
      <w:r>
        <w:rPr>
          <w:rFonts w:hint="eastAsia" w:cs="Times New Roman"/>
          <w:highlight w:val="none"/>
          <w:lang w:val="en-US"/>
        </w:rPr>
        <w:t>外围护系统采用一体化集成设计，评价总分值为</w:t>
      </w:r>
      <w:r>
        <w:rPr>
          <w:rFonts w:hint="eastAsia" w:cs="Times New Roman"/>
          <w:highlight w:val="none"/>
          <w:lang w:val="en-US" w:eastAsia="zh-CN"/>
        </w:rPr>
        <w:t>15</w:t>
      </w:r>
      <w:r>
        <w:rPr>
          <w:rFonts w:hint="eastAsia" w:cs="Times New Roman"/>
          <w:highlight w:val="none"/>
          <w:lang w:val="en-US"/>
        </w:rPr>
        <w:t>分，应按下列规则分别评分并</w:t>
      </w:r>
      <w:r>
        <w:rPr>
          <w:rFonts w:hint="eastAsia" w:cs="Times New Roman"/>
          <w:highlight w:val="none"/>
          <w:lang w:val="en-US" w:eastAsia="zh-CN"/>
        </w:rPr>
        <w:t>累计</w:t>
      </w:r>
      <w:r>
        <w:rPr>
          <w:rFonts w:cs="Times New Roman"/>
          <w:lang w:val="en-US"/>
        </w:rPr>
        <w:t>：</w:t>
      </w:r>
    </w:p>
    <w:p w14:paraId="3A47684F">
      <w:pPr>
        <w:autoSpaceDE/>
        <w:autoSpaceDN/>
        <w:spacing w:line="360" w:lineRule="auto"/>
        <w:ind w:firstLine="565" w:firstLineChars="256"/>
        <w:rPr>
          <w:rFonts w:hint="default" w:cs="Times New Roman"/>
          <w:lang w:val="en-US" w:eastAsia="zh-CN"/>
        </w:rPr>
      </w:pPr>
      <w:bookmarkStart w:id="47" w:name="_Toc16944"/>
      <w:r>
        <w:rPr>
          <w:rFonts w:cs="Times New Roman"/>
          <w:b/>
          <w:bCs/>
        </w:rPr>
        <w:t>1</w:t>
      </w:r>
      <w:r>
        <w:rPr>
          <w:rFonts w:cs="Times New Roman"/>
        </w:rPr>
        <w:t>　</w:t>
      </w:r>
      <w:r>
        <w:rPr>
          <w:rFonts w:hint="eastAsia" w:cs="Times New Roman"/>
          <w:lang w:val="en-US" w:eastAsia="zh-CN"/>
        </w:rPr>
        <w:t>采用夹心保温的外墙面积占比</w:t>
      </w:r>
      <w:r>
        <w:rPr>
          <w:rFonts w:hint="eastAsia" w:cs="Times New Roman"/>
          <w:highlight w:val="none"/>
          <w:lang w:eastAsia="zh-CN"/>
        </w:rPr>
        <w:t>达到</w:t>
      </w:r>
      <w:r>
        <w:rPr>
          <w:rFonts w:hint="eastAsia" w:cs="Times New Roman"/>
          <w:highlight w:val="none"/>
        </w:rPr>
        <w:t>50%，得</w:t>
      </w:r>
      <w:r>
        <w:rPr>
          <w:rFonts w:hint="eastAsia" w:cs="Times New Roman"/>
          <w:highlight w:val="none"/>
          <w:lang w:val="en-US" w:eastAsia="zh-CN"/>
        </w:rPr>
        <w:t>5</w:t>
      </w:r>
      <w:r>
        <w:rPr>
          <w:rFonts w:hint="eastAsia" w:cs="Times New Roman"/>
          <w:highlight w:val="none"/>
        </w:rPr>
        <w:t>分</w:t>
      </w:r>
      <w:r>
        <w:rPr>
          <w:rFonts w:hint="eastAsia" w:cs="Times New Roman"/>
          <w:highlight w:val="none"/>
          <w:lang w:eastAsia="zh-CN"/>
        </w:rPr>
        <w:t>；</w:t>
      </w:r>
      <w:r>
        <w:rPr>
          <w:rFonts w:hint="eastAsia" w:cs="Times New Roman"/>
          <w:highlight w:val="none"/>
        </w:rPr>
        <w:t>达到</w:t>
      </w:r>
      <w:r>
        <w:rPr>
          <w:rFonts w:hint="eastAsia" w:cs="Times New Roman"/>
          <w:highlight w:val="none"/>
          <w:lang w:val="en-US" w:eastAsia="zh-CN"/>
        </w:rPr>
        <w:t>8</w:t>
      </w:r>
      <w:r>
        <w:rPr>
          <w:rFonts w:hint="eastAsia" w:cs="Times New Roman"/>
          <w:highlight w:val="none"/>
        </w:rPr>
        <w:t>0%，得</w:t>
      </w:r>
      <w:r>
        <w:rPr>
          <w:rFonts w:hint="eastAsia" w:cs="Times New Roman"/>
          <w:highlight w:val="none"/>
          <w:lang w:val="en-US" w:eastAsia="zh-CN"/>
        </w:rPr>
        <w:t>10</w:t>
      </w:r>
      <w:r>
        <w:rPr>
          <w:rFonts w:hint="eastAsia" w:cs="Times New Roman"/>
          <w:highlight w:val="none"/>
        </w:rPr>
        <w:t>分</w:t>
      </w:r>
      <w:r>
        <w:rPr>
          <w:rFonts w:cs="Times New Roman"/>
        </w:rPr>
        <w:t>；</w:t>
      </w:r>
    </w:p>
    <w:bookmarkEnd w:id="47"/>
    <w:p w14:paraId="5253A1BF">
      <w:pPr>
        <w:autoSpaceDE/>
        <w:autoSpaceDN/>
        <w:spacing w:line="360" w:lineRule="auto"/>
        <w:ind w:firstLine="565" w:firstLineChars="256"/>
        <w:rPr>
          <w:rFonts w:cs="Times New Roman"/>
        </w:rPr>
      </w:pPr>
      <w:bookmarkStart w:id="48" w:name="_Toc12053"/>
      <w:r>
        <w:rPr>
          <w:rFonts w:cs="Times New Roman"/>
          <w:b/>
          <w:bCs/>
        </w:rPr>
        <w:t>2</w:t>
      </w:r>
      <w:r>
        <w:rPr>
          <w:rFonts w:cs="Times New Roman"/>
        </w:rPr>
        <w:t>　</w:t>
      </w:r>
      <w:r>
        <w:rPr>
          <w:rFonts w:hint="eastAsia" w:cs="Times New Roman"/>
        </w:rPr>
        <w:t>采用集成外窗</w:t>
      </w:r>
      <w:r>
        <w:rPr>
          <w:rFonts w:hint="eastAsia" w:cs="Times New Roman"/>
          <w:lang w:eastAsia="zh-CN"/>
        </w:rPr>
        <w:t>和</w:t>
      </w:r>
      <w:r>
        <w:rPr>
          <w:rFonts w:hint="eastAsia" w:cs="Times New Roman"/>
        </w:rPr>
        <w:t>集成</w:t>
      </w:r>
      <w:r>
        <w:rPr>
          <w:rFonts w:hint="eastAsia" w:cs="Times New Roman"/>
          <w:lang w:val="en-US" w:eastAsia="zh-CN"/>
        </w:rPr>
        <w:t>外部设施</w:t>
      </w:r>
      <w:r>
        <w:rPr>
          <w:rFonts w:hint="eastAsia" w:cs="Times New Roman"/>
        </w:rPr>
        <w:t>的</w:t>
      </w:r>
      <w:r>
        <w:rPr>
          <w:rFonts w:hint="eastAsia" w:cs="Times New Roman"/>
          <w:lang w:val="en-US" w:eastAsia="zh-CN"/>
        </w:rPr>
        <w:t>外墙</w:t>
      </w:r>
      <w:r>
        <w:rPr>
          <w:rFonts w:hint="eastAsia" w:cs="Times New Roman"/>
        </w:rPr>
        <w:t>面积占</w:t>
      </w:r>
      <w:r>
        <w:rPr>
          <w:rFonts w:hint="eastAsia" w:cs="Times New Roman"/>
          <w:lang w:val="en-US" w:eastAsia="zh-CN"/>
        </w:rPr>
        <w:t>比</w:t>
      </w:r>
      <w:r>
        <w:rPr>
          <w:rFonts w:hint="eastAsia" w:cs="Times New Roman"/>
        </w:rPr>
        <w:t>达到50%，得</w:t>
      </w:r>
      <w:r>
        <w:rPr>
          <w:rFonts w:hint="eastAsia" w:cs="Times New Roman"/>
          <w:lang w:val="en-US" w:eastAsia="zh-CN"/>
        </w:rPr>
        <w:t>3</w:t>
      </w:r>
      <w:r>
        <w:rPr>
          <w:rFonts w:hint="eastAsia" w:cs="Times New Roman"/>
        </w:rPr>
        <w:t>分</w:t>
      </w:r>
      <w:r>
        <w:rPr>
          <w:rFonts w:cs="Times New Roman"/>
        </w:rPr>
        <w:t>；</w:t>
      </w:r>
      <w:bookmarkEnd w:id="48"/>
    </w:p>
    <w:p w14:paraId="2DDEAA1C">
      <w:pPr>
        <w:autoSpaceDE/>
        <w:autoSpaceDN/>
        <w:spacing w:line="360" w:lineRule="auto"/>
        <w:ind w:firstLine="565" w:firstLineChars="256"/>
        <w:rPr>
          <w:rFonts w:hint="eastAsia" w:cs="Times New Roman"/>
          <w:lang w:eastAsia="zh-CN"/>
        </w:rPr>
      </w:pPr>
      <w:bookmarkStart w:id="49" w:name="_Toc2514"/>
      <w:r>
        <w:rPr>
          <w:rFonts w:cs="Times New Roman"/>
          <w:b/>
          <w:bCs/>
        </w:rPr>
        <w:t>3</w:t>
      </w:r>
      <w:r>
        <w:rPr>
          <w:rFonts w:cs="Times New Roman"/>
        </w:rPr>
        <w:t>　</w:t>
      </w:r>
      <w:bookmarkEnd w:id="49"/>
      <w:r>
        <w:rPr>
          <w:rFonts w:hint="eastAsia" w:cs="Times New Roman"/>
        </w:rPr>
        <w:t>采用管线一体化或管线分离设计的外墙面积</w:t>
      </w:r>
      <w:r>
        <w:rPr>
          <w:rFonts w:hint="eastAsia" w:cs="Times New Roman"/>
          <w:lang w:val="en-US" w:eastAsia="zh-CN"/>
        </w:rPr>
        <w:t>占比</w:t>
      </w:r>
      <w:r>
        <w:rPr>
          <w:rFonts w:hint="eastAsia" w:cs="Times New Roman"/>
        </w:rPr>
        <w:t>达到50%，得</w:t>
      </w:r>
      <w:r>
        <w:rPr>
          <w:rFonts w:hint="eastAsia" w:cs="Times New Roman"/>
          <w:lang w:val="en-US" w:eastAsia="zh-CN"/>
        </w:rPr>
        <w:t>2</w:t>
      </w:r>
      <w:r>
        <w:rPr>
          <w:rFonts w:hint="eastAsia" w:cs="Times New Roman"/>
        </w:rPr>
        <w:t>分</w:t>
      </w:r>
      <w:r>
        <w:rPr>
          <w:rFonts w:hint="eastAsia" w:cs="Times New Roman"/>
          <w:lang w:eastAsia="zh-CN"/>
        </w:rPr>
        <w:t>。</w:t>
      </w:r>
    </w:p>
    <w:p w14:paraId="065A0DB5">
      <w:pPr>
        <w:pStyle w:val="20"/>
        <w:widowControl/>
        <w:autoSpaceDE/>
        <w:autoSpaceDN/>
        <w:spacing w:beforeAutospacing="0" w:afterAutospacing="0" w:line="360" w:lineRule="auto"/>
        <w:jc w:val="both"/>
        <w:rPr>
          <w:rFonts w:hint="default" w:cs="Times New Roman"/>
          <w:i/>
          <w:iCs/>
          <w:caps w:val="0"/>
          <w:color w:val="000000"/>
          <w:spacing w:val="0"/>
          <w:sz w:val="22"/>
          <w:szCs w:val="22"/>
          <w:highlight w:val="none"/>
          <w:shd w:val="clear"/>
          <w:lang w:val="en-US" w:eastAsia="zh-CN"/>
        </w:rPr>
      </w:pPr>
      <w:r>
        <w:rPr>
          <w:rFonts w:hint="eastAsia"/>
          <w:i/>
          <w:iCs/>
          <w:color w:val="000000"/>
          <w:sz w:val="22"/>
        </w:rPr>
        <w:t>【条文说明】</w:t>
      </w:r>
      <w:r>
        <w:rPr>
          <w:rFonts w:hint="eastAsia" w:cs="Times New Roman"/>
          <w:i/>
          <w:iCs/>
          <w:caps w:val="0"/>
          <w:color w:val="000000"/>
          <w:spacing w:val="0"/>
          <w:sz w:val="22"/>
          <w:szCs w:val="22"/>
          <w:highlight w:val="none"/>
          <w:shd w:val="clear"/>
          <w:lang w:val="en-US" w:eastAsia="zh-CN"/>
        </w:rPr>
        <w:t>第1款，传统保温的寿命为25年左右，本款通过采用夹心保温做法既提升了现场作业效率，又提高了保温系统的耐久性和安全性，较大程度降低更换保温的隐含碳排放。该款常见做法有预制混凝土夹心保温外墙板、预制混凝土外挂夹心墙板和预制夹心条板</w:t>
      </w:r>
    </w:p>
    <w:p w14:paraId="2E407ECA">
      <w:pPr>
        <w:pStyle w:val="20"/>
        <w:widowControl/>
        <w:autoSpaceDE/>
        <w:autoSpaceDN/>
        <w:spacing w:beforeAutospacing="0" w:afterAutospacing="0" w:line="360" w:lineRule="auto"/>
        <w:ind w:firstLine="420" w:firstLineChars="0"/>
        <w:jc w:val="both"/>
        <w:rPr>
          <w:rFonts w:hint="default" w:cs="Times New Roman"/>
          <w:i/>
          <w:iCs/>
          <w:caps w:val="0"/>
          <w:color w:val="000000"/>
          <w:spacing w:val="0"/>
          <w:sz w:val="22"/>
          <w:szCs w:val="22"/>
          <w:highlight w:val="none"/>
          <w:shd w:val="clear"/>
          <w:lang w:val="en-US" w:eastAsia="zh-CN"/>
        </w:rPr>
      </w:pPr>
      <w:r>
        <w:rPr>
          <w:rFonts w:hint="eastAsia" w:cs="Times New Roman"/>
          <w:i/>
          <w:iCs/>
          <w:caps w:val="0"/>
          <w:color w:val="000000"/>
          <w:spacing w:val="0"/>
          <w:sz w:val="22"/>
          <w:szCs w:val="22"/>
          <w:highlight w:val="none"/>
          <w:shd w:val="clear"/>
          <w:lang w:val="en-US" w:eastAsia="zh-CN"/>
        </w:rPr>
        <w:t>第2款，采用集成外窗和集成外部设施，可以有效降低材料损耗、提升施工建造效率、减少机械设备用量，有的甚至可以免去外部脚手架等措施，是低碳的重要措施；</w:t>
      </w:r>
    </w:p>
    <w:p w14:paraId="01F89FA2">
      <w:pPr>
        <w:pStyle w:val="20"/>
        <w:widowControl/>
        <w:autoSpaceDE/>
        <w:autoSpaceDN/>
        <w:spacing w:beforeAutospacing="0" w:afterAutospacing="0" w:line="360" w:lineRule="auto"/>
        <w:ind w:firstLine="420" w:firstLineChars="0"/>
        <w:jc w:val="both"/>
        <w:rPr>
          <w:rFonts w:hint="eastAsia" w:cs="Times New Roman"/>
          <w:i/>
          <w:iCs/>
          <w:caps w:val="0"/>
          <w:color w:val="000000"/>
          <w:spacing w:val="0"/>
          <w:sz w:val="22"/>
          <w:szCs w:val="22"/>
          <w:highlight w:val="none"/>
          <w:shd w:val="clear"/>
          <w:lang w:val="en-US" w:eastAsia="zh-CN"/>
        </w:rPr>
      </w:pPr>
      <w:r>
        <w:rPr>
          <w:rFonts w:hint="eastAsia" w:cs="Times New Roman"/>
          <w:i/>
          <w:iCs/>
          <w:caps w:val="0"/>
          <w:color w:val="000000"/>
          <w:spacing w:val="0"/>
          <w:sz w:val="22"/>
          <w:szCs w:val="22"/>
          <w:highlight w:val="none"/>
          <w:shd w:val="clear"/>
          <w:lang w:val="en-US" w:eastAsia="zh-CN"/>
        </w:rPr>
        <w:t>第3款，意在降低施工阶段的管线作业量和损耗，并提升使用阶段的适变性，从而降低隐含碳排放和运行碳排放。管线分离技术是将电气、给水排水和采暖管线等裸露于室内空间，或敷设在地面架空层、非承重墙体空腔和吊顶内的做法。</w:t>
      </w:r>
      <w:r>
        <w:rPr>
          <w:rFonts w:hint="default" w:ascii="Times New Roman" w:hAnsi="Times New Roman" w:eastAsia="宋体" w:cs="Times New Roman"/>
          <w:i/>
          <w:iCs/>
          <w:caps w:val="0"/>
          <w:color w:val="000000"/>
          <w:spacing w:val="0"/>
          <w:sz w:val="22"/>
          <w:szCs w:val="22"/>
          <w:highlight w:val="none"/>
          <w:shd w:val="clear"/>
          <w:lang w:val="en-US" w:eastAsia="zh-CN"/>
        </w:rPr>
        <w:t>设计阶段应有完整、系统的墙体结构、保温与装饰的一体化集成设计成果，例如外饰面做法、保温板排板、连接构造、机电与内装等预留预埋等。</w:t>
      </w:r>
      <w:r>
        <w:rPr>
          <w:rFonts w:hint="eastAsia" w:cs="Times New Roman"/>
          <w:i/>
          <w:iCs/>
          <w:caps w:val="0"/>
          <w:color w:val="000000"/>
          <w:spacing w:val="0"/>
          <w:sz w:val="22"/>
          <w:szCs w:val="22"/>
          <w:highlight w:val="none"/>
          <w:shd w:val="clear"/>
          <w:lang w:val="en-US" w:eastAsia="zh-CN"/>
        </w:rPr>
        <w:t>墙体与管线一体化的基本要求则为:墙体内预留的管、线、盒、孔等应在工厂进行设置，严禁在现场剔凿及采用湿法作业的方式修补。管线分离技术和设备及管线一体化各有优势，适用于不同的建筑需求和施工环境。前者通过施工灵活性和后期可维护性，后者通过预制模块的标准化和一体化施工，从不同角度提升了装配式建筑的建设运维品质，节约了建设运维成本。对于埋置在结构构件内部(不含横穿)或直接敷设在砌块、条板开槽内的管线应认定为管线未分离:敷设在湿作业找平层、垫层内的管线的做法，应认定为管线未分离;埋置在墙内部的套管、管等可视为空腔，其内部线缆满足可检修和易更换的要求，可计入管线分离。</w:t>
      </w:r>
    </w:p>
    <w:p w14:paraId="48320DB5">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设计阶段评价查阅建筑、结构</w:t>
      </w:r>
      <w:r>
        <w:rPr>
          <w:rFonts w:hint="eastAsia"/>
          <w:i/>
          <w:iCs/>
          <w:color w:val="000000"/>
          <w:sz w:val="22"/>
          <w:lang w:eastAsia="zh-CN"/>
        </w:rPr>
        <w:t>专业</w:t>
      </w:r>
      <w:r>
        <w:rPr>
          <w:rFonts w:hint="eastAsia"/>
          <w:i/>
          <w:iCs/>
          <w:color w:val="000000"/>
          <w:sz w:val="22"/>
        </w:rPr>
        <w:t>施工图及</w:t>
      </w:r>
      <w:r>
        <w:rPr>
          <w:rFonts w:hint="eastAsia"/>
          <w:i/>
          <w:iCs/>
          <w:color w:val="000000"/>
          <w:sz w:val="22"/>
          <w:lang w:eastAsia="zh-CN"/>
        </w:rPr>
        <w:t>设计</w:t>
      </w:r>
      <w:r>
        <w:rPr>
          <w:rFonts w:hint="eastAsia"/>
          <w:i/>
          <w:iCs/>
          <w:color w:val="000000"/>
          <w:sz w:val="22"/>
        </w:rPr>
        <w:t>说明，一体化集成比例计算书；</w:t>
      </w:r>
      <w:r>
        <w:rPr>
          <w:rFonts w:hint="eastAsia"/>
          <w:i/>
          <w:iCs/>
          <w:color w:val="000000"/>
          <w:sz w:val="22"/>
          <w:lang w:val="en-US" w:eastAsia="zh-CN"/>
        </w:rPr>
        <w:t>运行阶段评价</w:t>
      </w:r>
      <w:r>
        <w:rPr>
          <w:rFonts w:hint="eastAsia"/>
          <w:i/>
          <w:iCs/>
          <w:color w:val="000000"/>
          <w:sz w:val="22"/>
        </w:rPr>
        <w:t>查阅建筑、结构</w:t>
      </w:r>
      <w:r>
        <w:rPr>
          <w:rFonts w:hint="eastAsia"/>
          <w:i/>
          <w:iCs/>
          <w:color w:val="000000"/>
          <w:sz w:val="22"/>
          <w:lang w:eastAsia="zh-CN"/>
        </w:rPr>
        <w:t>专业</w:t>
      </w:r>
      <w:r>
        <w:rPr>
          <w:rFonts w:hint="eastAsia"/>
          <w:i/>
          <w:iCs/>
          <w:color w:val="000000"/>
          <w:sz w:val="22"/>
        </w:rPr>
        <w:t>竣工图及</w:t>
      </w:r>
      <w:r>
        <w:rPr>
          <w:rFonts w:hint="eastAsia"/>
          <w:i/>
          <w:iCs/>
          <w:color w:val="000000"/>
          <w:sz w:val="22"/>
          <w:lang w:eastAsia="zh-CN"/>
        </w:rPr>
        <w:t>设计</w:t>
      </w:r>
      <w:r>
        <w:rPr>
          <w:rFonts w:hint="eastAsia"/>
          <w:i/>
          <w:iCs/>
          <w:color w:val="000000"/>
          <w:sz w:val="22"/>
        </w:rPr>
        <w:t>说明、现场施工影像资料。</w:t>
      </w:r>
    </w:p>
    <w:p w14:paraId="6AC9156B">
      <w:pPr>
        <w:pStyle w:val="20"/>
        <w:widowControl/>
        <w:autoSpaceDE/>
        <w:autoSpaceDN/>
        <w:spacing w:before="234" w:beforeLines="75" w:beforeAutospacing="0" w:after="234" w:afterLines="75" w:afterAutospacing="0" w:line="360" w:lineRule="auto"/>
        <w:jc w:val="center"/>
        <w:outlineLvl w:val="2"/>
        <w:rPr>
          <w:rStyle w:val="29"/>
          <w:rFonts w:eastAsia="仿宋"/>
          <w:szCs w:val="22"/>
        </w:rPr>
      </w:pPr>
      <w:bookmarkStart w:id="50" w:name="_Toc3060"/>
      <w:bookmarkStart w:id="51" w:name="_Toc12602"/>
      <w:bookmarkStart w:id="52" w:name="_Toc5489"/>
      <w:bookmarkStart w:id="53" w:name="_Toc94165792"/>
      <w:bookmarkStart w:id="54" w:name="_Toc31813"/>
      <w:bookmarkStart w:id="55" w:name="_Toc25941"/>
      <w:bookmarkStart w:id="56" w:name="_Toc3723"/>
      <w:bookmarkStart w:id="57" w:name="_Toc24435"/>
      <w:r>
        <w:rPr>
          <w:rStyle w:val="29"/>
          <w:rFonts w:eastAsia="仿宋"/>
          <w:b/>
          <w:bCs/>
          <w:szCs w:val="22"/>
        </w:rPr>
        <w:t>Ⅱ　</w:t>
      </w:r>
      <w:bookmarkEnd w:id="50"/>
      <w:bookmarkEnd w:id="51"/>
      <w:bookmarkEnd w:id="52"/>
      <w:bookmarkEnd w:id="53"/>
      <w:r>
        <w:rPr>
          <w:rStyle w:val="29"/>
          <w:rFonts w:hint="eastAsia" w:eastAsia="仿宋"/>
          <w:b/>
          <w:bCs/>
          <w:szCs w:val="22"/>
        </w:rPr>
        <w:t>结构</w:t>
      </w:r>
      <w:r>
        <w:rPr>
          <w:rStyle w:val="29"/>
          <w:rFonts w:hint="eastAsia" w:eastAsia="仿宋"/>
          <w:b/>
          <w:bCs/>
          <w:szCs w:val="22"/>
          <w:lang w:val="en-US"/>
        </w:rPr>
        <w:t>系统</w:t>
      </w:r>
      <w:r>
        <w:rPr>
          <w:rStyle w:val="29"/>
          <w:rFonts w:hint="eastAsia" w:eastAsia="仿宋"/>
          <w:b/>
          <w:bCs/>
          <w:szCs w:val="22"/>
        </w:rPr>
        <w:t>设计</w:t>
      </w:r>
      <w:bookmarkEnd w:id="54"/>
      <w:bookmarkEnd w:id="55"/>
      <w:bookmarkEnd w:id="56"/>
      <w:bookmarkEnd w:id="57"/>
    </w:p>
    <w:p w14:paraId="56ED452E">
      <w:pPr>
        <w:autoSpaceDE/>
        <w:autoSpaceDN/>
        <w:spacing w:line="360" w:lineRule="auto"/>
        <w:rPr>
          <w:rFonts w:cs="Times New Roman"/>
          <w:color w:val="404040" w:themeColor="text1" w:themeTint="BF"/>
          <w:highlight w:val="none"/>
          <w14:textFill>
            <w14:solidFill>
              <w14:schemeClr w14:val="tx1">
                <w14:lumMod w14:val="75000"/>
                <w14:lumOff w14:val="25000"/>
              </w14:schemeClr>
            </w14:solidFill>
          </w14:textFill>
        </w:rPr>
      </w:pPr>
      <w:r>
        <w:rPr>
          <w:rFonts w:cs="Times New Roman"/>
          <w:b/>
          <w:bCs/>
          <w:color w:val="404040" w:themeColor="text1" w:themeTint="BF"/>
          <w:highlight w:val="none"/>
          <w14:textFill>
            <w14:solidFill>
              <w14:schemeClr w14:val="tx1">
                <w14:lumMod w14:val="75000"/>
                <w14:lumOff w14:val="25000"/>
              </w14:schemeClr>
            </w14:solidFill>
          </w14:textFill>
        </w:rPr>
        <w:t>4.2.</w:t>
      </w:r>
      <w:r>
        <w:rPr>
          <w:rFonts w:hint="eastAsia" w:cs="Times New Roman"/>
          <w:b/>
          <w:bCs/>
          <w:color w:val="404040" w:themeColor="text1" w:themeTint="BF"/>
          <w:highlight w:val="none"/>
          <w:lang w:val="en-US" w:eastAsia="zh-CN"/>
          <w14:textFill>
            <w14:solidFill>
              <w14:schemeClr w14:val="tx1">
                <w14:lumMod w14:val="75000"/>
                <w14:lumOff w14:val="25000"/>
              </w14:schemeClr>
            </w14:solidFill>
          </w14:textFill>
        </w:rPr>
        <w:t>5</w:t>
      </w:r>
      <w:r>
        <w:rPr>
          <w:rFonts w:cs="Times New Roman"/>
          <w:b/>
          <w:bCs/>
          <w:color w:val="404040" w:themeColor="text1" w:themeTint="BF"/>
          <w:highlight w:val="none"/>
          <w14:textFill>
            <w14:solidFill>
              <w14:schemeClr w14:val="tx1">
                <w14:lumMod w14:val="75000"/>
                <w14:lumOff w14:val="25000"/>
              </w14:schemeClr>
            </w14:solidFill>
          </w14:textFill>
        </w:rPr>
        <w:t>　</w:t>
      </w:r>
      <w:r>
        <w:rPr>
          <w:rFonts w:hint="eastAsia" w:cs="Times New Roman"/>
          <w:color w:val="404040" w:themeColor="text1" w:themeTint="BF"/>
          <w:highlight w:val="none"/>
          <w:lang w:val="en-US" w:eastAsia="zh-CN"/>
          <w14:textFill>
            <w14:solidFill>
              <w14:schemeClr w14:val="tx1">
                <w14:lumMod w14:val="75000"/>
                <w14:lumOff w14:val="25000"/>
              </w14:schemeClr>
            </w14:solidFill>
          </w14:textFill>
        </w:rPr>
        <w:t>采用规则的建筑形体，</w:t>
      </w:r>
      <w:r>
        <w:rPr>
          <w:rFonts w:hint="eastAsia" w:cs="Times New Roman"/>
          <w:color w:val="404040" w:themeColor="text1" w:themeTint="BF"/>
          <w:highlight w:val="none"/>
          <w:lang w:val="en-US"/>
          <w14:textFill>
            <w14:solidFill>
              <w14:schemeClr w14:val="tx1">
                <w14:lumMod w14:val="75000"/>
                <w14:lumOff w14:val="25000"/>
              </w14:schemeClr>
            </w14:solidFill>
          </w14:textFill>
        </w:rPr>
        <w:t>评价总分值为</w:t>
      </w:r>
      <w:r>
        <w:rPr>
          <w:rFonts w:hint="eastAsia" w:cs="Times New Roman"/>
          <w:color w:val="404040" w:themeColor="text1" w:themeTint="BF"/>
          <w:highlight w:val="none"/>
          <w:lang w:val="en-US" w:eastAsia="zh-CN"/>
          <w14:textFill>
            <w14:solidFill>
              <w14:schemeClr w14:val="tx1">
                <w14:lumMod w14:val="75000"/>
                <w14:lumOff w14:val="25000"/>
              </w14:schemeClr>
            </w14:solidFill>
          </w14:textFill>
        </w:rPr>
        <w:t>5</w:t>
      </w:r>
      <w:r>
        <w:rPr>
          <w:rFonts w:hint="eastAsia" w:cs="Times New Roman"/>
          <w:color w:val="404040" w:themeColor="text1" w:themeTint="BF"/>
          <w:highlight w:val="none"/>
          <w:lang w:val="en-US"/>
          <w14:textFill>
            <w14:solidFill>
              <w14:schemeClr w14:val="tx1">
                <w14:lumMod w14:val="75000"/>
                <w14:lumOff w14:val="25000"/>
              </w14:schemeClr>
            </w14:solidFill>
          </w14:textFill>
        </w:rPr>
        <w:t>分。</w:t>
      </w:r>
      <w:bookmarkStart w:id="58" w:name="_Toc27099"/>
      <w:r>
        <w:rPr>
          <w:rFonts w:hint="eastAsia" w:cs="Times New Roman"/>
          <w:color w:val="404040" w:themeColor="text1" w:themeTint="BF"/>
          <w:highlight w:val="none"/>
          <w:lang w:val="en-US"/>
          <w14:textFill>
            <w14:solidFill>
              <w14:schemeClr w14:val="tx1">
                <w14:lumMod w14:val="75000"/>
                <w14:lumOff w14:val="25000"/>
              </w14:schemeClr>
            </w14:solidFill>
          </w14:textFill>
        </w:rPr>
        <w:t>建筑形体选用</w:t>
      </w:r>
      <w:r>
        <w:rPr>
          <w:rFonts w:hint="eastAsia" w:cs="Times New Roman"/>
          <w:color w:val="404040" w:themeColor="text1" w:themeTint="BF"/>
          <w:highlight w:val="none"/>
          <w:lang w:val="en-US" w:eastAsia="zh-CN"/>
          <w14:textFill>
            <w14:solidFill>
              <w14:schemeClr w14:val="tx1">
                <w14:lumMod w14:val="75000"/>
                <w14:lumOff w14:val="25000"/>
              </w14:schemeClr>
            </w14:solidFill>
          </w14:textFill>
        </w:rPr>
        <w:t>不规则形体时，得3分；</w:t>
      </w:r>
      <w:r>
        <w:rPr>
          <w:rFonts w:hint="eastAsia" w:cs="Times New Roman"/>
          <w:color w:val="404040" w:themeColor="text1" w:themeTint="BF"/>
          <w:highlight w:val="none"/>
          <w:lang w:val="en-US"/>
          <w14:textFill>
            <w14:solidFill>
              <w14:schemeClr w14:val="tx1">
                <w14:lumMod w14:val="75000"/>
                <w14:lumOff w14:val="25000"/>
              </w14:schemeClr>
            </w14:solidFill>
          </w14:textFill>
        </w:rPr>
        <w:t>规则形体，得</w:t>
      </w:r>
      <w:r>
        <w:rPr>
          <w:rFonts w:hint="eastAsia" w:cs="Times New Roman"/>
          <w:color w:val="404040" w:themeColor="text1" w:themeTint="BF"/>
          <w:highlight w:val="none"/>
          <w:lang w:val="en-US" w:eastAsia="zh-CN"/>
          <w14:textFill>
            <w14:solidFill>
              <w14:schemeClr w14:val="tx1">
                <w14:lumMod w14:val="75000"/>
                <w14:lumOff w14:val="25000"/>
              </w14:schemeClr>
            </w14:solidFill>
          </w14:textFill>
        </w:rPr>
        <w:t>5</w:t>
      </w:r>
      <w:r>
        <w:rPr>
          <w:rFonts w:hint="eastAsia" w:cs="Times New Roman"/>
          <w:color w:val="404040" w:themeColor="text1" w:themeTint="BF"/>
          <w:highlight w:val="none"/>
          <w:lang w:val="en-US"/>
          <w14:textFill>
            <w14:solidFill>
              <w14:schemeClr w14:val="tx1">
                <w14:lumMod w14:val="75000"/>
                <w14:lumOff w14:val="25000"/>
              </w14:schemeClr>
            </w14:solidFill>
          </w14:textFill>
        </w:rPr>
        <w:t>分</w:t>
      </w:r>
      <w:r>
        <w:rPr>
          <w:rFonts w:cs="Times New Roman"/>
          <w:color w:val="404040" w:themeColor="text1" w:themeTint="BF"/>
          <w:highlight w:val="none"/>
          <w14:textFill>
            <w14:solidFill>
              <w14:schemeClr w14:val="tx1">
                <w14:lumMod w14:val="75000"/>
                <w14:lumOff w14:val="25000"/>
              </w14:schemeClr>
            </w14:solidFill>
          </w14:textFill>
        </w:rPr>
        <w:t>；</w:t>
      </w:r>
      <w:bookmarkEnd w:id="58"/>
    </w:p>
    <w:p w14:paraId="3C5A555B">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建筑形体的规则性对结构材料用量影响较大，不规则的建筑形体还会造成装配式建造技术难度增大，从而增加结构碳排放。本条的建筑形体规则性按照《建筑抗震设计标准》GB50011-2010（2024年版）判定。本条采用特别不规则或严重不规则形体时，不得分。</w:t>
      </w:r>
    </w:p>
    <w:p w14:paraId="0BB07ACC">
      <w:pPr>
        <w:pStyle w:val="20"/>
        <w:widowControl/>
        <w:autoSpaceDE/>
        <w:autoSpaceDN/>
        <w:spacing w:beforeAutospacing="0" w:afterAutospacing="0" w:line="360" w:lineRule="auto"/>
        <w:ind w:firstLine="420" w:firstLineChars="0"/>
        <w:jc w:val="both"/>
        <w:rPr>
          <w:i/>
          <w:iCs/>
          <w:color w:val="000000"/>
          <w:sz w:val="22"/>
          <w:highlight w:val="none"/>
        </w:rPr>
      </w:pPr>
      <w:r>
        <w:rPr>
          <w:rFonts w:hint="eastAsia"/>
          <w:i/>
          <w:iCs/>
          <w:color w:val="000000"/>
          <w:sz w:val="22"/>
          <w:highlight w:val="none"/>
        </w:rPr>
        <w:t>本条的评价方法为：</w:t>
      </w:r>
      <w:r>
        <w:rPr>
          <w:rFonts w:hint="eastAsia"/>
          <w:i/>
          <w:iCs/>
          <w:color w:val="000000"/>
          <w:sz w:val="22"/>
        </w:rPr>
        <w:t>设计阶段评价查阅</w:t>
      </w:r>
      <w:r>
        <w:rPr>
          <w:rFonts w:hint="eastAsia"/>
          <w:i/>
          <w:iCs/>
          <w:color w:val="000000"/>
          <w:sz w:val="22"/>
          <w:lang w:eastAsia="zh-CN"/>
        </w:rPr>
        <w:t>建筑、结构专业施工图、建筑形体规则性判定报告；</w:t>
      </w:r>
      <w:r>
        <w:rPr>
          <w:rFonts w:hint="eastAsia"/>
          <w:i/>
          <w:iCs/>
          <w:color w:val="000000"/>
          <w:sz w:val="22"/>
          <w:lang w:val="en-US" w:eastAsia="zh-CN"/>
        </w:rPr>
        <w:t>运行阶段评价</w:t>
      </w:r>
      <w:r>
        <w:rPr>
          <w:rFonts w:hint="eastAsia"/>
          <w:i/>
          <w:iCs/>
          <w:color w:val="000000"/>
          <w:sz w:val="22"/>
        </w:rPr>
        <w:t>查阅建筑、结构</w:t>
      </w:r>
      <w:r>
        <w:rPr>
          <w:rFonts w:hint="eastAsia"/>
          <w:i/>
          <w:iCs/>
          <w:color w:val="000000"/>
          <w:sz w:val="22"/>
          <w:lang w:eastAsia="zh-CN"/>
        </w:rPr>
        <w:t>专业</w:t>
      </w:r>
      <w:r>
        <w:rPr>
          <w:rFonts w:hint="eastAsia"/>
          <w:i/>
          <w:iCs/>
          <w:color w:val="000000"/>
          <w:sz w:val="22"/>
        </w:rPr>
        <w:t>竣工图</w:t>
      </w:r>
      <w:r>
        <w:rPr>
          <w:rFonts w:hint="eastAsia"/>
          <w:i/>
          <w:iCs/>
          <w:color w:val="000000"/>
          <w:sz w:val="22"/>
          <w:lang w:eastAsia="zh-CN"/>
        </w:rPr>
        <w:t>、建筑形体规则性判定报告。</w:t>
      </w:r>
    </w:p>
    <w:p w14:paraId="545A62F5">
      <w:pPr>
        <w:pStyle w:val="20"/>
        <w:widowControl/>
        <w:autoSpaceDE/>
        <w:autoSpaceDN/>
        <w:spacing w:beforeAutospacing="0" w:afterAutospacing="0" w:line="360" w:lineRule="auto"/>
        <w:rPr>
          <w:rFonts w:hint="eastAsia"/>
          <w:color w:val="000000" w:themeColor="text1"/>
          <w:sz w:val="22"/>
          <w14:textFill>
            <w14:solidFill>
              <w14:schemeClr w14:val="tx1"/>
            </w14:solidFill>
          </w14:textFill>
        </w:rPr>
      </w:pPr>
      <w:r>
        <w:rPr>
          <w:b/>
          <w:bCs/>
          <w:color w:val="000000" w:themeColor="text1"/>
          <w:sz w:val="22"/>
          <w14:textFill>
            <w14:solidFill>
              <w14:schemeClr w14:val="tx1"/>
            </w14:solidFill>
          </w14:textFill>
        </w:rPr>
        <w:t>4.2.</w:t>
      </w:r>
      <w:r>
        <w:rPr>
          <w:rFonts w:hint="eastAsia"/>
          <w:b/>
          <w:bCs/>
          <w:color w:val="000000" w:themeColor="text1"/>
          <w:sz w:val="22"/>
          <w:lang w:val="en-US" w:eastAsia="zh-CN"/>
          <w14:textFill>
            <w14:solidFill>
              <w14:schemeClr w14:val="tx1"/>
            </w14:solidFill>
          </w14:textFill>
        </w:rPr>
        <w:t>6</w:t>
      </w:r>
      <w:r>
        <w:rPr>
          <w:b/>
          <w:bCs/>
          <w:color w:val="000000" w:themeColor="text1"/>
          <w:sz w:val="22"/>
          <w14:textFill>
            <w14:solidFill>
              <w14:schemeClr w14:val="tx1"/>
            </w14:solidFill>
          </w14:textFill>
        </w:rPr>
        <w:t>　</w:t>
      </w:r>
      <w:r>
        <w:rPr>
          <w:rFonts w:hint="eastAsia"/>
          <w:color w:val="000000" w:themeColor="text1"/>
          <w:sz w:val="22"/>
          <w14:textFill>
            <w14:solidFill>
              <w14:schemeClr w14:val="tx1"/>
            </w14:solidFill>
          </w14:textFill>
        </w:rPr>
        <w:t>选用</w:t>
      </w:r>
      <w:r>
        <w:rPr>
          <w:rFonts w:hint="eastAsia"/>
          <w:color w:val="000000" w:themeColor="text1"/>
          <w:sz w:val="22"/>
          <w:lang w:val="en-US" w:eastAsia="zh-CN"/>
          <w14:textFill>
            <w14:solidFill>
              <w14:schemeClr w14:val="tx1"/>
            </w14:solidFill>
          </w14:textFill>
        </w:rPr>
        <w:t>装配式钢结构体系，</w:t>
      </w:r>
      <w:r>
        <w:rPr>
          <w:rFonts w:hint="eastAsia"/>
          <w:color w:val="000000" w:themeColor="text1"/>
          <w:sz w:val="22"/>
          <w14:textFill>
            <w14:solidFill>
              <w14:schemeClr w14:val="tx1"/>
            </w14:solidFill>
          </w14:textFill>
        </w:rPr>
        <w:t>得</w:t>
      </w:r>
      <w:r>
        <w:rPr>
          <w:rFonts w:hint="eastAsia"/>
          <w:color w:val="000000" w:themeColor="text1"/>
          <w:sz w:val="22"/>
          <w:lang w:val="en-US" w:eastAsia="zh-CN"/>
          <w14:textFill>
            <w14:solidFill>
              <w14:schemeClr w14:val="tx1"/>
            </w14:solidFill>
          </w14:textFill>
        </w:rPr>
        <w:t>5</w:t>
      </w:r>
      <w:r>
        <w:rPr>
          <w:rFonts w:hint="eastAsia"/>
          <w:color w:val="000000" w:themeColor="text1"/>
          <w:sz w:val="22"/>
          <w14:textFill>
            <w14:solidFill>
              <w14:schemeClr w14:val="tx1"/>
            </w14:solidFill>
          </w14:textFill>
        </w:rPr>
        <w:t>分。</w:t>
      </w:r>
    </w:p>
    <w:p w14:paraId="4C5FE4DD">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钢材引其为可回收利用材料，相比混凝土材料，其低碳性能较好，能够达到10%以上。</w:t>
      </w:r>
    </w:p>
    <w:p w14:paraId="45C18B40">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val="en-US" w:eastAsia="zh-CN"/>
        </w:rPr>
        <w:t>结构设计施工图及设计说明；运行阶段评价</w:t>
      </w:r>
      <w:r>
        <w:rPr>
          <w:rFonts w:hint="eastAsia"/>
          <w:i/>
          <w:iCs/>
          <w:color w:val="000000"/>
          <w:sz w:val="22"/>
        </w:rPr>
        <w:t>查阅</w:t>
      </w:r>
      <w:r>
        <w:rPr>
          <w:rFonts w:hint="eastAsia"/>
          <w:i/>
          <w:iCs/>
          <w:color w:val="000000"/>
          <w:sz w:val="22"/>
          <w:lang w:val="en-US" w:eastAsia="zh-CN"/>
        </w:rPr>
        <w:t>结构设计竣工图及设计说明、</w:t>
      </w:r>
      <w:r>
        <w:rPr>
          <w:rFonts w:hint="eastAsia"/>
          <w:i/>
          <w:iCs/>
          <w:color w:val="000000"/>
          <w:sz w:val="22"/>
          <w:lang w:eastAsia="zh-CN"/>
        </w:rPr>
        <w:t>材料决算清单</w:t>
      </w:r>
      <w:r>
        <w:rPr>
          <w:rFonts w:hint="eastAsia"/>
          <w:i/>
          <w:iCs/>
          <w:color w:val="000000"/>
          <w:sz w:val="22"/>
          <w:lang w:val="en-US" w:eastAsia="zh-CN"/>
        </w:rPr>
        <w:t>等相关证明文件。</w:t>
      </w:r>
    </w:p>
    <w:p w14:paraId="312B690A">
      <w:pPr>
        <w:pStyle w:val="20"/>
        <w:widowControl/>
        <w:autoSpaceDE/>
        <w:autoSpaceDN/>
        <w:spacing w:beforeAutospacing="0" w:afterAutospacing="0" w:line="360" w:lineRule="auto"/>
        <w:rPr>
          <w:color w:val="000000" w:themeColor="text1"/>
          <w:sz w:val="22"/>
          <w14:textFill>
            <w14:solidFill>
              <w14:schemeClr w14:val="tx1"/>
            </w14:solidFill>
          </w14:textFill>
        </w:rPr>
      </w:pPr>
      <w:r>
        <w:rPr>
          <w:b/>
          <w:bCs/>
          <w:color w:val="000000" w:themeColor="text1"/>
          <w:sz w:val="22"/>
          <w14:textFill>
            <w14:solidFill>
              <w14:schemeClr w14:val="tx1"/>
            </w14:solidFill>
          </w14:textFill>
        </w:rPr>
        <w:t>4.2.</w:t>
      </w:r>
      <w:r>
        <w:rPr>
          <w:rFonts w:hint="eastAsia"/>
          <w:b/>
          <w:bCs/>
          <w:color w:val="000000" w:themeColor="text1"/>
          <w:sz w:val="22"/>
          <w:lang w:val="en-US" w:eastAsia="zh-CN"/>
          <w14:textFill>
            <w14:solidFill>
              <w14:schemeClr w14:val="tx1"/>
            </w14:solidFill>
          </w14:textFill>
        </w:rPr>
        <w:t>7</w:t>
      </w:r>
      <w:r>
        <w:rPr>
          <w:b/>
          <w:bCs/>
          <w:color w:val="000000" w:themeColor="text1"/>
          <w:sz w:val="22"/>
          <w14:textFill>
            <w14:solidFill>
              <w14:schemeClr w14:val="tx1"/>
            </w14:solidFill>
          </w14:textFill>
        </w:rPr>
        <w:t>　</w:t>
      </w:r>
      <w:r>
        <w:rPr>
          <w:rFonts w:hint="eastAsia"/>
          <w:color w:val="000000" w:themeColor="text1"/>
          <w:sz w:val="22"/>
          <w14:textFill>
            <w14:solidFill>
              <w14:schemeClr w14:val="tx1"/>
            </w14:solidFill>
          </w14:textFill>
        </w:rPr>
        <w:t>结构构件进行标准化设计，评价总分值为</w:t>
      </w:r>
      <w:r>
        <w:rPr>
          <w:rFonts w:hint="eastAsia"/>
          <w:color w:val="000000" w:themeColor="text1"/>
          <w:sz w:val="22"/>
          <w:lang w:val="en-US" w:eastAsia="zh-CN"/>
          <w14:textFill>
            <w14:solidFill>
              <w14:schemeClr w14:val="tx1"/>
            </w14:solidFill>
          </w14:textFill>
        </w:rPr>
        <w:t>10</w:t>
      </w:r>
      <w:r>
        <w:rPr>
          <w:rFonts w:hint="eastAsia"/>
          <w:color w:val="000000" w:themeColor="text1"/>
          <w:sz w:val="22"/>
          <w14:textFill>
            <w14:solidFill>
              <w14:schemeClr w14:val="tx1"/>
            </w14:solidFill>
          </w14:textFill>
        </w:rPr>
        <w:t>分，</w:t>
      </w:r>
      <w:r>
        <w:rPr>
          <w:color w:val="000000" w:themeColor="text1"/>
          <w:sz w:val="22"/>
          <w14:textFill>
            <w14:solidFill>
              <w14:schemeClr w14:val="tx1"/>
            </w14:solidFill>
          </w14:textFill>
        </w:rPr>
        <w:t>应按下列规则分别评分：</w:t>
      </w:r>
    </w:p>
    <w:p w14:paraId="5D0478A6">
      <w:pPr>
        <w:autoSpaceDE/>
        <w:autoSpaceDN/>
        <w:spacing w:line="360" w:lineRule="auto"/>
        <w:ind w:firstLine="565" w:firstLineChars="256"/>
        <w:rPr>
          <w:rFonts w:hint="eastAsia" w:cs="Times New Roman"/>
          <w:highlight w:val="none"/>
        </w:rPr>
      </w:pPr>
      <w:r>
        <w:rPr>
          <w:rFonts w:hint="eastAsia" w:cs="Times New Roman"/>
          <w:b/>
          <w:bCs/>
          <w:highlight w:val="none"/>
        </w:rPr>
        <w:t>1</w:t>
      </w:r>
      <w:r>
        <w:rPr>
          <w:rFonts w:cs="Times New Roman"/>
          <w:highlight w:val="none"/>
        </w:rPr>
        <w:t>　</w:t>
      </w:r>
      <w:r>
        <w:rPr>
          <w:rFonts w:hint="eastAsia" w:cs="Times New Roman"/>
          <w:highlight w:val="none"/>
        </w:rPr>
        <w:t>装配式混凝土结构，同规格预制构件</w:t>
      </w:r>
      <w:r>
        <w:rPr>
          <w:rFonts w:hint="eastAsia" w:cs="Times New Roman"/>
          <w:highlight w:val="none"/>
          <w:lang w:val="en-US" w:eastAsia="zh-CN"/>
        </w:rPr>
        <w:t>数量占比</w:t>
      </w:r>
      <w:r>
        <w:rPr>
          <w:rFonts w:hint="eastAsia" w:cs="Times New Roman"/>
          <w:highlight w:val="none"/>
          <w:lang w:eastAsia="zh-CN"/>
        </w:rPr>
        <w:t>达到</w:t>
      </w:r>
      <w:r>
        <w:rPr>
          <w:rFonts w:hint="eastAsia" w:cs="Times New Roman"/>
          <w:highlight w:val="none"/>
          <w:lang w:val="en-US" w:eastAsia="zh-CN"/>
        </w:rPr>
        <w:t>7</w:t>
      </w:r>
      <w:r>
        <w:rPr>
          <w:rFonts w:hint="eastAsia" w:cs="Times New Roman"/>
          <w:highlight w:val="none"/>
        </w:rPr>
        <w:t>0%，得</w:t>
      </w:r>
      <w:r>
        <w:rPr>
          <w:rFonts w:hint="eastAsia" w:cs="Times New Roman"/>
          <w:highlight w:val="none"/>
          <w:lang w:val="en-US" w:eastAsia="zh-CN"/>
        </w:rPr>
        <w:t>5</w:t>
      </w:r>
      <w:r>
        <w:rPr>
          <w:rFonts w:hint="eastAsia" w:cs="Times New Roman"/>
          <w:highlight w:val="none"/>
        </w:rPr>
        <w:t>分；</w:t>
      </w:r>
      <w:r>
        <w:rPr>
          <w:rFonts w:hint="eastAsia" w:cs="Times New Roman"/>
          <w:highlight w:val="none"/>
          <w:lang w:eastAsia="zh-CN"/>
        </w:rPr>
        <w:t>达到</w:t>
      </w:r>
      <w:r>
        <w:rPr>
          <w:rFonts w:hint="eastAsia" w:cs="Times New Roman"/>
          <w:highlight w:val="none"/>
          <w:lang w:val="en-US" w:eastAsia="zh-CN"/>
        </w:rPr>
        <w:t>85</w:t>
      </w:r>
      <w:r>
        <w:rPr>
          <w:rFonts w:hint="eastAsia" w:cs="Times New Roman"/>
          <w:highlight w:val="none"/>
        </w:rPr>
        <w:t>%，得</w:t>
      </w:r>
      <w:r>
        <w:rPr>
          <w:rFonts w:hint="eastAsia" w:cs="Times New Roman"/>
          <w:highlight w:val="none"/>
          <w:lang w:val="en-US" w:eastAsia="zh-CN"/>
        </w:rPr>
        <w:t>10</w:t>
      </w:r>
      <w:r>
        <w:rPr>
          <w:rFonts w:hint="eastAsia" w:cs="Times New Roman"/>
          <w:highlight w:val="none"/>
        </w:rPr>
        <w:t>分；</w:t>
      </w:r>
    </w:p>
    <w:p w14:paraId="608A3965">
      <w:pPr>
        <w:autoSpaceDE/>
        <w:autoSpaceDN/>
        <w:spacing w:line="360" w:lineRule="auto"/>
        <w:ind w:firstLine="565" w:firstLineChars="256"/>
        <w:rPr>
          <w:rFonts w:cs="Times New Roman"/>
          <w:highlight w:val="yellow"/>
        </w:rPr>
      </w:pPr>
      <w:r>
        <w:rPr>
          <w:rFonts w:hint="eastAsia" w:cs="Times New Roman"/>
          <w:b/>
          <w:bCs/>
        </w:rPr>
        <w:t>2</w:t>
      </w:r>
      <w:r>
        <w:rPr>
          <w:rFonts w:cs="Times New Roman"/>
        </w:rPr>
        <w:t>　</w:t>
      </w:r>
      <w:r>
        <w:rPr>
          <w:rFonts w:hint="eastAsia" w:cs="Times New Roman"/>
        </w:rPr>
        <w:t>装配式钢结构，采用</w:t>
      </w:r>
      <w:r>
        <w:rPr>
          <w:rFonts w:hint="eastAsia" w:cs="Times New Roman"/>
          <w:lang w:val="en-US" w:eastAsia="zh-CN"/>
        </w:rPr>
        <w:t>轧制</w:t>
      </w:r>
      <w:r>
        <w:rPr>
          <w:rFonts w:hint="eastAsia" w:cs="Times New Roman"/>
        </w:rPr>
        <w:t>型钢构件重量</w:t>
      </w:r>
      <w:r>
        <w:rPr>
          <w:rFonts w:hint="eastAsia" w:cs="Times New Roman"/>
          <w:lang w:eastAsia="zh-CN"/>
        </w:rPr>
        <w:t>占比达到</w:t>
      </w:r>
      <w:r>
        <w:rPr>
          <w:rFonts w:hint="eastAsia" w:cs="Times New Roman"/>
          <w:lang w:val="en-US" w:eastAsia="zh-CN"/>
        </w:rPr>
        <w:t>2</w:t>
      </w:r>
      <w:r>
        <w:rPr>
          <w:rFonts w:hint="eastAsia" w:cs="Times New Roman"/>
        </w:rPr>
        <w:t>0%时</w:t>
      </w:r>
      <w:r>
        <w:rPr>
          <w:rFonts w:hint="eastAsia" w:cs="Times New Roman"/>
          <w:lang w:eastAsia="zh-CN"/>
        </w:rPr>
        <w:t>，</w:t>
      </w:r>
      <w:r>
        <w:rPr>
          <w:rFonts w:hint="eastAsia" w:cs="Times New Roman"/>
        </w:rPr>
        <w:t>得</w:t>
      </w:r>
      <w:r>
        <w:rPr>
          <w:rFonts w:hint="eastAsia" w:cs="Times New Roman"/>
          <w:lang w:val="en-US" w:eastAsia="zh-CN"/>
        </w:rPr>
        <w:t>5</w:t>
      </w:r>
      <w:r>
        <w:rPr>
          <w:rFonts w:hint="eastAsia" w:cs="Times New Roman"/>
        </w:rPr>
        <w:t>分；</w:t>
      </w:r>
      <w:r>
        <w:rPr>
          <w:rFonts w:hint="eastAsia" w:cs="Times New Roman"/>
          <w:lang w:eastAsia="zh-CN"/>
        </w:rPr>
        <w:t>达到</w:t>
      </w:r>
      <w:r>
        <w:rPr>
          <w:rFonts w:hint="eastAsia" w:cs="Times New Roman"/>
        </w:rPr>
        <w:t>30%时</w:t>
      </w:r>
      <w:r>
        <w:rPr>
          <w:rFonts w:hint="eastAsia" w:cs="Times New Roman"/>
          <w:lang w:eastAsia="zh-CN"/>
        </w:rPr>
        <w:t>，</w:t>
      </w:r>
      <w:r>
        <w:rPr>
          <w:rFonts w:hint="eastAsia" w:cs="Times New Roman"/>
        </w:rPr>
        <w:t>得</w:t>
      </w:r>
      <w:r>
        <w:rPr>
          <w:rFonts w:hint="eastAsia" w:cs="Times New Roman"/>
          <w:lang w:val="en-US" w:eastAsia="zh-CN"/>
        </w:rPr>
        <w:t>10</w:t>
      </w:r>
      <w:r>
        <w:rPr>
          <w:rFonts w:hint="eastAsia" w:cs="Times New Roman"/>
        </w:rPr>
        <w:t>分。</w:t>
      </w:r>
    </w:p>
    <w:p w14:paraId="28D6F10F">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装配式结构构件应充分进行标准化设计，采用发挥低碳的效果。</w:t>
      </w:r>
    </w:p>
    <w:p w14:paraId="6AD262BC">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lang w:val="en-US" w:eastAsia="zh-CN"/>
        </w:rPr>
        <w:t xml:space="preserve"> </w:t>
      </w:r>
      <w:r>
        <w:rPr>
          <w:rFonts w:hint="eastAsia"/>
          <w:i/>
          <w:iCs/>
          <w:color w:val="000000"/>
          <w:sz w:val="22"/>
          <w:lang w:val="en-US" w:eastAsia="zh-CN"/>
        </w:rPr>
        <w:tab/>
      </w:r>
      <w:r>
        <w:rPr>
          <w:rFonts w:hint="eastAsia"/>
          <w:i/>
          <w:iCs/>
          <w:color w:val="000000"/>
          <w:sz w:val="22"/>
          <w:lang w:val="en-US" w:eastAsia="zh-CN"/>
        </w:rPr>
        <w:t>第1款，对于装配式混凝土构件，提高构件标准化，可以有效节省模具，降低模具的消耗，并提高材料利用效率，降低材料损耗。这里的同规格预制构件，是指不少于20个相同规格的预制构件。</w:t>
      </w:r>
    </w:p>
    <w:p w14:paraId="14E5A960">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查阅</w:t>
      </w:r>
      <w:r>
        <w:rPr>
          <w:rFonts w:hint="eastAsia"/>
          <w:i/>
          <w:iCs/>
          <w:color w:val="000000"/>
          <w:sz w:val="22"/>
          <w:lang w:val="en-US" w:eastAsia="zh-CN"/>
        </w:rPr>
        <w:t>结构图纸等相关证明文件</w:t>
      </w:r>
      <w:r>
        <w:rPr>
          <w:rFonts w:hint="eastAsia"/>
          <w:i/>
          <w:iCs/>
          <w:color w:val="000000"/>
          <w:sz w:val="22"/>
        </w:rPr>
        <w:t>。</w:t>
      </w:r>
    </w:p>
    <w:p w14:paraId="40C4E31B">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第2款，对于装配式钢结构，采用型钢可以减少焊接量、减少用电，从而降低20%以上的碳排放。</w:t>
      </w:r>
    </w:p>
    <w:p w14:paraId="7387DC0A">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val="en-US" w:eastAsia="zh-CN"/>
        </w:rPr>
        <w:t>结构设计施工图、预制构件（型钢构件）数量（重量）比例计算书；运行阶段评价</w:t>
      </w:r>
      <w:r>
        <w:rPr>
          <w:rFonts w:hint="eastAsia"/>
          <w:i/>
          <w:iCs/>
          <w:color w:val="000000"/>
          <w:sz w:val="22"/>
        </w:rPr>
        <w:t>查阅</w:t>
      </w:r>
      <w:r>
        <w:rPr>
          <w:rFonts w:hint="eastAsia"/>
          <w:i/>
          <w:iCs/>
          <w:color w:val="000000"/>
          <w:sz w:val="22"/>
          <w:lang w:val="en-US" w:eastAsia="zh-CN"/>
        </w:rPr>
        <w:t>结构设计竣工图、预制构件加工详图、钢构件深化详图、预制构件（型钢构件）数量（重量）占比计算书。</w:t>
      </w:r>
    </w:p>
    <w:p w14:paraId="26896D8E">
      <w:pPr>
        <w:autoSpaceDE/>
        <w:autoSpaceDN/>
        <w:spacing w:line="360" w:lineRule="auto"/>
        <w:rPr>
          <w:rFonts w:hint="eastAsia" w:cs="Times New Roman"/>
          <w:color w:val="000000" w:themeColor="text1"/>
          <w:lang w:eastAsia="zh-CN"/>
          <w14:textFill>
            <w14:solidFill>
              <w14:schemeClr w14:val="tx1"/>
            </w14:solidFill>
          </w14:textFill>
        </w:rPr>
      </w:pPr>
      <w:r>
        <w:rPr>
          <w:rFonts w:cs="Times New Roman"/>
          <w:b/>
          <w:bCs/>
          <w:color w:val="000000" w:themeColor="text1"/>
          <w14:textFill>
            <w14:solidFill>
              <w14:schemeClr w14:val="tx1"/>
            </w14:solidFill>
          </w14:textFill>
        </w:rPr>
        <w:t>4.2.</w:t>
      </w:r>
      <w:r>
        <w:rPr>
          <w:rFonts w:hint="eastAsia" w:cs="Times New Roman"/>
          <w:b/>
          <w:bCs/>
          <w:color w:val="000000" w:themeColor="text1"/>
          <w:lang w:val="en-US" w:eastAsia="zh-CN"/>
          <w14:textFill>
            <w14:solidFill>
              <w14:schemeClr w14:val="tx1"/>
            </w14:solidFill>
          </w14:textFill>
        </w:rPr>
        <w:t>8</w:t>
      </w:r>
      <w:r>
        <w:rPr>
          <w:rFonts w:cs="Times New Roman"/>
          <w:b/>
          <w:bCs/>
          <w:color w:val="000000" w:themeColor="text1"/>
          <w14:textFill>
            <w14:solidFill>
              <w14:schemeClr w14:val="tx1"/>
            </w14:solidFill>
          </w14:textFill>
        </w:rPr>
        <w:t>　</w:t>
      </w:r>
      <w:r>
        <w:rPr>
          <w:rFonts w:hint="eastAsia" w:cs="Times New Roman"/>
          <w:color w:val="000000" w:themeColor="text1"/>
          <w14:textFill>
            <w14:solidFill>
              <w14:schemeClr w14:val="tx1"/>
            </w14:solidFill>
          </w14:textFill>
        </w:rPr>
        <w:t>进行结构适变性设计，评价总分值为</w:t>
      </w:r>
      <w:r>
        <w:rPr>
          <w:rFonts w:hint="eastAsia" w:cs="Times New Roman"/>
          <w:color w:val="000000" w:themeColor="text1"/>
          <w:lang w:val="en-US" w:eastAsia="zh-CN"/>
          <w14:textFill>
            <w14:solidFill>
              <w14:schemeClr w14:val="tx1"/>
            </w14:solidFill>
          </w14:textFill>
        </w:rPr>
        <w:t>10</w:t>
      </w:r>
      <w:r>
        <w:rPr>
          <w:rFonts w:hint="eastAsia" w:cs="Times New Roman"/>
          <w:color w:val="000000" w:themeColor="text1"/>
          <w14:textFill>
            <w14:solidFill>
              <w14:schemeClr w14:val="tx1"/>
            </w14:solidFill>
          </w14:textFill>
        </w:rPr>
        <w:t>分，</w:t>
      </w:r>
      <w:r>
        <w:rPr>
          <w:rFonts w:hint="eastAsia" w:cs="Times New Roman"/>
          <w:color w:val="000000" w:themeColor="text1"/>
          <w:lang w:eastAsia="zh-CN"/>
          <w14:textFill>
            <w14:solidFill>
              <w14:schemeClr w14:val="tx1"/>
            </w14:solidFill>
          </w14:textFill>
        </w:rPr>
        <w:t>应</w:t>
      </w:r>
      <w:r>
        <w:rPr>
          <w:rFonts w:hint="eastAsia" w:cs="Times New Roman"/>
          <w:color w:val="000000" w:themeColor="text1"/>
          <w14:textFill>
            <w14:solidFill>
              <w14:schemeClr w14:val="tx1"/>
            </w14:solidFill>
          </w14:textFill>
        </w:rPr>
        <w:t>按下列规则分别评分并累计</w:t>
      </w:r>
      <w:r>
        <w:rPr>
          <w:rFonts w:hint="eastAsia" w:cs="Times New Roman"/>
          <w:color w:val="000000" w:themeColor="text1"/>
          <w:lang w:eastAsia="zh-CN"/>
          <w14:textFill>
            <w14:solidFill>
              <w14:schemeClr w14:val="tx1"/>
            </w14:solidFill>
          </w14:textFill>
        </w:rPr>
        <w:t>：</w:t>
      </w:r>
    </w:p>
    <w:p w14:paraId="2685E8F4">
      <w:pPr>
        <w:autoSpaceDE/>
        <w:autoSpaceDN/>
        <w:spacing w:line="360" w:lineRule="auto"/>
        <w:ind w:firstLine="565" w:firstLineChars="256"/>
        <w:rPr>
          <w:rFonts w:cs="Times New Roman"/>
        </w:rPr>
      </w:pPr>
      <w:r>
        <w:rPr>
          <w:rFonts w:cs="Times New Roman"/>
          <w:b/>
          <w:bCs/>
        </w:rPr>
        <w:t>1</w:t>
      </w:r>
      <w:r>
        <w:rPr>
          <w:rFonts w:cs="Times New Roman"/>
        </w:rPr>
        <w:t>　</w:t>
      </w:r>
      <w:r>
        <w:rPr>
          <w:rFonts w:hint="eastAsia" w:cs="Times New Roman"/>
        </w:rPr>
        <w:t>结构构件布置开阔、间距大，得</w:t>
      </w:r>
      <w:r>
        <w:rPr>
          <w:rFonts w:hint="eastAsia" w:cs="Times New Roman"/>
          <w:lang w:val="en-US" w:eastAsia="zh-CN"/>
        </w:rPr>
        <w:t>5</w:t>
      </w:r>
      <w:r>
        <w:rPr>
          <w:rFonts w:hint="eastAsia" w:cs="Times New Roman"/>
        </w:rPr>
        <w:t>分</w:t>
      </w:r>
      <w:r>
        <w:rPr>
          <w:rFonts w:cs="Times New Roman"/>
        </w:rPr>
        <w:t>；</w:t>
      </w:r>
    </w:p>
    <w:p w14:paraId="63A1C04F">
      <w:pPr>
        <w:autoSpaceDE/>
        <w:autoSpaceDN/>
        <w:spacing w:line="360" w:lineRule="auto"/>
        <w:ind w:firstLine="565" w:firstLineChars="256"/>
        <w:rPr>
          <w:rFonts w:hint="eastAsia" w:eastAsia="宋体" w:cs="Times New Roman"/>
          <w:lang w:eastAsia="zh-CN"/>
        </w:rPr>
      </w:pPr>
      <w:r>
        <w:rPr>
          <w:rFonts w:cs="Times New Roman"/>
          <w:b/>
          <w:bCs/>
        </w:rPr>
        <w:t>2</w:t>
      </w:r>
      <w:r>
        <w:rPr>
          <w:rFonts w:cs="Times New Roman"/>
        </w:rPr>
        <w:t>　</w:t>
      </w:r>
      <w:r>
        <w:rPr>
          <w:rFonts w:hint="eastAsia" w:cs="Times New Roman"/>
        </w:rPr>
        <w:t>可变荷载房间提升荷载富裕度，得</w:t>
      </w:r>
      <w:r>
        <w:rPr>
          <w:rFonts w:hint="eastAsia" w:cs="Times New Roman"/>
          <w:lang w:val="en-US" w:eastAsia="zh-CN"/>
        </w:rPr>
        <w:t>5</w:t>
      </w:r>
      <w:r>
        <w:rPr>
          <w:rFonts w:hint="eastAsia" w:cs="Times New Roman"/>
        </w:rPr>
        <w:t>分</w:t>
      </w:r>
      <w:r>
        <w:rPr>
          <w:rFonts w:hint="eastAsia" w:cs="Times New Roman"/>
          <w:lang w:eastAsia="zh-CN"/>
        </w:rPr>
        <w:t>。</w:t>
      </w:r>
    </w:p>
    <w:p w14:paraId="580310DB">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结构适变性是指结构布置能够一定程度适应建筑功能的改变，即结构构件不改动的情况下，使建筑功能调整具有一定可行性，本条重点关注结构布置和可变荷载这两个维度。装配式建筑的现场装配工艺，更适宜采用开阔的结构布置方案；此外，装配式的节点连接做法特殊性，使得加固改造具有一定的难度，因此，适当预留荷载富裕度，不仅利于降低碳排放，还可大大降低装配式建筑加固的难度。</w:t>
      </w:r>
    </w:p>
    <w:p w14:paraId="540BA5D8">
      <w:pPr>
        <w:pStyle w:val="20"/>
        <w:widowControl/>
        <w:autoSpaceDE/>
        <w:autoSpaceDN/>
        <w:spacing w:beforeAutospacing="0" w:afterAutospacing="0" w:line="360" w:lineRule="auto"/>
        <w:ind w:firstLine="420" w:firstLineChars="0"/>
        <w:jc w:val="both"/>
        <w:rPr>
          <w:rFonts w:hint="default" w:ascii="Times New Roman" w:hAnsi="Times New Roman" w:cs="Times New Roman"/>
          <w:i/>
          <w:iCs/>
          <w:color w:val="000000"/>
          <w:sz w:val="22"/>
          <w:lang w:val="en-US" w:eastAsia="zh-CN"/>
        </w:rPr>
      </w:pPr>
      <w:r>
        <w:rPr>
          <w:rFonts w:hint="default" w:ascii="Times New Roman" w:hAnsi="Times New Roman" w:cs="Times New Roman"/>
          <w:i/>
          <w:iCs/>
          <w:color w:val="000000"/>
          <w:sz w:val="22"/>
          <w:lang w:val="en-US" w:eastAsia="zh-CN"/>
        </w:rPr>
        <w:t>假定服役建筑的年碳排放量逐年等比例增长，采用结构适变性设计的建筑服役X年的单位面积碳排放量计算公式如下：</w:t>
      </w:r>
    </w:p>
    <w:p w14:paraId="6B922134">
      <w:pPr>
        <w:pStyle w:val="20"/>
        <w:keepNext w:val="0"/>
        <w:keepLines w:val="0"/>
        <w:pageBreakBefore w:val="0"/>
        <w:widowControl/>
        <w:tabs>
          <w:tab w:val="center" w:pos="4620"/>
          <w:tab w:val="right" w:pos="9240"/>
        </w:tabs>
        <w:kinsoku/>
        <w:wordWrap/>
        <w:overflowPunct/>
        <w:topLinePunct w:val="0"/>
        <w:autoSpaceDE/>
        <w:autoSpaceDN/>
        <w:bidi w:val="0"/>
        <w:adjustRightInd/>
        <w:snapToGrid/>
        <w:spacing w:beforeAutospacing="0" w:afterAutospacing="0" w:line="360" w:lineRule="auto"/>
        <w:ind w:firstLine="0" w:firstLineChars="0"/>
        <w:jc w:val="both"/>
        <w:textAlignment w:val="auto"/>
        <w:rPr>
          <w:rFonts w:hint="eastAsia"/>
          <w:i/>
          <w:iCs/>
          <w:color w:val="000000"/>
          <w:sz w:val="22"/>
          <w:lang w:val="en-US" w:eastAsia="zh-CN"/>
        </w:rPr>
      </w:pPr>
      <w:r>
        <w:rPr>
          <w:rFonts w:hint="eastAsia"/>
          <w:i/>
          <w:iCs/>
          <w:color w:val="000000"/>
          <w:sz w:val="22"/>
          <w:lang w:val="en-US" w:eastAsia="zh-CN"/>
        </w:rPr>
        <w:tab/>
      </w:r>
      <w:r>
        <w:rPr>
          <w:rFonts w:hint="default"/>
          <w:i/>
          <w:iCs/>
          <w:color w:val="000000"/>
          <w:sz w:val="22"/>
          <w:lang w:val="en-US" w:eastAsia="zh-CN"/>
        </w:rPr>
        <w:t xml:space="preserve"> </w:t>
      </w:r>
      <w:r>
        <w:rPr>
          <w:rFonts w:hint="default"/>
          <w:i/>
          <w:iCs/>
          <w:color w:val="000000"/>
          <w:sz w:val="22"/>
          <w:lang w:val="en-US" w:eastAsia="zh-CN"/>
        </w:rPr>
        <w:object>
          <v:shape id="_x0000_i1025" o:spt="75" type="#_x0000_t75" style="height:31.95pt;width:103pt;" o:ole="t" filled="f" o:preferrelative="t" stroked="f" coordsize="21600,21600">
            <v:path/>
            <v:fill on="f" focussize="0,0"/>
            <v:stroke on="f"/>
            <v:imagedata r:id="rId12" o:title=""/>
            <o:lock v:ext="edit" aspectratio="t"/>
            <w10:wrap type="none"/>
            <w10:anchorlock/>
          </v:shape>
          <o:OLEObject Type="Embed" ProgID="Equation.KSEE3" ShapeID="_x0000_i1025" DrawAspect="Content" ObjectID="_1468075725" r:id="rId11">
            <o:LockedField>false</o:LockedField>
          </o:OLEObject>
        </w:object>
      </w:r>
      <w:r>
        <w:rPr>
          <w:rFonts w:hint="eastAsia"/>
          <w:i/>
          <w:iCs/>
          <w:color w:val="000000"/>
          <w:sz w:val="22"/>
          <w:lang w:val="en-US" w:eastAsia="zh-CN"/>
        </w:rPr>
        <w:tab/>
      </w:r>
      <w:r>
        <w:rPr>
          <w:rFonts w:hint="eastAsia"/>
          <w:i/>
          <w:iCs/>
          <w:color w:val="000000"/>
          <w:sz w:val="22"/>
          <w:lang w:val="en-US" w:eastAsia="zh-CN"/>
        </w:rPr>
        <w:t>（3）</w:t>
      </w:r>
    </w:p>
    <w:p w14:paraId="1B20B0C9">
      <w:pPr>
        <w:spacing w:line="360" w:lineRule="auto"/>
        <w:ind w:firstLine="420" w:firstLineChars="0"/>
        <w:rPr>
          <w:rFonts w:hint="default" w:ascii="Times New Roman" w:hAnsi="Times New Roman" w:eastAsia="宋体" w:cs="Times New Roman"/>
          <w:i/>
          <w:iCs/>
          <w:color w:val="auto"/>
          <w:sz w:val="21"/>
          <w:szCs w:val="21"/>
          <w:highlight w:val="none"/>
        </w:rPr>
      </w:pPr>
      <w:r>
        <w:rPr>
          <w:rFonts w:hint="default" w:ascii="Times New Roman" w:hAnsi="Times New Roman" w:eastAsia="宋体" w:cs="Times New Roman"/>
          <w:i/>
          <w:iCs/>
          <w:color w:val="auto"/>
          <w:sz w:val="21"/>
          <w:szCs w:val="21"/>
          <w:highlight w:val="none"/>
        </w:rPr>
        <w:t>式中：</w:t>
      </w:r>
      <w:r>
        <w:rPr>
          <w:rFonts w:hint="default" w:ascii="Times New Roman" w:hAnsi="Times New Roman" w:eastAsia="宋体" w:cs="Times New Roman"/>
          <w:i/>
          <w:iCs/>
          <w:color w:val="auto"/>
          <w:sz w:val="21"/>
          <w:szCs w:val="21"/>
          <w:highlight w:val="none"/>
          <w:lang w:val="en-US" w:eastAsia="zh-CN"/>
        </w:rPr>
        <w:t>C</w:t>
      </w:r>
      <w:r>
        <w:rPr>
          <w:rFonts w:hint="default" w:ascii="Times New Roman" w:hAnsi="Times New Roman" w:eastAsia="宋体" w:cs="Times New Roman"/>
          <w:i/>
          <w:iCs/>
          <w:color w:val="auto"/>
          <w:sz w:val="21"/>
          <w:szCs w:val="21"/>
          <w:highlight w:val="none"/>
          <w:vertAlign w:val="subscript"/>
          <w:lang w:val="en-US" w:eastAsia="zh-CN"/>
        </w:rPr>
        <w:t>C</w:t>
      </w:r>
      <w:r>
        <w:rPr>
          <w:rFonts w:hint="default" w:ascii="Times New Roman" w:hAnsi="Times New Roman" w:eastAsia="宋体" w:cs="Times New Roman"/>
          <w:i/>
          <w:iCs/>
          <w:color w:val="auto"/>
          <w:sz w:val="21"/>
          <w:szCs w:val="21"/>
          <w:highlight w:val="none"/>
        </w:rPr>
        <w:t>为采用结构适变性</w:t>
      </w:r>
      <w:r>
        <w:rPr>
          <w:rFonts w:hint="default" w:ascii="Times New Roman" w:hAnsi="Times New Roman" w:eastAsia="宋体" w:cs="Times New Roman"/>
          <w:i/>
          <w:iCs/>
          <w:color w:val="auto"/>
          <w:sz w:val="21"/>
          <w:szCs w:val="21"/>
          <w:highlight w:val="none"/>
          <w:lang w:eastAsia="zh-CN"/>
        </w:rPr>
        <w:t>设计</w:t>
      </w:r>
      <w:r>
        <w:rPr>
          <w:rFonts w:hint="default" w:ascii="Times New Roman" w:hAnsi="Times New Roman" w:eastAsia="宋体" w:cs="Times New Roman"/>
          <w:i/>
          <w:iCs/>
          <w:color w:val="auto"/>
          <w:sz w:val="21"/>
          <w:szCs w:val="21"/>
          <w:highlight w:val="none"/>
        </w:rPr>
        <w:t>的建筑</w:t>
      </w:r>
      <w:r>
        <w:rPr>
          <w:rFonts w:hint="default" w:ascii="Times New Roman" w:hAnsi="Times New Roman" w:eastAsia="宋体" w:cs="Times New Roman"/>
          <w:i/>
          <w:iCs/>
          <w:color w:val="auto"/>
          <w:sz w:val="21"/>
          <w:szCs w:val="21"/>
          <w:highlight w:val="none"/>
          <w:lang w:val="en-US" w:eastAsia="zh-CN"/>
        </w:rPr>
        <w:t>服役</w:t>
      </w:r>
      <w:r>
        <w:rPr>
          <w:rFonts w:hint="default" w:ascii="Times New Roman" w:hAnsi="Times New Roman" w:eastAsia="宋体" w:cs="Times New Roman"/>
          <w:i/>
          <w:iCs/>
          <w:color w:val="auto"/>
          <w:sz w:val="21"/>
          <w:szCs w:val="21"/>
          <w:highlight w:val="none"/>
        </w:rPr>
        <w:t>X年</w:t>
      </w:r>
      <w:r>
        <w:rPr>
          <w:rFonts w:hint="default" w:ascii="Times New Roman" w:hAnsi="Times New Roman" w:eastAsia="宋体" w:cs="Times New Roman"/>
          <w:i/>
          <w:iCs/>
          <w:color w:val="auto"/>
          <w:sz w:val="21"/>
          <w:szCs w:val="21"/>
          <w:highlight w:val="none"/>
          <w:lang w:eastAsia="zh-CN"/>
        </w:rPr>
        <w:t>的</w:t>
      </w:r>
      <w:r>
        <w:rPr>
          <w:rFonts w:hint="default" w:ascii="Times New Roman" w:hAnsi="Times New Roman" w:eastAsia="宋体" w:cs="Times New Roman"/>
          <w:i/>
          <w:iCs/>
          <w:color w:val="auto"/>
          <w:sz w:val="21"/>
          <w:szCs w:val="21"/>
          <w:highlight w:val="none"/>
        </w:rPr>
        <w:t>单位面积碳排放</w:t>
      </w:r>
      <w:r>
        <w:rPr>
          <w:rFonts w:hint="default" w:ascii="Times New Roman" w:hAnsi="Times New Roman" w:eastAsia="宋体" w:cs="Times New Roman"/>
          <w:i/>
          <w:iCs/>
          <w:color w:val="auto"/>
          <w:sz w:val="21"/>
          <w:szCs w:val="21"/>
          <w:highlight w:val="none"/>
          <w:lang w:val="en-US" w:eastAsia="zh-CN"/>
        </w:rPr>
        <w:t>量</w:t>
      </w:r>
      <w:r>
        <w:rPr>
          <w:rFonts w:hint="default" w:ascii="Times New Roman" w:hAnsi="Times New Roman" w:eastAsia="宋体" w:cs="Times New Roman"/>
          <w:i/>
          <w:iCs/>
          <w:color w:val="auto"/>
          <w:sz w:val="21"/>
          <w:szCs w:val="21"/>
          <w:highlight w:val="none"/>
        </w:rPr>
        <w:t>；</w:t>
      </w:r>
      <w:r>
        <w:rPr>
          <w:rFonts w:hint="default" w:ascii="Times New Roman" w:hAnsi="Times New Roman" w:eastAsia="宋体" w:cs="Times New Roman"/>
          <w:i/>
          <w:iCs/>
          <w:color w:val="auto"/>
          <w:sz w:val="21"/>
          <w:szCs w:val="21"/>
          <w:highlight w:val="none"/>
          <w:lang w:val="en-US" w:eastAsia="zh-CN"/>
        </w:rPr>
        <w:t>C</w:t>
      </w:r>
      <w:r>
        <w:rPr>
          <w:rFonts w:hint="default" w:ascii="Times New Roman" w:hAnsi="Times New Roman" w:eastAsia="宋体" w:cs="Times New Roman"/>
          <w:i/>
          <w:iCs/>
          <w:color w:val="auto"/>
          <w:sz w:val="21"/>
          <w:szCs w:val="21"/>
          <w:highlight w:val="none"/>
          <w:vertAlign w:val="subscript"/>
          <w:lang w:val="en-US" w:eastAsia="zh-CN"/>
        </w:rPr>
        <w:t>YC</w:t>
      </w:r>
      <w:r>
        <w:rPr>
          <w:rFonts w:hint="default" w:ascii="Times New Roman" w:hAnsi="Times New Roman" w:eastAsia="宋体" w:cs="Times New Roman"/>
          <w:i/>
          <w:iCs/>
          <w:color w:val="auto"/>
          <w:sz w:val="21"/>
          <w:szCs w:val="21"/>
          <w:highlight w:val="none"/>
          <w:lang w:eastAsia="zh-CN"/>
        </w:rPr>
        <w:t>为</w:t>
      </w:r>
      <w:r>
        <w:rPr>
          <w:rFonts w:hint="default" w:ascii="Times New Roman" w:hAnsi="Times New Roman" w:eastAsia="宋体" w:cs="Times New Roman"/>
          <w:i/>
          <w:iCs/>
          <w:color w:val="auto"/>
          <w:sz w:val="21"/>
          <w:szCs w:val="21"/>
          <w:highlight w:val="none"/>
        </w:rPr>
        <w:t>进行结构适变性</w:t>
      </w:r>
      <w:r>
        <w:rPr>
          <w:rFonts w:hint="default" w:ascii="Times New Roman" w:hAnsi="Times New Roman" w:eastAsia="宋体" w:cs="Times New Roman"/>
          <w:i/>
          <w:iCs/>
          <w:color w:val="auto"/>
          <w:sz w:val="21"/>
          <w:szCs w:val="21"/>
          <w:highlight w:val="none"/>
          <w:lang w:eastAsia="zh-CN"/>
        </w:rPr>
        <w:t>设计</w:t>
      </w:r>
      <w:r>
        <w:rPr>
          <w:rFonts w:hint="default" w:ascii="Times New Roman" w:hAnsi="Times New Roman" w:eastAsia="宋体" w:cs="Times New Roman"/>
          <w:i/>
          <w:iCs/>
          <w:color w:val="auto"/>
          <w:sz w:val="21"/>
          <w:szCs w:val="21"/>
          <w:highlight w:val="none"/>
        </w:rPr>
        <w:t>后的建筑隐含碳排放</w:t>
      </w:r>
      <w:r>
        <w:rPr>
          <w:rFonts w:hint="default" w:ascii="Times New Roman" w:hAnsi="Times New Roman" w:eastAsia="宋体" w:cs="Times New Roman"/>
          <w:i/>
          <w:iCs/>
          <w:color w:val="auto"/>
          <w:sz w:val="21"/>
          <w:szCs w:val="21"/>
          <w:highlight w:val="none"/>
          <w:lang w:val="en-US" w:eastAsia="zh-CN"/>
        </w:rPr>
        <w:t>量</w:t>
      </w:r>
      <w:r>
        <w:rPr>
          <w:rFonts w:hint="default" w:ascii="Times New Roman" w:hAnsi="Times New Roman" w:eastAsia="宋体" w:cs="Times New Roman"/>
          <w:i/>
          <w:iCs/>
          <w:color w:val="auto"/>
          <w:sz w:val="21"/>
          <w:szCs w:val="21"/>
          <w:highlight w:val="none"/>
        </w:rPr>
        <w:t>；</w:t>
      </w:r>
      <w:r>
        <w:rPr>
          <w:rFonts w:hint="default" w:ascii="Times New Roman" w:hAnsi="Times New Roman" w:eastAsia="宋体" w:cs="Times New Roman"/>
          <w:i/>
          <w:iCs/>
          <w:color w:val="auto"/>
          <w:sz w:val="21"/>
          <w:szCs w:val="21"/>
          <w:highlight w:val="none"/>
          <w:lang w:val="en-US" w:eastAsia="zh-CN"/>
        </w:rPr>
        <w:t>C</w:t>
      </w:r>
      <w:r>
        <w:rPr>
          <w:rFonts w:hint="default" w:ascii="Times New Roman" w:hAnsi="Times New Roman" w:eastAsia="宋体" w:cs="Times New Roman"/>
          <w:i/>
          <w:iCs/>
          <w:color w:val="auto"/>
          <w:sz w:val="21"/>
          <w:szCs w:val="21"/>
          <w:highlight w:val="none"/>
          <w:vertAlign w:val="subscript"/>
          <w:lang w:val="en-US" w:eastAsia="zh-CN"/>
        </w:rPr>
        <w:t>YX</w:t>
      </w:r>
      <w:r>
        <w:rPr>
          <w:rFonts w:hint="default" w:ascii="Times New Roman" w:hAnsi="Times New Roman" w:eastAsia="宋体" w:cs="Times New Roman"/>
          <w:i/>
          <w:iCs/>
          <w:color w:val="auto"/>
          <w:sz w:val="21"/>
          <w:szCs w:val="21"/>
          <w:highlight w:val="none"/>
        </w:rPr>
        <w:t>为建筑运行第一年碳排放量；</w:t>
      </w:r>
      <w:r>
        <w:rPr>
          <w:rFonts w:hint="default" w:ascii="Times New Roman" w:hAnsi="Times New Roman" w:eastAsia="宋体" w:cs="Times New Roman"/>
          <w:i/>
          <w:iCs/>
          <w:color w:val="auto"/>
          <w:position w:val="-10"/>
          <w:sz w:val="21"/>
          <w:szCs w:val="21"/>
          <w:highlight w:val="none"/>
        </w:rPr>
        <w:object>
          <v:shape id="_x0000_i1026" o:spt="75" type="#_x0000_t75" style="height:16pt;width:12pt;" o:ole="t" filled="f" o:preferrelative="t" stroked="f" coordsize="21600,21600">
            <v:path/>
            <v:fill on="f" focussize="0,0"/>
            <v:stroke on="f"/>
            <v:imagedata r:id="rId14" o:title=""/>
            <o:lock v:ext="edit" aspectratio="t"/>
            <w10:wrap type="none"/>
            <w10:anchorlock/>
          </v:shape>
          <o:OLEObject Type="Embed" ProgID="Equation.KSEE3" ShapeID="_x0000_i1026" DrawAspect="Content" ObjectID="_1468075726" r:id="rId13">
            <o:LockedField>false</o:LockedField>
          </o:OLEObject>
        </w:object>
      </w:r>
      <w:r>
        <w:rPr>
          <w:rFonts w:hint="default" w:ascii="Times New Roman" w:hAnsi="Times New Roman" w:eastAsia="宋体" w:cs="Times New Roman"/>
          <w:i/>
          <w:iCs/>
          <w:color w:val="auto"/>
          <w:sz w:val="21"/>
          <w:szCs w:val="21"/>
          <w:highlight w:val="none"/>
          <w:lang w:eastAsia="zh-CN"/>
        </w:rPr>
        <w:t>为</w:t>
      </w:r>
      <w:r>
        <w:rPr>
          <w:rFonts w:hint="default" w:ascii="Times New Roman" w:hAnsi="Times New Roman" w:eastAsia="宋体" w:cs="Times New Roman"/>
          <w:i/>
          <w:iCs/>
          <w:color w:val="auto"/>
          <w:sz w:val="21"/>
          <w:szCs w:val="21"/>
          <w:highlight w:val="none"/>
        </w:rPr>
        <w:t>建筑当年碳排放</w:t>
      </w:r>
      <w:r>
        <w:rPr>
          <w:rFonts w:hint="default" w:ascii="Times New Roman" w:hAnsi="Times New Roman" w:eastAsia="宋体" w:cs="Times New Roman"/>
          <w:i/>
          <w:iCs/>
          <w:color w:val="auto"/>
          <w:sz w:val="21"/>
          <w:szCs w:val="21"/>
          <w:highlight w:val="none"/>
          <w:lang w:val="en-US" w:eastAsia="zh-CN"/>
        </w:rPr>
        <w:t>量</w:t>
      </w:r>
      <w:r>
        <w:rPr>
          <w:rFonts w:hint="default" w:ascii="Times New Roman" w:hAnsi="Times New Roman" w:eastAsia="宋体" w:cs="Times New Roman"/>
          <w:i/>
          <w:iCs/>
          <w:color w:val="auto"/>
          <w:sz w:val="21"/>
          <w:szCs w:val="21"/>
          <w:highlight w:val="none"/>
        </w:rPr>
        <w:t>与上一年度比值，采用结构开阔布置时取1.008，采用提升局部荷载时取1.009。</w:t>
      </w:r>
    </w:p>
    <w:p w14:paraId="4AF68B02">
      <w:pPr>
        <w:spacing w:line="360" w:lineRule="auto"/>
        <w:ind w:firstLine="420" w:firstLineChars="0"/>
        <w:rPr>
          <w:rFonts w:hint="default" w:ascii="Times New Roman" w:hAnsi="Times New Roman" w:eastAsia="宋体" w:cs="Times New Roman"/>
          <w:i/>
          <w:iCs/>
          <w:color w:val="auto"/>
          <w:sz w:val="21"/>
          <w:szCs w:val="21"/>
          <w:highlight w:val="none"/>
          <w:lang w:val="en-US" w:eastAsia="zh-CN"/>
        </w:rPr>
      </w:pPr>
      <w:r>
        <w:rPr>
          <w:rFonts w:hint="eastAsia" w:ascii="Times New Roman" w:hAnsi="Times New Roman" w:cs="Times New Roman"/>
          <w:i/>
          <w:iCs/>
          <w:color w:val="auto"/>
          <w:sz w:val="21"/>
          <w:szCs w:val="21"/>
          <w:highlight w:val="none"/>
          <w:lang w:val="en-US" w:eastAsia="zh-CN"/>
        </w:rPr>
        <w:t>经过分析可以得到以下规律：</w:t>
      </w:r>
    </w:p>
    <w:p w14:paraId="2039BAFF">
      <w:pPr>
        <w:pStyle w:val="20"/>
        <w:widowControl/>
        <w:autoSpaceDE/>
        <w:autoSpaceDN/>
        <w:spacing w:beforeAutospacing="0" w:afterAutospacing="0" w:line="360" w:lineRule="auto"/>
        <w:ind w:firstLine="42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drawing>
          <wp:inline distT="0" distB="0" distL="114300" distR="114300">
            <wp:extent cx="4479925" cy="894080"/>
            <wp:effectExtent l="0" t="0" r="15875" b="1270"/>
            <wp:docPr id="45" name="图片 78" descr="C:\Users\sunqian\Desktop\绘图3.png绘图3"/>
            <wp:cNvGraphicFramePr/>
            <a:graphic xmlns:a="http://schemas.openxmlformats.org/drawingml/2006/main">
              <a:graphicData uri="http://schemas.openxmlformats.org/drawingml/2006/picture">
                <pic:pic xmlns:pic="http://schemas.openxmlformats.org/drawingml/2006/picture">
                  <pic:nvPicPr>
                    <pic:cNvPr id="45" name="图片 78" descr="C:\Users\sunqian\Desktop\绘图3.png绘图3"/>
                    <pic:cNvPicPr/>
                  </pic:nvPicPr>
                  <pic:blipFill>
                    <a:blip r:embed="rId15"/>
                    <a:srcRect/>
                    <a:stretch>
                      <a:fillRect/>
                    </a:stretch>
                  </pic:blipFill>
                  <pic:spPr>
                    <a:xfrm>
                      <a:off x="0" y="0"/>
                      <a:ext cx="4479925" cy="894080"/>
                    </a:xfrm>
                    <a:prstGeom prst="rect">
                      <a:avLst/>
                    </a:prstGeom>
                    <a:noFill/>
                    <a:ln>
                      <a:noFill/>
                    </a:ln>
                  </pic:spPr>
                </pic:pic>
              </a:graphicData>
            </a:graphic>
          </wp:inline>
        </w:drawing>
      </w:r>
    </w:p>
    <w:p w14:paraId="2848F999">
      <w:pPr>
        <w:spacing w:line="360" w:lineRule="auto"/>
        <w:ind w:firstLine="420" w:firstLineChars="0"/>
        <w:jc w:val="center"/>
        <w:rPr>
          <w:rFonts w:hint="default" w:ascii="Times New Roman" w:hAnsi="Times New Roman" w:cs="Times New Roman"/>
          <w:i/>
          <w:iCs/>
          <w:color w:val="auto"/>
          <w:sz w:val="21"/>
          <w:szCs w:val="21"/>
          <w:highlight w:val="none"/>
          <w:lang w:val="en-US" w:eastAsia="zh-CN"/>
        </w:rPr>
      </w:pPr>
      <w:r>
        <w:rPr>
          <w:rFonts w:hint="eastAsia" w:ascii="Times New Roman" w:hAnsi="Times New Roman" w:cs="Times New Roman"/>
          <w:i/>
          <w:iCs/>
          <w:color w:val="auto"/>
          <w:sz w:val="21"/>
          <w:szCs w:val="21"/>
          <w:highlight w:val="none"/>
          <w:lang w:val="en-US" w:eastAsia="zh-CN"/>
        </w:rPr>
        <w:t>图</w:t>
      </w:r>
      <w:r>
        <w:rPr>
          <w:rFonts w:hint="eastAsia" w:cs="Times New Roman"/>
          <w:i/>
          <w:iCs/>
          <w:color w:val="auto"/>
          <w:sz w:val="21"/>
          <w:szCs w:val="21"/>
          <w:highlight w:val="none"/>
          <w:lang w:val="en-US" w:eastAsia="zh-CN"/>
        </w:rPr>
        <w:t>1 采用结构适变性与不采用结构适变性的建筑碳排放情况</w:t>
      </w:r>
    </w:p>
    <w:p w14:paraId="23EDA9AB">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lang w:val="en-US" w:eastAsia="zh-CN"/>
        </w:rPr>
        <w:t>第1款，结构构件布置开阔：对于住宅，户内无结构墙或少量结构墙，能够为后期住宅房间布局调整提供可</w:t>
      </w:r>
      <w:r>
        <w:rPr>
          <w:rFonts w:hint="eastAsia"/>
          <w:i/>
          <w:iCs/>
          <w:color w:val="000000"/>
          <w:sz w:val="22"/>
        </w:rPr>
        <w:t>行性；对于公建，</w:t>
      </w:r>
      <w:r>
        <w:rPr>
          <w:rFonts w:hint="eastAsia"/>
          <w:i/>
          <w:iCs/>
          <w:color w:val="000000"/>
          <w:sz w:val="22"/>
          <w:lang w:val="en-US" w:eastAsia="zh-CN"/>
        </w:rPr>
        <w:t>除竖向交通核外，无结构墙体或少量结构墙，为建筑功能的调整最大限度提供可行性</w:t>
      </w:r>
      <w:r>
        <w:rPr>
          <w:rFonts w:hint="eastAsia"/>
          <w:i/>
          <w:iCs/>
          <w:color w:val="000000"/>
          <w:sz w:val="22"/>
        </w:rPr>
        <w:t>。</w:t>
      </w:r>
    </w:p>
    <w:p w14:paraId="3CAE68A9">
      <w:pPr>
        <w:pStyle w:val="20"/>
        <w:widowControl/>
        <w:autoSpaceDE/>
        <w:autoSpaceDN/>
        <w:spacing w:beforeAutospacing="0" w:afterAutospacing="0" w:line="360" w:lineRule="auto"/>
        <w:ind w:firstLine="420" w:firstLineChars="0"/>
        <w:jc w:val="both"/>
        <w:rPr>
          <w:i/>
          <w:iCs/>
          <w:color w:val="000000"/>
          <w:sz w:val="22"/>
        </w:rPr>
      </w:pPr>
      <w:r>
        <w:rPr>
          <w:rFonts w:hint="eastAsia"/>
          <w:i/>
          <w:iCs/>
          <w:color w:val="000000"/>
          <w:sz w:val="22"/>
          <w:lang w:val="en-US" w:eastAsia="zh-CN"/>
        </w:rPr>
        <w:t>第2款，</w:t>
      </w:r>
      <w:r>
        <w:rPr>
          <w:rFonts w:hint="eastAsia"/>
          <w:i/>
          <w:iCs/>
          <w:color w:val="000000"/>
          <w:sz w:val="22"/>
        </w:rPr>
        <w:t>可变荷载房间</w:t>
      </w:r>
      <w:r>
        <w:rPr>
          <w:rFonts w:hint="eastAsia"/>
          <w:i/>
          <w:iCs/>
          <w:color w:val="000000"/>
          <w:sz w:val="22"/>
          <w:lang w:val="en-US" w:eastAsia="zh-CN"/>
        </w:rPr>
        <w:t>是指随着</w:t>
      </w:r>
      <w:r>
        <w:rPr>
          <w:rFonts w:hint="eastAsia"/>
          <w:i/>
          <w:iCs/>
          <w:color w:val="000000"/>
          <w:sz w:val="22"/>
        </w:rPr>
        <w:t>建筑使用功能</w:t>
      </w:r>
      <w:r>
        <w:rPr>
          <w:rFonts w:hint="eastAsia"/>
          <w:i/>
          <w:iCs/>
          <w:color w:val="000000"/>
          <w:sz w:val="22"/>
          <w:lang w:val="en-US" w:eastAsia="zh-CN"/>
        </w:rPr>
        <w:t>或品质提升而导则楼面活荷载会增加的区域</w:t>
      </w:r>
      <w:r>
        <w:rPr>
          <w:rFonts w:hint="eastAsia"/>
          <w:i/>
          <w:iCs/>
          <w:color w:val="000000"/>
          <w:sz w:val="22"/>
        </w:rPr>
        <w:t>，如</w:t>
      </w:r>
      <w:r>
        <w:rPr>
          <w:rFonts w:hint="eastAsia"/>
          <w:i/>
          <w:iCs/>
          <w:color w:val="000000"/>
          <w:sz w:val="22"/>
          <w:lang w:val="en-US" w:eastAsia="zh-CN"/>
        </w:rPr>
        <w:t>公共建筑的</w:t>
      </w:r>
      <w:r>
        <w:rPr>
          <w:rFonts w:hint="eastAsia"/>
          <w:i/>
          <w:iCs/>
          <w:color w:val="000000"/>
          <w:sz w:val="22"/>
        </w:rPr>
        <w:t>公区、设备机房、管井等</w:t>
      </w:r>
      <w:r>
        <w:rPr>
          <w:rFonts w:hint="eastAsia"/>
          <w:i/>
          <w:iCs/>
          <w:color w:val="000000"/>
          <w:sz w:val="22"/>
          <w:lang w:eastAsia="zh-CN"/>
        </w:rPr>
        <w:t>。</w:t>
      </w:r>
      <w:r>
        <w:rPr>
          <w:rFonts w:hint="eastAsia"/>
          <w:i/>
          <w:iCs/>
          <w:color w:val="000000"/>
          <w:sz w:val="22"/>
        </w:rPr>
        <w:t>在满足现行国家标准《工程结构通用规范》</w:t>
      </w:r>
      <w:r>
        <w:rPr>
          <w:rFonts w:hint="eastAsia"/>
          <w:i/>
          <w:iCs/>
          <w:color w:val="000000"/>
          <w:sz w:val="22"/>
          <w:lang w:eastAsia="zh-CN"/>
        </w:rPr>
        <w:t>（</w:t>
      </w:r>
      <w:r>
        <w:rPr>
          <w:rFonts w:hint="eastAsia"/>
          <w:i/>
          <w:iCs/>
          <w:color w:val="000000"/>
          <w:sz w:val="22"/>
          <w:lang w:val="en-US" w:eastAsia="zh-CN"/>
        </w:rPr>
        <w:t>GB 55001</w:t>
      </w:r>
      <w:r>
        <w:rPr>
          <w:rFonts w:hint="eastAsia"/>
          <w:i/>
          <w:iCs/>
          <w:color w:val="000000"/>
          <w:sz w:val="22"/>
          <w:lang w:eastAsia="zh-CN"/>
        </w:rPr>
        <w:t>）</w:t>
      </w:r>
      <w:r>
        <w:rPr>
          <w:rFonts w:hint="eastAsia"/>
          <w:i/>
          <w:iCs/>
          <w:color w:val="000000"/>
          <w:sz w:val="22"/>
        </w:rPr>
        <w:t>的基础上增加1.0</w:t>
      </w:r>
      <w:r>
        <w:rPr>
          <w:rFonts w:hint="eastAsia"/>
          <w:i/>
          <w:iCs/>
          <w:color w:val="000000"/>
          <w:sz w:val="22"/>
          <w:lang w:val="en-US" w:eastAsia="zh-CN"/>
        </w:rPr>
        <w:t>k</w:t>
      </w:r>
      <w:r>
        <w:rPr>
          <w:rFonts w:hint="eastAsia"/>
          <w:i/>
          <w:iCs/>
          <w:color w:val="000000"/>
          <w:sz w:val="22"/>
        </w:rPr>
        <w:t>N/</w:t>
      </w:r>
      <w:r>
        <w:rPr>
          <w:rFonts w:hint="eastAsia"/>
          <w:i/>
          <w:iCs/>
          <w:color w:val="000000"/>
          <w:sz w:val="22"/>
          <w:lang w:val="en-US" w:eastAsia="zh-CN"/>
        </w:rPr>
        <w:t>m</w:t>
      </w:r>
      <w:r>
        <w:rPr>
          <w:rFonts w:hint="eastAsia"/>
          <w:i/>
          <w:iCs/>
          <w:color w:val="000000"/>
          <w:sz w:val="22"/>
          <w:vertAlign w:val="superscript"/>
        </w:rPr>
        <w:t>2</w:t>
      </w:r>
      <w:r>
        <w:rPr>
          <w:rFonts w:hint="eastAsia"/>
          <w:i/>
          <w:iCs/>
          <w:color w:val="000000"/>
          <w:sz w:val="22"/>
        </w:rPr>
        <w:t>，可满足本</w:t>
      </w:r>
      <w:r>
        <w:rPr>
          <w:rFonts w:hint="eastAsia"/>
          <w:i/>
          <w:iCs/>
          <w:color w:val="000000"/>
          <w:sz w:val="22"/>
          <w:lang w:val="en-US" w:eastAsia="zh-CN"/>
        </w:rPr>
        <w:t>款</w:t>
      </w:r>
      <w:r>
        <w:rPr>
          <w:rFonts w:hint="eastAsia"/>
          <w:i/>
          <w:iCs/>
          <w:color w:val="000000"/>
          <w:sz w:val="22"/>
        </w:rPr>
        <w:t>要求。</w:t>
      </w:r>
    </w:p>
    <w:p w14:paraId="090EB59C">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建筑、</w:t>
      </w:r>
      <w:r>
        <w:rPr>
          <w:rFonts w:hint="eastAsia"/>
          <w:i/>
          <w:iCs/>
          <w:color w:val="000000"/>
          <w:sz w:val="22"/>
          <w:lang w:val="en-US" w:eastAsia="zh-CN"/>
        </w:rPr>
        <w:t>结构设计施工图、建筑适变性提升措施的设计说明；运行阶段评价</w:t>
      </w:r>
      <w:r>
        <w:rPr>
          <w:rFonts w:hint="eastAsia"/>
          <w:i/>
          <w:iCs/>
          <w:color w:val="000000"/>
          <w:sz w:val="22"/>
        </w:rPr>
        <w:t>查阅</w:t>
      </w:r>
      <w:r>
        <w:rPr>
          <w:rFonts w:hint="eastAsia"/>
          <w:i/>
          <w:iCs/>
          <w:color w:val="000000"/>
          <w:sz w:val="22"/>
          <w:lang w:eastAsia="zh-CN"/>
        </w:rPr>
        <w:t>建筑、</w:t>
      </w:r>
      <w:r>
        <w:rPr>
          <w:rFonts w:hint="eastAsia"/>
          <w:i/>
          <w:iCs/>
          <w:color w:val="000000"/>
          <w:sz w:val="22"/>
          <w:lang w:val="en-US" w:eastAsia="zh-CN"/>
        </w:rPr>
        <w:t>结构设计竣工图、建筑适变性提升措施的设计说明</w:t>
      </w:r>
      <w:r>
        <w:rPr>
          <w:rFonts w:hint="eastAsia"/>
          <w:i/>
          <w:iCs/>
          <w:color w:val="000000"/>
          <w:sz w:val="22"/>
        </w:rPr>
        <w:t>。</w:t>
      </w:r>
    </w:p>
    <w:p w14:paraId="59DBDD9C">
      <w:pPr>
        <w:autoSpaceDE/>
        <w:autoSpaceDN/>
        <w:spacing w:line="360" w:lineRule="auto"/>
        <w:rPr>
          <w:rFonts w:cs="Times New Roman"/>
          <w:b/>
          <w:bCs/>
          <w:color w:val="000000" w:themeColor="text1"/>
          <w:lang w:val="en-US"/>
          <w14:textFill>
            <w14:solidFill>
              <w14:schemeClr w14:val="tx1"/>
            </w14:solidFill>
          </w14:textFill>
        </w:rPr>
      </w:pPr>
      <w:bookmarkStart w:id="59" w:name="_Toc94165793"/>
      <w:bookmarkStart w:id="60" w:name="_Toc7595"/>
      <w:bookmarkStart w:id="61" w:name="_Toc2911"/>
      <w:bookmarkStart w:id="62" w:name="_Toc11824"/>
      <w:bookmarkStart w:id="63" w:name="_Toc25901"/>
      <w:bookmarkStart w:id="64" w:name="_Toc26745"/>
      <w:bookmarkStart w:id="65" w:name="_Toc11392"/>
      <w:r>
        <w:rPr>
          <w:rFonts w:cs="Times New Roman"/>
          <w:b/>
          <w:bCs/>
          <w:color w:val="000000" w:themeColor="text1"/>
          <w14:textFill>
            <w14:solidFill>
              <w14:schemeClr w14:val="tx1"/>
            </w14:solidFill>
          </w14:textFill>
        </w:rPr>
        <w:t>4.2.</w:t>
      </w:r>
      <w:r>
        <w:rPr>
          <w:rFonts w:hint="eastAsia" w:cs="Times New Roman"/>
          <w:b/>
          <w:bCs/>
          <w:color w:val="000000" w:themeColor="text1"/>
          <w:lang w:val="en-US" w:eastAsia="zh-CN"/>
          <w14:textFill>
            <w14:solidFill>
              <w14:schemeClr w14:val="tx1"/>
            </w14:solidFill>
          </w14:textFill>
        </w:rPr>
        <w:t>9</w:t>
      </w:r>
      <w:r>
        <w:rPr>
          <w:rFonts w:cs="Times New Roman"/>
          <w:b/>
          <w:bCs/>
          <w:color w:val="000000" w:themeColor="text1"/>
          <w14:textFill>
            <w14:solidFill>
              <w14:schemeClr w14:val="tx1"/>
            </w14:solidFill>
          </w14:textFill>
        </w:rPr>
        <w:t>　</w:t>
      </w:r>
      <w:r>
        <w:rPr>
          <w:rFonts w:hint="eastAsia" w:cs="Times New Roman"/>
          <w:color w:val="000000" w:themeColor="text1"/>
          <w14:textFill>
            <w14:solidFill>
              <w14:schemeClr w14:val="tx1"/>
            </w14:solidFill>
          </w14:textFill>
        </w:rPr>
        <w:t>合理延长结构设计年限，评价</w:t>
      </w:r>
      <w:r>
        <w:rPr>
          <w:rFonts w:hint="eastAsia" w:cs="Times New Roman"/>
          <w:color w:val="000000" w:themeColor="text1"/>
          <w:lang w:eastAsia="zh-CN"/>
          <w14:textFill>
            <w14:solidFill>
              <w14:schemeClr w14:val="tx1"/>
            </w14:solidFill>
          </w14:textFill>
        </w:rPr>
        <w:t>总</w:t>
      </w:r>
      <w:r>
        <w:rPr>
          <w:rFonts w:hint="eastAsia" w:cs="Times New Roman"/>
          <w:color w:val="000000" w:themeColor="text1"/>
          <w14:textFill>
            <w14:solidFill>
              <w14:schemeClr w14:val="tx1"/>
            </w14:solidFill>
          </w14:textFill>
        </w:rPr>
        <w:t>分值为</w:t>
      </w:r>
      <w:r>
        <w:rPr>
          <w:rFonts w:hint="eastAsia" w:cs="Times New Roman"/>
          <w:color w:val="000000" w:themeColor="text1"/>
          <w:lang w:val="en-US" w:eastAsia="zh-CN"/>
          <w14:textFill>
            <w14:solidFill>
              <w14:schemeClr w14:val="tx1"/>
            </w14:solidFill>
          </w14:textFill>
        </w:rPr>
        <w:t>10</w:t>
      </w:r>
      <w:r>
        <w:rPr>
          <w:rFonts w:hint="eastAsia" w:cs="Times New Roman"/>
          <w:color w:val="000000" w:themeColor="text1"/>
          <w14:textFill>
            <w14:solidFill>
              <w14:schemeClr w14:val="tx1"/>
            </w14:solidFill>
          </w14:textFill>
        </w:rPr>
        <w:t>分。结构设计耐久性100年，得</w:t>
      </w:r>
      <w:r>
        <w:rPr>
          <w:rFonts w:hint="eastAsia" w:cs="Times New Roman"/>
          <w:color w:val="000000" w:themeColor="text1"/>
          <w:lang w:val="en-US" w:eastAsia="zh-CN"/>
          <w14:textFill>
            <w14:solidFill>
              <w14:schemeClr w14:val="tx1"/>
            </w14:solidFill>
          </w14:textFill>
        </w:rPr>
        <w:t>5</w:t>
      </w:r>
      <w:r>
        <w:rPr>
          <w:rFonts w:hint="eastAsia" w:cs="Times New Roman"/>
          <w:color w:val="000000" w:themeColor="text1"/>
          <w14:textFill>
            <w14:solidFill>
              <w14:schemeClr w14:val="tx1"/>
            </w14:solidFill>
          </w14:textFill>
        </w:rPr>
        <w:t>分；结构设计工作年限100年，得</w:t>
      </w:r>
      <w:r>
        <w:rPr>
          <w:rFonts w:hint="eastAsia" w:cs="Times New Roman"/>
          <w:color w:val="000000" w:themeColor="text1"/>
          <w:lang w:val="en-US" w:eastAsia="zh-CN"/>
          <w14:textFill>
            <w14:solidFill>
              <w14:schemeClr w14:val="tx1"/>
            </w14:solidFill>
          </w14:textFill>
        </w:rPr>
        <w:t>10</w:t>
      </w:r>
      <w:r>
        <w:rPr>
          <w:rFonts w:hint="eastAsia" w:cs="Times New Roman"/>
          <w:color w:val="000000" w:themeColor="text1"/>
          <w14:textFill>
            <w14:solidFill>
              <w14:schemeClr w14:val="tx1"/>
            </w14:solidFill>
          </w14:textFill>
        </w:rPr>
        <w:t>分</w:t>
      </w:r>
      <w:r>
        <w:rPr>
          <w:rFonts w:hint="eastAsia" w:cs="Times New Roman"/>
          <w:color w:val="000000" w:themeColor="text1"/>
          <w:lang w:eastAsia="zh-CN"/>
          <w14:textFill>
            <w14:solidFill>
              <w14:schemeClr w14:val="tx1"/>
            </w14:solidFill>
          </w14:textFill>
        </w:rPr>
        <w:t>。</w:t>
      </w:r>
    </w:p>
    <w:p w14:paraId="7522ED9F">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【条文说明】本条适用于各类建筑的评价。</w:t>
      </w:r>
    </w:p>
    <w:p w14:paraId="04554A6E">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延长结构设计年限，包括耐久性年限和设计工作年限，会增加结构材料隐含碳排放量，但会降低结构维护阶段的维修碳排放量。针对装配式建筑，维修的难度大于普通建筑，其碳排放量也会更大。相关的分析如下：</w:t>
      </w:r>
    </w:p>
    <w:p w14:paraId="64FE818B">
      <w:pPr>
        <w:autoSpaceDE w:val="0"/>
        <w:autoSpaceDN w:val="0"/>
        <w:spacing w:line="360" w:lineRule="auto"/>
        <w:ind w:firstLine="420" w:firstLineChars="0"/>
        <w:rPr>
          <w:rFonts w:hint="default" w:ascii="Times New Roman" w:hAnsi="Times New Roman" w:cs="Times New Roman"/>
          <w:i/>
          <w:iCs/>
          <w:color w:val="auto"/>
          <w:sz w:val="21"/>
          <w:szCs w:val="21"/>
          <w:highlight w:val="none"/>
          <w:lang w:val="en-US" w:eastAsia="zh-CN"/>
        </w:rPr>
      </w:pPr>
      <w:r>
        <w:rPr>
          <w:rFonts w:hint="eastAsia" w:ascii="Times New Roman" w:hAnsi="Times New Roman" w:cs="Times New Roman"/>
          <w:i/>
          <w:iCs/>
          <w:color w:val="auto"/>
          <w:sz w:val="21"/>
          <w:szCs w:val="21"/>
          <w:highlight w:val="none"/>
          <w:lang w:val="en-US" w:eastAsia="zh-CN"/>
        </w:rPr>
        <w:t>1）关于耐久性年限的分析</w:t>
      </w:r>
    </w:p>
    <w:p w14:paraId="5FF75FE2">
      <w:pPr>
        <w:autoSpaceDE w:val="0"/>
        <w:autoSpaceDN w:val="0"/>
        <w:spacing w:line="360" w:lineRule="auto"/>
        <w:ind w:firstLine="420" w:firstLineChars="0"/>
        <w:rPr>
          <w:rFonts w:hint="default" w:ascii="Times New Roman" w:hAnsi="Times New Roman" w:eastAsia="宋体" w:cs="Times New Roman"/>
          <w:i/>
          <w:iCs/>
          <w:color w:val="auto"/>
          <w:sz w:val="21"/>
          <w:szCs w:val="21"/>
          <w:highlight w:val="none"/>
          <w:lang w:val="en-US" w:eastAsia="zh-CN"/>
        </w:rPr>
      </w:pPr>
      <w:r>
        <w:rPr>
          <w:rFonts w:hint="default" w:ascii="Times New Roman" w:hAnsi="Times New Roman" w:eastAsia="宋体" w:cs="Times New Roman"/>
          <w:i/>
          <w:iCs/>
          <w:color w:val="auto"/>
          <w:sz w:val="21"/>
          <w:szCs w:val="21"/>
          <w:highlight w:val="none"/>
          <w:lang w:val="en-US" w:eastAsia="zh-CN"/>
        </w:rPr>
        <w:t>假定服役建筑</w:t>
      </w:r>
      <w:r>
        <w:rPr>
          <w:rFonts w:hint="default" w:ascii="Times New Roman" w:hAnsi="Times New Roman" w:eastAsia="宋体" w:cs="Times New Roman"/>
          <w:i/>
          <w:iCs/>
          <w:color w:val="auto"/>
          <w:sz w:val="21"/>
          <w:szCs w:val="21"/>
          <w:highlight w:val="none"/>
          <w:lang w:eastAsia="zh-CN"/>
        </w:rPr>
        <w:t>的年碳排放</w:t>
      </w:r>
      <w:r>
        <w:rPr>
          <w:rFonts w:hint="default" w:ascii="Times New Roman" w:hAnsi="Times New Roman" w:eastAsia="宋体" w:cs="Times New Roman"/>
          <w:i/>
          <w:iCs/>
          <w:color w:val="auto"/>
          <w:sz w:val="21"/>
          <w:szCs w:val="21"/>
          <w:highlight w:val="none"/>
          <w:lang w:val="en-US" w:eastAsia="zh-CN"/>
        </w:rPr>
        <w:t>量逐年等比例增长，则Y年耐久性设计年限下服役X年的建筑单位面积碳排放量计算公式如下：</w:t>
      </w:r>
    </w:p>
    <w:p w14:paraId="3AF95FB1">
      <w:pPr>
        <w:pStyle w:val="20"/>
        <w:keepNext w:val="0"/>
        <w:keepLines w:val="0"/>
        <w:pageBreakBefore w:val="0"/>
        <w:widowControl/>
        <w:tabs>
          <w:tab w:val="center" w:pos="4620"/>
          <w:tab w:val="right" w:pos="9240"/>
        </w:tabs>
        <w:kinsoku/>
        <w:wordWrap/>
        <w:overflowPunct/>
        <w:topLinePunct w:val="0"/>
        <w:autoSpaceDE/>
        <w:autoSpaceDN/>
        <w:bidi w:val="0"/>
        <w:adjustRightInd/>
        <w:snapToGrid/>
        <w:spacing w:beforeAutospacing="0" w:afterAutospacing="0" w:line="360" w:lineRule="auto"/>
        <w:ind w:firstLine="0" w:firstLineChars="0"/>
        <w:jc w:val="both"/>
        <w:textAlignment w:val="auto"/>
        <w:rPr>
          <w:rFonts w:hint="default"/>
          <w:i/>
          <w:iCs/>
          <w:color w:val="000000"/>
          <w:sz w:val="22"/>
          <w:lang w:val="en-US" w:eastAsia="zh-CN"/>
        </w:rPr>
      </w:pPr>
      <w:r>
        <w:rPr>
          <w:rFonts w:hint="eastAsia"/>
          <w:i/>
          <w:iCs/>
          <w:color w:val="000000"/>
          <w:sz w:val="22"/>
          <w:lang w:val="en-US" w:eastAsia="zh-CN"/>
        </w:rPr>
        <w:tab/>
      </w:r>
      <w:r>
        <w:rPr>
          <w:rFonts w:hint="default"/>
          <w:i/>
          <w:iCs/>
          <w:color w:val="000000"/>
          <w:sz w:val="22"/>
          <w:lang w:val="en-US" w:eastAsia="zh-CN"/>
        </w:rPr>
        <w:t xml:space="preserve"> </w:t>
      </w:r>
      <w:r>
        <w:rPr>
          <w:rFonts w:hint="default"/>
          <w:i/>
          <w:iCs/>
          <w:color w:val="000000"/>
          <w:sz w:val="22"/>
          <w:lang w:val="en-US" w:eastAsia="zh-CN"/>
        </w:rPr>
        <w:object>
          <v:shape id="_x0000_i1027" o:spt="75" type="#_x0000_t75" style="height:31.95pt;width:107pt;" o:ole="t" filled="f" o:preferrelative="t" stroked="f" coordsize="21600,21600">
            <v:path/>
            <v:fill on="f" focussize="0,0"/>
            <v:stroke on="f"/>
            <v:imagedata r:id="rId17" o:title=""/>
            <o:lock v:ext="edit" aspectratio="t"/>
            <w10:wrap type="none"/>
            <w10:anchorlock/>
          </v:shape>
          <o:OLEObject Type="Embed" ProgID="Equation.KSEE3" ShapeID="_x0000_i1027" DrawAspect="Content" ObjectID="_1468075727" r:id="rId16">
            <o:LockedField>false</o:LockedField>
          </o:OLEObject>
        </w:object>
      </w:r>
      <w:r>
        <w:rPr>
          <w:rFonts w:hint="default"/>
          <w:i/>
          <w:iCs/>
          <w:color w:val="000000"/>
          <w:sz w:val="22"/>
          <w:lang w:val="en-US" w:eastAsia="zh-CN"/>
        </w:rPr>
        <w:t xml:space="preserve">  </w:t>
      </w:r>
      <w:r>
        <w:rPr>
          <w:rFonts w:hint="eastAsia"/>
          <w:i/>
          <w:iCs/>
          <w:color w:val="000000"/>
          <w:sz w:val="22"/>
          <w:lang w:val="en-US" w:eastAsia="zh-CN"/>
        </w:rPr>
        <w:tab/>
      </w:r>
      <w:r>
        <w:rPr>
          <w:rFonts w:hint="eastAsia"/>
          <w:i/>
          <w:iCs/>
          <w:color w:val="000000"/>
          <w:sz w:val="22"/>
          <w:lang w:val="en-US" w:eastAsia="zh-CN"/>
        </w:rPr>
        <w:t>（4）</w:t>
      </w:r>
      <w:r>
        <w:rPr>
          <w:rFonts w:hint="default"/>
          <w:i/>
          <w:iCs/>
          <w:color w:val="000000"/>
          <w:sz w:val="22"/>
          <w:lang w:val="en-US" w:eastAsia="zh-CN"/>
        </w:rPr>
        <w:tab/>
      </w:r>
      <w:r>
        <w:rPr>
          <w:rFonts w:hint="default"/>
          <w:i/>
          <w:iCs/>
          <w:color w:val="000000"/>
          <w:sz w:val="22"/>
          <w:lang w:val="en-US" w:eastAsia="zh-CN"/>
        </w:rPr>
        <w:t xml:space="preserve">                  </w:t>
      </w:r>
      <w:r>
        <w:rPr>
          <w:rFonts w:hint="eastAsia"/>
          <w:i/>
          <w:iCs/>
          <w:color w:val="000000"/>
          <w:sz w:val="22"/>
          <w:lang w:val="en-US" w:eastAsia="zh-CN"/>
        </w:rPr>
        <w:t xml:space="preserve">   </w:t>
      </w:r>
      <w:r>
        <w:rPr>
          <w:rFonts w:hint="default"/>
          <w:i/>
          <w:iCs/>
          <w:color w:val="000000"/>
          <w:sz w:val="22"/>
          <w:lang w:val="en-US" w:eastAsia="zh-CN"/>
        </w:rPr>
        <w:t xml:space="preserve">   </w:t>
      </w:r>
    </w:p>
    <w:p w14:paraId="663B9651">
      <w:pPr>
        <w:spacing w:line="360" w:lineRule="auto"/>
        <w:ind w:firstLine="420" w:firstLineChars="0"/>
        <w:rPr>
          <w:rFonts w:hint="default" w:ascii="Times New Roman" w:hAnsi="Times New Roman" w:eastAsia="宋体" w:cs="Times New Roman"/>
          <w:i/>
          <w:iCs/>
          <w:color w:val="auto"/>
          <w:sz w:val="21"/>
          <w:szCs w:val="21"/>
          <w:highlight w:val="none"/>
        </w:rPr>
      </w:pPr>
      <w:r>
        <w:rPr>
          <w:rFonts w:hint="default" w:ascii="Times New Roman" w:hAnsi="Times New Roman" w:eastAsia="宋体" w:cs="Times New Roman"/>
          <w:i/>
          <w:iCs/>
          <w:color w:val="auto"/>
          <w:sz w:val="21"/>
          <w:szCs w:val="21"/>
          <w:highlight w:val="none"/>
        </w:rPr>
        <w:t>式中：</w:t>
      </w:r>
      <w:r>
        <w:rPr>
          <w:rFonts w:hint="default" w:ascii="Times New Roman" w:hAnsi="Times New Roman" w:eastAsia="宋体" w:cs="Times New Roman"/>
          <w:i/>
          <w:iCs/>
          <w:color w:val="auto"/>
          <w:position w:val="-10"/>
          <w:sz w:val="21"/>
          <w:szCs w:val="21"/>
          <w:highlight w:val="none"/>
        </w:rPr>
        <w:object>
          <v:shape id="_x0000_i1028" o:spt="75" type="#_x0000_t75" style="height:16pt;width:18pt;" o:ole="t" filled="f" o:preferrelative="t" stroked="f" coordsize="21600,21600">
            <v:path/>
            <v:fill on="f" focussize="0,0"/>
            <v:stroke on="f"/>
            <v:imagedata r:id="rId19" o:title=""/>
            <o:lock v:ext="edit" aspectratio="t"/>
            <w10:wrap type="none"/>
            <w10:anchorlock/>
          </v:shape>
          <o:OLEObject Type="Embed" ProgID="Equation.KSEE3" ShapeID="_x0000_i1028" DrawAspect="Content" ObjectID="_1468075728" r:id="rId18">
            <o:LockedField>false</o:LockedField>
          </o:OLEObject>
        </w:object>
      </w:r>
      <w:r>
        <w:rPr>
          <w:rFonts w:hint="default" w:ascii="Times New Roman" w:hAnsi="Times New Roman" w:eastAsia="宋体" w:cs="Times New Roman"/>
          <w:i/>
          <w:iCs/>
          <w:color w:val="auto"/>
          <w:sz w:val="21"/>
          <w:szCs w:val="21"/>
          <w:highlight w:val="none"/>
        </w:rPr>
        <w:t>为Y年</w:t>
      </w:r>
      <w:r>
        <w:rPr>
          <w:rFonts w:hint="default" w:ascii="Times New Roman" w:hAnsi="Times New Roman" w:eastAsia="宋体" w:cs="Times New Roman"/>
          <w:i/>
          <w:iCs/>
          <w:color w:val="auto"/>
          <w:sz w:val="21"/>
          <w:szCs w:val="21"/>
          <w:highlight w:val="none"/>
          <w:lang w:eastAsia="zh-CN"/>
        </w:rPr>
        <w:t>耐久性设计年限</w:t>
      </w:r>
      <w:r>
        <w:rPr>
          <w:rFonts w:hint="default" w:ascii="Times New Roman" w:hAnsi="Times New Roman" w:eastAsia="宋体" w:cs="Times New Roman"/>
          <w:i/>
          <w:iCs/>
          <w:color w:val="auto"/>
          <w:sz w:val="21"/>
          <w:szCs w:val="21"/>
          <w:highlight w:val="none"/>
          <w:lang w:val="en-US" w:eastAsia="zh-CN"/>
        </w:rPr>
        <w:t>下服役</w:t>
      </w:r>
      <w:r>
        <w:rPr>
          <w:rFonts w:hint="default" w:ascii="Times New Roman" w:hAnsi="Times New Roman" w:eastAsia="宋体" w:cs="Times New Roman"/>
          <w:i/>
          <w:iCs/>
          <w:color w:val="auto"/>
          <w:sz w:val="21"/>
          <w:szCs w:val="21"/>
          <w:highlight w:val="none"/>
        </w:rPr>
        <w:t>X年的建筑单位面积碳排放量；</w:t>
      </w:r>
      <w:r>
        <w:rPr>
          <w:rFonts w:hint="default" w:ascii="Times New Roman" w:hAnsi="Times New Roman" w:eastAsia="宋体" w:cs="Times New Roman"/>
          <w:i/>
          <w:iCs/>
          <w:color w:val="auto"/>
          <w:position w:val="-10"/>
          <w:sz w:val="21"/>
          <w:szCs w:val="21"/>
          <w:highlight w:val="none"/>
        </w:rPr>
        <w:object>
          <v:shape id="_x0000_i1029" o:spt="75" type="#_x0000_t75" style="height:16pt;width:16pt;" o:ole="t" filled="f" o:preferrelative="t" stroked="f" coordsize="21600,21600">
            <v:path/>
            <v:fill on="f" focussize="0,0"/>
            <v:stroke on="f"/>
            <v:imagedata r:id="rId21" o:title=""/>
            <o:lock v:ext="edit" aspectratio="t"/>
            <w10:wrap type="none"/>
            <w10:anchorlock/>
          </v:shape>
          <o:OLEObject Type="Embed" ProgID="Equation.KSEE3" ShapeID="_x0000_i1029" DrawAspect="Content" ObjectID="_1468075729" r:id="rId20">
            <o:LockedField>false</o:LockedField>
          </o:OLEObject>
        </w:object>
      </w:r>
      <w:r>
        <w:rPr>
          <w:rFonts w:hint="default" w:ascii="Times New Roman" w:hAnsi="Times New Roman" w:eastAsia="宋体" w:cs="Times New Roman"/>
          <w:i/>
          <w:iCs/>
          <w:color w:val="auto"/>
          <w:sz w:val="21"/>
          <w:szCs w:val="21"/>
          <w:highlight w:val="none"/>
        </w:rPr>
        <w:t>为建筑当年碳排放</w:t>
      </w:r>
      <w:r>
        <w:rPr>
          <w:rFonts w:hint="default" w:ascii="Times New Roman" w:hAnsi="Times New Roman" w:eastAsia="宋体" w:cs="Times New Roman"/>
          <w:i/>
          <w:iCs/>
          <w:color w:val="auto"/>
          <w:sz w:val="21"/>
          <w:szCs w:val="21"/>
          <w:highlight w:val="none"/>
          <w:lang w:eastAsia="zh-CN"/>
        </w:rPr>
        <w:t>量</w:t>
      </w:r>
      <w:r>
        <w:rPr>
          <w:rFonts w:hint="default" w:ascii="Times New Roman" w:hAnsi="Times New Roman" w:eastAsia="宋体" w:cs="Times New Roman"/>
          <w:i/>
          <w:iCs/>
          <w:color w:val="auto"/>
          <w:sz w:val="21"/>
          <w:szCs w:val="21"/>
          <w:highlight w:val="none"/>
        </w:rPr>
        <w:t>与上一年度比值</w:t>
      </w:r>
      <w:r>
        <w:rPr>
          <w:rFonts w:hint="default" w:ascii="Times New Roman" w:hAnsi="Times New Roman" w:eastAsia="宋体" w:cs="Times New Roman"/>
          <w:i/>
          <w:iCs/>
          <w:color w:val="auto"/>
          <w:sz w:val="21"/>
          <w:szCs w:val="21"/>
          <w:highlight w:val="none"/>
          <w:lang w:eastAsia="zh-CN"/>
        </w:rPr>
        <w:t>，</w:t>
      </w:r>
      <w:r>
        <w:rPr>
          <w:rFonts w:hint="default" w:ascii="Times New Roman" w:hAnsi="Times New Roman" w:eastAsia="宋体" w:cs="Times New Roman"/>
          <w:i/>
          <w:iCs/>
          <w:color w:val="auto"/>
          <w:position w:val="-10"/>
          <w:sz w:val="21"/>
          <w:szCs w:val="21"/>
          <w:highlight w:val="none"/>
        </w:rPr>
        <w:object>
          <v:shape id="_x0000_i1030" o:spt="75" type="#_x0000_t75" style="height:16pt;width:19pt;" o:ole="t" filled="f" o:preferrelative="t" stroked="f" coordsize="21600,21600">
            <v:path/>
            <v:fill on="f" focussize="0,0"/>
            <v:stroke on="f"/>
            <v:imagedata r:id="rId23" o:title=""/>
            <o:lock v:ext="edit" aspectratio="t"/>
            <w10:wrap type="none"/>
            <w10:anchorlock/>
          </v:shape>
          <o:OLEObject Type="Embed" ProgID="Equation.KSEE3" ShapeID="_x0000_i1030" DrawAspect="Content" ObjectID="_1468075730" r:id="rId22">
            <o:LockedField>false</o:LockedField>
          </o:OLEObject>
        </w:object>
      </w:r>
      <w:r>
        <w:rPr>
          <w:rFonts w:hint="default" w:ascii="Times New Roman" w:hAnsi="Times New Roman" w:eastAsia="宋体" w:cs="Times New Roman"/>
          <w:i/>
          <w:iCs/>
          <w:color w:val="auto"/>
          <w:sz w:val="21"/>
          <w:szCs w:val="21"/>
          <w:highlight w:val="none"/>
          <w:lang w:eastAsia="zh-CN"/>
        </w:rPr>
        <w:t>取为1.01，</w:t>
      </w:r>
      <w:r>
        <w:rPr>
          <w:rFonts w:hint="default" w:ascii="Times New Roman" w:hAnsi="Times New Roman" w:eastAsia="宋体" w:cs="Times New Roman"/>
          <w:i/>
          <w:iCs/>
          <w:color w:val="auto"/>
          <w:position w:val="-10"/>
          <w:sz w:val="21"/>
          <w:szCs w:val="21"/>
          <w:highlight w:val="none"/>
        </w:rPr>
        <w:object>
          <v:shape id="_x0000_i1031" o:spt="75" type="#_x0000_t75" style="height:16pt;width:21pt;" o:ole="t" filled="f" o:preferrelative="t" stroked="f" coordsize="21600,21600">
            <v:path/>
            <v:fill on="f" focussize="0,0"/>
            <v:stroke on="f"/>
            <v:imagedata r:id="rId25" o:title=""/>
            <o:lock v:ext="edit" aspectratio="t"/>
            <w10:wrap type="none"/>
            <w10:anchorlock/>
          </v:shape>
          <o:OLEObject Type="Embed" ProgID="Equation.KSEE3" ShapeID="_x0000_i1031" DrawAspect="Content" ObjectID="_1468075731" r:id="rId24">
            <o:LockedField>false</o:LockedField>
          </o:OLEObject>
        </w:object>
      </w:r>
      <w:r>
        <w:rPr>
          <w:rFonts w:hint="default" w:ascii="Times New Roman" w:hAnsi="Times New Roman" w:eastAsia="宋体" w:cs="Times New Roman"/>
          <w:i/>
          <w:iCs/>
          <w:color w:val="auto"/>
          <w:sz w:val="21"/>
          <w:szCs w:val="21"/>
          <w:highlight w:val="none"/>
          <w:lang w:eastAsia="zh-CN"/>
        </w:rPr>
        <w:t>取为1.0</w:t>
      </w:r>
      <w:r>
        <w:rPr>
          <w:rFonts w:hint="default" w:ascii="Times New Roman" w:hAnsi="Times New Roman" w:eastAsia="宋体" w:cs="Times New Roman"/>
          <w:i/>
          <w:iCs/>
          <w:color w:val="auto"/>
          <w:sz w:val="21"/>
          <w:szCs w:val="21"/>
          <w:highlight w:val="none"/>
          <w:lang w:val="en-US" w:eastAsia="zh-CN"/>
        </w:rPr>
        <w:t>08</w:t>
      </w:r>
      <w:r>
        <w:rPr>
          <w:rFonts w:hint="default" w:ascii="Times New Roman" w:hAnsi="Times New Roman" w:eastAsia="宋体" w:cs="Times New Roman"/>
          <w:i/>
          <w:iCs/>
          <w:color w:val="auto"/>
          <w:sz w:val="21"/>
          <w:szCs w:val="21"/>
          <w:highlight w:val="none"/>
        </w:rPr>
        <w:t>。</w:t>
      </w:r>
    </w:p>
    <w:p w14:paraId="6EC04262">
      <w:pPr>
        <w:spacing w:line="360" w:lineRule="auto"/>
        <w:ind w:firstLine="420" w:firstLineChars="0"/>
        <w:rPr>
          <w:rFonts w:hint="default" w:ascii="Times New Roman" w:hAnsi="Times New Roman" w:eastAsia="宋体" w:cs="Times New Roman"/>
          <w:i/>
          <w:iCs/>
          <w:color w:val="auto"/>
          <w:sz w:val="21"/>
          <w:szCs w:val="21"/>
          <w:highlight w:val="none"/>
          <w:lang w:val="en-US" w:eastAsia="zh-CN"/>
        </w:rPr>
      </w:pPr>
      <w:r>
        <w:rPr>
          <w:rFonts w:hint="eastAsia" w:ascii="Times New Roman" w:hAnsi="Times New Roman" w:cs="Times New Roman"/>
          <w:i/>
          <w:iCs/>
          <w:color w:val="auto"/>
          <w:sz w:val="21"/>
          <w:szCs w:val="21"/>
          <w:highlight w:val="none"/>
          <w:lang w:val="en-US" w:eastAsia="zh-CN"/>
        </w:rPr>
        <w:t>经过分析可以得到以下规律：</w:t>
      </w:r>
    </w:p>
    <w:p w14:paraId="6F3CA39E">
      <w:pPr>
        <w:spacing w:line="360" w:lineRule="auto"/>
        <w:ind w:firstLine="420" w:firstLineChars="0"/>
        <w:jc w:val="center"/>
        <w:rPr>
          <w:rFonts w:hint="default" w:ascii="Times New Roman" w:hAnsi="Times New Roman" w:eastAsia="宋体" w:cs="Times New Roman"/>
          <w:i/>
          <w:iCs/>
          <w:color w:val="auto"/>
          <w:sz w:val="21"/>
          <w:szCs w:val="21"/>
          <w:highlight w:val="none"/>
        </w:rPr>
      </w:pPr>
      <w:r>
        <w:rPr>
          <w:rFonts w:hint="default" w:ascii="Times New Roman" w:hAnsi="Times New Roman" w:eastAsia="宋体" w:cs="Times New Roman"/>
          <w:i/>
          <w:iCs/>
          <w:color w:val="auto"/>
          <w:sz w:val="21"/>
          <w:szCs w:val="21"/>
          <w:highlight w:val="none"/>
        </w:rPr>
        <w:drawing>
          <wp:inline distT="0" distB="0" distL="114300" distR="114300">
            <wp:extent cx="4080510" cy="895985"/>
            <wp:effectExtent l="0" t="0" r="15240" b="18415"/>
            <wp:docPr id="37" name="图片 104" descr="C:\Users\sunqian\Desktop\绘图2.png绘图2"/>
            <wp:cNvGraphicFramePr/>
            <a:graphic xmlns:a="http://schemas.openxmlformats.org/drawingml/2006/main">
              <a:graphicData uri="http://schemas.openxmlformats.org/drawingml/2006/picture">
                <pic:pic xmlns:pic="http://schemas.openxmlformats.org/drawingml/2006/picture">
                  <pic:nvPicPr>
                    <pic:cNvPr id="37" name="图片 104" descr="C:\Users\sunqian\Desktop\绘图2.png绘图2"/>
                    <pic:cNvPicPr/>
                  </pic:nvPicPr>
                  <pic:blipFill>
                    <a:blip r:embed="rId26"/>
                    <a:srcRect/>
                    <a:stretch>
                      <a:fillRect/>
                    </a:stretch>
                  </pic:blipFill>
                  <pic:spPr>
                    <a:xfrm>
                      <a:off x="0" y="0"/>
                      <a:ext cx="4080510" cy="895985"/>
                    </a:xfrm>
                    <a:prstGeom prst="rect">
                      <a:avLst/>
                    </a:prstGeom>
                    <a:noFill/>
                    <a:ln>
                      <a:noFill/>
                    </a:ln>
                  </pic:spPr>
                </pic:pic>
              </a:graphicData>
            </a:graphic>
          </wp:inline>
        </w:drawing>
      </w:r>
    </w:p>
    <w:p w14:paraId="237DEC63">
      <w:pPr>
        <w:spacing w:line="360" w:lineRule="auto"/>
        <w:ind w:firstLine="420" w:firstLineChars="0"/>
        <w:jc w:val="center"/>
        <w:rPr>
          <w:rFonts w:hint="default" w:ascii="Times New Roman" w:hAnsi="Times New Roman" w:cs="Times New Roman"/>
          <w:i/>
          <w:iCs/>
          <w:color w:val="auto"/>
          <w:sz w:val="21"/>
          <w:szCs w:val="21"/>
          <w:highlight w:val="none"/>
          <w:lang w:val="en-US" w:eastAsia="zh-CN"/>
        </w:rPr>
      </w:pPr>
      <w:r>
        <w:rPr>
          <w:rFonts w:hint="eastAsia" w:ascii="Times New Roman" w:hAnsi="Times New Roman" w:cs="Times New Roman"/>
          <w:i/>
          <w:iCs/>
          <w:color w:val="auto"/>
          <w:sz w:val="21"/>
          <w:szCs w:val="21"/>
          <w:highlight w:val="none"/>
          <w:lang w:val="en-US" w:eastAsia="zh-CN"/>
        </w:rPr>
        <w:t>图</w:t>
      </w:r>
      <w:r>
        <w:rPr>
          <w:rFonts w:hint="eastAsia" w:cs="Times New Roman"/>
          <w:i/>
          <w:iCs/>
          <w:color w:val="auto"/>
          <w:sz w:val="21"/>
          <w:szCs w:val="21"/>
          <w:highlight w:val="none"/>
          <w:lang w:val="en-US" w:eastAsia="zh-CN"/>
        </w:rPr>
        <w:t>2 耐久性设计年限100年建筑与50年建筑的碳排放情况</w:t>
      </w:r>
    </w:p>
    <w:p w14:paraId="14EAA4DF">
      <w:pPr>
        <w:autoSpaceDE w:val="0"/>
        <w:autoSpaceDN w:val="0"/>
        <w:spacing w:line="360" w:lineRule="auto"/>
        <w:ind w:firstLine="420" w:firstLineChars="0"/>
        <w:rPr>
          <w:rFonts w:hint="default" w:ascii="Times New Roman" w:hAnsi="Times New Roman" w:cs="Times New Roman"/>
          <w:i/>
          <w:iCs/>
          <w:color w:val="auto"/>
          <w:sz w:val="21"/>
          <w:szCs w:val="21"/>
          <w:highlight w:val="none"/>
          <w:lang w:val="en-US" w:eastAsia="zh-CN"/>
        </w:rPr>
      </w:pPr>
      <w:r>
        <w:rPr>
          <w:rFonts w:hint="eastAsia" w:ascii="Times New Roman" w:hAnsi="Times New Roman" w:cs="Times New Roman"/>
          <w:i/>
          <w:iCs/>
          <w:color w:val="auto"/>
          <w:sz w:val="21"/>
          <w:szCs w:val="21"/>
          <w:highlight w:val="none"/>
          <w:lang w:val="en-US" w:eastAsia="zh-CN"/>
        </w:rPr>
        <w:t>2）关于设计工作年限的分析</w:t>
      </w:r>
    </w:p>
    <w:p w14:paraId="634243C3">
      <w:pPr>
        <w:autoSpaceDE w:val="0"/>
        <w:autoSpaceDN w:val="0"/>
        <w:spacing w:line="360" w:lineRule="auto"/>
        <w:ind w:firstLine="420" w:firstLineChars="0"/>
        <w:rPr>
          <w:rFonts w:hint="default" w:ascii="Times New Roman" w:hAnsi="Times New Roman" w:eastAsia="宋体" w:cs="Times New Roman"/>
          <w:i/>
          <w:iCs/>
          <w:color w:val="auto"/>
          <w:sz w:val="21"/>
          <w:szCs w:val="21"/>
          <w:highlight w:val="none"/>
          <w:lang w:val="en-US" w:eastAsia="zh-CN"/>
        </w:rPr>
      </w:pPr>
      <w:r>
        <w:rPr>
          <w:rFonts w:hint="default" w:ascii="Times New Roman" w:hAnsi="Times New Roman" w:eastAsia="宋体" w:cs="Times New Roman"/>
          <w:i/>
          <w:iCs/>
          <w:color w:val="auto"/>
          <w:sz w:val="21"/>
          <w:szCs w:val="21"/>
          <w:highlight w:val="none"/>
          <w:lang w:val="en-US" w:eastAsia="zh-CN"/>
        </w:rPr>
        <w:t>等比例增长模型即假定建筑碳排放量逐年等比例增长，则Y年设计工作年限下的建筑服役X年的单位面积碳排放量计算公式如下：</w:t>
      </w:r>
    </w:p>
    <w:p w14:paraId="50AEB341">
      <w:pPr>
        <w:pStyle w:val="20"/>
        <w:keepNext w:val="0"/>
        <w:keepLines w:val="0"/>
        <w:pageBreakBefore w:val="0"/>
        <w:widowControl/>
        <w:tabs>
          <w:tab w:val="center" w:pos="4620"/>
          <w:tab w:val="right" w:pos="9240"/>
        </w:tabs>
        <w:kinsoku/>
        <w:wordWrap/>
        <w:overflowPunct/>
        <w:topLinePunct w:val="0"/>
        <w:autoSpaceDE/>
        <w:autoSpaceDN/>
        <w:bidi w:val="0"/>
        <w:adjustRightInd/>
        <w:snapToGrid/>
        <w:spacing w:beforeAutospacing="0" w:afterAutospacing="0" w:line="360" w:lineRule="auto"/>
        <w:ind w:firstLine="0" w:firstLineChars="0"/>
        <w:jc w:val="both"/>
        <w:textAlignment w:val="auto"/>
        <w:rPr>
          <w:rFonts w:hint="default"/>
          <w:i/>
          <w:iCs/>
          <w:color w:val="000000"/>
          <w:sz w:val="22"/>
          <w:lang w:val="en-US" w:eastAsia="zh-CN"/>
        </w:rPr>
      </w:pPr>
      <w:r>
        <w:rPr>
          <w:rFonts w:hint="eastAsia"/>
          <w:i/>
          <w:iCs/>
          <w:color w:val="000000"/>
          <w:sz w:val="22"/>
          <w:lang w:val="en-US" w:eastAsia="zh-CN"/>
        </w:rPr>
        <w:tab/>
      </w:r>
      <w:r>
        <w:rPr>
          <w:rFonts w:hint="default"/>
          <w:i/>
          <w:iCs/>
          <w:color w:val="000000"/>
          <w:sz w:val="22"/>
          <w:lang w:val="en-US" w:eastAsia="zh-CN"/>
        </w:rPr>
        <w:t xml:space="preserve"> </w:t>
      </w:r>
      <w:r>
        <w:rPr>
          <w:rFonts w:hint="default"/>
          <w:i/>
          <w:iCs/>
          <w:color w:val="000000"/>
          <w:sz w:val="22"/>
          <w:lang w:val="en-US" w:eastAsia="zh-CN"/>
        </w:rPr>
        <w:object>
          <v:shape id="_x0000_i1032" o:spt="75" type="#_x0000_t75" style="height:31.95pt;width:105pt;" o:ole="t" filled="f" o:preferrelative="t" stroked="f" coordsize="21600,21600">
            <v:path/>
            <v:fill on="f" focussize="0,0"/>
            <v:stroke on="f"/>
            <v:imagedata r:id="rId28" o:title=""/>
            <o:lock v:ext="edit" aspectratio="t"/>
            <w10:wrap type="none"/>
            <w10:anchorlock/>
          </v:shape>
          <o:OLEObject Type="Embed" ProgID="Equation.KSEE3" ShapeID="_x0000_i1032" DrawAspect="Content" ObjectID="_1468075732" r:id="rId27">
            <o:LockedField>false</o:LockedField>
          </o:OLEObject>
        </w:object>
      </w:r>
      <w:r>
        <w:rPr>
          <w:rFonts w:hint="default"/>
          <w:i/>
          <w:iCs/>
          <w:color w:val="000000"/>
          <w:sz w:val="22"/>
          <w:lang w:val="en-US" w:eastAsia="zh-CN"/>
        </w:rPr>
        <w:t xml:space="preserve">  </w:t>
      </w:r>
      <w:r>
        <w:rPr>
          <w:rFonts w:hint="eastAsia"/>
          <w:i/>
          <w:iCs/>
          <w:color w:val="000000"/>
          <w:sz w:val="22"/>
          <w:lang w:val="en-US" w:eastAsia="zh-CN"/>
        </w:rPr>
        <w:tab/>
      </w:r>
      <w:r>
        <w:rPr>
          <w:rFonts w:hint="eastAsia"/>
          <w:i/>
          <w:iCs/>
          <w:color w:val="000000"/>
          <w:sz w:val="22"/>
          <w:lang w:val="en-US" w:eastAsia="zh-CN"/>
        </w:rPr>
        <w:t>（5）</w:t>
      </w:r>
    </w:p>
    <w:p w14:paraId="4C6692FF">
      <w:pPr>
        <w:pStyle w:val="20"/>
        <w:widowControl/>
        <w:autoSpaceDE/>
        <w:autoSpaceDN/>
        <w:spacing w:beforeAutospacing="0" w:afterAutospacing="0" w:line="360" w:lineRule="auto"/>
        <w:ind w:firstLine="420" w:firstLineChars="0"/>
        <w:jc w:val="both"/>
        <w:rPr>
          <w:rFonts w:hint="default" w:ascii="Times New Roman" w:hAnsi="Times New Roman" w:eastAsia="宋体" w:cs="Times New Roman"/>
          <w:i/>
          <w:iCs/>
          <w:color w:val="auto"/>
          <w:sz w:val="21"/>
          <w:szCs w:val="21"/>
          <w:highlight w:val="none"/>
        </w:rPr>
      </w:pPr>
      <w:r>
        <w:rPr>
          <w:rFonts w:hint="default" w:ascii="Times New Roman" w:hAnsi="Times New Roman" w:eastAsia="宋体" w:cs="Times New Roman"/>
          <w:i/>
          <w:iCs/>
          <w:color w:val="auto"/>
          <w:sz w:val="21"/>
          <w:szCs w:val="21"/>
          <w:highlight w:val="none"/>
        </w:rPr>
        <w:t>式中：</w:t>
      </w:r>
      <w:r>
        <w:rPr>
          <w:rFonts w:hint="default" w:ascii="Times New Roman" w:hAnsi="Times New Roman" w:eastAsia="宋体" w:cs="Times New Roman"/>
          <w:i/>
          <w:iCs/>
          <w:color w:val="auto"/>
          <w:position w:val="-10"/>
          <w:sz w:val="21"/>
          <w:szCs w:val="21"/>
          <w:highlight w:val="none"/>
        </w:rPr>
        <w:object>
          <v:shape id="_x0000_i1033" o:spt="75" type="#_x0000_t75" style="height:16pt;width:16pt;" o:ole="t" filled="f" o:preferrelative="t" stroked="f" coordsize="21600,21600">
            <v:path/>
            <v:fill on="f" focussize="0,0"/>
            <v:stroke on="f"/>
            <v:imagedata r:id="rId30" o:title=""/>
            <o:lock v:ext="edit" aspectratio="t"/>
            <w10:wrap type="none"/>
            <w10:anchorlock/>
          </v:shape>
          <o:OLEObject Type="Embed" ProgID="Equation.KSEE3" ShapeID="_x0000_i1033" DrawAspect="Content" ObjectID="_1468075733" r:id="rId29">
            <o:LockedField>false</o:LockedField>
          </o:OLEObject>
        </w:object>
      </w:r>
      <w:r>
        <w:rPr>
          <w:rFonts w:hint="default" w:ascii="Times New Roman" w:hAnsi="Times New Roman" w:eastAsia="宋体" w:cs="Times New Roman"/>
          <w:i/>
          <w:iCs/>
          <w:color w:val="auto"/>
          <w:sz w:val="21"/>
          <w:szCs w:val="21"/>
          <w:highlight w:val="none"/>
        </w:rPr>
        <w:t>为</w:t>
      </w:r>
      <w:r>
        <w:rPr>
          <w:rFonts w:hint="default" w:ascii="Times New Roman" w:hAnsi="Times New Roman" w:eastAsia="宋体" w:cs="Times New Roman"/>
          <w:i/>
          <w:iCs/>
          <w:color w:val="auto"/>
          <w:sz w:val="21"/>
          <w:szCs w:val="21"/>
          <w:highlight w:val="none"/>
          <w:lang w:val="en-US" w:eastAsia="zh-CN"/>
        </w:rPr>
        <w:t>Y年设计工作年限下的建筑服役X年的单位面积碳排放量</w:t>
      </w:r>
      <w:r>
        <w:rPr>
          <w:rFonts w:hint="default" w:ascii="Times New Roman" w:hAnsi="Times New Roman" w:eastAsia="宋体" w:cs="Times New Roman"/>
          <w:i/>
          <w:iCs/>
          <w:color w:val="auto"/>
          <w:sz w:val="21"/>
          <w:szCs w:val="21"/>
          <w:highlight w:val="none"/>
        </w:rPr>
        <w:t>；</w:t>
      </w:r>
      <w:r>
        <w:rPr>
          <w:rFonts w:hint="default" w:ascii="Times New Roman" w:hAnsi="Times New Roman" w:eastAsia="宋体" w:cs="Times New Roman"/>
          <w:i/>
          <w:iCs/>
          <w:color w:val="auto"/>
          <w:sz w:val="21"/>
          <w:szCs w:val="21"/>
          <w:highlight w:val="none"/>
          <w:lang w:val="en-US" w:eastAsia="zh-CN"/>
        </w:rPr>
        <w:t>C</w:t>
      </w:r>
      <w:r>
        <w:rPr>
          <w:rFonts w:hint="default" w:ascii="Times New Roman" w:hAnsi="Times New Roman" w:eastAsia="宋体" w:cs="Times New Roman"/>
          <w:i/>
          <w:iCs/>
          <w:color w:val="auto"/>
          <w:sz w:val="21"/>
          <w:szCs w:val="21"/>
          <w:highlight w:val="none"/>
          <w:vertAlign w:val="subscript"/>
          <w:lang w:val="en-US" w:eastAsia="zh-CN"/>
        </w:rPr>
        <w:t>YD</w:t>
      </w:r>
      <w:r>
        <w:rPr>
          <w:rFonts w:hint="default" w:ascii="Times New Roman" w:hAnsi="Times New Roman" w:eastAsia="宋体" w:cs="Times New Roman"/>
          <w:i/>
          <w:iCs/>
          <w:color w:val="auto"/>
          <w:sz w:val="21"/>
          <w:szCs w:val="21"/>
          <w:highlight w:val="none"/>
          <w:lang w:val="en-US" w:eastAsia="zh-CN"/>
        </w:rPr>
        <w:t>为</w:t>
      </w:r>
      <w:r>
        <w:rPr>
          <w:rFonts w:hint="default" w:ascii="Times New Roman" w:hAnsi="Times New Roman" w:eastAsia="宋体" w:cs="Times New Roman"/>
          <w:i/>
          <w:iCs/>
          <w:color w:val="auto"/>
          <w:sz w:val="21"/>
          <w:szCs w:val="21"/>
          <w:highlight w:val="none"/>
        </w:rPr>
        <w:t>建筑隐含碳排放量</w:t>
      </w:r>
      <w:r>
        <w:rPr>
          <w:rFonts w:hint="default" w:ascii="Times New Roman" w:hAnsi="Times New Roman" w:eastAsia="宋体" w:cs="Times New Roman"/>
          <w:i/>
          <w:iCs/>
          <w:color w:val="auto"/>
          <w:sz w:val="21"/>
          <w:szCs w:val="21"/>
          <w:highlight w:val="none"/>
          <w:lang w:eastAsia="zh-CN"/>
        </w:rPr>
        <w:t>，对于</w:t>
      </w:r>
      <w:r>
        <w:rPr>
          <w:rFonts w:hint="default" w:ascii="Times New Roman" w:hAnsi="Times New Roman" w:eastAsia="宋体" w:cs="Times New Roman"/>
          <w:i/>
          <w:iCs/>
          <w:color w:val="auto"/>
          <w:sz w:val="21"/>
          <w:szCs w:val="21"/>
          <w:highlight w:val="none"/>
          <w:lang w:val="en-US" w:eastAsia="zh-CN"/>
        </w:rPr>
        <w:t>50年设计年限建筑取为640，100年设计年限的建筑取为768，50年至100年间按照线性插值</w:t>
      </w:r>
      <w:r>
        <w:rPr>
          <w:rFonts w:hint="default" w:ascii="Times New Roman" w:hAnsi="Times New Roman" w:eastAsia="宋体" w:cs="Times New Roman"/>
          <w:i/>
          <w:iCs/>
          <w:color w:val="auto"/>
          <w:sz w:val="21"/>
          <w:szCs w:val="21"/>
          <w:highlight w:val="none"/>
        </w:rPr>
        <w:t>；</w:t>
      </w:r>
      <w:r>
        <w:rPr>
          <w:rFonts w:hint="default" w:ascii="Times New Roman" w:hAnsi="Times New Roman" w:eastAsia="宋体" w:cs="Times New Roman"/>
          <w:i/>
          <w:iCs/>
          <w:color w:val="auto"/>
          <w:sz w:val="21"/>
          <w:szCs w:val="21"/>
          <w:highlight w:val="none"/>
          <w:lang w:val="en-US" w:eastAsia="zh-CN"/>
        </w:rPr>
        <w:t>C</w:t>
      </w:r>
      <w:r>
        <w:rPr>
          <w:rFonts w:hint="default" w:ascii="Times New Roman" w:hAnsi="Times New Roman" w:eastAsia="宋体" w:cs="Times New Roman"/>
          <w:i/>
          <w:iCs/>
          <w:color w:val="auto"/>
          <w:sz w:val="21"/>
          <w:szCs w:val="21"/>
          <w:highlight w:val="none"/>
          <w:vertAlign w:val="subscript"/>
          <w:lang w:val="en-US" w:eastAsia="zh-CN"/>
        </w:rPr>
        <w:t>YX</w:t>
      </w:r>
      <w:r>
        <w:rPr>
          <w:rFonts w:hint="default" w:ascii="Times New Roman" w:hAnsi="Times New Roman" w:eastAsia="宋体" w:cs="Times New Roman"/>
          <w:i/>
          <w:iCs/>
          <w:color w:val="auto"/>
          <w:sz w:val="21"/>
          <w:szCs w:val="21"/>
          <w:highlight w:val="none"/>
        </w:rPr>
        <w:t>为</w:t>
      </w:r>
      <w:r>
        <w:rPr>
          <w:rFonts w:hint="default" w:ascii="Times New Roman" w:hAnsi="Times New Roman" w:eastAsia="宋体" w:cs="Times New Roman"/>
          <w:i/>
          <w:iCs/>
          <w:color w:val="auto"/>
          <w:sz w:val="21"/>
          <w:szCs w:val="21"/>
          <w:highlight w:val="none"/>
          <w:lang w:val="en-US" w:eastAsia="zh-CN"/>
        </w:rPr>
        <w:t>建筑服役</w:t>
      </w:r>
      <w:r>
        <w:rPr>
          <w:rFonts w:hint="default" w:ascii="Times New Roman" w:hAnsi="Times New Roman" w:eastAsia="宋体" w:cs="Times New Roman"/>
          <w:i/>
          <w:iCs/>
          <w:color w:val="auto"/>
          <w:sz w:val="21"/>
          <w:szCs w:val="21"/>
          <w:highlight w:val="none"/>
        </w:rPr>
        <w:t>第一年碳排放量；</w:t>
      </w:r>
      <w:r>
        <w:rPr>
          <w:rFonts w:hint="default" w:ascii="Times New Roman" w:hAnsi="Times New Roman" w:eastAsia="宋体" w:cs="Times New Roman"/>
          <w:i/>
          <w:iCs/>
          <w:color w:val="auto"/>
          <w:position w:val="-10"/>
          <w:sz w:val="21"/>
          <w:szCs w:val="21"/>
          <w:highlight w:val="none"/>
        </w:rPr>
        <w:object>
          <v:shape id="_x0000_i1034" o:spt="75" type="#_x0000_t75" style="height:16pt;width:12pt;" o:ole="t" filled="f" o:preferrelative="t" stroked="f" coordsize="21600,21600">
            <v:path/>
            <v:fill on="f" focussize="0,0"/>
            <v:stroke on="f"/>
            <v:imagedata r:id="rId32" o:title=""/>
            <o:lock v:ext="edit" aspectratio="t"/>
            <w10:wrap type="none"/>
            <w10:anchorlock/>
          </v:shape>
          <o:OLEObject Type="Embed" ProgID="Equation.KSEE3" ShapeID="_x0000_i1034" DrawAspect="Content" ObjectID="_1468075734" r:id="rId31">
            <o:LockedField>false</o:LockedField>
          </o:OLEObject>
        </w:object>
      </w:r>
      <w:r>
        <w:rPr>
          <w:rFonts w:hint="default" w:ascii="Times New Roman" w:hAnsi="Times New Roman" w:eastAsia="宋体" w:cs="Times New Roman"/>
          <w:i/>
          <w:iCs/>
          <w:color w:val="auto"/>
          <w:sz w:val="21"/>
          <w:szCs w:val="21"/>
          <w:highlight w:val="none"/>
        </w:rPr>
        <w:t>为</w:t>
      </w:r>
      <w:r>
        <w:rPr>
          <w:rFonts w:hint="default" w:ascii="Times New Roman" w:hAnsi="Times New Roman" w:eastAsia="宋体" w:cs="Times New Roman"/>
          <w:i/>
          <w:iCs/>
          <w:color w:val="auto"/>
          <w:sz w:val="21"/>
          <w:szCs w:val="21"/>
          <w:highlight w:val="none"/>
          <w:lang w:val="en-US" w:eastAsia="zh-CN"/>
        </w:rPr>
        <w:t>建筑</w:t>
      </w:r>
      <w:r>
        <w:rPr>
          <w:rFonts w:hint="default" w:ascii="Times New Roman" w:hAnsi="Times New Roman" w:eastAsia="宋体" w:cs="Times New Roman"/>
          <w:i/>
          <w:iCs/>
          <w:color w:val="auto"/>
          <w:sz w:val="21"/>
          <w:szCs w:val="21"/>
          <w:highlight w:val="none"/>
        </w:rPr>
        <w:t>当年碳排放</w:t>
      </w:r>
      <w:r>
        <w:rPr>
          <w:rFonts w:hint="default" w:ascii="Times New Roman" w:hAnsi="Times New Roman" w:eastAsia="宋体" w:cs="Times New Roman"/>
          <w:i/>
          <w:iCs/>
          <w:color w:val="auto"/>
          <w:sz w:val="21"/>
          <w:szCs w:val="21"/>
          <w:highlight w:val="none"/>
          <w:lang w:eastAsia="zh-CN"/>
        </w:rPr>
        <w:t>量</w:t>
      </w:r>
      <w:r>
        <w:rPr>
          <w:rFonts w:hint="default" w:ascii="Times New Roman" w:hAnsi="Times New Roman" w:eastAsia="宋体" w:cs="Times New Roman"/>
          <w:i/>
          <w:iCs/>
          <w:color w:val="auto"/>
          <w:sz w:val="21"/>
          <w:szCs w:val="21"/>
          <w:highlight w:val="none"/>
        </w:rPr>
        <w:t>与上一年度比值</w:t>
      </w:r>
      <w:r>
        <w:rPr>
          <w:rFonts w:hint="default" w:ascii="Times New Roman" w:hAnsi="Times New Roman" w:eastAsia="宋体" w:cs="Times New Roman"/>
          <w:i/>
          <w:iCs/>
          <w:color w:val="auto"/>
          <w:sz w:val="21"/>
          <w:szCs w:val="21"/>
          <w:highlight w:val="none"/>
          <w:lang w:eastAsia="zh-CN"/>
        </w:rPr>
        <w:t>，</w:t>
      </w:r>
      <w:r>
        <w:rPr>
          <w:rFonts w:hint="default" w:ascii="Times New Roman" w:hAnsi="Times New Roman" w:eastAsia="宋体" w:cs="Times New Roman"/>
          <w:i/>
          <w:iCs/>
          <w:color w:val="auto"/>
          <w:position w:val="-10"/>
          <w:sz w:val="21"/>
          <w:szCs w:val="21"/>
          <w:highlight w:val="none"/>
        </w:rPr>
        <w:object>
          <v:shape id="_x0000_i1035" o:spt="75" type="#_x0000_t75" style="height:16pt;width:13.95pt;" o:ole="t" filled="f" o:preferrelative="t" stroked="f" coordsize="21600,21600">
            <v:path/>
            <v:fill on="f" focussize="0,0"/>
            <v:stroke on="f"/>
            <v:imagedata r:id="rId34" o:title=""/>
            <o:lock v:ext="edit" aspectratio="t"/>
            <w10:wrap type="none"/>
            <w10:anchorlock/>
          </v:shape>
          <o:OLEObject Type="Embed" ProgID="Equation.KSEE3" ShapeID="_x0000_i1035" DrawAspect="Content" ObjectID="_1468075735" r:id="rId33">
            <o:LockedField>false</o:LockedField>
          </o:OLEObject>
        </w:object>
      </w:r>
      <w:r>
        <w:rPr>
          <w:rFonts w:hint="default" w:ascii="Times New Roman" w:hAnsi="Times New Roman" w:eastAsia="宋体" w:cs="Times New Roman"/>
          <w:i/>
          <w:iCs/>
          <w:color w:val="auto"/>
          <w:sz w:val="21"/>
          <w:szCs w:val="21"/>
          <w:highlight w:val="none"/>
          <w:lang w:eastAsia="zh-CN"/>
        </w:rPr>
        <w:t>取为1.01，</w:t>
      </w:r>
      <w:r>
        <w:rPr>
          <w:rFonts w:hint="default" w:ascii="Times New Roman" w:hAnsi="Times New Roman" w:eastAsia="宋体" w:cs="Times New Roman"/>
          <w:i/>
          <w:iCs/>
          <w:color w:val="auto"/>
          <w:position w:val="-10"/>
          <w:sz w:val="21"/>
          <w:szCs w:val="21"/>
          <w:highlight w:val="none"/>
        </w:rPr>
        <w:object>
          <v:shape id="_x0000_i1036" o:spt="75" type="#_x0000_t75" style="height:16pt;width:16pt;" o:ole="t" filled="f" o:preferrelative="t" stroked="f" coordsize="21600,21600">
            <v:path/>
            <v:fill on="f" focussize="0,0"/>
            <v:stroke on="f"/>
            <v:imagedata r:id="rId36" o:title=""/>
            <o:lock v:ext="edit" aspectratio="t"/>
            <w10:wrap type="none"/>
            <w10:anchorlock/>
          </v:shape>
          <o:OLEObject Type="Embed" ProgID="Equation.KSEE3" ShapeID="_x0000_i1036" DrawAspect="Content" ObjectID="_1468075736" r:id="rId35">
            <o:LockedField>false</o:LockedField>
          </o:OLEObject>
        </w:object>
      </w:r>
      <w:r>
        <w:rPr>
          <w:rFonts w:hint="default" w:ascii="Times New Roman" w:hAnsi="Times New Roman" w:eastAsia="宋体" w:cs="Times New Roman"/>
          <w:i/>
          <w:iCs/>
          <w:color w:val="auto"/>
          <w:sz w:val="21"/>
          <w:szCs w:val="21"/>
          <w:highlight w:val="none"/>
          <w:lang w:eastAsia="zh-CN"/>
        </w:rPr>
        <w:t>取为1.0</w:t>
      </w:r>
      <w:r>
        <w:rPr>
          <w:rFonts w:hint="default" w:ascii="Times New Roman" w:hAnsi="Times New Roman" w:eastAsia="宋体" w:cs="Times New Roman"/>
          <w:i/>
          <w:iCs/>
          <w:color w:val="auto"/>
          <w:sz w:val="21"/>
          <w:szCs w:val="21"/>
          <w:highlight w:val="none"/>
          <w:lang w:val="en-US" w:eastAsia="zh-CN"/>
        </w:rPr>
        <w:t>05</w:t>
      </w:r>
      <w:r>
        <w:rPr>
          <w:rFonts w:hint="default" w:ascii="Times New Roman" w:hAnsi="Times New Roman" w:eastAsia="宋体" w:cs="Times New Roman"/>
          <w:i/>
          <w:iCs/>
          <w:color w:val="auto"/>
          <w:sz w:val="21"/>
          <w:szCs w:val="21"/>
          <w:highlight w:val="none"/>
        </w:rPr>
        <w:t>。</w:t>
      </w:r>
    </w:p>
    <w:p w14:paraId="6E76AC7C">
      <w:pPr>
        <w:spacing w:line="360" w:lineRule="auto"/>
        <w:ind w:firstLine="420" w:firstLineChars="0"/>
        <w:rPr>
          <w:rFonts w:hint="default" w:ascii="Times New Roman" w:hAnsi="Times New Roman" w:eastAsia="宋体" w:cs="Times New Roman"/>
          <w:i/>
          <w:iCs/>
          <w:color w:val="auto"/>
          <w:sz w:val="21"/>
          <w:szCs w:val="21"/>
          <w:highlight w:val="none"/>
          <w:lang w:val="en-US" w:eastAsia="zh-CN"/>
        </w:rPr>
      </w:pPr>
      <w:r>
        <w:rPr>
          <w:rFonts w:hint="eastAsia" w:ascii="Times New Roman" w:hAnsi="Times New Roman" w:cs="Times New Roman"/>
          <w:i/>
          <w:iCs/>
          <w:color w:val="auto"/>
          <w:sz w:val="21"/>
          <w:szCs w:val="21"/>
          <w:highlight w:val="none"/>
          <w:lang w:val="en-US" w:eastAsia="zh-CN"/>
        </w:rPr>
        <w:t>经过分析可以得到以下规律：</w:t>
      </w:r>
    </w:p>
    <w:p w14:paraId="35EB8708">
      <w:pPr>
        <w:pStyle w:val="20"/>
        <w:widowControl/>
        <w:autoSpaceDE/>
        <w:autoSpaceDN/>
        <w:spacing w:beforeAutospacing="0" w:afterAutospacing="0" w:line="360" w:lineRule="auto"/>
        <w:ind w:firstLine="42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drawing>
          <wp:inline distT="0" distB="0" distL="114300" distR="114300">
            <wp:extent cx="4685030" cy="879475"/>
            <wp:effectExtent l="0" t="0" r="1270" b="15875"/>
            <wp:docPr id="19" name="图片 65" descr="C:\Users\sunqian\Desktop\绘图1.png绘图1"/>
            <wp:cNvGraphicFramePr/>
            <a:graphic xmlns:a="http://schemas.openxmlformats.org/drawingml/2006/main">
              <a:graphicData uri="http://schemas.openxmlformats.org/drawingml/2006/picture">
                <pic:pic xmlns:pic="http://schemas.openxmlformats.org/drawingml/2006/picture">
                  <pic:nvPicPr>
                    <pic:cNvPr id="19" name="图片 65" descr="C:\Users\sunqian\Desktop\绘图1.png绘图1"/>
                    <pic:cNvPicPr/>
                  </pic:nvPicPr>
                  <pic:blipFill>
                    <a:blip r:embed="rId37"/>
                    <a:srcRect/>
                    <a:stretch>
                      <a:fillRect/>
                    </a:stretch>
                  </pic:blipFill>
                  <pic:spPr>
                    <a:xfrm>
                      <a:off x="0" y="0"/>
                      <a:ext cx="4685030" cy="879475"/>
                    </a:xfrm>
                    <a:prstGeom prst="rect">
                      <a:avLst/>
                    </a:prstGeom>
                    <a:noFill/>
                    <a:ln>
                      <a:noFill/>
                    </a:ln>
                  </pic:spPr>
                </pic:pic>
              </a:graphicData>
            </a:graphic>
          </wp:inline>
        </w:drawing>
      </w:r>
    </w:p>
    <w:p w14:paraId="1EC55424">
      <w:pPr>
        <w:spacing w:line="360" w:lineRule="auto"/>
        <w:ind w:firstLine="420" w:firstLineChars="0"/>
        <w:jc w:val="center"/>
        <w:rPr>
          <w:rFonts w:hint="default" w:ascii="Times New Roman" w:hAnsi="Times New Roman" w:cs="Times New Roman"/>
          <w:i/>
          <w:iCs/>
          <w:color w:val="auto"/>
          <w:sz w:val="21"/>
          <w:szCs w:val="21"/>
          <w:highlight w:val="none"/>
          <w:lang w:val="en-US" w:eastAsia="zh-CN"/>
        </w:rPr>
      </w:pPr>
      <w:r>
        <w:rPr>
          <w:rFonts w:hint="eastAsia" w:ascii="Times New Roman" w:hAnsi="Times New Roman" w:cs="Times New Roman"/>
          <w:i/>
          <w:iCs/>
          <w:color w:val="auto"/>
          <w:sz w:val="21"/>
          <w:szCs w:val="21"/>
          <w:highlight w:val="none"/>
          <w:lang w:val="en-US" w:eastAsia="zh-CN"/>
        </w:rPr>
        <w:t>图</w:t>
      </w:r>
      <w:r>
        <w:rPr>
          <w:rFonts w:hint="eastAsia" w:cs="Times New Roman"/>
          <w:i/>
          <w:iCs/>
          <w:color w:val="auto"/>
          <w:sz w:val="21"/>
          <w:szCs w:val="21"/>
          <w:highlight w:val="none"/>
          <w:lang w:val="en-US" w:eastAsia="zh-CN"/>
        </w:rPr>
        <w:t>3 100年与50年设计工作年限建筑碳排放情况</w:t>
      </w:r>
    </w:p>
    <w:p w14:paraId="4B8EB0B8">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相关设计文件</w:t>
      </w:r>
      <w:r>
        <w:rPr>
          <w:rFonts w:hint="eastAsia"/>
          <w:i/>
          <w:iCs/>
          <w:color w:val="000000"/>
          <w:sz w:val="22"/>
          <w:lang w:val="en-US" w:eastAsia="zh-CN"/>
        </w:rPr>
        <w:t>；运行阶段评价</w:t>
      </w:r>
      <w:r>
        <w:rPr>
          <w:rFonts w:hint="eastAsia"/>
          <w:i/>
          <w:iCs/>
          <w:color w:val="000000"/>
          <w:sz w:val="22"/>
        </w:rPr>
        <w:t>查阅</w:t>
      </w:r>
      <w:r>
        <w:rPr>
          <w:rFonts w:hint="eastAsia"/>
          <w:i/>
          <w:iCs/>
          <w:color w:val="000000"/>
          <w:sz w:val="22"/>
          <w:lang w:eastAsia="zh-CN"/>
        </w:rPr>
        <w:t>建相关竣工图等证明文件</w:t>
      </w:r>
      <w:r>
        <w:rPr>
          <w:rFonts w:hint="eastAsia"/>
          <w:i/>
          <w:iCs/>
          <w:color w:val="000000"/>
          <w:sz w:val="22"/>
        </w:rPr>
        <w:t>。</w:t>
      </w:r>
    </w:p>
    <w:p w14:paraId="01ADD442">
      <w:pPr>
        <w:pStyle w:val="20"/>
        <w:widowControl/>
        <w:autoSpaceDE/>
        <w:autoSpaceDN/>
        <w:spacing w:beforeAutospacing="0" w:afterAutospacing="0" w:line="360" w:lineRule="auto"/>
        <w:rPr>
          <w:sz w:val="22"/>
        </w:rPr>
      </w:pPr>
      <w:r>
        <w:rPr>
          <w:b/>
          <w:bCs/>
          <w:color w:val="000000" w:themeColor="text1"/>
          <w:sz w:val="22"/>
          <w14:textFill>
            <w14:solidFill>
              <w14:schemeClr w14:val="tx1"/>
            </w14:solidFill>
          </w14:textFill>
        </w:rPr>
        <w:t>4.2.</w:t>
      </w:r>
      <w:r>
        <w:rPr>
          <w:rFonts w:hint="eastAsia"/>
          <w:b/>
          <w:bCs/>
          <w:color w:val="000000" w:themeColor="text1"/>
          <w:sz w:val="22"/>
          <w:lang w:val="en-US" w:eastAsia="zh-CN"/>
          <w14:textFill>
            <w14:solidFill>
              <w14:schemeClr w14:val="tx1"/>
            </w14:solidFill>
          </w14:textFill>
        </w:rPr>
        <w:t>10</w:t>
      </w:r>
      <w:r>
        <w:rPr>
          <w:b/>
          <w:bCs/>
          <w:color w:val="000000" w:themeColor="text1"/>
          <w:sz w:val="22"/>
          <w14:textFill>
            <w14:solidFill>
              <w14:schemeClr w14:val="tx1"/>
            </w14:solidFill>
          </w14:textFill>
        </w:rPr>
        <w:t>　</w:t>
      </w:r>
      <w:r>
        <w:rPr>
          <w:rFonts w:hint="eastAsia"/>
          <w:sz w:val="22"/>
        </w:rPr>
        <w:t>采用易于拆卸节点连接</w:t>
      </w:r>
      <w:r>
        <w:rPr>
          <w:rFonts w:hint="eastAsia"/>
          <w:sz w:val="22"/>
          <w:lang w:val="en-US" w:eastAsia="zh-CN"/>
        </w:rPr>
        <w:t>的</w:t>
      </w:r>
      <w:r>
        <w:rPr>
          <w:rFonts w:hint="eastAsia"/>
          <w:sz w:val="22"/>
        </w:rPr>
        <w:t>结构形式</w:t>
      </w:r>
      <w:r>
        <w:rPr>
          <w:sz w:val="22"/>
        </w:rPr>
        <w:t>，评价分值为</w:t>
      </w:r>
      <w:r>
        <w:rPr>
          <w:rFonts w:hint="eastAsia"/>
          <w:sz w:val="22"/>
          <w:lang w:val="en-US" w:eastAsia="zh-CN"/>
        </w:rPr>
        <w:t>10</w:t>
      </w:r>
      <w:r>
        <w:rPr>
          <w:sz w:val="22"/>
        </w:rPr>
        <w:t>分。</w:t>
      </w:r>
    </w:p>
    <w:p w14:paraId="1047CDF4">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【条文说明】本条适用于各类建筑的评价。</w:t>
      </w:r>
    </w:p>
    <w:p w14:paraId="6D72E16A">
      <w:pPr>
        <w:pStyle w:val="20"/>
        <w:widowControl/>
        <w:autoSpaceDE/>
        <w:autoSpaceDN/>
        <w:spacing w:beforeAutospacing="0" w:afterAutospacing="0" w:line="360" w:lineRule="auto"/>
        <w:ind w:firstLine="420" w:firstLineChars="0"/>
        <w:jc w:val="both"/>
        <w:rPr>
          <w:rFonts w:hint="default" w:ascii="Times New Roman" w:hAnsi="Times New Roman" w:cs="Times New Roman"/>
          <w:i/>
          <w:iCs/>
          <w:color w:val="000000"/>
          <w:sz w:val="22"/>
          <w:lang w:val="en-US" w:eastAsia="zh-CN"/>
        </w:rPr>
      </w:pPr>
      <w:r>
        <w:rPr>
          <w:rFonts w:hint="eastAsia" w:ascii="Times New Roman" w:hAnsi="Times New Roman" w:cs="Times New Roman"/>
          <w:i/>
          <w:iCs/>
          <w:color w:val="000000"/>
          <w:sz w:val="22"/>
          <w:lang w:val="en-US" w:eastAsia="zh-CN"/>
        </w:rPr>
        <w:t>装配式建筑的结构低碳一方面体系在材料用量上，另外一方面则在运行维护的便捷性上。采用易于拆卸节点的结构形式，便于维护阶段因部分构件受损而需局部进行构件更换，从而降低维护阶段的碳排放量。常见的易于拆卸节点连接为螺栓连接等干作业方式，采用螺栓连接的混凝土结构和钢结构，以及竹木结构，本条可得分。</w:t>
      </w:r>
      <w:r>
        <w:rPr>
          <w:rFonts w:hint="eastAsia"/>
          <w:i/>
          <w:iCs/>
          <w:color w:val="000000"/>
          <w:sz w:val="22"/>
        </w:rPr>
        <w:t>以上结构形式在拆除过程中能极大的节省能源消耗，并提升建筑废弃物再利用层级，通过低碳理念促进固废资源化高校进行。</w:t>
      </w:r>
    </w:p>
    <w:p w14:paraId="5430652D">
      <w:pPr>
        <w:pStyle w:val="20"/>
        <w:widowControl/>
        <w:autoSpaceDE/>
        <w:autoSpaceDN/>
        <w:spacing w:beforeAutospacing="0" w:afterAutospacing="0" w:line="360" w:lineRule="auto"/>
        <w:ind w:firstLine="420" w:firstLineChars="0"/>
        <w:jc w:val="center"/>
      </w:pPr>
      <w:r>
        <w:drawing>
          <wp:inline distT="0" distB="0" distL="114300" distR="114300">
            <wp:extent cx="2667000" cy="2486025"/>
            <wp:effectExtent l="0" t="0" r="0" b="9525"/>
            <wp:docPr id="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pic:cNvPicPr>
                      <a:picLocks noChangeAspect="1"/>
                    </pic:cNvPicPr>
                  </pic:nvPicPr>
                  <pic:blipFill>
                    <a:blip r:embed="rId38"/>
                    <a:stretch>
                      <a:fillRect/>
                    </a:stretch>
                  </pic:blipFill>
                  <pic:spPr>
                    <a:xfrm>
                      <a:off x="0" y="0"/>
                      <a:ext cx="2667000" cy="2486025"/>
                    </a:xfrm>
                    <a:prstGeom prst="rect">
                      <a:avLst/>
                    </a:prstGeom>
                    <a:noFill/>
                    <a:ln>
                      <a:noFill/>
                    </a:ln>
                  </pic:spPr>
                </pic:pic>
              </a:graphicData>
            </a:graphic>
          </wp:inline>
        </w:drawing>
      </w:r>
    </w:p>
    <w:p w14:paraId="3D6F9428">
      <w:pPr>
        <w:pStyle w:val="20"/>
        <w:widowControl/>
        <w:autoSpaceDE/>
        <w:autoSpaceDN/>
        <w:spacing w:beforeAutospacing="0" w:afterAutospacing="0" w:line="360" w:lineRule="auto"/>
        <w:ind w:firstLine="420" w:firstLineChars="0"/>
        <w:jc w:val="center"/>
        <w:rPr>
          <w:rFonts w:hint="default" w:ascii="Times New Roman" w:hAnsi="Times New Roman" w:cs="Times New Roman"/>
          <w:i/>
          <w:iCs/>
          <w:color w:val="000000"/>
          <w:sz w:val="22"/>
          <w:lang w:val="en-US" w:eastAsia="zh-CN"/>
        </w:rPr>
      </w:pPr>
      <w:r>
        <w:rPr>
          <w:rFonts w:hint="eastAsia" w:cs="Times New Roman"/>
          <w:i/>
          <w:iCs/>
          <w:color w:val="000000"/>
          <w:sz w:val="22"/>
          <w:lang w:val="en-US" w:eastAsia="zh-CN"/>
        </w:rPr>
        <w:t xml:space="preserve">图4 </w:t>
      </w:r>
      <w:r>
        <w:rPr>
          <w:rFonts w:hint="eastAsia" w:ascii="Times New Roman" w:hAnsi="Times New Roman" w:cs="Times New Roman"/>
          <w:i/>
          <w:iCs/>
          <w:color w:val="000000"/>
          <w:sz w:val="22"/>
          <w:lang w:val="en-US" w:eastAsia="zh-CN"/>
        </w:rPr>
        <w:t>全螺栓混凝土墙板体系示意</w:t>
      </w:r>
    </w:p>
    <w:p w14:paraId="45BD8F25">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val="en-US" w:eastAsia="zh-CN"/>
        </w:rPr>
        <w:t>结构设计施工图；运行阶段评价</w:t>
      </w:r>
      <w:r>
        <w:rPr>
          <w:rFonts w:hint="eastAsia"/>
          <w:i/>
          <w:iCs/>
          <w:color w:val="000000"/>
          <w:sz w:val="22"/>
        </w:rPr>
        <w:t>查阅</w:t>
      </w:r>
      <w:r>
        <w:rPr>
          <w:rFonts w:hint="eastAsia"/>
          <w:i/>
          <w:iCs/>
          <w:color w:val="000000"/>
          <w:sz w:val="22"/>
          <w:lang w:val="en-US" w:eastAsia="zh-CN"/>
        </w:rPr>
        <w:t>结构设计竣工图</w:t>
      </w:r>
      <w:r>
        <w:rPr>
          <w:rFonts w:hint="eastAsia"/>
          <w:i/>
          <w:iCs/>
          <w:color w:val="000000"/>
          <w:sz w:val="22"/>
        </w:rPr>
        <w:t>。</w:t>
      </w:r>
    </w:p>
    <w:p w14:paraId="6F04499C">
      <w:pPr>
        <w:pStyle w:val="20"/>
        <w:widowControl/>
        <w:autoSpaceDE/>
        <w:autoSpaceDN/>
        <w:spacing w:before="234" w:beforeLines="75" w:beforeAutospacing="0" w:after="234" w:afterLines="75" w:afterAutospacing="0" w:line="360" w:lineRule="auto"/>
        <w:jc w:val="center"/>
        <w:outlineLvl w:val="2"/>
        <w:rPr>
          <w:rStyle w:val="29"/>
          <w:rFonts w:eastAsia="仿宋"/>
          <w:szCs w:val="22"/>
        </w:rPr>
      </w:pPr>
      <w:bookmarkStart w:id="66" w:name="_Toc23685"/>
      <w:r>
        <w:rPr>
          <w:rStyle w:val="29"/>
          <w:rFonts w:eastAsia="仿宋"/>
          <w:b/>
          <w:bCs/>
          <w:szCs w:val="22"/>
        </w:rPr>
        <w:t>Ⅲ</w:t>
      </w:r>
      <w:r>
        <w:rPr>
          <w:rStyle w:val="29"/>
          <w:rFonts w:eastAsia="仿宋"/>
          <w:szCs w:val="22"/>
        </w:rPr>
        <w:t>　</w:t>
      </w:r>
      <w:bookmarkEnd w:id="59"/>
      <w:bookmarkEnd w:id="60"/>
      <w:bookmarkEnd w:id="61"/>
      <w:bookmarkEnd w:id="62"/>
      <w:r>
        <w:rPr>
          <w:rStyle w:val="29"/>
          <w:rFonts w:hint="eastAsia" w:ascii="Times New Roman" w:hAnsi="Times New Roman" w:eastAsia="仿宋"/>
          <w:b/>
          <w:bCs/>
          <w:szCs w:val="22"/>
          <w:lang w:val="en-US"/>
        </w:rPr>
        <w:t>建筑及</w:t>
      </w:r>
      <w:r>
        <w:rPr>
          <w:rStyle w:val="29"/>
          <w:rFonts w:hint="eastAsia" w:ascii="Times New Roman" w:hAnsi="Times New Roman" w:eastAsia="仿宋"/>
          <w:b/>
          <w:bCs/>
          <w:szCs w:val="22"/>
        </w:rPr>
        <w:t>内</w:t>
      </w:r>
      <w:r>
        <w:rPr>
          <w:rStyle w:val="29"/>
          <w:rFonts w:hint="eastAsia" w:eastAsia="仿宋"/>
          <w:b/>
          <w:bCs/>
          <w:szCs w:val="22"/>
        </w:rPr>
        <w:t>装系统设计</w:t>
      </w:r>
      <w:bookmarkEnd w:id="63"/>
      <w:bookmarkEnd w:id="64"/>
      <w:bookmarkEnd w:id="65"/>
      <w:bookmarkEnd w:id="66"/>
    </w:p>
    <w:p w14:paraId="7AFA1ECE">
      <w:pPr>
        <w:pStyle w:val="20"/>
        <w:widowControl/>
        <w:autoSpaceDE/>
        <w:autoSpaceDN/>
        <w:spacing w:beforeAutospacing="0" w:afterAutospacing="0" w:line="360" w:lineRule="auto"/>
        <w:rPr>
          <w:rFonts w:hint="eastAsia"/>
          <w:color w:val="000000"/>
          <w:sz w:val="22"/>
          <w:lang w:val="en-US" w:eastAsia="zh-CN"/>
        </w:rPr>
      </w:pPr>
      <w:r>
        <w:rPr>
          <w:b/>
          <w:bCs/>
          <w:color w:val="000000"/>
          <w:sz w:val="22"/>
        </w:rPr>
        <w:t>4.2.</w:t>
      </w:r>
      <w:r>
        <w:rPr>
          <w:rFonts w:hint="eastAsia"/>
          <w:b/>
          <w:bCs/>
          <w:color w:val="000000"/>
          <w:sz w:val="22"/>
          <w:lang w:val="en-US" w:eastAsia="zh-CN"/>
        </w:rPr>
        <w:t>11</w:t>
      </w:r>
      <w:r>
        <w:rPr>
          <w:color w:val="000000"/>
          <w:sz w:val="22"/>
        </w:rPr>
        <w:t>　</w:t>
      </w:r>
      <w:r>
        <w:rPr>
          <w:rFonts w:hint="eastAsia"/>
          <w:color w:val="000000"/>
          <w:sz w:val="22"/>
          <w:lang w:eastAsia="zh-CN"/>
        </w:rPr>
        <w:t>建筑的基本单元及功能空间</w:t>
      </w:r>
      <w:r>
        <w:rPr>
          <w:rFonts w:hint="eastAsia"/>
          <w:color w:val="000000"/>
          <w:sz w:val="22"/>
          <w:lang w:val="en-US" w:eastAsia="zh-CN"/>
        </w:rPr>
        <w:t>应符合</w:t>
      </w:r>
      <w:r>
        <w:rPr>
          <w:rFonts w:hint="eastAsia"/>
          <w:color w:val="000000"/>
          <w:sz w:val="22"/>
          <w:lang w:eastAsia="zh-CN"/>
        </w:rPr>
        <w:t>标准化设计，评价总分值为</w:t>
      </w:r>
      <w:r>
        <w:rPr>
          <w:rFonts w:hint="eastAsia"/>
          <w:color w:val="000000"/>
          <w:sz w:val="22"/>
          <w:lang w:val="en-US" w:eastAsia="zh-CN"/>
        </w:rPr>
        <w:t>10</w:t>
      </w:r>
      <w:r>
        <w:rPr>
          <w:rFonts w:hint="eastAsia"/>
          <w:color w:val="000000"/>
          <w:sz w:val="22"/>
          <w:lang w:eastAsia="zh-CN"/>
        </w:rPr>
        <w:t>分。应按下列规则分别评分：</w:t>
      </w:r>
    </w:p>
    <w:p w14:paraId="1F64CF64">
      <w:pPr>
        <w:pStyle w:val="20"/>
        <w:widowControl/>
        <w:autoSpaceDE/>
        <w:autoSpaceDN/>
        <w:spacing w:beforeAutospacing="0" w:afterAutospacing="0" w:line="360" w:lineRule="auto"/>
        <w:ind w:firstLine="421" w:firstLineChars="0"/>
        <w:rPr>
          <w:rFonts w:hint="default"/>
          <w:color w:val="000000"/>
          <w:sz w:val="22"/>
          <w:lang w:val="en-US" w:eastAsia="zh-CN"/>
        </w:rPr>
      </w:pPr>
      <w:r>
        <w:rPr>
          <w:rFonts w:hint="eastAsia"/>
          <w:b/>
          <w:bCs/>
          <w:color w:val="000000"/>
          <w:sz w:val="22"/>
          <w:lang w:val="en-US" w:eastAsia="zh-CN"/>
        </w:rPr>
        <w:t xml:space="preserve">1 </w:t>
      </w:r>
      <w:r>
        <w:rPr>
          <w:rFonts w:hint="eastAsia"/>
          <w:color w:val="000000"/>
          <w:sz w:val="22"/>
          <w:lang w:val="en-US" w:eastAsia="zh-CN"/>
        </w:rPr>
        <w:t xml:space="preserve"> 居住建筑：同规格厨房和卫生间数量占比达到80%，得5分；同规格基本户型数量占比达到80%，得5分；</w:t>
      </w:r>
    </w:p>
    <w:p w14:paraId="1E214C1E">
      <w:pPr>
        <w:pStyle w:val="20"/>
        <w:widowControl/>
        <w:autoSpaceDE/>
        <w:autoSpaceDN/>
        <w:spacing w:beforeAutospacing="0" w:afterAutospacing="0" w:line="360" w:lineRule="auto"/>
        <w:ind w:firstLine="421" w:firstLineChars="0"/>
        <w:rPr>
          <w:rFonts w:hint="eastAsia"/>
          <w:color w:val="000000"/>
          <w:sz w:val="22"/>
          <w:lang w:val="en-US" w:eastAsia="zh-CN"/>
        </w:rPr>
      </w:pPr>
      <w:r>
        <w:rPr>
          <w:rFonts w:hint="eastAsia"/>
          <w:b/>
          <w:bCs/>
          <w:color w:val="000000"/>
          <w:sz w:val="22"/>
          <w:lang w:val="en-US" w:eastAsia="zh-CN"/>
        </w:rPr>
        <w:t xml:space="preserve">2 </w:t>
      </w:r>
      <w:r>
        <w:rPr>
          <w:rFonts w:hint="eastAsia"/>
          <w:color w:val="000000"/>
          <w:sz w:val="22"/>
          <w:lang w:val="en-US" w:eastAsia="zh-CN"/>
        </w:rPr>
        <w:t xml:space="preserve"> 公共建筑：基本单元的总面积占同功能空间建筑总面积的比例达到60%，得10分。</w:t>
      </w:r>
    </w:p>
    <w:p w14:paraId="24910F7A">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空间的标准化是部品部件、材料出材率、家具标准化等实现低碳性能的基础。</w:t>
      </w:r>
    </w:p>
    <w:p w14:paraId="0260D7D2">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第1款，对居住建筑，本条主要考评的是厨房及卫生间、住宅户型两部分的空间标准化程度。保证每种户型有较高的重复率，减少变异户型。如户型需满足整体面宽、进深保持一致，外立面门、窗、洞口尺寸、配置保持一致。厨卫空间需满足净尺寸一致，外立面开窗及室内门的位置一致，厨卫房间内管井的位置一致，厨卫房间内部品尺寸、布局一致。</w:t>
      </w:r>
    </w:p>
    <w:p w14:paraId="7D15D98E">
      <w:pPr>
        <w:pStyle w:val="20"/>
        <w:widowControl/>
        <w:autoSpaceDE/>
        <w:autoSpaceDN/>
        <w:spacing w:beforeAutospacing="0" w:afterAutospacing="0" w:line="360" w:lineRule="auto"/>
        <w:ind w:firstLine="420" w:firstLineChars="0"/>
        <w:jc w:val="both"/>
        <w:rPr>
          <w:rFonts w:hint="eastAsia" w:ascii="Times New Roman" w:hAnsi="Times New Roman" w:cs="Times New Roman"/>
          <w:i/>
          <w:iCs/>
          <w:color w:val="000000"/>
          <w:sz w:val="22"/>
          <w:lang w:val="en-US" w:eastAsia="zh-CN"/>
        </w:rPr>
      </w:pPr>
      <w:r>
        <w:rPr>
          <w:rFonts w:hint="eastAsia" w:ascii="Times New Roman" w:hAnsi="Times New Roman" w:cs="Times New Roman"/>
          <w:i/>
          <w:iCs/>
          <w:color w:val="000000"/>
          <w:sz w:val="22"/>
          <w:lang w:val="en-US" w:eastAsia="zh-CN"/>
        </w:rPr>
        <w:t>这里的同规格厨房、卫生间是指重复使用量最多的三种规格；规格基本户型是指重复使用量最多的三个户型。</w:t>
      </w:r>
    </w:p>
    <w:p w14:paraId="3D3C1F45">
      <w:pPr>
        <w:pStyle w:val="20"/>
        <w:widowControl/>
        <w:autoSpaceDE/>
        <w:autoSpaceDN/>
        <w:spacing w:beforeAutospacing="0" w:afterAutospacing="0" w:line="360" w:lineRule="auto"/>
        <w:ind w:firstLine="420" w:firstLineChars="0"/>
        <w:jc w:val="both"/>
        <w:rPr>
          <w:rFonts w:hint="eastAsia" w:ascii="Times New Roman" w:hAnsi="Times New Roman" w:cs="Times New Roman"/>
          <w:i/>
          <w:iCs/>
          <w:color w:val="000000"/>
          <w:sz w:val="22"/>
          <w:lang w:val="en-US" w:eastAsia="zh-CN"/>
        </w:rPr>
      </w:pPr>
      <w:r>
        <w:rPr>
          <w:rFonts w:hint="eastAsia" w:ascii="Times New Roman" w:hAnsi="Times New Roman" w:cs="Times New Roman"/>
          <w:i/>
          <w:iCs/>
          <w:color w:val="000000"/>
          <w:sz w:val="22"/>
          <w:lang w:val="en-US" w:eastAsia="zh-CN"/>
        </w:rPr>
        <w:t>第2款，</w:t>
      </w:r>
      <w:r>
        <w:rPr>
          <w:rFonts w:hint="eastAsia"/>
          <w:i/>
          <w:iCs/>
          <w:color w:val="000000"/>
          <w:sz w:val="22"/>
          <w:lang w:val="en-US" w:eastAsia="zh-CN"/>
        </w:rPr>
        <w:t>对公共建筑，本条主要考评的是主要功能房间中基本单元的标准化程度。基本单元，即公共建筑的基本功能房间，如医院建筑的病房和诊室，办公建筑的办公室和会议室等主要功能空间等。评价时，按照</w:t>
      </w:r>
      <w:r>
        <w:rPr>
          <w:rFonts w:hint="eastAsia" w:ascii="Times New Roman" w:hAnsi="Times New Roman" w:cs="Times New Roman"/>
          <w:i/>
          <w:iCs/>
          <w:color w:val="000000"/>
          <w:sz w:val="22"/>
          <w:lang w:val="en-US" w:eastAsia="zh-CN"/>
        </w:rPr>
        <w:t>重复使用量最多的三种规格占同功能空间的面积比例进行计算得分。</w:t>
      </w:r>
    </w:p>
    <w:p w14:paraId="1FF70399">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本条的评价方法为：设计阶段评价查阅</w:t>
      </w:r>
      <w:r>
        <w:rPr>
          <w:rFonts w:hint="eastAsia"/>
          <w:i/>
          <w:iCs/>
          <w:color w:val="000000"/>
          <w:sz w:val="22"/>
          <w:lang w:eastAsia="zh-CN"/>
        </w:rPr>
        <w:t>建筑</w:t>
      </w:r>
      <w:r>
        <w:rPr>
          <w:rFonts w:hint="eastAsia"/>
          <w:i/>
          <w:iCs/>
          <w:color w:val="000000"/>
          <w:sz w:val="22"/>
          <w:lang w:val="en-US" w:eastAsia="zh-CN"/>
        </w:rPr>
        <w:t>设计施工图、厨房/卫生间/户型标准化计算书；运行阶段评价</w:t>
      </w:r>
      <w:r>
        <w:rPr>
          <w:rFonts w:hint="eastAsia"/>
          <w:i/>
          <w:iCs/>
          <w:color w:val="000000"/>
          <w:sz w:val="22"/>
        </w:rPr>
        <w:t>查阅</w:t>
      </w:r>
      <w:r>
        <w:rPr>
          <w:rFonts w:hint="eastAsia"/>
          <w:i/>
          <w:iCs/>
          <w:color w:val="000000"/>
          <w:sz w:val="22"/>
          <w:lang w:eastAsia="zh-CN"/>
        </w:rPr>
        <w:t>建筑</w:t>
      </w:r>
      <w:r>
        <w:rPr>
          <w:rFonts w:hint="eastAsia"/>
          <w:i/>
          <w:iCs/>
          <w:color w:val="000000"/>
          <w:sz w:val="22"/>
          <w:lang w:val="en-US" w:eastAsia="zh-CN"/>
        </w:rPr>
        <w:t>设计竣工图、厨房/卫生间/户型标准化计算书</w:t>
      </w:r>
      <w:r>
        <w:rPr>
          <w:rFonts w:hint="eastAsia"/>
          <w:i/>
          <w:iCs/>
          <w:color w:val="000000"/>
          <w:sz w:val="22"/>
        </w:rPr>
        <w:t>。</w:t>
      </w:r>
    </w:p>
    <w:p w14:paraId="140BF3D9">
      <w:pPr>
        <w:pStyle w:val="20"/>
        <w:widowControl/>
        <w:autoSpaceDE/>
        <w:autoSpaceDN/>
        <w:spacing w:beforeAutospacing="0" w:afterAutospacing="0" w:line="360" w:lineRule="auto"/>
        <w:rPr>
          <w:rFonts w:hint="eastAsia"/>
          <w:color w:val="000000"/>
          <w:sz w:val="22"/>
          <w:lang w:val="en-US" w:eastAsia="zh-CN"/>
        </w:rPr>
      </w:pPr>
      <w:r>
        <w:rPr>
          <w:b/>
          <w:bCs/>
          <w:color w:val="000000"/>
          <w:sz w:val="22"/>
        </w:rPr>
        <w:t>4.2.</w:t>
      </w:r>
      <w:r>
        <w:rPr>
          <w:rFonts w:hint="eastAsia"/>
          <w:b/>
          <w:bCs/>
          <w:color w:val="000000"/>
          <w:sz w:val="22"/>
          <w:lang w:val="en-US" w:eastAsia="zh-CN"/>
        </w:rPr>
        <w:t>12</w:t>
      </w:r>
      <w:r>
        <w:rPr>
          <w:color w:val="000000"/>
          <w:sz w:val="22"/>
        </w:rPr>
        <w:t>　</w:t>
      </w:r>
      <w:r>
        <w:rPr>
          <w:rFonts w:hint="eastAsia"/>
          <w:color w:val="000000"/>
          <w:sz w:val="22"/>
          <w:lang w:val="en-US" w:eastAsia="zh-CN"/>
        </w:rPr>
        <w:t>采用集成吊顶，评价分值为10分。</w:t>
      </w:r>
      <w:r>
        <w:rPr>
          <w:rFonts w:hint="eastAsia"/>
          <w:color w:val="000000"/>
          <w:sz w:val="22"/>
          <w:lang w:eastAsia="zh-CN"/>
        </w:rPr>
        <w:t>应按下列规则分别评分：</w:t>
      </w:r>
    </w:p>
    <w:p w14:paraId="7B52CA2F">
      <w:pPr>
        <w:pStyle w:val="20"/>
        <w:widowControl/>
        <w:autoSpaceDE/>
        <w:autoSpaceDN/>
        <w:spacing w:beforeAutospacing="0" w:afterAutospacing="0" w:line="360" w:lineRule="auto"/>
        <w:ind w:firstLine="421" w:firstLineChars="0"/>
        <w:rPr>
          <w:rFonts w:hint="default"/>
          <w:color w:val="000000"/>
          <w:sz w:val="22"/>
          <w:lang w:val="en-US" w:eastAsia="zh-CN"/>
        </w:rPr>
      </w:pPr>
      <w:r>
        <w:rPr>
          <w:rFonts w:hint="eastAsia"/>
          <w:b/>
          <w:bCs/>
          <w:color w:val="000000"/>
          <w:sz w:val="22"/>
          <w:lang w:val="en-US" w:eastAsia="zh-CN"/>
        </w:rPr>
        <w:t xml:space="preserve">1 </w:t>
      </w:r>
      <w:r>
        <w:rPr>
          <w:rFonts w:hint="eastAsia"/>
          <w:color w:val="000000"/>
          <w:sz w:val="22"/>
          <w:lang w:val="en-US" w:eastAsia="zh-CN"/>
        </w:rPr>
        <w:t xml:space="preserve"> 集成吊顶面积占比达到30%时，得3分；50%时，得5分；</w:t>
      </w:r>
    </w:p>
    <w:p w14:paraId="4555DC97">
      <w:pPr>
        <w:pStyle w:val="20"/>
        <w:widowControl/>
        <w:autoSpaceDE/>
        <w:autoSpaceDN/>
        <w:spacing w:beforeAutospacing="0" w:afterAutospacing="0" w:line="360" w:lineRule="auto"/>
        <w:ind w:firstLine="421" w:firstLineChars="0"/>
        <w:rPr>
          <w:rFonts w:hint="eastAsia"/>
          <w:color w:val="000000"/>
          <w:sz w:val="22"/>
          <w:lang w:val="en-US" w:eastAsia="zh-CN"/>
        </w:rPr>
      </w:pPr>
      <w:r>
        <w:rPr>
          <w:rFonts w:hint="eastAsia"/>
          <w:b/>
          <w:bCs/>
          <w:color w:val="000000"/>
          <w:sz w:val="22"/>
          <w:lang w:val="en-US" w:eastAsia="zh-CN"/>
        </w:rPr>
        <w:t xml:space="preserve">2 </w:t>
      </w:r>
      <w:r>
        <w:rPr>
          <w:rFonts w:hint="eastAsia"/>
          <w:color w:val="000000"/>
          <w:sz w:val="22"/>
          <w:lang w:val="en-US" w:eastAsia="zh-CN"/>
        </w:rPr>
        <w:t xml:space="preserve"> 免吊顶面积占比达达到10%时，得3分；30%时，得5分。</w:t>
      </w:r>
    </w:p>
    <w:p w14:paraId="524D3996">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减少不必要的装修装饰是提升建筑低碳性能的一个有效途径。在全装修设计过程中，结合建筑内部顶面功能、设备管线布置和设计美观性，对于非必要选用吊顶形式进行装饰的部位，鼓励采用少吊顶甚至免吊顶等顶面设计方式。尤其在公共建筑中，采用免吊顶的装饰形式能够实现装修功能、美观与低碳性能的结合统一。</w:t>
      </w:r>
    </w:p>
    <w:p w14:paraId="39E16C72">
      <w:pPr>
        <w:pStyle w:val="20"/>
        <w:widowControl/>
        <w:autoSpaceDE/>
        <w:autoSpaceDN/>
        <w:spacing w:beforeAutospacing="0" w:afterAutospacing="0" w:line="360" w:lineRule="auto"/>
        <w:ind w:firstLine="420" w:firstLineChars="0"/>
        <w:jc w:val="both"/>
        <w:rPr>
          <w:i/>
          <w:iCs/>
          <w:color w:val="000000"/>
          <w:sz w:val="22"/>
        </w:rPr>
      </w:pPr>
      <w:r>
        <w:rPr>
          <w:rFonts w:hint="eastAsia"/>
          <w:i/>
          <w:iCs/>
          <w:color w:val="000000"/>
          <w:sz w:val="22"/>
          <w:lang w:val="en-US" w:eastAsia="zh-CN"/>
        </w:rPr>
        <w:t>如确需吊顶，则鼓励采用集成吊顶。这里的集成吊顶指由吊挂部件、搭接部件、功能部件与饰面顶板组成，将工厂化定制的模块化吊顶部品，通过配套吊挂和连接部件，装配成可快速安装拆卸的干式工法吊顶系统。</w:t>
      </w:r>
    </w:p>
    <w:p w14:paraId="347318C2">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土建</w:t>
      </w:r>
      <w:r>
        <w:rPr>
          <w:rFonts w:hint="eastAsia"/>
          <w:i/>
          <w:iCs/>
          <w:color w:val="000000"/>
          <w:sz w:val="22"/>
          <w:lang w:val="en-US" w:eastAsia="zh-CN"/>
        </w:rPr>
        <w:t>、装修等专业施工图、集成吊顶应用比例计算书、免吊顶应用比例计算书；运行阶段评价</w:t>
      </w:r>
      <w:r>
        <w:rPr>
          <w:rFonts w:hint="eastAsia"/>
          <w:i/>
          <w:iCs/>
          <w:color w:val="000000"/>
          <w:sz w:val="22"/>
        </w:rPr>
        <w:t>查阅</w:t>
      </w:r>
      <w:r>
        <w:rPr>
          <w:rFonts w:hint="eastAsia"/>
          <w:i/>
          <w:iCs/>
          <w:color w:val="000000"/>
          <w:sz w:val="22"/>
          <w:lang w:eastAsia="zh-CN"/>
        </w:rPr>
        <w:t>土建</w:t>
      </w:r>
      <w:r>
        <w:rPr>
          <w:rFonts w:hint="eastAsia"/>
          <w:i/>
          <w:iCs/>
          <w:color w:val="000000"/>
          <w:sz w:val="22"/>
          <w:lang w:val="en-US" w:eastAsia="zh-CN"/>
        </w:rPr>
        <w:t>、装修等专业竣工图、集成吊顶应用比例计算书、免吊顶应用比例计算书</w:t>
      </w:r>
      <w:r>
        <w:rPr>
          <w:rFonts w:hint="eastAsia"/>
          <w:i/>
          <w:iCs/>
          <w:color w:val="000000"/>
          <w:sz w:val="22"/>
        </w:rPr>
        <w:t>。</w:t>
      </w:r>
    </w:p>
    <w:p w14:paraId="0353AABB">
      <w:pPr>
        <w:pStyle w:val="20"/>
        <w:widowControl/>
        <w:autoSpaceDE/>
        <w:autoSpaceDN/>
        <w:spacing w:beforeAutospacing="0" w:afterAutospacing="0" w:line="360" w:lineRule="auto"/>
        <w:rPr>
          <w:rFonts w:hint="default"/>
          <w:color w:val="000000"/>
          <w:sz w:val="22"/>
          <w:lang w:val="en-US"/>
        </w:rPr>
      </w:pPr>
      <w:r>
        <w:rPr>
          <w:b/>
          <w:bCs/>
          <w:color w:val="000000"/>
          <w:sz w:val="22"/>
        </w:rPr>
        <w:t>4.2.</w:t>
      </w:r>
      <w:r>
        <w:rPr>
          <w:rFonts w:hint="eastAsia"/>
          <w:b/>
          <w:bCs/>
          <w:color w:val="000000"/>
          <w:sz w:val="22"/>
          <w:lang w:val="en-US" w:eastAsia="zh-CN"/>
        </w:rPr>
        <w:t>13</w:t>
      </w:r>
      <w:r>
        <w:rPr>
          <w:color w:val="000000"/>
          <w:sz w:val="22"/>
        </w:rPr>
        <w:t>　</w:t>
      </w:r>
      <w:r>
        <w:rPr>
          <w:rFonts w:hint="eastAsia"/>
          <w:color w:val="000000"/>
          <w:sz w:val="22"/>
          <w:highlight w:val="none"/>
          <w:lang w:val="en-US" w:eastAsia="zh-CN"/>
        </w:rPr>
        <w:t>采用饰面与隔墙一体化集成设计</w:t>
      </w:r>
      <w:r>
        <w:rPr>
          <w:rFonts w:hint="eastAsia"/>
          <w:color w:val="000000"/>
          <w:sz w:val="22"/>
          <w:lang w:val="en-US" w:eastAsia="zh-CN"/>
        </w:rPr>
        <w:t>，评价分值为10分。</w:t>
      </w:r>
      <w:r>
        <w:rPr>
          <w:rFonts w:hint="eastAsia"/>
          <w:color w:val="000000"/>
          <w:sz w:val="22"/>
          <w:highlight w:val="none"/>
          <w:lang w:val="en-US" w:eastAsia="zh-CN"/>
        </w:rPr>
        <w:t>饰面与隔墙一体化集成设计面积比例达到30%，得5分；达到50%，得10分。</w:t>
      </w:r>
    </w:p>
    <w:p w14:paraId="08551591">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w:t>
      </w:r>
      <w:r>
        <w:rPr>
          <w:rFonts w:hint="eastAsia"/>
          <w:i/>
          <w:iCs/>
          <w:color w:val="000000"/>
          <w:sz w:val="22"/>
          <w:lang w:val="en-US" w:eastAsia="zh-CN"/>
        </w:rPr>
        <w:t>饰面与隔墙一体化集成设计，强调在内装系统设计过程中充分考虑饰面部分与内隔墙的整体集成性和可落地性，实现在工厂形成一体化集成系统，施工现场整体安装，并有完整、系统的设计成果。</w:t>
      </w:r>
    </w:p>
    <w:p w14:paraId="2391A281">
      <w:pPr>
        <w:pStyle w:val="20"/>
        <w:keepNext w:val="0"/>
        <w:keepLines w:val="0"/>
        <w:pageBreakBefore w:val="0"/>
        <w:widowControl/>
        <w:kinsoku/>
        <w:wordWrap/>
        <w:overflowPunct/>
        <w:topLinePunct w:val="0"/>
        <w:autoSpaceDE/>
        <w:autoSpaceDN/>
        <w:bidi w:val="0"/>
        <w:adjustRightInd/>
        <w:snapToGrid/>
        <w:spacing w:beforeAutospacing="0" w:afterAutospacing="0" w:line="360" w:lineRule="auto"/>
        <w:ind w:firstLine="440" w:firstLineChars="200"/>
        <w:jc w:val="both"/>
        <w:textAlignment w:val="auto"/>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土建</w:t>
      </w:r>
      <w:r>
        <w:rPr>
          <w:rFonts w:hint="eastAsia"/>
          <w:i/>
          <w:iCs/>
          <w:color w:val="000000"/>
          <w:sz w:val="22"/>
          <w:lang w:val="en-US" w:eastAsia="zh-CN"/>
        </w:rPr>
        <w:t>、装修等专业施工图、饰面与隔墙一体化应用比例计算书；运行阶段评价</w:t>
      </w:r>
      <w:r>
        <w:rPr>
          <w:rFonts w:hint="eastAsia"/>
          <w:i/>
          <w:iCs/>
          <w:color w:val="000000"/>
          <w:sz w:val="22"/>
        </w:rPr>
        <w:t>查阅</w:t>
      </w:r>
      <w:r>
        <w:rPr>
          <w:rFonts w:hint="eastAsia"/>
          <w:i/>
          <w:iCs/>
          <w:color w:val="000000"/>
          <w:sz w:val="22"/>
          <w:lang w:eastAsia="zh-CN"/>
        </w:rPr>
        <w:t>土建</w:t>
      </w:r>
      <w:r>
        <w:rPr>
          <w:rFonts w:hint="eastAsia"/>
          <w:i/>
          <w:iCs/>
          <w:color w:val="000000"/>
          <w:sz w:val="22"/>
          <w:lang w:val="en-US" w:eastAsia="zh-CN"/>
        </w:rPr>
        <w:t>、装修等专业竣工图、饰面与隔墙一体化应用比例计算书</w:t>
      </w:r>
      <w:r>
        <w:rPr>
          <w:rFonts w:hint="eastAsia"/>
          <w:i/>
          <w:iCs/>
          <w:color w:val="000000"/>
          <w:sz w:val="22"/>
        </w:rPr>
        <w:t>。</w:t>
      </w:r>
    </w:p>
    <w:p w14:paraId="32090768">
      <w:pPr>
        <w:pStyle w:val="20"/>
        <w:widowControl/>
        <w:autoSpaceDE/>
        <w:autoSpaceDN/>
        <w:spacing w:beforeAutospacing="0" w:afterAutospacing="0" w:line="360" w:lineRule="auto"/>
        <w:jc w:val="both"/>
        <w:rPr>
          <w:rFonts w:hint="eastAsia"/>
          <w:color w:val="000000"/>
          <w:sz w:val="22"/>
          <w:lang w:val="en-US" w:eastAsia="zh-CN"/>
        </w:rPr>
      </w:pPr>
      <w:r>
        <w:rPr>
          <w:b/>
          <w:bCs/>
          <w:color w:val="000000"/>
          <w:sz w:val="22"/>
        </w:rPr>
        <w:t>4.2.</w:t>
      </w:r>
      <w:r>
        <w:rPr>
          <w:rFonts w:hint="eastAsia"/>
          <w:b/>
          <w:bCs/>
          <w:color w:val="000000"/>
          <w:sz w:val="22"/>
          <w:lang w:val="en-US" w:eastAsia="zh-CN"/>
        </w:rPr>
        <w:t>14</w:t>
      </w:r>
      <w:r>
        <w:rPr>
          <w:color w:val="000000"/>
          <w:sz w:val="22"/>
        </w:rPr>
        <w:t>　</w:t>
      </w:r>
      <w:r>
        <w:rPr>
          <w:rFonts w:hint="eastAsia"/>
          <w:color w:val="000000"/>
          <w:sz w:val="22"/>
          <w:lang w:val="en-US" w:eastAsia="zh-CN"/>
        </w:rPr>
        <w:t>采用集成地面，评价分值为10分。</w:t>
      </w:r>
      <w:r>
        <w:rPr>
          <w:rFonts w:hint="eastAsia"/>
          <w:color w:val="000000"/>
          <w:sz w:val="22"/>
          <w:lang w:eastAsia="zh-CN"/>
        </w:rPr>
        <w:t>应按下列规则分别评分：</w:t>
      </w:r>
    </w:p>
    <w:p w14:paraId="6BA33D59">
      <w:pPr>
        <w:pStyle w:val="20"/>
        <w:widowControl/>
        <w:autoSpaceDE/>
        <w:autoSpaceDN/>
        <w:spacing w:beforeAutospacing="0" w:afterAutospacing="0" w:line="360" w:lineRule="auto"/>
        <w:ind w:firstLine="420" w:firstLineChars="0"/>
        <w:jc w:val="both"/>
        <w:rPr>
          <w:rFonts w:hint="eastAsia"/>
          <w:color w:val="000000"/>
          <w:sz w:val="22"/>
          <w:lang w:val="en-US" w:eastAsia="zh-CN"/>
        </w:rPr>
      </w:pPr>
      <w:r>
        <w:rPr>
          <w:rFonts w:hint="eastAsia"/>
          <w:b/>
          <w:bCs/>
          <w:color w:val="000000"/>
          <w:sz w:val="22"/>
          <w:lang w:val="en-US" w:eastAsia="zh-CN"/>
        </w:rPr>
        <w:t xml:space="preserve">1 </w:t>
      </w:r>
      <w:r>
        <w:rPr>
          <w:rFonts w:hint="eastAsia"/>
          <w:color w:val="000000"/>
          <w:sz w:val="22"/>
          <w:lang w:val="en-US" w:eastAsia="zh-CN"/>
        </w:rPr>
        <w:t xml:space="preserve"> 采用干式工法地面。住宅建筑的卧室采用干式工法地面，得5分；公共建筑的主要功能房间采用干式工法地面，得5分；</w:t>
      </w:r>
    </w:p>
    <w:p w14:paraId="32C73DD4">
      <w:pPr>
        <w:pStyle w:val="20"/>
        <w:widowControl/>
        <w:autoSpaceDE/>
        <w:autoSpaceDN/>
        <w:spacing w:beforeAutospacing="0" w:afterAutospacing="0" w:line="360" w:lineRule="auto"/>
        <w:ind w:firstLine="420" w:firstLineChars="0"/>
        <w:jc w:val="both"/>
        <w:rPr>
          <w:rFonts w:hint="eastAsia"/>
          <w:color w:val="000000"/>
          <w:sz w:val="22"/>
          <w:lang w:val="en-US" w:eastAsia="zh-CN"/>
        </w:rPr>
      </w:pPr>
      <w:r>
        <w:rPr>
          <w:rFonts w:hint="eastAsia"/>
          <w:b/>
          <w:bCs/>
          <w:color w:val="000000"/>
          <w:sz w:val="22"/>
          <w:lang w:val="en-US" w:eastAsia="zh-CN"/>
        </w:rPr>
        <w:t xml:space="preserve">2 </w:t>
      </w:r>
      <w:r>
        <w:rPr>
          <w:rFonts w:hint="eastAsia"/>
          <w:color w:val="000000"/>
          <w:sz w:val="22"/>
          <w:lang w:val="en-US" w:eastAsia="zh-CN"/>
        </w:rPr>
        <w:t xml:space="preserve"> 采用集成地面。住宅建筑采用模块化地暖，得5分；公共建筑采用耐久性好的集成地面，得5分。</w:t>
      </w:r>
    </w:p>
    <w:p w14:paraId="34B4B4AC">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地面工程采用干式工法或集成做法，可以有效较低建造阶段的材料损耗，并未运行维护提供便利，从而大大降低碳排放量。</w:t>
      </w:r>
    </w:p>
    <w:p w14:paraId="6D414535">
      <w:pPr>
        <w:pStyle w:val="20"/>
        <w:widowControl/>
        <w:autoSpaceDE/>
        <w:autoSpaceDN/>
        <w:spacing w:beforeAutospacing="0" w:afterAutospacing="0" w:line="360" w:lineRule="auto"/>
        <w:ind w:firstLine="420" w:firstLineChars="0"/>
        <w:jc w:val="both"/>
        <w:rPr>
          <w:rFonts w:hint="default"/>
          <w:i/>
          <w:iCs/>
          <w:color w:val="000000"/>
          <w:sz w:val="22"/>
          <w:lang w:val="en-US" w:eastAsia="zh-CN"/>
        </w:rPr>
      </w:pPr>
      <w:r>
        <w:rPr>
          <w:rFonts w:hint="eastAsia"/>
          <w:i/>
          <w:iCs/>
          <w:color w:val="000000"/>
          <w:sz w:val="22"/>
          <w:lang w:val="en-US" w:eastAsia="zh-CN"/>
        </w:rPr>
        <w:t>第1款，干式工法相对于湿式工法而言，如架空地板等做法。住宅卧室可采用地板做法实现干式工法，公共建筑则可通过采用网络地板等方式。这里的公共建筑的主要功能房间是指除机房等附属空间外，建筑内主要的功能空间；对于办公建筑，则主要指办公区、会议室等。</w:t>
      </w:r>
    </w:p>
    <w:p w14:paraId="455F58A3">
      <w:pPr>
        <w:pStyle w:val="20"/>
        <w:widowControl/>
        <w:autoSpaceDE/>
        <w:autoSpaceDN/>
        <w:spacing w:beforeAutospacing="0" w:afterAutospacing="0" w:line="360" w:lineRule="auto"/>
        <w:ind w:firstLine="420" w:firstLineChars="0"/>
        <w:jc w:val="both"/>
        <w:rPr>
          <w:i/>
          <w:iCs/>
          <w:color w:val="000000"/>
          <w:sz w:val="22"/>
        </w:rPr>
      </w:pPr>
      <w:r>
        <w:rPr>
          <w:rFonts w:hint="eastAsia"/>
          <w:i/>
          <w:iCs/>
          <w:color w:val="000000"/>
          <w:sz w:val="22"/>
          <w:lang w:val="en-US" w:eastAsia="zh-CN"/>
        </w:rPr>
        <w:t>第2款，集成地面则是将地面的各做法集成一体化的一种干式工法。住宅建筑，可以通过采用模块化地暖等方式，使地面做法与地暖管集成。公共建筑，则通过采用耐久性好的集成地面，避免因长期使用带来频繁维修；此外，该做法强调地面一体化完成，不可再单独铺设地毯或其他做法等。</w:t>
      </w:r>
    </w:p>
    <w:p w14:paraId="0AD506E7">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土建</w:t>
      </w:r>
      <w:r>
        <w:rPr>
          <w:rFonts w:hint="eastAsia"/>
          <w:i/>
          <w:iCs/>
          <w:color w:val="000000"/>
          <w:sz w:val="22"/>
          <w:lang w:val="en-US" w:eastAsia="zh-CN"/>
        </w:rPr>
        <w:t>、装修等专业施工图；运行阶段评价</w:t>
      </w:r>
      <w:r>
        <w:rPr>
          <w:rFonts w:hint="eastAsia"/>
          <w:i/>
          <w:iCs/>
          <w:color w:val="000000"/>
          <w:sz w:val="22"/>
        </w:rPr>
        <w:t>查阅</w:t>
      </w:r>
      <w:r>
        <w:rPr>
          <w:rFonts w:hint="eastAsia"/>
          <w:i/>
          <w:iCs/>
          <w:color w:val="000000"/>
          <w:sz w:val="22"/>
          <w:lang w:eastAsia="zh-CN"/>
        </w:rPr>
        <w:t>土建</w:t>
      </w:r>
      <w:r>
        <w:rPr>
          <w:rFonts w:hint="eastAsia"/>
          <w:i/>
          <w:iCs/>
          <w:color w:val="000000"/>
          <w:sz w:val="22"/>
          <w:lang w:val="en-US" w:eastAsia="zh-CN"/>
        </w:rPr>
        <w:t>、装修等专业竣工图、材料决算清单等</w:t>
      </w:r>
      <w:r>
        <w:rPr>
          <w:rFonts w:hint="eastAsia"/>
          <w:i/>
          <w:iCs/>
          <w:color w:val="000000"/>
          <w:sz w:val="22"/>
        </w:rPr>
        <w:t>。</w:t>
      </w:r>
    </w:p>
    <w:p w14:paraId="379C9DFD">
      <w:pPr>
        <w:pStyle w:val="20"/>
        <w:widowControl/>
        <w:autoSpaceDE/>
        <w:autoSpaceDN/>
        <w:spacing w:beforeAutospacing="0" w:afterAutospacing="0" w:line="360" w:lineRule="auto"/>
        <w:jc w:val="both"/>
        <w:rPr>
          <w:rFonts w:hint="eastAsia"/>
          <w:color w:val="000000"/>
          <w:sz w:val="22"/>
          <w:lang w:val="en-US" w:eastAsia="zh-CN"/>
        </w:rPr>
      </w:pPr>
      <w:r>
        <w:rPr>
          <w:b/>
          <w:bCs/>
          <w:color w:val="000000"/>
          <w:sz w:val="22"/>
        </w:rPr>
        <w:t>4.2.</w:t>
      </w:r>
      <w:r>
        <w:rPr>
          <w:rFonts w:hint="eastAsia"/>
          <w:b/>
          <w:bCs/>
          <w:color w:val="000000"/>
          <w:sz w:val="22"/>
          <w:lang w:val="en-US" w:eastAsia="zh-CN"/>
        </w:rPr>
        <w:t>15</w:t>
      </w:r>
      <w:r>
        <w:rPr>
          <w:color w:val="000000"/>
          <w:sz w:val="22"/>
        </w:rPr>
        <w:t>　</w:t>
      </w:r>
      <w:r>
        <w:rPr>
          <w:rFonts w:hint="eastAsia"/>
          <w:color w:val="000000"/>
          <w:sz w:val="22"/>
          <w:lang w:val="en-US" w:eastAsia="zh-CN"/>
        </w:rPr>
        <w:t>采用集成厨卫，评价分值为10分。</w:t>
      </w:r>
    </w:p>
    <w:p w14:paraId="38C48390">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没有厨房的建筑本条不参评。集成厨房多指居住建筑中的厨房，本条强调了厨房的“集成性”和“功能性”。集成厨房是装配式建筑装饰装修的重要组成部分，其设计应按照标准化、系列化原则，并符合干式工法施工的要求，在制作和加工阶段实现装配化。</w:t>
      </w:r>
    </w:p>
    <w:p w14:paraId="1C7F4F27">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土建</w:t>
      </w:r>
      <w:r>
        <w:rPr>
          <w:rFonts w:hint="eastAsia"/>
          <w:i/>
          <w:iCs/>
          <w:color w:val="000000"/>
          <w:sz w:val="22"/>
          <w:lang w:val="en-US" w:eastAsia="zh-CN"/>
        </w:rPr>
        <w:t>、装修等专业施工图；运行阶段评价</w:t>
      </w:r>
      <w:r>
        <w:rPr>
          <w:rFonts w:hint="eastAsia"/>
          <w:i/>
          <w:iCs/>
          <w:color w:val="000000"/>
          <w:sz w:val="22"/>
        </w:rPr>
        <w:t>查阅</w:t>
      </w:r>
      <w:r>
        <w:rPr>
          <w:rFonts w:hint="eastAsia"/>
          <w:i/>
          <w:iCs/>
          <w:color w:val="000000"/>
          <w:sz w:val="22"/>
          <w:lang w:eastAsia="zh-CN"/>
        </w:rPr>
        <w:t>土建</w:t>
      </w:r>
      <w:r>
        <w:rPr>
          <w:rFonts w:hint="eastAsia"/>
          <w:i/>
          <w:iCs/>
          <w:color w:val="000000"/>
          <w:sz w:val="22"/>
          <w:lang w:val="en-US" w:eastAsia="zh-CN"/>
        </w:rPr>
        <w:t>、装修竣工图、施工影像资料等</w:t>
      </w:r>
      <w:r>
        <w:rPr>
          <w:rFonts w:hint="eastAsia"/>
          <w:i/>
          <w:iCs/>
          <w:color w:val="000000"/>
          <w:sz w:val="22"/>
        </w:rPr>
        <w:t>。</w:t>
      </w:r>
    </w:p>
    <w:p w14:paraId="2876EB07">
      <w:pPr>
        <w:pStyle w:val="20"/>
        <w:widowControl/>
        <w:autoSpaceDE/>
        <w:autoSpaceDN/>
        <w:spacing w:before="234" w:beforeLines="75" w:beforeAutospacing="0" w:after="234" w:afterLines="75" w:afterAutospacing="0" w:line="360" w:lineRule="auto"/>
        <w:jc w:val="center"/>
        <w:outlineLvl w:val="2"/>
        <w:rPr>
          <w:rStyle w:val="29"/>
          <w:rFonts w:eastAsia="仿宋"/>
          <w:szCs w:val="22"/>
        </w:rPr>
      </w:pPr>
      <w:bookmarkStart w:id="67" w:name="_Toc12642"/>
      <w:bookmarkStart w:id="68" w:name="_Toc17019"/>
      <w:bookmarkStart w:id="69" w:name="_Toc19788"/>
      <w:bookmarkStart w:id="70" w:name="_Toc14248"/>
      <w:bookmarkStart w:id="71" w:name="_Toc20286"/>
      <w:bookmarkStart w:id="72" w:name="_Toc14609"/>
      <w:r>
        <w:rPr>
          <w:rStyle w:val="44"/>
          <w:rFonts w:eastAsia="仿宋"/>
          <w:b/>
          <w:bCs/>
          <w:szCs w:val="22"/>
        </w:rPr>
        <w:t>Ⅳ</w:t>
      </w:r>
      <w:r>
        <w:rPr>
          <w:rStyle w:val="29"/>
          <w:rFonts w:eastAsia="仿宋"/>
          <w:szCs w:val="22"/>
        </w:rPr>
        <w:t>　</w:t>
      </w:r>
      <w:r>
        <w:rPr>
          <w:rStyle w:val="29"/>
          <w:rFonts w:hint="eastAsia" w:eastAsia="仿宋"/>
          <w:b/>
          <w:bCs/>
          <w:szCs w:val="22"/>
        </w:rPr>
        <w:t>设备与管线设计</w:t>
      </w:r>
      <w:bookmarkEnd w:id="67"/>
      <w:bookmarkEnd w:id="68"/>
      <w:bookmarkEnd w:id="69"/>
      <w:bookmarkEnd w:id="70"/>
    </w:p>
    <w:p w14:paraId="7341FC23">
      <w:pPr>
        <w:pStyle w:val="20"/>
        <w:widowControl/>
        <w:autoSpaceDE/>
        <w:autoSpaceDN/>
        <w:spacing w:beforeAutospacing="0" w:afterAutospacing="0" w:line="360" w:lineRule="auto"/>
        <w:rPr>
          <w:rFonts w:hint="eastAsia"/>
          <w:color w:val="000000"/>
          <w:sz w:val="22"/>
          <w:lang w:eastAsia="zh-CN"/>
        </w:rPr>
      </w:pPr>
      <w:r>
        <w:rPr>
          <w:b/>
          <w:bCs/>
          <w:color w:val="000000"/>
          <w:sz w:val="22"/>
        </w:rPr>
        <w:t>4.2.</w:t>
      </w:r>
      <w:r>
        <w:rPr>
          <w:rFonts w:hint="eastAsia"/>
          <w:b/>
          <w:bCs/>
          <w:color w:val="000000"/>
          <w:sz w:val="22"/>
          <w:lang w:val="en-US" w:eastAsia="zh-CN"/>
        </w:rPr>
        <w:t>16</w:t>
      </w:r>
      <w:r>
        <w:rPr>
          <w:color w:val="000000"/>
          <w:sz w:val="22"/>
        </w:rPr>
        <w:t>　</w:t>
      </w:r>
      <w:r>
        <w:rPr>
          <w:rFonts w:hint="eastAsia"/>
          <w:color w:val="000000"/>
          <w:sz w:val="22"/>
        </w:rPr>
        <w:t>建筑设备管线采用管线分离方式进行设计，评价</w:t>
      </w:r>
      <w:r>
        <w:rPr>
          <w:rFonts w:hint="eastAsia"/>
          <w:color w:val="000000"/>
          <w:sz w:val="22"/>
          <w:lang w:eastAsia="zh-CN"/>
        </w:rPr>
        <w:t>总</w:t>
      </w:r>
      <w:r>
        <w:rPr>
          <w:rFonts w:hint="eastAsia"/>
          <w:color w:val="000000"/>
          <w:sz w:val="22"/>
        </w:rPr>
        <w:t>分值为</w:t>
      </w:r>
      <w:r>
        <w:rPr>
          <w:rFonts w:hint="eastAsia"/>
          <w:color w:val="000000"/>
          <w:sz w:val="22"/>
          <w:lang w:val="en-US" w:eastAsia="zh-CN"/>
        </w:rPr>
        <w:t>20</w:t>
      </w:r>
      <w:r>
        <w:rPr>
          <w:rFonts w:hint="eastAsia"/>
          <w:color w:val="000000"/>
          <w:sz w:val="22"/>
        </w:rPr>
        <w:t>分</w:t>
      </w:r>
      <w:r>
        <w:rPr>
          <w:rFonts w:hint="eastAsia"/>
          <w:color w:val="000000"/>
          <w:sz w:val="22"/>
          <w:lang w:eastAsia="zh-CN"/>
        </w:rPr>
        <w:t>。</w:t>
      </w:r>
      <w:r>
        <w:rPr>
          <w:rFonts w:hint="eastAsia"/>
          <w:color w:val="000000"/>
          <w:sz w:val="22"/>
        </w:rPr>
        <w:t>应按下列规则分别评分</w:t>
      </w:r>
      <w:r>
        <w:rPr>
          <w:rFonts w:hint="eastAsia"/>
          <w:color w:val="000000"/>
          <w:sz w:val="22"/>
          <w:lang w:eastAsia="zh-CN"/>
        </w:rPr>
        <w:t>并累计：</w:t>
      </w:r>
    </w:p>
    <w:p w14:paraId="2632474C">
      <w:pPr>
        <w:pStyle w:val="20"/>
        <w:widowControl/>
        <w:autoSpaceDE/>
        <w:autoSpaceDN/>
        <w:spacing w:beforeAutospacing="0" w:afterAutospacing="0" w:line="360" w:lineRule="auto"/>
        <w:ind w:firstLine="421" w:firstLineChars="0"/>
        <w:rPr>
          <w:rFonts w:hint="eastAsia"/>
          <w:color w:val="000000"/>
          <w:sz w:val="22"/>
          <w:lang w:eastAsia="zh-CN"/>
        </w:rPr>
      </w:pPr>
      <w:r>
        <w:rPr>
          <w:rFonts w:hint="eastAsia"/>
          <w:b/>
          <w:bCs/>
          <w:color w:val="000000"/>
          <w:sz w:val="22"/>
          <w:lang w:val="en-US" w:eastAsia="zh-CN"/>
        </w:rPr>
        <w:t xml:space="preserve">1 </w:t>
      </w:r>
      <w:r>
        <w:rPr>
          <w:rFonts w:hint="eastAsia"/>
          <w:color w:val="000000"/>
          <w:sz w:val="22"/>
          <w:lang w:val="en-US" w:eastAsia="zh-CN"/>
        </w:rPr>
        <w:t xml:space="preserve"> 电气管线分离比例达到60%，得3分；达到100%，得6分；</w:t>
      </w:r>
    </w:p>
    <w:p w14:paraId="3B4CC4FB">
      <w:pPr>
        <w:pStyle w:val="20"/>
        <w:widowControl/>
        <w:autoSpaceDE/>
        <w:autoSpaceDN/>
        <w:spacing w:beforeAutospacing="0" w:afterAutospacing="0" w:line="360" w:lineRule="auto"/>
        <w:ind w:firstLine="421" w:firstLineChars="0"/>
        <w:rPr>
          <w:rFonts w:hint="eastAsia"/>
          <w:color w:val="000000"/>
          <w:sz w:val="22"/>
          <w:lang w:val="en-US" w:eastAsia="zh-CN"/>
        </w:rPr>
      </w:pPr>
      <w:r>
        <w:rPr>
          <w:rFonts w:hint="eastAsia"/>
          <w:b/>
          <w:bCs/>
          <w:color w:val="000000"/>
          <w:sz w:val="22"/>
          <w:lang w:val="en-US" w:eastAsia="zh-CN"/>
        </w:rPr>
        <w:t xml:space="preserve">2 </w:t>
      </w:r>
      <w:r>
        <w:rPr>
          <w:rFonts w:hint="eastAsia"/>
          <w:color w:val="000000"/>
          <w:sz w:val="22"/>
          <w:lang w:val="en-US" w:eastAsia="zh-CN"/>
        </w:rPr>
        <w:t xml:space="preserve"> 给排水管线分离比例达到60%，得3分；达到100%，得6分；</w:t>
      </w:r>
    </w:p>
    <w:p w14:paraId="1E75B65A">
      <w:pPr>
        <w:pStyle w:val="20"/>
        <w:widowControl/>
        <w:autoSpaceDE/>
        <w:autoSpaceDN/>
        <w:spacing w:beforeAutospacing="0" w:afterAutospacing="0" w:line="360" w:lineRule="auto"/>
        <w:ind w:firstLine="421" w:firstLineChars="0"/>
        <w:rPr>
          <w:rFonts w:hint="eastAsia"/>
          <w:color w:val="000000"/>
          <w:sz w:val="22"/>
          <w:lang w:val="en-US" w:eastAsia="zh-CN"/>
        </w:rPr>
      </w:pPr>
      <w:r>
        <w:rPr>
          <w:rFonts w:hint="eastAsia"/>
          <w:b/>
          <w:bCs/>
          <w:color w:val="000000"/>
          <w:sz w:val="22"/>
          <w:lang w:val="en-US" w:eastAsia="zh-CN"/>
        </w:rPr>
        <w:t xml:space="preserve">3 </w:t>
      </w:r>
      <w:r>
        <w:rPr>
          <w:rFonts w:hint="eastAsia"/>
          <w:color w:val="000000"/>
          <w:sz w:val="22"/>
          <w:lang w:val="en-US" w:eastAsia="zh-CN"/>
        </w:rPr>
        <w:t xml:space="preserve"> 供暖管线分离比例达到70%，得4分；达到100%，得8分；</w:t>
      </w:r>
    </w:p>
    <w:p w14:paraId="7CBA5358">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w:t>
      </w:r>
      <w:r>
        <w:rPr>
          <w:rFonts w:hint="eastAsia"/>
          <w:i/>
          <w:iCs/>
          <w:color w:val="000000"/>
          <w:sz w:val="22"/>
          <w:lang w:val="en-US" w:eastAsia="zh-CN"/>
        </w:rPr>
        <w:t>建筑结构与建筑设备管线分离是指建筑结构体中不埋设设备及管线，将设备及管线与建筑结构体相分离的方式。给水排水管道，供暖、通风和空调管道，电气管线，燃气管道等与建筑结构分离，便于设备管线维护更新。计算公式参照《装配式建筑评价标准》GB/T 51129执行</w:t>
      </w:r>
      <w:r>
        <w:rPr>
          <w:rFonts w:hint="eastAsia"/>
          <w:i/>
          <w:iCs/>
          <w:color w:val="000000"/>
          <w:sz w:val="22"/>
        </w:rPr>
        <w:t>。</w:t>
      </w:r>
    </w:p>
    <w:p w14:paraId="3CA5DD63">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机电</w:t>
      </w:r>
      <w:r>
        <w:rPr>
          <w:rFonts w:hint="eastAsia"/>
          <w:i/>
          <w:iCs/>
          <w:color w:val="000000"/>
          <w:sz w:val="22"/>
          <w:lang w:val="en-US" w:eastAsia="zh-CN"/>
        </w:rPr>
        <w:t>专业施工图、</w:t>
      </w:r>
      <w:r>
        <w:rPr>
          <w:rFonts w:hint="eastAsia"/>
          <w:i/>
          <w:iCs/>
          <w:color w:val="000000"/>
          <w:sz w:val="22"/>
          <w:lang w:eastAsia="zh-CN"/>
        </w:rPr>
        <w:t>设备管线分离比例计算书</w:t>
      </w:r>
      <w:r>
        <w:rPr>
          <w:rFonts w:hint="eastAsia"/>
          <w:i/>
          <w:iCs/>
          <w:color w:val="000000"/>
          <w:sz w:val="22"/>
          <w:lang w:val="en-US" w:eastAsia="zh-CN"/>
        </w:rPr>
        <w:t>；运行阶段评价</w:t>
      </w:r>
      <w:r>
        <w:rPr>
          <w:rFonts w:hint="eastAsia"/>
          <w:i/>
          <w:iCs/>
          <w:color w:val="000000"/>
          <w:sz w:val="22"/>
        </w:rPr>
        <w:t>查阅</w:t>
      </w:r>
      <w:r>
        <w:rPr>
          <w:rFonts w:hint="eastAsia"/>
          <w:i/>
          <w:iCs/>
          <w:color w:val="000000"/>
          <w:sz w:val="22"/>
          <w:lang w:eastAsia="zh-CN"/>
        </w:rPr>
        <w:t>机电专业</w:t>
      </w:r>
      <w:r>
        <w:rPr>
          <w:rFonts w:hint="eastAsia"/>
          <w:i/>
          <w:iCs/>
          <w:color w:val="000000"/>
          <w:sz w:val="22"/>
          <w:lang w:val="en-US" w:eastAsia="zh-CN"/>
        </w:rPr>
        <w:t>竣工图、</w:t>
      </w:r>
      <w:r>
        <w:rPr>
          <w:rFonts w:hint="eastAsia"/>
          <w:i/>
          <w:iCs/>
          <w:color w:val="000000"/>
          <w:sz w:val="22"/>
          <w:lang w:eastAsia="zh-CN"/>
        </w:rPr>
        <w:t>设备管线分离比例计算书</w:t>
      </w:r>
      <w:r>
        <w:rPr>
          <w:rFonts w:hint="eastAsia"/>
          <w:i/>
          <w:iCs/>
          <w:color w:val="000000"/>
          <w:sz w:val="22"/>
        </w:rPr>
        <w:t>。</w:t>
      </w:r>
    </w:p>
    <w:p w14:paraId="6CB809FB">
      <w:pPr>
        <w:pStyle w:val="20"/>
        <w:widowControl/>
        <w:autoSpaceDE/>
        <w:autoSpaceDN/>
        <w:spacing w:beforeAutospacing="0" w:afterAutospacing="0" w:line="360" w:lineRule="auto"/>
        <w:rPr>
          <w:rFonts w:hint="eastAsia"/>
          <w:color w:val="000000"/>
          <w:sz w:val="22"/>
          <w:lang w:val="en-US" w:eastAsia="zh-CN"/>
        </w:rPr>
      </w:pPr>
      <w:r>
        <w:rPr>
          <w:b/>
          <w:bCs/>
          <w:color w:val="000000"/>
          <w:sz w:val="22"/>
        </w:rPr>
        <w:t>4.2.</w:t>
      </w:r>
      <w:r>
        <w:rPr>
          <w:rFonts w:hint="eastAsia"/>
          <w:b/>
          <w:bCs/>
          <w:color w:val="000000"/>
          <w:sz w:val="22"/>
          <w:lang w:val="en-US" w:eastAsia="zh-CN"/>
        </w:rPr>
        <w:t>17</w:t>
      </w:r>
      <w:r>
        <w:rPr>
          <w:color w:val="000000"/>
          <w:sz w:val="22"/>
        </w:rPr>
        <w:t>　</w:t>
      </w:r>
      <w:r>
        <w:rPr>
          <w:rFonts w:hint="eastAsia"/>
          <w:color w:val="000000"/>
          <w:sz w:val="22"/>
        </w:rPr>
        <w:t>采用集成机房，评价总分值为</w:t>
      </w:r>
      <w:r>
        <w:rPr>
          <w:rFonts w:hint="eastAsia"/>
          <w:color w:val="000000"/>
          <w:sz w:val="22"/>
          <w:lang w:val="en-US" w:eastAsia="zh-CN"/>
        </w:rPr>
        <w:t>10</w:t>
      </w:r>
      <w:r>
        <w:rPr>
          <w:rFonts w:hint="eastAsia"/>
          <w:color w:val="000000"/>
          <w:sz w:val="22"/>
        </w:rPr>
        <w:t>分</w:t>
      </w:r>
      <w:r>
        <w:rPr>
          <w:rFonts w:hint="eastAsia"/>
          <w:color w:val="000000"/>
          <w:sz w:val="22"/>
          <w:lang w:val="en-US" w:eastAsia="zh-CN"/>
        </w:rPr>
        <w:t>。</w:t>
      </w:r>
    </w:p>
    <w:p w14:paraId="2CC3F19F">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设备专业的装配化做法已较早应用于建筑工程，如设备管线的干作业等。而集成设备在实际工程中则应用较少，却已表现出结算设备材料和施工效率高的优势，具有很好的低碳性能。集成设备机房是将设备机房（如制冷机房、供热机房、泵房等）、设备管线采用模块化设计、工厂化预制、现场装配化安装的技术体系。</w:t>
      </w:r>
    </w:p>
    <w:p w14:paraId="2AE5A4F1">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建筑、机电</w:t>
      </w:r>
      <w:r>
        <w:rPr>
          <w:rFonts w:hint="eastAsia"/>
          <w:i/>
          <w:iCs/>
          <w:color w:val="000000"/>
          <w:sz w:val="22"/>
          <w:lang w:val="en-US" w:eastAsia="zh-CN"/>
        </w:rPr>
        <w:t>专业施工图；运行阶段评价</w:t>
      </w:r>
      <w:r>
        <w:rPr>
          <w:rFonts w:hint="eastAsia"/>
          <w:i/>
          <w:iCs/>
          <w:color w:val="000000"/>
          <w:sz w:val="22"/>
        </w:rPr>
        <w:t>查阅</w:t>
      </w:r>
      <w:r>
        <w:rPr>
          <w:rFonts w:hint="eastAsia"/>
          <w:i/>
          <w:iCs/>
          <w:color w:val="000000"/>
          <w:sz w:val="22"/>
          <w:lang w:eastAsia="zh-CN"/>
        </w:rPr>
        <w:t>建筑、机电专业</w:t>
      </w:r>
      <w:r>
        <w:rPr>
          <w:rFonts w:hint="eastAsia"/>
          <w:i/>
          <w:iCs/>
          <w:color w:val="000000"/>
          <w:sz w:val="22"/>
          <w:lang w:val="en-US" w:eastAsia="zh-CN"/>
        </w:rPr>
        <w:t>竣工图</w:t>
      </w:r>
      <w:r>
        <w:rPr>
          <w:rFonts w:hint="eastAsia"/>
          <w:i/>
          <w:iCs/>
          <w:color w:val="000000"/>
          <w:sz w:val="22"/>
        </w:rPr>
        <w:t>。</w:t>
      </w:r>
    </w:p>
    <w:p w14:paraId="2BA8F553">
      <w:pPr>
        <w:pStyle w:val="20"/>
        <w:widowControl/>
        <w:autoSpaceDE/>
        <w:autoSpaceDN/>
        <w:spacing w:beforeAutospacing="0" w:afterAutospacing="0" w:line="360" w:lineRule="auto"/>
        <w:rPr>
          <w:rFonts w:hint="eastAsia"/>
          <w:color w:val="000000"/>
          <w:sz w:val="22"/>
          <w:lang w:val="en-US" w:eastAsia="zh-CN"/>
        </w:rPr>
      </w:pPr>
      <w:r>
        <w:rPr>
          <w:b/>
          <w:bCs/>
          <w:color w:val="000000"/>
          <w:sz w:val="22"/>
        </w:rPr>
        <w:t>4.2.</w:t>
      </w:r>
      <w:r>
        <w:rPr>
          <w:rFonts w:hint="eastAsia"/>
          <w:b/>
          <w:bCs/>
          <w:color w:val="000000"/>
          <w:sz w:val="22"/>
          <w:lang w:val="en-US" w:eastAsia="zh-CN"/>
        </w:rPr>
        <w:t>18</w:t>
      </w:r>
      <w:r>
        <w:rPr>
          <w:color w:val="000000"/>
          <w:sz w:val="22"/>
        </w:rPr>
        <w:t>　</w:t>
      </w:r>
      <w:r>
        <w:rPr>
          <w:rFonts w:hint="eastAsia"/>
          <w:color w:val="000000"/>
          <w:sz w:val="22"/>
          <w:lang w:val="en-US" w:eastAsia="zh-CN"/>
        </w:rPr>
        <w:t>采用集成管线</w:t>
      </w:r>
      <w:r>
        <w:rPr>
          <w:rFonts w:hint="eastAsia"/>
          <w:color w:val="000000"/>
          <w:sz w:val="22"/>
        </w:rPr>
        <w:t>，评价总分值为</w:t>
      </w:r>
      <w:r>
        <w:rPr>
          <w:rFonts w:hint="eastAsia"/>
          <w:color w:val="000000"/>
          <w:sz w:val="22"/>
          <w:lang w:val="en-US" w:eastAsia="zh-CN"/>
        </w:rPr>
        <w:t>10</w:t>
      </w:r>
      <w:r>
        <w:rPr>
          <w:rFonts w:hint="eastAsia"/>
          <w:color w:val="000000"/>
          <w:sz w:val="22"/>
        </w:rPr>
        <w:t>分</w:t>
      </w:r>
      <w:r>
        <w:rPr>
          <w:rFonts w:hint="eastAsia"/>
          <w:color w:val="000000"/>
          <w:sz w:val="22"/>
          <w:lang w:eastAsia="zh-CN"/>
        </w:rPr>
        <w:t>。</w:t>
      </w:r>
    </w:p>
    <w:p w14:paraId="12C9C8D4">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w:t>
      </w:r>
      <w:r>
        <w:rPr>
          <w:rFonts w:hint="eastAsia"/>
          <w:i/>
          <w:iCs/>
          <w:color w:val="000000"/>
          <w:sz w:val="22"/>
          <w:lang w:val="en-US" w:eastAsia="zh-CN"/>
        </w:rPr>
        <w:t>本条鼓励采用的集成管线，包括预制组合立管技术、快装集成给水系统、电气快装管线系统等。预制组合立管技术是将竖向管井内的管道作为一个组合立管模块，模块内所有管道及管道支架预先在工厂加工预制，运输到施工现场进行整体安装。快装集成给水系统是由铝塑复合管等给水管道、快插接头、卡接件组成的便于安装的给水系统。电气快装管线系统是通过新型电气管线结构、连接方式和工艺，采用电气连接中的快速插接方式，实现从配电输入端到用电末端(开关插座、灯具、电器等)快速装配安装的电气管线系统。</w:t>
      </w:r>
    </w:p>
    <w:p w14:paraId="3C93BC57">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机电</w:t>
      </w:r>
      <w:r>
        <w:rPr>
          <w:rFonts w:hint="eastAsia"/>
          <w:i/>
          <w:iCs/>
          <w:color w:val="000000"/>
          <w:sz w:val="22"/>
          <w:lang w:val="en-US" w:eastAsia="zh-CN"/>
        </w:rPr>
        <w:t>专业施工图；运行阶段评价</w:t>
      </w:r>
      <w:r>
        <w:rPr>
          <w:rFonts w:hint="eastAsia"/>
          <w:i/>
          <w:iCs/>
          <w:color w:val="000000"/>
          <w:sz w:val="22"/>
        </w:rPr>
        <w:t>查阅</w:t>
      </w:r>
      <w:r>
        <w:rPr>
          <w:rFonts w:hint="eastAsia"/>
          <w:i/>
          <w:iCs/>
          <w:color w:val="000000"/>
          <w:sz w:val="22"/>
          <w:lang w:eastAsia="zh-CN"/>
        </w:rPr>
        <w:t>机电专业</w:t>
      </w:r>
      <w:r>
        <w:rPr>
          <w:rFonts w:hint="eastAsia"/>
          <w:i/>
          <w:iCs/>
          <w:color w:val="000000"/>
          <w:sz w:val="22"/>
          <w:lang w:val="en-US" w:eastAsia="zh-CN"/>
        </w:rPr>
        <w:t>竣工图</w:t>
      </w:r>
      <w:r>
        <w:rPr>
          <w:rFonts w:hint="eastAsia"/>
          <w:i/>
          <w:iCs/>
          <w:color w:val="000000"/>
          <w:sz w:val="22"/>
        </w:rPr>
        <w:t>。</w:t>
      </w:r>
    </w:p>
    <w:p w14:paraId="508B008F">
      <w:pPr>
        <w:pStyle w:val="20"/>
        <w:widowControl/>
        <w:autoSpaceDE/>
        <w:autoSpaceDN/>
        <w:spacing w:beforeAutospacing="0" w:afterAutospacing="0" w:line="360" w:lineRule="auto"/>
        <w:rPr>
          <w:rFonts w:hint="eastAsia"/>
          <w:color w:val="000000"/>
          <w:sz w:val="22"/>
          <w:lang w:val="en-US" w:eastAsia="zh-CN"/>
        </w:rPr>
      </w:pPr>
      <w:r>
        <w:rPr>
          <w:b/>
          <w:bCs/>
          <w:color w:val="000000"/>
          <w:sz w:val="22"/>
        </w:rPr>
        <w:t>4.2.</w:t>
      </w:r>
      <w:r>
        <w:rPr>
          <w:rFonts w:hint="eastAsia"/>
          <w:b/>
          <w:bCs/>
          <w:color w:val="000000"/>
          <w:sz w:val="22"/>
          <w:lang w:val="en-US" w:eastAsia="zh-CN"/>
        </w:rPr>
        <w:t>19</w:t>
      </w:r>
      <w:r>
        <w:rPr>
          <w:color w:val="000000"/>
          <w:sz w:val="22"/>
        </w:rPr>
        <w:t>　</w:t>
      </w:r>
      <w:r>
        <w:rPr>
          <w:rFonts w:hint="eastAsia"/>
          <w:color w:val="000000"/>
          <w:sz w:val="22"/>
          <w:lang w:val="en-US" w:eastAsia="zh-CN"/>
        </w:rPr>
        <w:t>采用无线设备</w:t>
      </w:r>
      <w:r>
        <w:rPr>
          <w:rFonts w:hint="eastAsia"/>
          <w:color w:val="000000"/>
          <w:sz w:val="22"/>
        </w:rPr>
        <w:t>，评价总分值为</w:t>
      </w:r>
      <w:r>
        <w:rPr>
          <w:rFonts w:hint="eastAsia"/>
          <w:color w:val="000000"/>
          <w:sz w:val="22"/>
          <w:lang w:val="en-US" w:eastAsia="zh-CN"/>
        </w:rPr>
        <w:t>10</w:t>
      </w:r>
      <w:r>
        <w:rPr>
          <w:rFonts w:hint="eastAsia"/>
          <w:color w:val="000000"/>
          <w:sz w:val="22"/>
        </w:rPr>
        <w:t>分</w:t>
      </w:r>
      <w:r>
        <w:rPr>
          <w:rFonts w:hint="eastAsia"/>
          <w:color w:val="000000"/>
          <w:sz w:val="22"/>
          <w:lang w:eastAsia="zh-CN"/>
        </w:rPr>
        <w:t>。</w:t>
      </w:r>
    </w:p>
    <w:p w14:paraId="5CF67806">
      <w:pPr>
        <w:pStyle w:val="20"/>
        <w:widowControl/>
        <w:autoSpaceDE/>
        <w:autoSpaceDN/>
        <w:spacing w:beforeAutospacing="0" w:afterAutospacing="0" w:line="360" w:lineRule="auto"/>
        <w:jc w:val="both"/>
        <w:rPr>
          <w:rFonts w:hint="default" w:eastAsia="宋体"/>
          <w:i/>
          <w:iCs/>
          <w:color w:val="000000"/>
          <w:sz w:val="22"/>
          <w:lang w:val="en-US" w:eastAsia="zh-CN"/>
        </w:rPr>
      </w:pPr>
      <w:r>
        <w:rPr>
          <w:rFonts w:hint="eastAsia"/>
          <w:i/>
          <w:iCs/>
          <w:color w:val="000000"/>
          <w:sz w:val="22"/>
        </w:rPr>
        <w:t>【条文说明】</w:t>
      </w:r>
      <w:r>
        <w:rPr>
          <w:rFonts w:hint="eastAsia"/>
          <w:i/>
          <w:iCs/>
          <w:color w:val="000000"/>
          <w:sz w:val="22"/>
          <w:lang w:val="en-US" w:eastAsia="zh-CN"/>
        </w:rPr>
        <w:t>无线设备是智能化设备的一种，可以减少设备管线带来的材料损耗和维护改造带来的碳排放增加问题。常用的无线设备包括无线插座等。</w:t>
      </w:r>
    </w:p>
    <w:p w14:paraId="3EE94CA5">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eastAsia="zh-CN"/>
        </w:rPr>
        <w:t>：</w:t>
      </w:r>
      <w:r>
        <w:rPr>
          <w:rFonts w:hint="eastAsia"/>
          <w:i/>
          <w:iCs/>
          <w:color w:val="000000"/>
          <w:sz w:val="22"/>
        </w:rPr>
        <w:t>设计阶段评价查阅</w:t>
      </w:r>
      <w:r>
        <w:rPr>
          <w:rFonts w:hint="eastAsia"/>
          <w:i/>
          <w:iCs/>
          <w:color w:val="000000"/>
          <w:sz w:val="22"/>
          <w:lang w:eastAsia="zh-CN"/>
        </w:rPr>
        <w:t>机电</w:t>
      </w:r>
      <w:r>
        <w:rPr>
          <w:rFonts w:hint="eastAsia"/>
          <w:i/>
          <w:iCs/>
          <w:color w:val="000000"/>
          <w:sz w:val="22"/>
          <w:lang w:val="en-US" w:eastAsia="zh-CN"/>
        </w:rPr>
        <w:t>专业施工图；运行阶段评价</w:t>
      </w:r>
      <w:r>
        <w:rPr>
          <w:rFonts w:hint="eastAsia"/>
          <w:i/>
          <w:iCs/>
          <w:color w:val="000000"/>
          <w:sz w:val="22"/>
        </w:rPr>
        <w:t>查阅</w:t>
      </w:r>
      <w:r>
        <w:rPr>
          <w:rFonts w:hint="eastAsia"/>
          <w:i/>
          <w:iCs/>
          <w:color w:val="000000"/>
          <w:sz w:val="22"/>
          <w:lang w:eastAsia="zh-CN"/>
        </w:rPr>
        <w:t>机电专业</w:t>
      </w:r>
      <w:r>
        <w:rPr>
          <w:rFonts w:hint="eastAsia"/>
          <w:i/>
          <w:iCs/>
          <w:color w:val="000000"/>
          <w:sz w:val="22"/>
          <w:lang w:val="en-US" w:eastAsia="zh-CN"/>
        </w:rPr>
        <w:t>竣工图</w:t>
      </w:r>
      <w:r>
        <w:rPr>
          <w:rFonts w:hint="eastAsia"/>
          <w:i/>
          <w:iCs/>
          <w:color w:val="000000"/>
          <w:sz w:val="22"/>
        </w:rPr>
        <w:t>。</w:t>
      </w:r>
    </w:p>
    <w:p w14:paraId="40873E6D">
      <w:pPr>
        <w:pStyle w:val="20"/>
        <w:widowControl/>
        <w:autoSpaceDE/>
        <w:autoSpaceDN/>
        <w:spacing w:beforeAutospacing="0" w:afterAutospacing="0" w:line="360" w:lineRule="auto"/>
        <w:ind w:firstLine="420" w:firstLineChars="0"/>
        <w:jc w:val="both"/>
        <w:rPr>
          <w:rFonts w:hint="eastAsia"/>
          <w:i/>
          <w:iCs/>
          <w:color w:val="000000"/>
          <w:sz w:val="22"/>
        </w:rPr>
      </w:pPr>
    </w:p>
    <w:p w14:paraId="32E06B22">
      <w:pPr>
        <w:pStyle w:val="20"/>
        <w:widowControl/>
        <w:autoSpaceDE/>
        <w:autoSpaceDN/>
        <w:spacing w:beforeAutospacing="0" w:afterAutospacing="0" w:line="360" w:lineRule="auto"/>
        <w:ind w:firstLine="420" w:firstLineChars="0"/>
        <w:jc w:val="both"/>
        <w:rPr>
          <w:rFonts w:hint="eastAsia"/>
          <w:i/>
          <w:iCs/>
          <w:color w:val="000000"/>
          <w:sz w:val="22"/>
        </w:rPr>
      </w:pPr>
    </w:p>
    <w:p w14:paraId="7F43E8E9">
      <w:pPr>
        <w:pStyle w:val="20"/>
        <w:widowControl/>
        <w:autoSpaceDE/>
        <w:autoSpaceDN/>
        <w:spacing w:beforeAutospacing="0" w:afterAutospacing="0" w:line="360" w:lineRule="auto"/>
        <w:jc w:val="both"/>
        <w:rPr>
          <w:i/>
          <w:iCs/>
          <w:color w:val="D9D9D9" w:themeColor="background1" w:themeShade="D9"/>
          <w:sz w:val="22"/>
        </w:rPr>
      </w:pPr>
    </w:p>
    <w:p w14:paraId="6739FA78">
      <w:pPr>
        <w:pStyle w:val="20"/>
        <w:widowControl/>
        <w:autoSpaceDE/>
        <w:autoSpaceDN/>
        <w:spacing w:beforeAutospacing="0" w:afterAutospacing="0" w:line="360" w:lineRule="auto"/>
        <w:jc w:val="both"/>
        <w:rPr>
          <w:rFonts w:hint="eastAsia"/>
          <w:i/>
          <w:iCs/>
          <w:color w:val="000000"/>
          <w:sz w:val="22"/>
        </w:rPr>
      </w:pPr>
    </w:p>
    <w:p w14:paraId="7932D195">
      <w:pPr>
        <w:rPr>
          <w:rFonts w:ascii="Times New Roman" w:hAnsi="Times New Roman" w:eastAsia="宋体" w:cs="Times New Roman"/>
          <w:sz w:val="32"/>
          <w:szCs w:val="32"/>
          <w:lang w:val="en-US"/>
        </w:rPr>
      </w:pPr>
      <w:bookmarkStart w:id="73" w:name="_Toc29933"/>
      <w:bookmarkStart w:id="74" w:name="_Toc14830"/>
      <w:r>
        <w:rPr>
          <w:rFonts w:ascii="Times New Roman" w:hAnsi="Times New Roman" w:eastAsia="宋体" w:cs="Times New Roman"/>
          <w:sz w:val="32"/>
          <w:szCs w:val="32"/>
          <w:lang w:val="en-US"/>
        </w:rPr>
        <w:br w:type="page"/>
      </w:r>
    </w:p>
    <w:p w14:paraId="628419F7">
      <w:pPr>
        <w:pStyle w:val="2"/>
        <w:numPr>
          <w:ilvl w:val="0"/>
          <w:numId w:val="0"/>
        </w:numPr>
        <w:autoSpaceDE/>
        <w:autoSpaceDN/>
        <w:spacing w:before="156" w:beforeLines="50" w:after="156" w:afterLines="50" w:line="360" w:lineRule="auto"/>
        <w:ind w:left="425" w:hanging="425"/>
        <w:jc w:val="center"/>
        <w:rPr>
          <w:rFonts w:hint="eastAsia" w:ascii="Times New Roman" w:hAnsi="Times New Roman" w:eastAsia="宋体" w:cs="Times New Roman"/>
          <w:sz w:val="32"/>
          <w:szCs w:val="32"/>
          <w:lang w:val="en-US" w:eastAsia="zh-CN"/>
        </w:rPr>
      </w:pPr>
      <w:bookmarkStart w:id="75" w:name="_Toc9919"/>
      <w:r>
        <w:rPr>
          <w:rFonts w:ascii="Times New Roman" w:hAnsi="Times New Roman" w:eastAsia="宋体" w:cs="Times New Roman"/>
          <w:sz w:val="32"/>
          <w:szCs w:val="32"/>
          <w:lang w:val="en-US"/>
        </w:rPr>
        <w:t>5　</w:t>
      </w:r>
      <w:bookmarkEnd w:id="71"/>
      <w:bookmarkEnd w:id="72"/>
      <w:bookmarkEnd w:id="73"/>
      <w:r>
        <w:rPr>
          <w:rFonts w:hint="eastAsia" w:ascii="Times New Roman" w:hAnsi="Times New Roman" w:eastAsia="宋体" w:cs="Times New Roman"/>
          <w:sz w:val="32"/>
          <w:szCs w:val="32"/>
          <w:lang w:val="en-US"/>
        </w:rPr>
        <w:t>低碳生产</w:t>
      </w:r>
      <w:bookmarkEnd w:id="74"/>
      <w:r>
        <w:rPr>
          <w:rFonts w:hint="eastAsia" w:ascii="Times New Roman" w:hAnsi="Times New Roman" w:eastAsia="宋体" w:cs="Times New Roman"/>
          <w:sz w:val="32"/>
          <w:szCs w:val="32"/>
          <w:lang w:val="en-US" w:eastAsia="zh-CN"/>
        </w:rPr>
        <w:t>与施工</w:t>
      </w:r>
      <w:bookmarkEnd w:id="75"/>
    </w:p>
    <w:p w14:paraId="294B53C3">
      <w:pPr>
        <w:pStyle w:val="3"/>
        <w:numPr>
          <w:ilvl w:val="0"/>
          <w:numId w:val="0"/>
        </w:numPr>
        <w:tabs>
          <w:tab w:val="clear" w:pos="-376"/>
          <w:tab w:val="clear" w:pos="0"/>
        </w:tabs>
        <w:autoSpaceDE/>
        <w:autoSpaceDN/>
        <w:spacing w:before="78" w:beforeLines="25" w:after="78" w:afterLines="25"/>
        <w:ind w:left="567" w:hanging="567"/>
        <w:jc w:val="center"/>
        <w:rPr>
          <w:rFonts w:ascii="Times New Roman" w:hAnsi="Times New Roman" w:cs="Times New Roman"/>
          <w:bCs/>
          <w:sz w:val="28"/>
          <w:szCs w:val="24"/>
          <w:lang w:val="en-US"/>
        </w:rPr>
      </w:pPr>
      <w:bookmarkStart w:id="76" w:name="_Toc12909"/>
      <w:bookmarkStart w:id="77" w:name="_Toc10475"/>
      <w:bookmarkStart w:id="78" w:name="_Toc26784"/>
      <w:r>
        <w:rPr>
          <w:rFonts w:ascii="Times New Roman" w:hAnsi="Times New Roman" w:cs="Times New Roman"/>
          <w:bCs/>
          <w:sz w:val="28"/>
          <w:szCs w:val="24"/>
          <w:lang w:val="en-US"/>
        </w:rPr>
        <w:t>5.1　控制项</w:t>
      </w:r>
      <w:bookmarkEnd w:id="76"/>
      <w:bookmarkEnd w:id="77"/>
    </w:p>
    <w:p w14:paraId="7089EBD7">
      <w:pPr>
        <w:pStyle w:val="20"/>
        <w:widowControl/>
        <w:autoSpaceDE/>
        <w:autoSpaceDN/>
        <w:spacing w:beforeAutospacing="0" w:afterAutospacing="0" w:line="360" w:lineRule="auto"/>
        <w:rPr>
          <w:rFonts w:hint="eastAsia"/>
          <w:b w:val="0"/>
          <w:bCs w:val="0"/>
          <w:sz w:val="22"/>
          <w:lang w:eastAsia="zh-CN"/>
        </w:rPr>
      </w:pPr>
      <w:r>
        <w:rPr>
          <w:b/>
          <w:bCs/>
          <w:sz w:val="22"/>
        </w:rPr>
        <w:t>5.1.</w:t>
      </w:r>
      <w:r>
        <w:rPr>
          <w:rFonts w:hint="eastAsia"/>
          <w:b/>
          <w:bCs/>
          <w:sz w:val="22"/>
          <w:lang w:val="en-US" w:eastAsia="zh-CN"/>
        </w:rPr>
        <w:t>1</w:t>
      </w:r>
      <w:r>
        <w:rPr>
          <w:b/>
          <w:bCs/>
          <w:sz w:val="22"/>
        </w:rPr>
        <w:t>　</w:t>
      </w:r>
      <w:r>
        <w:rPr>
          <w:rFonts w:hint="eastAsia"/>
          <w:b w:val="0"/>
          <w:bCs w:val="0"/>
          <w:sz w:val="22"/>
          <w:lang w:eastAsia="zh-CN"/>
        </w:rPr>
        <w:t>预制部品部件生产企业</w:t>
      </w:r>
      <w:r>
        <w:rPr>
          <w:rFonts w:hint="eastAsia"/>
          <w:sz w:val="22"/>
        </w:rPr>
        <w:t>应制定低碳专项</w:t>
      </w:r>
      <w:r>
        <w:rPr>
          <w:rFonts w:hint="eastAsia"/>
          <w:sz w:val="22"/>
          <w:lang w:eastAsia="zh-CN"/>
        </w:rPr>
        <w:t>生产</w:t>
      </w:r>
      <w:r>
        <w:rPr>
          <w:rFonts w:hint="eastAsia"/>
          <w:sz w:val="22"/>
        </w:rPr>
        <w:t>方案，明确碳排放目标</w:t>
      </w:r>
      <w:r>
        <w:rPr>
          <w:rFonts w:hint="eastAsia"/>
          <w:b w:val="0"/>
          <w:bCs w:val="0"/>
          <w:sz w:val="22"/>
          <w:lang w:eastAsia="zh-CN"/>
        </w:rPr>
        <w:t>。</w:t>
      </w:r>
    </w:p>
    <w:p w14:paraId="10D33C59">
      <w:pPr>
        <w:pStyle w:val="20"/>
        <w:widowControl/>
        <w:autoSpaceDE/>
        <w:autoSpaceDN/>
        <w:spacing w:beforeAutospacing="0" w:afterAutospacing="0" w:line="360" w:lineRule="auto"/>
        <w:jc w:val="both"/>
        <w:rPr>
          <w:rFonts w:hint="eastAsia"/>
          <w:i/>
          <w:iCs/>
          <w:color w:val="000000"/>
          <w:sz w:val="22"/>
          <w:lang w:eastAsia="zh-CN"/>
        </w:rPr>
      </w:pPr>
      <w:r>
        <w:rPr>
          <w:rFonts w:hint="eastAsia"/>
          <w:i/>
          <w:iCs/>
          <w:color w:val="000000"/>
          <w:sz w:val="22"/>
        </w:rPr>
        <w:t>【条文说明】</w:t>
      </w:r>
      <w:r>
        <w:rPr>
          <w:rFonts w:hint="eastAsia"/>
          <w:i/>
          <w:iCs/>
          <w:color w:val="000000"/>
          <w:sz w:val="22"/>
          <w:lang w:eastAsia="zh-CN"/>
        </w:rPr>
        <w:t>生产企业应对自身碳排放情况进行全面评估，如能源消耗（电力、燃料等）、原材料采购、生产过程中的废气排放、物流运输等，并对碳排放量进行量化。并基于评估结果，合理设定具体、可量化、可实现的碳排放目标。这些目标应与国家或地区的碳排放政策、行业标准以及企业自身的发展战略相衔接，确保目标的可行性和可操作性。同时，企业还可以将长期目标与短期目标相结合，分阶段推进减排工作，以实现企业的低碳转型和可持续发展。</w:t>
      </w:r>
    </w:p>
    <w:p w14:paraId="09C752EC">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本条的评价方法为：运行阶段评价</w:t>
      </w:r>
      <w:r>
        <w:rPr>
          <w:rFonts w:hint="eastAsia"/>
          <w:i/>
          <w:iCs/>
          <w:color w:val="000000"/>
          <w:sz w:val="22"/>
        </w:rPr>
        <w:t>查阅</w:t>
      </w:r>
      <w:r>
        <w:rPr>
          <w:rFonts w:hint="eastAsia"/>
          <w:i/>
          <w:iCs/>
          <w:color w:val="000000"/>
          <w:sz w:val="22"/>
          <w:lang w:eastAsia="zh-CN"/>
        </w:rPr>
        <w:t>机电专业</w:t>
      </w:r>
      <w:r>
        <w:rPr>
          <w:rFonts w:hint="eastAsia"/>
          <w:i/>
          <w:iCs/>
          <w:color w:val="000000"/>
          <w:sz w:val="22"/>
          <w:lang w:val="en-US" w:eastAsia="zh-CN"/>
        </w:rPr>
        <w:t>竣工图查阅企业低碳专项生产方案等相关证明文件。</w:t>
      </w:r>
    </w:p>
    <w:p w14:paraId="47675B35">
      <w:pPr>
        <w:pStyle w:val="20"/>
        <w:widowControl/>
        <w:autoSpaceDE/>
        <w:autoSpaceDN/>
        <w:spacing w:beforeAutospacing="0" w:afterAutospacing="0" w:line="360" w:lineRule="auto"/>
        <w:rPr>
          <w:rFonts w:hint="eastAsia"/>
          <w:b w:val="0"/>
          <w:bCs w:val="0"/>
          <w:color w:val="auto"/>
          <w:sz w:val="22"/>
          <w:highlight w:val="none"/>
          <w:lang w:eastAsia="zh-CN"/>
        </w:rPr>
      </w:pPr>
      <w:r>
        <w:rPr>
          <w:b/>
          <w:bCs/>
          <w:color w:val="auto"/>
          <w:sz w:val="22"/>
          <w:highlight w:val="none"/>
        </w:rPr>
        <w:t>5.1.</w:t>
      </w:r>
      <w:r>
        <w:rPr>
          <w:rFonts w:hint="eastAsia"/>
          <w:b/>
          <w:bCs/>
          <w:color w:val="auto"/>
          <w:sz w:val="22"/>
          <w:highlight w:val="none"/>
          <w:lang w:val="en-US" w:eastAsia="zh-CN"/>
        </w:rPr>
        <w:t>2</w:t>
      </w:r>
      <w:r>
        <w:rPr>
          <w:b/>
          <w:bCs/>
          <w:color w:val="auto"/>
          <w:sz w:val="22"/>
          <w:highlight w:val="none"/>
        </w:rPr>
        <w:t>　</w:t>
      </w:r>
      <w:r>
        <w:rPr>
          <w:rFonts w:hint="eastAsia"/>
          <w:b w:val="0"/>
          <w:bCs w:val="0"/>
          <w:color w:val="auto"/>
          <w:sz w:val="22"/>
          <w:highlight w:val="none"/>
          <w:lang w:eastAsia="zh-CN"/>
        </w:rPr>
        <w:t>施工单位在施工前应制定低碳专项施工方案，明确施工碳排放目标。</w:t>
      </w:r>
    </w:p>
    <w:p w14:paraId="5B1283CF">
      <w:pPr>
        <w:pStyle w:val="20"/>
        <w:widowControl/>
        <w:autoSpaceDE/>
        <w:autoSpaceDN/>
        <w:spacing w:beforeAutospacing="0" w:afterAutospacing="0" w:line="360" w:lineRule="auto"/>
        <w:jc w:val="both"/>
        <w:rPr>
          <w:rFonts w:hint="eastAsia"/>
          <w:i/>
          <w:iCs/>
          <w:color w:val="auto"/>
          <w:sz w:val="22"/>
          <w:highlight w:val="none"/>
          <w:lang w:eastAsia="zh-CN"/>
        </w:rPr>
      </w:pPr>
      <w:r>
        <w:rPr>
          <w:rFonts w:hint="eastAsia"/>
          <w:i/>
          <w:iCs/>
          <w:color w:val="auto"/>
          <w:sz w:val="22"/>
          <w:highlight w:val="none"/>
        </w:rPr>
        <w:t>【条文说明】</w:t>
      </w:r>
      <w:r>
        <w:rPr>
          <w:rFonts w:hint="eastAsia"/>
          <w:i/>
          <w:iCs/>
          <w:color w:val="auto"/>
          <w:sz w:val="22"/>
          <w:highlight w:val="none"/>
          <w:lang w:eastAsia="zh-CN"/>
        </w:rPr>
        <w:t>施工前应进行低碳建造策划及施工阶段碳排放量测算，制定低碳专项施工方案，明确施工阶段碳排放目标。低碳专项施工方案应包括施工现场能源供应措施、场内运输措施、材料节约措施、水资源节约与利用措施、建筑垃圾减量与循环利用措施、施工现场碳中和措施等。</w:t>
      </w:r>
    </w:p>
    <w:p w14:paraId="50296EC1">
      <w:pPr>
        <w:pStyle w:val="20"/>
        <w:widowControl/>
        <w:autoSpaceDE/>
        <w:autoSpaceDN/>
        <w:spacing w:beforeAutospacing="0" w:afterAutospacing="0" w:line="360" w:lineRule="auto"/>
        <w:ind w:firstLine="420" w:firstLineChars="0"/>
        <w:jc w:val="both"/>
        <w:rPr>
          <w:rFonts w:hint="eastAsia"/>
          <w:i/>
          <w:iCs/>
          <w:color w:val="auto"/>
          <w:sz w:val="22"/>
          <w:highlight w:val="none"/>
          <w:lang w:eastAsia="zh-CN"/>
        </w:rPr>
      </w:pPr>
      <w:r>
        <w:rPr>
          <w:rFonts w:hint="eastAsia"/>
          <w:i/>
          <w:iCs/>
          <w:color w:val="auto"/>
          <w:sz w:val="22"/>
          <w:highlight w:val="none"/>
          <w:lang w:eastAsia="zh-CN"/>
        </w:rPr>
        <w:t>施工阶段应实施降碳目标管理，制定合理的施工能耗指标、建筑材料用量指标、水资源消耗指标、建筑垃圾控制指标、施工现场碳中和指标，收集相关数据，并进行碳排放计量分析。</w:t>
      </w:r>
    </w:p>
    <w:p w14:paraId="4562B0D8">
      <w:pPr>
        <w:pStyle w:val="20"/>
        <w:widowControl/>
        <w:autoSpaceDE/>
        <w:autoSpaceDN/>
        <w:spacing w:beforeAutospacing="0" w:afterAutospacing="0" w:line="360" w:lineRule="auto"/>
        <w:ind w:firstLine="420" w:firstLineChars="0"/>
        <w:jc w:val="both"/>
        <w:rPr>
          <w:rFonts w:hint="eastAsia"/>
          <w:i/>
          <w:iCs/>
          <w:color w:val="auto"/>
          <w:sz w:val="22"/>
          <w:highlight w:val="none"/>
          <w:lang w:val="en-US" w:eastAsia="zh-CN"/>
        </w:rPr>
      </w:pPr>
      <w:r>
        <w:rPr>
          <w:rFonts w:hint="eastAsia"/>
          <w:i/>
          <w:iCs/>
          <w:color w:val="auto"/>
          <w:sz w:val="22"/>
          <w:highlight w:val="none"/>
          <w:lang w:val="en-US" w:eastAsia="zh-CN"/>
        </w:rPr>
        <w:t>本条的评价方法为：</w:t>
      </w:r>
      <w:r>
        <w:rPr>
          <w:rFonts w:hint="eastAsia"/>
          <w:i/>
          <w:iCs/>
          <w:color w:val="000000"/>
          <w:sz w:val="22"/>
          <w:lang w:val="en-US" w:eastAsia="zh-CN"/>
        </w:rPr>
        <w:t>运行阶段评价</w:t>
      </w:r>
      <w:r>
        <w:rPr>
          <w:rFonts w:hint="eastAsia"/>
          <w:i/>
          <w:iCs/>
          <w:color w:val="auto"/>
          <w:sz w:val="22"/>
          <w:highlight w:val="none"/>
          <w:lang w:val="en-US" w:eastAsia="zh-CN"/>
        </w:rPr>
        <w:t>查阅低碳专项施工方案、碳排放计量分析等相关证明文件。</w:t>
      </w:r>
    </w:p>
    <w:p w14:paraId="2C582AF8">
      <w:pPr>
        <w:pStyle w:val="20"/>
        <w:widowControl/>
        <w:autoSpaceDE/>
        <w:autoSpaceDN/>
        <w:spacing w:beforeAutospacing="0" w:afterAutospacing="0" w:line="360" w:lineRule="auto"/>
        <w:rPr>
          <w:rFonts w:hint="eastAsia"/>
          <w:b w:val="0"/>
          <w:bCs w:val="0"/>
          <w:sz w:val="22"/>
          <w:lang w:eastAsia="zh-CN"/>
        </w:rPr>
      </w:pPr>
      <w:r>
        <w:rPr>
          <w:b/>
          <w:bCs/>
          <w:sz w:val="22"/>
        </w:rPr>
        <w:t>5.1.</w:t>
      </w:r>
      <w:r>
        <w:rPr>
          <w:rFonts w:hint="eastAsia"/>
          <w:b/>
          <w:bCs/>
          <w:sz w:val="22"/>
          <w:lang w:val="en-US" w:eastAsia="zh-CN"/>
        </w:rPr>
        <w:t>3</w:t>
      </w:r>
      <w:r>
        <w:rPr>
          <w:b/>
          <w:bCs/>
          <w:sz w:val="22"/>
        </w:rPr>
        <w:t>　</w:t>
      </w:r>
      <w:r>
        <w:rPr>
          <w:rFonts w:hint="eastAsia"/>
          <w:b w:val="0"/>
          <w:bCs w:val="0"/>
          <w:sz w:val="22"/>
          <w:lang w:eastAsia="zh-CN"/>
        </w:rPr>
        <w:t>预制部品部件生产企业应建立完善的环境保护监控机制及风险防范体系。</w:t>
      </w:r>
    </w:p>
    <w:p w14:paraId="1A099B39">
      <w:pPr>
        <w:pStyle w:val="20"/>
        <w:widowControl/>
        <w:autoSpaceDE/>
        <w:autoSpaceDN/>
        <w:spacing w:beforeAutospacing="0" w:afterAutospacing="0" w:line="360" w:lineRule="auto"/>
        <w:jc w:val="both"/>
        <w:rPr>
          <w:rFonts w:hint="eastAsia"/>
          <w:i/>
          <w:iCs/>
          <w:color w:val="000000"/>
          <w:sz w:val="22"/>
          <w:lang w:eastAsia="zh-CN"/>
        </w:rPr>
      </w:pPr>
      <w:r>
        <w:rPr>
          <w:rFonts w:hint="eastAsia"/>
          <w:i/>
          <w:iCs/>
          <w:color w:val="000000"/>
          <w:sz w:val="22"/>
        </w:rPr>
        <w:t>【条文说明】</w:t>
      </w:r>
      <w:r>
        <w:rPr>
          <w:rFonts w:hint="eastAsia"/>
          <w:i/>
          <w:iCs/>
          <w:color w:val="000000"/>
          <w:sz w:val="22"/>
          <w:lang w:eastAsia="zh-CN"/>
        </w:rPr>
        <w:t>生产企业应采取技术和管理措施控制粉尘、噪声、废水、废浆、废气等符合环保要求，并建立监控体系，定期评估环保措施的效果，并根据评估结果调整改进方案。同时制定相关环保应急预案，对于突发环境事件能够迅速响应。</w:t>
      </w:r>
    </w:p>
    <w:p w14:paraId="7D11DDC6">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本条的评价方法为：运行阶段评价查阅企业相关工作文件等证明文件。</w:t>
      </w:r>
    </w:p>
    <w:p w14:paraId="1D2C648B">
      <w:pPr>
        <w:pStyle w:val="20"/>
        <w:widowControl/>
        <w:autoSpaceDE/>
        <w:autoSpaceDN/>
        <w:spacing w:beforeAutospacing="0" w:afterAutospacing="0" w:line="360" w:lineRule="auto"/>
        <w:rPr>
          <w:rFonts w:hint="eastAsia"/>
          <w:b w:val="0"/>
          <w:bCs w:val="0"/>
          <w:sz w:val="22"/>
          <w:lang w:eastAsia="zh-CN"/>
        </w:rPr>
      </w:pPr>
      <w:r>
        <w:rPr>
          <w:b/>
          <w:bCs/>
          <w:sz w:val="22"/>
        </w:rPr>
        <w:t>5.1.</w:t>
      </w:r>
      <w:r>
        <w:rPr>
          <w:rFonts w:hint="eastAsia"/>
          <w:b/>
          <w:bCs/>
          <w:sz w:val="22"/>
          <w:lang w:val="en-US" w:eastAsia="zh-CN"/>
        </w:rPr>
        <w:t>4</w:t>
      </w:r>
      <w:r>
        <w:rPr>
          <w:b/>
          <w:bCs/>
          <w:sz w:val="22"/>
        </w:rPr>
        <w:t>　</w:t>
      </w:r>
      <w:r>
        <w:rPr>
          <w:rFonts w:hint="eastAsia"/>
          <w:b w:val="0"/>
          <w:bCs w:val="0"/>
          <w:sz w:val="22"/>
          <w:lang w:eastAsia="zh-CN"/>
        </w:rPr>
        <w:t>预制混凝土构件供货单位应在</w:t>
      </w:r>
      <w:r>
        <w:rPr>
          <w:rFonts w:hint="eastAsia"/>
          <w:b w:val="0"/>
          <w:bCs w:val="0"/>
          <w:sz w:val="22"/>
          <w:lang w:val="en-US" w:eastAsia="zh-CN"/>
        </w:rPr>
        <w:t>500</w:t>
      </w:r>
      <w:r>
        <w:rPr>
          <w:rFonts w:hint="eastAsia"/>
          <w:b w:val="0"/>
          <w:bCs w:val="0"/>
          <w:sz w:val="22"/>
          <w:lang w:eastAsia="zh-CN"/>
        </w:rPr>
        <w:t>km范围内，</w:t>
      </w:r>
      <w:r>
        <w:rPr>
          <w:color w:val="000000"/>
          <w:sz w:val="22"/>
        </w:rPr>
        <w:t>其他预制部品部件供货单位在</w:t>
      </w:r>
      <w:r>
        <w:rPr>
          <w:rFonts w:hint="eastAsia"/>
          <w:color w:val="000000"/>
          <w:sz w:val="22"/>
          <w:lang w:val="en-US" w:eastAsia="zh-CN"/>
        </w:rPr>
        <w:t>500</w:t>
      </w:r>
      <w:r>
        <w:rPr>
          <w:color w:val="000000"/>
          <w:sz w:val="22"/>
        </w:rPr>
        <w:t>km范围内的重量比例应大于60％。</w:t>
      </w:r>
    </w:p>
    <w:p w14:paraId="5C6AA3C5">
      <w:pPr>
        <w:pStyle w:val="20"/>
        <w:widowControl/>
        <w:autoSpaceDE/>
        <w:autoSpaceDN/>
        <w:spacing w:beforeAutospacing="0" w:afterAutospacing="0" w:line="360" w:lineRule="auto"/>
        <w:jc w:val="both"/>
        <w:rPr>
          <w:rFonts w:hint="eastAsia"/>
          <w:i/>
          <w:iCs/>
          <w:color w:val="000000"/>
          <w:sz w:val="22"/>
          <w:lang w:eastAsia="zh-CN"/>
        </w:rPr>
      </w:pPr>
      <w:r>
        <w:rPr>
          <w:rFonts w:hint="eastAsia"/>
          <w:i/>
          <w:iCs/>
          <w:color w:val="000000"/>
          <w:sz w:val="22"/>
        </w:rPr>
        <w:t>【条文说明】</w:t>
      </w:r>
      <w:r>
        <w:rPr>
          <w:rFonts w:hint="eastAsia"/>
          <w:i/>
          <w:iCs/>
          <w:color w:val="000000"/>
          <w:sz w:val="22"/>
          <w:lang w:eastAsia="zh-CN"/>
        </w:rPr>
        <w:t>预制部品部件的供货单位应就近选择，我国建筑工业化在各区域发展的过程中，存在预制混凝土构件供应单位过远，资源消耗过大，综合经济性不高的问题。因此，需要对项目的距离进行引导和限制，促进各地区产业结构的合理布局，避免预制构件生产单位过于集中。应逐步推动装配式建筑产业园的产业融合，打造集成产业布局，充分发挥装配式建筑的优势。本条要求就地取材制成的建筑产品所占的比例应大于60％。350km是指建筑材料的最后一个生产工厂或场地到施工现场的运输距离。</w:t>
      </w:r>
    </w:p>
    <w:p w14:paraId="4821D711">
      <w:pPr>
        <w:pStyle w:val="20"/>
        <w:widowControl/>
        <w:autoSpaceDE/>
        <w:autoSpaceDN/>
        <w:spacing w:beforeAutospacing="0" w:afterAutospacing="0" w:line="360" w:lineRule="auto"/>
        <w:ind w:firstLine="420" w:firstLineChars="0"/>
        <w:jc w:val="both"/>
        <w:rPr>
          <w:rFonts w:hint="eastAsia"/>
          <w:i/>
          <w:iCs/>
          <w:color w:val="000000"/>
          <w:sz w:val="22"/>
          <w:lang w:eastAsia="zh-CN"/>
        </w:rPr>
      </w:pPr>
      <w:r>
        <w:rPr>
          <w:rFonts w:hint="eastAsia"/>
          <w:i/>
          <w:iCs/>
          <w:color w:val="000000"/>
          <w:sz w:val="22"/>
          <w:lang w:eastAsia="zh-CN"/>
        </w:rPr>
        <w:t>我国是一个幅员辽阔的国家，存在地广人稀或经济欠发达的地区。当350km范围内无供货单位时，满足就近选择供货单位的原则，可纳入本标准评价范围。</w:t>
      </w:r>
    </w:p>
    <w:p w14:paraId="26AF5B8E">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本条的评价方法为：运行阶段评价查阅竣工图纸、预制部品部件重量比例计算书、工程量清单、供货单、供货合同等相关证明文件。</w:t>
      </w:r>
    </w:p>
    <w:p w14:paraId="41BA1266">
      <w:pPr>
        <w:pStyle w:val="3"/>
        <w:numPr>
          <w:ilvl w:val="0"/>
          <w:numId w:val="0"/>
        </w:numPr>
        <w:tabs>
          <w:tab w:val="clear" w:pos="-376"/>
          <w:tab w:val="clear" w:pos="0"/>
        </w:tabs>
        <w:autoSpaceDE/>
        <w:autoSpaceDN/>
        <w:spacing w:before="78" w:beforeLines="25" w:after="78" w:afterLines="25"/>
        <w:ind w:left="567" w:hanging="567"/>
        <w:jc w:val="center"/>
        <w:rPr>
          <w:rFonts w:hint="eastAsia" w:ascii="Times New Roman" w:hAnsi="Times New Roman" w:eastAsia="黑体" w:cs="Times New Roman"/>
          <w:bCs/>
          <w:sz w:val="28"/>
          <w:szCs w:val="24"/>
          <w:lang w:val="en-US" w:eastAsia="zh-CN"/>
        </w:rPr>
      </w:pPr>
      <w:bookmarkStart w:id="79" w:name="_Toc322"/>
      <w:bookmarkStart w:id="80" w:name="_Toc7387"/>
      <w:r>
        <w:rPr>
          <w:rFonts w:ascii="Times New Roman" w:hAnsi="Times New Roman" w:cs="Times New Roman"/>
          <w:bCs/>
          <w:sz w:val="28"/>
          <w:szCs w:val="24"/>
          <w:lang w:val="en-US"/>
        </w:rPr>
        <w:t>5.2　</w:t>
      </w:r>
      <w:bookmarkStart w:id="81" w:name="_Toc31152"/>
      <w:r>
        <w:rPr>
          <w:rFonts w:ascii="Times New Roman" w:hAnsi="Times New Roman" w:cs="Times New Roman"/>
          <w:bCs/>
          <w:sz w:val="28"/>
          <w:szCs w:val="24"/>
          <w:lang w:val="en-US"/>
        </w:rPr>
        <w:t>评分项</w:t>
      </w:r>
      <w:bookmarkEnd w:id="78"/>
      <w:bookmarkEnd w:id="79"/>
      <w:bookmarkEnd w:id="80"/>
      <w:bookmarkEnd w:id="81"/>
    </w:p>
    <w:p w14:paraId="45CBFA55">
      <w:pPr>
        <w:pStyle w:val="20"/>
        <w:widowControl/>
        <w:autoSpaceDE/>
        <w:autoSpaceDN/>
        <w:spacing w:beforeAutospacing="0" w:afterAutospacing="0" w:line="360" w:lineRule="auto"/>
        <w:rPr>
          <w:b/>
          <w:bCs/>
          <w:sz w:val="22"/>
          <w:shd w:val="clear" w:color="FFFFFF" w:fill="D9D9D9"/>
        </w:rPr>
      </w:pPr>
      <w:r>
        <w:rPr>
          <w:rFonts w:hint="eastAsia"/>
          <w:b/>
          <w:bCs/>
          <w:sz w:val="22"/>
          <w:lang w:val="en-US" w:eastAsia="zh-CN"/>
        </w:rPr>
        <w:t>5</w:t>
      </w:r>
      <w:r>
        <w:rPr>
          <w:b/>
          <w:bCs/>
          <w:sz w:val="22"/>
        </w:rPr>
        <w:t>.2.</w:t>
      </w:r>
      <w:r>
        <w:rPr>
          <w:rFonts w:hint="eastAsia"/>
          <w:b/>
          <w:bCs/>
          <w:sz w:val="22"/>
          <w:lang w:val="en-US" w:eastAsia="zh-CN"/>
        </w:rPr>
        <w:t>1</w:t>
      </w:r>
      <w:r>
        <w:rPr>
          <w:b/>
          <w:bCs/>
          <w:sz w:val="22"/>
        </w:rPr>
        <w:t>　</w:t>
      </w:r>
      <w:r>
        <w:rPr>
          <w:rFonts w:hint="eastAsia"/>
          <w:sz w:val="22"/>
        </w:rPr>
        <w:t>装配式建筑项目采用工程总承包模式，评价分值为</w:t>
      </w:r>
      <w:r>
        <w:rPr>
          <w:rFonts w:hint="eastAsia"/>
          <w:sz w:val="22"/>
          <w:lang w:val="en-US" w:eastAsia="zh-CN"/>
        </w:rPr>
        <w:t>10</w:t>
      </w:r>
      <w:r>
        <w:rPr>
          <w:rFonts w:hint="eastAsia"/>
          <w:sz w:val="22"/>
        </w:rPr>
        <w:t>分。</w:t>
      </w:r>
    </w:p>
    <w:p w14:paraId="6F783A8C">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【条文说明】工程总承包（Engineering Procurement Construction）模式是指从事工程总承包的企业按照与建设单位签订的合同，对工程项目的勘察、设计、采购、施工、试运行等实行全过程或若干阶段的承包，并对工程的质量、安全、工期和造价等全面负责。</w:t>
      </w:r>
    </w:p>
    <w:p w14:paraId="4C0DF2C8">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国家发展和改革委员会联合住房和城乡建设部共同印发推行《房屋建筑和市政基础设施项目工程总承包管理办法的通知》以及《关于推进全过程工程咨询服务发展的指导意见》中指出以改革开放为契机，以 EPC（工程总承包）为抓手，各地装配式建筑发展政策相配套，对装配式建筑设计、施工等环节进行整合。通过对装配式建筑生命周期内各个阶段整体发包，能有效地对其进度、质量和成本进行综合控制，提高装配式建筑建设管理水平，改变装配式建筑产业链“条块分割”竞争不利格局，缩短装配式建筑工期、降低投资、保证质量、进而使得全寿命期成本大幅减少，提升装配式建筑的经济效益与社会效益。</w:t>
      </w:r>
    </w:p>
    <w:p w14:paraId="72DF019F">
      <w:pPr>
        <w:pStyle w:val="20"/>
        <w:widowControl/>
        <w:autoSpaceDE/>
        <w:autoSpaceDN/>
        <w:spacing w:beforeAutospacing="0" w:afterAutospacing="0" w:line="360" w:lineRule="auto"/>
        <w:ind w:firstLine="420" w:firstLineChars="0"/>
        <w:jc w:val="both"/>
        <w:rPr>
          <w:i/>
          <w:iCs/>
          <w:color w:val="000000"/>
          <w:sz w:val="22"/>
        </w:rPr>
      </w:pPr>
      <w:r>
        <w:rPr>
          <w:rFonts w:hint="eastAsia"/>
          <w:i/>
          <w:iCs/>
          <w:color w:val="000000"/>
          <w:sz w:val="22"/>
        </w:rPr>
        <w:t>本条要求EPC模式中至少需要包含“设计+采购+施工一体化”的模式。</w:t>
      </w:r>
    </w:p>
    <w:p w14:paraId="1F3C2D3A">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val="en-US" w:eastAsia="zh-CN"/>
        </w:rPr>
        <w:t>运行阶段评价</w:t>
      </w:r>
      <w:r>
        <w:rPr>
          <w:rFonts w:hint="eastAsia"/>
          <w:i/>
          <w:iCs/>
          <w:color w:val="000000"/>
          <w:sz w:val="22"/>
        </w:rPr>
        <w:t>查阅总承包合同等相关证明</w:t>
      </w:r>
      <w:r>
        <w:rPr>
          <w:rFonts w:hint="eastAsia"/>
          <w:i/>
          <w:iCs/>
          <w:color w:val="000000"/>
          <w:sz w:val="22"/>
          <w:lang w:eastAsia="zh-CN"/>
        </w:rPr>
        <w:t>文件</w:t>
      </w:r>
      <w:r>
        <w:rPr>
          <w:rFonts w:hint="eastAsia"/>
          <w:i/>
          <w:iCs/>
          <w:color w:val="000000"/>
          <w:sz w:val="22"/>
        </w:rPr>
        <w:t>。</w:t>
      </w:r>
    </w:p>
    <w:p w14:paraId="0B372608">
      <w:pPr>
        <w:autoSpaceDE/>
        <w:autoSpaceDN/>
        <w:spacing w:line="360" w:lineRule="auto"/>
        <w:rPr>
          <w:rFonts w:hint="eastAsia"/>
          <w:color w:val="000000"/>
        </w:rPr>
      </w:pPr>
      <w:r>
        <w:rPr>
          <w:rFonts w:cs="Times New Roman"/>
          <w:b/>
          <w:bCs/>
          <w:color w:val="000000"/>
        </w:rPr>
        <w:t>5.2.</w:t>
      </w:r>
      <w:r>
        <w:rPr>
          <w:rFonts w:hint="eastAsia" w:cs="Times New Roman"/>
          <w:b/>
          <w:bCs/>
          <w:color w:val="000000"/>
          <w:lang w:val="en-US" w:eastAsia="zh-CN"/>
        </w:rPr>
        <w:t>2</w:t>
      </w:r>
      <w:r>
        <w:rPr>
          <w:rFonts w:cs="Times New Roman"/>
          <w:b/>
          <w:bCs/>
          <w:color w:val="000000"/>
        </w:rPr>
        <w:t>　</w:t>
      </w:r>
      <w:r>
        <w:rPr>
          <w:rFonts w:hint="eastAsia"/>
          <w:b w:val="0"/>
          <w:bCs w:val="0"/>
          <w:sz w:val="22"/>
          <w:lang w:eastAsia="zh-CN"/>
        </w:rPr>
        <w:t>预制构件</w:t>
      </w:r>
      <w:r>
        <w:rPr>
          <w:rFonts w:cs="Times New Roman"/>
          <w:bCs/>
          <w:color w:val="000000"/>
          <w:lang w:val="en-US" w:bidi="ar-SA"/>
        </w:rPr>
        <w:t>生产企业建立能源管理体系，</w:t>
      </w:r>
      <w:r>
        <w:rPr>
          <w:rFonts w:hint="eastAsia"/>
          <w:color w:val="000000"/>
        </w:rPr>
        <w:t>通过第三方认证并有效实施，评价分值为</w:t>
      </w:r>
      <w:r>
        <w:rPr>
          <w:rFonts w:hint="eastAsia"/>
          <w:color w:val="000000"/>
          <w:lang w:val="en-US" w:eastAsia="zh-CN"/>
        </w:rPr>
        <w:t>10</w:t>
      </w:r>
      <w:r>
        <w:rPr>
          <w:rFonts w:hint="eastAsia"/>
          <w:color w:val="000000"/>
        </w:rPr>
        <w:t>分。</w:t>
      </w:r>
    </w:p>
    <w:p w14:paraId="2D7A142E">
      <w:pPr>
        <w:pStyle w:val="20"/>
        <w:widowControl/>
        <w:autoSpaceDE/>
        <w:autoSpaceDN/>
        <w:spacing w:beforeAutospacing="0" w:afterAutospacing="0" w:line="360" w:lineRule="auto"/>
        <w:jc w:val="both"/>
        <w:rPr>
          <w:rFonts w:hint="eastAsia"/>
          <w:i/>
          <w:iCs/>
          <w:color w:val="000000"/>
          <w:sz w:val="22"/>
          <w:lang w:eastAsia="zh-CN"/>
        </w:rPr>
      </w:pPr>
      <w:r>
        <w:rPr>
          <w:rFonts w:hint="eastAsia"/>
          <w:i/>
          <w:iCs/>
          <w:color w:val="000000"/>
          <w:sz w:val="22"/>
        </w:rPr>
        <w:t>【条文说明】</w:t>
      </w:r>
      <w:r>
        <w:rPr>
          <w:rFonts w:hint="eastAsia"/>
          <w:i/>
          <w:iCs/>
          <w:color w:val="000000"/>
          <w:sz w:val="22"/>
          <w:lang w:eastAsia="zh-CN"/>
        </w:rPr>
        <w:t>企业建立能源管理系统有利于提高能源利用效率、‌保障合规性、‌提升技术水平、‌建立高效运行的能源管理结构、‌提高管理效益。‌通过实施能源管理体系，‌企业能够从单一的产品或企业单元效率转向整个企业的能源效率视角，‌从而‌促进企业整体能源效率的提高。‌此外，‌能源管理体系还要求企业在产品和过程设计中充分考虑能源的合理利用，‌借鉴节能新技术和方法，‌从而提升企业能源管理的技术水平。</w:t>
      </w:r>
    </w:p>
    <w:p w14:paraId="3F0ECECE">
      <w:pPr>
        <w:pStyle w:val="20"/>
        <w:widowControl/>
        <w:autoSpaceDE/>
        <w:autoSpaceDN/>
        <w:spacing w:beforeAutospacing="0" w:afterAutospacing="0" w:line="360" w:lineRule="auto"/>
        <w:ind w:firstLine="420" w:firstLineChars="0"/>
        <w:jc w:val="both"/>
        <w:rPr>
          <w:rFonts w:hint="eastAsia"/>
          <w:i/>
          <w:iCs/>
          <w:color w:val="000000"/>
          <w:sz w:val="22"/>
          <w:lang w:eastAsia="zh-CN"/>
        </w:rPr>
      </w:pPr>
      <w:r>
        <w:rPr>
          <w:rFonts w:hint="eastAsia"/>
          <w:i/>
          <w:iCs/>
          <w:color w:val="000000"/>
          <w:sz w:val="22"/>
          <w:lang w:eastAsia="zh-CN"/>
        </w:rPr>
        <w:t>企业应选择符合国际标准ISO 50001:2018《能源管理体系—要求及应用指南》要求的第三方认证机构进行相关审查认证。</w:t>
      </w:r>
    </w:p>
    <w:p w14:paraId="5A021145">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本条的评价方法为：运行阶段评价查阅相关认证证书、相关工作文件等证明文件。</w:t>
      </w:r>
    </w:p>
    <w:p w14:paraId="7575CBF8">
      <w:pPr>
        <w:autoSpaceDE/>
        <w:autoSpaceDN/>
        <w:spacing w:line="360" w:lineRule="auto"/>
        <w:rPr>
          <w:rFonts w:hint="default"/>
          <w:color w:val="000000"/>
          <w:lang w:val="en-US"/>
        </w:rPr>
      </w:pPr>
      <w:r>
        <w:rPr>
          <w:rFonts w:cs="Times New Roman"/>
          <w:b/>
          <w:bCs/>
          <w:color w:val="000000"/>
        </w:rPr>
        <w:t>5.2.</w:t>
      </w:r>
      <w:r>
        <w:rPr>
          <w:rFonts w:hint="eastAsia" w:cs="Times New Roman"/>
          <w:b/>
          <w:bCs/>
          <w:color w:val="000000"/>
          <w:lang w:val="en-US" w:eastAsia="zh-CN"/>
        </w:rPr>
        <w:t>3</w:t>
      </w:r>
      <w:r>
        <w:rPr>
          <w:rFonts w:cs="Times New Roman"/>
          <w:b/>
          <w:bCs/>
          <w:color w:val="000000"/>
        </w:rPr>
        <w:t>　</w:t>
      </w:r>
      <w:r>
        <w:rPr>
          <w:rFonts w:hint="eastAsia"/>
          <w:b w:val="0"/>
          <w:bCs w:val="0"/>
          <w:sz w:val="22"/>
          <w:lang w:eastAsia="zh-CN"/>
        </w:rPr>
        <w:t>预制部品部件生产企业对产品进行碳排放计量与核算</w:t>
      </w:r>
      <w:r>
        <w:rPr>
          <w:rFonts w:hint="eastAsia"/>
          <w:color w:val="000000"/>
        </w:rPr>
        <w:t>，评价分值为</w:t>
      </w:r>
      <w:r>
        <w:rPr>
          <w:rFonts w:hint="eastAsia"/>
          <w:color w:val="000000"/>
          <w:lang w:val="en-US" w:eastAsia="zh-CN"/>
        </w:rPr>
        <w:t>10</w:t>
      </w:r>
      <w:r>
        <w:rPr>
          <w:rFonts w:hint="eastAsia"/>
          <w:color w:val="000000"/>
        </w:rPr>
        <w:t>分。</w:t>
      </w:r>
      <w:r>
        <w:rPr>
          <w:rFonts w:hint="eastAsia"/>
          <w:b w:val="0"/>
          <w:bCs w:val="0"/>
          <w:sz w:val="22"/>
          <w:lang w:val="en-US" w:eastAsia="zh-CN"/>
        </w:rPr>
        <w:t>进行</w:t>
      </w:r>
      <w:r>
        <w:rPr>
          <w:rFonts w:hint="eastAsia"/>
          <w:b w:val="0"/>
          <w:bCs w:val="0"/>
          <w:sz w:val="22"/>
          <w:lang w:eastAsia="zh-CN"/>
        </w:rPr>
        <w:t>碳排放计量与核算</w:t>
      </w:r>
      <w:r>
        <w:rPr>
          <w:rFonts w:hint="eastAsia"/>
          <w:b w:val="0"/>
          <w:bCs w:val="0"/>
          <w:sz w:val="22"/>
          <w:lang w:val="en-US" w:eastAsia="zh-CN"/>
        </w:rPr>
        <w:t>的</w:t>
      </w:r>
      <w:r>
        <w:rPr>
          <w:rFonts w:hint="eastAsia"/>
          <w:b w:val="0"/>
          <w:bCs w:val="0"/>
          <w:sz w:val="22"/>
          <w:lang w:eastAsia="zh-CN"/>
        </w:rPr>
        <w:t>预制部品部件</w:t>
      </w:r>
      <w:r>
        <w:rPr>
          <w:rFonts w:hint="eastAsia"/>
          <w:b w:val="0"/>
          <w:bCs w:val="0"/>
          <w:sz w:val="22"/>
          <w:lang w:val="en-US" w:eastAsia="zh-CN"/>
        </w:rPr>
        <w:t>达到</w:t>
      </w:r>
      <w:r>
        <w:rPr>
          <w:rFonts w:hint="eastAsia"/>
          <w:color w:val="000000"/>
          <w:lang w:val="en-US" w:eastAsia="zh-CN"/>
        </w:rPr>
        <w:t>1个时</w:t>
      </w:r>
      <w:r>
        <w:rPr>
          <w:rFonts w:hint="eastAsia"/>
          <w:b w:val="0"/>
          <w:bCs w:val="0"/>
          <w:sz w:val="22"/>
          <w:lang w:eastAsia="zh-CN"/>
        </w:rPr>
        <w:t>，</w:t>
      </w:r>
      <w:r>
        <w:rPr>
          <w:rFonts w:hint="eastAsia"/>
          <w:b w:val="0"/>
          <w:bCs w:val="0"/>
          <w:sz w:val="22"/>
          <w:lang w:val="en-US" w:eastAsia="zh-CN"/>
        </w:rPr>
        <w:t>得5分；3个时，得10分。</w:t>
      </w:r>
    </w:p>
    <w:p w14:paraId="56E4ECCE">
      <w:pPr>
        <w:pStyle w:val="20"/>
        <w:widowControl/>
        <w:autoSpaceDE/>
        <w:autoSpaceDN/>
        <w:spacing w:beforeAutospacing="0" w:afterAutospacing="0" w:line="360" w:lineRule="auto"/>
        <w:jc w:val="both"/>
        <w:rPr>
          <w:rFonts w:hint="eastAsia"/>
          <w:i/>
          <w:iCs/>
          <w:color w:val="000000"/>
          <w:sz w:val="22"/>
          <w:lang w:eastAsia="zh-CN"/>
        </w:rPr>
      </w:pPr>
      <w:r>
        <w:rPr>
          <w:rFonts w:hint="eastAsia"/>
          <w:i/>
          <w:iCs/>
          <w:color w:val="000000"/>
          <w:sz w:val="22"/>
        </w:rPr>
        <w:t>【条文说明】</w:t>
      </w:r>
      <w:r>
        <w:rPr>
          <w:rFonts w:hint="eastAsia"/>
          <w:i/>
          <w:iCs/>
          <w:color w:val="000000"/>
          <w:sz w:val="22"/>
          <w:lang w:eastAsia="zh-CN"/>
        </w:rPr>
        <w:t>对产品进行碳排放计量与核算是指在产品的全生命周期内量化其产生的温室气体排放量的过程。这一过程对于了解产品对环境的影响至关重要，并有助于企业制定有效的减排策略。</w:t>
      </w:r>
    </w:p>
    <w:p w14:paraId="0893F07D">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eastAsia="zh-CN"/>
        </w:rPr>
        <w:t>碳排放计量与核算应满足现行国家标准《建筑碳排放计算标准》</w:t>
      </w:r>
      <w:r>
        <w:rPr>
          <w:rFonts w:hint="eastAsia"/>
          <w:i/>
          <w:iCs/>
          <w:color w:val="000000"/>
          <w:sz w:val="22"/>
          <w:lang w:val="en-US" w:eastAsia="zh-CN"/>
        </w:rPr>
        <w:t xml:space="preserve"> GB/T 51366及中国工程建设标准化协会标准《装配式混凝土结构构件碳排放计量与核算标准》T/CECS XX、《装配式钢结构构件碳排放计量与核算标准》T/CECS XX、《装配式木结构构件碳排放计量与核算标准》T/CECS XX的相关规定。</w:t>
      </w:r>
    </w:p>
    <w:p w14:paraId="77599B93">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本条的评价方法为：运行阶段评价查阅碳排放计量与核算文件等相关证明文件。</w:t>
      </w:r>
    </w:p>
    <w:p w14:paraId="4CCEB252">
      <w:pPr>
        <w:autoSpaceDE/>
        <w:autoSpaceDN/>
        <w:spacing w:line="360" w:lineRule="auto"/>
        <w:rPr>
          <w:rFonts w:hint="eastAsia"/>
          <w:color w:val="000000"/>
          <w:highlight w:val="none"/>
        </w:rPr>
      </w:pPr>
      <w:r>
        <w:rPr>
          <w:rFonts w:cs="Times New Roman"/>
          <w:b/>
          <w:bCs/>
          <w:color w:val="000000"/>
          <w:highlight w:val="none"/>
        </w:rPr>
        <w:t>5.2.</w:t>
      </w:r>
      <w:r>
        <w:rPr>
          <w:rFonts w:hint="eastAsia" w:cs="Times New Roman"/>
          <w:b/>
          <w:bCs/>
          <w:color w:val="000000"/>
          <w:highlight w:val="none"/>
          <w:lang w:val="en-US" w:eastAsia="zh-CN"/>
        </w:rPr>
        <w:t>4</w:t>
      </w:r>
      <w:r>
        <w:rPr>
          <w:rFonts w:cs="Times New Roman"/>
          <w:b/>
          <w:bCs/>
          <w:color w:val="000000"/>
          <w:highlight w:val="none"/>
        </w:rPr>
        <w:t>　</w:t>
      </w:r>
      <w:r>
        <w:rPr>
          <w:rFonts w:hint="eastAsia"/>
          <w:b w:val="0"/>
          <w:bCs w:val="0"/>
          <w:sz w:val="22"/>
          <w:highlight w:val="none"/>
          <w:lang w:eastAsia="zh-CN"/>
        </w:rPr>
        <w:t>施工阶段应进行碳排放计量与核算</w:t>
      </w:r>
      <w:r>
        <w:rPr>
          <w:rFonts w:hint="eastAsia"/>
          <w:color w:val="000000"/>
          <w:highlight w:val="none"/>
        </w:rPr>
        <w:t>，评价分值为</w:t>
      </w:r>
      <w:r>
        <w:rPr>
          <w:rFonts w:hint="eastAsia"/>
          <w:color w:val="000000"/>
          <w:highlight w:val="none"/>
          <w:lang w:val="en-US" w:eastAsia="zh-CN"/>
        </w:rPr>
        <w:t>10</w:t>
      </w:r>
      <w:r>
        <w:rPr>
          <w:rFonts w:hint="eastAsia"/>
          <w:color w:val="000000"/>
          <w:highlight w:val="none"/>
        </w:rPr>
        <w:t>分。</w:t>
      </w:r>
    </w:p>
    <w:p w14:paraId="1B4CAF70">
      <w:pPr>
        <w:pStyle w:val="20"/>
        <w:widowControl/>
        <w:autoSpaceDE/>
        <w:autoSpaceDN/>
        <w:spacing w:beforeAutospacing="0" w:afterAutospacing="0" w:line="360" w:lineRule="auto"/>
        <w:jc w:val="both"/>
        <w:rPr>
          <w:rFonts w:hint="eastAsia"/>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装配式建筑运输、安装施工阶段，应实施降碳目标管理，制定合理的施工能耗指标、建筑材料用量指标、水资源消耗指标、建筑垃圾控制指标、施工现场绿化指标。并收集施工能耗、建筑材料、水资源消耗、建筑垃圾控制及现场绿化系统数据，供建筑碳排放计量分析。</w:t>
      </w:r>
    </w:p>
    <w:p w14:paraId="4C2AF900">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为求得各碳排放源的碳排放量，需要获得各个碳排放源的消耗量和碳排放强度。在现场需要进行每月化石燃料、电力、工时以及预制构件、支撑、水的统计，就可以获得各碳源的消耗量。统计碳源消耗量需要现场的实际统计数据，根据已有产品的碳排放强度值，可以方便地得出装配式建筑在物化阶段的碳排放量。有利于分析装配式建筑的碳排放源分布，确定主要的碳排放来源并提出针对性的减碳措施。</w:t>
      </w:r>
    </w:p>
    <w:p w14:paraId="48A02AC0">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计算方法参见《建筑碳排放计算标准》GB/T 51366-2019。</w:t>
      </w:r>
    </w:p>
    <w:p w14:paraId="49F31FAC">
      <w:pPr>
        <w:pStyle w:val="20"/>
        <w:widowControl/>
        <w:autoSpaceDE/>
        <w:autoSpaceDN/>
        <w:spacing w:beforeAutospacing="0" w:afterAutospacing="0" w:line="360" w:lineRule="auto"/>
        <w:ind w:firstLine="420" w:firstLineChars="0"/>
        <w:jc w:val="both"/>
        <w:rPr>
          <w:rFonts w:hint="default"/>
          <w:i/>
          <w:iCs/>
          <w:color w:val="000000"/>
          <w:sz w:val="22"/>
          <w:highlight w:val="none"/>
          <w:lang w:val="en-US" w:eastAsia="zh-CN"/>
        </w:rPr>
      </w:pPr>
      <w:r>
        <w:rPr>
          <w:rFonts w:hint="eastAsia"/>
          <w:i/>
          <w:iCs/>
          <w:color w:val="000000"/>
          <w:sz w:val="22"/>
          <w:highlight w:val="none"/>
          <w:lang w:val="en-US" w:eastAsia="zh-CN"/>
        </w:rPr>
        <w:t>施工时应进行施工现场用能及碳排放量统计，统计内容应包括施工现场内工作区、材料堆放区、办公区、生活区等，竣工后应基于实际能源消耗种类及数量进行碳核查。</w:t>
      </w:r>
    </w:p>
    <w:p w14:paraId="51B52A54">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查阅施工现场用能及碳排放量统计等相关证明文件。</w:t>
      </w:r>
    </w:p>
    <w:p w14:paraId="2F5A842D">
      <w:pPr>
        <w:pStyle w:val="20"/>
        <w:widowControl/>
        <w:autoSpaceDE/>
        <w:autoSpaceDN/>
        <w:spacing w:beforeAutospacing="0" w:afterAutospacing="0" w:line="360" w:lineRule="auto"/>
        <w:rPr>
          <w:color w:val="000000" w:themeColor="text1"/>
          <w:sz w:val="22"/>
          <w14:textFill>
            <w14:solidFill>
              <w14:schemeClr w14:val="tx1"/>
            </w14:solidFill>
          </w14:textFill>
        </w:rPr>
      </w:pPr>
      <w:r>
        <w:rPr>
          <w:rFonts w:hint="eastAsia"/>
          <w:b/>
          <w:bCs/>
          <w:color w:val="000000" w:themeColor="text1"/>
          <w:sz w:val="22"/>
          <w:lang w:val="en-US" w:eastAsia="zh-CN"/>
          <w14:textFill>
            <w14:solidFill>
              <w14:schemeClr w14:val="tx1"/>
            </w14:solidFill>
          </w14:textFill>
        </w:rPr>
        <w:t>5</w:t>
      </w:r>
      <w:r>
        <w:rPr>
          <w:b/>
          <w:bCs/>
          <w:color w:val="000000" w:themeColor="text1"/>
          <w:sz w:val="22"/>
          <w14:textFill>
            <w14:solidFill>
              <w14:schemeClr w14:val="tx1"/>
            </w14:solidFill>
          </w14:textFill>
        </w:rPr>
        <w:t>.2.</w:t>
      </w:r>
      <w:r>
        <w:rPr>
          <w:rFonts w:hint="eastAsia"/>
          <w:b/>
          <w:bCs/>
          <w:color w:val="000000" w:themeColor="text1"/>
          <w:sz w:val="22"/>
          <w:lang w:val="en-US" w:eastAsia="zh-CN"/>
          <w14:textFill>
            <w14:solidFill>
              <w14:schemeClr w14:val="tx1"/>
            </w14:solidFill>
          </w14:textFill>
        </w:rPr>
        <w:t>5</w:t>
      </w:r>
      <w:r>
        <w:rPr>
          <w:b/>
          <w:bCs/>
          <w:color w:val="000000" w:themeColor="text1"/>
          <w:sz w:val="22"/>
          <w14:textFill>
            <w14:solidFill>
              <w14:schemeClr w14:val="tx1"/>
            </w14:solidFill>
          </w14:textFill>
        </w:rPr>
        <w:t>　</w:t>
      </w:r>
      <w:r>
        <w:rPr>
          <w:rFonts w:hint="eastAsia"/>
          <w:color w:val="000000" w:themeColor="text1"/>
          <w:sz w:val="22"/>
          <w14:textFill>
            <w14:solidFill>
              <w14:schemeClr w14:val="tx1"/>
            </w14:solidFill>
          </w14:textFill>
        </w:rPr>
        <w:t>就近选择预制部品部件，评价总分值为</w:t>
      </w:r>
      <w:r>
        <w:rPr>
          <w:rFonts w:hint="eastAsia"/>
          <w:color w:val="000000" w:themeColor="text1"/>
          <w:sz w:val="22"/>
          <w:lang w:val="en-US" w:eastAsia="zh-CN"/>
          <w14:textFill>
            <w14:solidFill>
              <w14:schemeClr w14:val="tx1"/>
            </w14:solidFill>
          </w14:textFill>
        </w:rPr>
        <w:t>10</w:t>
      </w:r>
      <w:r>
        <w:rPr>
          <w:rFonts w:hint="eastAsia"/>
          <w:color w:val="000000" w:themeColor="text1"/>
          <w:sz w:val="22"/>
          <w14:textFill>
            <w14:solidFill>
              <w14:schemeClr w14:val="tx1"/>
            </w14:solidFill>
          </w14:textFill>
        </w:rPr>
        <w:t>分。施工现场200km以内的预制部品部件的重量比例</w:t>
      </w:r>
      <w:r>
        <w:rPr>
          <w:rFonts w:hint="eastAsia"/>
          <w:color w:val="000000" w:themeColor="text1"/>
          <w:sz w:val="22"/>
          <w:lang w:eastAsia="zh-CN"/>
          <w14:textFill>
            <w14:solidFill>
              <w14:schemeClr w14:val="tx1"/>
            </w14:solidFill>
          </w14:textFill>
        </w:rPr>
        <w:t>达到</w:t>
      </w:r>
      <w:r>
        <w:rPr>
          <w:rFonts w:hint="eastAsia"/>
          <w:color w:val="000000" w:themeColor="text1"/>
          <w:sz w:val="22"/>
          <w14:textFill>
            <w14:solidFill>
              <w14:schemeClr w14:val="tx1"/>
            </w14:solidFill>
          </w14:textFill>
        </w:rPr>
        <w:t>50%，得</w:t>
      </w:r>
      <w:r>
        <w:rPr>
          <w:rFonts w:hint="eastAsia"/>
          <w:color w:val="000000" w:themeColor="text1"/>
          <w:sz w:val="22"/>
          <w:lang w:val="en-US" w:eastAsia="zh-CN"/>
          <w14:textFill>
            <w14:solidFill>
              <w14:schemeClr w14:val="tx1"/>
            </w14:solidFill>
          </w14:textFill>
        </w:rPr>
        <w:t>6</w:t>
      </w:r>
      <w:r>
        <w:rPr>
          <w:rFonts w:hint="eastAsia"/>
          <w:color w:val="000000" w:themeColor="text1"/>
          <w:sz w:val="22"/>
          <w14:textFill>
            <w14:solidFill>
              <w14:schemeClr w14:val="tx1"/>
            </w14:solidFill>
          </w14:textFill>
        </w:rPr>
        <w:t>分；</w:t>
      </w:r>
      <w:r>
        <w:rPr>
          <w:rFonts w:hint="eastAsia"/>
          <w:color w:val="000000" w:themeColor="text1"/>
          <w:sz w:val="22"/>
          <w:lang w:eastAsia="zh-CN"/>
          <w14:textFill>
            <w14:solidFill>
              <w14:schemeClr w14:val="tx1"/>
            </w14:solidFill>
          </w14:textFill>
        </w:rPr>
        <w:t>达到</w:t>
      </w:r>
      <w:r>
        <w:rPr>
          <w:rFonts w:hint="eastAsia"/>
          <w:color w:val="000000" w:themeColor="text1"/>
          <w:sz w:val="22"/>
          <w14:textFill>
            <w14:solidFill>
              <w14:schemeClr w14:val="tx1"/>
            </w14:solidFill>
          </w14:textFill>
        </w:rPr>
        <w:t>80%，得</w:t>
      </w:r>
      <w:r>
        <w:rPr>
          <w:rFonts w:hint="eastAsia"/>
          <w:color w:val="000000" w:themeColor="text1"/>
          <w:sz w:val="22"/>
          <w:lang w:val="en-US" w:eastAsia="zh-CN"/>
          <w14:textFill>
            <w14:solidFill>
              <w14:schemeClr w14:val="tx1"/>
            </w14:solidFill>
          </w14:textFill>
        </w:rPr>
        <w:t>10</w:t>
      </w:r>
      <w:r>
        <w:rPr>
          <w:rFonts w:hint="eastAsia"/>
          <w:color w:val="000000" w:themeColor="text1"/>
          <w:sz w:val="22"/>
          <w14:textFill>
            <w14:solidFill>
              <w14:schemeClr w14:val="tx1"/>
            </w14:solidFill>
          </w14:textFill>
        </w:rPr>
        <w:t>分</w:t>
      </w:r>
      <w:r>
        <w:rPr>
          <w:color w:val="000000" w:themeColor="text1"/>
          <w:sz w:val="22"/>
          <w14:textFill>
            <w14:solidFill>
              <w14:schemeClr w14:val="tx1"/>
            </w14:solidFill>
          </w14:textFill>
        </w:rPr>
        <w:t>。</w:t>
      </w:r>
    </w:p>
    <w:p w14:paraId="3F707499">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建材本地化是减少运输过程资源和能源消耗、降低运输碳排放的重要手段之一。本条鼓励使用本地生产的建筑材料，提高就地取材制成的建筑产品所占的比例。运输距离指建筑材料的最后一个生产工厂或场地到施工现场的距离。</w:t>
      </w:r>
    </w:p>
    <w:p w14:paraId="6EBEEFE1">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val="en-US" w:eastAsia="zh-CN"/>
        </w:rPr>
        <w:t>运行阶段评价</w:t>
      </w:r>
      <w:r>
        <w:rPr>
          <w:rFonts w:hint="eastAsia"/>
          <w:i/>
          <w:iCs/>
          <w:color w:val="000000"/>
          <w:sz w:val="22"/>
        </w:rPr>
        <w:t>评价核查材料进场记录、本地建筑材料使用比例计算书、有关证明文件。</w:t>
      </w:r>
    </w:p>
    <w:p w14:paraId="462027D6">
      <w:pPr>
        <w:pStyle w:val="20"/>
        <w:widowControl/>
        <w:autoSpaceDE/>
        <w:autoSpaceDN/>
        <w:spacing w:beforeAutospacing="0" w:afterAutospacing="0" w:line="360" w:lineRule="auto"/>
        <w:rPr>
          <w:color w:val="000000" w:themeColor="text1"/>
          <w:sz w:val="22"/>
          <w14:textFill>
            <w14:solidFill>
              <w14:schemeClr w14:val="tx1"/>
            </w14:solidFill>
          </w14:textFill>
        </w:rPr>
      </w:pPr>
      <w:r>
        <w:rPr>
          <w:rFonts w:hint="eastAsia"/>
          <w:b/>
          <w:bCs/>
          <w:color w:val="000000" w:themeColor="text1"/>
          <w:sz w:val="22"/>
          <w:lang w:val="en-US" w:eastAsia="zh-CN"/>
          <w14:textFill>
            <w14:solidFill>
              <w14:schemeClr w14:val="tx1"/>
            </w14:solidFill>
          </w14:textFill>
        </w:rPr>
        <w:t>5</w:t>
      </w:r>
      <w:r>
        <w:rPr>
          <w:b/>
          <w:bCs/>
          <w:color w:val="000000" w:themeColor="text1"/>
          <w:sz w:val="22"/>
          <w14:textFill>
            <w14:solidFill>
              <w14:schemeClr w14:val="tx1"/>
            </w14:solidFill>
          </w14:textFill>
        </w:rPr>
        <w:t>.2.</w:t>
      </w:r>
      <w:r>
        <w:rPr>
          <w:rFonts w:hint="eastAsia"/>
          <w:b/>
          <w:bCs/>
          <w:color w:val="000000" w:themeColor="text1"/>
          <w:sz w:val="22"/>
          <w:lang w:val="en-US" w:eastAsia="zh-CN"/>
          <w14:textFill>
            <w14:solidFill>
              <w14:schemeClr w14:val="tx1"/>
            </w14:solidFill>
          </w14:textFill>
        </w:rPr>
        <w:t>6</w:t>
      </w:r>
      <w:r>
        <w:rPr>
          <w:b/>
          <w:bCs/>
          <w:color w:val="000000" w:themeColor="text1"/>
          <w:sz w:val="22"/>
          <w14:textFill>
            <w14:solidFill>
              <w14:schemeClr w14:val="tx1"/>
            </w14:solidFill>
          </w14:textFill>
        </w:rPr>
        <w:t>　</w:t>
      </w:r>
      <w:r>
        <w:rPr>
          <w:rFonts w:hint="eastAsia"/>
          <w:color w:val="000000" w:themeColor="text1"/>
          <w:sz w:val="22"/>
          <w14:textFill>
            <w14:solidFill>
              <w14:schemeClr w14:val="tx1"/>
            </w14:solidFill>
          </w14:textFill>
        </w:rPr>
        <w:t>预制部品部件的运输工具采用清洁能源形式，评价分值为</w:t>
      </w:r>
      <w:r>
        <w:rPr>
          <w:rFonts w:hint="eastAsia"/>
          <w:color w:val="000000" w:themeColor="text1"/>
          <w:sz w:val="22"/>
          <w:lang w:val="en-US" w:eastAsia="zh-CN"/>
          <w14:textFill>
            <w14:solidFill>
              <w14:schemeClr w14:val="tx1"/>
            </w14:solidFill>
          </w14:textFill>
        </w:rPr>
        <w:t>10</w:t>
      </w:r>
      <w:r>
        <w:rPr>
          <w:rFonts w:hint="eastAsia"/>
          <w:color w:val="000000" w:themeColor="text1"/>
          <w:sz w:val="22"/>
          <w14:textFill>
            <w14:solidFill>
              <w14:schemeClr w14:val="tx1"/>
            </w14:solidFill>
          </w14:textFill>
        </w:rPr>
        <w:t>分</w:t>
      </w:r>
      <w:r>
        <w:rPr>
          <w:color w:val="000000" w:themeColor="text1"/>
          <w:sz w:val="22"/>
          <w14:textFill>
            <w14:solidFill>
              <w14:schemeClr w14:val="tx1"/>
            </w14:solidFill>
          </w14:textFill>
        </w:rPr>
        <w:t>。</w:t>
      </w:r>
    </w:p>
    <w:p w14:paraId="754C700E">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【条文说明】运输行业是全球温室气体排放的主要来源之一，特别是二氧化碳排放。使用清洁能源等可以显著减少温室气体排放。</w:t>
      </w:r>
      <w:r>
        <w:rPr>
          <w:rFonts w:hint="eastAsia"/>
          <w:i/>
          <w:iCs/>
          <w:color w:val="000000"/>
          <w:sz w:val="22"/>
          <w:lang w:eastAsia="zh-CN"/>
        </w:rPr>
        <w:t>采用清洁能源的运输工具主要包括电动汽车、混合动力汽车、氢燃料电池汽车、生物燃料汽车等</w:t>
      </w:r>
      <w:r>
        <w:rPr>
          <w:rFonts w:hint="eastAsia"/>
          <w:i/>
          <w:iCs/>
          <w:color w:val="000000"/>
          <w:sz w:val="22"/>
        </w:rPr>
        <w:t>。</w:t>
      </w:r>
    </w:p>
    <w:p w14:paraId="0C615C21">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本条的评价方法为：</w:t>
      </w:r>
      <w:r>
        <w:rPr>
          <w:rFonts w:hint="eastAsia"/>
          <w:i/>
          <w:iCs/>
          <w:color w:val="000000"/>
          <w:sz w:val="22"/>
          <w:lang w:val="en-US" w:eastAsia="zh-CN"/>
        </w:rPr>
        <w:t>运行阶段评价</w:t>
      </w:r>
      <w:r>
        <w:rPr>
          <w:rFonts w:hint="eastAsia"/>
          <w:i/>
          <w:iCs/>
          <w:color w:val="000000"/>
          <w:sz w:val="22"/>
          <w:lang w:eastAsia="zh-CN"/>
        </w:rPr>
        <w:t>查阅</w:t>
      </w:r>
      <w:r>
        <w:rPr>
          <w:rFonts w:hint="eastAsia"/>
          <w:i/>
          <w:iCs/>
          <w:color w:val="000000"/>
          <w:sz w:val="22"/>
        </w:rPr>
        <w:t>运输合同、‌货物运输单据</w:t>
      </w:r>
      <w:r>
        <w:rPr>
          <w:rFonts w:hint="eastAsia"/>
          <w:i/>
          <w:iCs/>
          <w:color w:val="000000"/>
          <w:sz w:val="22"/>
          <w:lang w:eastAsia="zh-CN"/>
        </w:rPr>
        <w:t>等相关</w:t>
      </w:r>
      <w:r>
        <w:rPr>
          <w:rFonts w:hint="eastAsia"/>
          <w:i/>
          <w:iCs/>
          <w:color w:val="000000"/>
          <w:sz w:val="22"/>
        </w:rPr>
        <w:t>证明文件。</w:t>
      </w:r>
    </w:p>
    <w:p w14:paraId="4D8CD21E">
      <w:pPr>
        <w:autoSpaceDE/>
        <w:autoSpaceDN/>
        <w:spacing w:line="360" w:lineRule="auto"/>
        <w:rPr>
          <w:rFonts w:hint="eastAsia"/>
          <w:color w:val="000000"/>
        </w:rPr>
      </w:pPr>
      <w:r>
        <w:rPr>
          <w:rFonts w:cs="Times New Roman"/>
          <w:b/>
          <w:bCs/>
          <w:color w:val="000000"/>
        </w:rPr>
        <w:t>5.2.</w:t>
      </w:r>
      <w:r>
        <w:rPr>
          <w:rFonts w:hint="eastAsia" w:cs="Times New Roman"/>
          <w:b/>
          <w:bCs/>
          <w:color w:val="000000"/>
          <w:lang w:val="en-US" w:eastAsia="zh-CN"/>
        </w:rPr>
        <w:t>7</w:t>
      </w:r>
      <w:r>
        <w:rPr>
          <w:rFonts w:cs="Times New Roman"/>
          <w:b/>
          <w:bCs/>
          <w:color w:val="000000"/>
        </w:rPr>
        <w:t>　</w:t>
      </w:r>
      <w:r>
        <w:rPr>
          <w:rFonts w:hint="eastAsia"/>
          <w:b w:val="0"/>
          <w:bCs w:val="0"/>
          <w:sz w:val="22"/>
          <w:lang w:eastAsia="zh-CN"/>
        </w:rPr>
        <w:t>对预制部品部件的存放区域进行规划，减少占地面积，评价分值为</w:t>
      </w:r>
      <w:r>
        <w:rPr>
          <w:rFonts w:hint="eastAsia"/>
          <w:b w:val="0"/>
          <w:bCs w:val="0"/>
          <w:sz w:val="22"/>
          <w:lang w:val="en-US" w:eastAsia="zh-CN"/>
        </w:rPr>
        <w:t>10</w:t>
      </w:r>
      <w:r>
        <w:rPr>
          <w:rFonts w:hint="eastAsia"/>
          <w:b w:val="0"/>
          <w:bCs w:val="0"/>
          <w:sz w:val="22"/>
          <w:lang w:eastAsia="zh-CN"/>
        </w:rPr>
        <w:t>分</w:t>
      </w:r>
      <w:r>
        <w:rPr>
          <w:rFonts w:hint="eastAsia"/>
          <w:color w:val="000000"/>
        </w:rPr>
        <w:t>。</w:t>
      </w:r>
    </w:p>
    <w:p w14:paraId="3D8BBDC0">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本条鼓励通过预制品部件的设计深化、优化和科学合理的现场部署、场地规划，减少施工现场道路、临时库房、存放场地的占地面积，从而减少存放区临时设施材料、硬化地面材料等间接产生的碳排放，同时也杜绝对施工土地占用区域原状绿化的破坏（尽量保留土地占用区域原状绿化可视为碳中和措施）。</w:t>
      </w:r>
    </w:p>
    <w:p w14:paraId="105BA2D7">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查阅规划图纸、施工组织设计、现场平面布置图、施工记录等相关证明文件。</w:t>
      </w:r>
    </w:p>
    <w:p w14:paraId="4D16E40D">
      <w:pPr>
        <w:pStyle w:val="20"/>
        <w:widowControl/>
        <w:autoSpaceDE/>
        <w:autoSpaceDN/>
        <w:spacing w:beforeAutospacing="0" w:afterAutospacing="0" w:line="360" w:lineRule="auto"/>
        <w:rPr>
          <w:color w:val="000000" w:themeColor="text1"/>
          <w:sz w:val="22"/>
          <w:highlight w:val="none"/>
          <w14:textFill>
            <w14:solidFill>
              <w14:schemeClr w14:val="tx1"/>
            </w14:solidFill>
          </w14:textFill>
        </w:rPr>
      </w:pPr>
      <w:r>
        <w:rPr>
          <w:rFonts w:hint="eastAsia"/>
          <w:b/>
          <w:bCs/>
          <w:color w:val="000000" w:themeColor="text1"/>
          <w:sz w:val="22"/>
          <w:highlight w:val="none"/>
          <w:lang w:val="en-US" w:eastAsia="zh-CN"/>
          <w14:textFill>
            <w14:solidFill>
              <w14:schemeClr w14:val="tx1"/>
            </w14:solidFill>
          </w14:textFill>
        </w:rPr>
        <w:t>5.2.8</w:t>
      </w:r>
      <w:r>
        <w:rPr>
          <w:b/>
          <w:bCs/>
          <w:color w:val="000000" w:themeColor="text1"/>
          <w:sz w:val="22"/>
          <w:highlight w:val="none"/>
          <w14:textFill>
            <w14:solidFill>
              <w14:schemeClr w14:val="tx1"/>
            </w14:solidFill>
          </w14:textFill>
        </w:rPr>
        <w:t>　</w:t>
      </w:r>
      <w:r>
        <w:rPr>
          <w:rFonts w:hint="eastAsia"/>
          <w:color w:val="000000" w:themeColor="text1"/>
          <w:sz w:val="22"/>
          <w:highlight w:val="none"/>
          <w14:textFill>
            <w14:solidFill>
              <w14:schemeClr w14:val="tx1"/>
            </w14:solidFill>
          </w14:textFill>
        </w:rPr>
        <w:t>采取措施提高工具式模板的循环利用，评价总分值为</w:t>
      </w:r>
      <w:r>
        <w:rPr>
          <w:rFonts w:hint="eastAsia"/>
          <w:color w:val="000000" w:themeColor="text1"/>
          <w:sz w:val="22"/>
          <w:highlight w:val="none"/>
          <w:lang w:val="en-US" w:eastAsia="zh-CN"/>
          <w14:textFill>
            <w14:solidFill>
              <w14:schemeClr w14:val="tx1"/>
            </w14:solidFill>
          </w14:textFill>
        </w:rPr>
        <w:t>10</w:t>
      </w:r>
      <w:r>
        <w:rPr>
          <w:rFonts w:hint="eastAsia"/>
          <w:color w:val="000000" w:themeColor="text1"/>
          <w:sz w:val="22"/>
          <w:highlight w:val="none"/>
          <w14:textFill>
            <w14:solidFill>
              <w14:schemeClr w14:val="tx1"/>
            </w14:solidFill>
          </w14:textFill>
        </w:rPr>
        <w:t>分，</w:t>
      </w:r>
      <w:r>
        <w:rPr>
          <w:sz w:val="22"/>
          <w:highlight w:val="none"/>
        </w:rPr>
        <w:t>应按下列规则分别评分并累计：</w:t>
      </w:r>
    </w:p>
    <w:p w14:paraId="0F4236EE">
      <w:pPr>
        <w:autoSpaceDE/>
        <w:autoSpaceDN/>
        <w:spacing w:line="360" w:lineRule="auto"/>
        <w:ind w:firstLine="425"/>
        <w:rPr>
          <w:rFonts w:cs="Times New Roman"/>
          <w:highlight w:val="none"/>
        </w:rPr>
      </w:pPr>
      <w:r>
        <w:rPr>
          <w:rFonts w:hint="eastAsia" w:cs="Times New Roman"/>
          <w:b/>
          <w:bCs/>
          <w:highlight w:val="none"/>
          <w:lang w:val="en-US"/>
        </w:rPr>
        <w:t>1</w:t>
      </w:r>
      <w:r>
        <w:rPr>
          <w:rFonts w:cs="Times New Roman"/>
          <w:highlight w:val="none"/>
        </w:rPr>
        <w:t>　</w:t>
      </w:r>
      <w:r>
        <w:rPr>
          <w:rFonts w:hint="eastAsia" w:cs="Times New Roman"/>
          <w:highlight w:val="none"/>
        </w:rPr>
        <w:t>使用铝合金模板等</w:t>
      </w:r>
      <w:r>
        <w:rPr>
          <w:rFonts w:hint="eastAsia" w:cs="Times New Roman"/>
          <w:highlight w:val="none"/>
          <w:lang w:val="en-US" w:eastAsia="zh-CN"/>
        </w:rPr>
        <w:t>高精</w:t>
      </w:r>
      <w:r>
        <w:rPr>
          <w:rFonts w:hint="eastAsia" w:cs="Times New Roman"/>
          <w:highlight w:val="none"/>
        </w:rPr>
        <w:t>模架体系，得</w:t>
      </w:r>
      <w:r>
        <w:rPr>
          <w:rFonts w:hint="eastAsia" w:cs="Times New Roman"/>
          <w:highlight w:val="none"/>
          <w:lang w:val="en-US" w:eastAsia="zh-CN"/>
        </w:rPr>
        <w:t>5</w:t>
      </w:r>
      <w:r>
        <w:rPr>
          <w:rFonts w:hint="eastAsia" w:cs="Times New Roman"/>
          <w:highlight w:val="none"/>
        </w:rPr>
        <w:t>分</w:t>
      </w:r>
      <w:r>
        <w:rPr>
          <w:rFonts w:cs="Times New Roman"/>
          <w:highlight w:val="none"/>
        </w:rPr>
        <w:t>：</w:t>
      </w:r>
    </w:p>
    <w:p w14:paraId="362C6C0B">
      <w:pPr>
        <w:autoSpaceDE/>
        <w:autoSpaceDN/>
        <w:spacing w:line="360" w:lineRule="auto"/>
        <w:ind w:firstLine="425"/>
        <w:rPr>
          <w:rFonts w:hint="default" w:cs="Times New Roman"/>
          <w:b/>
          <w:bCs/>
          <w:highlight w:val="none"/>
          <w:lang w:val="en-US" w:eastAsia="zh-CN"/>
        </w:rPr>
      </w:pPr>
      <w:r>
        <w:rPr>
          <w:rFonts w:hint="eastAsia" w:cs="Times New Roman"/>
          <w:b/>
          <w:bCs/>
          <w:highlight w:val="none"/>
          <w:lang w:val="en-US" w:eastAsia="zh-CN"/>
        </w:rPr>
        <w:t xml:space="preserve">3  </w:t>
      </w:r>
      <w:r>
        <w:rPr>
          <w:rFonts w:hint="eastAsia" w:cs="Times New Roman"/>
          <w:highlight w:val="none"/>
          <w:lang w:val="en-US" w:eastAsia="zh-CN"/>
        </w:rPr>
        <w:t>利用装配式结构构造形式，实现施工现场水平构件免支（拆）模体系，得5分。</w:t>
      </w:r>
    </w:p>
    <w:p w14:paraId="12BD3B65">
      <w:pPr>
        <w:pStyle w:val="20"/>
        <w:widowControl/>
        <w:autoSpaceDE/>
        <w:autoSpaceDN/>
        <w:spacing w:beforeAutospacing="0" w:afterAutospacing="0" w:line="360" w:lineRule="auto"/>
        <w:jc w:val="both"/>
        <w:rPr>
          <w:rFonts w:hint="eastAsia"/>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本条致力于鼓励工程措施项使用周转率高、可再利用的工具式模架材料，或通过装配式设计优化最大限度减少现场措施类材料的投入，从而间接减少措施类材料制、运输造过程中的碳排放。</w:t>
      </w:r>
    </w:p>
    <w:p w14:paraId="4CEA3902">
      <w:pPr>
        <w:pStyle w:val="20"/>
        <w:widowControl/>
        <w:autoSpaceDE/>
        <w:autoSpaceDN/>
        <w:spacing w:beforeAutospacing="0" w:afterAutospacing="0" w:line="360" w:lineRule="auto"/>
        <w:ind w:firstLine="420" w:firstLineChars="0"/>
        <w:jc w:val="both"/>
        <w:rPr>
          <w:i/>
          <w:iCs/>
          <w:color w:val="000000"/>
          <w:sz w:val="22"/>
          <w:highlight w:val="none"/>
        </w:rPr>
      </w:pPr>
      <w:r>
        <w:rPr>
          <w:rFonts w:hint="eastAsia"/>
          <w:i/>
          <w:iCs/>
          <w:color w:val="000000"/>
          <w:sz w:val="22"/>
          <w:highlight w:val="none"/>
        </w:rPr>
        <w:t>本条的评价方法为：</w:t>
      </w:r>
      <w:r>
        <w:rPr>
          <w:rFonts w:hint="eastAsia"/>
          <w:i/>
          <w:iCs/>
          <w:color w:val="000000"/>
          <w:sz w:val="22"/>
          <w:lang w:val="en-US" w:eastAsia="zh-CN"/>
        </w:rPr>
        <w:t>运行阶段评价</w:t>
      </w:r>
      <w:r>
        <w:rPr>
          <w:rFonts w:hint="eastAsia"/>
          <w:i/>
          <w:iCs/>
          <w:color w:val="000000"/>
          <w:sz w:val="22"/>
          <w:highlight w:val="none"/>
        </w:rPr>
        <w:t>查阅施工记录、材料决算清单、各类材料用量比例计算书</w:t>
      </w:r>
      <w:r>
        <w:rPr>
          <w:rFonts w:hint="eastAsia"/>
          <w:i/>
          <w:iCs/>
          <w:color w:val="000000"/>
          <w:sz w:val="22"/>
          <w:highlight w:val="none"/>
          <w:lang w:val="en-US" w:eastAsia="zh-CN"/>
        </w:rPr>
        <w:t>等相关证明文件</w:t>
      </w:r>
      <w:r>
        <w:rPr>
          <w:rFonts w:hint="eastAsia"/>
          <w:i/>
          <w:iCs/>
          <w:color w:val="000000"/>
          <w:sz w:val="22"/>
          <w:highlight w:val="none"/>
        </w:rPr>
        <w:t>。</w:t>
      </w:r>
    </w:p>
    <w:p w14:paraId="5C837A54">
      <w:pPr>
        <w:pStyle w:val="20"/>
        <w:widowControl/>
        <w:autoSpaceDE/>
        <w:autoSpaceDN/>
        <w:spacing w:beforeAutospacing="0" w:afterAutospacing="0" w:line="360" w:lineRule="auto"/>
        <w:rPr>
          <w:color w:val="000000" w:themeColor="text1"/>
          <w:sz w:val="22"/>
          <w14:textFill>
            <w14:solidFill>
              <w14:schemeClr w14:val="tx1"/>
            </w14:solidFill>
          </w14:textFill>
        </w:rPr>
      </w:pPr>
      <w:r>
        <w:rPr>
          <w:rFonts w:hint="eastAsia"/>
          <w:b/>
          <w:bCs/>
          <w:color w:val="000000" w:themeColor="text1"/>
          <w:sz w:val="22"/>
          <w:lang w:val="en-US" w:eastAsia="zh-CN"/>
          <w14:textFill>
            <w14:solidFill>
              <w14:schemeClr w14:val="tx1"/>
            </w14:solidFill>
          </w14:textFill>
        </w:rPr>
        <w:t>5.2.9</w:t>
      </w:r>
      <w:r>
        <w:rPr>
          <w:b/>
          <w:bCs/>
          <w:color w:val="000000" w:themeColor="text1"/>
          <w:sz w:val="22"/>
          <w14:textFill>
            <w14:solidFill>
              <w14:schemeClr w14:val="tx1"/>
            </w14:solidFill>
          </w14:textFill>
        </w:rPr>
        <w:t>　</w:t>
      </w:r>
      <w:r>
        <w:rPr>
          <w:rFonts w:hint="eastAsia"/>
          <w:color w:val="000000" w:themeColor="text1"/>
          <w:sz w:val="22"/>
          <w14:textFill>
            <w14:solidFill>
              <w14:schemeClr w14:val="tx1"/>
            </w14:solidFill>
          </w14:textFill>
        </w:rPr>
        <w:t>预制部品部件的外包装可回收再利用率为100%，评价分值为</w:t>
      </w:r>
      <w:r>
        <w:rPr>
          <w:rFonts w:hint="eastAsia"/>
          <w:color w:val="000000" w:themeColor="text1"/>
          <w:sz w:val="22"/>
          <w:lang w:val="en-US" w:eastAsia="zh-CN"/>
          <w14:textFill>
            <w14:solidFill>
              <w14:schemeClr w14:val="tx1"/>
            </w14:solidFill>
          </w14:textFill>
        </w:rPr>
        <w:t>10</w:t>
      </w:r>
      <w:r>
        <w:rPr>
          <w:rFonts w:hint="eastAsia"/>
          <w:color w:val="000000" w:themeColor="text1"/>
          <w:sz w:val="22"/>
          <w14:textFill>
            <w14:solidFill>
              <w14:schemeClr w14:val="tx1"/>
            </w14:solidFill>
          </w14:textFill>
        </w:rPr>
        <w:t>分。</w:t>
      </w:r>
    </w:p>
    <w:p w14:paraId="6107CC28">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【条文说明】预制部品部件的包装材料、码放支撑材料、门洞窗洞支撑材料在起到保护部品部件的同时还应做到可重复利用，从而减少建筑垃圾的产生。</w:t>
      </w:r>
    </w:p>
    <w:p w14:paraId="0ADAA056">
      <w:pPr>
        <w:pStyle w:val="20"/>
        <w:widowControl/>
        <w:autoSpaceDE/>
        <w:autoSpaceDN/>
        <w:spacing w:beforeAutospacing="0" w:afterAutospacing="0" w:line="360" w:lineRule="auto"/>
        <w:ind w:firstLine="420" w:firstLineChars="0"/>
        <w:jc w:val="both"/>
        <w:rPr>
          <w:color w:val="000000" w:themeColor="text1"/>
          <w:sz w:val="22"/>
          <w14:textFill>
            <w14:solidFill>
              <w14:schemeClr w14:val="tx1"/>
            </w14:solidFill>
          </w14:textFill>
        </w:rPr>
      </w:pPr>
      <w:r>
        <w:rPr>
          <w:rFonts w:hint="eastAsia"/>
          <w:i/>
          <w:iCs/>
          <w:color w:val="000000"/>
          <w:sz w:val="22"/>
        </w:rPr>
        <w:t>本条的评价方法为：</w:t>
      </w:r>
      <w:r>
        <w:rPr>
          <w:rFonts w:hint="eastAsia"/>
          <w:i/>
          <w:iCs/>
          <w:color w:val="000000"/>
          <w:sz w:val="22"/>
          <w:lang w:val="en-US" w:eastAsia="zh-CN"/>
        </w:rPr>
        <w:t>运行阶段评价</w:t>
      </w:r>
      <w:r>
        <w:rPr>
          <w:rFonts w:hint="eastAsia"/>
          <w:i/>
          <w:iCs/>
          <w:color w:val="000000"/>
          <w:sz w:val="22"/>
        </w:rPr>
        <w:t>查阅预制部品部件生产厂家外包装材料进货单等相关证明</w:t>
      </w:r>
      <w:r>
        <w:rPr>
          <w:rFonts w:hint="eastAsia"/>
          <w:i/>
          <w:iCs/>
          <w:color w:val="000000"/>
          <w:sz w:val="22"/>
          <w:lang w:eastAsia="zh-CN"/>
        </w:rPr>
        <w:t>文件</w:t>
      </w:r>
      <w:r>
        <w:rPr>
          <w:rFonts w:hint="eastAsia"/>
          <w:i/>
          <w:iCs/>
          <w:color w:val="000000"/>
          <w:sz w:val="22"/>
        </w:rPr>
        <w:t>。</w:t>
      </w:r>
    </w:p>
    <w:p w14:paraId="5351B0C0">
      <w:pPr>
        <w:pStyle w:val="20"/>
        <w:widowControl/>
        <w:autoSpaceDE/>
        <w:autoSpaceDN/>
        <w:spacing w:beforeAutospacing="0" w:afterAutospacing="0" w:line="360" w:lineRule="auto"/>
        <w:rPr>
          <w:color w:val="000000" w:themeColor="text1"/>
          <w:sz w:val="22"/>
          <w14:textFill>
            <w14:solidFill>
              <w14:schemeClr w14:val="tx1"/>
            </w14:solidFill>
          </w14:textFill>
        </w:rPr>
      </w:pPr>
      <w:r>
        <w:rPr>
          <w:rFonts w:hint="eastAsia"/>
          <w:b/>
          <w:bCs/>
          <w:color w:val="000000" w:themeColor="text1"/>
          <w:sz w:val="22"/>
          <w:lang w:val="en-US" w:eastAsia="zh-CN"/>
          <w14:textFill>
            <w14:solidFill>
              <w14:schemeClr w14:val="tx1"/>
            </w14:solidFill>
          </w14:textFill>
        </w:rPr>
        <w:t>5.2.10</w:t>
      </w:r>
      <w:r>
        <w:rPr>
          <w:b/>
          <w:bCs/>
          <w:color w:val="000000" w:themeColor="text1"/>
          <w:sz w:val="22"/>
          <w14:textFill>
            <w14:solidFill>
              <w14:schemeClr w14:val="tx1"/>
            </w14:solidFill>
          </w14:textFill>
        </w:rPr>
        <w:t>　</w:t>
      </w:r>
      <w:r>
        <w:rPr>
          <w:rFonts w:hint="eastAsia"/>
          <w:color w:val="000000" w:themeColor="text1"/>
          <w:sz w:val="22"/>
          <w14:textFill>
            <w14:solidFill>
              <w14:schemeClr w14:val="tx1"/>
            </w14:solidFill>
          </w14:textFill>
        </w:rPr>
        <w:t>实施装配式建筑建造降低人工用量，评价总分值为</w:t>
      </w:r>
      <w:r>
        <w:rPr>
          <w:rFonts w:hint="eastAsia"/>
          <w:color w:val="000000" w:themeColor="text1"/>
          <w:sz w:val="22"/>
          <w:lang w:val="en-US" w:eastAsia="zh-CN"/>
          <w14:textFill>
            <w14:solidFill>
              <w14:schemeClr w14:val="tx1"/>
            </w14:solidFill>
          </w14:textFill>
        </w:rPr>
        <w:t>10</w:t>
      </w:r>
      <w:r>
        <w:rPr>
          <w:rFonts w:hint="eastAsia"/>
          <w:color w:val="000000" w:themeColor="text1"/>
          <w:sz w:val="22"/>
          <w14:textFill>
            <w14:solidFill>
              <w14:schemeClr w14:val="tx1"/>
            </w14:solidFill>
          </w14:textFill>
        </w:rPr>
        <w:t>分。现场人工用量与劳动计划用量定额相比，用工减少比例达到20%，得</w:t>
      </w:r>
      <w:r>
        <w:rPr>
          <w:rFonts w:hint="eastAsia"/>
          <w:color w:val="000000" w:themeColor="text1"/>
          <w:sz w:val="22"/>
          <w:lang w:val="en-US" w:eastAsia="zh-CN"/>
          <w14:textFill>
            <w14:solidFill>
              <w14:schemeClr w14:val="tx1"/>
            </w14:solidFill>
          </w14:textFill>
        </w:rPr>
        <w:t>5</w:t>
      </w:r>
      <w:r>
        <w:rPr>
          <w:rFonts w:hint="eastAsia"/>
          <w:color w:val="000000" w:themeColor="text1"/>
          <w:sz w:val="22"/>
          <w14:textFill>
            <w14:solidFill>
              <w14:schemeClr w14:val="tx1"/>
            </w14:solidFill>
          </w14:textFill>
        </w:rPr>
        <w:t>分；达到30%，得</w:t>
      </w:r>
      <w:r>
        <w:rPr>
          <w:rFonts w:hint="eastAsia"/>
          <w:color w:val="000000" w:themeColor="text1"/>
          <w:sz w:val="22"/>
          <w:lang w:val="en-US" w:eastAsia="zh-CN"/>
          <w14:textFill>
            <w14:solidFill>
              <w14:schemeClr w14:val="tx1"/>
            </w14:solidFill>
          </w14:textFill>
        </w:rPr>
        <w:t>10</w:t>
      </w:r>
      <w:r>
        <w:rPr>
          <w:rFonts w:hint="eastAsia"/>
          <w:color w:val="000000" w:themeColor="text1"/>
          <w:sz w:val="22"/>
          <w14:textFill>
            <w14:solidFill>
              <w14:schemeClr w14:val="tx1"/>
            </w14:solidFill>
          </w14:textFill>
        </w:rPr>
        <w:t>分。</w:t>
      </w:r>
    </w:p>
    <w:p w14:paraId="107D861A">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【条文说明】本条旨在推动部品部件生产企业劳动力的提升，减少生产环节的成本效益。</w:t>
      </w:r>
    </w:p>
    <w:p w14:paraId="0799B736">
      <w:pPr>
        <w:pStyle w:val="20"/>
        <w:widowControl/>
        <w:autoSpaceDE/>
        <w:autoSpaceDN/>
        <w:spacing w:beforeAutospacing="0" w:afterAutospacing="0" w:line="360" w:lineRule="auto"/>
        <w:ind w:firstLine="420" w:firstLineChars="0"/>
        <w:jc w:val="both"/>
        <w:rPr>
          <w:i/>
          <w:iCs/>
          <w:color w:val="000000"/>
          <w:sz w:val="22"/>
        </w:rPr>
      </w:pPr>
      <w:r>
        <w:rPr>
          <w:rFonts w:hint="eastAsia"/>
          <w:i/>
          <w:iCs/>
          <w:color w:val="000000"/>
          <w:sz w:val="22"/>
        </w:rPr>
        <w:t>本条的评价方法为：</w:t>
      </w:r>
      <w:r>
        <w:rPr>
          <w:rFonts w:hint="eastAsia"/>
          <w:i/>
          <w:iCs/>
          <w:color w:val="000000"/>
          <w:sz w:val="22"/>
          <w:lang w:val="en-US" w:eastAsia="zh-CN"/>
        </w:rPr>
        <w:t>运行阶段评价</w:t>
      </w:r>
      <w:r>
        <w:rPr>
          <w:rFonts w:hint="eastAsia"/>
          <w:i/>
          <w:iCs/>
          <w:color w:val="000000"/>
          <w:sz w:val="22"/>
        </w:rPr>
        <w:t>查阅现场部品部件生产及装修过程中工作人员工作记录等相关证明</w:t>
      </w:r>
      <w:r>
        <w:rPr>
          <w:rFonts w:hint="eastAsia"/>
          <w:i/>
          <w:iCs/>
          <w:color w:val="000000"/>
          <w:sz w:val="22"/>
          <w:lang w:eastAsia="zh-CN"/>
        </w:rPr>
        <w:t>文件</w:t>
      </w:r>
      <w:r>
        <w:rPr>
          <w:rFonts w:hint="eastAsia"/>
          <w:i/>
          <w:iCs/>
          <w:color w:val="000000"/>
          <w:sz w:val="22"/>
        </w:rPr>
        <w:t>。</w:t>
      </w:r>
    </w:p>
    <w:p w14:paraId="3D1148D8">
      <w:pPr>
        <w:pStyle w:val="20"/>
        <w:widowControl/>
        <w:autoSpaceDE/>
        <w:autoSpaceDN/>
        <w:spacing w:beforeAutospacing="0" w:afterAutospacing="0" w:line="360" w:lineRule="auto"/>
        <w:jc w:val="both"/>
        <w:rPr>
          <w:rFonts w:hint="eastAsia"/>
          <w:i/>
          <w:iCs/>
          <w:color w:val="000000"/>
          <w:sz w:val="22"/>
          <w:lang w:val="en-US" w:eastAsia="zh-CN"/>
        </w:rPr>
      </w:pPr>
    </w:p>
    <w:p w14:paraId="310A3609">
      <w:pPr>
        <w:pStyle w:val="20"/>
        <w:widowControl/>
        <w:autoSpaceDE/>
        <w:autoSpaceDN/>
        <w:spacing w:beforeAutospacing="0" w:afterAutospacing="0" w:line="360" w:lineRule="auto"/>
        <w:jc w:val="both"/>
        <w:rPr>
          <w:rFonts w:hint="eastAsia"/>
          <w:i/>
          <w:iCs/>
          <w:color w:val="000000"/>
          <w:sz w:val="22"/>
          <w:lang w:val="en-US" w:eastAsia="zh-CN"/>
        </w:rPr>
      </w:pPr>
    </w:p>
    <w:p w14:paraId="42A1BC24">
      <w:pPr>
        <w:pStyle w:val="20"/>
        <w:widowControl/>
        <w:autoSpaceDE/>
        <w:autoSpaceDN/>
        <w:spacing w:beforeAutospacing="0" w:afterAutospacing="0" w:line="360" w:lineRule="auto"/>
        <w:rPr>
          <w:i/>
          <w:iCs/>
          <w:color w:val="000000"/>
          <w:sz w:val="21"/>
          <w:szCs w:val="21"/>
        </w:rPr>
      </w:pPr>
      <w:r>
        <w:rPr>
          <w:i/>
          <w:iCs/>
          <w:color w:val="000000"/>
          <w:sz w:val="21"/>
          <w:szCs w:val="21"/>
        </w:rPr>
        <w:br w:type="page"/>
      </w:r>
    </w:p>
    <w:p w14:paraId="19E557A3">
      <w:pPr>
        <w:pStyle w:val="2"/>
        <w:numPr>
          <w:ilvl w:val="0"/>
          <w:numId w:val="0"/>
        </w:numPr>
        <w:autoSpaceDE/>
        <w:autoSpaceDN/>
        <w:spacing w:before="156" w:beforeLines="50" w:after="156" w:afterLines="50" w:line="360" w:lineRule="auto"/>
        <w:ind w:left="425" w:hanging="425"/>
        <w:jc w:val="center"/>
        <w:rPr>
          <w:rFonts w:ascii="Times New Roman" w:hAnsi="Times New Roman" w:eastAsia="宋体" w:cs="Times New Roman"/>
          <w:sz w:val="32"/>
          <w:szCs w:val="32"/>
          <w:lang w:val="en-US"/>
        </w:rPr>
      </w:pPr>
      <w:bookmarkStart w:id="82" w:name="_Toc156"/>
      <w:bookmarkStart w:id="83" w:name="_Toc26095"/>
      <w:bookmarkStart w:id="84" w:name="_Toc13337"/>
      <w:bookmarkStart w:id="85" w:name="_Toc1205"/>
      <w:r>
        <w:rPr>
          <w:rFonts w:hint="eastAsia" w:ascii="Times New Roman" w:hAnsi="Times New Roman" w:eastAsia="宋体" w:cs="Times New Roman"/>
          <w:sz w:val="32"/>
          <w:szCs w:val="32"/>
          <w:lang w:val="en-US" w:eastAsia="zh-CN"/>
        </w:rPr>
        <w:t>6</w:t>
      </w:r>
      <w:r>
        <w:rPr>
          <w:rFonts w:ascii="Times New Roman" w:hAnsi="Times New Roman" w:eastAsia="宋体" w:cs="Times New Roman"/>
          <w:sz w:val="32"/>
          <w:szCs w:val="32"/>
          <w:lang w:val="en-US"/>
        </w:rPr>
        <w:t>　</w:t>
      </w:r>
      <w:bookmarkEnd w:id="82"/>
      <w:bookmarkEnd w:id="83"/>
      <w:r>
        <w:rPr>
          <w:rFonts w:hint="eastAsia" w:ascii="Times New Roman" w:hAnsi="Times New Roman" w:eastAsia="宋体" w:cs="Times New Roman"/>
          <w:sz w:val="32"/>
          <w:szCs w:val="32"/>
          <w:lang w:val="en-US"/>
        </w:rPr>
        <w:t>低碳运营</w:t>
      </w:r>
      <w:bookmarkEnd w:id="84"/>
      <w:bookmarkEnd w:id="85"/>
    </w:p>
    <w:p w14:paraId="70B3DFFD">
      <w:pPr>
        <w:pStyle w:val="3"/>
        <w:numPr>
          <w:ilvl w:val="0"/>
          <w:numId w:val="0"/>
        </w:numPr>
        <w:tabs>
          <w:tab w:val="clear" w:pos="-376"/>
          <w:tab w:val="clear" w:pos="0"/>
        </w:tabs>
        <w:autoSpaceDE/>
        <w:autoSpaceDN/>
        <w:spacing w:before="78" w:beforeLines="25" w:after="78" w:afterLines="25"/>
        <w:ind w:left="567" w:hanging="567"/>
        <w:jc w:val="center"/>
        <w:rPr>
          <w:rFonts w:ascii="Times New Roman" w:hAnsi="Times New Roman" w:cs="Times New Roman"/>
          <w:bCs/>
          <w:sz w:val="28"/>
          <w:szCs w:val="24"/>
          <w:lang w:val="en-US"/>
        </w:rPr>
      </w:pPr>
      <w:bookmarkStart w:id="86" w:name="_Toc7851"/>
      <w:bookmarkStart w:id="87" w:name="_Toc25214"/>
      <w:bookmarkStart w:id="88" w:name="_Toc21395"/>
      <w:r>
        <w:rPr>
          <w:rFonts w:hint="eastAsia" w:ascii="Times New Roman" w:hAnsi="Times New Roman" w:cs="Times New Roman"/>
          <w:bCs/>
          <w:sz w:val="28"/>
          <w:szCs w:val="24"/>
          <w:lang w:val="en-US" w:eastAsia="zh-CN"/>
        </w:rPr>
        <w:t>6</w:t>
      </w:r>
      <w:r>
        <w:rPr>
          <w:rFonts w:ascii="Times New Roman" w:hAnsi="Times New Roman" w:cs="Times New Roman"/>
          <w:bCs/>
          <w:sz w:val="28"/>
          <w:szCs w:val="24"/>
          <w:lang w:val="en-US"/>
        </w:rPr>
        <w:t>.1　</w:t>
      </w:r>
      <w:bookmarkStart w:id="89" w:name="_Toc26397"/>
      <w:r>
        <w:rPr>
          <w:rFonts w:ascii="Times New Roman" w:hAnsi="Times New Roman" w:cs="Times New Roman"/>
          <w:bCs/>
          <w:sz w:val="28"/>
          <w:szCs w:val="24"/>
          <w:lang w:val="en-US"/>
        </w:rPr>
        <w:t>控制项</w:t>
      </w:r>
      <w:bookmarkEnd w:id="86"/>
      <w:bookmarkEnd w:id="87"/>
      <w:bookmarkEnd w:id="88"/>
      <w:bookmarkEnd w:id="89"/>
    </w:p>
    <w:p w14:paraId="564BC468">
      <w:pPr>
        <w:autoSpaceDE/>
        <w:autoSpaceDN/>
        <w:spacing w:line="360" w:lineRule="auto"/>
        <w:rPr>
          <w:rFonts w:hint="eastAsia"/>
          <w:b w:val="0"/>
          <w:bCs w:val="0"/>
          <w:color w:val="auto"/>
          <w:lang w:val="en-US"/>
        </w:rPr>
      </w:pPr>
      <w:r>
        <w:rPr>
          <w:rFonts w:hint="eastAsia"/>
          <w:b/>
          <w:bCs/>
          <w:color w:val="auto"/>
          <w:lang w:val="en-US" w:eastAsia="zh-CN"/>
        </w:rPr>
        <w:t>6</w:t>
      </w:r>
      <w:r>
        <w:rPr>
          <w:rFonts w:hint="eastAsia"/>
          <w:b/>
          <w:bCs/>
          <w:color w:val="auto"/>
          <w:lang w:val="en-US"/>
        </w:rPr>
        <w:t>.1.1　</w:t>
      </w:r>
      <w:r>
        <w:rPr>
          <w:rFonts w:hint="eastAsia"/>
          <w:b w:val="0"/>
          <w:bCs w:val="0"/>
          <w:color w:val="auto"/>
          <w:lang w:val="en-US" w:eastAsia="zh-CN"/>
        </w:rPr>
        <w:t>应</w:t>
      </w:r>
      <w:r>
        <w:rPr>
          <w:rFonts w:hint="eastAsia"/>
          <w:b w:val="0"/>
          <w:bCs w:val="0"/>
          <w:color w:val="auto"/>
          <w:lang w:val="en-US"/>
        </w:rPr>
        <w:t>制定装配式建筑低碳运营管理制度。</w:t>
      </w:r>
    </w:p>
    <w:p w14:paraId="4FDA4CDE">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建筑运营阶段碳排放量在装配式建筑全生命周中占比较大，制定低碳运营管理制度对降低建筑碳排放非常重要。通过低碳运营管理制度，规范运营操作行为，加强能源管理及分析优化等，让低碳运营落到实处。</w:t>
      </w:r>
    </w:p>
    <w:p w14:paraId="1397794A">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查阅物业管理制度等相关证明文件。</w:t>
      </w:r>
    </w:p>
    <w:p w14:paraId="574155F7">
      <w:pPr>
        <w:autoSpaceDE/>
        <w:autoSpaceDN/>
        <w:spacing w:line="360" w:lineRule="auto"/>
        <w:rPr>
          <w:rFonts w:hint="eastAsia"/>
          <w:b w:val="0"/>
          <w:bCs w:val="0"/>
          <w:color w:val="auto"/>
          <w:lang w:val="en-US"/>
        </w:rPr>
      </w:pPr>
      <w:r>
        <w:rPr>
          <w:rFonts w:hint="eastAsia"/>
          <w:b/>
          <w:bCs/>
          <w:color w:val="auto"/>
          <w:lang w:val="en-US" w:eastAsia="zh-CN"/>
        </w:rPr>
        <w:t>6</w:t>
      </w:r>
      <w:r>
        <w:rPr>
          <w:rFonts w:hint="eastAsia"/>
          <w:b/>
          <w:bCs/>
          <w:color w:val="auto"/>
          <w:lang w:val="en-US"/>
        </w:rPr>
        <w:t>.1.</w:t>
      </w:r>
      <w:r>
        <w:rPr>
          <w:rFonts w:hint="eastAsia"/>
          <w:b/>
          <w:bCs/>
          <w:color w:val="auto"/>
          <w:lang w:val="en-US" w:eastAsia="zh-CN"/>
        </w:rPr>
        <w:t>2</w:t>
      </w:r>
      <w:r>
        <w:rPr>
          <w:rFonts w:hint="eastAsia"/>
          <w:b/>
          <w:bCs/>
          <w:color w:val="auto"/>
          <w:lang w:val="en-US"/>
        </w:rPr>
        <w:t>　</w:t>
      </w:r>
      <w:r>
        <w:rPr>
          <w:rFonts w:hint="eastAsia"/>
          <w:b w:val="0"/>
          <w:bCs w:val="0"/>
          <w:color w:val="auto"/>
          <w:lang w:val="en-US" w:eastAsia="zh-CN"/>
        </w:rPr>
        <w:t>应</w:t>
      </w:r>
      <w:r>
        <w:rPr>
          <w:rFonts w:hint="eastAsia"/>
          <w:b w:val="0"/>
          <w:bCs w:val="0"/>
          <w:color w:val="auto"/>
          <w:lang w:val="en-US"/>
        </w:rPr>
        <w:t>建立预制部品部件信息库及维护维修管理制度。</w:t>
      </w:r>
    </w:p>
    <w:p w14:paraId="6E1FDDD9">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预制部品部件作为装配式建筑核心组成部分，其种类、规格及供应商信息繁多，为更好管理这些信息，确保预制部品部件的质量可追溯性、采购的高效性以及更换维修的便捷性，建立预制部品部件信息库尤为重要。通过信息化手段，实现对预制部品部件的集中管理，提高管理效率，保障质量，促进供应链的协同，优化资源配置。维护维修应明确责任主体、制定计划、规定流程并建立响应机制等。通过加强信息管理和维护维修管理，可以确保预制部品部件的质量及性能，延长建筑使用寿命，降低碳排放。</w:t>
      </w:r>
    </w:p>
    <w:p w14:paraId="24430166">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查阅运营管理制度等相关证明文件。</w:t>
      </w:r>
    </w:p>
    <w:p w14:paraId="6F764818">
      <w:pPr>
        <w:autoSpaceDE/>
        <w:autoSpaceDN/>
        <w:spacing w:line="360" w:lineRule="auto"/>
        <w:rPr>
          <w:rFonts w:hint="eastAsia"/>
          <w:b w:val="0"/>
          <w:bCs w:val="0"/>
          <w:color w:val="auto"/>
          <w:lang w:val="en-US"/>
        </w:rPr>
      </w:pPr>
      <w:r>
        <w:rPr>
          <w:rFonts w:hint="eastAsia"/>
          <w:b/>
          <w:bCs/>
          <w:color w:val="auto"/>
          <w:lang w:val="en-US" w:eastAsia="zh-CN"/>
        </w:rPr>
        <w:t>6</w:t>
      </w:r>
      <w:r>
        <w:rPr>
          <w:rFonts w:hint="eastAsia"/>
          <w:b/>
          <w:bCs/>
          <w:color w:val="auto"/>
          <w:lang w:val="en-US"/>
        </w:rPr>
        <w:t>.1.</w:t>
      </w:r>
      <w:r>
        <w:rPr>
          <w:rFonts w:hint="eastAsia"/>
          <w:b/>
          <w:bCs/>
          <w:color w:val="auto"/>
          <w:lang w:val="en-US" w:eastAsia="zh-CN"/>
        </w:rPr>
        <w:t>3</w:t>
      </w:r>
      <w:r>
        <w:rPr>
          <w:rFonts w:hint="eastAsia"/>
          <w:b/>
          <w:bCs/>
          <w:color w:val="auto"/>
          <w:lang w:val="en-US"/>
        </w:rPr>
        <w:t>　</w:t>
      </w:r>
      <w:r>
        <w:rPr>
          <w:rFonts w:hint="eastAsia"/>
          <w:b w:val="0"/>
          <w:bCs w:val="0"/>
          <w:color w:val="auto"/>
          <w:lang w:val="en-US" w:eastAsia="zh-CN"/>
        </w:rPr>
        <w:t>应</w:t>
      </w:r>
      <w:r>
        <w:rPr>
          <w:rFonts w:hint="eastAsia"/>
          <w:b w:val="0"/>
          <w:bCs w:val="0"/>
          <w:color w:val="auto"/>
          <w:lang w:val="en-US"/>
        </w:rPr>
        <w:t>对预制部品部件进行定期检查与维护。</w:t>
      </w:r>
    </w:p>
    <w:p w14:paraId="3EFD62B6">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对预制部品部件进行定期检查与维护是确保建筑安全和使用功能的重要措施。具体包括：质量检查、安全性能检查、维护保养、故障诊断与修复、更新与升级等。</w:t>
      </w:r>
    </w:p>
    <w:p w14:paraId="18CF5695">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查阅日常检查机维护记录等相关证明文件。</w:t>
      </w:r>
    </w:p>
    <w:p w14:paraId="2FA2CC36">
      <w:pPr>
        <w:pStyle w:val="3"/>
        <w:numPr>
          <w:ilvl w:val="0"/>
          <w:numId w:val="0"/>
        </w:numPr>
        <w:tabs>
          <w:tab w:val="clear" w:pos="-376"/>
          <w:tab w:val="clear" w:pos="0"/>
        </w:tabs>
        <w:autoSpaceDE/>
        <w:autoSpaceDN/>
        <w:spacing w:before="78" w:beforeLines="25" w:after="78" w:afterLines="25"/>
        <w:ind w:left="567" w:hanging="567"/>
        <w:jc w:val="center"/>
        <w:rPr>
          <w:rFonts w:ascii="Times New Roman" w:hAnsi="Times New Roman" w:cs="Times New Roman"/>
          <w:bCs/>
          <w:sz w:val="28"/>
          <w:szCs w:val="24"/>
          <w:lang w:val="en-US"/>
        </w:rPr>
      </w:pPr>
      <w:bookmarkStart w:id="90" w:name="_Toc14721"/>
      <w:bookmarkStart w:id="91" w:name="_Toc29092"/>
      <w:bookmarkStart w:id="92" w:name="_Toc18806"/>
      <w:r>
        <w:rPr>
          <w:rFonts w:hint="eastAsia" w:ascii="Times New Roman" w:hAnsi="Times New Roman" w:cs="Times New Roman"/>
          <w:bCs/>
          <w:sz w:val="28"/>
          <w:szCs w:val="24"/>
          <w:lang w:val="en-US" w:eastAsia="zh-CN"/>
        </w:rPr>
        <w:t>6</w:t>
      </w:r>
      <w:r>
        <w:rPr>
          <w:rFonts w:ascii="Times New Roman" w:hAnsi="Times New Roman" w:cs="Times New Roman"/>
          <w:bCs/>
          <w:sz w:val="28"/>
          <w:szCs w:val="24"/>
          <w:lang w:val="en-US"/>
        </w:rPr>
        <w:t>.2　</w:t>
      </w:r>
      <w:bookmarkStart w:id="93" w:name="_Toc16724"/>
      <w:r>
        <w:rPr>
          <w:rFonts w:ascii="Times New Roman" w:hAnsi="Times New Roman" w:cs="Times New Roman"/>
          <w:bCs/>
          <w:sz w:val="28"/>
          <w:szCs w:val="24"/>
          <w:lang w:val="en-US"/>
        </w:rPr>
        <w:t>评分项</w:t>
      </w:r>
      <w:bookmarkEnd w:id="90"/>
      <w:bookmarkEnd w:id="91"/>
      <w:bookmarkEnd w:id="92"/>
      <w:bookmarkEnd w:id="93"/>
    </w:p>
    <w:p w14:paraId="6C89C9D3">
      <w:pPr>
        <w:pStyle w:val="20"/>
        <w:widowControl/>
        <w:autoSpaceDE/>
        <w:autoSpaceDN/>
        <w:spacing w:beforeAutospacing="0" w:afterAutospacing="0" w:line="360" w:lineRule="auto"/>
        <w:rPr>
          <w:sz w:val="22"/>
          <w:highlight w:val="none"/>
        </w:rPr>
      </w:pPr>
      <w:r>
        <w:rPr>
          <w:rFonts w:hint="eastAsia"/>
          <w:b/>
          <w:bCs/>
          <w:color w:val="000000" w:themeColor="text1"/>
          <w:sz w:val="22"/>
          <w:highlight w:val="none"/>
          <w:lang w:val="en-US" w:eastAsia="zh-CN"/>
          <w14:textFill>
            <w14:solidFill>
              <w14:schemeClr w14:val="tx1"/>
            </w14:solidFill>
          </w14:textFill>
        </w:rPr>
        <w:t>6</w:t>
      </w:r>
      <w:r>
        <w:rPr>
          <w:b/>
          <w:bCs/>
          <w:color w:val="000000" w:themeColor="text1"/>
          <w:sz w:val="22"/>
          <w:highlight w:val="none"/>
          <w14:textFill>
            <w14:solidFill>
              <w14:schemeClr w14:val="tx1"/>
            </w14:solidFill>
          </w14:textFill>
        </w:rPr>
        <w:t>.2.1　</w:t>
      </w:r>
      <w:r>
        <w:rPr>
          <w:rFonts w:hint="eastAsia"/>
          <w:sz w:val="22"/>
          <w:highlight w:val="none"/>
        </w:rPr>
        <w:t>对装配式建筑的运营碳排放进行逐年计量，评价分值为10分</w:t>
      </w:r>
      <w:r>
        <w:rPr>
          <w:sz w:val="22"/>
          <w:highlight w:val="none"/>
        </w:rPr>
        <w:t>。</w:t>
      </w:r>
    </w:p>
    <w:p w14:paraId="32FE23C9">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装配式建筑作为一种绿色建筑方式，其运营阶段的碳排放计量和评价是评估其环境影响的重要指标之一。在评估装配式建筑的可持续性和环境影响时，对其运营阶段的碳排放进行计量和评价是非常重要的。对装配式建筑的运营碳排放进行逐年计量，‌可以有效地跟踪和分析装配式建筑在实际运营过程中的碳排放情况，从而评估其环境影响，并为未来的建筑设计和施工提供参考，以进一步优化设计和施工方案，减少碳排放，提高建筑的环保性能。因此，对装配式建筑的运营碳排放进行逐年计量和评价，不仅是评估其环境性能的重要手段，也是推动建筑行业绿色发展的重要途径。</w:t>
      </w:r>
    </w:p>
    <w:p w14:paraId="0FB95193">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查阅运营记录表、碳排放计量表等相关证明文件。</w:t>
      </w:r>
    </w:p>
    <w:p w14:paraId="5073D2EE">
      <w:pPr>
        <w:pStyle w:val="20"/>
        <w:widowControl/>
        <w:autoSpaceDE/>
        <w:autoSpaceDN/>
        <w:spacing w:beforeAutospacing="0" w:afterAutospacing="0" w:line="360" w:lineRule="auto"/>
        <w:rPr>
          <w:sz w:val="22"/>
          <w:highlight w:val="none"/>
        </w:rPr>
      </w:pPr>
      <w:r>
        <w:rPr>
          <w:rFonts w:hint="eastAsia"/>
          <w:b/>
          <w:bCs/>
          <w:color w:val="000000" w:themeColor="text1"/>
          <w:sz w:val="22"/>
          <w:highlight w:val="none"/>
          <w:lang w:val="en-US" w:eastAsia="zh-CN"/>
          <w14:textFill>
            <w14:solidFill>
              <w14:schemeClr w14:val="tx1"/>
            </w14:solidFill>
          </w14:textFill>
        </w:rPr>
        <w:t>6</w:t>
      </w:r>
      <w:r>
        <w:rPr>
          <w:b/>
          <w:bCs/>
          <w:color w:val="000000" w:themeColor="text1"/>
          <w:sz w:val="22"/>
          <w:highlight w:val="none"/>
          <w14:textFill>
            <w14:solidFill>
              <w14:schemeClr w14:val="tx1"/>
            </w14:solidFill>
          </w14:textFill>
        </w:rPr>
        <w:t>.2.</w:t>
      </w:r>
      <w:r>
        <w:rPr>
          <w:rFonts w:hint="eastAsia"/>
          <w:b/>
          <w:bCs/>
          <w:color w:val="000000" w:themeColor="text1"/>
          <w:sz w:val="22"/>
          <w:highlight w:val="none"/>
          <w:lang w:val="en-US" w:eastAsia="zh-CN"/>
          <w14:textFill>
            <w14:solidFill>
              <w14:schemeClr w14:val="tx1"/>
            </w14:solidFill>
          </w14:textFill>
        </w:rPr>
        <w:t>2</w:t>
      </w:r>
      <w:r>
        <w:rPr>
          <w:b/>
          <w:bCs/>
          <w:color w:val="000000" w:themeColor="text1"/>
          <w:sz w:val="22"/>
          <w:highlight w:val="none"/>
          <w14:textFill>
            <w14:solidFill>
              <w14:schemeClr w14:val="tx1"/>
            </w14:solidFill>
          </w14:textFill>
        </w:rPr>
        <w:t>　</w:t>
      </w:r>
      <w:r>
        <w:rPr>
          <w:rFonts w:hint="eastAsia"/>
          <w:sz w:val="22"/>
          <w:highlight w:val="none"/>
        </w:rPr>
        <w:t>对外围护结构进行定期检查与维护，并做好记录，评价分值为10分。年检比例</w:t>
      </w:r>
      <w:r>
        <w:rPr>
          <w:rFonts w:hint="eastAsia"/>
          <w:sz w:val="22"/>
          <w:highlight w:val="none"/>
          <w:lang w:eastAsia="zh-CN"/>
        </w:rPr>
        <w:t>达到</w:t>
      </w:r>
      <w:r>
        <w:rPr>
          <w:rFonts w:hint="eastAsia"/>
          <w:sz w:val="22"/>
          <w:highlight w:val="none"/>
          <w:lang w:val="en-US" w:eastAsia="zh-CN"/>
        </w:rPr>
        <w:t>40%，</w:t>
      </w:r>
      <w:r>
        <w:rPr>
          <w:rFonts w:hint="eastAsia"/>
          <w:sz w:val="22"/>
          <w:highlight w:val="none"/>
        </w:rPr>
        <w:t>得</w:t>
      </w:r>
      <w:r>
        <w:rPr>
          <w:rFonts w:hint="eastAsia"/>
          <w:sz w:val="22"/>
          <w:highlight w:val="none"/>
          <w:lang w:val="en-US" w:eastAsia="zh-CN"/>
        </w:rPr>
        <w:t>5</w:t>
      </w:r>
      <w:r>
        <w:rPr>
          <w:rFonts w:hint="eastAsia"/>
          <w:sz w:val="22"/>
          <w:highlight w:val="none"/>
        </w:rPr>
        <w:t>分；</w:t>
      </w:r>
      <w:r>
        <w:rPr>
          <w:rFonts w:hint="eastAsia"/>
          <w:sz w:val="22"/>
          <w:highlight w:val="none"/>
          <w:lang w:eastAsia="zh-CN"/>
        </w:rPr>
        <w:t>达到</w:t>
      </w:r>
      <w:r>
        <w:rPr>
          <w:rFonts w:hint="eastAsia"/>
          <w:sz w:val="22"/>
          <w:highlight w:val="none"/>
          <w:lang w:val="en-US" w:eastAsia="zh-CN"/>
        </w:rPr>
        <w:t>80%</w:t>
      </w:r>
      <w:r>
        <w:rPr>
          <w:rFonts w:hint="eastAsia"/>
          <w:sz w:val="22"/>
          <w:highlight w:val="none"/>
        </w:rPr>
        <w:t>，得</w:t>
      </w:r>
      <w:r>
        <w:rPr>
          <w:rFonts w:hint="eastAsia"/>
          <w:sz w:val="22"/>
          <w:highlight w:val="none"/>
          <w:lang w:val="en-US" w:eastAsia="zh-CN"/>
        </w:rPr>
        <w:t>10</w:t>
      </w:r>
      <w:r>
        <w:rPr>
          <w:rFonts w:hint="eastAsia"/>
          <w:sz w:val="22"/>
          <w:highlight w:val="none"/>
        </w:rPr>
        <w:t>分</w:t>
      </w:r>
      <w:r>
        <w:rPr>
          <w:sz w:val="22"/>
          <w:highlight w:val="none"/>
        </w:rPr>
        <w:t>。</w:t>
      </w:r>
    </w:p>
    <w:p w14:paraId="3273BCCC">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本条强调了对外围护结构进行定期检查与维护的重要性，并规定了相应的评价分值和年检比例要求。具体来说，对于外围护结构的定期检查与维护，需要确保有完整的记录，并且这些记录是评价的一个重要组成部分，总评价分值为10分。此外，为了达到满分，年检比例必须达到或超过80%（剩余20%应在次年进行检查及维护），即超过80%的外围护结构都应接受年度检查与维护，以确保其性能和安全性得到持续的监控和维护‌。这样的规定旨在促进建筑物的长期可持续使用和安全性，同时也体现了对建筑维护管理工作的重视。</w:t>
      </w:r>
    </w:p>
    <w:p w14:paraId="752C38A7">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查阅检查与维护记录等相关证明文件。</w:t>
      </w:r>
    </w:p>
    <w:p w14:paraId="2D3CC80C">
      <w:pPr>
        <w:pStyle w:val="20"/>
        <w:widowControl/>
        <w:autoSpaceDE/>
        <w:autoSpaceDN/>
        <w:spacing w:beforeAutospacing="0" w:afterAutospacing="0" w:line="360" w:lineRule="auto"/>
        <w:rPr>
          <w:sz w:val="22"/>
          <w:highlight w:val="none"/>
        </w:rPr>
      </w:pPr>
      <w:r>
        <w:rPr>
          <w:rFonts w:hint="eastAsia"/>
          <w:b/>
          <w:bCs/>
          <w:color w:val="000000" w:themeColor="text1"/>
          <w:sz w:val="22"/>
          <w:highlight w:val="none"/>
          <w:lang w:val="en-US" w:eastAsia="zh-CN"/>
          <w14:textFill>
            <w14:solidFill>
              <w14:schemeClr w14:val="tx1"/>
            </w14:solidFill>
          </w14:textFill>
        </w:rPr>
        <w:t>6</w:t>
      </w:r>
      <w:r>
        <w:rPr>
          <w:b/>
          <w:bCs/>
          <w:color w:val="000000" w:themeColor="text1"/>
          <w:sz w:val="22"/>
          <w:highlight w:val="none"/>
          <w14:textFill>
            <w14:solidFill>
              <w14:schemeClr w14:val="tx1"/>
            </w14:solidFill>
          </w14:textFill>
        </w:rPr>
        <w:t>.2.</w:t>
      </w:r>
      <w:r>
        <w:rPr>
          <w:rFonts w:hint="eastAsia"/>
          <w:b/>
          <w:bCs/>
          <w:color w:val="000000" w:themeColor="text1"/>
          <w:sz w:val="22"/>
          <w:highlight w:val="none"/>
          <w:lang w:val="en-US" w:eastAsia="zh-CN"/>
          <w14:textFill>
            <w14:solidFill>
              <w14:schemeClr w14:val="tx1"/>
            </w14:solidFill>
          </w14:textFill>
        </w:rPr>
        <w:t>3</w:t>
      </w:r>
      <w:r>
        <w:rPr>
          <w:b/>
          <w:bCs/>
          <w:color w:val="000000" w:themeColor="text1"/>
          <w:sz w:val="22"/>
          <w:highlight w:val="none"/>
          <w14:textFill>
            <w14:solidFill>
              <w14:schemeClr w14:val="tx1"/>
            </w14:solidFill>
          </w14:textFill>
        </w:rPr>
        <w:t>　</w:t>
      </w:r>
      <w:r>
        <w:rPr>
          <w:rFonts w:hint="eastAsia"/>
          <w:sz w:val="22"/>
          <w:highlight w:val="none"/>
        </w:rPr>
        <w:t>对集成厨卫进行定期检查与维护，并做好记录，评价分值为10分。年检比例</w:t>
      </w:r>
      <w:r>
        <w:rPr>
          <w:rFonts w:hint="eastAsia"/>
          <w:sz w:val="22"/>
          <w:highlight w:val="none"/>
          <w:lang w:eastAsia="zh-CN"/>
        </w:rPr>
        <w:t>达到</w:t>
      </w:r>
      <w:r>
        <w:rPr>
          <w:rFonts w:hint="eastAsia"/>
          <w:sz w:val="22"/>
          <w:highlight w:val="none"/>
          <w:lang w:val="en-US" w:eastAsia="zh-CN"/>
        </w:rPr>
        <w:t>5</w:t>
      </w:r>
      <w:r>
        <w:rPr>
          <w:rFonts w:hint="eastAsia"/>
          <w:sz w:val="22"/>
          <w:highlight w:val="none"/>
        </w:rPr>
        <w:t>0%</w:t>
      </w:r>
      <w:r>
        <w:rPr>
          <w:rFonts w:hint="eastAsia"/>
          <w:sz w:val="22"/>
          <w:highlight w:val="none"/>
          <w:lang w:eastAsia="zh-CN"/>
        </w:rPr>
        <w:t>，</w:t>
      </w:r>
      <w:r>
        <w:rPr>
          <w:rFonts w:hint="eastAsia"/>
          <w:sz w:val="22"/>
          <w:highlight w:val="none"/>
        </w:rPr>
        <w:t>得</w:t>
      </w:r>
      <w:r>
        <w:rPr>
          <w:rFonts w:hint="eastAsia"/>
          <w:sz w:val="22"/>
          <w:highlight w:val="none"/>
          <w:lang w:val="en-US" w:eastAsia="zh-CN"/>
        </w:rPr>
        <w:t>5</w:t>
      </w:r>
      <w:r>
        <w:rPr>
          <w:rFonts w:hint="eastAsia"/>
          <w:sz w:val="22"/>
          <w:highlight w:val="none"/>
        </w:rPr>
        <w:t>分；</w:t>
      </w:r>
      <w:r>
        <w:rPr>
          <w:rFonts w:hint="eastAsia"/>
          <w:sz w:val="22"/>
          <w:highlight w:val="none"/>
          <w:lang w:eastAsia="zh-CN"/>
        </w:rPr>
        <w:t>达到</w:t>
      </w:r>
      <w:r>
        <w:rPr>
          <w:rFonts w:hint="eastAsia"/>
          <w:sz w:val="22"/>
          <w:highlight w:val="none"/>
          <w:lang w:val="en-US" w:eastAsia="zh-CN"/>
        </w:rPr>
        <w:t>100%</w:t>
      </w:r>
      <w:r>
        <w:rPr>
          <w:rFonts w:hint="eastAsia"/>
          <w:sz w:val="22"/>
          <w:highlight w:val="none"/>
        </w:rPr>
        <w:t>，得</w:t>
      </w:r>
      <w:r>
        <w:rPr>
          <w:rFonts w:hint="eastAsia"/>
          <w:sz w:val="22"/>
          <w:highlight w:val="none"/>
          <w:lang w:val="en-US" w:eastAsia="zh-CN"/>
        </w:rPr>
        <w:t>10</w:t>
      </w:r>
      <w:r>
        <w:rPr>
          <w:rFonts w:hint="eastAsia"/>
          <w:sz w:val="22"/>
          <w:highlight w:val="none"/>
        </w:rPr>
        <w:t>分</w:t>
      </w:r>
      <w:r>
        <w:rPr>
          <w:sz w:val="22"/>
          <w:highlight w:val="none"/>
        </w:rPr>
        <w:t>。</w:t>
      </w:r>
    </w:p>
    <w:p w14:paraId="181FC8EF">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对集成厨卫进行定期检查与维护是确保其安全、高效运行的重要措施。这包括但不限于检查各个设备之间的连接情况、燃气灶具的燃气部分（如热负荷、气密性、干烟气中CO浓度、热效率等）、以及排水系统的管径和坡度是否符合规定。此外，还应确保所有设备符合相关的国家标准和安全要求，如《家用燃气灶具》GB 16410-2020、《家用和类似用途电器的安全 第1部分_ 通用要求》GB 4706.1-2005、家用燃气灶具能效限定值及能效等级》GB 30720-2014《等。定期检查与维护的记录对于评价集成厨卫的性能和安全性至关重要。这些记录应包括检查的时间、内容、发现的问题以及采取的解决措施等，以确保所有设备都处于良好的工作状态。通过这样的定期检查与维护，不仅可以提高设备的使用寿命，还能预防潜在的安全隐患，保障用户的使用安全。对于集成厨卫的定期检查与维护工作，必须达到一定的检查频率和覆盖率，以确保所有关键设备和系统都得到了适当的检查和维护。</w:t>
      </w:r>
    </w:p>
    <w:p w14:paraId="240C6A72">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查阅检查与维护记录等相关证明文件。</w:t>
      </w:r>
    </w:p>
    <w:p w14:paraId="6DFBDA44">
      <w:pPr>
        <w:pStyle w:val="20"/>
        <w:widowControl/>
        <w:autoSpaceDE/>
        <w:autoSpaceDN/>
        <w:spacing w:beforeAutospacing="0" w:afterAutospacing="0" w:line="360" w:lineRule="auto"/>
        <w:rPr>
          <w:sz w:val="22"/>
          <w:highlight w:val="none"/>
        </w:rPr>
      </w:pPr>
      <w:r>
        <w:rPr>
          <w:rFonts w:hint="eastAsia"/>
          <w:b/>
          <w:bCs/>
          <w:color w:val="000000" w:themeColor="text1"/>
          <w:sz w:val="22"/>
          <w:highlight w:val="none"/>
          <w:lang w:val="en-US" w:eastAsia="zh-CN"/>
          <w14:textFill>
            <w14:solidFill>
              <w14:schemeClr w14:val="tx1"/>
            </w14:solidFill>
          </w14:textFill>
        </w:rPr>
        <w:t>6</w:t>
      </w:r>
      <w:r>
        <w:rPr>
          <w:b/>
          <w:bCs/>
          <w:color w:val="000000" w:themeColor="text1"/>
          <w:sz w:val="22"/>
          <w:highlight w:val="none"/>
          <w14:textFill>
            <w14:solidFill>
              <w14:schemeClr w14:val="tx1"/>
            </w14:solidFill>
          </w14:textFill>
        </w:rPr>
        <w:t>.2.</w:t>
      </w:r>
      <w:r>
        <w:rPr>
          <w:rFonts w:hint="eastAsia"/>
          <w:b/>
          <w:bCs/>
          <w:color w:val="000000" w:themeColor="text1"/>
          <w:sz w:val="22"/>
          <w:highlight w:val="none"/>
          <w:lang w:val="en-US" w:eastAsia="zh-CN"/>
          <w14:textFill>
            <w14:solidFill>
              <w14:schemeClr w14:val="tx1"/>
            </w14:solidFill>
          </w14:textFill>
        </w:rPr>
        <w:t>4</w:t>
      </w:r>
      <w:r>
        <w:rPr>
          <w:b/>
          <w:bCs/>
          <w:color w:val="000000" w:themeColor="text1"/>
          <w:sz w:val="22"/>
          <w:highlight w:val="none"/>
          <w14:textFill>
            <w14:solidFill>
              <w14:schemeClr w14:val="tx1"/>
            </w14:solidFill>
          </w14:textFill>
        </w:rPr>
        <w:t>　</w:t>
      </w:r>
      <w:r>
        <w:rPr>
          <w:rFonts w:hint="eastAsia"/>
          <w:sz w:val="22"/>
          <w:highlight w:val="none"/>
        </w:rPr>
        <w:t>对集成机房、管井、管线进行定期检查与维护，并做好记录，评价分值为10分。年检比例达到50%，得5分；达到100%，得10分。</w:t>
      </w:r>
    </w:p>
    <w:p w14:paraId="7B128B4A">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对于集成机房、管井、管线的定期检查与维护，确保了设备的正常运行和安全使用，是保障设施长期稳定运行的重要措施。这些检查与维护工作不仅涉及到设备的物理状态检查，还包括对设备性能的测试和记录，以确保设备在最佳状态下运行。通过定期的检查和维护，可以及时发现并解决潜在的问题，避免设备故障或性能下降，从而保证整个系统的效率和安全性。此外，做好详细的记录对于跟踪设备的维护历史、预测设备寿命以及优化维护计划都至关重要。因此，这一评价标准强调了对集成机房、管井、管线进行定期检查与维护的重要性，以鼓励运营单位重视并执行这些维护措施‌。</w:t>
      </w:r>
    </w:p>
    <w:p w14:paraId="6236DAB8">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查阅检查与维护记录等相关证明文件。</w:t>
      </w:r>
    </w:p>
    <w:p w14:paraId="0005C209">
      <w:pPr>
        <w:pStyle w:val="20"/>
        <w:widowControl/>
        <w:autoSpaceDE/>
        <w:autoSpaceDN/>
        <w:spacing w:beforeAutospacing="0" w:afterAutospacing="0" w:line="360" w:lineRule="auto"/>
        <w:rPr>
          <w:sz w:val="22"/>
          <w:highlight w:val="none"/>
        </w:rPr>
      </w:pPr>
      <w:r>
        <w:rPr>
          <w:rFonts w:hint="eastAsia"/>
          <w:b/>
          <w:bCs/>
          <w:color w:val="000000" w:themeColor="text1"/>
          <w:sz w:val="22"/>
          <w:highlight w:val="none"/>
          <w:lang w:val="en-US" w:eastAsia="zh-CN"/>
          <w14:textFill>
            <w14:solidFill>
              <w14:schemeClr w14:val="tx1"/>
            </w14:solidFill>
          </w14:textFill>
        </w:rPr>
        <w:t>6</w:t>
      </w:r>
      <w:r>
        <w:rPr>
          <w:b/>
          <w:bCs/>
          <w:color w:val="000000" w:themeColor="text1"/>
          <w:sz w:val="22"/>
          <w:highlight w:val="none"/>
          <w14:textFill>
            <w14:solidFill>
              <w14:schemeClr w14:val="tx1"/>
            </w14:solidFill>
          </w14:textFill>
        </w:rPr>
        <w:t>.2.</w:t>
      </w:r>
      <w:r>
        <w:rPr>
          <w:rFonts w:hint="eastAsia"/>
          <w:b/>
          <w:bCs/>
          <w:color w:val="000000" w:themeColor="text1"/>
          <w:sz w:val="22"/>
          <w:highlight w:val="none"/>
          <w:lang w:val="en-US" w:eastAsia="zh-CN"/>
          <w14:textFill>
            <w14:solidFill>
              <w14:schemeClr w14:val="tx1"/>
            </w14:solidFill>
          </w14:textFill>
        </w:rPr>
        <w:t>5</w:t>
      </w:r>
      <w:r>
        <w:rPr>
          <w:b/>
          <w:bCs/>
          <w:color w:val="000000" w:themeColor="text1"/>
          <w:sz w:val="22"/>
          <w:highlight w:val="none"/>
          <w14:textFill>
            <w14:solidFill>
              <w14:schemeClr w14:val="tx1"/>
            </w14:solidFill>
          </w14:textFill>
        </w:rPr>
        <w:t>　</w:t>
      </w:r>
      <w:r>
        <w:rPr>
          <w:rFonts w:hint="eastAsia"/>
          <w:b w:val="0"/>
          <w:bCs w:val="0"/>
          <w:color w:val="000000" w:themeColor="text1"/>
          <w:sz w:val="22"/>
          <w:highlight w:val="none"/>
          <w:lang w:val="en-US" w:eastAsia="zh-CN"/>
          <w14:textFill>
            <w14:solidFill>
              <w14:schemeClr w14:val="tx1"/>
            </w14:solidFill>
          </w14:textFill>
        </w:rPr>
        <w:t>对装配式隔墙、干式工法地面进行定期检查与维护，并做好记录，评价分值为10分。</w:t>
      </w:r>
      <w:r>
        <w:rPr>
          <w:rFonts w:hint="eastAsia"/>
          <w:sz w:val="22"/>
          <w:highlight w:val="none"/>
        </w:rPr>
        <w:t>年检比例达到50%，得5分；达到100%，得10分。</w:t>
      </w:r>
    </w:p>
    <w:p w14:paraId="43D67318">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对于装配式建筑，定期检查与维护装配式隔墙和干式工法地面是确保建筑性能和安全的重要措施。这些检查不仅包括对隔墙和地面的物理状态进行检查，还包括对其功能性和安全性的评估。需要关注以下2个方面：1、‌装配式隔墙‌的检查与维护应确保其安装稳固，无裂缝或损坏，同时检查其防水、隔热等性能是否符合设计要求；2、‌干式工法地面‌的检查与维护则侧重于地面的平整度、耐用性以及与厨房、卫生间等区域的特殊要求是否满足。本条旨在确保装配式隔墙、干式工法地面的质量和安全性，同时也为定期检查和维护提供了明确的指导。通过定期检查与维护，并做好记录，可以及时发现并解决潜在的安全隐患，确保建筑的安全性和耐用性，从而为居住者提供一个安全、舒适的居住环境。</w:t>
      </w:r>
    </w:p>
    <w:p w14:paraId="13C21510">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查阅检查与维护记录等相关证明文件。</w:t>
      </w:r>
    </w:p>
    <w:p w14:paraId="078567FB">
      <w:pPr>
        <w:pStyle w:val="20"/>
        <w:widowControl/>
        <w:autoSpaceDE/>
        <w:autoSpaceDN/>
        <w:spacing w:beforeAutospacing="0" w:afterAutospacing="0" w:line="360" w:lineRule="auto"/>
        <w:rPr>
          <w:sz w:val="22"/>
          <w:highlight w:val="none"/>
        </w:rPr>
      </w:pPr>
      <w:r>
        <w:rPr>
          <w:rFonts w:hint="eastAsia"/>
          <w:b/>
          <w:bCs/>
          <w:color w:val="000000" w:themeColor="text1"/>
          <w:sz w:val="22"/>
          <w:highlight w:val="none"/>
          <w:lang w:val="en-US" w:eastAsia="zh-CN"/>
          <w14:textFill>
            <w14:solidFill>
              <w14:schemeClr w14:val="tx1"/>
            </w14:solidFill>
          </w14:textFill>
        </w:rPr>
        <w:t>6</w:t>
      </w:r>
      <w:r>
        <w:rPr>
          <w:b/>
          <w:bCs/>
          <w:color w:val="000000" w:themeColor="text1"/>
          <w:sz w:val="22"/>
          <w:highlight w:val="none"/>
          <w14:textFill>
            <w14:solidFill>
              <w14:schemeClr w14:val="tx1"/>
            </w14:solidFill>
          </w14:textFill>
        </w:rPr>
        <w:t>.2.</w:t>
      </w:r>
      <w:r>
        <w:rPr>
          <w:rFonts w:hint="eastAsia"/>
          <w:b/>
          <w:bCs/>
          <w:color w:val="000000" w:themeColor="text1"/>
          <w:sz w:val="22"/>
          <w:highlight w:val="none"/>
          <w:lang w:val="en-US" w:eastAsia="zh-CN"/>
          <w14:textFill>
            <w14:solidFill>
              <w14:schemeClr w14:val="tx1"/>
            </w14:solidFill>
          </w14:textFill>
        </w:rPr>
        <w:t>6</w:t>
      </w:r>
      <w:r>
        <w:rPr>
          <w:b/>
          <w:bCs/>
          <w:color w:val="000000" w:themeColor="text1"/>
          <w:sz w:val="22"/>
          <w:highlight w:val="none"/>
          <w14:textFill>
            <w14:solidFill>
              <w14:schemeClr w14:val="tx1"/>
            </w14:solidFill>
          </w14:textFill>
        </w:rPr>
        <w:t>　</w:t>
      </w:r>
      <w:r>
        <w:rPr>
          <w:rFonts w:hint="eastAsia"/>
          <w:sz w:val="22"/>
          <w:highlight w:val="none"/>
        </w:rPr>
        <w:t>对采取措施提高机电设备的运行效率，评价分值为10分。</w:t>
      </w:r>
    </w:p>
    <w:p w14:paraId="79DCFBFE">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机电设备运行效率与能耗有直接关系，能耗又与碳排放相关联，运营过程中应尽量让机电设备在高效区运行，拟达到降低能耗的目的。为了提高机电设备的运行效率，可以采取以下措施：‌确保机电设备的定期检测和维护‌、‌优化机电设备的操作和管理‌、‌采用先进的电控装置和技术‌、‌实施远程监控和智能化管理‌、‌加强员工培训和技术更新、‌建立设备档案和维修记录‌等，这些措施不仅有助于提升设备的性能和寿命，还能降低运营成本，提高生产效率，对于运营单位的长期发展具有重要意义‌。</w:t>
      </w:r>
    </w:p>
    <w:p w14:paraId="795F9A29">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查阅检查与维护、培训等档案和记录等相关证明文件。</w:t>
      </w:r>
    </w:p>
    <w:p w14:paraId="30DF9375">
      <w:pPr>
        <w:pStyle w:val="20"/>
        <w:widowControl/>
        <w:autoSpaceDE/>
        <w:autoSpaceDN/>
        <w:spacing w:beforeAutospacing="0" w:afterAutospacing="0" w:line="360" w:lineRule="auto"/>
        <w:rPr>
          <w:sz w:val="22"/>
          <w:highlight w:val="none"/>
        </w:rPr>
      </w:pPr>
      <w:r>
        <w:rPr>
          <w:rFonts w:hint="eastAsia"/>
          <w:b/>
          <w:bCs/>
          <w:color w:val="000000" w:themeColor="text1"/>
          <w:sz w:val="22"/>
          <w:highlight w:val="none"/>
          <w:lang w:val="en-US" w:eastAsia="zh-CN"/>
          <w14:textFill>
            <w14:solidFill>
              <w14:schemeClr w14:val="tx1"/>
            </w14:solidFill>
          </w14:textFill>
        </w:rPr>
        <w:t>6</w:t>
      </w:r>
      <w:r>
        <w:rPr>
          <w:b/>
          <w:bCs/>
          <w:color w:val="000000" w:themeColor="text1"/>
          <w:sz w:val="22"/>
          <w:highlight w:val="none"/>
          <w14:textFill>
            <w14:solidFill>
              <w14:schemeClr w14:val="tx1"/>
            </w14:solidFill>
          </w14:textFill>
        </w:rPr>
        <w:t>.2.</w:t>
      </w:r>
      <w:r>
        <w:rPr>
          <w:rFonts w:hint="eastAsia"/>
          <w:b/>
          <w:bCs/>
          <w:color w:val="000000" w:themeColor="text1"/>
          <w:sz w:val="22"/>
          <w:highlight w:val="none"/>
          <w:lang w:val="en-US" w:eastAsia="zh-CN"/>
          <w14:textFill>
            <w14:solidFill>
              <w14:schemeClr w14:val="tx1"/>
            </w14:solidFill>
          </w14:textFill>
        </w:rPr>
        <w:t>7</w:t>
      </w:r>
      <w:r>
        <w:rPr>
          <w:b/>
          <w:bCs/>
          <w:color w:val="000000" w:themeColor="text1"/>
          <w:sz w:val="22"/>
          <w:highlight w:val="none"/>
          <w14:textFill>
            <w14:solidFill>
              <w14:schemeClr w14:val="tx1"/>
            </w14:solidFill>
          </w14:textFill>
        </w:rPr>
        <w:t>　</w:t>
      </w:r>
      <w:r>
        <w:rPr>
          <w:rFonts w:hint="eastAsia"/>
          <w:sz w:val="22"/>
          <w:highlight w:val="none"/>
        </w:rPr>
        <w:t>利用装配化技术，进行维修及更换，评价分值为1</w:t>
      </w:r>
      <w:r>
        <w:rPr>
          <w:rFonts w:hint="eastAsia"/>
          <w:sz w:val="22"/>
          <w:highlight w:val="none"/>
          <w:lang w:val="en-US" w:eastAsia="zh-CN"/>
        </w:rPr>
        <w:t>0</w:t>
      </w:r>
      <w:r>
        <w:rPr>
          <w:rFonts w:hint="eastAsia"/>
          <w:sz w:val="22"/>
          <w:highlight w:val="none"/>
        </w:rPr>
        <w:t>分。维修及更换过程中装配化比例达到50%，得5分；达到70%，得1</w:t>
      </w:r>
      <w:r>
        <w:rPr>
          <w:rFonts w:hint="eastAsia"/>
          <w:sz w:val="22"/>
          <w:highlight w:val="none"/>
          <w:lang w:val="en-US" w:eastAsia="zh-CN"/>
        </w:rPr>
        <w:t>0</w:t>
      </w:r>
      <w:r>
        <w:rPr>
          <w:rFonts w:hint="eastAsia"/>
          <w:sz w:val="22"/>
          <w:highlight w:val="none"/>
        </w:rPr>
        <w:t>分。</w:t>
      </w:r>
    </w:p>
    <w:p w14:paraId="53A58B90">
      <w:pPr>
        <w:pStyle w:val="20"/>
        <w:widowControl/>
        <w:autoSpaceDE/>
        <w:autoSpaceDN/>
        <w:spacing w:beforeAutospacing="0" w:afterAutospacing="0" w:line="360" w:lineRule="auto"/>
        <w:jc w:val="both"/>
        <w:rPr>
          <w:rFonts w:hint="eastAsia"/>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为体现装配化技术在维修及更换领域的应用价值，通过提高装配化比例，可以有效提升维修及更换工作的效率和质量，同时也有助于推动相关行业的标准化和智能化发展。具体来说，装配化技术在维修及更换过程中的应用，不仅涉及到零部件的维修和更换，还包括整个维修过程的标准化和优化，从而提高维修工作的效率和准确性。此外，通过提高装配化比例，可以减少人为错误，降低维修成本，提高维修质量，从而为用户提供更加优质的服务。在评价过程中，装配化技术的应用情况将被作为一个重要的评价指标，具体包括装配化技术的使用范围、装配化比例、以及装配化技术在实际操作中的效果等。通过这些评价标准，可以客观地评估装配化技术在维修及更换领域的应用效果，进而推动相关技术的进一步发展和应用。</w:t>
      </w:r>
    </w:p>
    <w:p w14:paraId="4B81A613">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查阅维修更换装配化应用比例计算书、维修影像记录等相关证明文件。</w:t>
      </w:r>
    </w:p>
    <w:p w14:paraId="4065C736">
      <w:pPr>
        <w:autoSpaceDE/>
        <w:autoSpaceDN/>
        <w:spacing w:line="360" w:lineRule="auto"/>
        <w:rPr>
          <w:rFonts w:cs="Times New Roman"/>
          <w:highlight w:val="none"/>
          <w:lang w:val="en-US"/>
        </w:rPr>
      </w:pPr>
      <w:r>
        <w:rPr>
          <w:rFonts w:hint="eastAsia" w:cs="Times New Roman"/>
          <w:b/>
          <w:bCs/>
          <w:highlight w:val="none"/>
          <w:lang w:val="en-US" w:eastAsia="zh-CN"/>
        </w:rPr>
        <w:t>6</w:t>
      </w:r>
      <w:r>
        <w:rPr>
          <w:rFonts w:hint="eastAsia" w:cs="Times New Roman"/>
          <w:b/>
          <w:bCs/>
          <w:highlight w:val="none"/>
          <w:lang w:val="en-US"/>
        </w:rPr>
        <w:t>.2.</w:t>
      </w:r>
      <w:r>
        <w:rPr>
          <w:rFonts w:hint="eastAsia" w:cs="Times New Roman"/>
          <w:b/>
          <w:bCs/>
          <w:highlight w:val="none"/>
          <w:lang w:val="en-US" w:eastAsia="zh-CN"/>
        </w:rPr>
        <w:t>8</w:t>
      </w:r>
      <w:r>
        <w:rPr>
          <w:rFonts w:hint="eastAsia" w:cs="Times New Roman"/>
          <w:highlight w:val="none"/>
          <w:lang w:val="en-US"/>
        </w:rPr>
        <w:t xml:space="preserve"> 部品部件供应</w:t>
      </w:r>
      <w:r>
        <w:rPr>
          <w:rFonts w:hint="eastAsia" w:cs="Times New Roman"/>
          <w:highlight w:val="none"/>
          <w:lang w:val="en-US" w:eastAsia="zh-CN"/>
        </w:rPr>
        <w:t>建立</w:t>
      </w:r>
      <w:r>
        <w:rPr>
          <w:rFonts w:hint="eastAsia" w:cs="Times New Roman"/>
          <w:highlight w:val="none"/>
          <w:lang w:val="en-US"/>
        </w:rPr>
        <w:t>信息库</w:t>
      </w:r>
      <w:r>
        <w:rPr>
          <w:rFonts w:hint="eastAsia"/>
          <w:sz w:val="22"/>
          <w:highlight w:val="none"/>
        </w:rPr>
        <w:t>，评价分值为1</w:t>
      </w:r>
      <w:r>
        <w:rPr>
          <w:rFonts w:hint="eastAsia"/>
          <w:sz w:val="22"/>
          <w:highlight w:val="none"/>
          <w:lang w:val="en-US" w:eastAsia="zh-CN"/>
        </w:rPr>
        <w:t>0</w:t>
      </w:r>
      <w:r>
        <w:rPr>
          <w:rFonts w:hint="eastAsia"/>
          <w:sz w:val="22"/>
          <w:highlight w:val="none"/>
        </w:rPr>
        <w:t>分</w:t>
      </w:r>
      <w:r>
        <w:rPr>
          <w:rFonts w:hint="eastAsia"/>
          <w:sz w:val="22"/>
          <w:highlight w:val="none"/>
          <w:lang w:eastAsia="zh-CN"/>
        </w:rPr>
        <w:t>。</w:t>
      </w:r>
      <w:r>
        <w:rPr>
          <w:rFonts w:hint="eastAsia" w:cs="Times New Roman"/>
          <w:highlight w:val="none"/>
          <w:lang w:val="en-US"/>
        </w:rPr>
        <w:t>覆盖比例达到50%，得5分</w:t>
      </w:r>
      <w:r>
        <w:rPr>
          <w:rFonts w:cs="Times New Roman"/>
          <w:highlight w:val="none"/>
          <w:lang w:val="en-US"/>
        </w:rPr>
        <w:t>；</w:t>
      </w:r>
      <w:r>
        <w:rPr>
          <w:rFonts w:hint="eastAsia" w:cs="Times New Roman"/>
          <w:highlight w:val="none"/>
          <w:lang w:val="en-US"/>
        </w:rPr>
        <w:t>达到</w:t>
      </w:r>
      <w:r>
        <w:rPr>
          <w:rFonts w:hint="eastAsia" w:cs="Times New Roman"/>
          <w:highlight w:val="none"/>
          <w:lang w:val="en-US" w:eastAsia="zh-CN"/>
        </w:rPr>
        <w:t>7</w:t>
      </w:r>
      <w:r>
        <w:rPr>
          <w:rFonts w:hint="eastAsia" w:cs="Times New Roman"/>
          <w:highlight w:val="none"/>
          <w:lang w:val="en-US"/>
        </w:rPr>
        <w:t>0%，得10分</w:t>
      </w:r>
      <w:r>
        <w:rPr>
          <w:rFonts w:cs="Times New Roman"/>
          <w:highlight w:val="none"/>
          <w:lang w:val="en-US"/>
        </w:rPr>
        <w:t>。</w:t>
      </w:r>
    </w:p>
    <w:p w14:paraId="35F8054F">
      <w:pPr>
        <w:pStyle w:val="20"/>
        <w:widowControl/>
        <w:autoSpaceDE/>
        <w:autoSpaceDN/>
        <w:spacing w:beforeAutospacing="0" w:afterAutospacing="0" w:line="360" w:lineRule="auto"/>
        <w:jc w:val="both"/>
        <w:rPr>
          <w:rFonts w:hint="eastAsia"/>
          <w:i/>
          <w:iCs/>
          <w:color w:val="000000"/>
          <w:sz w:val="22"/>
          <w:highlight w:val="none"/>
        </w:rPr>
      </w:pPr>
      <w:r>
        <w:rPr>
          <w:rFonts w:hint="eastAsia"/>
          <w:i/>
          <w:iCs/>
          <w:color w:val="000000"/>
          <w:sz w:val="22"/>
          <w:highlight w:val="none"/>
        </w:rPr>
        <w:t>【条文说明】提倡通过建立部品部件信息化库，对部品部件的进行分类归集并建立供应商信息库，实现信息互联互通，最大限度降低运输、维修及更换过程中的碳排放，激励供应商不断提升部品部件供应信息库的覆盖比例，从而提升供应链的效率和透明度，以适应不断变化的市场需求和提升供应链管理的效率。</w:t>
      </w:r>
    </w:p>
    <w:p w14:paraId="0E96EAA4">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查阅部品部件供应信息库等相关证明文件。</w:t>
      </w:r>
    </w:p>
    <w:p w14:paraId="59DD1213">
      <w:pPr>
        <w:autoSpaceDE/>
        <w:autoSpaceDN/>
        <w:spacing w:line="360" w:lineRule="auto"/>
        <w:rPr>
          <w:rFonts w:cs="Times New Roman"/>
          <w:highlight w:val="none"/>
          <w:lang w:val="en-US"/>
        </w:rPr>
      </w:pPr>
      <w:r>
        <w:rPr>
          <w:rFonts w:hint="eastAsia" w:cs="Times New Roman"/>
          <w:b/>
          <w:bCs/>
          <w:highlight w:val="none"/>
          <w:lang w:val="en-US" w:eastAsia="zh-CN"/>
        </w:rPr>
        <w:t>6</w:t>
      </w:r>
      <w:r>
        <w:rPr>
          <w:rFonts w:cs="Times New Roman"/>
          <w:b/>
          <w:bCs/>
          <w:highlight w:val="none"/>
          <w:lang w:val="en-US"/>
        </w:rPr>
        <w:t>.2.</w:t>
      </w:r>
      <w:r>
        <w:rPr>
          <w:rFonts w:hint="eastAsia" w:cs="Times New Roman"/>
          <w:b/>
          <w:bCs/>
          <w:highlight w:val="none"/>
          <w:lang w:val="en-US" w:eastAsia="zh-CN"/>
        </w:rPr>
        <w:t>9</w:t>
      </w:r>
      <w:r>
        <w:rPr>
          <w:rFonts w:cs="Times New Roman"/>
          <w:b/>
          <w:bCs/>
          <w:highlight w:val="none"/>
          <w:lang w:val="en-US"/>
        </w:rPr>
        <w:t>　</w:t>
      </w:r>
      <w:r>
        <w:rPr>
          <w:rFonts w:hint="eastAsia" w:cs="Times New Roman"/>
          <w:highlight w:val="none"/>
          <w:lang w:val="en-US"/>
        </w:rPr>
        <w:t>定期对建筑低碳运行效果进行评估，并根据结果进行运行优化，评价总分值为10分，应按下列规则分别评分并累计：</w:t>
      </w:r>
    </w:p>
    <w:p w14:paraId="33C436FC">
      <w:pPr>
        <w:autoSpaceDE/>
        <w:autoSpaceDN/>
        <w:spacing w:line="360" w:lineRule="auto"/>
        <w:ind w:firstLine="420"/>
        <w:rPr>
          <w:rFonts w:cs="Times New Roman"/>
          <w:highlight w:val="none"/>
          <w:lang w:val="en-US"/>
        </w:rPr>
      </w:pPr>
      <w:r>
        <w:rPr>
          <w:rFonts w:cs="Times New Roman"/>
          <w:b/>
          <w:bCs/>
          <w:highlight w:val="none"/>
          <w:lang w:val="en-US"/>
        </w:rPr>
        <w:t>1</w:t>
      </w:r>
      <w:r>
        <w:rPr>
          <w:rFonts w:cs="Times New Roman"/>
          <w:highlight w:val="none"/>
          <w:lang w:val="en-US"/>
        </w:rPr>
        <w:t>　</w:t>
      </w:r>
      <w:r>
        <w:rPr>
          <w:rFonts w:hint="eastAsia" w:cs="Times New Roman"/>
          <w:highlight w:val="none"/>
          <w:lang w:val="en-US"/>
        </w:rPr>
        <w:t>制定建筑低碳运营效果评估的技术方案和计划，得3分</w:t>
      </w:r>
      <w:r>
        <w:rPr>
          <w:rFonts w:cs="Times New Roman"/>
          <w:highlight w:val="none"/>
          <w:lang w:val="en-US"/>
        </w:rPr>
        <w:t>；</w:t>
      </w:r>
    </w:p>
    <w:p w14:paraId="6FBC168A">
      <w:pPr>
        <w:autoSpaceDE/>
        <w:autoSpaceDN/>
        <w:spacing w:line="360" w:lineRule="auto"/>
        <w:ind w:firstLine="420"/>
        <w:rPr>
          <w:rFonts w:cs="Times New Roman"/>
          <w:highlight w:val="none"/>
          <w:lang w:val="en-US"/>
        </w:rPr>
      </w:pPr>
      <w:r>
        <w:rPr>
          <w:rFonts w:cs="Times New Roman"/>
          <w:b/>
          <w:bCs/>
          <w:highlight w:val="none"/>
          <w:lang w:val="en-US"/>
        </w:rPr>
        <w:t>2</w:t>
      </w:r>
      <w:r>
        <w:rPr>
          <w:rFonts w:cs="Times New Roman"/>
          <w:highlight w:val="none"/>
          <w:lang w:val="en-US"/>
        </w:rPr>
        <w:t>　</w:t>
      </w:r>
      <w:r>
        <w:rPr>
          <w:rFonts w:hint="eastAsia" w:cs="Times New Roman"/>
          <w:highlight w:val="none"/>
          <w:lang w:val="en-US"/>
        </w:rPr>
        <w:t>定期检查、调适公共设施设备，具有检查、调试、运行、标定的记录，且记录完整，得3分；</w:t>
      </w:r>
    </w:p>
    <w:p w14:paraId="131EFC0D">
      <w:pPr>
        <w:autoSpaceDE/>
        <w:autoSpaceDN/>
        <w:spacing w:line="360" w:lineRule="auto"/>
        <w:ind w:firstLine="420"/>
        <w:rPr>
          <w:rFonts w:hint="eastAsia" w:cs="Times New Roman"/>
          <w:highlight w:val="none"/>
          <w:lang w:val="en-US"/>
        </w:rPr>
      </w:pPr>
      <w:r>
        <w:rPr>
          <w:rFonts w:hint="eastAsia" w:cs="Times New Roman"/>
          <w:b/>
          <w:bCs/>
          <w:highlight w:val="none"/>
          <w:lang w:val="en-US"/>
        </w:rPr>
        <w:t>3</w:t>
      </w:r>
      <w:r>
        <w:rPr>
          <w:rFonts w:cs="Times New Roman"/>
          <w:highlight w:val="none"/>
          <w:lang w:val="en-US"/>
        </w:rPr>
        <w:t>　</w:t>
      </w:r>
      <w:r>
        <w:rPr>
          <w:rFonts w:hint="eastAsia" w:cs="Times New Roman"/>
          <w:highlight w:val="none"/>
          <w:lang w:val="en-US"/>
        </w:rPr>
        <w:t>定期开展低碳诊断评估，并根据评估结果制定优化方案并实施，得4分。</w:t>
      </w:r>
    </w:p>
    <w:p w14:paraId="01695274">
      <w:pPr>
        <w:pStyle w:val="20"/>
        <w:widowControl/>
        <w:autoSpaceDE/>
        <w:autoSpaceDN/>
        <w:spacing w:beforeAutospacing="0" w:afterAutospacing="0" w:line="360" w:lineRule="auto"/>
        <w:jc w:val="both"/>
        <w:rPr>
          <w:rFonts w:hint="default" w:eastAsia="宋体"/>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通过低碳运行效果评估，有效反馈到建筑设计和施工过程中采用具有良好耐久性和可持续性的建筑材料和部件，以提高建筑的长期使用性能和减少维护成本。通过这样的评价和优化措施，可以有效提升建筑的能效和降低运营成本，从而实现低碳运营的目标。</w:t>
      </w:r>
    </w:p>
    <w:p w14:paraId="0912B6DB">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查阅运营评估报告、设备调试记录、低碳评估诊断报告等相关证明文件。</w:t>
      </w:r>
    </w:p>
    <w:p w14:paraId="0BEB0F39">
      <w:pPr>
        <w:autoSpaceDE/>
        <w:autoSpaceDN/>
        <w:spacing w:line="360" w:lineRule="auto"/>
        <w:rPr>
          <w:rFonts w:cs="Times New Roman"/>
          <w:highlight w:val="none"/>
          <w:lang w:val="en-US"/>
        </w:rPr>
      </w:pPr>
      <w:r>
        <w:rPr>
          <w:rFonts w:hint="eastAsia" w:cs="Times New Roman"/>
          <w:b/>
          <w:bCs/>
          <w:highlight w:val="none"/>
          <w:lang w:val="en-US" w:eastAsia="zh-CN"/>
        </w:rPr>
        <w:t>6</w:t>
      </w:r>
      <w:r>
        <w:rPr>
          <w:rFonts w:cs="Times New Roman"/>
          <w:b/>
          <w:bCs/>
          <w:highlight w:val="none"/>
          <w:lang w:val="en-US"/>
        </w:rPr>
        <w:t>.2.</w:t>
      </w:r>
      <w:r>
        <w:rPr>
          <w:rFonts w:hint="eastAsia" w:cs="Times New Roman"/>
          <w:b/>
          <w:bCs/>
          <w:highlight w:val="none"/>
          <w:lang w:val="en-US" w:eastAsia="zh-CN"/>
        </w:rPr>
        <w:t>10</w:t>
      </w:r>
      <w:r>
        <w:rPr>
          <w:rFonts w:cs="Times New Roman"/>
          <w:b/>
          <w:bCs/>
          <w:highlight w:val="none"/>
          <w:lang w:val="en-US"/>
        </w:rPr>
        <w:t>　</w:t>
      </w:r>
      <w:r>
        <w:rPr>
          <w:rFonts w:hint="eastAsia" w:cs="Times New Roman"/>
          <w:highlight w:val="none"/>
          <w:lang w:val="en-US"/>
        </w:rPr>
        <w:t>建立低碳教育宣传和实践机制，编制低碳设施使用手册，提高低碳理念，并定期开展使用者满意度调差，评价总分值为1</w:t>
      </w:r>
      <w:r>
        <w:rPr>
          <w:rFonts w:hint="eastAsia" w:cs="Times New Roman"/>
          <w:highlight w:val="none"/>
          <w:lang w:val="en-US" w:eastAsia="zh-CN"/>
        </w:rPr>
        <w:t>0</w:t>
      </w:r>
      <w:r>
        <w:rPr>
          <w:rFonts w:hint="eastAsia" w:cs="Times New Roman"/>
          <w:highlight w:val="none"/>
          <w:lang w:val="en-US"/>
        </w:rPr>
        <w:t>分，应按下列规则分别评分并累计：</w:t>
      </w:r>
    </w:p>
    <w:p w14:paraId="75C1B984">
      <w:pPr>
        <w:autoSpaceDE/>
        <w:autoSpaceDN/>
        <w:spacing w:line="360" w:lineRule="auto"/>
        <w:ind w:firstLine="420"/>
        <w:rPr>
          <w:rFonts w:cs="Times New Roman"/>
          <w:highlight w:val="none"/>
          <w:lang w:val="en-US"/>
        </w:rPr>
      </w:pPr>
      <w:r>
        <w:rPr>
          <w:rFonts w:cs="Times New Roman"/>
          <w:b/>
          <w:bCs/>
          <w:highlight w:val="none"/>
          <w:lang w:val="en-US"/>
        </w:rPr>
        <w:t>1</w:t>
      </w:r>
      <w:r>
        <w:rPr>
          <w:rFonts w:cs="Times New Roman"/>
          <w:highlight w:val="none"/>
          <w:lang w:val="en-US"/>
        </w:rPr>
        <w:t>　</w:t>
      </w:r>
      <w:r>
        <w:rPr>
          <w:rFonts w:hint="eastAsia" w:cs="Times New Roman"/>
          <w:highlight w:val="none"/>
          <w:lang w:val="en-US"/>
        </w:rPr>
        <w:t>每年组织不少于3次的低碳建筑技术宣传、低碳生活引导等低碳教育宣传和实践活动，并有活动记录，得3分</w:t>
      </w:r>
      <w:r>
        <w:rPr>
          <w:rFonts w:cs="Times New Roman"/>
          <w:highlight w:val="none"/>
          <w:lang w:val="en-US"/>
        </w:rPr>
        <w:t>；</w:t>
      </w:r>
    </w:p>
    <w:p w14:paraId="3381D50F">
      <w:pPr>
        <w:autoSpaceDE/>
        <w:autoSpaceDN/>
        <w:spacing w:line="360" w:lineRule="auto"/>
        <w:ind w:firstLine="420"/>
        <w:rPr>
          <w:rFonts w:cs="Times New Roman"/>
          <w:highlight w:val="none"/>
          <w:lang w:val="en-US"/>
        </w:rPr>
      </w:pPr>
      <w:r>
        <w:rPr>
          <w:rFonts w:cs="Times New Roman"/>
          <w:b/>
          <w:bCs/>
          <w:highlight w:val="none"/>
          <w:lang w:val="en-US"/>
        </w:rPr>
        <w:t>2</w:t>
      </w:r>
      <w:r>
        <w:rPr>
          <w:rFonts w:cs="Times New Roman"/>
          <w:highlight w:val="none"/>
          <w:lang w:val="en-US"/>
        </w:rPr>
        <w:t>　</w:t>
      </w:r>
      <w:r>
        <w:rPr>
          <w:rFonts w:hint="eastAsia" w:cs="Times New Roman"/>
          <w:highlight w:val="none"/>
          <w:lang w:val="en-US"/>
        </w:rPr>
        <w:t>具有低碳生活展示、体验或交流分享平台，并向使用者提供低碳设施使用手册，得</w:t>
      </w:r>
      <w:r>
        <w:rPr>
          <w:rFonts w:hint="eastAsia" w:cs="Times New Roman"/>
          <w:highlight w:val="none"/>
          <w:lang w:val="en-US" w:eastAsia="zh-CN"/>
        </w:rPr>
        <w:t>3</w:t>
      </w:r>
      <w:r>
        <w:rPr>
          <w:rFonts w:hint="eastAsia" w:cs="Times New Roman"/>
          <w:highlight w:val="none"/>
          <w:lang w:val="en-US"/>
        </w:rPr>
        <w:t>分；</w:t>
      </w:r>
    </w:p>
    <w:p w14:paraId="428E4442">
      <w:pPr>
        <w:autoSpaceDE/>
        <w:autoSpaceDN/>
        <w:spacing w:line="360" w:lineRule="auto"/>
        <w:ind w:firstLine="420"/>
        <w:rPr>
          <w:rFonts w:cs="Times New Roman"/>
          <w:highlight w:val="none"/>
          <w:lang w:val="en-US"/>
        </w:rPr>
      </w:pPr>
      <w:r>
        <w:rPr>
          <w:rFonts w:hint="eastAsia" w:cs="Times New Roman"/>
          <w:b/>
          <w:bCs/>
          <w:highlight w:val="none"/>
          <w:lang w:val="en-US"/>
        </w:rPr>
        <w:t>3</w:t>
      </w:r>
      <w:r>
        <w:rPr>
          <w:rFonts w:cs="Times New Roman"/>
          <w:highlight w:val="none"/>
          <w:lang w:val="en-US"/>
        </w:rPr>
        <w:t>　</w:t>
      </w:r>
      <w:r>
        <w:rPr>
          <w:rFonts w:hint="eastAsia" w:cs="Times New Roman"/>
          <w:highlight w:val="none"/>
          <w:lang w:val="en-US"/>
        </w:rPr>
        <w:t>每年开展一次针对建筑低碳性能的使用者满意度调查，且根据调查结果制定改进措施并实施、公示，得</w:t>
      </w:r>
      <w:r>
        <w:rPr>
          <w:rFonts w:hint="eastAsia" w:cs="Times New Roman"/>
          <w:highlight w:val="none"/>
          <w:lang w:val="en-US" w:eastAsia="zh-CN"/>
        </w:rPr>
        <w:t>4</w:t>
      </w:r>
      <w:r>
        <w:rPr>
          <w:rFonts w:hint="eastAsia" w:cs="Times New Roman"/>
          <w:highlight w:val="none"/>
          <w:lang w:val="en-US"/>
        </w:rPr>
        <w:t>分。</w:t>
      </w:r>
    </w:p>
    <w:p w14:paraId="65F6C60F">
      <w:pPr>
        <w:pStyle w:val="20"/>
        <w:widowControl/>
        <w:autoSpaceDE/>
        <w:autoSpaceDN/>
        <w:spacing w:beforeAutospacing="0" w:afterAutospacing="0" w:line="360" w:lineRule="auto"/>
        <w:jc w:val="both"/>
        <w:rPr>
          <w:rFonts w:hint="default" w:eastAsia="宋体"/>
          <w:i/>
          <w:iCs/>
          <w:color w:val="000000"/>
          <w:sz w:val="22"/>
          <w:highlight w:val="none"/>
          <w:lang w:val="en-US" w:eastAsia="zh-CN"/>
        </w:rPr>
      </w:pPr>
      <w:r>
        <w:rPr>
          <w:rFonts w:hint="eastAsia"/>
          <w:i/>
          <w:iCs/>
          <w:color w:val="000000"/>
          <w:sz w:val="22"/>
          <w:highlight w:val="none"/>
        </w:rPr>
        <w:t>【条文说明】</w:t>
      </w:r>
      <w:r>
        <w:rPr>
          <w:rFonts w:hint="eastAsia"/>
          <w:i/>
          <w:iCs/>
          <w:color w:val="000000"/>
          <w:sz w:val="22"/>
          <w:highlight w:val="none"/>
          <w:lang w:val="en-US" w:eastAsia="zh-CN"/>
        </w:rPr>
        <w:t>低碳是一个长期的过程，需要全社会的共同努力，只有每个人都能意识到低碳的重要性，才能正在实现“双碳”目标。本条旨在运营单位通过不同形式的宣传、引导、交流、调查及改进，让大家共同参与，提高低碳理念，稳固低碳成果。</w:t>
      </w:r>
    </w:p>
    <w:p w14:paraId="1602146E">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查阅活动记录、手册等相关证明文件。</w:t>
      </w:r>
    </w:p>
    <w:p w14:paraId="1ABE6FD8">
      <w:pPr>
        <w:pStyle w:val="20"/>
        <w:widowControl/>
        <w:autoSpaceDE/>
        <w:autoSpaceDN/>
        <w:spacing w:beforeAutospacing="0" w:afterAutospacing="0" w:line="360" w:lineRule="auto"/>
        <w:jc w:val="both"/>
        <w:rPr>
          <w:i/>
          <w:iCs/>
          <w:color w:val="000000"/>
          <w:lang w:val="en-US"/>
        </w:rPr>
      </w:pPr>
      <w:r>
        <w:rPr>
          <w:rFonts w:ascii="Times New Roman" w:hAnsi="Times New Roman" w:eastAsia="宋体" w:cs="Times New Roman"/>
          <w:sz w:val="32"/>
          <w:szCs w:val="32"/>
          <w:lang w:val="en-US"/>
        </w:rPr>
        <w:br w:type="page"/>
      </w:r>
    </w:p>
    <w:p w14:paraId="32CF58E5">
      <w:pPr>
        <w:pStyle w:val="2"/>
        <w:numPr>
          <w:ilvl w:val="0"/>
          <w:numId w:val="0"/>
        </w:numPr>
        <w:autoSpaceDE/>
        <w:autoSpaceDN/>
        <w:spacing w:before="156" w:beforeLines="50" w:after="156" w:afterLines="50" w:line="360" w:lineRule="auto"/>
        <w:ind w:left="425" w:hanging="425"/>
        <w:jc w:val="center"/>
        <w:rPr>
          <w:rFonts w:ascii="Times New Roman" w:hAnsi="Times New Roman" w:eastAsia="宋体" w:cs="Times New Roman"/>
          <w:sz w:val="32"/>
          <w:szCs w:val="32"/>
          <w:lang w:val="en-US"/>
        </w:rPr>
      </w:pPr>
      <w:bookmarkStart w:id="94" w:name="_Toc11488"/>
      <w:bookmarkStart w:id="95" w:name="_Toc25639"/>
      <w:r>
        <w:rPr>
          <w:rFonts w:hint="eastAsia" w:ascii="Times New Roman" w:hAnsi="Times New Roman" w:eastAsia="宋体" w:cs="Times New Roman"/>
          <w:sz w:val="32"/>
          <w:szCs w:val="32"/>
          <w:lang w:val="en-US" w:eastAsia="zh-CN"/>
        </w:rPr>
        <w:t>7</w:t>
      </w:r>
      <w:r>
        <w:rPr>
          <w:rFonts w:ascii="Times New Roman" w:hAnsi="Times New Roman" w:eastAsia="宋体" w:cs="Times New Roman"/>
          <w:sz w:val="32"/>
          <w:szCs w:val="32"/>
          <w:lang w:val="en-US"/>
        </w:rPr>
        <w:t>　</w:t>
      </w:r>
      <w:bookmarkStart w:id="96" w:name="_Toc31261"/>
      <w:r>
        <w:rPr>
          <w:rFonts w:ascii="Times New Roman" w:hAnsi="Times New Roman" w:eastAsia="宋体" w:cs="Times New Roman"/>
          <w:sz w:val="32"/>
          <w:szCs w:val="32"/>
          <w:lang w:val="en-US"/>
        </w:rPr>
        <w:t>提高与创新</w:t>
      </w:r>
      <w:bookmarkEnd w:id="94"/>
      <w:bookmarkEnd w:id="95"/>
      <w:bookmarkEnd w:id="96"/>
    </w:p>
    <w:p w14:paraId="71B30BE3">
      <w:pPr>
        <w:autoSpaceDE/>
        <w:autoSpaceDN/>
        <w:spacing w:line="360" w:lineRule="auto"/>
        <w:rPr>
          <w:rFonts w:cs="Times New Roman"/>
          <w:iCs/>
          <w:lang w:val="en-US"/>
        </w:rPr>
      </w:pPr>
      <w:bookmarkStart w:id="97" w:name="_Toc94165816"/>
      <w:bookmarkStart w:id="98" w:name="_Toc24056"/>
      <w:r>
        <w:rPr>
          <w:rFonts w:hint="eastAsia" w:cs="Times New Roman"/>
          <w:b/>
          <w:bCs/>
          <w:iCs/>
          <w:lang w:val="en-US" w:eastAsia="zh-CN"/>
        </w:rPr>
        <w:t>7</w:t>
      </w:r>
      <w:r>
        <w:rPr>
          <w:rFonts w:cs="Times New Roman"/>
          <w:b/>
          <w:bCs/>
          <w:iCs/>
          <w:lang w:val="en-US"/>
        </w:rPr>
        <w:t>.</w:t>
      </w:r>
      <w:bookmarkEnd w:id="97"/>
      <w:r>
        <w:rPr>
          <w:rFonts w:hint="eastAsia" w:cs="Times New Roman"/>
          <w:b/>
          <w:bCs/>
          <w:iCs/>
          <w:lang w:val="en-US"/>
        </w:rPr>
        <w:t>0</w:t>
      </w:r>
      <w:r>
        <w:rPr>
          <w:rFonts w:cs="Times New Roman"/>
          <w:b/>
          <w:bCs/>
          <w:iCs/>
          <w:lang w:val="en-US"/>
        </w:rPr>
        <w:t>.1　</w:t>
      </w:r>
      <w:r>
        <w:rPr>
          <w:rFonts w:cs="Times New Roman"/>
          <w:iCs/>
          <w:lang w:val="en-US"/>
        </w:rPr>
        <w:t>采用</w:t>
      </w:r>
      <w:r>
        <w:rPr>
          <w:rFonts w:hint="eastAsia" w:cs="Times New Roman"/>
          <w:iCs/>
          <w:lang w:val="en-US"/>
        </w:rPr>
        <w:t>绿色电力交易或碳排放交易等形式降低</w:t>
      </w:r>
      <w:r>
        <w:rPr>
          <w:rFonts w:cs="Times New Roman"/>
          <w:iCs/>
          <w:lang w:val="en-US"/>
        </w:rPr>
        <w:t>建筑</w:t>
      </w:r>
      <w:r>
        <w:rPr>
          <w:rFonts w:hint="eastAsia" w:cs="Times New Roman"/>
          <w:iCs/>
          <w:lang w:val="en-US"/>
        </w:rPr>
        <w:t>碳排放</w:t>
      </w:r>
      <w:r>
        <w:rPr>
          <w:rFonts w:cs="Times New Roman"/>
          <w:iCs/>
          <w:lang w:val="en-US"/>
        </w:rPr>
        <w:t>，</w:t>
      </w:r>
      <w:r>
        <w:rPr>
          <w:rFonts w:cs="Times New Roman"/>
          <w:bCs/>
          <w:lang w:val="en-US"/>
        </w:rPr>
        <w:t>评价分值为</w:t>
      </w:r>
      <w:r>
        <w:rPr>
          <w:rFonts w:hint="eastAsia" w:cs="Times New Roman"/>
          <w:bCs/>
          <w:lang w:val="en-US"/>
        </w:rPr>
        <w:t>2</w:t>
      </w:r>
      <w:r>
        <w:rPr>
          <w:rFonts w:cs="Times New Roman"/>
          <w:bCs/>
          <w:lang w:val="en-US"/>
        </w:rPr>
        <w:t>分</w:t>
      </w:r>
      <w:r>
        <w:rPr>
          <w:rFonts w:cs="Times New Roman"/>
          <w:iCs/>
          <w:lang w:val="en-US"/>
        </w:rPr>
        <w:t>。</w:t>
      </w:r>
    </w:p>
    <w:p w14:paraId="2C4C2CE7">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【条文说明】鼓励采用购买绿色电力或碳信用产品的方式实现碳排放的降低。本条所指绿色电力交易和碳排放交易产品均应为中国相关交易机制签发或在中国境内开发的减排项目。</w:t>
      </w:r>
    </w:p>
    <w:p w14:paraId="12BAB81A">
      <w:pPr>
        <w:pStyle w:val="20"/>
        <w:widowControl/>
        <w:autoSpaceDE/>
        <w:autoSpaceDN/>
        <w:spacing w:beforeAutospacing="0" w:afterAutospacing="0" w:line="360" w:lineRule="auto"/>
        <w:ind w:firstLine="420" w:firstLineChars="0"/>
        <w:jc w:val="both"/>
        <w:rPr>
          <w:i/>
          <w:iCs/>
          <w:color w:val="000000"/>
          <w:sz w:val="22"/>
        </w:rPr>
      </w:pPr>
      <w:r>
        <w:rPr>
          <w:rFonts w:hint="eastAsia"/>
          <w:i/>
          <w:iCs/>
          <w:color w:val="000000"/>
          <w:sz w:val="22"/>
        </w:rPr>
        <w:t>但目前国际绿色电力交易与碳排放权交易机制呈现复杂化态势，尚未形成统一的碳排放权交易监管，且不同的绿色电力与碳排放权交易平台也无统一的价格机制。</w:t>
      </w:r>
    </w:p>
    <w:p w14:paraId="02404E53">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rPr>
        <w:t>为促进国内绿色电力与节能减排的发展，推动建筑行业助力碳中和目标的实现，应购买国内相关碳信用产品，或在中国境内开发的减排项目所形成的减排量。对于建筑边界内通过实施节能改造、使用可再生能源发电或供热设施、绿化碳汇可以在中国核证自愿减排机制（CCER）进行登记，已经计入相对于基准建筑的降碳量，因此不能再次用于抵消建筑运行阶段剩余的碳排放。</w:t>
      </w:r>
    </w:p>
    <w:p w14:paraId="4F181B8B">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查阅绿色电力交易凭证、绿色电力证书、碳排放履约完成证明等相关证明文件。</w:t>
      </w:r>
    </w:p>
    <w:p w14:paraId="66221885">
      <w:pPr>
        <w:autoSpaceDE/>
        <w:autoSpaceDN/>
        <w:spacing w:line="360" w:lineRule="auto"/>
        <w:rPr>
          <w:rFonts w:hint="eastAsia" w:cs="Times New Roman"/>
          <w:highlight w:val="none"/>
          <w:lang w:val="en-US"/>
        </w:rPr>
      </w:pPr>
      <w:r>
        <w:rPr>
          <w:rFonts w:hint="eastAsia"/>
          <w:b/>
          <w:highlight w:val="none"/>
          <w:lang w:val="en-US" w:eastAsia="zh-CN"/>
        </w:rPr>
        <w:t>7</w:t>
      </w:r>
      <w:r>
        <w:rPr>
          <w:b/>
          <w:highlight w:val="none"/>
        </w:rPr>
        <w:t>.</w:t>
      </w:r>
      <w:r>
        <w:rPr>
          <w:rFonts w:hint="eastAsia"/>
          <w:b/>
          <w:highlight w:val="none"/>
        </w:rPr>
        <w:t>0</w:t>
      </w:r>
      <w:r>
        <w:rPr>
          <w:b/>
          <w:highlight w:val="none"/>
        </w:rPr>
        <w:t>.2</w:t>
      </w:r>
      <w:r>
        <w:rPr>
          <w:highlight w:val="none"/>
        </w:rPr>
        <w:t>　</w:t>
      </w:r>
      <w:r>
        <w:rPr>
          <w:rFonts w:hint="eastAsia"/>
          <w:highlight w:val="none"/>
          <w:lang w:eastAsia="zh-CN"/>
        </w:rPr>
        <w:t>项目建造资金来源于碳债券、碳资产抵押贷款、碳资产借贷及碳市场支持工具等碳金融产品渠道，评价总分值为</w:t>
      </w:r>
      <w:r>
        <w:rPr>
          <w:rFonts w:hint="eastAsia"/>
          <w:highlight w:val="none"/>
          <w:lang w:val="en-US" w:eastAsia="zh-CN"/>
        </w:rPr>
        <w:t>2分。</w:t>
      </w:r>
    </w:p>
    <w:p w14:paraId="171FCE35">
      <w:pPr>
        <w:pStyle w:val="20"/>
        <w:widowControl/>
        <w:autoSpaceDE/>
        <w:autoSpaceDN/>
        <w:spacing w:beforeAutospacing="0" w:afterAutospacing="0" w:line="360" w:lineRule="auto"/>
        <w:jc w:val="both"/>
        <w:rPr>
          <w:rFonts w:hint="eastAsia"/>
          <w:i/>
          <w:iCs/>
          <w:color w:val="000000"/>
          <w:sz w:val="22"/>
          <w:highlight w:val="none"/>
        </w:rPr>
      </w:pPr>
      <w:r>
        <w:rPr>
          <w:rFonts w:hint="eastAsia"/>
          <w:i/>
          <w:iCs/>
          <w:color w:val="000000"/>
          <w:sz w:val="22"/>
          <w:highlight w:val="none"/>
        </w:rPr>
        <w:t>【条文说明】</w:t>
      </w:r>
      <w:r>
        <w:rPr>
          <w:rFonts w:hint="eastAsia"/>
          <w:i/>
          <w:iCs/>
          <w:color w:val="000000"/>
          <w:sz w:val="22"/>
          <w:highlight w:val="none"/>
          <w:lang w:val="en-US" w:eastAsia="zh-CN"/>
        </w:rPr>
        <w:t>碳金融是针对于限制温室气体排放的投融资工具，以应对气候变化和加快生态文明建设的现实需要，推动实体经济低碳转型为目标，通过提供资金支持和技术引导，助力建筑行业实现可持续发展，同时促进经济、社会和环境的协调发展</w:t>
      </w:r>
      <w:r>
        <w:rPr>
          <w:rFonts w:hint="eastAsia"/>
          <w:i/>
          <w:iCs/>
          <w:color w:val="000000"/>
          <w:sz w:val="22"/>
          <w:highlight w:val="none"/>
        </w:rPr>
        <w:t>。</w:t>
      </w:r>
    </w:p>
    <w:p w14:paraId="748A0F20">
      <w:pPr>
        <w:pStyle w:val="20"/>
        <w:widowControl/>
        <w:autoSpaceDE/>
        <w:autoSpaceDN/>
        <w:spacing w:beforeAutospacing="0" w:afterAutospacing="0" w:line="360" w:lineRule="auto"/>
        <w:ind w:firstLine="420" w:firstLineChars="0"/>
        <w:jc w:val="both"/>
        <w:rPr>
          <w:rFonts w:hint="eastAsia"/>
          <w:i/>
          <w:iCs/>
          <w:color w:val="000000"/>
          <w:sz w:val="22"/>
          <w:highlight w:val="none"/>
          <w:lang w:eastAsia="zh-CN"/>
        </w:rPr>
      </w:pPr>
      <w:r>
        <w:rPr>
          <w:rFonts w:hint="eastAsia"/>
          <w:i/>
          <w:iCs/>
          <w:color w:val="000000"/>
          <w:sz w:val="22"/>
          <w:highlight w:val="none"/>
          <w:lang w:eastAsia="zh-CN"/>
        </w:rPr>
        <w:t>本条旨在鼓励采用碳金融工具进行项目建设融资，如碳债券、碳资产抵质押融资、碳资产借贷等碳市场融资工具，以及碳借贷、碳保险、碳基金等碳市场支持工具等。</w:t>
      </w:r>
    </w:p>
    <w:p w14:paraId="5E541DDC">
      <w:pPr>
        <w:pStyle w:val="20"/>
        <w:widowControl/>
        <w:autoSpaceDE/>
        <w:autoSpaceDN/>
        <w:spacing w:beforeAutospacing="0" w:afterAutospacing="0" w:line="360" w:lineRule="auto"/>
        <w:jc w:val="both"/>
        <w:rPr>
          <w:rFonts w:hint="default"/>
          <w:i/>
          <w:iCs/>
          <w:color w:val="000000"/>
          <w:sz w:val="22"/>
          <w:highlight w:val="none"/>
          <w:lang w:val="en-US" w:eastAsia="zh-CN"/>
        </w:rPr>
      </w:pPr>
      <w:r>
        <w:rPr>
          <w:rFonts w:hint="eastAsia"/>
          <w:i/>
          <w:iCs/>
          <w:color w:val="000000"/>
          <w:sz w:val="22"/>
          <w:highlight w:val="none"/>
          <w:lang w:eastAsia="zh-CN"/>
        </w:rPr>
        <w:t>碳融资交易应满足《碳排放权交易管理暂行条例》（中华人民共和国国务院令第</w:t>
      </w:r>
      <w:r>
        <w:rPr>
          <w:rFonts w:hint="eastAsia"/>
          <w:i/>
          <w:iCs/>
          <w:color w:val="000000"/>
          <w:sz w:val="22"/>
          <w:highlight w:val="none"/>
          <w:lang w:val="en-US" w:eastAsia="zh-CN"/>
        </w:rPr>
        <w:t>775号</w:t>
      </w:r>
      <w:r>
        <w:rPr>
          <w:rFonts w:hint="eastAsia"/>
          <w:i/>
          <w:iCs/>
          <w:color w:val="000000"/>
          <w:sz w:val="22"/>
          <w:highlight w:val="none"/>
          <w:lang w:eastAsia="zh-CN"/>
        </w:rPr>
        <w:t>）及现行行业标准《碳金融产品》（</w:t>
      </w:r>
      <w:r>
        <w:rPr>
          <w:rFonts w:hint="eastAsia"/>
          <w:i/>
          <w:iCs/>
          <w:color w:val="000000"/>
          <w:sz w:val="22"/>
          <w:highlight w:val="none"/>
          <w:lang w:val="en-US" w:eastAsia="zh-CN"/>
        </w:rPr>
        <w:t>JR/T 0244-2022</w:t>
      </w:r>
      <w:r>
        <w:rPr>
          <w:rFonts w:hint="eastAsia"/>
          <w:i/>
          <w:iCs/>
          <w:color w:val="000000"/>
          <w:sz w:val="22"/>
          <w:highlight w:val="none"/>
          <w:lang w:eastAsia="zh-CN"/>
        </w:rPr>
        <w:t>）的相关规定。</w:t>
      </w:r>
    </w:p>
    <w:p w14:paraId="0341B143">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查阅碳资产抵质押贷款合同、碳资产借贷合同、基金投资协议、债券投资协议、债券发行文件、投资保险计划等相关证明文件。</w:t>
      </w:r>
    </w:p>
    <w:p w14:paraId="02FE045B">
      <w:pPr>
        <w:autoSpaceDE/>
        <w:autoSpaceDN/>
        <w:spacing w:line="360" w:lineRule="auto"/>
        <w:rPr>
          <w:rFonts w:hint="eastAsia"/>
          <w:highlight w:val="none"/>
          <w:lang w:eastAsia="zh-CN"/>
        </w:rPr>
      </w:pPr>
      <w:r>
        <w:rPr>
          <w:rFonts w:hint="eastAsia"/>
          <w:b/>
          <w:highlight w:val="none"/>
          <w:lang w:val="en-US" w:eastAsia="zh-CN"/>
        </w:rPr>
        <w:t>7</w:t>
      </w:r>
      <w:r>
        <w:rPr>
          <w:b/>
          <w:highlight w:val="none"/>
        </w:rPr>
        <w:t>.</w:t>
      </w:r>
      <w:r>
        <w:rPr>
          <w:rFonts w:hint="eastAsia"/>
          <w:b/>
          <w:highlight w:val="none"/>
        </w:rPr>
        <w:t>0</w:t>
      </w:r>
      <w:r>
        <w:rPr>
          <w:b/>
          <w:highlight w:val="none"/>
        </w:rPr>
        <w:t>.</w:t>
      </w:r>
      <w:r>
        <w:rPr>
          <w:rFonts w:hint="eastAsia"/>
          <w:b/>
          <w:highlight w:val="none"/>
          <w:lang w:val="en-US" w:eastAsia="zh-CN"/>
        </w:rPr>
        <w:t>3</w:t>
      </w:r>
      <w:r>
        <w:rPr>
          <w:highlight w:val="none"/>
        </w:rPr>
        <w:t>　</w:t>
      </w:r>
      <w:r>
        <w:rPr>
          <w:rFonts w:hint="eastAsia"/>
          <w:highlight w:val="none"/>
          <w:lang w:eastAsia="zh-CN"/>
        </w:rPr>
        <w:t>开展建筑碳足评价工作，建立建筑全生命周期碳足迹管理系统，评价总分值为</w:t>
      </w:r>
      <w:r>
        <w:rPr>
          <w:rFonts w:hint="eastAsia"/>
          <w:highlight w:val="none"/>
          <w:lang w:val="en-US" w:eastAsia="zh-CN"/>
        </w:rPr>
        <w:t>2</w:t>
      </w:r>
      <w:r>
        <w:rPr>
          <w:rFonts w:hint="eastAsia"/>
          <w:highlight w:val="none"/>
          <w:lang w:eastAsia="zh-CN"/>
        </w:rPr>
        <w:t>分，应按下列规则分别评分并累计：</w:t>
      </w:r>
    </w:p>
    <w:p w14:paraId="444DDB54">
      <w:pPr>
        <w:autoSpaceDE/>
        <w:autoSpaceDN/>
        <w:spacing w:line="360" w:lineRule="auto"/>
        <w:ind w:firstLine="420"/>
        <w:rPr>
          <w:rFonts w:cs="Times New Roman"/>
          <w:lang w:val="en-US"/>
        </w:rPr>
      </w:pPr>
      <w:r>
        <w:rPr>
          <w:rFonts w:cs="Times New Roman"/>
          <w:b/>
          <w:bCs/>
          <w:lang w:val="en-US"/>
        </w:rPr>
        <w:t>1</w:t>
      </w:r>
      <w:r>
        <w:rPr>
          <w:rFonts w:cs="Times New Roman"/>
          <w:lang w:val="en-US"/>
        </w:rPr>
        <w:t>　</w:t>
      </w:r>
      <w:r>
        <w:rPr>
          <w:rFonts w:hint="eastAsia" w:cs="Times New Roman"/>
          <w:lang w:val="en-US"/>
        </w:rPr>
        <w:t>出具建筑碳排放碳足迹报告，并获得权威认证机构认证，得</w:t>
      </w:r>
      <w:r>
        <w:rPr>
          <w:rFonts w:hint="eastAsia" w:cs="Times New Roman"/>
          <w:lang w:val="en-US" w:eastAsia="zh-CN"/>
        </w:rPr>
        <w:t>1</w:t>
      </w:r>
      <w:r>
        <w:rPr>
          <w:rFonts w:hint="eastAsia" w:cs="Times New Roman"/>
          <w:lang w:val="en-US"/>
        </w:rPr>
        <w:t>分</w:t>
      </w:r>
      <w:r>
        <w:rPr>
          <w:rFonts w:cs="Times New Roman"/>
          <w:lang w:val="en-US"/>
        </w:rPr>
        <w:t>；</w:t>
      </w:r>
    </w:p>
    <w:p w14:paraId="0C136681">
      <w:pPr>
        <w:autoSpaceDE/>
        <w:autoSpaceDN/>
        <w:spacing w:line="360" w:lineRule="auto"/>
        <w:ind w:firstLine="420"/>
        <w:rPr>
          <w:rFonts w:hint="eastAsia" w:cs="Times New Roman"/>
          <w:highlight w:val="none"/>
          <w:lang w:val="en-US"/>
        </w:rPr>
      </w:pPr>
      <w:r>
        <w:rPr>
          <w:rFonts w:cs="Times New Roman"/>
          <w:b/>
          <w:bCs/>
          <w:highlight w:val="none"/>
          <w:lang w:val="en-US"/>
        </w:rPr>
        <w:t>2</w:t>
      </w:r>
      <w:r>
        <w:rPr>
          <w:rFonts w:cs="Times New Roman"/>
          <w:highlight w:val="none"/>
          <w:lang w:val="en-US"/>
        </w:rPr>
        <w:t>　</w:t>
      </w:r>
      <w:r>
        <w:rPr>
          <w:rFonts w:hint="eastAsia" w:cs="Times New Roman"/>
          <w:highlight w:val="none"/>
          <w:lang w:val="en-US"/>
        </w:rPr>
        <w:t>建立建筑碳足迹管理系统，对建筑全生命周期（含</w:t>
      </w:r>
      <w:r>
        <w:rPr>
          <w:rFonts w:hint="eastAsia" w:cs="Times New Roman"/>
          <w:highlight w:val="none"/>
          <w:lang w:val="en-US" w:eastAsia="zh-CN"/>
        </w:rPr>
        <w:t>建材生产、</w:t>
      </w:r>
      <w:r>
        <w:rPr>
          <w:rFonts w:hint="eastAsia" w:cs="Times New Roman"/>
          <w:highlight w:val="none"/>
          <w:lang w:val="en-US"/>
        </w:rPr>
        <w:t>设计、建设、运营、改造、拆除回收）碳排放进行动态计算与管理，留存可信数据与凭证，按年度进行报告与披露，得</w:t>
      </w:r>
      <w:r>
        <w:rPr>
          <w:rFonts w:hint="eastAsia" w:cs="Times New Roman"/>
          <w:highlight w:val="none"/>
          <w:lang w:val="en-US" w:eastAsia="zh-CN"/>
        </w:rPr>
        <w:t>1</w:t>
      </w:r>
      <w:r>
        <w:rPr>
          <w:rFonts w:hint="eastAsia" w:cs="Times New Roman"/>
          <w:highlight w:val="none"/>
          <w:lang w:val="en-US"/>
        </w:rPr>
        <w:t>分。</w:t>
      </w:r>
    </w:p>
    <w:p w14:paraId="3B408FCB">
      <w:pPr>
        <w:pStyle w:val="20"/>
        <w:widowControl/>
        <w:autoSpaceDE/>
        <w:autoSpaceDN/>
        <w:spacing w:beforeAutospacing="0" w:afterAutospacing="0" w:line="360" w:lineRule="auto"/>
        <w:jc w:val="both"/>
        <w:rPr>
          <w:rFonts w:hint="eastAsia"/>
          <w:i/>
          <w:iCs/>
          <w:color w:val="000000"/>
          <w:sz w:val="22"/>
          <w:highlight w:val="none"/>
        </w:rPr>
      </w:pPr>
      <w:r>
        <w:rPr>
          <w:rFonts w:hint="eastAsia"/>
          <w:i/>
          <w:iCs/>
          <w:color w:val="000000"/>
          <w:sz w:val="22"/>
          <w:highlight w:val="none"/>
        </w:rPr>
        <w:t>【条文说明】</w:t>
      </w:r>
      <w:r>
        <w:rPr>
          <w:rFonts w:hint="eastAsia"/>
          <w:i/>
          <w:iCs/>
          <w:color w:val="000000"/>
          <w:sz w:val="22"/>
          <w:highlight w:val="none"/>
          <w:lang w:val="en-US" w:eastAsia="zh-CN"/>
        </w:rPr>
        <w:t>鼓励建筑项目在设计、施工和运营阶段实现对建材和设备的低碳绿色标准的统一评估和管理，根据国内、国际权威标准完成碳足迹计算、报告与认证。此外，鼓励建筑建设数字化碳足迹管理平台，以及持续的对建筑碳足迹进行监测、报告和数据收集与可信存证、改进机制。通过制定和实施供应链碳排放降低的技术方案和计划，建筑项目能够更有效地控制和管理各个生命阶段的环境影响，进一步的通过绿色供应链推动整个建筑行业向低碳、环保的方向发展。</w:t>
      </w:r>
    </w:p>
    <w:p w14:paraId="193A683D">
      <w:pPr>
        <w:pStyle w:val="20"/>
        <w:widowControl/>
        <w:autoSpaceDE/>
        <w:autoSpaceDN/>
        <w:spacing w:beforeAutospacing="0" w:afterAutospacing="0" w:line="360" w:lineRule="auto"/>
        <w:ind w:firstLine="420" w:firstLineChars="0"/>
        <w:jc w:val="both"/>
        <w:rPr>
          <w:rFonts w:hint="eastAsia" w:cs="Times New Roman"/>
          <w:highlight w:val="none"/>
          <w:lang w:val="en-US"/>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查阅碳足迹报告、认证证书、检测报告等相关证明文件。</w:t>
      </w:r>
    </w:p>
    <w:p w14:paraId="0775B932">
      <w:pPr>
        <w:pStyle w:val="20"/>
        <w:widowControl/>
        <w:autoSpaceDE/>
        <w:autoSpaceDN/>
        <w:spacing w:beforeAutospacing="0" w:afterAutospacing="0" w:line="360" w:lineRule="auto"/>
        <w:rPr>
          <w:bCs/>
          <w:sz w:val="22"/>
        </w:rPr>
      </w:pPr>
      <w:r>
        <w:rPr>
          <w:rFonts w:hint="eastAsia"/>
          <w:b/>
          <w:sz w:val="22"/>
          <w:lang w:val="en-US" w:eastAsia="zh-CN"/>
        </w:rPr>
        <w:t>7</w:t>
      </w:r>
      <w:r>
        <w:rPr>
          <w:b/>
          <w:sz w:val="22"/>
        </w:rPr>
        <w:t>.</w:t>
      </w:r>
      <w:r>
        <w:rPr>
          <w:rFonts w:hint="eastAsia"/>
          <w:b/>
          <w:sz w:val="22"/>
        </w:rPr>
        <w:t>0</w:t>
      </w:r>
      <w:r>
        <w:rPr>
          <w:b/>
          <w:sz w:val="22"/>
        </w:rPr>
        <w:t>.</w:t>
      </w:r>
      <w:r>
        <w:rPr>
          <w:rFonts w:hint="eastAsia"/>
          <w:b/>
          <w:sz w:val="22"/>
          <w:lang w:val="en-US" w:eastAsia="zh-CN"/>
        </w:rPr>
        <w:t>4</w:t>
      </w:r>
      <w:r>
        <w:rPr>
          <w:bCs/>
          <w:sz w:val="22"/>
        </w:rPr>
        <w:t>　选用预制部品部件智慧制造工厂生产的产品，评价分值为2分。</w:t>
      </w:r>
    </w:p>
    <w:p w14:paraId="00E42917">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w:t>
      </w:r>
      <w:r>
        <w:rPr>
          <w:rFonts w:hint="eastAsia"/>
          <w:i/>
          <w:iCs/>
          <w:color w:val="000000"/>
          <w:sz w:val="22"/>
          <w:lang w:val="en-US" w:eastAsia="zh-CN"/>
        </w:rPr>
        <w:t>智慧工厂是现代工厂信息化发展的新阶段，能清楚掌握产销流程、提高生产过程的可控性、减少生产线上人工的干预、及时正确地采集生产线数据，以及合理的生产计划编排与生产进度。本条文旨在推动高效节能、绿色环保、信息智能的现代化工厂建造环节的构建。</w:t>
      </w:r>
    </w:p>
    <w:p w14:paraId="57707B9D">
      <w:pPr>
        <w:pStyle w:val="20"/>
        <w:widowControl/>
        <w:autoSpaceDE/>
        <w:autoSpaceDN/>
        <w:spacing w:beforeAutospacing="0" w:afterAutospacing="0" w:line="360" w:lineRule="auto"/>
        <w:ind w:firstLine="420" w:firstLineChars="0"/>
        <w:jc w:val="both"/>
        <w:rPr>
          <w:rFonts w:hint="eastAsia" w:cs="Times New Roman"/>
          <w:highlight w:val="none"/>
          <w:lang w:val="en-US"/>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查阅设计竣工图、产品采购清单，核查产品使用情况等相关证明文件。</w:t>
      </w:r>
    </w:p>
    <w:p w14:paraId="5A4067D3">
      <w:pPr>
        <w:pStyle w:val="20"/>
        <w:widowControl/>
        <w:autoSpaceDE/>
        <w:autoSpaceDN/>
        <w:spacing w:beforeAutospacing="0" w:afterAutospacing="0" w:line="360" w:lineRule="auto"/>
        <w:rPr>
          <w:bCs/>
          <w:sz w:val="22"/>
          <w:highlight w:val="none"/>
        </w:rPr>
      </w:pPr>
      <w:r>
        <w:rPr>
          <w:rFonts w:hint="eastAsia"/>
          <w:b/>
          <w:sz w:val="22"/>
          <w:highlight w:val="none"/>
          <w:lang w:val="en-US" w:eastAsia="zh-CN"/>
        </w:rPr>
        <w:t>7</w:t>
      </w:r>
      <w:r>
        <w:rPr>
          <w:b/>
          <w:sz w:val="22"/>
          <w:highlight w:val="none"/>
        </w:rPr>
        <w:t>.</w:t>
      </w:r>
      <w:r>
        <w:rPr>
          <w:rFonts w:hint="eastAsia"/>
          <w:b/>
          <w:sz w:val="22"/>
          <w:highlight w:val="none"/>
        </w:rPr>
        <w:t>0</w:t>
      </w:r>
      <w:r>
        <w:rPr>
          <w:b/>
          <w:sz w:val="22"/>
          <w:highlight w:val="none"/>
        </w:rPr>
        <w:t>.</w:t>
      </w:r>
      <w:r>
        <w:rPr>
          <w:rFonts w:hint="eastAsia"/>
          <w:b/>
          <w:sz w:val="22"/>
          <w:highlight w:val="none"/>
          <w:lang w:val="en-US" w:eastAsia="zh-CN"/>
        </w:rPr>
        <w:t>5</w:t>
      </w:r>
      <w:r>
        <w:rPr>
          <w:bCs/>
          <w:sz w:val="22"/>
          <w:highlight w:val="none"/>
        </w:rPr>
        <w:t>　</w:t>
      </w:r>
      <w:r>
        <w:rPr>
          <w:rFonts w:hint="eastAsia"/>
          <w:bCs/>
          <w:sz w:val="22"/>
          <w:highlight w:val="none"/>
        </w:rPr>
        <w:t>使用固碳建材，应用重量比例达到30%</w:t>
      </w:r>
      <w:r>
        <w:rPr>
          <w:bCs/>
          <w:sz w:val="22"/>
          <w:highlight w:val="none"/>
        </w:rPr>
        <w:t>，评价分值为</w:t>
      </w:r>
      <w:r>
        <w:rPr>
          <w:rFonts w:hint="eastAsia"/>
          <w:bCs/>
          <w:sz w:val="22"/>
          <w:highlight w:val="none"/>
          <w:lang w:val="en-US" w:eastAsia="zh-CN"/>
        </w:rPr>
        <w:t>1</w:t>
      </w:r>
      <w:r>
        <w:rPr>
          <w:bCs/>
          <w:sz w:val="22"/>
          <w:highlight w:val="none"/>
        </w:rPr>
        <w:t>分。</w:t>
      </w:r>
    </w:p>
    <w:p w14:paraId="2C1F67AB">
      <w:pPr>
        <w:pStyle w:val="20"/>
        <w:widowControl/>
        <w:autoSpaceDE/>
        <w:autoSpaceDN/>
        <w:spacing w:beforeAutospacing="0" w:afterAutospacing="0" w:line="360" w:lineRule="auto"/>
        <w:jc w:val="both"/>
        <w:rPr>
          <w:i/>
          <w:iCs/>
          <w:color w:val="000000"/>
          <w:sz w:val="22"/>
          <w:highlight w:val="none"/>
        </w:rPr>
      </w:pPr>
      <w:r>
        <w:rPr>
          <w:rFonts w:hint="eastAsia"/>
          <w:i/>
          <w:iCs/>
          <w:color w:val="000000"/>
          <w:sz w:val="22"/>
          <w:highlight w:val="none"/>
        </w:rPr>
        <w:t>【条文说明】本条适用于各类建筑的评价。</w:t>
      </w:r>
    </w:p>
    <w:p w14:paraId="3FB3A82F">
      <w:pPr>
        <w:pStyle w:val="20"/>
        <w:widowControl/>
        <w:autoSpaceDE/>
        <w:autoSpaceDN/>
        <w:spacing w:beforeAutospacing="0" w:afterAutospacing="0" w:line="360" w:lineRule="auto"/>
        <w:ind w:firstLine="420" w:firstLineChars="0"/>
        <w:jc w:val="both"/>
        <w:rPr>
          <w:rFonts w:hint="eastAsia"/>
          <w:i/>
          <w:iCs/>
          <w:color w:val="000000"/>
          <w:sz w:val="22"/>
          <w:highlight w:val="none"/>
        </w:rPr>
      </w:pPr>
      <w:r>
        <w:rPr>
          <w:rFonts w:hint="eastAsia"/>
          <w:i/>
          <w:iCs/>
          <w:color w:val="000000"/>
          <w:sz w:val="22"/>
          <w:highlight w:val="none"/>
          <w:lang w:val="en-US" w:eastAsia="zh-CN"/>
        </w:rPr>
        <w:t>使用固碳建材并在建筑项目中应用重量比例达到30%是一种推动建筑行业实现可持续发展和减少温室气体排放的策略。固碳建材是指在生产过程中能够吸收和储存大气中的二氧化碳的建筑材料。常规见固碳材料有：木材、回收钢材等</w:t>
      </w:r>
      <w:r>
        <w:rPr>
          <w:rFonts w:hint="eastAsia"/>
          <w:i/>
          <w:iCs/>
          <w:color w:val="000000"/>
          <w:sz w:val="22"/>
          <w:highlight w:val="none"/>
        </w:rPr>
        <w:t>。</w:t>
      </w:r>
    </w:p>
    <w:p w14:paraId="2D7BC3B7">
      <w:pPr>
        <w:pStyle w:val="20"/>
        <w:widowControl/>
        <w:autoSpaceDE/>
        <w:autoSpaceDN/>
        <w:spacing w:beforeAutospacing="0" w:afterAutospacing="0" w:line="360" w:lineRule="auto"/>
        <w:ind w:firstLine="420" w:firstLineChars="0"/>
        <w:jc w:val="both"/>
        <w:rPr>
          <w:rFonts w:hint="eastAsia" w:cs="Times New Roman"/>
          <w:highlight w:val="none"/>
          <w:lang w:val="en-US"/>
        </w:rPr>
      </w:pPr>
      <w:r>
        <w:rPr>
          <w:rFonts w:hint="eastAsia"/>
          <w:i/>
          <w:iCs/>
          <w:color w:val="000000"/>
          <w:sz w:val="22"/>
          <w:highlight w:val="none"/>
          <w:lang w:val="en-US" w:eastAsia="zh-CN"/>
        </w:rPr>
        <w:t>本条的评价方法为：查阅竣工图、固碳建材比例计算书、检测报告、工程决算材料清单等相关证明文件。</w:t>
      </w:r>
    </w:p>
    <w:p w14:paraId="3E1121F1">
      <w:pPr>
        <w:pStyle w:val="20"/>
        <w:widowControl/>
        <w:autoSpaceDE/>
        <w:autoSpaceDN/>
        <w:spacing w:beforeAutospacing="0" w:afterAutospacing="0" w:line="360" w:lineRule="auto"/>
        <w:rPr>
          <w:bCs/>
          <w:sz w:val="22"/>
        </w:rPr>
      </w:pPr>
      <w:r>
        <w:rPr>
          <w:rFonts w:hint="eastAsia"/>
          <w:b/>
          <w:sz w:val="22"/>
          <w:lang w:val="en-US" w:eastAsia="zh-CN"/>
        </w:rPr>
        <w:t>7</w:t>
      </w:r>
      <w:r>
        <w:rPr>
          <w:b/>
          <w:sz w:val="22"/>
        </w:rPr>
        <w:t>.</w:t>
      </w:r>
      <w:r>
        <w:rPr>
          <w:rFonts w:hint="eastAsia"/>
          <w:b/>
          <w:sz w:val="22"/>
        </w:rPr>
        <w:t>0</w:t>
      </w:r>
      <w:r>
        <w:rPr>
          <w:b/>
          <w:sz w:val="22"/>
        </w:rPr>
        <w:t>.</w:t>
      </w:r>
      <w:r>
        <w:rPr>
          <w:rFonts w:hint="eastAsia"/>
          <w:b/>
          <w:sz w:val="22"/>
        </w:rPr>
        <w:t>6</w:t>
      </w:r>
      <w:r>
        <w:rPr>
          <w:bCs/>
          <w:sz w:val="22"/>
        </w:rPr>
        <w:t>　</w:t>
      </w:r>
      <w:r>
        <w:rPr>
          <w:rFonts w:hint="eastAsia"/>
          <w:bCs/>
          <w:sz w:val="22"/>
        </w:rPr>
        <w:t>在设置建筑能耗监测系统的基础上，增设碳排放实时监测系统，实现能耗与碳排放的协同监测，并具备展示功能，评价总分值为2分，应按下列规则分别评分并累计：</w:t>
      </w:r>
    </w:p>
    <w:p w14:paraId="2931F710">
      <w:pPr>
        <w:autoSpaceDE/>
        <w:autoSpaceDN/>
        <w:spacing w:line="360" w:lineRule="auto"/>
        <w:ind w:firstLine="420"/>
        <w:rPr>
          <w:rFonts w:cs="Times New Roman"/>
          <w:lang w:val="en-US"/>
        </w:rPr>
      </w:pPr>
      <w:r>
        <w:rPr>
          <w:rFonts w:cs="Times New Roman"/>
          <w:b/>
          <w:bCs/>
          <w:lang w:val="en-US"/>
        </w:rPr>
        <w:t>1</w:t>
      </w:r>
      <w:r>
        <w:rPr>
          <w:rFonts w:cs="Times New Roman"/>
          <w:lang w:val="en-US"/>
        </w:rPr>
        <w:t>　</w:t>
      </w:r>
      <w:r>
        <w:rPr>
          <w:rFonts w:hint="eastAsia" w:cs="Times New Roman"/>
          <w:lang w:val="en-US"/>
        </w:rPr>
        <w:t>建筑碳排放监测系统具备分级、分项统计和展示功能，得1分</w:t>
      </w:r>
      <w:r>
        <w:rPr>
          <w:rFonts w:cs="Times New Roman"/>
          <w:lang w:val="en-US"/>
        </w:rPr>
        <w:t>；</w:t>
      </w:r>
    </w:p>
    <w:p w14:paraId="48911CFC">
      <w:pPr>
        <w:autoSpaceDE/>
        <w:autoSpaceDN/>
        <w:spacing w:line="360" w:lineRule="auto"/>
        <w:ind w:firstLine="420"/>
        <w:rPr>
          <w:rFonts w:hint="eastAsia" w:cs="Times New Roman"/>
          <w:highlight w:val="none"/>
          <w:lang w:val="en-US"/>
        </w:rPr>
      </w:pPr>
      <w:r>
        <w:rPr>
          <w:rFonts w:cs="Times New Roman"/>
          <w:b/>
          <w:bCs/>
          <w:highlight w:val="none"/>
          <w:lang w:val="en-US"/>
        </w:rPr>
        <w:t>2</w:t>
      </w:r>
      <w:r>
        <w:rPr>
          <w:rFonts w:cs="Times New Roman"/>
          <w:highlight w:val="none"/>
          <w:lang w:val="en-US"/>
        </w:rPr>
        <w:t>　</w:t>
      </w:r>
      <w:r>
        <w:rPr>
          <w:rFonts w:hint="eastAsia" w:cs="Times New Roman"/>
          <w:highlight w:val="none"/>
          <w:lang w:val="en-US"/>
        </w:rPr>
        <w:t>建筑碳排放监测结果采用动态碳标识等方式进行公开展示，得1分。</w:t>
      </w:r>
    </w:p>
    <w:p w14:paraId="30E630AF">
      <w:pPr>
        <w:pStyle w:val="20"/>
        <w:widowControl/>
        <w:autoSpaceDE/>
        <w:autoSpaceDN/>
        <w:spacing w:beforeAutospacing="0" w:afterAutospacing="0" w:line="360" w:lineRule="auto"/>
        <w:jc w:val="both"/>
        <w:rPr>
          <w:rFonts w:hint="eastAsia"/>
          <w:i/>
          <w:iCs/>
          <w:color w:val="000000"/>
          <w:sz w:val="22"/>
          <w:highlight w:val="none"/>
        </w:rPr>
      </w:pPr>
      <w:r>
        <w:rPr>
          <w:rFonts w:hint="eastAsia"/>
          <w:i/>
          <w:iCs/>
          <w:color w:val="000000"/>
          <w:sz w:val="22"/>
          <w:highlight w:val="none"/>
        </w:rPr>
        <w:t>【条文说明】</w:t>
      </w:r>
      <w:r>
        <w:rPr>
          <w:rFonts w:hint="eastAsia"/>
          <w:i/>
          <w:iCs/>
          <w:color w:val="000000"/>
          <w:sz w:val="22"/>
          <w:highlight w:val="none"/>
          <w:lang w:val="en-US" w:eastAsia="zh-CN"/>
        </w:rPr>
        <w:t>在建筑中增设碳排放实时监测系统，并与现有的能耗监测系统集成，可以为建筑管理者提供能耗和碳排放的全面视图，从而更有效地进行能源管理和减少碳足迹。例如，通过实时监测建筑内各类设备的能耗情况，如照明、空调、电梯等，同时结合能源类型和使用效率，精确计算出相应的碳排放量。这有助于清晰了解建筑在不同时段、不同区域的能耗和碳排放特征。具备展示功能则使得这些数据能够直观呈现。可以通过大屏幕在建筑大堂或监控中心展示实时能耗和碳排放数据，让使用者和管理者一目了然。对于建筑管理者来说，这些数据能帮助他们及时发现能耗和碳排放的异常情况，采取针对性的节能和减排措施</w:t>
      </w:r>
      <w:r>
        <w:rPr>
          <w:rFonts w:hint="eastAsia"/>
          <w:i/>
          <w:iCs/>
          <w:color w:val="000000"/>
          <w:sz w:val="22"/>
          <w:highlight w:val="none"/>
        </w:rPr>
        <w:t>。</w:t>
      </w:r>
    </w:p>
    <w:p w14:paraId="650A2AB5">
      <w:pPr>
        <w:pStyle w:val="20"/>
        <w:widowControl/>
        <w:autoSpaceDE/>
        <w:autoSpaceDN/>
        <w:spacing w:beforeAutospacing="0" w:afterAutospacing="0" w:line="360" w:lineRule="auto"/>
        <w:ind w:firstLine="420" w:firstLineChars="0"/>
        <w:jc w:val="both"/>
        <w:rPr>
          <w:rFonts w:hint="eastAsia"/>
          <w:i/>
          <w:iCs/>
          <w:color w:val="000000"/>
          <w:sz w:val="22"/>
          <w:highlight w:val="none"/>
        </w:rPr>
      </w:pPr>
      <w:r>
        <w:rPr>
          <w:rFonts w:hint="eastAsia"/>
          <w:i/>
          <w:iCs/>
          <w:color w:val="000000"/>
          <w:sz w:val="22"/>
          <w:highlight w:val="none"/>
        </w:rPr>
        <w:t>第1款</w:t>
      </w:r>
      <w:r>
        <w:rPr>
          <w:rFonts w:hint="eastAsia"/>
          <w:i/>
          <w:iCs/>
          <w:color w:val="000000"/>
          <w:sz w:val="22"/>
          <w:highlight w:val="none"/>
          <w:lang w:eastAsia="zh-CN"/>
        </w:rPr>
        <w:t>，</w:t>
      </w:r>
      <w:r>
        <w:rPr>
          <w:rFonts w:hint="eastAsia"/>
          <w:i/>
          <w:iCs/>
          <w:color w:val="000000"/>
          <w:sz w:val="22"/>
          <w:highlight w:val="none"/>
        </w:rPr>
        <w:t>系统应能够按照建筑的不同层级（如整个建筑、各个楼层、各个房间或各个功能区）来监测和统计能耗数据。应能够区分不同类型的能耗，如电力、燃气、水、热能等，并分别进行统计。</w:t>
      </w:r>
    </w:p>
    <w:p w14:paraId="4ACEE4B8">
      <w:pPr>
        <w:pStyle w:val="20"/>
        <w:widowControl/>
        <w:autoSpaceDE/>
        <w:autoSpaceDN/>
        <w:spacing w:beforeAutospacing="0" w:afterAutospacing="0" w:line="360" w:lineRule="auto"/>
        <w:ind w:firstLine="420" w:firstLineChars="0"/>
        <w:jc w:val="both"/>
        <w:rPr>
          <w:rFonts w:hint="eastAsia"/>
          <w:i/>
          <w:iCs/>
          <w:color w:val="000000"/>
          <w:sz w:val="22"/>
          <w:highlight w:val="none"/>
        </w:rPr>
      </w:pPr>
      <w:r>
        <w:rPr>
          <w:rFonts w:hint="eastAsia"/>
          <w:i/>
          <w:iCs/>
          <w:color w:val="000000"/>
          <w:sz w:val="22"/>
          <w:highlight w:val="none"/>
        </w:rPr>
        <w:t>第2款</w:t>
      </w:r>
      <w:r>
        <w:rPr>
          <w:rFonts w:hint="eastAsia"/>
          <w:i/>
          <w:iCs/>
          <w:color w:val="000000"/>
          <w:sz w:val="22"/>
          <w:highlight w:val="none"/>
          <w:lang w:eastAsia="zh-CN"/>
        </w:rPr>
        <w:t>，</w:t>
      </w:r>
      <w:r>
        <w:rPr>
          <w:rFonts w:hint="eastAsia"/>
          <w:i/>
          <w:iCs/>
          <w:color w:val="000000"/>
          <w:sz w:val="22"/>
          <w:highlight w:val="none"/>
        </w:rPr>
        <w:t>建筑碳排放监测结果的公开展示对于提升建筑的能效、增强公众的环保意识以及促进建筑行业的可持续发展具有重要意义，在建筑的公共区域或显眼位置设置电子显示屏，展示碳排放的实时数据和趋势，对于不同程度的碳排放状态，应进行相应的动态标识，以使使用者能够实时了解建筑的碳排放状态。</w:t>
      </w:r>
    </w:p>
    <w:p w14:paraId="25A5FA82">
      <w:pPr>
        <w:pStyle w:val="20"/>
        <w:widowControl/>
        <w:autoSpaceDE/>
        <w:autoSpaceDN/>
        <w:spacing w:beforeAutospacing="0" w:afterAutospacing="0" w:line="360" w:lineRule="auto"/>
        <w:ind w:firstLine="420" w:firstLineChars="0"/>
        <w:jc w:val="both"/>
        <w:rPr>
          <w:rFonts w:hint="eastAsia" w:cs="Times New Roman"/>
          <w:highlight w:val="none"/>
          <w:lang w:val="en-US"/>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查阅现场照片，能耗及碳排放监测数据等相关证明文件。</w:t>
      </w:r>
    </w:p>
    <w:p w14:paraId="0A44343D">
      <w:pPr>
        <w:pStyle w:val="20"/>
        <w:widowControl/>
        <w:autoSpaceDE/>
        <w:autoSpaceDN/>
        <w:spacing w:beforeAutospacing="0" w:afterAutospacing="0" w:line="360" w:lineRule="auto"/>
        <w:rPr>
          <w:bCs/>
          <w:sz w:val="22"/>
        </w:rPr>
      </w:pPr>
      <w:r>
        <w:rPr>
          <w:rFonts w:hint="eastAsia"/>
          <w:b/>
          <w:sz w:val="22"/>
          <w:lang w:val="en-US" w:eastAsia="zh-CN"/>
        </w:rPr>
        <w:t>7</w:t>
      </w:r>
      <w:r>
        <w:rPr>
          <w:b/>
          <w:sz w:val="22"/>
        </w:rPr>
        <w:t>.</w:t>
      </w:r>
      <w:r>
        <w:rPr>
          <w:rFonts w:hint="eastAsia"/>
          <w:b/>
          <w:sz w:val="22"/>
        </w:rPr>
        <w:t>0</w:t>
      </w:r>
      <w:r>
        <w:rPr>
          <w:b/>
          <w:sz w:val="22"/>
        </w:rPr>
        <w:t>.</w:t>
      </w:r>
      <w:r>
        <w:rPr>
          <w:rFonts w:hint="eastAsia"/>
          <w:b/>
          <w:sz w:val="22"/>
        </w:rPr>
        <w:t>7</w:t>
      </w:r>
      <w:r>
        <w:rPr>
          <w:bCs/>
          <w:sz w:val="22"/>
        </w:rPr>
        <w:t>　</w:t>
      </w:r>
      <w:r>
        <w:rPr>
          <w:rFonts w:hint="eastAsia"/>
          <w:bCs/>
          <w:sz w:val="22"/>
        </w:rPr>
        <w:t>采用木结构</w:t>
      </w:r>
      <w:r>
        <w:rPr>
          <w:rFonts w:hint="eastAsia"/>
          <w:bCs/>
          <w:sz w:val="22"/>
          <w:lang w:eastAsia="zh-CN"/>
        </w:rPr>
        <w:t>或竹结构</w:t>
      </w:r>
      <w:r>
        <w:rPr>
          <w:rFonts w:hint="eastAsia"/>
          <w:bCs/>
          <w:sz w:val="22"/>
        </w:rPr>
        <w:t>建筑，评价分值为1分</w:t>
      </w:r>
      <w:r>
        <w:rPr>
          <w:bCs/>
          <w:sz w:val="22"/>
        </w:rPr>
        <w:t>。</w:t>
      </w:r>
    </w:p>
    <w:p w14:paraId="018F6C2B">
      <w:pPr>
        <w:pStyle w:val="20"/>
        <w:widowControl/>
        <w:autoSpaceDE/>
        <w:autoSpaceDN/>
        <w:spacing w:beforeAutospacing="0" w:afterAutospacing="0" w:line="360" w:lineRule="auto"/>
        <w:jc w:val="both"/>
        <w:rPr>
          <w:rFonts w:hint="eastAsia"/>
          <w:i/>
          <w:iCs/>
          <w:color w:val="000000"/>
          <w:sz w:val="22"/>
          <w:highlight w:val="none"/>
        </w:rPr>
      </w:pPr>
      <w:r>
        <w:rPr>
          <w:rFonts w:hint="eastAsia"/>
          <w:i/>
          <w:iCs/>
          <w:color w:val="000000"/>
          <w:sz w:val="22"/>
          <w:highlight w:val="none"/>
        </w:rPr>
        <w:t>【条文说明】</w:t>
      </w:r>
      <w:r>
        <w:rPr>
          <w:rFonts w:hint="eastAsia"/>
          <w:i/>
          <w:iCs/>
          <w:color w:val="000000"/>
          <w:sz w:val="22"/>
          <w:highlight w:val="none"/>
          <w:lang w:eastAsia="zh-CN"/>
        </w:rPr>
        <w:t>木结构与竹结构相比传统建筑，在减少碳排放方面拥有显著的自然优势。这两种结构的原材料均为理想的可再生资源，不仅生长周期短，而且在生长过程中能够有效吸收大气中的二氧化碳。此外，相比于开采和加工金属与石材等传统建筑材料所需的大量能源，木材与竹材的采集和加工过程对环境的影响更小，进一步减少整个建筑生命周期中的碳足迹。</w:t>
      </w:r>
    </w:p>
    <w:p w14:paraId="032DAFE1">
      <w:pPr>
        <w:pStyle w:val="20"/>
        <w:widowControl/>
        <w:autoSpaceDE/>
        <w:autoSpaceDN/>
        <w:spacing w:beforeAutospacing="0" w:afterAutospacing="0" w:line="360" w:lineRule="auto"/>
        <w:ind w:firstLine="420" w:firstLineChars="0"/>
        <w:jc w:val="both"/>
        <w:rPr>
          <w:rFonts w:hint="eastAsia"/>
          <w:i/>
          <w:iCs/>
          <w:color w:val="000000"/>
          <w:sz w:val="22"/>
          <w:highlight w:val="none"/>
          <w:lang w:val="en-US" w:eastAsia="zh-CN"/>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查阅结构专业竣工图纸等相关证明文件。</w:t>
      </w:r>
    </w:p>
    <w:p w14:paraId="02B0D4BF">
      <w:pPr>
        <w:pStyle w:val="20"/>
        <w:widowControl/>
        <w:autoSpaceDE/>
        <w:autoSpaceDN/>
        <w:spacing w:beforeAutospacing="0" w:afterAutospacing="0" w:line="360" w:lineRule="auto"/>
        <w:rPr>
          <w:color w:val="000000" w:themeColor="text1"/>
          <w:sz w:val="22"/>
          <w14:textFill>
            <w14:solidFill>
              <w14:schemeClr w14:val="tx1"/>
            </w14:solidFill>
          </w14:textFill>
        </w:rPr>
      </w:pPr>
      <w:r>
        <w:rPr>
          <w:rFonts w:hint="eastAsia"/>
          <w:b/>
          <w:bCs/>
          <w:color w:val="000000" w:themeColor="text1"/>
          <w:sz w:val="22"/>
          <w:lang w:val="en-US" w:eastAsia="zh-CN"/>
          <w14:textFill>
            <w14:solidFill>
              <w14:schemeClr w14:val="tx1"/>
            </w14:solidFill>
          </w14:textFill>
        </w:rPr>
        <w:t>7.0.8</w:t>
      </w:r>
      <w:r>
        <w:rPr>
          <w:b/>
          <w:bCs/>
          <w:color w:val="000000" w:themeColor="text1"/>
          <w:sz w:val="22"/>
          <w14:textFill>
            <w14:solidFill>
              <w14:schemeClr w14:val="tx1"/>
            </w14:solidFill>
          </w14:textFill>
        </w:rPr>
        <w:t>　</w:t>
      </w:r>
      <w:r>
        <w:rPr>
          <w:rFonts w:hint="eastAsia"/>
          <w:color w:val="000000" w:themeColor="text1"/>
          <w:sz w:val="22"/>
          <w:lang w:val="en-US" w:eastAsia="zh-CN"/>
          <w14:textFill>
            <w14:solidFill>
              <w14:schemeClr w14:val="tx1"/>
            </w14:solidFill>
          </w14:textFill>
        </w:rPr>
        <w:t>设计、生产、施工采用信息化技术</w:t>
      </w:r>
      <w:r>
        <w:rPr>
          <w:rFonts w:hint="eastAsia"/>
          <w:color w:val="000000" w:themeColor="text1"/>
          <w:sz w:val="22"/>
          <w14:textFill>
            <w14:solidFill>
              <w14:schemeClr w14:val="tx1"/>
            </w14:solidFill>
          </w14:textFill>
        </w:rPr>
        <w:t>，评价分值为</w:t>
      </w:r>
      <w:r>
        <w:rPr>
          <w:rFonts w:hint="eastAsia"/>
          <w:color w:val="000000" w:themeColor="text1"/>
          <w:sz w:val="22"/>
          <w:lang w:val="en-US" w:eastAsia="zh-CN"/>
          <w14:textFill>
            <w14:solidFill>
              <w14:schemeClr w14:val="tx1"/>
            </w14:solidFill>
          </w14:textFill>
        </w:rPr>
        <w:t>2</w:t>
      </w:r>
      <w:r>
        <w:rPr>
          <w:rFonts w:hint="eastAsia"/>
          <w:color w:val="000000" w:themeColor="text1"/>
          <w:sz w:val="22"/>
          <w14:textFill>
            <w14:solidFill>
              <w14:schemeClr w14:val="tx1"/>
            </w14:solidFill>
          </w14:textFill>
        </w:rPr>
        <w:t>分。</w:t>
      </w:r>
    </w:p>
    <w:p w14:paraId="0A2E4499">
      <w:pPr>
        <w:pStyle w:val="20"/>
        <w:widowControl/>
        <w:autoSpaceDE/>
        <w:autoSpaceDN/>
        <w:spacing w:beforeAutospacing="0" w:afterAutospacing="0" w:line="360" w:lineRule="auto"/>
        <w:jc w:val="both"/>
        <w:rPr>
          <w:rFonts w:hint="eastAsia"/>
          <w:i/>
          <w:iCs/>
          <w:color w:val="000000"/>
          <w:sz w:val="22"/>
        </w:rPr>
      </w:pPr>
      <w:r>
        <w:rPr>
          <w:rFonts w:hint="eastAsia"/>
          <w:i/>
          <w:iCs/>
          <w:color w:val="000000"/>
          <w:sz w:val="22"/>
        </w:rPr>
        <w:t>【条文说明】近年来，BIM、大数据、智能化、物联网、云计算等新信息技术迅速发展，不断推动着商业模式创新和社会的变革，同时带动各领域的生产模式和组织方式的变革。在以数字化、网络化、智能化为特征的信息化浪潮中，建筑业必须加快适应形势，释放信息化发展的潜能，抢占先机，谋求发展主动权。《住房城乡建设部关于印发2016－2020年建筑业信息化发展纲要的通知》（建质函〔2016〕183号）提出：“十三五”时期，全面提高建筑业信息化水平，着力增强BIM、大数据、智能化、移动通讯、云计算、物联网等信息技术集成应用能力，建筑业数字化、网络化、智能化取得突破性进展。</w:t>
      </w:r>
    </w:p>
    <w:p w14:paraId="0A07D47D">
      <w:pPr>
        <w:pStyle w:val="20"/>
        <w:widowControl/>
        <w:autoSpaceDE/>
        <w:autoSpaceDN/>
        <w:spacing w:beforeAutospacing="0" w:afterAutospacing="0" w:line="360" w:lineRule="auto"/>
        <w:ind w:firstLine="420" w:firstLineChars="0"/>
        <w:jc w:val="both"/>
        <w:rPr>
          <w:rFonts w:hint="default" w:ascii="Times New Roman" w:hAnsi="Times New Roman" w:cs="Times New Roman"/>
          <w:i/>
          <w:iCs/>
          <w:color w:val="000000"/>
          <w:sz w:val="22"/>
          <w:lang w:val="en-US" w:eastAsia="zh-CN"/>
        </w:rPr>
      </w:pPr>
      <w:r>
        <w:rPr>
          <w:rFonts w:hint="eastAsia" w:ascii="Times New Roman" w:hAnsi="Times New Roman" w:cs="Times New Roman"/>
          <w:i/>
          <w:iCs/>
          <w:color w:val="000000"/>
          <w:sz w:val="22"/>
          <w:lang w:val="en-US" w:eastAsia="zh-CN"/>
        </w:rPr>
        <w:t>本条要求设计、生产、施工采用一模到底的信息化技术</w:t>
      </w:r>
    </w:p>
    <w:p w14:paraId="49A02CD4">
      <w:pPr>
        <w:pStyle w:val="20"/>
        <w:widowControl/>
        <w:autoSpaceDE/>
        <w:autoSpaceDN/>
        <w:spacing w:beforeAutospacing="0" w:afterAutospacing="0" w:line="360" w:lineRule="auto"/>
        <w:ind w:firstLine="420" w:firstLineChars="0"/>
        <w:jc w:val="both"/>
        <w:rPr>
          <w:color w:val="000000" w:themeColor="text1"/>
          <w:sz w:val="22"/>
          <w14:textFill>
            <w14:solidFill>
              <w14:schemeClr w14:val="tx1"/>
            </w14:solidFill>
          </w14:textFill>
        </w:rPr>
      </w:pPr>
      <w:r>
        <w:rPr>
          <w:rFonts w:hint="eastAsia"/>
          <w:i/>
          <w:iCs/>
          <w:color w:val="000000"/>
          <w:sz w:val="22"/>
        </w:rPr>
        <w:t>本条的评价方法为：</w:t>
      </w:r>
      <w:r>
        <w:rPr>
          <w:rFonts w:hint="eastAsia"/>
          <w:i/>
          <w:iCs/>
          <w:color w:val="000000"/>
          <w:sz w:val="22"/>
          <w:lang w:val="en-US" w:eastAsia="zh-CN"/>
        </w:rPr>
        <w:t>运行阶段评价</w:t>
      </w:r>
      <w:r>
        <w:rPr>
          <w:rFonts w:hint="eastAsia"/>
          <w:i/>
          <w:iCs/>
          <w:color w:val="000000"/>
          <w:sz w:val="22"/>
        </w:rPr>
        <w:t>查阅相关竣工图、相关技术应用报告、施工记录等相关证明</w:t>
      </w:r>
      <w:r>
        <w:rPr>
          <w:rFonts w:hint="eastAsia"/>
          <w:i/>
          <w:iCs/>
          <w:color w:val="000000"/>
          <w:sz w:val="22"/>
          <w:lang w:eastAsia="zh-CN"/>
        </w:rPr>
        <w:t>文件</w:t>
      </w:r>
      <w:r>
        <w:rPr>
          <w:rFonts w:hint="eastAsia"/>
          <w:i/>
          <w:iCs/>
          <w:color w:val="000000"/>
          <w:sz w:val="22"/>
        </w:rPr>
        <w:t>。</w:t>
      </w:r>
    </w:p>
    <w:p w14:paraId="7EFD34AD">
      <w:pPr>
        <w:pStyle w:val="20"/>
        <w:widowControl/>
        <w:autoSpaceDE/>
        <w:autoSpaceDN/>
        <w:spacing w:beforeAutospacing="0" w:afterAutospacing="0" w:line="360" w:lineRule="auto"/>
        <w:rPr>
          <w:color w:val="000000" w:themeColor="text1"/>
          <w:sz w:val="22"/>
          <w14:textFill>
            <w14:solidFill>
              <w14:schemeClr w14:val="tx1"/>
            </w14:solidFill>
          </w14:textFill>
        </w:rPr>
      </w:pPr>
      <w:r>
        <w:rPr>
          <w:rFonts w:hint="eastAsia"/>
          <w:b/>
          <w:sz w:val="22"/>
          <w:lang w:val="en-US" w:eastAsia="zh-CN"/>
        </w:rPr>
        <w:t>7</w:t>
      </w:r>
      <w:r>
        <w:rPr>
          <w:b/>
          <w:sz w:val="22"/>
        </w:rPr>
        <w:t>.</w:t>
      </w:r>
      <w:r>
        <w:rPr>
          <w:rFonts w:hint="eastAsia"/>
          <w:b/>
          <w:sz w:val="22"/>
        </w:rPr>
        <w:t>0</w:t>
      </w:r>
      <w:r>
        <w:rPr>
          <w:b/>
          <w:sz w:val="22"/>
        </w:rPr>
        <w:t>.</w:t>
      </w:r>
      <w:r>
        <w:rPr>
          <w:rFonts w:hint="eastAsia"/>
          <w:b/>
          <w:sz w:val="22"/>
          <w:lang w:val="en-US" w:eastAsia="zh-CN"/>
        </w:rPr>
        <w:t>9</w:t>
      </w:r>
      <w:r>
        <w:rPr>
          <w:bCs/>
          <w:sz w:val="22"/>
        </w:rPr>
        <w:t>　</w:t>
      </w:r>
      <w:r>
        <w:rPr>
          <w:rFonts w:hint="eastAsia"/>
          <w:color w:val="000000" w:themeColor="text1"/>
          <w:sz w:val="22"/>
          <w14:textFill>
            <w14:solidFill>
              <w14:schemeClr w14:val="tx1"/>
            </w14:solidFill>
          </w14:textFill>
        </w:rPr>
        <w:t>施工过程采用自动化施工器械、智能移动终端、施工机器人等自动化、智能化施工机械等智能化设备辅助施工，评价分值为2分。</w:t>
      </w:r>
    </w:p>
    <w:p w14:paraId="3391EB97">
      <w:pPr>
        <w:pStyle w:val="20"/>
        <w:widowControl/>
        <w:autoSpaceDE/>
        <w:autoSpaceDN/>
        <w:spacing w:beforeAutospacing="0" w:afterAutospacing="0" w:line="360" w:lineRule="auto"/>
        <w:jc w:val="both"/>
        <w:rPr>
          <w:i/>
          <w:iCs/>
          <w:color w:val="000000"/>
          <w:sz w:val="22"/>
        </w:rPr>
      </w:pPr>
      <w:r>
        <w:rPr>
          <w:rFonts w:hint="eastAsia"/>
          <w:i/>
          <w:iCs/>
          <w:color w:val="000000"/>
          <w:sz w:val="22"/>
        </w:rPr>
        <w:t>【条文说明】合理采用自动化、智能化施工机械，可以提升施工质量和效率，降低安全风险。</w:t>
      </w:r>
    </w:p>
    <w:p w14:paraId="5FEBEC3D">
      <w:pPr>
        <w:pStyle w:val="20"/>
        <w:widowControl/>
        <w:autoSpaceDE/>
        <w:autoSpaceDN/>
        <w:spacing w:beforeAutospacing="0" w:afterAutospacing="0" w:line="360" w:lineRule="auto"/>
        <w:ind w:firstLine="420" w:firstLineChars="0"/>
        <w:jc w:val="both"/>
        <w:rPr>
          <w:rFonts w:hint="eastAsia" w:cs="Times New Roman"/>
          <w:b/>
          <w:bCs/>
          <w:iCs/>
          <w:lang w:val="en-US" w:eastAsia="zh-CN"/>
        </w:rPr>
      </w:pPr>
      <w:r>
        <w:rPr>
          <w:rFonts w:hint="eastAsia"/>
          <w:i/>
          <w:iCs/>
          <w:color w:val="000000"/>
          <w:sz w:val="22"/>
        </w:rPr>
        <w:t>本条的评价方法为：</w:t>
      </w:r>
      <w:r>
        <w:rPr>
          <w:rFonts w:hint="eastAsia"/>
          <w:i/>
          <w:iCs/>
          <w:color w:val="000000"/>
          <w:sz w:val="22"/>
          <w:lang w:val="en-US" w:eastAsia="zh-CN"/>
        </w:rPr>
        <w:t>运行阶段评价</w:t>
      </w:r>
      <w:r>
        <w:rPr>
          <w:rFonts w:hint="eastAsia"/>
          <w:i/>
          <w:iCs/>
          <w:color w:val="000000"/>
          <w:sz w:val="22"/>
        </w:rPr>
        <w:t>查阅施工记录、相关技术应用报告等相关证明</w:t>
      </w:r>
      <w:r>
        <w:rPr>
          <w:rFonts w:hint="eastAsia"/>
          <w:i/>
          <w:iCs/>
          <w:color w:val="000000"/>
          <w:sz w:val="22"/>
          <w:lang w:eastAsia="zh-CN"/>
        </w:rPr>
        <w:t>文件</w:t>
      </w:r>
      <w:r>
        <w:rPr>
          <w:rFonts w:hint="eastAsia"/>
          <w:i/>
          <w:iCs/>
          <w:color w:val="000000"/>
          <w:sz w:val="22"/>
        </w:rPr>
        <w:t>。</w:t>
      </w:r>
    </w:p>
    <w:p w14:paraId="19A839A6">
      <w:pPr>
        <w:pStyle w:val="20"/>
        <w:widowControl/>
        <w:autoSpaceDE/>
        <w:autoSpaceDN/>
        <w:spacing w:beforeAutospacing="0" w:afterAutospacing="0" w:line="360" w:lineRule="auto"/>
        <w:rPr>
          <w:bCs/>
          <w:sz w:val="22"/>
        </w:rPr>
      </w:pPr>
      <w:r>
        <w:rPr>
          <w:rFonts w:hint="eastAsia"/>
          <w:b/>
          <w:sz w:val="22"/>
          <w:lang w:val="en-US" w:eastAsia="zh-CN"/>
        </w:rPr>
        <w:t>7</w:t>
      </w:r>
      <w:r>
        <w:rPr>
          <w:b/>
          <w:sz w:val="22"/>
        </w:rPr>
        <w:t>.</w:t>
      </w:r>
      <w:r>
        <w:rPr>
          <w:rFonts w:hint="eastAsia"/>
          <w:b/>
          <w:sz w:val="22"/>
        </w:rPr>
        <w:t>0</w:t>
      </w:r>
      <w:r>
        <w:rPr>
          <w:b/>
          <w:sz w:val="22"/>
        </w:rPr>
        <w:t>.</w:t>
      </w:r>
      <w:r>
        <w:rPr>
          <w:rFonts w:hint="eastAsia"/>
          <w:b/>
          <w:sz w:val="22"/>
          <w:lang w:val="en-US" w:eastAsia="zh-CN"/>
        </w:rPr>
        <w:t>10</w:t>
      </w:r>
      <w:r>
        <w:rPr>
          <w:bCs/>
          <w:sz w:val="22"/>
        </w:rPr>
        <w:t>　</w:t>
      </w:r>
      <w:r>
        <w:rPr>
          <w:rFonts w:hint="eastAsia"/>
          <w:bCs/>
          <w:sz w:val="22"/>
        </w:rPr>
        <w:t>选择具有碳足迹评价或绿色标识的建材产品</w:t>
      </w:r>
      <w:r>
        <w:rPr>
          <w:rFonts w:hint="eastAsia"/>
          <w:bCs/>
          <w:sz w:val="22"/>
          <w:lang w:eastAsia="zh-CN"/>
        </w:rPr>
        <w:t>，评价总分值为</w:t>
      </w:r>
      <w:r>
        <w:rPr>
          <w:rFonts w:hint="eastAsia"/>
          <w:bCs/>
          <w:sz w:val="22"/>
          <w:lang w:val="en-US" w:eastAsia="zh-CN"/>
        </w:rPr>
        <w:t>2</w:t>
      </w:r>
      <w:r>
        <w:rPr>
          <w:rFonts w:hint="eastAsia"/>
          <w:bCs/>
          <w:sz w:val="22"/>
          <w:lang w:eastAsia="zh-CN"/>
        </w:rPr>
        <w:t>分，应按下列规则分别评分并累计：</w:t>
      </w:r>
    </w:p>
    <w:p w14:paraId="7C83E9F4">
      <w:pPr>
        <w:autoSpaceDE/>
        <w:autoSpaceDN/>
        <w:spacing w:line="360" w:lineRule="auto"/>
        <w:ind w:firstLine="565" w:firstLineChars="256"/>
        <w:rPr>
          <w:rFonts w:hint="eastAsia" w:ascii="Times New Roman" w:hAnsi="Times New Roman" w:cs="Times New Roman"/>
          <w:b w:val="0"/>
          <w:bCs w:val="0"/>
          <w:lang w:val="en-US" w:eastAsia="zh-CN"/>
        </w:rPr>
      </w:pPr>
      <w:r>
        <w:rPr>
          <w:rFonts w:hint="eastAsia" w:cs="Times New Roman"/>
          <w:b/>
          <w:bCs/>
          <w:lang w:val="en-US" w:eastAsia="zh-CN"/>
        </w:rPr>
        <w:t>1</w:t>
      </w:r>
      <w:r>
        <w:rPr>
          <w:rFonts w:hint="eastAsia" w:ascii="Times New Roman" w:hAnsi="Times New Roman" w:cs="Times New Roman"/>
          <w:b/>
          <w:bCs/>
          <w:lang w:val="en-US" w:eastAsia="zh-CN"/>
        </w:rPr>
        <w:t>　</w:t>
      </w:r>
      <w:r>
        <w:rPr>
          <w:rFonts w:hint="eastAsia" w:ascii="Times New Roman" w:hAnsi="Times New Roman" w:cs="Times New Roman"/>
          <w:b w:val="0"/>
          <w:bCs w:val="0"/>
          <w:lang w:val="en-US" w:eastAsia="zh-CN"/>
        </w:rPr>
        <w:t>具有绿色标识的建材产品的应用比例</w:t>
      </w:r>
      <w:r>
        <w:rPr>
          <w:rFonts w:hint="eastAsia" w:cs="Times New Roman"/>
          <w:b w:val="0"/>
          <w:bCs w:val="0"/>
          <w:lang w:val="en-US" w:eastAsia="zh-CN"/>
        </w:rPr>
        <w:t>达到</w:t>
      </w:r>
      <w:r>
        <w:rPr>
          <w:rFonts w:hint="eastAsia" w:ascii="Times New Roman" w:hAnsi="Times New Roman" w:cs="Times New Roman"/>
          <w:b w:val="0"/>
          <w:bCs w:val="0"/>
          <w:lang w:val="en-US" w:eastAsia="zh-CN"/>
        </w:rPr>
        <w:t>60%，得</w:t>
      </w:r>
      <w:r>
        <w:rPr>
          <w:rFonts w:hint="eastAsia" w:cs="Times New Roman"/>
          <w:b w:val="0"/>
          <w:bCs w:val="0"/>
          <w:lang w:val="en-US" w:eastAsia="zh-CN"/>
        </w:rPr>
        <w:t>1</w:t>
      </w:r>
      <w:r>
        <w:rPr>
          <w:rFonts w:hint="eastAsia" w:ascii="Times New Roman" w:hAnsi="Times New Roman" w:cs="Times New Roman"/>
          <w:b w:val="0"/>
          <w:bCs w:val="0"/>
          <w:lang w:val="en-US" w:eastAsia="zh-CN"/>
        </w:rPr>
        <w:t>分</w:t>
      </w:r>
      <w:r>
        <w:rPr>
          <w:rFonts w:hint="eastAsia" w:cs="Times New Roman"/>
          <w:b w:val="0"/>
          <w:bCs w:val="0"/>
          <w:lang w:val="en-US" w:eastAsia="zh-CN"/>
        </w:rPr>
        <w:t>；</w:t>
      </w:r>
    </w:p>
    <w:p w14:paraId="56BBEAC7">
      <w:pPr>
        <w:autoSpaceDE/>
        <w:autoSpaceDN/>
        <w:spacing w:line="360" w:lineRule="auto"/>
        <w:ind w:firstLine="565" w:firstLineChars="256"/>
        <w:rPr>
          <w:rFonts w:hint="eastAsia" w:ascii="Times New Roman" w:hAnsi="Times New Roman" w:cs="Times New Roman"/>
          <w:b/>
          <w:bCs/>
          <w:lang w:val="en-US" w:eastAsia="zh-CN"/>
        </w:rPr>
      </w:pPr>
      <w:r>
        <w:rPr>
          <w:rFonts w:hint="eastAsia" w:cs="Times New Roman"/>
          <w:b/>
          <w:bCs/>
          <w:lang w:val="en-US" w:eastAsia="zh-CN"/>
        </w:rPr>
        <w:t>2</w:t>
      </w:r>
      <w:r>
        <w:rPr>
          <w:rFonts w:hint="eastAsia" w:ascii="Times New Roman" w:hAnsi="Times New Roman" w:cs="Times New Roman"/>
          <w:b/>
          <w:bCs/>
          <w:lang w:val="en-US" w:eastAsia="zh-CN"/>
        </w:rPr>
        <w:t>　</w:t>
      </w:r>
      <w:r>
        <w:rPr>
          <w:rFonts w:hint="eastAsia" w:ascii="Times New Roman" w:hAnsi="Times New Roman" w:cs="Times New Roman"/>
          <w:b w:val="0"/>
          <w:bCs w:val="0"/>
          <w:lang w:val="en-US" w:eastAsia="zh-CN"/>
        </w:rPr>
        <w:t>具有碳足迹的建材产品应用比例</w:t>
      </w:r>
      <w:r>
        <w:rPr>
          <w:rFonts w:hint="eastAsia" w:cs="Times New Roman"/>
          <w:b w:val="0"/>
          <w:bCs w:val="0"/>
          <w:lang w:val="en-US" w:eastAsia="zh-CN"/>
        </w:rPr>
        <w:t>达到</w:t>
      </w:r>
      <w:r>
        <w:rPr>
          <w:rFonts w:hint="eastAsia" w:ascii="Times New Roman" w:hAnsi="Times New Roman" w:cs="Times New Roman"/>
          <w:b w:val="0"/>
          <w:bCs w:val="0"/>
          <w:lang w:val="en-US" w:eastAsia="zh-CN"/>
        </w:rPr>
        <w:t>60%，得</w:t>
      </w:r>
      <w:r>
        <w:rPr>
          <w:rFonts w:hint="eastAsia" w:cs="Times New Roman"/>
          <w:b w:val="0"/>
          <w:bCs w:val="0"/>
          <w:lang w:val="en-US" w:eastAsia="zh-CN"/>
        </w:rPr>
        <w:t>1</w:t>
      </w:r>
      <w:r>
        <w:rPr>
          <w:rFonts w:hint="eastAsia" w:ascii="Times New Roman" w:hAnsi="Times New Roman" w:cs="Times New Roman"/>
          <w:b w:val="0"/>
          <w:bCs w:val="0"/>
          <w:lang w:val="en-US" w:eastAsia="zh-CN"/>
        </w:rPr>
        <w:t>分</w:t>
      </w:r>
      <w:r>
        <w:rPr>
          <w:rFonts w:hint="eastAsia" w:cs="Times New Roman"/>
          <w:b w:val="0"/>
          <w:bCs w:val="0"/>
          <w:lang w:val="en-US" w:eastAsia="zh-CN"/>
        </w:rPr>
        <w:t>。</w:t>
      </w:r>
    </w:p>
    <w:p w14:paraId="5CFCA1BA">
      <w:pPr>
        <w:pStyle w:val="20"/>
        <w:widowControl/>
        <w:autoSpaceDE/>
        <w:autoSpaceDN/>
        <w:spacing w:beforeAutospacing="0" w:afterAutospacing="0" w:line="360" w:lineRule="auto"/>
        <w:jc w:val="both"/>
        <w:rPr>
          <w:rFonts w:hint="eastAsia"/>
          <w:i/>
          <w:iCs/>
          <w:color w:val="auto"/>
          <w:sz w:val="22"/>
          <w:highlight w:val="none"/>
          <w:lang w:val="en-US" w:eastAsia="zh-CN"/>
        </w:rPr>
      </w:pPr>
      <w:r>
        <w:rPr>
          <w:rFonts w:hint="eastAsia"/>
          <w:i/>
          <w:iCs/>
          <w:color w:val="000000"/>
          <w:sz w:val="22"/>
          <w:highlight w:val="none"/>
        </w:rPr>
        <w:t>【条文说明】</w:t>
      </w:r>
      <w:r>
        <w:rPr>
          <w:rFonts w:hint="eastAsia"/>
          <w:i/>
          <w:iCs/>
          <w:color w:val="auto"/>
          <w:sz w:val="22"/>
          <w:highlight w:val="none"/>
          <w:lang w:val="en-US" w:eastAsia="zh-CN"/>
        </w:rPr>
        <w:t xml:space="preserve">选择具有碳足迹的建材或绿色标识的建材产品是实现绿色建筑和减少建筑业对环境影响的重要措施之一。碳足迹的建材或绿色标识的建材是指在全生命周期内可减少对天然资源消耗和减轻对生态环境影响，具有“节能、减排、安全、便利和可循环”特征的建材产品，其不仅对建材本身的健康、环保、安全等属性有一定的要求，还要求原材料生产、加工等 全生命周期的各个环节贯彻“绿色”、“低碳”意识并实施“绿色”、“低碳”技术。碳足迹的建材或绿色标识的建材使用比例应根据表 7.0.9-1 中计算分值按下式计算： </w:t>
      </w:r>
    </w:p>
    <w:p w14:paraId="23A5CAC8">
      <w:pPr>
        <w:pStyle w:val="20"/>
        <w:keepNext w:val="0"/>
        <w:keepLines w:val="0"/>
        <w:pageBreakBefore w:val="0"/>
        <w:widowControl/>
        <w:tabs>
          <w:tab w:val="center" w:pos="4620"/>
          <w:tab w:val="right" w:pos="9240"/>
        </w:tabs>
        <w:kinsoku/>
        <w:wordWrap/>
        <w:overflowPunct/>
        <w:topLinePunct w:val="0"/>
        <w:autoSpaceDE/>
        <w:autoSpaceDN/>
        <w:bidi w:val="0"/>
        <w:adjustRightInd/>
        <w:snapToGrid/>
        <w:spacing w:beforeAutospacing="0" w:afterAutospacing="0" w:line="360" w:lineRule="auto"/>
        <w:jc w:val="both"/>
        <w:textAlignment w:val="auto"/>
        <w:rPr>
          <w:rFonts w:hint="eastAsia"/>
          <w:i/>
          <w:iCs/>
          <w:color w:val="auto"/>
          <w:sz w:val="22"/>
          <w:highlight w:val="none"/>
          <w:lang w:val="en-US" w:eastAsia="zh-CN"/>
        </w:rPr>
      </w:pPr>
      <w:r>
        <w:rPr>
          <w:rFonts w:hint="eastAsia"/>
          <w:i/>
          <w:iCs/>
          <w:color w:val="auto"/>
          <w:sz w:val="22"/>
          <w:highlight w:val="none"/>
          <w:lang w:val="en-US" w:eastAsia="zh-CN"/>
        </w:rPr>
        <w:tab/>
      </w:r>
      <w:r>
        <w:rPr>
          <w:rFonts w:hint="eastAsia"/>
          <w:i/>
          <w:iCs/>
          <w:color w:val="auto"/>
          <w:sz w:val="22"/>
          <w:highlight w:val="none"/>
          <w:lang w:val="en-US" w:eastAsia="zh-CN"/>
        </w:rPr>
        <w:t>P=（S1+S2+S3+ S4）/100×100%</w:t>
      </w:r>
      <w:r>
        <w:rPr>
          <w:rFonts w:hint="eastAsia"/>
          <w:i/>
          <w:iCs/>
          <w:color w:val="auto"/>
          <w:sz w:val="22"/>
          <w:highlight w:val="none"/>
          <w:lang w:val="en-US" w:eastAsia="zh-CN"/>
        </w:rPr>
        <w:tab/>
      </w:r>
      <w:r>
        <w:rPr>
          <w:rFonts w:hint="eastAsia"/>
          <w:i/>
          <w:iCs/>
          <w:color w:val="auto"/>
          <w:sz w:val="22"/>
          <w:highlight w:val="none"/>
          <w:lang w:val="en-US" w:eastAsia="zh-CN"/>
        </w:rPr>
        <w:t>（6）</w:t>
      </w:r>
    </w:p>
    <w:p w14:paraId="547707B3">
      <w:pPr>
        <w:pStyle w:val="20"/>
        <w:widowControl/>
        <w:autoSpaceDE/>
        <w:autoSpaceDN/>
        <w:spacing w:beforeAutospacing="0" w:afterAutospacing="0" w:line="360" w:lineRule="auto"/>
        <w:jc w:val="both"/>
        <w:rPr>
          <w:rFonts w:hint="eastAsia"/>
          <w:i/>
          <w:iCs/>
          <w:color w:val="auto"/>
          <w:sz w:val="22"/>
          <w:highlight w:val="none"/>
          <w:lang w:val="en-US" w:eastAsia="zh-CN"/>
        </w:rPr>
      </w:pPr>
      <w:r>
        <w:rPr>
          <w:rFonts w:hint="eastAsia"/>
          <w:i/>
          <w:iCs/>
          <w:color w:val="auto"/>
          <w:sz w:val="22"/>
          <w:highlight w:val="none"/>
          <w:lang w:val="en-US" w:eastAsia="zh-CN"/>
        </w:rPr>
        <w:t>式中：P—碳足迹的建材或绿色标识的建材使用比例；</w:t>
      </w:r>
    </w:p>
    <w:p w14:paraId="7A7EBC9F">
      <w:pPr>
        <w:pStyle w:val="20"/>
        <w:widowControl/>
        <w:autoSpaceDE/>
        <w:autoSpaceDN/>
        <w:spacing w:beforeAutospacing="0" w:afterAutospacing="0" w:line="360" w:lineRule="auto"/>
        <w:ind w:firstLine="660" w:firstLineChars="300"/>
        <w:jc w:val="both"/>
        <w:rPr>
          <w:rFonts w:hint="eastAsia"/>
          <w:i/>
          <w:iCs/>
          <w:color w:val="auto"/>
          <w:sz w:val="22"/>
          <w:highlight w:val="none"/>
          <w:lang w:val="en-US" w:eastAsia="zh-CN"/>
        </w:rPr>
      </w:pPr>
      <w:r>
        <w:rPr>
          <w:rFonts w:hint="eastAsia"/>
          <w:i/>
          <w:iCs/>
          <w:color w:val="auto"/>
          <w:sz w:val="22"/>
          <w:highlight w:val="none"/>
          <w:lang w:val="en-US" w:eastAsia="zh-CN"/>
        </w:rPr>
        <w:t>S1—主体结构材料指标实际得分值；</w:t>
      </w:r>
    </w:p>
    <w:p w14:paraId="33FD827F">
      <w:pPr>
        <w:pStyle w:val="20"/>
        <w:widowControl/>
        <w:autoSpaceDE/>
        <w:autoSpaceDN/>
        <w:spacing w:beforeAutospacing="0" w:afterAutospacing="0" w:line="360" w:lineRule="auto"/>
        <w:ind w:firstLine="660" w:firstLineChars="300"/>
        <w:jc w:val="both"/>
        <w:rPr>
          <w:rFonts w:hint="eastAsia"/>
          <w:i/>
          <w:iCs/>
          <w:color w:val="auto"/>
          <w:sz w:val="22"/>
          <w:highlight w:val="none"/>
          <w:lang w:val="en-US" w:eastAsia="zh-CN"/>
        </w:rPr>
      </w:pPr>
      <w:r>
        <w:rPr>
          <w:rFonts w:hint="eastAsia"/>
          <w:i/>
          <w:iCs/>
          <w:color w:val="auto"/>
          <w:sz w:val="22"/>
          <w:highlight w:val="none"/>
          <w:lang w:val="en-US" w:eastAsia="zh-CN"/>
        </w:rPr>
        <w:t>S2—围护墙和内隔墙指标实际得分值；</w:t>
      </w:r>
    </w:p>
    <w:p w14:paraId="3BB01A9D">
      <w:pPr>
        <w:pStyle w:val="20"/>
        <w:widowControl/>
        <w:autoSpaceDE/>
        <w:autoSpaceDN/>
        <w:spacing w:beforeAutospacing="0" w:afterAutospacing="0" w:line="360" w:lineRule="auto"/>
        <w:ind w:firstLine="660" w:firstLineChars="300"/>
        <w:jc w:val="both"/>
        <w:rPr>
          <w:rFonts w:hint="eastAsia"/>
          <w:i/>
          <w:iCs/>
          <w:color w:val="auto"/>
          <w:sz w:val="22"/>
          <w:highlight w:val="none"/>
          <w:lang w:val="en-US" w:eastAsia="zh-CN"/>
        </w:rPr>
      </w:pPr>
      <w:r>
        <w:rPr>
          <w:rFonts w:hint="eastAsia"/>
          <w:i/>
          <w:iCs/>
          <w:color w:val="auto"/>
          <w:sz w:val="22"/>
          <w:highlight w:val="none"/>
          <w:lang w:val="en-US" w:eastAsia="zh-CN"/>
        </w:rPr>
        <w:t>S3—装修指标实际得分值；</w:t>
      </w:r>
    </w:p>
    <w:p w14:paraId="700B4EEA">
      <w:pPr>
        <w:pStyle w:val="20"/>
        <w:widowControl/>
        <w:autoSpaceDE/>
        <w:autoSpaceDN/>
        <w:spacing w:beforeAutospacing="0" w:afterAutospacing="0" w:line="360" w:lineRule="auto"/>
        <w:ind w:firstLine="660" w:firstLineChars="300"/>
        <w:jc w:val="both"/>
        <w:rPr>
          <w:rFonts w:hint="eastAsia"/>
          <w:i/>
          <w:iCs/>
          <w:color w:val="auto"/>
          <w:sz w:val="22"/>
          <w:highlight w:val="none"/>
          <w:lang w:val="en-US" w:eastAsia="zh-CN"/>
        </w:rPr>
      </w:pPr>
      <w:r>
        <w:rPr>
          <w:rFonts w:hint="eastAsia"/>
          <w:i/>
          <w:iCs/>
          <w:color w:val="auto"/>
          <w:sz w:val="22"/>
          <w:highlight w:val="none"/>
          <w:lang w:val="en-US" w:eastAsia="zh-CN"/>
        </w:rPr>
        <w:t>S4—其他指标实际得分值。</w:t>
      </w:r>
    </w:p>
    <w:p w14:paraId="58C06B0E">
      <w:pPr>
        <w:pStyle w:val="20"/>
        <w:widowControl/>
        <w:autoSpaceDE/>
        <w:autoSpaceDN/>
        <w:spacing w:beforeAutospacing="0" w:afterAutospacing="0" w:line="360" w:lineRule="auto"/>
        <w:ind w:firstLine="663" w:firstLineChars="300"/>
        <w:jc w:val="center"/>
        <w:rPr>
          <w:rFonts w:hint="eastAsia"/>
          <w:b/>
          <w:bCs/>
          <w:i/>
          <w:iCs/>
          <w:color w:val="auto"/>
          <w:sz w:val="22"/>
          <w:highlight w:val="none"/>
          <w:lang w:val="en-US" w:eastAsia="zh-CN"/>
        </w:rPr>
      </w:pPr>
      <w:r>
        <w:rPr>
          <w:rFonts w:hint="eastAsia"/>
          <w:b/>
          <w:bCs/>
          <w:i/>
          <w:iCs/>
          <w:color w:val="auto"/>
          <w:sz w:val="22"/>
          <w:highlight w:val="none"/>
          <w:lang w:val="en-US" w:eastAsia="zh-CN"/>
        </w:rPr>
        <w:t>表1 碳足迹的建材或绿色标识的建材比例计算表</w:t>
      </w:r>
    </w:p>
    <w:tbl>
      <w:tblPr>
        <w:tblStyle w:val="24"/>
        <w:tblW w:w="498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2"/>
        <w:gridCol w:w="2831"/>
        <w:gridCol w:w="2529"/>
        <w:gridCol w:w="1440"/>
        <w:gridCol w:w="1146"/>
      </w:tblGrid>
      <w:tr w14:paraId="385C9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3" w:type="pct"/>
            <w:gridSpan w:val="2"/>
            <w:vAlign w:val="center"/>
          </w:tcPr>
          <w:p w14:paraId="6CD01062">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计算项</w:t>
            </w:r>
          </w:p>
        </w:tc>
        <w:tc>
          <w:tcPr>
            <w:tcW w:w="1273" w:type="pct"/>
            <w:vAlign w:val="center"/>
          </w:tcPr>
          <w:p w14:paraId="2832805D">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计算要求</w:t>
            </w:r>
          </w:p>
        </w:tc>
        <w:tc>
          <w:tcPr>
            <w:tcW w:w="725" w:type="pct"/>
            <w:vAlign w:val="center"/>
          </w:tcPr>
          <w:p w14:paraId="708094B1">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计算单位</w:t>
            </w:r>
          </w:p>
        </w:tc>
        <w:tc>
          <w:tcPr>
            <w:tcW w:w="577" w:type="pct"/>
            <w:vAlign w:val="center"/>
          </w:tcPr>
          <w:p w14:paraId="3AFA8537">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计算得分</w:t>
            </w:r>
          </w:p>
        </w:tc>
      </w:tr>
      <w:tr w14:paraId="34D78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restart"/>
            <w:vAlign w:val="center"/>
          </w:tcPr>
          <w:p w14:paraId="00E01932">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主体结构</w:t>
            </w:r>
          </w:p>
        </w:tc>
        <w:tc>
          <w:tcPr>
            <w:tcW w:w="1425" w:type="pct"/>
            <w:vAlign w:val="center"/>
          </w:tcPr>
          <w:p w14:paraId="3EAAA62F">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预拌混凝土</w:t>
            </w:r>
          </w:p>
        </w:tc>
        <w:tc>
          <w:tcPr>
            <w:tcW w:w="1273" w:type="pct"/>
            <w:vAlign w:val="center"/>
          </w:tcPr>
          <w:p w14:paraId="526C66F7">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80%≤比例≤100%</w:t>
            </w:r>
          </w:p>
        </w:tc>
        <w:tc>
          <w:tcPr>
            <w:tcW w:w="725" w:type="pct"/>
            <w:vAlign w:val="center"/>
          </w:tcPr>
          <w:p w14:paraId="35947B3E">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m³</w:t>
            </w:r>
          </w:p>
        </w:tc>
        <w:tc>
          <w:tcPr>
            <w:tcW w:w="577" w:type="pct"/>
            <w:vAlign w:val="center"/>
          </w:tcPr>
          <w:p w14:paraId="13DEF852">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20～30﹡</w:t>
            </w:r>
          </w:p>
        </w:tc>
      </w:tr>
      <w:tr w14:paraId="6EE37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2C5ECF78">
            <w:pPr>
              <w:pStyle w:val="20"/>
              <w:widowControl/>
              <w:autoSpaceDE/>
              <w:autoSpaceDN/>
              <w:spacing w:beforeAutospacing="0" w:afterAutospacing="0" w:line="360" w:lineRule="auto"/>
              <w:jc w:val="center"/>
              <w:rPr>
                <w:rFonts w:hint="eastAsia"/>
                <w:i/>
                <w:iCs/>
                <w:color w:val="auto"/>
                <w:sz w:val="22"/>
                <w:highlight w:val="none"/>
                <w:lang w:val="en-US" w:eastAsia="zh-CN"/>
              </w:rPr>
            </w:pPr>
          </w:p>
        </w:tc>
        <w:tc>
          <w:tcPr>
            <w:tcW w:w="1425" w:type="pct"/>
            <w:vAlign w:val="center"/>
          </w:tcPr>
          <w:p w14:paraId="62102CC6">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预拌砂浆</w:t>
            </w:r>
          </w:p>
        </w:tc>
        <w:tc>
          <w:tcPr>
            <w:tcW w:w="1273" w:type="pct"/>
            <w:vAlign w:val="center"/>
          </w:tcPr>
          <w:p w14:paraId="723E2149">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50%≤比例≤100%</w:t>
            </w:r>
          </w:p>
        </w:tc>
        <w:tc>
          <w:tcPr>
            <w:tcW w:w="725" w:type="pct"/>
            <w:vAlign w:val="center"/>
          </w:tcPr>
          <w:p w14:paraId="56AA0D51">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m³</w:t>
            </w:r>
          </w:p>
        </w:tc>
        <w:tc>
          <w:tcPr>
            <w:tcW w:w="577" w:type="pct"/>
            <w:vAlign w:val="center"/>
          </w:tcPr>
          <w:p w14:paraId="5B0D7A18">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10～20﹡</w:t>
            </w:r>
          </w:p>
        </w:tc>
      </w:tr>
      <w:tr w14:paraId="43953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restart"/>
            <w:vAlign w:val="center"/>
          </w:tcPr>
          <w:p w14:paraId="1C78000C">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围护墙和内隔墙</w:t>
            </w:r>
          </w:p>
        </w:tc>
        <w:tc>
          <w:tcPr>
            <w:tcW w:w="1425" w:type="pct"/>
            <w:vAlign w:val="center"/>
          </w:tcPr>
          <w:p w14:paraId="48803D6E">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非承重围护墙</w:t>
            </w:r>
          </w:p>
        </w:tc>
        <w:tc>
          <w:tcPr>
            <w:tcW w:w="1273" w:type="pct"/>
            <w:vAlign w:val="center"/>
          </w:tcPr>
          <w:p w14:paraId="3437577E">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比例≥80%</w:t>
            </w:r>
          </w:p>
        </w:tc>
        <w:tc>
          <w:tcPr>
            <w:tcW w:w="725" w:type="pct"/>
            <w:vAlign w:val="center"/>
          </w:tcPr>
          <w:p w14:paraId="57A9DB3A">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m³</w:t>
            </w:r>
          </w:p>
        </w:tc>
        <w:tc>
          <w:tcPr>
            <w:tcW w:w="577" w:type="pct"/>
            <w:vAlign w:val="center"/>
          </w:tcPr>
          <w:p w14:paraId="0F3A27A4">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10</w:t>
            </w:r>
          </w:p>
        </w:tc>
      </w:tr>
      <w:tr w14:paraId="6CDFF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5E6EB519">
            <w:pPr>
              <w:pStyle w:val="20"/>
              <w:widowControl/>
              <w:autoSpaceDE/>
              <w:autoSpaceDN/>
              <w:spacing w:beforeAutospacing="0" w:afterAutospacing="0" w:line="360" w:lineRule="auto"/>
              <w:jc w:val="center"/>
              <w:rPr>
                <w:rFonts w:hint="eastAsia"/>
                <w:i/>
                <w:iCs/>
                <w:color w:val="auto"/>
                <w:sz w:val="22"/>
                <w:highlight w:val="none"/>
                <w:lang w:val="en-US" w:eastAsia="zh-CN"/>
              </w:rPr>
            </w:pPr>
          </w:p>
        </w:tc>
        <w:tc>
          <w:tcPr>
            <w:tcW w:w="1425" w:type="pct"/>
            <w:vAlign w:val="center"/>
          </w:tcPr>
          <w:p w14:paraId="31A8D3A6">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内隔墙</w:t>
            </w:r>
          </w:p>
        </w:tc>
        <w:tc>
          <w:tcPr>
            <w:tcW w:w="1273" w:type="pct"/>
            <w:vAlign w:val="center"/>
          </w:tcPr>
          <w:p w14:paraId="16351427">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比例≥80%</w:t>
            </w:r>
          </w:p>
        </w:tc>
        <w:tc>
          <w:tcPr>
            <w:tcW w:w="725" w:type="pct"/>
            <w:vAlign w:val="center"/>
          </w:tcPr>
          <w:p w14:paraId="1AE64712">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m³</w:t>
            </w:r>
          </w:p>
        </w:tc>
        <w:tc>
          <w:tcPr>
            <w:tcW w:w="577" w:type="pct"/>
            <w:vAlign w:val="center"/>
          </w:tcPr>
          <w:p w14:paraId="1BE0C9F9">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10</w:t>
            </w:r>
          </w:p>
        </w:tc>
      </w:tr>
      <w:tr w14:paraId="1099B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restart"/>
            <w:vAlign w:val="center"/>
          </w:tcPr>
          <w:p w14:paraId="1B5477DD">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装修</w:t>
            </w:r>
          </w:p>
        </w:tc>
        <w:tc>
          <w:tcPr>
            <w:tcW w:w="1425" w:type="pct"/>
            <w:vAlign w:val="center"/>
          </w:tcPr>
          <w:p w14:paraId="54E23B90">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外墙装饰面层涂料、面砖等</w:t>
            </w:r>
          </w:p>
        </w:tc>
        <w:tc>
          <w:tcPr>
            <w:tcW w:w="1273" w:type="pct"/>
            <w:shd w:val="clear" w:color="auto" w:fill="auto"/>
            <w:vAlign w:val="center"/>
          </w:tcPr>
          <w:p w14:paraId="01A0E5D0">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比例≥80%</w:t>
            </w:r>
          </w:p>
        </w:tc>
        <w:tc>
          <w:tcPr>
            <w:tcW w:w="725" w:type="pct"/>
            <w:vAlign w:val="center"/>
          </w:tcPr>
          <w:p w14:paraId="4FBABC81">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w:t>
            </w:r>
          </w:p>
        </w:tc>
        <w:tc>
          <w:tcPr>
            <w:tcW w:w="577" w:type="pct"/>
            <w:vAlign w:val="center"/>
          </w:tcPr>
          <w:p w14:paraId="0F09C661">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4</w:t>
            </w:r>
          </w:p>
        </w:tc>
      </w:tr>
      <w:tr w14:paraId="2C58F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2BEAC415">
            <w:pPr>
              <w:pStyle w:val="20"/>
              <w:widowControl/>
              <w:autoSpaceDE/>
              <w:autoSpaceDN/>
              <w:spacing w:beforeAutospacing="0" w:afterAutospacing="0" w:line="360" w:lineRule="auto"/>
              <w:jc w:val="center"/>
              <w:rPr>
                <w:rFonts w:hint="eastAsia"/>
                <w:i/>
                <w:iCs/>
                <w:color w:val="auto"/>
                <w:sz w:val="22"/>
                <w:highlight w:val="none"/>
                <w:lang w:val="en-US" w:eastAsia="zh-CN"/>
              </w:rPr>
            </w:pPr>
          </w:p>
        </w:tc>
        <w:tc>
          <w:tcPr>
            <w:tcW w:w="1425" w:type="pct"/>
            <w:vAlign w:val="center"/>
          </w:tcPr>
          <w:p w14:paraId="1BB02EDF">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内墙装饰面层涂料、面砖等</w:t>
            </w:r>
          </w:p>
        </w:tc>
        <w:tc>
          <w:tcPr>
            <w:tcW w:w="1273" w:type="pct"/>
            <w:shd w:val="clear" w:color="auto" w:fill="auto"/>
            <w:vAlign w:val="center"/>
          </w:tcPr>
          <w:p w14:paraId="70073D2D">
            <w:pPr>
              <w:pStyle w:val="20"/>
              <w:widowControl/>
              <w:autoSpaceDE/>
              <w:autoSpaceDN/>
              <w:spacing w:beforeAutospacing="0" w:afterAutospacing="0" w:line="360" w:lineRule="auto"/>
              <w:jc w:val="center"/>
              <w:rPr>
                <w:rFonts w:hint="eastAsia" w:ascii="Times New Roman" w:hAnsi="Times New Roman" w:eastAsia="宋体" w:cs="Times New Roman"/>
                <w:i/>
                <w:iCs/>
                <w:color w:val="auto"/>
                <w:sz w:val="22"/>
                <w:szCs w:val="22"/>
                <w:highlight w:val="none"/>
                <w:lang w:val="en-US" w:eastAsia="zh-CN" w:bidi="ar-SA"/>
              </w:rPr>
            </w:pPr>
            <w:r>
              <w:rPr>
                <w:rFonts w:hint="eastAsia"/>
                <w:i/>
                <w:iCs/>
                <w:color w:val="auto"/>
                <w:sz w:val="22"/>
                <w:highlight w:val="none"/>
                <w:lang w:val="en-US" w:eastAsia="zh-CN"/>
              </w:rPr>
              <w:t>比例≥80%</w:t>
            </w:r>
          </w:p>
        </w:tc>
        <w:tc>
          <w:tcPr>
            <w:tcW w:w="725" w:type="pct"/>
            <w:vAlign w:val="center"/>
          </w:tcPr>
          <w:p w14:paraId="26365D5B">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w:t>
            </w:r>
          </w:p>
        </w:tc>
        <w:tc>
          <w:tcPr>
            <w:tcW w:w="577" w:type="pct"/>
            <w:vAlign w:val="center"/>
          </w:tcPr>
          <w:p w14:paraId="081BF703">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5</w:t>
            </w:r>
          </w:p>
        </w:tc>
      </w:tr>
      <w:tr w14:paraId="6178B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547A2F3C">
            <w:pPr>
              <w:pStyle w:val="20"/>
              <w:widowControl/>
              <w:autoSpaceDE/>
              <w:autoSpaceDN/>
              <w:spacing w:beforeAutospacing="0" w:afterAutospacing="0" w:line="360" w:lineRule="auto"/>
              <w:jc w:val="center"/>
              <w:rPr>
                <w:rFonts w:hint="eastAsia"/>
                <w:i/>
                <w:iCs/>
                <w:color w:val="auto"/>
                <w:sz w:val="22"/>
                <w:highlight w:val="none"/>
                <w:lang w:val="en-US" w:eastAsia="zh-CN"/>
              </w:rPr>
            </w:pPr>
          </w:p>
        </w:tc>
        <w:tc>
          <w:tcPr>
            <w:tcW w:w="1425" w:type="pct"/>
            <w:vAlign w:val="center"/>
          </w:tcPr>
          <w:p w14:paraId="67D714BC">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室内顶棚装饰面层涂料、吊顶等</w:t>
            </w:r>
          </w:p>
        </w:tc>
        <w:tc>
          <w:tcPr>
            <w:tcW w:w="1273" w:type="pct"/>
            <w:shd w:val="clear" w:color="auto" w:fill="auto"/>
            <w:vAlign w:val="center"/>
          </w:tcPr>
          <w:p w14:paraId="571BD6E1">
            <w:pPr>
              <w:pStyle w:val="20"/>
              <w:widowControl/>
              <w:autoSpaceDE/>
              <w:autoSpaceDN/>
              <w:spacing w:beforeAutospacing="0" w:afterAutospacing="0" w:line="360" w:lineRule="auto"/>
              <w:jc w:val="center"/>
              <w:rPr>
                <w:rFonts w:hint="eastAsia" w:ascii="Times New Roman" w:hAnsi="Times New Roman" w:eastAsia="宋体" w:cs="Times New Roman"/>
                <w:i/>
                <w:iCs/>
                <w:color w:val="auto"/>
                <w:sz w:val="22"/>
                <w:szCs w:val="22"/>
                <w:highlight w:val="none"/>
                <w:lang w:val="en-US" w:eastAsia="zh-CN" w:bidi="ar-SA"/>
              </w:rPr>
            </w:pPr>
            <w:r>
              <w:rPr>
                <w:rFonts w:hint="eastAsia"/>
                <w:i/>
                <w:iCs/>
                <w:color w:val="auto"/>
                <w:sz w:val="22"/>
                <w:highlight w:val="none"/>
                <w:lang w:val="en-US" w:eastAsia="zh-CN"/>
              </w:rPr>
              <w:t>比例≥80%</w:t>
            </w:r>
          </w:p>
        </w:tc>
        <w:tc>
          <w:tcPr>
            <w:tcW w:w="725" w:type="pct"/>
            <w:vAlign w:val="center"/>
          </w:tcPr>
          <w:p w14:paraId="5042FC26">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w:t>
            </w:r>
          </w:p>
        </w:tc>
        <w:tc>
          <w:tcPr>
            <w:tcW w:w="577" w:type="pct"/>
            <w:vAlign w:val="center"/>
          </w:tcPr>
          <w:p w14:paraId="130FC58A">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3</w:t>
            </w:r>
          </w:p>
        </w:tc>
      </w:tr>
      <w:tr w14:paraId="6E5B5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45B9A16E">
            <w:pPr>
              <w:pStyle w:val="20"/>
              <w:widowControl/>
              <w:autoSpaceDE/>
              <w:autoSpaceDN/>
              <w:spacing w:beforeAutospacing="0" w:afterAutospacing="0" w:line="360" w:lineRule="auto"/>
              <w:ind w:firstLine="660" w:firstLineChars="300"/>
              <w:jc w:val="center"/>
              <w:rPr>
                <w:rFonts w:hint="eastAsia"/>
                <w:i/>
                <w:iCs/>
                <w:color w:val="auto"/>
                <w:sz w:val="22"/>
                <w:highlight w:val="none"/>
                <w:lang w:val="en-US" w:eastAsia="zh-CN"/>
              </w:rPr>
            </w:pPr>
          </w:p>
        </w:tc>
        <w:tc>
          <w:tcPr>
            <w:tcW w:w="1425" w:type="pct"/>
            <w:vAlign w:val="center"/>
          </w:tcPr>
          <w:p w14:paraId="75B0195A">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室内地面装饰面层木地板、面砖等</w:t>
            </w:r>
          </w:p>
        </w:tc>
        <w:tc>
          <w:tcPr>
            <w:tcW w:w="1273" w:type="pct"/>
            <w:shd w:val="clear" w:color="auto" w:fill="auto"/>
            <w:vAlign w:val="center"/>
          </w:tcPr>
          <w:p w14:paraId="110D4A6F">
            <w:pPr>
              <w:pStyle w:val="20"/>
              <w:widowControl/>
              <w:autoSpaceDE/>
              <w:autoSpaceDN/>
              <w:spacing w:beforeAutospacing="0" w:afterAutospacing="0" w:line="360" w:lineRule="auto"/>
              <w:jc w:val="center"/>
              <w:rPr>
                <w:rFonts w:hint="eastAsia" w:ascii="Times New Roman" w:hAnsi="Times New Roman" w:eastAsia="宋体" w:cs="Times New Roman"/>
                <w:i/>
                <w:iCs/>
                <w:color w:val="auto"/>
                <w:sz w:val="22"/>
                <w:szCs w:val="22"/>
                <w:highlight w:val="none"/>
                <w:lang w:val="en-US" w:eastAsia="zh-CN" w:bidi="ar-SA"/>
              </w:rPr>
            </w:pPr>
            <w:r>
              <w:rPr>
                <w:rFonts w:hint="eastAsia"/>
                <w:i/>
                <w:iCs/>
                <w:color w:val="auto"/>
                <w:sz w:val="22"/>
                <w:highlight w:val="none"/>
                <w:lang w:val="en-US" w:eastAsia="zh-CN"/>
              </w:rPr>
              <w:t>比例≥80%</w:t>
            </w:r>
          </w:p>
        </w:tc>
        <w:tc>
          <w:tcPr>
            <w:tcW w:w="725" w:type="pct"/>
            <w:vAlign w:val="center"/>
          </w:tcPr>
          <w:p w14:paraId="2726A2D4">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w:t>
            </w:r>
          </w:p>
        </w:tc>
        <w:tc>
          <w:tcPr>
            <w:tcW w:w="577" w:type="pct"/>
            <w:vAlign w:val="center"/>
          </w:tcPr>
          <w:p w14:paraId="6F231914">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3</w:t>
            </w:r>
          </w:p>
        </w:tc>
      </w:tr>
      <w:tr w14:paraId="1323B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474144E8">
            <w:pPr>
              <w:pStyle w:val="20"/>
              <w:widowControl/>
              <w:autoSpaceDE/>
              <w:autoSpaceDN/>
              <w:spacing w:beforeAutospacing="0" w:afterAutospacing="0" w:line="360" w:lineRule="auto"/>
              <w:ind w:firstLine="660" w:firstLineChars="300"/>
              <w:jc w:val="center"/>
              <w:rPr>
                <w:rFonts w:hint="eastAsia"/>
                <w:i/>
                <w:iCs/>
                <w:color w:val="auto"/>
                <w:sz w:val="22"/>
                <w:highlight w:val="none"/>
                <w:lang w:val="en-US" w:eastAsia="zh-CN"/>
              </w:rPr>
            </w:pPr>
          </w:p>
        </w:tc>
        <w:tc>
          <w:tcPr>
            <w:tcW w:w="1425" w:type="pct"/>
            <w:vAlign w:val="center"/>
          </w:tcPr>
          <w:p w14:paraId="5F83D047">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门窗、玻璃</w:t>
            </w:r>
          </w:p>
        </w:tc>
        <w:tc>
          <w:tcPr>
            <w:tcW w:w="1273" w:type="pct"/>
            <w:shd w:val="clear" w:color="auto" w:fill="auto"/>
            <w:vAlign w:val="center"/>
          </w:tcPr>
          <w:p w14:paraId="737B1208">
            <w:pPr>
              <w:pStyle w:val="20"/>
              <w:widowControl/>
              <w:autoSpaceDE/>
              <w:autoSpaceDN/>
              <w:spacing w:beforeAutospacing="0" w:afterAutospacing="0" w:line="360" w:lineRule="auto"/>
              <w:jc w:val="center"/>
              <w:rPr>
                <w:rFonts w:hint="eastAsia" w:ascii="Times New Roman" w:hAnsi="Times New Roman" w:eastAsia="宋体" w:cs="Times New Roman"/>
                <w:i/>
                <w:iCs/>
                <w:color w:val="auto"/>
                <w:sz w:val="22"/>
                <w:szCs w:val="22"/>
                <w:highlight w:val="none"/>
                <w:lang w:val="en-US" w:eastAsia="zh-CN" w:bidi="ar-SA"/>
              </w:rPr>
            </w:pPr>
            <w:r>
              <w:rPr>
                <w:rFonts w:hint="eastAsia"/>
                <w:i/>
                <w:iCs/>
                <w:color w:val="auto"/>
                <w:sz w:val="22"/>
                <w:highlight w:val="none"/>
                <w:lang w:val="en-US" w:eastAsia="zh-CN"/>
              </w:rPr>
              <w:t>比例≥80%</w:t>
            </w:r>
          </w:p>
        </w:tc>
        <w:tc>
          <w:tcPr>
            <w:tcW w:w="725" w:type="pct"/>
            <w:shd w:val="clear" w:color="auto" w:fill="auto"/>
            <w:vAlign w:val="center"/>
          </w:tcPr>
          <w:p w14:paraId="52B2F182">
            <w:pPr>
              <w:pStyle w:val="20"/>
              <w:widowControl/>
              <w:autoSpaceDE/>
              <w:autoSpaceDN/>
              <w:spacing w:beforeAutospacing="0" w:afterAutospacing="0" w:line="360" w:lineRule="auto"/>
              <w:jc w:val="center"/>
              <w:rPr>
                <w:rFonts w:hint="eastAsia" w:ascii="Times New Roman" w:hAnsi="Times New Roman" w:eastAsia="宋体" w:cs="Times New Roman"/>
                <w:i/>
                <w:iCs/>
                <w:color w:val="auto"/>
                <w:sz w:val="22"/>
                <w:szCs w:val="22"/>
                <w:highlight w:val="none"/>
                <w:lang w:val="en-US" w:eastAsia="zh-CN" w:bidi="ar-SA"/>
              </w:rPr>
            </w:pPr>
            <w:r>
              <w:rPr>
                <w:rFonts w:hint="eastAsia"/>
                <w:i/>
                <w:iCs/>
                <w:color w:val="auto"/>
                <w:sz w:val="22"/>
                <w:highlight w:val="none"/>
                <w:lang w:val="en-US" w:eastAsia="zh-CN"/>
              </w:rPr>
              <w:t>㎡</w:t>
            </w:r>
          </w:p>
        </w:tc>
        <w:tc>
          <w:tcPr>
            <w:tcW w:w="577" w:type="pct"/>
            <w:vAlign w:val="center"/>
          </w:tcPr>
          <w:p w14:paraId="3A8C0720">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3</w:t>
            </w:r>
          </w:p>
        </w:tc>
      </w:tr>
      <w:tr w14:paraId="73763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restart"/>
            <w:vAlign w:val="center"/>
          </w:tcPr>
          <w:p w14:paraId="1C652722">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其他</w:t>
            </w:r>
          </w:p>
        </w:tc>
        <w:tc>
          <w:tcPr>
            <w:tcW w:w="1425" w:type="pct"/>
            <w:vAlign w:val="center"/>
          </w:tcPr>
          <w:p w14:paraId="5BDE1CCE">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保温材料</w:t>
            </w:r>
          </w:p>
        </w:tc>
        <w:tc>
          <w:tcPr>
            <w:tcW w:w="1273" w:type="pct"/>
            <w:shd w:val="clear" w:color="auto" w:fill="auto"/>
            <w:vAlign w:val="center"/>
          </w:tcPr>
          <w:p w14:paraId="5D4CA30B">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比例≥80%</w:t>
            </w:r>
          </w:p>
        </w:tc>
        <w:tc>
          <w:tcPr>
            <w:tcW w:w="725" w:type="pct"/>
            <w:vAlign w:val="center"/>
          </w:tcPr>
          <w:p w14:paraId="0E0160CC">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w:t>
            </w:r>
          </w:p>
        </w:tc>
        <w:tc>
          <w:tcPr>
            <w:tcW w:w="577" w:type="pct"/>
            <w:vAlign w:val="center"/>
          </w:tcPr>
          <w:p w14:paraId="2C205AC8">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3</w:t>
            </w:r>
          </w:p>
        </w:tc>
      </w:tr>
      <w:tr w14:paraId="70521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60D7A004">
            <w:pPr>
              <w:pStyle w:val="20"/>
              <w:widowControl/>
              <w:autoSpaceDE/>
              <w:autoSpaceDN/>
              <w:spacing w:beforeAutospacing="0" w:afterAutospacing="0" w:line="360" w:lineRule="auto"/>
              <w:ind w:firstLine="660" w:firstLineChars="300"/>
              <w:jc w:val="center"/>
              <w:rPr>
                <w:rFonts w:hint="eastAsia"/>
                <w:i/>
                <w:iCs/>
                <w:color w:val="auto"/>
                <w:sz w:val="22"/>
                <w:highlight w:val="none"/>
                <w:lang w:val="en-US" w:eastAsia="zh-CN"/>
              </w:rPr>
            </w:pPr>
          </w:p>
        </w:tc>
        <w:tc>
          <w:tcPr>
            <w:tcW w:w="1425" w:type="pct"/>
            <w:vAlign w:val="center"/>
          </w:tcPr>
          <w:p w14:paraId="49D0AF8D">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卫生洁具</w:t>
            </w:r>
          </w:p>
        </w:tc>
        <w:tc>
          <w:tcPr>
            <w:tcW w:w="1273" w:type="pct"/>
            <w:shd w:val="clear" w:color="auto" w:fill="auto"/>
            <w:vAlign w:val="center"/>
          </w:tcPr>
          <w:p w14:paraId="7D410DEE">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比例≥80%</w:t>
            </w:r>
          </w:p>
        </w:tc>
        <w:tc>
          <w:tcPr>
            <w:tcW w:w="725" w:type="pct"/>
            <w:vAlign w:val="center"/>
          </w:tcPr>
          <w:p w14:paraId="6CE0F726">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具</w:t>
            </w:r>
          </w:p>
        </w:tc>
        <w:tc>
          <w:tcPr>
            <w:tcW w:w="577" w:type="pct"/>
            <w:vAlign w:val="center"/>
          </w:tcPr>
          <w:p w14:paraId="28B08833">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3</w:t>
            </w:r>
          </w:p>
        </w:tc>
      </w:tr>
      <w:tr w14:paraId="38E65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225975FE">
            <w:pPr>
              <w:pStyle w:val="20"/>
              <w:widowControl/>
              <w:autoSpaceDE/>
              <w:autoSpaceDN/>
              <w:spacing w:beforeAutospacing="0" w:afterAutospacing="0" w:line="360" w:lineRule="auto"/>
              <w:ind w:firstLine="660" w:firstLineChars="300"/>
              <w:jc w:val="center"/>
              <w:rPr>
                <w:rFonts w:hint="eastAsia"/>
                <w:i/>
                <w:iCs/>
                <w:color w:val="auto"/>
                <w:sz w:val="22"/>
                <w:highlight w:val="none"/>
                <w:lang w:val="en-US" w:eastAsia="zh-CN"/>
              </w:rPr>
            </w:pPr>
          </w:p>
        </w:tc>
        <w:tc>
          <w:tcPr>
            <w:tcW w:w="1425" w:type="pct"/>
            <w:vAlign w:val="center"/>
          </w:tcPr>
          <w:p w14:paraId="1BDDE62A">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防水材料</w:t>
            </w:r>
          </w:p>
        </w:tc>
        <w:tc>
          <w:tcPr>
            <w:tcW w:w="1273" w:type="pct"/>
            <w:shd w:val="clear" w:color="auto" w:fill="auto"/>
            <w:vAlign w:val="center"/>
          </w:tcPr>
          <w:p w14:paraId="032BEDC8">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比例≥80%</w:t>
            </w:r>
          </w:p>
        </w:tc>
        <w:tc>
          <w:tcPr>
            <w:tcW w:w="725" w:type="pct"/>
            <w:vAlign w:val="center"/>
          </w:tcPr>
          <w:p w14:paraId="73BC5215">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w:t>
            </w:r>
          </w:p>
        </w:tc>
        <w:tc>
          <w:tcPr>
            <w:tcW w:w="577" w:type="pct"/>
            <w:vAlign w:val="center"/>
          </w:tcPr>
          <w:p w14:paraId="003C5126">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2</w:t>
            </w:r>
          </w:p>
        </w:tc>
      </w:tr>
      <w:tr w14:paraId="7A819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004526DF">
            <w:pPr>
              <w:pStyle w:val="20"/>
              <w:widowControl/>
              <w:autoSpaceDE/>
              <w:autoSpaceDN/>
              <w:spacing w:beforeAutospacing="0" w:afterAutospacing="0" w:line="360" w:lineRule="auto"/>
              <w:ind w:firstLine="660" w:firstLineChars="300"/>
              <w:jc w:val="center"/>
              <w:rPr>
                <w:rFonts w:hint="eastAsia"/>
                <w:i/>
                <w:iCs/>
                <w:color w:val="auto"/>
                <w:sz w:val="22"/>
                <w:highlight w:val="none"/>
                <w:lang w:val="en-US" w:eastAsia="zh-CN"/>
              </w:rPr>
            </w:pPr>
          </w:p>
        </w:tc>
        <w:tc>
          <w:tcPr>
            <w:tcW w:w="1425" w:type="pct"/>
            <w:vAlign w:val="center"/>
          </w:tcPr>
          <w:p w14:paraId="0D0F08F0">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密封材料</w:t>
            </w:r>
          </w:p>
        </w:tc>
        <w:tc>
          <w:tcPr>
            <w:tcW w:w="1273" w:type="pct"/>
            <w:shd w:val="clear" w:color="auto" w:fill="auto"/>
            <w:vAlign w:val="center"/>
          </w:tcPr>
          <w:p w14:paraId="438D8B66">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比例≥80%</w:t>
            </w:r>
          </w:p>
        </w:tc>
        <w:tc>
          <w:tcPr>
            <w:tcW w:w="725" w:type="pct"/>
            <w:vAlign w:val="center"/>
          </w:tcPr>
          <w:p w14:paraId="4836E1AE">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kg</w:t>
            </w:r>
          </w:p>
        </w:tc>
        <w:tc>
          <w:tcPr>
            <w:tcW w:w="577" w:type="pct"/>
            <w:vAlign w:val="center"/>
          </w:tcPr>
          <w:p w14:paraId="63A98B12">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2</w:t>
            </w:r>
          </w:p>
        </w:tc>
      </w:tr>
      <w:tr w14:paraId="43B5E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0CBA9D9D">
            <w:pPr>
              <w:pStyle w:val="20"/>
              <w:widowControl/>
              <w:autoSpaceDE/>
              <w:autoSpaceDN/>
              <w:spacing w:beforeAutospacing="0" w:afterAutospacing="0" w:line="360" w:lineRule="auto"/>
              <w:ind w:firstLine="660" w:firstLineChars="300"/>
              <w:jc w:val="center"/>
              <w:rPr>
                <w:rFonts w:hint="eastAsia"/>
                <w:i/>
                <w:iCs/>
                <w:color w:val="auto"/>
                <w:sz w:val="22"/>
                <w:highlight w:val="none"/>
                <w:lang w:val="en-US" w:eastAsia="zh-CN"/>
              </w:rPr>
            </w:pPr>
          </w:p>
        </w:tc>
        <w:tc>
          <w:tcPr>
            <w:tcW w:w="1425" w:type="pct"/>
            <w:vAlign w:val="center"/>
          </w:tcPr>
          <w:p w14:paraId="637C23A1">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其他</w:t>
            </w:r>
          </w:p>
        </w:tc>
        <w:tc>
          <w:tcPr>
            <w:tcW w:w="1273" w:type="pct"/>
            <w:shd w:val="clear" w:color="auto" w:fill="auto"/>
            <w:vAlign w:val="center"/>
          </w:tcPr>
          <w:p w14:paraId="0F4DF2E8">
            <w:pPr>
              <w:pStyle w:val="20"/>
              <w:widowControl/>
              <w:autoSpaceDE/>
              <w:autoSpaceDN/>
              <w:spacing w:beforeAutospacing="0" w:afterAutospacing="0" w:line="360" w:lineRule="auto"/>
              <w:jc w:val="center"/>
              <w:rPr>
                <w:rFonts w:hint="eastAsia"/>
                <w:i/>
                <w:iCs/>
                <w:color w:val="auto"/>
                <w:sz w:val="22"/>
                <w:highlight w:val="none"/>
                <w:lang w:val="en-US" w:eastAsia="zh-CN"/>
              </w:rPr>
            </w:pPr>
            <w:r>
              <w:rPr>
                <w:rFonts w:hint="eastAsia"/>
                <w:i/>
                <w:iCs/>
                <w:color w:val="auto"/>
                <w:sz w:val="22"/>
                <w:highlight w:val="none"/>
                <w:lang w:val="en-US" w:eastAsia="zh-CN"/>
              </w:rPr>
              <w:t>比例≥80%</w:t>
            </w:r>
          </w:p>
        </w:tc>
        <w:tc>
          <w:tcPr>
            <w:tcW w:w="725" w:type="pct"/>
            <w:vAlign w:val="center"/>
          </w:tcPr>
          <w:p w14:paraId="6657E5B8">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w:t>
            </w:r>
          </w:p>
        </w:tc>
        <w:tc>
          <w:tcPr>
            <w:tcW w:w="577" w:type="pct"/>
            <w:vAlign w:val="center"/>
          </w:tcPr>
          <w:p w14:paraId="0F12E23A">
            <w:pPr>
              <w:pStyle w:val="20"/>
              <w:widowControl/>
              <w:autoSpaceDE/>
              <w:autoSpaceDN/>
              <w:spacing w:beforeAutospacing="0" w:afterAutospacing="0" w:line="360" w:lineRule="auto"/>
              <w:jc w:val="center"/>
              <w:rPr>
                <w:rFonts w:hint="default"/>
                <w:i/>
                <w:iCs/>
                <w:color w:val="auto"/>
                <w:sz w:val="22"/>
                <w:highlight w:val="none"/>
                <w:lang w:val="en-US" w:eastAsia="zh-CN"/>
              </w:rPr>
            </w:pPr>
            <w:r>
              <w:rPr>
                <w:rFonts w:hint="eastAsia"/>
                <w:i/>
                <w:iCs/>
                <w:color w:val="auto"/>
                <w:sz w:val="22"/>
                <w:highlight w:val="none"/>
                <w:lang w:val="en-US" w:eastAsia="zh-CN"/>
              </w:rPr>
              <w:t>2</w:t>
            </w:r>
          </w:p>
        </w:tc>
      </w:tr>
    </w:tbl>
    <w:p w14:paraId="79DCDE73">
      <w:pPr>
        <w:pStyle w:val="20"/>
        <w:widowControl/>
        <w:autoSpaceDE/>
        <w:autoSpaceDN/>
        <w:spacing w:beforeAutospacing="0" w:afterAutospacing="0" w:line="360" w:lineRule="auto"/>
        <w:jc w:val="both"/>
        <w:rPr>
          <w:rFonts w:hint="eastAsia"/>
          <w:i/>
          <w:iCs/>
          <w:color w:val="auto"/>
          <w:sz w:val="22"/>
          <w:highlight w:val="none"/>
          <w:lang w:val="en-US" w:eastAsia="zh-CN"/>
        </w:rPr>
      </w:pPr>
      <w:r>
        <w:rPr>
          <w:rFonts w:hint="eastAsia"/>
          <w:i/>
          <w:iCs/>
          <w:color w:val="auto"/>
          <w:sz w:val="22"/>
          <w:highlight w:val="none"/>
          <w:lang w:val="en-US" w:eastAsia="zh-CN"/>
        </w:rPr>
        <w:t>注：1.表中带“﹡”项的分值采用“内插法”计算，计算结果取小数点后1位。</w:t>
      </w:r>
    </w:p>
    <w:p w14:paraId="34096E99">
      <w:pPr>
        <w:pStyle w:val="20"/>
        <w:widowControl/>
        <w:numPr>
          <w:ilvl w:val="0"/>
          <w:numId w:val="0"/>
        </w:numPr>
        <w:autoSpaceDE/>
        <w:autoSpaceDN/>
        <w:spacing w:beforeAutospacing="0" w:afterAutospacing="0" w:line="360" w:lineRule="auto"/>
        <w:ind w:firstLine="440" w:firstLineChars="200"/>
        <w:jc w:val="both"/>
        <w:rPr>
          <w:rFonts w:hint="eastAsia"/>
          <w:i/>
          <w:iCs/>
          <w:color w:val="auto"/>
          <w:sz w:val="22"/>
          <w:highlight w:val="none"/>
          <w:lang w:val="en-US" w:eastAsia="zh-CN"/>
        </w:rPr>
      </w:pPr>
      <w:r>
        <w:rPr>
          <w:rFonts w:hint="eastAsia"/>
          <w:i/>
          <w:iCs/>
          <w:color w:val="auto"/>
          <w:sz w:val="22"/>
          <w:highlight w:val="none"/>
          <w:lang w:val="en-US" w:eastAsia="zh-CN"/>
        </w:rPr>
        <w:t>2.预拌混凝土应包含预制部品部件的混凝土用量；预拌砂浆应包含预制部品部件的砂浆用量；围护墙、内隔墙采用预制构件时，计入相应体积计算；结构保温装修等一体化构件分别计入相应的墙体、装修、保温、防水材料计算公式进行计算。</w:t>
      </w:r>
    </w:p>
    <w:p w14:paraId="0D8515F9">
      <w:pPr>
        <w:pStyle w:val="20"/>
        <w:widowControl/>
        <w:autoSpaceDE/>
        <w:autoSpaceDN/>
        <w:spacing w:beforeAutospacing="0" w:afterAutospacing="0" w:line="360" w:lineRule="auto"/>
        <w:ind w:firstLine="420" w:firstLineChars="0"/>
        <w:jc w:val="both"/>
        <w:rPr>
          <w:rFonts w:hint="eastAsia"/>
          <w:i/>
          <w:iCs/>
          <w:color w:val="auto"/>
          <w:sz w:val="22"/>
          <w:highlight w:val="none"/>
          <w:lang w:val="en-US" w:eastAsia="zh-CN"/>
        </w:rPr>
      </w:pPr>
      <w:r>
        <w:rPr>
          <w:rFonts w:hint="eastAsia"/>
          <w:i/>
          <w:iCs/>
          <w:color w:val="auto"/>
          <w:sz w:val="22"/>
          <w:highlight w:val="none"/>
          <w:lang w:val="en-US" w:eastAsia="zh-CN"/>
        </w:rPr>
        <w:t>本条的评价方法为：</w:t>
      </w:r>
      <w:r>
        <w:rPr>
          <w:rFonts w:hint="eastAsia"/>
          <w:i/>
          <w:iCs/>
          <w:color w:val="000000"/>
          <w:sz w:val="22"/>
          <w:lang w:val="en-US" w:eastAsia="zh-CN"/>
        </w:rPr>
        <w:t>运行阶段评价</w:t>
      </w:r>
      <w:r>
        <w:rPr>
          <w:rFonts w:hint="eastAsia"/>
          <w:i/>
          <w:iCs/>
          <w:color w:val="auto"/>
          <w:sz w:val="22"/>
          <w:highlight w:val="none"/>
          <w:lang w:val="en-US" w:eastAsia="zh-CN"/>
        </w:rPr>
        <w:t>查阅竣工图、计算分析报告、检测报告、工程决算材料清单、绿色建材标识证书、碳足迹标识、施工记录等相关证明文件，必要时现场核查。</w:t>
      </w:r>
    </w:p>
    <w:p w14:paraId="0F944F75">
      <w:pPr>
        <w:autoSpaceDE/>
        <w:autoSpaceDN/>
        <w:spacing w:line="360" w:lineRule="auto"/>
        <w:rPr>
          <w:rFonts w:cs="Times New Roman"/>
          <w:iCs/>
          <w:lang w:val="en-US"/>
        </w:rPr>
      </w:pPr>
      <w:r>
        <w:rPr>
          <w:rFonts w:hint="eastAsia" w:cs="Times New Roman"/>
          <w:b/>
          <w:bCs/>
          <w:iCs/>
          <w:lang w:val="en-US" w:eastAsia="zh-CN"/>
        </w:rPr>
        <w:t>7</w:t>
      </w:r>
      <w:r>
        <w:rPr>
          <w:rFonts w:cs="Times New Roman"/>
          <w:b/>
          <w:bCs/>
          <w:iCs/>
          <w:lang w:val="en-US"/>
        </w:rPr>
        <w:t>.</w:t>
      </w:r>
      <w:r>
        <w:rPr>
          <w:rFonts w:hint="eastAsia" w:cs="Times New Roman"/>
          <w:b/>
          <w:bCs/>
          <w:iCs/>
          <w:lang w:val="en-US"/>
        </w:rPr>
        <w:t>0</w:t>
      </w:r>
      <w:r>
        <w:rPr>
          <w:rFonts w:cs="Times New Roman"/>
          <w:b/>
          <w:bCs/>
          <w:iCs/>
          <w:lang w:val="en-US"/>
        </w:rPr>
        <w:t>.</w:t>
      </w:r>
      <w:r>
        <w:rPr>
          <w:rFonts w:hint="eastAsia" w:cs="Times New Roman"/>
          <w:b/>
          <w:bCs/>
          <w:iCs/>
          <w:lang w:val="en-US" w:eastAsia="zh-CN"/>
        </w:rPr>
        <w:t>11</w:t>
      </w:r>
      <w:r>
        <w:rPr>
          <w:rFonts w:cs="Times New Roman"/>
          <w:b/>
          <w:bCs/>
          <w:iCs/>
          <w:lang w:val="en-US"/>
        </w:rPr>
        <w:t>　</w:t>
      </w:r>
      <w:r>
        <w:rPr>
          <w:rFonts w:cs="Times New Roman"/>
          <w:iCs/>
          <w:lang w:val="en-US"/>
        </w:rPr>
        <w:t>采用装配式高性能结构材料、新技术应用，或其他显著</w:t>
      </w:r>
      <w:r>
        <w:rPr>
          <w:rFonts w:hint="eastAsia" w:cs="Times New Roman"/>
          <w:iCs/>
          <w:lang w:val="en-US"/>
        </w:rPr>
        <w:t>降低装配式建筑碳排放，</w:t>
      </w:r>
      <w:r>
        <w:rPr>
          <w:rFonts w:cs="Times New Roman"/>
          <w:iCs/>
          <w:lang w:val="en-US"/>
        </w:rPr>
        <w:t>提高装配式建筑健康、安全、节约资源等性能的措施，每采取一项得1分，</w:t>
      </w:r>
      <w:r>
        <w:rPr>
          <w:rFonts w:cs="Times New Roman"/>
          <w:bCs/>
          <w:lang w:val="en-US"/>
        </w:rPr>
        <w:t>评价总分值为2分</w:t>
      </w:r>
      <w:r>
        <w:rPr>
          <w:rFonts w:cs="Times New Roman"/>
          <w:iCs/>
          <w:lang w:val="en-US"/>
        </w:rPr>
        <w:t>。</w:t>
      </w:r>
    </w:p>
    <w:bookmarkEnd w:id="98"/>
    <w:p w14:paraId="122EF80F">
      <w:pPr>
        <w:pStyle w:val="20"/>
        <w:widowControl/>
        <w:autoSpaceDE/>
        <w:autoSpaceDN/>
        <w:spacing w:beforeAutospacing="0" w:afterAutospacing="0" w:line="360" w:lineRule="auto"/>
        <w:jc w:val="both"/>
        <w:rPr>
          <w:rFonts w:hint="eastAsia"/>
          <w:i/>
          <w:iCs/>
          <w:color w:val="000000"/>
          <w:sz w:val="22"/>
          <w:lang w:val="en-US" w:eastAsia="zh-CN"/>
        </w:rPr>
      </w:pPr>
      <w:r>
        <w:rPr>
          <w:rFonts w:hint="eastAsia"/>
          <w:i/>
          <w:iCs/>
          <w:color w:val="000000"/>
          <w:sz w:val="22"/>
        </w:rPr>
        <w:t>【条文说明】</w:t>
      </w:r>
      <w:r>
        <w:rPr>
          <w:rFonts w:hint="eastAsia"/>
          <w:i/>
          <w:iCs/>
          <w:color w:val="000000"/>
          <w:sz w:val="22"/>
          <w:lang w:val="en-US" w:eastAsia="zh-CN"/>
        </w:rPr>
        <w:t>本条主要是对前文未提及的其他技术和管理创新予以鼓励。目的是鼓励和引导项目采用不在本标准所列的评价指标范围内，但可在提高装配式建筑质量、降低碳排放、节约资源、减少环境污染、建设智能化系统等方面实现良好性能提升的创新技术和措施，以此提高装配式建筑低碳水平。</w:t>
      </w:r>
    </w:p>
    <w:p w14:paraId="0DAB9128">
      <w:pPr>
        <w:pStyle w:val="20"/>
        <w:widowControl/>
        <w:autoSpaceDE/>
        <w:autoSpaceDN/>
        <w:spacing w:beforeAutospacing="0" w:afterAutospacing="0" w:line="360" w:lineRule="auto"/>
        <w:ind w:firstLine="420" w:firstLineChars="0"/>
        <w:jc w:val="both"/>
        <w:rPr>
          <w:rFonts w:hint="eastAsia"/>
          <w:i/>
          <w:iCs/>
          <w:color w:val="000000"/>
          <w:sz w:val="22"/>
          <w:lang w:val="en-US" w:eastAsia="zh-CN"/>
        </w:rPr>
      </w:pPr>
      <w:r>
        <w:rPr>
          <w:rFonts w:hint="eastAsia"/>
          <w:i/>
          <w:iCs/>
          <w:color w:val="000000"/>
          <w:sz w:val="22"/>
          <w:lang w:val="en-US" w:eastAsia="zh-CN"/>
        </w:rPr>
        <w:t>当某项目采取了创新的技术措施，并提供了足够证据表明该技术措施可有效提高环境友好性，提高资源与能源利用效率，实现可持续发展或具有较大的社会效益时，可参与评审。项目的创新点应较大地超过相应指标的要求，或达到合理指标但具备显著降低成本或提高工效等优点。本条未列出所有的创新项内容，只要申请方能够提供足够相关证明，并通过专家组的评审即可认为满足要求。</w:t>
      </w:r>
    </w:p>
    <w:p w14:paraId="22905898">
      <w:pPr>
        <w:pStyle w:val="20"/>
        <w:widowControl/>
        <w:autoSpaceDE/>
        <w:autoSpaceDN/>
        <w:spacing w:beforeAutospacing="0" w:afterAutospacing="0" w:line="360" w:lineRule="auto"/>
        <w:ind w:firstLine="420" w:firstLineChars="0"/>
        <w:jc w:val="both"/>
        <w:rPr>
          <w:rFonts w:hint="eastAsia"/>
          <w:i/>
          <w:iCs/>
          <w:color w:val="000000"/>
          <w:sz w:val="22"/>
        </w:rPr>
      </w:pPr>
      <w:r>
        <w:rPr>
          <w:rFonts w:hint="eastAsia"/>
          <w:i/>
          <w:iCs/>
          <w:color w:val="000000"/>
          <w:sz w:val="22"/>
          <w:lang w:val="en-US" w:eastAsia="zh-CN"/>
        </w:rPr>
        <w:t>本条的新技术应用，可以是采用装配式建筑低碳建造于运营创新，并取得省级及以上科研成果或专利，或大幅降低装配式建筑的碳排放等。本条未列出所有的创新项内容，只要申请方能够提供足够相关证明，并通过专家组评审即可认为满足要求。。</w:t>
      </w:r>
    </w:p>
    <w:p w14:paraId="37E384AD">
      <w:pPr>
        <w:pStyle w:val="20"/>
        <w:widowControl/>
        <w:autoSpaceDE/>
        <w:autoSpaceDN/>
        <w:spacing w:beforeAutospacing="0" w:afterAutospacing="0" w:line="360" w:lineRule="auto"/>
        <w:ind w:firstLine="420" w:firstLineChars="0"/>
        <w:jc w:val="both"/>
        <w:rPr>
          <w:rFonts w:hint="eastAsia" w:cs="Times New Roman"/>
          <w:lang w:val="en-US"/>
        </w:rPr>
      </w:pPr>
      <w:r>
        <w:rPr>
          <w:rFonts w:hint="eastAsia"/>
          <w:i/>
          <w:iCs/>
          <w:color w:val="000000"/>
          <w:sz w:val="22"/>
          <w:highlight w:val="none"/>
          <w:lang w:val="en-US" w:eastAsia="zh-CN"/>
        </w:rPr>
        <w:t>本条的评价方法为：</w:t>
      </w:r>
      <w:r>
        <w:rPr>
          <w:rFonts w:hint="eastAsia"/>
          <w:i/>
          <w:iCs/>
          <w:color w:val="000000"/>
          <w:sz w:val="22"/>
          <w:lang w:val="en-US" w:eastAsia="zh-CN"/>
        </w:rPr>
        <w:t>运行阶段评价</w:t>
      </w:r>
      <w:r>
        <w:rPr>
          <w:rFonts w:hint="eastAsia"/>
          <w:i/>
          <w:iCs/>
          <w:color w:val="000000"/>
          <w:sz w:val="22"/>
          <w:highlight w:val="none"/>
          <w:lang w:val="en-US" w:eastAsia="zh-CN"/>
        </w:rPr>
        <w:t>查阅设计竣工图、产品采购清单，核查产品使用情况等相关证明文件。</w:t>
      </w:r>
    </w:p>
    <w:p w14:paraId="4DA0082D">
      <w:pPr>
        <w:autoSpaceDE/>
        <w:autoSpaceDN/>
        <w:rPr>
          <w:rFonts w:cs="Times New Roman"/>
          <w:i/>
          <w:iCs/>
          <w:color w:val="D9D9D9" w:themeColor="background1" w:themeShade="D9"/>
          <w:sz w:val="21"/>
          <w:szCs w:val="21"/>
          <w:lang w:val="en-US"/>
        </w:rPr>
      </w:pPr>
      <w:r>
        <w:rPr>
          <w:rFonts w:cs="Times New Roman"/>
          <w:i/>
          <w:iCs/>
          <w:color w:val="D9D9D9" w:themeColor="background1" w:themeShade="D9"/>
          <w:sz w:val="21"/>
          <w:szCs w:val="21"/>
          <w:lang w:val="en-US"/>
        </w:rPr>
        <w:br w:type="page"/>
      </w:r>
    </w:p>
    <w:p w14:paraId="461208B5">
      <w:pPr>
        <w:pStyle w:val="2"/>
        <w:numPr>
          <w:ilvl w:val="0"/>
          <w:numId w:val="0"/>
        </w:numPr>
        <w:autoSpaceDE/>
        <w:autoSpaceDN/>
        <w:spacing w:before="156" w:beforeLines="50" w:after="156" w:afterLines="50" w:line="360" w:lineRule="auto"/>
        <w:jc w:val="center"/>
        <w:rPr>
          <w:rFonts w:ascii="Times New Roman" w:hAnsi="Times New Roman" w:eastAsia="宋体" w:cs="Times New Roman"/>
          <w:sz w:val="32"/>
          <w:szCs w:val="32"/>
          <w:lang w:val="en-US"/>
        </w:rPr>
      </w:pPr>
      <w:bookmarkStart w:id="99" w:name="_Toc23075"/>
      <w:bookmarkStart w:id="100" w:name="_Toc2097"/>
      <w:bookmarkStart w:id="101" w:name="_Toc27159"/>
      <w:r>
        <w:rPr>
          <w:rFonts w:ascii="Times New Roman" w:hAnsi="Times New Roman" w:eastAsia="宋体" w:cs="Times New Roman"/>
          <w:sz w:val="32"/>
          <w:szCs w:val="32"/>
          <w:lang w:val="en-US"/>
        </w:rPr>
        <w:t>本标准用词说明</w:t>
      </w:r>
      <w:bookmarkEnd w:id="99"/>
      <w:bookmarkEnd w:id="100"/>
      <w:bookmarkEnd w:id="101"/>
    </w:p>
    <w:p w14:paraId="31AFD32E">
      <w:pPr>
        <w:autoSpaceDE/>
        <w:autoSpaceDN/>
        <w:spacing w:line="360" w:lineRule="auto"/>
        <w:ind w:firstLine="420"/>
        <w:rPr>
          <w:rFonts w:cs="Times New Roman"/>
          <w:sz w:val="24"/>
          <w:lang w:val="en-US"/>
        </w:rPr>
      </w:pPr>
      <w:r>
        <w:rPr>
          <w:rFonts w:cs="Times New Roman"/>
          <w:b/>
          <w:bCs/>
          <w:sz w:val="24"/>
          <w:lang w:val="en-US"/>
        </w:rPr>
        <w:t>1</w:t>
      </w:r>
      <w:r>
        <w:rPr>
          <w:rFonts w:cs="Times New Roman"/>
          <w:sz w:val="24"/>
          <w:lang w:val="en-US"/>
        </w:rPr>
        <w:t>　为便于在执行本标准条文时区别对待，对要求严格程度不同的用词说明如下：</w:t>
      </w:r>
    </w:p>
    <w:p w14:paraId="39A261E7">
      <w:pPr>
        <w:autoSpaceDE/>
        <w:autoSpaceDN/>
        <w:spacing w:line="360" w:lineRule="auto"/>
        <w:ind w:left="992" w:leftChars="451"/>
        <w:rPr>
          <w:rFonts w:cs="Times New Roman"/>
          <w:sz w:val="24"/>
          <w:lang w:val="en-US"/>
        </w:rPr>
      </w:pPr>
      <w:bookmarkStart w:id="102" w:name="_Toc14408"/>
      <w:r>
        <w:rPr>
          <w:rFonts w:cs="Times New Roman"/>
          <w:sz w:val="24"/>
          <w:lang w:val="en-US"/>
        </w:rPr>
        <w:t>1）表示很严格，非这样做不可的：</w:t>
      </w:r>
      <w:bookmarkEnd w:id="102"/>
    </w:p>
    <w:p w14:paraId="7FB406D5">
      <w:pPr>
        <w:autoSpaceDE/>
        <w:autoSpaceDN/>
        <w:spacing w:line="360" w:lineRule="auto"/>
        <w:ind w:left="992" w:leftChars="451" w:firstLine="324" w:firstLineChars="135"/>
        <w:rPr>
          <w:rFonts w:cs="Times New Roman"/>
          <w:sz w:val="24"/>
          <w:lang w:val="en-US"/>
        </w:rPr>
      </w:pPr>
      <w:r>
        <w:rPr>
          <w:rFonts w:cs="Times New Roman"/>
          <w:sz w:val="24"/>
          <w:lang w:val="en-US"/>
        </w:rPr>
        <w:t>正面词采用“必须”，反面词采用“严禁”；</w:t>
      </w:r>
    </w:p>
    <w:p w14:paraId="3FA43A3E">
      <w:pPr>
        <w:autoSpaceDE/>
        <w:autoSpaceDN/>
        <w:spacing w:line="360" w:lineRule="auto"/>
        <w:ind w:left="992" w:leftChars="451"/>
        <w:rPr>
          <w:rFonts w:cs="Times New Roman"/>
          <w:sz w:val="24"/>
          <w:lang w:val="en-US"/>
        </w:rPr>
      </w:pPr>
      <w:bookmarkStart w:id="103" w:name="_Toc17839"/>
      <w:r>
        <w:rPr>
          <w:rFonts w:cs="Times New Roman"/>
          <w:sz w:val="24"/>
          <w:lang w:val="en-US"/>
        </w:rPr>
        <w:t>2）表示严格，在正常情况下均应这样做的：</w:t>
      </w:r>
      <w:bookmarkEnd w:id="103"/>
    </w:p>
    <w:p w14:paraId="46A12C86">
      <w:pPr>
        <w:autoSpaceDE/>
        <w:autoSpaceDN/>
        <w:spacing w:line="360" w:lineRule="auto"/>
        <w:ind w:left="992" w:leftChars="451" w:firstLine="324" w:firstLineChars="135"/>
        <w:rPr>
          <w:rFonts w:cs="Times New Roman"/>
          <w:sz w:val="24"/>
          <w:lang w:val="en-US"/>
        </w:rPr>
      </w:pPr>
      <w:r>
        <w:rPr>
          <w:rFonts w:cs="Times New Roman"/>
          <w:sz w:val="24"/>
          <w:lang w:val="en-US"/>
        </w:rPr>
        <w:t>正面词采用“应”，反面词采用“不应”或“不得”；</w:t>
      </w:r>
    </w:p>
    <w:p w14:paraId="4C520A1C">
      <w:pPr>
        <w:autoSpaceDE/>
        <w:autoSpaceDN/>
        <w:spacing w:line="360" w:lineRule="auto"/>
        <w:ind w:left="992" w:leftChars="451"/>
        <w:rPr>
          <w:rFonts w:cs="Times New Roman"/>
          <w:sz w:val="24"/>
          <w:lang w:val="en-US"/>
        </w:rPr>
      </w:pPr>
      <w:r>
        <w:rPr>
          <w:rFonts w:cs="Times New Roman"/>
          <w:sz w:val="24"/>
          <w:lang w:val="en-US"/>
        </w:rPr>
        <w:t>3</w:t>
      </w:r>
      <w:r>
        <w:rPr>
          <w:rFonts w:hint="eastAsia" w:cs="Times New Roman"/>
          <w:sz w:val="24"/>
          <w:lang w:val="en-US"/>
        </w:rPr>
        <w:t>）</w:t>
      </w:r>
      <w:bookmarkStart w:id="104" w:name="_Toc31416"/>
      <w:r>
        <w:rPr>
          <w:rFonts w:cs="Times New Roman"/>
          <w:sz w:val="24"/>
          <w:lang w:val="en-US"/>
        </w:rPr>
        <w:t>表示允许稍有选择，在条件许可时首先应这样做的：</w:t>
      </w:r>
      <w:bookmarkEnd w:id="104"/>
    </w:p>
    <w:p w14:paraId="6219A3DE">
      <w:pPr>
        <w:autoSpaceDE/>
        <w:autoSpaceDN/>
        <w:spacing w:line="360" w:lineRule="auto"/>
        <w:ind w:left="992" w:leftChars="451" w:firstLine="324" w:firstLineChars="135"/>
        <w:rPr>
          <w:rFonts w:cs="Times New Roman"/>
          <w:sz w:val="24"/>
          <w:lang w:val="en-US"/>
        </w:rPr>
      </w:pPr>
      <w:r>
        <w:rPr>
          <w:rFonts w:cs="Times New Roman"/>
          <w:sz w:val="24"/>
          <w:lang w:val="en-US"/>
        </w:rPr>
        <w:t>正面词采用“宜”，反面词采用“不宜”；</w:t>
      </w:r>
    </w:p>
    <w:p w14:paraId="2B0B653D">
      <w:pPr>
        <w:autoSpaceDE/>
        <w:autoSpaceDN/>
        <w:spacing w:line="360" w:lineRule="auto"/>
        <w:ind w:left="992" w:leftChars="451"/>
        <w:rPr>
          <w:rFonts w:cs="Times New Roman"/>
          <w:sz w:val="24"/>
          <w:lang w:val="en-US"/>
        </w:rPr>
      </w:pPr>
      <w:bookmarkStart w:id="105" w:name="_Toc3284"/>
      <w:r>
        <w:rPr>
          <w:rFonts w:cs="Times New Roman"/>
          <w:sz w:val="24"/>
          <w:lang w:val="en-US"/>
        </w:rPr>
        <w:t>4）表示有选择，在一定条件下可以这样做的，采用“可”。</w:t>
      </w:r>
      <w:bookmarkEnd w:id="105"/>
    </w:p>
    <w:p w14:paraId="43161334">
      <w:pPr>
        <w:autoSpaceDE/>
        <w:autoSpaceDN/>
        <w:spacing w:line="360" w:lineRule="auto"/>
        <w:ind w:firstLine="420"/>
        <w:rPr>
          <w:rFonts w:cs="Times New Roman"/>
          <w:sz w:val="24"/>
          <w:lang w:val="en-US"/>
        </w:rPr>
      </w:pPr>
      <w:r>
        <w:rPr>
          <w:rFonts w:cs="Times New Roman"/>
          <w:b/>
          <w:bCs/>
          <w:sz w:val="24"/>
          <w:lang w:val="en-US"/>
        </w:rPr>
        <w:t>2</w:t>
      </w:r>
      <w:r>
        <w:rPr>
          <w:rFonts w:cs="Times New Roman"/>
          <w:sz w:val="24"/>
          <w:lang w:val="en-US"/>
        </w:rPr>
        <w:t>　条文中指明应按其他有关标准执行的写法为：“应符合……的</w:t>
      </w:r>
      <w:r>
        <w:rPr>
          <w:rFonts w:hint="eastAsia" w:cs="Times New Roman"/>
          <w:color w:val="auto"/>
          <w:sz w:val="24"/>
          <w:lang w:val="en-US"/>
        </w:rPr>
        <w:t>有关</w:t>
      </w:r>
      <w:r>
        <w:rPr>
          <w:rFonts w:cs="Times New Roman"/>
          <w:sz w:val="24"/>
          <w:lang w:val="en-US"/>
        </w:rPr>
        <w:t>规定”或“应按……执行”。</w:t>
      </w:r>
    </w:p>
    <w:p w14:paraId="0523FFBC">
      <w:pPr>
        <w:autoSpaceDE/>
        <w:autoSpaceDN/>
        <w:rPr>
          <w:rFonts w:cs="Times New Roman"/>
          <w:b/>
          <w:bCs/>
          <w:i/>
          <w:iCs/>
          <w:color w:val="000000"/>
          <w:sz w:val="21"/>
          <w:szCs w:val="21"/>
          <w:lang w:val="en-US"/>
        </w:rPr>
      </w:pPr>
      <w:r>
        <w:rPr>
          <w:rFonts w:cs="Times New Roman"/>
          <w:b/>
          <w:bCs/>
          <w:i/>
          <w:iCs/>
          <w:color w:val="000000"/>
          <w:sz w:val="21"/>
          <w:szCs w:val="21"/>
          <w:lang w:val="en-US"/>
        </w:rPr>
        <w:br w:type="page"/>
      </w:r>
    </w:p>
    <w:p w14:paraId="19BCDEC1">
      <w:pPr>
        <w:widowControl/>
        <w:autoSpaceDE/>
        <w:autoSpaceDN/>
        <w:rPr>
          <w:rFonts w:cs="Times New Roman"/>
          <w:b/>
          <w:sz w:val="32"/>
          <w:szCs w:val="32"/>
        </w:rPr>
      </w:pPr>
      <w:bookmarkStart w:id="106" w:name="_Toc29250"/>
    </w:p>
    <w:p w14:paraId="0945D0EE">
      <w:pPr>
        <w:autoSpaceDE/>
        <w:autoSpaceDN/>
        <w:rPr>
          <w:rFonts w:cs="Times New Roman"/>
        </w:rPr>
      </w:pPr>
    </w:p>
    <w:p w14:paraId="128B874B">
      <w:pPr>
        <w:autoSpaceDE/>
        <w:autoSpaceDN/>
        <w:rPr>
          <w:rFonts w:cs="Times New Roman"/>
        </w:rPr>
      </w:pPr>
    </w:p>
    <w:p w14:paraId="58002FB0">
      <w:pPr>
        <w:autoSpaceDE/>
        <w:autoSpaceDN/>
        <w:spacing w:line="360" w:lineRule="auto"/>
        <w:jc w:val="center"/>
        <w:rPr>
          <w:rFonts w:cs="Times New Roman"/>
          <w:b/>
          <w:sz w:val="32"/>
        </w:rPr>
      </w:pPr>
      <w:r>
        <w:rPr>
          <w:rFonts w:cs="Times New Roman"/>
          <w:b/>
          <w:sz w:val="32"/>
        </w:rPr>
        <w:t>中国工程建设标准化协会标准</w:t>
      </w:r>
      <w:bookmarkEnd w:id="106"/>
    </w:p>
    <w:p w14:paraId="520FF130">
      <w:pPr>
        <w:autoSpaceDE/>
        <w:autoSpaceDN/>
        <w:spacing w:line="360" w:lineRule="auto"/>
        <w:jc w:val="center"/>
        <w:rPr>
          <w:rFonts w:cs="Times New Roman"/>
          <w:b/>
          <w:bCs/>
          <w:sz w:val="21"/>
        </w:rPr>
      </w:pPr>
    </w:p>
    <w:p w14:paraId="6CF0F881">
      <w:pPr>
        <w:autoSpaceDE/>
        <w:autoSpaceDN/>
        <w:spacing w:line="360" w:lineRule="auto"/>
        <w:jc w:val="center"/>
        <w:rPr>
          <w:rFonts w:cs="Times New Roman"/>
          <w:b/>
          <w:sz w:val="52"/>
          <w:szCs w:val="44"/>
        </w:rPr>
      </w:pPr>
      <w:r>
        <w:rPr>
          <w:rFonts w:cs="Times New Roman"/>
          <w:b/>
          <w:sz w:val="52"/>
          <w:szCs w:val="44"/>
        </w:rPr>
        <w:t>装配式建筑</w:t>
      </w:r>
      <w:r>
        <w:rPr>
          <w:rFonts w:hint="eastAsia" w:cs="Times New Roman"/>
          <w:b/>
          <w:sz w:val="52"/>
          <w:szCs w:val="44"/>
        </w:rPr>
        <w:t>低碳性能</w:t>
      </w:r>
      <w:r>
        <w:rPr>
          <w:rFonts w:cs="Times New Roman"/>
          <w:b/>
          <w:sz w:val="52"/>
          <w:szCs w:val="44"/>
        </w:rPr>
        <w:t>评价标准</w:t>
      </w:r>
    </w:p>
    <w:p w14:paraId="4B2177A9">
      <w:pPr>
        <w:autoSpaceDE/>
        <w:autoSpaceDN/>
        <w:spacing w:line="360" w:lineRule="auto"/>
        <w:jc w:val="center"/>
        <w:rPr>
          <w:rFonts w:cs="Times New Roman"/>
          <w:b/>
          <w:sz w:val="28"/>
          <w:lang w:val="en-US"/>
        </w:rPr>
      </w:pPr>
      <w:bookmarkStart w:id="107" w:name="_Toc20167"/>
    </w:p>
    <w:p w14:paraId="3272723A">
      <w:pPr>
        <w:autoSpaceDE/>
        <w:autoSpaceDN/>
        <w:spacing w:line="360" w:lineRule="auto"/>
        <w:jc w:val="center"/>
        <w:rPr>
          <w:rFonts w:cs="Times New Roman"/>
          <w:b/>
          <w:sz w:val="28"/>
          <w:lang w:val="en-US"/>
        </w:rPr>
      </w:pPr>
      <w:r>
        <w:rPr>
          <w:rFonts w:cs="Times New Roman"/>
          <w:b/>
          <w:sz w:val="28"/>
          <w:lang w:val="en-US"/>
        </w:rPr>
        <w:t>T/CECS XXX—202</w:t>
      </w:r>
      <w:bookmarkEnd w:id="107"/>
      <w:r>
        <w:rPr>
          <w:rFonts w:cs="Times New Roman"/>
          <w:b/>
          <w:sz w:val="28"/>
          <w:lang w:val="en-US"/>
        </w:rPr>
        <w:t>X</w:t>
      </w:r>
    </w:p>
    <w:p w14:paraId="5D365C49">
      <w:pPr>
        <w:autoSpaceDE/>
        <w:autoSpaceDN/>
        <w:rPr>
          <w:rFonts w:cs="Times New Roman"/>
          <w:lang w:val="en-US"/>
        </w:rPr>
      </w:pPr>
    </w:p>
    <w:p w14:paraId="5BE9F307">
      <w:pPr>
        <w:autoSpaceDE/>
        <w:autoSpaceDN/>
        <w:rPr>
          <w:rFonts w:cs="Times New Roman"/>
          <w:lang w:val="en-US"/>
        </w:rPr>
      </w:pPr>
    </w:p>
    <w:p w14:paraId="07ED42EA">
      <w:pPr>
        <w:autoSpaceDE/>
        <w:autoSpaceDN/>
        <w:rPr>
          <w:rFonts w:cs="Times New Roman"/>
          <w:lang w:val="en-US"/>
        </w:rPr>
      </w:pPr>
    </w:p>
    <w:p w14:paraId="1E2F899C">
      <w:pPr>
        <w:pStyle w:val="2"/>
        <w:numPr>
          <w:ilvl w:val="0"/>
          <w:numId w:val="0"/>
        </w:numPr>
        <w:autoSpaceDE/>
        <w:autoSpaceDN/>
        <w:spacing w:before="156" w:beforeLines="50" w:after="156" w:afterLines="50" w:line="360" w:lineRule="auto"/>
        <w:ind w:right="3650" w:rightChars="1659" w:firstLine="3688" w:firstLineChars="1148"/>
        <w:jc w:val="distribute"/>
        <w:rPr>
          <w:rFonts w:ascii="Times New Roman" w:hAnsi="Times New Roman" w:eastAsia="宋体" w:cs="Times New Roman"/>
          <w:sz w:val="32"/>
          <w:szCs w:val="32"/>
          <w:lang w:val="en-US"/>
        </w:rPr>
      </w:pPr>
      <w:bookmarkStart w:id="108" w:name="_Toc23674"/>
      <w:bookmarkStart w:id="109" w:name="_Toc19642"/>
      <w:r>
        <w:rPr>
          <w:rFonts w:ascii="Times New Roman" w:hAnsi="Times New Roman" w:eastAsia="宋体" w:cs="Times New Roman"/>
          <w:sz w:val="32"/>
          <w:szCs w:val="32"/>
          <w:lang w:val="en-US"/>
        </w:rPr>
        <w:t>条文说明</w:t>
      </w:r>
      <w:bookmarkEnd w:id="108"/>
      <w:bookmarkEnd w:id="109"/>
    </w:p>
    <w:p w14:paraId="46096B09">
      <w:pPr>
        <w:widowControl/>
        <w:autoSpaceDE/>
        <w:autoSpaceDN/>
        <w:rPr>
          <w:rFonts w:cs="Times New Roman"/>
          <w:b/>
          <w:kern w:val="44"/>
          <w:sz w:val="32"/>
          <w:szCs w:val="32"/>
          <w:lang w:val="en-US"/>
        </w:rPr>
      </w:pPr>
    </w:p>
    <w:sectPr>
      <w:footerReference r:id="rId8"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B6E79">
    <w:pPr>
      <w:pStyle w:val="15"/>
      <w:ind w:right="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4E724">
    <w:pPr>
      <w:pStyle w:val="15"/>
      <w:jc w:val="center"/>
    </w:pPr>
    <w:r>
      <w:fldChar w:fldCharType="begin"/>
    </w:r>
    <w:r>
      <w:instrText xml:space="preserve">PAGE   \* MERGEFORMAT</w:instrText>
    </w:r>
    <w:r>
      <w:fldChar w:fldCharType="separate"/>
    </w:r>
    <w:r>
      <w:t>61</w:t>
    </w:r>
    <w:r>
      <w:fldChar w:fldCharType="end"/>
    </w:r>
  </w:p>
  <w:p w14:paraId="7DCFF280">
    <w:pPr>
      <w:pStyle w:val="15"/>
      <w:ind w:right="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36497">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D32FC">
    <w:pPr>
      <w:pStyle w:val="1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22792">
    <w:pPr>
      <w:pStyle w:val="1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9999952"/>
    </w:sdtPr>
    <w:sdtContent>
      <w:p w14:paraId="17824827">
        <w:pPr>
          <w:pStyle w:val="15"/>
          <w:jc w:val="center"/>
        </w:pPr>
        <w:r>
          <w:fldChar w:fldCharType="begin"/>
        </w:r>
        <w:r>
          <w:instrText xml:space="preserve">PAGE   \* MERGEFORMAT</w:instrText>
        </w:r>
        <w:r>
          <w:fldChar w:fldCharType="separate"/>
        </w:r>
        <w:r>
          <w:t>12</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35ADF"/>
    <w:multiLevelType w:val="multilevel"/>
    <w:tmpl w:val="AD335ADF"/>
    <w:lvl w:ilvl="0" w:tentative="0">
      <w:start w:val="1"/>
      <w:numFmt w:val="decimal"/>
      <w:pStyle w:val="2"/>
      <w:lvlText w:val="%1"/>
      <w:lvlJc w:val="left"/>
      <w:pPr>
        <w:tabs>
          <w:tab w:val="left" w:pos="-376"/>
        </w:tabs>
        <w:ind w:left="50" w:firstLine="0"/>
      </w:pPr>
      <w:rPr>
        <w:rFonts w:hint="eastAsia"/>
      </w:rPr>
    </w:lvl>
    <w:lvl w:ilvl="1" w:tentative="0">
      <w:start w:val="1"/>
      <w:numFmt w:val="decimal"/>
      <w:pStyle w:val="3"/>
      <w:lvlText w:val="%1.%2"/>
      <w:lvlJc w:val="left"/>
      <w:pPr>
        <w:tabs>
          <w:tab w:val="left" w:pos="0"/>
        </w:tabs>
        <w:ind w:left="0" w:firstLine="0"/>
      </w:pPr>
      <w:rPr>
        <w:rFonts w:hint="eastAsia"/>
      </w:rPr>
    </w:lvl>
    <w:lvl w:ilvl="2" w:tentative="0">
      <w:start w:val="1"/>
      <w:numFmt w:val="decimal"/>
      <w:pStyle w:val="4"/>
      <w:lvlText w:val="%1.%2.%3"/>
      <w:lvlJc w:val="left"/>
      <w:pPr>
        <w:tabs>
          <w:tab w:val="left" w:pos="1037"/>
        </w:tabs>
        <w:ind w:left="1036" w:firstLine="404"/>
      </w:pPr>
      <w:rPr>
        <w:rFonts w:hint="eastAsia"/>
      </w:rPr>
    </w:lvl>
    <w:lvl w:ilvl="3" w:tentative="0">
      <w:start w:val="1"/>
      <w:numFmt w:val="decimal"/>
      <w:lvlText w:val="%1.%2.%3.%4"/>
      <w:lvlJc w:val="left"/>
      <w:pPr>
        <w:tabs>
          <w:tab w:val="left" w:pos="2688"/>
        </w:tabs>
        <w:ind w:left="2688" w:hanging="708"/>
      </w:pPr>
      <w:rPr>
        <w:rFonts w:hint="eastAsia"/>
      </w:rPr>
    </w:lvl>
    <w:lvl w:ilvl="4" w:tentative="0">
      <w:start w:val="1"/>
      <w:numFmt w:val="decimal"/>
      <w:lvlText w:val="%1.%2.%3.%4.%5"/>
      <w:lvlJc w:val="left"/>
      <w:pPr>
        <w:tabs>
          <w:tab w:val="left" w:pos="1750"/>
        </w:tabs>
        <w:ind w:left="1750" w:hanging="850"/>
      </w:pPr>
      <w:rPr>
        <w:rFonts w:hint="eastAsia"/>
      </w:rPr>
    </w:lvl>
    <w:lvl w:ilvl="5" w:tentative="0">
      <w:start w:val="1"/>
      <w:numFmt w:val="decimal"/>
      <w:lvlText w:val="%1.%2.%3.%4.%5.%6"/>
      <w:lvlJc w:val="left"/>
      <w:pPr>
        <w:tabs>
          <w:tab w:val="left" w:pos="2459"/>
        </w:tabs>
        <w:ind w:left="2459" w:hanging="1134"/>
      </w:pPr>
      <w:rPr>
        <w:rFonts w:hint="eastAsia"/>
      </w:rPr>
    </w:lvl>
    <w:lvl w:ilvl="6" w:tentative="0">
      <w:start w:val="1"/>
      <w:numFmt w:val="decimal"/>
      <w:lvlText w:val="%1.%2.%3.%4.%5.%6.%7"/>
      <w:lvlJc w:val="left"/>
      <w:pPr>
        <w:tabs>
          <w:tab w:val="left" w:pos="3026"/>
        </w:tabs>
        <w:ind w:left="3026" w:hanging="1276"/>
      </w:pPr>
      <w:rPr>
        <w:rFonts w:hint="eastAsia"/>
      </w:rPr>
    </w:lvl>
    <w:lvl w:ilvl="7" w:tentative="0">
      <w:start w:val="1"/>
      <w:numFmt w:val="decimal"/>
      <w:lvlText w:val="%1.%2.%3.%4.%5.%6.%7.%8"/>
      <w:lvlJc w:val="left"/>
      <w:pPr>
        <w:tabs>
          <w:tab w:val="left" w:pos="3593"/>
        </w:tabs>
        <w:ind w:left="3593" w:hanging="1418"/>
      </w:pPr>
      <w:rPr>
        <w:rFonts w:hint="eastAsia"/>
      </w:rPr>
    </w:lvl>
    <w:lvl w:ilvl="8" w:tentative="0">
      <w:start w:val="1"/>
      <w:numFmt w:val="decimal"/>
      <w:lvlText w:val="%1.%2.%3.%4.%5.%6.%7.%8.%9"/>
      <w:lvlJc w:val="left"/>
      <w:pPr>
        <w:tabs>
          <w:tab w:val="left" w:pos="4301"/>
        </w:tabs>
        <w:ind w:left="4301" w:hanging="1700"/>
      </w:pPr>
      <w:rPr>
        <w:rFonts w:hint="eastAsia"/>
      </w:rPr>
    </w:lvl>
  </w:abstractNum>
  <w:abstractNum w:abstractNumId="1">
    <w:nsid w:val="1803687B"/>
    <w:multiLevelType w:val="multilevel"/>
    <w:tmpl w:val="1803687B"/>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upperRoman"/>
      <w:lvlText w:val="%3 "/>
      <w:lvlJc w:val="left"/>
      <w:pPr>
        <w:ind w:left="720" w:hanging="720"/>
      </w:pPr>
      <w:rPr>
        <w:rFonts w:hint="default" w:ascii="宋体" w:hAnsi="宋体" w:eastAsia="宋体" w:cs="宋体"/>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2NjEwZTI3ZTE0YjI3NjQ2YTVkNjkyNGZjNTIzMWQifQ=="/>
  </w:docVars>
  <w:rsids>
    <w:rsidRoot w:val="00366DBE"/>
    <w:rsid w:val="00010B47"/>
    <w:rsid w:val="0005080C"/>
    <w:rsid w:val="00062FAB"/>
    <w:rsid w:val="0007032F"/>
    <w:rsid w:val="00087544"/>
    <w:rsid w:val="0009320E"/>
    <w:rsid w:val="00094633"/>
    <w:rsid w:val="000B5AB0"/>
    <w:rsid w:val="000C4284"/>
    <w:rsid w:val="000C4966"/>
    <w:rsid w:val="000C6132"/>
    <w:rsid w:val="000D0BDE"/>
    <w:rsid w:val="000E4B6C"/>
    <w:rsid w:val="000E4D2F"/>
    <w:rsid w:val="0010205C"/>
    <w:rsid w:val="0011022A"/>
    <w:rsid w:val="001253E1"/>
    <w:rsid w:val="0013286B"/>
    <w:rsid w:val="001338DE"/>
    <w:rsid w:val="001857F9"/>
    <w:rsid w:val="00195E91"/>
    <w:rsid w:val="001C7E51"/>
    <w:rsid w:val="001F23A9"/>
    <w:rsid w:val="001F2E67"/>
    <w:rsid w:val="00206742"/>
    <w:rsid w:val="00206757"/>
    <w:rsid w:val="00210FD0"/>
    <w:rsid w:val="00211D91"/>
    <w:rsid w:val="0022523D"/>
    <w:rsid w:val="0023702A"/>
    <w:rsid w:val="002440DC"/>
    <w:rsid w:val="00245ED2"/>
    <w:rsid w:val="00264E1C"/>
    <w:rsid w:val="00271B46"/>
    <w:rsid w:val="00284780"/>
    <w:rsid w:val="00286CC4"/>
    <w:rsid w:val="00290DB3"/>
    <w:rsid w:val="002A056E"/>
    <w:rsid w:val="002C64B2"/>
    <w:rsid w:val="002D4D94"/>
    <w:rsid w:val="002D78BB"/>
    <w:rsid w:val="002E20C7"/>
    <w:rsid w:val="00306AB7"/>
    <w:rsid w:val="003163CE"/>
    <w:rsid w:val="00317D6A"/>
    <w:rsid w:val="00330ED6"/>
    <w:rsid w:val="00366DBE"/>
    <w:rsid w:val="003A54D4"/>
    <w:rsid w:val="003A57D7"/>
    <w:rsid w:val="003B758F"/>
    <w:rsid w:val="003D7626"/>
    <w:rsid w:val="004246C6"/>
    <w:rsid w:val="0043217D"/>
    <w:rsid w:val="004505F0"/>
    <w:rsid w:val="00474A53"/>
    <w:rsid w:val="00493318"/>
    <w:rsid w:val="004A748F"/>
    <w:rsid w:val="004B2906"/>
    <w:rsid w:val="004E4558"/>
    <w:rsid w:val="005116A9"/>
    <w:rsid w:val="00515FC0"/>
    <w:rsid w:val="005161D9"/>
    <w:rsid w:val="00535A80"/>
    <w:rsid w:val="00553F9D"/>
    <w:rsid w:val="00561C00"/>
    <w:rsid w:val="00571DAD"/>
    <w:rsid w:val="00573DA6"/>
    <w:rsid w:val="00577692"/>
    <w:rsid w:val="00596B60"/>
    <w:rsid w:val="005A55C9"/>
    <w:rsid w:val="005A7C23"/>
    <w:rsid w:val="005B6BA1"/>
    <w:rsid w:val="005F23AE"/>
    <w:rsid w:val="0061625D"/>
    <w:rsid w:val="00616560"/>
    <w:rsid w:val="0065265D"/>
    <w:rsid w:val="00655616"/>
    <w:rsid w:val="00671AF9"/>
    <w:rsid w:val="00673560"/>
    <w:rsid w:val="006A2DF4"/>
    <w:rsid w:val="006C0B75"/>
    <w:rsid w:val="006F4910"/>
    <w:rsid w:val="00707191"/>
    <w:rsid w:val="00721174"/>
    <w:rsid w:val="00722708"/>
    <w:rsid w:val="00745C34"/>
    <w:rsid w:val="00746A97"/>
    <w:rsid w:val="00762C4D"/>
    <w:rsid w:val="00766B13"/>
    <w:rsid w:val="00795E58"/>
    <w:rsid w:val="007C3174"/>
    <w:rsid w:val="007D233B"/>
    <w:rsid w:val="007E38E6"/>
    <w:rsid w:val="00842E3E"/>
    <w:rsid w:val="008560E5"/>
    <w:rsid w:val="008668CE"/>
    <w:rsid w:val="00873513"/>
    <w:rsid w:val="008838FC"/>
    <w:rsid w:val="008C3DD8"/>
    <w:rsid w:val="008D13C9"/>
    <w:rsid w:val="008F0A4E"/>
    <w:rsid w:val="008F75AC"/>
    <w:rsid w:val="0092286A"/>
    <w:rsid w:val="00922A41"/>
    <w:rsid w:val="00941385"/>
    <w:rsid w:val="00964960"/>
    <w:rsid w:val="00967894"/>
    <w:rsid w:val="009806D0"/>
    <w:rsid w:val="00995D7C"/>
    <w:rsid w:val="009B5429"/>
    <w:rsid w:val="009C5DB8"/>
    <w:rsid w:val="009D0CCB"/>
    <w:rsid w:val="00A1134E"/>
    <w:rsid w:val="00A13EF2"/>
    <w:rsid w:val="00A233D6"/>
    <w:rsid w:val="00A42270"/>
    <w:rsid w:val="00A50313"/>
    <w:rsid w:val="00A55C3E"/>
    <w:rsid w:val="00A73186"/>
    <w:rsid w:val="00A82B43"/>
    <w:rsid w:val="00A835A6"/>
    <w:rsid w:val="00A90197"/>
    <w:rsid w:val="00AA515F"/>
    <w:rsid w:val="00AB70C5"/>
    <w:rsid w:val="00AC7037"/>
    <w:rsid w:val="00AD153E"/>
    <w:rsid w:val="00AE2E2E"/>
    <w:rsid w:val="00AF0C5D"/>
    <w:rsid w:val="00B02D58"/>
    <w:rsid w:val="00B0577A"/>
    <w:rsid w:val="00B56F97"/>
    <w:rsid w:val="00B61CA1"/>
    <w:rsid w:val="00B8360D"/>
    <w:rsid w:val="00B9086F"/>
    <w:rsid w:val="00B909A3"/>
    <w:rsid w:val="00B92CED"/>
    <w:rsid w:val="00BA577D"/>
    <w:rsid w:val="00BD5923"/>
    <w:rsid w:val="00BF2DDA"/>
    <w:rsid w:val="00C02DB7"/>
    <w:rsid w:val="00C201EA"/>
    <w:rsid w:val="00C4561C"/>
    <w:rsid w:val="00C572F3"/>
    <w:rsid w:val="00C656C5"/>
    <w:rsid w:val="00CB19D0"/>
    <w:rsid w:val="00CC1380"/>
    <w:rsid w:val="00D60548"/>
    <w:rsid w:val="00D64AE1"/>
    <w:rsid w:val="00D8777B"/>
    <w:rsid w:val="00D92179"/>
    <w:rsid w:val="00D97D67"/>
    <w:rsid w:val="00D97FBB"/>
    <w:rsid w:val="00DB6826"/>
    <w:rsid w:val="00DB6F54"/>
    <w:rsid w:val="00DC0069"/>
    <w:rsid w:val="00DC0079"/>
    <w:rsid w:val="00DD2566"/>
    <w:rsid w:val="00DF56CF"/>
    <w:rsid w:val="00E135C7"/>
    <w:rsid w:val="00E21AD7"/>
    <w:rsid w:val="00E42D5D"/>
    <w:rsid w:val="00E44D6A"/>
    <w:rsid w:val="00E6128B"/>
    <w:rsid w:val="00E8762C"/>
    <w:rsid w:val="00E95261"/>
    <w:rsid w:val="00EA0561"/>
    <w:rsid w:val="00EA2FEB"/>
    <w:rsid w:val="00EA7545"/>
    <w:rsid w:val="00EB6BA3"/>
    <w:rsid w:val="00ED3109"/>
    <w:rsid w:val="00F65C65"/>
    <w:rsid w:val="00F67110"/>
    <w:rsid w:val="00F72A53"/>
    <w:rsid w:val="00F84094"/>
    <w:rsid w:val="00FC0286"/>
    <w:rsid w:val="00FD3434"/>
    <w:rsid w:val="00FF62B7"/>
    <w:rsid w:val="013E0B45"/>
    <w:rsid w:val="013E4434"/>
    <w:rsid w:val="016D1EEA"/>
    <w:rsid w:val="01800398"/>
    <w:rsid w:val="01BB7D42"/>
    <w:rsid w:val="01D71FCB"/>
    <w:rsid w:val="021303BE"/>
    <w:rsid w:val="02321A0C"/>
    <w:rsid w:val="024F336E"/>
    <w:rsid w:val="026E6404"/>
    <w:rsid w:val="027232D7"/>
    <w:rsid w:val="02754146"/>
    <w:rsid w:val="027C3382"/>
    <w:rsid w:val="02E86CF4"/>
    <w:rsid w:val="02F94AB6"/>
    <w:rsid w:val="02FF2231"/>
    <w:rsid w:val="030217B8"/>
    <w:rsid w:val="036C55A5"/>
    <w:rsid w:val="03980E14"/>
    <w:rsid w:val="03A22444"/>
    <w:rsid w:val="03C67E39"/>
    <w:rsid w:val="04014E76"/>
    <w:rsid w:val="040726D6"/>
    <w:rsid w:val="0419222E"/>
    <w:rsid w:val="041E156F"/>
    <w:rsid w:val="043607A6"/>
    <w:rsid w:val="046B19E4"/>
    <w:rsid w:val="046E0AAA"/>
    <w:rsid w:val="04743713"/>
    <w:rsid w:val="049700B1"/>
    <w:rsid w:val="04BC6587"/>
    <w:rsid w:val="04D616E2"/>
    <w:rsid w:val="05220965"/>
    <w:rsid w:val="055450EB"/>
    <w:rsid w:val="055C337C"/>
    <w:rsid w:val="05721AE5"/>
    <w:rsid w:val="05A4307A"/>
    <w:rsid w:val="05F45B46"/>
    <w:rsid w:val="060212D4"/>
    <w:rsid w:val="062D6DFB"/>
    <w:rsid w:val="063279B1"/>
    <w:rsid w:val="06613635"/>
    <w:rsid w:val="067C79B2"/>
    <w:rsid w:val="06982838"/>
    <w:rsid w:val="06AE2B02"/>
    <w:rsid w:val="07043B8F"/>
    <w:rsid w:val="071874D5"/>
    <w:rsid w:val="072000F0"/>
    <w:rsid w:val="0767644F"/>
    <w:rsid w:val="07683B42"/>
    <w:rsid w:val="078A65D9"/>
    <w:rsid w:val="078B663D"/>
    <w:rsid w:val="078E14E3"/>
    <w:rsid w:val="078E355A"/>
    <w:rsid w:val="07BD145D"/>
    <w:rsid w:val="07C21297"/>
    <w:rsid w:val="07C24FCD"/>
    <w:rsid w:val="07CE7D2D"/>
    <w:rsid w:val="07DE0C3F"/>
    <w:rsid w:val="083C6DAE"/>
    <w:rsid w:val="08482156"/>
    <w:rsid w:val="08492067"/>
    <w:rsid w:val="08BF1F4B"/>
    <w:rsid w:val="08F7376A"/>
    <w:rsid w:val="090F3C53"/>
    <w:rsid w:val="09383CC3"/>
    <w:rsid w:val="09524948"/>
    <w:rsid w:val="095C2CE7"/>
    <w:rsid w:val="098E62EA"/>
    <w:rsid w:val="09E77F29"/>
    <w:rsid w:val="09FE00B9"/>
    <w:rsid w:val="0A494F48"/>
    <w:rsid w:val="0A68625C"/>
    <w:rsid w:val="0A6B2BD4"/>
    <w:rsid w:val="0A6F74A6"/>
    <w:rsid w:val="0A8650C7"/>
    <w:rsid w:val="0ABD1E07"/>
    <w:rsid w:val="0AFB1A29"/>
    <w:rsid w:val="0AFF6673"/>
    <w:rsid w:val="0B705B32"/>
    <w:rsid w:val="0B8F2FBD"/>
    <w:rsid w:val="0BAE57E4"/>
    <w:rsid w:val="0C1741FF"/>
    <w:rsid w:val="0C480A00"/>
    <w:rsid w:val="0C4845F6"/>
    <w:rsid w:val="0C982AE1"/>
    <w:rsid w:val="0D2C0A31"/>
    <w:rsid w:val="0D5D5C42"/>
    <w:rsid w:val="0D75742F"/>
    <w:rsid w:val="0DBF458D"/>
    <w:rsid w:val="0DC9131B"/>
    <w:rsid w:val="0DCA32C8"/>
    <w:rsid w:val="0DDF2AFB"/>
    <w:rsid w:val="0DF95B8B"/>
    <w:rsid w:val="0EBC4BEA"/>
    <w:rsid w:val="0ECB6526"/>
    <w:rsid w:val="0F1F7B79"/>
    <w:rsid w:val="0F3F502D"/>
    <w:rsid w:val="0F7033FE"/>
    <w:rsid w:val="0FBB7A45"/>
    <w:rsid w:val="0FF07241"/>
    <w:rsid w:val="0FF7412C"/>
    <w:rsid w:val="101D6766"/>
    <w:rsid w:val="10362BFB"/>
    <w:rsid w:val="105B4E6C"/>
    <w:rsid w:val="10627528"/>
    <w:rsid w:val="10701795"/>
    <w:rsid w:val="10B26053"/>
    <w:rsid w:val="10BC45A0"/>
    <w:rsid w:val="10C51041"/>
    <w:rsid w:val="10DE7753"/>
    <w:rsid w:val="110C0BC3"/>
    <w:rsid w:val="111A3E67"/>
    <w:rsid w:val="11906118"/>
    <w:rsid w:val="11CB462D"/>
    <w:rsid w:val="120365A6"/>
    <w:rsid w:val="12072620"/>
    <w:rsid w:val="122D6BA5"/>
    <w:rsid w:val="12413D38"/>
    <w:rsid w:val="128517CF"/>
    <w:rsid w:val="12913B62"/>
    <w:rsid w:val="12C605E3"/>
    <w:rsid w:val="12FA0EF0"/>
    <w:rsid w:val="13514B34"/>
    <w:rsid w:val="13677D7B"/>
    <w:rsid w:val="137C0231"/>
    <w:rsid w:val="13A66595"/>
    <w:rsid w:val="13BE5D3E"/>
    <w:rsid w:val="13C056FE"/>
    <w:rsid w:val="13D60DC2"/>
    <w:rsid w:val="13DD5D76"/>
    <w:rsid w:val="13E05DB9"/>
    <w:rsid w:val="13FC3310"/>
    <w:rsid w:val="142D3D6F"/>
    <w:rsid w:val="14385441"/>
    <w:rsid w:val="147878B9"/>
    <w:rsid w:val="148209B3"/>
    <w:rsid w:val="14890968"/>
    <w:rsid w:val="148F26F8"/>
    <w:rsid w:val="14AD6B55"/>
    <w:rsid w:val="14EC1E5C"/>
    <w:rsid w:val="15051BB3"/>
    <w:rsid w:val="15144B34"/>
    <w:rsid w:val="155E5714"/>
    <w:rsid w:val="15650378"/>
    <w:rsid w:val="159917F9"/>
    <w:rsid w:val="15CE0ED6"/>
    <w:rsid w:val="15D12865"/>
    <w:rsid w:val="15D64EC1"/>
    <w:rsid w:val="160475A2"/>
    <w:rsid w:val="16467BBB"/>
    <w:rsid w:val="166F711D"/>
    <w:rsid w:val="16A95FD5"/>
    <w:rsid w:val="16D9794A"/>
    <w:rsid w:val="16E27816"/>
    <w:rsid w:val="16EA785A"/>
    <w:rsid w:val="16FC7978"/>
    <w:rsid w:val="171A499E"/>
    <w:rsid w:val="17775BAC"/>
    <w:rsid w:val="1783775F"/>
    <w:rsid w:val="182F1538"/>
    <w:rsid w:val="18362025"/>
    <w:rsid w:val="18431B2D"/>
    <w:rsid w:val="186C0E48"/>
    <w:rsid w:val="1870250C"/>
    <w:rsid w:val="188C664E"/>
    <w:rsid w:val="18A32691"/>
    <w:rsid w:val="18D55662"/>
    <w:rsid w:val="18EB5F54"/>
    <w:rsid w:val="18F13BDB"/>
    <w:rsid w:val="19182F23"/>
    <w:rsid w:val="19310C8B"/>
    <w:rsid w:val="196E72F3"/>
    <w:rsid w:val="1981715C"/>
    <w:rsid w:val="19AF230F"/>
    <w:rsid w:val="19C35FAE"/>
    <w:rsid w:val="19D27BAC"/>
    <w:rsid w:val="19F456F5"/>
    <w:rsid w:val="1A1E7181"/>
    <w:rsid w:val="1A34476D"/>
    <w:rsid w:val="1A5405BE"/>
    <w:rsid w:val="1A9616B5"/>
    <w:rsid w:val="1AC235E9"/>
    <w:rsid w:val="1AC73B45"/>
    <w:rsid w:val="1AC87470"/>
    <w:rsid w:val="1AF33C24"/>
    <w:rsid w:val="1B1D3D98"/>
    <w:rsid w:val="1B3E46B0"/>
    <w:rsid w:val="1B42430C"/>
    <w:rsid w:val="1B436C64"/>
    <w:rsid w:val="1B8C2514"/>
    <w:rsid w:val="1B99683F"/>
    <w:rsid w:val="1BAF2E38"/>
    <w:rsid w:val="1BD540FE"/>
    <w:rsid w:val="1BD712B5"/>
    <w:rsid w:val="1BF379EB"/>
    <w:rsid w:val="1C085913"/>
    <w:rsid w:val="1C0C1346"/>
    <w:rsid w:val="1CB10147"/>
    <w:rsid w:val="1CBF199A"/>
    <w:rsid w:val="1CE92F76"/>
    <w:rsid w:val="1D1874CD"/>
    <w:rsid w:val="1D3476D4"/>
    <w:rsid w:val="1D4C5C00"/>
    <w:rsid w:val="1DB71419"/>
    <w:rsid w:val="1DDF14E8"/>
    <w:rsid w:val="1E6710F3"/>
    <w:rsid w:val="1E774124"/>
    <w:rsid w:val="1E7B47AF"/>
    <w:rsid w:val="1E7C7D60"/>
    <w:rsid w:val="1E8B0EE8"/>
    <w:rsid w:val="1EBD09AA"/>
    <w:rsid w:val="1F2768AA"/>
    <w:rsid w:val="1FB4723B"/>
    <w:rsid w:val="1FC61D6D"/>
    <w:rsid w:val="203D0E62"/>
    <w:rsid w:val="2045171B"/>
    <w:rsid w:val="20492A03"/>
    <w:rsid w:val="20743577"/>
    <w:rsid w:val="208F1E39"/>
    <w:rsid w:val="20915784"/>
    <w:rsid w:val="20925A22"/>
    <w:rsid w:val="209C1A5E"/>
    <w:rsid w:val="20A648FE"/>
    <w:rsid w:val="20C824E3"/>
    <w:rsid w:val="21074F7E"/>
    <w:rsid w:val="211662C2"/>
    <w:rsid w:val="21685FF2"/>
    <w:rsid w:val="217A696B"/>
    <w:rsid w:val="21D761B3"/>
    <w:rsid w:val="222C7975"/>
    <w:rsid w:val="226C0E5E"/>
    <w:rsid w:val="226D18CC"/>
    <w:rsid w:val="22822D9C"/>
    <w:rsid w:val="229777B7"/>
    <w:rsid w:val="229F4B72"/>
    <w:rsid w:val="230A5F11"/>
    <w:rsid w:val="231D65B1"/>
    <w:rsid w:val="232144AA"/>
    <w:rsid w:val="239D347E"/>
    <w:rsid w:val="23A326AC"/>
    <w:rsid w:val="23AB0F9D"/>
    <w:rsid w:val="23E87728"/>
    <w:rsid w:val="23F55449"/>
    <w:rsid w:val="243C7878"/>
    <w:rsid w:val="245004F1"/>
    <w:rsid w:val="24607943"/>
    <w:rsid w:val="24751C29"/>
    <w:rsid w:val="247945F2"/>
    <w:rsid w:val="24803777"/>
    <w:rsid w:val="249030F1"/>
    <w:rsid w:val="24AD7057"/>
    <w:rsid w:val="24B81DB4"/>
    <w:rsid w:val="250D0367"/>
    <w:rsid w:val="25141BA0"/>
    <w:rsid w:val="252F6156"/>
    <w:rsid w:val="25333F11"/>
    <w:rsid w:val="253A2D18"/>
    <w:rsid w:val="256865DD"/>
    <w:rsid w:val="256D7E07"/>
    <w:rsid w:val="25716CB4"/>
    <w:rsid w:val="25875AFA"/>
    <w:rsid w:val="25A0096A"/>
    <w:rsid w:val="25AC6D7D"/>
    <w:rsid w:val="25C828A6"/>
    <w:rsid w:val="25D102CC"/>
    <w:rsid w:val="25D2632A"/>
    <w:rsid w:val="25D61896"/>
    <w:rsid w:val="25E11080"/>
    <w:rsid w:val="25E2668C"/>
    <w:rsid w:val="25FF1F88"/>
    <w:rsid w:val="262159E2"/>
    <w:rsid w:val="263F10D4"/>
    <w:rsid w:val="267955A3"/>
    <w:rsid w:val="269B6E35"/>
    <w:rsid w:val="26F4175E"/>
    <w:rsid w:val="2722239F"/>
    <w:rsid w:val="27311D28"/>
    <w:rsid w:val="27804B1F"/>
    <w:rsid w:val="278446F0"/>
    <w:rsid w:val="2794401F"/>
    <w:rsid w:val="27B47943"/>
    <w:rsid w:val="27B839FE"/>
    <w:rsid w:val="27D34228"/>
    <w:rsid w:val="27D82A8C"/>
    <w:rsid w:val="27DC5D27"/>
    <w:rsid w:val="27EF47D6"/>
    <w:rsid w:val="280C7BC9"/>
    <w:rsid w:val="28276EE9"/>
    <w:rsid w:val="283060E0"/>
    <w:rsid w:val="28465156"/>
    <w:rsid w:val="285F19AA"/>
    <w:rsid w:val="28A44C56"/>
    <w:rsid w:val="28C857F5"/>
    <w:rsid w:val="28CE3D3A"/>
    <w:rsid w:val="28D559B1"/>
    <w:rsid w:val="28F376AE"/>
    <w:rsid w:val="296F009D"/>
    <w:rsid w:val="299A4080"/>
    <w:rsid w:val="29BC78EC"/>
    <w:rsid w:val="29C16863"/>
    <w:rsid w:val="29CA7354"/>
    <w:rsid w:val="29CD16D5"/>
    <w:rsid w:val="29D42A74"/>
    <w:rsid w:val="2A0B5174"/>
    <w:rsid w:val="2A1057C0"/>
    <w:rsid w:val="2A333F8E"/>
    <w:rsid w:val="2A385D68"/>
    <w:rsid w:val="2A3C69BB"/>
    <w:rsid w:val="2A67664D"/>
    <w:rsid w:val="2A8737BD"/>
    <w:rsid w:val="2A905451"/>
    <w:rsid w:val="2AB57EEF"/>
    <w:rsid w:val="2B290507"/>
    <w:rsid w:val="2B827C47"/>
    <w:rsid w:val="2BAC159C"/>
    <w:rsid w:val="2BC65D56"/>
    <w:rsid w:val="2BE10DBD"/>
    <w:rsid w:val="2BE710A1"/>
    <w:rsid w:val="2C1C7EAB"/>
    <w:rsid w:val="2C40598D"/>
    <w:rsid w:val="2C4B161C"/>
    <w:rsid w:val="2CAC2ABC"/>
    <w:rsid w:val="2CC71D1F"/>
    <w:rsid w:val="2D0B73C0"/>
    <w:rsid w:val="2D1B0B7D"/>
    <w:rsid w:val="2D370C08"/>
    <w:rsid w:val="2D510F8C"/>
    <w:rsid w:val="2D597EA2"/>
    <w:rsid w:val="2D5D74C2"/>
    <w:rsid w:val="2D72488F"/>
    <w:rsid w:val="2D8E56A9"/>
    <w:rsid w:val="2D990DB5"/>
    <w:rsid w:val="2DA94BF1"/>
    <w:rsid w:val="2DB66A5A"/>
    <w:rsid w:val="2DB759F2"/>
    <w:rsid w:val="2DCE15AF"/>
    <w:rsid w:val="2DF25F26"/>
    <w:rsid w:val="2E3B4742"/>
    <w:rsid w:val="2E6C169A"/>
    <w:rsid w:val="2E8E0627"/>
    <w:rsid w:val="2ED41754"/>
    <w:rsid w:val="2EF51D26"/>
    <w:rsid w:val="2F1946CD"/>
    <w:rsid w:val="2F1D40F2"/>
    <w:rsid w:val="2F397D20"/>
    <w:rsid w:val="2F445AE8"/>
    <w:rsid w:val="2F630FE7"/>
    <w:rsid w:val="2FBB6A98"/>
    <w:rsid w:val="2FC320F9"/>
    <w:rsid w:val="2FD951A4"/>
    <w:rsid w:val="2FDA654C"/>
    <w:rsid w:val="300E150D"/>
    <w:rsid w:val="30133DA7"/>
    <w:rsid w:val="30162206"/>
    <w:rsid w:val="3026317E"/>
    <w:rsid w:val="303E33EE"/>
    <w:rsid w:val="3040399F"/>
    <w:rsid w:val="306F08A6"/>
    <w:rsid w:val="30960209"/>
    <w:rsid w:val="30AF0A3B"/>
    <w:rsid w:val="30CC22D9"/>
    <w:rsid w:val="310F4838"/>
    <w:rsid w:val="311B0E2A"/>
    <w:rsid w:val="31392967"/>
    <w:rsid w:val="313A2EA9"/>
    <w:rsid w:val="3157722A"/>
    <w:rsid w:val="31F36233"/>
    <w:rsid w:val="321309B1"/>
    <w:rsid w:val="32137238"/>
    <w:rsid w:val="32254FD3"/>
    <w:rsid w:val="322D6174"/>
    <w:rsid w:val="32384E66"/>
    <w:rsid w:val="32745161"/>
    <w:rsid w:val="327A65E8"/>
    <w:rsid w:val="32846CDE"/>
    <w:rsid w:val="32C95E4A"/>
    <w:rsid w:val="32F22FDD"/>
    <w:rsid w:val="33213D35"/>
    <w:rsid w:val="332474D1"/>
    <w:rsid w:val="3327391B"/>
    <w:rsid w:val="3331651D"/>
    <w:rsid w:val="333A3244"/>
    <w:rsid w:val="337178ED"/>
    <w:rsid w:val="34A75871"/>
    <w:rsid w:val="34EB069C"/>
    <w:rsid w:val="34F0065C"/>
    <w:rsid w:val="352251E8"/>
    <w:rsid w:val="353E21F6"/>
    <w:rsid w:val="356C4513"/>
    <w:rsid w:val="357747C1"/>
    <w:rsid w:val="35942A0C"/>
    <w:rsid w:val="35B96CF0"/>
    <w:rsid w:val="35BD6296"/>
    <w:rsid w:val="35E90DEE"/>
    <w:rsid w:val="35F4196D"/>
    <w:rsid w:val="35FA4918"/>
    <w:rsid w:val="35FA6BEE"/>
    <w:rsid w:val="36191DB4"/>
    <w:rsid w:val="362B0F44"/>
    <w:rsid w:val="36455341"/>
    <w:rsid w:val="368E5021"/>
    <w:rsid w:val="369614E1"/>
    <w:rsid w:val="36965B9D"/>
    <w:rsid w:val="36AA560A"/>
    <w:rsid w:val="36C51D3E"/>
    <w:rsid w:val="36EE54CB"/>
    <w:rsid w:val="36F51187"/>
    <w:rsid w:val="36FD555B"/>
    <w:rsid w:val="37476BFC"/>
    <w:rsid w:val="374B4FC3"/>
    <w:rsid w:val="37561333"/>
    <w:rsid w:val="37581372"/>
    <w:rsid w:val="377B6409"/>
    <w:rsid w:val="37952808"/>
    <w:rsid w:val="37DA64A9"/>
    <w:rsid w:val="37E775D9"/>
    <w:rsid w:val="37FD5E71"/>
    <w:rsid w:val="38210BFD"/>
    <w:rsid w:val="383E6724"/>
    <w:rsid w:val="38412BA4"/>
    <w:rsid w:val="38580026"/>
    <w:rsid w:val="387E54E5"/>
    <w:rsid w:val="38A37CA1"/>
    <w:rsid w:val="38D349AA"/>
    <w:rsid w:val="38D351C0"/>
    <w:rsid w:val="38E147DC"/>
    <w:rsid w:val="38F10B58"/>
    <w:rsid w:val="38F113CD"/>
    <w:rsid w:val="38FA69E8"/>
    <w:rsid w:val="39360AC8"/>
    <w:rsid w:val="399931A7"/>
    <w:rsid w:val="39D46BA0"/>
    <w:rsid w:val="39F56CCC"/>
    <w:rsid w:val="3A0556D5"/>
    <w:rsid w:val="3A330458"/>
    <w:rsid w:val="3A332E57"/>
    <w:rsid w:val="3A38419F"/>
    <w:rsid w:val="3A6377E9"/>
    <w:rsid w:val="3AB02799"/>
    <w:rsid w:val="3AB111F7"/>
    <w:rsid w:val="3AB4557C"/>
    <w:rsid w:val="3AC46690"/>
    <w:rsid w:val="3ADC656C"/>
    <w:rsid w:val="3B0A6B5A"/>
    <w:rsid w:val="3B1D4113"/>
    <w:rsid w:val="3B330AA6"/>
    <w:rsid w:val="3B356485"/>
    <w:rsid w:val="3B3C7874"/>
    <w:rsid w:val="3B657315"/>
    <w:rsid w:val="3B6E70E8"/>
    <w:rsid w:val="3B6F707B"/>
    <w:rsid w:val="3B99199A"/>
    <w:rsid w:val="3BCC7CF9"/>
    <w:rsid w:val="3BEB7686"/>
    <w:rsid w:val="3BF7319F"/>
    <w:rsid w:val="3C2C3728"/>
    <w:rsid w:val="3C2F16FC"/>
    <w:rsid w:val="3C3003FC"/>
    <w:rsid w:val="3C412E51"/>
    <w:rsid w:val="3C47657A"/>
    <w:rsid w:val="3C5A5768"/>
    <w:rsid w:val="3C8513C8"/>
    <w:rsid w:val="3C9D6C28"/>
    <w:rsid w:val="3CB20527"/>
    <w:rsid w:val="3CCE7B62"/>
    <w:rsid w:val="3CD04474"/>
    <w:rsid w:val="3CEC720C"/>
    <w:rsid w:val="3D1171D0"/>
    <w:rsid w:val="3D30006F"/>
    <w:rsid w:val="3D404023"/>
    <w:rsid w:val="3D681163"/>
    <w:rsid w:val="3D7742B9"/>
    <w:rsid w:val="3DDC7802"/>
    <w:rsid w:val="3DED4DF9"/>
    <w:rsid w:val="3DF633C5"/>
    <w:rsid w:val="3DFF682A"/>
    <w:rsid w:val="3E0B666E"/>
    <w:rsid w:val="3E0D1736"/>
    <w:rsid w:val="3E1146B0"/>
    <w:rsid w:val="3ECE7D37"/>
    <w:rsid w:val="3EDA6724"/>
    <w:rsid w:val="3F120386"/>
    <w:rsid w:val="3F433E6E"/>
    <w:rsid w:val="3F484151"/>
    <w:rsid w:val="3F5A27C7"/>
    <w:rsid w:val="3F8B2DAC"/>
    <w:rsid w:val="3FA84785"/>
    <w:rsid w:val="3FB82352"/>
    <w:rsid w:val="3FBD504D"/>
    <w:rsid w:val="3FC40D5A"/>
    <w:rsid w:val="3FE853EB"/>
    <w:rsid w:val="403D18AE"/>
    <w:rsid w:val="40407A9F"/>
    <w:rsid w:val="40735A81"/>
    <w:rsid w:val="409F7E4C"/>
    <w:rsid w:val="40B557B9"/>
    <w:rsid w:val="40C0120F"/>
    <w:rsid w:val="41146E79"/>
    <w:rsid w:val="416D0F57"/>
    <w:rsid w:val="418D3ABF"/>
    <w:rsid w:val="41CD1C44"/>
    <w:rsid w:val="41F4735E"/>
    <w:rsid w:val="42232DCB"/>
    <w:rsid w:val="42B60D1B"/>
    <w:rsid w:val="42B83111"/>
    <w:rsid w:val="42E318BC"/>
    <w:rsid w:val="431E7C36"/>
    <w:rsid w:val="43307766"/>
    <w:rsid w:val="43553432"/>
    <w:rsid w:val="438741A0"/>
    <w:rsid w:val="43A2183A"/>
    <w:rsid w:val="442C2A7F"/>
    <w:rsid w:val="44560F63"/>
    <w:rsid w:val="44C079BB"/>
    <w:rsid w:val="44EC5290"/>
    <w:rsid w:val="44F53D30"/>
    <w:rsid w:val="45590BD0"/>
    <w:rsid w:val="45637F88"/>
    <w:rsid w:val="45980F34"/>
    <w:rsid w:val="46345C9D"/>
    <w:rsid w:val="463A65C6"/>
    <w:rsid w:val="4665558C"/>
    <w:rsid w:val="46A92D68"/>
    <w:rsid w:val="46C10A14"/>
    <w:rsid w:val="46ED71EF"/>
    <w:rsid w:val="46EF70E6"/>
    <w:rsid w:val="47102E45"/>
    <w:rsid w:val="471A1031"/>
    <w:rsid w:val="47264D1B"/>
    <w:rsid w:val="47523D62"/>
    <w:rsid w:val="478C51A8"/>
    <w:rsid w:val="479A3013"/>
    <w:rsid w:val="47C7139C"/>
    <w:rsid w:val="47D128CC"/>
    <w:rsid w:val="47FD0C23"/>
    <w:rsid w:val="48035AAB"/>
    <w:rsid w:val="482D20BA"/>
    <w:rsid w:val="48341C04"/>
    <w:rsid w:val="48362B9E"/>
    <w:rsid w:val="484B3EE2"/>
    <w:rsid w:val="485711C7"/>
    <w:rsid w:val="488473D1"/>
    <w:rsid w:val="48967C50"/>
    <w:rsid w:val="48A035F5"/>
    <w:rsid w:val="48BB399F"/>
    <w:rsid w:val="48E3194B"/>
    <w:rsid w:val="49263133"/>
    <w:rsid w:val="49814A7F"/>
    <w:rsid w:val="49825388"/>
    <w:rsid w:val="49A2097C"/>
    <w:rsid w:val="49C425C9"/>
    <w:rsid w:val="4A273526"/>
    <w:rsid w:val="4A2B5914"/>
    <w:rsid w:val="4A605BD7"/>
    <w:rsid w:val="4A974203"/>
    <w:rsid w:val="4A984AD1"/>
    <w:rsid w:val="4ABA73C3"/>
    <w:rsid w:val="4AC92D66"/>
    <w:rsid w:val="4AE90307"/>
    <w:rsid w:val="4AF81B91"/>
    <w:rsid w:val="4AFF4269"/>
    <w:rsid w:val="4B034A77"/>
    <w:rsid w:val="4B043EA8"/>
    <w:rsid w:val="4B2711BE"/>
    <w:rsid w:val="4B5B5C38"/>
    <w:rsid w:val="4B793907"/>
    <w:rsid w:val="4B9B54C8"/>
    <w:rsid w:val="4BAE4149"/>
    <w:rsid w:val="4BB17792"/>
    <w:rsid w:val="4BF70A34"/>
    <w:rsid w:val="4C24254F"/>
    <w:rsid w:val="4C2B2539"/>
    <w:rsid w:val="4C441ED2"/>
    <w:rsid w:val="4C5633AB"/>
    <w:rsid w:val="4C744AC6"/>
    <w:rsid w:val="4C7927FA"/>
    <w:rsid w:val="4C8700C4"/>
    <w:rsid w:val="4D2C6E03"/>
    <w:rsid w:val="4D604B10"/>
    <w:rsid w:val="4D9901F3"/>
    <w:rsid w:val="4DA3797E"/>
    <w:rsid w:val="4DD57B66"/>
    <w:rsid w:val="4DF93F93"/>
    <w:rsid w:val="4E625174"/>
    <w:rsid w:val="4E714AC6"/>
    <w:rsid w:val="4E731503"/>
    <w:rsid w:val="4E8325F5"/>
    <w:rsid w:val="4E832670"/>
    <w:rsid w:val="4E853DE6"/>
    <w:rsid w:val="4EC61598"/>
    <w:rsid w:val="4EEB6E38"/>
    <w:rsid w:val="4F18210F"/>
    <w:rsid w:val="4F1C6304"/>
    <w:rsid w:val="4F8150DF"/>
    <w:rsid w:val="4FAB7275"/>
    <w:rsid w:val="4FFC0D0F"/>
    <w:rsid w:val="503F0BFC"/>
    <w:rsid w:val="50535C55"/>
    <w:rsid w:val="50797B21"/>
    <w:rsid w:val="508A072F"/>
    <w:rsid w:val="509D55BF"/>
    <w:rsid w:val="51041DA4"/>
    <w:rsid w:val="510809F9"/>
    <w:rsid w:val="510E2115"/>
    <w:rsid w:val="51107D30"/>
    <w:rsid w:val="5116195C"/>
    <w:rsid w:val="511A2C8A"/>
    <w:rsid w:val="51356F33"/>
    <w:rsid w:val="51394F6B"/>
    <w:rsid w:val="51525ABC"/>
    <w:rsid w:val="515B6C1B"/>
    <w:rsid w:val="516500A8"/>
    <w:rsid w:val="517E20F6"/>
    <w:rsid w:val="51874608"/>
    <w:rsid w:val="51A451BA"/>
    <w:rsid w:val="51D43B68"/>
    <w:rsid w:val="5208070E"/>
    <w:rsid w:val="524A4ECA"/>
    <w:rsid w:val="52852030"/>
    <w:rsid w:val="52F77B3F"/>
    <w:rsid w:val="5311398F"/>
    <w:rsid w:val="53144C96"/>
    <w:rsid w:val="53350000"/>
    <w:rsid w:val="53367F96"/>
    <w:rsid w:val="5382344A"/>
    <w:rsid w:val="53900EDB"/>
    <w:rsid w:val="53A45EA1"/>
    <w:rsid w:val="53D654EE"/>
    <w:rsid w:val="53DC13B0"/>
    <w:rsid w:val="53FB0A9F"/>
    <w:rsid w:val="53FF5E5F"/>
    <w:rsid w:val="54462C9F"/>
    <w:rsid w:val="544A11FE"/>
    <w:rsid w:val="544E27B3"/>
    <w:rsid w:val="54846334"/>
    <w:rsid w:val="54A850C9"/>
    <w:rsid w:val="55260438"/>
    <w:rsid w:val="557F3C2B"/>
    <w:rsid w:val="55992B5C"/>
    <w:rsid w:val="560D646E"/>
    <w:rsid w:val="56301DC8"/>
    <w:rsid w:val="568A5B11"/>
    <w:rsid w:val="56931316"/>
    <w:rsid w:val="569361A3"/>
    <w:rsid w:val="56BA0FDC"/>
    <w:rsid w:val="56D646F1"/>
    <w:rsid w:val="56E30400"/>
    <w:rsid w:val="57130B6C"/>
    <w:rsid w:val="57133F41"/>
    <w:rsid w:val="571C54E0"/>
    <w:rsid w:val="571D2599"/>
    <w:rsid w:val="57403872"/>
    <w:rsid w:val="576E2B05"/>
    <w:rsid w:val="577E46FF"/>
    <w:rsid w:val="57812D77"/>
    <w:rsid w:val="57832294"/>
    <w:rsid w:val="578B2E47"/>
    <w:rsid w:val="57BD0D84"/>
    <w:rsid w:val="58196FB3"/>
    <w:rsid w:val="5821678F"/>
    <w:rsid w:val="58C47075"/>
    <w:rsid w:val="58FE3253"/>
    <w:rsid w:val="59702BA0"/>
    <w:rsid w:val="59705BAE"/>
    <w:rsid w:val="59760FEE"/>
    <w:rsid w:val="598B6475"/>
    <w:rsid w:val="599B4CF7"/>
    <w:rsid w:val="599F3C57"/>
    <w:rsid w:val="59D76509"/>
    <w:rsid w:val="5A0B5988"/>
    <w:rsid w:val="5A326EA8"/>
    <w:rsid w:val="5A57032A"/>
    <w:rsid w:val="5A9F0C15"/>
    <w:rsid w:val="5AA31831"/>
    <w:rsid w:val="5AB6469D"/>
    <w:rsid w:val="5AC16734"/>
    <w:rsid w:val="5AC531E8"/>
    <w:rsid w:val="5AF90236"/>
    <w:rsid w:val="5AFC4228"/>
    <w:rsid w:val="5B0C689A"/>
    <w:rsid w:val="5B1769FD"/>
    <w:rsid w:val="5B1A7128"/>
    <w:rsid w:val="5B4812AC"/>
    <w:rsid w:val="5B7428A8"/>
    <w:rsid w:val="5B75607A"/>
    <w:rsid w:val="5BC1778E"/>
    <w:rsid w:val="5BD01EF1"/>
    <w:rsid w:val="5BD35260"/>
    <w:rsid w:val="5BF45E2C"/>
    <w:rsid w:val="5C47619F"/>
    <w:rsid w:val="5C4F4619"/>
    <w:rsid w:val="5C855BE8"/>
    <w:rsid w:val="5CBC3902"/>
    <w:rsid w:val="5CBF543A"/>
    <w:rsid w:val="5CFB0C71"/>
    <w:rsid w:val="5CFF6106"/>
    <w:rsid w:val="5D0462EC"/>
    <w:rsid w:val="5D795086"/>
    <w:rsid w:val="5D804D2D"/>
    <w:rsid w:val="5DAF0A2B"/>
    <w:rsid w:val="5DCC6A80"/>
    <w:rsid w:val="5DED6700"/>
    <w:rsid w:val="5DF23528"/>
    <w:rsid w:val="5E1318B5"/>
    <w:rsid w:val="5E1C6E5F"/>
    <w:rsid w:val="5E2743E2"/>
    <w:rsid w:val="5E2F405E"/>
    <w:rsid w:val="5E3A6D5F"/>
    <w:rsid w:val="5E5A53D0"/>
    <w:rsid w:val="5E5D1A5A"/>
    <w:rsid w:val="5E700264"/>
    <w:rsid w:val="5E7839A3"/>
    <w:rsid w:val="5E7D301B"/>
    <w:rsid w:val="5E7F3508"/>
    <w:rsid w:val="5E854DFA"/>
    <w:rsid w:val="5E9640DD"/>
    <w:rsid w:val="5EB25084"/>
    <w:rsid w:val="5EF20927"/>
    <w:rsid w:val="5F0D24D7"/>
    <w:rsid w:val="5F4D11FB"/>
    <w:rsid w:val="5F532745"/>
    <w:rsid w:val="5F7F601C"/>
    <w:rsid w:val="5F8D65A9"/>
    <w:rsid w:val="5FA016B7"/>
    <w:rsid w:val="5FAC11B3"/>
    <w:rsid w:val="5FB81A0B"/>
    <w:rsid w:val="5FBF69B6"/>
    <w:rsid w:val="5FC56F4B"/>
    <w:rsid w:val="5FCC4382"/>
    <w:rsid w:val="5FCD4E6B"/>
    <w:rsid w:val="5FE96D49"/>
    <w:rsid w:val="5FFA17ED"/>
    <w:rsid w:val="5FFA4E12"/>
    <w:rsid w:val="602E54DD"/>
    <w:rsid w:val="60767D3C"/>
    <w:rsid w:val="60B74F8A"/>
    <w:rsid w:val="60D31BD8"/>
    <w:rsid w:val="60E6759D"/>
    <w:rsid w:val="61131D72"/>
    <w:rsid w:val="61261D8E"/>
    <w:rsid w:val="612B4B14"/>
    <w:rsid w:val="614254D1"/>
    <w:rsid w:val="61433767"/>
    <w:rsid w:val="618E3791"/>
    <w:rsid w:val="61B17F00"/>
    <w:rsid w:val="61DC17A0"/>
    <w:rsid w:val="61E15FBE"/>
    <w:rsid w:val="61FE4950"/>
    <w:rsid w:val="623205C0"/>
    <w:rsid w:val="626C655C"/>
    <w:rsid w:val="62955555"/>
    <w:rsid w:val="62FB72FE"/>
    <w:rsid w:val="63497970"/>
    <w:rsid w:val="6358187E"/>
    <w:rsid w:val="635B0501"/>
    <w:rsid w:val="636A27B6"/>
    <w:rsid w:val="63A64DC2"/>
    <w:rsid w:val="63AB6605"/>
    <w:rsid w:val="63B558BD"/>
    <w:rsid w:val="63DD6B13"/>
    <w:rsid w:val="64456FBD"/>
    <w:rsid w:val="64546CA8"/>
    <w:rsid w:val="645E4E80"/>
    <w:rsid w:val="64872E45"/>
    <w:rsid w:val="648E2382"/>
    <w:rsid w:val="648E3F2D"/>
    <w:rsid w:val="649A334D"/>
    <w:rsid w:val="64AA5224"/>
    <w:rsid w:val="65115AD4"/>
    <w:rsid w:val="659F31C5"/>
    <w:rsid w:val="65DE2B37"/>
    <w:rsid w:val="66000B3D"/>
    <w:rsid w:val="6618450F"/>
    <w:rsid w:val="665E0FCF"/>
    <w:rsid w:val="668F4792"/>
    <w:rsid w:val="66AD015E"/>
    <w:rsid w:val="66B364CF"/>
    <w:rsid w:val="66BD62C8"/>
    <w:rsid w:val="66F2103B"/>
    <w:rsid w:val="67162D22"/>
    <w:rsid w:val="672C1779"/>
    <w:rsid w:val="673E6FFD"/>
    <w:rsid w:val="678076CD"/>
    <w:rsid w:val="67892E9C"/>
    <w:rsid w:val="67AD32A7"/>
    <w:rsid w:val="67DF49A6"/>
    <w:rsid w:val="68073FDC"/>
    <w:rsid w:val="681548C5"/>
    <w:rsid w:val="6836496C"/>
    <w:rsid w:val="68541872"/>
    <w:rsid w:val="68553E3A"/>
    <w:rsid w:val="68A75ECF"/>
    <w:rsid w:val="68D130AF"/>
    <w:rsid w:val="68EA74FF"/>
    <w:rsid w:val="68EF2D67"/>
    <w:rsid w:val="68EF7116"/>
    <w:rsid w:val="69112B6D"/>
    <w:rsid w:val="696B74D5"/>
    <w:rsid w:val="6A094979"/>
    <w:rsid w:val="6A2E761F"/>
    <w:rsid w:val="6A452A79"/>
    <w:rsid w:val="6A492A6F"/>
    <w:rsid w:val="6A701645"/>
    <w:rsid w:val="6ABB171C"/>
    <w:rsid w:val="6AE674BA"/>
    <w:rsid w:val="6B07083C"/>
    <w:rsid w:val="6B265958"/>
    <w:rsid w:val="6B714B14"/>
    <w:rsid w:val="6B7633D5"/>
    <w:rsid w:val="6B974157"/>
    <w:rsid w:val="6C1C4242"/>
    <w:rsid w:val="6C3263AB"/>
    <w:rsid w:val="6C415715"/>
    <w:rsid w:val="6C801688"/>
    <w:rsid w:val="6C804DEF"/>
    <w:rsid w:val="6C88775B"/>
    <w:rsid w:val="6CAE1B6C"/>
    <w:rsid w:val="6CAE23C4"/>
    <w:rsid w:val="6D0C376B"/>
    <w:rsid w:val="6D100A04"/>
    <w:rsid w:val="6D1C0B3B"/>
    <w:rsid w:val="6D445FFE"/>
    <w:rsid w:val="6D4731AA"/>
    <w:rsid w:val="6D6F37A5"/>
    <w:rsid w:val="6D9B007D"/>
    <w:rsid w:val="6DB87489"/>
    <w:rsid w:val="6E063FF3"/>
    <w:rsid w:val="6E4167E4"/>
    <w:rsid w:val="6E5F60A4"/>
    <w:rsid w:val="6E943ADE"/>
    <w:rsid w:val="6EB064ED"/>
    <w:rsid w:val="6F647E4F"/>
    <w:rsid w:val="6F816D8C"/>
    <w:rsid w:val="6F8C314E"/>
    <w:rsid w:val="6F953C72"/>
    <w:rsid w:val="6FA000A1"/>
    <w:rsid w:val="6FBA38CF"/>
    <w:rsid w:val="6FBC3334"/>
    <w:rsid w:val="6FF87061"/>
    <w:rsid w:val="70031191"/>
    <w:rsid w:val="701312B0"/>
    <w:rsid w:val="70157D3D"/>
    <w:rsid w:val="70210F12"/>
    <w:rsid w:val="704E3A0C"/>
    <w:rsid w:val="706B724E"/>
    <w:rsid w:val="70AD6ED1"/>
    <w:rsid w:val="70B53780"/>
    <w:rsid w:val="70CD3D5B"/>
    <w:rsid w:val="70DF1913"/>
    <w:rsid w:val="70FD4F6A"/>
    <w:rsid w:val="71013FF7"/>
    <w:rsid w:val="71306A35"/>
    <w:rsid w:val="71463D1D"/>
    <w:rsid w:val="71484A4D"/>
    <w:rsid w:val="716D08F6"/>
    <w:rsid w:val="71862667"/>
    <w:rsid w:val="71893EAB"/>
    <w:rsid w:val="718F4D8B"/>
    <w:rsid w:val="71916726"/>
    <w:rsid w:val="71925178"/>
    <w:rsid w:val="71E57DDF"/>
    <w:rsid w:val="71EA0185"/>
    <w:rsid w:val="722250FD"/>
    <w:rsid w:val="723E56D9"/>
    <w:rsid w:val="727A6ADE"/>
    <w:rsid w:val="728C74A3"/>
    <w:rsid w:val="72A461A2"/>
    <w:rsid w:val="72AE3C93"/>
    <w:rsid w:val="72B7403B"/>
    <w:rsid w:val="73283DFC"/>
    <w:rsid w:val="7348445F"/>
    <w:rsid w:val="736A3C83"/>
    <w:rsid w:val="7395275D"/>
    <w:rsid w:val="73FC29E1"/>
    <w:rsid w:val="740454D4"/>
    <w:rsid w:val="74A50438"/>
    <w:rsid w:val="74B20F16"/>
    <w:rsid w:val="74C51D9A"/>
    <w:rsid w:val="750765A4"/>
    <w:rsid w:val="75166FD8"/>
    <w:rsid w:val="755149A0"/>
    <w:rsid w:val="755A4BE0"/>
    <w:rsid w:val="756F46EC"/>
    <w:rsid w:val="757B346B"/>
    <w:rsid w:val="758918C0"/>
    <w:rsid w:val="759F4EC1"/>
    <w:rsid w:val="75CF3B98"/>
    <w:rsid w:val="75D65498"/>
    <w:rsid w:val="75E90FA6"/>
    <w:rsid w:val="763224E5"/>
    <w:rsid w:val="769B6316"/>
    <w:rsid w:val="76CF02BD"/>
    <w:rsid w:val="76F221D2"/>
    <w:rsid w:val="76FF686B"/>
    <w:rsid w:val="77087D44"/>
    <w:rsid w:val="770E246E"/>
    <w:rsid w:val="773636B6"/>
    <w:rsid w:val="773F5473"/>
    <w:rsid w:val="776C4A5C"/>
    <w:rsid w:val="77823A80"/>
    <w:rsid w:val="77843D39"/>
    <w:rsid w:val="779A2A38"/>
    <w:rsid w:val="77A55067"/>
    <w:rsid w:val="77CF3386"/>
    <w:rsid w:val="78046525"/>
    <w:rsid w:val="7808272E"/>
    <w:rsid w:val="782F54D8"/>
    <w:rsid w:val="783C7FB9"/>
    <w:rsid w:val="783E26DF"/>
    <w:rsid w:val="785B39A9"/>
    <w:rsid w:val="78A04131"/>
    <w:rsid w:val="78B1761E"/>
    <w:rsid w:val="78B96EEE"/>
    <w:rsid w:val="78C96241"/>
    <w:rsid w:val="78D15003"/>
    <w:rsid w:val="793547C6"/>
    <w:rsid w:val="798332BB"/>
    <w:rsid w:val="79837AD1"/>
    <w:rsid w:val="799F08C0"/>
    <w:rsid w:val="79B93FD2"/>
    <w:rsid w:val="79E5123B"/>
    <w:rsid w:val="7A1234AC"/>
    <w:rsid w:val="7A2B377E"/>
    <w:rsid w:val="7A6A26FC"/>
    <w:rsid w:val="7A7059B7"/>
    <w:rsid w:val="7ACD67BD"/>
    <w:rsid w:val="7AFD386B"/>
    <w:rsid w:val="7AFE508C"/>
    <w:rsid w:val="7B265C2D"/>
    <w:rsid w:val="7B4C5DF7"/>
    <w:rsid w:val="7C040801"/>
    <w:rsid w:val="7C2F624D"/>
    <w:rsid w:val="7C765F3D"/>
    <w:rsid w:val="7C7D1D2A"/>
    <w:rsid w:val="7C85138F"/>
    <w:rsid w:val="7C8913DC"/>
    <w:rsid w:val="7CCF399D"/>
    <w:rsid w:val="7CFB4CF7"/>
    <w:rsid w:val="7D771A7B"/>
    <w:rsid w:val="7D8273FC"/>
    <w:rsid w:val="7DA72E5A"/>
    <w:rsid w:val="7DB737E0"/>
    <w:rsid w:val="7E5A6987"/>
    <w:rsid w:val="7E5C6BD3"/>
    <w:rsid w:val="7E6354E8"/>
    <w:rsid w:val="7E825B96"/>
    <w:rsid w:val="7E9B65C0"/>
    <w:rsid w:val="7ECB34D7"/>
    <w:rsid w:val="7ED92098"/>
    <w:rsid w:val="7EDB399D"/>
    <w:rsid w:val="7F19590B"/>
    <w:rsid w:val="7F8F24B9"/>
    <w:rsid w:val="7FBB1BD1"/>
    <w:rsid w:val="7FC63057"/>
    <w:rsid w:val="7FEF4904"/>
    <w:rsid w:val="7FF17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Times New Roman" w:hAnsi="Times New Roman" w:eastAsia="宋体" w:cs="宋体"/>
      <w:sz w:val="22"/>
      <w:szCs w:val="22"/>
      <w:lang w:val="zh-CN" w:eastAsia="zh-CN" w:bidi="zh-CN"/>
    </w:rPr>
  </w:style>
  <w:style w:type="paragraph" w:styleId="2">
    <w:name w:val="heading 1"/>
    <w:basedOn w:val="1"/>
    <w:next w:val="1"/>
    <w:qFormat/>
    <w:uiPriority w:val="0"/>
    <w:pPr>
      <w:keepNext/>
      <w:keepLines/>
      <w:numPr>
        <w:ilvl w:val="0"/>
        <w:numId w:val="1"/>
      </w:numPr>
      <w:outlineLvl w:val="0"/>
    </w:pPr>
    <w:rPr>
      <w:rFonts w:eastAsia="黑体" w:asciiTheme="minorHAnsi" w:hAnsiTheme="minorHAnsi"/>
      <w:b/>
      <w:kern w:val="44"/>
    </w:rPr>
  </w:style>
  <w:style w:type="paragraph" w:styleId="3">
    <w:name w:val="heading 2"/>
    <w:basedOn w:val="1"/>
    <w:next w:val="1"/>
    <w:link w:val="43"/>
    <w:unhideWhenUsed/>
    <w:qFormat/>
    <w:uiPriority w:val="0"/>
    <w:pPr>
      <w:keepNext/>
      <w:keepLines/>
      <w:numPr>
        <w:ilvl w:val="1"/>
        <w:numId w:val="1"/>
      </w:numPr>
      <w:tabs>
        <w:tab w:val="left" w:pos="-376"/>
      </w:tabs>
      <w:spacing w:before="200" w:after="200" w:line="360" w:lineRule="auto"/>
      <w:outlineLvl w:val="1"/>
    </w:pPr>
    <w:rPr>
      <w:rFonts w:ascii="Arial" w:hAnsi="Arial" w:eastAsia="黑体"/>
      <w:sz w:val="30"/>
    </w:rPr>
  </w:style>
  <w:style w:type="paragraph" w:styleId="4">
    <w:name w:val="heading 3"/>
    <w:basedOn w:val="1"/>
    <w:next w:val="1"/>
    <w:link w:val="44"/>
    <w:unhideWhenUsed/>
    <w:qFormat/>
    <w:uiPriority w:val="0"/>
    <w:pPr>
      <w:numPr>
        <w:ilvl w:val="2"/>
        <w:numId w:val="1"/>
      </w:numPr>
      <w:tabs>
        <w:tab w:val="left" w:pos="-376"/>
      </w:tabs>
      <w:spacing w:line="360" w:lineRule="auto"/>
      <w:outlineLvl w:val="2"/>
    </w:pPr>
    <w:rPr>
      <w:kern w:val="2"/>
      <w:szCs w:val="21"/>
    </w:rPr>
  </w:style>
  <w:style w:type="paragraph" w:styleId="5">
    <w:name w:val="heading 4"/>
    <w:basedOn w:val="1"/>
    <w:next w:val="1"/>
    <w:semiHidden/>
    <w:unhideWhenUsed/>
    <w:qFormat/>
    <w:uiPriority w:val="0"/>
    <w:pPr>
      <w:keepNext/>
      <w:keepLines/>
      <w:numPr>
        <w:ilvl w:val="3"/>
        <w:numId w:val="2"/>
      </w:numPr>
      <w:spacing w:before="280" w:after="290" w:line="372" w:lineRule="auto"/>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2"/>
      </w:numPr>
      <w:spacing w:before="280" w:after="290" w:line="372" w:lineRule="auto"/>
      <w:outlineLvl w:val="4"/>
    </w:pPr>
    <w:rPr>
      <w:b/>
      <w:sz w:val="28"/>
    </w:rPr>
  </w:style>
  <w:style w:type="paragraph" w:styleId="7">
    <w:name w:val="heading 6"/>
    <w:basedOn w:val="1"/>
    <w:next w:val="1"/>
    <w:semiHidden/>
    <w:unhideWhenUsed/>
    <w:qFormat/>
    <w:uiPriority w:val="0"/>
    <w:pPr>
      <w:keepNext/>
      <w:keepLines/>
      <w:numPr>
        <w:ilvl w:val="5"/>
        <w:numId w:val="2"/>
      </w:numPr>
      <w:spacing w:before="240" w:after="64" w:line="317" w:lineRule="auto"/>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2"/>
      </w:numPr>
      <w:spacing w:before="240" w:after="64" w:line="317" w:lineRule="auto"/>
      <w:outlineLvl w:val="6"/>
    </w:pPr>
    <w:rPr>
      <w:b/>
      <w:sz w:val="24"/>
    </w:rPr>
  </w:style>
  <w:style w:type="paragraph" w:styleId="9">
    <w:name w:val="heading 8"/>
    <w:basedOn w:val="1"/>
    <w:next w:val="1"/>
    <w:semiHidden/>
    <w:unhideWhenUsed/>
    <w:qFormat/>
    <w:uiPriority w:val="0"/>
    <w:pPr>
      <w:keepNext/>
      <w:keepLines/>
      <w:numPr>
        <w:ilvl w:val="7"/>
        <w:numId w:val="2"/>
      </w:numPr>
      <w:spacing w:before="240" w:after="64" w:line="317" w:lineRule="auto"/>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2"/>
      </w:numPr>
      <w:spacing w:before="240" w:after="64" w:line="317" w:lineRule="auto"/>
      <w:outlineLvl w:val="8"/>
    </w:pPr>
    <w:rPr>
      <w:rFonts w:ascii="Arial" w:hAnsi="Arial" w:eastAsia="黑体"/>
      <w:sz w:val="21"/>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5"/>
    <w:qFormat/>
    <w:uiPriority w:val="99"/>
  </w:style>
  <w:style w:type="paragraph" w:styleId="12">
    <w:name w:val="toc 3"/>
    <w:basedOn w:val="1"/>
    <w:next w:val="1"/>
    <w:qFormat/>
    <w:uiPriority w:val="39"/>
    <w:pPr>
      <w:ind w:left="840" w:leftChars="400"/>
    </w:pPr>
  </w:style>
  <w:style w:type="paragraph" w:styleId="13">
    <w:name w:val="Date"/>
    <w:basedOn w:val="1"/>
    <w:next w:val="1"/>
    <w:link w:val="37"/>
    <w:qFormat/>
    <w:uiPriority w:val="0"/>
    <w:pPr>
      <w:ind w:left="100" w:leftChars="2500"/>
    </w:pPr>
  </w:style>
  <w:style w:type="paragraph" w:styleId="14">
    <w:name w:val="Balloon Text"/>
    <w:basedOn w:val="1"/>
    <w:link w:val="34"/>
    <w:qFormat/>
    <w:uiPriority w:val="0"/>
    <w:rPr>
      <w:sz w:val="18"/>
      <w:szCs w:val="18"/>
    </w:rPr>
  </w:style>
  <w:style w:type="paragraph" w:styleId="15">
    <w:name w:val="footer"/>
    <w:basedOn w:val="1"/>
    <w:link w:val="41"/>
    <w:qFormat/>
    <w:uiPriority w:val="99"/>
    <w:pPr>
      <w:tabs>
        <w:tab w:val="center" w:pos="4153"/>
        <w:tab w:val="right" w:pos="8306"/>
      </w:tabs>
      <w:snapToGrid w:val="0"/>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style>
  <w:style w:type="paragraph" w:styleId="18">
    <w:name w:val="Subtitle"/>
    <w:basedOn w:val="1"/>
    <w:next w:val="1"/>
    <w:qFormat/>
    <w:uiPriority w:val="0"/>
    <w:pPr>
      <w:spacing w:before="240" w:after="60" w:line="312" w:lineRule="auto"/>
      <w:jc w:val="center"/>
      <w:outlineLvl w:val="1"/>
    </w:pPr>
    <w:rPr>
      <w:rFonts w:asciiTheme="majorHAnsi" w:hAnsiTheme="majorHAnsi" w:cstheme="majorBidi"/>
      <w:b/>
      <w:bCs/>
      <w:kern w:val="28"/>
      <w:sz w:val="32"/>
      <w:szCs w:val="32"/>
    </w:rPr>
  </w:style>
  <w:style w:type="paragraph" w:styleId="19">
    <w:name w:val="toc 2"/>
    <w:basedOn w:val="1"/>
    <w:next w:val="1"/>
    <w:qFormat/>
    <w:uiPriority w:val="39"/>
    <w:pPr>
      <w:ind w:left="420" w:leftChars="200"/>
    </w:pPr>
  </w:style>
  <w:style w:type="paragraph" w:styleId="20">
    <w:name w:val="Normal (Web)"/>
    <w:basedOn w:val="1"/>
    <w:qFormat/>
    <w:uiPriority w:val="0"/>
    <w:pPr>
      <w:spacing w:beforeAutospacing="1" w:afterAutospacing="1"/>
    </w:pPr>
    <w:rPr>
      <w:rFonts w:cs="Times New Roman"/>
      <w:sz w:val="24"/>
      <w:lang w:val="en-US" w:bidi="ar-SA"/>
    </w:rPr>
  </w:style>
  <w:style w:type="paragraph" w:styleId="21">
    <w:name w:val="Title"/>
    <w:basedOn w:val="1"/>
    <w:next w:val="1"/>
    <w:qFormat/>
    <w:uiPriority w:val="0"/>
    <w:pPr>
      <w:spacing w:before="240" w:after="60"/>
      <w:jc w:val="center"/>
      <w:outlineLvl w:val="0"/>
    </w:pPr>
    <w:rPr>
      <w:rFonts w:asciiTheme="majorHAnsi" w:hAnsiTheme="majorHAnsi" w:cstheme="majorBidi"/>
      <w:b/>
      <w:bCs/>
      <w:sz w:val="32"/>
      <w:szCs w:val="32"/>
    </w:rPr>
  </w:style>
  <w:style w:type="paragraph" w:styleId="22">
    <w:name w:val="annotation subject"/>
    <w:basedOn w:val="11"/>
    <w:next w:val="11"/>
    <w:link w:val="36"/>
    <w:qFormat/>
    <w:uiPriority w:val="0"/>
    <w:rPr>
      <w:b/>
      <w:bCs/>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styleId="27">
    <w:name w:val="annotation reference"/>
    <w:basedOn w:val="25"/>
    <w:qFormat/>
    <w:uiPriority w:val="0"/>
    <w:rPr>
      <w:sz w:val="21"/>
      <w:szCs w:val="21"/>
    </w:rPr>
  </w:style>
  <w:style w:type="character" w:customStyle="1" w:styleId="28">
    <w:name w:val="标题 3 Char"/>
    <w:qFormat/>
    <w:uiPriority w:val="0"/>
    <w:rPr>
      <w:rFonts w:ascii="Times New Roman" w:hAnsi="Times New Roman" w:eastAsia="宋体"/>
      <w:kern w:val="2"/>
      <w:sz w:val="24"/>
      <w:szCs w:val="21"/>
    </w:rPr>
  </w:style>
  <w:style w:type="character" w:customStyle="1" w:styleId="29">
    <w:name w:val="标题 3 Char1"/>
    <w:link w:val="4"/>
    <w:qFormat/>
    <w:uiPriority w:val="0"/>
    <w:rPr>
      <w:rFonts w:cs="宋体"/>
      <w:kern w:val="2"/>
      <w:sz w:val="22"/>
      <w:szCs w:val="21"/>
      <w:lang w:val="zh-CN" w:bidi="zh-CN"/>
    </w:rPr>
  </w:style>
  <w:style w:type="paragraph" w:styleId="30">
    <w:name w:val="List Paragraph"/>
    <w:basedOn w:val="1"/>
    <w:qFormat/>
    <w:uiPriority w:val="34"/>
    <w:pPr>
      <w:ind w:firstLine="420" w:firstLineChars="200"/>
    </w:pPr>
  </w:style>
  <w:style w:type="paragraph" w:customStyle="1" w:styleId="31">
    <w:name w:val="ha1"/>
    <w:basedOn w:val="1"/>
    <w:qFormat/>
    <w:uiPriority w:val="0"/>
    <w:pPr>
      <w:spacing w:before="100" w:beforeAutospacing="1" w:after="100" w:afterAutospacing="1"/>
    </w:pPr>
    <w:rPr>
      <w:rFonts w:ascii="宋体" w:hAnsi="宋体"/>
      <w:szCs w:val="24"/>
    </w:rPr>
  </w:style>
  <w:style w:type="paragraph" w:customStyle="1" w:styleId="32">
    <w:name w:val="WPSOffice手动目录 1"/>
    <w:qFormat/>
    <w:uiPriority w:val="0"/>
    <w:rPr>
      <w:rFonts w:asciiTheme="minorHAnsi" w:hAnsiTheme="minorHAnsi" w:eastAsiaTheme="minorEastAsia" w:cstheme="minorBidi"/>
      <w:lang w:val="en-US" w:eastAsia="zh-CN" w:bidi="ar-SA"/>
    </w:rPr>
  </w:style>
  <w:style w:type="paragraph" w:customStyle="1" w:styleId="33">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34">
    <w:name w:val="批注框文本 Char"/>
    <w:basedOn w:val="25"/>
    <w:link w:val="14"/>
    <w:qFormat/>
    <w:uiPriority w:val="0"/>
    <w:rPr>
      <w:rFonts w:cs="宋体"/>
      <w:sz w:val="18"/>
      <w:szCs w:val="18"/>
      <w:lang w:val="zh-CN" w:bidi="zh-CN"/>
    </w:rPr>
  </w:style>
  <w:style w:type="character" w:customStyle="1" w:styleId="35">
    <w:name w:val="批注文字 Char"/>
    <w:basedOn w:val="25"/>
    <w:link w:val="11"/>
    <w:qFormat/>
    <w:uiPriority w:val="99"/>
    <w:rPr>
      <w:rFonts w:cs="宋体"/>
      <w:sz w:val="22"/>
      <w:szCs w:val="22"/>
      <w:lang w:val="zh-CN" w:bidi="zh-CN"/>
    </w:rPr>
  </w:style>
  <w:style w:type="character" w:customStyle="1" w:styleId="36">
    <w:name w:val="批注主题 Char"/>
    <w:basedOn w:val="35"/>
    <w:link w:val="22"/>
    <w:qFormat/>
    <w:uiPriority w:val="0"/>
    <w:rPr>
      <w:rFonts w:cs="宋体"/>
      <w:b/>
      <w:bCs/>
      <w:sz w:val="22"/>
      <w:szCs w:val="22"/>
      <w:lang w:val="zh-CN" w:bidi="zh-CN"/>
    </w:rPr>
  </w:style>
  <w:style w:type="character" w:customStyle="1" w:styleId="37">
    <w:name w:val="日期 Char"/>
    <w:basedOn w:val="25"/>
    <w:link w:val="13"/>
    <w:qFormat/>
    <w:uiPriority w:val="0"/>
    <w:rPr>
      <w:rFonts w:cs="宋体"/>
      <w:sz w:val="22"/>
      <w:szCs w:val="22"/>
      <w:lang w:val="zh-CN" w:bidi="zh-CN"/>
    </w:rPr>
  </w:style>
  <w:style w:type="paragraph" w:customStyle="1" w:styleId="38">
    <w:name w:val="修订1"/>
    <w:hidden/>
    <w:semiHidden/>
    <w:qFormat/>
    <w:uiPriority w:val="99"/>
    <w:rPr>
      <w:rFonts w:ascii="Times New Roman" w:hAnsi="Times New Roman" w:eastAsia="宋体" w:cs="宋体"/>
      <w:sz w:val="22"/>
      <w:szCs w:val="22"/>
      <w:lang w:val="zh-CN" w:eastAsia="zh-CN" w:bidi="zh-CN"/>
    </w:rPr>
  </w:style>
  <w:style w:type="paragraph" w:customStyle="1" w:styleId="39">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40">
    <w:name w:val="条文"/>
    <w:basedOn w:val="1"/>
    <w:qFormat/>
    <w:uiPriority w:val="0"/>
    <w:pPr>
      <w:autoSpaceDE/>
      <w:autoSpaceDN/>
      <w:adjustRightInd w:val="0"/>
      <w:spacing w:line="300" w:lineRule="auto"/>
      <w:ind w:firstLine="200" w:firstLineChars="200"/>
      <w:jc w:val="both"/>
      <w:outlineLvl w:val="2"/>
    </w:pPr>
    <w:rPr>
      <w:rFonts w:cs="Times New Roman"/>
      <w:kern w:val="2"/>
      <w:sz w:val="24"/>
      <w:szCs w:val="24"/>
      <w:lang w:val="en-US" w:bidi="ar-SA"/>
    </w:rPr>
  </w:style>
  <w:style w:type="character" w:customStyle="1" w:styleId="41">
    <w:name w:val="页脚 Char"/>
    <w:basedOn w:val="25"/>
    <w:link w:val="15"/>
    <w:qFormat/>
    <w:uiPriority w:val="99"/>
    <w:rPr>
      <w:rFonts w:cs="宋体"/>
      <w:sz w:val="18"/>
      <w:szCs w:val="18"/>
      <w:lang w:val="zh-CN" w:bidi="zh-CN"/>
    </w:rPr>
  </w:style>
  <w:style w:type="character" w:customStyle="1" w:styleId="42">
    <w:name w:val="批注文字 字符1"/>
    <w:basedOn w:val="25"/>
    <w:qFormat/>
    <w:uiPriority w:val="99"/>
  </w:style>
  <w:style w:type="character" w:customStyle="1" w:styleId="43">
    <w:name w:val="标题 2 Char"/>
    <w:basedOn w:val="25"/>
    <w:link w:val="3"/>
    <w:qFormat/>
    <w:uiPriority w:val="0"/>
    <w:rPr>
      <w:rFonts w:ascii="Arial" w:hAnsi="Arial" w:eastAsia="黑体" w:cs="宋体"/>
      <w:sz w:val="30"/>
      <w:szCs w:val="22"/>
      <w:lang w:val="zh-CN" w:bidi="zh-CN"/>
    </w:rPr>
  </w:style>
  <w:style w:type="character" w:customStyle="1" w:styleId="44">
    <w:name w:val="标题 3 字符"/>
    <w:link w:val="4"/>
    <w:qFormat/>
    <w:uiPriority w:val="0"/>
    <w:rPr>
      <w:rFonts w:cs="宋体"/>
      <w:kern w:val="2"/>
      <w:sz w:val="22"/>
      <w:szCs w:val="21"/>
      <w:lang w:val="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footer" Target="footer2.xml"/><Relationship Id="rId39" Type="http://schemas.openxmlformats.org/officeDocument/2006/relationships/customXml" Target="../customXml/item1.xml"/><Relationship Id="rId38" Type="http://schemas.openxmlformats.org/officeDocument/2006/relationships/image" Target="media/image17.png"/><Relationship Id="rId37" Type="http://schemas.openxmlformats.org/officeDocument/2006/relationships/image" Target="media/image16.png"/><Relationship Id="rId36" Type="http://schemas.openxmlformats.org/officeDocument/2006/relationships/image" Target="media/image15.wmf"/><Relationship Id="rId35" Type="http://schemas.openxmlformats.org/officeDocument/2006/relationships/oleObject" Target="embeddings/oleObject12.bin"/><Relationship Id="rId34" Type="http://schemas.openxmlformats.org/officeDocument/2006/relationships/image" Target="media/image14.wmf"/><Relationship Id="rId33" Type="http://schemas.openxmlformats.org/officeDocument/2006/relationships/oleObject" Target="embeddings/oleObject11.bin"/><Relationship Id="rId32" Type="http://schemas.openxmlformats.org/officeDocument/2006/relationships/image" Target="media/image13.wmf"/><Relationship Id="rId31" Type="http://schemas.openxmlformats.org/officeDocument/2006/relationships/oleObject" Target="embeddings/oleObject10.bin"/><Relationship Id="rId30" Type="http://schemas.openxmlformats.org/officeDocument/2006/relationships/image" Target="media/image12.wmf"/><Relationship Id="rId3" Type="http://schemas.openxmlformats.org/officeDocument/2006/relationships/footer" Target="footer1.xml"/><Relationship Id="rId29" Type="http://schemas.openxmlformats.org/officeDocument/2006/relationships/oleObject" Target="embeddings/oleObject9.bin"/><Relationship Id="rId28" Type="http://schemas.openxmlformats.org/officeDocument/2006/relationships/image" Target="media/image11.wmf"/><Relationship Id="rId27" Type="http://schemas.openxmlformats.org/officeDocument/2006/relationships/oleObject" Target="embeddings/oleObject8.bin"/><Relationship Id="rId26" Type="http://schemas.openxmlformats.org/officeDocument/2006/relationships/image" Target="media/image10.png"/><Relationship Id="rId25" Type="http://schemas.openxmlformats.org/officeDocument/2006/relationships/image" Target="media/image9.wmf"/><Relationship Id="rId24" Type="http://schemas.openxmlformats.org/officeDocument/2006/relationships/oleObject" Target="embeddings/oleObject7.bin"/><Relationship Id="rId23" Type="http://schemas.openxmlformats.org/officeDocument/2006/relationships/image" Target="media/image8.wmf"/><Relationship Id="rId22" Type="http://schemas.openxmlformats.org/officeDocument/2006/relationships/oleObject" Target="embeddings/oleObject6.bin"/><Relationship Id="rId21" Type="http://schemas.openxmlformats.org/officeDocument/2006/relationships/image" Target="media/image7.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4.bin"/><Relationship Id="rId17" Type="http://schemas.openxmlformats.org/officeDocument/2006/relationships/image" Target="media/image5.wmf"/><Relationship Id="rId16" Type="http://schemas.openxmlformats.org/officeDocument/2006/relationships/oleObject" Target="embeddings/oleObject3.bin"/><Relationship Id="rId15" Type="http://schemas.openxmlformats.org/officeDocument/2006/relationships/image" Target="media/image4.png"/><Relationship Id="rId14" Type="http://schemas.openxmlformats.org/officeDocument/2006/relationships/image" Target="media/image3.wmf"/><Relationship Id="rId13" Type="http://schemas.openxmlformats.org/officeDocument/2006/relationships/oleObject" Target="embeddings/oleObject2.bin"/><Relationship Id="rId12" Type="http://schemas.openxmlformats.org/officeDocument/2006/relationships/image" Target="media/image2.wmf"/><Relationship Id="rId11" Type="http://schemas.openxmlformats.org/officeDocument/2006/relationships/oleObject" Target="embeddings/oleObject1.bin"/><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531</Words>
  <Characters>697</Characters>
  <Lines>256</Lines>
  <Paragraphs>72</Paragraphs>
  <TotalTime>18</TotalTime>
  <ScaleCrop>false</ScaleCrop>
  <LinksUpToDate>false</LinksUpToDate>
  <CharactersWithSpaces>722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2023-11-16T07:42:00Z</dcterms:created>
  <dc:creator>Administrator</dc:creator>
  <cp:lastModifiedBy>Sun Qian</cp:lastModifiedBy>
  <dcterms:modified xsi:type="dcterms:W3CDTF">2025-11-07T00:01:47Z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64B697699FDC484BA3775536855A75B4_13</vt:lpwstr>
  </property>
  <property fmtid="{D5CDD505-2E9C-101B-9397-08002B2CF9AE}" pid="4" name="KSOTemplateDocerSaveRecord">
    <vt:lpwstr>eyJoZGlkIjoiMzA2NjEwZTI3ZTE0YjI3NjQ2YTVkNjkyNGZjNTIzMWQiLCJ1c2VySWQiOiIyMTU4NjQ2MDMifQ==</vt:lpwstr>
  </property>
</Properties>
</file>