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Times New Roman" w:hAnsi="Times New Roman"/>
          <w:szCs w:val="20"/>
        </w:rPr>
      </w:pPr>
      <w:bookmarkStart w:id="0" w:name="OLE_LINK25"/>
      <w:bookmarkStart w:id="1" w:name="OLE_LINK24"/>
      <w:r>
        <w:rPr>
          <w:rFonts w:ascii="Times New Roman" w:hAnsi="Times New Roman"/>
          <w:szCs w:val="20"/>
        </w:rPr>
        <w:fldChar w:fldCharType="begin">
          <w:fldData xml:space="preserve">ZQBKAHoAdABYAFEAdAB3AEgATQBXAFoAbgB0AEcAdQBkAGsAZAB0ADUAUwB3AFcAYwBBAGsAUgBq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</w:fldData>
        </w:fldChar>
      </w:r>
      <w:r>
        <w:rPr>
          <w:rFonts w:ascii="Times New Roman" w:hAnsi="Times New Roman"/>
          <w:szCs w:val="20"/>
        </w:rPr>
        <w:instrText xml:space="preserve">ADDIN CNKISM.UserStyle</w:instrText>
      </w:r>
      <w:r>
        <w:rPr>
          <w:rFonts w:ascii="Times New Roman" w:hAnsi="Times New Roman"/>
          <w:szCs w:val="20"/>
        </w:rPr>
        <w:fldChar w:fldCharType="end"/>
      </w:r>
      <w:r>
        <w:rPr>
          <w:rFonts w:ascii="Times New Roman" w:hAnsi="Times New Roman"/>
        </w:rPr>
        <w:drawing>
          <wp:anchor distT="0" distB="0" distL="114300" distR="114300" simplePos="0" relativeHeight="251660288" behindDoc="0" locked="0" layoutInCell="1" allowOverlap="1">
            <wp:simplePos x="0" y="0"/>
            <wp:positionH relativeFrom="column">
              <wp:posOffset>38735</wp:posOffset>
            </wp:positionH>
            <wp:positionV relativeFrom="paragraph">
              <wp:posOffset>31750</wp:posOffset>
            </wp:positionV>
            <wp:extent cx="1744980" cy="1149985"/>
            <wp:effectExtent l="0" t="0" r="7620" b="0"/>
            <wp:wrapNone/>
            <wp:docPr id="3" name="图片 7"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1261110</wp:posOffset>
                </wp:positionV>
                <wp:extent cx="6120130" cy="0"/>
                <wp:effectExtent l="0" t="0" r="33020" b="1905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8pt;margin-top:99.3pt;height:0pt;width:481.9pt;z-index:251659264;mso-width-relative:page;mso-height-relative:page;" filled="f" stroked="t" coordsize="21600,21600" o:gfxdata="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al59gAAAAL&#10;AQAADwAAAAAAAAABACAAAAAiAAAAZHJzL2Rvd25yZXYueG1sUEsBAhQAFAAAAAgAh07iQNe+D0Lj&#10;AQAAqgMAAA4AAAAAAAAAAQAgAAAAJwEAAGRycy9lMm9Eb2MueG1sUEsFBgAAAAAGAAYAWQEAAHwF&#10;AAAAAA==&#10;">
                <v:fill on="f" focussize="0,0"/>
                <v:stroke color="#000000" joinstyle="round"/>
                <v:imagedata o:title=""/>
                <o:lock v:ext="edit" aspectratio="f"/>
              </v:line>
            </w:pict>
          </mc:Fallback>
        </mc:AlternateContent>
      </w:r>
    </w:p>
    <w:p>
      <w:pPr>
        <w:widowControl/>
        <w:rPr>
          <w:rFonts w:ascii="Times New Roman" w:hAnsi="Times New Roman"/>
          <w:szCs w:val="20"/>
        </w:rPr>
      </w:pPr>
    </w:p>
    <w:p>
      <w:pPr>
        <w:widowControl/>
        <w:jc w:val="center"/>
        <w:rPr>
          <w:rFonts w:ascii="Times New Roman" w:hAnsi="Times New Roman"/>
          <w:sz w:val="40"/>
          <w:szCs w:val="40"/>
        </w:rPr>
      </w:pPr>
    </w:p>
    <w:p>
      <w:pPr>
        <w:widowControl/>
        <w:jc w:val="right"/>
        <w:rPr>
          <w:rFonts w:ascii="Times New Roman" w:hAnsi="Times New Roman"/>
          <w:b/>
          <w:kern w:val="0"/>
          <w:sz w:val="32"/>
          <w:szCs w:val="32"/>
        </w:rPr>
      </w:pPr>
      <w:r>
        <w:rPr>
          <w:rFonts w:ascii="Times New Roman" w:hAnsi="Times New Roman"/>
          <w:b/>
          <w:kern w:val="0"/>
          <w:sz w:val="32"/>
          <w:szCs w:val="32"/>
        </w:rPr>
        <w:t>CECS xxx-202X</w:t>
      </w:r>
    </w:p>
    <w:p>
      <w:pPr>
        <w:spacing w:line="360" w:lineRule="auto"/>
        <w:jc w:val="center"/>
        <w:rPr>
          <w:rFonts w:ascii="Times New Roman" w:hAnsi="Times New Roman"/>
          <w:sz w:val="40"/>
          <w:szCs w:val="40"/>
        </w:rPr>
      </w:pPr>
    </w:p>
    <w:p>
      <w:pPr>
        <w:spacing w:line="360" w:lineRule="auto"/>
        <w:jc w:val="center"/>
        <w:rPr>
          <w:rFonts w:ascii="Times New Roman" w:hAnsi="Times New Roman"/>
          <w:sz w:val="40"/>
          <w:szCs w:val="40"/>
        </w:rPr>
      </w:pPr>
      <w:r>
        <w:rPr>
          <w:rFonts w:ascii="Times New Roman" w:hAnsi="Times New Roman"/>
          <w:sz w:val="40"/>
          <w:szCs w:val="40"/>
        </w:rPr>
        <w:t>中国工程建设标准化协会标准</w:t>
      </w:r>
    </w:p>
    <w:p>
      <w:pPr>
        <w:spacing w:line="360" w:lineRule="auto"/>
        <w:rPr>
          <w:rFonts w:ascii="Times New Roman" w:hAnsi="Times New Roman"/>
        </w:rPr>
      </w:pPr>
    </w:p>
    <w:p>
      <w:pPr>
        <w:spacing w:line="680" w:lineRule="exact"/>
        <w:jc w:val="center"/>
        <w:textAlignment w:val="center"/>
        <w:rPr>
          <w:rFonts w:ascii="Times New Roman" w:hAnsi="Times New Roman" w:eastAsia="黑体"/>
          <w:kern w:val="0"/>
          <w:sz w:val="52"/>
          <w:szCs w:val="48"/>
        </w:rPr>
      </w:pPr>
      <w:r>
        <w:rPr>
          <w:rFonts w:ascii="Times New Roman" w:hAnsi="Times New Roman" w:eastAsia="黑体"/>
          <w:kern w:val="0"/>
          <w:sz w:val="52"/>
          <w:szCs w:val="48"/>
        </w:rPr>
        <w:t>建筑火灾风险评估标准</w:t>
      </w:r>
    </w:p>
    <w:p>
      <w:pPr>
        <w:spacing w:before="312" w:beforeLines="100" w:line="680" w:lineRule="exact"/>
        <w:jc w:val="center"/>
        <w:textAlignment w:val="center"/>
        <w:rPr>
          <w:rFonts w:ascii="Times New Roman" w:hAnsi="Times New Roman" w:eastAsia="黑体"/>
          <w:kern w:val="0"/>
          <w:sz w:val="32"/>
          <w:szCs w:val="32"/>
        </w:rPr>
      </w:pPr>
      <w:r>
        <w:rPr>
          <w:rFonts w:ascii="Times New Roman" w:hAnsi="Times New Roman" w:eastAsia="黑体"/>
          <w:kern w:val="0"/>
          <w:sz w:val="32"/>
          <w:szCs w:val="32"/>
        </w:rPr>
        <w:t xml:space="preserve">Standard on building </w:t>
      </w:r>
      <w:r>
        <w:rPr>
          <w:rFonts w:hint="eastAsia" w:ascii="Times New Roman" w:hAnsi="Times New Roman" w:eastAsia="黑体"/>
          <w:kern w:val="0"/>
          <w:sz w:val="32"/>
          <w:szCs w:val="32"/>
        </w:rPr>
        <w:t>for</w:t>
      </w:r>
      <w:r>
        <w:rPr>
          <w:rFonts w:ascii="Times New Roman" w:hAnsi="Times New Roman" w:eastAsia="黑体"/>
          <w:kern w:val="0"/>
          <w:sz w:val="32"/>
          <w:szCs w:val="32"/>
        </w:rPr>
        <w:t xml:space="preserve"> </w:t>
      </w:r>
      <w:r>
        <w:rPr>
          <w:rFonts w:hint="eastAsia" w:ascii="Times New Roman" w:hAnsi="Times New Roman" w:eastAsia="黑体"/>
          <w:kern w:val="0"/>
          <w:sz w:val="32"/>
          <w:szCs w:val="32"/>
        </w:rPr>
        <w:t>f</w:t>
      </w:r>
      <w:r>
        <w:rPr>
          <w:rFonts w:ascii="Times New Roman" w:hAnsi="Times New Roman" w:eastAsia="黑体"/>
          <w:kern w:val="0"/>
          <w:sz w:val="32"/>
          <w:szCs w:val="32"/>
        </w:rPr>
        <w:t xml:space="preserve">ire </w:t>
      </w:r>
      <w:r>
        <w:rPr>
          <w:rFonts w:hint="eastAsia" w:ascii="Times New Roman" w:hAnsi="Times New Roman" w:eastAsia="黑体"/>
          <w:kern w:val="0"/>
          <w:sz w:val="32"/>
          <w:szCs w:val="32"/>
        </w:rPr>
        <w:t>r</w:t>
      </w:r>
      <w:r>
        <w:rPr>
          <w:rFonts w:ascii="Times New Roman" w:hAnsi="Times New Roman" w:eastAsia="黑体"/>
          <w:kern w:val="0"/>
          <w:sz w:val="32"/>
          <w:szCs w:val="32"/>
        </w:rPr>
        <w:t xml:space="preserve">isk </w:t>
      </w:r>
      <w:r>
        <w:rPr>
          <w:rFonts w:hint="eastAsia" w:ascii="Times New Roman" w:hAnsi="Times New Roman" w:eastAsia="黑体"/>
          <w:kern w:val="0"/>
          <w:sz w:val="32"/>
          <w:szCs w:val="32"/>
        </w:rPr>
        <w:t>a</w:t>
      </w:r>
      <w:r>
        <w:rPr>
          <w:rFonts w:ascii="Times New Roman" w:hAnsi="Times New Roman" w:eastAsia="黑体"/>
          <w:kern w:val="0"/>
          <w:sz w:val="32"/>
          <w:szCs w:val="32"/>
        </w:rPr>
        <w:t>ssessment</w:t>
      </w:r>
    </w:p>
    <w:p>
      <w:pPr>
        <w:spacing w:line="680" w:lineRule="exact"/>
        <w:jc w:val="center"/>
        <w:textAlignment w:val="center"/>
        <w:rPr>
          <w:rFonts w:ascii="Times New Roman" w:hAnsi="Times New Roman" w:eastAsia="黑体"/>
          <w:kern w:val="0"/>
          <w:sz w:val="32"/>
          <w:szCs w:val="32"/>
        </w:rPr>
      </w:pPr>
      <w:r>
        <w:rPr>
          <w:rFonts w:ascii="Times New Roman" w:hAnsi="Times New Roman" w:eastAsia="黑体"/>
          <w:kern w:val="0"/>
          <w:sz w:val="32"/>
          <w:szCs w:val="32"/>
        </w:rPr>
        <w:t>（征求意见稿）</w:t>
      </w:r>
    </w:p>
    <w:p>
      <w:pPr>
        <w:spacing w:line="680" w:lineRule="exact"/>
        <w:jc w:val="center"/>
        <w:textAlignment w:val="center"/>
        <w:rPr>
          <w:rFonts w:ascii="Times New Roman" w:hAnsi="Times New Roman" w:eastAsia="黑体"/>
          <w:kern w:val="0"/>
          <w:sz w:val="32"/>
          <w:szCs w:val="32"/>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spacing w:line="360" w:lineRule="auto"/>
        <w:rPr>
          <w:rFonts w:ascii="Times New Roman" w:hAnsi="Times New Roman"/>
        </w:rPr>
      </w:pPr>
    </w:p>
    <w:p>
      <w:pPr>
        <w:widowControl/>
        <w:jc w:val="center"/>
        <w:rPr>
          <w:rFonts w:ascii="Times New Roman" w:hAnsi="Times New Roman" w:eastAsia="仿宋"/>
          <w:b/>
          <w:sz w:val="28"/>
          <w:szCs w:val="20"/>
        </w:rPr>
      </w:pPr>
      <w:r>
        <w:rPr>
          <w:rFonts w:ascii="Times New Roman" w:hAnsi="Times New Roman" w:eastAsia="仿宋"/>
          <w:b/>
          <w:sz w:val="28"/>
          <w:szCs w:val="20"/>
        </w:rPr>
        <w:t>中国计划出版社</w:t>
      </w:r>
    </w:p>
    <w:p>
      <w:pPr>
        <w:widowControl/>
        <w:jc w:val="center"/>
        <w:rPr>
          <w:rFonts w:ascii="Times New Roman" w:hAnsi="Times New Roman"/>
          <w:b/>
          <w:sz w:val="32"/>
          <w:szCs w:val="32"/>
        </w:rPr>
      </w:pPr>
    </w:p>
    <w:p>
      <w:pPr>
        <w:widowControl/>
        <w:jc w:val="left"/>
        <w:rPr>
          <w:rFonts w:ascii="Times New Roman" w:hAnsi="Times New Roman"/>
        </w:rPr>
      </w:pPr>
      <w:r>
        <w:rPr>
          <w:rFonts w:ascii="Times New Roman" w:hAnsi="Times New Roman"/>
        </w:rPr>
        <w:br w:type="page"/>
      </w:r>
    </w:p>
    <w:p>
      <w:pPr>
        <w:widowControl/>
        <w:spacing w:after="156" w:afterLines="50"/>
        <w:jc w:val="center"/>
        <w:rPr>
          <w:rFonts w:ascii="Times New Roman" w:hAnsi="Times New Roman" w:eastAsia="黑体"/>
          <w:sz w:val="32"/>
          <w:szCs w:val="20"/>
        </w:rPr>
      </w:pPr>
    </w:p>
    <w:p>
      <w:pPr>
        <w:widowControl/>
        <w:spacing w:after="156" w:afterLines="50"/>
        <w:jc w:val="center"/>
        <w:rPr>
          <w:rFonts w:ascii="Times New Roman" w:hAnsi="Times New Roman" w:eastAsia="黑体"/>
          <w:sz w:val="32"/>
          <w:szCs w:val="20"/>
        </w:rPr>
      </w:pPr>
      <w:r>
        <w:rPr>
          <w:rFonts w:ascii="Times New Roman" w:hAnsi="Times New Roman" w:eastAsia="黑体"/>
          <w:sz w:val="32"/>
          <w:szCs w:val="20"/>
        </w:rPr>
        <w:t>中国工程建设标准化协会标准</w:t>
      </w:r>
    </w:p>
    <w:p>
      <w:pPr>
        <w:widowControl/>
        <w:spacing w:after="156" w:afterLines="50"/>
        <w:jc w:val="center"/>
        <w:rPr>
          <w:rFonts w:ascii="Times New Roman" w:hAnsi="Times New Roman"/>
          <w:szCs w:val="24"/>
        </w:rPr>
      </w:pPr>
    </w:p>
    <w:p>
      <w:pPr>
        <w:spacing w:line="680" w:lineRule="exact"/>
        <w:jc w:val="center"/>
        <w:rPr>
          <w:rFonts w:ascii="Times New Roman" w:hAnsi="Times New Roman" w:eastAsia="黑体"/>
          <w:kern w:val="0"/>
          <w:sz w:val="52"/>
          <w:szCs w:val="48"/>
        </w:rPr>
      </w:pPr>
      <w:r>
        <w:rPr>
          <w:rFonts w:ascii="Times New Roman" w:hAnsi="Times New Roman" w:eastAsia="黑体"/>
          <w:kern w:val="0"/>
          <w:sz w:val="52"/>
          <w:szCs w:val="48"/>
        </w:rPr>
        <w:t>建筑火灾风险评估标准</w:t>
      </w:r>
    </w:p>
    <w:p>
      <w:pPr>
        <w:spacing w:before="312" w:beforeLines="100" w:line="680" w:lineRule="exact"/>
        <w:jc w:val="center"/>
        <w:rPr>
          <w:rFonts w:ascii="Times New Roman" w:hAnsi="Times New Roman" w:eastAsia="黑体"/>
          <w:kern w:val="0"/>
          <w:sz w:val="32"/>
          <w:szCs w:val="32"/>
        </w:rPr>
      </w:pPr>
      <w:r>
        <w:rPr>
          <w:rFonts w:ascii="Times New Roman" w:hAnsi="Times New Roman" w:eastAsia="黑体"/>
          <w:kern w:val="0"/>
          <w:sz w:val="32"/>
          <w:szCs w:val="32"/>
        </w:rPr>
        <w:t xml:space="preserve">Standard on building </w:t>
      </w:r>
      <w:r>
        <w:rPr>
          <w:rFonts w:hint="eastAsia" w:ascii="Times New Roman" w:hAnsi="Times New Roman" w:eastAsia="黑体"/>
          <w:kern w:val="0"/>
          <w:sz w:val="32"/>
          <w:szCs w:val="32"/>
        </w:rPr>
        <w:t>for</w:t>
      </w:r>
      <w:r>
        <w:rPr>
          <w:rFonts w:ascii="Times New Roman" w:hAnsi="Times New Roman" w:eastAsia="黑体"/>
          <w:kern w:val="0"/>
          <w:sz w:val="32"/>
          <w:szCs w:val="32"/>
        </w:rPr>
        <w:t xml:space="preserve"> </w:t>
      </w:r>
      <w:r>
        <w:rPr>
          <w:rFonts w:hint="eastAsia" w:ascii="Times New Roman" w:hAnsi="Times New Roman" w:eastAsia="黑体"/>
          <w:kern w:val="0"/>
          <w:sz w:val="32"/>
          <w:szCs w:val="32"/>
        </w:rPr>
        <w:t>f</w:t>
      </w:r>
      <w:r>
        <w:rPr>
          <w:rFonts w:ascii="Times New Roman" w:hAnsi="Times New Roman" w:eastAsia="黑体"/>
          <w:kern w:val="0"/>
          <w:sz w:val="32"/>
          <w:szCs w:val="32"/>
        </w:rPr>
        <w:t xml:space="preserve">ire </w:t>
      </w:r>
      <w:r>
        <w:rPr>
          <w:rFonts w:hint="eastAsia" w:ascii="Times New Roman" w:hAnsi="Times New Roman" w:eastAsia="黑体"/>
          <w:kern w:val="0"/>
          <w:sz w:val="32"/>
          <w:szCs w:val="32"/>
        </w:rPr>
        <w:t>r</w:t>
      </w:r>
      <w:r>
        <w:rPr>
          <w:rFonts w:ascii="Times New Roman" w:hAnsi="Times New Roman" w:eastAsia="黑体"/>
          <w:kern w:val="0"/>
          <w:sz w:val="32"/>
          <w:szCs w:val="32"/>
        </w:rPr>
        <w:t xml:space="preserve">isk </w:t>
      </w:r>
      <w:r>
        <w:rPr>
          <w:rFonts w:hint="eastAsia" w:ascii="Times New Roman" w:hAnsi="Times New Roman" w:eastAsia="黑体"/>
          <w:kern w:val="0"/>
          <w:sz w:val="32"/>
          <w:szCs w:val="32"/>
        </w:rPr>
        <w:t>a</w:t>
      </w:r>
      <w:r>
        <w:rPr>
          <w:rFonts w:ascii="Times New Roman" w:hAnsi="Times New Roman" w:eastAsia="黑体"/>
          <w:kern w:val="0"/>
          <w:sz w:val="32"/>
          <w:szCs w:val="32"/>
        </w:rPr>
        <w:t>ssessment</w:t>
      </w:r>
    </w:p>
    <w:p>
      <w:pPr>
        <w:widowControl/>
        <w:autoSpaceDE w:val="0"/>
        <w:autoSpaceDN w:val="0"/>
        <w:spacing w:line="300" w:lineRule="auto"/>
        <w:jc w:val="center"/>
        <w:textAlignment w:val="bottom"/>
        <w:rPr>
          <w:rFonts w:ascii="Times New Roman" w:hAnsi="Times New Roman" w:eastAsia="黑体"/>
          <w:b/>
          <w:sz w:val="28"/>
          <w:szCs w:val="36"/>
        </w:rPr>
      </w:pPr>
    </w:p>
    <w:p>
      <w:pPr>
        <w:widowControl/>
        <w:autoSpaceDE w:val="0"/>
        <w:autoSpaceDN w:val="0"/>
        <w:spacing w:line="300" w:lineRule="auto"/>
        <w:jc w:val="center"/>
        <w:textAlignment w:val="bottom"/>
        <w:rPr>
          <w:rFonts w:ascii="Times New Roman" w:hAnsi="Times New Roman"/>
          <w:b/>
          <w:szCs w:val="24"/>
        </w:rPr>
      </w:pPr>
      <w:r>
        <w:rPr>
          <w:rFonts w:ascii="Times New Roman" w:hAnsi="Times New Roman" w:eastAsia="黑体"/>
          <w:b/>
          <w:sz w:val="28"/>
          <w:szCs w:val="36"/>
        </w:rPr>
        <w:t>CECS XXX -202X</w:t>
      </w:r>
    </w:p>
    <w:p>
      <w:pPr>
        <w:widowControl/>
        <w:autoSpaceDE w:val="0"/>
        <w:autoSpaceDN w:val="0"/>
        <w:spacing w:line="300" w:lineRule="auto"/>
        <w:jc w:val="center"/>
        <w:textAlignment w:val="bottom"/>
        <w:rPr>
          <w:rFonts w:ascii="Times New Roman" w:hAnsi="Times New Roman"/>
          <w:szCs w:val="24"/>
        </w:rPr>
      </w:pPr>
    </w:p>
    <w:p>
      <w:pPr>
        <w:widowControl/>
        <w:autoSpaceDE w:val="0"/>
        <w:autoSpaceDN w:val="0"/>
        <w:spacing w:line="300" w:lineRule="auto"/>
        <w:jc w:val="center"/>
        <w:textAlignment w:val="bottom"/>
        <w:rPr>
          <w:rFonts w:ascii="Times New Roman" w:hAnsi="Times New Roman"/>
          <w:b/>
          <w:szCs w:val="24"/>
        </w:rPr>
      </w:pPr>
    </w:p>
    <w:p>
      <w:pPr>
        <w:widowControl/>
        <w:ind w:firstLine="1559" w:firstLineChars="557"/>
        <w:rPr>
          <w:rFonts w:ascii="Times New Roman" w:hAnsi="Times New Roman"/>
          <w:sz w:val="28"/>
          <w:szCs w:val="20"/>
        </w:rPr>
      </w:pPr>
      <w:r>
        <w:rPr>
          <w:rFonts w:ascii="Times New Roman" w:hAnsi="Times New Roman"/>
          <w:sz w:val="28"/>
          <w:szCs w:val="20"/>
        </w:rPr>
        <w:t>主编单位：中国中元国际工程有限公司</w:t>
      </w:r>
    </w:p>
    <w:p>
      <w:pPr>
        <w:widowControl/>
        <w:ind w:firstLine="1559" w:firstLineChars="557"/>
        <w:rPr>
          <w:rFonts w:ascii="Times New Roman" w:hAnsi="Times New Roman"/>
          <w:sz w:val="28"/>
          <w:szCs w:val="20"/>
        </w:rPr>
      </w:pPr>
      <w:r>
        <w:rPr>
          <w:rFonts w:ascii="Times New Roman" w:hAnsi="Times New Roman"/>
          <w:sz w:val="28"/>
          <w:szCs w:val="20"/>
        </w:rPr>
        <w:t>批准单位：中国工程建设标准化协会</w:t>
      </w:r>
    </w:p>
    <w:p>
      <w:pPr>
        <w:widowControl/>
        <w:ind w:firstLine="1559" w:firstLineChars="557"/>
        <w:rPr>
          <w:rFonts w:ascii="Times New Roman" w:hAnsi="Times New Roman"/>
          <w:sz w:val="28"/>
          <w:szCs w:val="20"/>
        </w:rPr>
      </w:pPr>
      <w:r>
        <w:rPr>
          <w:rFonts w:ascii="Times New Roman" w:hAnsi="Times New Roman"/>
          <w:sz w:val="28"/>
          <w:szCs w:val="20"/>
        </w:rPr>
        <w:t>施行日期：202X年XX月XX日</w:t>
      </w:r>
    </w:p>
    <w:p>
      <w:pPr>
        <w:widowControl/>
        <w:rPr>
          <w:rFonts w:ascii="Times New Roman" w:hAnsi="Times New Roman"/>
          <w:sz w:val="28"/>
          <w:szCs w:val="20"/>
        </w:rPr>
      </w:pPr>
    </w:p>
    <w:p>
      <w:pPr>
        <w:widowControl/>
        <w:rPr>
          <w:rFonts w:ascii="Times New Roman" w:hAnsi="Times New Roman"/>
          <w:sz w:val="28"/>
          <w:szCs w:val="20"/>
        </w:rPr>
      </w:pPr>
    </w:p>
    <w:p>
      <w:pPr>
        <w:widowControl/>
        <w:rPr>
          <w:rFonts w:ascii="Times New Roman" w:hAnsi="Times New Roman"/>
          <w:sz w:val="28"/>
          <w:szCs w:val="20"/>
        </w:rPr>
      </w:pPr>
    </w:p>
    <w:p>
      <w:pPr>
        <w:widowControl/>
        <w:rPr>
          <w:rFonts w:ascii="Times New Roman" w:hAnsi="Times New Roman"/>
          <w:sz w:val="28"/>
          <w:szCs w:val="20"/>
        </w:rPr>
      </w:pPr>
    </w:p>
    <w:p>
      <w:pPr>
        <w:widowControl/>
        <w:rPr>
          <w:rFonts w:ascii="Times New Roman" w:hAnsi="Times New Roman"/>
          <w:sz w:val="28"/>
          <w:szCs w:val="20"/>
        </w:rPr>
      </w:pPr>
    </w:p>
    <w:p>
      <w:pPr>
        <w:widowControl/>
        <w:rPr>
          <w:rFonts w:ascii="Times New Roman" w:hAnsi="Times New Roman"/>
          <w:sz w:val="28"/>
          <w:szCs w:val="20"/>
        </w:rPr>
      </w:pPr>
    </w:p>
    <w:p>
      <w:pPr>
        <w:widowControl/>
        <w:rPr>
          <w:rFonts w:ascii="Times New Roman" w:hAnsi="Times New Roman"/>
          <w:sz w:val="28"/>
          <w:szCs w:val="20"/>
        </w:rPr>
      </w:pPr>
    </w:p>
    <w:p>
      <w:pPr>
        <w:widowControl/>
        <w:jc w:val="center"/>
        <w:rPr>
          <w:rFonts w:ascii="Times New Roman" w:hAnsi="Times New Roman" w:eastAsia="仿宋"/>
          <w:b/>
          <w:sz w:val="32"/>
          <w:szCs w:val="72"/>
        </w:rPr>
      </w:pPr>
      <w:r>
        <w:rPr>
          <w:rFonts w:ascii="Times New Roman" w:hAnsi="Times New Roman" w:eastAsia="仿宋"/>
          <w:b/>
          <w:sz w:val="32"/>
          <w:szCs w:val="72"/>
        </w:rPr>
        <w:t>中国计划出版社</w:t>
      </w:r>
    </w:p>
    <w:p>
      <w:pPr>
        <w:widowControl/>
        <w:jc w:val="center"/>
        <w:rPr>
          <w:rFonts w:ascii="Times New Roman" w:hAnsi="Times New Roman" w:eastAsia="黑体"/>
          <w:sz w:val="32"/>
          <w:szCs w:val="72"/>
        </w:rPr>
      </w:pPr>
      <w:r>
        <w:rPr>
          <w:rFonts w:ascii="Times New Roman" w:hAnsi="Times New Roman" w:eastAsia="黑体"/>
          <w:sz w:val="32"/>
          <w:szCs w:val="72"/>
        </w:rPr>
        <w:t>202X　北　　京</w:t>
      </w:r>
    </w:p>
    <w:p>
      <w:pPr>
        <w:widowControl/>
        <w:jc w:val="left"/>
        <w:rPr>
          <w:rFonts w:ascii="Times New Roman" w:hAnsi="Times New Roman"/>
        </w:rPr>
      </w:pPr>
      <w:r>
        <w:rPr>
          <w:rFonts w:ascii="Times New Roman" w:hAnsi="Times New Roman"/>
        </w:rPr>
        <w:br w:type="page"/>
      </w:r>
    </w:p>
    <w:p>
      <w:pPr>
        <w:rPr>
          <w:rFonts w:ascii="Times New Roman" w:hAnsi="Times New Roman"/>
        </w:rPr>
      </w:pPr>
      <w:bookmarkStart w:id="2" w:name="_Toc16090"/>
      <w:bookmarkStart w:id="3" w:name="_Toc6042"/>
    </w:p>
    <w:p>
      <w:pPr>
        <w:spacing w:before="936" w:beforeLines="300" w:after="936" w:afterLines="300"/>
        <w:jc w:val="center"/>
        <w:outlineLvl w:val="0"/>
        <w:rPr>
          <w:rFonts w:ascii="Times New Roman" w:hAnsi="Times New Roman"/>
          <w:b/>
          <w:bCs/>
          <w:sz w:val="32"/>
          <w:szCs w:val="32"/>
        </w:rPr>
      </w:pPr>
      <w:bookmarkStart w:id="4" w:name="_Toc191997163"/>
      <w:bookmarkStart w:id="5" w:name="_Toc214009560"/>
      <w:bookmarkStart w:id="6" w:name="_Toc191997229"/>
      <w:bookmarkStart w:id="7" w:name="_Toc214005499"/>
      <w:bookmarkStart w:id="8" w:name="_Toc191997407"/>
      <w:bookmarkStart w:id="9" w:name="_Toc214008831"/>
      <w:bookmarkStart w:id="10" w:name="_Toc4598"/>
      <w:r>
        <w:rPr>
          <w:rFonts w:ascii="Times New Roman" w:hAnsi="Times New Roman"/>
          <w:b/>
          <w:bCs/>
          <w:sz w:val="32"/>
          <w:szCs w:val="32"/>
        </w:rPr>
        <w:t>前    言</w:t>
      </w:r>
      <w:bookmarkEnd w:id="2"/>
      <w:bookmarkEnd w:id="3"/>
      <w:bookmarkEnd w:id="4"/>
      <w:bookmarkEnd w:id="5"/>
      <w:bookmarkEnd w:id="6"/>
      <w:bookmarkEnd w:id="7"/>
      <w:bookmarkEnd w:id="8"/>
      <w:bookmarkEnd w:id="9"/>
      <w:bookmarkEnd w:id="10"/>
    </w:p>
    <w:p>
      <w:pPr>
        <w:spacing w:line="360" w:lineRule="auto"/>
        <w:ind w:firstLine="420" w:firstLineChars="200"/>
        <w:rPr>
          <w:rFonts w:ascii="Times New Roman" w:hAnsi="Times New Roman"/>
          <w:szCs w:val="24"/>
        </w:rPr>
      </w:pPr>
      <w:r>
        <w:rPr>
          <w:rFonts w:ascii="Times New Roman" w:hAnsi="Times New Roman"/>
          <w:szCs w:val="24"/>
        </w:rPr>
        <w:t>根据中国工程建设标准化协会《关于印发(2023年第一批协会标准制订、修订计划&gt;的通知》（建标协字﹝2023﹞10号）的要求，标准编制组经广泛调查研究，认真总结实践经验，参考有关国际标准和国外先进标准，并在广泛征求意见的基础上，制定本标准。</w:t>
      </w:r>
    </w:p>
    <w:p>
      <w:pPr>
        <w:widowControl/>
        <w:spacing w:line="360" w:lineRule="auto"/>
        <w:ind w:firstLine="420" w:firstLineChars="200"/>
        <w:rPr>
          <w:rFonts w:ascii="Times New Roman" w:hAnsi="Times New Roman"/>
          <w:szCs w:val="24"/>
        </w:rPr>
      </w:pPr>
      <w:r>
        <w:rPr>
          <w:rFonts w:ascii="Times New Roman" w:hAnsi="Times New Roman"/>
          <w:szCs w:val="24"/>
        </w:rPr>
        <w:t>本标准共分</w:t>
      </w:r>
      <w:r>
        <w:rPr>
          <w:rFonts w:hint="eastAsia" w:ascii="Times New Roman" w:hAnsi="Times New Roman"/>
          <w:szCs w:val="24"/>
          <w:lang w:val="en-US" w:eastAsia="zh-CN"/>
        </w:rPr>
        <w:t>8</w:t>
      </w:r>
      <w:r>
        <w:rPr>
          <w:rFonts w:ascii="Times New Roman" w:hAnsi="Times New Roman"/>
          <w:szCs w:val="24"/>
        </w:rPr>
        <w:t>章，主要技术内容包括：总则、术语、基本规定、火灾风险识别、火灾风险分析、火灾风险评价、火灾风险</w:t>
      </w:r>
      <w:r>
        <w:rPr>
          <w:rFonts w:hint="eastAsia" w:ascii="Times New Roman" w:hAnsi="Times New Roman"/>
          <w:szCs w:val="24"/>
        </w:rPr>
        <w:t>应对和后评估</w:t>
      </w:r>
      <w:r>
        <w:rPr>
          <w:rFonts w:ascii="Times New Roman" w:hAnsi="Times New Roman"/>
          <w:szCs w:val="24"/>
        </w:rPr>
        <w:t>、火灾风险</w:t>
      </w:r>
      <w:r>
        <w:rPr>
          <w:rFonts w:hint="eastAsia" w:ascii="Times New Roman" w:hAnsi="Times New Roman"/>
          <w:szCs w:val="24"/>
        </w:rPr>
        <w:t>的监督和检查</w:t>
      </w:r>
      <w:bookmarkStart w:id="316" w:name="_GoBack"/>
      <w:bookmarkEnd w:id="316"/>
      <w:r>
        <w:rPr>
          <w:rFonts w:hint="eastAsia" w:ascii="Times New Roman" w:hAnsi="Times New Roman"/>
          <w:szCs w:val="24"/>
        </w:rPr>
        <w:t>。</w:t>
      </w:r>
    </w:p>
    <w:p>
      <w:pPr>
        <w:widowControl/>
        <w:spacing w:line="360" w:lineRule="auto"/>
        <w:ind w:firstLine="420" w:firstLineChars="200"/>
        <w:rPr>
          <w:rFonts w:ascii="Times New Roman" w:hAnsi="Times New Roman"/>
          <w:szCs w:val="24"/>
        </w:rPr>
      </w:pPr>
      <w:r>
        <w:rPr>
          <w:rFonts w:ascii="Times New Roman" w:hAnsi="Times New Roman"/>
          <w:szCs w:val="24"/>
        </w:rPr>
        <w:t>本标准由中国工程建设标准化协会机电智控专业委员会负责管理，由中国中元国际工程有限公司负责具体技术内容的解释。执行过程中如有意见或建议，请寄送中国中元国际工程有限公司（地址:北京市海淀区西三环北路5号，邮编：100089）</w:t>
      </w:r>
    </w:p>
    <w:p>
      <w:pPr>
        <w:widowControl/>
        <w:spacing w:line="360" w:lineRule="auto"/>
        <w:ind w:firstLine="420" w:firstLineChars="200"/>
        <w:jc w:val="left"/>
        <w:rPr>
          <w:rFonts w:ascii="Times New Roman" w:hAnsi="Times New Roman"/>
          <w:szCs w:val="24"/>
        </w:rPr>
      </w:pPr>
      <w:r>
        <w:rPr>
          <w:rFonts w:ascii="Times New Roman" w:hAnsi="Times New Roman" w:eastAsia="黑体"/>
          <w:szCs w:val="24"/>
        </w:rPr>
        <w:t>主</w:t>
      </w:r>
      <w:r>
        <w:rPr>
          <w:rFonts w:ascii="Times New Roman" w:hAnsi="Times New Roman" w:eastAsia="黑体"/>
          <w:spacing w:val="-11"/>
          <w:szCs w:val="24"/>
        </w:rPr>
        <w:t xml:space="preserve"> 编 单 </w:t>
      </w:r>
      <w:r>
        <w:rPr>
          <w:rFonts w:ascii="Times New Roman" w:hAnsi="Times New Roman" w:eastAsia="黑体"/>
          <w:szCs w:val="24"/>
        </w:rPr>
        <w:t>位：</w:t>
      </w:r>
      <w:r>
        <w:rPr>
          <w:rFonts w:ascii="Times New Roman" w:hAnsi="Times New Roman"/>
          <w:szCs w:val="24"/>
        </w:rPr>
        <w:t>中国中元国际工程有限公司</w:t>
      </w:r>
    </w:p>
    <w:p>
      <w:pPr>
        <w:widowControl/>
        <w:spacing w:line="360" w:lineRule="auto"/>
        <w:ind w:firstLine="420" w:firstLineChars="200"/>
        <w:jc w:val="left"/>
        <w:rPr>
          <w:rFonts w:ascii="Times New Roman" w:hAnsi="Times New Roman"/>
          <w:szCs w:val="24"/>
        </w:rPr>
      </w:pPr>
      <w:r>
        <w:rPr>
          <w:rFonts w:ascii="Times New Roman" w:hAnsi="Times New Roman" w:eastAsia="黑体"/>
          <w:szCs w:val="24"/>
        </w:rPr>
        <w:t>参</w:t>
      </w:r>
      <w:r>
        <w:rPr>
          <w:rFonts w:ascii="Times New Roman" w:hAnsi="Times New Roman" w:eastAsia="黑体"/>
          <w:spacing w:val="-11"/>
          <w:szCs w:val="24"/>
        </w:rPr>
        <w:t xml:space="preserve"> 编 单 </w:t>
      </w:r>
      <w:r>
        <w:rPr>
          <w:rFonts w:ascii="Times New Roman" w:hAnsi="Times New Roman" w:eastAsia="黑体"/>
          <w:szCs w:val="24"/>
        </w:rPr>
        <w:t>位：</w:t>
      </w:r>
      <w:bookmarkStart w:id="11" w:name="OLE_LINK10"/>
      <w:bookmarkStart w:id="12" w:name="OLE_LINK11"/>
      <w:r>
        <w:rPr>
          <w:rFonts w:hint="eastAsia" w:ascii="Times New Roman" w:hAnsi="Times New Roman"/>
          <w:szCs w:val="24"/>
        </w:rPr>
        <w:t>中国建筑标准设计研究院有限公司</w:t>
      </w:r>
    </w:p>
    <w:p>
      <w:pPr>
        <w:widowControl/>
        <w:spacing w:line="360" w:lineRule="auto"/>
        <w:ind w:firstLine="1680" w:firstLineChars="800"/>
        <w:jc w:val="left"/>
        <w:rPr>
          <w:rFonts w:ascii="Times New Roman" w:hAnsi="Times New Roman"/>
          <w:szCs w:val="24"/>
        </w:rPr>
      </w:pPr>
      <w:r>
        <w:rPr>
          <w:rFonts w:hint="eastAsia" w:ascii="Times New Roman" w:hAnsi="Times New Roman"/>
          <w:szCs w:val="24"/>
        </w:rPr>
        <w:t>广东省消防救援总队</w:t>
      </w:r>
    </w:p>
    <w:p>
      <w:pPr>
        <w:widowControl/>
        <w:spacing w:line="360" w:lineRule="auto"/>
        <w:ind w:firstLine="1680" w:firstLineChars="800"/>
        <w:jc w:val="left"/>
        <w:rPr>
          <w:rFonts w:ascii="Times New Roman" w:hAnsi="Times New Roman"/>
          <w:szCs w:val="24"/>
        </w:rPr>
      </w:pPr>
      <w:r>
        <w:rPr>
          <w:rFonts w:hint="eastAsia" w:ascii="Times New Roman" w:hAnsi="Times New Roman"/>
          <w:szCs w:val="24"/>
        </w:rPr>
        <w:t>深圳市消防救援支队</w:t>
      </w:r>
    </w:p>
    <w:p>
      <w:pPr>
        <w:widowControl/>
        <w:spacing w:line="360" w:lineRule="auto"/>
        <w:ind w:firstLine="1680" w:firstLineChars="800"/>
        <w:jc w:val="left"/>
        <w:rPr>
          <w:rFonts w:ascii="Times New Roman" w:hAnsi="Times New Roman"/>
          <w:szCs w:val="24"/>
        </w:rPr>
      </w:pPr>
      <w:r>
        <w:rPr>
          <w:rFonts w:hint="eastAsia" w:ascii="Times New Roman" w:hAnsi="Times New Roman"/>
          <w:szCs w:val="24"/>
        </w:rPr>
        <w:t>中国联合工程有限公司</w:t>
      </w:r>
      <w:bookmarkEnd w:id="11"/>
      <w:bookmarkEnd w:id="12"/>
    </w:p>
    <w:p>
      <w:pPr>
        <w:widowControl/>
        <w:spacing w:line="360" w:lineRule="auto"/>
        <w:ind w:left="1680" w:leftChars="200" w:hanging="1260" w:hangingChars="600"/>
        <w:jc w:val="left"/>
        <w:rPr>
          <w:rFonts w:ascii="Times New Roman" w:hAnsi="Times New Roman"/>
        </w:rPr>
      </w:pPr>
      <w:r>
        <w:rPr>
          <w:rFonts w:ascii="Times New Roman" w:hAnsi="Times New Roman" w:eastAsia="黑体"/>
          <w:szCs w:val="24"/>
        </w:rPr>
        <w:t>主要起草人：</w:t>
      </w:r>
      <w:r>
        <w:rPr>
          <w:rFonts w:ascii="Times New Roman" w:hAnsi="Times New Roman"/>
        </w:rPr>
        <w:t xml:space="preserve"> </w:t>
      </w:r>
    </w:p>
    <w:p>
      <w:pPr>
        <w:rPr>
          <w:rFonts w:ascii="Times New Roman" w:hAnsi="Times New Roman"/>
        </w:rPr>
      </w:pPr>
    </w:p>
    <w:p>
      <w:pPr>
        <w:pStyle w:val="54"/>
        <w:ind w:firstLine="480"/>
        <w:rPr>
          <w:rFonts w:ascii="Times New Roman"/>
        </w:rPr>
      </w:pPr>
    </w:p>
    <w:p>
      <w:pPr>
        <w:pStyle w:val="54"/>
        <w:ind w:firstLine="480"/>
        <w:rPr>
          <w:rFonts w:ascii="Times New Roman"/>
        </w:rPr>
      </w:pPr>
    </w:p>
    <w:p>
      <w:pPr>
        <w:pStyle w:val="54"/>
        <w:ind w:firstLine="480"/>
        <w:rPr>
          <w:rFonts w:ascii="Times New Roman"/>
        </w:rPr>
      </w:pPr>
    </w:p>
    <w:p>
      <w:pPr>
        <w:pStyle w:val="54"/>
        <w:ind w:firstLine="480"/>
        <w:rPr>
          <w:rFonts w:ascii="Times New Roman"/>
        </w:rPr>
      </w:pPr>
    </w:p>
    <w:p>
      <w:pPr>
        <w:rPr>
          <w:rFonts w:ascii="Times New Roman" w:hAnsi="Times New Roman"/>
        </w:rPr>
      </w:pPr>
    </w:p>
    <w:p>
      <w:pPr>
        <w:rPr>
          <w:rFonts w:ascii="Times New Roman" w:hAnsi="Times New Roman"/>
        </w:rPr>
        <w:sectPr>
          <w:footerReference r:id="rId4" w:type="even"/>
          <w:pgSz w:w="11906" w:h="16838"/>
          <w:pgMar w:top="1440" w:right="1800" w:bottom="1440" w:left="1800" w:header="851" w:footer="992" w:gutter="0"/>
          <w:pgNumType w:fmt="upperRoman"/>
          <w:cols w:space="425" w:num="1"/>
          <w:docGrid w:type="lines" w:linePitch="312" w:charSpace="0"/>
        </w:sectPr>
      </w:pPr>
    </w:p>
    <w:p>
      <w:pPr>
        <w:rPr>
          <w:rFonts w:ascii="Times New Roman" w:hAnsi="Times New Roman"/>
        </w:rPr>
      </w:pPr>
      <w:r>
        <w:rPr>
          <w:rFonts w:ascii="Times New Roman" w:hAnsi="Times New Roman"/>
        </w:rPr>
        <w:fldChar w:fldCharType="begin">
          <w:fldData xml:space="preserve">ZQBKAHoAdABYAFEAMQAwAEcAOABXAGQAMwA3AFYAawBhAFQAMQB4AEwAMABaAEEAbgBtAHYAZwBF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</w:fldData>
        </w:fldChar>
      </w:r>
      <w:r>
        <w:rPr>
          <w:rFonts w:ascii="Times New Roman" w:hAnsi="Times New Roman"/>
        </w:rPr>
        <w:instrText xml:space="preserve">ADDIN CNKISM.UserStyle</w:instrText>
      </w:r>
      <w:r>
        <w:rPr>
          <w:rFonts w:ascii="Times New Roman" w:hAnsi="Times New Roman"/>
        </w:rPr>
        <w:fldChar w:fldCharType="end"/>
      </w:r>
    </w:p>
    <w:p>
      <w:pPr>
        <w:pStyle w:val="120"/>
        <w:spacing w:before="156" w:after="468"/>
        <w:rPr>
          <w:rFonts w:ascii="Times New Roman"/>
        </w:rPr>
      </w:pPr>
      <w:r>
        <w:rPr>
          <w:rFonts w:ascii="Times New Roman"/>
          <w:spacing w:val="320"/>
        </w:rPr>
        <w:t>目</w:t>
      </w:r>
      <w:r>
        <w:rPr>
          <w:rFonts w:ascii="Times New Roman"/>
        </w:rPr>
        <w:t>次</w:t>
      </w:r>
    </w:p>
    <w:sdt>
      <w:sdtPr>
        <w:rPr>
          <w:lang w:val="zh-CN"/>
        </w:rPr>
        <w:id w:val="1381206589"/>
        <w:docPartObj>
          <w:docPartGallery w:val="Table of Contents"/>
          <w:docPartUnique/>
        </w:docPartObj>
      </w:sdtPr>
      <w:sdtEndPr>
        <w:rPr>
          <w:b/>
          <w:bCs/>
          <w:lang w:val="zh-CN"/>
        </w:rPr>
      </w:sdtEndPr>
      <w:sdtContent>
        <w:p>
          <w:pPr>
            <w:pStyle w:val="23"/>
            <w:tabs>
              <w:tab w:val="right" w:leader="dot" w:pos="8296"/>
            </w:tabs>
            <w:rPr>
              <w:rFonts w:ascii="宋体" w:hAnsi="Times New Roman" w:eastAsia="宋体" w:cs="Times New Roman"/>
              <w:b/>
              <w:bCs/>
              <w:kern w:val="2"/>
              <w:sz w:val="24"/>
              <w:szCs w:val="21"/>
              <w:lang w:val="zh-CN" w:eastAsia="zh-CN" w:bidi="ar-SA"/>
            </w:rPr>
          </w:pPr>
          <w:r>
            <w:fldChar w:fldCharType="begin"/>
          </w:r>
          <w:r>
            <w:instrText xml:space="preserve"> TOC \o "1-3" \h \z \u </w:instrText>
          </w:r>
          <w:r>
            <w:fldChar w:fldCharType="separate"/>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_Toc26097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1 </w:t>
          </w:r>
          <w:r>
            <w:rPr>
              <w:rFonts w:hint="eastAsia" w:asciiTheme="majorEastAsia" w:hAnsiTheme="majorEastAsia" w:eastAsiaTheme="majorEastAsia" w:cstheme="majorEastAsia"/>
              <w:sz w:val="21"/>
              <w:szCs w:val="21"/>
            </w:rPr>
            <w:t>总  则</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_Toc26097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_Toc8314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2 </w:t>
          </w:r>
          <w:r>
            <w:rPr>
              <w:rFonts w:hint="eastAsia" w:asciiTheme="majorEastAsia" w:hAnsiTheme="majorEastAsia" w:eastAsiaTheme="majorEastAsia" w:cstheme="majorEastAsia"/>
              <w:sz w:val="21"/>
              <w:szCs w:val="21"/>
            </w:rPr>
            <w:t>术语和符号</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_Toc8314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_Toc16945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2.1 </w:t>
          </w:r>
          <w:r>
            <w:rPr>
              <w:rFonts w:hint="eastAsia" w:asciiTheme="majorEastAsia" w:hAnsiTheme="majorEastAsia" w:eastAsiaTheme="majorEastAsia" w:cstheme="majorEastAsia"/>
              <w:sz w:val="21"/>
              <w:szCs w:val="21"/>
            </w:rPr>
            <w:t>术  语</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_Toc16945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_Toc25927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2.2 </w:t>
          </w:r>
          <w:r>
            <w:rPr>
              <w:rFonts w:hint="eastAsia" w:asciiTheme="majorEastAsia" w:hAnsiTheme="majorEastAsia" w:eastAsiaTheme="majorEastAsia" w:cstheme="majorEastAsia"/>
              <w:sz w:val="21"/>
              <w:szCs w:val="21"/>
            </w:rPr>
            <w:t>符  号</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_Toc25927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3</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_Toc11968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3 </w:t>
          </w:r>
          <w:r>
            <w:rPr>
              <w:rFonts w:hint="eastAsia" w:asciiTheme="majorEastAsia" w:hAnsiTheme="majorEastAsia" w:eastAsiaTheme="majorEastAsia" w:cstheme="majorEastAsia"/>
              <w:sz w:val="21"/>
              <w:szCs w:val="21"/>
            </w:rPr>
            <w:t>基本规定</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_Toc11968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6</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_Toc6099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4 </w:t>
          </w:r>
          <w:r>
            <w:rPr>
              <w:rFonts w:hint="eastAsia" w:asciiTheme="majorEastAsia" w:hAnsiTheme="majorEastAsia" w:eastAsiaTheme="majorEastAsia" w:cstheme="majorEastAsia"/>
              <w:sz w:val="21"/>
              <w:szCs w:val="21"/>
            </w:rPr>
            <w:t>火灾风险识别</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_Toc6099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_Toc13077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4.1 </w:t>
          </w:r>
          <w:r>
            <w:rPr>
              <w:rFonts w:hint="eastAsia" w:asciiTheme="majorEastAsia" w:hAnsiTheme="majorEastAsia" w:eastAsiaTheme="majorEastAsia" w:cstheme="majorEastAsia"/>
              <w:sz w:val="21"/>
              <w:szCs w:val="21"/>
            </w:rPr>
            <w:t>一般规定</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_Toc13077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_Toc10515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4.2 </w:t>
          </w:r>
          <w:r>
            <w:rPr>
              <w:rFonts w:hint="eastAsia" w:asciiTheme="majorEastAsia" w:hAnsiTheme="majorEastAsia" w:eastAsiaTheme="majorEastAsia" w:cstheme="majorEastAsia"/>
              <w:sz w:val="21"/>
              <w:szCs w:val="21"/>
            </w:rPr>
            <w:t>火灾危险源辨识</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_Toc10515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_Toc20025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4.3 </w:t>
          </w:r>
          <w:r>
            <w:rPr>
              <w:rFonts w:hint="eastAsia" w:asciiTheme="majorEastAsia" w:hAnsiTheme="majorEastAsia" w:eastAsiaTheme="majorEastAsia" w:cstheme="majorEastAsia"/>
              <w:sz w:val="21"/>
              <w:szCs w:val="21"/>
            </w:rPr>
            <w:t>火灾风险源识别</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_Toc20025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_Toc28180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4.4 </w:t>
          </w:r>
          <w:r>
            <w:rPr>
              <w:rFonts w:hint="eastAsia" w:asciiTheme="majorEastAsia" w:hAnsiTheme="majorEastAsia" w:eastAsiaTheme="majorEastAsia" w:cstheme="majorEastAsia"/>
              <w:sz w:val="21"/>
              <w:szCs w:val="21"/>
            </w:rPr>
            <w:t>火灾场景设定</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_Toc28180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7</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_Toc17191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5 </w:t>
          </w:r>
          <w:r>
            <w:rPr>
              <w:rFonts w:hint="eastAsia" w:asciiTheme="majorEastAsia" w:hAnsiTheme="majorEastAsia" w:eastAsiaTheme="majorEastAsia" w:cstheme="majorEastAsia"/>
              <w:sz w:val="21"/>
              <w:szCs w:val="21"/>
            </w:rPr>
            <w:t>火灾风险分析</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_Toc17191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_Toc22708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5.1 </w:t>
          </w:r>
          <w:r>
            <w:rPr>
              <w:rFonts w:hint="eastAsia" w:asciiTheme="majorEastAsia" w:hAnsiTheme="majorEastAsia" w:eastAsiaTheme="majorEastAsia" w:cstheme="majorEastAsia"/>
              <w:sz w:val="21"/>
              <w:szCs w:val="21"/>
            </w:rPr>
            <w:t>一般规定</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_Toc22708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_Toc24004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5.2 </w:t>
          </w:r>
          <w:r>
            <w:rPr>
              <w:rFonts w:hint="eastAsia" w:asciiTheme="majorEastAsia" w:hAnsiTheme="majorEastAsia" w:eastAsiaTheme="majorEastAsia" w:cstheme="majorEastAsia"/>
              <w:sz w:val="21"/>
              <w:szCs w:val="21"/>
            </w:rPr>
            <w:t>消防队灭火救援能力分析方法</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_Toc24004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_Toc27231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5.3 </w:t>
          </w:r>
          <w:r>
            <w:rPr>
              <w:rFonts w:hint="eastAsia" w:asciiTheme="majorEastAsia" w:hAnsiTheme="majorEastAsia" w:eastAsiaTheme="majorEastAsia" w:cstheme="majorEastAsia"/>
              <w:sz w:val="21"/>
              <w:szCs w:val="21"/>
            </w:rPr>
            <w:t>人员损失分析方法</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_Toc27231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12</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_Toc27225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5.4 </w:t>
          </w:r>
          <w:r>
            <w:rPr>
              <w:rFonts w:hint="eastAsia" w:asciiTheme="majorEastAsia" w:hAnsiTheme="majorEastAsia" w:eastAsiaTheme="majorEastAsia" w:cstheme="majorEastAsia"/>
              <w:sz w:val="21"/>
              <w:szCs w:val="21"/>
            </w:rPr>
            <w:t>直接财产损失分析方法</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_Toc27225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19</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_Toc19836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5.5 </w:t>
          </w:r>
          <w:r>
            <w:rPr>
              <w:rFonts w:hint="eastAsia" w:asciiTheme="majorEastAsia" w:hAnsiTheme="majorEastAsia" w:eastAsiaTheme="majorEastAsia" w:cstheme="majorEastAsia"/>
              <w:sz w:val="21"/>
              <w:szCs w:val="21"/>
            </w:rPr>
            <w:t>商业连续性中断分析方法</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_Toc19836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_Toc15759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5.6 </w:t>
          </w:r>
          <w:r>
            <w:rPr>
              <w:rFonts w:hint="eastAsia" w:asciiTheme="majorEastAsia" w:hAnsiTheme="majorEastAsia" w:eastAsiaTheme="majorEastAsia" w:cstheme="majorEastAsia"/>
              <w:sz w:val="21"/>
              <w:szCs w:val="21"/>
            </w:rPr>
            <w:t>环境破坏分析方法</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_Toc15759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_Toc6350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5.7 </w:t>
          </w:r>
          <w:r>
            <w:rPr>
              <w:rFonts w:hint="eastAsia" w:asciiTheme="majorEastAsia" w:hAnsiTheme="majorEastAsia" w:eastAsiaTheme="majorEastAsia" w:cstheme="majorEastAsia"/>
              <w:sz w:val="21"/>
              <w:szCs w:val="21"/>
            </w:rPr>
            <w:t>火灾损失评估结果判定</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_Toc6350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_Toc23768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5.8 </w:t>
          </w:r>
          <w:r>
            <w:rPr>
              <w:rFonts w:hint="eastAsia" w:asciiTheme="majorEastAsia" w:hAnsiTheme="majorEastAsia" w:eastAsiaTheme="majorEastAsia" w:cstheme="majorEastAsia"/>
              <w:sz w:val="21"/>
              <w:szCs w:val="21"/>
            </w:rPr>
            <w:t>火灾风险判定</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_Toc23768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22</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_Toc60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6 </w:t>
          </w:r>
          <w:r>
            <w:rPr>
              <w:rFonts w:hint="eastAsia" w:asciiTheme="majorEastAsia" w:hAnsiTheme="majorEastAsia" w:eastAsiaTheme="majorEastAsia" w:cstheme="majorEastAsia"/>
              <w:sz w:val="21"/>
              <w:szCs w:val="21"/>
            </w:rPr>
            <w:t>火灾风险评价</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_Toc60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23</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_Toc24794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6.1 </w:t>
          </w:r>
          <w:r>
            <w:rPr>
              <w:rFonts w:hint="eastAsia" w:asciiTheme="majorEastAsia" w:hAnsiTheme="majorEastAsia" w:eastAsiaTheme="majorEastAsia" w:cstheme="majorEastAsia"/>
              <w:sz w:val="21"/>
              <w:szCs w:val="21"/>
            </w:rPr>
            <w:t>火灾风险准则</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_Toc24794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23</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8"/>
            <w:tabs>
              <w:tab w:val="right" w:leader="dot" w:pos="8306"/>
              <w:tab w:val="clear" w:pos="9344"/>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_Toc32704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bCs w:val="0"/>
              <w:i w:val="0"/>
              <w:iCs w:val="0"/>
              <w:caps w:val="0"/>
              <w:smallCaps w:val="0"/>
              <w:strike w:val="0"/>
              <w:dstrike w:val="0"/>
              <w:vanish w:val="0"/>
              <w:spacing w:val="0"/>
              <w:kern w:val="0"/>
              <w:position w:val="0"/>
              <w:sz w:val="21"/>
              <w:szCs w:val="21"/>
              <w:vertAlign w:val="baseline"/>
            </w:rPr>
            <w:t xml:space="preserve">6.2 </w:t>
          </w:r>
          <w:r>
            <w:rPr>
              <w:rFonts w:hint="eastAsia" w:asciiTheme="majorEastAsia" w:hAnsiTheme="majorEastAsia" w:eastAsiaTheme="majorEastAsia" w:cstheme="majorEastAsia"/>
              <w:sz w:val="21"/>
              <w:szCs w:val="21"/>
            </w:rPr>
            <w:t>火灾风险不确定性和敏感度分析</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_Toc32704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23</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_Toc28895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7 </w:t>
          </w:r>
          <w:r>
            <w:rPr>
              <w:rFonts w:hint="eastAsia" w:asciiTheme="majorEastAsia" w:hAnsiTheme="majorEastAsia" w:eastAsiaTheme="majorEastAsia" w:cstheme="majorEastAsia"/>
              <w:sz w:val="21"/>
              <w:szCs w:val="21"/>
            </w:rPr>
            <w:t>火灾风险应对和后评估</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_Toc28895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25</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_Toc26003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i w:val="0"/>
              <w:sz w:val="21"/>
              <w:szCs w:val="21"/>
            </w:rPr>
            <w:t xml:space="preserve">8 </w:t>
          </w:r>
          <w:r>
            <w:rPr>
              <w:rFonts w:hint="eastAsia" w:asciiTheme="majorEastAsia" w:hAnsiTheme="majorEastAsia" w:eastAsiaTheme="majorEastAsia" w:cstheme="majorEastAsia"/>
              <w:sz w:val="21"/>
              <w:szCs w:val="21"/>
            </w:rPr>
            <w:t>火灾风险评估的监督和检查</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_Toc26003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27</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_Toc7403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sz w:val="21"/>
              <w:szCs w:val="21"/>
            </w:rPr>
            <w:t>引用标准名录</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_Toc7403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29</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bCs/>
              <w:sz w:val="21"/>
              <w:szCs w:val="21"/>
              <w:lang w:val="zh-CN"/>
            </w:rPr>
            <w:fldChar w:fldCharType="begin"/>
          </w:r>
          <w:r>
            <w:rPr>
              <w:rFonts w:hint="eastAsia" w:asciiTheme="majorEastAsia" w:hAnsiTheme="majorEastAsia" w:eastAsiaTheme="majorEastAsia" w:cstheme="majorEastAsia"/>
              <w:bCs/>
              <w:sz w:val="21"/>
              <w:szCs w:val="21"/>
              <w:lang w:val="zh-CN"/>
            </w:rPr>
            <w:instrText xml:space="preserve"> HYPERLINK \l _Toc1014 </w:instrText>
          </w:r>
          <w:r>
            <w:rPr>
              <w:rFonts w:hint="eastAsia" w:asciiTheme="majorEastAsia" w:hAnsiTheme="majorEastAsia" w:eastAsiaTheme="majorEastAsia" w:cstheme="majorEastAsia"/>
              <w:bCs/>
              <w:sz w:val="21"/>
              <w:szCs w:val="21"/>
              <w:lang w:val="zh-CN"/>
            </w:rPr>
            <w:fldChar w:fldCharType="separate"/>
          </w:r>
          <w:r>
            <w:rPr>
              <w:rFonts w:hint="eastAsia" w:asciiTheme="majorEastAsia" w:hAnsiTheme="majorEastAsia" w:eastAsiaTheme="majorEastAsia" w:cstheme="majorEastAsia"/>
              <w:sz w:val="21"/>
              <w:szCs w:val="21"/>
            </w:rPr>
            <w:t>条文说明</w:t>
          </w:r>
          <w:r>
            <w:rPr>
              <w:rFonts w:hint="eastAsia" w:asciiTheme="majorEastAsia" w:hAnsiTheme="majorEastAsia" w:eastAsiaTheme="majorEastAsia" w:cstheme="majorEastAsia"/>
              <w:sz w:val="21"/>
              <w:szCs w:val="21"/>
            </w:rPr>
            <w:tab/>
          </w: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PAGEREF _Toc1014 \h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30</w:t>
          </w:r>
          <w:r>
            <w:rPr>
              <w:rFonts w:hint="eastAsia" w:asciiTheme="majorEastAsia" w:hAnsiTheme="majorEastAsia" w:eastAsiaTheme="majorEastAsia" w:cstheme="majorEastAsia"/>
              <w:sz w:val="21"/>
              <w:szCs w:val="21"/>
            </w:rPr>
            <w:fldChar w:fldCharType="end"/>
          </w:r>
          <w:r>
            <w:rPr>
              <w:rFonts w:hint="eastAsia" w:asciiTheme="majorEastAsia" w:hAnsiTheme="majorEastAsia" w:eastAsiaTheme="majorEastAsia" w:cstheme="majorEastAsia"/>
              <w:bCs/>
              <w:sz w:val="21"/>
              <w:szCs w:val="21"/>
              <w:lang w:val="zh-CN"/>
            </w:rPr>
            <w:fldChar w:fldCharType="end"/>
          </w:r>
        </w:p>
        <w:p>
          <w:pPr>
            <w:pStyle w:val="23"/>
            <w:tabs>
              <w:tab w:val="right" w:leader="dot" w:pos="8306"/>
            </w:tabs>
          </w:pPr>
        </w:p>
        <w:p>
          <w:pPr>
            <w:pStyle w:val="23"/>
            <w:tabs>
              <w:tab w:val="right" w:leader="dot" w:pos="8296"/>
            </w:tabs>
            <w:rPr>
              <w:rFonts w:asciiTheme="minorHAnsi" w:hAnsiTheme="minorHAnsi" w:eastAsiaTheme="minorEastAsia" w:cstheme="minorBidi"/>
              <w:sz w:val="21"/>
              <w:szCs w:val="22"/>
            </w:rPr>
          </w:pPr>
          <w:r>
            <w:rPr>
              <w:b/>
              <w:bCs/>
              <w:lang w:val="zh-CN"/>
            </w:rPr>
            <w:fldChar w:fldCharType="end"/>
          </w:r>
        </w:p>
      </w:sdtContent>
    </w:sdt>
    <w:p>
      <w:pPr>
        <w:rPr>
          <w:rFonts w:ascii="Times New Roman" w:hAnsi="Times New Roman"/>
        </w:rPr>
      </w:pPr>
    </w:p>
    <w:p>
      <w:pPr>
        <w:rPr>
          <w:rFonts w:ascii="Times New Roman" w:hAnsi="Times New Roman"/>
        </w:rPr>
      </w:pPr>
    </w:p>
    <w:p>
      <w:pPr>
        <w:rPr>
          <w:rFonts w:hint="eastAsia" w:ascii="Times New Roman" w:hAnsi="Times New Roman"/>
        </w:rPr>
      </w:pPr>
    </w:p>
    <w:p>
      <w:pPr>
        <w:rPr>
          <w:rFonts w:hint="eastAsia" w:ascii="Times New Roman" w:hAnsi="Times New Roman"/>
        </w:rPr>
      </w:pPr>
    </w:p>
    <w:p>
      <w:pPr>
        <w:widowControl/>
        <w:jc w:val="left"/>
        <w:rPr>
          <w:rFonts w:ascii="Times New Roman" w:hAnsi="Times New Roman"/>
        </w:rPr>
      </w:pPr>
      <w:r>
        <w:rPr>
          <w:rFonts w:ascii="Times New Roman" w:hAnsi="Times New Roman"/>
        </w:rPr>
        <w:br w:type="page"/>
      </w:r>
    </w:p>
    <w:p>
      <w:pPr>
        <w:rPr>
          <w:rFonts w:ascii="Times New Roman" w:hAnsi="Times New Roman"/>
        </w:rPr>
      </w:pPr>
    </w:p>
    <w:p>
      <w:pPr>
        <w:spacing w:before="312" w:beforeLines="100" w:after="312" w:afterLines="100" w:line="360" w:lineRule="auto"/>
        <w:jc w:val="center"/>
        <w:outlineLvl w:val="0"/>
        <w:rPr>
          <w:rFonts w:ascii="Times New Roman" w:hAnsi="Times New Roman" w:eastAsia="黑体"/>
          <w:sz w:val="32"/>
          <w:szCs w:val="32"/>
        </w:rPr>
      </w:pPr>
      <w:bookmarkStart w:id="13" w:name="_Toc20826"/>
      <w:bookmarkStart w:id="14" w:name="_Toc191997408"/>
      <w:bookmarkStart w:id="15" w:name="_Toc214008832"/>
      <w:bookmarkStart w:id="16" w:name="_Toc191997230"/>
      <w:bookmarkStart w:id="17" w:name="_Toc191997164"/>
      <w:bookmarkStart w:id="18" w:name="_Toc5704"/>
      <w:bookmarkStart w:id="19" w:name="_Toc214005500"/>
      <w:bookmarkStart w:id="20" w:name="_Toc214009561"/>
      <w:bookmarkStart w:id="21" w:name="_Toc464"/>
      <w:r>
        <w:rPr>
          <w:rFonts w:ascii="Times New Roman" w:hAnsi="Times New Roman" w:eastAsia="仿宋"/>
          <w:b/>
          <w:bCs/>
          <w:kern w:val="44"/>
          <w:sz w:val="32"/>
          <w:szCs w:val="44"/>
        </w:rPr>
        <w:t>Contents</w:t>
      </w:r>
      <w:bookmarkEnd w:id="13"/>
      <w:bookmarkEnd w:id="14"/>
      <w:bookmarkEnd w:id="15"/>
      <w:bookmarkEnd w:id="16"/>
      <w:bookmarkEnd w:id="17"/>
      <w:bookmarkEnd w:id="18"/>
      <w:bookmarkEnd w:id="19"/>
      <w:bookmarkEnd w:id="20"/>
      <w:bookmarkEnd w:id="21"/>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"_Toc5832" </w:instrText>
      </w:r>
      <w:r>
        <w:fldChar w:fldCharType="separate"/>
      </w:r>
      <w:r>
        <w:rPr>
          <w:bCs/>
          <w:szCs w:val="24"/>
        </w:rPr>
        <w:t>1  General Provisions</w:t>
      </w:r>
      <w:r>
        <w:rPr>
          <w:bCs/>
          <w:szCs w:val="24"/>
        </w:rPr>
        <w:tab/>
      </w:r>
      <w:r>
        <w:rPr>
          <w:bCs/>
          <w:szCs w:val="24"/>
        </w:rPr>
        <w:fldChar w:fldCharType="begin" w:fldLock="1"/>
      </w:r>
      <w:r>
        <w:rPr>
          <w:bCs/>
          <w:szCs w:val="24"/>
        </w:rPr>
        <w:instrText xml:space="preserve"> PAGEREF _Toc5832 </w:instrText>
      </w:r>
      <w:r>
        <w:rPr>
          <w:bCs/>
          <w:szCs w:val="24"/>
        </w:rPr>
        <w:fldChar w:fldCharType="separate"/>
      </w:r>
      <w:r>
        <w:rPr>
          <w:bCs/>
          <w:szCs w:val="24"/>
        </w:rPr>
        <w:t>1</w:t>
      </w:r>
      <w:r>
        <w:rPr>
          <w:bCs/>
          <w:szCs w:val="24"/>
        </w:rPr>
        <w:fldChar w:fldCharType="end"/>
      </w:r>
      <w:r>
        <w:rPr>
          <w:bCs/>
          <w:szCs w:val="24"/>
        </w:rPr>
        <w:fldChar w:fldCharType="end"/>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"_Toc29294" </w:instrText>
      </w:r>
      <w:r>
        <w:fldChar w:fldCharType="separate"/>
      </w:r>
      <w:r>
        <w:rPr>
          <w:bCs/>
          <w:szCs w:val="24"/>
        </w:rPr>
        <w:t>2  Terms and Symbols</w:t>
      </w:r>
      <w:r>
        <w:rPr>
          <w:bCs/>
          <w:szCs w:val="24"/>
        </w:rPr>
        <w:tab/>
      </w:r>
      <w:r>
        <w:rPr>
          <w:bCs/>
          <w:szCs w:val="24"/>
        </w:rPr>
        <w:fldChar w:fldCharType="begin" w:fldLock="1"/>
      </w:r>
      <w:r>
        <w:rPr>
          <w:bCs/>
          <w:szCs w:val="24"/>
        </w:rPr>
        <w:instrText xml:space="preserve"> PAGEREF _Toc29294 </w:instrText>
      </w:r>
      <w:r>
        <w:rPr>
          <w:bCs/>
          <w:szCs w:val="24"/>
        </w:rPr>
        <w:fldChar w:fldCharType="separate"/>
      </w:r>
      <w:r>
        <w:rPr>
          <w:bCs/>
          <w:szCs w:val="24"/>
        </w:rPr>
        <w:t>2</w:t>
      </w:r>
      <w:r>
        <w:rPr>
          <w:bCs/>
          <w:szCs w:val="24"/>
        </w:rPr>
        <w:fldChar w:fldCharType="end"/>
      </w:r>
      <w:r>
        <w:rPr>
          <w:bCs/>
          <w:szCs w:val="24"/>
        </w:rPr>
        <w:fldChar w:fldCharType="end"/>
      </w:r>
    </w:p>
    <w:p>
      <w:pPr>
        <w:widowControl/>
        <w:tabs>
          <w:tab w:val="right" w:leader="dot" w:pos="8306"/>
        </w:tabs>
        <w:ind w:firstLine="420" w:firstLineChars="200"/>
        <w:rPr>
          <w:bCs/>
          <w:szCs w:val="24"/>
        </w:rPr>
      </w:pPr>
      <w:r>
        <w:t xml:space="preserve">2.1  </w:t>
      </w:r>
      <w:r>
        <w:fldChar w:fldCharType="begin"/>
      </w:r>
      <w:r>
        <w:instrText xml:space="preserve"> HYPERLINK "file:///E:\\项目\\2025完结\\2024.11.18%20标准%20cecs火灾风险规范\\区域火灾风险评估技术规程.doc" \l "_Toc29294" </w:instrText>
      </w:r>
      <w:r>
        <w:fldChar w:fldCharType="separate"/>
      </w:r>
      <w:r>
        <w:rPr>
          <w:bCs/>
          <w:szCs w:val="24"/>
        </w:rPr>
        <w:t>Terms</w:t>
      </w:r>
      <w:r>
        <w:rPr>
          <w:bCs/>
          <w:szCs w:val="24"/>
        </w:rPr>
        <w:tab/>
      </w:r>
      <w:r>
        <w:rPr>
          <w:bCs/>
          <w:szCs w:val="24"/>
        </w:rPr>
        <w:fldChar w:fldCharType="begin" w:fldLock="1"/>
      </w:r>
      <w:r>
        <w:rPr>
          <w:bCs/>
          <w:szCs w:val="24"/>
        </w:rPr>
        <w:instrText xml:space="preserve"> PAGEREF _Toc29294 </w:instrText>
      </w:r>
      <w:r>
        <w:rPr>
          <w:bCs/>
          <w:szCs w:val="24"/>
        </w:rPr>
        <w:fldChar w:fldCharType="separate"/>
      </w:r>
      <w:r>
        <w:rPr>
          <w:bCs/>
          <w:szCs w:val="24"/>
        </w:rPr>
        <w:t>2</w:t>
      </w:r>
      <w:r>
        <w:rPr>
          <w:bCs/>
          <w:szCs w:val="24"/>
        </w:rPr>
        <w:fldChar w:fldCharType="end"/>
      </w:r>
      <w:r>
        <w:rPr>
          <w:bCs/>
          <w:szCs w:val="24"/>
        </w:rPr>
        <w:fldChar w:fldCharType="end"/>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"_Toc29294" </w:instrText>
      </w:r>
      <w:r>
        <w:fldChar w:fldCharType="separate"/>
      </w:r>
      <w:r>
        <w:rPr>
          <w:bCs/>
          <w:szCs w:val="24"/>
        </w:rPr>
        <w:t>2.2  Symbols</w:t>
      </w:r>
      <w:r>
        <w:rPr>
          <w:bCs/>
          <w:szCs w:val="24"/>
        </w:rPr>
        <w:tab/>
      </w:r>
      <w:r>
        <w:rPr>
          <w:bCs/>
          <w:szCs w:val="24"/>
        </w:rPr>
        <w:fldChar w:fldCharType="end"/>
      </w:r>
      <w:r>
        <w:rPr>
          <w:bCs/>
          <w:szCs w:val="24"/>
        </w:rPr>
        <w:t>3</w:t>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3  Basic Requirement</w:t>
      </w:r>
      <w:r>
        <w:rPr>
          <w:bCs/>
          <w:szCs w:val="24"/>
        </w:rPr>
        <w:tab/>
      </w:r>
      <w:r>
        <w:rPr>
          <w:bCs/>
          <w:szCs w:val="24"/>
        </w:rPr>
        <w:fldChar w:fldCharType="end"/>
      </w:r>
      <w:r>
        <w:rPr>
          <w:bCs/>
          <w:szCs w:val="24"/>
        </w:rPr>
        <w:t>7</w:t>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 xml:space="preserve">4  </w:t>
      </w:r>
      <w:r>
        <w:rPr>
          <w:rFonts w:ascii="Times New Roman" w:hAnsi="Times New Roman"/>
        </w:rPr>
        <w:t>Fire Risk Identification</w:t>
      </w:r>
      <w:r>
        <w:rPr>
          <w:bCs/>
          <w:szCs w:val="24"/>
        </w:rPr>
        <w:tab/>
      </w:r>
      <w:r>
        <w:rPr>
          <w:bCs/>
          <w:szCs w:val="24"/>
        </w:rPr>
        <w:fldChar w:fldCharType="end"/>
      </w:r>
      <w:r>
        <w:rPr>
          <w:bCs/>
          <w:szCs w:val="24"/>
        </w:rPr>
        <w:t>8</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 xml:space="preserve">4.1  </w:t>
      </w:r>
      <w:r>
        <w:rPr>
          <w:rFonts w:ascii="Times New Roman" w:hAnsi="Times New Roman"/>
        </w:rPr>
        <w:t>General Provisions</w:t>
      </w:r>
      <w:r>
        <w:rPr>
          <w:bCs/>
          <w:szCs w:val="24"/>
        </w:rPr>
        <w:tab/>
      </w:r>
      <w:r>
        <w:rPr>
          <w:bCs/>
          <w:szCs w:val="24"/>
        </w:rPr>
        <w:fldChar w:fldCharType="end"/>
      </w:r>
      <w:r>
        <w:rPr>
          <w:bCs/>
          <w:szCs w:val="24"/>
        </w:rPr>
        <w:t>8</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 xml:space="preserve">4.2  </w:t>
      </w:r>
      <w:r>
        <w:rPr>
          <w:szCs w:val="24"/>
        </w:rPr>
        <w:t>F</w:t>
      </w:r>
      <w:r>
        <w:rPr>
          <w:rFonts w:hint="eastAsia"/>
          <w:szCs w:val="24"/>
        </w:rPr>
        <w:t>ire</w:t>
      </w:r>
      <w:r>
        <w:rPr>
          <w:szCs w:val="24"/>
        </w:rPr>
        <w:t xml:space="preserve"> Hazard Identification</w:t>
      </w:r>
      <w:r>
        <w:rPr>
          <w:bCs/>
          <w:szCs w:val="24"/>
        </w:rPr>
        <w:tab/>
      </w:r>
      <w:r>
        <w:rPr>
          <w:bCs/>
          <w:szCs w:val="24"/>
        </w:rPr>
        <w:fldChar w:fldCharType="end"/>
      </w:r>
      <w:r>
        <w:rPr>
          <w:bCs/>
          <w:szCs w:val="24"/>
        </w:rPr>
        <w:t>8</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 xml:space="preserve">4.3  </w:t>
      </w:r>
      <w:r>
        <w:t>Fire Risk Identification</w:t>
      </w:r>
      <w:r>
        <w:rPr>
          <w:bCs/>
          <w:szCs w:val="24"/>
        </w:rPr>
        <w:tab/>
      </w:r>
      <w:r>
        <w:rPr>
          <w:bCs/>
          <w:szCs w:val="24"/>
        </w:rPr>
        <w:fldChar w:fldCharType="end"/>
      </w:r>
      <w:r>
        <w:rPr>
          <w:bCs/>
          <w:szCs w:val="24"/>
        </w:rPr>
        <w:t>8</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 xml:space="preserve">4.4  </w:t>
      </w:r>
      <w:r>
        <w:t>Fire Scenario Design</w:t>
      </w:r>
      <w:r>
        <w:rPr>
          <w:bCs/>
          <w:szCs w:val="24"/>
        </w:rPr>
        <w:tab/>
      </w:r>
      <w:r>
        <w:rPr>
          <w:bCs/>
          <w:szCs w:val="24"/>
        </w:rPr>
        <w:fldChar w:fldCharType="end"/>
      </w:r>
      <w:r>
        <w:rPr>
          <w:bCs/>
          <w:szCs w:val="24"/>
        </w:rPr>
        <w:t>8</w:t>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  Fire</w:t>
      </w:r>
      <w:r>
        <w:t xml:space="preserve"> </w:t>
      </w:r>
      <w:r>
        <w:rPr>
          <w:bCs/>
        </w:rPr>
        <w:t>Risk Analysis</w:t>
      </w:r>
      <w:r>
        <w:rPr>
          <w:bCs/>
          <w:szCs w:val="24"/>
        </w:rPr>
        <w:tab/>
      </w:r>
      <w:r>
        <w:rPr>
          <w:bCs/>
          <w:szCs w:val="24"/>
        </w:rPr>
        <w:fldChar w:fldCharType="end"/>
      </w:r>
      <w:r>
        <w:rPr>
          <w:bCs/>
          <w:szCs w:val="24"/>
        </w:rPr>
        <w:t>11</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5.1  General Provisions</w:t>
      </w:r>
      <w:r>
        <w:rPr>
          <w:bCs/>
          <w:szCs w:val="24"/>
        </w:rPr>
        <w:tab/>
      </w:r>
      <w:r>
        <w:rPr>
          <w:bCs/>
          <w:szCs w:val="24"/>
        </w:rPr>
        <w:fldChar w:fldCharType="end"/>
      </w:r>
      <w:r>
        <w:rPr>
          <w:bCs/>
          <w:szCs w:val="24"/>
        </w:rPr>
        <w:t>11</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5.2  Analysis Method for Fire Brigade Rescue Capability</w:t>
      </w:r>
      <w:r>
        <w:rPr>
          <w:bCs/>
          <w:szCs w:val="24"/>
        </w:rPr>
        <w:tab/>
      </w:r>
      <w:r>
        <w:rPr>
          <w:bCs/>
          <w:szCs w:val="24"/>
        </w:rPr>
        <w:fldChar w:fldCharType="end"/>
      </w:r>
      <w:r>
        <w:rPr>
          <w:bCs/>
          <w:szCs w:val="24"/>
        </w:rPr>
        <w:t>11</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5.3  Analysis Method for Casualties</w:t>
      </w:r>
      <w:r>
        <w:rPr>
          <w:bCs/>
          <w:szCs w:val="24"/>
        </w:rPr>
        <w:tab/>
      </w:r>
      <w:r>
        <w:rPr>
          <w:bCs/>
          <w:szCs w:val="24"/>
        </w:rPr>
        <w:fldChar w:fldCharType="end"/>
      </w:r>
      <w:r>
        <w:rPr>
          <w:bCs/>
          <w:szCs w:val="24"/>
        </w:rPr>
        <w:t>13</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5.4  Analysis Method for Direct Property Loss</w:t>
      </w:r>
      <w:r>
        <w:rPr>
          <w:bCs/>
          <w:szCs w:val="24"/>
        </w:rPr>
        <w:tab/>
      </w:r>
      <w:r>
        <w:rPr>
          <w:bCs/>
          <w:szCs w:val="24"/>
        </w:rPr>
        <w:fldChar w:fldCharType="end"/>
      </w:r>
      <w:r>
        <w:rPr>
          <w:bCs/>
          <w:szCs w:val="24"/>
        </w:rPr>
        <w:t>20</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5.5  Analysis Method for Business Interruption</w:t>
      </w:r>
      <w:r>
        <w:rPr>
          <w:bCs/>
          <w:szCs w:val="24"/>
        </w:rPr>
        <w:tab/>
      </w:r>
      <w:r>
        <w:rPr>
          <w:bCs/>
          <w:szCs w:val="24"/>
        </w:rPr>
        <w:fldChar w:fldCharType="end"/>
      </w:r>
      <w:r>
        <w:rPr>
          <w:bCs/>
          <w:szCs w:val="24"/>
        </w:rPr>
        <w:t>21</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5.6  Analysis Method for Environmental Damage</w:t>
      </w:r>
      <w:r>
        <w:rPr>
          <w:bCs/>
          <w:szCs w:val="24"/>
        </w:rPr>
        <w:tab/>
      </w:r>
      <w:r>
        <w:rPr>
          <w:bCs/>
          <w:szCs w:val="24"/>
        </w:rPr>
        <w:fldChar w:fldCharType="end"/>
      </w:r>
      <w:r>
        <w:rPr>
          <w:bCs/>
          <w:szCs w:val="24"/>
        </w:rPr>
        <w:t>21</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5.7  Determination of Fire Loss Assessment Results</w:t>
      </w:r>
      <w:r>
        <w:rPr>
          <w:bCs/>
          <w:szCs w:val="24"/>
        </w:rPr>
        <w:tab/>
      </w:r>
      <w:r>
        <w:rPr>
          <w:bCs/>
          <w:szCs w:val="24"/>
        </w:rPr>
        <w:fldChar w:fldCharType="end"/>
      </w:r>
      <w:r>
        <w:rPr>
          <w:bCs/>
          <w:szCs w:val="24"/>
        </w:rPr>
        <w:t>21</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5.8  Determination of Fire Risk</w:t>
      </w:r>
      <w:r>
        <w:rPr>
          <w:bCs/>
          <w:szCs w:val="24"/>
        </w:rPr>
        <w:tab/>
      </w:r>
      <w:r>
        <w:rPr>
          <w:bCs/>
          <w:szCs w:val="24"/>
        </w:rPr>
        <w:fldChar w:fldCharType="end"/>
      </w:r>
      <w:r>
        <w:rPr>
          <w:bCs/>
          <w:szCs w:val="24"/>
        </w:rPr>
        <w:t>23</w:t>
      </w:r>
    </w:p>
    <w:p>
      <w:pPr>
        <w:widowControl/>
        <w:tabs>
          <w:tab w:val="right" w:leader="dot" w:pos="8306"/>
        </w:tabs>
        <w:rPr>
          <w:bCs/>
          <w:szCs w:val="24"/>
        </w:rPr>
      </w:pPr>
      <w:bookmarkStart w:id="22" w:name="OLE_LINK95"/>
      <w:r>
        <w:rPr>
          <w:bCs/>
          <w:szCs w:val="24"/>
        </w:rPr>
        <w:fldChar w:fldCharType="begin" w:fldLock="1"/>
      </w:r>
      <w:r>
        <w:rPr>
          <w:bCs/>
          <w:szCs w:val="24"/>
        </w:rPr>
        <w:instrText xml:space="preserve"> HYPERLINK "file:///E:\\项目\\2025完结\\2024.11.18%20标准%20cecs火灾风险规范\\区域火灾风险评估技术规程.doc" \l "_Toc25819" </w:instrText>
      </w:r>
      <w:r>
        <w:rPr>
          <w:bCs/>
          <w:szCs w:val="24"/>
        </w:rPr>
        <w:fldChar w:fldCharType="separate"/>
      </w:r>
      <w:r>
        <w:rPr>
          <w:bCs/>
          <w:szCs w:val="24"/>
        </w:rPr>
        <w:t>6  Fire Risk Evaluation</w:t>
      </w:r>
      <w:r>
        <w:rPr>
          <w:bCs/>
          <w:szCs w:val="24"/>
        </w:rPr>
        <w:tab/>
      </w:r>
      <w:r>
        <w:rPr>
          <w:bCs/>
          <w:szCs w:val="24"/>
        </w:rPr>
        <w:fldChar w:fldCharType="end"/>
      </w:r>
      <w:r>
        <w:rPr>
          <w:bCs/>
          <w:szCs w:val="24"/>
        </w:rPr>
        <w:t>24</w:t>
      </w:r>
    </w:p>
    <w:bookmarkEnd w:id="22"/>
    <w:p>
      <w:pPr>
        <w:widowControl/>
        <w:tabs>
          <w:tab w:val="right" w:leader="dot" w:pos="8306"/>
        </w:tabs>
        <w:ind w:firstLine="420" w:firstLineChars="200"/>
        <w:rPr>
          <w:bCs/>
          <w:szCs w:val="24"/>
        </w:rPr>
      </w:pPr>
      <w:r>
        <w:rPr>
          <w:bCs/>
          <w:szCs w:val="24"/>
        </w:rPr>
        <w:fldChar w:fldCharType="begin" w:fldLock="1"/>
      </w:r>
      <w:r>
        <w:rPr>
          <w:bCs/>
          <w:szCs w:val="24"/>
        </w:rPr>
        <w:instrText xml:space="preserve"> HYPERLINK "file:///E:\\项目\\2025完结\\2024.11.18%20标准%20cecs火灾风险规范\\区域火灾风险评估技术规程.doc" \l "_Toc25819" </w:instrText>
      </w:r>
      <w:r>
        <w:rPr>
          <w:bCs/>
          <w:szCs w:val="24"/>
        </w:rPr>
        <w:fldChar w:fldCharType="separate"/>
      </w:r>
      <w:r>
        <w:rPr>
          <w:bCs/>
          <w:szCs w:val="24"/>
        </w:rPr>
        <w:t>6.1  Fire Risk Criteria</w:t>
      </w:r>
      <w:r>
        <w:rPr>
          <w:bCs/>
          <w:szCs w:val="24"/>
        </w:rPr>
        <w:tab/>
      </w:r>
      <w:r>
        <w:rPr>
          <w:bCs/>
          <w:szCs w:val="24"/>
        </w:rPr>
        <w:fldChar w:fldCharType="end"/>
      </w:r>
      <w:r>
        <w:rPr>
          <w:bCs/>
          <w:szCs w:val="24"/>
        </w:rPr>
        <w:t>24</w:t>
      </w:r>
    </w:p>
    <w:p>
      <w:pPr>
        <w:widowControl/>
        <w:tabs>
          <w:tab w:val="right" w:leader="dot" w:pos="8306"/>
        </w:tabs>
        <w:ind w:firstLine="420" w:firstLineChars="200"/>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bCs/>
          <w:szCs w:val="24"/>
        </w:rPr>
        <w:t>6.2  Uncertainty and Sensitivity Analysis of Fire Risk</w:t>
      </w:r>
      <w:r>
        <w:rPr>
          <w:bCs/>
          <w:szCs w:val="24"/>
        </w:rPr>
        <w:tab/>
      </w:r>
      <w:r>
        <w:rPr>
          <w:bCs/>
          <w:szCs w:val="24"/>
        </w:rPr>
        <w:fldChar w:fldCharType="end"/>
      </w:r>
      <w:r>
        <w:rPr>
          <w:bCs/>
          <w:szCs w:val="24"/>
        </w:rPr>
        <w:t>24</w:t>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szCs w:val="24"/>
        </w:rPr>
        <w:t>7  Fire Risk Treatment and Post-Evaluation</w:t>
      </w:r>
      <w:r>
        <w:rPr>
          <w:bCs/>
          <w:szCs w:val="24"/>
        </w:rPr>
        <w:t> </w:t>
      </w:r>
      <w:r>
        <w:rPr>
          <w:bCs/>
          <w:szCs w:val="24"/>
        </w:rPr>
        <w:tab/>
      </w:r>
      <w:r>
        <w:rPr>
          <w:bCs/>
          <w:szCs w:val="24"/>
        </w:rPr>
        <w:fldChar w:fldCharType="end"/>
      </w:r>
      <w:r>
        <w:rPr>
          <w:bCs/>
          <w:szCs w:val="24"/>
        </w:rPr>
        <w:t>26</w:t>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szCs w:val="24"/>
        </w:rPr>
        <w:t>8  Supervision and Inspection of Fire Risk Assessment</w:t>
      </w:r>
      <w:r>
        <w:rPr>
          <w:bCs/>
          <w:szCs w:val="24"/>
        </w:rPr>
        <w:tab/>
      </w:r>
      <w:r>
        <w:rPr>
          <w:bCs/>
          <w:szCs w:val="24"/>
        </w:rPr>
        <w:fldChar w:fldCharType="end"/>
      </w:r>
      <w:r>
        <w:rPr>
          <w:bCs/>
          <w:szCs w:val="24"/>
        </w:rPr>
        <w:t>28</w:t>
      </w:r>
    </w:p>
    <w:p>
      <w:pPr>
        <w:widowControl/>
        <w:tabs>
          <w:tab w:val="right" w:leader="dot" w:pos="8306"/>
        </w:tabs>
        <w:rPr>
          <w:bCs/>
          <w:szCs w:val="24"/>
        </w:rPr>
      </w:pPr>
      <w:r>
        <w:fldChar w:fldCharType="begin"/>
      </w:r>
      <w:r>
        <w:instrText xml:space="preserve"> HYPERLINK "file:///E:\\项目\\2025完结\\2024.11.18%20标准%20cecs火灾风险规范\\区域火灾风险评估技术规程.doc" \l "_Toc25819" </w:instrText>
      </w:r>
      <w:r>
        <w:fldChar w:fldCharType="separate"/>
      </w:r>
      <w:r>
        <w:rPr>
          <w:szCs w:val="24"/>
        </w:rPr>
        <w:t>Explanation of Provisions</w:t>
      </w:r>
      <w:r>
        <w:rPr>
          <w:bCs/>
          <w:szCs w:val="24"/>
        </w:rPr>
        <w:tab/>
      </w:r>
      <w:r>
        <w:rPr>
          <w:bCs/>
          <w:szCs w:val="24"/>
        </w:rPr>
        <w:fldChar w:fldCharType="end"/>
      </w:r>
      <w:r>
        <w:rPr>
          <w:bCs/>
          <w:szCs w:val="24"/>
        </w:rPr>
        <w:t>31</w:t>
      </w:r>
    </w:p>
    <w:p>
      <w:pPr>
        <w:rPr>
          <w:rFonts w:hint="eastAsia" w:ascii="Times New Roman" w:hAnsi="Times New Roman"/>
        </w:rPr>
      </w:pPr>
    </w:p>
    <w:p>
      <w:pPr>
        <w:pStyle w:val="55"/>
        <w:spacing w:after="468"/>
        <w:rPr>
          <w:rFonts w:ascii="Times New Roman"/>
          <w:spacing w:val="320"/>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pStyle w:val="54"/>
        <w:ind w:firstLine="480"/>
        <w:rPr>
          <w:rFonts w:ascii="Times New Roman"/>
          <w:szCs w:val="21"/>
        </w:rPr>
      </w:pPr>
    </w:p>
    <w:p>
      <w:pPr>
        <w:pStyle w:val="134"/>
        <w:spacing w:before="240" w:after="240"/>
        <w:ind w:left="0"/>
        <w:jc w:val="center"/>
        <w:rPr>
          <w:rFonts w:ascii="Times New Roman"/>
          <w:sz w:val="32"/>
          <w:szCs w:val="32"/>
        </w:rPr>
      </w:pPr>
      <w:bookmarkStart w:id="23" w:name="_Toc191997165"/>
      <w:bookmarkStart w:id="24" w:name="_Toc214005670"/>
      <w:bookmarkStart w:id="25" w:name="_Toc191997231"/>
      <w:bookmarkStart w:id="26" w:name="_Toc191997409"/>
      <w:bookmarkStart w:id="27" w:name="_Toc214005501"/>
      <w:bookmarkStart w:id="28" w:name="_Toc214008833"/>
      <w:bookmarkStart w:id="29" w:name="_Toc191997450"/>
      <w:bookmarkStart w:id="30" w:name="_Toc26097"/>
      <w:r>
        <w:rPr>
          <w:rFonts w:ascii="Times New Roman"/>
          <w:sz w:val="32"/>
          <w:szCs w:val="32"/>
        </w:rPr>
        <w:t>总  则</w:t>
      </w:r>
      <w:bookmarkEnd w:id="23"/>
      <w:bookmarkEnd w:id="24"/>
      <w:bookmarkEnd w:id="25"/>
      <w:bookmarkEnd w:id="26"/>
      <w:bookmarkEnd w:id="27"/>
      <w:bookmarkEnd w:id="28"/>
      <w:bookmarkEnd w:id="29"/>
      <w:bookmarkEnd w:id="30"/>
    </w:p>
    <w:p>
      <w:pPr>
        <w:pStyle w:val="255"/>
      </w:pPr>
      <w:bookmarkStart w:id="31" w:name="_Toc24884212"/>
      <w:bookmarkStart w:id="32" w:name="_Toc17233334"/>
      <w:bookmarkStart w:id="33" w:name="_Toc26648466"/>
      <w:bookmarkStart w:id="34" w:name="_Toc24884219"/>
      <w:bookmarkStart w:id="35" w:name="_Toc17233326"/>
      <w:r>
        <w:rPr>
          <w:b/>
        </w:rPr>
        <w:t>1.0.1</w:t>
      </w:r>
      <w:r>
        <w:t xml:space="preserve">  为贯彻</w:t>
      </w:r>
      <w:r>
        <w:rPr>
          <w:rFonts w:hint="eastAsia"/>
        </w:rPr>
        <w:t>以防为主、防抗救相结合的防灾减灾方针，</w:t>
      </w:r>
      <w:r>
        <w:t>规范火灾风险评估工作，</w:t>
      </w:r>
      <w:r>
        <w:rPr>
          <w:rFonts w:hint="eastAsia"/>
        </w:rPr>
        <w:t>实现</w:t>
      </w:r>
      <w:r>
        <w:t>灾前预防和</w:t>
      </w:r>
      <w:r>
        <w:rPr>
          <w:rFonts w:hint="eastAsia"/>
        </w:rPr>
        <w:t>减轻火灾</w:t>
      </w:r>
      <w:r>
        <w:t>风险的防灾减灾新范式</w:t>
      </w:r>
      <w:r>
        <w:rPr>
          <w:rFonts w:hint="eastAsia"/>
        </w:rPr>
        <w:t>，</w:t>
      </w:r>
      <w:r>
        <w:t>制定本标准。</w:t>
      </w:r>
    </w:p>
    <w:p>
      <w:pPr>
        <w:pStyle w:val="255"/>
        <w:wordWrap/>
      </w:pPr>
      <w:r>
        <w:rPr>
          <w:b/>
        </w:rPr>
        <w:t>1.0.2</w:t>
      </w:r>
      <w:r>
        <w:t xml:space="preserve">  本标准适用于新建、扩建</w:t>
      </w:r>
      <w:r>
        <w:rPr>
          <w:rFonts w:hint="eastAsia"/>
        </w:rPr>
        <w:t>、</w:t>
      </w:r>
      <w:r>
        <w:t>改建</w:t>
      </w:r>
      <w:r>
        <w:rPr>
          <w:rFonts w:hint="eastAsia"/>
        </w:rPr>
        <w:t>和既有</w:t>
      </w:r>
      <w:r>
        <w:t>建筑的火灾风险评估。</w:t>
      </w:r>
      <w:r>
        <w:rPr>
          <w:rFonts w:hint="eastAsia"/>
        </w:rPr>
        <w:t>不适用于易燃易爆等爆炸场所。</w:t>
      </w:r>
    </w:p>
    <w:p>
      <w:pPr>
        <w:pStyle w:val="255"/>
        <w:wordWrap/>
      </w:pPr>
      <w:r>
        <w:rPr>
          <w:b/>
        </w:rPr>
        <w:t>1.0.3</w:t>
      </w:r>
      <w:r>
        <w:rPr>
          <w:bCs/>
        </w:rPr>
        <w:t xml:space="preserve">  </w:t>
      </w:r>
      <w:r>
        <w:t>建筑火灾</w:t>
      </w:r>
      <w:r>
        <w:rPr>
          <w:rFonts w:hint="eastAsia"/>
        </w:rPr>
        <w:t>风险</w:t>
      </w:r>
      <w:r>
        <w:t>的</w:t>
      </w:r>
      <w:r>
        <w:rPr>
          <w:rFonts w:hint="eastAsia"/>
        </w:rPr>
        <w:t>评估应积极采用新技术、新方法，确保其评估结果具有可信度。</w:t>
      </w:r>
    </w:p>
    <w:p>
      <w:pPr>
        <w:pStyle w:val="255"/>
        <w:wordWrap/>
        <w:rPr>
          <w:bCs/>
        </w:rPr>
      </w:pPr>
      <w:r>
        <w:rPr>
          <w:b/>
        </w:rPr>
        <w:t>1.0.4</w:t>
      </w:r>
      <w:r>
        <w:rPr>
          <w:bCs/>
        </w:rPr>
        <w:t xml:space="preserve">  </w:t>
      </w:r>
      <w:r>
        <w:rPr>
          <w:rFonts w:hint="eastAsia"/>
          <w:bCs/>
        </w:rPr>
        <w:t>建筑火灾</w:t>
      </w:r>
      <w:r>
        <w:rPr>
          <w:rFonts w:hint="eastAsia"/>
        </w:rPr>
        <w:t>风险</w:t>
      </w:r>
      <w:r>
        <w:t>的</w:t>
      </w:r>
      <w:r>
        <w:rPr>
          <w:rFonts w:hint="eastAsia"/>
        </w:rPr>
        <w:t>评估</w:t>
      </w:r>
      <w:r>
        <w:rPr>
          <w:bCs/>
        </w:rPr>
        <w:t>，除应符合本规程外，尚应符合国家</w:t>
      </w:r>
      <w:r>
        <w:rPr>
          <w:rFonts w:hint="eastAsia"/>
          <w:bCs/>
        </w:rPr>
        <w:t>和中国工程建设标准化协会现行</w:t>
      </w:r>
      <w:r>
        <w:rPr>
          <w:bCs/>
        </w:rPr>
        <w:t>有关标准的规定。</w:t>
      </w:r>
    </w:p>
    <w:p>
      <w:pPr>
        <w:pStyle w:val="255"/>
      </w:pPr>
    </w:p>
    <w:p>
      <w:pPr>
        <w:widowControl/>
        <w:jc w:val="left"/>
        <w:rPr>
          <w:rFonts w:ascii="Times New Roman" w:hAnsi="Times New Roman"/>
        </w:rPr>
      </w:pPr>
      <w:r>
        <w:rPr>
          <w:rFonts w:ascii="Times New Roman" w:hAnsi="Times New Roman"/>
        </w:rPr>
        <w:br w:type="page"/>
      </w:r>
    </w:p>
    <w:bookmarkEnd w:id="31"/>
    <w:bookmarkEnd w:id="32"/>
    <w:bookmarkEnd w:id="33"/>
    <w:bookmarkEnd w:id="34"/>
    <w:bookmarkEnd w:id="35"/>
    <w:p>
      <w:pPr>
        <w:pStyle w:val="134"/>
        <w:spacing w:before="240" w:after="240"/>
        <w:ind w:left="0"/>
        <w:jc w:val="center"/>
        <w:rPr>
          <w:rFonts w:ascii="Times New Roman"/>
          <w:sz w:val="32"/>
          <w:szCs w:val="30"/>
        </w:rPr>
      </w:pPr>
      <w:bookmarkStart w:id="36" w:name="_Toc191997232"/>
      <w:bookmarkEnd w:id="36"/>
      <w:bookmarkStart w:id="37" w:name="_Toc191997166"/>
      <w:bookmarkEnd w:id="37"/>
      <w:bookmarkStart w:id="38" w:name="_Toc191997410"/>
      <w:bookmarkEnd w:id="38"/>
      <w:bookmarkStart w:id="39" w:name="_Toc191997199"/>
      <w:bookmarkEnd w:id="39"/>
      <w:bookmarkStart w:id="40" w:name="_Toc191997451"/>
      <w:bookmarkEnd w:id="40"/>
      <w:bookmarkStart w:id="41" w:name="_Toc191997167"/>
      <w:bookmarkStart w:id="42" w:name="_Toc191997233"/>
      <w:bookmarkStart w:id="43" w:name="_Toc191997411"/>
      <w:bookmarkStart w:id="44" w:name="_Toc191997452"/>
      <w:bookmarkStart w:id="45" w:name="_Toc214005502"/>
      <w:bookmarkStart w:id="46" w:name="_Toc214008834"/>
      <w:bookmarkStart w:id="47" w:name="_Toc214005671"/>
      <w:bookmarkStart w:id="48" w:name="_Toc8314"/>
      <w:r>
        <w:rPr>
          <w:rFonts w:ascii="Times New Roman"/>
          <w:sz w:val="32"/>
          <w:szCs w:val="30"/>
        </w:rPr>
        <w:t>术语和符号</w:t>
      </w:r>
      <w:bookmarkEnd w:id="41"/>
      <w:bookmarkEnd w:id="42"/>
      <w:bookmarkEnd w:id="43"/>
      <w:bookmarkEnd w:id="44"/>
      <w:bookmarkEnd w:id="45"/>
      <w:bookmarkEnd w:id="46"/>
      <w:bookmarkEnd w:id="47"/>
      <w:bookmarkEnd w:id="48"/>
    </w:p>
    <w:p>
      <w:pPr>
        <w:pStyle w:val="135"/>
        <w:spacing w:before="120" w:after="120"/>
        <w:ind w:left="0"/>
        <w:jc w:val="center"/>
        <w:rPr>
          <w:rFonts w:ascii="Times New Roman"/>
          <w:sz w:val="28"/>
        </w:rPr>
      </w:pPr>
      <w:bookmarkStart w:id="49" w:name="_Toc191997234"/>
      <w:bookmarkStart w:id="50" w:name="_Toc191997168"/>
      <w:bookmarkStart w:id="51" w:name="_Toc214005503"/>
      <w:bookmarkStart w:id="52" w:name="_Toc214008835"/>
      <w:bookmarkStart w:id="53" w:name="_Toc191997453"/>
      <w:bookmarkStart w:id="54" w:name="_Toc214005672"/>
      <w:bookmarkStart w:id="55" w:name="_Toc191997412"/>
      <w:bookmarkStart w:id="56" w:name="_Toc16945"/>
      <w:r>
        <w:rPr>
          <w:rFonts w:ascii="Times New Roman"/>
          <w:sz w:val="28"/>
        </w:rPr>
        <w:t>术  语</w:t>
      </w:r>
      <w:bookmarkEnd w:id="49"/>
      <w:bookmarkEnd w:id="50"/>
      <w:bookmarkEnd w:id="51"/>
      <w:bookmarkEnd w:id="52"/>
      <w:bookmarkEnd w:id="53"/>
      <w:bookmarkEnd w:id="54"/>
      <w:bookmarkEnd w:id="55"/>
      <w:bookmarkEnd w:id="56"/>
    </w:p>
    <w:p>
      <w:pPr>
        <w:pStyle w:val="195"/>
        <w:spacing w:line="312" w:lineRule="auto"/>
        <w:jc w:val="left"/>
        <w:rPr>
          <w:szCs w:val="24"/>
        </w:rPr>
      </w:pPr>
      <w:r>
        <w:rPr>
          <w:rFonts w:hint="eastAsia"/>
          <w:szCs w:val="24"/>
        </w:rPr>
        <w:t>火灾危险源</w:t>
      </w:r>
      <w:r>
        <w:rPr>
          <w:szCs w:val="24"/>
        </w:rPr>
        <w:t xml:space="preserve">  </w:t>
      </w:r>
      <w:r>
        <w:rPr>
          <w:rFonts w:hint="eastAsia"/>
          <w:szCs w:val="24"/>
        </w:rPr>
        <w:t>fire</w:t>
      </w:r>
      <w:r>
        <w:rPr>
          <w:szCs w:val="24"/>
        </w:rPr>
        <w:t xml:space="preserve"> hazard </w:t>
      </w:r>
      <w:r>
        <w:rPr>
          <w:rFonts w:hint="eastAsia"/>
        </w:rPr>
        <w:t>source</w:t>
      </w:r>
    </w:p>
    <w:p>
      <w:pPr>
        <w:spacing w:line="312" w:lineRule="auto"/>
        <w:ind w:firstLine="480" w:firstLineChars="200"/>
        <w:rPr>
          <w:rFonts w:ascii="Times New Roman" w:hAnsi="Times New Roman"/>
          <w:sz w:val="24"/>
          <w:szCs w:val="24"/>
        </w:rPr>
      </w:pPr>
      <w:r>
        <w:rPr>
          <w:rFonts w:hint="eastAsia" w:ascii="Times New Roman" w:hAnsi="Times New Roman"/>
          <w:sz w:val="24"/>
          <w:szCs w:val="24"/>
        </w:rPr>
        <w:t>是指可能导致火灾发生的潜在根源、状态或行为，或它们的组合。分为第一类危险源、第二类危险源。</w:t>
      </w:r>
    </w:p>
    <w:p>
      <w:pPr>
        <w:spacing w:line="312" w:lineRule="auto"/>
        <w:ind w:firstLine="480" w:firstLineChars="200"/>
        <w:rPr>
          <w:rFonts w:ascii="Times New Roman" w:hAnsi="Times New Roman"/>
          <w:sz w:val="24"/>
          <w:szCs w:val="24"/>
        </w:rPr>
      </w:pPr>
      <w:r>
        <w:rPr>
          <w:rFonts w:hint="eastAsia" w:ascii="Times New Roman" w:hAnsi="Times New Roman"/>
          <w:sz w:val="24"/>
          <w:szCs w:val="24"/>
        </w:rPr>
        <w:t>第一类危险源是指生产、生活过程中固有的各种能量，即可燃物。</w:t>
      </w:r>
    </w:p>
    <w:p>
      <w:pPr>
        <w:spacing w:line="312" w:lineRule="auto"/>
        <w:ind w:firstLine="480" w:firstLineChars="200"/>
        <w:rPr>
          <w:rFonts w:ascii="Times New Roman" w:hAnsi="Times New Roman"/>
          <w:sz w:val="24"/>
          <w:szCs w:val="24"/>
        </w:rPr>
      </w:pPr>
      <w:r>
        <w:rPr>
          <w:rFonts w:hint="eastAsia" w:ascii="Times New Roman" w:hAnsi="Times New Roman"/>
          <w:sz w:val="24"/>
          <w:szCs w:val="24"/>
        </w:rPr>
        <w:t>第二类危险源是指导致约束、限制能量措施或屏障失效或破坏的各种不安全因素，即点火能量。</w:t>
      </w:r>
    </w:p>
    <w:p>
      <w:pPr>
        <w:pStyle w:val="195"/>
        <w:spacing w:line="312" w:lineRule="auto"/>
        <w:jc w:val="left"/>
        <w:rPr>
          <w:szCs w:val="24"/>
        </w:rPr>
      </w:pPr>
      <w:r>
        <w:rPr>
          <w:rFonts w:hint="eastAsia"/>
          <w:szCs w:val="24"/>
        </w:rPr>
        <w:t>火灾危险源辨识</w:t>
      </w:r>
      <w:r>
        <w:rPr>
          <w:szCs w:val="24"/>
        </w:rPr>
        <w:t xml:space="preserve">  </w:t>
      </w:r>
      <w:r>
        <w:rPr>
          <w:rFonts w:hint="eastAsia"/>
          <w:szCs w:val="24"/>
        </w:rPr>
        <w:t>fire</w:t>
      </w:r>
      <w:r>
        <w:rPr>
          <w:szCs w:val="24"/>
        </w:rPr>
        <w:t xml:space="preserve"> hazard identification</w:t>
      </w:r>
    </w:p>
    <w:p>
      <w:pPr>
        <w:spacing w:line="312" w:lineRule="auto"/>
        <w:ind w:firstLine="480" w:firstLineChars="200"/>
        <w:rPr>
          <w:rFonts w:ascii="Times New Roman" w:hAnsi="Times New Roman"/>
          <w:sz w:val="24"/>
          <w:szCs w:val="24"/>
        </w:rPr>
      </w:pPr>
      <w:r>
        <w:rPr>
          <w:rFonts w:hint="eastAsia" w:ascii="Times New Roman" w:hAnsi="Times New Roman"/>
          <w:sz w:val="24"/>
          <w:szCs w:val="24"/>
        </w:rPr>
        <w:t>是指发现、识别潜在的火灾危险源，并确定其特性的过程</w:t>
      </w:r>
      <w:r>
        <w:rPr>
          <w:rFonts w:ascii="Times New Roman" w:hAnsi="Times New Roman"/>
          <w:sz w:val="24"/>
          <w:szCs w:val="24"/>
          <w:vertAlign w:val="superscript"/>
        </w:rPr>
        <w:t>[</w:t>
      </w:r>
      <w:r>
        <w:rPr>
          <w:rStyle w:val="40"/>
          <w:rFonts w:ascii="Times New Roman" w:hAnsi="Times New Roman"/>
          <w:sz w:val="24"/>
          <w:szCs w:val="24"/>
        </w:rPr>
        <w:footnoteReference w:id="0"/>
      </w:r>
      <w:r>
        <w:rPr>
          <w:rFonts w:ascii="Times New Roman" w:hAnsi="Times New Roman"/>
          <w:sz w:val="24"/>
          <w:szCs w:val="24"/>
          <w:vertAlign w:val="superscript"/>
        </w:rPr>
        <w:t>]</w:t>
      </w:r>
      <w:r>
        <w:rPr>
          <w:rFonts w:hint="eastAsia" w:ascii="Times New Roman" w:hAnsi="Times New Roman"/>
          <w:sz w:val="24"/>
          <w:szCs w:val="24"/>
        </w:rPr>
        <w:t>。</w:t>
      </w:r>
    </w:p>
    <w:p>
      <w:pPr>
        <w:pStyle w:val="195"/>
      </w:pPr>
      <w:r>
        <w:rPr>
          <w:rFonts w:hint="eastAsia"/>
        </w:rPr>
        <w:t>火灾风险源 fire</w:t>
      </w:r>
      <w:r>
        <w:t xml:space="preserve"> </w:t>
      </w:r>
      <w:r>
        <w:rPr>
          <w:rFonts w:hint="eastAsia"/>
        </w:rPr>
        <w:t>risk</w:t>
      </w:r>
      <w:r>
        <w:t xml:space="preserve"> </w:t>
      </w:r>
      <w:r>
        <w:rPr>
          <w:rFonts w:hint="eastAsia"/>
        </w:rPr>
        <w:t>source</w:t>
      </w:r>
    </w:p>
    <w:p>
      <w:pPr>
        <w:pStyle w:val="255"/>
        <w:wordWrap/>
        <w:ind w:firstLine="480" w:firstLineChars="200"/>
      </w:pPr>
      <w:r>
        <w:rPr>
          <w:rFonts w:hint="eastAsia"/>
        </w:rPr>
        <w:t>是指火灾发生的可能性大小，以及火灾发生后造成人员伤害、财产损失、商业连续性中断、环境破坏等潜在后果严重程度的根源、状态或行为，或它们的组合。</w:t>
      </w:r>
    </w:p>
    <w:p>
      <w:pPr>
        <w:pStyle w:val="195"/>
        <w:rPr>
          <w:b/>
        </w:rPr>
      </w:pPr>
      <w:r>
        <w:rPr>
          <w:rFonts w:hint="eastAsia"/>
        </w:rPr>
        <w:t>火灾风险识别</w:t>
      </w:r>
      <w:r>
        <w:t xml:space="preserve">  fire risk identification</w:t>
      </w:r>
    </w:p>
    <w:p>
      <w:pPr>
        <w:pStyle w:val="54"/>
        <w:ind w:firstLine="480"/>
        <w:rPr>
          <w:rFonts w:ascii="Times New Roman"/>
        </w:rPr>
      </w:pPr>
      <w:r>
        <w:rPr>
          <w:rFonts w:hint="eastAsia" w:ascii="Times New Roman"/>
        </w:rPr>
        <w:t>是指对火灾危险源、火灾发生可能性大小和潜在后果严重程度的发现、确认、描述的过程。</w:t>
      </w:r>
    </w:p>
    <w:p>
      <w:pPr>
        <w:pStyle w:val="195"/>
      </w:pPr>
      <w:r>
        <w:rPr>
          <w:rFonts w:hint="eastAsia"/>
        </w:rPr>
        <w:t>火灾隐患  fire potential</w:t>
      </w:r>
    </w:p>
    <w:p>
      <w:pPr>
        <w:pStyle w:val="255"/>
        <w:ind w:firstLine="480" w:firstLineChars="200"/>
      </w:pPr>
      <w:r>
        <w:rPr>
          <w:rFonts w:hint="eastAsia"/>
        </w:rPr>
        <w:t>违反消防法律法规、不符合消防技术标准，易导致火灾事故的各类潜在不安全因素。</w:t>
      </w:r>
    </w:p>
    <w:p>
      <w:pPr>
        <w:pStyle w:val="195"/>
      </w:pPr>
      <w:r>
        <w:t>火灾风险分析  fire risk analysis</w:t>
      </w:r>
    </w:p>
    <w:p>
      <w:pPr>
        <w:pStyle w:val="255"/>
        <w:ind w:firstLine="480" w:firstLineChars="200"/>
        <w:rPr>
          <w:szCs w:val="20"/>
        </w:rPr>
      </w:pPr>
      <w:r>
        <w:rPr>
          <w:rFonts w:hint="eastAsia"/>
          <w:szCs w:val="20"/>
        </w:rPr>
        <w:t>是指针对已识别出的各类风险，结合已采取和拟采取的风险应对措施的预期成效，采用定性、半定量或定量的方法分析各类风险发生可能性、影响程度及即风险等级的过程。</w:t>
      </w:r>
    </w:p>
    <w:p>
      <w:pPr>
        <w:pStyle w:val="195"/>
        <w:rPr>
          <w:rFonts w:cs="Arial"/>
          <w:color w:val="000000"/>
          <w:sz w:val="21"/>
        </w:rPr>
      </w:pPr>
      <w:r>
        <w:rPr>
          <w:rFonts w:hint="eastAsia"/>
        </w:rPr>
        <w:t>设定火灾场景</w:t>
      </w:r>
      <w:r>
        <w:t xml:space="preserve">  design fire scenario</w:t>
      </w:r>
    </w:p>
    <w:p>
      <w:pPr>
        <w:pStyle w:val="255"/>
        <w:ind w:firstLine="480" w:firstLineChars="200"/>
      </w:pPr>
      <w:r>
        <w:rPr>
          <w:rFonts w:hint="eastAsia"/>
          <w:szCs w:val="20"/>
        </w:rPr>
        <w:t>进行定性或定量的消防安全工程分析所采用的特定火灾场景。</w:t>
      </w:r>
    </w:p>
    <w:p>
      <w:pPr>
        <w:pStyle w:val="255"/>
        <w:ind w:firstLine="480" w:firstLineChars="200"/>
      </w:pPr>
      <w:r>
        <w:rPr>
          <w:rFonts w:hint="eastAsia"/>
        </w:rPr>
        <w:t>注：因为可能的火灾场景非常多，所以，有必要选择最重要的场景</w:t>
      </w:r>
      <w:r>
        <w:t>(</w:t>
      </w:r>
      <w:r>
        <w:rPr>
          <w:rFonts w:hint="eastAsia"/>
        </w:rPr>
        <w:t>设定火灾场景</w:t>
      </w:r>
      <w:r>
        <w:t>)</w:t>
      </w:r>
      <w:r>
        <w:rPr>
          <w:rFonts w:hint="eastAsia"/>
        </w:rPr>
        <w:t>进行分析。设定火灾场景的选择是和火灾安全设计目标相适应的，并且能说明潜在的火灾场景的可能性和后果。</w:t>
      </w:r>
    </w:p>
    <w:p>
      <w:pPr>
        <w:pStyle w:val="195"/>
      </w:pPr>
      <w:r>
        <w:rPr>
          <w:rFonts w:hint="eastAsia"/>
        </w:rPr>
        <w:t>火灾风险准则 fire</w:t>
      </w:r>
      <w:r>
        <w:t xml:space="preserve"> </w:t>
      </w:r>
      <w:r>
        <w:rPr>
          <w:rFonts w:hint="eastAsia"/>
        </w:rPr>
        <w:t>risk</w:t>
      </w:r>
      <w:r>
        <w:t xml:space="preserve"> </w:t>
      </w:r>
      <w:r>
        <w:rPr>
          <w:rFonts w:hint="eastAsia"/>
        </w:rPr>
        <w:t>criteria</w:t>
      </w:r>
    </w:p>
    <w:p>
      <w:pPr>
        <w:pStyle w:val="255"/>
        <w:ind w:firstLine="480" w:firstLineChars="200"/>
      </w:pPr>
      <w:r>
        <w:rPr>
          <w:rFonts w:hint="eastAsia"/>
        </w:rPr>
        <w:t>是指评价火灾风险</w:t>
      </w:r>
      <w:r>
        <w:rPr>
          <w:rFonts w:hint="eastAsia"/>
          <w:b/>
        </w:rPr>
        <w:t>重要性</w:t>
      </w:r>
      <w:r>
        <w:t>/</w:t>
      </w:r>
      <w:r>
        <w:rPr>
          <w:rFonts w:hint="eastAsia"/>
          <w:b/>
        </w:rPr>
        <w:t>大小</w:t>
      </w:r>
      <w:r>
        <w:rPr>
          <w:rFonts w:hint="eastAsia"/>
        </w:rPr>
        <w:t>的标准。</w:t>
      </w:r>
    </w:p>
    <w:p>
      <w:pPr>
        <w:pStyle w:val="195"/>
      </w:pPr>
      <w:r>
        <w:rPr>
          <w:rFonts w:hint="eastAsia"/>
        </w:rPr>
        <w:t>火灾风险评价 fire</w:t>
      </w:r>
      <w:r>
        <w:t xml:space="preserve"> </w:t>
      </w:r>
      <w:r>
        <w:rPr>
          <w:rFonts w:hint="eastAsia"/>
        </w:rPr>
        <w:t>risk</w:t>
      </w:r>
      <w:r>
        <w:t xml:space="preserve"> </w:t>
      </w:r>
      <w:r>
        <w:rPr>
          <w:rFonts w:hint="eastAsia"/>
        </w:rPr>
        <w:t>evaluation</w:t>
      </w:r>
    </w:p>
    <w:p>
      <w:pPr>
        <w:pStyle w:val="255"/>
        <w:ind w:firstLine="480" w:firstLineChars="200"/>
      </w:pPr>
      <w:r>
        <w:rPr>
          <w:rFonts w:hint="eastAsia"/>
        </w:rPr>
        <w:t>是指将火灾风险分析结果与风险准则进行对比，以确定风险是否可以接受或容忍的过程。</w:t>
      </w:r>
    </w:p>
    <w:p>
      <w:pPr>
        <w:pStyle w:val="195"/>
      </w:pPr>
      <w:r>
        <w:t>火灾风险评估  fire risk assessment</w:t>
      </w:r>
    </w:p>
    <w:p>
      <w:pPr>
        <w:pStyle w:val="54"/>
        <w:ind w:firstLine="480"/>
        <w:rPr>
          <w:rFonts w:ascii="Times New Roman"/>
        </w:rPr>
      </w:pPr>
      <w:r>
        <w:rPr>
          <w:rFonts w:ascii="Times New Roman"/>
        </w:rPr>
        <w:t>火灾</w:t>
      </w:r>
      <w:r>
        <w:rPr>
          <w:rFonts w:hint="eastAsia" w:ascii="Times New Roman"/>
        </w:rPr>
        <w:t>风险识别、</w:t>
      </w:r>
      <w:r>
        <w:rPr>
          <w:rFonts w:ascii="Times New Roman"/>
        </w:rPr>
        <w:t>火灾</w:t>
      </w:r>
      <w:r>
        <w:rPr>
          <w:rFonts w:hint="eastAsia" w:ascii="Times New Roman"/>
        </w:rPr>
        <w:t>风险分析和</w:t>
      </w:r>
      <w:r>
        <w:rPr>
          <w:rFonts w:ascii="Times New Roman"/>
        </w:rPr>
        <w:t>火灾</w:t>
      </w:r>
      <w:r>
        <w:rPr>
          <w:rFonts w:hint="eastAsia" w:ascii="Times New Roman"/>
        </w:rPr>
        <w:t>风险评价的全过程。</w:t>
      </w:r>
    </w:p>
    <w:p>
      <w:pPr>
        <w:pStyle w:val="195"/>
        <w:rPr>
          <w:b/>
        </w:rPr>
      </w:pPr>
      <w:r>
        <w:t>必需疏散时间（</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oMath>
      <w:r>
        <w:t>）</w:t>
      </w:r>
      <w:r>
        <w:rPr>
          <w:rFonts w:hint="eastAsia"/>
        </w:rPr>
        <w:t>r</w:t>
      </w:r>
      <w:r>
        <w:t xml:space="preserve">equired </w:t>
      </w:r>
      <w:r>
        <w:rPr>
          <w:rFonts w:hint="eastAsia"/>
        </w:rPr>
        <w:t>s</w:t>
      </w:r>
      <w:r>
        <w:t xml:space="preserve">afe </w:t>
      </w:r>
      <w:r>
        <w:rPr>
          <w:rFonts w:hint="eastAsia"/>
        </w:rPr>
        <w:t>e</w:t>
      </w:r>
      <w:r>
        <w:t xml:space="preserve">gress </w:t>
      </w:r>
      <w:r>
        <w:rPr>
          <w:rFonts w:hint="eastAsia"/>
        </w:rPr>
        <w:t>t</w:t>
      </w:r>
      <w:r>
        <w:t>ime</w:t>
      </w:r>
    </w:p>
    <w:p>
      <w:pPr>
        <w:pStyle w:val="255"/>
        <w:ind w:firstLine="480" w:firstLineChars="200"/>
      </w:pPr>
      <w:r>
        <w:t>指从起火时刻起到人员疏散到安全区域的时间</w:t>
      </w:r>
      <w:r>
        <w:rPr>
          <w:rFonts w:hint="eastAsia"/>
        </w:rPr>
        <w:t>。</w:t>
      </w:r>
    </w:p>
    <w:p>
      <w:pPr>
        <w:pStyle w:val="195"/>
      </w:pPr>
      <w:r>
        <w:rPr>
          <w:rFonts w:hint="eastAsia"/>
        </w:rPr>
        <w:t>可用疏散时间（</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rPr>
          <w:rFonts w:hint="eastAsia"/>
        </w:rPr>
        <w:t>）a</w:t>
      </w:r>
      <w:r>
        <w:t xml:space="preserve">vailable </w:t>
      </w:r>
      <w:r>
        <w:rPr>
          <w:rFonts w:hint="eastAsia"/>
        </w:rPr>
        <w:t>s</w:t>
      </w:r>
      <w:r>
        <w:t xml:space="preserve">afe </w:t>
      </w:r>
      <w:r>
        <w:rPr>
          <w:rFonts w:hint="eastAsia"/>
        </w:rPr>
        <w:t>e</w:t>
      </w:r>
      <w:r>
        <w:t xml:space="preserve">gress </w:t>
      </w:r>
      <w:r>
        <w:rPr>
          <w:rFonts w:hint="eastAsia"/>
        </w:rPr>
        <w:t>t</w:t>
      </w:r>
      <w:r>
        <w:t>ime</w:t>
      </w:r>
    </w:p>
    <w:p>
      <w:pPr>
        <w:pStyle w:val="255"/>
        <w:ind w:firstLine="480" w:firstLineChars="200"/>
      </w:pPr>
      <w:r>
        <w:t>指从起火时刻到火灾对人员安全构成危险状态的时间。</w:t>
      </w:r>
    </w:p>
    <w:p>
      <w:pPr>
        <w:pStyle w:val="195"/>
        <w:rPr>
          <w:rFonts w:cs="Arial"/>
          <w:color w:val="000000"/>
        </w:rPr>
      </w:pPr>
      <w:r>
        <w:rPr>
          <w:rFonts w:hint="eastAsia"/>
        </w:rPr>
        <w:t xml:space="preserve">火灾直接财产损失 </w:t>
      </w:r>
      <w:r>
        <w:t xml:space="preserve"> direct property fire loss</w:t>
      </w:r>
    </w:p>
    <w:p>
      <w:pPr>
        <w:pStyle w:val="255"/>
        <w:ind w:firstLine="480" w:firstLineChars="200"/>
      </w:pPr>
      <w:r>
        <w:rPr>
          <w:rFonts w:hint="eastAsia"/>
        </w:rPr>
        <w:t>财产（不包括货币、票据、有价证券等）在火灾中直接被烧毁、烧损、烟熏、砸压、辐射以及在灭火抢险</w:t>
      </w:r>
      <w:r>
        <w:t xml:space="preserve"> </w:t>
      </w:r>
      <w:r>
        <w:rPr>
          <w:rFonts w:hint="eastAsia"/>
        </w:rPr>
        <w:t>中因破拆、水渍、碰撞等所造成的损失。</w:t>
      </w:r>
    </w:p>
    <w:p>
      <w:pPr>
        <w:pStyle w:val="195"/>
      </w:pPr>
      <w:r>
        <w:rPr>
          <w:rFonts w:hint="eastAsia"/>
        </w:rPr>
        <w:t>商业连续性 business</w:t>
      </w:r>
      <w:r>
        <w:t xml:space="preserve"> </w:t>
      </w:r>
      <w:r>
        <w:rPr>
          <w:rFonts w:hint="eastAsia"/>
        </w:rPr>
        <w:t>continuity</w:t>
      </w:r>
    </w:p>
    <w:p>
      <w:pPr>
        <w:pStyle w:val="255"/>
        <w:ind w:firstLine="480" w:firstLineChars="200"/>
      </w:pPr>
      <w:r>
        <w:rPr>
          <w:rFonts w:hint="eastAsia"/>
        </w:rPr>
        <w:t>是指在火灾事故发生后，目标建筑管理者或经营者以预先设定的措施在可接受的时间内连续交付产品或提供服务的能力。</w:t>
      </w:r>
    </w:p>
    <w:p>
      <w:pPr>
        <w:pStyle w:val="195"/>
      </w:pPr>
      <w:r>
        <w:rPr>
          <w:rFonts w:hint="eastAsia"/>
        </w:rPr>
        <w:t>不确定性 uncertainty</w:t>
      </w:r>
    </w:p>
    <w:p>
      <w:pPr>
        <w:pStyle w:val="255"/>
        <w:ind w:firstLine="420"/>
        <w:rPr>
          <w:kern w:val="0"/>
          <w:szCs w:val="20"/>
        </w:rPr>
      </w:pPr>
      <w:r>
        <w:rPr>
          <w:rFonts w:hint="eastAsia"/>
          <w:kern w:val="0"/>
          <w:szCs w:val="20"/>
        </w:rPr>
        <w:t>对数据、变量、参数或数学关系中系统和随机误差的量化；或对没有包含的相关因素的量化。</w:t>
      </w:r>
    </w:p>
    <w:p>
      <w:pPr>
        <w:pStyle w:val="195"/>
      </w:pPr>
      <w:r>
        <w:t>敏感</w:t>
      </w:r>
      <w:r>
        <w:rPr>
          <w:rFonts w:hint="eastAsia"/>
        </w:rPr>
        <w:t>度</w:t>
      </w:r>
      <w:r>
        <w:t>分析 sensitivity analysis</w:t>
      </w:r>
    </w:p>
    <w:p>
      <w:pPr>
        <w:pStyle w:val="255"/>
        <w:ind w:firstLine="420"/>
        <w:rPr>
          <w:kern w:val="0"/>
          <w:szCs w:val="20"/>
        </w:rPr>
      </w:pPr>
      <w:r>
        <w:t>系统的状态变化或输出变化对系统参数或周围条件变化的敏感程度的方法。</w:t>
      </w:r>
    </w:p>
    <w:p>
      <w:pPr>
        <w:pStyle w:val="195"/>
      </w:pPr>
      <w:r>
        <w:rPr>
          <w:rFonts w:hint="eastAsia"/>
        </w:rPr>
        <w:t>可信度分析</w:t>
      </w:r>
      <w:r>
        <w:t xml:space="preserve">  reliability analysis</w:t>
      </w:r>
    </w:p>
    <w:p>
      <w:pPr>
        <w:pStyle w:val="255"/>
        <w:ind w:firstLine="420"/>
        <w:rPr>
          <w:kern w:val="0"/>
          <w:szCs w:val="20"/>
        </w:rPr>
      </w:pPr>
      <w:r>
        <w:rPr>
          <w:rFonts w:hint="eastAsia"/>
          <w:kern w:val="0"/>
          <w:szCs w:val="20"/>
        </w:rPr>
        <w:t>用于检验结果的一贯性、一致性、再现性和稳定性的常用方法。</w:t>
      </w:r>
    </w:p>
    <w:p>
      <w:pPr>
        <w:pStyle w:val="195"/>
      </w:pPr>
      <w:r>
        <w:t>火灾风险应对  fire risk response</w:t>
      </w:r>
    </w:p>
    <w:p>
      <w:pPr>
        <w:pStyle w:val="54"/>
        <w:ind w:firstLine="480"/>
        <w:rPr>
          <w:rFonts w:ascii="Times New Roman"/>
        </w:rPr>
      </w:pPr>
      <w:r>
        <w:rPr>
          <w:rFonts w:hint="eastAsia" w:ascii="Times New Roman"/>
        </w:rPr>
        <w:t>降低风险的方法的选择和实施过程。通常包括减少或消除危险源和风险源、降低概率、减轻后果等。</w:t>
      </w:r>
    </w:p>
    <w:p>
      <w:pPr>
        <w:widowControl/>
        <w:jc w:val="left"/>
        <w:rPr>
          <w:rFonts w:ascii="Times New Roman" w:hAnsi="Times New Roman" w:eastAsia="等线"/>
        </w:rPr>
      </w:pPr>
    </w:p>
    <w:p>
      <w:pPr>
        <w:pStyle w:val="54"/>
        <w:ind w:firstLine="480"/>
        <w:rPr>
          <w:rFonts w:ascii="Times New Roman"/>
        </w:rPr>
      </w:pPr>
      <w:r>
        <w:rPr>
          <w:rFonts w:ascii="Times New Roman"/>
        </w:rPr>
        <w:t>【本节所给出的术语，为本标准有关章节中所引用的、用于火灾风险评估的专用术语。在编写本节术语时，还参考了现行国家标准《风险管理 指南》GB/T24353、《消防安全工程 第3部分：火灾风险评估指南》GB/T 31593.3等国家标准中的术语。】</w:t>
      </w:r>
    </w:p>
    <w:p>
      <w:pPr>
        <w:widowControl/>
        <w:jc w:val="left"/>
        <w:rPr>
          <w:rFonts w:ascii="Times New Roman" w:hAnsi="Times New Roman" w:eastAsia="等线"/>
        </w:rPr>
      </w:pPr>
    </w:p>
    <w:p>
      <w:pPr>
        <w:widowControl/>
        <w:jc w:val="left"/>
        <w:rPr>
          <w:rFonts w:ascii="Times New Roman" w:hAnsi="Times New Roman" w:eastAsia="等线"/>
        </w:rPr>
      </w:pPr>
    </w:p>
    <w:p>
      <w:pPr>
        <w:pStyle w:val="135"/>
        <w:spacing w:before="120" w:after="120"/>
        <w:ind w:left="0"/>
        <w:jc w:val="center"/>
        <w:rPr>
          <w:rFonts w:ascii="Times New Roman"/>
          <w:sz w:val="28"/>
        </w:rPr>
      </w:pPr>
      <w:bookmarkStart w:id="57" w:name="_Toc191997454"/>
      <w:bookmarkStart w:id="58" w:name="_Toc191997413"/>
      <w:bookmarkStart w:id="59" w:name="_Toc214005504"/>
      <w:bookmarkStart w:id="60" w:name="_Toc214005673"/>
      <w:bookmarkStart w:id="61" w:name="_Toc191997235"/>
      <w:bookmarkStart w:id="62" w:name="_Toc191997169"/>
      <w:bookmarkStart w:id="63" w:name="_Toc214008836"/>
      <w:bookmarkStart w:id="64" w:name="_Toc25927"/>
      <w:r>
        <w:rPr>
          <w:rFonts w:ascii="Times New Roman"/>
          <w:sz w:val="28"/>
        </w:rPr>
        <w:t>符  号</w:t>
      </w:r>
      <w:bookmarkEnd w:id="57"/>
      <w:bookmarkEnd w:id="58"/>
      <w:bookmarkEnd w:id="59"/>
      <w:bookmarkEnd w:id="60"/>
      <w:bookmarkEnd w:id="61"/>
      <w:bookmarkEnd w:id="62"/>
      <w:bookmarkEnd w:id="63"/>
      <w:bookmarkEnd w:id="64"/>
    </w:p>
    <w:p>
      <w:pPr>
        <w:pStyle w:val="255"/>
      </w:pPr>
      <w:r>
        <w:rPr>
          <w:b/>
        </w:rPr>
        <w:t>2.2.1</w:t>
      </w:r>
      <w:r>
        <w:t xml:space="preserve">  火灾风险计算</w:t>
      </w:r>
    </w:p>
    <w:p>
      <w:pPr>
        <w:pStyle w:val="54"/>
        <w:ind w:firstLine="480"/>
        <w:jc w:val="left"/>
        <w:rPr>
          <w:rFonts w:ascii="Times New Roman"/>
        </w:rPr>
      </w:pPr>
      <w:r>
        <w:rPr>
          <w:rFonts w:ascii="Times New Roman"/>
          <w:i/>
        </w:rPr>
        <w:t>A</w:t>
      </w:r>
      <w:r>
        <w:rPr>
          <w:rFonts w:ascii="Times New Roman"/>
          <w:i/>
          <w:vertAlign w:val="subscript"/>
        </w:rPr>
        <w:t>r</w:t>
      </w:r>
      <w:r>
        <w:rPr>
          <w:rFonts w:ascii="Times New Roman"/>
        </w:rPr>
        <w:t>——室内空间的底面面积，m</w:t>
      </w:r>
      <w:r>
        <w:rPr>
          <w:rFonts w:ascii="Times New Roman"/>
          <w:vertAlign w:val="superscript"/>
        </w:rPr>
        <w:t>2</w:t>
      </w:r>
      <w:r>
        <w:rPr>
          <w:rFonts w:ascii="Times New Roman"/>
        </w:rPr>
        <w:t>；</w:t>
      </w:r>
    </w:p>
    <w:p>
      <w:pPr>
        <w:pStyle w:val="192"/>
        <w:numPr>
          <w:ilvl w:val="0"/>
          <w:numId w:val="0"/>
        </w:numPr>
        <w:ind w:left="420"/>
      </w:pPr>
      <m:oMath>
        <m:sSub>
          <m:sSubPr>
            <m:ctrlPr>
              <w:rPr>
                <w:rFonts w:ascii="Cambria Math" w:hAnsi="Cambria Math"/>
              </w:rPr>
            </m:ctrlPr>
          </m:sSubPr>
          <m:e>
            <m:r>
              <m:rPr/>
              <w:rPr>
                <w:rFonts w:ascii="Cambria Math" w:hAnsi="Cambria Math"/>
              </w:rPr>
              <m:t>A</m:t>
            </m:r>
            <m:ctrlPr>
              <w:rPr>
                <w:rFonts w:ascii="Cambria Math" w:hAnsi="Cambria Math"/>
              </w:rPr>
            </m:ctrlPr>
          </m:e>
          <m:sub>
            <m:r>
              <m:rPr/>
              <w:rPr>
                <w:rFonts w:ascii="Cambria Math" w:hAnsi="Cambria Math"/>
              </w:rPr>
              <m:t>FZ</m:t>
            </m:r>
            <m:ctrlPr>
              <w:rPr>
                <w:rFonts w:ascii="Cambria Math" w:hAnsi="Cambria Math"/>
              </w:rPr>
            </m:ctrlPr>
          </m:sub>
        </m:sSub>
      </m:oMath>
      <w:r>
        <w:t>——一旦发生火灾后着火房间所在防火分区的平均烧损面积，m</w:t>
      </w:r>
      <w:r>
        <w:rPr>
          <w:vertAlign w:val="superscript"/>
        </w:rPr>
        <w:t>2</w:t>
      </w:r>
      <w:r>
        <w:t>，根据《建筑火灾过火面积评估标准》计算得到</w:t>
      </w:r>
      <w:r>
        <w:rPr>
          <w:rFonts w:hint="eastAsia"/>
        </w:rPr>
        <w:t>；</w:t>
      </w:r>
    </w:p>
    <w:p>
      <w:pPr>
        <w:pStyle w:val="54"/>
        <w:ind w:firstLine="480"/>
        <w:jc w:val="left"/>
        <w:rPr>
          <w:rFonts w:ascii="Times New Roman"/>
        </w:rPr>
      </w:pPr>
      <w:r>
        <w:rPr>
          <w:rFonts w:ascii="Times New Roman"/>
          <w:i/>
        </w:rPr>
        <w:t>A</w:t>
      </w:r>
      <w:r>
        <w:rPr>
          <w:rFonts w:ascii="Times New Roman"/>
          <w:i/>
          <w:vertAlign w:val="subscript"/>
        </w:rPr>
        <w:t>wall</w:t>
      </w:r>
      <w:r>
        <w:rPr>
          <w:rFonts w:ascii="Times New Roman"/>
        </w:rPr>
        <w:t>——和烟气层接触的室内空间边界面的表面积，m</w:t>
      </w:r>
      <w:r>
        <w:rPr>
          <w:rFonts w:ascii="Times New Roman"/>
          <w:vertAlign w:val="superscript"/>
        </w:rPr>
        <w:t>2</w:t>
      </w:r>
      <w:r>
        <w:rPr>
          <w:rFonts w:ascii="Times New Roman"/>
        </w:rPr>
        <w:t>；</w:t>
      </w:r>
    </w:p>
    <w:p>
      <w:pPr>
        <w:pStyle w:val="255"/>
        <w:wordWrap/>
        <w:spacing w:line="240" w:lineRule="auto"/>
        <w:ind w:firstLine="420"/>
        <w:rPr>
          <w:sz w:val="21"/>
        </w:rPr>
      </w:pPr>
      <w:r>
        <w:rPr>
          <w:sz w:val="21"/>
        </w:rPr>
        <w:fldChar w:fldCharType="begin"/>
      </w:r>
      <w:r>
        <w:rPr>
          <w:sz w:val="21"/>
        </w:rPr>
        <w:instrText xml:space="preserve"> QUOTE </w:instrText>
      </w:r>
      <w:r>
        <w:rPr>
          <w:rFonts w:ascii="Cambria Math" w:hAnsi="Cambria Math" w:cs="Cambria Math"/>
          <w:sz w:val="18"/>
          <w:szCs w:val="18"/>
        </w:rPr>
        <w:instrText xml:space="preserve">𝐴𝐸𝑆𝑇</w:instrText>
      </w:r>
      <w:r>
        <w:rPr>
          <w:sz w:val="21"/>
        </w:rPr>
        <w:instrText xml:space="preserve"> </w:instrText>
      </w:r>
      <w:r>
        <w:rPr>
          <w:sz w:val="21"/>
        </w:rPr>
        <w:fldChar w:fldCharType="end"/>
      </w:r>
      <w:r>
        <w:rPr>
          <w:i/>
          <w:sz w:val="21"/>
        </w:rPr>
        <w:t>AEST</w:t>
      </w:r>
      <w:r>
        <w:rPr>
          <w:sz w:val="21"/>
        </w:rPr>
        <w:t>——危险来临时间，s；</w:t>
      </w:r>
    </w:p>
    <w:p>
      <w:pPr>
        <w:pStyle w:val="54"/>
        <w:ind w:firstLine="480"/>
        <w:rPr>
          <w:rFonts w:ascii="Times New Roman"/>
        </w:rPr>
      </w:pPr>
      <m:oMath>
        <m:sSub>
          <m:sSubPr>
            <m:ctrlPr>
              <w:rPr>
                <w:rFonts w:ascii="Cambria Math" w:hAnsi="Cambria Math"/>
                <w:i/>
              </w:rPr>
            </m:ctrlPr>
          </m:sSubPr>
          <m:e>
            <m:r>
              <m:rPr/>
              <w:rPr>
                <w:rFonts w:ascii="Cambria Math" w:hAnsi="Cambria Math"/>
              </w:rPr>
              <m:t>B</m:t>
            </m:r>
            <m:ctrlPr>
              <w:rPr>
                <w:rFonts w:ascii="Cambria Math" w:hAnsi="Cambria Math"/>
                <w:i/>
              </w:rPr>
            </m:ctrlPr>
          </m:e>
          <m:sub>
            <m:r>
              <m:rPr/>
              <w:rPr>
                <w:rFonts w:ascii="Cambria Math" w:hAnsi="Cambria Math"/>
              </w:rPr>
              <m:t>room</m:t>
            </m:r>
            <m:ctrlPr>
              <w:rPr>
                <w:rFonts w:ascii="Cambria Math" w:hAnsi="Cambria Math"/>
                <w:i/>
              </w:rPr>
            </m:ctrlPr>
          </m:sub>
        </m:sSub>
      </m:oMath>
      <w:r>
        <w:rPr>
          <w:rFonts w:ascii="Times New Roman"/>
        </w:rPr>
        <w:t>——房间出口的有效宽度，m</w:t>
      </w:r>
      <w:r>
        <w:rPr>
          <w:rFonts w:hint="eastAsia" w:ascii="Times New Roman"/>
        </w:rPr>
        <w:t>；</w:t>
      </w:r>
    </w:p>
    <w:p>
      <w:pPr>
        <w:pStyle w:val="54"/>
        <w:ind w:firstLine="480"/>
        <w:rPr>
          <w:rFonts w:ascii="Times New Roman"/>
        </w:rPr>
      </w:pPr>
      <m:oMath>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pl</m:t>
            </m:r>
            <m:ctrlPr>
              <w:rPr>
                <w:rFonts w:ascii="Cambria Math" w:hAnsi="Cambria Math"/>
              </w:rPr>
            </m:ctrlPr>
          </m:sub>
        </m:sSub>
      </m:oMath>
      <w:r>
        <w:rPr>
          <w:rFonts w:ascii="Times New Roman"/>
        </w:rPr>
        <w:t>——烟羽流的传播系数，一般取0.67；</w:t>
      </w:r>
    </w:p>
    <w:p>
      <w:pPr>
        <w:pStyle w:val="54"/>
        <w:ind w:firstLine="480"/>
        <w:jc w:val="left"/>
        <w:rPr>
          <w:rFonts w:ascii="Times New Roman"/>
        </w:rPr>
      </w:pPr>
      <m:oMath>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m</m:t>
            </m:r>
            <m:ctrlPr>
              <w:rPr>
                <w:rFonts w:ascii="Cambria Math" w:hAnsi="Cambria Math"/>
              </w:rPr>
            </m:ctrlPr>
          </m:sub>
        </m:sSub>
      </m:oMath>
      <w:r>
        <w:rPr>
          <w:rFonts w:ascii="Times New Roman"/>
        </w:rPr>
        <w:t>——卷入系数，kg/kJ</w:t>
      </w:r>
      <w:r>
        <w:rPr>
          <w:rFonts w:ascii="Times New Roman"/>
          <w:vertAlign w:val="superscript"/>
        </w:rPr>
        <w:t>1/3</w:t>
      </w:r>
      <w:r>
        <w:rPr>
          <w:rFonts w:ascii="Times New Roman"/>
        </w:rPr>
        <w:t>/m</w:t>
      </w:r>
      <w:r>
        <w:rPr>
          <w:rFonts w:ascii="Times New Roman"/>
          <w:vertAlign w:val="superscript"/>
        </w:rPr>
        <w:t>5/3</w:t>
      </w:r>
      <w:r>
        <w:rPr>
          <w:rFonts w:ascii="Times New Roman"/>
        </w:rPr>
        <w:t>/s</w:t>
      </w:r>
      <w:r>
        <w:rPr>
          <w:rFonts w:ascii="Times New Roman"/>
          <w:vertAlign w:val="superscript"/>
        </w:rPr>
        <w:t>2/3</w:t>
      </w:r>
      <w:r>
        <w:rPr>
          <w:rFonts w:ascii="Times New Roman"/>
        </w:rPr>
        <w:t>，取0.076；</w:t>
      </w:r>
    </w:p>
    <w:p>
      <w:pPr>
        <w:pStyle w:val="54"/>
        <w:ind w:firstLine="480"/>
        <w:jc w:val="left"/>
        <w:rPr>
          <w:rFonts w:ascii="Times New Roman"/>
        </w:rPr>
      </w:pPr>
      <m:oMath>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sm</m:t>
            </m:r>
            <m:ctrlPr>
              <w:rPr>
                <w:rFonts w:ascii="Cambria Math" w:hAnsi="Cambria Math"/>
              </w:rPr>
            </m:ctrlPr>
          </m:sub>
        </m:sSub>
      </m:oMath>
      <w:r>
        <w:rPr>
          <w:rFonts w:ascii="Times New Roman"/>
        </w:rPr>
        <w:t>——排烟系数，kg/kJ</w:t>
      </w:r>
      <w:r>
        <w:rPr>
          <w:rFonts w:ascii="Times New Roman"/>
          <w:vertAlign w:val="superscript"/>
        </w:rPr>
        <w:t>1/3</w:t>
      </w:r>
      <w:r>
        <w:rPr>
          <w:rFonts w:ascii="Times New Roman"/>
        </w:rPr>
        <w:t>/m</w:t>
      </w:r>
      <w:r>
        <w:rPr>
          <w:rFonts w:ascii="Times New Roman"/>
          <w:vertAlign w:val="superscript"/>
        </w:rPr>
        <w:t>5/3</w:t>
      </w:r>
      <w:r>
        <w:rPr>
          <w:rFonts w:ascii="Times New Roman"/>
        </w:rPr>
        <w:t>/s</w:t>
      </w:r>
      <w:r>
        <w:rPr>
          <w:rFonts w:ascii="Times New Roman"/>
          <w:vertAlign w:val="superscript"/>
        </w:rPr>
        <w:t>2/3</w:t>
      </w:r>
      <w:r>
        <w:rPr>
          <w:rFonts w:ascii="Times New Roman"/>
        </w:rPr>
        <w:t>；</w:t>
      </w:r>
    </w:p>
    <w:p>
      <w:pPr>
        <w:pStyle w:val="54"/>
        <w:ind w:firstLine="480"/>
        <w:jc w:val="left"/>
        <w:rPr>
          <w:rFonts w:ascii="Times New Roman"/>
        </w:rPr>
      </w:pPr>
      <w:r>
        <w:rPr>
          <w:rFonts w:ascii="Times New Roman"/>
          <w:i/>
        </w:rPr>
        <w:t>c</w:t>
      </w:r>
      <w:r>
        <w:rPr>
          <w:rFonts w:ascii="Times New Roman"/>
          <w:i/>
          <w:vertAlign w:val="subscript"/>
        </w:rPr>
        <w:t>p</w:t>
      </w:r>
      <w:r>
        <w:rPr>
          <w:rFonts w:ascii="Times New Roman"/>
        </w:rPr>
        <w:t>——常压下空气的定压热容，kJ/kgK，一般取1.0；</w:t>
      </w:r>
    </w:p>
    <w:p>
      <w:pPr>
        <w:pStyle w:val="54"/>
        <w:ind w:firstLine="480"/>
        <w:jc w:val="left"/>
        <w:rPr>
          <w:rFonts w:ascii="Times New Roman"/>
        </w:rPr>
      </w:pPr>
      <w:r>
        <w:rPr>
          <w:rFonts w:ascii="Times New Roman"/>
          <w:i/>
        </w:rPr>
        <w:t>c</w:t>
      </w:r>
      <w:r>
        <w:rPr>
          <w:rFonts w:ascii="Times New Roman"/>
          <w:i/>
          <w:vertAlign w:val="subscript"/>
        </w:rPr>
        <w:t>v</w:t>
      </w:r>
      <w:r>
        <w:rPr>
          <w:rFonts w:ascii="Times New Roman"/>
        </w:rPr>
        <w:t>——室内空间边界面材料的定容热容，kJ/m</w:t>
      </w:r>
      <w:r>
        <w:rPr>
          <w:rFonts w:ascii="Times New Roman"/>
          <w:vertAlign w:val="superscript"/>
        </w:rPr>
        <w:t>3</w:t>
      </w:r>
      <w:r>
        <w:rPr>
          <w:rFonts w:ascii="Times New Roman"/>
        </w:rPr>
        <w:t xml:space="preserve"> K；</w:t>
      </w:r>
    </w:p>
    <w:p>
      <w:pPr>
        <w:pStyle w:val="192"/>
        <w:numPr>
          <w:ilvl w:val="0"/>
          <w:numId w:val="0"/>
        </w:numPr>
        <w:ind w:firstLine="480" w:firstLineChars="200"/>
      </w:pPr>
      <w:r>
        <w:rPr>
          <w:i/>
        </w:rPr>
        <w:t>c</w:t>
      </w:r>
      <w:r>
        <w:rPr>
          <w:i/>
          <w:vertAlign w:val="subscript"/>
        </w:rPr>
        <w:t>x</w:t>
      </w:r>
      <w:r>
        <w:t xml:space="preserve"> ——成本</w:t>
      </w:r>
      <w:r>
        <w:rPr>
          <w:rFonts w:hint="eastAsia"/>
        </w:rPr>
        <w:t>-</w:t>
      </w:r>
      <w:r>
        <w:t>效益比；</w:t>
      </w:r>
    </w:p>
    <w:p>
      <w:pPr>
        <w:pStyle w:val="54"/>
        <w:ind w:firstLine="480"/>
        <w:jc w:val="left"/>
        <w:rPr>
          <w:rFonts w:ascii="Times New Roman"/>
        </w:rPr>
      </w:pPr>
      <w:r>
        <w:rPr>
          <w:rFonts w:ascii="Times New Roman"/>
          <w:i/>
        </w:rPr>
        <w:t>D</w:t>
      </w:r>
      <w:r>
        <w:rPr>
          <w:rFonts w:ascii="Times New Roman"/>
          <w:i/>
          <w:vertAlign w:val="subscript"/>
        </w:rPr>
        <w:t>wall</w:t>
      </w:r>
      <w:r>
        <w:rPr>
          <w:rFonts w:ascii="Times New Roman"/>
        </w:rPr>
        <w:t>——室内空间边界面材料的厚度，m。</w:t>
      </w:r>
    </w:p>
    <w:p>
      <w:pPr>
        <w:pStyle w:val="192"/>
        <w:numPr>
          <w:ilvl w:val="0"/>
          <w:numId w:val="0"/>
        </w:numPr>
        <w:ind w:firstLine="480" w:firstLineChars="200"/>
      </w:pPr>
      <w:r>
        <w:rPr>
          <w:i/>
        </w:rPr>
        <w:t>d</w:t>
      </w:r>
      <w:r>
        <w:t>——贴现率/年金因子（%）(一般在2%范围内)；</w:t>
      </w:r>
    </w:p>
    <w:p>
      <w:pPr>
        <w:pStyle w:val="192"/>
        <w:numPr>
          <w:ilvl w:val="0"/>
          <w:numId w:val="0"/>
        </w:numPr>
        <w:ind w:left="420"/>
      </w:pPr>
      <m:oMath>
        <m:sSub>
          <m:sSubPr>
            <m:ctrlPr>
              <w:rPr>
                <w:rFonts w:ascii="Cambria Math" w:hAnsi="Cambria Math"/>
              </w:rPr>
            </m:ctrlPr>
          </m:sSubPr>
          <m:e>
            <m:r>
              <m:rPr/>
              <w:rPr>
                <w:rFonts w:ascii="Cambria Math" w:hAnsi="Cambria Math"/>
              </w:rPr>
              <m:t>E</m:t>
            </m:r>
            <m:ctrlPr>
              <w:rPr>
                <w:rFonts w:ascii="Cambria Math" w:hAnsi="Cambria Math"/>
              </w:rPr>
            </m:ctrlPr>
          </m:e>
          <m:sub>
            <m:r>
              <m:rPr/>
              <w:rPr>
                <w:rFonts w:ascii="Cambria Math" w:hAnsi="Cambria Math"/>
              </w:rPr>
              <m:t>fire</m:t>
            </m:r>
            <m:ctrlPr>
              <w:rPr>
                <w:rFonts w:ascii="Cambria Math" w:hAnsi="Cambria Math"/>
              </w:rPr>
            </m:ctrlPr>
          </m:sub>
        </m:sSub>
      </m:oMath>
      <w:r>
        <w:t>——建筑物发生一次火灾后可能造成的财产损失，元；</w:t>
      </w:r>
    </w:p>
    <w:p>
      <w:pPr>
        <w:pStyle w:val="192"/>
        <w:numPr>
          <w:ilvl w:val="0"/>
          <w:numId w:val="0"/>
        </w:numPr>
        <w:ind w:left="420"/>
      </w:pPr>
      <m:oMath>
        <m:r>
          <m:rPr/>
          <w:rPr>
            <w:rFonts w:hint="eastAsia" w:ascii="Cambria Math" w:hAnsi="Cambria Math"/>
          </w:rPr>
          <m:t>f——</m:t>
        </m:r>
      </m:oMath>
      <w:r>
        <w:t>建筑物单价，元；</w:t>
      </w:r>
    </w:p>
    <w:p>
      <w:pPr>
        <w:pStyle w:val="192"/>
        <w:numPr>
          <w:ilvl w:val="0"/>
          <w:numId w:val="0"/>
        </w:numPr>
        <w:ind w:left="420"/>
        <w:rPr>
          <w:i/>
        </w:rPr>
      </w:pPr>
      <m:oMath>
        <m:r>
          <m:rPr/>
          <w:rPr>
            <w:rStyle w:val="275"/>
            <w:rFonts w:ascii="Cambria Math" w:hAnsi="Cambria Math"/>
          </w:rPr>
          <m:t>f</m:t>
        </m:r>
        <m:d>
          <m:dPr>
            <m:ctrlPr>
              <w:rPr>
                <w:rStyle w:val="275"/>
                <w:rFonts w:ascii="Cambria Math" w:hAnsi="Cambria Math"/>
                <w:i/>
              </w:rPr>
            </m:ctrlPr>
          </m:dPr>
          <m:e>
            <m:r>
              <m:rPr/>
              <w:rPr>
                <w:rStyle w:val="274"/>
                <w:rFonts w:ascii="Cambria Math" w:hAnsi="Cambria Math"/>
              </w:rPr>
              <m:t>X</m:t>
            </m:r>
            <m:ctrlPr>
              <w:rPr>
                <w:rStyle w:val="275"/>
                <w:rFonts w:ascii="Cambria Math" w:hAnsi="Cambria Math"/>
                <w:i/>
              </w:rPr>
            </m:ctrlPr>
          </m:e>
        </m:d>
      </m:oMath>
      <w:r>
        <w:t>——输出量</w:t>
      </w:r>
      <w:r>
        <w:rPr>
          <w:rFonts w:hint="eastAsia"/>
        </w:rPr>
        <w:t>；</w:t>
      </w:r>
    </w:p>
    <w:p>
      <w:pPr>
        <w:pStyle w:val="54"/>
        <w:ind w:firstLine="480"/>
        <w:rPr>
          <w:rFonts w:ascii="Times New Roman"/>
        </w:rPr>
      </w:pPr>
      <m:oMath>
        <m:r>
          <m:rPr/>
          <w:rPr>
            <w:rFonts w:ascii="Cambria Math" w:hAnsi="Cambria Math"/>
          </w:rPr>
          <m:t>H</m:t>
        </m:r>
      </m:oMath>
      <w:r>
        <w:rPr>
          <w:rFonts w:ascii="Times New Roman"/>
        </w:rPr>
        <w:t>——空间净高，m</w:t>
      </w:r>
      <w:r>
        <w:rPr>
          <w:rFonts w:hint="eastAsia" w:ascii="Times New Roman"/>
        </w:rPr>
        <w:t>；</w:t>
      </w:r>
    </w:p>
    <w:p>
      <w:pPr>
        <w:pStyle w:val="54"/>
        <w:ind w:firstLine="480"/>
        <w:rPr>
          <w:rFonts w:ascii="Times New Roman"/>
        </w:rPr>
      </w:pPr>
      <m:oMath>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f</m:t>
            </m:r>
            <m:ctrlPr>
              <w:rPr>
                <w:rFonts w:ascii="Cambria Math" w:hAnsi="Cambria Math"/>
                <w:i/>
              </w:rPr>
            </m:ctrlPr>
          </m:sub>
        </m:sSub>
      </m:oMath>
      <w:r>
        <w:rPr>
          <w:rFonts w:ascii="Times New Roman"/>
        </w:rPr>
        <w:t>——火源中心到感烟探头的垂直方向的高度，m</w:t>
      </w:r>
      <w:r>
        <w:rPr>
          <w:rFonts w:hint="eastAsia" w:ascii="Times New Roman"/>
        </w:rPr>
        <w:t>；</w:t>
      </w:r>
    </w:p>
    <w:p>
      <w:pPr>
        <w:pStyle w:val="54"/>
        <w:ind w:firstLine="480"/>
        <w:rPr>
          <w:rFonts w:ascii="Times New Roman"/>
        </w:rPr>
      </w:pPr>
      <m:oMath>
        <m:sSub>
          <m:sSubPr>
            <m:ctrlPr>
              <w:rPr>
                <w:rFonts w:ascii="Cambria Math" w:hAnsi="Cambria Math"/>
                <w:i/>
              </w:rPr>
            </m:ctrlPr>
          </m:sSubPr>
          <m:e>
            <m:r>
              <m:rPr/>
              <w:rPr>
                <w:rFonts w:ascii="Cambria Math" w:hAnsi="Cambria Math"/>
              </w:rPr>
              <m:t>H</m:t>
            </m:r>
            <m:ctrlPr>
              <w:rPr>
                <w:rFonts w:ascii="Cambria Math" w:hAnsi="Cambria Math"/>
                <w:i/>
              </w:rPr>
            </m:ctrlPr>
          </m:e>
          <m:sub>
            <m:r>
              <m:rPr/>
              <w:rPr>
                <w:rFonts w:hint="eastAsia" w:ascii="Cambria Math" w:hAnsi="Cambria Math"/>
              </w:rPr>
              <m:t>l</m:t>
            </m:r>
            <m:ctrlPr>
              <w:rPr>
                <w:rFonts w:ascii="Cambria Math" w:hAnsi="Cambria Math"/>
                <w:i/>
              </w:rPr>
            </m:ctrlPr>
          </m:sub>
        </m:sSub>
      </m:oMath>
      <w:r>
        <w:rPr>
          <w:rFonts w:ascii="Times New Roman"/>
        </w:rPr>
        <w:t>——</w:t>
      </w:r>
      <w:r>
        <w:rPr>
          <w:rFonts w:hint="eastAsia" w:ascii="Times New Roman"/>
        </w:rPr>
        <w:t>火源中心到探测器探头的水平径向距离</w:t>
      </w:r>
      <w:r>
        <w:rPr>
          <w:rFonts w:ascii="Times New Roman"/>
        </w:rPr>
        <w:t>，m；</w:t>
      </w:r>
    </w:p>
    <w:p>
      <w:pPr>
        <w:pStyle w:val="54"/>
        <w:ind w:firstLine="480"/>
        <w:jc w:val="left"/>
        <w:rPr>
          <w:rFonts w:ascii="Times New Roman"/>
          <w:i/>
        </w:rPr>
      </w:pPr>
      <m:oMath>
        <m:sSub>
          <m:sSubPr>
            <m:ctrlPr>
              <w:rPr>
                <w:rFonts w:ascii="Cambria Math" w:hAnsi="Cambria Math"/>
                <w:i/>
              </w:rPr>
            </m:ctrlPr>
          </m:sSubPr>
          <m:e>
            <m:r>
              <m:rPr/>
              <w:rPr>
                <w:rFonts w:ascii="Cambria Math" w:hAnsi="Cambria Math"/>
              </w:rPr>
              <m:t>H</m:t>
            </m:r>
            <m:ctrlPr>
              <w:rPr>
                <w:rFonts w:ascii="Cambria Math" w:hAnsi="Cambria Math"/>
                <w:i/>
              </w:rPr>
            </m:ctrlPr>
          </m:e>
          <m:sub>
            <m:r>
              <m:rPr/>
              <w:rPr>
                <w:rFonts w:hint="eastAsia" w:ascii="Cambria Math" w:hAnsi="Cambria Math"/>
              </w:rPr>
              <m:t>v</m:t>
            </m:r>
            <m:ctrlPr>
              <w:rPr>
                <w:rFonts w:ascii="Cambria Math" w:hAnsi="Cambria Math"/>
                <w:i/>
              </w:rPr>
            </m:ctrlPr>
          </m:sub>
        </m:sSub>
      </m:oMath>
      <w:r>
        <w:rPr>
          <w:rFonts w:ascii="Times New Roman"/>
        </w:rPr>
        <w:t>——火源中心到</w:t>
      </w:r>
      <w:r>
        <w:rPr>
          <w:rFonts w:hint="eastAsia" w:ascii="Times New Roman"/>
        </w:rPr>
        <w:t>探测器</w:t>
      </w:r>
      <w:r>
        <w:rPr>
          <w:rFonts w:ascii="Times New Roman"/>
        </w:rPr>
        <w:t>探头的垂直方向的</w:t>
      </w:r>
      <w:r>
        <w:rPr>
          <w:rFonts w:hint="eastAsia" w:ascii="Times New Roman"/>
        </w:rPr>
        <w:t>距离</w:t>
      </w:r>
      <w:r>
        <w:rPr>
          <w:rFonts w:ascii="Times New Roman"/>
        </w:rPr>
        <w:t>，m</w:t>
      </w:r>
      <w:r>
        <w:rPr>
          <w:rFonts w:hint="eastAsia" w:ascii="Times New Roman"/>
        </w:rPr>
        <w:t>；</w:t>
      </w:r>
    </w:p>
    <w:p>
      <w:pPr>
        <w:pStyle w:val="54"/>
        <w:ind w:firstLine="480"/>
        <w:jc w:val="left"/>
        <w:rPr>
          <w:rFonts w:ascii="Times New Roman"/>
        </w:rPr>
      </w:pPr>
      <m:oMath>
        <m:sSub>
          <m:sSubPr>
            <m:ctrlPr>
              <w:rPr>
                <w:rFonts w:ascii="Cambria Math" w:hAnsi="Cambria Math"/>
                <w:i/>
              </w:rPr>
            </m:ctrlPr>
          </m:sSubPr>
          <m:e>
            <m:r>
              <m:rPr/>
              <w:rPr>
                <w:rFonts w:ascii="Cambria Math" w:hAnsi="Cambria Math"/>
              </w:rPr>
              <m:t>ℎ</m:t>
            </m:r>
            <m:ctrlPr>
              <w:rPr>
                <w:rFonts w:ascii="Cambria Math" w:hAnsi="Cambria Math"/>
                <w:i/>
              </w:rPr>
            </m:ctrlPr>
          </m:e>
          <m:sub>
            <m:r>
              <m:rPr/>
              <w:rPr>
                <w:rFonts w:ascii="Cambria Math" w:hAnsi="Cambria Math"/>
              </w:rPr>
              <m:t>wall</m:t>
            </m:r>
            <m:ctrlPr>
              <w:rPr>
                <w:rFonts w:ascii="Cambria Math" w:hAnsi="Cambria Math"/>
                <w:i/>
              </w:rPr>
            </m:ctrlPr>
          </m:sub>
        </m:sSub>
      </m:oMath>
      <w:r>
        <w:rPr>
          <w:rFonts w:ascii="Times New Roman"/>
        </w:rPr>
        <w:t>——室内空间边界面的有效传热系数，kW/m</w:t>
      </w:r>
      <w:r>
        <w:rPr>
          <w:rFonts w:ascii="Times New Roman"/>
          <w:vertAlign w:val="superscript"/>
        </w:rPr>
        <w:t>2</w:t>
      </w:r>
      <w:r>
        <w:rPr>
          <w:rFonts w:ascii="Times New Roman"/>
        </w:rPr>
        <w:t>K；</w:t>
      </w:r>
    </w:p>
    <w:p>
      <w:pPr>
        <w:pStyle w:val="54"/>
        <w:ind w:firstLine="480"/>
        <w:jc w:val="left"/>
        <w:rPr>
          <w:rFonts w:ascii="Times New Roman"/>
        </w:rPr>
      </w:pPr>
      <w:r>
        <w:rPr>
          <w:rFonts w:ascii="Times New Roman"/>
          <w:i/>
        </w:rPr>
        <w:t>k</w:t>
      </w:r>
      <w:r>
        <w:rPr>
          <w:rFonts w:ascii="Times New Roman"/>
        </w:rPr>
        <w:t>——室内空间边界材料的导热系数，kW/m K；</w:t>
      </w:r>
    </w:p>
    <w:p>
      <w:pPr>
        <w:pStyle w:val="192"/>
        <w:numPr>
          <w:ilvl w:val="0"/>
          <w:numId w:val="0"/>
        </w:numPr>
        <w:ind w:firstLine="480" w:firstLineChars="200"/>
      </w:pPr>
      <w:r>
        <w:rPr>
          <w:i/>
        </w:rPr>
        <w:t>K</w:t>
      </w:r>
      <w:r>
        <w:t>——</w:t>
      </w:r>
      <w:r>
        <w:rPr>
          <w:rFonts w:hint="eastAsia"/>
        </w:rPr>
        <w:t>分析的</w:t>
      </w:r>
      <w:r>
        <w:t>总项数；</w:t>
      </w:r>
    </w:p>
    <w:p>
      <w:pPr>
        <w:pStyle w:val="192"/>
        <w:numPr>
          <w:ilvl w:val="0"/>
          <w:numId w:val="0"/>
        </w:numPr>
        <w:ind w:firstLine="480" w:firstLineChars="200"/>
      </w:pPr>
      <w:r>
        <w:rPr>
          <w:i/>
        </w:rPr>
        <w:t>K</w:t>
      </w:r>
      <w:r>
        <w:rPr>
          <w:i/>
          <w:vertAlign w:val="subscript"/>
        </w:rPr>
        <w:t>year</w:t>
      </w:r>
      <w:r>
        <w:t>——</w:t>
      </w:r>
      <w:r>
        <w:rPr>
          <w:rFonts w:hint="eastAsia"/>
        </w:rPr>
        <w:t>实施安全措施的年度</w:t>
      </w:r>
      <w:r>
        <w:t>成本（</w:t>
      </w:r>
      <w:r>
        <w:rPr>
          <w:rFonts w:hint="eastAsia"/>
          <w:color w:val="333333"/>
          <w:szCs w:val="24"/>
          <w:shd w:val="clear" w:color="auto" w:fill="FFFFFF"/>
        </w:rPr>
        <w:t>元</w:t>
      </w:r>
      <w:r>
        <w:t>/年）</w:t>
      </w:r>
      <w:r>
        <w:rPr>
          <w:rFonts w:hint="eastAsia"/>
        </w:rPr>
        <w:t>，即成本</w:t>
      </w:r>
      <w:r>
        <w:t>；</w:t>
      </w:r>
    </w:p>
    <w:p>
      <w:pPr>
        <w:pStyle w:val="192"/>
        <w:numPr>
          <w:ilvl w:val="0"/>
          <w:numId w:val="0"/>
        </w:numPr>
        <w:ind w:firstLine="480" w:firstLineChars="200"/>
      </w:pPr>
      <w:r>
        <w:rPr>
          <w:i/>
        </w:rPr>
        <w:t>K</w:t>
      </w:r>
      <w:r>
        <w:rPr>
          <w:i/>
          <w:vertAlign w:val="subscript"/>
        </w:rPr>
        <w:t>invest</w:t>
      </w:r>
      <w:r>
        <w:t>——</w:t>
      </w:r>
      <w:r>
        <w:rPr>
          <w:rFonts w:hint="eastAsia"/>
        </w:rPr>
        <w:t>实施安全措施的</w:t>
      </w:r>
      <w:r>
        <w:t>投资成本（</w:t>
      </w:r>
      <w:r>
        <w:rPr>
          <w:rFonts w:hint="eastAsia"/>
          <w:color w:val="333333"/>
          <w:szCs w:val="24"/>
          <w:shd w:val="clear" w:color="auto" w:fill="FFFFFF"/>
        </w:rPr>
        <w:t>元</w:t>
      </w:r>
      <w:r>
        <w:t>/m</w:t>
      </w:r>
      <w:r>
        <w:rPr>
          <w:vertAlign w:val="superscript"/>
        </w:rPr>
        <w:t>2</w:t>
      </w:r>
      <w:r>
        <w:t>）；</w:t>
      </w:r>
    </w:p>
    <w:p>
      <w:pPr>
        <w:pStyle w:val="192"/>
        <w:numPr>
          <w:ilvl w:val="0"/>
          <w:numId w:val="0"/>
        </w:numPr>
        <w:ind w:firstLine="480" w:firstLineChars="200"/>
      </w:pPr>
      <w:r>
        <w:rPr>
          <w:i/>
        </w:rPr>
        <w:t>K</w:t>
      </w:r>
      <w:r>
        <w:rPr>
          <w:i/>
          <w:vertAlign w:val="subscript"/>
        </w:rPr>
        <w:t>operating</w:t>
      </w:r>
      <w:r>
        <w:t>——</w:t>
      </w:r>
      <w:r>
        <w:rPr>
          <w:rFonts w:hint="eastAsia"/>
        </w:rPr>
        <w:t>安全措施的</w:t>
      </w:r>
      <w:r>
        <w:t>运营/维护</w:t>
      </w:r>
      <w:r>
        <w:rPr>
          <w:rFonts w:hint="eastAsia"/>
        </w:rPr>
        <w:t>年度</w:t>
      </w:r>
      <w:r>
        <w:t>成本（</w:t>
      </w:r>
      <w:r>
        <w:rPr>
          <w:rFonts w:hint="eastAsia"/>
          <w:color w:val="333333"/>
          <w:szCs w:val="24"/>
          <w:shd w:val="clear" w:color="auto" w:fill="FFFFFF"/>
        </w:rPr>
        <w:t>元</w:t>
      </w:r>
      <w:r>
        <w:t>/年）；</w:t>
      </w:r>
    </w:p>
    <w:p>
      <w:pPr>
        <w:pStyle w:val="192"/>
        <w:numPr>
          <w:ilvl w:val="0"/>
          <w:numId w:val="0"/>
        </w:numPr>
        <w:ind w:firstLine="480" w:firstLineChars="200"/>
      </w:pPr>
      <m:oMath>
        <m:sSub>
          <m:sSubPr>
            <m:ctrlPr>
              <w:rPr>
                <w:rFonts w:ascii="Cambria Math" w:hAnsi="Cambria Math"/>
                <w:i/>
              </w:rPr>
            </m:ctrlPr>
          </m:sSubPr>
          <m:e>
            <m:r>
              <m:rPr/>
              <w:rPr>
                <w:rFonts w:ascii="Cambria Math" w:hAnsi="Cambria Math"/>
              </w:rPr>
              <m:t>K</m:t>
            </m:r>
            <m:ctrlPr>
              <w:rPr>
                <w:rFonts w:ascii="Cambria Math" w:hAnsi="Cambria Math"/>
                <w:i/>
              </w:rPr>
            </m:ctrlPr>
          </m:e>
          <m:sub>
            <m:r>
              <m:rPr/>
              <w:rPr>
                <w:rFonts w:hint="eastAsia" w:ascii="Cambria Math" w:hAnsi="Cambria Math"/>
              </w:rPr>
              <m:t>marginal</m:t>
            </m:r>
            <m:ctrlPr>
              <w:rPr>
                <w:rFonts w:ascii="Cambria Math" w:hAnsi="Cambria Math"/>
                <w:i/>
              </w:rPr>
            </m:ctrlPr>
          </m:sub>
        </m:sSub>
      </m:oMath>
      <w:r>
        <w:t>——火灾造成的损失</w:t>
      </w:r>
      <w:r>
        <w:rPr>
          <w:rFonts w:hint="eastAsia"/>
        </w:rPr>
        <w:t>（元），包括直接财产损失和人身损害赔偿，即效益；</w:t>
      </w:r>
    </w:p>
    <w:p>
      <w:pPr>
        <w:pStyle w:val="54"/>
        <w:ind w:firstLine="480"/>
        <w:rPr>
          <w:rFonts w:ascii="Times New Roman"/>
        </w:rPr>
      </w:pPr>
      <m:oMath>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max,r</m:t>
            </m:r>
            <m:ctrlPr>
              <w:rPr>
                <w:rFonts w:ascii="Cambria Math" w:hAnsi="Cambria Math"/>
                <w:i/>
              </w:rPr>
            </m:ctrlPr>
          </m:sub>
        </m:sSub>
      </m:oMath>
      <w:r>
        <w:rPr>
          <w:rFonts w:ascii="Times New Roman"/>
        </w:rPr>
        <w:t>——</w:t>
      </w:r>
      <w:r>
        <w:rPr>
          <w:rFonts w:hint="eastAsia" w:ascii="Times New Roman"/>
        </w:rPr>
        <w:t>房间内距房间出口的</w:t>
      </w:r>
      <w:r>
        <w:rPr>
          <w:rFonts w:ascii="Times New Roman"/>
        </w:rPr>
        <w:t>最大步行距离，m；</w:t>
      </w:r>
    </w:p>
    <w:p>
      <w:pPr>
        <w:pStyle w:val="54"/>
        <w:ind w:firstLine="480"/>
        <w:rPr>
          <w:rFonts w:ascii="Times New Roman"/>
        </w:rPr>
      </w:pPr>
      <m:oMath>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max,</m:t>
            </m:r>
            <m:r>
              <m:rPr/>
              <w:rPr>
                <w:rFonts w:hint="eastAsia" w:ascii="Cambria Math" w:hAnsi="Cambria Math"/>
              </w:rPr>
              <m:t>f</m:t>
            </m:r>
            <m:ctrlPr>
              <w:rPr>
                <w:rFonts w:ascii="Cambria Math" w:hAnsi="Cambria Math"/>
                <w:i/>
              </w:rPr>
            </m:ctrlPr>
          </m:sub>
        </m:sSub>
      </m:oMath>
      <w:r>
        <w:rPr>
          <w:rFonts w:ascii="Times New Roman"/>
        </w:rPr>
        <w:t>——距楼梯间最远的房间出口到楼梯间入口的最大步行距离，m；</w:t>
      </w:r>
    </w:p>
    <w:p>
      <w:pPr>
        <w:pStyle w:val="54"/>
        <w:ind w:firstLine="480"/>
        <w:rPr>
          <w:rFonts w:ascii="Times New Roman"/>
        </w:rPr>
      </w:pPr>
      <m:oMath>
        <m:sSub>
          <m:sSubPr>
            <m:ctrlPr>
              <w:rPr>
                <w:rFonts w:ascii="Cambria Math" w:hAnsi="Cambria Math"/>
                <w:i/>
              </w:rPr>
            </m:ctrlPr>
          </m:sSubPr>
          <m:e>
            <m:r>
              <m:rPr/>
              <w:rPr>
                <w:rFonts w:ascii="Cambria Math" w:hAnsi="Cambria Math"/>
              </w:rPr>
              <m:t>l</m:t>
            </m:r>
            <m:ctrlPr>
              <w:rPr>
                <w:rFonts w:ascii="Cambria Math" w:hAnsi="Cambria Math"/>
                <w:i/>
              </w:rPr>
            </m:ctrlPr>
          </m:e>
          <m:sub>
            <m:r>
              <m:rPr/>
              <w:rPr>
                <w:rFonts w:hint="eastAsia" w:ascii="Cambria Math" w:hAnsi="Cambria Math"/>
              </w:rPr>
              <m:t>min</m:t>
            </m:r>
            <m:r>
              <m:rPr/>
              <w:rPr>
                <w:rFonts w:ascii="Cambria Math" w:hAnsi="Cambria Math"/>
              </w:rPr>
              <m:t>,</m:t>
            </m:r>
            <m:r>
              <m:rPr/>
              <w:rPr>
                <w:rFonts w:hint="eastAsia" w:ascii="Cambria Math" w:hAnsi="Cambria Math"/>
              </w:rPr>
              <m:t>f</m:t>
            </m:r>
            <m:ctrlPr>
              <w:rPr>
                <w:rFonts w:ascii="Cambria Math" w:hAnsi="Cambria Math"/>
                <w:i/>
              </w:rPr>
            </m:ctrlPr>
          </m:sub>
        </m:sSub>
      </m:oMath>
      <w:r>
        <w:rPr>
          <w:rFonts w:ascii="Times New Roman"/>
        </w:rPr>
        <w:t>——距楼梯间最近的房间出口到楼梯间入口的最大步行距离，m；</w:t>
      </w:r>
    </w:p>
    <w:p>
      <w:pPr>
        <w:pStyle w:val="54"/>
        <w:ind w:firstLine="480"/>
        <w:rPr>
          <w:rFonts w:ascii="Times New Roman"/>
        </w:rPr>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r</m:t>
            </m:r>
            <m:ctrlPr>
              <w:rPr>
                <w:rFonts w:ascii="Cambria Math" w:hAnsi="Cambria Math"/>
                <w:i/>
              </w:rPr>
            </m:ctrlPr>
          </m:sub>
        </m:sSub>
      </m:oMath>
      <w:r>
        <w:rPr>
          <w:rFonts w:ascii="Times New Roman"/>
        </w:rPr>
        <w:t>——房间内人数，人；</w:t>
      </w:r>
    </w:p>
    <w:p>
      <w:pPr>
        <w:pStyle w:val="192"/>
        <w:numPr>
          <w:ilvl w:val="0"/>
          <w:numId w:val="0"/>
        </w:numPr>
        <w:ind w:firstLine="480" w:firstLineChars="200"/>
      </w:pPr>
      <w:r>
        <w:rPr>
          <w:i/>
        </w:rPr>
        <w:t>m</w:t>
      </w:r>
      <w:r>
        <w:t>——</w:t>
      </w:r>
      <w:r>
        <w:rPr>
          <w:rFonts w:hint="eastAsia"/>
        </w:rPr>
        <w:t>安全措施的使用</w:t>
      </w:r>
      <w:r>
        <w:t>寿命（年）；</w:t>
      </w:r>
    </w:p>
    <w:p>
      <w:pPr>
        <w:pStyle w:val="54"/>
        <w:ind w:firstLine="480"/>
        <w:jc w:val="left"/>
        <w:rPr>
          <w:rFonts w:ascii="Times New Roman"/>
        </w:rPr>
      </w:pPr>
      <w:r>
        <w:rPr>
          <w:rFonts w:ascii="Times New Roman"/>
          <w:i/>
        </w:rPr>
        <w:t>m</w:t>
      </w:r>
      <w:r>
        <w:rPr>
          <w:rFonts w:ascii="Times New Roman"/>
          <w:i/>
          <w:vertAlign w:val="subscript"/>
        </w:rPr>
        <w:t>e</w:t>
      </w:r>
      <w:r>
        <w:rPr>
          <w:rFonts w:ascii="Times New Roman"/>
        </w:rPr>
        <w:t>——排烟的质量流速，kg/s；</w:t>
      </w:r>
    </w:p>
    <w:p>
      <w:pPr>
        <w:pStyle w:val="54"/>
        <w:ind w:firstLine="480"/>
        <w:jc w:val="left"/>
        <w:rPr>
          <w:rFonts w:ascii="Times New Roman"/>
        </w:rPr>
      </w:pPr>
      <w:r>
        <w:rPr>
          <w:rFonts w:ascii="Times New Roman"/>
        </w:rPr>
        <w:t>m</w:t>
      </w:r>
      <w:r>
        <w:rPr>
          <w:rFonts w:ascii="Times New Roman"/>
          <w:vertAlign w:val="subscript"/>
        </w:rPr>
        <w:t>p</w:t>
      </w:r>
      <w:r>
        <w:rPr>
          <w:rFonts w:ascii="Times New Roman"/>
        </w:rPr>
        <w:t>——火羽流的质量流速，kg/s，产烟和排烟达到平衡稳态时，m</w:t>
      </w:r>
      <w:r>
        <w:rPr>
          <w:rFonts w:ascii="Times New Roman"/>
          <w:vertAlign w:val="subscript"/>
        </w:rPr>
        <w:t>p</w:t>
      </w:r>
      <w:r>
        <w:rPr>
          <w:rFonts w:ascii="Times New Roman"/>
        </w:rPr>
        <w:t>=m</w:t>
      </w:r>
      <w:r>
        <w:rPr>
          <w:rFonts w:ascii="Times New Roman"/>
          <w:vertAlign w:val="subscript"/>
        </w:rPr>
        <w:t>e</w:t>
      </w:r>
      <w:r>
        <w:rPr>
          <w:rFonts w:ascii="Times New Roman"/>
        </w:rPr>
        <w:t>；</w:t>
      </w:r>
    </w:p>
    <w:p>
      <w:pPr>
        <w:pStyle w:val="54"/>
        <w:ind w:firstLine="480"/>
        <w:rPr>
          <w:rFonts w:ascii="Times New Roman"/>
        </w:rPr>
      </w:pPr>
      <m:oMath>
        <m:r>
          <m:rPr/>
          <w:rPr>
            <w:rFonts w:ascii="Cambria Math" w:hAnsi="Cambria Math"/>
          </w:rPr>
          <m:t>N</m:t>
        </m:r>
      </m:oMath>
      <w:r>
        <w:rPr>
          <w:rFonts w:ascii="Times New Roman"/>
        </w:rPr>
        <w:t>——流动系数，人/（ms），表示单位宽度的通过人数，一般取值为1.5；</w:t>
      </w:r>
    </w:p>
    <w:p>
      <w:pPr>
        <w:pStyle w:val="54"/>
        <w:ind w:firstLine="480"/>
        <w:jc w:val="left"/>
        <w:rPr>
          <w:rFonts w:ascii="Times New Roman"/>
        </w:rPr>
      </w:pPr>
      <w:r>
        <w:rPr>
          <w:rFonts w:ascii="Times New Roman"/>
          <w:i/>
        </w:rPr>
        <w:t>n</w:t>
      </w:r>
      <w:r>
        <w:rPr>
          <w:rFonts w:ascii="Times New Roman"/>
        </w:rPr>
        <w:t>——t</w:t>
      </w:r>
      <w:r>
        <w:rPr>
          <w:rFonts w:ascii="Times New Roman"/>
          <w:vertAlign w:val="superscript"/>
        </w:rPr>
        <w:t>2</w:t>
      </w:r>
      <w:r>
        <w:rPr>
          <w:rFonts w:ascii="Times New Roman"/>
        </w:rPr>
        <w:t>火，n=2；</w:t>
      </w:r>
    </w:p>
    <w:p>
      <w:pPr>
        <w:pStyle w:val="54"/>
        <w:ind w:firstLine="439" w:firstLineChars="183"/>
        <w:rPr>
          <w:rFonts w:ascii="Times New Roman"/>
        </w:rPr>
      </w:pPr>
      <w:r>
        <w:rPr>
          <w:rFonts w:ascii="Times New Roman"/>
          <w:i/>
        </w:rPr>
        <w:t>P</w:t>
      </w:r>
      <w:r>
        <w:rPr>
          <w:rFonts w:ascii="Times New Roman"/>
        </w:rPr>
        <w:t>——场景的火灾概率；</w:t>
      </w:r>
    </w:p>
    <w:p>
      <w:pPr>
        <w:pStyle w:val="54"/>
        <w:ind w:firstLine="480"/>
        <w:jc w:val="left"/>
        <w:rPr>
          <w:rFonts w:ascii="Times New Roman"/>
        </w:rPr>
      </w:pPr>
      <w:r>
        <w:rPr>
          <w:rFonts w:ascii="Times New Roman"/>
          <w:i/>
        </w:rPr>
        <w:t>Q</w:t>
      </w:r>
      <w:r>
        <w:rPr>
          <w:rFonts w:ascii="Times New Roman"/>
          <w:i/>
          <w:vertAlign w:val="subscript"/>
        </w:rPr>
        <w:t>f</w:t>
      </w:r>
      <w:r>
        <w:rPr>
          <w:rFonts w:ascii="Times New Roman"/>
        </w:rPr>
        <w:t>——火源的热释放速率，kW；</w:t>
      </w:r>
    </w:p>
    <w:p>
      <w:pPr>
        <w:pStyle w:val="54"/>
        <w:ind w:firstLine="480"/>
        <w:rPr>
          <w:rFonts w:ascii="Times New Roman"/>
        </w:rPr>
      </w:pPr>
      <m:oMath>
        <m:r>
          <m:rPr/>
          <w:rPr>
            <w:rFonts w:ascii="Cambria Math" w:hAnsi="Cambria Math"/>
          </w:rPr>
          <m:t>Q</m:t>
        </m:r>
      </m:oMath>
      <w:r>
        <w:rPr>
          <w:rFonts w:ascii="Times New Roman"/>
        </w:rPr>
        <w:t>——火源的热释放速率，kW；</w:t>
      </w:r>
    </w:p>
    <w:p>
      <w:pPr>
        <w:pStyle w:val="54"/>
        <w:ind w:firstLine="480"/>
        <w:rPr>
          <w:rFonts w:ascii="Times New Roman"/>
        </w:rPr>
      </w:pPr>
      <m:oMath>
        <m:r>
          <m:rPr/>
          <w:rPr>
            <w:rFonts w:ascii="Cambria Math" w:hAnsi="Cambria Math"/>
          </w:rPr>
          <m:t>r</m:t>
        </m:r>
      </m:oMath>
      <w:r>
        <w:rPr>
          <w:rFonts w:ascii="Times New Roman"/>
        </w:rPr>
        <w:t>——探测器在顶棚下的径向位置，m；</w:t>
      </w:r>
    </w:p>
    <w:p>
      <w:pPr>
        <w:pStyle w:val="54"/>
        <w:ind w:firstLine="480"/>
        <w:rPr>
          <w:rFonts w:ascii="Times New Roman"/>
        </w:rPr>
      </w:pPr>
      <w:r>
        <w:rPr>
          <w:rFonts w:ascii="Times New Roman"/>
          <w:i/>
        </w:rPr>
        <w:t>R</w:t>
      </w:r>
      <w:r>
        <w:rPr>
          <w:rFonts w:ascii="Times New Roman"/>
        </w:rPr>
        <w:t>——场景的火灾风险；</w:t>
      </w:r>
    </w:p>
    <w:p>
      <w:pPr>
        <w:pStyle w:val="54"/>
        <w:ind w:firstLine="480"/>
        <w:rPr>
          <w:rFonts w:ascii="Times New Roman"/>
        </w:rPr>
      </w:pPr>
      <m:oMath>
        <m:r>
          <m:rPr/>
          <w:rPr>
            <w:rFonts w:ascii="Cambria Math" w:hAnsi="Cambria Math"/>
          </w:rPr>
          <m:t>RTI</m:t>
        </m:r>
      </m:oMath>
      <w:r>
        <w:rPr>
          <w:rFonts w:ascii="Times New Roman"/>
        </w:rPr>
        <w:t>——探测器特征响应时间指数，（ms）</w:t>
      </w:r>
      <w:r>
        <w:rPr>
          <w:rFonts w:ascii="Times New Roman"/>
          <w:vertAlign w:val="superscript"/>
        </w:rPr>
        <w:t>0.5</w:t>
      </w:r>
      <w:r>
        <w:rPr>
          <w:rFonts w:ascii="Times New Roman"/>
        </w:rPr>
        <w:t>；</w:t>
      </w:r>
    </w:p>
    <w:p>
      <w:pPr>
        <w:pStyle w:val="54"/>
        <w:ind w:firstLine="439" w:firstLineChars="183"/>
        <w:rPr>
          <w:rFonts w:ascii="Times New Roman"/>
        </w:rPr>
      </w:pPr>
      <w:r>
        <w:rPr>
          <w:rFonts w:ascii="Times New Roman"/>
          <w:i/>
        </w:rPr>
        <w:t>S</w:t>
      </w:r>
      <w:r>
        <w:rPr>
          <w:rFonts w:ascii="Times New Roman"/>
        </w:rPr>
        <w:t>——场景的火灾后果</w:t>
      </w:r>
      <w:r>
        <w:rPr>
          <w:rFonts w:hint="eastAsia" w:ascii="Times New Roman"/>
        </w:rPr>
        <w:t>；</w:t>
      </w:r>
    </w:p>
    <w:p>
      <w:pPr>
        <w:pStyle w:val="195"/>
        <w:numPr>
          <w:ilvl w:val="0"/>
          <w:numId w:val="0"/>
        </w:numPr>
        <w:ind w:firstLine="480"/>
        <w:jc w:val="left"/>
      </w:pPr>
      <m:oMath>
        <m:sSub>
          <m:sSubPr>
            <m:ctrlPr>
              <w:rPr>
                <w:rStyle w:val="274"/>
                <w:rFonts w:ascii="Cambria Math" w:hAnsi="Cambria Math"/>
                <w:i/>
                <w:iCs/>
              </w:rPr>
            </m:ctrlPr>
          </m:sSubPr>
          <m:e>
            <m:r>
              <m:rPr/>
              <w:rPr>
                <w:rStyle w:val="274"/>
                <w:rFonts w:ascii="Cambria Math" w:hAnsi="Cambria Math"/>
              </w:rPr>
              <m:t>S</m:t>
            </m:r>
            <m:ctrlPr>
              <w:rPr>
                <w:rStyle w:val="274"/>
                <w:rFonts w:ascii="Cambria Math" w:hAnsi="Cambria Math"/>
                <w:i/>
                <w:iCs/>
              </w:rPr>
            </m:ctrlPr>
          </m:e>
          <m:sub>
            <m:r>
              <m:rPr/>
              <w:rPr>
                <w:rStyle w:val="274"/>
                <w:rFonts w:ascii="Cambria Math" w:hAnsi="Cambria Math"/>
              </w:rPr>
              <m:t>X</m:t>
            </m:r>
            <m:r>
              <m:rPr/>
              <w:rPr>
                <w:rStyle w:val="274"/>
                <w:rFonts w:ascii="Cambria Math" w:hAnsi="Cambria Math"/>
                <w:sz w:val="17"/>
                <w:szCs w:val="17"/>
              </w:rPr>
              <m:t>i</m:t>
            </m:r>
            <m:ctrlPr>
              <w:rPr>
                <w:rStyle w:val="274"/>
                <w:rFonts w:ascii="Cambria Math" w:hAnsi="Cambria Math"/>
                <w:i/>
                <w:iCs/>
              </w:rPr>
            </m:ctrlPr>
          </m:sub>
        </m:sSub>
      </m:oMath>
      <w:r>
        <w:rPr>
          <w:rStyle w:val="274"/>
          <w:rFonts w:hint="eastAsia"/>
          <w:iCs/>
        </w:rPr>
        <w:t>——</w:t>
      </w:r>
      <w:r>
        <w:t>变量</w:t>
      </w:r>
      <m:oMath>
        <m:r>
          <m:rPr/>
          <w:rPr>
            <w:rStyle w:val="274"/>
            <w:rFonts w:ascii="Cambria Math" w:hAnsi="Cambria Math"/>
            <w:sz w:val="27"/>
            <w:szCs w:val="27"/>
            <w:shd w:val="clear" w:color="auto" w:fill="FFFFFF"/>
          </w:rPr>
          <m:t>X</m:t>
        </m:r>
        <m:r>
          <m:rPr/>
          <w:rPr>
            <w:rStyle w:val="274"/>
            <w:rFonts w:ascii="Cambria Math" w:hAnsi="Cambria Math"/>
            <w:sz w:val="19"/>
            <w:szCs w:val="19"/>
            <w:shd w:val="clear" w:color="auto" w:fill="FFFFFF"/>
          </w:rPr>
          <m:t>i</m:t>
        </m:r>
      </m:oMath>
      <w:r>
        <w:t>的</w:t>
      </w:r>
      <w:r>
        <w:rPr>
          <w:rStyle w:val="274"/>
          <w:rFonts w:hint="eastAsia"/>
          <w:iCs/>
        </w:rPr>
        <w:t>敏感度；</w:t>
      </w:r>
    </w:p>
    <w:p>
      <w:pPr>
        <w:pStyle w:val="192"/>
        <w:numPr>
          <w:ilvl w:val="0"/>
          <w:numId w:val="0"/>
        </w:numPr>
        <w:ind w:firstLine="480" w:firstLineChars="200"/>
      </w:pPr>
      <m:oMath>
        <m:sSubSup>
          <m:sSubSupPr>
            <m:ctrlPr>
              <w:rPr>
                <w:rFonts w:ascii="Cambria Math" w:hAnsi="Cambria Math" w:eastAsia="Cambria Math"/>
                <w:i/>
              </w:rPr>
            </m:ctrlPr>
          </m:sSubSupPr>
          <m:e>
            <m:r>
              <m:rPr/>
              <w:rPr>
                <w:rFonts w:ascii="Cambria Math" w:hAnsi="Cambria Math" w:eastAsia="Cambria Math"/>
              </w:rPr>
              <m:t>S</m:t>
            </m:r>
            <m:ctrlPr>
              <w:rPr>
                <w:rFonts w:ascii="Cambria Math" w:hAnsi="Cambria Math" w:eastAsia="Cambria Math"/>
                <w:i/>
              </w:rPr>
            </m:ctrlPr>
          </m:e>
          <m:sub>
            <m:r>
              <m:rPr/>
              <w:rPr>
                <w:rFonts w:ascii="Cambria Math" w:hAnsi="Cambria Math" w:eastAsia="Cambria Math"/>
              </w:rPr>
              <m:t>i</m:t>
            </m:r>
            <m:ctrlPr>
              <w:rPr>
                <w:rFonts w:ascii="Cambria Math" w:hAnsi="Cambria Math" w:eastAsia="Cambria Math"/>
                <w:i/>
              </w:rPr>
            </m:ctrlPr>
          </m:sub>
          <m:sup>
            <m:r>
              <m:rPr/>
              <w:rPr>
                <w:rFonts w:ascii="Cambria Math" w:hAnsi="Cambria Math" w:eastAsia="Cambria Math"/>
              </w:rPr>
              <m:t>2</m:t>
            </m:r>
            <m:ctrlPr>
              <w:rPr>
                <w:rFonts w:ascii="Cambria Math" w:hAnsi="Cambria Math" w:eastAsia="Cambria Math"/>
                <w:i/>
              </w:rPr>
            </m:ctrlPr>
          </m:sup>
        </m:sSubSup>
      </m:oMath>
      <w:r>
        <w:t>——第i项数据的方差；</w:t>
      </w:r>
    </w:p>
    <w:p>
      <w:pPr>
        <w:pStyle w:val="192"/>
        <w:numPr>
          <w:ilvl w:val="0"/>
          <w:numId w:val="0"/>
        </w:numPr>
        <w:ind w:firstLine="480" w:firstLineChars="200"/>
      </w:pPr>
      <m:oMath>
        <m:sSubSup>
          <m:sSubSupPr>
            <m:ctrlPr>
              <w:rPr>
                <w:rFonts w:ascii="Cambria Math" w:hAnsi="Cambria Math" w:eastAsia="Cambria Math"/>
                <w:i/>
              </w:rPr>
            </m:ctrlPr>
          </m:sSubSupPr>
          <m:e>
            <m:r>
              <m:rPr/>
              <w:rPr>
                <w:rFonts w:ascii="Cambria Math" w:hAnsi="Cambria Math" w:eastAsia="Cambria Math"/>
              </w:rPr>
              <m:t>S</m:t>
            </m:r>
            <m:ctrlPr>
              <w:rPr>
                <w:rFonts w:ascii="Cambria Math" w:hAnsi="Cambria Math" w:eastAsia="Cambria Math"/>
                <w:i/>
              </w:rPr>
            </m:ctrlPr>
          </m:e>
          <m:sub>
            <m:r>
              <m:rPr/>
              <w:rPr>
                <w:rFonts w:ascii="Cambria Math" w:hAnsi="Cambria Math" w:eastAsia="Cambria Math"/>
              </w:rPr>
              <m:t>x</m:t>
            </m:r>
            <m:ctrlPr>
              <w:rPr>
                <w:rFonts w:ascii="Cambria Math" w:hAnsi="Cambria Math" w:eastAsia="Cambria Math"/>
                <w:i/>
              </w:rPr>
            </m:ctrlPr>
          </m:sub>
          <m:sup>
            <m:r>
              <m:rPr/>
              <w:rPr>
                <w:rFonts w:ascii="Cambria Math" w:hAnsi="Cambria Math" w:eastAsia="Cambria Math"/>
              </w:rPr>
              <m:t>2</m:t>
            </m:r>
            <m:ctrlPr>
              <w:rPr>
                <w:rFonts w:ascii="Cambria Math" w:hAnsi="Cambria Math" w:eastAsia="Cambria Math"/>
                <w:i/>
              </w:rPr>
            </m:ctrlPr>
          </m:sup>
        </m:sSubSup>
      </m:oMath>
      <w:r>
        <w:t>——总数据的方差</w:t>
      </w:r>
      <w:r>
        <w:rPr>
          <w:rFonts w:hint="eastAsia"/>
        </w:rPr>
        <w:t>；</w:t>
      </w:r>
    </w:p>
    <w:p>
      <w:pPr>
        <w:pStyle w:val="255"/>
        <w:wordWrap/>
        <w:spacing w:line="240" w:lineRule="auto"/>
        <w:ind w:firstLine="420" w:firstLineChars="200"/>
      </w:pPr>
      <w:r>
        <w:rPr>
          <w:i/>
          <w:sz w:val="21"/>
        </w:rPr>
        <w:fldChar w:fldCharType="begin"/>
      </w:r>
      <w:r>
        <w:rPr>
          <w:i/>
          <w:sz w:val="21"/>
        </w:rPr>
        <w:instrText xml:space="preserve"> QUOTE </w:instrText>
      </w:r>
      <w:r>
        <w:rPr>
          <w:rFonts w:ascii="Cambria Math" w:hAnsi="Cambria Math" w:cs="Cambria Math"/>
          <w:i/>
          <w:sz w:val="18"/>
          <w:szCs w:val="18"/>
        </w:rPr>
        <w:instrText xml:space="preserve">𝑡𝐴</w:instrText>
      </w:r>
      <w:r>
        <w:rPr>
          <w:i/>
          <w:sz w:val="21"/>
        </w:rPr>
        <w:instrText xml:space="preserve"> </w:instrText>
      </w:r>
      <w:r>
        <w:rPr>
          <w:i/>
          <w:sz w:val="21"/>
        </w:rPr>
        <w:fldChar w:fldCharType="end"/>
      </w:r>
      <w:r>
        <w:rPr>
          <w:i/>
          <w:sz w:val="21"/>
        </w:rPr>
        <w:t>t</w:t>
      </w:r>
      <w:r>
        <w:rPr>
          <w:i/>
          <w:sz w:val="21"/>
          <w:vertAlign w:val="subscript"/>
        </w:rPr>
        <w:t>A</w:t>
      </w:r>
      <w:r>
        <w:rPr>
          <w:sz w:val="21"/>
        </w:rPr>
        <w:t>——</w:t>
      </w:r>
      <w:r>
        <w:rPr>
          <w:rFonts w:hint="eastAsia"/>
          <w:kern w:val="0"/>
          <w:szCs w:val="20"/>
        </w:rPr>
        <w:t>报警时间，</w:t>
      </w:r>
      <w:r>
        <w:rPr>
          <w:kern w:val="0"/>
          <w:szCs w:val="20"/>
        </w:rPr>
        <w:t>s</w:t>
      </w:r>
      <w:r>
        <w:rPr>
          <w:rFonts w:hint="eastAsia"/>
          <w:kern w:val="0"/>
          <w:szCs w:val="20"/>
        </w:rPr>
        <w:t>；</w:t>
      </w:r>
    </w:p>
    <w:p>
      <w:pPr>
        <w:pStyle w:val="255"/>
        <w:wordWrap/>
        <w:spacing w:line="240" w:lineRule="auto"/>
        <w:ind w:firstLine="480" w:firstLineChars="200"/>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alarm</m:t>
            </m:r>
            <m:ctrlPr>
              <w:rPr>
                <w:rFonts w:ascii="Cambria Math" w:hAnsi="Cambria Math"/>
              </w:rPr>
            </m:ctrlPr>
          </m:sub>
        </m:sSub>
      </m:oMath>
      <w:r>
        <w:t>——火灾探测时间，s；</w:t>
      </w:r>
    </w:p>
    <w:p>
      <w:pPr>
        <w:pStyle w:val="54"/>
        <w:ind w:firstLine="480"/>
        <w:jc w:val="left"/>
        <w:rPr>
          <w:rFonts w:ascii="Times New Roman"/>
        </w:rPr>
      </w:pPr>
      <w:r>
        <w:rPr>
          <w:rFonts w:ascii="Times New Roman"/>
          <w:i/>
        </w:rPr>
        <w:t>t</w:t>
      </w:r>
      <w:r>
        <w:rPr>
          <w:rFonts w:ascii="Times New Roman"/>
          <w:i/>
          <w:vertAlign w:val="subscript"/>
        </w:rPr>
        <w:t>c</w:t>
      </w:r>
      <w:r>
        <w:rPr>
          <w:rFonts w:ascii="Times New Roman"/>
        </w:rPr>
        <w:t>——室内空间边界面吸收热量的特征时间，一般取1000s；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cl</m:t>
            </m:r>
            <m:ctrlPr>
              <w:rPr>
                <w:rFonts w:ascii="Cambria Math" w:hAnsi="Cambria Math"/>
              </w:rPr>
            </m:ctrlPr>
          </m:sub>
        </m:sSub>
      </m:oMath>
      <w:r>
        <w:rPr>
          <w:rFonts w:ascii="Times New Roman"/>
        </w:rPr>
        <w:t>——顶棚射流传播延迟时间，s；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pl</m:t>
            </m:r>
            <m:ctrlPr>
              <w:rPr>
                <w:rFonts w:ascii="Cambria Math" w:hAnsi="Cambria Math"/>
              </w:rPr>
            </m:ctrlPr>
          </m:sub>
        </m:sSub>
      </m:oMath>
      <w:r>
        <w:rPr>
          <w:rFonts w:ascii="Times New Roman"/>
        </w:rPr>
        <w:t>——烟羽流传播延迟时间，s；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move.r</m:t>
            </m:r>
            <m:ctrlPr>
              <w:rPr>
                <w:rFonts w:ascii="Cambria Math" w:hAnsi="Cambria Math"/>
              </w:rPr>
            </m:ctrlPr>
          </m:sub>
        </m:sSub>
      </m:oMath>
      <w:r>
        <w:rPr>
          <w:rFonts w:ascii="Times New Roman"/>
        </w:rPr>
        <w:t>——房间内的疏散行走时间，s；</w:t>
      </w:r>
    </w:p>
    <w:p>
      <w:pPr>
        <w:pStyle w:val="54"/>
        <w:ind w:firstLine="420"/>
        <w:rPr>
          <w:rFonts w:ascii="Times New Roman"/>
        </w:rPr>
      </w:pPr>
      <w:r>
        <w:rPr>
          <w:rFonts w:ascii="Times New Roman"/>
          <w:i/>
          <w:sz w:val="21"/>
        </w:rPr>
        <w:t>t</w:t>
      </w:r>
      <w:r>
        <w:rPr>
          <w:rFonts w:ascii="Times New Roman"/>
          <w:i/>
          <w:sz w:val="21"/>
          <w:vertAlign w:val="subscript"/>
        </w:rPr>
        <w:t>M</w:t>
      </w:r>
      <w:r>
        <w:rPr>
          <w:rFonts w:ascii="Times New Roman"/>
        </w:rPr>
        <w:t>——运动时间，s</w:t>
      </w:r>
      <w:r>
        <w:rPr>
          <w:rFonts w:hint="eastAsia" w:ascii="Times New Roman"/>
        </w:rPr>
        <w:t>；</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travel.r</m:t>
            </m:r>
            <m:ctrlPr>
              <w:rPr>
                <w:rFonts w:ascii="Cambria Math" w:hAnsi="Cambria Math"/>
              </w:rPr>
            </m:ctrlPr>
          </m:sub>
        </m:sSub>
      </m:oMath>
      <w:r>
        <w:rPr>
          <w:rFonts w:ascii="Times New Roman"/>
        </w:rPr>
        <w:t>——由房间内最远点到达房间出口所需的步行时间，s；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queue.r</m:t>
            </m:r>
            <m:ctrlPr>
              <w:rPr>
                <w:rFonts w:ascii="Cambria Math" w:hAnsi="Cambria Math"/>
              </w:rPr>
            </m:ctrlPr>
          </m:sub>
        </m:sSub>
      </m:oMath>
      <w:r>
        <w:rPr>
          <w:rFonts w:ascii="Times New Roman"/>
        </w:rPr>
        <w:t>——假设房间内人员聚集在房间出口前，由停留状态到全体人员通过出口所需要的时间，即停留解除时间，s；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move.</m:t>
            </m:r>
            <m:r>
              <m:rPr/>
              <w:rPr>
                <w:rFonts w:hint="eastAsia" w:ascii="Cambria Math" w:hAnsi="Cambria Math"/>
              </w:rPr>
              <m:t>f</m:t>
            </m:r>
            <m:ctrlPr>
              <w:rPr>
                <w:rFonts w:ascii="Cambria Math" w:hAnsi="Cambria Math"/>
              </w:rPr>
            </m:ctrlPr>
          </m:sub>
        </m:sSub>
      </m:oMath>
      <w:r>
        <w:rPr>
          <w:rFonts w:ascii="Times New Roman"/>
        </w:rPr>
        <w:t>——楼层的疏散行走时间，s；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travel.</m:t>
            </m:r>
            <m:r>
              <m:rPr/>
              <w:rPr>
                <w:rFonts w:hint="eastAsia" w:ascii="Cambria Math" w:hAnsi="Cambria Math"/>
              </w:rPr>
              <m:t>f</m:t>
            </m:r>
            <m:ctrlPr>
              <w:rPr>
                <w:rFonts w:ascii="Cambria Math" w:hAnsi="Cambria Math"/>
              </w:rPr>
            </m:ctrlPr>
          </m:sub>
        </m:sSub>
      </m:oMath>
      <w:r>
        <w:rPr>
          <w:rFonts w:ascii="Times New Roman"/>
        </w:rPr>
        <w:t>——由距楼梯间最远的房间人员到达楼梯间入口所需的步行时间，s；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queue.</m:t>
            </m:r>
            <m:r>
              <m:rPr/>
              <w:rPr>
                <w:rFonts w:hint="eastAsia" w:ascii="Cambria Math" w:hAnsi="Cambria Math"/>
              </w:rPr>
              <m:t>f</m:t>
            </m:r>
            <m:ctrlPr>
              <w:rPr>
                <w:rFonts w:ascii="Cambria Math" w:hAnsi="Cambria Math"/>
              </w:rPr>
            </m:ctrlPr>
          </m:sub>
        </m:sSub>
      </m:oMath>
      <w:r>
        <w:rPr>
          <w:rFonts w:ascii="Times New Roman"/>
        </w:rPr>
        <w:t>——停留解除时间，s；</w:t>
      </w:r>
    </w:p>
    <w:p>
      <w:pPr>
        <w:pStyle w:val="54"/>
        <w:ind w:firstLine="48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travel.</m:t>
            </m:r>
            <m:r>
              <m:rPr/>
              <w:rPr>
                <w:rFonts w:hint="eastAsia" w:ascii="Cambria Math" w:hAnsi="Cambria Math"/>
              </w:rPr>
              <m:t>f</m:t>
            </m:r>
            <m:r>
              <m:rPr/>
              <w:rPr>
                <w:rFonts w:ascii="Cambria Math" w:hAnsi="Cambria Math"/>
              </w:rPr>
              <m:t>,min</m:t>
            </m:r>
            <m:ctrlPr>
              <w:rPr>
                <w:rFonts w:ascii="Cambria Math" w:hAnsi="Cambria Math"/>
              </w:rPr>
            </m:ctrlPr>
          </m:sub>
        </m:sSub>
      </m:oMath>
      <w:r>
        <w:rPr>
          <w:rFonts w:ascii="Times New Roman"/>
        </w:rPr>
        <w:t>——由距楼梯间最近的房间人员到达楼梯间入口所需的步行时间，s；</w:t>
      </w:r>
    </w:p>
    <w:p>
      <w:pPr>
        <w:pStyle w:val="54"/>
        <w:ind w:firstLine="420"/>
        <w:rPr>
          <w:rFonts w:ascii="Times New Roman"/>
          <w:sz w:val="21"/>
        </w:rPr>
      </w:pPr>
      <w:r>
        <w:rPr>
          <w:rFonts w:ascii="Times New Roman"/>
          <w:i/>
          <w:sz w:val="21"/>
        </w:rPr>
        <w:t>t</w:t>
      </w:r>
      <w:r>
        <w:rPr>
          <w:rFonts w:ascii="Times New Roman"/>
          <w:i/>
          <w:sz w:val="21"/>
          <w:vertAlign w:val="subscript"/>
        </w:rPr>
        <w:t>w</w:t>
      </w:r>
      <w:r>
        <w:rPr>
          <w:rFonts w:ascii="Times New Roman"/>
          <w:sz w:val="21"/>
        </w:rPr>
        <w:fldChar w:fldCharType="begin"/>
      </w:r>
      <w:r>
        <w:rPr>
          <w:rFonts w:ascii="Times New Roman"/>
          <w:sz w:val="21"/>
        </w:rPr>
        <w:instrText xml:space="preserve"> QUOTE </w:instrText>
      </w:r>
      <w:r>
        <w:rPr>
          <w:rFonts w:ascii="Cambria Math" w:hAnsi="Cambria Math" w:cs="Cambria Math"/>
          <w:sz w:val="18"/>
          <w:szCs w:val="18"/>
        </w:rPr>
        <w:instrText xml:space="preserve">𝑡𝑊</w:instrText>
      </w:r>
      <w:r>
        <w:rPr>
          <w:rFonts w:ascii="Times New Roman"/>
          <w:sz w:val="21"/>
        </w:rPr>
        <w:instrText xml:space="preserve"> </w:instrText>
      </w:r>
      <w:r>
        <w:rPr>
          <w:rFonts w:ascii="Times New Roman"/>
          <w:sz w:val="21"/>
        </w:rPr>
        <w:fldChar w:fldCharType="end"/>
      </w:r>
      <w:r>
        <w:rPr>
          <w:rFonts w:ascii="Times New Roman"/>
          <w:sz w:val="21"/>
        </w:rPr>
        <w:t>——探测时间，s；</w:t>
      </w:r>
    </w:p>
    <w:p>
      <w:pPr>
        <w:pStyle w:val="255"/>
        <w:wordWrap/>
        <w:spacing w:line="240" w:lineRule="auto"/>
        <w:ind w:firstLine="420" w:firstLineChars="200"/>
        <w:rPr>
          <w:sz w:val="21"/>
        </w:rPr>
      </w:pPr>
      <w:r>
        <w:rPr>
          <w:i/>
          <w:sz w:val="21"/>
        </w:rPr>
        <w:fldChar w:fldCharType="begin"/>
      </w:r>
      <w:r>
        <w:rPr>
          <w:i/>
          <w:sz w:val="21"/>
        </w:rPr>
        <w:instrText xml:space="preserve"> QUOTE </w:instrText>
      </w:r>
      <w:r>
        <w:rPr>
          <w:rFonts w:ascii="Cambria Math" w:hAnsi="Cambria Math" w:cs="Cambria Math"/>
          <w:i/>
          <w:sz w:val="18"/>
          <w:szCs w:val="18"/>
        </w:rPr>
        <w:instrText xml:space="preserve">𝑡𝑅</w:instrText>
      </w:r>
      <w:r>
        <w:rPr>
          <w:i/>
          <w:sz w:val="21"/>
        </w:rPr>
        <w:instrText xml:space="preserve"> </w:instrText>
      </w:r>
      <w:r>
        <w:rPr>
          <w:i/>
          <w:sz w:val="21"/>
        </w:rPr>
        <w:fldChar w:fldCharType="end"/>
      </w:r>
      <w:r>
        <w:rPr>
          <w:i/>
          <w:sz w:val="21"/>
        </w:rPr>
        <w:t>t</w:t>
      </w:r>
      <w:r>
        <w:rPr>
          <w:i/>
          <w:sz w:val="21"/>
          <w:vertAlign w:val="subscript"/>
        </w:rPr>
        <w:t>R</w:t>
      </w:r>
      <w:r>
        <w:rPr>
          <w:sz w:val="21"/>
        </w:rPr>
        <w:t>——预作用时间，s；</w:t>
      </w:r>
    </w:p>
    <w:p>
      <w:pPr>
        <w:pStyle w:val="54"/>
        <w:ind w:firstLine="480"/>
        <w:jc w:val="left"/>
        <w:rPr>
          <w:rFonts w:ascii="Times New Roman"/>
        </w:rPr>
      </w:pPr>
      <w:r>
        <w:rPr>
          <w:rFonts w:ascii="Times New Roman"/>
        </w:rPr>
        <w:t>t</w:t>
      </w:r>
      <w:r>
        <w:rPr>
          <w:rFonts w:ascii="Times New Roman"/>
          <w:vertAlign w:val="subscript"/>
        </w:rPr>
        <w:t>sm</w:t>
      </w:r>
      <w:r>
        <w:rPr>
          <w:rFonts w:ascii="Times New Roman"/>
        </w:rPr>
        <w:t>——排烟开始时间，s；</w:t>
      </w:r>
    </w:p>
    <w:p>
      <w:pPr>
        <w:pStyle w:val="54"/>
        <w:ind w:firstLine="480"/>
        <w:rPr>
          <w:rFonts w:ascii="Times New Roman"/>
        </w:rPr>
      </w:pPr>
      <m:oMath>
        <m:r>
          <m:rPr/>
          <w:rPr>
            <w:rFonts w:ascii="Cambria Math" w:hAnsi="Cambria Math"/>
          </w:rPr>
          <m:t>T</m:t>
        </m:r>
      </m:oMath>
      <w:r>
        <w:rPr>
          <w:rFonts w:ascii="Times New Roman"/>
        </w:rPr>
        <w:t>——探测器响应温度，K；</w:t>
      </w:r>
    </w:p>
    <w:p>
      <w:pPr>
        <w:pStyle w:val="192"/>
        <w:numPr>
          <w:ilvl w:val="0"/>
          <w:numId w:val="0"/>
        </w:numPr>
        <w:ind w:firstLine="480" w:firstLineChars="200"/>
      </w:pPr>
      <w:r>
        <w:t>T</w:t>
      </w:r>
      <w:r>
        <w:rPr>
          <w:vertAlign w:val="subscript"/>
        </w:rPr>
        <w:t>s</w:t>
      </w:r>
      <w:r>
        <w:t>——烟气层温度，K；</w:t>
      </w:r>
    </w:p>
    <w:p>
      <w:pPr>
        <w:pStyle w:val="192"/>
        <w:numPr>
          <w:ilvl w:val="0"/>
          <w:numId w:val="0"/>
        </w:numPr>
        <w:ind w:firstLine="480" w:firstLineChars="200"/>
      </w:pPr>
      <w:r>
        <w:rPr>
          <w:i/>
        </w:rPr>
        <w:t>T</w:t>
      </w:r>
      <w:r>
        <w:rPr>
          <w:i/>
          <w:vertAlign w:val="subscript"/>
        </w:rPr>
        <w:t>0</w:t>
      </w:r>
      <w:r>
        <w:t>——</w:t>
      </w:r>
      <w:bookmarkStart w:id="65" w:name="OLE_LINK107"/>
      <w:bookmarkStart w:id="66" w:name="OLE_LINK106"/>
      <w:r>
        <w:t>未起火时</w:t>
      </w:r>
      <w:bookmarkEnd w:id="65"/>
      <w:bookmarkEnd w:id="66"/>
      <w:r>
        <w:rPr>
          <w:rFonts w:hint="eastAsia"/>
        </w:rPr>
        <w:t>环境</w:t>
      </w:r>
      <w:r>
        <w:t>温度，K</w:t>
      </w:r>
      <w:r>
        <w:rPr>
          <w:rFonts w:hint="eastAsia"/>
        </w:rPr>
        <w:t>；</w:t>
      </w:r>
    </w:p>
    <w:p>
      <w:pPr>
        <w:pStyle w:val="54"/>
        <w:ind w:firstLine="480"/>
        <w:rPr>
          <w:rFonts w:ascii="Times New Roman"/>
        </w:rPr>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oMath>
      <w:r>
        <w:rPr>
          <w:rFonts w:ascii="Times New Roman"/>
        </w:rPr>
        <w:t>——烟气最高温度，K；</w:t>
      </w:r>
    </w:p>
    <w:p>
      <w:pPr>
        <w:pStyle w:val="54"/>
        <w:ind w:firstLine="480"/>
        <w:rPr>
          <w:rFonts w:ascii="Times New Roman"/>
        </w:rPr>
      </w:pPr>
      <m:oMath>
        <m:sSub>
          <m:sSubPr>
            <m:ctrlPr>
              <w:rPr>
                <w:rFonts w:ascii="Cambria Math" w:hAnsi="Cambria Math"/>
                <w:i/>
              </w:rPr>
            </m:ctrlPr>
          </m:sSubPr>
          <m:e>
            <m:r>
              <m:rPr/>
              <w:rPr>
                <w:rFonts w:ascii="Cambria Math" w:hAnsi="Cambria Math"/>
              </w:rPr>
              <m:t>u</m:t>
            </m:r>
            <m:ctrlPr>
              <w:rPr>
                <w:rFonts w:ascii="Cambria Math" w:hAnsi="Cambria Math"/>
                <w:i/>
              </w:rPr>
            </m:ctrlPr>
          </m:e>
          <m:sub>
            <m:r>
              <m:rPr/>
              <w:rPr>
                <w:rFonts w:ascii="Cambria Math" w:hAnsi="Cambria Math"/>
              </w:rPr>
              <m:t>max</m:t>
            </m:r>
            <m:ctrlPr>
              <w:rPr>
                <w:rFonts w:ascii="Cambria Math" w:hAnsi="Cambria Math"/>
                <w:i/>
              </w:rPr>
            </m:ctrlPr>
          </m:sub>
        </m:sSub>
      </m:oMath>
      <w:r>
        <w:rPr>
          <w:rFonts w:ascii="Times New Roman"/>
        </w:rPr>
        <w:t>——烟气最大速度，m/s；</w:t>
      </w:r>
    </w:p>
    <w:p>
      <w:pPr>
        <w:pStyle w:val="54"/>
        <w:ind w:firstLine="480"/>
        <w:rPr>
          <w:rFonts w:ascii="Times New Roman"/>
        </w:rPr>
      </w:pPr>
      <m:oMath>
        <m:r>
          <m:rPr/>
          <w:rPr>
            <w:rFonts w:ascii="Cambria Math" w:hAnsi="Cambria Math"/>
          </w:rPr>
          <m:t>v</m:t>
        </m:r>
      </m:oMath>
      <w:r>
        <w:rPr>
          <w:rFonts w:ascii="Times New Roman"/>
        </w:rPr>
        <w:t>——步行速度，m/s；</w:t>
      </w:r>
    </w:p>
    <w:p>
      <w:pPr>
        <w:pStyle w:val="54"/>
        <w:ind w:firstLine="480"/>
        <w:jc w:val="left"/>
        <w:rPr>
          <w:rFonts w:ascii="Times New Roman"/>
        </w:rPr>
      </w:pPr>
      <w:r>
        <w:rPr>
          <w:rFonts w:ascii="Times New Roman"/>
        </w:rPr>
        <w:t>V</w:t>
      </w:r>
      <w:r>
        <w:rPr>
          <w:rFonts w:ascii="Times New Roman"/>
          <w:vertAlign w:val="subscript"/>
        </w:rPr>
        <w:t>e</w:t>
      </w:r>
      <w:r>
        <w:rPr>
          <w:rFonts w:ascii="Times New Roman"/>
        </w:rPr>
        <w:t>——机械排烟系统的体积流速，m</w:t>
      </w:r>
      <w:r>
        <w:rPr>
          <w:rFonts w:ascii="Times New Roman"/>
          <w:vertAlign w:val="superscript"/>
        </w:rPr>
        <w:t>3</w:t>
      </w:r>
      <w:r>
        <w:rPr>
          <w:rFonts w:ascii="Times New Roman"/>
        </w:rPr>
        <w:t>/s；</w:t>
      </w:r>
    </w:p>
    <w:p>
      <w:pPr>
        <w:pStyle w:val="192"/>
        <w:numPr>
          <w:ilvl w:val="0"/>
          <w:numId w:val="0"/>
        </w:numPr>
        <w:ind w:left="420"/>
      </w:pPr>
      <m:oMath>
        <m:r>
          <m:rPr/>
          <w:rPr>
            <w:rFonts w:ascii="Cambria Math" w:hAnsi="Cambria Math"/>
          </w:rPr>
          <m:t>W</m:t>
        </m:r>
      </m:oMath>
      <w:r>
        <w:t>——建筑物的总财产，元；</w:t>
      </w:r>
    </w:p>
    <w:p>
      <w:pPr>
        <w:pStyle w:val="192"/>
        <w:numPr>
          <w:ilvl w:val="0"/>
          <w:numId w:val="0"/>
        </w:numPr>
        <w:ind w:left="420"/>
      </w:pP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hint="eastAsia" w:ascii="Cambria Math" w:hAnsi="Cambria Math"/>
              </w:rPr>
              <m:t>f</m:t>
            </m:r>
            <m:ctrlPr>
              <w:rPr>
                <w:rFonts w:ascii="Cambria Math" w:hAnsi="Cambria Math"/>
                <w:i/>
              </w:rPr>
            </m:ctrlPr>
          </m:sub>
        </m:sSub>
      </m:oMath>
      <w:r>
        <w:t>——建筑物的固定资产，元；</w:t>
      </w:r>
    </w:p>
    <w:p>
      <w:pPr>
        <w:pStyle w:val="192"/>
        <w:numPr>
          <w:ilvl w:val="0"/>
          <w:numId w:val="0"/>
        </w:numPr>
        <w:ind w:left="420"/>
      </w:pP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m</m:t>
            </m:r>
            <m:ctrlPr>
              <w:rPr>
                <w:rFonts w:ascii="Cambria Math" w:hAnsi="Cambria Math"/>
                <w:i/>
              </w:rPr>
            </m:ctrlPr>
          </m:sub>
        </m:sSub>
      </m:oMath>
      <w:r>
        <w:t>——建筑物的移动资产，元；</w:t>
      </w:r>
    </w:p>
    <w:p>
      <w:pPr>
        <w:pStyle w:val="195"/>
        <w:numPr>
          <w:ilvl w:val="0"/>
          <w:numId w:val="0"/>
        </w:numPr>
        <w:ind w:firstLine="480"/>
        <w:jc w:val="left"/>
      </w:pPr>
      <m:oMath>
        <m:r>
          <m:rPr>
            <m:sty m:val="p"/>
          </m:rPr>
          <w:rPr>
            <w:rStyle w:val="274"/>
            <w:rFonts w:ascii="Cambria Math" w:hAnsi="Cambria Math"/>
            <w:sz w:val="27"/>
            <w:szCs w:val="27"/>
            <w:shd w:val="clear" w:color="auto" w:fill="FFFFFF"/>
          </w:rPr>
          <m:t>Δ</m:t>
        </m:r>
        <m:r>
          <m:rPr/>
          <w:rPr>
            <w:rStyle w:val="274"/>
            <w:rFonts w:ascii="Cambria Math" w:hAnsi="Cambria Math"/>
            <w:sz w:val="27"/>
            <w:szCs w:val="27"/>
            <w:shd w:val="clear" w:color="auto" w:fill="FFFFFF"/>
          </w:rPr>
          <m:t>X</m:t>
        </m:r>
        <m:r>
          <m:rPr/>
          <w:rPr>
            <w:rStyle w:val="274"/>
            <w:rFonts w:ascii="Cambria Math" w:hAnsi="Cambria Math"/>
            <w:sz w:val="19"/>
            <w:szCs w:val="19"/>
            <w:shd w:val="clear" w:color="auto" w:fill="FFFFFF"/>
          </w:rPr>
          <m:t>i</m:t>
        </m:r>
      </m:oMath>
      <w:r>
        <w:t>——变量</w:t>
      </w:r>
      <m:oMath>
        <m:r>
          <m:rPr/>
          <w:rPr>
            <w:rStyle w:val="274"/>
            <w:rFonts w:ascii="Cambria Math" w:hAnsi="Cambria Math"/>
            <w:sz w:val="27"/>
            <w:szCs w:val="27"/>
            <w:shd w:val="clear" w:color="auto" w:fill="FFFFFF"/>
          </w:rPr>
          <m:t>X</m:t>
        </m:r>
        <m:r>
          <m:rPr/>
          <w:rPr>
            <w:rStyle w:val="274"/>
            <w:rFonts w:ascii="Cambria Math" w:hAnsi="Cambria Math"/>
            <w:sz w:val="19"/>
            <w:szCs w:val="19"/>
            <w:shd w:val="clear" w:color="auto" w:fill="FFFFFF"/>
          </w:rPr>
          <m:t>i</m:t>
        </m:r>
      </m:oMath>
      <w:r>
        <w:t>的微小扰动；</w:t>
      </w:r>
    </w:p>
    <w:p>
      <w:pPr>
        <w:pStyle w:val="54"/>
        <w:ind w:firstLine="480"/>
        <w:jc w:val="left"/>
        <w:rPr>
          <w:rFonts w:ascii="Times New Roman"/>
        </w:rPr>
      </w:pPr>
      <w:r>
        <w:rPr>
          <w:rFonts w:ascii="Times New Roman"/>
        </w:rPr>
        <w:t>z</w:t>
      </w:r>
      <w:r>
        <w:rPr>
          <w:rFonts w:ascii="Times New Roman"/>
          <w:vertAlign w:val="subscript"/>
        </w:rPr>
        <w:t>sm</w:t>
      </w:r>
      <w:r>
        <w:rPr>
          <w:rFonts w:ascii="Times New Roman"/>
        </w:rPr>
        <w:t>——排烟开始时烟气层高度，m；</w:t>
      </w:r>
    </w:p>
    <w:p>
      <w:pPr>
        <w:pStyle w:val="54"/>
        <w:ind w:firstLine="480"/>
        <w:jc w:val="left"/>
        <w:rPr>
          <w:rFonts w:ascii="Times New Roman"/>
        </w:rPr>
      </w:pPr>
      <w:r>
        <w:rPr>
          <w:rFonts w:ascii="Times New Roman"/>
        </w:rPr>
        <w:t>α——火灾增长系数，kW/s</w:t>
      </w:r>
      <w:r>
        <w:rPr>
          <w:rFonts w:ascii="Times New Roman"/>
          <w:vertAlign w:val="superscript"/>
        </w:rPr>
        <w:t>2</w:t>
      </w:r>
      <w:r>
        <w:rPr>
          <w:rFonts w:ascii="Times New Roman"/>
        </w:rPr>
        <w:t>；</w:t>
      </w:r>
    </w:p>
    <w:p>
      <w:pPr>
        <w:pStyle w:val="54"/>
        <w:ind w:firstLine="480"/>
        <w:jc w:val="left"/>
        <w:rPr>
          <w:rFonts w:ascii="Times New Roman"/>
        </w:rPr>
      </w:pPr>
      <w:r>
        <w:rPr>
          <w:rFonts w:ascii="Times New Roman"/>
        </w:rPr>
        <w:t>ρ</w:t>
      </w:r>
      <w:r>
        <w:rPr>
          <w:rFonts w:ascii="Times New Roman"/>
          <w:vertAlign w:val="subscript"/>
        </w:rPr>
        <w:t>s</w:t>
      </w:r>
      <w:r>
        <w:rPr>
          <w:rFonts w:ascii="Times New Roman"/>
        </w:rPr>
        <w:t>——烟层密度</w:t>
      </w:r>
      <w:r>
        <w:rPr>
          <w:rFonts w:hint="eastAsia" w:ascii="Times New Roman"/>
        </w:rPr>
        <w:t>，</w:t>
      </w:r>
      <w:r>
        <w:rPr>
          <w:rFonts w:ascii="Times New Roman"/>
        </w:rPr>
        <w:t>kg/m</w:t>
      </w:r>
      <w:r>
        <w:rPr>
          <w:rFonts w:ascii="Times New Roman"/>
          <w:vertAlign w:val="superscript"/>
        </w:rPr>
        <w:t>3</w:t>
      </w:r>
      <w:r>
        <w:rPr>
          <w:rFonts w:ascii="Times New Roman"/>
        </w:rPr>
        <w:t>，对于大体积室内空间初期的需要过程中取值1.0kg/m</w:t>
      </w:r>
      <w:r>
        <w:rPr>
          <w:rFonts w:ascii="Times New Roman"/>
          <w:vertAlign w:val="superscript"/>
        </w:rPr>
        <w:t>3</w:t>
      </w:r>
      <w:r>
        <w:rPr>
          <w:rFonts w:ascii="Times New Roman"/>
        </w:rPr>
        <w:t>；</w:t>
      </w:r>
    </w:p>
    <w:p>
      <w:pPr>
        <w:pStyle w:val="54"/>
        <w:ind w:firstLine="480"/>
        <w:jc w:val="left"/>
        <w:rPr>
          <w:rFonts w:ascii="Times New Roman"/>
        </w:rPr>
      </w:pPr>
      <w:r>
        <w:rPr>
          <w:rFonts w:ascii="Times New Roman"/>
        </w:rPr>
        <w:t>χ——产生热辐射的热释放份数，一般取0.3；</w:t>
      </w:r>
    </w:p>
    <w:p>
      <w:pPr>
        <w:pStyle w:val="192"/>
        <w:numPr>
          <w:ilvl w:val="0"/>
          <w:numId w:val="0"/>
        </w:numPr>
        <w:ind w:firstLine="480" w:firstLineChars="200"/>
      </w:pPr>
      <w:r>
        <w:t>λ——房间表面的导热系数，一般取值0W/m•K；</w:t>
      </w:r>
    </w:p>
    <w:p>
      <w:pPr>
        <w:pStyle w:val="192"/>
        <w:numPr>
          <w:ilvl w:val="0"/>
          <w:numId w:val="0"/>
        </w:numPr>
        <w:ind w:left="420"/>
      </w:pPr>
      <m:oMath>
        <m:sSub>
          <m:sSubPr>
            <m:ctrlPr>
              <w:rPr>
                <w:rFonts w:ascii="Cambria Math" w:hAnsi="Cambria Math"/>
                <w:i/>
              </w:rPr>
            </m:ctrlPr>
          </m:sSubPr>
          <m:e>
            <m:r>
              <m:rPr/>
              <w:rPr>
                <w:rFonts w:ascii="Cambria Math" w:hAnsi="Cambria Math"/>
              </w:rPr>
              <m:t>ω</m:t>
            </m:r>
            <m:ctrlPr>
              <w:rPr>
                <w:rFonts w:ascii="Cambria Math" w:hAnsi="Cambria Math"/>
                <w:i/>
              </w:rPr>
            </m:ctrlPr>
          </m:e>
          <m:sub>
            <m:r>
              <m:rPr/>
              <w:rPr>
                <w:rFonts w:ascii="Cambria Math" w:hAnsi="Cambria Math"/>
              </w:rPr>
              <m:t>E</m:t>
            </m:r>
            <m:ctrlPr>
              <w:rPr>
                <w:rFonts w:ascii="Cambria Math" w:hAnsi="Cambria Math"/>
                <w:i/>
              </w:rPr>
            </m:ctrlPr>
          </m:sub>
        </m:sSub>
      </m:oMath>
      <w:r>
        <w:t>——建筑物单位面积的财产（包括固定财产和移动财产）密度，元/m</w:t>
      </w:r>
      <w:r>
        <w:rPr>
          <w:vertAlign w:val="superscript"/>
        </w:rPr>
        <w:t>2</w:t>
      </w:r>
      <w:r>
        <w:t>；</w:t>
      </w:r>
    </w:p>
    <w:p>
      <w:pPr>
        <w:pStyle w:val="192"/>
        <w:numPr>
          <w:ilvl w:val="0"/>
          <w:numId w:val="0"/>
        </w:numPr>
        <w:ind w:left="420"/>
      </w:pPr>
      <m:oMath>
        <m:r>
          <m:rPr/>
          <w:rPr>
            <w:rFonts w:ascii="Cambria Math" w:hAnsi="Cambria Math"/>
          </w:rPr>
          <m:t>φ</m:t>
        </m:r>
      </m:oMath>
      <w:r>
        <w:t>——比例系数，建筑物移动资产与固定资产的比，住宅0.5、商业1.0、医疗1.5、政府机构1.0、学校1.5</w:t>
      </w:r>
      <w:r>
        <w:rPr>
          <w:rFonts w:hint="eastAsia"/>
        </w:rPr>
        <w:t>；</w:t>
      </w:r>
    </w:p>
    <w:p>
      <w:pPr>
        <w:pStyle w:val="192"/>
        <w:numPr>
          <w:ilvl w:val="0"/>
          <w:numId w:val="0"/>
        </w:numPr>
        <w:ind w:firstLine="480" w:firstLineChars="200"/>
        <w:rPr>
          <w:i/>
        </w:rPr>
      </w:pPr>
      <m:oMath>
        <m:r>
          <m:rPr/>
          <w:rPr>
            <w:rFonts w:ascii="Cambria Math" w:hAnsi="Cambria Math" w:eastAsia="Cambria Math" w:cs="Cambria Math"/>
          </w:rPr>
          <m:t>τ</m:t>
        </m:r>
      </m:oMath>
      <w:r>
        <w:t>——</w:t>
      </w:r>
      <w:r>
        <w:rPr>
          <w:rFonts w:hint="eastAsia"/>
        </w:rPr>
        <w:t>可</w:t>
      </w:r>
      <w:r>
        <w:t>信度系数；</w:t>
      </w:r>
    </w:p>
    <w:p>
      <w:pPr>
        <w:pStyle w:val="54"/>
        <w:ind w:firstLine="199" w:firstLineChars="83"/>
        <w:rPr>
          <w:rFonts w:ascii="Times New Roman"/>
        </w:rPr>
      </w:pPr>
      <w:r>
        <w:rPr>
          <w:rFonts w:ascii="Times New Roman"/>
          <w:i/>
        </w:rPr>
        <w:t xml:space="preserve">  </w:t>
      </w:r>
      <m:oMath>
        <m:nary>
          <m:naryPr>
            <m:chr m:val="∑"/>
            <m:limLoc m:val="undOvr"/>
            <m:subHide m:val="1"/>
            <m:supHide m:val="1"/>
            <m:ctrlPr>
              <w:rPr>
                <w:rFonts w:ascii="Cambria Math" w:hAnsi="Cambria Math"/>
                <w:i/>
              </w:rPr>
            </m:ctrlPr>
          </m:naryPr>
          <m:sub>
            <m:ctrlPr>
              <w:rPr>
                <w:rFonts w:ascii="Cambria Math" w:hAnsi="Cambria Math"/>
                <w:i/>
              </w:rPr>
            </m:ctrlPr>
          </m:sub>
          <m:sup>
            <m:ctrlPr>
              <w:rPr>
                <w:rFonts w:ascii="Cambria Math" w:hAnsi="Cambria Math"/>
                <w:i/>
              </w:rPr>
            </m:ctrlPr>
          </m:sup>
          <m:e>
            <m:sSub>
              <m:sSubPr>
                <m:ctrlPr>
                  <w:rPr>
                    <w:rFonts w:ascii="Cambria Math" w:hAnsi="Cambria Math"/>
                    <w:i/>
                  </w:rPr>
                </m:ctrlPr>
              </m:sSubPr>
              <m:e>
                <m:r>
                  <m:rPr/>
                  <w:rPr>
                    <w:rFonts w:ascii="Cambria Math" w:hAnsi="Cambria Math"/>
                  </w:rPr>
                  <m:t>M</m:t>
                </m:r>
                <m:ctrlPr>
                  <w:rPr>
                    <w:rFonts w:ascii="Cambria Math" w:hAnsi="Cambria Math"/>
                    <w:i/>
                  </w:rPr>
                </m:ctrlPr>
              </m:e>
              <m:sub>
                <m:r>
                  <m:rPr/>
                  <w:rPr>
                    <w:rFonts w:hint="eastAsia" w:ascii="Cambria Math" w:hAnsi="Cambria Math"/>
                  </w:rPr>
                  <m:t>f</m:t>
                </m:r>
                <m:ctrlPr>
                  <w:rPr>
                    <w:rFonts w:ascii="Cambria Math" w:hAnsi="Cambria Math"/>
                    <w:i/>
                  </w:rPr>
                </m:ctrlPr>
              </m:sub>
            </m:sSub>
            <m:ctrlPr>
              <w:rPr>
                <w:rFonts w:ascii="Cambria Math" w:hAnsi="Cambria Math"/>
                <w:i/>
              </w:rPr>
            </m:ctrlPr>
          </m:e>
        </m:nary>
      </m:oMath>
      <w:r>
        <w:rPr>
          <w:rFonts w:ascii="Times New Roman"/>
        </w:rPr>
        <w:t>——</w:t>
      </w:r>
      <w:bookmarkStart w:id="67" w:name="OLE_LINK104"/>
      <w:bookmarkStart w:id="68" w:name="OLE_LINK105"/>
      <w:r>
        <w:rPr>
          <w:rFonts w:ascii="Times New Roman"/>
        </w:rPr>
        <w:t>楼层内人数</w:t>
      </w:r>
      <w:bookmarkEnd w:id="67"/>
      <w:bookmarkEnd w:id="68"/>
      <w:r>
        <w:rPr>
          <w:rFonts w:ascii="Times New Roman"/>
        </w:rPr>
        <w:t>，人；</w:t>
      </w:r>
    </w:p>
    <w:p>
      <w:pPr>
        <w:pStyle w:val="54"/>
        <w:ind w:firstLine="439" w:firstLineChars="183"/>
        <w:rPr>
          <w:rFonts w:ascii="Times New Roman"/>
        </w:rPr>
      </w:pPr>
      <m:oMath>
        <m:nary>
          <m:naryPr>
            <m:chr m:val="∑"/>
            <m:limLoc m:val="undOvr"/>
            <m:subHide m:val="1"/>
            <m:supHide m:val="1"/>
            <m:ctrlPr>
              <w:rPr>
                <w:rFonts w:ascii="Cambria Math" w:hAnsi="Cambria Math"/>
                <w:i/>
              </w:rPr>
            </m:ctrlPr>
          </m:naryPr>
          <m:sub>
            <m:ctrlPr>
              <w:rPr>
                <w:rFonts w:ascii="Cambria Math" w:hAnsi="Cambria Math"/>
                <w:i/>
              </w:rPr>
            </m:ctrlPr>
          </m:sub>
          <m:sup>
            <m:ctrlPr>
              <w:rPr>
                <w:rFonts w:ascii="Cambria Math" w:hAnsi="Cambria Math"/>
                <w:i/>
              </w:rPr>
            </m:ctrlPr>
          </m:sup>
          <m:e>
            <m:sSub>
              <m:sSubPr>
                <m:ctrlPr>
                  <w:rPr>
                    <w:rFonts w:ascii="Cambria Math" w:hAnsi="Cambria Math"/>
                    <w:i/>
                  </w:rPr>
                </m:ctrlPr>
              </m:sSubPr>
              <m:e>
                <m:r>
                  <m:rPr/>
                  <w:rPr>
                    <w:rFonts w:ascii="Cambria Math" w:hAnsi="Cambria Math"/>
                  </w:rPr>
                  <m:t>B</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e>
        </m:nary>
      </m:oMath>
      <w:r>
        <w:rPr>
          <w:rFonts w:ascii="Times New Roman"/>
        </w:rPr>
        <w:t>——楼梯间入口的有效宽度，m</w:t>
      </w:r>
      <w:r>
        <w:rPr>
          <w:rFonts w:hint="eastAsia" w:ascii="Times New Roman"/>
        </w:rPr>
        <w:t>；</w:t>
      </w:r>
    </w:p>
    <w:p>
      <w:pPr>
        <w:pStyle w:val="255"/>
        <w:wordWrap/>
        <w:spacing w:line="240" w:lineRule="auto"/>
        <w:ind w:firstLine="480" w:firstLineChars="200"/>
        <w:rPr>
          <w:iCs/>
        </w:rPr>
      </w:pPr>
    </w:p>
    <w:p>
      <w:pPr>
        <w:pStyle w:val="54"/>
        <w:ind w:firstLine="480"/>
        <w:rPr>
          <w:rFonts w:ascii="Times New Roman"/>
        </w:rPr>
      </w:pPr>
    </w:p>
    <w:p>
      <w:pPr>
        <w:pStyle w:val="54"/>
        <w:ind w:firstLine="480"/>
        <w:rPr>
          <w:rFonts w:ascii="Times New Roman"/>
        </w:rPr>
      </w:pPr>
      <w:r>
        <w:rPr>
          <w:rFonts w:ascii="Times New Roman"/>
        </w:rPr>
        <w:t>【</w:t>
      </w:r>
      <w:r>
        <w:rPr>
          <w:rFonts w:hint="eastAsia" w:ascii="Times New Roman"/>
        </w:rPr>
        <w:t>符号主要参照现行国家标准</w:t>
      </w:r>
      <w:r>
        <w:rPr>
          <w:rFonts w:ascii="Times New Roman"/>
        </w:rPr>
        <w:t>，并根据本标准的需要规定】</w:t>
      </w:r>
    </w:p>
    <w:p>
      <w:pPr>
        <w:pStyle w:val="54"/>
        <w:ind w:firstLine="0" w:firstLineChars="0"/>
        <w:rPr>
          <w:rFonts w:ascii="Times New Roman"/>
        </w:rPr>
      </w:pPr>
    </w:p>
    <w:p>
      <w:pPr>
        <w:widowControl/>
        <w:jc w:val="left"/>
        <w:rPr>
          <w:rFonts w:ascii="Times New Roman" w:hAnsi="Times New Roman"/>
          <w:kern w:val="0"/>
          <w:szCs w:val="20"/>
        </w:rPr>
      </w:pPr>
      <w:r>
        <w:rPr>
          <w:rFonts w:ascii="Times New Roman" w:hAnsi="Times New Roman"/>
        </w:rPr>
        <w:br w:type="page"/>
      </w:r>
    </w:p>
    <w:p>
      <w:pPr>
        <w:pStyle w:val="134"/>
        <w:spacing w:before="240" w:after="240"/>
        <w:ind w:left="0"/>
        <w:jc w:val="center"/>
        <w:rPr>
          <w:rFonts w:ascii="Times New Roman"/>
          <w:sz w:val="32"/>
          <w:szCs w:val="30"/>
        </w:rPr>
      </w:pPr>
      <w:bookmarkStart w:id="69" w:name="_Toc191997414"/>
      <w:bookmarkEnd w:id="69"/>
      <w:bookmarkStart w:id="70" w:name="_Toc191997236"/>
      <w:bookmarkEnd w:id="70"/>
      <w:bookmarkStart w:id="71" w:name="_Toc191997203"/>
      <w:bookmarkEnd w:id="71"/>
      <w:bookmarkStart w:id="72" w:name="_Toc191997170"/>
      <w:bookmarkEnd w:id="72"/>
      <w:bookmarkStart w:id="73" w:name="_Toc191997455"/>
      <w:bookmarkEnd w:id="73"/>
      <w:bookmarkStart w:id="74" w:name="_Toc191997415"/>
      <w:bookmarkStart w:id="75" w:name="_Toc191997456"/>
      <w:bookmarkStart w:id="76" w:name="_Toc214005505"/>
      <w:bookmarkStart w:id="77" w:name="_Toc214008837"/>
      <w:bookmarkStart w:id="78" w:name="_Toc214005674"/>
      <w:bookmarkStart w:id="79" w:name="_Toc191997171"/>
      <w:bookmarkStart w:id="80" w:name="_Toc191997237"/>
      <w:bookmarkStart w:id="81" w:name="_Toc11968"/>
      <w:r>
        <w:rPr>
          <w:rFonts w:ascii="Times New Roman"/>
          <w:sz w:val="32"/>
          <w:szCs w:val="30"/>
        </w:rPr>
        <w:t>基本规定</w:t>
      </w:r>
      <w:bookmarkEnd w:id="74"/>
      <w:bookmarkEnd w:id="75"/>
      <w:bookmarkEnd w:id="76"/>
      <w:bookmarkEnd w:id="77"/>
      <w:bookmarkEnd w:id="78"/>
      <w:bookmarkEnd w:id="79"/>
      <w:bookmarkEnd w:id="80"/>
      <w:bookmarkEnd w:id="81"/>
    </w:p>
    <w:p>
      <w:pPr>
        <w:pStyle w:val="255"/>
      </w:pPr>
      <w:r>
        <w:rPr>
          <w:b/>
        </w:rPr>
        <w:t>3.0.1</w:t>
      </w:r>
      <w:r>
        <w:t xml:space="preserve">  火灾风险评估</w:t>
      </w:r>
      <w:r>
        <w:rPr>
          <w:rFonts w:hint="eastAsia"/>
        </w:rPr>
        <w:t>应根据火灾风险识别、火灾风险分析、火灾风险评价等步骤确定。</w:t>
      </w:r>
    </w:p>
    <w:p>
      <w:pPr>
        <w:pStyle w:val="255"/>
      </w:pPr>
      <w:r>
        <w:rPr>
          <w:b/>
        </w:rPr>
        <w:t>3.0.2</w:t>
      </w:r>
      <w:r>
        <w:t xml:space="preserve">  </w:t>
      </w:r>
      <w:r>
        <w:rPr>
          <w:rFonts w:hint="eastAsia"/>
        </w:rPr>
        <w:t>火灾风险评价的数据保证完整性、一致性、准确性、唯一性、可用性、及时性，符合现行国家标准《信息技术</w:t>
      </w:r>
      <w:r>
        <w:t xml:space="preserve"> </w:t>
      </w:r>
      <w:r>
        <w:rPr>
          <w:rFonts w:hint="eastAsia"/>
        </w:rPr>
        <w:t>数据质量评价指标》</w:t>
      </w:r>
      <w:r>
        <w:t>GB/T 36344</w:t>
      </w:r>
      <w:r>
        <w:rPr>
          <w:rFonts w:hint="eastAsia"/>
        </w:rPr>
        <w:t>的要求。</w:t>
      </w:r>
    </w:p>
    <w:p>
      <w:pPr>
        <w:pStyle w:val="255"/>
      </w:pPr>
      <w:r>
        <w:rPr>
          <w:b/>
        </w:rPr>
        <w:t>3.0.3</w:t>
      </w:r>
      <w:r>
        <w:t xml:space="preserve">  </w:t>
      </w:r>
      <w:r>
        <w:rPr>
          <w:rFonts w:hint="eastAsia"/>
        </w:rPr>
        <w:t>建筑火灾风险评估宜包括人员损失风险、直接财产损失风险、商业连续性中断风险和环境破坏风险。</w:t>
      </w:r>
    </w:p>
    <w:p>
      <w:pPr>
        <w:pStyle w:val="255"/>
      </w:pPr>
    </w:p>
    <w:p>
      <w:pPr>
        <w:pStyle w:val="255"/>
      </w:pPr>
      <w:r>
        <w:br w:type="page"/>
      </w:r>
    </w:p>
    <w:p>
      <w:pPr>
        <w:pStyle w:val="134"/>
        <w:spacing w:before="240" w:after="240"/>
        <w:ind w:left="0"/>
        <w:jc w:val="center"/>
        <w:rPr>
          <w:rFonts w:ascii="Times New Roman"/>
          <w:sz w:val="32"/>
          <w:szCs w:val="21"/>
        </w:rPr>
      </w:pPr>
      <w:bookmarkStart w:id="82" w:name="_Toc191997416"/>
      <w:bookmarkEnd w:id="82"/>
      <w:bookmarkStart w:id="83" w:name="_Toc191997457"/>
      <w:bookmarkEnd w:id="83"/>
      <w:bookmarkStart w:id="84" w:name="_Toc214005506"/>
      <w:bookmarkStart w:id="85" w:name="_Toc191997458"/>
      <w:bookmarkStart w:id="86" w:name="_Toc214005675"/>
      <w:bookmarkStart w:id="87" w:name="_Toc191997172"/>
      <w:bookmarkStart w:id="88" w:name="_Toc191997238"/>
      <w:bookmarkStart w:id="89" w:name="_Toc214008838"/>
      <w:bookmarkStart w:id="90" w:name="_Toc191997417"/>
      <w:bookmarkStart w:id="91" w:name="_Toc6099"/>
      <w:r>
        <w:rPr>
          <w:rFonts w:ascii="Times New Roman"/>
          <w:sz w:val="32"/>
          <w:szCs w:val="21"/>
        </w:rPr>
        <w:t>火灾风险识别</w:t>
      </w:r>
      <w:bookmarkEnd w:id="84"/>
      <w:bookmarkEnd w:id="85"/>
      <w:bookmarkEnd w:id="86"/>
      <w:bookmarkEnd w:id="87"/>
      <w:bookmarkEnd w:id="88"/>
      <w:bookmarkEnd w:id="89"/>
      <w:bookmarkEnd w:id="90"/>
      <w:bookmarkEnd w:id="91"/>
    </w:p>
    <w:p>
      <w:pPr>
        <w:pStyle w:val="135"/>
        <w:spacing w:before="120" w:after="120"/>
        <w:ind w:left="0"/>
        <w:jc w:val="center"/>
        <w:rPr>
          <w:rFonts w:ascii="Times New Roman"/>
          <w:sz w:val="28"/>
        </w:rPr>
      </w:pPr>
      <w:bookmarkStart w:id="92" w:name="_Toc214005507"/>
      <w:bookmarkStart w:id="93" w:name="_Toc214008839"/>
      <w:bookmarkStart w:id="94" w:name="_Toc214005676"/>
      <w:bookmarkStart w:id="95" w:name="_Toc13077"/>
      <w:bookmarkStart w:id="96" w:name="_Toc191997239"/>
      <w:bookmarkStart w:id="97" w:name="_Toc191997173"/>
      <w:bookmarkStart w:id="98" w:name="_Toc191997459"/>
      <w:bookmarkStart w:id="99" w:name="_Toc191997418"/>
      <w:r>
        <w:rPr>
          <w:rFonts w:hint="eastAsia" w:ascii="Times New Roman"/>
          <w:sz w:val="28"/>
        </w:rPr>
        <w:t>一般规定</w:t>
      </w:r>
      <w:bookmarkEnd w:id="92"/>
      <w:bookmarkEnd w:id="93"/>
      <w:bookmarkEnd w:id="94"/>
      <w:bookmarkEnd w:id="95"/>
    </w:p>
    <w:p>
      <w:pPr>
        <w:pStyle w:val="195"/>
      </w:pPr>
      <w:r>
        <w:rPr>
          <w:rFonts w:hint="eastAsia"/>
        </w:rPr>
        <w:t>火灾风险识别应对目标建筑进行火灾危险源和火灾风险源辨识。</w:t>
      </w:r>
    </w:p>
    <w:p>
      <w:pPr>
        <w:pStyle w:val="195"/>
      </w:pPr>
      <w:r>
        <w:rPr>
          <w:rFonts w:hint="eastAsia"/>
        </w:rPr>
        <w:t>火灾危险源和火灾风险源识别方法包括现场调研</w:t>
      </w:r>
      <w:r>
        <w:t>法</w:t>
      </w:r>
      <w:r>
        <w:rPr>
          <w:rFonts w:hint="eastAsia"/>
        </w:rPr>
        <w:t>、</w:t>
      </w:r>
      <w:r>
        <w:t>检查表法、</w:t>
      </w:r>
      <w:r>
        <w:rPr>
          <w:rFonts w:hint="eastAsia"/>
        </w:rPr>
        <w:t>历史火灾数据分析</w:t>
      </w:r>
      <w:r>
        <w:t>法</w:t>
      </w:r>
      <w:r>
        <w:rPr>
          <w:rFonts w:hint="eastAsia"/>
        </w:rPr>
        <w:t>、消防巡查检查数据分析</w:t>
      </w:r>
      <w:r>
        <w:t>法</w:t>
      </w:r>
      <w:r>
        <w:rPr>
          <w:rFonts w:hint="eastAsia"/>
        </w:rPr>
        <w:t>等方法。</w:t>
      </w:r>
    </w:p>
    <w:p>
      <w:pPr>
        <w:pStyle w:val="135"/>
        <w:spacing w:before="120" w:after="120"/>
        <w:ind w:left="0"/>
        <w:jc w:val="center"/>
        <w:rPr>
          <w:rFonts w:ascii="Times New Roman"/>
          <w:sz w:val="28"/>
        </w:rPr>
      </w:pPr>
      <w:bookmarkStart w:id="100" w:name="_Toc214005508"/>
      <w:bookmarkStart w:id="101" w:name="_Toc214008840"/>
      <w:bookmarkStart w:id="102" w:name="_Toc214005677"/>
      <w:bookmarkStart w:id="103" w:name="_Toc10515"/>
      <w:r>
        <w:rPr>
          <w:rFonts w:hint="eastAsia" w:ascii="Times New Roman"/>
          <w:sz w:val="28"/>
        </w:rPr>
        <w:t>火灾危险源辨识</w:t>
      </w:r>
      <w:bookmarkEnd w:id="100"/>
      <w:bookmarkEnd w:id="101"/>
      <w:bookmarkEnd w:id="102"/>
      <w:bookmarkEnd w:id="103"/>
    </w:p>
    <w:p>
      <w:pPr>
        <w:pStyle w:val="195"/>
      </w:pPr>
      <w:r>
        <w:rPr>
          <w:rFonts w:hint="eastAsia"/>
        </w:rPr>
        <w:t>火灾危险源辨识应包括第一类危险源——可燃物和第二类危险源——点火能量。</w:t>
      </w:r>
    </w:p>
    <w:p>
      <w:pPr>
        <w:pStyle w:val="195"/>
      </w:pPr>
      <w:r>
        <w:rPr>
          <w:rFonts w:hint="eastAsia"/>
        </w:rPr>
        <w:t>第一类危险源辨识应对目标建筑中的固定可燃物、移动可燃物进行识别，包括下列内容：</w:t>
      </w:r>
    </w:p>
    <w:p>
      <w:pPr>
        <w:pStyle w:val="54"/>
        <w:ind w:firstLine="482"/>
        <w:rPr>
          <w:rFonts w:ascii="Times New Roman"/>
        </w:rPr>
      </w:pPr>
      <w:r>
        <w:rPr>
          <w:rFonts w:ascii="Times New Roman"/>
          <w:b/>
        </w:rPr>
        <w:t>1</w:t>
      </w:r>
      <w:r>
        <w:rPr>
          <w:rFonts w:hint="eastAsia" w:ascii="Times New Roman"/>
        </w:rPr>
        <w:tab/>
      </w:r>
      <w:r>
        <w:rPr>
          <w:rFonts w:hint="eastAsia" w:ascii="Times New Roman"/>
        </w:rPr>
        <w:t>固定可燃物，宜包括建筑装修材料、保温材料、门窗、固定装置设备等的种类、数量、分布、燃烧性能等。</w:t>
      </w:r>
    </w:p>
    <w:p>
      <w:pPr>
        <w:pStyle w:val="54"/>
        <w:ind w:firstLine="482"/>
        <w:rPr>
          <w:rFonts w:ascii="Times New Roman"/>
        </w:rPr>
      </w:pPr>
      <w:r>
        <w:rPr>
          <w:rFonts w:ascii="Times New Roman"/>
          <w:b/>
        </w:rPr>
        <w:t>2</w:t>
      </w:r>
      <w:r>
        <w:rPr>
          <w:rFonts w:hint="eastAsia" w:ascii="Times New Roman"/>
        </w:rPr>
        <w:tab/>
      </w:r>
      <w:r>
        <w:rPr>
          <w:rFonts w:hint="eastAsia" w:ascii="Times New Roman"/>
        </w:rPr>
        <w:t>移动可燃物，宜包括建筑内存放的可燃或易燃的气体、液体、固体物质等的种类、数量、分布、燃烧性能等。</w:t>
      </w:r>
    </w:p>
    <w:p>
      <w:pPr>
        <w:pStyle w:val="195"/>
      </w:pPr>
      <w:r>
        <w:rPr>
          <w:rFonts w:hint="eastAsia"/>
        </w:rPr>
        <w:t>第二类危险源辨识应对目标建筑中物的不安全状态、人的不安全行为和环境不安全状态等产生点火能量的因素进行识别，包括下列内容：</w:t>
      </w:r>
    </w:p>
    <w:p>
      <w:pPr>
        <w:pStyle w:val="54"/>
        <w:ind w:firstLine="482"/>
        <w:rPr>
          <w:rFonts w:ascii="Times New Roman"/>
        </w:rPr>
      </w:pPr>
      <w:r>
        <w:rPr>
          <w:rFonts w:ascii="Times New Roman"/>
          <w:b/>
        </w:rPr>
        <w:t>1</w:t>
      </w:r>
      <w:r>
        <w:rPr>
          <w:rFonts w:ascii="Times New Roman"/>
        </w:rPr>
        <w:t xml:space="preserve">  </w:t>
      </w:r>
      <w:r>
        <w:rPr>
          <w:rFonts w:hint="eastAsia" w:ascii="Times New Roman"/>
        </w:rPr>
        <w:t>物的不安全状态，机械设备故障、电气线路故障、电器设备故障等火灾隐患。</w:t>
      </w:r>
    </w:p>
    <w:p>
      <w:pPr>
        <w:pStyle w:val="54"/>
        <w:ind w:firstLine="482"/>
        <w:rPr>
          <w:rFonts w:ascii="Times New Roman"/>
        </w:rPr>
      </w:pPr>
      <w:r>
        <w:rPr>
          <w:rFonts w:ascii="Times New Roman"/>
          <w:b/>
        </w:rPr>
        <w:t>2</w:t>
      </w:r>
      <w:r>
        <w:rPr>
          <w:rFonts w:ascii="Times New Roman"/>
        </w:rPr>
        <w:t xml:space="preserve">  </w:t>
      </w:r>
      <w:r>
        <w:rPr>
          <w:rFonts w:hint="eastAsia" w:ascii="Times New Roman"/>
        </w:rPr>
        <w:t>人的不安全行为，宜包括生产作业用火不慎、生活用火不慎、吸烟、玩火等火灾隐患。</w:t>
      </w:r>
    </w:p>
    <w:p>
      <w:pPr>
        <w:pStyle w:val="54"/>
        <w:ind w:firstLine="482"/>
        <w:rPr>
          <w:rFonts w:ascii="Times New Roman"/>
        </w:rPr>
      </w:pPr>
      <w:r>
        <w:rPr>
          <w:rFonts w:ascii="Times New Roman"/>
          <w:b/>
        </w:rPr>
        <w:t>3</w:t>
      </w:r>
      <w:r>
        <w:rPr>
          <w:rFonts w:ascii="Times New Roman"/>
        </w:rPr>
        <w:t xml:space="preserve">  </w:t>
      </w:r>
      <w:r>
        <w:rPr>
          <w:rFonts w:hint="eastAsia" w:ascii="Times New Roman"/>
        </w:rPr>
        <w:t>环境的不安全状态，高温、雷击、静电等火灾隐患。</w:t>
      </w:r>
    </w:p>
    <w:p>
      <w:pPr>
        <w:pStyle w:val="135"/>
        <w:spacing w:before="120" w:after="120"/>
        <w:ind w:left="0"/>
        <w:jc w:val="center"/>
        <w:rPr>
          <w:rFonts w:ascii="Times New Roman"/>
          <w:sz w:val="28"/>
        </w:rPr>
      </w:pPr>
      <w:bookmarkStart w:id="104" w:name="_Toc214005678"/>
      <w:bookmarkStart w:id="105" w:name="_Toc214008841"/>
      <w:bookmarkStart w:id="106" w:name="_Toc214005509"/>
      <w:bookmarkStart w:id="107" w:name="_Toc20025"/>
      <w:r>
        <w:rPr>
          <w:rFonts w:ascii="Times New Roman"/>
          <w:sz w:val="28"/>
        </w:rPr>
        <w:t>火灾</w:t>
      </w:r>
      <w:r>
        <w:rPr>
          <w:rFonts w:hint="eastAsia" w:ascii="Times New Roman"/>
          <w:sz w:val="28"/>
        </w:rPr>
        <w:t>风险源识别</w:t>
      </w:r>
      <w:bookmarkEnd w:id="104"/>
      <w:bookmarkEnd w:id="105"/>
      <w:bookmarkEnd w:id="106"/>
      <w:bookmarkEnd w:id="107"/>
    </w:p>
    <w:bookmarkEnd w:id="96"/>
    <w:bookmarkEnd w:id="97"/>
    <w:bookmarkEnd w:id="98"/>
    <w:bookmarkEnd w:id="99"/>
    <w:p>
      <w:pPr>
        <w:pStyle w:val="195"/>
      </w:pPr>
      <w:r>
        <w:t>火灾风险</w:t>
      </w:r>
      <w:r>
        <w:rPr>
          <w:rFonts w:hint="eastAsia"/>
        </w:rPr>
        <w:t>源识别应包括</w:t>
      </w:r>
      <w:r>
        <w:t>可能导致火灾发生</w:t>
      </w:r>
      <w:r>
        <w:rPr>
          <w:rFonts w:hint="eastAsia"/>
        </w:rPr>
        <w:t>的和</w:t>
      </w:r>
      <w:r>
        <w:t>导致火灾后果严重的</w:t>
      </w:r>
      <w:r>
        <w:rPr>
          <w:rFonts w:hint="eastAsia"/>
        </w:rPr>
        <w:t>因</w:t>
      </w:r>
      <w:r>
        <w:t>素</w:t>
      </w:r>
      <w:r>
        <w:rPr>
          <w:rFonts w:hint="eastAsia"/>
        </w:rPr>
        <w:t>等。</w:t>
      </w:r>
    </w:p>
    <w:p>
      <w:pPr>
        <w:pStyle w:val="195"/>
      </w:pPr>
      <w:r>
        <w:t>可能导致火灾发生的</w:t>
      </w:r>
      <w:r>
        <w:rPr>
          <w:rFonts w:hint="eastAsia"/>
        </w:rPr>
        <w:t>因</w:t>
      </w:r>
      <w:r>
        <w:t>素</w:t>
      </w:r>
      <w:r>
        <w:rPr>
          <w:rFonts w:hint="eastAsia"/>
        </w:rPr>
        <w:t>包括下列内容：</w:t>
      </w:r>
    </w:p>
    <w:p>
      <w:pPr>
        <w:pStyle w:val="54"/>
        <w:ind w:firstLine="482"/>
        <w:rPr>
          <w:rFonts w:ascii="Times New Roman"/>
        </w:rPr>
      </w:pPr>
      <w:r>
        <w:rPr>
          <w:rFonts w:ascii="Times New Roman"/>
          <w:b/>
        </w:rPr>
        <w:t>1</w:t>
      </w:r>
      <w:r>
        <w:rPr>
          <w:rFonts w:ascii="Times New Roman"/>
        </w:rPr>
        <w:t xml:space="preserve">  </w:t>
      </w:r>
      <w:r>
        <w:rPr>
          <w:rFonts w:hint="eastAsia" w:ascii="Times New Roman"/>
        </w:rPr>
        <w:t>火灾危险源，即第一类危险源、第二类危险源。</w:t>
      </w:r>
    </w:p>
    <w:p>
      <w:pPr>
        <w:pStyle w:val="54"/>
        <w:ind w:firstLine="482"/>
        <w:rPr>
          <w:rFonts w:ascii="Times New Roman"/>
        </w:rPr>
      </w:pPr>
      <w:r>
        <w:rPr>
          <w:rFonts w:ascii="Times New Roman"/>
          <w:b/>
        </w:rPr>
        <w:t>2</w:t>
      </w:r>
      <w:r>
        <w:rPr>
          <w:rFonts w:ascii="Times New Roman"/>
        </w:rPr>
        <w:t xml:space="preserve">  </w:t>
      </w:r>
      <w:r>
        <w:rPr>
          <w:rFonts w:hint="eastAsia" w:ascii="Times New Roman"/>
        </w:rPr>
        <w:t>第一类危险源和第二类危险源之间相互作用的可能性。</w:t>
      </w:r>
    </w:p>
    <w:p>
      <w:pPr>
        <w:pStyle w:val="195"/>
      </w:pPr>
      <w:r>
        <w:t>导致火灾后果严重的</w:t>
      </w:r>
      <w:r>
        <w:rPr>
          <w:rFonts w:hint="eastAsia"/>
        </w:rPr>
        <w:t>因</w:t>
      </w:r>
      <w:r>
        <w:t>素</w:t>
      </w:r>
      <w:r>
        <w:rPr>
          <w:rFonts w:hint="eastAsia"/>
        </w:rPr>
        <w:t>包括下列内容：</w:t>
      </w:r>
    </w:p>
    <w:p>
      <w:pPr>
        <w:pStyle w:val="54"/>
        <w:ind w:firstLine="482"/>
        <w:rPr>
          <w:rFonts w:ascii="Times New Roman"/>
        </w:rPr>
      </w:pPr>
      <w:r>
        <w:rPr>
          <w:rFonts w:ascii="Times New Roman"/>
          <w:b/>
        </w:rPr>
        <w:t>1</w:t>
      </w:r>
      <w:r>
        <w:rPr>
          <w:rFonts w:hint="eastAsia" w:ascii="Times New Roman"/>
        </w:rPr>
        <w:t xml:space="preserve">  被动防火设施隐患，耐火等级、防火间距、防火分区、平面布置等的火灾隐患。</w:t>
      </w:r>
    </w:p>
    <w:p>
      <w:pPr>
        <w:pStyle w:val="54"/>
        <w:ind w:firstLine="482"/>
        <w:rPr>
          <w:rFonts w:ascii="Times New Roman"/>
        </w:rPr>
      </w:pPr>
      <w:r>
        <w:rPr>
          <w:rFonts w:ascii="Times New Roman"/>
          <w:b/>
        </w:rPr>
        <w:t>2</w:t>
      </w:r>
      <w:r>
        <w:rPr>
          <w:rFonts w:hint="eastAsia" w:ascii="Times New Roman"/>
        </w:rPr>
        <w:t xml:space="preserve">  安全疏散设施隐患，安全出口、疏散宽度、疏散距离、疏散门、避难间/层等的火灾隐患。</w:t>
      </w:r>
    </w:p>
    <w:p>
      <w:pPr>
        <w:pStyle w:val="54"/>
        <w:ind w:firstLine="482"/>
        <w:rPr>
          <w:rFonts w:ascii="Times New Roman"/>
        </w:rPr>
      </w:pPr>
      <w:r>
        <w:rPr>
          <w:rFonts w:ascii="Times New Roman"/>
          <w:b/>
        </w:rPr>
        <w:t>3</w:t>
      </w:r>
      <w:r>
        <w:rPr>
          <w:rFonts w:ascii="Times New Roman"/>
        </w:rPr>
        <w:t xml:space="preserve">  </w:t>
      </w:r>
      <w:r>
        <w:rPr>
          <w:rFonts w:hint="eastAsia" w:ascii="Times New Roman"/>
        </w:rPr>
        <w:t>主动防火设施隐患，消防给水及灭火系统、防烟排烟系统、火灾自动报警系统、消防供电等的火灾隐患。</w:t>
      </w:r>
    </w:p>
    <w:p>
      <w:pPr>
        <w:pStyle w:val="54"/>
        <w:ind w:firstLine="482"/>
        <w:rPr>
          <w:rFonts w:ascii="Times New Roman"/>
        </w:rPr>
      </w:pPr>
      <w:r>
        <w:rPr>
          <w:rFonts w:ascii="Times New Roman"/>
          <w:b/>
        </w:rPr>
        <w:t>4</w:t>
      </w:r>
      <w:r>
        <w:rPr>
          <w:rFonts w:hint="eastAsia" w:ascii="Times New Roman"/>
        </w:rPr>
        <w:t xml:space="preserve">  消防应急救援设施隐患，消防车道、救援场地、消防电梯、消防救援窗等的火灾隐患。</w:t>
      </w:r>
    </w:p>
    <w:p>
      <w:pPr>
        <w:pStyle w:val="135"/>
        <w:spacing w:before="120" w:after="120"/>
        <w:ind w:left="0"/>
        <w:jc w:val="center"/>
        <w:rPr>
          <w:rFonts w:ascii="Times New Roman"/>
          <w:sz w:val="28"/>
        </w:rPr>
      </w:pPr>
      <w:bookmarkStart w:id="108" w:name="_Toc183077735"/>
      <w:bookmarkEnd w:id="108"/>
      <w:bookmarkStart w:id="109" w:name="_Toc183077742"/>
      <w:bookmarkEnd w:id="109"/>
      <w:bookmarkStart w:id="110" w:name="_Toc183077738"/>
      <w:bookmarkEnd w:id="110"/>
      <w:bookmarkStart w:id="111" w:name="_Toc191997208"/>
      <w:bookmarkEnd w:id="111"/>
      <w:bookmarkStart w:id="112" w:name="_Toc191997241"/>
      <w:bookmarkEnd w:id="112"/>
      <w:bookmarkStart w:id="113" w:name="_Toc183077739"/>
      <w:bookmarkEnd w:id="113"/>
      <w:bookmarkStart w:id="114" w:name="_Toc183077734"/>
      <w:bookmarkEnd w:id="114"/>
      <w:bookmarkStart w:id="115" w:name="_Toc183077733"/>
      <w:bookmarkEnd w:id="115"/>
      <w:bookmarkStart w:id="116" w:name="_Toc183077731"/>
      <w:bookmarkEnd w:id="116"/>
      <w:bookmarkStart w:id="117" w:name="_Toc191997175"/>
      <w:bookmarkEnd w:id="117"/>
      <w:bookmarkStart w:id="118" w:name="_Toc183077732"/>
      <w:bookmarkEnd w:id="118"/>
      <w:bookmarkStart w:id="119" w:name="_Toc191997420"/>
      <w:bookmarkEnd w:id="119"/>
      <w:bookmarkStart w:id="120" w:name="_Toc191997461"/>
      <w:bookmarkEnd w:id="120"/>
      <w:bookmarkStart w:id="121" w:name="_Toc183077737"/>
      <w:bookmarkEnd w:id="121"/>
      <w:bookmarkStart w:id="122" w:name="_Toc183077740"/>
      <w:bookmarkEnd w:id="122"/>
      <w:bookmarkStart w:id="123" w:name="_Toc183077745"/>
      <w:bookmarkEnd w:id="123"/>
      <w:bookmarkStart w:id="124" w:name="_Toc183077736"/>
      <w:bookmarkEnd w:id="124"/>
      <w:bookmarkStart w:id="125" w:name="_Toc183077750"/>
      <w:bookmarkEnd w:id="125"/>
      <w:bookmarkStart w:id="126" w:name="_Toc183077747"/>
      <w:bookmarkEnd w:id="126"/>
      <w:bookmarkStart w:id="127" w:name="_Toc183077751"/>
      <w:bookmarkEnd w:id="127"/>
      <w:bookmarkStart w:id="128" w:name="_Toc183077744"/>
      <w:bookmarkEnd w:id="128"/>
      <w:bookmarkStart w:id="129" w:name="_Toc183077741"/>
      <w:bookmarkEnd w:id="129"/>
      <w:bookmarkStart w:id="130" w:name="_Toc183077748"/>
      <w:bookmarkEnd w:id="130"/>
      <w:bookmarkStart w:id="131" w:name="_Toc183077749"/>
      <w:bookmarkEnd w:id="131"/>
      <w:bookmarkStart w:id="132" w:name="_Toc183077746"/>
      <w:bookmarkEnd w:id="132"/>
      <w:bookmarkStart w:id="133" w:name="_Toc183077743"/>
      <w:bookmarkEnd w:id="133"/>
      <w:bookmarkStart w:id="134" w:name="_Toc191997242"/>
      <w:bookmarkStart w:id="135" w:name="_Toc191997421"/>
      <w:bookmarkStart w:id="136" w:name="_Toc191997462"/>
      <w:bookmarkStart w:id="137" w:name="_Toc191997176"/>
      <w:bookmarkStart w:id="138" w:name="_Toc214005510"/>
      <w:bookmarkStart w:id="139" w:name="_Toc214005679"/>
      <w:bookmarkStart w:id="140" w:name="_Toc214008842"/>
      <w:bookmarkStart w:id="141" w:name="_Toc28180"/>
      <w:r>
        <w:rPr>
          <w:rFonts w:hint="eastAsia" w:ascii="Times New Roman"/>
          <w:sz w:val="28"/>
        </w:rPr>
        <w:t>火灾</w:t>
      </w:r>
      <w:bookmarkEnd w:id="134"/>
      <w:bookmarkEnd w:id="135"/>
      <w:bookmarkEnd w:id="136"/>
      <w:bookmarkEnd w:id="137"/>
      <w:r>
        <w:rPr>
          <w:rFonts w:hint="eastAsia" w:ascii="Times New Roman"/>
          <w:sz w:val="28"/>
        </w:rPr>
        <w:t>场景设定</w:t>
      </w:r>
      <w:bookmarkEnd w:id="138"/>
      <w:bookmarkEnd w:id="139"/>
      <w:bookmarkEnd w:id="140"/>
      <w:bookmarkEnd w:id="141"/>
    </w:p>
    <w:p>
      <w:pPr>
        <w:pStyle w:val="195"/>
      </w:pPr>
      <w:r>
        <w:rPr>
          <w:rFonts w:hint="eastAsia"/>
        </w:rPr>
        <w:t>火灾场景的设定应考虑火灾发生、发展、轰燃、衰减等不同阶段，还应考虑建筑环境和任何影响火灾发展过程的消防系统。</w:t>
      </w:r>
    </w:p>
    <w:p>
      <w:pPr>
        <w:pStyle w:val="195"/>
      </w:pPr>
      <w:r>
        <w:rPr>
          <w:rFonts w:hint="eastAsia"/>
        </w:rPr>
        <w:t>火灾场景的设定应分为下列步骤：</w:t>
      </w:r>
    </w:p>
    <w:p>
      <w:pPr>
        <w:pStyle w:val="255"/>
        <w:numPr>
          <w:ilvl w:val="0"/>
          <w:numId w:val="29"/>
        </w:numPr>
      </w:pPr>
      <w:r>
        <w:rPr>
          <w:rFonts w:hint="eastAsia"/>
        </w:rPr>
        <w:t>确定火灾位置。</w:t>
      </w:r>
    </w:p>
    <w:p>
      <w:pPr>
        <w:pStyle w:val="255"/>
        <w:numPr>
          <w:ilvl w:val="0"/>
          <w:numId w:val="29"/>
        </w:numPr>
      </w:pPr>
      <w:r>
        <w:rPr>
          <w:rFonts w:hint="eastAsia"/>
        </w:rPr>
        <w:t>确定火灾类型。</w:t>
      </w:r>
    </w:p>
    <w:p>
      <w:pPr>
        <w:pStyle w:val="255"/>
        <w:numPr>
          <w:ilvl w:val="0"/>
          <w:numId w:val="29"/>
        </w:numPr>
      </w:pPr>
      <w:r>
        <w:rPr>
          <w:rFonts w:hint="eastAsia"/>
        </w:rPr>
        <w:t>确定导致火灾事故严重的潜在因素。</w:t>
      </w:r>
    </w:p>
    <w:p>
      <w:pPr>
        <w:pStyle w:val="255"/>
        <w:numPr>
          <w:ilvl w:val="0"/>
          <w:numId w:val="29"/>
        </w:numPr>
      </w:pPr>
      <w:r>
        <w:rPr>
          <w:rFonts w:hint="eastAsia"/>
        </w:rPr>
        <w:t>确定系统对火灾影响。</w:t>
      </w:r>
    </w:p>
    <w:p>
      <w:pPr>
        <w:pStyle w:val="195"/>
      </w:pPr>
      <w:r>
        <w:t>火灾</w:t>
      </w:r>
      <w:r>
        <w:rPr>
          <w:rFonts w:hint="eastAsia"/>
        </w:rPr>
        <w:t>位置</w:t>
      </w:r>
      <w:r>
        <w:t>的</w:t>
      </w:r>
      <w:r>
        <w:rPr>
          <w:rFonts w:hint="eastAsia"/>
        </w:rPr>
        <w:t>确</w:t>
      </w:r>
      <w:r>
        <w:t>定</w:t>
      </w:r>
      <w:r>
        <w:rPr>
          <w:rFonts w:hint="eastAsia"/>
        </w:rPr>
        <w:t>应</w:t>
      </w:r>
      <w:r>
        <w:t>符合下列规定：</w:t>
      </w:r>
    </w:p>
    <w:p>
      <w:pPr>
        <w:pStyle w:val="54"/>
        <w:ind w:firstLine="480"/>
        <w:rPr>
          <w:rFonts w:ascii="Times New Roman"/>
        </w:rPr>
      </w:pPr>
      <w:r>
        <w:rPr>
          <w:rFonts w:hint="eastAsia" w:ascii="Times New Roman"/>
        </w:rPr>
        <w:t>1</w:t>
      </w:r>
      <w:r>
        <w:rPr>
          <w:rFonts w:ascii="Times New Roman"/>
        </w:rPr>
        <w:t xml:space="preserve">  可</w:t>
      </w:r>
      <w:r>
        <w:rPr>
          <w:rFonts w:hint="eastAsia" w:ascii="Times New Roman"/>
        </w:rPr>
        <w:t>根据与目标建筑相同或相似类型建筑的历史</w:t>
      </w:r>
      <w:r>
        <w:rPr>
          <w:rFonts w:ascii="Times New Roman"/>
        </w:rPr>
        <w:t>火灾统计数据辨识</w:t>
      </w:r>
      <w:r>
        <w:rPr>
          <w:rFonts w:hint="eastAsia" w:ascii="Times New Roman"/>
        </w:rPr>
        <w:t>目标建筑最有</w:t>
      </w:r>
      <w:r>
        <w:rPr>
          <w:rFonts w:ascii="Times New Roman"/>
        </w:rPr>
        <w:t>可能起火的火灾</w:t>
      </w:r>
      <w:r>
        <w:rPr>
          <w:rFonts w:hint="eastAsia" w:ascii="Times New Roman"/>
        </w:rPr>
        <w:t>位置。</w:t>
      </w:r>
    </w:p>
    <w:p>
      <w:pPr>
        <w:pStyle w:val="54"/>
        <w:ind w:firstLine="480"/>
        <w:rPr>
          <w:rFonts w:ascii="Times New Roman"/>
        </w:rPr>
      </w:pPr>
      <w:r>
        <w:rPr>
          <w:rFonts w:ascii="Times New Roman"/>
        </w:rPr>
        <w:t>2  若无火灾统计</w:t>
      </w:r>
      <w:r>
        <w:rPr>
          <w:rFonts w:hint="eastAsia" w:ascii="Times New Roman"/>
        </w:rPr>
        <w:t>数据</w:t>
      </w:r>
      <w:r>
        <w:rPr>
          <w:rFonts w:ascii="Times New Roman"/>
        </w:rPr>
        <w:t>，可通过</w:t>
      </w:r>
      <w:r>
        <w:rPr>
          <w:rFonts w:hint="eastAsia" w:ascii="Times New Roman"/>
        </w:rPr>
        <w:t>分析目标建筑内火灾危险源、火灾风险源、建筑内人员情况（人员密集程度、疏散能力、响应能力等）</w:t>
      </w:r>
      <w:r>
        <w:rPr>
          <w:rFonts w:ascii="Times New Roman"/>
        </w:rPr>
        <w:t>等来确定</w:t>
      </w:r>
      <w:r>
        <w:rPr>
          <w:rFonts w:hint="eastAsia" w:ascii="Times New Roman"/>
        </w:rPr>
        <w:t>可燃物和点火能量容易相互作用的位置、灾后后果严重的位置，即为</w:t>
      </w:r>
      <w:r>
        <w:rPr>
          <w:rFonts w:ascii="Times New Roman"/>
        </w:rPr>
        <w:t>火灾</w:t>
      </w:r>
      <w:r>
        <w:rPr>
          <w:rFonts w:hint="eastAsia" w:ascii="Times New Roman"/>
        </w:rPr>
        <w:t>位置。</w:t>
      </w:r>
    </w:p>
    <w:p>
      <w:pPr>
        <w:pStyle w:val="54"/>
        <w:ind w:firstLine="480"/>
        <w:rPr>
          <w:rFonts w:ascii="Times New Roman"/>
        </w:rPr>
      </w:pPr>
      <w:r>
        <w:rPr>
          <w:rFonts w:ascii="Times New Roman"/>
        </w:rPr>
        <w:t xml:space="preserve">3  </w:t>
      </w:r>
      <w:r>
        <w:rPr>
          <w:rFonts w:hint="eastAsia" w:ascii="Times New Roman"/>
        </w:rPr>
        <w:t>可通过工程经验辨识</w:t>
      </w:r>
      <w:r>
        <w:rPr>
          <w:rFonts w:ascii="Times New Roman"/>
        </w:rPr>
        <w:t>最不利</w:t>
      </w:r>
      <w:r>
        <w:rPr>
          <w:rFonts w:hint="eastAsia" w:ascii="Times New Roman"/>
        </w:rPr>
        <w:t>或最有威胁的</w:t>
      </w:r>
      <w:r>
        <w:rPr>
          <w:rFonts w:ascii="Times New Roman"/>
        </w:rPr>
        <w:t>火灾</w:t>
      </w:r>
      <w:r>
        <w:rPr>
          <w:rFonts w:hint="eastAsia" w:ascii="Times New Roman"/>
        </w:rPr>
        <w:t>位置：</w:t>
      </w:r>
    </w:p>
    <w:p>
      <w:pPr>
        <w:pStyle w:val="54"/>
        <w:ind w:firstLine="720" w:firstLineChars="300"/>
        <w:rPr>
          <w:rFonts w:ascii="Times New Roman"/>
        </w:rPr>
      </w:pPr>
      <w:r>
        <w:rPr>
          <w:rFonts w:hint="eastAsia" w:ascii="Times New Roman"/>
        </w:rPr>
        <w:t>1）</w:t>
      </w:r>
      <w:r>
        <w:rPr>
          <w:rFonts w:ascii="Times New Roman"/>
        </w:rPr>
        <w:t>发生火灾时，可能延迟或阻碍人员安全疏散的位置，如</w:t>
      </w:r>
      <w:r>
        <w:rPr>
          <w:rFonts w:hint="eastAsia" w:ascii="Times New Roman"/>
        </w:rPr>
        <w:t>靠近疏散通道、</w:t>
      </w:r>
      <w:r>
        <w:rPr>
          <w:rFonts w:ascii="Times New Roman"/>
        </w:rPr>
        <w:t>疏散出入口等</w:t>
      </w:r>
      <w:r>
        <w:rPr>
          <w:rFonts w:hint="eastAsia" w:ascii="Times New Roman"/>
        </w:rPr>
        <w:t>。</w:t>
      </w:r>
    </w:p>
    <w:p>
      <w:pPr>
        <w:pStyle w:val="54"/>
        <w:ind w:firstLine="720" w:firstLineChars="300"/>
        <w:rPr>
          <w:rFonts w:ascii="Times New Roman"/>
        </w:rPr>
      </w:pPr>
      <w:r>
        <w:rPr>
          <w:rFonts w:ascii="Times New Roman"/>
        </w:rPr>
        <w:t>2</w:t>
      </w:r>
      <w:r>
        <w:rPr>
          <w:rFonts w:hint="eastAsia" w:ascii="Times New Roman"/>
        </w:rPr>
        <w:t>）</w:t>
      </w:r>
      <w:r>
        <w:rPr>
          <w:rFonts w:ascii="Times New Roman"/>
        </w:rPr>
        <w:t>发生火灾时，容易造成人员伤亡或财产损失的位置，如人员密集</w:t>
      </w:r>
      <w:r>
        <w:rPr>
          <w:rFonts w:hint="eastAsia" w:ascii="Times New Roman"/>
        </w:rPr>
        <w:t>区域、火灾荷载密度高的区域</w:t>
      </w:r>
      <w:r>
        <w:rPr>
          <w:rFonts w:ascii="Times New Roman"/>
        </w:rPr>
        <w:t>等</w:t>
      </w:r>
      <w:r>
        <w:rPr>
          <w:rFonts w:hint="eastAsia" w:ascii="Times New Roman"/>
        </w:rPr>
        <w:t>。</w:t>
      </w:r>
    </w:p>
    <w:p>
      <w:pPr>
        <w:pStyle w:val="54"/>
        <w:ind w:firstLine="720" w:firstLineChars="300"/>
        <w:rPr>
          <w:rFonts w:ascii="Times New Roman"/>
        </w:rPr>
      </w:pPr>
      <w:r>
        <w:rPr>
          <w:rFonts w:ascii="Times New Roman"/>
        </w:rPr>
        <w:t>3</w:t>
      </w:r>
      <w:r>
        <w:rPr>
          <w:rFonts w:hint="eastAsia" w:ascii="Times New Roman"/>
        </w:rPr>
        <w:t>）消防设施作用范围之外的房间或空间，包括隐蔽空间和外部表面，如管道井、电缆井、吊顶内、外保温层等</w:t>
      </w:r>
      <w:r>
        <w:rPr>
          <w:rFonts w:ascii="Times New Roman"/>
        </w:rPr>
        <w:t>。</w:t>
      </w:r>
    </w:p>
    <w:p>
      <w:pPr>
        <w:pStyle w:val="195"/>
      </w:pPr>
      <w:r>
        <w:rPr>
          <w:rFonts w:hint="eastAsia"/>
        </w:rPr>
        <w:t>火灾类型的影响因素包括初始火源及其强度、首先被引燃的物体等，火灾类型的确定应符合下列规定：</w:t>
      </w:r>
    </w:p>
    <w:p>
      <w:pPr>
        <w:pStyle w:val="255"/>
        <w:numPr>
          <w:ilvl w:val="0"/>
          <w:numId w:val="30"/>
        </w:numPr>
      </w:pPr>
      <w:r>
        <w:rPr>
          <w:rFonts w:hint="eastAsia"/>
        </w:rPr>
        <w:t>可根据与目标建筑相同或相似类型建筑的历史火灾统计数据判断可能得火灾类型；</w:t>
      </w:r>
    </w:p>
    <w:p>
      <w:pPr>
        <w:pStyle w:val="255"/>
        <w:numPr>
          <w:ilvl w:val="0"/>
          <w:numId w:val="30"/>
        </w:numPr>
      </w:pPr>
      <w:r>
        <w:rPr>
          <w:rFonts w:hint="eastAsia"/>
        </w:rPr>
        <w:t>若国内无合适的火灾统计数据，可利用具有相似火灾情况的其他国家的统计数据。</w:t>
      </w:r>
    </w:p>
    <w:p>
      <w:pPr>
        <w:pStyle w:val="255"/>
      </w:pPr>
      <w:r>
        <w:rPr>
          <w:rFonts w:hint="eastAsia"/>
        </w:rPr>
        <w:t>【条文说明】火灾类型通常有以下几种：人员伤亡多的火灾，财产损失多的火灾，过火面积大的火灾，建筑外立面火灾等。</w:t>
      </w:r>
    </w:p>
    <w:p>
      <w:pPr>
        <w:pStyle w:val="195"/>
      </w:pPr>
      <w:r>
        <w:rPr>
          <w:rFonts w:hint="eastAsia"/>
        </w:rPr>
        <w:t>导致火灾事故严重的潜在因素的确定应考虑下列情形：</w:t>
      </w:r>
    </w:p>
    <w:p>
      <w:pPr>
        <w:pStyle w:val="255"/>
        <w:numPr>
          <w:ilvl w:val="0"/>
          <w:numId w:val="31"/>
        </w:numPr>
        <w:ind w:left="482" w:firstLine="0"/>
      </w:pPr>
      <w:r>
        <w:rPr>
          <w:rFonts w:hint="eastAsia"/>
        </w:rPr>
        <w:t>是否存在易自燃、易爆炸、火灾蔓延快的材料或物品。</w:t>
      </w:r>
    </w:p>
    <w:p>
      <w:pPr>
        <w:pStyle w:val="255"/>
        <w:numPr>
          <w:ilvl w:val="0"/>
          <w:numId w:val="31"/>
        </w:numPr>
      </w:pPr>
      <w:r>
        <w:rPr>
          <w:rFonts w:hint="eastAsia"/>
        </w:rPr>
        <w:t>是否存在燃烧产烟量大、产生剧毒性烟气的材料或物品。</w:t>
      </w:r>
    </w:p>
    <w:p>
      <w:pPr>
        <w:pStyle w:val="255"/>
        <w:numPr>
          <w:ilvl w:val="0"/>
          <w:numId w:val="31"/>
        </w:numPr>
      </w:pPr>
      <w:r>
        <w:rPr>
          <w:rFonts w:hint="eastAsia"/>
        </w:rPr>
        <w:t>是否存在燃烧产物对环境有严重危害的材料或物品。</w:t>
      </w:r>
    </w:p>
    <w:p>
      <w:pPr>
        <w:pStyle w:val="255"/>
        <w:numPr>
          <w:ilvl w:val="0"/>
          <w:numId w:val="31"/>
        </w:numPr>
      </w:pPr>
      <w:r>
        <w:rPr>
          <w:rFonts w:hint="eastAsia"/>
        </w:rPr>
        <w:t>是否存在高危险操作的情况，如在易燃材料附近使用明火。</w:t>
      </w:r>
    </w:p>
    <w:p>
      <w:pPr>
        <w:pStyle w:val="255"/>
        <w:numPr>
          <w:ilvl w:val="0"/>
          <w:numId w:val="31"/>
        </w:numPr>
      </w:pPr>
      <w:r>
        <w:rPr>
          <w:rFonts w:hint="eastAsia"/>
        </w:rPr>
        <w:t>是否存在其他导致火灾概率升高或后果严重的情况。</w:t>
      </w:r>
    </w:p>
    <w:p>
      <w:pPr>
        <w:pStyle w:val="195"/>
      </w:pPr>
      <w:r>
        <w:rPr>
          <w:rFonts w:hint="eastAsia"/>
        </w:rPr>
        <w:t>系统对火灾的影响应包括下列情形：</w:t>
      </w:r>
    </w:p>
    <w:p>
      <w:pPr>
        <w:pStyle w:val="255"/>
        <w:ind w:firstLine="480" w:firstLineChars="200"/>
      </w:pPr>
      <w:r>
        <w:rPr>
          <w:rFonts w:hint="eastAsia"/>
        </w:rPr>
        <w:t>1</w:t>
      </w:r>
      <w:r>
        <w:t xml:space="preserve">  </w:t>
      </w:r>
      <w:r>
        <w:rPr>
          <w:rFonts w:hint="eastAsia"/>
        </w:rPr>
        <w:t>被动防火系统对火灾的影响包括：</w:t>
      </w:r>
    </w:p>
    <w:p>
      <w:pPr>
        <w:pStyle w:val="255"/>
        <w:ind w:firstLine="720" w:firstLineChars="300"/>
      </w:pPr>
      <w:r>
        <w:rPr>
          <w:rFonts w:hint="eastAsia"/>
        </w:rPr>
        <w:t>1）耐火等级的影响，如目标建筑耐火等级不足，火灾时坍塌的风险升高。</w:t>
      </w:r>
    </w:p>
    <w:p>
      <w:pPr>
        <w:pStyle w:val="255"/>
        <w:ind w:firstLine="720" w:firstLineChars="300"/>
      </w:pPr>
      <w:r>
        <w:rPr>
          <w:rFonts w:hint="eastAsia"/>
        </w:rPr>
        <w:t>2）防火间距的影响，如目标建筑与相邻建筑的防火间距不足，目标建筑存在被相邻建筑火灾引燃的风险升高。</w:t>
      </w:r>
    </w:p>
    <w:p>
      <w:pPr>
        <w:pStyle w:val="255"/>
        <w:ind w:firstLine="720" w:firstLineChars="300"/>
      </w:pPr>
      <w:r>
        <w:rPr>
          <w:rFonts w:hint="eastAsia"/>
        </w:rPr>
        <w:t>3）防火分区和防火分隔措施的影响，如防火卷帘失效或防火门失效等防火分隔措施故障，或防火分区面积超贵，火灾损失风险升高。</w:t>
      </w:r>
    </w:p>
    <w:p>
      <w:pPr>
        <w:pStyle w:val="255"/>
        <w:ind w:firstLine="720" w:firstLineChars="300"/>
      </w:pPr>
      <w:r>
        <w:t>4</w:t>
      </w:r>
      <w:r>
        <w:rPr>
          <w:rFonts w:hint="eastAsia"/>
        </w:rPr>
        <w:t>）平面布置的影响，如平面布置不合理，民用建筑内附设甲乙类火灾危险性物品的储藏间，火灾发生风险升高。</w:t>
      </w:r>
    </w:p>
    <w:p>
      <w:pPr>
        <w:pStyle w:val="255"/>
        <w:ind w:firstLine="480" w:firstLineChars="200"/>
      </w:pPr>
      <w:r>
        <w:rPr>
          <w:rFonts w:hint="eastAsia"/>
        </w:rPr>
        <w:t>2</w:t>
      </w:r>
      <w:r>
        <w:t xml:space="preserve">  </w:t>
      </w:r>
      <w:r>
        <w:rPr>
          <w:rFonts w:hint="eastAsia"/>
        </w:rPr>
        <w:t>安全疏散设施对火灾的影响包括：安全出口、疏散宽度、疏散距离、疏散门、避难间/层等，若存在安全出口数量不足或安全出口被封堵、或疏散宽度不足、或疏散通道被占用、或疏散门被封锁、或疏散距离超贵等隐患，人员伤亡风险升高。</w:t>
      </w:r>
    </w:p>
    <w:p>
      <w:pPr>
        <w:pStyle w:val="255"/>
        <w:ind w:firstLine="480" w:firstLineChars="200"/>
      </w:pPr>
      <w:r>
        <w:t xml:space="preserve">3  </w:t>
      </w:r>
      <w:r>
        <w:rPr>
          <w:rFonts w:hint="eastAsia"/>
        </w:rPr>
        <w:t>主动防火系统对火灾的影响包括：</w:t>
      </w:r>
    </w:p>
    <w:p>
      <w:pPr>
        <w:pStyle w:val="255"/>
        <w:ind w:firstLine="720" w:firstLineChars="300"/>
      </w:pPr>
      <w:r>
        <w:rPr>
          <w:rFonts w:hint="eastAsia"/>
        </w:rPr>
        <w:t>1）消防给水及灭火系统的影响，如消防水泵故障，或消防水池水箱水量不足，或喷头被遮挡等，灭火系统失效，火灾损失风险升高；</w:t>
      </w:r>
    </w:p>
    <w:p>
      <w:pPr>
        <w:pStyle w:val="255"/>
        <w:ind w:firstLine="720" w:firstLineChars="300"/>
      </w:pPr>
      <w:r>
        <w:t>2</w:t>
      </w:r>
      <w:r>
        <w:rPr>
          <w:rFonts w:hint="eastAsia"/>
        </w:rPr>
        <w:t>）防排烟系统的影响，如；风机故障，或风口被遮挡，或风管漏风等，高温烟气无法及时排出，人员伤亡风险和财产损失升高。</w:t>
      </w:r>
    </w:p>
    <w:p>
      <w:pPr>
        <w:pStyle w:val="255"/>
        <w:ind w:firstLine="720" w:firstLineChars="300"/>
      </w:pPr>
      <w:r>
        <w:rPr>
          <w:rFonts w:hint="eastAsia"/>
        </w:rPr>
        <w:t>3）火灾自动报警系统的影响，如；探测器失效，或联动控制失效等，无法及时探测火灾、报警、联动消防设施启动，人员伤亡风险和财产损失升高。</w:t>
      </w:r>
    </w:p>
    <w:p>
      <w:pPr>
        <w:pStyle w:val="255"/>
        <w:ind w:firstLine="720" w:firstLineChars="300"/>
      </w:pPr>
      <w:r>
        <w:t>4</w:t>
      </w:r>
      <w:r>
        <w:rPr>
          <w:rFonts w:hint="eastAsia"/>
        </w:rPr>
        <w:t>）消防应急照明和疏散指示系统的影响，如；照度不足或指示方向有误或数量不足等，无法为人员疏散提供有效帮助，人员伤亡风险升高。</w:t>
      </w:r>
    </w:p>
    <w:p>
      <w:pPr>
        <w:pStyle w:val="255"/>
        <w:ind w:firstLine="720" w:firstLineChars="300"/>
      </w:pPr>
      <w:r>
        <w:rPr>
          <w:rFonts w:hint="eastAsia"/>
        </w:rPr>
        <w:t>5）消防电源的影响，如电压不足或电源切换失败等，消防设施无法启动，火灾损失风险升高。</w:t>
      </w:r>
    </w:p>
    <w:p>
      <w:pPr>
        <w:pStyle w:val="255"/>
        <w:ind w:firstLine="480" w:firstLineChars="200"/>
      </w:pPr>
      <w:r>
        <w:t xml:space="preserve">4  </w:t>
      </w:r>
      <w:r>
        <w:rPr>
          <w:rFonts w:hint="eastAsia"/>
        </w:rPr>
        <w:t>消防应急救援设施对火灾的影响包括：消防车道、救援场地、消防电梯、消防救援窗的影响，若存在消防车道被占用、或救援场地被占用、或消防电梯故障、或消防救援窗被遮挡等隐患，消防车、消防员无法及时到达目标建筑和起火楼层，贻误火情，人员伤亡风险和财产损失升高。</w:t>
      </w:r>
    </w:p>
    <w:p>
      <w:pPr>
        <w:pStyle w:val="195"/>
      </w:pPr>
      <w:r>
        <w:rPr>
          <w:rFonts w:hint="eastAsia"/>
        </w:rPr>
        <w:t>宜优先选择火灾发生可能性高且潜在后果严重的场景进行火灾风险评估，其次为火灾发生可能性高或潜在后果严重的场景。</w:t>
      </w:r>
    </w:p>
    <w:p>
      <w:pPr>
        <w:pStyle w:val="54"/>
        <w:ind w:firstLine="0" w:firstLineChars="0"/>
        <w:rPr>
          <w:rFonts w:ascii="Times New Roman"/>
        </w:rPr>
      </w:pPr>
    </w:p>
    <w:p>
      <w:pPr>
        <w:pStyle w:val="134"/>
        <w:spacing w:before="240" w:after="240"/>
        <w:ind w:left="0"/>
        <w:jc w:val="center"/>
        <w:rPr>
          <w:rFonts w:ascii="Times New Roman"/>
          <w:sz w:val="32"/>
          <w:szCs w:val="32"/>
        </w:rPr>
        <w:sectPr>
          <w:footerReference r:id="rId7" w:type="default"/>
          <w:pgSz w:w="11906" w:h="16838"/>
          <w:pgMar w:top="2410" w:right="1134" w:bottom="1134" w:left="1134" w:header="1418" w:footer="1134" w:gutter="284"/>
          <w:pgNumType w:start="1"/>
          <w:cols w:space="425" w:num="1"/>
          <w:formProt w:val="0"/>
          <w:docGrid w:linePitch="312" w:charSpace="0"/>
        </w:sectPr>
      </w:pPr>
      <w:bookmarkStart w:id="142" w:name="_Toc191997181"/>
      <w:bookmarkStart w:id="143" w:name="_Toc191997426"/>
      <w:bookmarkStart w:id="144" w:name="_Toc191997467"/>
      <w:bookmarkStart w:id="145" w:name="_Toc191997247"/>
    </w:p>
    <w:p>
      <w:pPr>
        <w:pStyle w:val="134"/>
        <w:spacing w:before="240" w:after="240"/>
        <w:ind w:left="0"/>
        <w:jc w:val="center"/>
        <w:rPr>
          <w:rFonts w:ascii="Times New Roman"/>
          <w:sz w:val="32"/>
        </w:rPr>
      </w:pPr>
      <w:bookmarkStart w:id="146" w:name="_Toc214005511"/>
      <w:bookmarkStart w:id="147" w:name="_Toc214008843"/>
      <w:bookmarkStart w:id="148" w:name="_Toc214005680"/>
      <w:bookmarkStart w:id="149" w:name="_Toc17191"/>
      <w:r>
        <w:rPr>
          <w:rFonts w:hint="eastAsia" w:ascii="Times New Roman"/>
          <w:sz w:val="32"/>
        </w:rPr>
        <w:t>火灾风险分析</w:t>
      </w:r>
      <w:bookmarkEnd w:id="146"/>
      <w:bookmarkEnd w:id="147"/>
      <w:bookmarkEnd w:id="148"/>
      <w:bookmarkEnd w:id="149"/>
    </w:p>
    <w:p>
      <w:pPr>
        <w:pStyle w:val="135"/>
        <w:spacing w:before="120" w:after="120"/>
        <w:ind w:left="0"/>
        <w:jc w:val="center"/>
        <w:rPr>
          <w:rFonts w:ascii="Times New Roman"/>
          <w:sz w:val="28"/>
          <w:szCs w:val="28"/>
        </w:rPr>
      </w:pPr>
      <w:bookmarkStart w:id="150" w:name="_Toc214005681"/>
      <w:bookmarkStart w:id="151" w:name="_Toc214008844"/>
      <w:bookmarkStart w:id="152" w:name="_Toc214005512"/>
      <w:bookmarkStart w:id="153" w:name="_Toc22708"/>
      <w:r>
        <w:rPr>
          <w:rFonts w:hint="eastAsia" w:ascii="Times New Roman"/>
          <w:sz w:val="28"/>
          <w:szCs w:val="28"/>
        </w:rPr>
        <w:t>一般规定</w:t>
      </w:r>
      <w:bookmarkEnd w:id="150"/>
      <w:bookmarkEnd w:id="151"/>
      <w:bookmarkEnd w:id="152"/>
      <w:bookmarkEnd w:id="153"/>
    </w:p>
    <w:p>
      <w:pPr>
        <w:pStyle w:val="195"/>
      </w:pPr>
      <w:r>
        <w:rPr>
          <w:rFonts w:hint="eastAsia"/>
        </w:rPr>
        <w:t>火灾风险分析应对目标建筑的火灾概率、火灾损失和周边消防队灭火救援能力进行估计。</w:t>
      </w:r>
    </w:p>
    <w:p>
      <w:pPr>
        <w:pStyle w:val="195"/>
      </w:pPr>
      <w:r>
        <w:rPr>
          <w:rFonts w:hint="eastAsia"/>
        </w:rPr>
        <w:t>火灾概率分析计算方法应符合《建筑火灾概率计算标准》的相关规定。</w:t>
      </w:r>
    </w:p>
    <w:p>
      <w:pPr>
        <w:pStyle w:val="195"/>
      </w:pPr>
      <w:r>
        <w:rPr>
          <w:rFonts w:hint="eastAsia"/>
        </w:rPr>
        <w:t>火灾损失宜包括人员损失、直接财产损失、商业连续性中断和环境破坏，其中影响直接财产损失的过火面积分析计算方法应符合《建筑火灾过火面积计算标准》的相关规定。</w:t>
      </w:r>
    </w:p>
    <w:p>
      <w:pPr>
        <w:pStyle w:val="135"/>
        <w:spacing w:before="120" w:after="120"/>
        <w:ind w:left="0"/>
        <w:jc w:val="center"/>
        <w:rPr>
          <w:rFonts w:ascii="Times New Roman"/>
          <w:sz w:val="28"/>
          <w:szCs w:val="28"/>
        </w:rPr>
      </w:pPr>
      <w:bookmarkStart w:id="154" w:name="_Toc214005513"/>
      <w:bookmarkStart w:id="155" w:name="_Toc214005682"/>
      <w:bookmarkStart w:id="156" w:name="_Toc214008845"/>
      <w:bookmarkStart w:id="157" w:name="_Toc24004"/>
      <w:r>
        <w:rPr>
          <w:rFonts w:hint="eastAsia" w:ascii="Times New Roman"/>
          <w:sz w:val="28"/>
          <w:szCs w:val="28"/>
        </w:rPr>
        <w:t>消防队灭火救援能力分析方法</w:t>
      </w:r>
      <w:bookmarkEnd w:id="154"/>
      <w:bookmarkEnd w:id="155"/>
      <w:bookmarkEnd w:id="156"/>
      <w:bookmarkEnd w:id="157"/>
    </w:p>
    <w:p>
      <w:pPr>
        <w:pStyle w:val="195"/>
      </w:pPr>
      <w:r>
        <w:rPr>
          <w:rFonts w:hint="eastAsia"/>
        </w:rPr>
        <w:t>消防队灭火救援能力应根据确定评估指标、建立评估模型、计算分析评估结果等步骤确定</w:t>
      </w:r>
    </w:p>
    <w:p>
      <w:pPr>
        <w:pStyle w:val="195"/>
      </w:pPr>
      <w:r>
        <w:rPr>
          <w:rFonts w:hint="eastAsia"/>
        </w:rPr>
        <w:t>消防队灭火救援能力评估的一级指标宜包含接处警时间、火灾第一出动时间、灭火效能、消防车辆及装备等，并应根据消防队实际情况对指标进行适当调整。</w:t>
      </w:r>
    </w:p>
    <w:p>
      <w:pPr>
        <w:pStyle w:val="195"/>
      </w:pPr>
      <w:r>
        <w:rPr>
          <w:rFonts w:hint="eastAsia"/>
        </w:rPr>
        <w:t>灭火效能的二级指标宜包括灭火过程中所达到的灭火速度、成功率和彻底程度评估，其中灭火速度和彻底程度可通过灭火救援时间指标提现，灭火成功率可通过过火面积和人员伤亡期数占比提现。</w:t>
      </w:r>
    </w:p>
    <w:p>
      <w:pPr>
        <w:pStyle w:val="195"/>
      </w:pPr>
      <w:r>
        <w:rPr>
          <w:rFonts w:hint="eastAsia"/>
        </w:rPr>
        <w:t>消防车辆及装备的二级指标宜包括车辆完备率、抢险救援器材完备率和人员防护装备完备率等要素。</w:t>
      </w:r>
    </w:p>
    <w:p>
      <w:pPr>
        <w:pStyle w:val="195"/>
      </w:pPr>
      <w:r>
        <w:rPr>
          <w:rFonts w:hint="eastAsia"/>
        </w:rPr>
        <w:t>消防队灭火救援能力评估指标体系可通过事故树分析法构建，见图</w:t>
      </w:r>
      <w:r>
        <w:t>5.2.5</w:t>
      </w:r>
      <w:r>
        <w:rPr>
          <w:rFonts w:hint="eastAsia"/>
        </w:rPr>
        <w:t>。</w:t>
      </w:r>
    </w:p>
    <w:p>
      <w:pPr>
        <w:pStyle w:val="54"/>
        <w:ind w:firstLine="0" w:firstLineChars="0"/>
        <w:jc w:val="center"/>
        <w:rPr>
          <w:rFonts w:ascii="Times New Roman"/>
        </w:rPr>
      </w:pPr>
      <w:r>
        <w:rPr>
          <w:rFonts w:ascii="Times New Roman"/>
        </w:rPr>
        <w:drawing>
          <wp:inline distT="0" distB="0" distL="0" distR="0">
            <wp:extent cx="2860675" cy="2588260"/>
            <wp:effectExtent l="0" t="0" r="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871519" cy="2598247"/>
                    </a:xfrm>
                    <a:prstGeom prst="rect">
                      <a:avLst/>
                    </a:prstGeom>
                    <a:noFill/>
                  </pic:spPr>
                </pic:pic>
              </a:graphicData>
            </a:graphic>
          </wp:inline>
        </w:drawing>
      </w:r>
    </w:p>
    <w:p>
      <w:pPr>
        <w:pStyle w:val="142"/>
        <w:spacing w:before="120" w:after="120"/>
      </w:pPr>
      <w:r>
        <w:rPr>
          <w:rFonts w:hint="eastAsia"/>
        </w:rPr>
        <w:t>图</w:t>
      </w:r>
      <w:r>
        <w:t xml:space="preserve">5.2.5  </w:t>
      </w:r>
      <w:r>
        <w:rPr>
          <w:rFonts w:hint="eastAsia"/>
        </w:rPr>
        <w:t>消防队灭火救援能力评估指标体系示意</w:t>
      </w:r>
    </w:p>
    <w:p>
      <w:pPr>
        <w:pStyle w:val="195"/>
      </w:pPr>
      <w:r>
        <w:rPr>
          <w:rFonts w:hint="eastAsia"/>
        </w:rPr>
        <w:t>灭火救援能力评估指标的权重可通过德尔菲法、层次分析法等方法确定，本标准以层次分析法为例计算指标权重。一级指标判断矩阵见表</w:t>
      </w:r>
      <w:r>
        <w:t>5.2.6-1</w:t>
      </w:r>
      <w:r>
        <w:rPr>
          <w:rFonts w:hint="eastAsia"/>
        </w:rPr>
        <w:t>，二级指标判断矩阵见表</w:t>
      </w:r>
      <w:r>
        <w:t>5.2.6-2~5.2.6-3</w:t>
      </w:r>
      <w:r>
        <w:rPr>
          <w:rFonts w:hint="eastAsia"/>
        </w:rPr>
        <w:t>，各指标权重见表</w:t>
      </w:r>
      <w:r>
        <w:t>5.2.6-4</w:t>
      </w:r>
      <w:r>
        <w:rPr>
          <w:rFonts w:hint="eastAsia"/>
        </w:rPr>
        <w:t>。</w:t>
      </w:r>
    </w:p>
    <w:p>
      <w:pPr>
        <w:pStyle w:val="142"/>
        <w:spacing w:before="120" w:after="120"/>
      </w:pPr>
      <w:r>
        <w:rPr>
          <w:rFonts w:hint="eastAsia"/>
        </w:rPr>
        <w:t>表</w:t>
      </w:r>
      <w:r>
        <w:t xml:space="preserve">5.2.6-1  </w:t>
      </w:r>
      <w:r>
        <w:rPr>
          <w:rFonts w:hint="eastAsia"/>
        </w:rPr>
        <w:t>一级指标判断矩阵</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99"/>
        <w:gridCol w:w="1255"/>
        <w:gridCol w:w="1256"/>
        <w:gridCol w:w="1256"/>
        <w:gridCol w:w="1256"/>
        <w:gridCol w:w="1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724" w:type="pct"/>
            <w:vAlign w:val="center"/>
          </w:tcPr>
          <w:p>
            <w:pPr>
              <w:pStyle w:val="268"/>
              <w:spacing w:line="240" w:lineRule="auto"/>
            </w:pPr>
            <w:r>
              <w:rPr>
                <w:rFonts w:hint="eastAsia"/>
              </w:rPr>
              <w:t>A</w:t>
            </w:r>
          </w:p>
        </w:tc>
        <w:tc>
          <w:tcPr>
            <w:tcW w:w="656" w:type="pct"/>
            <w:vAlign w:val="center"/>
          </w:tcPr>
          <w:p>
            <w:pPr>
              <w:pStyle w:val="268"/>
              <w:spacing w:line="240" w:lineRule="auto"/>
            </w:pPr>
            <w:r>
              <w:rPr>
                <w:rFonts w:hint="eastAsia" w:cs="Times New Roman"/>
              </w:rPr>
              <w:t>A</w:t>
            </w:r>
            <w:r>
              <w:rPr>
                <w:rFonts w:cs="Times New Roman"/>
              </w:rPr>
              <w:t>1</w:t>
            </w:r>
          </w:p>
        </w:tc>
        <w:tc>
          <w:tcPr>
            <w:tcW w:w="656" w:type="pct"/>
            <w:vAlign w:val="center"/>
          </w:tcPr>
          <w:p>
            <w:pPr>
              <w:pStyle w:val="268"/>
              <w:spacing w:line="240" w:lineRule="auto"/>
            </w:pPr>
            <w:r>
              <w:rPr>
                <w:rFonts w:hint="eastAsia" w:cs="Times New Roman"/>
              </w:rPr>
              <w:t>A</w:t>
            </w:r>
            <w:r>
              <w:rPr>
                <w:rFonts w:cs="Times New Roman"/>
              </w:rPr>
              <w:t>2</w:t>
            </w:r>
          </w:p>
        </w:tc>
        <w:tc>
          <w:tcPr>
            <w:tcW w:w="656" w:type="pct"/>
            <w:vAlign w:val="center"/>
          </w:tcPr>
          <w:p>
            <w:pPr>
              <w:pStyle w:val="268"/>
              <w:spacing w:line="240" w:lineRule="auto"/>
            </w:pPr>
            <w:r>
              <w:rPr>
                <w:rFonts w:hint="eastAsia" w:cs="Times New Roman"/>
              </w:rPr>
              <w:t>A</w:t>
            </w:r>
            <w:r>
              <w:rPr>
                <w:rFonts w:cs="Times New Roman"/>
              </w:rPr>
              <w:t>3</w:t>
            </w:r>
          </w:p>
        </w:tc>
        <w:tc>
          <w:tcPr>
            <w:tcW w:w="656" w:type="pct"/>
            <w:vAlign w:val="center"/>
          </w:tcPr>
          <w:p>
            <w:pPr>
              <w:pStyle w:val="268"/>
              <w:spacing w:line="240" w:lineRule="auto"/>
            </w:pPr>
            <w:r>
              <w:rPr>
                <w:rFonts w:hint="eastAsia" w:cs="Times New Roman"/>
              </w:rPr>
              <w:t>A</w:t>
            </w:r>
            <w:r>
              <w:rPr>
                <w:rFonts w:cs="Times New Roman"/>
              </w:rPr>
              <w:t>4</w:t>
            </w:r>
          </w:p>
        </w:tc>
        <w:tc>
          <w:tcPr>
            <w:tcW w:w="652" w:type="pct"/>
            <w:vAlign w:val="center"/>
          </w:tcPr>
          <w:p>
            <w:pPr>
              <w:pStyle w:val="268"/>
              <w:spacing w:line="240" w:lineRule="auto"/>
            </w:pPr>
            <w:r>
              <w:rPr>
                <w:rFonts w:hint="eastAsia"/>
              </w:rPr>
              <w:t>权重w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pct"/>
            <w:vAlign w:val="center"/>
          </w:tcPr>
          <w:p>
            <w:pPr>
              <w:pStyle w:val="268"/>
              <w:spacing w:line="240" w:lineRule="auto"/>
            </w:pPr>
            <w:r>
              <w:rPr>
                <w:rFonts w:hint="eastAsia"/>
              </w:rPr>
              <w:t>A</w:t>
            </w:r>
            <w:r>
              <w:t>1</w:t>
            </w:r>
            <w:r>
              <w:rPr>
                <w:rFonts w:hint="eastAsia"/>
              </w:rPr>
              <w:t>接处警</w:t>
            </w:r>
          </w:p>
        </w:tc>
        <w:tc>
          <w:tcPr>
            <w:tcW w:w="656" w:type="pct"/>
            <w:vAlign w:val="center"/>
          </w:tcPr>
          <w:p>
            <w:pPr>
              <w:pStyle w:val="269"/>
              <w:spacing w:line="240" w:lineRule="auto"/>
            </w:pPr>
            <w:r>
              <w:t>1.00</w:t>
            </w:r>
          </w:p>
        </w:tc>
        <w:tc>
          <w:tcPr>
            <w:tcW w:w="656" w:type="pct"/>
            <w:vAlign w:val="center"/>
          </w:tcPr>
          <w:p>
            <w:pPr>
              <w:pStyle w:val="269"/>
              <w:spacing w:line="240" w:lineRule="auto"/>
            </w:pPr>
            <w:r>
              <w:t>0.50</w:t>
            </w:r>
          </w:p>
        </w:tc>
        <w:tc>
          <w:tcPr>
            <w:tcW w:w="656" w:type="pct"/>
            <w:vAlign w:val="center"/>
          </w:tcPr>
          <w:p>
            <w:pPr>
              <w:pStyle w:val="269"/>
              <w:spacing w:line="240" w:lineRule="auto"/>
            </w:pPr>
            <w:r>
              <w:t>0.20</w:t>
            </w:r>
          </w:p>
        </w:tc>
        <w:tc>
          <w:tcPr>
            <w:tcW w:w="656" w:type="pct"/>
            <w:vAlign w:val="center"/>
          </w:tcPr>
          <w:p>
            <w:pPr>
              <w:pStyle w:val="269"/>
              <w:spacing w:line="240" w:lineRule="auto"/>
            </w:pPr>
            <w:r>
              <w:t>0.33</w:t>
            </w:r>
          </w:p>
        </w:tc>
        <w:tc>
          <w:tcPr>
            <w:tcW w:w="652" w:type="pct"/>
            <w:vAlign w:val="center"/>
          </w:tcPr>
          <w:p>
            <w:pPr>
              <w:pStyle w:val="269"/>
              <w:spacing w:line="240" w:lineRule="auto"/>
            </w:pPr>
            <w:r>
              <w:t>0.1456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pct"/>
            <w:vAlign w:val="center"/>
          </w:tcPr>
          <w:p>
            <w:pPr>
              <w:pStyle w:val="268"/>
              <w:spacing w:line="240" w:lineRule="auto"/>
            </w:pPr>
            <w:r>
              <w:rPr>
                <w:rFonts w:hint="eastAsia"/>
              </w:rPr>
              <w:t>A</w:t>
            </w:r>
            <w:r>
              <w:t>2</w:t>
            </w:r>
            <w:r>
              <w:rPr>
                <w:rFonts w:hint="eastAsia"/>
              </w:rPr>
              <w:t>火灾第一出动</w:t>
            </w:r>
          </w:p>
        </w:tc>
        <w:tc>
          <w:tcPr>
            <w:tcW w:w="656" w:type="pct"/>
            <w:vAlign w:val="center"/>
          </w:tcPr>
          <w:p>
            <w:pPr>
              <w:pStyle w:val="269"/>
              <w:spacing w:line="240" w:lineRule="auto"/>
            </w:pPr>
            <w:r>
              <w:t>2.00</w:t>
            </w:r>
          </w:p>
        </w:tc>
        <w:tc>
          <w:tcPr>
            <w:tcW w:w="656" w:type="pct"/>
            <w:vAlign w:val="center"/>
          </w:tcPr>
          <w:p>
            <w:pPr>
              <w:pStyle w:val="269"/>
              <w:spacing w:line="240" w:lineRule="auto"/>
            </w:pPr>
            <w:r>
              <w:t>1.00</w:t>
            </w:r>
          </w:p>
        </w:tc>
        <w:tc>
          <w:tcPr>
            <w:tcW w:w="656" w:type="pct"/>
            <w:vAlign w:val="center"/>
          </w:tcPr>
          <w:p>
            <w:pPr>
              <w:pStyle w:val="269"/>
              <w:spacing w:line="240" w:lineRule="auto"/>
            </w:pPr>
            <w:r>
              <w:t>0.40</w:t>
            </w:r>
          </w:p>
        </w:tc>
        <w:tc>
          <w:tcPr>
            <w:tcW w:w="656" w:type="pct"/>
            <w:vAlign w:val="center"/>
          </w:tcPr>
          <w:p>
            <w:pPr>
              <w:pStyle w:val="269"/>
              <w:spacing w:line="240" w:lineRule="auto"/>
            </w:pPr>
            <w:r>
              <w:t>0.67</w:t>
            </w:r>
          </w:p>
        </w:tc>
        <w:tc>
          <w:tcPr>
            <w:tcW w:w="652" w:type="pct"/>
            <w:vAlign w:val="center"/>
          </w:tcPr>
          <w:p>
            <w:pPr>
              <w:pStyle w:val="269"/>
              <w:spacing w:line="240" w:lineRule="auto"/>
            </w:pPr>
            <w:r>
              <w:t>0.2164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pct"/>
            <w:vAlign w:val="center"/>
          </w:tcPr>
          <w:p>
            <w:pPr>
              <w:pStyle w:val="268"/>
              <w:spacing w:line="240" w:lineRule="auto"/>
            </w:pPr>
            <w:r>
              <w:rPr>
                <w:rFonts w:hint="eastAsia"/>
              </w:rPr>
              <w:t>A</w:t>
            </w:r>
            <w:r>
              <w:t>3</w:t>
            </w:r>
            <w:r>
              <w:rPr>
                <w:rFonts w:hint="eastAsia"/>
              </w:rPr>
              <w:t>灭火效能</w:t>
            </w:r>
          </w:p>
        </w:tc>
        <w:tc>
          <w:tcPr>
            <w:tcW w:w="656" w:type="pct"/>
            <w:vAlign w:val="center"/>
          </w:tcPr>
          <w:p>
            <w:pPr>
              <w:pStyle w:val="269"/>
              <w:spacing w:line="240" w:lineRule="auto"/>
            </w:pPr>
            <w:r>
              <w:t>5.00</w:t>
            </w:r>
          </w:p>
        </w:tc>
        <w:tc>
          <w:tcPr>
            <w:tcW w:w="656" w:type="pct"/>
            <w:vAlign w:val="center"/>
          </w:tcPr>
          <w:p>
            <w:pPr>
              <w:pStyle w:val="269"/>
              <w:spacing w:line="240" w:lineRule="auto"/>
            </w:pPr>
            <w:r>
              <w:t>2.50</w:t>
            </w:r>
          </w:p>
        </w:tc>
        <w:tc>
          <w:tcPr>
            <w:tcW w:w="656" w:type="pct"/>
            <w:vAlign w:val="center"/>
          </w:tcPr>
          <w:p>
            <w:pPr>
              <w:pStyle w:val="269"/>
              <w:spacing w:line="240" w:lineRule="auto"/>
            </w:pPr>
            <w:r>
              <w:t>1.00</w:t>
            </w:r>
          </w:p>
        </w:tc>
        <w:tc>
          <w:tcPr>
            <w:tcW w:w="656" w:type="pct"/>
            <w:vAlign w:val="center"/>
          </w:tcPr>
          <w:p>
            <w:pPr>
              <w:pStyle w:val="269"/>
              <w:spacing w:line="240" w:lineRule="auto"/>
            </w:pPr>
            <w:r>
              <w:t>1.67</w:t>
            </w:r>
          </w:p>
        </w:tc>
        <w:tc>
          <w:tcPr>
            <w:tcW w:w="652" w:type="pct"/>
            <w:vAlign w:val="center"/>
          </w:tcPr>
          <w:p>
            <w:pPr>
              <w:pStyle w:val="269"/>
              <w:spacing w:line="240" w:lineRule="auto"/>
            </w:pPr>
            <w:r>
              <w:t>0.3652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pct"/>
            <w:vAlign w:val="center"/>
          </w:tcPr>
          <w:p>
            <w:pPr>
              <w:pStyle w:val="268"/>
              <w:spacing w:line="240" w:lineRule="auto"/>
            </w:pPr>
            <w:r>
              <w:rPr>
                <w:rFonts w:hint="eastAsia"/>
              </w:rPr>
              <w:t>A</w:t>
            </w:r>
            <w:r>
              <w:t>4</w:t>
            </w:r>
            <w:r>
              <w:rPr>
                <w:rFonts w:hint="eastAsia"/>
              </w:rPr>
              <w:t>消防车辆及装备</w:t>
            </w:r>
          </w:p>
        </w:tc>
        <w:tc>
          <w:tcPr>
            <w:tcW w:w="656" w:type="pct"/>
            <w:vAlign w:val="center"/>
          </w:tcPr>
          <w:p>
            <w:pPr>
              <w:pStyle w:val="269"/>
              <w:spacing w:line="240" w:lineRule="auto"/>
            </w:pPr>
            <w:r>
              <w:t>3.00</w:t>
            </w:r>
          </w:p>
        </w:tc>
        <w:tc>
          <w:tcPr>
            <w:tcW w:w="656" w:type="pct"/>
            <w:vAlign w:val="center"/>
          </w:tcPr>
          <w:p>
            <w:pPr>
              <w:pStyle w:val="269"/>
              <w:spacing w:line="240" w:lineRule="auto"/>
            </w:pPr>
            <w:r>
              <w:t>1.50</w:t>
            </w:r>
          </w:p>
        </w:tc>
        <w:tc>
          <w:tcPr>
            <w:tcW w:w="656" w:type="pct"/>
            <w:vAlign w:val="center"/>
          </w:tcPr>
          <w:p>
            <w:pPr>
              <w:pStyle w:val="269"/>
              <w:spacing w:line="240" w:lineRule="auto"/>
            </w:pPr>
            <w:r>
              <w:t>0.60</w:t>
            </w:r>
          </w:p>
        </w:tc>
        <w:tc>
          <w:tcPr>
            <w:tcW w:w="656" w:type="pct"/>
            <w:vAlign w:val="center"/>
          </w:tcPr>
          <w:p>
            <w:pPr>
              <w:pStyle w:val="269"/>
              <w:spacing w:line="240" w:lineRule="auto"/>
            </w:pPr>
            <w:r>
              <w:t>1.00</w:t>
            </w:r>
          </w:p>
        </w:tc>
        <w:tc>
          <w:tcPr>
            <w:tcW w:w="652" w:type="pct"/>
            <w:vAlign w:val="center"/>
          </w:tcPr>
          <w:p>
            <w:pPr>
              <w:pStyle w:val="269"/>
              <w:spacing w:line="240" w:lineRule="auto"/>
            </w:pPr>
            <w:r>
              <w:t>0.2728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vAlign w:val="center"/>
          </w:tcPr>
          <w:p>
            <w:pPr>
              <w:pStyle w:val="269"/>
              <w:spacing w:line="240" w:lineRule="auto"/>
            </w:pPr>
            <w:r>
              <w:rPr>
                <w:rFonts w:hint="eastAsia"/>
              </w:rPr>
              <w:t>λmax</w:t>
            </w:r>
            <w:r>
              <w:t>=3.9992</w:t>
            </w:r>
            <w:r>
              <w:rPr>
                <w:rFonts w:hint="eastAsia"/>
              </w:rPr>
              <w:t>；C</w:t>
            </w:r>
            <w:r>
              <w:t>I=-0.00027</w:t>
            </w:r>
            <w:r>
              <w:rPr>
                <w:rFonts w:hint="eastAsia"/>
              </w:rPr>
              <w:t>；</w:t>
            </w:r>
            <w:r>
              <w:t>CR=-0.0003</w:t>
            </w:r>
            <w:r>
              <w:rPr>
                <w:rFonts w:hint="eastAsia"/>
              </w:rPr>
              <w:t>&lt;0</w:t>
            </w:r>
            <w:r>
              <w:t>.1</w:t>
            </w:r>
          </w:p>
        </w:tc>
      </w:tr>
    </w:tbl>
    <w:p>
      <w:pPr>
        <w:pStyle w:val="142"/>
        <w:spacing w:before="120" w:after="120"/>
      </w:pPr>
      <w:r>
        <w:rPr>
          <w:rFonts w:hint="eastAsia"/>
        </w:rPr>
        <w:t>表</w:t>
      </w:r>
      <w:r>
        <w:t>5.2.6-2  A3</w:t>
      </w:r>
      <w:r>
        <w:rPr>
          <w:rFonts w:hint="eastAsia"/>
        </w:rPr>
        <w:t>二级指标判断矩阵</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1"/>
        <w:gridCol w:w="1617"/>
        <w:gridCol w:w="1617"/>
        <w:gridCol w:w="1617"/>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620" w:type="pct"/>
            <w:vAlign w:val="center"/>
          </w:tcPr>
          <w:p>
            <w:pPr>
              <w:pStyle w:val="268"/>
              <w:spacing w:line="240" w:lineRule="auto"/>
            </w:pPr>
            <w:r>
              <w:t>A3</w:t>
            </w:r>
          </w:p>
        </w:tc>
        <w:tc>
          <w:tcPr>
            <w:tcW w:w="845" w:type="pct"/>
            <w:vAlign w:val="center"/>
          </w:tcPr>
          <w:p>
            <w:pPr>
              <w:pStyle w:val="268"/>
              <w:spacing w:line="240" w:lineRule="auto"/>
            </w:pPr>
            <w:r>
              <w:rPr>
                <w:rFonts w:cs="Times New Roman"/>
              </w:rPr>
              <w:t>B31</w:t>
            </w:r>
          </w:p>
        </w:tc>
        <w:tc>
          <w:tcPr>
            <w:tcW w:w="845" w:type="pct"/>
            <w:vAlign w:val="center"/>
          </w:tcPr>
          <w:p>
            <w:pPr>
              <w:pStyle w:val="268"/>
              <w:spacing w:line="240" w:lineRule="auto"/>
            </w:pPr>
            <w:r>
              <w:t>B32</w:t>
            </w:r>
          </w:p>
        </w:tc>
        <w:tc>
          <w:tcPr>
            <w:tcW w:w="845" w:type="pct"/>
            <w:vAlign w:val="center"/>
          </w:tcPr>
          <w:p>
            <w:pPr>
              <w:pStyle w:val="268"/>
              <w:spacing w:line="240" w:lineRule="auto"/>
            </w:pPr>
            <w:r>
              <w:t>B33</w:t>
            </w:r>
          </w:p>
        </w:tc>
        <w:tc>
          <w:tcPr>
            <w:tcW w:w="845" w:type="pct"/>
            <w:vAlign w:val="center"/>
          </w:tcPr>
          <w:p>
            <w:pPr>
              <w:pStyle w:val="268"/>
              <w:spacing w:line="240" w:lineRule="auto"/>
            </w:pPr>
            <w:r>
              <w:rPr>
                <w:rFonts w:hint="eastAsia"/>
              </w:rPr>
              <w:t>权重w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vAlign w:val="center"/>
          </w:tcPr>
          <w:p>
            <w:pPr>
              <w:pStyle w:val="268"/>
              <w:spacing w:line="240" w:lineRule="auto"/>
              <w:rPr>
                <w:rFonts w:cs="Times New Roman"/>
              </w:rPr>
            </w:pPr>
            <w:r>
              <w:rPr>
                <w:rFonts w:cs="Times New Roman"/>
              </w:rPr>
              <w:t>B31</w:t>
            </w:r>
            <w:r>
              <w:rPr>
                <w:rFonts w:hint="eastAsia" w:cs="Times New Roman"/>
              </w:rPr>
              <w:t>灭火救援时间</w:t>
            </w:r>
          </w:p>
        </w:tc>
        <w:tc>
          <w:tcPr>
            <w:tcW w:w="845" w:type="pct"/>
            <w:vAlign w:val="center"/>
          </w:tcPr>
          <w:p>
            <w:pPr>
              <w:pStyle w:val="269"/>
              <w:spacing w:line="240" w:lineRule="auto"/>
            </w:pPr>
            <w:r>
              <w:t>1.00</w:t>
            </w:r>
          </w:p>
        </w:tc>
        <w:tc>
          <w:tcPr>
            <w:tcW w:w="845" w:type="pct"/>
            <w:vAlign w:val="center"/>
          </w:tcPr>
          <w:p>
            <w:pPr>
              <w:pStyle w:val="269"/>
              <w:spacing w:line="240" w:lineRule="auto"/>
            </w:pPr>
            <w:r>
              <w:t>0.50</w:t>
            </w:r>
          </w:p>
        </w:tc>
        <w:tc>
          <w:tcPr>
            <w:tcW w:w="845" w:type="pct"/>
            <w:vAlign w:val="center"/>
          </w:tcPr>
          <w:p>
            <w:pPr>
              <w:pStyle w:val="269"/>
              <w:spacing w:line="240" w:lineRule="auto"/>
            </w:pPr>
            <w:r>
              <w:t>0.33</w:t>
            </w:r>
          </w:p>
        </w:tc>
        <w:tc>
          <w:tcPr>
            <w:tcW w:w="845" w:type="pct"/>
            <w:vAlign w:val="center"/>
          </w:tcPr>
          <w:p>
            <w:pPr>
              <w:pStyle w:val="269"/>
              <w:spacing w:line="240" w:lineRule="auto"/>
              <w:rPr>
                <w:szCs w:val="20"/>
              </w:rPr>
            </w:pPr>
            <w:r>
              <w:t>0.1779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vAlign w:val="center"/>
          </w:tcPr>
          <w:p>
            <w:pPr>
              <w:pStyle w:val="268"/>
              <w:spacing w:line="240" w:lineRule="auto"/>
            </w:pPr>
            <w:r>
              <w:rPr>
                <w:rFonts w:hint="eastAsia"/>
              </w:rPr>
              <w:t>B</w:t>
            </w:r>
            <w:r>
              <w:t>32</w:t>
            </w:r>
            <w:r>
              <w:rPr>
                <w:rFonts w:hint="eastAsia"/>
              </w:rPr>
              <w:t>过火面积</w:t>
            </w:r>
          </w:p>
        </w:tc>
        <w:tc>
          <w:tcPr>
            <w:tcW w:w="845" w:type="pct"/>
            <w:vAlign w:val="center"/>
          </w:tcPr>
          <w:p>
            <w:pPr>
              <w:pStyle w:val="269"/>
              <w:spacing w:line="240" w:lineRule="auto"/>
            </w:pPr>
            <w:r>
              <w:t>2.00</w:t>
            </w:r>
          </w:p>
        </w:tc>
        <w:tc>
          <w:tcPr>
            <w:tcW w:w="845" w:type="pct"/>
            <w:vAlign w:val="center"/>
          </w:tcPr>
          <w:p>
            <w:pPr>
              <w:pStyle w:val="269"/>
              <w:spacing w:line="240" w:lineRule="auto"/>
            </w:pPr>
            <w:r>
              <w:t>1.00</w:t>
            </w:r>
          </w:p>
        </w:tc>
        <w:tc>
          <w:tcPr>
            <w:tcW w:w="845" w:type="pct"/>
            <w:vAlign w:val="center"/>
          </w:tcPr>
          <w:p>
            <w:pPr>
              <w:pStyle w:val="269"/>
              <w:spacing w:line="240" w:lineRule="auto"/>
            </w:pPr>
            <w:r>
              <w:t>0.67</w:t>
            </w:r>
          </w:p>
        </w:tc>
        <w:tc>
          <w:tcPr>
            <w:tcW w:w="845" w:type="pct"/>
            <w:vAlign w:val="center"/>
          </w:tcPr>
          <w:p>
            <w:pPr>
              <w:pStyle w:val="269"/>
              <w:spacing w:line="240" w:lineRule="auto"/>
              <w:rPr>
                <w:szCs w:val="20"/>
              </w:rPr>
            </w:pPr>
            <w:r>
              <w:t>0.3558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pct"/>
            <w:vAlign w:val="center"/>
          </w:tcPr>
          <w:p>
            <w:pPr>
              <w:pStyle w:val="268"/>
              <w:spacing w:line="240" w:lineRule="auto"/>
            </w:pPr>
            <w:r>
              <w:rPr>
                <w:rFonts w:hint="eastAsia"/>
              </w:rPr>
              <w:t>B</w:t>
            </w:r>
            <w:r>
              <w:t>33</w:t>
            </w:r>
            <w:r>
              <w:rPr>
                <w:rFonts w:hint="eastAsia"/>
              </w:rPr>
              <w:t>人员伤亡起数占比</w:t>
            </w:r>
          </w:p>
        </w:tc>
        <w:tc>
          <w:tcPr>
            <w:tcW w:w="845" w:type="pct"/>
            <w:vAlign w:val="center"/>
          </w:tcPr>
          <w:p>
            <w:pPr>
              <w:pStyle w:val="269"/>
              <w:spacing w:line="240" w:lineRule="auto"/>
            </w:pPr>
            <w:r>
              <w:t>3.00</w:t>
            </w:r>
          </w:p>
        </w:tc>
        <w:tc>
          <w:tcPr>
            <w:tcW w:w="845" w:type="pct"/>
            <w:vAlign w:val="center"/>
          </w:tcPr>
          <w:p>
            <w:pPr>
              <w:pStyle w:val="269"/>
              <w:spacing w:line="240" w:lineRule="auto"/>
            </w:pPr>
            <w:r>
              <w:t>1.5</w:t>
            </w:r>
          </w:p>
        </w:tc>
        <w:tc>
          <w:tcPr>
            <w:tcW w:w="845" w:type="pct"/>
            <w:vAlign w:val="center"/>
          </w:tcPr>
          <w:p>
            <w:pPr>
              <w:pStyle w:val="269"/>
              <w:spacing w:line="240" w:lineRule="auto"/>
            </w:pPr>
            <w:r>
              <w:t>1.00</w:t>
            </w:r>
          </w:p>
        </w:tc>
        <w:tc>
          <w:tcPr>
            <w:tcW w:w="845" w:type="pct"/>
            <w:vAlign w:val="center"/>
          </w:tcPr>
          <w:p>
            <w:pPr>
              <w:pStyle w:val="269"/>
              <w:spacing w:line="240" w:lineRule="auto"/>
              <w:rPr>
                <w:szCs w:val="20"/>
              </w:rPr>
            </w:pPr>
            <w:r>
              <w:t>0.4663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vAlign w:val="center"/>
          </w:tcPr>
          <w:p>
            <w:pPr>
              <w:pStyle w:val="269"/>
              <w:spacing w:line="240" w:lineRule="auto"/>
              <w:rPr>
                <w:szCs w:val="20"/>
              </w:rPr>
            </w:pPr>
            <w:r>
              <w:rPr>
                <w:rFonts w:hint="eastAsia"/>
              </w:rPr>
              <w:t>λmax</w:t>
            </w:r>
            <w:r>
              <w:t>=2.9983</w:t>
            </w:r>
            <w:r>
              <w:rPr>
                <w:rFonts w:hint="eastAsia"/>
              </w:rPr>
              <w:t>；C</w:t>
            </w:r>
            <w:r>
              <w:t>I=-0.00085</w:t>
            </w:r>
            <w:r>
              <w:rPr>
                <w:rFonts w:hint="eastAsia"/>
              </w:rPr>
              <w:t>；</w:t>
            </w:r>
            <w:r>
              <w:t>CR=-0.0015</w:t>
            </w:r>
            <w:r>
              <w:rPr>
                <w:rFonts w:hint="eastAsia"/>
              </w:rPr>
              <w:t>&lt;0</w:t>
            </w:r>
            <w:r>
              <w:t>.1</w:t>
            </w:r>
          </w:p>
        </w:tc>
      </w:tr>
    </w:tbl>
    <w:p>
      <w:pPr>
        <w:pStyle w:val="142"/>
        <w:spacing w:before="120" w:after="120"/>
      </w:pPr>
      <w:r>
        <w:rPr>
          <w:rFonts w:hint="eastAsia"/>
        </w:rPr>
        <w:t>表</w:t>
      </w:r>
      <w:r>
        <w:t>5.2.6-3  A4</w:t>
      </w:r>
      <w:r>
        <w:rPr>
          <w:rFonts w:hint="eastAsia"/>
        </w:rPr>
        <w:t>二级指标判断矩阵</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3"/>
        <w:gridCol w:w="1615"/>
        <w:gridCol w:w="1617"/>
        <w:gridCol w:w="1615"/>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621" w:type="pct"/>
            <w:vAlign w:val="center"/>
          </w:tcPr>
          <w:p>
            <w:pPr>
              <w:pStyle w:val="268"/>
              <w:spacing w:line="240" w:lineRule="auto"/>
            </w:pPr>
            <w:r>
              <w:t>A4</w:t>
            </w:r>
          </w:p>
        </w:tc>
        <w:tc>
          <w:tcPr>
            <w:tcW w:w="844" w:type="pct"/>
            <w:vAlign w:val="center"/>
          </w:tcPr>
          <w:p>
            <w:pPr>
              <w:pStyle w:val="268"/>
              <w:spacing w:line="240" w:lineRule="auto"/>
            </w:pPr>
            <w:r>
              <w:rPr>
                <w:rFonts w:hint="eastAsia"/>
              </w:rPr>
              <w:t>B</w:t>
            </w:r>
            <w:r>
              <w:t>41</w:t>
            </w:r>
          </w:p>
        </w:tc>
        <w:tc>
          <w:tcPr>
            <w:tcW w:w="845" w:type="pct"/>
            <w:vAlign w:val="center"/>
          </w:tcPr>
          <w:p>
            <w:pPr>
              <w:pStyle w:val="268"/>
              <w:spacing w:line="240" w:lineRule="auto"/>
            </w:pPr>
            <w:r>
              <w:rPr>
                <w:rFonts w:hint="eastAsia"/>
              </w:rPr>
              <w:t>B</w:t>
            </w:r>
            <w:r>
              <w:t>42</w:t>
            </w:r>
          </w:p>
        </w:tc>
        <w:tc>
          <w:tcPr>
            <w:tcW w:w="844" w:type="pct"/>
            <w:vAlign w:val="center"/>
          </w:tcPr>
          <w:p>
            <w:pPr>
              <w:pStyle w:val="268"/>
              <w:spacing w:line="240" w:lineRule="auto"/>
            </w:pPr>
            <w:r>
              <w:rPr>
                <w:rFonts w:hint="eastAsia"/>
              </w:rPr>
              <w:t>B</w:t>
            </w:r>
            <w:r>
              <w:t>43</w:t>
            </w:r>
          </w:p>
        </w:tc>
        <w:tc>
          <w:tcPr>
            <w:tcW w:w="846" w:type="pct"/>
            <w:vAlign w:val="center"/>
          </w:tcPr>
          <w:p>
            <w:pPr>
              <w:pStyle w:val="268"/>
              <w:spacing w:line="240" w:lineRule="auto"/>
            </w:pPr>
            <w:r>
              <w:rPr>
                <w:rFonts w:hint="eastAsia"/>
              </w:rPr>
              <w:t>权重W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pct"/>
            <w:vAlign w:val="center"/>
          </w:tcPr>
          <w:p>
            <w:pPr>
              <w:pStyle w:val="268"/>
              <w:spacing w:line="240" w:lineRule="auto"/>
            </w:pPr>
            <w:r>
              <w:rPr>
                <w:rFonts w:hint="eastAsia"/>
              </w:rPr>
              <w:t>B</w:t>
            </w:r>
            <w:r>
              <w:t>41</w:t>
            </w:r>
            <w:r>
              <w:rPr>
                <w:rFonts w:hint="eastAsia"/>
              </w:rPr>
              <w:t>车辆完备率</w:t>
            </w:r>
          </w:p>
        </w:tc>
        <w:tc>
          <w:tcPr>
            <w:tcW w:w="844" w:type="pct"/>
            <w:vAlign w:val="center"/>
          </w:tcPr>
          <w:p>
            <w:pPr>
              <w:pStyle w:val="269"/>
              <w:spacing w:line="240" w:lineRule="auto"/>
              <w:rPr>
                <w:sz w:val="21"/>
              </w:rPr>
            </w:pPr>
            <w:r>
              <w:t>1.00</w:t>
            </w:r>
          </w:p>
        </w:tc>
        <w:tc>
          <w:tcPr>
            <w:tcW w:w="845" w:type="pct"/>
            <w:vAlign w:val="center"/>
          </w:tcPr>
          <w:p>
            <w:pPr>
              <w:pStyle w:val="269"/>
              <w:spacing w:line="240" w:lineRule="auto"/>
              <w:rPr>
                <w:sz w:val="21"/>
              </w:rPr>
            </w:pPr>
            <w:r>
              <w:t>3.00</w:t>
            </w:r>
          </w:p>
        </w:tc>
        <w:tc>
          <w:tcPr>
            <w:tcW w:w="844" w:type="pct"/>
            <w:vAlign w:val="center"/>
          </w:tcPr>
          <w:p>
            <w:pPr>
              <w:pStyle w:val="269"/>
              <w:spacing w:line="240" w:lineRule="auto"/>
              <w:rPr>
                <w:sz w:val="21"/>
              </w:rPr>
            </w:pPr>
            <w:r>
              <w:t>3.00</w:t>
            </w:r>
          </w:p>
        </w:tc>
        <w:tc>
          <w:tcPr>
            <w:tcW w:w="846" w:type="pct"/>
            <w:vAlign w:val="center"/>
          </w:tcPr>
          <w:p>
            <w:pPr>
              <w:pStyle w:val="269"/>
              <w:spacing w:line="240" w:lineRule="auto"/>
              <w:rPr>
                <w:sz w:val="21"/>
              </w:rPr>
            </w:pPr>
            <w:r>
              <w:t>0.6725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pct"/>
            <w:vAlign w:val="center"/>
          </w:tcPr>
          <w:p>
            <w:pPr>
              <w:pStyle w:val="268"/>
              <w:spacing w:line="240" w:lineRule="auto"/>
              <w:rPr>
                <w:szCs w:val="20"/>
              </w:rPr>
            </w:pPr>
            <w:r>
              <w:rPr>
                <w:rFonts w:hint="eastAsia"/>
                <w:szCs w:val="20"/>
              </w:rPr>
              <w:t>B</w:t>
            </w:r>
            <w:r>
              <w:rPr>
                <w:szCs w:val="20"/>
              </w:rPr>
              <w:t>42</w:t>
            </w:r>
            <w:r>
              <w:rPr>
                <w:rFonts w:hint="eastAsia"/>
                <w:szCs w:val="20"/>
              </w:rPr>
              <w:t>抢险救援器材配置</w:t>
            </w:r>
          </w:p>
        </w:tc>
        <w:tc>
          <w:tcPr>
            <w:tcW w:w="844" w:type="pct"/>
            <w:vAlign w:val="center"/>
          </w:tcPr>
          <w:p>
            <w:pPr>
              <w:pStyle w:val="269"/>
              <w:spacing w:line="240" w:lineRule="auto"/>
              <w:rPr>
                <w:sz w:val="21"/>
              </w:rPr>
            </w:pPr>
            <w:r>
              <w:t>0.33</w:t>
            </w:r>
          </w:p>
        </w:tc>
        <w:tc>
          <w:tcPr>
            <w:tcW w:w="845" w:type="pct"/>
            <w:vAlign w:val="center"/>
          </w:tcPr>
          <w:p>
            <w:pPr>
              <w:pStyle w:val="269"/>
              <w:spacing w:line="240" w:lineRule="auto"/>
              <w:rPr>
                <w:sz w:val="21"/>
              </w:rPr>
            </w:pPr>
            <w:r>
              <w:t>1.00</w:t>
            </w:r>
          </w:p>
        </w:tc>
        <w:tc>
          <w:tcPr>
            <w:tcW w:w="844" w:type="pct"/>
            <w:vAlign w:val="center"/>
          </w:tcPr>
          <w:p>
            <w:pPr>
              <w:pStyle w:val="269"/>
              <w:spacing w:line="240" w:lineRule="auto"/>
              <w:rPr>
                <w:sz w:val="21"/>
              </w:rPr>
            </w:pPr>
            <w:r>
              <w:t>1.00</w:t>
            </w:r>
          </w:p>
        </w:tc>
        <w:tc>
          <w:tcPr>
            <w:tcW w:w="846" w:type="pct"/>
            <w:vAlign w:val="center"/>
          </w:tcPr>
          <w:p>
            <w:pPr>
              <w:pStyle w:val="269"/>
              <w:spacing w:line="240" w:lineRule="auto"/>
              <w:rPr>
                <w:sz w:val="21"/>
              </w:rPr>
            </w:pPr>
            <w:r>
              <w:t>0.2242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1" w:type="pct"/>
            <w:vAlign w:val="center"/>
          </w:tcPr>
          <w:p>
            <w:pPr>
              <w:pStyle w:val="268"/>
              <w:spacing w:line="240" w:lineRule="auto"/>
              <w:rPr>
                <w:szCs w:val="20"/>
              </w:rPr>
            </w:pPr>
            <w:r>
              <w:rPr>
                <w:rFonts w:hint="eastAsia"/>
                <w:szCs w:val="20"/>
              </w:rPr>
              <w:t>B</w:t>
            </w:r>
            <w:r>
              <w:rPr>
                <w:szCs w:val="20"/>
              </w:rPr>
              <w:t>43</w:t>
            </w:r>
            <w:r>
              <w:rPr>
                <w:rFonts w:hint="eastAsia"/>
                <w:szCs w:val="20"/>
              </w:rPr>
              <w:t>个人防护装备配置</w:t>
            </w:r>
          </w:p>
        </w:tc>
        <w:tc>
          <w:tcPr>
            <w:tcW w:w="844" w:type="pct"/>
            <w:vAlign w:val="center"/>
          </w:tcPr>
          <w:p>
            <w:pPr>
              <w:pStyle w:val="269"/>
              <w:spacing w:line="240" w:lineRule="auto"/>
            </w:pPr>
            <w:r>
              <w:t>0.33</w:t>
            </w:r>
          </w:p>
        </w:tc>
        <w:tc>
          <w:tcPr>
            <w:tcW w:w="845" w:type="pct"/>
            <w:vAlign w:val="center"/>
          </w:tcPr>
          <w:p>
            <w:pPr>
              <w:pStyle w:val="269"/>
              <w:spacing w:line="240" w:lineRule="auto"/>
            </w:pPr>
            <w:r>
              <w:t>1.00</w:t>
            </w:r>
          </w:p>
        </w:tc>
        <w:tc>
          <w:tcPr>
            <w:tcW w:w="844" w:type="pct"/>
            <w:vAlign w:val="center"/>
          </w:tcPr>
          <w:p>
            <w:pPr>
              <w:pStyle w:val="269"/>
              <w:spacing w:line="240" w:lineRule="auto"/>
              <w:rPr>
                <w:sz w:val="21"/>
              </w:rPr>
            </w:pPr>
            <w:r>
              <w:t>1.00</w:t>
            </w:r>
          </w:p>
        </w:tc>
        <w:tc>
          <w:tcPr>
            <w:tcW w:w="846" w:type="pct"/>
            <w:vAlign w:val="center"/>
          </w:tcPr>
          <w:p>
            <w:pPr>
              <w:pStyle w:val="269"/>
              <w:spacing w:line="240" w:lineRule="auto"/>
              <w:rPr>
                <w:sz w:val="21"/>
              </w:rPr>
            </w:pPr>
            <w:r>
              <w:t>0.2242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vAlign w:val="center"/>
          </w:tcPr>
          <w:p>
            <w:pPr>
              <w:pStyle w:val="269"/>
              <w:spacing w:line="240" w:lineRule="auto"/>
            </w:pPr>
            <w:r>
              <w:rPr>
                <w:rFonts w:hint="eastAsia"/>
              </w:rPr>
              <w:t>λmax</w:t>
            </w:r>
            <w:r>
              <w:t>=2.9933</w:t>
            </w:r>
            <w:r>
              <w:rPr>
                <w:rFonts w:hint="eastAsia"/>
              </w:rPr>
              <w:t>；C</w:t>
            </w:r>
            <w:r>
              <w:t>I=-0.00335</w:t>
            </w:r>
            <w:r>
              <w:rPr>
                <w:rFonts w:hint="eastAsia"/>
              </w:rPr>
              <w:t>；</w:t>
            </w:r>
            <w:r>
              <w:t>CR=-0.0058</w:t>
            </w:r>
            <w:r>
              <w:rPr>
                <w:rFonts w:hint="eastAsia"/>
              </w:rPr>
              <w:t>&lt;0</w:t>
            </w:r>
            <w:r>
              <w:t>.1</w:t>
            </w:r>
          </w:p>
        </w:tc>
      </w:tr>
    </w:tbl>
    <w:p>
      <w:pPr>
        <w:pStyle w:val="142"/>
        <w:spacing w:before="120" w:after="120"/>
      </w:pPr>
      <w:r>
        <w:rPr>
          <w:rFonts w:hint="eastAsia"/>
        </w:rPr>
        <w:t>表</w:t>
      </w:r>
      <w:r>
        <w:t xml:space="preserve">5.2.6-4  </w:t>
      </w:r>
      <w:r>
        <w:rPr>
          <w:rFonts w:hint="eastAsia"/>
        </w:rPr>
        <w:t>灭火救援能力评估各指标权重确定</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9"/>
        <w:gridCol w:w="1751"/>
        <w:gridCol w:w="1135"/>
        <w:gridCol w:w="593"/>
        <w:gridCol w:w="2569"/>
        <w:gridCol w:w="1317"/>
        <w:gridCol w:w="1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1228" w:type="pct"/>
            <w:gridSpan w:val="2"/>
            <w:shd w:val="clear" w:color="auto" w:fill="auto"/>
            <w:vAlign w:val="center"/>
          </w:tcPr>
          <w:p>
            <w:pPr>
              <w:pStyle w:val="268"/>
              <w:spacing w:line="240" w:lineRule="auto"/>
            </w:pPr>
            <w:r>
              <w:rPr>
                <w:rFonts w:hint="eastAsia"/>
              </w:rPr>
              <w:t>一级指标</w:t>
            </w:r>
          </w:p>
        </w:tc>
        <w:tc>
          <w:tcPr>
            <w:tcW w:w="593" w:type="pct"/>
            <w:vAlign w:val="center"/>
          </w:tcPr>
          <w:p>
            <w:pPr>
              <w:pStyle w:val="268"/>
              <w:spacing w:line="240" w:lineRule="auto"/>
            </w:pPr>
            <w:r>
              <w:rPr>
                <w:rFonts w:hint="eastAsia"/>
              </w:rPr>
              <w:t>A</w:t>
            </w:r>
            <w:r>
              <w:t>j</w:t>
            </w:r>
            <w:r>
              <w:rPr>
                <w:rFonts w:hint="eastAsia"/>
              </w:rPr>
              <w:t>对目标层权重</w:t>
            </w:r>
          </w:p>
        </w:tc>
        <w:tc>
          <w:tcPr>
            <w:tcW w:w="1652" w:type="pct"/>
            <w:gridSpan w:val="2"/>
            <w:shd w:val="clear" w:color="auto" w:fill="auto"/>
            <w:vAlign w:val="center"/>
          </w:tcPr>
          <w:p>
            <w:pPr>
              <w:pStyle w:val="268"/>
              <w:spacing w:line="240" w:lineRule="auto"/>
            </w:pPr>
            <w:r>
              <w:rPr>
                <w:rFonts w:hint="eastAsia"/>
              </w:rPr>
              <w:t>二级指标</w:t>
            </w:r>
          </w:p>
        </w:tc>
        <w:tc>
          <w:tcPr>
            <w:tcW w:w="688" w:type="pct"/>
            <w:vAlign w:val="center"/>
          </w:tcPr>
          <w:p>
            <w:pPr>
              <w:pStyle w:val="268"/>
              <w:spacing w:line="240" w:lineRule="auto"/>
            </w:pPr>
            <w:r>
              <w:rPr>
                <w:rFonts w:hint="eastAsia"/>
              </w:rPr>
              <w:t>B</w:t>
            </w:r>
            <w:r>
              <w:t>i</w:t>
            </w:r>
            <w:r>
              <w:rPr>
                <w:rFonts w:hint="eastAsia"/>
              </w:rPr>
              <w:t>对A</w:t>
            </w:r>
            <w:r>
              <w:t>j</w:t>
            </w:r>
            <w:r>
              <w:rPr>
                <w:rFonts w:hint="eastAsia"/>
              </w:rPr>
              <w:t>指标权重</w:t>
            </w:r>
          </w:p>
        </w:tc>
        <w:tc>
          <w:tcPr>
            <w:tcW w:w="839" w:type="pct"/>
          </w:tcPr>
          <w:p>
            <w:pPr>
              <w:pStyle w:val="268"/>
              <w:spacing w:line="240" w:lineRule="auto"/>
            </w:pPr>
            <w:r>
              <w:rPr>
                <w:rFonts w:hint="eastAsia"/>
              </w:rPr>
              <w:t>B</w:t>
            </w:r>
            <w:r>
              <w:t>i</w:t>
            </w:r>
            <w:r>
              <w:rPr>
                <w:rFonts w:hint="eastAsia"/>
              </w:rPr>
              <w:t>对目标层权重</w:t>
            </w:r>
            <m:oMath>
              <m:sSub>
                <m:sSubPr>
                  <m:ctrlPr>
                    <w:rPr>
                      <w:rFonts w:ascii="Cambria Math" w:hAnsi="Cambria Math"/>
                      <w:i/>
                      <w:sz w:val="24"/>
                    </w:rPr>
                  </m:ctrlPr>
                </m:sSubPr>
                <m:e>
                  <m:r>
                    <m:rPr>
                      <m:sty m:val="bi"/>
                    </m:rPr>
                    <w:rPr>
                      <w:rFonts w:ascii="Cambria Math" w:hAnsi="Cambria Math"/>
                    </w:rPr>
                    <m:t>w</m:t>
                  </m:r>
                  <m:ctrlPr>
                    <w:rPr>
                      <w:rFonts w:ascii="Cambria Math" w:hAnsi="Cambria Math"/>
                      <w:i/>
                      <w:sz w:val="24"/>
                    </w:rPr>
                  </m:ctrlPr>
                </m:e>
                <m:sub>
                  <m:r>
                    <m:rPr>
                      <m:sty m:val="bi"/>
                    </m:rPr>
                    <w:rPr>
                      <w:rFonts w:ascii="Cambria Math" w:hAnsi="Cambria Math"/>
                    </w:rPr>
                    <m:t>i</m:t>
                  </m:r>
                  <m:ctrlPr>
                    <w:rPr>
                      <w:rFonts w:ascii="Cambria Math" w:hAnsi="Cambria Math"/>
                      <w:i/>
                      <w:sz w:val="24"/>
                    </w:rPr>
                  </m:ctrlPr>
                </m:sub>
              </m:sSub>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shd w:val="clear" w:color="auto" w:fill="auto"/>
            <w:vAlign w:val="center"/>
          </w:tcPr>
          <w:p>
            <w:pPr>
              <w:pStyle w:val="269"/>
              <w:spacing w:line="240" w:lineRule="auto"/>
            </w:pPr>
            <w:r>
              <w:rPr>
                <w:rFonts w:hint="eastAsia"/>
              </w:rPr>
              <w:t>A1</w:t>
            </w:r>
          </w:p>
        </w:tc>
        <w:tc>
          <w:tcPr>
            <w:tcW w:w="915" w:type="pct"/>
            <w:shd w:val="clear" w:color="auto" w:fill="auto"/>
            <w:vAlign w:val="center"/>
          </w:tcPr>
          <w:p>
            <w:pPr>
              <w:pStyle w:val="269"/>
              <w:spacing w:line="240" w:lineRule="auto"/>
            </w:pPr>
            <w:r>
              <w:rPr>
                <w:rFonts w:hint="eastAsia"/>
              </w:rPr>
              <w:t>接处警时间</w:t>
            </w:r>
          </w:p>
        </w:tc>
        <w:tc>
          <w:tcPr>
            <w:tcW w:w="593" w:type="pct"/>
            <w:vAlign w:val="center"/>
          </w:tcPr>
          <w:p>
            <w:pPr>
              <w:pStyle w:val="269"/>
              <w:spacing w:line="240" w:lineRule="auto"/>
            </w:pPr>
            <w:r>
              <w:rPr>
                <w:rFonts w:hint="eastAsia"/>
              </w:rPr>
              <w:t>0.1456</w:t>
            </w:r>
          </w:p>
        </w:tc>
        <w:tc>
          <w:tcPr>
            <w:tcW w:w="310" w:type="pct"/>
            <w:shd w:val="clear" w:color="auto" w:fill="auto"/>
            <w:vAlign w:val="center"/>
          </w:tcPr>
          <w:p>
            <w:pPr>
              <w:pStyle w:val="269"/>
              <w:spacing w:line="240" w:lineRule="auto"/>
            </w:pPr>
            <w:r>
              <w:rPr>
                <w:rFonts w:hint="eastAsia"/>
              </w:rPr>
              <w:t>B1</w:t>
            </w:r>
          </w:p>
        </w:tc>
        <w:tc>
          <w:tcPr>
            <w:tcW w:w="1342" w:type="pct"/>
            <w:shd w:val="clear" w:color="auto" w:fill="auto"/>
            <w:noWrap/>
            <w:vAlign w:val="center"/>
          </w:tcPr>
          <w:p>
            <w:pPr>
              <w:pStyle w:val="269"/>
              <w:spacing w:line="240" w:lineRule="auto"/>
            </w:pPr>
            <w:r>
              <w:rPr>
                <w:rFonts w:hint="eastAsia"/>
              </w:rPr>
              <w:t>接警处理时间</w:t>
            </w:r>
          </w:p>
        </w:tc>
        <w:tc>
          <w:tcPr>
            <w:tcW w:w="688" w:type="pct"/>
            <w:vAlign w:val="center"/>
          </w:tcPr>
          <w:p>
            <w:pPr>
              <w:pStyle w:val="269"/>
              <w:spacing w:line="240" w:lineRule="auto"/>
            </w:pPr>
            <w:r>
              <w:rPr>
                <w:rFonts w:hint="eastAsia"/>
              </w:rPr>
              <w:t>1</w:t>
            </w:r>
          </w:p>
        </w:tc>
        <w:tc>
          <w:tcPr>
            <w:tcW w:w="839" w:type="pct"/>
            <w:vAlign w:val="center"/>
          </w:tcPr>
          <w:p>
            <w:pPr>
              <w:pStyle w:val="269"/>
              <w:spacing w:line="240" w:lineRule="auto"/>
              <w:rPr>
                <w:b/>
                <w:bCs/>
              </w:rPr>
            </w:pPr>
            <w:r>
              <w:rPr>
                <w:b/>
                <w:bCs/>
              </w:rPr>
              <w:t>0.1456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Align w:val="center"/>
          </w:tcPr>
          <w:p>
            <w:pPr>
              <w:pStyle w:val="269"/>
              <w:spacing w:line="240" w:lineRule="auto"/>
            </w:pPr>
            <w:r>
              <w:rPr>
                <w:rFonts w:hint="eastAsia"/>
              </w:rPr>
              <w:t>A</w:t>
            </w:r>
            <w:r>
              <w:t>2</w:t>
            </w:r>
          </w:p>
        </w:tc>
        <w:tc>
          <w:tcPr>
            <w:tcW w:w="915" w:type="pct"/>
            <w:vAlign w:val="center"/>
          </w:tcPr>
          <w:p>
            <w:pPr>
              <w:pStyle w:val="269"/>
              <w:spacing w:line="240" w:lineRule="auto"/>
            </w:pPr>
            <w:r>
              <w:rPr>
                <w:rFonts w:hint="eastAsia"/>
              </w:rPr>
              <w:t>火灾第一出动时间</w:t>
            </w:r>
          </w:p>
        </w:tc>
        <w:tc>
          <w:tcPr>
            <w:tcW w:w="593" w:type="pct"/>
            <w:vAlign w:val="center"/>
          </w:tcPr>
          <w:p>
            <w:pPr>
              <w:pStyle w:val="269"/>
              <w:spacing w:line="240" w:lineRule="auto"/>
            </w:pPr>
            <w:r>
              <w:rPr>
                <w:rFonts w:hint="eastAsia"/>
              </w:rPr>
              <w:t>0.2164</w:t>
            </w:r>
          </w:p>
        </w:tc>
        <w:tc>
          <w:tcPr>
            <w:tcW w:w="310" w:type="pct"/>
            <w:shd w:val="clear" w:color="auto" w:fill="auto"/>
            <w:vAlign w:val="center"/>
          </w:tcPr>
          <w:p>
            <w:pPr>
              <w:pStyle w:val="269"/>
              <w:spacing w:line="240" w:lineRule="auto"/>
            </w:pPr>
            <w:r>
              <w:rPr>
                <w:rFonts w:hint="eastAsia"/>
              </w:rPr>
              <w:t>B</w:t>
            </w:r>
            <w:r>
              <w:t>2</w:t>
            </w:r>
          </w:p>
        </w:tc>
        <w:tc>
          <w:tcPr>
            <w:tcW w:w="1342" w:type="pct"/>
            <w:shd w:val="clear" w:color="auto" w:fill="auto"/>
            <w:noWrap/>
            <w:vAlign w:val="center"/>
          </w:tcPr>
          <w:p>
            <w:pPr>
              <w:pStyle w:val="269"/>
              <w:spacing w:line="240" w:lineRule="auto"/>
            </w:pPr>
            <w:r>
              <w:rPr>
                <w:rFonts w:hint="eastAsia"/>
              </w:rPr>
              <w:t>火灾第一出动路程时间</w:t>
            </w:r>
          </w:p>
        </w:tc>
        <w:tc>
          <w:tcPr>
            <w:tcW w:w="688" w:type="pct"/>
            <w:vAlign w:val="center"/>
          </w:tcPr>
          <w:p>
            <w:pPr>
              <w:pStyle w:val="269"/>
              <w:spacing w:line="240" w:lineRule="auto"/>
            </w:pPr>
            <w:r>
              <w:rPr>
                <w:rFonts w:hint="eastAsia"/>
              </w:rPr>
              <w:t>1</w:t>
            </w:r>
          </w:p>
        </w:tc>
        <w:tc>
          <w:tcPr>
            <w:tcW w:w="839" w:type="pct"/>
            <w:vAlign w:val="center"/>
          </w:tcPr>
          <w:p>
            <w:pPr>
              <w:pStyle w:val="269"/>
              <w:spacing w:line="240" w:lineRule="auto"/>
              <w:rPr>
                <w:b/>
                <w:bCs/>
              </w:rPr>
            </w:pPr>
            <w:r>
              <w:rPr>
                <w:b/>
                <w:bCs/>
              </w:rPr>
              <w:t>0.2164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Merge w:val="restart"/>
            <w:vAlign w:val="center"/>
          </w:tcPr>
          <w:p>
            <w:pPr>
              <w:pStyle w:val="269"/>
              <w:spacing w:line="240" w:lineRule="auto"/>
            </w:pPr>
            <w:r>
              <w:rPr>
                <w:rFonts w:hint="eastAsia"/>
              </w:rPr>
              <w:t>A</w:t>
            </w:r>
            <w:r>
              <w:t>3</w:t>
            </w:r>
          </w:p>
        </w:tc>
        <w:tc>
          <w:tcPr>
            <w:tcW w:w="915" w:type="pct"/>
            <w:vMerge w:val="restart"/>
            <w:vAlign w:val="center"/>
          </w:tcPr>
          <w:p>
            <w:pPr>
              <w:pStyle w:val="269"/>
              <w:spacing w:line="240" w:lineRule="auto"/>
            </w:pPr>
            <w:r>
              <w:rPr>
                <w:rFonts w:hint="eastAsia"/>
              </w:rPr>
              <w:t>灭火效能</w:t>
            </w:r>
          </w:p>
        </w:tc>
        <w:tc>
          <w:tcPr>
            <w:tcW w:w="593" w:type="pct"/>
            <w:vMerge w:val="restart"/>
            <w:vAlign w:val="center"/>
          </w:tcPr>
          <w:p>
            <w:pPr>
              <w:pStyle w:val="269"/>
              <w:spacing w:line="240" w:lineRule="auto"/>
            </w:pPr>
            <w:r>
              <w:rPr>
                <w:rFonts w:hint="eastAsia"/>
              </w:rPr>
              <w:t>0.3652</w:t>
            </w:r>
          </w:p>
        </w:tc>
        <w:tc>
          <w:tcPr>
            <w:tcW w:w="310" w:type="pct"/>
            <w:shd w:val="clear" w:color="auto" w:fill="auto"/>
            <w:vAlign w:val="center"/>
          </w:tcPr>
          <w:p>
            <w:pPr>
              <w:pStyle w:val="269"/>
              <w:spacing w:line="240" w:lineRule="auto"/>
            </w:pPr>
            <w:r>
              <w:rPr>
                <w:rFonts w:hint="eastAsia"/>
              </w:rPr>
              <w:t>B</w:t>
            </w:r>
            <w:r>
              <w:t>3</w:t>
            </w:r>
          </w:p>
        </w:tc>
        <w:tc>
          <w:tcPr>
            <w:tcW w:w="1342" w:type="pct"/>
            <w:shd w:val="clear" w:color="auto" w:fill="auto"/>
            <w:noWrap/>
            <w:vAlign w:val="center"/>
          </w:tcPr>
          <w:p>
            <w:pPr>
              <w:pStyle w:val="269"/>
              <w:spacing w:line="240" w:lineRule="auto"/>
            </w:pPr>
            <w:r>
              <w:rPr>
                <w:rFonts w:hint="eastAsia"/>
              </w:rPr>
              <w:t>灭火救援时间</w:t>
            </w:r>
          </w:p>
        </w:tc>
        <w:tc>
          <w:tcPr>
            <w:tcW w:w="688" w:type="pct"/>
            <w:vAlign w:val="center"/>
          </w:tcPr>
          <w:p>
            <w:pPr>
              <w:pStyle w:val="269"/>
              <w:spacing w:line="240" w:lineRule="auto"/>
            </w:pPr>
            <w:r>
              <w:rPr>
                <w:rFonts w:hint="eastAsia"/>
              </w:rPr>
              <w:t>0.1779</w:t>
            </w:r>
          </w:p>
        </w:tc>
        <w:tc>
          <w:tcPr>
            <w:tcW w:w="839" w:type="pct"/>
            <w:vAlign w:val="center"/>
          </w:tcPr>
          <w:p>
            <w:pPr>
              <w:pStyle w:val="269"/>
              <w:spacing w:line="240" w:lineRule="auto"/>
              <w:rPr>
                <w:b/>
                <w:bCs/>
              </w:rPr>
            </w:pPr>
            <w:r>
              <w:rPr>
                <w:b/>
                <w:bCs/>
              </w:rPr>
              <w:t>0.0650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Merge w:val="continue"/>
            <w:vAlign w:val="center"/>
          </w:tcPr>
          <w:p>
            <w:pPr>
              <w:pStyle w:val="269"/>
              <w:spacing w:line="240" w:lineRule="auto"/>
            </w:pPr>
          </w:p>
        </w:tc>
        <w:tc>
          <w:tcPr>
            <w:tcW w:w="915" w:type="pct"/>
            <w:vMerge w:val="continue"/>
            <w:vAlign w:val="center"/>
          </w:tcPr>
          <w:p>
            <w:pPr>
              <w:pStyle w:val="269"/>
              <w:spacing w:line="240" w:lineRule="auto"/>
            </w:pPr>
          </w:p>
        </w:tc>
        <w:tc>
          <w:tcPr>
            <w:tcW w:w="593" w:type="pct"/>
            <w:vMerge w:val="continue"/>
            <w:vAlign w:val="center"/>
          </w:tcPr>
          <w:p>
            <w:pPr>
              <w:pStyle w:val="269"/>
              <w:spacing w:line="240" w:lineRule="auto"/>
            </w:pPr>
          </w:p>
        </w:tc>
        <w:tc>
          <w:tcPr>
            <w:tcW w:w="310" w:type="pct"/>
            <w:shd w:val="clear" w:color="auto" w:fill="auto"/>
            <w:vAlign w:val="center"/>
          </w:tcPr>
          <w:p>
            <w:pPr>
              <w:pStyle w:val="269"/>
              <w:spacing w:line="240" w:lineRule="auto"/>
            </w:pPr>
            <w:r>
              <w:rPr>
                <w:rFonts w:hint="eastAsia"/>
              </w:rPr>
              <w:t>B</w:t>
            </w:r>
            <w:r>
              <w:t>4</w:t>
            </w:r>
          </w:p>
        </w:tc>
        <w:tc>
          <w:tcPr>
            <w:tcW w:w="1342" w:type="pct"/>
            <w:shd w:val="clear" w:color="auto" w:fill="auto"/>
            <w:noWrap/>
            <w:vAlign w:val="center"/>
          </w:tcPr>
          <w:p>
            <w:pPr>
              <w:pStyle w:val="269"/>
              <w:spacing w:line="240" w:lineRule="auto"/>
            </w:pPr>
            <w:r>
              <w:rPr>
                <w:rFonts w:hint="eastAsia"/>
              </w:rPr>
              <w:t>过火面积</w:t>
            </w:r>
          </w:p>
        </w:tc>
        <w:tc>
          <w:tcPr>
            <w:tcW w:w="688" w:type="pct"/>
            <w:vAlign w:val="center"/>
          </w:tcPr>
          <w:p>
            <w:pPr>
              <w:pStyle w:val="269"/>
              <w:spacing w:line="240" w:lineRule="auto"/>
            </w:pPr>
            <w:r>
              <w:rPr>
                <w:rFonts w:hint="eastAsia"/>
              </w:rPr>
              <w:t>0.3558</w:t>
            </w:r>
          </w:p>
        </w:tc>
        <w:tc>
          <w:tcPr>
            <w:tcW w:w="839" w:type="pct"/>
            <w:vAlign w:val="center"/>
          </w:tcPr>
          <w:p>
            <w:pPr>
              <w:pStyle w:val="269"/>
              <w:spacing w:line="240" w:lineRule="auto"/>
              <w:rPr>
                <w:b/>
                <w:bCs/>
              </w:rPr>
            </w:pPr>
            <w:r>
              <w:rPr>
                <w:b/>
                <w:bCs/>
              </w:rPr>
              <w:t>0.1299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Merge w:val="continue"/>
            <w:vAlign w:val="center"/>
          </w:tcPr>
          <w:p>
            <w:pPr>
              <w:pStyle w:val="269"/>
              <w:spacing w:line="240" w:lineRule="auto"/>
            </w:pPr>
          </w:p>
        </w:tc>
        <w:tc>
          <w:tcPr>
            <w:tcW w:w="915" w:type="pct"/>
            <w:vMerge w:val="continue"/>
            <w:vAlign w:val="center"/>
          </w:tcPr>
          <w:p>
            <w:pPr>
              <w:pStyle w:val="269"/>
              <w:spacing w:line="240" w:lineRule="auto"/>
            </w:pPr>
          </w:p>
        </w:tc>
        <w:tc>
          <w:tcPr>
            <w:tcW w:w="593" w:type="pct"/>
            <w:vMerge w:val="continue"/>
            <w:vAlign w:val="center"/>
          </w:tcPr>
          <w:p>
            <w:pPr>
              <w:pStyle w:val="269"/>
              <w:spacing w:line="240" w:lineRule="auto"/>
            </w:pPr>
          </w:p>
        </w:tc>
        <w:tc>
          <w:tcPr>
            <w:tcW w:w="310" w:type="pct"/>
            <w:shd w:val="clear" w:color="auto" w:fill="auto"/>
            <w:vAlign w:val="center"/>
          </w:tcPr>
          <w:p>
            <w:pPr>
              <w:pStyle w:val="269"/>
              <w:spacing w:line="240" w:lineRule="auto"/>
            </w:pPr>
            <w:r>
              <w:rPr>
                <w:rFonts w:hint="eastAsia"/>
              </w:rPr>
              <w:t>B</w:t>
            </w:r>
            <w:r>
              <w:t>5</w:t>
            </w:r>
          </w:p>
        </w:tc>
        <w:tc>
          <w:tcPr>
            <w:tcW w:w="1342" w:type="pct"/>
            <w:shd w:val="clear" w:color="auto" w:fill="auto"/>
            <w:noWrap/>
            <w:vAlign w:val="center"/>
          </w:tcPr>
          <w:p>
            <w:pPr>
              <w:pStyle w:val="269"/>
              <w:spacing w:line="240" w:lineRule="auto"/>
            </w:pPr>
            <w:r>
              <w:rPr>
                <w:rFonts w:hint="eastAsia"/>
              </w:rPr>
              <w:t>人员伤亡起数占比</w:t>
            </w:r>
          </w:p>
        </w:tc>
        <w:tc>
          <w:tcPr>
            <w:tcW w:w="688" w:type="pct"/>
            <w:vAlign w:val="center"/>
          </w:tcPr>
          <w:p>
            <w:pPr>
              <w:pStyle w:val="269"/>
              <w:spacing w:line="240" w:lineRule="auto"/>
            </w:pPr>
            <w:r>
              <w:rPr>
                <w:rFonts w:hint="eastAsia"/>
              </w:rPr>
              <w:t>0.4663</w:t>
            </w:r>
          </w:p>
        </w:tc>
        <w:tc>
          <w:tcPr>
            <w:tcW w:w="839" w:type="pct"/>
            <w:vAlign w:val="center"/>
          </w:tcPr>
          <w:p>
            <w:pPr>
              <w:pStyle w:val="269"/>
              <w:spacing w:line="240" w:lineRule="auto"/>
              <w:rPr>
                <w:b/>
                <w:bCs/>
              </w:rPr>
            </w:pPr>
            <w:r>
              <w:rPr>
                <w:b/>
                <w:bCs/>
              </w:rPr>
              <w:t>0.1703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Merge w:val="restart"/>
            <w:shd w:val="clear" w:color="auto" w:fill="auto"/>
            <w:vAlign w:val="center"/>
          </w:tcPr>
          <w:p>
            <w:pPr>
              <w:pStyle w:val="269"/>
              <w:spacing w:line="240" w:lineRule="auto"/>
            </w:pPr>
            <w:r>
              <w:rPr>
                <w:rFonts w:hint="eastAsia"/>
              </w:rPr>
              <w:t>A</w:t>
            </w:r>
            <w:r>
              <w:t>4</w:t>
            </w:r>
          </w:p>
        </w:tc>
        <w:tc>
          <w:tcPr>
            <w:tcW w:w="915" w:type="pct"/>
            <w:vMerge w:val="restart"/>
            <w:shd w:val="clear" w:color="auto" w:fill="auto"/>
            <w:vAlign w:val="center"/>
          </w:tcPr>
          <w:p>
            <w:pPr>
              <w:pStyle w:val="269"/>
              <w:spacing w:line="240" w:lineRule="auto"/>
            </w:pPr>
            <w:r>
              <w:rPr>
                <w:rFonts w:hint="eastAsia"/>
              </w:rPr>
              <w:t>消防车辆及装备</w:t>
            </w:r>
          </w:p>
        </w:tc>
        <w:tc>
          <w:tcPr>
            <w:tcW w:w="593" w:type="pct"/>
            <w:vMerge w:val="restart"/>
            <w:vAlign w:val="center"/>
          </w:tcPr>
          <w:p>
            <w:pPr>
              <w:pStyle w:val="269"/>
              <w:spacing w:line="240" w:lineRule="auto"/>
            </w:pPr>
            <w:r>
              <w:rPr>
                <w:rFonts w:hint="eastAsia"/>
              </w:rPr>
              <w:t>0.2728</w:t>
            </w:r>
          </w:p>
        </w:tc>
        <w:tc>
          <w:tcPr>
            <w:tcW w:w="310" w:type="pct"/>
            <w:shd w:val="clear" w:color="auto" w:fill="auto"/>
            <w:vAlign w:val="center"/>
          </w:tcPr>
          <w:p>
            <w:pPr>
              <w:pStyle w:val="269"/>
              <w:spacing w:line="240" w:lineRule="auto"/>
            </w:pPr>
            <w:r>
              <w:rPr>
                <w:rFonts w:hint="eastAsia"/>
              </w:rPr>
              <w:t>B</w:t>
            </w:r>
            <w:r>
              <w:t>6</w:t>
            </w:r>
          </w:p>
        </w:tc>
        <w:tc>
          <w:tcPr>
            <w:tcW w:w="1342" w:type="pct"/>
            <w:shd w:val="clear" w:color="auto" w:fill="auto"/>
            <w:vAlign w:val="center"/>
          </w:tcPr>
          <w:p>
            <w:pPr>
              <w:pStyle w:val="269"/>
              <w:spacing w:line="240" w:lineRule="auto"/>
            </w:pPr>
            <w:r>
              <w:rPr>
                <w:rFonts w:hint="eastAsia"/>
              </w:rPr>
              <w:t>车辆完备率</w:t>
            </w:r>
          </w:p>
        </w:tc>
        <w:tc>
          <w:tcPr>
            <w:tcW w:w="688" w:type="pct"/>
            <w:vAlign w:val="center"/>
          </w:tcPr>
          <w:p>
            <w:pPr>
              <w:pStyle w:val="269"/>
              <w:spacing w:line="240" w:lineRule="auto"/>
            </w:pPr>
            <w:r>
              <w:rPr>
                <w:rFonts w:hint="eastAsia"/>
              </w:rPr>
              <w:t>0.6725</w:t>
            </w:r>
          </w:p>
        </w:tc>
        <w:tc>
          <w:tcPr>
            <w:tcW w:w="839" w:type="pct"/>
            <w:vAlign w:val="center"/>
          </w:tcPr>
          <w:p>
            <w:pPr>
              <w:pStyle w:val="269"/>
              <w:spacing w:line="240" w:lineRule="auto"/>
              <w:rPr>
                <w:b/>
                <w:bCs/>
              </w:rPr>
            </w:pPr>
            <w:r>
              <w:rPr>
                <w:b/>
                <w:bCs/>
              </w:rPr>
              <w:t>0.1835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Merge w:val="continue"/>
            <w:vAlign w:val="center"/>
          </w:tcPr>
          <w:p>
            <w:pPr>
              <w:pStyle w:val="269"/>
              <w:spacing w:line="240" w:lineRule="auto"/>
            </w:pPr>
          </w:p>
        </w:tc>
        <w:tc>
          <w:tcPr>
            <w:tcW w:w="915" w:type="pct"/>
            <w:vMerge w:val="continue"/>
            <w:vAlign w:val="center"/>
          </w:tcPr>
          <w:p>
            <w:pPr>
              <w:pStyle w:val="269"/>
              <w:spacing w:line="240" w:lineRule="auto"/>
            </w:pPr>
          </w:p>
        </w:tc>
        <w:tc>
          <w:tcPr>
            <w:tcW w:w="593" w:type="pct"/>
            <w:vMerge w:val="continue"/>
            <w:vAlign w:val="center"/>
          </w:tcPr>
          <w:p>
            <w:pPr>
              <w:pStyle w:val="269"/>
              <w:spacing w:line="240" w:lineRule="auto"/>
            </w:pPr>
          </w:p>
        </w:tc>
        <w:tc>
          <w:tcPr>
            <w:tcW w:w="310" w:type="pct"/>
            <w:shd w:val="clear" w:color="auto" w:fill="auto"/>
            <w:vAlign w:val="center"/>
          </w:tcPr>
          <w:p>
            <w:pPr>
              <w:pStyle w:val="269"/>
              <w:spacing w:line="240" w:lineRule="auto"/>
            </w:pPr>
            <w:r>
              <w:rPr>
                <w:rFonts w:hint="eastAsia"/>
              </w:rPr>
              <w:t>B</w:t>
            </w:r>
            <w:r>
              <w:t>7</w:t>
            </w:r>
          </w:p>
        </w:tc>
        <w:tc>
          <w:tcPr>
            <w:tcW w:w="1342" w:type="pct"/>
            <w:shd w:val="clear" w:color="auto" w:fill="auto"/>
            <w:vAlign w:val="center"/>
          </w:tcPr>
          <w:p>
            <w:pPr>
              <w:pStyle w:val="269"/>
              <w:spacing w:line="240" w:lineRule="auto"/>
            </w:pPr>
            <w:r>
              <w:rPr>
                <w:rFonts w:hint="eastAsia"/>
              </w:rPr>
              <w:t>抢险救援器材完备率</w:t>
            </w:r>
          </w:p>
        </w:tc>
        <w:tc>
          <w:tcPr>
            <w:tcW w:w="688" w:type="pct"/>
            <w:vAlign w:val="center"/>
          </w:tcPr>
          <w:p>
            <w:pPr>
              <w:pStyle w:val="269"/>
              <w:spacing w:line="240" w:lineRule="auto"/>
            </w:pPr>
            <w:r>
              <w:rPr>
                <w:rFonts w:hint="eastAsia"/>
              </w:rPr>
              <w:t>0.2242</w:t>
            </w:r>
          </w:p>
        </w:tc>
        <w:tc>
          <w:tcPr>
            <w:tcW w:w="839" w:type="pct"/>
            <w:vAlign w:val="center"/>
          </w:tcPr>
          <w:p>
            <w:pPr>
              <w:pStyle w:val="269"/>
              <w:spacing w:line="240" w:lineRule="auto"/>
              <w:rPr>
                <w:b/>
                <w:bCs/>
              </w:rPr>
            </w:pPr>
            <w:r>
              <w:rPr>
                <w:b/>
                <w:bCs/>
              </w:rPr>
              <w:t>0.0612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13" w:type="pct"/>
            <w:vMerge w:val="continue"/>
            <w:vAlign w:val="center"/>
          </w:tcPr>
          <w:p>
            <w:pPr>
              <w:pStyle w:val="269"/>
              <w:spacing w:line="240" w:lineRule="auto"/>
            </w:pPr>
          </w:p>
        </w:tc>
        <w:tc>
          <w:tcPr>
            <w:tcW w:w="915" w:type="pct"/>
            <w:vMerge w:val="continue"/>
            <w:vAlign w:val="center"/>
          </w:tcPr>
          <w:p>
            <w:pPr>
              <w:pStyle w:val="269"/>
              <w:spacing w:line="240" w:lineRule="auto"/>
            </w:pPr>
          </w:p>
        </w:tc>
        <w:tc>
          <w:tcPr>
            <w:tcW w:w="593" w:type="pct"/>
            <w:vMerge w:val="continue"/>
            <w:vAlign w:val="center"/>
          </w:tcPr>
          <w:p>
            <w:pPr>
              <w:pStyle w:val="269"/>
              <w:spacing w:line="240" w:lineRule="auto"/>
            </w:pPr>
          </w:p>
        </w:tc>
        <w:tc>
          <w:tcPr>
            <w:tcW w:w="310" w:type="pct"/>
            <w:shd w:val="clear" w:color="auto" w:fill="auto"/>
            <w:vAlign w:val="center"/>
          </w:tcPr>
          <w:p>
            <w:pPr>
              <w:pStyle w:val="269"/>
              <w:spacing w:line="240" w:lineRule="auto"/>
            </w:pPr>
            <w:r>
              <w:rPr>
                <w:rFonts w:hint="eastAsia"/>
              </w:rPr>
              <w:t>B</w:t>
            </w:r>
            <w:r>
              <w:t>8</w:t>
            </w:r>
          </w:p>
        </w:tc>
        <w:tc>
          <w:tcPr>
            <w:tcW w:w="1342" w:type="pct"/>
            <w:shd w:val="clear" w:color="auto" w:fill="auto"/>
            <w:vAlign w:val="center"/>
          </w:tcPr>
          <w:p>
            <w:pPr>
              <w:pStyle w:val="269"/>
              <w:spacing w:line="240" w:lineRule="auto"/>
            </w:pPr>
            <w:r>
              <w:rPr>
                <w:rFonts w:hint="eastAsia"/>
              </w:rPr>
              <w:t>人员防护装备完备率</w:t>
            </w:r>
          </w:p>
        </w:tc>
        <w:tc>
          <w:tcPr>
            <w:tcW w:w="688" w:type="pct"/>
            <w:vAlign w:val="center"/>
          </w:tcPr>
          <w:p>
            <w:pPr>
              <w:pStyle w:val="269"/>
              <w:spacing w:line="240" w:lineRule="auto"/>
            </w:pPr>
            <w:r>
              <w:rPr>
                <w:rFonts w:hint="eastAsia"/>
              </w:rPr>
              <w:t>0.2242</w:t>
            </w:r>
          </w:p>
        </w:tc>
        <w:tc>
          <w:tcPr>
            <w:tcW w:w="839" w:type="pct"/>
            <w:vAlign w:val="center"/>
          </w:tcPr>
          <w:p>
            <w:pPr>
              <w:pStyle w:val="269"/>
              <w:spacing w:line="240" w:lineRule="auto"/>
              <w:rPr>
                <w:b/>
                <w:bCs/>
              </w:rPr>
            </w:pPr>
            <w:r>
              <w:rPr>
                <w:b/>
                <w:bCs/>
              </w:rPr>
              <w:t>0.0612</w:t>
            </w:r>
          </w:p>
        </w:tc>
      </w:tr>
    </w:tbl>
    <w:p>
      <w:pPr>
        <w:pStyle w:val="54"/>
        <w:ind w:firstLine="0" w:firstLineChars="0"/>
        <w:rPr>
          <w:rFonts w:ascii="Times New Roman"/>
        </w:rPr>
      </w:pPr>
    </w:p>
    <w:p>
      <w:pPr>
        <w:pStyle w:val="195"/>
      </w:pPr>
      <w:r>
        <w:rPr>
          <w:rFonts w:hint="eastAsia"/>
        </w:rPr>
        <w:t>灭火救援能力评估各指标的评分标准见表</w:t>
      </w:r>
      <w:r>
        <w:t>5.2.7</w:t>
      </w:r>
      <w:r>
        <w:rPr>
          <w:rFonts w:hint="eastAsia"/>
        </w:rPr>
        <w:t>。</w:t>
      </w:r>
    </w:p>
    <w:p>
      <w:pPr>
        <w:pStyle w:val="142"/>
        <w:spacing w:before="120" w:after="120"/>
      </w:pPr>
      <w:r>
        <w:rPr>
          <w:rFonts w:hint="eastAsia"/>
        </w:rPr>
        <w:t>表</w:t>
      </w:r>
      <w:r>
        <w:t xml:space="preserve">5.2.7  </w:t>
      </w:r>
      <w:r>
        <w:rPr>
          <w:rFonts w:hint="eastAsia"/>
        </w:rPr>
        <w:t>灭火救援能力评估各指标评分标准</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2236"/>
        <w:gridCol w:w="798"/>
        <w:gridCol w:w="2236"/>
        <w:gridCol w:w="2976"/>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1474" w:type="pct"/>
            <w:gridSpan w:val="2"/>
            <w:shd w:val="clear" w:color="auto" w:fill="auto"/>
            <w:vAlign w:val="center"/>
          </w:tcPr>
          <w:p>
            <w:pPr>
              <w:pStyle w:val="268"/>
              <w:spacing w:line="240" w:lineRule="auto"/>
            </w:pPr>
            <w:r>
              <w:rPr>
                <w:rFonts w:hint="eastAsia"/>
              </w:rPr>
              <w:t>指标</w:t>
            </w:r>
          </w:p>
        </w:tc>
        <w:tc>
          <w:tcPr>
            <w:tcW w:w="417" w:type="pct"/>
            <w:shd w:val="clear" w:color="auto" w:fill="auto"/>
            <w:vAlign w:val="center"/>
          </w:tcPr>
          <w:p>
            <w:pPr>
              <w:pStyle w:val="268"/>
              <w:spacing w:line="240" w:lineRule="auto"/>
            </w:pPr>
            <w:r>
              <w:rPr>
                <w:rFonts w:hint="eastAsia"/>
              </w:rPr>
              <w:t>单位</w:t>
            </w:r>
          </w:p>
        </w:tc>
        <w:tc>
          <w:tcPr>
            <w:tcW w:w="1168" w:type="pct"/>
            <w:shd w:val="clear" w:color="auto" w:fill="auto"/>
            <w:vAlign w:val="center"/>
          </w:tcPr>
          <w:p>
            <w:pPr>
              <w:pStyle w:val="268"/>
              <w:spacing w:line="240" w:lineRule="auto"/>
            </w:pPr>
            <w:r>
              <w:rPr>
                <w:rFonts w:hint="eastAsia"/>
              </w:rPr>
              <w:t>指标计算方法</w:t>
            </w:r>
          </w:p>
        </w:tc>
        <w:tc>
          <w:tcPr>
            <w:tcW w:w="1555" w:type="pct"/>
            <w:vAlign w:val="center"/>
          </w:tcPr>
          <w:p>
            <w:pPr>
              <w:pStyle w:val="268"/>
              <w:spacing w:line="240" w:lineRule="auto"/>
            </w:pPr>
            <w:r>
              <w:rPr>
                <w:rFonts w:hint="eastAsia"/>
              </w:rPr>
              <w:t>指标评价方法</w:t>
            </w:r>
          </w:p>
        </w:tc>
        <w:tc>
          <w:tcPr>
            <w:tcW w:w="387" w:type="pct"/>
            <w:shd w:val="clear" w:color="auto" w:fill="auto"/>
            <w:vAlign w:val="center"/>
          </w:tcPr>
          <w:p>
            <w:pPr>
              <w:pStyle w:val="268"/>
              <w:spacing w:line="240" w:lineRule="auto"/>
            </w:pPr>
            <w:r>
              <w:rPr>
                <w:rFonts w:hint="eastAsia"/>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t>A</w:t>
            </w:r>
            <w:r>
              <w:rPr>
                <w:rFonts w:hint="eastAsia"/>
              </w:rPr>
              <w:t>1</w:t>
            </w:r>
          </w:p>
        </w:tc>
        <w:tc>
          <w:tcPr>
            <w:tcW w:w="1168" w:type="pct"/>
            <w:shd w:val="clear" w:color="auto" w:fill="auto"/>
            <w:noWrap/>
            <w:vAlign w:val="center"/>
          </w:tcPr>
          <w:p>
            <w:pPr>
              <w:pStyle w:val="269"/>
              <w:spacing w:line="240" w:lineRule="auto"/>
              <w:jc w:val="both"/>
              <w:rPr>
                <w:rFonts w:eastAsia="等线"/>
              </w:rPr>
            </w:pPr>
            <w:r>
              <w:rPr>
                <w:rFonts w:hint="eastAsia"/>
              </w:rPr>
              <w:t>接处警用时</w:t>
            </w:r>
          </w:p>
        </w:tc>
        <w:tc>
          <w:tcPr>
            <w:tcW w:w="417" w:type="pct"/>
            <w:shd w:val="clear" w:color="auto" w:fill="auto"/>
            <w:vAlign w:val="center"/>
          </w:tcPr>
          <w:p>
            <w:pPr>
              <w:pStyle w:val="269"/>
              <w:spacing w:line="240" w:lineRule="auto"/>
            </w:pPr>
            <w:r>
              <w:rPr>
                <w:rFonts w:hint="eastAsia"/>
              </w:rPr>
              <w:t>秒</w:t>
            </w:r>
          </w:p>
        </w:tc>
        <w:tc>
          <w:tcPr>
            <w:tcW w:w="1168" w:type="pct"/>
            <w:shd w:val="clear" w:color="auto" w:fill="auto"/>
            <w:vAlign w:val="center"/>
          </w:tcPr>
          <w:p>
            <w:pPr>
              <w:pStyle w:val="269"/>
              <w:spacing w:line="240" w:lineRule="auto"/>
              <w:jc w:val="left"/>
            </w:pPr>
            <w:r>
              <w:rPr>
                <w:rFonts w:hint="eastAsia"/>
              </w:rPr>
              <w:t>指令时间-接警时间</w:t>
            </w:r>
          </w:p>
        </w:tc>
        <w:tc>
          <w:tcPr>
            <w:tcW w:w="1555" w:type="pct"/>
            <w:vAlign w:val="center"/>
          </w:tcPr>
          <w:p>
            <w:pPr>
              <w:pStyle w:val="269"/>
              <w:spacing w:line="240" w:lineRule="auto"/>
              <w:jc w:val="both"/>
            </w:pPr>
            <w:r>
              <w:rPr>
                <w:rFonts w:hint="eastAsia"/>
              </w:rPr>
              <w:t>90%分位值接警处理时间≤60秒确定，每超过10</w:t>
            </w:r>
            <w:r>
              <w:t>%</w:t>
            </w:r>
            <w:r>
              <w:rPr>
                <w:rFonts w:hint="eastAsia"/>
              </w:rPr>
              <w:t>，扣2分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t>A2</w:t>
            </w:r>
          </w:p>
        </w:tc>
        <w:tc>
          <w:tcPr>
            <w:tcW w:w="1168" w:type="pct"/>
            <w:shd w:val="clear" w:color="auto" w:fill="auto"/>
            <w:noWrap/>
            <w:vAlign w:val="center"/>
          </w:tcPr>
          <w:p>
            <w:pPr>
              <w:pStyle w:val="269"/>
              <w:spacing w:line="240" w:lineRule="auto"/>
              <w:jc w:val="both"/>
              <w:rPr>
                <w:rFonts w:eastAsia="等线"/>
              </w:rPr>
            </w:pPr>
            <w:r>
              <w:rPr>
                <w:rFonts w:hint="eastAsia"/>
              </w:rPr>
              <w:t>火灾第一出动用时</w:t>
            </w:r>
          </w:p>
        </w:tc>
        <w:tc>
          <w:tcPr>
            <w:tcW w:w="417" w:type="pct"/>
            <w:shd w:val="clear" w:color="auto" w:fill="auto"/>
            <w:vAlign w:val="center"/>
          </w:tcPr>
          <w:p>
            <w:pPr>
              <w:pStyle w:val="269"/>
              <w:spacing w:line="240" w:lineRule="auto"/>
            </w:pPr>
            <w:r>
              <w:rPr>
                <w:rFonts w:hint="eastAsia"/>
              </w:rPr>
              <w:t>分钟</w:t>
            </w:r>
          </w:p>
        </w:tc>
        <w:tc>
          <w:tcPr>
            <w:tcW w:w="1168" w:type="pct"/>
            <w:shd w:val="clear" w:color="auto" w:fill="auto"/>
            <w:vAlign w:val="center"/>
          </w:tcPr>
          <w:p>
            <w:pPr>
              <w:pStyle w:val="269"/>
              <w:spacing w:line="240" w:lineRule="auto"/>
              <w:jc w:val="left"/>
            </w:pPr>
            <w:r>
              <w:rPr>
                <w:rFonts w:hint="eastAsia"/>
              </w:rPr>
              <w:t>到场时间-出动时间</w:t>
            </w:r>
          </w:p>
        </w:tc>
        <w:tc>
          <w:tcPr>
            <w:tcW w:w="1555" w:type="pct"/>
            <w:vAlign w:val="center"/>
          </w:tcPr>
          <w:p>
            <w:pPr>
              <w:pStyle w:val="269"/>
              <w:spacing w:line="240" w:lineRule="auto"/>
              <w:jc w:val="both"/>
            </w:pPr>
            <w:r>
              <w:rPr>
                <w:rFonts w:hint="eastAsia"/>
              </w:rPr>
              <w:t>90%分位值路程时间≤</w:t>
            </w:r>
            <w:r>
              <w:t>5</w:t>
            </w:r>
            <w:r>
              <w:rPr>
                <w:rFonts w:hint="eastAsia"/>
              </w:rPr>
              <w:t>分钟确定，每超过10</w:t>
            </w:r>
            <w:r>
              <w:t>%</w:t>
            </w:r>
            <w:r>
              <w:rPr>
                <w:rFonts w:hint="eastAsia"/>
              </w:rPr>
              <w:t>，扣1分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rPr>
                <w:rFonts w:hint="eastAsia"/>
              </w:rPr>
              <w:t>B</w:t>
            </w:r>
            <w:r>
              <w:t>31</w:t>
            </w:r>
          </w:p>
        </w:tc>
        <w:tc>
          <w:tcPr>
            <w:tcW w:w="1168" w:type="pct"/>
            <w:shd w:val="clear" w:color="auto" w:fill="auto"/>
            <w:vAlign w:val="center"/>
          </w:tcPr>
          <w:p>
            <w:pPr>
              <w:pStyle w:val="269"/>
              <w:spacing w:line="240" w:lineRule="auto"/>
              <w:jc w:val="both"/>
            </w:pPr>
            <w:r>
              <w:rPr>
                <w:rFonts w:hint="eastAsia"/>
              </w:rPr>
              <w:t>火灾控制用时</w:t>
            </w:r>
          </w:p>
        </w:tc>
        <w:tc>
          <w:tcPr>
            <w:tcW w:w="417" w:type="pct"/>
            <w:shd w:val="clear" w:color="auto" w:fill="auto"/>
            <w:noWrap/>
            <w:vAlign w:val="center"/>
          </w:tcPr>
          <w:p>
            <w:pPr>
              <w:pStyle w:val="269"/>
              <w:spacing w:line="240" w:lineRule="auto"/>
            </w:pPr>
            <w:r>
              <w:rPr>
                <w:rFonts w:hint="eastAsia"/>
              </w:rPr>
              <w:t>小时</w:t>
            </w:r>
          </w:p>
        </w:tc>
        <w:tc>
          <w:tcPr>
            <w:tcW w:w="1168" w:type="pct"/>
            <w:shd w:val="clear" w:color="auto" w:fill="auto"/>
            <w:vAlign w:val="center"/>
          </w:tcPr>
          <w:p>
            <w:pPr>
              <w:pStyle w:val="269"/>
              <w:spacing w:line="240" w:lineRule="auto"/>
              <w:jc w:val="left"/>
            </w:pPr>
            <w:r>
              <w:rPr>
                <w:rFonts w:hint="eastAsia"/>
              </w:rPr>
              <w:t>灭火时间-到场时间</w:t>
            </w:r>
          </w:p>
        </w:tc>
        <w:tc>
          <w:tcPr>
            <w:tcW w:w="1555" w:type="pct"/>
            <w:vAlign w:val="center"/>
          </w:tcPr>
          <w:p>
            <w:pPr>
              <w:pStyle w:val="269"/>
              <w:spacing w:line="240" w:lineRule="auto"/>
              <w:jc w:val="both"/>
            </w:pPr>
            <w:r>
              <w:rPr>
                <w:rFonts w:hint="eastAsia"/>
              </w:rPr>
              <w:t>90%分位值灭火时间≤</w:t>
            </w:r>
            <w:r>
              <w:t>0.5</w:t>
            </w:r>
            <w:r>
              <w:rPr>
                <w:rFonts w:hint="eastAsia"/>
              </w:rPr>
              <w:t>小时确定，每超过10</w:t>
            </w:r>
            <w:r>
              <w:t>%</w:t>
            </w:r>
            <w:r>
              <w:rPr>
                <w:rFonts w:hint="eastAsia"/>
              </w:rPr>
              <w:t>，扣</w:t>
            </w:r>
            <w:r>
              <w:t>2</w:t>
            </w:r>
            <w:r>
              <w:rPr>
                <w:rFonts w:hint="eastAsia"/>
              </w:rPr>
              <w:t>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rPr>
                <w:rFonts w:hint="eastAsia"/>
              </w:rPr>
              <w:t>B</w:t>
            </w:r>
            <w:r>
              <w:t>32</w:t>
            </w:r>
          </w:p>
        </w:tc>
        <w:tc>
          <w:tcPr>
            <w:tcW w:w="1168" w:type="pct"/>
            <w:shd w:val="clear" w:color="auto" w:fill="auto"/>
            <w:vAlign w:val="center"/>
          </w:tcPr>
          <w:p>
            <w:pPr>
              <w:pStyle w:val="269"/>
              <w:spacing w:line="240" w:lineRule="auto"/>
              <w:jc w:val="both"/>
            </w:pPr>
            <w:r>
              <w:rPr>
                <w:rFonts w:hint="eastAsia"/>
              </w:rPr>
              <w:t>过火面积</w:t>
            </w:r>
          </w:p>
        </w:tc>
        <w:tc>
          <w:tcPr>
            <w:tcW w:w="417" w:type="pct"/>
            <w:shd w:val="clear" w:color="auto" w:fill="auto"/>
            <w:noWrap/>
            <w:vAlign w:val="center"/>
          </w:tcPr>
          <w:p>
            <w:pPr>
              <w:pStyle w:val="269"/>
              <w:spacing w:line="240" w:lineRule="auto"/>
            </w:pPr>
            <w:r>
              <w:rPr>
                <w:rFonts w:hint="eastAsia"/>
              </w:rPr>
              <w:t>平方米</w:t>
            </w:r>
          </w:p>
        </w:tc>
        <w:tc>
          <w:tcPr>
            <w:tcW w:w="1168" w:type="pct"/>
            <w:shd w:val="clear" w:color="auto" w:fill="auto"/>
            <w:vAlign w:val="center"/>
          </w:tcPr>
          <w:p>
            <w:pPr>
              <w:pStyle w:val="269"/>
              <w:spacing w:line="240" w:lineRule="auto"/>
              <w:jc w:val="left"/>
            </w:pPr>
            <w:r>
              <w:rPr>
                <w:rFonts w:hint="eastAsia"/>
              </w:rPr>
              <w:t>过火面积</w:t>
            </w:r>
          </w:p>
        </w:tc>
        <w:tc>
          <w:tcPr>
            <w:tcW w:w="1555" w:type="pct"/>
            <w:vAlign w:val="center"/>
          </w:tcPr>
          <w:p>
            <w:pPr>
              <w:pStyle w:val="269"/>
              <w:spacing w:line="240" w:lineRule="auto"/>
              <w:jc w:val="both"/>
            </w:pPr>
            <w:r>
              <w:rPr>
                <w:rFonts w:hint="eastAsia"/>
              </w:rPr>
              <w:t>90%分位值过火面积≤1</w:t>
            </w:r>
            <w:r>
              <w:t>0</w:t>
            </w:r>
            <w:r>
              <w:rPr>
                <w:rFonts w:hint="eastAsia"/>
              </w:rPr>
              <w:t>平方米确定，每超过</w:t>
            </w:r>
            <w:r>
              <w:t>5</w:t>
            </w:r>
            <w:r>
              <w:rPr>
                <w:rFonts w:hint="eastAsia"/>
              </w:rPr>
              <w:t>平方米，扣</w:t>
            </w:r>
            <w:r>
              <w:t>2</w:t>
            </w:r>
            <w:r>
              <w:rPr>
                <w:rFonts w:hint="eastAsia"/>
              </w:rPr>
              <w:t>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rPr>
                <w:rFonts w:hint="eastAsia"/>
              </w:rPr>
              <w:t>B</w:t>
            </w:r>
            <w:r>
              <w:t>33</w:t>
            </w:r>
          </w:p>
        </w:tc>
        <w:tc>
          <w:tcPr>
            <w:tcW w:w="1168" w:type="pct"/>
            <w:shd w:val="clear" w:color="auto" w:fill="auto"/>
            <w:vAlign w:val="center"/>
          </w:tcPr>
          <w:p>
            <w:pPr>
              <w:pStyle w:val="269"/>
              <w:spacing w:line="240" w:lineRule="auto"/>
              <w:jc w:val="both"/>
            </w:pPr>
            <w:r>
              <w:rPr>
                <w:rFonts w:hint="eastAsia"/>
              </w:rPr>
              <w:t>人员伤亡起数占比</w:t>
            </w:r>
          </w:p>
        </w:tc>
        <w:tc>
          <w:tcPr>
            <w:tcW w:w="417" w:type="pct"/>
            <w:shd w:val="clear" w:color="auto" w:fill="auto"/>
            <w:noWrap/>
            <w:vAlign w:val="center"/>
          </w:tcPr>
          <w:p>
            <w:pPr>
              <w:pStyle w:val="269"/>
              <w:spacing w:line="240" w:lineRule="auto"/>
            </w:pPr>
            <w:r>
              <w:rPr>
                <w:rFonts w:hint="eastAsia"/>
              </w:rPr>
              <w:t>%</w:t>
            </w:r>
          </w:p>
        </w:tc>
        <w:tc>
          <w:tcPr>
            <w:tcW w:w="1168" w:type="pct"/>
            <w:shd w:val="clear" w:color="auto" w:fill="auto"/>
            <w:vAlign w:val="center"/>
          </w:tcPr>
          <w:p>
            <w:pPr>
              <w:pStyle w:val="269"/>
              <w:spacing w:line="240" w:lineRule="auto"/>
              <w:jc w:val="both"/>
            </w:pPr>
            <w:r>
              <w:rPr>
                <w:rFonts w:hint="eastAsia"/>
              </w:rPr>
              <w:t>造成人员死亡或受伤的火灾起数/火灾总起数</w:t>
            </w:r>
          </w:p>
        </w:tc>
        <w:tc>
          <w:tcPr>
            <w:tcW w:w="1555" w:type="pct"/>
            <w:vAlign w:val="center"/>
          </w:tcPr>
          <w:p>
            <w:pPr>
              <w:pStyle w:val="269"/>
              <w:spacing w:line="240" w:lineRule="auto"/>
              <w:jc w:val="both"/>
            </w:pPr>
            <w:r>
              <w:rPr>
                <w:rFonts w:hint="eastAsia"/>
              </w:rPr>
              <w:t>根据占比≤1</w:t>
            </w:r>
            <w:r>
              <w:t>%</w:t>
            </w:r>
            <w:r>
              <w:rPr>
                <w:rFonts w:hint="eastAsia"/>
              </w:rPr>
              <w:t>确定，每超过0</w:t>
            </w:r>
            <w:r>
              <w:t>.5%</w:t>
            </w:r>
            <w:r>
              <w:rPr>
                <w:rFonts w:hint="eastAsia"/>
              </w:rPr>
              <w:t>，扣</w:t>
            </w:r>
            <w:r>
              <w:t>2</w:t>
            </w:r>
            <w:r>
              <w:rPr>
                <w:rFonts w:hint="eastAsia"/>
              </w:rPr>
              <w:t>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rPr>
                <w:rFonts w:hint="eastAsia"/>
              </w:rPr>
              <w:t>B</w:t>
            </w:r>
            <w:r>
              <w:t>41</w:t>
            </w:r>
          </w:p>
        </w:tc>
        <w:tc>
          <w:tcPr>
            <w:tcW w:w="1168" w:type="pct"/>
            <w:shd w:val="clear" w:color="auto" w:fill="auto"/>
            <w:vAlign w:val="center"/>
          </w:tcPr>
          <w:p>
            <w:pPr>
              <w:pStyle w:val="269"/>
              <w:spacing w:line="240" w:lineRule="auto"/>
              <w:jc w:val="both"/>
            </w:pPr>
            <w:r>
              <w:rPr>
                <w:rFonts w:hint="eastAsia"/>
              </w:rPr>
              <w:t>车辆完备率</w:t>
            </w:r>
          </w:p>
        </w:tc>
        <w:tc>
          <w:tcPr>
            <w:tcW w:w="417" w:type="pct"/>
            <w:shd w:val="clear" w:color="auto" w:fill="auto"/>
            <w:noWrap/>
            <w:vAlign w:val="center"/>
          </w:tcPr>
          <w:p>
            <w:pPr>
              <w:pStyle w:val="269"/>
              <w:spacing w:line="240" w:lineRule="auto"/>
            </w:pPr>
            <w:r>
              <w:rPr>
                <w:rFonts w:hint="eastAsia"/>
              </w:rPr>
              <w:t>%</w:t>
            </w:r>
          </w:p>
        </w:tc>
        <w:tc>
          <w:tcPr>
            <w:tcW w:w="1168" w:type="pct"/>
            <w:shd w:val="clear" w:color="auto" w:fill="auto"/>
            <w:vAlign w:val="center"/>
          </w:tcPr>
          <w:p>
            <w:pPr>
              <w:pStyle w:val="269"/>
              <w:spacing w:line="240" w:lineRule="auto"/>
              <w:jc w:val="both"/>
            </w:pPr>
            <w:r>
              <w:rPr>
                <w:rFonts w:hint="eastAsia"/>
              </w:rPr>
              <w:t>按《城市消防站设计规范》GB51054规范要求数量、性能进行对比</w:t>
            </w:r>
          </w:p>
        </w:tc>
        <w:tc>
          <w:tcPr>
            <w:tcW w:w="1555" w:type="pct"/>
            <w:vAlign w:val="center"/>
          </w:tcPr>
          <w:p>
            <w:pPr>
              <w:pStyle w:val="269"/>
              <w:spacing w:line="240" w:lineRule="auto"/>
              <w:jc w:val="both"/>
            </w:pPr>
            <w:r>
              <w:rPr>
                <w:rFonts w:hint="eastAsia"/>
              </w:rPr>
              <w:t>按照1</w:t>
            </w:r>
            <w:r>
              <w:t>00%</w:t>
            </w:r>
            <w:r>
              <w:rPr>
                <w:rFonts w:hint="eastAsia"/>
              </w:rPr>
              <w:t>确定，达标率*满分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rPr>
                <w:rFonts w:hint="eastAsia"/>
              </w:rPr>
              <w:t>B</w:t>
            </w:r>
            <w:r>
              <w:t>42</w:t>
            </w:r>
          </w:p>
        </w:tc>
        <w:tc>
          <w:tcPr>
            <w:tcW w:w="1168" w:type="pct"/>
            <w:shd w:val="clear" w:color="auto" w:fill="auto"/>
            <w:vAlign w:val="center"/>
          </w:tcPr>
          <w:p>
            <w:pPr>
              <w:pStyle w:val="269"/>
              <w:spacing w:line="240" w:lineRule="auto"/>
              <w:jc w:val="both"/>
            </w:pPr>
            <w:r>
              <w:rPr>
                <w:rFonts w:hint="eastAsia"/>
              </w:rPr>
              <w:t>抢险救援器材完备率</w:t>
            </w:r>
          </w:p>
        </w:tc>
        <w:tc>
          <w:tcPr>
            <w:tcW w:w="417" w:type="pct"/>
            <w:shd w:val="clear" w:color="auto" w:fill="auto"/>
            <w:noWrap/>
            <w:vAlign w:val="center"/>
          </w:tcPr>
          <w:p>
            <w:pPr>
              <w:pStyle w:val="269"/>
              <w:spacing w:line="240" w:lineRule="auto"/>
            </w:pPr>
            <w:r>
              <w:rPr>
                <w:rFonts w:hint="eastAsia"/>
              </w:rPr>
              <w:t>%</w:t>
            </w:r>
          </w:p>
        </w:tc>
        <w:tc>
          <w:tcPr>
            <w:tcW w:w="1168" w:type="pct"/>
            <w:shd w:val="clear" w:color="auto" w:fill="auto"/>
            <w:vAlign w:val="center"/>
          </w:tcPr>
          <w:p>
            <w:pPr>
              <w:pStyle w:val="269"/>
              <w:spacing w:line="240" w:lineRule="auto"/>
              <w:jc w:val="both"/>
            </w:pPr>
            <w:r>
              <w:rPr>
                <w:rFonts w:hint="eastAsia"/>
              </w:rPr>
              <w:t>按《城市消防站设计规范》GB51054规范要求数量、性能进行对比</w:t>
            </w:r>
          </w:p>
        </w:tc>
        <w:tc>
          <w:tcPr>
            <w:tcW w:w="1555" w:type="pct"/>
            <w:vAlign w:val="center"/>
          </w:tcPr>
          <w:p>
            <w:pPr>
              <w:pStyle w:val="269"/>
              <w:spacing w:line="240" w:lineRule="auto"/>
              <w:jc w:val="both"/>
            </w:pPr>
            <w:r>
              <w:rPr>
                <w:rFonts w:hint="eastAsia"/>
              </w:rPr>
              <w:t>按照1</w:t>
            </w:r>
            <w:r>
              <w:t>00%</w:t>
            </w:r>
            <w:r>
              <w:rPr>
                <w:rFonts w:hint="eastAsia"/>
              </w:rPr>
              <w:t>确定，达标率*满分</w:t>
            </w:r>
          </w:p>
        </w:tc>
        <w:tc>
          <w:tcPr>
            <w:tcW w:w="387" w:type="pct"/>
            <w:shd w:val="clear" w:color="auto" w:fill="auto"/>
            <w:vAlign w:val="center"/>
          </w:tcPr>
          <w:p>
            <w:pPr>
              <w:pStyle w:val="269"/>
              <w:spacing w:line="240" w:lineRule="auto"/>
            </w:pPr>
            <w:r>
              <w:rPr>
                <w:rFonts w:hint="eastAsi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06" w:type="pct"/>
            <w:shd w:val="clear" w:color="auto" w:fill="auto"/>
            <w:noWrap/>
            <w:vAlign w:val="center"/>
          </w:tcPr>
          <w:p>
            <w:pPr>
              <w:pStyle w:val="269"/>
              <w:spacing w:line="240" w:lineRule="auto"/>
              <w:rPr>
                <w:rFonts w:eastAsia="等线"/>
              </w:rPr>
            </w:pPr>
            <w:r>
              <w:rPr>
                <w:rFonts w:hint="eastAsia"/>
              </w:rPr>
              <w:t>B</w:t>
            </w:r>
            <w:r>
              <w:t>43</w:t>
            </w:r>
          </w:p>
        </w:tc>
        <w:tc>
          <w:tcPr>
            <w:tcW w:w="1168" w:type="pct"/>
            <w:shd w:val="clear" w:color="auto" w:fill="auto"/>
            <w:vAlign w:val="center"/>
          </w:tcPr>
          <w:p>
            <w:pPr>
              <w:pStyle w:val="269"/>
              <w:spacing w:line="240" w:lineRule="auto"/>
              <w:jc w:val="both"/>
            </w:pPr>
            <w:r>
              <w:rPr>
                <w:rFonts w:hint="eastAsia"/>
              </w:rPr>
              <w:t>人员防护装备完备率</w:t>
            </w:r>
          </w:p>
        </w:tc>
        <w:tc>
          <w:tcPr>
            <w:tcW w:w="417" w:type="pct"/>
            <w:shd w:val="clear" w:color="auto" w:fill="auto"/>
            <w:noWrap/>
            <w:vAlign w:val="center"/>
          </w:tcPr>
          <w:p>
            <w:pPr>
              <w:pStyle w:val="269"/>
              <w:spacing w:line="240" w:lineRule="auto"/>
            </w:pPr>
            <w:r>
              <w:rPr>
                <w:rFonts w:hint="eastAsia"/>
              </w:rPr>
              <w:t>%</w:t>
            </w:r>
          </w:p>
        </w:tc>
        <w:tc>
          <w:tcPr>
            <w:tcW w:w="1168" w:type="pct"/>
            <w:shd w:val="clear" w:color="auto" w:fill="auto"/>
            <w:vAlign w:val="center"/>
          </w:tcPr>
          <w:p>
            <w:pPr>
              <w:pStyle w:val="269"/>
              <w:spacing w:line="240" w:lineRule="auto"/>
              <w:jc w:val="both"/>
            </w:pPr>
            <w:r>
              <w:rPr>
                <w:rFonts w:hint="eastAsia"/>
              </w:rPr>
              <w:t>按《城市消防站设计规范》GB51054规范要求数量、性能进行对比</w:t>
            </w:r>
          </w:p>
        </w:tc>
        <w:tc>
          <w:tcPr>
            <w:tcW w:w="1555" w:type="pct"/>
            <w:vAlign w:val="center"/>
          </w:tcPr>
          <w:p>
            <w:pPr>
              <w:pStyle w:val="269"/>
              <w:spacing w:line="240" w:lineRule="auto"/>
              <w:jc w:val="both"/>
            </w:pPr>
            <w:r>
              <w:rPr>
                <w:rFonts w:hint="eastAsia"/>
              </w:rPr>
              <w:t>按照1</w:t>
            </w:r>
            <w:r>
              <w:t>00%</w:t>
            </w:r>
            <w:r>
              <w:rPr>
                <w:rFonts w:hint="eastAsia"/>
              </w:rPr>
              <w:t>确定，达标率*满分</w:t>
            </w:r>
          </w:p>
        </w:tc>
        <w:tc>
          <w:tcPr>
            <w:tcW w:w="387" w:type="pct"/>
            <w:shd w:val="clear" w:color="auto" w:fill="auto"/>
            <w:vAlign w:val="center"/>
          </w:tcPr>
          <w:p>
            <w:pPr>
              <w:pStyle w:val="269"/>
              <w:spacing w:line="240" w:lineRule="auto"/>
            </w:pPr>
            <w:r>
              <w:rPr>
                <w:rFonts w:hint="eastAsia"/>
              </w:rPr>
              <w:t>10</w:t>
            </w:r>
          </w:p>
        </w:tc>
      </w:tr>
    </w:tbl>
    <w:p>
      <w:pPr>
        <w:pStyle w:val="54"/>
        <w:ind w:firstLine="0" w:firstLineChars="0"/>
        <w:rPr>
          <w:rFonts w:ascii="Times New Roman"/>
        </w:rPr>
      </w:pPr>
    </w:p>
    <w:p>
      <w:pPr>
        <w:pStyle w:val="195"/>
      </w:pPr>
      <w:r>
        <w:rPr>
          <w:rFonts w:hint="eastAsia"/>
        </w:rPr>
        <w:t>灭火救援能力评估分值应根据公式</w:t>
      </w:r>
      <w:r>
        <w:t>5.2.8</w:t>
      </w:r>
      <w:r>
        <w:rPr>
          <w:rFonts w:hint="eastAsia"/>
        </w:rPr>
        <w:t>计算，能力等级由高到低划分为</w:t>
      </w:r>
      <w:r>
        <w:t>3</w:t>
      </w:r>
      <w:r>
        <w:rPr>
          <w:rFonts w:hint="eastAsia"/>
        </w:rPr>
        <w:t>个等级，等级划分见表</w:t>
      </w:r>
      <w:r>
        <w:t>5.2.8</w:t>
      </w:r>
      <w:r>
        <w:rPr>
          <w:rFonts w:hint="eastAsia"/>
        </w:rPr>
        <w:t>。</w:t>
      </w:r>
    </w:p>
    <w:p>
      <w:pPr>
        <w:ind w:firstLine="2940" w:firstLineChars="1400"/>
        <w:jc w:val="right"/>
        <w:rPr>
          <w:rFonts w:ascii="Times New Roman" w:hAnsi="Times New Roman"/>
          <w:vanish/>
        </w:rPr>
      </w:pPr>
      <m:oMath>
        <m:r>
          <m:rPr>
            <m:sty m:val="p"/>
          </m:rPr>
          <w:rPr>
            <w:rFonts w:hint="eastAsia" w:ascii="Cambria Math" w:hAnsi="Cambria Math"/>
          </w:rPr>
          <m:t>T</m:t>
        </m:r>
        <m:r>
          <m:rPr>
            <m:sty m:val="p"/>
          </m:rPr>
          <w:rPr>
            <w:rFonts w:ascii="Cambria Math" w:hAnsi="Cambria Math"/>
          </w:rPr>
          <m:t>=1−</m:t>
        </m:r>
        <m:f>
          <m:fPr>
            <m:ctrlPr>
              <w:rPr>
                <w:rFonts w:ascii="Cambria Math" w:hAnsi="Cambria Math"/>
              </w:rPr>
            </m:ctrlPr>
          </m:fPr>
          <m:num>
            <m:nary>
              <m:naryPr>
                <m:chr m:val="∑"/>
                <m:limLoc m:val="undOvr"/>
                <m:ctrlPr>
                  <w:rPr>
                    <w:rFonts w:ascii="Cambria Math" w:hAnsi="Cambria Math"/>
                  </w:rPr>
                </m:ctrlPr>
              </m:naryPr>
              <m:sub>
                <m:r>
                  <m:rPr/>
                  <w:rPr>
                    <w:rFonts w:ascii="Cambria Math" w:hAnsi="Cambria Math"/>
                  </w:rPr>
                  <m:t>i</m:t>
                </m:r>
                <m:r>
                  <m:rPr>
                    <m:sty m:val="p"/>
                  </m:rPr>
                  <w:rPr>
                    <w:rFonts w:ascii="Cambria Math" w:hAnsi="Cambria Math"/>
                  </w:rPr>
                  <m:t>=1</m:t>
                </m:r>
                <m:ctrlPr>
                  <w:rPr>
                    <w:rFonts w:ascii="Cambria Math" w:hAnsi="Cambria Math"/>
                  </w:rPr>
                </m:ctrlPr>
              </m:sub>
              <m:sup>
                <m:r>
                  <m:rPr>
                    <m:sty m:val="p"/>
                  </m:rPr>
                  <w:rPr>
                    <w:rFonts w:ascii="Cambria Math" w:hAnsi="Cambria Math"/>
                  </w:rPr>
                  <m:t>8</m:t>
                </m:r>
                <m:ctrlPr>
                  <w:rPr>
                    <w:rFonts w:ascii="Cambria Math" w:hAnsi="Cambria Math"/>
                  </w:rPr>
                </m:ctrlPr>
              </m:sup>
              <m:e>
                <m:sSub>
                  <m:sSubPr>
                    <m:ctrlPr>
                      <w:rPr>
                        <w:rFonts w:ascii="Cambria Math" w:hAnsi="Cambria Math"/>
                      </w:rPr>
                    </m:ctrlPr>
                  </m:sSubPr>
                  <m:e>
                    <m:r>
                      <m:rPr/>
                      <w:rPr>
                        <w:rFonts w:ascii="Cambria Math" w:hAnsi="Cambria Math"/>
                      </w:rPr>
                      <m:t>U</m:t>
                    </m:r>
                    <m:ctrlPr>
                      <w:rPr>
                        <w:rFonts w:ascii="Cambria Math" w:hAnsi="Cambria Math"/>
                      </w:rPr>
                    </m:ctrlPr>
                  </m:e>
                  <m:sub>
                    <m:r>
                      <m:rPr/>
                      <w:rPr>
                        <w:rFonts w:ascii="Cambria Math" w:hAnsi="Cambria Math"/>
                      </w:rPr>
                      <m:t>i</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w:rPr>
                        <w:rFonts w:ascii="Cambria Math" w:hAnsi="Cambria Math"/>
                      </w:rPr>
                      <m:t>i</m:t>
                    </m:r>
                    <m:ctrlPr>
                      <w:rPr>
                        <w:rFonts w:ascii="Cambria Math" w:hAnsi="Cambria Math"/>
                      </w:rPr>
                    </m:ctrlPr>
                  </m:sub>
                </m:sSub>
                <m:ctrlPr>
                  <w:rPr>
                    <w:rFonts w:ascii="Cambria Math" w:hAnsi="Cambria Math"/>
                  </w:rPr>
                </m:ctrlPr>
              </m:e>
            </m:nary>
            <m:ctrlPr>
              <w:rPr>
                <w:rFonts w:ascii="Cambria Math" w:hAnsi="Cambria Math"/>
              </w:rPr>
            </m:ctrlPr>
          </m:num>
          <m:den>
            <m:r>
              <m:rPr/>
              <w:rPr>
                <w:rFonts w:ascii="Cambria Math" w:hAnsi="Cambria Math"/>
              </w:rPr>
              <m:t>10</m:t>
            </m:r>
            <m:ctrlPr>
              <w:rPr>
                <w:rFonts w:ascii="Cambria Math" w:hAnsi="Cambria Math"/>
              </w:rPr>
            </m:ctrlPr>
          </m:den>
        </m:f>
      </m:oMath>
      <w:r>
        <w:rPr>
          <w:rFonts w:hint="eastAsia" w:ascii="Times New Roman" w:hAnsi="Times New Roman"/>
        </w:rPr>
        <w:t>……………………………………………</w:t>
      </w:r>
    </w:p>
    <w:p>
      <w:pPr>
        <w:pStyle w:val="54"/>
        <w:ind w:firstLine="0" w:firstLineChars="0"/>
        <w:jc w:val="right"/>
        <w:rPr>
          <w:rFonts w:ascii="Times New Roman"/>
        </w:rPr>
      </w:pPr>
      <w:r>
        <w:rPr>
          <w:rFonts w:hint="eastAsia" w:ascii="Times New Roman"/>
        </w:rPr>
        <w:t>（</w:t>
      </w:r>
      <w:r>
        <w:rPr>
          <w:rFonts w:ascii="Times New Roman"/>
        </w:rPr>
        <w:t>5.2.8</w:t>
      </w:r>
      <w:r>
        <w:rPr>
          <w:rFonts w:hint="eastAsia" w:ascii="Times New Roman"/>
        </w:rPr>
        <w:t>）</w:t>
      </w:r>
    </w:p>
    <w:p>
      <w:pPr>
        <w:pStyle w:val="54"/>
        <w:ind w:firstLine="480"/>
        <w:rPr>
          <w:rFonts w:ascii="Times New Roman"/>
        </w:rPr>
      </w:pPr>
      <w:r>
        <w:rPr>
          <w:rFonts w:hint="eastAsia" w:ascii="Times New Roman"/>
        </w:rPr>
        <w:t>式中：</w:t>
      </w:r>
    </w:p>
    <w:p>
      <w:pPr>
        <w:pStyle w:val="54"/>
        <w:ind w:firstLine="960" w:firstLineChars="400"/>
        <w:rPr>
          <w:rFonts w:ascii="Times New Roman"/>
        </w:rPr>
      </w:pPr>
      <w:r>
        <w:rPr>
          <w:rFonts w:hint="eastAsia" w:ascii="Times New Roman"/>
        </w:rPr>
        <w:t>T——消防站灭火救援能力评价分值；</w:t>
      </w:r>
    </w:p>
    <w:p>
      <w:pPr>
        <w:pStyle w:val="54"/>
        <w:ind w:firstLine="960" w:firstLineChars="400"/>
        <w:rPr>
          <w:rFonts w:ascii="Times New Roman"/>
        </w:rPr>
      </w:pPr>
      <m:oMath>
        <m:sSub>
          <m:sSubPr>
            <m:ctrlPr>
              <w:rPr>
                <w:rFonts w:ascii="Cambria Math" w:hAnsi="Cambria Math"/>
              </w:rPr>
            </m:ctrlPr>
          </m:sSubPr>
          <m:e>
            <m:r>
              <m:rPr/>
              <w:rPr>
                <w:rFonts w:ascii="Cambria Math" w:hAnsi="Cambria Math"/>
              </w:rPr>
              <m:t>U</m:t>
            </m:r>
            <m:ctrlPr>
              <w:rPr>
                <w:rFonts w:ascii="Cambria Math" w:hAnsi="Cambria Math"/>
              </w:rPr>
            </m:ctrlPr>
          </m:e>
          <m:sub>
            <m:r>
              <m:rPr/>
              <w:rPr>
                <w:rFonts w:ascii="Cambria Math" w:hAnsi="Cambria Math"/>
              </w:rPr>
              <m:t>i</m:t>
            </m:r>
            <m:ctrlPr>
              <w:rPr>
                <w:rFonts w:ascii="Cambria Math" w:hAnsi="Cambria Math"/>
              </w:rPr>
            </m:ctrlPr>
          </m:sub>
        </m:sSub>
      </m:oMath>
      <w:r>
        <w:rPr>
          <w:rFonts w:hint="eastAsia" w:ascii="Times New Roman"/>
        </w:rPr>
        <w:t>——各指标得份；</w:t>
      </w:r>
    </w:p>
    <w:p>
      <w:pPr>
        <w:pStyle w:val="54"/>
        <w:ind w:firstLine="960" w:firstLineChars="400"/>
        <w:rPr>
          <w:rFonts w:ascii="Times New Roman"/>
        </w:rPr>
      </w:pPr>
      <m:oMath>
        <m:sSub>
          <m:sSubPr>
            <m:ctrlPr>
              <w:rPr>
                <w:rFonts w:ascii="Cambria Math" w:hAnsi="Cambria Math"/>
              </w:rPr>
            </m:ctrlPr>
          </m:sSubPr>
          <m:e>
            <m:r>
              <m:rPr/>
              <w:rPr>
                <w:rFonts w:ascii="Cambria Math" w:hAnsi="Cambria Math"/>
              </w:rPr>
              <m:t>w</m:t>
            </m:r>
            <m:ctrlPr>
              <w:rPr>
                <w:rFonts w:ascii="Cambria Math" w:hAnsi="Cambria Math"/>
              </w:rPr>
            </m:ctrlPr>
          </m:e>
          <m:sub>
            <m:r>
              <m:rPr/>
              <w:rPr>
                <w:rFonts w:ascii="Cambria Math" w:hAnsi="Cambria Math"/>
              </w:rPr>
              <m:t>i</m:t>
            </m:r>
            <m:ctrlPr>
              <w:rPr>
                <w:rFonts w:ascii="Cambria Math" w:hAnsi="Cambria Math"/>
              </w:rPr>
            </m:ctrlPr>
          </m:sub>
        </m:sSub>
      </m:oMath>
      <w:r>
        <w:rPr>
          <w:rFonts w:hint="eastAsia" w:ascii="Times New Roman"/>
        </w:rPr>
        <w:t>——各指标应对目标层的权重。</w:t>
      </w:r>
    </w:p>
    <w:p>
      <w:pPr>
        <w:pStyle w:val="142"/>
        <w:spacing w:before="120" w:after="120"/>
      </w:pPr>
      <w:r>
        <w:rPr>
          <w:rFonts w:hint="eastAsia"/>
        </w:rPr>
        <w:t>表</w:t>
      </w:r>
      <w:r>
        <w:t xml:space="preserve">5.2.8  </w:t>
      </w:r>
      <w:r>
        <w:rPr>
          <w:rFonts w:hint="eastAsia"/>
        </w:rPr>
        <w:t>消防队灭火救援能力评估结果划分</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65"/>
        <w:gridCol w:w="5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3" w:type="pct"/>
            <w:shd w:val="clear" w:color="auto" w:fill="auto"/>
            <w:vAlign w:val="center"/>
          </w:tcPr>
          <w:p>
            <w:pPr>
              <w:pStyle w:val="207"/>
              <w:rPr>
                <w:b/>
              </w:rPr>
            </w:pPr>
            <w:r>
              <w:rPr>
                <w:rFonts w:hint="eastAsia"/>
                <w:b/>
              </w:rPr>
              <w:t>能力等级</w:t>
            </w:r>
          </w:p>
        </w:tc>
        <w:tc>
          <w:tcPr>
            <w:tcW w:w="2667" w:type="pct"/>
            <w:shd w:val="clear" w:color="auto" w:fill="auto"/>
            <w:vAlign w:val="center"/>
          </w:tcPr>
          <w:p>
            <w:pPr>
              <w:pStyle w:val="207"/>
              <w:rPr>
                <w:b/>
              </w:rPr>
            </w:pPr>
            <w:r>
              <w:rPr>
                <w:rFonts w:hint="eastAsia"/>
                <w:b/>
              </w:rPr>
              <w:t>能力分值（分）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3" w:type="pct"/>
            <w:shd w:val="clear" w:color="auto" w:fill="auto"/>
            <w:vAlign w:val="center"/>
          </w:tcPr>
          <w:p>
            <w:pPr>
              <w:pStyle w:val="207"/>
            </w:pPr>
            <w:r>
              <w:rPr>
                <w:bCs/>
                <w:szCs w:val="18"/>
              </w:rPr>
              <w:t>一级（</w:t>
            </w:r>
            <w:r>
              <w:rPr>
                <w:rFonts w:hint="eastAsia"/>
                <w:bCs/>
                <w:szCs w:val="18"/>
              </w:rPr>
              <w:t>优良</w:t>
            </w:r>
            <w:r>
              <w:rPr>
                <w:bCs/>
                <w:szCs w:val="18"/>
              </w:rPr>
              <w:t>）</w:t>
            </w:r>
          </w:p>
        </w:tc>
        <w:tc>
          <w:tcPr>
            <w:tcW w:w="2667" w:type="pct"/>
            <w:shd w:val="clear" w:color="auto" w:fill="auto"/>
          </w:tcPr>
          <w:p>
            <w:pPr>
              <w:pStyle w:val="207"/>
            </w:pPr>
            <w:r>
              <w:rPr>
                <w:rFonts w:hint="eastAsia"/>
              </w:rPr>
              <w:t>T≦0</w:t>
            </w: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3" w:type="pct"/>
            <w:shd w:val="clear" w:color="auto" w:fill="auto"/>
            <w:vAlign w:val="center"/>
          </w:tcPr>
          <w:p>
            <w:pPr>
              <w:pStyle w:val="207"/>
            </w:pPr>
            <w:r>
              <w:rPr>
                <w:bCs/>
                <w:szCs w:val="18"/>
              </w:rPr>
              <w:t>二级（</w:t>
            </w:r>
            <w:r>
              <w:rPr>
                <w:rFonts w:hint="eastAsia"/>
                <w:bCs/>
                <w:szCs w:val="18"/>
              </w:rPr>
              <w:t>中等</w:t>
            </w:r>
            <w:r>
              <w:rPr>
                <w:bCs/>
                <w:szCs w:val="18"/>
              </w:rPr>
              <w:t>）</w:t>
            </w:r>
          </w:p>
        </w:tc>
        <w:tc>
          <w:tcPr>
            <w:tcW w:w="2667" w:type="pct"/>
            <w:shd w:val="clear" w:color="auto" w:fill="auto"/>
            <w:vAlign w:val="center"/>
          </w:tcPr>
          <w:p>
            <w:pPr>
              <w:pStyle w:val="207"/>
            </w:pPr>
            <w:r>
              <w:t>0.2</w:t>
            </w:r>
            <w:r>
              <w:rPr>
                <w:rFonts w:hint="eastAsia"/>
              </w:rPr>
              <w:t>＜T≦0</w:t>
            </w:r>
            <w: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3" w:type="pct"/>
            <w:shd w:val="clear" w:color="auto" w:fill="auto"/>
            <w:vAlign w:val="center"/>
          </w:tcPr>
          <w:p>
            <w:pPr>
              <w:pStyle w:val="207"/>
            </w:pPr>
            <w:r>
              <w:rPr>
                <w:rFonts w:hint="eastAsia"/>
                <w:bCs/>
                <w:szCs w:val="18"/>
              </w:rPr>
              <w:t>三</w:t>
            </w:r>
            <w:r>
              <w:rPr>
                <w:bCs/>
                <w:szCs w:val="18"/>
              </w:rPr>
              <w:t>级（</w:t>
            </w:r>
            <w:r>
              <w:rPr>
                <w:rFonts w:hint="eastAsia"/>
                <w:bCs/>
                <w:szCs w:val="18"/>
              </w:rPr>
              <w:t>待改善</w:t>
            </w:r>
            <w:r>
              <w:rPr>
                <w:bCs/>
                <w:szCs w:val="18"/>
              </w:rPr>
              <w:t>）</w:t>
            </w:r>
          </w:p>
        </w:tc>
        <w:tc>
          <w:tcPr>
            <w:tcW w:w="2667" w:type="pct"/>
            <w:shd w:val="clear" w:color="auto" w:fill="auto"/>
            <w:vAlign w:val="center"/>
          </w:tcPr>
          <w:p>
            <w:pPr>
              <w:pStyle w:val="207"/>
            </w:pPr>
            <w:r>
              <w:rPr>
                <w:rFonts w:hint="eastAsia"/>
              </w:rPr>
              <w:t>T＞</w:t>
            </w:r>
            <w:r>
              <w:t>0.4</w:t>
            </w:r>
          </w:p>
        </w:tc>
      </w:tr>
    </w:tbl>
    <w:p>
      <w:pPr>
        <w:pStyle w:val="54"/>
        <w:ind w:firstLine="640"/>
        <w:rPr>
          <w:rFonts w:ascii="Times New Roman"/>
          <w:sz w:val="32"/>
          <w:szCs w:val="32"/>
        </w:rPr>
      </w:pPr>
    </w:p>
    <w:p>
      <w:pPr>
        <w:pStyle w:val="135"/>
        <w:spacing w:before="120" w:after="120"/>
        <w:ind w:left="0"/>
        <w:jc w:val="center"/>
        <w:rPr>
          <w:rFonts w:ascii="Times New Roman"/>
          <w:sz w:val="28"/>
          <w:szCs w:val="28"/>
        </w:rPr>
      </w:pPr>
      <w:bookmarkStart w:id="158" w:name="_Toc214008846"/>
      <w:bookmarkStart w:id="159" w:name="_Toc214005683"/>
      <w:bookmarkStart w:id="160" w:name="_Toc214005514"/>
      <w:bookmarkStart w:id="161" w:name="_Toc27231"/>
      <w:r>
        <w:rPr>
          <w:rFonts w:hint="eastAsia" w:ascii="Times New Roman"/>
          <w:sz w:val="28"/>
          <w:szCs w:val="28"/>
        </w:rPr>
        <w:t>人员损失分析方法</w:t>
      </w:r>
      <w:bookmarkEnd w:id="142"/>
      <w:bookmarkEnd w:id="143"/>
      <w:bookmarkEnd w:id="144"/>
      <w:bookmarkEnd w:id="145"/>
      <w:bookmarkEnd w:id="158"/>
      <w:bookmarkEnd w:id="159"/>
      <w:bookmarkEnd w:id="160"/>
      <w:bookmarkEnd w:id="161"/>
    </w:p>
    <w:p>
      <w:pPr>
        <w:pStyle w:val="195"/>
      </w:pPr>
      <w:r>
        <w:t>衡量人员</w:t>
      </w:r>
      <w:r>
        <w:rPr>
          <w:rFonts w:hint="eastAsia"/>
        </w:rPr>
        <w:t>损失风险</w:t>
      </w:r>
      <w:r>
        <w:t>时</w:t>
      </w:r>
      <w:r>
        <w:rPr>
          <w:rFonts w:hint="eastAsia"/>
        </w:rPr>
        <w:t>应分析</w:t>
      </w:r>
      <w:r>
        <w:t>火灾</w:t>
      </w:r>
      <w:r>
        <w:rPr>
          <w:rFonts w:hint="eastAsia"/>
        </w:rPr>
        <w:t>时</w:t>
      </w:r>
      <w:r>
        <w:t>建筑物内的可用疏散时间</w:t>
      </w:r>
      <w:r>
        <w:rPr>
          <w:rFonts w:hint="eastAsia"/>
        </w:rPr>
        <w:t>（</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rPr>
          <w:rFonts w:hint="eastAsia"/>
        </w:rPr>
        <w:t>）和建筑内人员必需疏散时间（</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oMath>
      <w:r>
        <w:rPr>
          <w:rFonts w:hint="eastAsia"/>
        </w:rPr>
        <w:t>）。当</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r>
          <m:rPr>
            <m:sty m:val="p"/>
          </m:rPr>
          <w:rPr>
            <w:rFonts w:ascii="Cambria Math" w:hAnsi="Cambria Math"/>
          </w:rPr>
          <m:t>&gt;</m:t>
        </m:r>
        <m:sSub>
          <w:bookmarkStart w:id="162" w:name="OLE_LINK3"/>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w:bookmarkEnd w:id="162"/>
          </m:sub>
        </m:sSub>
      </m:oMath>
      <w:r>
        <w:rPr>
          <w:rFonts w:hint="eastAsia"/>
        </w:rPr>
        <w:t>时，认为建筑物中人员能够安全疏散。建筑物的</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rPr>
          <w:rFonts w:hint="eastAsia"/>
        </w:rPr>
        <w:t>和</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oMath>
      <w:r>
        <w:rPr>
          <w:rFonts w:hint="eastAsia"/>
        </w:rPr>
        <w:t>可采用软件模拟预测、经验公式计算等方法得到</w:t>
      </w:r>
      <w:r>
        <w:t>。</w:t>
      </w:r>
    </w:p>
    <w:p>
      <w:pPr>
        <w:pStyle w:val="255"/>
        <w:jc w:val="center"/>
      </w:pPr>
      <w:r>
        <w:drawing>
          <wp:inline distT="0" distB="0" distL="0" distR="0">
            <wp:extent cx="5912485" cy="1920875"/>
            <wp:effectExtent l="0" t="0" r="0" b="0"/>
            <wp:docPr id="9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919826" cy="1923711"/>
                    </a:xfrm>
                    <a:prstGeom prst="rect">
                      <a:avLst/>
                    </a:prstGeom>
                    <a:noFill/>
                    <a:ln>
                      <a:noFill/>
                    </a:ln>
                  </pic:spPr>
                </pic:pic>
              </a:graphicData>
            </a:graphic>
          </wp:inline>
        </w:drawing>
      </w:r>
    </w:p>
    <w:p>
      <w:pPr>
        <w:pStyle w:val="142"/>
        <w:spacing w:before="120" w:after="120"/>
      </w:pPr>
      <w:r>
        <w:rPr>
          <w:rFonts w:hint="eastAsia"/>
        </w:rPr>
        <w:t>图</w:t>
      </w:r>
      <w:r>
        <w:t>5</w:t>
      </w:r>
      <w:r>
        <w:rPr>
          <w:rFonts w:hint="eastAsia"/>
        </w:rPr>
        <w:t>.</w:t>
      </w:r>
      <w:r>
        <w:t xml:space="preserve">3.1  </w:t>
      </w:r>
      <w:r>
        <w:rPr>
          <w:rFonts w:hint="eastAsia"/>
        </w:rPr>
        <w:t>建筑火灾人员疏散评估流程示意图</w:t>
      </w:r>
    </w:p>
    <w:p>
      <w:pPr>
        <w:pStyle w:val="195"/>
      </w:pPr>
      <w:r>
        <w:t>必需疏散时间（</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oMath>
      <w:r>
        <w:t>）包括</w:t>
      </w:r>
      <w:r>
        <w:rPr>
          <w:rFonts w:hint="eastAsia"/>
        </w:rPr>
        <w:t>响应</w:t>
      </w:r>
      <w:r>
        <w:t>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r</m:t>
            </m:r>
            <m:r>
              <m:rPr/>
              <w:rPr>
                <w:rFonts w:ascii="Cambria Math" w:hAnsi="Cambria Math"/>
              </w:rPr>
              <m:t>e</m:t>
            </m:r>
            <m:r>
              <m:rPr/>
              <w:rPr>
                <w:rFonts w:hint="eastAsia" w:ascii="Cambria Math" w:hAnsi="Cambria Math"/>
              </w:rPr>
              <m:t>s</m:t>
            </m:r>
            <m:ctrlPr>
              <w:rPr>
                <w:rFonts w:ascii="Cambria Math" w:hAnsi="Cambria Math"/>
              </w:rPr>
            </m:ctrlPr>
          </m:sub>
        </m:sSub>
      </m:oMath>
      <w:r>
        <w:t>、预动作时间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pre</m:t>
            </m:r>
            <m:ctrlPr>
              <w:rPr>
                <w:rFonts w:ascii="Cambria Math" w:hAnsi="Cambria Math"/>
              </w:rPr>
            </m:ctrlPr>
          </m:sub>
        </m:sSub>
      </m:oMath>
      <w:r>
        <w:t>和</w:t>
      </w:r>
      <w:r>
        <w:rPr>
          <w:rFonts w:hint="eastAsia"/>
        </w:rPr>
        <w:t>运动</w:t>
      </w:r>
      <w:r>
        <w:t>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oMath>
      <w:r>
        <w:t>。</w:t>
      </w:r>
    </w:p>
    <w:p>
      <w:pPr>
        <w:pStyle w:val="54"/>
        <w:ind w:firstLine="0" w:firstLineChars="0"/>
        <w:jc w:val="right"/>
        <w:rPr>
          <w:rFonts w:ascii="Times New Roman"/>
        </w:rPr>
      </w:pP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res</m:t>
            </m:r>
            <m:ctrlPr>
              <w:rPr>
                <w:rFonts w:ascii="Cambria Math" w:hAnsi="Cambria Math"/>
              </w:rPr>
            </m:ctrlPr>
          </m:sub>
        </m:sSub>
        <m:r>
          <m:rPr/>
          <w:rPr>
            <w:rFonts w:hint="eastAsia"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pre</m:t>
            </m:r>
            <m:ctrlPr>
              <w:rPr>
                <w:rFonts w:ascii="Cambria Math" w:hAnsi="Cambria Math"/>
              </w:rPr>
            </m:ctrlPr>
          </m:sub>
        </m:sSub>
        <m:r>
          <m:rPr/>
          <w:rPr>
            <w:rFonts w:ascii="Cambria Math" w:hAnsi="Cambria Math"/>
          </w:rPr>
          <m:t>+β</m:t>
        </m:r>
        <m:r>
          <m:rPr/>
          <w:rPr>
            <w:rFonts w:hint="eastAsia"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oMath>
      <w:r>
        <w:rPr>
          <w:rFonts w:ascii="Times New Roman"/>
        </w:rPr>
        <w:t>……………………………（5.3.2）</w:t>
      </w:r>
    </w:p>
    <w:p>
      <w:pPr>
        <w:pStyle w:val="54"/>
        <w:ind w:firstLine="480"/>
        <w:jc w:val="left"/>
        <w:rPr>
          <w:rFonts w:ascii="Times New Roman"/>
        </w:rPr>
      </w:pPr>
      <w:r>
        <w:rPr>
          <w:rFonts w:hint="eastAsia" w:ascii="Times New Roman"/>
        </w:rPr>
        <w:t>式中：</w:t>
      </w:r>
      <m:oMath>
        <m:r>
          <m:rPr/>
          <w:rPr>
            <w:rFonts w:ascii="Cambria Math" w:hAnsi="Cambria Math"/>
          </w:rPr>
          <m:t>β</m:t>
        </m:r>
      </m:oMath>
      <w:r>
        <w:rPr>
          <w:rFonts w:hint="eastAsia" w:ascii="Times New Roman"/>
        </w:rPr>
        <w:t>为安全余量系数，通常取1</w:t>
      </w:r>
      <w:r>
        <w:rPr>
          <w:rFonts w:ascii="Times New Roman"/>
        </w:rPr>
        <w:t>.5~2.0</w:t>
      </w:r>
      <w:r>
        <w:rPr>
          <w:rFonts w:hint="eastAsia" w:ascii="Times New Roman"/>
        </w:rPr>
        <w:t>。</w:t>
      </w:r>
    </w:p>
    <w:p>
      <w:pPr>
        <w:pStyle w:val="195"/>
      </w:pPr>
      <w:r>
        <w:t>火灾探测</w:t>
      </w:r>
      <w:r>
        <w:rPr>
          <w:rFonts w:hint="eastAsia"/>
        </w:rPr>
        <w:t>和</w:t>
      </w:r>
      <w:r>
        <w:t>报警时间与建筑内设置火灾报警装置的类型及其布置、人员清醒状态等有关系</w:t>
      </w:r>
      <w:r>
        <w:rPr>
          <w:rFonts w:hint="eastAsia"/>
        </w:rPr>
        <w:t>。</w:t>
      </w:r>
    </w:p>
    <w:p>
      <w:pPr>
        <w:pStyle w:val="255"/>
        <w:spacing w:line="240" w:lineRule="auto"/>
        <w:ind w:firstLine="480" w:firstLineChars="200"/>
      </w:pPr>
    </w:p>
    <w:p>
      <w:pPr>
        <w:pStyle w:val="195"/>
      </w:pPr>
      <w:r>
        <w:rPr>
          <w:rFonts w:hint="eastAsia"/>
        </w:rPr>
        <w:t>影响感温探测器响应时间的因素宜包括下列内容：</w:t>
      </w:r>
    </w:p>
    <w:p>
      <w:pPr>
        <w:pStyle w:val="255"/>
        <w:ind w:firstLine="480" w:firstLineChars="200"/>
      </w:pPr>
      <w:r>
        <w:rPr>
          <w:rFonts w:hint="eastAsia"/>
        </w:rPr>
        <w:t>1</w:t>
      </w:r>
      <w:r>
        <w:t xml:space="preserve">  </w:t>
      </w:r>
      <w:r>
        <w:rPr>
          <w:rFonts w:hint="eastAsia"/>
        </w:rPr>
        <w:t>热敏元件的热特性，包括质量、比热容、表面积等；</w:t>
      </w:r>
    </w:p>
    <w:p>
      <w:pPr>
        <w:pStyle w:val="255"/>
        <w:ind w:firstLine="480" w:firstLineChars="200"/>
      </w:pPr>
      <w:r>
        <w:t xml:space="preserve">2  </w:t>
      </w:r>
      <w:r>
        <w:rPr>
          <w:rFonts w:hint="eastAsia"/>
        </w:rPr>
        <w:t>火灾环境中的对流热传递系数；</w:t>
      </w:r>
    </w:p>
    <w:p>
      <w:pPr>
        <w:pStyle w:val="255"/>
        <w:ind w:left="480"/>
      </w:pPr>
      <w:r>
        <w:rPr>
          <w:rFonts w:hint="eastAsia"/>
        </w:rPr>
        <w:t>3</w:t>
      </w:r>
      <w:r>
        <w:t xml:space="preserve">  </w:t>
      </w:r>
      <w:r>
        <w:rPr>
          <w:rFonts w:hint="eastAsia"/>
        </w:rPr>
        <w:t>热敏元件与探测器的其他部分产生的传导热损失。</w:t>
      </w:r>
    </w:p>
    <w:p>
      <w:pPr>
        <w:pStyle w:val="195"/>
      </w:pPr>
      <w:r>
        <w:t>感温火灾探测器</w:t>
      </w:r>
      <w:r>
        <w:rPr>
          <w:rFonts w:hint="eastAsia"/>
        </w:rPr>
        <w:t>响应</w:t>
      </w:r>
      <w:r>
        <w:t>时间</w:t>
      </w:r>
      <w:r>
        <w:rPr>
          <w:rFonts w:hint="eastAsia"/>
        </w:rPr>
        <w:t>可</w:t>
      </w:r>
      <w:r>
        <w:t>按照公式（5.3.5-1）~（5.3.5-6）计算</w:t>
      </w:r>
      <w:r>
        <w:rPr>
          <w:rFonts w:hint="eastAsia"/>
        </w:rPr>
        <w:t>得到</w:t>
      </w:r>
      <w:r>
        <w:t>：</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res</m:t>
            </m:r>
            <m:ctrlPr>
              <w:rPr>
                <w:rFonts w:ascii="Cambria Math" w:hAnsi="Cambria Math"/>
              </w:rPr>
            </m:ctrlPr>
          </m:sub>
        </m:sSub>
        <m:r>
          <m:rPr>
            <m:sty m:val="p"/>
          </m:rPr>
          <w:rPr>
            <w:rFonts w:ascii="Cambria Math" w:hAnsi="Cambria Math"/>
          </w:rPr>
          <m:t>=</m:t>
        </m:r>
        <m:f>
          <m:fPr>
            <m:ctrlPr>
              <w:rPr>
                <w:rFonts w:ascii="Cambria Math" w:hAnsi="Cambria Math"/>
              </w:rPr>
            </m:ctrlPr>
          </m:fPr>
          <m:num>
            <m:r>
              <m:rPr/>
              <w:rPr>
                <w:rFonts w:ascii="Cambria Math" w:hAnsi="Cambria Math"/>
              </w:rPr>
              <m:t>RTI</m:t>
            </m:r>
            <m:ctrlPr>
              <w:rPr>
                <w:rFonts w:ascii="Cambria Math" w:hAnsi="Cambria Math"/>
              </w:rPr>
            </m:ctrlPr>
          </m:num>
          <m:den>
            <m:rad>
              <m:radPr>
                <m:degHide m:val="1"/>
                <m:ctrlPr>
                  <w:rPr>
                    <w:rFonts w:ascii="Cambria Math" w:hAnsi="Cambria Math"/>
                    <w:i/>
                  </w:rPr>
                </m:ctrlPr>
              </m:radPr>
              <m:deg>
                <m:ctrlPr>
                  <w:rPr>
                    <w:rFonts w:ascii="Cambria Math" w:hAnsi="Cambria Math"/>
                    <w:i/>
                  </w:rPr>
                </m:ctrlPr>
              </m:deg>
              <m:e>
                <m:sSub>
                  <m:sSubPr>
                    <m:ctrlPr>
                      <w:rPr>
                        <w:rFonts w:ascii="Cambria Math" w:hAnsi="Cambria Math"/>
                        <w:i/>
                      </w:rPr>
                    </m:ctrlPr>
                  </m:sSubPr>
                  <m:e>
                    <m:r>
                      <m:rPr/>
                      <w:rPr>
                        <w:rFonts w:ascii="Cambria Math" w:hAnsi="Cambria Math"/>
                      </w:rPr>
                      <m:t>u</m:t>
                    </m:r>
                    <m:ctrlPr>
                      <w:rPr>
                        <w:rFonts w:ascii="Cambria Math" w:hAnsi="Cambria Math"/>
                        <w:i/>
                      </w:rPr>
                    </m:ctrlPr>
                  </m:e>
                  <m:sub>
                    <m:r>
                      <m:rPr/>
                      <w:rPr>
                        <w:rFonts w:ascii="Cambria Math" w:hAnsi="Cambria Math"/>
                      </w:rPr>
                      <m:t>max</m:t>
                    </m:r>
                    <m:ctrlPr>
                      <w:rPr>
                        <w:rFonts w:ascii="Cambria Math" w:hAnsi="Cambria Math"/>
                        <w:i/>
                      </w:rPr>
                    </m:ctrlPr>
                  </m:sub>
                </m:sSub>
                <m:ctrlPr>
                  <w:rPr>
                    <w:rFonts w:ascii="Cambria Math" w:hAnsi="Cambria Math"/>
                    <w:i/>
                  </w:rPr>
                </m:ctrlPr>
              </m:e>
            </m:rad>
            <m:ctrlPr>
              <w:rPr>
                <w:rFonts w:ascii="Cambria Math" w:hAnsi="Cambria Math"/>
              </w:rPr>
            </m:ctrlPr>
          </m:den>
        </m:f>
        <m:r>
          <m:rPr>
            <m:sty m:val="p"/>
          </m:rPr>
          <w:rPr>
            <w:rFonts w:ascii="Cambria Math" w:hAnsi="Cambria Math"/>
          </w:rPr>
          <m:t>ln⁡</m:t>
        </m:r>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r>
              <m:rPr/>
              <w:rPr>
                <w:rFonts w:ascii="Cambria Math" w:hAnsi="Cambria Math"/>
              </w:rPr>
              <m:t>−T</m:t>
            </m:r>
            <m:ctrlPr>
              <w:rPr>
                <w:rFonts w:ascii="Cambria Math" w:hAnsi="Cambria Math"/>
                <w:i/>
              </w:rPr>
            </m:ctrlPr>
          </m:den>
        </m:f>
        <m:r>
          <m:rPr/>
          <w:rPr>
            <w:rFonts w:ascii="Cambria Math" w:hAnsi="Cambria Math"/>
          </w:rPr>
          <m:t>)</m:t>
        </m:r>
      </m:oMath>
      <w:r>
        <w:rPr>
          <w:rFonts w:ascii="Times New Roman"/>
        </w:rPr>
        <w:t>………………………………………（5.3.5-1）</w:t>
      </w:r>
    </w:p>
    <w:p>
      <w:pPr>
        <w:pStyle w:val="54"/>
        <w:ind w:firstLine="480"/>
        <w:jc w:val="right"/>
        <w:rPr>
          <w:rFonts w:ascii="Times New Roman"/>
        </w:rPr>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r>
          <m:rPr/>
          <w:rPr>
            <w:rFonts w:ascii="Cambria Math" w:hAnsi="Cambria Math"/>
          </w:rPr>
          <m:t>=</m:t>
        </m:r>
        <m:f>
          <m:fPr>
            <m:ctrlPr>
              <w:rPr>
                <w:rFonts w:ascii="Cambria Math" w:hAnsi="Cambria Math"/>
                <w:i/>
              </w:rPr>
            </m:ctrlPr>
          </m:fPr>
          <m:num>
            <m:r>
              <m:rPr/>
              <w:rPr>
                <w:rFonts w:ascii="Cambria Math" w:hAnsi="Cambria Math"/>
              </w:rPr>
              <m:t>5.38</m:t>
            </m:r>
            <m:sSup>
              <m:sSupPr>
                <m:ctrlPr>
                  <w:rPr>
                    <w:rFonts w:ascii="Cambria Math" w:hAnsi="Cambria Math"/>
                    <w:i/>
                  </w:rPr>
                </m:ctrlPr>
              </m:sSupPr>
              <m:e>
                <m:r>
                  <m:rPr/>
                  <w:rPr>
                    <w:rFonts w:ascii="Cambria Math" w:hAnsi="Cambria Math"/>
                  </w:rPr>
                  <m:t>(Q/r)</m:t>
                </m:r>
                <m:ctrlPr>
                  <w:rPr>
                    <w:rFonts w:ascii="Cambria Math" w:hAnsi="Cambria Math"/>
                    <w:i/>
                  </w:rPr>
                </m:ctrlPr>
              </m:e>
              <m:sup>
                <m:r>
                  <m:rPr/>
                  <w:rPr>
                    <w:rFonts w:ascii="Cambria Math" w:hAnsi="Cambria Math"/>
                  </w:rPr>
                  <m:t>2/3</m:t>
                </m:r>
                <m:ctrlPr>
                  <w:rPr>
                    <w:rFonts w:ascii="Cambria Math" w:hAnsi="Cambria Math"/>
                    <w:i/>
                  </w:rPr>
                </m:ctrlPr>
              </m:sup>
            </m:sSup>
            <m:ctrlPr>
              <w:rPr>
                <w:rFonts w:ascii="Cambria Math" w:hAnsi="Cambria Math"/>
                <w:i/>
              </w:rPr>
            </m:ctrlPr>
          </m:num>
          <m:den>
            <m:r>
              <m:rPr/>
              <w:rPr>
                <w:rFonts w:ascii="Cambria Math" w:hAnsi="Cambria Math"/>
              </w:rPr>
              <m:t>H</m:t>
            </m:r>
            <m:ctrlPr>
              <w:rPr>
                <w:rFonts w:ascii="Cambria Math" w:hAnsi="Cambria Math"/>
                <w:i/>
              </w:rPr>
            </m:ctrlPr>
          </m:den>
        </m:f>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oMath>
      <w:r>
        <w:rPr>
          <w:rFonts w:ascii="Times New Roman"/>
        </w:rPr>
        <w:t xml:space="preserve">      </w:t>
      </w:r>
      <m:oMath>
        <m:r>
          <m:rPr>
            <m:sty m:val="p"/>
          </m:rPr>
          <w:rPr>
            <w:rFonts w:ascii="Cambria Math" w:hAnsi="Cambria Math"/>
          </w:rPr>
          <m:t>r&gt;0.18H</m:t>
        </m:r>
      </m:oMath>
      <w:r>
        <w:rPr>
          <w:rFonts w:ascii="Times New Roman"/>
        </w:rPr>
        <w:t>……………………（5.3.5-2）</w:t>
      </w:r>
    </w:p>
    <w:p>
      <w:pPr>
        <w:pStyle w:val="54"/>
        <w:ind w:firstLine="480"/>
        <w:jc w:val="right"/>
        <w:rPr>
          <w:rFonts w:ascii="Times New Roman"/>
        </w:rPr>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r>
          <m:rPr/>
          <w:rPr>
            <w:rFonts w:ascii="Cambria Math" w:hAnsi="Cambria Math"/>
          </w:rPr>
          <m:t>=</m:t>
        </m:r>
        <m:f>
          <m:fPr>
            <m:ctrlPr>
              <w:rPr>
                <w:rFonts w:ascii="Cambria Math" w:hAnsi="Cambria Math"/>
                <w:i/>
              </w:rPr>
            </m:ctrlPr>
          </m:fPr>
          <m:num>
            <m:r>
              <m:rPr/>
              <w:rPr>
                <w:rFonts w:ascii="Cambria Math" w:hAnsi="Cambria Math"/>
              </w:rPr>
              <m:t>16.9</m:t>
            </m:r>
            <m:sSup>
              <m:sSupPr>
                <m:ctrlPr>
                  <w:rPr>
                    <w:rFonts w:ascii="Cambria Math" w:hAnsi="Cambria Math"/>
                    <w:i/>
                  </w:rPr>
                </m:ctrlPr>
              </m:sSupPr>
              <m:e>
                <m:r>
                  <m:rPr/>
                  <w:rPr>
                    <w:rFonts w:ascii="Cambria Math" w:hAnsi="Cambria Math"/>
                  </w:rPr>
                  <m:t>Q</m:t>
                </m:r>
                <m:ctrlPr>
                  <w:rPr>
                    <w:rFonts w:ascii="Cambria Math" w:hAnsi="Cambria Math"/>
                    <w:i/>
                  </w:rPr>
                </m:ctrlPr>
              </m:e>
              <m:sup>
                <m:r>
                  <m:rPr/>
                  <w:rPr>
                    <w:rFonts w:ascii="Cambria Math" w:hAnsi="Cambria Math"/>
                  </w:rPr>
                  <m:t>2/3</m:t>
                </m:r>
                <m:ctrlPr>
                  <w:rPr>
                    <w:rFonts w:ascii="Cambria Math" w:hAnsi="Cambria Math"/>
                    <w:i/>
                  </w:rPr>
                </m:ctrlPr>
              </m:sup>
            </m:sSup>
            <m:ctrlPr>
              <w:rPr>
                <w:rFonts w:ascii="Cambria Math" w:hAnsi="Cambria Math"/>
                <w:i/>
              </w:rPr>
            </m:ctrlPr>
          </m:num>
          <m:den>
            <m:sSup>
              <m:sSupPr>
                <m:ctrlPr>
                  <w:rPr>
                    <w:rFonts w:ascii="Cambria Math" w:hAnsi="Cambria Math"/>
                    <w:i/>
                  </w:rPr>
                </m:ctrlPr>
              </m:sSupPr>
              <m:e>
                <m:r>
                  <m:rPr/>
                  <w:rPr>
                    <w:rFonts w:ascii="Cambria Math" w:hAnsi="Cambria Math"/>
                  </w:rPr>
                  <m:t>H</m:t>
                </m:r>
                <m:ctrlPr>
                  <w:rPr>
                    <w:rFonts w:ascii="Cambria Math" w:hAnsi="Cambria Math"/>
                    <w:i/>
                  </w:rPr>
                </m:ctrlPr>
              </m:e>
              <m:sup>
                <m:r>
                  <m:rPr/>
                  <w:rPr>
                    <w:rFonts w:ascii="Cambria Math" w:hAnsi="Cambria Math"/>
                  </w:rPr>
                  <m:t>5/3</m:t>
                </m:r>
                <m:ctrlPr>
                  <w:rPr>
                    <w:rFonts w:ascii="Cambria Math" w:hAnsi="Cambria Math"/>
                    <w:i/>
                  </w:rPr>
                </m:ctrlPr>
              </m:sup>
            </m:sSup>
            <m:ctrlPr>
              <w:rPr>
                <w:rFonts w:ascii="Cambria Math" w:hAnsi="Cambria Math"/>
                <w:i/>
              </w:rPr>
            </m:ctrlPr>
          </m:den>
        </m:f>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oMath>
      <w:r>
        <w:rPr>
          <w:rFonts w:ascii="Times New Roman"/>
        </w:rPr>
        <w:t xml:space="preserve">      </w:t>
      </w:r>
      <m:oMath>
        <m:r>
          <m:rPr>
            <m:sty m:val="p"/>
          </m:rPr>
          <w:rPr>
            <w:rFonts w:ascii="Cambria Math" w:hAnsi="Cambria Math"/>
          </w:rPr>
          <m:t>r≤0.18H</m:t>
        </m:r>
      </m:oMath>
      <w:r>
        <w:rPr>
          <w:rFonts w:ascii="Times New Roman"/>
        </w:rPr>
        <w:t>……………………（5.3.5-3）</w:t>
      </w:r>
    </w:p>
    <w:p>
      <w:pPr>
        <w:pStyle w:val="54"/>
        <w:ind w:firstLine="480"/>
        <w:jc w:val="right"/>
        <w:rPr>
          <w:rFonts w:ascii="Times New Roman"/>
        </w:rPr>
      </w:pPr>
      <m:oMath>
        <m:sSub>
          <m:sSubPr>
            <m:ctrlPr>
              <w:rPr>
                <w:rFonts w:ascii="Cambria Math" w:hAnsi="Cambria Math"/>
                <w:i/>
              </w:rPr>
            </m:ctrlPr>
          </m:sSubPr>
          <m:e>
            <m:r>
              <m:rPr/>
              <w:rPr>
                <w:rFonts w:ascii="Cambria Math" w:hAnsi="Cambria Math"/>
              </w:rPr>
              <m:t>u</m:t>
            </m:r>
            <m:ctrlPr>
              <w:rPr>
                <w:rFonts w:ascii="Cambria Math" w:hAnsi="Cambria Math"/>
                <w:i/>
              </w:rPr>
            </m:ctrlPr>
          </m:e>
          <m:sub>
            <m:r>
              <m:rPr/>
              <w:rPr>
                <w:rFonts w:ascii="Cambria Math" w:hAnsi="Cambria Math"/>
              </w:rPr>
              <m:t>max</m:t>
            </m:r>
            <m:ctrlPr>
              <w:rPr>
                <w:rFonts w:ascii="Cambria Math" w:hAnsi="Cambria Math"/>
                <w:i/>
              </w:rPr>
            </m:ctrlPr>
          </m:sub>
        </m:sSub>
        <m:r>
          <m:rPr/>
          <w:rPr>
            <w:rFonts w:ascii="Cambria Math" w:hAnsi="Cambria Math"/>
          </w:rPr>
          <m:t>=</m:t>
        </m:r>
        <m:f>
          <m:fPr>
            <m:ctrlPr>
              <w:rPr>
                <w:rFonts w:ascii="Cambria Math" w:hAnsi="Cambria Math"/>
                <w:i/>
              </w:rPr>
            </m:ctrlPr>
          </m:fPr>
          <m:num>
            <m:r>
              <m:rPr/>
              <w:rPr>
                <w:rFonts w:ascii="Cambria Math" w:hAnsi="Cambria Math"/>
              </w:rPr>
              <m:t>0.197</m:t>
            </m:r>
            <m:sSup>
              <m:sSupPr>
                <m:ctrlPr>
                  <w:rPr>
                    <w:rFonts w:ascii="Cambria Math" w:hAnsi="Cambria Math"/>
                    <w:i/>
                  </w:rPr>
                </m:ctrlPr>
              </m:sSupPr>
              <m:e>
                <m:r>
                  <m:rPr/>
                  <w:rPr>
                    <w:rFonts w:ascii="Cambria Math" w:hAnsi="Cambria Math"/>
                  </w:rPr>
                  <m:t>Q</m:t>
                </m:r>
                <m:ctrlPr>
                  <w:rPr>
                    <w:rFonts w:ascii="Cambria Math" w:hAnsi="Cambria Math"/>
                    <w:i/>
                  </w:rPr>
                </m:ctrlPr>
              </m:e>
              <m:sup>
                <m:r>
                  <m:rPr/>
                  <w:rPr>
                    <w:rFonts w:ascii="Cambria Math" w:hAnsi="Cambria Math"/>
                  </w:rPr>
                  <m:t>1/3</m:t>
                </m:r>
                <m:ctrlPr>
                  <w:rPr>
                    <w:rFonts w:ascii="Cambria Math" w:hAnsi="Cambria Math"/>
                    <w:i/>
                  </w:rPr>
                </m:ctrlPr>
              </m:sup>
            </m:sSup>
            <m:sSup>
              <m:sSupPr>
                <m:ctrlPr>
                  <w:rPr>
                    <w:rFonts w:ascii="Cambria Math" w:hAnsi="Cambria Math"/>
                    <w:i/>
                  </w:rPr>
                </m:ctrlPr>
              </m:sSupPr>
              <m:e>
                <m:r>
                  <m:rPr/>
                  <w:rPr>
                    <w:rFonts w:ascii="Cambria Math" w:hAnsi="Cambria Math"/>
                  </w:rPr>
                  <m:t>H</m:t>
                </m:r>
                <m:ctrlPr>
                  <w:rPr>
                    <w:rFonts w:ascii="Cambria Math" w:hAnsi="Cambria Math"/>
                    <w:i/>
                  </w:rPr>
                </m:ctrlPr>
              </m:e>
              <m:sup>
                <m:r>
                  <m:rPr/>
                  <w:rPr>
                    <w:rFonts w:ascii="Cambria Math" w:hAnsi="Cambria Math"/>
                  </w:rPr>
                  <m:t>1/2</m:t>
                </m:r>
                <m:ctrlPr>
                  <w:rPr>
                    <w:rFonts w:ascii="Cambria Math" w:hAnsi="Cambria Math"/>
                    <w:i/>
                  </w:rPr>
                </m:ctrlPr>
              </m:sup>
            </m:sSup>
            <m:ctrlPr>
              <w:rPr>
                <w:rFonts w:ascii="Cambria Math" w:hAnsi="Cambria Math"/>
                <w:i/>
              </w:rPr>
            </m:ctrlPr>
          </m:num>
          <m:den>
            <m:sSup>
              <m:sSupPr>
                <m:ctrlPr>
                  <w:rPr>
                    <w:rFonts w:ascii="Cambria Math" w:hAnsi="Cambria Math"/>
                    <w:i/>
                  </w:rPr>
                </m:ctrlPr>
              </m:sSupPr>
              <m:e>
                <m:r>
                  <m:rPr/>
                  <w:rPr>
                    <w:rFonts w:ascii="Cambria Math" w:hAnsi="Cambria Math"/>
                  </w:rPr>
                  <m:t>r</m:t>
                </m:r>
                <m:ctrlPr>
                  <w:rPr>
                    <w:rFonts w:ascii="Cambria Math" w:hAnsi="Cambria Math"/>
                    <w:i/>
                  </w:rPr>
                </m:ctrlPr>
              </m:e>
              <m:sup>
                <m:r>
                  <m:rPr/>
                  <w:rPr>
                    <w:rFonts w:ascii="Cambria Math" w:hAnsi="Cambria Math"/>
                  </w:rPr>
                  <m:t>5/6</m:t>
                </m:r>
                <m:ctrlPr>
                  <w:rPr>
                    <w:rFonts w:ascii="Cambria Math" w:hAnsi="Cambria Math"/>
                    <w:i/>
                  </w:rPr>
                </m:ctrlPr>
              </m:sup>
            </m:sSup>
            <m:ctrlPr>
              <w:rPr>
                <w:rFonts w:ascii="Cambria Math" w:hAnsi="Cambria Math"/>
                <w:i/>
              </w:rPr>
            </m:ctrlPr>
          </m:den>
        </m:f>
      </m:oMath>
      <w:r>
        <w:rPr>
          <w:rFonts w:ascii="Times New Roman"/>
        </w:rPr>
        <w:t xml:space="preserve">      </w:t>
      </w:r>
      <m:oMath>
        <m:r>
          <m:rPr>
            <m:sty m:val="p"/>
          </m:rPr>
          <w:rPr>
            <w:rFonts w:ascii="Cambria Math" w:hAnsi="Cambria Math"/>
          </w:rPr>
          <m:t>r&gt;0.15H</m:t>
        </m:r>
      </m:oMath>
      <w:r>
        <w:rPr>
          <w:rFonts w:ascii="Times New Roman"/>
        </w:rPr>
        <w:t>……………………（5.3.5-4）</w:t>
      </w:r>
    </w:p>
    <w:p>
      <w:pPr>
        <w:pStyle w:val="54"/>
        <w:ind w:firstLine="480"/>
        <w:jc w:val="right"/>
        <w:rPr>
          <w:rFonts w:ascii="Times New Roman"/>
        </w:rPr>
      </w:pPr>
      <m:oMath>
        <m:sSub>
          <m:sSubPr>
            <m:ctrlPr>
              <w:rPr>
                <w:rFonts w:ascii="Cambria Math" w:hAnsi="Cambria Math"/>
                <w:i/>
              </w:rPr>
            </m:ctrlPr>
          </m:sSubPr>
          <m:e>
            <m:r>
              <m:rPr/>
              <w:rPr>
                <w:rFonts w:ascii="Cambria Math" w:hAnsi="Cambria Math"/>
              </w:rPr>
              <m:t>u</m:t>
            </m:r>
            <m:ctrlPr>
              <w:rPr>
                <w:rFonts w:ascii="Cambria Math" w:hAnsi="Cambria Math"/>
                <w:i/>
              </w:rPr>
            </m:ctrlPr>
          </m:e>
          <m:sub>
            <m:r>
              <m:rPr/>
              <w:rPr>
                <w:rFonts w:ascii="Cambria Math" w:hAnsi="Cambria Math"/>
              </w:rPr>
              <m:t>max</m:t>
            </m:r>
            <m:ctrlPr>
              <w:rPr>
                <w:rFonts w:ascii="Cambria Math" w:hAnsi="Cambria Math"/>
                <w:i/>
              </w:rPr>
            </m:ctrlPr>
          </m:sub>
        </m:sSub>
        <m:r>
          <m:rPr/>
          <w:rPr>
            <w:rFonts w:ascii="Cambria Math" w:hAnsi="Cambria Math"/>
          </w:rPr>
          <m:t>=0.946</m:t>
        </m:r>
        <m:sSup>
          <m:sSupPr>
            <m:ctrlPr>
              <w:rPr>
                <w:rFonts w:ascii="Cambria Math" w:hAnsi="Cambria Math"/>
                <w:i/>
              </w:rPr>
            </m:ctrlPr>
          </m:sSupPr>
          <m:e>
            <m:d>
              <m:dPr>
                <m:ctrlPr>
                  <w:rPr>
                    <w:rFonts w:ascii="Cambria Math" w:hAnsi="Cambria Math"/>
                    <w:i/>
                  </w:rPr>
                </m:ctrlPr>
              </m:dPr>
              <m:e>
                <m:r>
                  <m:rPr/>
                  <w:rPr>
                    <w:rFonts w:ascii="Cambria Math" w:hAnsi="Cambria Math"/>
                  </w:rPr>
                  <m:t>Q/H</m:t>
                </m:r>
                <m:ctrlPr>
                  <w:rPr>
                    <w:rFonts w:ascii="Cambria Math" w:hAnsi="Cambria Math"/>
                    <w:i/>
                  </w:rPr>
                </m:ctrlPr>
              </m:e>
            </m:d>
            <m:ctrlPr>
              <w:rPr>
                <w:rFonts w:ascii="Cambria Math" w:hAnsi="Cambria Math"/>
                <w:i/>
              </w:rPr>
            </m:ctrlPr>
          </m:e>
          <m:sup>
            <m:r>
              <m:rPr/>
              <w:rPr>
                <w:rFonts w:ascii="Cambria Math" w:hAnsi="Cambria Math"/>
              </w:rPr>
              <m:t>1/3</m:t>
            </m:r>
            <m:ctrlPr>
              <w:rPr>
                <w:rFonts w:ascii="Cambria Math" w:hAnsi="Cambria Math"/>
                <w:i/>
              </w:rPr>
            </m:ctrlPr>
          </m:sup>
        </m:sSup>
      </m:oMath>
      <w:r>
        <w:rPr>
          <w:rFonts w:ascii="Times New Roman"/>
        </w:rPr>
        <w:t xml:space="preserve">      </w:t>
      </w:r>
      <m:oMath>
        <m:r>
          <m:rPr>
            <m:sty m:val="p"/>
          </m:rPr>
          <w:rPr>
            <w:rFonts w:ascii="Cambria Math" w:hAnsi="Cambria Math"/>
          </w:rPr>
          <m:t>r≤0.15H</m:t>
        </m:r>
      </m:oMath>
      <w:r>
        <w:rPr>
          <w:rFonts w:ascii="Times New Roman"/>
        </w:rPr>
        <w:t>……………………（5.3.5-5）</w:t>
      </w:r>
    </w:p>
    <w:p>
      <w:pPr>
        <w:pStyle w:val="54"/>
        <w:ind w:firstLine="480"/>
        <w:jc w:val="right"/>
        <w:rPr>
          <w:rFonts w:ascii="Times New Roman"/>
        </w:rPr>
      </w:pPr>
      <m:oMath>
        <m:r>
          <m:rPr>
            <m:sty m:val="p"/>
          </m:rPr>
          <w:rPr>
            <w:rFonts w:ascii="Cambria Math" w:hAnsi="Cambria Math"/>
          </w:rPr>
          <m:t>Q=α</m:t>
        </m:r>
        <m:sSup>
          <m:sSupPr>
            <m:ctrlPr>
              <w:rPr>
                <w:rFonts w:ascii="Cambria Math" w:hAnsi="Cambria Math"/>
              </w:rPr>
            </m:ctrlPr>
          </m:sSupPr>
          <m:e>
            <m:r>
              <m:rPr/>
              <w:rPr>
                <w:rFonts w:ascii="Cambria Math" w:hAnsi="Cambria Math"/>
              </w:rPr>
              <m:t>t</m:t>
            </m:r>
            <m:ctrlPr>
              <w:rPr>
                <w:rFonts w:ascii="Cambria Math" w:hAnsi="Cambria Math"/>
              </w:rPr>
            </m:ctrlPr>
          </m:e>
          <m:sup>
            <m:r>
              <m:rPr/>
              <w:rPr>
                <w:rFonts w:ascii="Cambria Math" w:hAnsi="Cambria Math"/>
              </w:rPr>
              <m:t>2</m:t>
            </m:r>
            <m:ctrlPr>
              <w:rPr>
                <w:rFonts w:ascii="Cambria Math" w:hAnsi="Cambria Math"/>
              </w:rPr>
            </m:ctrlPr>
          </m:sup>
        </m:sSup>
      </m:oMath>
      <w:r>
        <w:rPr>
          <w:rFonts w:ascii="Times New Roman"/>
        </w:rPr>
        <w:t>………………………………………………（5.3.5-6）</w:t>
      </w:r>
    </w:p>
    <w:p>
      <w:pPr>
        <w:pStyle w:val="54"/>
        <w:ind w:firstLine="480"/>
        <w:rPr>
          <w:rFonts w:ascii="Times New Roman"/>
        </w:rPr>
      </w:pPr>
      <w:r>
        <w:rPr>
          <w:rFonts w:ascii="Times New Roman"/>
        </w:rPr>
        <w:t>式中：</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res</m:t>
            </m:r>
            <m:ctrlPr>
              <w:rPr>
                <w:rFonts w:ascii="Cambria Math" w:hAnsi="Cambria Math"/>
              </w:rPr>
            </m:ctrlPr>
          </m:sub>
        </m:sSub>
      </m:oMath>
      <w:r>
        <w:rPr>
          <w:rFonts w:ascii="Times New Roman"/>
        </w:rPr>
        <w:t>——火灾</w:t>
      </w:r>
      <w:r>
        <w:rPr>
          <w:rFonts w:hint="eastAsia" w:ascii="Times New Roman"/>
        </w:rPr>
        <w:t>响应</w:t>
      </w:r>
      <w:r>
        <w:rPr>
          <w:rFonts w:ascii="Times New Roman"/>
        </w:rPr>
        <w:t>时间，s；</w:t>
      </w:r>
    </w:p>
    <w:p>
      <w:pPr>
        <w:pStyle w:val="54"/>
        <w:ind w:firstLine="1200" w:firstLineChars="500"/>
        <w:rPr>
          <w:rFonts w:ascii="Times New Roman"/>
        </w:rPr>
      </w:pPr>
      <m:oMath>
        <m:r>
          <m:rPr/>
          <w:rPr>
            <w:rFonts w:ascii="Cambria Math" w:hAnsi="Cambria Math"/>
          </w:rPr>
          <m:t>RTI</m:t>
        </m:r>
      </m:oMath>
      <w:r>
        <w:rPr>
          <w:rFonts w:ascii="Times New Roman"/>
        </w:rPr>
        <w:t>——探测器特征响应时间指数</w:t>
      </w:r>
      <w:r>
        <w:rPr>
          <w:rFonts w:hint="eastAsia" w:ascii="Times New Roman"/>
        </w:rPr>
        <w:t>，通常不大于3</w:t>
      </w:r>
      <w:r>
        <w:rPr>
          <w:rFonts w:ascii="Times New Roman"/>
        </w:rPr>
        <w:t>0</w:t>
      </w:r>
      <w:r>
        <w:rPr>
          <w:rFonts w:hint="eastAsia" w:ascii="Times New Roman"/>
        </w:rPr>
        <w:t>s</w:t>
      </w:r>
      <w:r>
        <w:rPr>
          <w:rFonts w:ascii="Times New Roman"/>
        </w:rPr>
        <w:t>，（ms）</w:t>
      </w:r>
      <w:r>
        <w:rPr>
          <w:rFonts w:ascii="Times New Roman"/>
          <w:vertAlign w:val="superscript"/>
        </w:rPr>
        <w:t>0.5</w:t>
      </w:r>
      <w:r>
        <w:rPr>
          <w:rFonts w:ascii="Times New Roman"/>
        </w:rPr>
        <w:t>；</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u</m:t>
            </m:r>
            <m:ctrlPr>
              <w:rPr>
                <w:rFonts w:ascii="Cambria Math" w:hAnsi="Cambria Math"/>
                <w:i/>
              </w:rPr>
            </m:ctrlPr>
          </m:e>
          <m:sub>
            <m:r>
              <m:rPr/>
              <w:rPr>
                <w:rFonts w:ascii="Cambria Math" w:hAnsi="Cambria Math"/>
              </w:rPr>
              <m:t>max</m:t>
            </m:r>
            <m:ctrlPr>
              <w:rPr>
                <w:rFonts w:ascii="Cambria Math" w:hAnsi="Cambria Math"/>
                <w:i/>
              </w:rPr>
            </m:ctrlPr>
          </m:sub>
        </m:sSub>
      </m:oMath>
      <w:r>
        <w:rPr>
          <w:rFonts w:ascii="Times New Roman"/>
        </w:rPr>
        <w:t>——烟气最大速度，m/s；</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max</m:t>
            </m:r>
            <m:ctrlPr>
              <w:rPr>
                <w:rFonts w:ascii="Cambria Math" w:hAnsi="Cambria Math"/>
                <w:i/>
              </w:rPr>
            </m:ctrlPr>
          </m:sub>
        </m:sSub>
      </m:oMath>
      <w:r>
        <w:rPr>
          <w:rFonts w:ascii="Times New Roman"/>
        </w:rPr>
        <w:t>——烟气最高温度，K；</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oMath>
      <w:r>
        <w:rPr>
          <w:rFonts w:ascii="Times New Roman"/>
        </w:rPr>
        <w:t>——</w:t>
      </w:r>
      <w:r>
        <w:rPr>
          <w:rFonts w:hint="eastAsia" w:ascii="Times New Roman"/>
        </w:rPr>
        <w:t>未起火时</w:t>
      </w:r>
      <w:r>
        <w:rPr>
          <w:rFonts w:ascii="Times New Roman"/>
        </w:rPr>
        <w:t>环境温度，K；</w:t>
      </w:r>
    </w:p>
    <w:p>
      <w:pPr>
        <w:pStyle w:val="54"/>
        <w:ind w:firstLine="1200" w:firstLineChars="500"/>
        <w:rPr>
          <w:rFonts w:ascii="Times New Roman"/>
        </w:rPr>
      </w:pPr>
      <m:oMath>
        <m:r>
          <m:rPr/>
          <w:rPr>
            <w:rFonts w:ascii="Cambria Math" w:hAnsi="Cambria Math"/>
          </w:rPr>
          <m:t>T</m:t>
        </m:r>
      </m:oMath>
      <w:r>
        <w:rPr>
          <w:rFonts w:ascii="Times New Roman"/>
        </w:rPr>
        <w:t>——探测器响应温度，K；</w:t>
      </w:r>
    </w:p>
    <w:p>
      <w:pPr>
        <w:pStyle w:val="54"/>
        <w:ind w:firstLine="1200" w:firstLineChars="500"/>
        <w:rPr>
          <w:rFonts w:ascii="Times New Roman"/>
        </w:rPr>
      </w:pPr>
      <m:oMath>
        <m:r>
          <m:rPr/>
          <w:rPr>
            <w:rFonts w:ascii="Cambria Math" w:hAnsi="Cambria Math"/>
          </w:rPr>
          <m:t>Q</m:t>
        </m:r>
      </m:oMath>
      <w:r>
        <w:rPr>
          <w:rFonts w:ascii="Times New Roman"/>
        </w:rPr>
        <w:t>——火源的热释放速率，kW；</w:t>
      </w:r>
    </w:p>
    <w:p>
      <w:pPr>
        <w:pStyle w:val="54"/>
        <w:ind w:firstLine="1200" w:firstLineChars="500"/>
        <w:rPr>
          <w:rFonts w:ascii="Times New Roman"/>
        </w:rPr>
      </w:pPr>
      <w:r>
        <w:rPr>
          <w:rFonts w:ascii="Times New Roman"/>
        </w:rPr>
        <w:t>r</w:t>
      </w:r>
      <w:r>
        <w:rPr>
          <w:rFonts w:ascii="Times New Roman"/>
        </w:rPr>
        <w:fldChar w:fldCharType="begin"/>
      </w:r>
      <w:r>
        <w:rPr>
          <w:rFonts w:ascii="Times New Roman"/>
        </w:rPr>
        <w:instrText xml:space="preserve"> QUOTE </w:instrText>
      </w:r>
      <w:r>
        <w:rPr>
          <w:rFonts w:ascii="Cambria Math" w:hAnsi="Cambria Math" w:cs="Cambria Math"/>
        </w:rPr>
        <w:instrText xml:space="preserve">𝑟</w:instrText>
      </w:r>
      <w:r>
        <w:rPr>
          <w:rFonts w:ascii="Times New Roman"/>
        </w:rPr>
        <w:instrText xml:space="preserve"> </w:instrText>
      </w:r>
      <w:r>
        <w:rPr>
          <w:rFonts w:ascii="Times New Roman"/>
        </w:rPr>
        <w:fldChar w:fldCharType="end"/>
      </w:r>
      <w:r>
        <w:rPr>
          <w:rFonts w:ascii="Times New Roman"/>
        </w:rPr>
        <w:t>——探测器</w:t>
      </w:r>
      <w:r>
        <w:rPr>
          <w:rFonts w:hint="eastAsia" w:ascii="Times New Roman"/>
        </w:rPr>
        <w:t>距离</w:t>
      </w:r>
      <w:r>
        <w:rPr>
          <w:rFonts w:ascii="Times New Roman"/>
        </w:rPr>
        <w:t>顶棚的垂直方向的</w:t>
      </w:r>
      <w:r>
        <w:rPr>
          <w:rFonts w:hint="eastAsia" w:ascii="Times New Roman"/>
        </w:rPr>
        <w:t>距离</w:t>
      </w:r>
      <w:r>
        <w:rPr>
          <w:rFonts w:ascii="Times New Roman"/>
        </w:rPr>
        <w:t>，m；</w:t>
      </w:r>
    </w:p>
    <w:p>
      <w:pPr>
        <w:pStyle w:val="54"/>
        <w:ind w:firstLine="1200" w:firstLineChars="500"/>
        <w:rPr>
          <w:rFonts w:ascii="Times New Roman"/>
        </w:rPr>
      </w:pPr>
      <m:oMath>
        <m:r>
          <m:rPr/>
          <w:rPr>
            <w:rFonts w:ascii="Cambria Math" w:hAnsi="Cambria Math"/>
          </w:rPr>
          <m:t>H</m:t>
        </m:r>
      </m:oMath>
      <w:r>
        <w:rPr>
          <w:rFonts w:ascii="Times New Roman"/>
        </w:rPr>
        <w:t>——</w:t>
      </w:r>
      <w:r>
        <w:rPr>
          <w:rFonts w:hint="eastAsia" w:ascii="Times New Roman"/>
        </w:rPr>
        <w:t>空间净高</w:t>
      </w:r>
      <w:r>
        <w:rPr>
          <w:rFonts w:ascii="Times New Roman"/>
        </w:rPr>
        <w:t>，m</w:t>
      </w:r>
      <w:r>
        <w:rPr>
          <w:rFonts w:hint="eastAsia" w:ascii="Times New Roman"/>
        </w:rPr>
        <w:t>；</w:t>
      </w:r>
    </w:p>
    <w:p>
      <w:pPr>
        <w:pStyle w:val="54"/>
        <w:ind w:firstLine="1200" w:firstLineChars="500"/>
        <w:jc w:val="left"/>
        <w:rPr>
          <w:rFonts w:ascii="Times New Roman"/>
        </w:rPr>
      </w:pPr>
      <m:oMath>
        <m:r>
          <m:rPr>
            <m:sty m:val="p"/>
          </m:rPr>
          <w:rPr>
            <w:rFonts w:ascii="Cambria Math" w:hAnsi="Cambria Math"/>
          </w:rPr>
          <m:t>α</m:t>
        </m:r>
      </m:oMath>
      <w:r>
        <w:rPr>
          <w:rFonts w:ascii="Times New Roman"/>
        </w:rPr>
        <w:t>——</w:t>
      </w:r>
      <w:r>
        <w:rPr>
          <w:rFonts w:hint="eastAsia" w:ascii="Times New Roman"/>
        </w:rPr>
        <w:t>火灾增长系数</w:t>
      </w:r>
      <w:r>
        <w:rPr>
          <w:rFonts w:ascii="Times New Roman"/>
        </w:rPr>
        <w:t>，</w:t>
      </w:r>
      <w:r>
        <w:rPr>
          <w:rFonts w:hint="eastAsia" w:ascii="Times New Roman"/>
        </w:rPr>
        <w:t>kW/s</w:t>
      </w:r>
      <w:r>
        <w:rPr>
          <w:rFonts w:ascii="Times New Roman"/>
          <w:vertAlign w:val="superscript"/>
        </w:rPr>
        <w:t>2</w:t>
      </w:r>
      <w:r>
        <w:rPr>
          <w:rFonts w:hint="eastAsia" w:ascii="Times New Roman"/>
        </w:rPr>
        <w:t>，可按表</w:t>
      </w:r>
      <w:r>
        <w:rPr>
          <w:rFonts w:ascii="Times New Roman"/>
        </w:rPr>
        <w:t>5.3.5</w:t>
      </w:r>
      <w:r>
        <w:rPr>
          <w:rFonts w:hint="eastAsia" w:ascii="Times New Roman"/>
        </w:rPr>
        <w:t>取值，也可根据实体火灾试验的热释放速率燃烧曲线确定；</w:t>
      </w:r>
    </w:p>
    <w:p>
      <w:pPr>
        <w:pStyle w:val="54"/>
        <w:ind w:firstLine="1200" w:firstLineChars="500"/>
        <w:jc w:val="left"/>
        <w:rPr>
          <w:rFonts w:ascii="Times New Roman"/>
        </w:rPr>
      </w:pPr>
      <w:r>
        <w:rPr>
          <w:rFonts w:ascii="Times New Roman"/>
        </w:rPr>
        <w:t>t——</w:t>
      </w:r>
      <w:r>
        <w:rPr>
          <w:rFonts w:hint="eastAsia" w:ascii="Times New Roman"/>
        </w:rPr>
        <w:t>火灾增长时间</w:t>
      </w:r>
      <w:r>
        <w:rPr>
          <w:rFonts w:ascii="Times New Roman"/>
        </w:rPr>
        <w:t>，</w:t>
      </w:r>
      <w:r>
        <w:rPr>
          <w:rFonts w:hint="eastAsia" w:ascii="Times New Roman"/>
        </w:rPr>
        <w:t>s。</w:t>
      </w:r>
    </w:p>
    <w:p>
      <w:pPr>
        <w:pStyle w:val="54"/>
        <w:ind w:firstLine="189" w:firstLineChars="90"/>
        <w:jc w:val="center"/>
        <w:rPr>
          <w:rFonts w:ascii="Times New Roman" w:eastAsia="黑体"/>
          <w:sz w:val="21"/>
          <w:szCs w:val="21"/>
        </w:rPr>
      </w:pPr>
      <w:r>
        <w:rPr>
          <w:rFonts w:hint="eastAsia" w:ascii="Times New Roman" w:eastAsia="黑体"/>
          <w:sz w:val="21"/>
          <w:szCs w:val="21"/>
        </w:rPr>
        <w:t>表</w:t>
      </w:r>
      <w:r>
        <w:rPr>
          <w:rFonts w:ascii="Times New Roman"/>
          <w:sz w:val="21"/>
          <w:szCs w:val="21"/>
        </w:rPr>
        <w:t>5.3</w:t>
      </w:r>
      <w:r>
        <w:rPr>
          <w:rFonts w:ascii="Times New Roman" w:eastAsia="黑体"/>
          <w:sz w:val="21"/>
          <w:szCs w:val="21"/>
        </w:rPr>
        <w:t xml:space="preserve">.5  </w:t>
      </w:r>
      <w:r>
        <w:rPr>
          <w:rFonts w:hint="eastAsia" w:ascii="Times New Roman" w:eastAsia="黑体"/>
          <w:sz w:val="21"/>
          <w:szCs w:val="21"/>
        </w:rPr>
        <w:t>火灾增长系数</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4391"/>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ind w:firstLine="0" w:firstLineChars="0"/>
              <w:jc w:val="center"/>
              <w:rPr>
                <w:rFonts w:ascii="Times New Roman" w:eastAsia="黑体"/>
                <w:sz w:val="21"/>
                <w:szCs w:val="21"/>
              </w:rPr>
            </w:pPr>
            <w:r>
              <w:rPr>
                <w:rFonts w:hint="eastAsia" w:ascii="Times New Roman" w:eastAsia="黑体"/>
                <w:sz w:val="21"/>
                <w:szCs w:val="21"/>
              </w:rPr>
              <w:t>火灾类别</w:t>
            </w:r>
          </w:p>
        </w:tc>
        <w:tc>
          <w:tcPr>
            <w:tcW w:w="4391" w:type="dxa"/>
            <w:vAlign w:val="center"/>
          </w:tcPr>
          <w:p>
            <w:pPr>
              <w:pStyle w:val="54"/>
              <w:ind w:firstLine="0" w:firstLineChars="0"/>
              <w:jc w:val="center"/>
              <w:rPr>
                <w:rFonts w:ascii="Times New Roman" w:eastAsia="黑体"/>
                <w:sz w:val="21"/>
                <w:szCs w:val="21"/>
              </w:rPr>
            </w:pPr>
            <w:r>
              <w:rPr>
                <w:rFonts w:hint="eastAsia" w:ascii="Times New Roman" w:eastAsia="黑体"/>
                <w:sz w:val="21"/>
                <w:szCs w:val="21"/>
              </w:rPr>
              <w:t>典型的可燃材料</w:t>
            </w:r>
          </w:p>
        </w:tc>
        <w:tc>
          <w:tcPr>
            <w:tcW w:w="3115" w:type="dxa"/>
            <w:vAlign w:val="center"/>
          </w:tcPr>
          <w:p>
            <w:pPr>
              <w:pStyle w:val="54"/>
              <w:ind w:firstLine="0" w:firstLineChars="0"/>
              <w:jc w:val="center"/>
              <w:rPr>
                <w:rFonts w:ascii="Times New Roman" w:eastAsia="黑体"/>
                <w:sz w:val="21"/>
                <w:szCs w:val="21"/>
              </w:rPr>
            </w:pPr>
            <w:r>
              <w:rPr>
                <w:rFonts w:hint="eastAsia" w:ascii="Times New Roman" w:eastAsia="黑体"/>
                <w:sz w:val="21"/>
                <w:szCs w:val="21"/>
              </w:rPr>
              <w:t>火灾增长系数（k/Ws</w:t>
            </w:r>
            <w:r>
              <w:rPr>
                <w:rFonts w:ascii="Times New Roman" w:eastAsia="黑体"/>
                <w:sz w:val="21"/>
                <w:szCs w:val="21"/>
                <w:vertAlign w:val="superscript"/>
              </w:rPr>
              <w:t>2</w:t>
            </w:r>
            <w:r>
              <w:rPr>
                <w:rFonts w:hint="eastAsia" w:ascii="Times New Roman" w:eastAsia="黑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ind w:firstLine="0" w:firstLineChars="0"/>
              <w:jc w:val="center"/>
              <w:rPr>
                <w:rFonts w:ascii="Times New Roman"/>
                <w:sz w:val="21"/>
                <w:szCs w:val="21"/>
              </w:rPr>
            </w:pPr>
            <w:r>
              <w:rPr>
                <w:rFonts w:hint="eastAsia" w:ascii="Times New Roman"/>
                <w:sz w:val="21"/>
                <w:szCs w:val="21"/>
              </w:rPr>
              <w:t>慢速火</w:t>
            </w:r>
          </w:p>
        </w:tc>
        <w:tc>
          <w:tcPr>
            <w:tcW w:w="4391" w:type="dxa"/>
            <w:vAlign w:val="center"/>
          </w:tcPr>
          <w:p>
            <w:pPr>
              <w:pStyle w:val="54"/>
              <w:ind w:firstLine="0" w:firstLineChars="0"/>
              <w:jc w:val="center"/>
              <w:rPr>
                <w:rFonts w:ascii="Times New Roman"/>
                <w:sz w:val="21"/>
                <w:szCs w:val="21"/>
              </w:rPr>
            </w:pPr>
            <w:r>
              <w:rPr>
                <w:rFonts w:hint="eastAsia" w:ascii="Times New Roman"/>
                <w:sz w:val="21"/>
                <w:szCs w:val="21"/>
              </w:rPr>
              <w:t>硬木家具</w:t>
            </w:r>
          </w:p>
        </w:tc>
        <w:tc>
          <w:tcPr>
            <w:tcW w:w="3115" w:type="dxa"/>
            <w:vAlign w:val="center"/>
          </w:tcPr>
          <w:p>
            <w:pPr>
              <w:pStyle w:val="54"/>
              <w:ind w:firstLine="0" w:firstLineChars="0"/>
              <w:jc w:val="center"/>
              <w:rPr>
                <w:rFonts w:ascii="Times New Roman"/>
                <w:sz w:val="21"/>
                <w:szCs w:val="21"/>
              </w:rPr>
            </w:pPr>
            <w:r>
              <w:rPr>
                <w:rFonts w:hint="eastAsia" w:ascii="Times New Roman"/>
                <w:sz w:val="21"/>
                <w:szCs w:val="21"/>
              </w:rPr>
              <w:t>0</w:t>
            </w:r>
            <w:r>
              <w:rPr>
                <w:rFonts w:ascii="Times New Roman"/>
                <w:sz w:val="21"/>
                <w:szCs w:val="21"/>
              </w:rPr>
              <w:t>.00278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ind w:firstLine="0" w:firstLineChars="0"/>
              <w:jc w:val="center"/>
              <w:rPr>
                <w:rFonts w:ascii="Times New Roman"/>
                <w:sz w:val="21"/>
                <w:szCs w:val="21"/>
              </w:rPr>
            </w:pPr>
            <w:r>
              <w:rPr>
                <w:rFonts w:hint="eastAsia" w:ascii="Times New Roman"/>
                <w:sz w:val="21"/>
                <w:szCs w:val="21"/>
              </w:rPr>
              <w:t>中速火</w:t>
            </w:r>
          </w:p>
        </w:tc>
        <w:tc>
          <w:tcPr>
            <w:tcW w:w="4391" w:type="dxa"/>
            <w:vAlign w:val="center"/>
          </w:tcPr>
          <w:p>
            <w:pPr>
              <w:pStyle w:val="54"/>
              <w:ind w:firstLine="0" w:firstLineChars="0"/>
              <w:jc w:val="center"/>
              <w:rPr>
                <w:rFonts w:ascii="Times New Roman"/>
                <w:sz w:val="21"/>
                <w:szCs w:val="21"/>
              </w:rPr>
            </w:pPr>
            <w:r>
              <w:rPr>
                <w:rFonts w:hint="eastAsia" w:ascii="Times New Roman"/>
                <w:sz w:val="21"/>
                <w:szCs w:val="21"/>
              </w:rPr>
              <w:t>棉质、聚酯垫子</w:t>
            </w:r>
          </w:p>
        </w:tc>
        <w:tc>
          <w:tcPr>
            <w:tcW w:w="3115" w:type="dxa"/>
            <w:vAlign w:val="center"/>
          </w:tcPr>
          <w:p>
            <w:pPr>
              <w:pStyle w:val="54"/>
              <w:ind w:firstLine="0" w:firstLineChars="0"/>
              <w:jc w:val="center"/>
              <w:rPr>
                <w:rFonts w:ascii="Times New Roman"/>
                <w:sz w:val="21"/>
                <w:szCs w:val="21"/>
              </w:rPr>
            </w:pPr>
            <w:r>
              <w:rPr>
                <w:rFonts w:hint="eastAsia" w:ascii="Times New Roman"/>
                <w:sz w:val="21"/>
                <w:szCs w:val="21"/>
              </w:rPr>
              <w:t>0</w:t>
            </w:r>
            <w:r>
              <w:rPr>
                <w:rFonts w:ascii="Times New Roman"/>
                <w:sz w:val="21"/>
                <w:szCs w:val="21"/>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ind w:firstLine="0" w:firstLineChars="0"/>
              <w:jc w:val="center"/>
              <w:rPr>
                <w:rFonts w:ascii="Times New Roman"/>
                <w:sz w:val="21"/>
                <w:szCs w:val="21"/>
              </w:rPr>
            </w:pPr>
            <w:r>
              <w:rPr>
                <w:rFonts w:hint="eastAsia" w:ascii="Times New Roman"/>
                <w:sz w:val="21"/>
                <w:szCs w:val="21"/>
              </w:rPr>
              <w:t>快速火</w:t>
            </w:r>
          </w:p>
        </w:tc>
        <w:tc>
          <w:tcPr>
            <w:tcW w:w="4391" w:type="dxa"/>
            <w:vAlign w:val="center"/>
          </w:tcPr>
          <w:p>
            <w:pPr>
              <w:pStyle w:val="54"/>
              <w:ind w:firstLine="0" w:firstLineChars="0"/>
              <w:jc w:val="center"/>
              <w:rPr>
                <w:rFonts w:ascii="Times New Roman"/>
                <w:sz w:val="21"/>
                <w:szCs w:val="21"/>
              </w:rPr>
            </w:pPr>
            <w:r>
              <w:rPr>
                <w:rFonts w:hint="eastAsia" w:ascii="Times New Roman"/>
                <w:sz w:val="21"/>
                <w:szCs w:val="21"/>
              </w:rPr>
              <w:t>装满的邮件袋、木制货架托盘、泡沫塑料</w:t>
            </w:r>
          </w:p>
        </w:tc>
        <w:tc>
          <w:tcPr>
            <w:tcW w:w="3115" w:type="dxa"/>
            <w:vAlign w:val="center"/>
          </w:tcPr>
          <w:p>
            <w:pPr>
              <w:pStyle w:val="54"/>
              <w:ind w:firstLine="0" w:firstLineChars="0"/>
              <w:jc w:val="center"/>
              <w:rPr>
                <w:rFonts w:ascii="Times New Roman"/>
                <w:sz w:val="21"/>
                <w:szCs w:val="21"/>
              </w:rPr>
            </w:pPr>
            <w:r>
              <w:rPr>
                <w:rFonts w:hint="eastAsia" w:ascii="Times New Roman"/>
                <w:sz w:val="21"/>
                <w:szCs w:val="21"/>
              </w:rPr>
              <w:t>0</w:t>
            </w:r>
            <w:r>
              <w:rPr>
                <w:rFonts w:ascii="Times New Roman"/>
                <w:sz w:val="21"/>
                <w:szCs w:val="21"/>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pPr>
              <w:pStyle w:val="54"/>
              <w:ind w:firstLine="0" w:firstLineChars="0"/>
              <w:jc w:val="center"/>
              <w:rPr>
                <w:rFonts w:ascii="Times New Roman"/>
                <w:sz w:val="21"/>
                <w:szCs w:val="21"/>
              </w:rPr>
            </w:pPr>
            <w:r>
              <w:rPr>
                <w:rFonts w:hint="eastAsia" w:ascii="Times New Roman"/>
                <w:sz w:val="21"/>
                <w:szCs w:val="21"/>
              </w:rPr>
              <w:t>超快速火</w:t>
            </w:r>
          </w:p>
        </w:tc>
        <w:tc>
          <w:tcPr>
            <w:tcW w:w="4391" w:type="dxa"/>
            <w:vAlign w:val="center"/>
          </w:tcPr>
          <w:p>
            <w:pPr>
              <w:pStyle w:val="54"/>
              <w:ind w:firstLine="0" w:firstLineChars="0"/>
              <w:jc w:val="center"/>
              <w:rPr>
                <w:rFonts w:ascii="Times New Roman"/>
                <w:sz w:val="21"/>
                <w:szCs w:val="21"/>
              </w:rPr>
            </w:pPr>
            <w:r>
              <w:rPr>
                <w:rFonts w:hint="eastAsia" w:ascii="Times New Roman"/>
                <w:sz w:val="21"/>
                <w:szCs w:val="21"/>
              </w:rPr>
              <w:t>池火、快速燃烧的装饰家具、轻质窗帘</w:t>
            </w:r>
          </w:p>
        </w:tc>
        <w:tc>
          <w:tcPr>
            <w:tcW w:w="3115" w:type="dxa"/>
            <w:vAlign w:val="center"/>
          </w:tcPr>
          <w:p>
            <w:pPr>
              <w:pStyle w:val="54"/>
              <w:ind w:firstLine="0" w:firstLineChars="0"/>
              <w:jc w:val="center"/>
              <w:rPr>
                <w:rFonts w:ascii="Times New Roman"/>
                <w:sz w:val="21"/>
                <w:szCs w:val="21"/>
              </w:rPr>
            </w:pPr>
            <w:r>
              <w:rPr>
                <w:rFonts w:hint="eastAsia" w:ascii="Times New Roman"/>
                <w:sz w:val="21"/>
                <w:szCs w:val="21"/>
              </w:rPr>
              <w:t>0</w:t>
            </w:r>
            <w:r>
              <w:rPr>
                <w:rFonts w:ascii="Times New Roman"/>
                <w:sz w:val="21"/>
                <w:szCs w:val="21"/>
              </w:rPr>
              <w:t>.178</w:t>
            </w:r>
          </w:p>
        </w:tc>
      </w:tr>
    </w:tbl>
    <w:p>
      <w:pPr>
        <w:pStyle w:val="54"/>
        <w:ind w:firstLine="198" w:firstLineChars="90"/>
        <w:jc w:val="left"/>
        <w:rPr>
          <w:rFonts w:ascii="Times New Roman" w:eastAsia="黑体"/>
          <w:sz w:val="22"/>
        </w:rPr>
      </w:pPr>
    </w:p>
    <w:p>
      <w:pPr>
        <w:pStyle w:val="195"/>
      </w:pPr>
      <w:r>
        <w:t>感烟火灾探测器</w:t>
      </w:r>
      <w:r>
        <w:rPr>
          <w:rFonts w:hint="eastAsia"/>
        </w:rPr>
        <w:t>响应</w:t>
      </w:r>
      <w:r>
        <w:t>时间</w:t>
      </w:r>
      <w:r>
        <w:rPr>
          <w:rFonts w:hint="eastAsia"/>
        </w:rPr>
        <w:t>可</w:t>
      </w:r>
      <w:r>
        <w:t>按照公式（5.3.6.1）~（5.3.6-3）计算：</w:t>
      </w:r>
    </w:p>
    <w:p>
      <w:pPr>
        <w:pStyle w:val="54"/>
        <w:ind w:firstLine="480"/>
        <w:jc w:val="right"/>
        <w:rPr>
          <w:rFonts w:ascii="Times New Roman"/>
        </w:rPr>
      </w:pPr>
      <w:r>
        <w:rPr>
          <w:rFonts w:ascii="Cambria Math" w:hAnsi="Cambria Math" w:cs="Cambria Math"/>
        </w:rPr>
        <w:t>𝑡</w:t>
      </w:r>
      <w:r>
        <w:rPr>
          <w:rFonts w:ascii="Cambria Math" w:hAnsi="Cambria Math" w:cs="Cambria Math"/>
          <w:vertAlign w:val="subscript"/>
        </w:rPr>
        <w:t>𝑟𝑒𝑠</w:t>
      </w:r>
      <w:r>
        <w:rPr>
          <w:rFonts w:hint="eastAsia" w:ascii="Times New Roman"/>
        </w:rPr>
        <w:t>=</w:t>
      </w:r>
      <w:r>
        <w:rPr>
          <w:rFonts w:ascii="Cambria Math" w:hAnsi="Cambria Math" w:cs="Cambria Math"/>
        </w:rPr>
        <w:t>𝑡</w:t>
      </w:r>
      <w:r>
        <w:rPr>
          <w:rFonts w:ascii="Cambria Math" w:hAnsi="Cambria Math" w:cs="Cambria Math"/>
          <w:vertAlign w:val="subscript"/>
        </w:rPr>
        <w:t>𝑝𝑙</w:t>
      </w:r>
      <w:r>
        <w:rPr>
          <w:rFonts w:hint="eastAsia" w:ascii="Times New Roman"/>
        </w:rPr>
        <w:t>+</w:t>
      </w:r>
      <w:r>
        <w:rPr>
          <w:rFonts w:ascii="Cambria Math" w:hAnsi="Cambria Math" w:cs="Cambria Math"/>
        </w:rPr>
        <w:t>𝑡</w:t>
      </w:r>
      <w:r>
        <w:rPr>
          <w:rFonts w:ascii="Cambria Math" w:hAnsi="Cambria Math" w:cs="Cambria Math"/>
          <w:vertAlign w:val="subscript"/>
        </w:rPr>
        <w:t>𝑐𝑙</w:t>
      </w:r>
      <w:r>
        <w:rPr>
          <w:rFonts w:ascii="Times New Roman"/>
        </w:rPr>
        <w:t>…………………………………………（5.3.6-1）</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pl</m:t>
            </m:r>
            <m:ctrlPr>
              <w:rPr>
                <w:rFonts w:ascii="Cambria Math" w:hAnsi="Cambria Math"/>
              </w:rPr>
            </m:ctrlPr>
          </m:sub>
        </m:sSub>
        <m:r>
          <m:rPr/>
          <w:rPr>
            <w:rFonts w:ascii="Cambria Math" w:hAnsi="Cambria Math"/>
          </w:rPr>
          <m:t>=</m:t>
        </m:r>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pl</m:t>
            </m:r>
            <m:ctrlPr>
              <w:rPr>
                <w:rFonts w:ascii="Cambria Math" w:hAnsi="Cambria Math"/>
              </w:rPr>
            </m:ctrlPr>
          </m:sub>
        </m:sSub>
        <m:f>
          <m:fPr>
            <m:ctrlPr>
              <w:rPr>
                <w:rFonts w:ascii="Cambria Math" w:hAnsi="Cambria Math"/>
                <w:i/>
              </w:rPr>
            </m:ctrlPr>
          </m:fPr>
          <m:num>
            <m:sSubSup>
              <m:sSubSupPr>
                <m:ctrlPr>
                  <w:rPr>
                    <w:rFonts w:ascii="Cambria Math" w:hAnsi="Cambria Math"/>
                    <w:i/>
                  </w:rPr>
                </m:ctrlPr>
              </m:sSubSupPr>
              <m:e>
                <m:r>
                  <m:rPr/>
                  <w:rPr>
                    <w:rFonts w:ascii="Cambria Math" w:hAnsi="Cambria Math"/>
                  </w:rPr>
                  <m:t>H</m:t>
                </m:r>
                <m:ctrlPr>
                  <w:rPr>
                    <w:rFonts w:ascii="Cambria Math" w:hAnsi="Cambria Math"/>
                    <w:i/>
                  </w:rPr>
                </m:ctrlPr>
              </m:e>
              <m:sub>
                <m:r>
                  <m:rPr/>
                  <w:rPr>
                    <w:rFonts w:ascii="Cambria Math" w:hAnsi="Cambria Math"/>
                  </w:rPr>
                  <m:t>f</m:t>
                </m:r>
                <m:ctrlPr>
                  <w:rPr>
                    <w:rFonts w:ascii="Cambria Math" w:hAnsi="Cambria Math"/>
                    <w:i/>
                  </w:rPr>
                </m:ctrlPr>
              </m:sub>
              <m:sup>
                <m:r>
                  <m:rPr/>
                  <w:rPr>
                    <w:rFonts w:ascii="Cambria Math" w:hAnsi="Cambria Math"/>
                  </w:rPr>
                  <m:t>4/3</m:t>
                </m:r>
                <m:ctrlPr>
                  <w:rPr>
                    <w:rFonts w:ascii="Cambria Math" w:hAnsi="Cambria Math"/>
                    <w:i/>
                  </w:rPr>
                </m:ctrlPr>
              </m:sup>
            </m:sSubSup>
            <m:ctrlPr>
              <w:rPr>
                <w:rFonts w:ascii="Cambria Math" w:hAnsi="Cambria Math"/>
                <w:i/>
              </w:rPr>
            </m:ctrlPr>
          </m:num>
          <m:den>
            <m:sSup>
              <m:sSupPr>
                <m:ctrlPr>
                  <w:rPr>
                    <w:rFonts w:ascii="Cambria Math" w:hAnsi="Cambria Math"/>
                    <w:i/>
                  </w:rPr>
                </m:ctrlPr>
              </m:sSupPr>
              <m:e>
                <m:r>
                  <m:rPr/>
                  <w:rPr>
                    <w:rFonts w:ascii="Cambria Math" w:hAnsi="Cambria Math"/>
                  </w:rPr>
                  <m:t>Q</m:t>
                </m:r>
                <m:ctrlPr>
                  <w:rPr>
                    <w:rFonts w:ascii="Cambria Math" w:hAnsi="Cambria Math"/>
                    <w:i/>
                  </w:rPr>
                </m:ctrlPr>
              </m:e>
              <m:sup>
                <m:r>
                  <m:rPr/>
                  <w:rPr>
                    <w:rFonts w:ascii="Cambria Math" w:hAnsi="Cambria Math"/>
                  </w:rPr>
                  <m:t>1/3</m:t>
                </m:r>
                <m:ctrlPr>
                  <w:rPr>
                    <w:rFonts w:ascii="Cambria Math" w:hAnsi="Cambria Math"/>
                    <w:i/>
                  </w:rPr>
                </m:ctrlPr>
              </m:sup>
            </m:sSup>
            <m:ctrlPr>
              <w:rPr>
                <w:rFonts w:ascii="Cambria Math" w:hAnsi="Cambria Math"/>
                <w:i/>
              </w:rPr>
            </m:ctrlPr>
          </m:den>
        </m:f>
      </m:oMath>
      <w:r>
        <w:rPr>
          <w:rFonts w:ascii="Times New Roman"/>
        </w:rPr>
        <w:t>………………………………………………（5.3.6-2）</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cl</m:t>
            </m:r>
            <m:ctrlPr>
              <w:rPr>
                <w:rFonts w:ascii="Cambria Math" w:hAnsi="Cambria Math"/>
              </w:rPr>
            </m:ctrlPr>
          </m:sub>
        </m:sSub>
        <m:r>
          <m:rPr/>
          <w:rPr>
            <w:rFonts w:ascii="Cambria Math" w:hAnsi="Cambria Math"/>
          </w:rPr>
          <m:t>=</m:t>
        </m:r>
        <m:f>
          <m:fPr>
            <m:ctrlPr>
              <w:rPr>
                <w:rFonts w:ascii="Cambria Math" w:hAnsi="Cambria Math"/>
                <w:i/>
              </w:rPr>
            </m:ctrlPr>
          </m:fPr>
          <m:num>
            <m:r>
              <m:rPr/>
              <w:rPr>
                <w:rFonts w:ascii="Cambria Math" w:hAnsi="Cambria Math"/>
              </w:rPr>
              <m:t>1</m:t>
            </m:r>
            <m:ctrlPr>
              <w:rPr>
                <w:rFonts w:ascii="Cambria Math" w:hAnsi="Cambria Math"/>
                <w:i/>
              </w:rPr>
            </m:ctrlPr>
          </m:num>
          <m:den>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pl</m:t>
                </m:r>
                <m:ctrlPr>
                  <w:rPr>
                    <w:rFonts w:ascii="Cambria Math" w:hAnsi="Cambria Math"/>
                  </w:rPr>
                </m:ctrlPr>
              </m:sub>
            </m:sSub>
            <m:ctrlPr>
              <w:rPr>
                <w:rFonts w:ascii="Cambria Math" w:hAnsi="Cambria Math"/>
                <w:i/>
              </w:rPr>
            </m:ctrlPr>
          </m:den>
        </m:f>
        <m:f>
          <m:fPr>
            <m:ctrlPr>
              <w:rPr>
                <w:rFonts w:ascii="Cambria Math" w:hAnsi="Cambria Math"/>
                <w:i/>
              </w:rPr>
            </m:ctrlPr>
          </m:fPr>
          <m:num>
            <m:sSup>
              <m:sSupPr>
                <m:ctrlPr>
                  <w:rPr>
                    <w:rFonts w:ascii="Cambria Math" w:hAnsi="Cambria Math"/>
                    <w:i/>
                  </w:rPr>
                </m:ctrlPr>
              </m:sSupPr>
              <m:e>
                <m:r>
                  <m:rPr/>
                  <w:rPr>
                    <w:rFonts w:ascii="Cambria Math" w:hAnsi="Cambria Math"/>
                  </w:rPr>
                  <m:t>r</m:t>
                </m:r>
                <m:ctrlPr>
                  <w:rPr>
                    <w:rFonts w:ascii="Cambria Math" w:hAnsi="Cambria Math"/>
                    <w:i/>
                  </w:rPr>
                </m:ctrlPr>
              </m:e>
              <m:sup>
                <m:r>
                  <m:rPr/>
                  <w:rPr>
                    <w:rFonts w:ascii="Cambria Math" w:hAnsi="Cambria Math"/>
                  </w:rPr>
                  <m:t>11/6</m:t>
                </m:r>
                <m:ctrlPr>
                  <w:rPr>
                    <w:rFonts w:ascii="Cambria Math" w:hAnsi="Cambria Math"/>
                    <w:i/>
                  </w:rPr>
                </m:ctrlPr>
              </m:sup>
            </m:sSup>
            <m:ctrlPr>
              <w:rPr>
                <w:rFonts w:ascii="Cambria Math" w:hAnsi="Cambria Math"/>
                <w:i/>
              </w:rPr>
            </m:ctrlPr>
          </m:num>
          <m:den>
            <m:sSup>
              <m:sSupPr>
                <m:ctrlPr>
                  <w:rPr>
                    <w:rFonts w:ascii="Cambria Math" w:hAnsi="Cambria Math"/>
                    <w:i/>
                  </w:rPr>
                </m:ctrlPr>
              </m:sSupPr>
              <m:e>
                <m:r>
                  <m:rPr/>
                  <w:rPr>
                    <w:rFonts w:ascii="Cambria Math" w:hAnsi="Cambria Math"/>
                  </w:rPr>
                  <m:t>Q</m:t>
                </m:r>
                <m:ctrlPr>
                  <w:rPr>
                    <w:rFonts w:ascii="Cambria Math" w:hAnsi="Cambria Math"/>
                    <w:i/>
                  </w:rPr>
                </m:ctrlPr>
              </m:e>
              <m:sup>
                <m:r>
                  <m:rPr/>
                  <w:rPr>
                    <w:rFonts w:ascii="Cambria Math" w:hAnsi="Cambria Math"/>
                  </w:rPr>
                  <m:t>1/3</m:t>
                </m:r>
                <m:ctrlPr>
                  <w:rPr>
                    <w:rFonts w:ascii="Cambria Math" w:hAnsi="Cambria Math"/>
                    <w:i/>
                  </w:rPr>
                </m:ctrlPr>
              </m:sup>
            </m:sSup>
            <m:sSup>
              <m:sSupPr>
                <m:ctrlPr>
                  <w:rPr>
                    <w:rFonts w:ascii="Cambria Math" w:hAnsi="Cambria Math"/>
                    <w:i/>
                  </w:rPr>
                </m:ctrlPr>
              </m:sSupPr>
              <m:e>
                <m:r>
                  <m:rPr/>
                  <w:rPr>
                    <w:rFonts w:ascii="Cambria Math" w:hAnsi="Cambria Math"/>
                  </w:rPr>
                  <m:t>H</m:t>
                </m:r>
                <m:ctrlPr>
                  <w:rPr>
                    <w:rFonts w:ascii="Cambria Math" w:hAnsi="Cambria Math"/>
                    <w:i/>
                  </w:rPr>
                </m:ctrlPr>
              </m:e>
              <m:sup>
                <m:r>
                  <m:rPr/>
                  <w:rPr>
                    <w:rFonts w:ascii="Cambria Math" w:hAnsi="Cambria Math"/>
                  </w:rPr>
                  <m:t>1/2</m:t>
                </m:r>
                <m:ctrlPr>
                  <w:rPr>
                    <w:rFonts w:ascii="Cambria Math" w:hAnsi="Cambria Math"/>
                    <w:i/>
                  </w:rPr>
                </m:ctrlPr>
              </m:sup>
            </m:sSup>
            <m:ctrlPr>
              <w:rPr>
                <w:rFonts w:ascii="Cambria Math" w:hAnsi="Cambria Math"/>
                <w:i/>
              </w:rPr>
            </m:ctrlPr>
          </m:den>
        </m:f>
      </m:oMath>
      <w:r>
        <w:rPr>
          <w:rFonts w:ascii="Times New Roman"/>
        </w:rPr>
        <w:t>……………………………………………（5.3.6-3）</w:t>
      </w:r>
    </w:p>
    <w:p>
      <w:pPr>
        <w:pStyle w:val="54"/>
        <w:ind w:firstLine="480"/>
        <w:rPr>
          <w:rFonts w:ascii="Times New Roman"/>
        </w:rPr>
      </w:pPr>
      <w:r>
        <w:rPr>
          <w:rFonts w:ascii="Times New Roman"/>
        </w:rPr>
        <w:t>式中：</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pl</m:t>
            </m:r>
            <m:ctrlPr>
              <w:rPr>
                <w:rFonts w:ascii="Cambria Math" w:hAnsi="Cambria Math"/>
              </w:rPr>
            </m:ctrlPr>
          </m:sub>
        </m:sSub>
      </m:oMath>
      <w:r>
        <w:rPr>
          <w:rFonts w:ascii="Times New Roman"/>
        </w:rPr>
        <w:t>——烟羽流传播延迟时间，s；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cl</m:t>
            </m:r>
            <m:ctrlPr>
              <w:rPr>
                <w:rFonts w:ascii="Cambria Math" w:hAnsi="Cambria Math"/>
              </w:rPr>
            </m:ctrlPr>
          </m:sub>
        </m:sSub>
      </m:oMath>
      <w:r>
        <w:rPr>
          <w:rFonts w:ascii="Times New Roman"/>
        </w:rPr>
        <w:t>——顶棚射流传播延迟时间，s；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pl</m:t>
            </m:r>
            <m:ctrlPr>
              <w:rPr>
                <w:rFonts w:ascii="Cambria Math" w:hAnsi="Cambria Math"/>
              </w:rPr>
            </m:ctrlPr>
          </m:sub>
        </m:sSub>
      </m:oMath>
      <w:r>
        <w:rPr>
          <w:rFonts w:ascii="Times New Roman"/>
        </w:rPr>
        <w:t>——烟羽流的传播系数，一般取0.67；</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H</m:t>
            </m:r>
            <m:ctrlPr>
              <w:rPr>
                <w:rFonts w:ascii="Cambria Math" w:hAnsi="Cambria Math"/>
                <w:i/>
              </w:rPr>
            </m:ctrlPr>
          </m:e>
          <m:sub>
            <m:r>
              <m:rPr/>
              <w:rPr>
                <w:rFonts w:hint="eastAsia" w:ascii="Cambria Math" w:hAnsi="Cambria Math"/>
              </w:rPr>
              <m:t>l</m:t>
            </m:r>
            <m:ctrlPr>
              <w:rPr>
                <w:rFonts w:ascii="Cambria Math" w:hAnsi="Cambria Math"/>
                <w:i/>
              </w:rPr>
            </m:ctrlPr>
          </m:sub>
        </m:sSub>
      </m:oMath>
      <w:r>
        <w:rPr>
          <w:rFonts w:ascii="Times New Roman"/>
        </w:rPr>
        <w:t>——</w:t>
      </w:r>
      <w:r>
        <w:rPr>
          <w:rFonts w:hint="eastAsia" w:ascii="Times New Roman"/>
        </w:rPr>
        <w:t>火源中心到探测器探头的水平径向距离</w:t>
      </w:r>
      <w:r>
        <w:rPr>
          <w:rFonts w:ascii="Times New Roman"/>
        </w:rPr>
        <w:t>，m；</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H</m:t>
            </m:r>
            <m:ctrlPr>
              <w:rPr>
                <w:rFonts w:ascii="Cambria Math" w:hAnsi="Cambria Math"/>
                <w:i/>
              </w:rPr>
            </m:ctrlPr>
          </m:e>
          <m:sub>
            <m:r>
              <m:rPr/>
              <w:rPr>
                <w:rFonts w:hint="eastAsia" w:ascii="Cambria Math" w:hAnsi="Cambria Math"/>
              </w:rPr>
              <m:t>v</m:t>
            </m:r>
            <m:ctrlPr>
              <w:rPr>
                <w:rFonts w:ascii="Cambria Math" w:hAnsi="Cambria Math"/>
                <w:i/>
              </w:rPr>
            </m:ctrlPr>
          </m:sub>
        </m:sSub>
      </m:oMath>
      <w:r>
        <w:rPr>
          <w:rFonts w:ascii="Times New Roman"/>
        </w:rPr>
        <w:t>——火源中心到</w:t>
      </w:r>
      <w:r>
        <w:rPr>
          <w:rFonts w:hint="eastAsia" w:ascii="Times New Roman"/>
        </w:rPr>
        <w:t>探测器</w:t>
      </w:r>
      <w:r>
        <w:rPr>
          <w:rFonts w:ascii="Times New Roman"/>
        </w:rPr>
        <w:t>探头的垂直方向的</w:t>
      </w:r>
      <w:r>
        <w:rPr>
          <w:rFonts w:hint="eastAsia" w:ascii="Times New Roman"/>
        </w:rPr>
        <w:t>距离</w:t>
      </w:r>
      <w:r>
        <w:rPr>
          <w:rFonts w:ascii="Times New Roman"/>
        </w:rPr>
        <w:t>，m。</w:t>
      </w:r>
    </w:p>
    <w:p>
      <w:pPr>
        <w:pStyle w:val="54"/>
        <w:ind w:firstLine="480"/>
        <w:rPr>
          <w:rFonts w:ascii="Times New Roman"/>
        </w:rPr>
      </w:pPr>
    </w:p>
    <w:p>
      <w:pPr>
        <w:pStyle w:val="195"/>
      </w:pPr>
      <w:r>
        <w:rPr>
          <w:rFonts w:hint="eastAsia"/>
        </w:rPr>
        <w:t>当火灾探测器的类型、技术参数、安装数据或火场空间尺寸、烟气、温度等参数不足时，</w:t>
      </w:r>
      <w:r>
        <w:t>火灾</w:t>
      </w:r>
      <w:r>
        <w:rPr>
          <w:rFonts w:hint="eastAsia"/>
        </w:rPr>
        <w:t>响应时间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res</m:t>
            </m:r>
            <m:ctrlPr>
              <w:rPr>
                <w:rFonts w:ascii="Cambria Math" w:hAnsi="Cambria Math"/>
              </w:rPr>
            </m:ctrlPr>
          </m:sub>
        </m:sSub>
      </m:oMath>
      <w:r>
        <w:rPr>
          <w:rFonts w:hint="eastAsia"/>
        </w:rPr>
        <w:t>可取</w:t>
      </w:r>
      <w:r>
        <w:t>60</w:t>
      </w:r>
      <w:r>
        <w:rPr>
          <w:rFonts w:hint="eastAsia"/>
        </w:rPr>
        <w:t>s，或根据下列情形确定：</w:t>
      </w:r>
    </w:p>
    <w:p>
      <w:pPr>
        <w:pStyle w:val="139"/>
        <w:numPr>
          <w:ilvl w:val="0"/>
          <w:numId w:val="32"/>
        </w:numPr>
        <w:tabs>
          <w:tab w:val="left" w:pos="1276"/>
        </w:tabs>
        <w:ind w:left="1276" w:hanging="425"/>
        <w:rPr>
          <w:rFonts w:ascii="Times New Roman"/>
          <w:sz w:val="24"/>
        </w:rPr>
      </w:pPr>
      <w:r>
        <w:rPr>
          <w:rFonts w:ascii="Times New Roman"/>
          <w:sz w:val="24"/>
        </w:rPr>
        <w:t>当建筑内设置火灾自动报警系统，一旦探测到火灾，立即向整个建筑内所有受影响区域的人员发出警报信息，则</w:t>
      </w:r>
      <w:r>
        <w:rPr>
          <w:rFonts w:hint="eastAsia" w:ascii="Times New Roman"/>
        </w:rPr>
        <w:t>响应</w:t>
      </w:r>
      <w:r>
        <w:rPr>
          <w:rFonts w:ascii="Times New Roman"/>
          <w:sz w:val="24"/>
        </w:rPr>
        <w:t>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r</m:t>
            </m:r>
            <m:r>
              <m:rPr/>
              <w:rPr>
                <w:rFonts w:ascii="Cambria Math" w:hAnsi="Cambria Math"/>
              </w:rPr>
              <m:t>e</m:t>
            </m:r>
            <m:r>
              <m:rPr/>
              <w:rPr>
                <w:rFonts w:hint="eastAsia" w:ascii="Cambria Math" w:hAnsi="Cambria Math"/>
              </w:rPr>
              <m:t>s</m:t>
            </m:r>
            <m:ctrlPr>
              <w:rPr>
                <w:rFonts w:ascii="Cambria Math" w:hAnsi="Cambria Math"/>
              </w:rPr>
            </m:ctrlPr>
          </m:sub>
        </m:sSub>
      </m:oMath>
      <w:r>
        <w:rPr>
          <w:rFonts w:ascii="Times New Roman"/>
          <w:sz w:val="24"/>
        </w:rPr>
        <w:t>可认为等于0；</w:t>
      </w:r>
    </w:p>
    <w:p>
      <w:pPr>
        <w:pStyle w:val="139"/>
        <w:numPr>
          <w:ilvl w:val="0"/>
          <w:numId w:val="32"/>
        </w:numPr>
        <w:tabs>
          <w:tab w:val="left" w:pos="1276"/>
        </w:tabs>
        <w:ind w:left="1276" w:hanging="425"/>
        <w:rPr>
          <w:rFonts w:ascii="Times New Roman"/>
          <w:sz w:val="24"/>
        </w:rPr>
      </w:pPr>
      <w:r>
        <w:rPr>
          <w:rFonts w:ascii="Times New Roman"/>
          <w:sz w:val="24"/>
        </w:rPr>
        <w:t>当建筑内未设置火灾自动报警系统，</w:t>
      </w:r>
      <w:r>
        <w:rPr>
          <w:rFonts w:hint="eastAsia" w:ascii="Times New Roman"/>
          <w:sz w:val="24"/>
        </w:rPr>
        <w:t>或</w:t>
      </w:r>
      <w:r>
        <w:rPr>
          <w:rFonts w:ascii="Times New Roman"/>
          <w:sz w:val="24"/>
        </w:rPr>
        <w:t>只在</w:t>
      </w:r>
      <w:r>
        <w:rPr>
          <w:rFonts w:hint="eastAsia" w:ascii="Times New Roman"/>
          <w:sz w:val="24"/>
        </w:rPr>
        <w:t>火灾发生的</w:t>
      </w:r>
      <w:r>
        <w:rPr>
          <w:rFonts w:ascii="Times New Roman"/>
          <w:sz w:val="24"/>
        </w:rPr>
        <w:t>局部</w:t>
      </w:r>
      <w:r>
        <w:rPr>
          <w:rFonts w:hint="eastAsia" w:ascii="Times New Roman"/>
          <w:sz w:val="24"/>
        </w:rPr>
        <w:t>范围内启动自动探测和警报装置，通过人工启动整个建筑的警报装置，</w:t>
      </w:r>
      <w:r>
        <w:rPr>
          <w:rFonts w:ascii="Times New Roman"/>
          <w:sz w:val="24"/>
        </w:rPr>
        <w:t>则</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r</m:t>
            </m:r>
            <m:r>
              <m:rPr/>
              <w:rPr>
                <w:rFonts w:ascii="Cambria Math" w:hAnsi="Cambria Math"/>
              </w:rPr>
              <m:t>e</m:t>
            </m:r>
            <m:r>
              <m:rPr/>
              <w:rPr>
                <w:rFonts w:hint="eastAsia" w:ascii="Cambria Math" w:hAnsi="Cambria Math"/>
              </w:rPr>
              <m:t>s</m:t>
            </m:r>
            <m:ctrlPr>
              <w:rPr>
                <w:rFonts w:ascii="Cambria Math" w:hAnsi="Cambria Math"/>
              </w:rPr>
            </m:ctrlPr>
          </m:sub>
        </m:sSub>
      </m:oMath>
      <w:r>
        <w:rPr>
          <w:rFonts w:ascii="Times New Roman"/>
          <w:sz w:val="24"/>
        </w:rPr>
        <w:t>与第一接收到警报信息的人员的行为有关。如果发出警报信息的人员受过良好的培训，</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r</m:t>
            </m:r>
            <m:r>
              <m:rPr/>
              <w:rPr>
                <w:rFonts w:ascii="Cambria Math" w:hAnsi="Cambria Math"/>
              </w:rPr>
              <m:t>e</m:t>
            </m:r>
            <m:r>
              <m:rPr/>
              <w:rPr>
                <w:rFonts w:hint="eastAsia" w:ascii="Cambria Math" w:hAnsi="Cambria Math"/>
              </w:rPr>
              <m:t>s</m:t>
            </m:r>
            <m:ctrlPr>
              <w:rPr>
                <w:rFonts w:ascii="Cambria Math" w:hAnsi="Cambria Math"/>
              </w:rPr>
            </m:ctrlPr>
          </m:sub>
        </m:sSub>
      </m:oMath>
      <w:r>
        <w:rPr>
          <w:rFonts w:ascii="Times New Roman"/>
          <w:sz w:val="24"/>
        </w:rPr>
        <w:t>会很短(大约小于2min)，否则会很长，且难以预测。</w:t>
      </w:r>
    </w:p>
    <w:p>
      <w:pPr>
        <w:pStyle w:val="255"/>
      </w:pPr>
    </w:p>
    <w:p>
      <w:pPr>
        <w:pStyle w:val="195"/>
      </w:pPr>
      <w:r>
        <w:t>预动作时间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pre</m:t>
            </m:r>
            <m:ctrlPr>
              <w:rPr>
                <w:rFonts w:ascii="Cambria Math" w:hAnsi="Cambria Math"/>
              </w:rPr>
            </m:ctrlPr>
          </m:sub>
        </m:sSub>
      </m:oMath>
      <w:r>
        <w:t>与人员的心理行为特征、人员的年龄、人员对建筑物的熟悉程度、人员反应的灵敏性、人员的集群特征密切相关，并应符合表5.3.8的相关规定。</w:t>
      </w:r>
    </w:p>
    <w:p>
      <w:pPr>
        <w:pStyle w:val="142"/>
        <w:spacing w:before="120" w:after="120"/>
      </w:pPr>
      <w:r>
        <w:t>表5.3.8  各种用途的建筑物采用不同火灾报警系统时的人员预动作时间</w:t>
      </w:r>
      <m:oMath>
        <m:sSub>
          <m:sSubPr>
            <m:ctrlPr>
              <w:rPr>
                <w:rFonts w:ascii="Cambria Math" w:hAnsi="Cambria Math"/>
              </w:rPr>
            </m:ctrlPr>
          </m:sSubPr>
          <m:e>
            <m:r>
              <m:rPr>
                <m:sty m:val="bi"/>
              </m:rPr>
              <w:rPr>
                <w:rFonts w:ascii="Cambria Math" w:hAnsi="Cambria Math"/>
              </w:rPr>
              <m:t>t</m:t>
            </m:r>
            <m:ctrlPr>
              <w:rPr>
                <w:rFonts w:ascii="Cambria Math" w:hAnsi="Cambria Math"/>
              </w:rPr>
            </m:ctrlPr>
          </m:e>
          <m:sub>
            <m:r>
              <m:rPr>
                <m:sty m:val="bi"/>
              </m:rPr>
              <w:rPr>
                <w:rFonts w:ascii="Cambria Math" w:hAnsi="Cambria Math"/>
              </w:rPr>
              <m:t>pre</m:t>
            </m:r>
            <m:ctrlPr>
              <w:rPr>
                <w:rFonts w:ascii="Cambria Math" w:hAnsi="Cambria Math"/>
              </w:rPr>
            </m:ctrlPr>
          </m:sub>
        </m:sSub>
      </m:oMath>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2"/>
        <w:gridCol w:w="5064"/>
        <w:gridCol w:w="524"/>
        <w:gridCol w:w="525"/>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vMerge w:val="restart"/>
            <w:shd w:val="clear" w:color="auto" w:fill="auto"/>
            <w:vAlign w:val="center"/>
          </w:tcPr>
          <w:p>
            <w:pPr>
              <w:pStyle w:val="207"/>
            </w:pPr>
            <w:r>
              <w:t>建筑物用途</w:t>
            </w:r>
          </w:p>
        </w:tc>
        <w:tc>
          <w:tcPr>
            <w:tcW w:w="2646" w:type="pct"/>
            <w:vMerge w:val="restart"/>
            <w:shd w:val="clear" w:color="auto" w:fill="auto"/>
            <w:vAlign w:val="center"/>
          </w:tcPr>
          <w:p>
            <w:pPr>
              <w:pStyle w:val="207"/>
            </w:pPr>
            <w:r>
              <w:t>建筑物特性</w:t>
            </w:r>
          </w:p>
        </w:tc>
        <w:tc>
          <w:tcPr>
            <w:tcW w:w="823" w:type="pct"/>
            <w:gridSpan w:val="3"/>
            <w:shd w:val="clear" w:color="auto" w:fill="auto"/>
            <w:vAlign w:val="center"/>
          </w:tcPr>
          <w:p>
            <w:pPr>
              <w:pStyle w:val="207"/>
            </w:pPr>
            <w:r>
              <w:t>预动作时间/min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vMerge w:val="continue"/>
            <w:shd w:val="clear" w:color="auto" w:fill="auto"/>
            <w:vAlign w:val="center"/>
          </w:tcPr>
          <w:p>
            <w:pPr>
              <w:pStyle w:val="207"/>
            </w:pPr>
          </w:p>
        </w:tc>
        <w:tc>
          <w:tcPr>
            <w:tcW w:w="2646" w:type="pct"/>
            <w:vMerge w:val="continue"/>
            <w:shd w:val="clear" w:color="auto" w:fill="auto"/>
            <w:vAlign w:val="center"/>
          </w:tcPr>
          <w:p>
            <w:pPr>
              <w:pStyle w:val="207"/>
            </w:pPr>
          </w:p>
        </w:tc>
        <w:tc>
          <w:tcPr>
            <w:tcW w:w="823" w:type="pct"/>
            <w:gridSpan w:val="3"/>
            <w:shd w:val="clear" w:color="auto" w:fill="auto"/>
            <w:vAlign w:val="center"/>
          </w:tcPr>
          <w:p>
            <w:pPr>
              <w:pStyle w:val="207"/>
            </w:pPr>
            <w:r>
              <w:t>报警系统类型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vMerge w:val="continue"/>
            <w:shd w:val="clear" w:color="auto" w:fill="auto"/>
            <w:vAlign w:val="center"/>
          </w:tcPr>
          <w:p>
            <w:pPr>
              <w:pStyle w:val="207"/>
            </w:pPr>
          </w:p>
        </w:tc>
        <w:tc>
          <w:tcPr>
            <w:tcW w:w="2646" w:type="pct"/>
            <w:vMerge w:val="continue"/>
            <w:shd w:val="clear" w:color="auto" w:fill="auto"/>
            <w:vAlign w:val="center"/>
          </w:tcPr>
          <w:p>
            <w:pPr>
              <w:pStyle w:val="207"/>
            </w:pPr>
          </w:p>
        </w:tc>
        <w:tc>
          <w:tcPr>
            <w:tcW w:w="274" w:type="pct"/>
            <w:shd w:val="clear" w:color="auto" w:fill="auto"/>
            <w:vAlign w:val="center"/>
          </w:tcPr>
          <w:p>
            <w:pPr>
              <w:pStyle w:val="207"/>
            </w:pPr>
            <w:r>
              <w:t>W1</w:t>
            </w:r>
          </w:p>
        </w:tc>
        <w:tc>
          <w:tcPr>
            <w:tcW w:w="274" w:type="pct"/>
            <w:shd w:val="clear" w:color="auto" w:fill="auto"/>
            <w:vAlign w:val="center"/>
          </w:tcPr>
          <w:p>
            <w:pPr>
              <w:pStyle w:val="207"/>
            </w:pPr>
            <w:r>
              <w:t>W2</w:t>
            </w:r>
          </w:p>
        </w:tc>
        <w:tc>
          <w:tcPr>
            <w:tcW w:w="274" w:type="pct"/>
            <w:shd w:val="clear" w:color="auto" w:fill="auto"/>
            <w:vAlign w:val="center"/>
          </w:tcPr>
          <w:p>
            <w:pPr>
              <w:pStyle w:val="207"/>
            </w:pPr>
            <w:r>
              <w:t>W3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shd w:val="clear" w:color="auto" w:fill="auto"/>
            <w:vAlign w:val="center"/>
          </w:tcPr>
          <w:p>
            <w:pPr>
              <w:pStyle w:val="207"/>
            </w:pPr>
            <w:r>
              <w:t>办公楼、商业或工业厂房、学校</w:t>
            </w:r>
          </w:p>
        </w:tc>
        <w:tc>
          <w:tcPr>
            <w:tcW w:w="2646" w:type="pct"/>
            <w:shd w:val="clear" w:color="auto" w:fill="auto"/>
            <w:vAlign w:val="center"/>
          </w:tcPr>
          <w:p>
            <w:pPr>
              <w:pStyle w:val="207"/>
              <w:jc w:val="left"/>
            </w:pPr>
            <w:r>
              <w:t>建筑内的人员处于清醒状态，熟悉建筑物及其报警系统和疏散措施</w:t>
            </w:r>
          </w:p>
        </w:tc>
        <w:tc>
          <w:tcPr>
            <w:tcW w:w="274" w:type="pct"/>
            <w:shd w:val="clear" w:color="auto" w:fill="auto"/>
            <w:vAlign w:val="center"/>
          </w:tcPr>
          <w:p>
            <w:pPr>
              <w:pStyle w:val="207"/>
            </w:pPr>
            <w:r>
              <w:t>&lt;1</w:t>
            </w:r>
          </w:p>
        </w:tc>
        <w:tc>
          <w:tcPr>
            <w:tcW w:w="274" w:type="pct"/>
            <w:shd w:val="clear" w:color="auto" w:fill="auto"/>
            <w:vAlign w:val="center"/>
          </w:tcPr>
          <w:p>
            <w:pPr>
              <w:pStyle w:val="207"/>
            </w:pPr>
            <w:r>
              <w:t>3</w:t>
            </w:r>
          </w:p>
        </w:tc>
        <w:tc>
          <w:tcPr>
            <w:tcW w:w="274" w:type="pct"/>
            <w:shd w:val="clear" w:color="auto" w:fill="auto"/>
            <w:vAlign w:val="center"/>
          </w:tcPr>
          <w:p>
            <w:pPr>
              <w:pStyle w:val="207"/>
            </w:pPr>
            <w:r>
              <w:t>&gt;4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shd w:val="clear" w:color="auto" w:fill="auto"/>
            <w:vAlign w:val="center"/>
          </w:tcPr>
          <w:p>
            <w:pPr>
              <w:pStyle w:val="207"/>
            </w:pPr>
            <w:r>
              <w:t>商店、展览馆、博物馆、休闲中心等</w:t>
            </w:r>
          </w:p>
        </w:tc>
        <w:tc>
          <w:tcPr>
            <w:tcW w:w="2646" w:type="pct"/>
            <w:shd w:val="clear" w:color="auto" w:fill="auto"/>
            <w:vAlign w:val="center"/>
          </w:tcPr>
          <w:p>
            <w:pPr>
              <w:pStyle w:val="207"/>
              <w:jc w:val="left"/>
            </w:pPr>
            <w:r>
              <w:t>建筑内的人员处于清醒状态，不熟悉建筑物、报警系统和疏散措施</w:t>
            </w:r>
          </w:p>
        </w:tc>
        <w:tc>
          <w:tcPr>
            <w:tcW w:w="274" w:type="pct"/>
            <w:shd w:val="clear" w:color="auto" w:fill="auto"/>
            <w:vAlign w:val="center"/>
          </w:tcPr>
          <w:p>
            <w:pPr>
              <w:pStyle w:val="207"/>
            </w:pPr>
            <w:r>
              <w:t>&lt;2</w:t>
            </w:r>
          </w:p>
        </w:tc>
        <w:tc>
          <w:tcPr>
            <w:tcW w:w="274" w:type="pct"/>
            <w:shd w:val="clear" w:color="auto" w:fill="auto"/>
            <w:vAlign w:val="center"/>
          </w:tcPr>
          <w:p>
            <w:pPr>
              <w:pStyle w:val="207"/>
            </w:pPr>
            <w:r>
              <w:t>3</w:t>
            </w:r>
          </w:p>
        </w:tc>
        <w:tc>
          <w:tcPr>
            <w:tcW w:w="274" w:type="pct"/>
            <w:shd w:val="clear" w:color="auto" w:fill="auto"/>
            <w:vAlign w:val="center"/>
          </w:tcPr>
          <w:p>
            <w:pPr>
              <w:pStyle w:val="207"/>
            </w:pPr>
            <w:r>
              <w:t>&gt;6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shd w:val="clear" w:color="auto" w:fill="auto"/>
            <w:vAlign w:val="center"/>
          </w:tcPr>
          <w:p>
            <w:pPr>
              <w:pStyle w:val="207"/>
            </w:pPr>
            <w:r>
              <w:t>旅馆或寄宿学校</w:t>
            </w:r>
          </w:p>
        </w:tc>
        <w:tc>
          <w:tcPr>
            <w:tcW w:w="2646" w:type="pct"/>
            <w:shd w:val="clear" w:color="auto" w:fill="auto"/>
            <w:vAlign w:val="center"/>
          </w:tcPr>
          <w:p>
            <w:pPr>
              <w:pStyle w:val="207"/>
              <w:jc w:val="left"/>
            </w:pPr>
            <w:r>
              <w:t>建筑内的人员可能处于睡眠状态，但熟悉建筑物、报警系统和疏散措施</w:t>
            </w:r>
          </w:p>
        </w:tc>
        <w:tc>
          <w:tcPr>
            <w:tcW w:w="274" w:type="pct"/>
            <w:shd w:val="clear" w:color="auto" w:fill="auto"/>
            <w:vAlign w:val="center"/>
          </w:tcPr>
          <w:p>
            <w:pPr>
              <w:pStyle w:val="207"/>
            </w:pPr>
            <w:r>
              <w:t>&lt;2</w:t>
            </w:r>
          </w:p>
        </w:tc>
        <w:tc>
          <w:tcPr>
            <w:tcW w:w="274" w:type="pct"/>
            <w:shd w:val="clear" w:color="auto" w:fill="auto"/>
            <w:vAlign w:val="center"/>
          </w:tcPr>
          <w:p>
            <w:pPr>
              <w:pStyle w:val="207"/>
            </w:pPr>
            <w:r>
              <w:t>4</w:t>
            </w:r>
          </w:p>
        </w:tc>
        <w:tc>
          <w:tcPr>
            <w:tcW w:w="274" w:type="pct"/>
            <w:shd w:val="clear" w:color="auto" w:fill="auto"/>
            <w:vAlign w:val="center"/>
          </w:tcPr>
          <w:p>
            <w:pPr>
              <w:pStyle w:val="207"/>
            </w:pPr>
            <w:r>
              <w:t>&gt;5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shd w:val="clear" w:color="auto" w:fill="auto"/>
            <w:vAlign w:val="center"/>
          </w:tcPr>
          <w:p>
            <w:pPr>
              <w:pStyle w:val="207"/>
            </w:pPr>
            <w:r>
              <w:t>旅馆、公寓</w:t>
            </w:r>
          </w:p>
        </w:tc>
        <w:tc>
          <w:tcPr>
            <w:tcW w:w="2646" w:type="pct"/>
            <w:shd w:val="clear" w:color="auto" w:fill="auto"/>
            <w:vAlign w:val="center"/>
          </w:tcPr>
          <w:p>
            <w:pPr>
              <w:pStyle w:val="207"/>
              <w:jc w:val="left"/>
            </w:pPr>
            <w:r>
              <w:t>建筑内的人员可能处于睡眠状态，不熟悉建筑物、报警系统和疏散措施</w:t>
            </w:r>
          </w:p>
        </w:tc>
        <w:tc>
          <w:tcPr>
            <w:tcW w:w="274" w:type="pct"/>
            <w:shd w:val="clear" w:color="auto" w:fill="auto"/>
            <w:vAlign w:val="center"/>
          </w:tcPr>
          <w:p>
            <w:pPr>
              <w:pStyle w:val="207"/>
            </w:pPr>
            <w:r>
              <w:t>&lt;2</w:t>
            </w:r>
          </w:p>
        </w:tc>
        <w:tc>
          <w:tcPr>
            <w:tcW w:w="274" w:type="pct"/>
            <w:shd w:val="clear" w:color="auto" w:fill="auto"/>
            <w:vAlign w:val="center"/>
          </w:tcPr>
          <w:p>
            <w:pPr>
              <w:pStyle w:val="207"/>
            </w:pPr>
            <w:r>
              <w:t>4</w:t>
            </w:r>
          </w:p>
        </w:tc>
        <w:tc>
          <w:tcPr>
            <w:tcW w:w="274" w:type="pct"/>
            <w:shd w:val="clear" w:color="auto" w:fill="auto"/>
            <w:vAlign w:val="center"/>
          </w:tcPr>
          <w:p>
            <w:pPr>
              <w:pStyle w:val="207"/>
            </w:pPr>
            <w:r>
              <w:t>&gt;6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2" w:type="pct"/>
            <w:shd w:val="clear" w:color="auto" w:fill="auto"/>
            <w:vAlign w:val="center"/>
          </w:tcPr>
          <w:p>
            <w:pPr>
              <w:pStyle w:val="207"/>
            </w:pPr>
            <w:r>
              <w:t>医院、疗养院及其他社会公共福利设施</w:t>
            </w:r>
          </w:p>
        </w:tc>
        <w:tc>
          <w:tcPr>
            <w:tcW w:w="2646" w:type="pct"/>
            <w:shd w:val="clear" w:color="auto" w:fill="auto"/>
            <w:vAlign w:val="center"/>
          </w:tcPr>
          <w:p>
            <w:pPr>
              <w:pStyle w:val="207"/>
              <w:jc w:val="left"/>
            </w:pPr>
            <w:r>
              <w:t>有相当数量的人员需要帮助</w:t>
            </w:r>
          </w:p>
        </w:tc>
        <w:tc>
          <w:tcPr>
            <w:tcW w:w="274" w:type="pct"/>
            <w:shd w:val="clear" w:color="auto" w:fill="auto"/>
            <w:vAlign w:val="center"/>
          </w:tcPr>
          <w:p>
            <w:pPr>
              <w:pStyle w:val="207"/>
            </w:pPr>
            <w:r>
              <w:t>&lt;3</w:t>
            </w:r>
          </w:p>
        </w:tc>
        <w:tc>
          <w:tcPr>
            <w:tcW w:w="274" w:type="pct"/>
            <w:shd w:val="clear" w:color="auto" w:fill="auto"/>
            <w:vAlign w:val="center"/>
          </w:tcPr>
          <w:p>
            <w:pPr>
              <w:pStyle w:val="207"/>
            </w:pPr>
            <w:r>
              <w:t>5</w:t>
            </w:r>
          </w:p>
        </w:tc>
        <w:tc>
          <w:tcPr>
            <w:tcW w:w="274" w:type="pct"/>
            <w:shd w:val="clear" w:color="auto" w:fill="auto"/>
            <w:vAlign w:val="center"/>
          </w:tcPr>
          <w:p>
            <w:pPr>
              <w:pStyle w:val="207"/>
            </w:pPr>
            <w:r>
              <w:t>&gt;8</w:t>
            </w:r>
          </w:p>
        </w:tc>
      </w:tr>
    </w:tbl>
    <w:p>
      <w:pPr>
        <w:pStyle w:val="209"/>
        <w:rPr>
          <w:rFonts w:ascii="Times New Roman"/>
        </w:rPr>
      </w:pPr>
      <w:r>
        <w:rPr>
          <w:rFonts w:ascii="Times New Roman"/>
        </w:rPr>
        <w:t>注1：表中的火灾报警系统类型为：W1－实况转播指示，采用声音广播系统，例如从闭路电视设施的控制室；W2－非直播（预录）声音系统、和/或视觉信息警告播放；W3－采用警铃、警笛或其他类似报警装置的报警系统。</w:t>
      </w:r>
    </w:p>
    <w:p>
      <w:pPr>
        <w:pStyle w:val="195"/>
      </w:pPr>
      <w:r>
        <w:rPr>
          <w:rFonts w:hint="eastAsia"/>
        </w:rPr>
        <w:t>运动</w:t>
      </w:r>
      <w:r>
        <w:t>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oMath>
      <w:r>
        <w:t>取决于人员密度、人员疏散速度、安全出口宽度等因素，运动时间可采用</w:t>
      </w:r>
      <w:r>
        <w:rPr>
          <w:rFonts w:hint="eastAsia"/>
        </w:rPr>
        <w:t>软件</w:t>
      </w:r>
      <w:r>
        <w:t>模拟</w:t>
      </w:r>
      <w:r>
        <w:rPr>
          <w:rFonts w:hint="eastAsia"/>
        </w:rPr>
        <w:t>、</w:t>
      </w:r>
      <w:r>
        <w:t>经验公式</w:t>
      </w:r>
      <w:r>
        <w:rPr>
          <w:rFonts w:hint="eastAsia"/>
        </w:rPr>
        <w:t>等方法</w:t>
      </w:r>
      <w:r>
        <w:t>预测。</w:t>
      </w:r>
    </w:p>
    <w:p>
      <w:pPr>
        <w:pStyle w:val="195"/>
        <w:numPr>
          <w:ilvl w:val="0"/>
          <w:numId w:val="0"/>
        </w:numPr>
        <w:ind w:firstLine="480" w:firstLineChars="200"/>
      </w:pPr>
      <w:r>
        <w:rPr>
          <w:rFonts w:hint="eastAsia"/>
        </w:rPr>
        <w:t xml:space="preserve">1 </w:t>
      </w:r>
      <w:r>
        <w:t xml:space="preserve"> </w:t>
      </w:r>
      <w:r>
        <w:rPr>
          <w:rFonts w:hint="eastAsia"/>
        </w:rPr>
        <w:t>经验公式预测运动时间</w:t>
      </w:r>
    </w:p>
    <w:p>
      <w:pPr>
        <w:pStyle w:val="54"/>
        <w:numPr>
          <w:ilvl w:val="0"/>
          <w:numId w:val="33"/>
        </w:numPr>
        <w:ind w:firstLineChars="0"/>
        <w:rPr>
          <w:rFonts w:ascii="Times New Roman"/>
        </w:rPr>
      </w:pPr>
      <w:r>
        <w:rPr>
          <w:rFonts w:ascii="Times New Roman"/>
        </w:rPr>
        <w:t>人员疏散行走第一阶段：房间内的疏散行走时间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w:rPr>
                <w:rFonts w:ascii="Cambria Math" w:hAnsi="Cambria Math"/>
              </w:rPr>
              <m:t>r</m:t>
            </m:r>
            <m:ctrlPr>
              <w:rPr>
                <w:rFonts w:ascii="Cambria Math" w:hAnsi="Cambria Math"/>
              </w:rPr>
            </m:ctrlPr>
          </m:sub>
        </m:sSub>
      </m:oMath>
      <w:r>
        <w:rPr>
          <w:rFonts w:ascii="Times New Roman"/>
        </w:rPr>
        <w:t>应按照公式（5.3.9-1）~（5.3.9-3）计算：</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w:rPr>
                <w:rFonts w:ascii="Cambria Math" w:hAnsi="Cambria Math"/>
              </w:rPr>
              <m:t>r</m:t>
            </m:r>
            <m:ctrlPr>
              <w:rPr>
                <w:rFonts w:ascii="Cambria Math" w:hAnsi="Cambria Math"/>
              </w:rPr>
            </m:ctrlPr>
          </m:sub>
        </m:sSub>
        <m:r>
          <m:rPr/>
          <w:rPr>
            <w:rFonts w:ascii="Cambria Math" w:hAnsi="Cambria Math"/>
          </w:rPr>
          <m:t>=</m:t>
        </m:r>
        <m:r>
          <m:rPr>
            <m:sty m:val="p"/>
          </m:rPr>
          <w:rPr>
            <w:rFonts w:ascii="Cambria Math" w:hAnsi="Cambria Math"/>
          </w:rPr>
          <m:t>max⁡</m:t>
        </m:r>
        <m:r>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.r</m:t>
            </m:r>
            <m:ctrlPr>
              <w:rPr>
                <w:rFonts w:ascii="Cambria Math" w:hAnsi="Cambria Math"/>
              </w:rPr>
            </m:ctrlPr>
          </m:sub>
        </m:sSub>
        <m:r>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queue.r</m:t>
            </m:r>
            <m:ctrlPr>
              <w:rPr>
                <w:rFonts w:ascii="Cambria Math" w:hAnsi="Cambria Math"/>
              </w:rPr>
            </m:ctrlPr>
          </m:sub>
        </m:sSub>
        <m:r>
          <m:rPr/>
          <w:rPr>
            <w:rFonts w:ascii="Cambria Math" w:hAnsi="Cambria Math"/>
          </w:rPr>
          <m:t>)</m:t>
        </m:r>
      </m:oMath>
      <w:r>
        <w:rPr>
          <w:rFonts w:ascii="Times New Roman"/>
        </w:rPr>
        <w:t>…………………………（5.3.9-1）</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.r</m:t>
            </m:r>
            <m:ctrlPr>
              <w:rPr>
                <w:rFonts w:ascii="Cambria Math" w:hAnsi="Cambria Math"/>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max,r</m:t>
                </m:r>
                <m:ctrlPr>
                  <w:rPr>
                    <w:rFonts w:ascii="Cambria Math" w:hAnsi="Cambria Math"/>
                    <w:i/>
                  </w:rPr>
                </m:ctrlPr>
              </m:sub>
            </m:sSub>
            <m:ctrlPr>
              <w:rPr>
                <w:rFonts w:ascii="Cambria Math" w:hAnsi="Cambria Math"/>
                <w:i/>
              </w:rPr>
            </m:ctrlPr>
          </m:num>
          <m:den>
            <m:r>
              <m:rPr/>
              <w:rPr>
                <w:rFonts w:ascii="Cambria Math" w:hAnsi="Cambria Math"/>
              </w:rPr>
              <m:t>v</m:t>
            </m:r>
            <m:ctrlPr>
              <w:rPr>
                <w:rFonts w:ascii="Cambria Math" w:hAnsi="Cambria Math"/>
                <w:i/>
              </w:rPr>
            </m:ctrlPr>
          </m:den>
        </m:f>
      </m:oMath>
      <w:r>
        <w:rPr>
          <w:rFonts w:ascii="Times New Roman"/>
        </w:rPr>
        <w:t>……………………………………………（5.3.9-2）</w:t>
      </w:r>
    </w:p>
    <w:p>
      <w:pPr>
        <w:pStyle w:val="54"/>
        <w:ind w:firstLine="480"/>
        <w:jc w:val="right"/>
        <w:rPr>
          <w:rFonts w:ascii="Times New Roman"/>
        </w:rPr>
      </w:pPr>
      <w:r>
        <w:rPr>
          <w:rFonts w:ascii="Cambria Math" w:hAnsi="Cambria Math" w:cs="Cambria Math"/>
        </w:rPr>
        <w:t>𝑡</w:t>
      </w:r>
      <w:r>
        <w:rPr>
          <w:rFonts w:ascii="Cambria Math" w:hAnsi="Cambria Math" w:cs="Cambria Math"/>
          <w:vertAlign w:val="subscript"/>
        </w:rPr>
        <w:t>𝑞𝑢𝑒𝑢𝑒</w:t>
      </w:r>
      <w:r>
        <w:rPr>
          <w:rFonts w:ascii="Times New Roman"/>
          <w:vertAlign w:val="subscript"/>
        </w:rPr>
        <w:t>.</w:t>
      </w:r>
      <w:r>
        <w:rPr>
          <w:rFonts w:ascii="Cambria Math" w:hAnsi="Cambria Math" w:cs="Cambria Math"/>
          <w:vertAlign w:val="subscript"/>
        </w:rPr>
        <w:t>𝑟</w:t>
      </w:r>
      <w:r>
        <w:rPr>
          <w:rFonts w:ascii="Times New Roman"/>
        </w:rPr>
        <w:t>=</w:t>
      </w:r>
      <w:r>
        <w:rPr>
          <w:rFonts w:ascii="Cambria Math" w:hAnsi="Cambria Math" w:cs="Cambria Math"/>
        </w:rPr>
        <w:t>𝑀</w:t>
      </w:r>
      <w:r>
        <w:rPr>
          <w:rFonts w:ascii="Cambria Math" w:hAnsi="Cambria Math" w:cs="Cambria Math"/>
          <w:vertAlign w:val="subscript"/>
        </w:rPr>
        <w:t>𝑟</w:t>
      </w:r>
      <w:r>
        <w:rPr>
          <w:rFonts w:ascii="Cambria Math" w:hAnsi="Cambria Math" w:cs="Cambria Math"/>
        </w:rPr>
        <w:t>𝑁𝐵</w:t>
      </w:r>
      <w:r>
        <w:rPr>
          <w:rFonts w:ascii="Cambria Math" w:hAnsi="Cambria Math" w:cs="Cambria Math"/>
          <w:vertAlign w:val="subscript"/>
        </w:rPr>
        <w:t>𝑟</w:t>
      </w:r>
      <w:r>
        <w:rPr>
          <w:rFonts w:ascii="Times New Roman"/>
        </w:rPr>
        <w:t>……………………………………………（5.3.9-3）</w:t>
      </w:r>
    </w:p>
    <w:p>
      <w:pPr>
        <w:pStyle w:val="54"/>
        <w:ind w:firstLine="480"/>
        <w:rPr>
          <w:rFonts w:ascii="Times New Roman"/>
        </w:rPr>
      </w:pPr>
      <w:r>
        <w:rPr>
          <w:rFonts w:ascii="Times New Roman"/>
        </w:rPr>
        <w:t>式中：</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w:rPr>
                <w:rFonts w:ascii="Cambria Math" w:hAnsi="Cambria Math"/>
              </w:rPr>
              <m:t>r</m:t>
            </m:r>
            <m:ctrlPr>
              <w:rPr>
                <w:rFonts w:ascii="Cambria Math" w:hAnsi="Cambria Math"/>
              </w:rPr>
            </m:ctrlPr>
          </m:sub>
        </m:sSub>
      </m:oMath>
      <w:r>
        <w:rPr>
          <w:rFonts w:ascii="Times New Roman"/>
        </w:rPr>
        <w:t>——房间内的疏散行走时间，s；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.r</m:t>
            </m:r>
            <m:ctrlPr>
              <w:rPr>
                <w:rFonts w:ascii="Cambria Math" w:hAnsi="Cambria Math"/>
              </w:rPr>
            </m:ctrlPr>
          </m:sub>
        </m:sSub>
      </m:oMath>
      <w:r>
        <w:rPr>
          <w:rFonts w:ascii="Times New Roman"/>
        </w:rPr>
        <w:t>——由房间内最远点到达房间出口所需的步行时间，s；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queue.r</m:t>
            </m:r>
            <m:ctrlPr>
              <w:rPr>
                <w:rFonts w:ascii="Cambria Math" w:hAnsi="Cambria Math"/>
              </w:rPr>
            </m:ctrlPr>
          </m:sub>
        </m:sSub>
      </m:oMath>
      <w:r>
        <w:rPr>
          <w:rFonts w:ascii="Times New Roman"/>
        </w:rPr>
        <w:t>——假设房间内人员聚集在房间出口前，由停留状态到全体人员通过出口所需要的时间，即停留解除时间，s；</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max,r</m:t>
            </m:r>
            <m:ctrlPr>
              <w:rPr>
                <w:rFonts w:ascii="Cambria Math" w:hAnsi="Cambria Math"/>
                <w:i/>
              </w:rPr>
            </m:ctrlPr>
          </m:sub>
        </m:sSub>
      </m:oMath>
      <w:r>
        <w:rPr>
          <w:rFonts w:ascii="Times New Roman"/>
        </w:rPr>
        <w:t>——</w:t>
      </w:r>
      <w:r>
        <w:rPr>
          <w:rFonts w:hint="eastAsia" w:ascii="Times New Roman"/>
        </w:rPr>
        <w:t>房间内距房间出口的最大步行距离</w:t>
      </w:r>
      <w:r>
        <w:rPr>
          <w:rFonts w:ascii="Times New Roman"/>
        </w:rPr>
        <w:t>，m；</w:t>
      </w:r>
    </w:p>
    <w:p>
      <w:pPr>
        <w:pStyle w:val="54"/>
        <w:ind w:firstLine="1200" w:firstLineChars="500"/>
        <w:rPr>
          <w:rFonts w:ascii="Times New Roman"/>
        </w:rPr>
      </w:pPr>
      <m:oMath>
        <m:r>
          <m:rPr/>
          <w:rPr>
            <w:rFonts w:ascii="Cambria Math" w:hAnsi="Cambria Math"/>
          </w:rPr>
          <m:t>v</m:t>
        </m:r>
      </m:oMath>
      <w:r>
        <w:rPr>
          <w:rFonts w:ascii="Times New Roman"/>
        </w:rPr>
        <w:t>——步行速度，m/s；</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r</m:t>
            </m:r>
            <m:ctrlPr>
              <w:rPr>
                <w:rFonts w:ascii="Cambria Math" w:hAnsi="Cambria Math"/>
                <w:i/>
              </w:rPr>
            </m:ctrlPr>
          </m:sub>
        </m:sSub>
      </m:oMath>
      <w:r>
        <w:rPr>
          <w:rFonts w:ascii="Times New Roman"/>
        </w:rPr>
        <w:t>——房间内人数，人；</w:t>
      </w:r>
    </w:p>
    <w:p>
      <w:pPr>
        <w:pStyle w:val="54"/>
        <w:ind w:firstLine="1200" w:firstLineChars="500"/>
        <w:rPr>
          <w:rFonts w:ascii="Times New Roman"/>
        </w:rPr>
      </w:pPr>
      <m:oMath>
        <m:r>
          <m:rPr/>
          <w:rPr>
            <w:rFonts w:ascii="Cambria Math" w:hAnsi="Cambria Math"/>
          </w:rPr>
          <m:t>N</m:t>
        </m:r>
      </m:oMath>
      <w:r>
        <w:rPr>
          <w:rFonts w:ascii="Times New Roman"/>
        </w:rPr>
        <w:t>——流动系数，人/（ms），表示单位宽度的通过人数，一般取值为1.5；</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B</m:t>
            </m:r>
            <m:ctrlPr>
              <w:rPr>
                <w:rFonts w:ascii="Cambria Math" w:hAnsi="Cambria Math"/>
                <w:i/>
              </w:rPr>
            </m:ctrlPr>
          </m:e>
          <m:sub>
            <m:r>
              <m:rPr/>
              <w:rPr>
                <w:rFonts w:ascii="Cambria Math" w:hAnsi="Cambria Math"/>
              </w:rPr>
              <m:t>r</m:t>
            </m:r>
            <m:ctrlPr>
              <w:rPr>
                <w:rFonts w:ascii="Cambria Math" w:hAnsi="Cambria Math"/>
                <w:i/>
              </w:rPr>
            </m:ctrlPr>
          </m:sub>
        </m:sSub>
      </m:oMath>
      <w:r>
        <w:rPr>
          <w:rFonts w:ascii="Times New Roman"/>
        </w:rPr>
        <w:t>——房间出口的有效宽度，m</w:t>
      </w:r>
      <w:r>
        <w:rPr>
          <w:rFonts w:hint="eastAsia" w:ascii="Times New Roman"/>
        </w:rPr>
        <w:t>。</w:t>
      </w:r>
    </w:p>
    <w:p>
      <w:pPr>
        <w:pStyle w:val="54"/>
        <w:numPr>
          <w:ilvl w:val="0"/>
          <w:numId w:val="33"/>
        </w:numPr>
        <w:ind w:firstLineChars="0"/>
        <w:rPr>
          <w:rFonts w:ascii="Times New Roman"/>
        </w:rPr>
      </w:pPr>
      <w:r>
        <w:rPr>
          <w:rFonts w:ascii="Times New Roman"/>
        </w:rPr>
        <w:t>人员疏散行走第二阶段：楼层的疏散行走时间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m:sty m:val="p"/>
              </m:rPr>
              <w:rPr>
                <w:rFonts w:hint="eastAsia" w:ascii="Cambria Math" w:hAnsi="Cambria Math"/>
              </w:rPr>
              <m:t>f</m:t>
            </m:r>
            <m:ctrlPr>
              <w:rPr>
                <w:rFonts w:ascii="Cambria Math" w:hAnsi="Cambria Math"/>
              </w:rPr>
            </m:ctrlPr>
          </m:sub>
        </m:sSub>
      </m:oMath>
      <w:r>
        <w:rPr>
          <w:rFonts w:ascii="Times New Roman"/>
        </w:rPr>
        <w:t>应按照公式（5.3.9-4）~（5.3.9-8）计算：</w:t>
      </w:r>
    </w:p>
    <w:p>
      <w:pPr>
        <w:pStyle w:val="54"/>
        <w:ind w:firstLine="480"/>
        <w:jc w:val="right"/>
        <w:rPr>
          <w:rFonts w:ascii="Times New Roman"/>
        </w:rPr>
      </w:pPr>
      <w:r>
        <w:rPr>
          <w:rFonts w:hint="eastAsia" w:ascii="Times New Roman"/>
        </w:rPr>
        <w:t>当</w:t>
      </w:r>
      <w:r>
        <w:rPr>
          <w:rFonts w:ascii="Cambria Math" w:hAnsi="Cambria Math" w:cs="Cambria Math"/>
        </w:rPr>
        <w:t>𝑡</w:t>
      </w:r>
      <w:r>
        <w:rPr>
          <w:rFonts w:ascii="Cambria Math" w:hAnsi="Cambria Math" w:cs="Cambria Math"/>
          <w:vertAlign w:val="subscript"/>
        </w:rPr>
        <w:t>𝑚𝑜𝑣</w:t>
      </w:r>
      <w:r>
        <w:rPr>
          <w:rFonts w:ascii="Times New Roman"/>
          <w:vertAlign w:val="subscript"/>
        </w:rPr>
        <w:t>.</w:t>
      </w:r>
      <w:r>
        <w:rPr>
          <w:rFonts w:ascii="Cambria Math" w:hAnsi="Cambria Math" w:cs="Cambria Math"/>
          <w:vertAlign w:val="subscript"/>
        </w:rPr>
        <w:t>𝑓</w:t>
      </w:r>
      <w:r>
        <w:rPr>
          <w:rFonts w:ascii="Times New Roman"/>
        </w:rPr>
        <w:t>≥</w:t>
      </w:r>
      <w:r>
        <w:rPr>
          <w:rFonts w:ascii="Cambria Math" w:hAnsi="Cambria Math" w:cs="Cambria Math"/>
        </w:rPr>
        <w:t>𝑡</w:t>
      </w:r>
      <w:r>
        <w:rPr>
          <w:rFonts w:ascii="Cambria Math" w:hAnsi="Cambria Math" w:cs="Cambria Math"/>
          <w:vertAlign w:val="subscript"/>
        </w:rPr>
        <w:t>𝑞𝑢𝑒𝑢𝑒</w:t>
      </w:r>
      <w:r>
        <w:rPr>
          <w:rFonts w:ascii="Times New Roman"/>
          <w:vertAlign w:val="subscript"/>
        </w:rPr>
        <w:t>.</w:t>
      </w:r>
      <w:r>
        <w:rPr>
          <w:rFonts w:ascii="Cambria Math" w:hAnsi="Cambria Math" w:cs="Cambria Math"/>
          <w:vertAlign w:val="subscript"/>
        </w:rPr>
        <w:t>𝑓</w:t>
      </w:r>
      <w:r>
        <w:rPr>
          <w:rFonts w:hint="eastAsia" w:ascii="Times New Roman"/>
        </w:rPr>
        <w:t>时，</w:t>
      </w:r>
      <w:r>
        <w:rPr>
          <w:rFonts w:ascii="Cambria Math" w:hAnsi="Cambria Math" w:cs="Cambria Math"/>
        </w:rPr>
        <w:t>𝑡</w:t>
      </w:r>
      <w:r>
        <w:rPr>
          <w:rFonts w:ascii="Cambria Math" w:hAnsi="Cambria Math" w:cs="Cambria Math"/>
          <w:vertAlign w:val="subscript"/>
        </w:rPr>
        <w:t>𝑡𝑟𝑎𝑣</w:t>
      </w:r>
      <w:r>
        <w:rPr>
          <w:rFonts w:ascii="Times New Roman"/>
          <w:vertAlign w:val="subscript"/>
        </w:rPr>
        <w:t>.</w:t>
      </w:r>
      <w:r>
        <w:rPr>
          <w:rFonts w:hint="eastAsia" w:ascii="Times New Roman"/>
          <w:vertAlign w:val="subscript"/>
        </w:rPr>
        <w:t>f</w:t>
      </w:r>
      <w:r>
        <w:rPr>
          <w:rFonts w:ascii="Times New Roman"/>
        </w:rPr>
        <w:t>=</w:t>
      </w:r>
      <w:r>
        <w:rPr>
          <w:rFonts w:ascii="Cambria Math" w:hAnsi="Cambria Math" w:cs="Cambria Math"/>
        </w:rPr>
        <w:t>𝑡</w:t>
      </w:r>
      <w:r>
        <w:rPr>
          <w:rFonts w:ascii="Cambria Math" w:hAnsi="Cambria Math" w:cs="Cambria Math"/>
          <w:vertAlign w:val="subscript"/>
        </w:rPr>
        <w:t>𝑚𝑜𝑣</w:t>
      </w:r>
      <w:r>
        <w:rPr>
          <w:rFonts w:ascii="Times New Roman"/>
          <w:vertAlign w:val="subscript"/>
        </w:rPr>
        <w:t>.</w:t>
      </w:r>
      <w:r>
        <w:rPr>
          <w:rFonts w:ascii="Cambria Math" w:hAnsi="Cambria Math" w:cs="Cambria Math"/>
          <w:vertAlign w:val="subscript"/>
        </w:rPr>
        <w:t>𝑓</w:t>
      </w:r>
      <w:r>
        <w:rPr>
          <w:rFonts w:ascii="Times New Roman"/>
        </w:rPr>
        <w:t>………………（5.3.9-4）</w:t>
      </w:r>
    </w:p>
    <w:p>
      <w:pPr>
        <w:pStyle w:val="54"/>
        <w:ind w:firstLine="480"/>
        <w:jc w:val="right"/>
        <w:rPr>
          <w:rFonts w:ascii="Times New Roman"/>
        </w:rPr>
      </w:pPr>
      <w:r>
        <w:rPr>
          <w:rFonts w:hint="eastAsia" w:ascii="Times New Roman"/>
        </w:rPr>
        <w:t>当</w:t>
      </w:r>
      <w:r>
        <w:rPr>
          <w:rFonts w:ascii="Cambria Math" w:hAnsi="Cambria Math" w:cs="Cambria Math"/>
        </w:rPr>
        <w:t>𝑡</w:t>
      </w:r>
      <w:r>
        <w:rPr>
          <w:rFonts w:ascii="Cambria Math" w:hAnsi="Cambria Math" w:cs="Cambria Math"/>
          <w:vertAlign w:val="subscript"/>
        </w:rPr>
        <w:t>𝑚𝑜𝑣</w:t>
      </w:r>
      <w:r>
        <w:rPr>
          <w:rFonts w:ascii="Times New Roman"/>
          <w:vertAlign w:val="subscript"/>
        </w:rPr>
        <w:t>.</w:t>
      </w:r>
      <w:r>
        <w:rPr>
          <w:rFonts w:ascii="Cambria Math" w:hAnsi="Cambria Math" w:cs="Cambria Math"/>
          <w:vertAlign w:val="subscript"/>
        </w:rPr>
        <w:t>𝑓</w:t>
      </w:r>
      <w:r>
        <w:rPr>
          <w:rFonts w:ascii="Times New Roman"/>
        </w:rPr>
        <w:t>&lt;</w:t>
      </w:r>
      <w:r>
        <w:rPr>
          <w:rFonts w:ascii="Cambria Math" w:hAnsi="Cambria Math" w:cs="Cambria Math"/>
        </w:rPr>
        <w:t>𝑡</w:t>
      </w:r>
      <w:r>
        <w:rPr>
          <w:rFonts w:ascii="Cambria Math" w:hAnsi="Cambria Math" w:cs="Cambria Math"/>
          <w:vertAlign w:val="subscript"/>
        </w:rPr>
        <w:t>𝑞𝑢𝑒𝑢𝑒</w:t>
      </w:r>
      <w:r>
        <w:rPr>
          <w:rFonts w:ascii="Times New Roman"/>
          <w:vertAlign w:val="subscript"/>
        </w:rPr>
        <w:t>.</w:t>
      </w:r>
      <w:r>
        <w:rPr>
          <w:rFonts w:ascii="Cambria Math" w:hAnsi="Cambria Math" w:cs="Cambria Math"/>
          <w:vertAlign w:val="subscript"/>
        </w:rPr>
        <w:t>𝑓</w:t>
      </w:r>
      <w:r>
        <w:rPr>
          <w:rFonts w:hint="eastAsia" w:ascii="Times New Roman"/>
        </w:rPr>
        <w:t>时，</w:t>
      </w:r>
      <w:r>
        <w:rPr>
          <w:rFonts w:ascii="Cambria Math" w:hAnsi="Cambria Math" w:cs="Cambria Math"/>
        </w:rPr>
        <w:t>𝑡</w:t>
      </w:r>
      <w:r>
        <w:rPr>
          <w:rFonts w:ascii="Cambria Math" w:hAnsi="Cambria Math" w:cs="Cambria Math"/>
          <w:vertAlign w:val="subscript"/>
        </w:rPr>
        <w:t>𝑡𝑟𝑎𝑣</w:t>
      </w:r>
      <w:r>
        <w:rPr>
          <w:rFonts w:ascii="Times New Roman"/>
          <w:vertAlign w:val="subscript"/>
        </w:rPr>
        <w:t>.</w:t>
      </w:r>
      <w:r>
        <w:rPr>
          <w:rFonts w:hint="eastAsia" w:ascii="Times New Roman"/>
          <w:vertAlign w:val="subscript"/>
        </w:rPr>
        <w:t>f</w:t>
      </w:r>
      <w:r>
        <w:rPr>
          <w:rFonts w:ascii="Times New Roman"/>
        </w:rPr>
        <w:t>=</w:t>
      </w:r>
      <w:r>
        <w:rPr>
          <w:rFonts w:ascii="Cambria Math" w:hAnsi="Cambria Math" w:cs="Cambria Math"/>
        </w:rPr>
        <w:t>𝑡</w:t>
      </w:r>
      <w:r>
        <w:rPr>
          <w:rFonts w:ascii="Cambria Math" w:hAnsi="Cambria Math" w:cs="Cambria Math"/>
          <w:vertAlign w:val="subscript"/>
        </w:rPr>
        <w:t>𝑞𝑢𝑒𝑢𝑒</w:t>
      </w:r>
      <w:r>
        <w:rPr>
          <w:rFonts w:ascii="Times New Roman"/>
          <w:vertAlign w:val="subscript"/>
        </w:rPr>
        <w:t>.</w:t>
      </w:r>
      <w:r>
        <w:rPr>
          <w:rFonts w:ascii="Cambria Math" w:hAnsi="Cambria Math" w:cs="Cambria Math"/>
          <w:vertAlign w:val="subscript"/>
        </w:rPr>
        <w:t>𝑓</w:t>
      </w:r>
      <w:r>
        <w:rPr>
          <w:rFonts w:hint="eastAsia" w:ascii="Times New Roman"/>
        </w:rPr>
        <w:t>+</w:t>
      </w:r>
      <w:r>
        <w:rPr>
          <w:rFonts w:ascii="Cambria Math" w:hAnsi="Cambria Math" w:cs="Cambria Math"/>
        </w:rPr>
        <w:t>𝑡</w:t>
      </w:r>
      <w:r>
        <w:rPr>
          <w:rFonts w:ascii="Cambria Math" w:hAnsi="Cambria Math" w:cs="Cambria Math"/>
          <w:vertAlign w:val="subscript"/>
        </w:rPr>
        <w:t>𝑚𝑜𝑣</w:t>
      </w:r>
      <w:r>
        <w:rPr>
          <w:rFonts w:ascii="Times New Roman"/>
          <w:vertAlign w:val="subscript"/>
        </w:rPr>
        <w:t>.</w:t>
      </w:r>
      <w:r>
        <w:rPr>
          <w:rFonts w:ascii="Cambria Math" w:hAnsi="Cambria Math" w:cs="Cambria Math"/>
          <w:vertAlign w:val="subscript"/>
        </w:rPr>
        <w:t>𝑓</w:t>
      </w:r>
      <w:r>
        <w:rPr>
          <w:rFonts w:ascii="Times New Roman"/>
          <w:vertAlign w:val="subscript"/>
        </w:rPr>
        <w:t>.</w:t>
      </w:r>
      <w:r>
        <w:rPr>
          <w:rFonts w:ascii="Cambria Math" w:hAnsi="Cambria Math" w:cs="Cambria Math"/>
          <w:vertAlign w:val="subscript"/>
        </w:rPr>
        <w:t>𝑚𝑖𝑛</w:t>
      </w:r>
      <w:r>
        <w:rPr>
          <w:rFonts w:ascii="Times New Roman"/>
        </w:rPr>
        <w:t>…………（5.3.9-5）</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m:t>
            </m:r>
            <m:r>
              <m:rPr/>
              <w:rPr>
                <w:rFonts w:hint="eastAsia" w:ascii="Cambria Math" w:hAnsi="Cambria Math"/>
              </w:rPr>
              <m:t>f</m:t>
            </m:r>
            <m:ctrlPr>
              <w:rPr>
                <w:rFonts w:ascii="Cambria Math" w:hAnsi="Cambria Math"/>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max,</m:t>
                </m:r>
                <m:r>
                  <m:rPr/>
                  <w:rPr>
                    <w:rFonts w:hint="eastAsia" w:ascii="Cambria Math" w:hAnsi="Cambria Math"/>
                  </w:rPr>
                  <m:t>f</m:t>
                </m:r>
                <m:ctrlPr>
                  <w:rPr>
                    <w:rFonts w:ascii="Cambria Math" w:hAnsi="Cambria Math"/>
                    <w:i/>
                  </w:rPr>
                </m:ctrlPr>
              </m:sub>
            </m:sSub>
            <m:ctrlPr>
              <w:rPr>
                <w:rFonts w:ascii="Cambria Math" w:hAnsi="Cambria Math"/>
                <w:i/>
              </w:rPr>
            </m:ctrlPr>
          </m:num>
          <m:den>
            <m:r>
              <m:rPr/>
              <w:rPr>
                <w:rFonts w:ascii="Cambria Math" w:hAnsi="Cambria Math"/>
              </w:rPr>
              <m:t>v</m:t>
            </m:r>
            <m:ctrlPr>
              <w:rPr>
                <w:rFonts w:ascii="Cambria Math" w:hAnsi="Cambria Math"/>
                <w:i/>
              </w:rPr>
            </m:ctrlPr>
          </m:den>
        </m:f>
      </m:oMath>
      <w:r>
        <w:rPr>
          <w:rFonts w:ascii="Times New Roman"/>
        </w:rPr>
        <w:t>………………………………………（5.3.9-6）</w:t>
      </w:r>
    </w:p>
    <w:p>
      <w:pPr>
        <w:pStyle w:val="54"/>
        <w:ind w:firstLine="480"/>
        <w:jc w:val="right"/>
        <w:rPr>
          <w:rFonts w:ascii="Times New Roman"/>
        </w:rPr>
      </w:pPr>
      <w:r>
        <w:rPr>
          <w:rFonts w:ascii="Cambria Math" w:hAnsi="Cambria Math" w:cs="Cambria Math"/>
        </w:rPr>
        <w:t>𝑡</w:t>
      </w:r>
      <w:r>
        <w:rPr>
          <w:rFonts w:ascii="Cambria Math" w:hAnsi="Cambria Math" w:cs="Cambria Math"/>
          <w:vertAlign w:val="subscript"/>
        </w:rPr>
        <w:t>𝑞𝑢𝑒𝑢𝑒</w:t>
      </w:r>
      <w:r>
        <w:rPr>
          <w:rFonts w:ascii="Times New Roman"/>
          <w:vertAlign w:val="subscript"/>
        </w:rPr>
        <w:t>.</w:t>
      </w:r>
      <w:r>
        <w:rPr>
          <w:rFonts w:ascii="Cambria Math" w:hAnsi="Cambria Math" w:cs="Cambria Math"/>
          <w:vertAlign w:val="subscript"/>
        </w:rPr>
        <w:t>𝑓</w:t>
      </w:r>
      <w:r>
        <w:rPr>
          <w:rFonts w:ascii="Times New Roman"/>
        </w:rPr>
        <w:t>=</w:t>
      </w:r>
      <w:r>
        <w:rPr>
          <w:rFonts w:ascii="Cambria Math" w:hAnsi="Cambria Math" w:cs="Cambria Math"/>
        </w:rPr>
        <w:t>𝑀</w:t>
      </w:r>
      <w:r>
        <w:rPr>
          <w:rFonts w:ascii="Cambria Math" w:hAnsi="Cambria Math" w:cs="Cambria Math"/>
          <w:vertAlign w:val="subscript"/>
        </w:rPr>
        <w:t>𝑓</w:t>
      </w:r>
      <w:r>
        <w:rPr>
          <w:rFonts w:ascii="Cambria Math" w:hAnsi="Cambria Math" w:cs="Cambria Math"/>
        </w:rPr>
        <w:t>𝑁𝐵</w:t>
      </w:r>
      <w:r>
        <w:rPr>
          <w:rFonts w:ascii="Cambria Math" w:hAnsi="Cambria Math" w:cs="Cambria Math"/>
          <w:vertAlign w:val="subscript"/>
        </w:rPr>
        <w:t>𝑟</w:t>
      </w:r>
      <w:r>
        <w:rPr>
          <w:rFonts w:ascii="Times New Roman"/>
        </w:rPr>
        <w:t>………………………………………（5.3.9-7）</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m:t>
            </m:r>
            <m:r>
              <m:rPr/>
              <w:rPr>
                <w:rFonts w:hint="eastAsia" w:ascii="Cambria Math" w:hAnsi="Cambria Math"/>
              </w:rPr>
              <m:t>f</m:t>
            </m:r>
            <m:r>
              <m:rPr/>
              <w:rPr>
                <w:rFonts w:ascii="Cambria Math" w:hAnsi="Cambria Math"/>
              </w:rPr>
              <m:t>.min</m:t>
            </m:r>
            <m:ctrlPr>
              <w:rPr>
                <w:rFonts w:ascii="Cambria Math" w:hAnsi="Cambria Math"/>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m:t>
                </m:r>
                <m:r>
                  <m:rPr/>
                  <w:rPr>
                    <w:rFonts w:hint="eastAsia" w:ascii="Cambria Math" w:hAnsi="Cambria Math"/>
                  </w:rPr>
                  <m:t>in</m:t>
                </m:r>
                <m:r>
                  <m:rPr/>
                  <w:rPr>
                    <w:rFonts w:ascii="Cambria Math" w:hAnsi="Cambria Math"/>
                  </w:rPr>
                  <m:t>,</m:t>
                </m:r>
                <m:r>
                  <m:rPr/>
                  <w:rPr>
                    <w:rFonts w:hint="eastAsia" w:ascii="Cambria Math" w:hAnsi="Cambria Math"/>
                  </w:rPr>
                  <m:t>f</m:t>
                </m:r>
                <m:ctrlPr>
                  <w:rPr>
                    <w:rFonts w:ascii="Cambria Math" w:hAnsi="Cambria Math"/>
                    <w:i/>
                  </w:rPr>
                </m:ctrlPr>
              </m:sub>
            </m:sSub>
            <m:ctrlPr>
              <w:rPr>
                <w:rFonts w:ascii="Cambria Math" w:hAnsi="Cambria Math"/>
                <w:i/>
              </w:rPr>
            </m:ctrlPr>
          </m:num>
          <m:den>
            <m:r>
              <m:rPr/>
              <w:rPr>
                <w:rFonts w:ascii="Cambria Math" w:hAnsi="Cambria Math"/>
              </w:rPr>
              <m:t>v</m:t>
            </m:r>
            <m:ctrlPr>
              <w:rPr>
                <w:rFonts w:ascii="Cambria Math" w:hAnsi="Cambria Math"/>
                <w:i/>
              </w:rPr>
            </m:ctrlPr>
          </m:den>
        </m:f>
      </m:oMath>
      <w:r>
        <w:rPr>
          <w:rFonts w:ascii="Times New Roman"/>
        </w:rPr>
        <w:t>……………………………………（5.3.9-8）</w:t>
      </w:r>
    </w:p>
    <w:p>
      <w:pPr>
        <w:pStyle w:val="54"/>
        <w:ind w:firstLine="480"/>
        <w:rPr>
          <w:rFonts w:ascii="Times New Roman"/>
        </w:rPr>
      </w:pPr>
      <w:r>
        <w:rPr>
          <w:rFonts w:ascii="Times New Roman"/>
        </w:rPr>
        <w:t>式中：</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m:sty m:val="p"/>
              </m:rPr>
              <w:rPr>
                <w:rFonts w:hint="eastAsia" w:ascii="Cambria Math" w:hAnsi="Cambria Math"/>
              </w:rPr>
              <m:t>f</m:t>
            </m:r>
            <m:ctrlPr>
              <w:rPr>
                <w:rFonts w:ascii="Cambria Math" w:hAnsi="Cambria Math"/>
              </w:rPr>
            </m:ctrlPr>
          </m:sub>
        </m:sSub>
      </m:oMath>
      <w:r>
        <w:rPr>
          <w:rFonts w:ascii="Times New Roman"/>
        </w:rPr>
        <w:t>——楼层的疏散行走时间，s；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m:t>
            </m:r>
            <m:r>
              <m:rPr/>
              <w:rPr>
                <w:rFonts w:hint="eastAsia" w:ascii="Cambria Math" w:hAnsi="Cambria Math"/>
              </w:rPr>
              <m:t>f</m:t>
            </m:r>
            <m:ctrlPr>
              <w:rPr>
                <w:rFonts w:ascii="Cambria Math" w:hAnsi="Cambria Math"/>
              </w:rPr>
            </m:ctrlPr>
          </m:sub>
        </m:sSub>
      </m:oMath>
      <w:r>
        <w:rPr>
          <w:rFonts w:ascii="Times New Roman"/>
        </w:rPr>
        <w:t>——由距楼梯间最远的房间人员到达楼梯间入口所需的步行时间，s；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queue.</m:t>
            </m:r>
            <m:r>
              <m:rPr/>
              <w:rPr>
                <w:rFonts w:hint="eastAsia" w:ascii="Cambria Math" w:hAnsi="Cambria Math"/>
              </w:rPr>
              <m:t>f</m:t>
            </m:r>
            <m:ctrlPr>
              <w:rPr>
                <w:rFonts w:ascii="Cambria Math" w:hAnsi="Cambria Math"/>
              </w:rPr>
            </m:ctrlPr>
          </m:sub>
        </m:sSub>
      </m:oMath>
      <w:r>
        <w:rPr>
          <w:rFonts w:ascii="Times New Roman"/>
        </w:rPr>
        <w:t>——停留解除时间，s；</w:t>
      </w:r>
    </w:p>
    <w:p>
      <w:pPr>
        <w:pStyle w:val="54"/>
        <w:ind w:firstLine="1200" w:firstLineChars="500"/>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mov</m:t>
            </m:r>
            <m:r>
              <m:rPr/>
              <w:rPr>
                <w:rFonts w:ascii="Cambria Math" w:hAnsi="Cambria Math"/>
              </w:rPr>
              <m:t>.</m:t>
            </m:r>
            <m:r>
              <m:rPr/>
              <w:rPr>
                <w:rFonts w:hint="eastAsia" w:ascii="Cambria Math" w:hAnsi="Cambria Math"/>
              </w:rPr>
              <m:t>f</m:t>
            </m:r>
            <m:r>
              <m:rPr/>
              <w:rPr>
                <w:rFonts w:ascii="Cambria Math" w:hAnsi="Cambria Math"/>
              </w:rPr>
              <m:t>.min</m:t>
            </m:r>
            <m:ctrlPr>
              <w:rPr>
                <w:rFonts w:ascii="Cambria Math" w:hAnsi="Cambria Math"/>
              </w:rPr>
            </m:ctrlPr>
          </m:sub>
        </m:sSub>
      </m:oMath>
      <w:r>
        <w:rPr>
          <w:rFonts w:ascii="Times New Roman"/>
        </w:rPr>
        <w:t>——由距楼梯间最近的房间人员到达楼梯间入口所需的步行时间，s；</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max,</m:t>
            </m:r>
            <m:r>
              <m:rPr/>
              <w:rPr>
                <w:rFonts w:hint="eastAsia" w:ascii="Cambria Math" w:hAnsi="Cambria Math"/>
              </w:rPr>
              <m:t>f</m:t>
            </m:r>
            <m:ctrlPr>
              <w:rPr>
                <w:rFonts w:ascii="Cambria Math" w:hAnsi="Cambria Math"/>
                <w:i/>
              </w:rPr>
            </m:ctrlPr>
          </m:sub>
        </m:sSub>
      </m:oMath>
      <w:r>
        <w:rPr>
          <w:rFonts w:ascii="Times New Roman"/>
        </w:rPr>
        <w:t>——距楼梯间最远的房间出口到楼梯间入口的最大步行距离，m；</w:t>
      </w:r>
    </w:p>
    <w:p>
      <w:pPr>
        <w:pStyle w:val="54"/>
        <w:ind w:firstLine="1200" w:firstLineChars="500"/>
        <w:rPr>
          <w:rFonts w:ascii="Times New Roman"/>
        </w:rPr>
      </w:pPr>
      <m:oMath>
        <m:sSub>
          <m:sSubPr>
            <m:ctrlPr>
              <w:rPr>
                <w:rFonts w:ascii="Cambria Math" w:hAnsi="Cambria Math"/>
                <w:i/>
              </w:rPr>
            </m:ctrlPr>
          </m:sSubPr>
          <m:e>
            <m:r>
              <m:rPr/>
              <w:rPr>
                <w:rFonts w:ascii="Cambria Math" w:hAnsi="Cambria Math"/>
              </w:rPr>
              <m:t>l</m:t>
            </m:r>
            <m:ctrlPr>
              <w:rPr>
                <w:rFonts w:ascii="Cambria Math" w:hAnsi="Cambria Math"/>
                <w:i/>
              </w:rPr>
            </m:ctrlPr>
          </m:e>
          <m:sub>
            <m:r>
              <m:rPr/>
              <w:rPr>
                <w:rFonts w:hint="eastAsia" w:ascii="Cambria Math" w:hAnsi="Cambria Math"/>
              </w:rPr>
              <m:t>min</m:t>
            </m:r>
            <m:r>
              <m:rPr/>
              <w:rPr>
                <w:rFonts w:ascii="Cambria Math" w:hAnsi="Cambria Math"/>
              </w:rPr>
              <m:t>,</m:t>
            </m:r>
            <m:r>
              <m:rPr/>
              <w:rPr>
                <w:rFonts w:hint="eastAsia" w:ascii="Cambria Math" w:hAnsi="Cambria Math"/>
              </w:rPr>
              <m:t>f</m:t>
            </m:r>
            <m:ctrlPr>
              <w:rPr>
                <w:rFonts w:ascii="Cambria Math" w:hAnsi="Cambria Math"/>
                <w:i/>
              </w:rPr>
            </m:ctrlPr>
          </m:sub>
        </m:sSub>
      </m:oMath>
      <w:r>
        <w:rPr>
          <w:rFonts w:ascii="Times New Roman"/>
        </w:rPr>
        <w:t>——距楼梯间最近的房间出口到楼梯间入口的最大步行距离，m；</w:t>
      </w:r>
    </w:p>
    <w:p>
      <w:pPr>
        <w:pStyle w:val="54"/>
        <w:ind w:firstLine="1200" w:firstLineChars="500"/>
        <w:rPr>
          <w:rFonts w:ascii="Times New Roman"/>
        </w:rPr>
      </w:pPr>
      <m:oMath>
        <m:nary>
          <m:naryPr>
            <m:chr m:val="∑"/>
            <m:limLoc m:val="undOvr"/>
            <m:subHide m:val="1"/>
            <m:supHide m:val="1"/>
            <m:ctrlPr>
              <w:rPr>
                <w:rFonts w:ascii="Cambria Math" w:hAnsi="Cambria Math"/>
                <w:i/>
              </w:rPr>
            </m:ctrlPr>
          </m:naryPr>
          <m:sub>
            <m:ctrlPr>
              <w:rPr>
                <w:rFonts w:ascii="Cambria Math" w:hAnsi="Cambria Math"/>
                <w:i/>
              </w:rPr>
            </m:ctrlPr>
          </m:sub>
          <m:sup>
            <m:ctrlPr>
              <w:rPr>
                <w:rFonts w:ascii="Cambria Math" w:hAnsi="Cambria Math"/>
                <w:i/>
              </w:rPr>
            </m:ctrlPr>
          </m:sup>
          <m:e>
            <m:sSub>
              <m:sSubPr>
                <m:ctrlPr>
                  <w:rPr>
                    <w:rFonts w:ascii="Cambria Math" w:hAnsi="Cambria Math"/>
                    <w:i/>
                  </w:rPr>
                </m:ctrlPr>
              </m:sSubPr>
              <m:e>
                <m:r>
                  <m:rPr/>
                  <w:rPr>
                    <w:rFonts w:ascii="Cambria Math" w:hAnsi="Cambria Math"/>
                  </w:rPr>
                  <m:t>M</m:t>
                </m:r>
                <m:ctrlPr>
                  <w:rPr>
                    <w:rFonts w:ascii="Cambria Math" w:hAnsi="Cambria Math"/>
                    <w:i/>
                  </w:rPr>
                </m:ctrlPr>
              </m:e>
              <m:sub>
                <m:r>
                  <m:rPr/>
                  <w:rPr>
                    <w:rFonts w:hint="eastAsia" w:ascii="Cambria Math" w:hAnsi="Cambria Math"/>
                  </w:rPr>
                  <m:t>f</m:t>
                </m:r>
                <m:ctrlPr>
                  <w:rPr>
                    <w:rFonts w:ascii="Cambria Math" w:hAnsi="Cambria Math"/>
                    <w:i/>
                  </w:rPr>
                </m:ctrlPr>
              </m:sub>
            </m:sSub>
            <m:ctrlPr>
              <w:rPr>
                <w:rFonts w:ascii="Cambria Math" w:hAnsi="Cambria Math"/>
                <w:i/>
              </w:rPr>
            </m:ctrlPr>
          </m:e>
        </m:nary>
      </m:oMath>
      <w:r>
        <w:rPr>
          <w:rFonts w:ascii="Times New Roman"/>
        </w:rPr>
        <w:t>——楼层内人数，人；</w:t>
      </w:r>
    </w:p>
    <w:p>
      <w:pPr>
        <w:pStyle w:val="54"/>
        <w:ind w:firstLine="1200" w:firstLineChars="500"/>
        <w:rPr>
          <w:rFonts w:ascii="Times New Roman"/>
        </w:rPr>
      </w:pPr>
      <m:oMath>
        <m:nary>
          <m:naryPr>
            <m:chr m:val="∑"/>
            <m:limLoc m:val="undOvr"/>
            <m:subHide m:val="1"/>
            <m:supHide m:val="1"/>
            <m:ctrlPr>
              <w:rPr>
                <w:rFonts w:ascii="Cambria Math" w:hAnsi="Cambria Math"/>
                <w:i/>
              </w:rPr>
            </m:ctrlPr>
          </m:naryPr>
          <m:sub>
            <m:ctrlPr>
              <w:rPr>
                <w:rFonts w:ascii="Cambria Math" w:hAnsi="Cambria Math"/>
                <w:i/>
              </w:rPr>
            </m:ctrlPr>
          </m:sub>
          <m:sup>
            <m:ctrlPr>
              <w:rPr>
                <w:rFonts w:ascii="Cambria Math" w:hAnsi="Cambria Math"/>
                <w:i/>
              </w:rPr>
            </m:ctrlPr>
          </m:sup>
          <m:e>
            <m:sSub>
              <m:sSubPr>
                <m:ctrlPr>
                  <w:rPr>
                    <w:rFonts w:ascii="Cambria Math" w:hAnsi="Cambria Math"/>
                    <w:i/>
                  </w:rPr>
                </m:ctrlPr>
              </m:sSubPr>
              <m:e>
                <m:r>
                  <m:rPr/>
                  <w:rPr>
                    <w:rFonts w:ascii="Cambria Math" w:hAnsi="Cambria Math"/>
                  </w:rPr>
                  <m:t>B</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e>
        </m:nary>
      </m:oMath>
      <w:r>
        <w:rPr>
          <w:rFonts w:ascii="Times New Roman"/>
        </w:rPr>
        <w:t>——楼梯间入口的有效宽度，m。</w:t>
      </w:r>
    </w:p>
    <w:p>
      <w:pPr>
        <w:pStyle w:val="54"/>
        <w:numPr>
          <w:ilvl w:val="0"/>
          <w:numId w:val="33"/>
        </w:numPr>
        <w:ind w:left="1271" w:firstLineChars="0"/>
        <w:rPr>
          <w:rFonts w:ascii="Times New Roman"/>
        </w:rPr>
      </w:pPr>
      <w:r>
        <w:rPr>
          <w:rFonts w:hint="eastAsia" w:ascii="Times New Roman"/>
        </w:rPr>
        <w:t>人员步行速度</w:t>
      </w:r>
      <m:oMath>
        <m:r>
          <m:rPr/>
          <w:rPr>
            <w:rFonts w:ascii="Cambria Math" w:hAnsi="Cambria Math"/>
          </w:rPr>
          <m:t>v</m:t>
        </m:r>
      </m:oMath>
      <w:r>
        <w:rPr>
          <w:rFonts w:hint="eastAsia" w:ascii="Times New Roman"/>
        </w:rPr>
        <w:t>应根据下列要求确定：</w:t>
      </w:r>
    </w:p>
    <w:p>
      <w:pPr>
        <w:pStyle w:val="54"/>
        <w:ind w:left="851" w:firstLine="240" w:firstLineChars="100"/>
        <w:rPr>
          <w:rFonts w:ascii="Times New Roman"/>
        </w:rPr>
      </w:pPr>
      <w:r>
        <w:rPr>
          <w:rFonts w:hint="eastAsia" w:ascii="Times New Roman"/>
        </w:rPr>
        <w:t>1）当人员密度小于0</w:t>
      </w:r>
      <w:r>
        <w:rPr>
          <w:rFonts w:ascii="Times New Roman"/>
        </w:rPr>
        <w:t>.54</w:t>
      </w:r>
      <w:r>
        <w:rPr>
          <w:rFonts w:hint="eastAsia" w:ascii="Times New Roman"/>
        </w:rPr>
        <w:t>人/㎡时，人员各自按照自己的速度疏散，不受其他人员影响，速度可按表6.1</w:t>
      </w:r>
      <w:r>
        <w:rPr>
          <w:rFonts w:ascii="Times New Roman"/>
        </w:rPr>
        <w:t>.9-1</w:t>
      </w:r>
      <w:r>
        <w:rPr>
          <w:rFonts w:hint="eastAsia" w:ascii="Times New Roman"/>
        </w:rPr>
        <w:t>取值；</w:t>
      </w:r>
    </w:p>
    <w:p>
      <w:pPr>
        <w:pStyle w:val="54"/>
        <w:ind w:left="851" w:firstLine="240" w:firstLineChars="100"/>
        <w:rPr>
          <w:rFonts w:ascii="Times New Roman"/>
        </w:rPr>
      </w:pPr>
      <w:r>
        <w:rPr>
          <w:rFonts w:ascii="Times New Roman"/>
        </w:rPr>
        <w:t>2</w:t>
      </w:r>
      <w:r>
        <w:rPr>
          <w:rFonts w:hint="eastAsia" w:ascii="Times New Roman"/>
        </w:rPr>
        <w:t>）当人员密度在0.</w:t>
      </w:r>
      <w:r>
        <w:rPr>
          <w:rFonts w:ascii="Times New Roman"/>
        </w:rPr>
        <w:t>54~3.8</w:t>
      </w:r>
      <w:r>
        <w:rPr>
          <w:rFonts w:hint="eastAsia" w:ascii="Times New Roman"/>
        </w:rPr>
        <w:t>人/㎡时，</w:t>
      </w:r>
      <m:oMath>
        <m:r>
          <m:rPr/>
          <w:rPr>
            <w:rFonts w:ascii="Cambria Math" w:hAnsi="Cambria Math"/>
          </w:rPr>
          <m:t>v</m:t>
        </m:r>
        <m:r>
          <m:rPr>
            <m:sty m:val="p"/>
          </m:rPr>
          <w:rPr>
            <w:rFonts w:ascii="Cambria Math" w:hAnsi="Cambria Math"/>
          </w:rPr>
          <m:t>=k−0.266kD</m:t>
        </m:r>
      </m:oMath>
      <w:r>
        <w:rPr>
          <w:rFonts w:hint="eastAsia" w:ascii="Times New Roman"/>
        </w:rPr>
        <w:t>，k为常数，可按表</w:t>
      </w:r>
      <w:r>
        <w:rPr>
          <w:rFonts w:ascii="Times New Roman"/>
        </w:rPr>
        <w:t>5.3.9-2</w:t>
      </w:r>
      <w:r>
        <w:rPr>
          <w:rFonts w:hint="eastAsia" w:ascii="Times New Roman"/>
        </w:rPr>
        <w:t>取值，D为人员密度，人/㎡；</w:t>
      </w:r>
    </w:p>
    <w:p>
      <w:pPr>
        <w:pStyle w:val="54"/>
        <w:ind w:left="851" w:firstLine="240" w:firstLineChars="100"/>
        <w:rPr>
          <w:rFonts w:ascii="Times New Roman"/>
        </w:rPr>
      </w:pPr>
      <w:r>
        <w:rPr>
          <w:rFonts w:ascii="Times New Roman"/>
        </w:rPr>
        <w:t>3</w:t>
      </w:r>
      <w:r>
        <w:rPr>
          <w:rFonts w:hint="eastAsia" w:ascii="Times New Roman"/>
        </w:rPr>
        <w:t>）当人员密度大于3</w:t>
      </w:r>
      <w:r>
        <w:rPr>
          <w:rFonts w:ascii="Times New Roman"/>
        </w:rPr>
        <w:t>.8</w:t>
      </w:r>
      <w:r>
        <w:rPr>
          <w:rFonts w:hint="eastAsia" w:ascii="Times New Roman"/>
        </w:rPr>
        <w:t>人/㎡时，疏散将无法进行，速度基本为零。</w:t>
      </w:r>
    </w:p>
    <w:p>
      <w:pPr>
        <w:pStyle w:val="54"/>
        <w:ind w:firstLine="422"/>
        <w:jc w:val="center"/>
        <w:rPr>
          <w:rFonts w:ascii="Times New Roman"/>
          <w:b/>
          <w:sz w:val="21"/>
        </w:rPr>
      </w:pPr>
      <w:r>
        <w:rPr>
          <w:rFonts w:hint="eastAsia" w:ascii="Times New Roman"/>
          <w:b/>
          <w:sz w:val="21"/>
        </w:rPr>
        <w:t>表</w:t>
      </w:r>
      <w:r>
        <w:rPr>
          <w:rFonts w:ascii="Times New Roman"/>
          <w:b/>
          <w:sz w:val="21"/>
        </w:rPr>
        <w:t xml:space="preserve">5.3.9-1  </w:t>
      </w:r>
      <w:r>
        <w:rPr>
          <w:rFonts w:hint="eastAsia" w:ascii="Times New Roman"/>
          <w:b/>
          <w:sz w:val="21"/>
        </w:rPr>
        <w:t>人员密度小于0</w:t>
      </w:r>
      <w:r>
        <w:rPr>
          <w:rFonts w:ascii="Times New Roman"/>
          <w:b/>
          <w:sz w:val="21"/>
        </w:rPr>
        <w:t>.54</w:t>
      </w:r>
      <w:r>
        <w:rPr>
          <w:rFonts w:hint="eastAsia" w:ascii="Times New Roman"/>
          <w:b/>
          <w:sz w:val="21"/>
        </w:rPr>
        <w:t>人/㎡时的步行速度</w:t>
      </w:r>
      <m:oMath>
        <m:r>
          <m:rPr/>
          <w:rPr>
            <w:rFonts w:ascii="Cambria Math" w:hAnsi="Cambria Math"/>
          </w:rPr>
          <m:t>v</m:t>
        </m:r>
      </m:oMath>
      <w:r>
        <w:rPr>
          <w:rFonts w:hint="eastAsia" w:ascii="Times New Roman"/>
          <w:b/>
          <w:sz w:val="21"/>
        </w:rPr>
        <w:t>的取值</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1"/>
        <w:gridCol w:w="2115"/>
        <w:gridCol w:w="2117"/>
        <w:gridCol w:w="3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blHeader/>
          <w:jc w:val="center"/>
        </w:trPr>
        <w:tc>
          <w:tcPr>
            <w:tcW w:w="1129" w:type="pct"/>
            <w:vMerge w:val="restart"/>
            <w:vAlign w:val="center"/>
          </w:tcPr>
          <w:p>
            <w:pPr>
              <w:jc w:val="center"/>
              <w:rPr>
                <w:rFonts w:ascii="Times New Roman" w:hAnsi="Times New Roman"/>
                <w:kern w:val="0"/>
              </w:rPr>
            </w:pPr>
            <w:r>
              <w:rPr>
                <w:rFonts w:ascii="Times New Roman" w:hAnsi="Times New Roman"/>
                <w:kern w:val="0"/>
              </w:rPr>
              <w:t>人员类型</w:t>
            </w:r>
          </w:p>
        </w:tc>
        <w:tc>
          <w:tcPr>
            <w:tcW w:w="3871" w:type="pct"/>
            <w:gridSpan w:val="3"/>
            <w:vAlign w:val="center"/>
          </w:tcPr>
          <w:p>
            <w:pPr>
              <w:jc w:val="center"/>
              <w:rPr>
                <w:rFonts w:ascii="Times New Roman" w:hAnsi="Times New Roman"/>
                <w:kern w:val="0"/>
              </w:rPr>
            </w:pPr>
            <w:r>
              <w:rPr>
                <w:rFonts w:ascii="Times New Roman" w:hAnsi="Times New Roman"/>
                <w:kern w:val="0"/>
              </w:rPr>
              <w:t>步行速度（m/s）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29" w:type="pct"/>
            <w:vMerge w:val="continue"/>
            <w:vAlign w:val="center"/>
          </w:tcPr>
          <w:p>
            <w:pPr>
              <w:jc w:val="center"/>
              <w:rPr>
                <w:rFonts w:ascii="Times New Roman" w:hAnsi="Times New Roman"/>
                <w:kern w:val="0"/>
              </w:rPr>
            </w:pPr>
          </w:p>
        </w:tc>
        <w:tc>
          <w:tcPr>
            <w:tcW w:w="2211" w:type="pct"/>
            <w:gridSpan w:val="2"/>
            <w:vAlign w:val="center"/>
          </w:tcPr>
          <w:p>
            <w:pPr>
              <w:jc w:val="center"/>
              <w:rPr>
                <w:rFonts w:ascii="Times New Roman" w:hAnsi="Times New Roman"/>
                <w:kern w:val="0"/>
              </w:rPr>
            </w:pPr>
            <w:r>
              <w:rPr>
                <w:rFonts w:ascii="Times New Roman" w:hAnsi="Times New Roman"/>
                <w:kern w:val="0"/>
              </w:rPr>
              <w:t>坡道和楼梯间</w:t>
            </w:r>
          </w:p>
        </w:tc>
        <w:tc>
          <w:tcPr>
            <w:tcW w:w="1660" w:type="pct"/>
            <w:vMerge w:val="restart"/>
            <w:vAlign w:val="center"/>
          </w:tcPr>
          <w:p>
            <w:pPr>
              <w:jc w:val="center"/>
              <w:rPr>
                <w:rFonts w:ascii="Times New Roman" w:hAnsi="Times New Roman"/>
                <w:kern w:val="0"/>
              </w:rPr>
            </w:pPr>
            <w:r>
              <w:rPr>
                <w:rFonts w:ascii="Times New Roman" w:hAnsi="Times New Roman"/>
                <w:kern w:val="0"/>
              </w:rPr>
              <w:t>水平走廊、出入口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29" w:type="pct"/>
            <w:vMerge w:val="continue"/>
            <w:vAlign w:val="center"/>
          </w:tcPr>
          <w:p>
            <w:pPr>
              <w:jc w:val="center"/>
              <w:rPr>
                <w:rFonts w:ascii="Times New Roman" w:hAnsi="Times New Roman"/>
                <w:kern w:val="0"/>
              </w:rPr>
            </w:pPr>
          </w:p>
        </w:tc>
        <w:tc>
          <w:tcPr>
            <w:tcW w:w="1105" w:type="pct"/>
            <w:vAlign w:val="center"/>
          </w:tcPr>
          <w:p>
            <w:pPr>
              <w:jc w:val="center"/>
              <w:rPr>
                <w:rFonts w:ascii="Times New Roman" w:hAnsi="Times New Roman"/>
                <w:kern w:val="0"/>
              </w:rPr>
            </w:pPr>
            <w:r>
              <w:rPr>
                <w:rFonts w:ascii="Times New Roman" w:hAnsi="Times New Roman"/>
                <w:kern w:val="0"/>
              </w:rPr>
              <w:t>上行</w:t>
            </w:r>
          </w:p>
        </w:tc>
        <w:tc>
          <w:tcPr>
            <w:tcW w:w="1106" w:type="pct"/>
            <w:vAlign w:val="center"/>
          </w:tcPr>
          <w:p>
            <w:pPr>
              <w:jc w:val="center"/>
              <w:rPr>
                <w:rFonts w:ascii="Times New Roman" w:hAnsi="Times New Roman"/>
                <w:kern w:val="0"/>
              </w:rPr>
            </w:pPr>
            <w:r>
              <w:rPr>
                <w:rFonts w:ascii="Times New Roman" w:hAnsi="Times New Roman"/>
                <w:kern w:val="0"/>
              </w:rPr>
              <w:t>下行</w:t>
            </w:r>
          </w:p>
        </w:tc>
        <w:tc>
          <w:tcPr>
            <w:tcW w:w="1660" w:type="pct"/>
            <w:vMerge w:val="continue"/>
            <w:vAlign w:val="center"/>
          </w:tcPr>
          <w:p>
            <w:pPr>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129" w:type="pct"/>
            <w:vAlign w:val="center"/>
          </w:tcPr>
          <w:p>
            <w:pPr>
              <w:jc w:val="center"/>
              <w:rPr>
                <w:rFonts w:ascii="Times New Roman" w:hAnsi="Times New Roman"/>
                <w:kern w:val="0"/>
              </w:rPr>
            </w:pPr>
            <w:r>
              <w:rPr>
                <w:rFonts w:ascii="Times New Roman" w:hAnsi="Times New Roman"/>
                <w:kern w:val="0"/>
              </w:rPr>
              <w:t>成年男士</w:t>
            </w:r>
          </w:p>
        </w:tc>
        <w:tc>
          <w:tcPr>
            <w:tcW w:w="1105" w:type="pct"/>
            <w:vAlign w:val="center"/>
          </w:tcPr>
          <w:p>
            <w:pPr>
              <w:jc w:val="center"/>
              <w:rPr>
                <w:rFonts w:ascii="Times New Roman" w:hAnsi="Times New Roman"/>
                <w:kern w:val="0"/>
              </w:rPr>
            </w:pPr>
            <w:r>
              <w:rPr>
                <w:rFonts w:ascii="Times New Roman" w:hAnsi="Times New Roman"/>
                <w:kern w:val="0"/>
              </w:rPr>
              <w:t>0.64</w:t>
            </w:r>
          </w:p>
        </w:tc>
        <w:tc>
          <w:tcPr>
            <w:tcW w:w="1106" w:type="pct"/>
            <w:vAlign w:val="center"/>
          </w:tcPr>
          <w:p>
            <w:pPr>
              <w:jc w:val="center"/>
              <w:rPr>
                <w:rFonts w:ascii="Times New Roman" w:hAnsi="Times New Roman"/>
                <w:kern w:val="0"/>
              </w:rPr>
            </w:pPr>
            <w:r>
              <w:rPr>
                <w:rFonts w:ascii="Times New Roman" w:hAnsi="Times New Roman"/>
                <w:kern w:val="0"/>
              </w:rPr>
              <w:t>0.84</w:t>
            </w:r>
          </w:p>
        </w:tc>
        <w:tc>
          <w:tcPr>
            <w:tcW w:w="1660" w:type="pct"/>
            <w:vAlign w:val="center"/>
          </w:tcPr>
          <w:p>
            <w:pPr>
              <w:jc w:val="center"/>
              <w:rPr>
                <w:rFonts w:ascii="Times New Roman" w:hAnsi="Times New Roman"/>
                <w:kern w:val="0"/>
              </w:rPr>
            </w:pPr>
            <w:r>
              <w:rPr>
                <w:rFonts w:ascii="Times New Roman" w:hAnsi="Times New Roman"/>
                <w:kern w:val="0"/>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129" w:type="pct"/>
            <w:vAlign w:val="center"/>
          </w:tcPr>
          <w:p>
            <w:pPr>
              <w:jc w:val="center"/>
              <w:rPr>
                <w:rFonts w:ascii="Times New Roman" w:hAnsi="Times New Roman"/>
                <w:kern w:val="0"/>
              </w:rPr>
            </w:pPr>
            <w:r>
              <w:rPr>
                <w:rFonts w:ascii="Times New Roman" w:hAnsi="Times New Roman"/>
                <w:kern w:val="0"/>
              </w:rPr>
              <w:t>成年女士</w:t>
            </w:r>
          </w:p>
        </w:tc>
        <w:tc>
          <w:tcPr>
            <w:tcW w:w="1105" w:type="pct"/>
            <w:vAlign w:val="center"/>
          </w:tcPr>
          <w:p>
            <w:pPr>
              <w:jc w:val="center"/>
              <w:rPr>
                <w:rFonts w:ascii="Times New Roman" w:hAnsi="Times New Roman"/>
                <w:kern w:val="0"/>
              </w:rPr>
            </w:pPr>
            <w:r>
              <w:rPr>
                <w:rFonts w:ascii="Times New Roman" w:hAnsi="Times New Roman"/>
                <w:kern w:val="0"/>
              </w:rPr>
              <w:t>0.48</w:t>
            </w:r>
          </w:p>
        </w:tc>
        <w:tc>
          <w:tcPr>
            <w:tcW w:w="1106" w:type="pct"/>
            <w:vAlign w:val="center"/>
          </w:tcPr>
          <w:p>
            <w:pPr>
              <w:jc w:val="center"/>
              <w:rPr>
                <w:rFonts w:ascii="Times New Roman" w:hAnsi="Times New Roman"/>
                <w:kern w:val="0"/>
              </w:rPr>
            </w:pPr>
            <w:r>
              <w:rPr>
                <w:rFonts w:ascii="Times New Roman" w:hAnsi="Times New Roman"/>
                <w:kern w:val="0"/>
              </w:rPr>
              <w:t>0.72</w:t>
            </w:r>
          </w:p>
        </w:tc>
        <w:tc>
          <w:tcPr>
            <w:tcW w:w="1660" w:type="pct"/>
            <w:vAlign w:val="center"/>
          </w:tcPr>
          <w:p>
            <w:pPr>
              <w:jc w:val="center"/>
              <w:rPr>
                <w:rFonts w:ascii="Times New Roman" w:hAnsi="Times New Roman"/>
                <w:kern w:val="0"/>
              </w:rPr>
            </w:pPr>
            <w:r>
              <w:rPr>
                <w:rFonts w:ascii="Times New Roman" w:hAnsi="Times New Roman"/>
                <w:kern w:val="0"/>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129" w:type="pct"/>
            <w:vAlign w:val="center"/>
          </w:tcPr>
          <w:p>
            <w:pPr>
              <w:jc w:val="center"/>
              <w:rPr>
                <w:rFonts w:ascii="Times New Roman" w:hAnsi="Times New Roman"/>
                <w:kern w:val="0"/>
              </w:rPr>
            </w:pPr>
            <w:r>
              <w:rPr>
                <w:rFonts w:ascii="Times New Roman" w:hAnsi="Times New Roman"/>
                <w:kern w:val="0"/>
              </w:rPr>
              <w:t>儿童</w:t>
            </w:r>
          </w:p>
        </w:tc>
        <w:tc>
          <w:tcPr>
            <w:tcW w:w="1105" w:type="pct"/>
            <w:vAlign w:val="center"/>
          </w:tcPr>
          <w:p>
            <w:pPr>
              <w:jc w:val="center"/>
              <w:rPr>
                <w:rFonts w:ascii="Times New Roman" w:hAnsi="Times New Roman"/>
                <w:kern w:val="0"/>
              </w:rPr>
            </w:pPr>
            <w:r>
              <w:rPr>
                <w:rFonts w:ascii="Times New Roman" w:hAnsi="Times New Roman"/>
                <w:kern w:val="0"/>
              </w:rPr>
              <w:t>0.37</w:t>
            </w:r>
          </w:p>
        </w:tc>
        <w:tc>
          <w:tcPr>
            <w:tcW w:w="1106" w:type="pct"/>
            <w:vAlign w:val="center"/>
          </w:tcPr>
          <w:p>
            <w:pPr>
              <w:jc w:val="center"/>
              <w:rPr>
                <w:rFonts w:ascii="Times New Roman" w:hAnsi="Times New Roman"/>
                <w:kern w:val="0"/>
              </w:rPr>
            </w:pPr>
            <w:r>
              <w:rPr>
                <w:rFonts w:ascii="Times New Roman" w:hAnsi="Times New Roman"/>
                <w:kern w:val="0"/>
              </w:rPr>
              <w:t>0.56</w:t>
            </w:r>
          </w:p>
        </w:tc>
        <w:tc>
          <w:tcPr>
            <w:tcW w:w="1660" w:type="pct"/>
            <w:vAlign w:val="center"/>
          </w:tcPr>
          <w:p>
            <w:pPr>
              <w:jc w:val="center"/>
              <w:rPr>
                <w:rFonts w:ascii="Times New Roman" w:hAnsi="Times New Roman"/>
                <w:kern w:val="0"/>
              </w:rPr>
            </w:pPr>
            <w:r>
              <w:rPr>
                <w:rFonts w:ascii="Times New Roman" w:hAnsi="Times New Roman"/>
                <w:kern w:val="0"/>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129" w:type="pct"/>
            <w:vAlign w:val="center"/>
          </w:tcPr>
          <w:p>
            <w:pPr>
              <w:jc w:val="center"/>
              <w:rPr>
                <w:rFonts w:ascii="Times New Roman" w:hAnsi="Times New Roman"/>
                <w:kern w:val="0"/>
              </w:rPr>
            </w:pPr>
            <w:r>
              <w:rPr>
                <w:rFonts w:ascii="Times New Roman" w:hAnsi="Times New Roman"/>
                <w:kern w:val="0"/>
              </w:rPr>
              <w:t>老人</w:t>
            </w:r>
          </w:p>
        </w:tc>
        <w:tc>
          <w:tcPr>
            <w:tcW w:w="1105" w:type="pct"/>
            <w:vAlign w:val="center"/>
          </w:tcPr>
          <w:p>
            <w:pPr>
              <w:jc w:val="center"/>
              <w:rPr>
                <w:rFonts w:ascii="Times New Roman" w:hAnsi="Times New Roman"/>
                <w:kern w:val="0"/>
              </w:rPr>
            </w:pPr>
            <w:r>
              <w:rPr>
                <w:rFonts w:ascii="Times New Roman" w:hAnsi="Times New Roman"/>
                <w:kern w:val="0"/>
              </w:rPr>
              <w:t>0.33</w:t>
            </w:r>
          </w:p>
        </w:tc>
        <w:tc>
          <w:tcPr>
            <w:tcW w:w="1106" w:type="pct"/>
            <w:vAlign w:val="center"/>
          </w:tcPr>
          <w:p>
            <w:pPr>
              <w:jc w:val="center"/>
              <w:rPr>
                <w:rFonts w:ascii="Times New Roman" w:hAnsi="Times New Roman"/>
                <w:kern w:val="0"/>
              </w:rPr>
            </w:pPr>
            <w:r>
              <w:rPr>
                <w:rFonts w:ascii="Times New Roman" w:hAnsi="Times New Roman"/>
                <w:kern w:val="0"/>
              </w:rPr>
              <w:t>0.50</w:t>
            </w:r>
          </w:p>
        </w:tc>
        <w:tc>
          <w:tcPr>
            <w:tcW w:w="1660" w:type="pct"/>
            <w:vAlign w:val="center"/>
          </w:tcPr>
          <w:p>
            <w:pPr>
              <w:jc w:val="center"/>
              <w:rPr>
                <w:rFonts w:ascii="Times New Roman" w:hAnsi="Times New Roman"/>
                <w:kern w:val="0"/>
              </w:rPr>
            </w:pPr>
            <w:r>
              <w:rPr>
                <w:rFonts w:ascii="Times New Roman" w:hAnsi="Times New Roman"/>
                <w:kern w:val="0"/>
              </w:rPr>
              <w:t>0.83</w:t>
            </w:r>
          </w:p>
        </w:tc>
      </w:tr>
    </w:tbl>
    <w:p>
      <w:pPr>
        <w:pStyle w:val="54"/>
        <w:ind w:firstLine="0" w:firstLineChars="0"/>
        <w:jc w:val="left"/>
        <w:rPr>
          <w:rFonts w:ascii="Times New Roman"/>
          <w:sz w:val="21"/>
        </w:rPr>
      </w:pPr>
      <w:r>
        <w:rPr>
          <w:rFonts w:hint="eastAsia" w:ascii="Times New Roman"/>
          <w:sz w:val="21"/>
        </w:rPr>
        <w:t>注：1</w:t>
      </w:r>
      <w:r>
        <w:rPr>
          <w:rFonts w:ascii="Times New Roman"/>
          <w:sz w:val="21"/>
        </w:rPr>
        <w:t>.</w:t>
      </w:r>
      <w:r>
        <w:rPr>
          <w:rFonts w:hint="eastAsia" w:ascii="Times New Roman"/>
          <w:sz w:val="21"/>
        </w:rPr>
        <w:t>人员上楼梯速度为0.4倍的正常速度，人员下楼梯速度为0.6倍的正常速度。</w:t>
      </w:r>
    </w:p>
    <w:p>
      <w:pPr>
        <w:pStyle w:val="54"/>
        <w:ind w:firstLine="420"/>
        <w:jc w:val="left"/>
        <w:rPr>
          <w:rFonts w:ascii="Times New Roman"/>
          <w:b/>
          <w:sz w:val="21"/>
        </w:rPr>
      </w:pPr>
      <w:r>
        <w:rPr>
          <w:rFonts w:hint="eastAsia" w:ascii="Times New Roman"/>
          <w:sz w:val="21"/>
        </w:rPr>
        <w:t>2</w:t>
      </w:r>
      <w:r>
        <w:rPr>
          <w:rFonts w:ascii="Times New Roman"/>
          <w:sz w:val="21"/>
        </w:rPr>
        <w:t>.</w:t>
      </w:r>
      <w:r>
        <w:rPr>
          <w:rFonts w:hint="eastAsia" w:ascii="Times New Roman"/>
          <w:sz w:val="21"/>
        </w:rPr>
        <w:t>成年女士、儿童和老者，其水平和沿坡道、楼梯上下行疏散速度分别为成年男士的85%、66%和59%。</w:t>
      </w:r>
    </w:p>
    <w:p>
      <w:pPr>
        <w:pStyle w:val="54"/>
        <w:ind w:firstLine="422"/>
        <w:jc w:val="center"/>
        <w:rPr>
          <w:rFonts w:ascii="Times New Roman"/>
          <w:b/>
          <w:sz w:val="21"/>
        </w:rPr>
      </w:pPr>
      <w:r>
        <w:rPr>
          <w:rFonts w:hint="eastAsia" w:ascii="Times New Roman"/>
          <w:b/>
          <w:sz w:val="21"/>
        </w:rPr>
        <w:t>表</w:t>
      </w:r>
      <w:r>
        <w:rPr>
          <w:rFonts w:ascii="Times New Roman"/>
          <w:b/>
          <w:sz w:val="21"/>
        </w:rPr>
        <w:t xml:space="preserve">5.3.9-2  </w:t>
      </w:r>
      <w:r>
        <w:rPr>
          <w:rFonts w:hint="eastAsia" w:ascii="Times New Roman"/>
          <w:b/>
          <w:sz w:val="21"/>
        </w:rPr>
        <w:t>常数k的取值</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7"/>
        <w:gridCol w:w="4036"/>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blHeader/>
          <w:jc w:val="center"/>
        </w:trPr>
        <w:tc>
          <w:tcPr>
            <w:tcW w:w="4217" w:type="pct"/>
            <w:gridSpan w:val="2"/>
            <w:vAlign w:val="center"/>
          </w:tcPr>
          <w:p>
            <w:pPr>
              <w:jc w:val="center"/>
              <w:rPr>
                <w:rFonts w:ascii="Times New Roman" w:hAnsi="Times New Roman"/>
                <w:kern w:val="0"/>
              </w:rPr>
            </w:pPr>
            <w:r>
              <w:rPr>
                <w:rFonts w:ascii="Times New Roman" w:hAnsi="Times New Roman"/>
                <w:kern w:val="0"/>
              </w:rPr>
              <w:t>疏散路径因素</w:t>
            </w:r>
          </w:p>
        </w:tc>
        <w:tc>
          <w:tcPr>
            <w:tcW w:w="783" w:type="pct"/>
            <w:vAlign w:val="center"/>
          </w:tcPr>
          <w:p>
            <w:pPr>
              <w:jc w:val="center"/>
              <w:rPr>
                <w:rFonts w:ascii="Times New Roman" w:hAnsi="Times New Roman"/>
                <w:kern w:val="0"/>
              </w:rPr>
            </w:pPr>
            <w:r>
              <w:rPr>
                <w:rFonts w:ascii="Times New Roman" w:hAnsi="Times New Roman"/>
                <w:kern w:val="0"/>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217" w:type="pct"/>
            <w:gridSpan w:val="2"/>
            <w:vAlign w:val="center"/>
          </w:tcPr>
          <w:p>
            <w:pPr>
              <w:jc w:val="center"/>
              <w:rPr>
                <w:rFonts w:ascii="Times New Roman" w:hAnsi="Times New Roman"/>
                <w:kern w:val="0"/>
              </w:rPr>
            </w:pPr>
            <w:r>
              <w:rPr>
                <w:rFonts w:ascii="Times New Roman" w:hAnsi="Times New Roman"/>
                <w:kern w:val="0"/>
              </w:rPr>
              <w:t>走道、走廊、斜坡、门口</w:t>
            </w:r>
          </w:p>
        </w:tc>
        <w:tc>
          <w:tcPr>
            <w:tcW w:w="783" w:type="pct"/>
            <w:vAlign w:val="center"/>
          </w:tcPr>
          <w:p>
            <w:pPr>
              <w:jc w:val="center"/>
              <w:rPr>
                <w:rFonts w:ascii="Times New Roman" w:hAnsi="Times New Roman"/>
                <w:kern w:val="0"/>
              </w:rPr>
            </w:pPr>
            <w:r>
              <w:rPr>
                <w:rFonts w:ascii="Times New Roman" w:hAnsi="Times New Roman"/>
                <w:kern w:val="0"/>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217" w:type="pct"/>
            <w:gridSpan w:val="2"/>
            <w:vAlign w:val="center"/>
          </w:tcPr>
          <w:p>
            <w:pPr>
              <w:jc w:val="center"/>
              <w:rPr>
                <w:rFonts w:ascii="Times New Roman" w:hAnsi="Times New Roman"/>
                <w:kern w:val="0"/>
              </w:rPr>
            </w:pPr>
            <w:r>
              <w:rPr>
                <w:rFonts w:ascii="Times New Roman" w:hAnsi="Times New Roman"/>
                <w:kern w:val="0"/>
              </w:rPr>
              <w:t>楼梯</w:t>
            </w:r>
          </w:p>
        </w:tc>
        <w:tc>
          <w:tcPr>
            <w:tcW w:w="783" w:type="pct"/>
            <w:vAlign w:val="center"/>
          </w:tcPr>
          <w:p>
            <w:pPr>
              <w:jc w:val="center"/>
              <w:rPr>
                <w:rFonts w:ascii="Times New Roman" w:hAnsi="Times New Roman"/>
                <w:kern w:val="0"/>
              </w:rPr>
            </w:pPr>
            <w:r>
              <w:rPr>
                <w:rFonts w:hint="eastAsia" w:ascii="Times New Roman" w:hAnsi="Times New Roman"/>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09" w:type="pct"/>
            <w:vAlign w:val="center"/>
          </w:tcPr>
          <w:p>
            <w:pPr>
              <w:jc w:val="center"/>
              <w:rPr>
                <w:rFonts w:ascii="Times New Roman" w:hAnsi="Times New Roman"/>
                <w:kern w:val="0"/>
              </w:rPr>
            </w:pPr>
            <w:r>
              <w:rPr>
                <w:rFonts w:ascii="Times New Roman" w:hAnsi="Times New Roman"/>
                <w:kern w:val="0"/>
              </w:rPr>
              <w:t>梯级高度（cm)</w:t>
            </w:r>
          </w:p>
        </w:tc>
        <w:tc>
          <w:tcPr>
            <w:tcW w:w="2109" w:type="pct"/>
            <w:vAlign w:val="center"/>
          </w:tcPr>
          <w:p>
            <w:pPr>
              <w:jc w:val="center"/>
              <w:rPr>
                <w:rFonts w:ascii="Times New Roman" w:hAnsi="Times New Roman"/>
                <w:kern w:val="0"/>
              </w:rPr>
            </w:pPr>
            <w:r>
              <w:rPr>
                <w:rFonts w:ascii="Times New Roman" w:hAnsi="Times New Roman"/>
                <w:kern w:val="0"/>
              </w:rPr>
              <w:t>梯级宽度（cm)</w:t>
            </w:r>
          </w:p>
        </w:tc>
        <w:tc>
          <w:tcPr>
            <w:tcW w:w="783" w:type="pct"/>
            <w:vAlign w:val="center"/>
          </w:tcPr>
          <w:p>
            <w:pPr>
              <w:jc w:val="center"/>
              <w:rPr>
                <w:rFonts w:ascii="Times New Roman" w:hAnsi="Times New Roman"/>
                <w:kern w:val="0"/>
              </w:rPr>
            </w:pPr>
            <w:r>
              <w:rPr>
                <w:rFonts w:hint="eastAsia" w:ascii="Times New Roman" w:hAnsi="Times New Roman"/>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09" w:type="pct"/>
            <w:vAlign w:val="center"/>
          </w:tcPr>
          <w:p>
            <w:pPr>
              <w:jc w:val="center"/>
              <w:rPr>
                <w:rFonts w:ascii="Times New Roman" w:hAnsi="Times New Roman"/>
                <w:kern w:val="0"/>
              </w:rPr>
            </w:pPr>
            <w:r>
              <w:rPr>
                <w:rFonts w:ascii="Times New Roman" w:hAnsi="Times New Roman"/>
                <w:kern w:val="0"/>
              </w:rPr>
              <w:t>19</w:t>
            </w:r>
          </w:p>
        </w:tc>
        <w:tc>
          <w:tcPr>
            <w:tcW w:w="2109" w:type="pct"/>
            <w:vAlign w:val="center"/>
          </w:tcPr>
          <w:p>
            <w:pPr>
              <w:jc w:val="center"/>
              <w:rPr>
                <w:rFonts w:ascii="Times New Roman" w:hAnsi="Times New Roman"/>
                <w:kern w:val="0"/>
              </w:rPr>
            </w:pPr>
            <w:r>
              <w:rPr>
                <w:rFonts w:ascii="Times New Roman" w:hAnsi="Times New Roman"/>
                <w:kern w:val="0"/>
              </w:rPr>
              <w:t>25</w:t>
            </w:r>
          </w:p>
        </w:tc>
        <w:tc>
          <w:tcPr>
            <w:tcW w:w="783" w:type="pct"/>
            <w:vAlign w:val="center"/>
          </w:tcPr>
          <w:p>
            <w:pPr>
              <w:jc w:val="center"/>
              <w:rPr>
                <w:rFonts w:ascii="Times New Roman" w:hAnsi="Times New Roman"/>
                <w:kern w:val="0"/>
              </w:rPr>
            </w:pPr>
            <w:r>
              <w:rPr>
                <w:rFonts w:ascii="Times New Roman" w:hAnsi="Times New Roman"/>
                <w:kern w:val="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09" w:type="pct"/>
            <w:vAlign w:val="center"/>
          </w:tcPr>
          <w:p>
            <w:pPr>
              <w:jc w:val="center"/>
              <w:rPr>
                <w:rFonts w:ascii="Times New Roman" w:hAnsi="Times New Roman"/>
                <w:kern w:val="0"/>
              </w:rPr>
            </w:pPr>
            <w:r>
              <w:rPr>
                <w:rFonts w:ascii="Times New Roman" w:hAnsi="Times New Roman"/>
                <w:kern w:val="0"/>
              </w:rPr>
              <w:t>18</w:t>
            </w:r>
          </w:p>
        </w:tc>
        <w:tc>
          <w:tcPr>
            <w:tcW w:w="2109" w:type="pct"/>
            <w:vAlign w:val="center"/>
          </w:tcPr>
          <w:p>
            <w:pPr>
              <w:jc w:val="center"/>
              <w:rPr>
                <w:rFonts w:ascii="Times New Roman" w:hAnsi="Times New Roman"/>
                <w:kern w:val="0"/>
              </w:rPr>
            </w:pPr>
            <w:r>
              <w:rPr>
                <w:rFonts w:ascii="Times New Roman" w:hAnsi="Times New Roman"/>
                <w:kern w:val="0"/>
              </w:rPr>
              <w:t>28</w:t>
            </w:r>
          </w:p>
        </w:tc>
        <w:tc>
          <w:tcPr>
            <w:tcW w:w="783" w:type="pct"/>
            <w:vAlign w:val="center"/>
          </w:tcPr>
          <w:p>
            <w:pPr>
              <w:jc w:val="center"/>
              <w:rPr>
                <w:rFonts w:ascii="Times New Roman" w:hAnsi="Times New Roman"/>
                <w:kern w:val="0"/>
              </w:rPr>
            </w:pPr>
            <w:r>
              <w:rPr>
                <w:rFonts w:ascii="Times New Roman" w:hAnsi="Times New Roman"/>
                <w:kern w:val="0"/>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09" w:type="pct"/>
            <w:vAlign w:val="center"/>
          </w:tcPr>
          <w:p>
            <w:pPr>
              <w:jc w:val="center"/>
              <w:rPr>
                <w:rFonts w:ascii="Times New Roman" w:hAnsi="Times New Roman"/>
                <w:kern w:val="0"/>
              </w:rPr>
            </w:pPr>
            <w:r>
              <w:rPr>
                <w:rFonts w:ascii="Times New Roman" w:hAnsi="Times New Roman"/>
                <w:kern w:val="0"/>
              </w:rPr>
              <w:t>17</w:t>
            </w:r>
          </w:p>
        </w:tc>
        <w:tc>
          <w:tcPr>
            <w:tcW w:w="2109" w:type="pct"/>
            <w:vAlign w:val="center"/>
          </w:tcPr>
          <w:p>
            <w:pPr>
              <w:jc w:val="center"/>
              <w:rPr>
                <w:rFonts w:ascii="Times New Roman" w:hAnsi="Times New Roman"/>
                <w:kern w:val="0"/>
              </w:rPr>
            </w:pPr>
            <w:r>
              <w:rPr>
                <w:rFonts w:ascii="Times New Roman" w:hAnsi="Times New Roman"/>
                <w:kern w:val="0"/>
              </w:rPr>
              <w:t>30</w:t>
            </w:r>
          </w:p>
        </w:tc>
        <w:tc>
          <w:tcPr>
            <w:tcW w:w="783" w:type="pct"/>
            <w:vAlign w:val="center"/>
          </w:tcPr>
          <w:p>
            <w:pPr>
              <w:jc w:val="center"/>
              <w:rPr>
                <w:rFonts w:ascii="Times New Roman" w:hAnsi="Times New Roman"/>
                <w:kern w:val="0"/>
              </w:rPr>
            </w:pPr>
            <w:r>
              <w:rPr>
                <w:rFonts w:ascii="Times New Roman" w:hAnsi="Times New Roman"/>
                <w:kern w:val="0"/>
              </w:rPr>
              <w:t>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2109" w:type="pct"/>
            <w:vAlign w:val="center"/>
          </w:tcPr>
          <w:p>
            <w:pPr>
              <w:jc w:val="center"/>
              <w:rPr>
                <w:rFonts w:ascii="Times New Roman" w:hAnsi="Times New Roman"/>
                <w:kern w:val="0"/>
              </w:rPr>
            </w:pPr>
            <w:r>
              <w:rPr>
                <w:rFonts w:ascii="Times New Roman" w:hAnsi="Times New Roman"/>
                <w:kern w:val="0"/>
              </w:rPr>
              <w:t>17</w:t>
            </w:r>
          </w:p>
        </w:tc>
        <w:tc>
          <w:tcPr>
            <w:tcW w:w="2109" w:type="pct"/>
            <w:vAlign w:val="center"/>
          </w:tcPr>
          <w:p>
            <w:pPr>
              <w:jc w:val="center"/>
              <w:rPr>
                <w:rFonts w:ascii="Times New Roman" w:hAnsi="Times New Roman"/>
                <w:kern w:val="0"/>
              </w:rPr>
            </w:pPr>
            <w:r>
              <w:rPr>
                <w:rFonts w:ascii="Times New Roman" w:hAnsi="Times New Roman"/>
                <w:kern w:val="0"/>
              </w:rPr>
              <w:t>33</w:t>
            </w:r>
          </w:p>
        </w:tc>
        <w:tc>
          <w:tcPr>
            <w:tcW w:w="783" w:type="pct"/>
            <w:vAlign w:val="center"/>
          </w:tcPr>
          <w:p>
            <w:pPr>
              <w:jc w:val="center"/>
              <w:rPr>
                <w:rFonts w:ascii="Times New Roman" w:hAnsi="Times New Roman"/>
                <w:kern w:val="0"/>
              </w:rPr>
            </w:pPr>
            <w:r>
              <w:rPr>
                <w:rFonts w:ascii="Times New Roman" w:hAnsi="Times New Roman"/>
                <w:kern w:val="0"/>
              </w:rPr>
              <w:t>1.23</w:t>
            </w:r>
          </w:p>
        </w:tc>
      </w:tr>
    </w:tbl>
    <w:p>
      <w:pPr>
        <w:pStyle w:val="54"/>
        <w:ind w:left="851" w:firstLine="240" w:firstLineChars="100"/>
        <w:rPr>
          <w:rFonts w:ascii="Times New Roman"/>
        </w:rPr>
      </w:pPr>
    </w:p>
    <w:p>
      <w:pPr>
        <w:pStyle w:val="54"/>
        <w:numPr>
          <w:ilvl w:val="0"/>
          <w:numId w:val="33"/>
        </w:numPr>
        <w:ind w:firstLineChars="0"/>
        <w:rPr>
          <w:rFonts w:ascii="Times New Roman"/>
        </w:rPr>
      </w:pPr>
      <w:r>
        <w:rPr>
          <w:rFonts w:hint="eastAsia" w:ascii="Times New Roman"/>
        </w:rPr>
        <w:t>运动</w:t>
      </w:r>
      <w:r>
        <w:rPr>
          <w:rFonts w:ascii="Times New Roman"/>
        </w:rPr>
        <w:t>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oMath>
      <w:r>
        <w:rPr>
          <w:rFonts w:ascii="Times New Roman"/>
        </w:rPr>
        <w:t>应按照公式（5.3.9-9）计算：</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r>
          <m:rPr/>
          <w:rPr>
            <w:rFonts w:hint="eastAsia"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w:rPr>
                <w:rFonts w:ascii="Cambria Math" w:hAnsi="Cambria Math"/>
              </w:rPr>
              <m:t>r</m:t>
            </m:r>
            <m:ctrlPr>
              <w:rPr>
                <w:rFonts w:ascii="Cambria Math" w:hAnsi="Cambria Math"/>
              </w:rPr>
            </m:ctrlPr>
          </m:sub>
        </m:sSub>
        <m:r>
          <m:rPr/>
          <w:rPr>
            <w:rFonts w:hint="eastAsia"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r>
              <m:rPr>
                <m:sty m:val="p"/>
              </m:rPr>
              <w:rPr>
                <w:rFonts w:ascii="Cambria Math" w:hAnsi="Cambria Math"/>
              </w:rPr>
              <m:t>.</m:t>
            </m:r>
            <m:r>
              <m:rPr>
                <m:sty m:val="p"/>
              </m:rPr>
              <w:rPr>
                <w:rFonts w:hint="eastAsia" w:ascii="Cambria Math" w:hAnsi="Cambria Math"/>
              </w:rPr>
              <m:t>f</m:t>
            </m:r>
            <m:ctrlPr>
              <w:rPr>
                <w:rFonts w:ascii="Cambria Math" w:hAnsi="Cambria Math"/>
              </w:rPr>
            </m:ctrlPr>
          </m:sub>
        </m:sSub>
      </m:oMath>
      <w:r>
        <w:rPr>
          <w:rFonts w:ascii="Times New Roman"/>
        </w:rPr>
        <w:t>………………………………（5.3.9-9）</w:t>
      </w:r>
    </w:p>
    <w:p>
      <w:pPr>
        <w:pStyle w:val="54"/>
        <w:ind w:firstLine="480"/>
        <w:jc w:val="left"/>
        <w:rPr>
          <w:rFonts w:ascii="Times New Roman"/>
        </w:rPr>
      </w:pPr>
      <w:r>
        <w:rPr>
          <w:rFonts w:hint="eastAsia" w:ascii="Times New Roman"/>
        </w:rPr>
        <w:t>2</w:t>
      </w:r>
      <w:r>
        <w:rPr>
          <w:rFonts w:ascii="Times New Roman"/>
        </w:rPr>
        <w:t xml:space="preserve">  </w:t>
      </w:r>
      <w:r>
        <w:rPr>
          <w:rFonts w:hint="eastAsia" w:ascii="Times New Roman"/>
        </w:rPr>
        <w:t>疏散模拟预测运动时间</w:t>
      </w:r>
    </w:p>
    <w:p>
      <w:pPr>
        <w:pStyle w:val="54"/>
        <w:ind w:firstLine="720" w:firstLineChars="300"/>
        <w:jc w:val="left"/>
        <w:rPr>
          <w:rFonts w:ascii="Times New Roman"/>
        </w:rPr>
      </w:pPr>
      <w:r>
        <w:rPr>
          <w:rFonts w:hint="eastAsia" w:ascii="Times New Roman"/>
        </w:rPr>
        <w:t xml:space="preserve">1） </w:t>
      </w:r>
      <w:r>
        <w:rPr>
          <w:rFonts w:ascii="Times New Roman"/>
        </w:rPr>
        <w:t xml:space="preserve"> </w:t>
      </w:r>
      <w:r>
        <w:rPr>
          <w:rFonts w:hint="eastAsia" w:ascii="Times New Roman"/>
        </w:rPr>
        <w:t>运用疏散模拟软件建立与建筑尺寸等比例的疏散模型；</w:t>
      </w:r>
    </w:p>
    <w:p>
      <w:pPr>
        <w:pStyle w:val="54"/>
        <w:ind w:firstLine="720" w:firstLineChars="300"/>
        <w:jc w:val="left"/>
        <w:rPr>
          <w:rFonts w:ascii="Times New Roman"/>
        </w:rPr>
      </w:pPr>
      <w:r>
        <w:rPr>
          <w:rFonts w:hint="eastAsia" w:ascii="Times New Roman"/>
        </w:rPr>
        <w:t xml:space="preserve">2） </w:t>
      </w:r>
      <w:r>
        <w:rPr>
          <w:rFonts w:ascii="Times New Roman"/>
        </w:rPr>
        <w:t xml:space="preserve"> </w:t>
      </w:r>
      <w:r>
        <w:rPr>
          <w:rFonts w:hint="eastAsia" w:ascii="Times New Roman"/>
        </w:rPr>
        <w:t>根据实际使用情况或统计数据确定疏散人数、人员年龄和性别构成、人员行走速度等参数，并输入模型中；</w:t>
      </w:r>
    </w:p>
    <w:p>
      <w:pPr>
        <w:pStyle w:val="54"/>
        <w:ind w:firstLine="720" w:firstLineChars="300"/>
        <w:jc w:val="left"/>
        <w:rPr>
          <w:rFonts w:ascii="Times New Roman"/>
        </w:rPr>
      </w:pPr>
      <w:r>
        <w:rPr>
          <w:rFonts w:hint="eastAsia" w:ascii="Times New Roman"/>
        </w:rPr>
        <w:t xml:space="preserve">3） </w:t>
      </w:r>
      <w:r>
        <w:rPr>
          <w:rFonts w:ascii="Times New Roman"/>
        </w:rPr>
        <w:t xml:space="preserve"> </w:t>
      </w:r>
      <w:r>
        <w:rPr>
          <w:rFonts w:hint="eastAsia" w:ascii="Times New Roman"/>
        </w:rPr>
        <w:t>根据实际情况确定“假定起火点”，对每个“假定起火点”分别规划起火后人员的疏散路线；</w:t>
      </w:r>
    </w:p>
    <w:p>
      <w:pPr>
        <w:pStyle w:val="54"/>
        <w:ind w:firstLine="720" w:firstLineChars="300"/>
        <w:jc w:val="left"/>
        <w:rPr>
          <w:rFonts w:ascii="Times New Roman"/>
        </w:rPr>
      </w:pPr>
      <w:r>
        <w:rPr>
          <w:rFonts w:hint="eastAsia" w:ascii="Times New Roman"/>
        </w:rPr>
        <w:t xml:space="preserve">4） </w:t>
      </w:r>
      <w:r>
        <w:rPr>
          <w:rFonts w:ascii="Times New Roman"/>
        </w:rPr>
        <w:t xml:space="preserve"> </w:t>
      </w:r>
      <w:r>
        <w:rPr>
          <w:rFonts w:hint="eastAsia" w:ascii="Times New Roman"/>
        </w:rPr>
        <w:t>计算机模拟确定建筑内人员疏散至安全区域的运动时间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oMath>
      <w:r>
        <w:rPr>
          <w:rFonts w:hint="eastAsia" w:ascii="Times New Roman"/>
        </w:rPr>
        <w:t>。</w:t>
      </w:r>
    </w:p>
    <w:p>
      <w:pPr>
        <w:pStyle w:val="54"/>
        <w:ind w:firstLine="0" w:firstLineChars="0"/>
        <w:jc w:val="left"/>
        <w:rPr>
          <w:rFonts w:ascii="Times New Roman"/>
        </w:rPr>
      </w:pPr>
    </w:p>
    <w:p>
      <w:pPr>
        <w:pStyle w:val="195"/>
      </w:pPr>
      <w:r>
        <w:t>可用疏散时间（</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t>）</w:t>
      </w:r>
      <w:r>
        <w:rPr>
          <w:rFonts w:hint="eastAsia"/>
        </w:rPr>
        <w:t>应根据</w:t>
      </w:r>
      <w:r>
        <w:t>火场烟气层高度、温度、CO浓度达到危险值的最小时间表示火场</w:t>
      </w:r>
      <w:r>
        <w:rPr>
          <w:rFonts w:hint="eastAsia"/>
        </w:rPr>
        <w:t>中</w:t>
      </w:r>
      <w:r>
        <w:t>人员生命危险出现的临界时间，即可用安全疏散时间，可按照公式（5.3.10）计算：</w:t>
      </w:r>
    </w:p>
    <w:p>
      <w:pPr>
        <w:pStyle w:val="213"/>
        <w:ind w:firstLine="480"/>
        <w:jc w:val="right"/>
        <w:rPr>
          <w:rFonts w:ascii="Times New Roman" w:hAnsi="Times New Roman"/>
        </w:rPr>
      </w:pP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r>
          <m:rPr>
            <m:sty m:val="p"/>
          </m:rPr>
          <w:rPr>
            <w:rFonts w:hint="eastAsia" w:ascii="Cambria Math" w:hAnsi="Cambria Math"/>
          </w:rPr>
          <m:t>=</m:t>
        </m:r>
        <m:r>
          <m:rPr>
            <m:sty m:val="p"/>
          </m:rPr>
          <w:rPr>
            <w:rFonts w:ascii="Cambria Math" w:hAnsi="Cambria Math"/>
          </w:rPr>
          <m:t>m</m:t>
        </m:r>
        <m:r>
          <m:rPr>
            <m:sty m:val="p"/>
          </m:rPr>
          <w:rPr>
            <w:rFonts w:hint="eastAsia" w:ascii="Cambria Math" w:hAnsi="Cambria Math"/>
          </w:rPr>
          <m:t>in</m:t>
        </m:r>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s</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B</m:t>
            </m:r>
            <m:ctrlPr>
              <w:rPr>
                <w:rFonts w:ascii="Cambria Math" w:hAnsi="Cambria Math"/>
              </w:rPr>
            </m:ctrlPr>
          </m:sub>
        </m:sSub>
        <m:r>
          <m:rPr>
            <m:sty m:val="p"/>
          </m:rPr>
          <w:rPr>
            <w:rFonts w:ascii="Cambria Math" w:hAnsi="Cambria Math"/>
          </w:rPr>
          <m:t>)</m:t>
        </m:r>
      </m:oMath>
      <w:r>
        <w:rPr>
          <w:rFonts w:ascii="Times New Roman" w:hAnsi="Times New Roman" w:eastAsia="宋体"/>
        </w:rPr>
        <w:t>……………………………………（5.3.10）</w:t>
      </w:r>
    </w:p>
    <w:p>
      <w:pPr>
        <w:pStyle w:val="195"/>
      </w:pPr>
      <w:r>
        <w:t>火场危险来临判断标准应按照表5.3.11判定：</w:t>
      </w:r>
    </w:p>
    <w:p>
      <w:pPr>
        <w:pStyle w:val="142"/>
        <w:spacing w:before="120" w:after="120"/>
      </w:pPr>
      <w:r>
        <w:t>表5.3.11  危险来临判断标准</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7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shd w:val="clear" w:color="auto" w:fill="auto"/>
          </w:tcPr>
          <w:p>
            <w:pPr>
              <w:pStyle w:val="207"/>
              <w:rPr>
                <w:b/>
              </w:rPr>
            </w:pPr>
            <w:r>
              <w:rPr>
                <w:rFonts w:hint="eastAsia"/>
                <w:b/>
              </w:rPr>
              <w:t>判断指标</w:t>
            </w:r>
          </w:p>
        </w:tc>
        <w:tc>
          <w:tcPr>
            <w:tcW w:w="7648" w:type="dxa"/>
            <w:shd w:val="clear" w:color="auto" w:fill="auto"/>
          </w:tcPr>
          <w:p>
            <w:pPr>
              <w:pStyle w:val="207"/>
              <w:rPr>
                <w:b/>
              </w:rPr>
            </w:pPr>
            <w:r>
              <w:rPr>
                <w:rFonts w:hint="eastAsia"/>
                <w:b/>
              </w:rPr>
              <w:t>特性界定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shd w:val="clear" w:color="auto" w:fill="auto"/>
            <w:vAlign w:val="center"/>
          </w:tcPr>
          <w:p>
            <w:pPr>
              <w:pStyle w:val="207"/>
            </w:pPr>
            <w:r>
              <w:t>烟气层高度</w:t>
            </w:r>
          </w:p>
        </w:tc>
        <w:tc>
          <w:tcPr>
            <w:tcW w:w="7648" w:type="dxa"/>
            <w:shd w:val="clear" w:color="auto" w:fill="auto"/>
          </w:tcPr>
          <w:p>
            <w:pPr>
              <w:pStyle w:val="207"/>
              <w:jc w:val="left"/>
            </w:pPr>
            <w:r>
              <w:t>空间净高H&lt;3m的区域，最小清晰高度H</w:t>
            </w:r>
            <w:r>
              <w:rPr>
                <w:vertAlign w:val="subscript"/>
              </w:rPr>
              <w:t>0</w:t>
            </w:r>
            <w:r>
              <w:t>≥1/2H；空间净高H≥3m的区域，最小清晰高度不低于H</w:t>
            </w:r>
            <w:r>
              <w:rPr>
                <w:vertAlign w:val="subscript"/>
              </w:rPr>
              <w:t>0</w:t>
            </w:r>
            <w:r>
              <w:t>=1.6+0.1H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shd w:val="clear" w:color="auto" w:fill="auto"/>
            <w:vAlign w:val="center"/>
          </w:tcPr>
          <w:p>
            <w:pPr>
              <w:pStyle w:val="207"/>
            </w:pPr>
            <w:r>
              <w:t>温度</w:t>
            </w:r>
          </w:p>
        </w:tc>
        <w:tc>
          <w:tcPr>
            <w:tcW w:w="7648" w:type="dxa"/>
            <w:shd w:val="clear" w:color="auto" w:fill="auto"/>
          </w:tcPr>
          <w:p>
            <w:pPr>
              <w:pStyle w:val="207"/>
              <w:jc w:val="left"/>
            </w:pPr>
            <w:r>
              <w:t>最小清晰高度及</w:t>
            </w:r>
            <w:r>
              <w:rPr>
                <w:rFonts w:hint="eastAsia"/>
              </w:rPr>
              <w:t>其</w:t>
            </w:r>
            <w:r>
              <w:t>下</w:t>
            </w:r>
            <w:r>
              <w:rPr>
                <w:rFonts w:hint="eastAsia"/>
              </w:rPr>
              <w:t>方</w:t>
            </w:r>
            <w:r>
              <w:t>区域的环境温度不超过60℃，最小清晰高度</w:t>
            </w:r>
            <w:r>
              <w:rPr>
                <w:rFonts w:hint="eastAsia"/>
              </w:rPr>
              <w:t>上方区域</w:t>
            </w:r>
            <w:r>
              <w:t>烟气温度不高于200℃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shd w:val="clear" w:color="auto" w:fill="auto"/>
          </w:tcPr>
          <w:p>
            <w:pPr>
              <w:pStyle w:val="207"/>
            </w:pPr>
            <w:r>
              <w:t>CO</w:t>
            </w:r>
            <w:r>
              <w:rPr>
                <w:vertAlign w:val="subscript"/>
              </w:rPr>
              <w:t>2</w:t>
            </w:r>
            <w:r>
              <w:t>浓度</w:t>
            </w:r>
          </w:p>
        </w:tc>
        <w:tc>
          <w:tcPr>
            <w:tcW w:w="7648" w:type="dxa"/>
            <w:shd w:val="clear" w:color="auto" w:fill="auto"/>
          </w:tcPr>
          <w:p>
            <w:pPr>
              <w:pStyle w:val="207"/>
              <w:jc w:val="left"/>
            </w:pPr>
            <w:r>
              <w:t>最小清晰高度及</w:t>
            </w:r>
            <w:r>
              <w:rPr>
                <w:rFonts w:hint="eastAsia"/>
              </w:rPr>
              <w:t>其</w:t>
            </w:r>
            <w:r>
              <w:t>下区域的CO</w:t>
            </w:r>
            <w:r>
              <w:rPr>
                <w:vertAlign w:val="subscript"/>
              </w:rPr>
              <w:t>2</w:t>
            </w:r>
            <w:r>
              <w:t>浓度不超过5000ppm(5×10</w:t>
            </w:r>
            <w:r>
              <w:rPr>
                <w:vertAlign w:val="superscript"/>
              </w:rPr>
              <w:t>-3</w:t>
            </w:r>
            <w:r>
              <w:t>mol/mol)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shd w:val="clear" w:color="auto" w:fill="auto"/>
          </w:tcPr>
          <w:p>
            <w:pPr>
              <w:pStyle w:val="207"/>
            </w:pPr>
            <w:r>
              <w:t>CO浓度</w:t>
            </w:r>
          </w:p>
        </w:tc>
        <w:tc>
          <w:tcPr>
            <w:tcW w:w="7648" w:type="dxa"/>
            <w:shd w:val="clear" w:color="auto" w:fill="auto"/>
          </w:tcPr>
          <w:p>
            <w:pPr>
              <w:pStyle w:val="207"/>
              <w:jc w:val="left"/>
            </w:pPr>
            <w:r>
              <w:t>最小清晰高度及</w:t>
            </w:r>
            <w:r>
              <w:rPr>
                <w:rFonts w:hint="eastAsia"/>
              </w:rPr>
              <w:t>其</w:t>
            </w:r>
            <w:r>
              <w:t>下区域的CO浓度不超过500ppm(5×10</w:t>
            </w:r>
            <w:r>
              <w:rPr>
                <w:vertAlign w:val="superscript"/>
              </w:rPr>
              <w:t>-4</w:t>
            </w:r>
            <w:r>
              <w:t>mol/mol)</w:t>
            </w:r>
          </w:p>
        </w:tc>
      </w:tr>
    </w:tbl>
    <w:p>
      <w:pPr>
        <w:pStyle w:val="209"/>
        <w:rPr>
          <w:rFonts w:ascii="Times New Roman"/>
        </w:rPr>
      </w:pPr>
      <w:r>
        <w:rPr>
          <w:rFonts w:hint="eastAsia" w:ascii="Times New Roman"/>
        </w:rPr>
        <w:t>注：1</w:t>
      </w:r>
      <w:r>
        <w:rPr>
          <w:rFonts w:ascii="Times New Roman"/>
        </w:rPr>
        <w:t>.H</w:t>
      </w:r>
      <w:r>
        <w:rPr>
          <w:rFonts w:hint="eastAsia" w:ascii="Times New Roman"/>
        </w:rPr>
        <w:t>为空间净高，</w:t>
      </w:r>
      <w:r>
        <w:rPr>
          <w:rFonts w:ascii="Times New Roman"/>
        </w:rPr>
        <w:t>H</w:t>
      </w:r>
      <w:r>
        <w:rPr>
          <w:rFonts w:ascii="Times New Roman"/>
          <w:vertAlign w:val="subscript"/>
        </w:rPr>
        <w:t>0</w:t>
      </w:r>
      <w:r>
        <w:rPr>
          <w:rFonts w:hint="eastAsia" w:ascii="Times New Roman"/>
        </w:rPr>
        <w:t>为烟气层高度。</w:t>
      </w:r>
    </w:p>
    <w:p>
      <w:pPr>
        <w:pStyle w:val="209"/>
        <w:rPr>
          <w:rFonts w:ascii="Times New Roman"/>
        </w:rPr>
      </w:pPr>
      <w:r>
        <w:rPr>
          <w:rFonts w:ascii="Times New Roman"/>
        </w:rPr>
        <w:t xml:space="preserve">    2.</w:t>
      </w:r>
      <w:r>
        <w:rPr>
          <w:rFonts w:hint="eastAsia" w:ascii="Times New Roman"/>
        </w:rPr>
        <w:t>根据美国</w:t>
      </w:r>
      <w:r>
        <w:rPr>
          <w:rFonts w:ascii="Times New Roman"/>
        </w:rPr>
        <w:t>ASHRAE</w:t>
      </w:r>
      <w:r>
        <w:rPr>
          <w:rFonts w:hint="eastAsia" w:ascii="Times New Roman"/>
        </w:rPr>
        <w:t>的研究，空气中</w:t>
      </w:r>
      <w:r>
        <w:rPr>
          <w:rFonts w:ascii="Times New Roman"/>
        </w:rPr>
        <w:t>CO</w:t>
      </w:r>
      <w:r>
        <w:rPr>
          <w:rFonts w:ascii="Times New Roman"/>
          <w:vertAlign w:val="subscript"/>
        </w:rPr>
        <w:t>2</w:t>
      </w:r>
      <w:r>
        <w:rPr>
          <w:rFonts w:hint="eastAsia" w:ascii="Times New Roman"/>
        </w:rPr>
        <w:t>浓度</w:t>
      </w:r>
      <w:r>
        <w:rPr>
          <w:rFonts w:ascii="Times New Roman"/>
        </w:rPr>
        <w:t>5000ppm</w:t>
      </w:r>
      <w:r>
        <w:rPr>
          <w:rFonts w:hint="eastAsia" w:ascii="Times New Roman"/>
        </w:rPr>
        <w:t>及以上对人体健康危害较大，人体可能出现缺氧、造成脑损伤、昏迷甚至死亡，因此，</w:t>
      </w:r>
      <w:r>
        <w:rPr>
          <w:rFonts w:ascii="Times New Roman"/>
        </w:rPr>
        <w:t>CO</w:t>
      </w:r>
      <w:r>
        <w:rPr>
          <w:rFonts w:ascii="Times New Roman"/>
          <w:vertAlign w:val="subscript"/>
        </w:rPr>
        <w:t>2</w:t>
      </w:r>
      <w:r>
        <w:rPr>
          <w:rFonts w:hint="eastAsia" w:ascii="Times New Roman"/>
        </w:rPr>
        <w:t>危险值设定为</w:t>
      </w:r>
      <w:r>
        <w:rPr>
          <w:rFonts w:ascii="Times New Roman"/>
        </w:rPr>
        <w:t>5000ppm</w:t>
      </w:r>
      <w:r>
        <w:rPr>
          <w:rFonts w:hint="eastAsia" w:ascii="Times New Roman"/>
        </w:rPr>
        <w:t>。</w:t>
      </w:r>
    </w:p>
    <w:p>
      <w:pPr>
        <w:pStyle w:val="255"/>
      </w:pPr>
    </w:p>
    <w:p>
      <w:pPr>
        <w:pStyle w:val="195"/>
      </w:pPr>
      <w:r>
        <w:t>烟气层高度Z到达最小清晰高度H</w:t>
      </w:r>
      <w:r>
        <w:rPr>
          <w:vertAlign w:val="subscript"/>
        </w:rPr>
        <w:t>0</w:t>
      </w:r>
      <w:r>
        <w:t>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s</m:t>
            </m:r>
            <m:ctrlPr>
              <w:rPr>
                <w:rFonts w:ascii="Cambria Math" w:hAnsi="Cambria Math"/>
              </w:rPr>
            </m:ctrlPr>
          </m:sub>
        </m:sSub>
      </m:oMath>
      <w:r>
        <w:t>应按照下式计算</w:t>
      </w:r>
      <w:r>
        <w:rPr>
          <w:rFonts w:hint="eastAsia"/>
        </w:rPr>
        <w:t>确定</w:t>
      </w:r>
      <w:r>
        <w:t>：</w:t>
      </w:r>
    </w:p>
    <w:p>
      <w:pPr>
        <w:pStyle w:val="255"/>
        <w:ind w:firstLine="480" w:firstLineChars="200"/>
      </w:pPr>
      <w:r>
        <w:rPr>
          <w:rFonts w:hint="eastAsia"/>
        </w:rPr>
        <w:t>1</w:t>
      </w:r>
      <w:r>
        <w:t xml:space="preserve">  无</w:t>
      </w:r>
      <w:r>
        <w:rPr>
          <w:rFonts w:hint="eastAsia"/>
        </w:rPr>
        <w:t>机械</w:t>
      </w:r>
      <w:r>
        <w:t>排烟</w:t>
      </w:r>
      <w:r>
        <w:rPr>
          <w:rFonts w:hint="eastAsia"/>
        </w:rPr>
        <w:t>或</w:t>
      </w:r>
      <w:r>
        <w:t>机械排烟失效时，可取烟气层下端高度为最小清晰高度，按照公式（5.3.12-1）计算烟气层下降到最小清晰高度时的时间：</w:t>
      </w:r>
    </w:p>
    <w:p>
      <w:pPr>
        <w:pStyle w:val="54"/>
        <w:ind w:firstLine="480"/>
        <w:jc w:val="right"/>
        <w:rPr>
          <w:rFonts w:ascii="Times New Roman"/>
        </w:rPr>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s</m:t>
            </m:r>
            <m:ctrlPr>
              <w:rPr>
                <w:rFonts w:ascii="Cambria Math" w:hAnsi="Cambria Math"/>
              </w:rPr>
            </m:ctrlPr>
          </m:sub>
        </m:sSub>
        <m:r>
          <m:rP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m:rPr/>
                  <w:rPr>
                    <w:rFonts w:ascii="Cambria Math" w:hAnsi="Cambria Math"/>
                  </w:rPr>
                  <m:t>(</m:t>
                </m:r>
                <m:sSup>
                  <m:sSupPr>
                    <m:ctrlPr>
                      <w:rPr>
                        <w:rFonts w:ascii="Cambria Math" w:hAnsi="Cambria Math"/>
                        <w:i/>
                      </w:rPr>
                    </m:ctrlPr>
                  </m:sSupPr>
                  <m:e>
                    <m:r>
                      <m:rPr/>
                      <w:rPr>
                        <w:rFonts w:ascii="Cambria Math" w:hAnsi="Cambria Math"/>
                      </w:rPr>
                      <m:t>Z</m:t>
                    </m:r>
                    <m:ctrlPr>
                      <w:rPr>
                        <w:rFonts w:ascii="Cambria Math" w:hAnsi="Cambria Math"/>
                        <w:i/>
                      </w:rPr>
                    </m:ctrlPr>
                  </m:e>
                  <m:sup>
                    <m:r>
                      <m:rPr/>
                      <w:rPr>
                        <w:rFonts w:ascii="Cambria Math" w:hAnsi="Cambria Math"/>
                      </w:rPr>
                      <m:t>−2/3</m:t>
                    </m:r>
                    <m:ctrlPr>
                      <w:rPr>
                        <w:rFonts w:ascii="Cambria Math" w:hAnsi="Cambria Math"/>
                        <w:i/>
                      </w:rPr>
                    </m:ctrlPr>
                  </m:sup>
                </m:sSup>
                <m:r>
                  <m:rPr/>
                  <w:rPr>
                    <w:rFonts w:ascii="Cambria Math" w:hAnsi="Cambria Math"/>
                  </w:rPr>
                  <m:t>−</m:t>
                </m:r>
                <m:sSup>
                  <m:sSupPr>
                    <m:ctrlPr>
                      <w:rPr>
                        <w:rFonts w:ascii="Cambria Math" w:hAnsi="Cambria Math"/>
                        <w:i/>
                      </w:rPr>
                    </m:ctrlPr>
                  </m:sSupPr>
                  <m:e>
                    <m:r>
                      <m:rPr/>
                      <w:rPr>
                        <w:rFonts w:ascii="Cambria Math" w:hAnsi="Cambria Math"/>
                      </w:rPr>
                      <m:t>H</m:t>
                    </m:r>
                    <m:ctrlPr>
                      <w:rPr>
                        <w:rFonts w:ascii="Cambria Math" w:hAnsi="Cambria Math"/>
                        <w:i/>
                      </w:rPr>
                    </m:ctrlPr>
                  </m:e>
                  <m:sup>
                    <m:r>
                      <m:rPr/>
                      <w:rPr>
                        <w:rFonts w:ascii="Cambria Math" w:hAnsi="Cambria Math"/>
                      </w:rPr>
                      <m:t>−</m:t>
                    </m:r>
                    <m:f>
                      <m:fPr>
                        <m:ctrlPr>
                          <w:rPr>
                            <w:rFonts w:ascii="Cambria Math" w:hAnsi="Cambria Math"/>
                            <w:i/>
                          </w:rPr>
                        </m:ctrlPr>
                      </m:fPr>
                      <m:num>
                        <m:r>
                          <m:rPr/>
                          <w:rPr>
                            <w:rFonts w:ascii="Cambria Math" w:hAnsi="Cambria Math"/>
                          </w:rPr>
                          <m:t>2</m:t>
                        </m:r>
                        <m:ctrlPr>
                          <w:rPr>
                            <w:rFonts w:ascii="Cambria Math" w:hAnsi="Cambria Math"/>
                            <w:i/>
                          </w:rPr>
                        </m:ctrlPr>
                      </m:num>
                      <m:den>
                        <m:r>
                          <m:rPr/>
                          <w:rPr>
                            <w:rFonts w:ascii="Cambria Math" w:hAnsi="Cambria Math"/>
                          </w:rPr>
                          <m:t>3</m:t>
                        </m:r>
                        <m:ctrlPr>
                          <w:rPr>
                            <w:rFonts w:ascii="Cambria Math" w:hAnsi="Cambria Math"/>
                            <w:i/>
                          </w:rPr>
                        </m:ctrlPr>
                      </m:den>
                    </m:f>
                    <m:ctrlPr>
                      <w:rPr>
                        <w:rFonts w:ascii="Cambria Math" w:hAnsi="Cambria Math"/>
                        <w:i/>
                      </w:rPr>
                    </m:ctrlPr>
                  </m:sup>
                </m:sSup>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ctrlPr>
                      <w:rPr>
                        <w:rFonts w:ascii="Cambria Math" w:hAnsi="Cambria Math"/>
                        <w:i/>
                      </w:rPr>
                    </m:ctrlPr>
                  </m:num>
                  <m:den>
                    <m:r>
                      <m:rPr/>
                      <w:rPr>
                        <w:rFonts w:ascii="Cambria Math" w:hAnsi="Cambria Math"/>
                      </w:rPr>
                      <m:t>0.076</m:t>
                    </m:r>
                    <m:ctrlPr>
                      <w:rPr>
                        <w:rFonts w:ascii="Cambria Math" w:hAnsi="Cambria Math"/>
                        <w:i/>
                      </w:rPr>
                    </m:ctrlPr>
                  </m:den>
                </m:f>
                <m:f>
                  <m:fPr>
                    <m:ctrlPr>
                      <w:rPr>
                        <w:rFonts w:ascii="Cambria Math" w:hAnsi="Cambria Math"/>
                        <w:i/>
                      </w:rPr>
                    </m:ctrlPr>
                  </m:fPr>
                  <m:num>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num>
                  <m:den>
                    <m:sSup>
                      <m:sSupPr>
                        <m:ctrlPr>
                          <w:rPr>
                            <w:rFonts w:ascii="Cambria Math" w:hAnsi="Cambria Math"/>
                            <w:i/>
                          </w:rPr>
                        </m:ctrlPr>
                      </m:sSupPr>
                      <m:e>
                        <m:r>
                          <m:rPr/>
                          <w:rPr>
                            <w:rFonts w:ascii="Cambria Math" w:hAnsi="Cambria Math"/>
                          </w:rPr>
                          <m:t>(1−</m:t>
                        </m:r>
                        <m:r>
                          <m:rPr>
                            <m:sty m:val="p"/>
                          </m:rPr>
                          <w:rPr>
                            <w:rFonts w:ascii="Cambria Math" w:hAnsi="Cambria Math"/>
                          </w:rPr>
                          <m:t>χ)</m:t>
                        </m:r>
                        <m:ctrlPr>
                          <w:rPr>
                            <w:rFonts w:ascii="Cambria Math" w:hAnsi="Cambria Math"/>
                            <w:i/>
                          </w:rPr>
                        </m:ctrlPr>
                      </m:e>
                      <m:sup>
                        <m:r>
                          <m:rPr/>
                          <w:rPr>
                            <w:rFonts w:ascii="Cambria Math" w:hAnsi="Cambria Math"/>
                          </w:rPr>
                          <m:t>1/3</m:t>
                        </m:r>
                        <m:ctrlPr>
                          <w:rPr>
                            <w:rFonts w:ascii="Cambria Math" w:hAnsi="Cambria Math"/>
                            <w:i/>
                          </w:rPr>
                        </m:ctrlPr>
                      </m:sup>
                    </m:sSup>
                    <m:sSup>
                      <m:sSupPr>
                        <m:ctrlPr>
                          <w:rPr>
                            <w:rFonts w:ascii="Cambria Math" w:hAnsi="Cambria Math"/>
                          </w:rPr>
                        </m:ctrlPr>
                      </m:sSupPr>
                      <m:e>
                        <m:r>
                          <m:rPr/>
                          <w:rPr>
                            <w:rFonts w:ascii="Cambria Math" w:hAnsi="Cambria Math"/>
                          </w:rPr>
                          <m:t>α</m:t>
                        </m:r>
                        <m:ctrlPr>
                          <w:rPr>
                            <w:rFonts w:ascii="Cambria Math" w:hAnsi="Cambria Math"/>
                          </w:rPr>
                        </m:ctrlPr>
                      </m:e>
                      <m:sup>
                        <m:r>
                          <m:rPr/>
                          <w:rPr>
                            <w:rFonts w:ascii="Cambria Math" w:hAnsi="Cambria Math"/>
                          </w:rPr>
                          <m:t>1/3</m:t>
                        </m:r>
                        <m:ctrlPr>
                          <w:rPr>
                            <w:rFonts w:ascii="Cambria Math" w:hAnsi="Cambria Math"/>
                          </w:rPr>
                        </m:ctrlPr>
                      </m:sup>
                    </m:sSup>
                    <m:ctrlPr>
                      <w:rPr>
                        <w:rFonts w:ascii="Cambria Math" w:hAnsi="Cambria Math"/>
                        <w:i/>
                      </w:rPr>
                    </m:ctrlPr>
                  </m:den>
                </m:f>
                <m:f>
                  <m:fPr>
                    <m:ctrlPr>
                      <w:rPr>
                        <w:rFonts w:ascii="Cambria Math" w:hAnsi="Cambria Math"/>
                        <w:i/>
                      </w:rPr>
                    </m:ctrlPr>
                  </m:fPr>
                  <m:num>
                    <m:r>
                      <m:rPr/>
                      <w:rPr>
                        <w:rFonts w:ascii="Cambria Math" w:hAnsi="Cambria Math"/>
                      </w:rPr>
                      <m:t>n+3</m:t>
                    </m:r>
                    <m:ctrlPr>
                      <w:rPr>
                        <w:rFonts w:ascii="Cambria Math" w:hAnsi="Cambria Math"/>
                        <w:i/>
                      </w:rPr>
                    </m:ctrlPr>
                  </m:num>
                  <m:den>
                    <m:r>
                      <m:rPr/>
                      <w:rPr>
                        <w:rFonts w:ascii="Cambria Math" w:hAnsi="Cambria Math"/>
                      </w:rPr>
                      <m:t>2</m:t>
                    </m:r>
                    <m:ctrlPr>
                      <w:rPr>
                        <w:rFonts w:ascii="Cambria Math" w:hAnsi="Cambria Math"/>
                        <w:i/>
                      </w:rPr>
                    </m:ctrlPr>
                  </m:den>
                </m:f>
                <m:ctrlPr>
                  <w:rPr>
                    <w:rFonts w:ascii="Cambria Math" w:hAnsi="Cambria Math"/>
                    <w:i/>
                  </w:rPr>
                </m:ctrlPr>
              </m:e>
            </m:d>
            <m:ctrlPr>
              <w:rPr>
                <w:rFonts w:ascii="Cambria Math" w:hAnsi="Cambria Math"/>
                <w:i/>
              </w:rPr>
            </m:ctrlPr>
          </m:e>
          <m:sup>
            <m:r>
              <m:rPr/>
              <w:rPr>
                <w:rFonts w:ascii="Cambria Math" w:hAnsi="Cambria Math"/>
              </w:rPr>
              <m:t>−(1+</m:t>
            </m:r>
            <m:f>
              <m:fPr>
                <m:ctrlPr>
                  <w:rPr>
                    <w:rFonts w:ascii="Cambria Math" w:hAnsi="Cambria Math"/>
                    <w:i/>
                  </w:rPr>
                </m:ctrlPr>
              </m:fPr>
              <m:num>
                <m:r>
                  <m:rPr/>
                  <w:rPr>
                    <w:rFonts w:ascii="Cambria Math" w:hAnsi="Cambria Math"/>
                  </w:rPr>
                  <m:t>n</m:t>
                </m:r>
                <m:ctrlPr>
                  <w:rPr>
                    <w:rFonts w:ascii="Cambria Math" w:hAnsi="Cambria Math"/>
                    <w:i/>
                  </w:rPr>
                </m:ctrlPr>
              </m:num>
              <m:den>
                <m:r>
                  <m:rPr/>
                  <w:rPr>
                    <w:rFonts w:ascii="Cambria Math" w:hAnsi="Cambria Math"/>
                  </w:rPr>
                  <m:t>3</m:t>
                </m:r>
                <m:ctrlPr>
                  <w:rPr>
                    <w:rFonts w:ascii="Cambria Math" w:hAnsi="Cambria Math"/>
                    <w:i/>
                  </w:rPr>
                </m:ctrlPr>
              </m:den>
            </m:f>
            <m:r>
              <m:rPr/>
              <w:rPr>
                <w:rFonts w:ascii="Cambria Math" w:hAnsi="Cambria Math"/>
              </w:rPr>
              <m:t>)</m:t>
            </m:r>
            <m:ctrlPr>
              <w:rPr>
                <w:rFonts w:ascii="Cambria Math" w:hAnsi="Cambria Math"/>
                <w:i/>
              </w:rPr>
            </m:ctrlPr>
          </m:sup>
        </m:sSup>
      </m:oMath>
      <w:r>
        <w:rPr>
          <w:rFonts w:ascii="Times New Roman"/>
        </w:rPr>
        <w:t>…………………………（5.3.12-1）</w:t>
      </w:r>
    </w:p>
    <w:p>
      <w:pPr>
        <w:pStyle w:val="54"/>
        <w:ind w:firstLine="480"/>
        <w:jc w:val="left"/>
        <w:rPr>
          <w:rFonts w:ascii="Times New Roman"/>
        </w:rPr>
      </w:pPr>
      <w:r>
        <w:rPr>
          <w:rFonts w:ascii="Times New Roman"/>
        </w:rPr>
        <w:t>式中：ρ</w:t>
      </w:r>
      <w:r>
        <w:rPr>
          <w:rFonts w:ascii="Times New Roman"/>
          <w:vertAlign w:val="subscript"/>
        </w:rPr>
        <w:t>s</w:t>
      </w:r>
      <w:r>
        <w:rPr>
          <w:rFonts w:ascii="Times New Roman"/>
        </w:rPr>
        <w:t>——烟层密度kg/m</w:t>
      </w:r>
      <w:r>
        <w:rPr>
          <w:rFonts w:ascii="Times New Roman"/>
          <w:vertAlign w:val="superscript"/>
        </w:rPr>
        <w:t>3</w:t>
      </w:r>
      <w:r>
        <w:rPr>
          <w:rFonts w:ascii="Times New Roman"/>
        </w:rPr>
        <w:t>，对于大体积室内空间初期的需要过程中取值1.0kg/m</w:t>
      </w:r>
      <w:r>
        <w:rPr>
          <w:rFonts w:ascii="Times New Roman"/>
          <w:vertAlign w:val="superscript"/>
        </w:rPr>
        <w:t>3</w:t>
      </w:r>
      <w:r>
        <w:rPr>
          <w:rFonts w:ascii="Times New Roman"/>
        </w:rPr>
        <w:t>；</w:t>
      </w:r>
    </w:p>
    <w:p>
      <w:pPr>
        <w:pStyle w:val="54"/>
        <w:ind w:firstLine="1200" w:firstLineChars="500"/>
        <w:jc w:val="left"/>
        <w:rPr>
          <w:rFonts w:ascii="Times New Roman"/>
        </w:rPr>
      </w:pPr>
      <w:r>
        <w:rPr>
          <w:rFonts w:ascii="Times New Roman"/>
        </w:rPr>
        <w:t>χ——产生热辐射的热释放份数，一般取0.3；</w:t>
      </w:r>
    </w:p>
    <w:p>
      <w:pPr>
        <w:pStyle w:val="54"/>
        <w:ind w:firstLine="1200" w:firstLineChars="500"/>
        <w:jc w:val="left"/>
        <w:rPr>
          <w:rFonts w:ascii="Times New Roman"/>
        </w:rPr>
      </w:pPr>
      <w:r>
        <w:rPr>
          <w:rFonts w:ascii="Times New Roman"/>
        </w:rPr>
        <w:t>α——火灾增长系数，kW/s</w:t>
      </w:r>
      <w:r>
        <w:rPr>
          <w:rFonts w:ascii="Times New Roman"/>
          <w:vertAlign w:val="superscript"/>
        </w:rPr>
        <w:t>2</w:t>
      </w:r>
      <w:r>
        <w:rPr>
          <w:rFonts w:ascii="Times New Roman"/>
        </w:rPr>
        <w:t>；</w:t>
      </w:r>
    </w:p>
    <w:p>
      <w:pPr>
        <w:pStyle w:val="54"/>
        <w:ind w:firstLine="1200" w:firstLineChars="500"/>
        <w:jc w:val="left"/>
        <w:rPr>
          <w:rFonts w:ascii="Times New Roman"/>
        </w:rPr>
      </w:pPr>
      <w:r>
        <w:rPr>
          <w:rFonts w:ascii="Times New Roman"/>
        </w:rPr>
        <w:t>A</w:t>
      </w:r>
      <w:r>
        <w:rPr>
          <w:rFonts w:hint="eastAsia" w:ascii="Times New Roman"/>
        </w:rPr>
        <w:t>r</w:t>
      </w:r>
      <w:r>
        <w:rPr>
          <w:rFonts w:ascii="Times New Roman"/>
        </w:rPr>
        <w:t>——室内空间的底面面积，m</w:t>
      </w:r>
      <w:r>
        <w:rPr>
          <w:rFonts w:ascii="Times New Roman"/>
          <w:vertAlign w:val="superscript"/>
        </w:rPr>
        <w:t>2</w:t>
      </w:r>
      <w:r>
        <w:rPr>
          <w:rFonts w:ascii="Times New Roman"/>
        </w:rPr>
        <w:t>；</w:t>
      </w:r>
    </w:p>
    <w:p>
      <w:pPr>
        <w:pStyle w:val="54"/>
        <w:ind w:firstLine="1200" w:firstLineChars="500"/>
        <w:jc w:val="left"/>
        <w:rPr>
          <w:rFonts w:ascii="Times New Roman"/>
        </w:rPr>
      </w:pPr>
      <w:r>
        <w:rPr>
          <w:rFonts w:ascii="Times New Roman"/>
        </w:rPr>
        <w:t>n——t</w:t>
      </w:r>
      <w:r>
        <w:rPr>
          <w:rFonts w:ascii="Times New Roman"/>
          <w:vertAlign w:val="superscript"/>
        </w:rPr>
        <w:t>2</w:t>
      </w:r>
      <w:r>
        <w:rPr>
          <w:rFonts w:ascii="Times New Roman"/>
        </w:rPr>
        <w:t>火，n=2；</w:t>
      </w:r>
    </w:p>
    <w:p>
      <w:pPr>
        <w:pStyle w:val="54"/>
        <w:ind w:firstLine="1200" w:firstLineChars="500"/>
        <w:jc w:val="left"/>
        <w:rPr>
          <w:rFonts w:ascii="Times New Roman"/>
        </w:rPr>
      </w:pPr>
      <w:r>
        <w:rPr>
          <w:rFonts w:ascii="Times New Roman"/>
        </w:rPr>
        <w:t>H——空间净高，m</w:t>
      </w:r>
      <w:r>
        <w:rPr>
          <w:rFonts w:hint="eastAsia" w:ascii="Times New Roman"/>
        </w:rPr>
        <w:t>;</w:t>
      </w:r>
    </w:p>
    <w:p>
      <w:pPr>
        <w:pStyle w:val="54"/>
        <w:ind w:firstLine="1200" w:firstLineChars="500"/>
        <w:jc w:val="left"/>
        <w:rPr>
          <w:rFonts w:ascii="Times New Roman"/>
        </w:rPr>
      </w:pPr>
      <w:r>
        <w:rPr>
          <w:rFonts w:ascii="Times New Roman"/>
        </w:rPr>
        <w:t>Z</w:t>
      </w:r>
      <w:r>
        <w:rPr>
          <w:rFonts w:hint="eastAsia" w:ascii="Times New Roman"/>
        </w:rPr>
        <w:t>——烟气层高度，m。</w:t>
      </w:r>
    </w:p>
    <w:p>
      <w:pPr>
        <w:pStyle w:val="255"/>
      </w:pPr>
      <w:r>
        <w:rPr>
          <w:rFonts w:hint="eastAsia"/>
        </w:rPr>
        <w:t>2</w:t>
      </w:r>
      <w:r>
        <w:rPr>
          <w:rFonts w:hint="eastAsia"/>
        </w:rPr>
        <w:tab/>
      </w:r>
      <w:r>
        <w:rPr>
          <w:rFonts w:hint="eastAsia"/>
        </w:rPr>
        <w:t>机械排烟有效时，可取烟气层下端高度为最小清晰高度，按照公式（</w:t>
      </w:r>
      <w:r>
        <w:t>5.3.12</w:t>
      </w:r>
      <w:r>
        <w:rPr>
          <w:rFonts w:hint="eastAsia"/>
        </w:rPr>
        <w:t>-2）~（</w:t>
      </w:r>
      <w:r>
        <w:t>5.3</w:t>
      </w:r>
      <w:r>
        <w:rPr>
          <w:rFonts w:hint="eastAsia"/>
        </w:rPr>
        <w:t>1</w:t>
      </w:r>
      <w:r>
        <w:t>2</w:t>
      </w:r>
      <w:r>
        <w:rPr>
          <w:rFonts w:hint="eastAsia"/>
        </w:rPr>
        <w:t>-</w:t>
      </w:r>
      <w:r>
        <w:t>10</w:t>
      </w:r>
      <w:r>
        <w:rPr>
          <w:rFonts w:hint="eastAsia"/>
        </w:rPr>
        <w:t>）计算烟气层下降到最小清晰高度时的时间：</w:t>
      </w:r>
    </w:p>
    <w:p>
      <w:pPr>
        <w:pStyle w:val="255"/>
        <w:jc w:val="right"/>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hint="eastAsia" w:ascii="Cambria Math" w:hAnsi="Cambria Math"/>
              </w:rPr>
              <m:t>s</m:t>
            </m:r>
            <m:ctrlPr>
              <w:rPr>
                <w:rFonts w:ascii="Cambria Math" w:hAnsi="Cambria Math"/>
              </w:rPr>
            </m:ctrlPr>
          </m:sub>
        </m:sSub>
        <m:r>
          <m:rPr>
            <m:sty m:val="p"/>
          </m:rPr>
          <w:rPr>
            <w:rFonts w:ascii="Cambria Math" w:hAnsi="Cambria Math"/>
          </w:rPr>
          <m:t>=</m:t>
        </m:r>
        <m:sSup>
          <m:sSupPr>
            <m:ctrlPr>
              <w:rPr>
                <w:rFonts w:ascii="Cambria Math" w:hAnsi="Cambria Math"/>
              </w:rPr>
            </m:ctrlPr>
          </m:sSupPr>
          <m:e>
            <m:d>
              <m:dPr>
                <m:begChr m:val="{"/>
                <m:endChr m:val="}"/>
                <m:ctrlPr>
                  <w:rPr>
                    <w:rFonts w:ascii="Cambria Math" w:hAnsi="Cambria Math"/>
                  </w:rPr>
                </m:ctrlPr>
              </m:dPr>
              <m:e>
                <m:f>
                  <m:fPr>
                    <m:ctrlPr>
                      <w:rPr>
                        <w:rFonts w:ascii="Cambria Math" w:hAnsi="Cambria Math"/>
                        <w:i/>
                      </w:rPr>
                    </m:ctrlPr>
                  </m:fPr>
                  <m:num>
                    <m:r>
                      <m:rPr/>
                      <w:rPr>
                        <w:rFonts w:ascii="Cambria Math" w:hAnsi="Cambria Math"/>
                      </w:rPr>
                      <m:t>n+3</m:t>
                    </m:r>
                    <m:ctrlPr>
                      <w:rPr>
                        <w:rFonts w:ascii="Cambria Math" w:hAnsi="Cambria Math"/>
                        <w:i/>
                      </w:rPr>
                    </m:ctrlPr>
                  </m:num>
                  <m:den>
                    <m:r>
                      <m:rPr/>
                      <w:rPr>
                        <w:rFonts w:ascii="Cambria Math" w:hAnsi="Cambria Math"/>
                      </w:rPr>
                      <m:t>2</m:t>
                    </m:r>
                    <m:ctrlPr>
                      <w:rPr>
                        <w:rFonts w:ascii="Cambria Math" w:hAnsi="Cambria Math"/>
                        <w:i/>
                      </w:rPr>
                    </m:ctrlPr>
                  </m:den>
                </m:f>
                <m:f>
                  <m:fPr>
                    <m:ctrlPr>
                      <w:rPr>
                        <w:rFonts w:ascii="Cambria Math" w:hAnsi="Cambria Math"/>
                        <w:i/>
                      </w:rPr>
                    </m:ctrlPr>
                  </m:fPr>
                  <m:num>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num>
                  <m:den>
                    <m:r>
                      <m:rPr/>
                      <w:rPr>
                        <w:rFonts w:ascii="Cambria Math" w:hAnsi="Cambria Math"/>
                      </w:rPr>
                      <m:t>(</m:t>
                    </m:r>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m</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sm</m:t>
                        </m:r>
                        <m:ctrlPr>
                          <w:rPr>
                            <w:rFonts w:ascii="Cambria Math" w:hAnsi="Cambria Math"/>
                            <w:i/>
                          </w:rPr>
                        </m:ctrlPr>
                      </m:sub>
                    </m:sSub>
                    <m:r>
                      <m:rPr/>
                      <w:rPr>
                        <w:rFonts w:ascii="Cambria Math" w:hAnsi="Cambria Math"/>
                      </w:rPr>
                      <m:t>)</m:t>
                    </m:r>
                    <m:sSup>
                      <m:sSupPr>
                        <m:ctrlPr>
                          <w:rPr>
                            <w:rFonts w:ascii="Cambria Math" w:hAnsi="Cambria Math"/>
                            <w:i/>
                          </w:rPr>
                        </m:ctrlPr>
                      </m:sSupPr>
                      <m:e>
                        <m:r>
                          <m:rPr/>
                          <w:rPr>
                            <w:rFonts w:ascii="Cambria Math" w:hAnsi="Cambria Math"/>
                          </w:rPr>
                          <m:t>α</m:t>
                        </m:r>
                        <m:ctrlPr>
                          <w:rPr>
                            <w:rFonts w:ascii="Cambria Math" w:hAnsi="Cambria Math"/>
                            <w:i/>
                          </w:rPr>
                        </m:ctrlPr>
                      </m:e>
                      <m:sup>
                        <m:r>
                          <m:rPr/>
                          <w:rPr>
                            <w:rFonts w:ascii="Cambria Math" w:hAnsi="Cambria Math"/>
                          </w:rPr>
                          <m:t>1/3</m:t>
                        </m:r>
                        <m:ctrlPr>
                          <w:rPr>
                            <w:rFonts w:ascii="Cambria Math" w:hAnsi="Cambria Math"/>
                            <w:i/>
                          </w:rPr>
                        </m:ctrlPr>
                      </m:sup>
                    </m:sSup>
                    <m:ctrlPr>
                      <w:rPr>
                        <w:rFonts w:ascii="Cambria Math" w:hAnsi="Cambria Math"/>
                        <w:i/>
                      </w:rPr>
                    </m:ctrlPr>
                  </m:den>
                </m:f>
                <m:d>
                  <m:dPr>
                    <m:ctrlPr>
                      <w:rPr>
                        <w:rFonts w:ascii="Cambria Math" w:hAnsi="Cambria Math"/>
                        <w:i/>
                      </w:rPr>
                    </m:ctrlPr>
                  </m:dPr>
                  <m:e>
                    <m:f>
                      <m:fPr>
                        <m:ctrlPr>
                          <w:rPr>
                            <w:rFonts w:ascii="Cambria Math" w:hAnsi="Cambria Math"/>
                            <w:i/>
                          </w:rPr>
                        </m:ctrlPr>
                      </m:fPr>
                      <m:num>
                        <m:r>
                          <m:rPr/>
                          <w:rPr>
                            <w:rFonts w:ascii="Cambria Math" w:hAnsi="Cambria Math"/>
                          </w:rPr>
                          <m:t>1</m:t>
                        </m:r>
                        <m:ctrlPr>
                          <w:rPr>
                            <w:rFonts w:ascii="Cambria Math" w:hAnsi="Cambria Math"/>
                            <w:i/>
                          </w:rPr>
                        </m:ctrlPr>
                      </m:num>
                      <m:den>
                        <m:sSup>
                          <m:sSupPr>
                            <m:ctrlPr>
                              <w:rPr>
                                <w:rFonts w:ascii="Cambria Math" w:hAnsi="Cambria Math"/>
                                <w:i/>
                              </w:rPr>
                            </m:ctrlPr>
                          </m:sSupPr>
                          <m:e>
                            <m:r>
                              <m:rPr/>
                              <w:rPr>
                                <w:rFonts w:ascii="Cambria Math" w:hAnsi="Cambria Math"/>
                              </w:rPr>
                              <m:t>z</m:t>
                            </m:r>
                            <m:ctrlPr>
                              <w:rPr>
                                <w:rFonts w:ascii="Cambria Math" w:hAnsi="Cambria Math"/>
                                <w:i/>
                              </w:rPr>
                            </m:ctrlPr>
                          </m:e>
                          <m:sup>
                            <m:r>
                              <m:rPr/>
                              <w:rPr>
                                <w:rFonts w:ascii="Cambria Math" w:hAnsi="Cambria Math"/>
                              </w:rPr>
                              <m:t>2/3</m:t>
                            </m:r>
                            <m:ctrlPr>
                              <w:rPr>
                                <w:rFonts w:ascii="Cambria Math" w:hAnsi="Cambria Math"/>
                                <w:i/>
                              </w:rPr>
                            </m:ctrlPr>
                          </m:sup>
                        </m:sSup>
                        <m:ctrlPr>
                          <w:rPr>
                            <w:rFonts w:ascii="Cambria Math" w:hAnsi="Cambria Math"/>
                            <w:i/>
                          </w:rPr>
                        </m:ctrlPr>
                      </m:den>
                    </m:f>
                    <m:r>
                      <m:rPr/>
                      <w:rPr>
                        <w:rFonts w:ascii="Cambria Math" w:hAnsi="Cambria Math"/>
                      </w:rPr>
                      <m:t>−</m:t>
                    </m:r>
                    <m:f>
                      <m:fPr>
                        <m:ctrlPr>
                          <w:rPr>
                            <w:rFonts w:ascii="Cambria Math" w:hAnsi="Cambria Math"/>
                            <w:i/>
                          </w:rPr>
                        </m:ctrlPr>
                      </m:fPr>
                      <m:num>
                        <m:r>
                          <m:rPr/>
                          <w:rPr>
                            <w:rFonts w:ascii="Cambria Math" w:hAnsi="Cambria Math"/>
                          </w:rPr>
                          <m:t>1</m:t>
                        </m:r>
                        <m:ctrlPr>
                          <w:rPr>
                            <w:rFonts w:ascii="Cambria Math" w:hAnsi="Cambria Math"/>
                            <w:i/>
                          </w:rPr>
                        </m:ctrlPr>
                      </m:num>
                      <m:den>
                        <m:sSup>
                          <m:sSupPr>
                            <m:ctrlPr>
                              <w:rPr>
                                <w:rFonts w:ascii="Cambria Math" w:hAnsi="Cambria Math"/>
                                <w:i/>
                              </w:rPr>
                            </m:ctrlPr>
                          </m:sSupPr>
                          <m:e>
                            <m:r>
                              <m:rPr/>
                              <w:rPr>
                                <w:rFonts w:ascii="Cambria Math" w:hAnsi="Cambria Math"/>
                              </w:rPr>
                              <m:t>H</m:t>
                            </m:r>
                            <m:ctrlPr>
                              <w:rPr>
                                <w:rFonts w:ascii="Cambria Math" w:hAnsi="Cambria Math"/>
                                <w:i/>
                              </w:rPr>
                            </m:ctrlPr>
                          </m:e>
                          <m:sup>
                            <m:r>
                              <m:rPr/>
                              <w:rPr>
                                <w:rFonts w:ascii="Cambria Math" w:hAnsi="Cambria Math"/>
                              </w:rPr>
                              <m:t>2/3</m:t>
                            </m:r>
                            <m:ctrlPr>
                              <w:rPr>
                                <w:rFonts w:ascii="Cambria Math" w:hAnsi="Cambria Math"/>
                                <w:i/>
                              </w:rPr>
                            </m:ctrlPr>
                          </m:sup>
                        </m:sSup>
                        <m:ctrlPr>
                          <w:rPr>
                            <w:rFonts w:ascii="Cambria Math" w:hAnsi="Cambria Math"/>
                            <w:i/>
                          </w:rPr>
                        </m:ctrlPr>
                      </m:den>
                    </m:f>
                    <m:ctrlPr>
                      <w:rPr>
                        <w:rFonts w:ascii="Cambria Math" w:hAnsi="Cambria Math"/>
                        <w:i/>
                      </w:rPr>
                    </m:ctrlPr>
                  </m:e>
                </m:d>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sm</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m</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sm</m:t>
                        </m:r>
                        <m:ctrlPr>
                          <w:rPr>
                            <w:rFonts w:ascii="Cambria Math" w:hAnsi="Cambria Math"/>
                            <w:i/>
                          </w:rPr>
                        </m:ctrlPr>
                      </m:sub>
                    </m:sSub>
                    <m:ctrlPr>
                      <w:rPr>
                        <w:rFonts w:ascii="Cambria Math" w:hAnsi="Cambria Math"/>
                        <w:i/>
                      </w:rPr>
                    </m:ctrlPr>
                  </m:den>
                </m:f>
                <m:sSubSup>
                  <m:sSubSupPr>
                    <m:ctrlPr>
                      <w:rPr>
                        <w:rFonts w:ascii="Cambria Math" w:hAnsi="Cambria Math"/>
                        <w:i/>
                      </w:rPr>
                    </m:ctrlPr>
                  </m:sSubSupPr>
                  <m:e>
                    <m:r>
                      <m:rPr/>
                      <w:rPr>
                        <w:rFonts w:ascii="Cambria Math" w:hAnsi="Cambria Math"/>
                      </w:rPr>
                      <m:t>t</m:t>
                    </m:r>
                    <m:ctrlPr>
                      <w:rPr>
                        <w:rFonts w:ascii="Cambria Math" w:hAnsi="Cambria Math"/>
                        <w:i/>
                      </w:rPr>
                    </m:ctrlPr>
                  </m:e>
                  <m:sub>
                    <m:r>
                      <m:rPr/>
                      <w:rPr>
                        <w:rFonts w:ascii="Cambria Math" w:hAnsi="Cambria Math"/>
                      </w:rPr>
                      <m:t>sm</m:t>
                    </m:r>
                    <m:ctrlPr>
                      <w:rPr>
                        <w:rFonts w:ascii="Cambria Math" w:hAnsi="Cambria Math"/>
                        <w:i/>
                      </w:rPr>
                    </m:ctrlPr>
                  </m:sub>
                  <m:sup>
                    <m:r>
                      <m:rPr/>
                      <w:rPr>
                        <w:rFonts w:ascii="Cambria Math" w:hAnsi="Cambria Math"/>
                      </w:rPr>
                      <m:t>(n+3)/3</m:t>
                    </m:r>
                    <m:ctrlPr>
                      <w:rPr>
                        <w:rFonts w:ascii="Cambria Math" w:hAnsi="Cambria Math"/>
                        <w:i/>
                      </w:rPr>
                    </m:ctrlPr>
                  </m:sup>
                </m:sSubSup>
                <m:ctrlPr>
                  <w:rPr>
                    <w:rFonts w:ascii="Cambria Math" w:hAnsi="Cambria Math"/>
                  </w:rPr>
                </m:ctrlPr>
              </m:e>
            </m:d>
            <m:ctrlPr>
              <w:rPr>
                <w:rFonts w:ascii="Cambria Math" w:hAnsi="Cambria Math"/>
              </w:rPr>
            </m:ctrlPr>
          </m:e>
          <m:sup>
            <m:r>
              <m:rPr/>
              <w:rPr>
                <w:rFonts w:ascii="Cambria Math" w:hAnsi="Cambria Math"/>
              </w:rPr>
              <m:t>3/(n+3)</m:t>
            </m:r>
            <m:ctrlPr>
              <w:rPr>
                <w:rFonts w:ascii="Cambria Math" w:hAnsi="Cambria Math"/>
              </w:rPr>
            </m:ctrlPr>
          </m:sup>
        </m:sSup>
      </m:oMath>
      <w:r>
        <w:t>………………（5.3.12-2）</w:t>
      </w:r>
    </w:p>
    <w:p>
      <w:pPr>
        <w:pStyle w:val="255"/>
        <w:jc w:val="right"/>
      </w:pPr>
      <m:oMath>
        <m:sSub>
          <m:sSubPr>
            <m:ctrlPr>
              <w:rPr>
                <w:rFonts w:ascii="Cambria Math" w:hAnsi="Cambria Math"/>
              </w:rPr>
            </m:ctrlPr>
          </m:sSubPr>
          <m:e>
            <m:r>
              <m:rPr/>
              <w:rPr>
                <w:rFonts w:ascii="Cambria Math" w:hAnsi="Cambria Math"/>
              </w:rPr>
              <m:t>C</m:t>
            </m:r>
            <m:ctrlPr>
              <w:rPr>
                <w:rFonts w:ascii="Cambria Math" w:hAnsi="Cambria Math"/>
              </w:rPr>
            </m:ctrlPr>
          </m:e>
          <m:sub>
            <m:r>
              <m:rPr/>
              <w:rPr>
                <w:rFonts w:ascii="Cambria Math" w:hAnsi="Cambria Math"/>
              </w:rPr>
              <m:t>sm</m:t>
            </m:r>
            <m:ctrlPr>
              <w:rPr>
                <w:rFonts w:ascii="Cambria Math" w:hAnsi="Cambria Math"/>
              </w:rPr>
            </m:ctrlPr>
          </m:sub>
        </m:sSub>
        <m:r>
          <m:rPr/>
          <w:rPr>
            <w:rFonts w:ascii="Cambria Math" w:hAnsi="Cambria Math"/>
          </w:rPr>
          <m:t>=</m:t>
        </m:r>
        <m:f>
          <m:fPr>
            <m:ctrlPr>
              <w:rPr>
                <w:rFonts w:ascii="Cambria Math" w:hAnsi="Cambria Math"/>
                <w:i/>
              </w:rPr>
            </m:ctrlPr>
          </m:fPr>
          <m:num>
            <m:bar>
              <m:barPr>
                <m:pos m:val="top"/>
                <m:ctrlPr>
                  <w:rPr>
                    <w:rFonts w:ascii="Cambria Math" w:hAnsi="Cambria Math"/>
                    <w:i/>
                  </w:rPr>
                </m:ctrlPr>
              </m:barPr>
              <m:e>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e>
            </m:bar>
            <m:ctrlPr>
              <w:rPr>
                <w:rFonts w:ascii="Cambria Math" w:hAnsi="Cambria Math"/>
                <w:i/>
              </w:rPr>
            </m:ctrlPr>
          </m:num>
          <m:den>
            <m:sSup>
              <m:sSupPr>
                <m:ctrlPr>
                  <w:rPr>
                    <w:rFonts w:ascii="Cambria Math" w:hAnsi="Cambria Math"/>
                    <w:i/>
                  </w:rPr>
                </m:ctrlPr>
              </m:sSupPr>
              <m:e>
                <m:bar>
                  <m:barPr>
                    <m:pos m:val="top"/>
                    <m:ctrlPr>
                      <w:rPr>
                        <w:rFonts w:ascii="Cambria Math" w:hAnsi="Cambria Math"/>
                        <w:i/>
                      </w:rPr>
                    </m:ctrlPr>
                  </m:barPr>
                  <m:e>
                    <m:r>
                      <m:rPr/>
                      <w:rPr>
                        <w:rFonts w:ascii="Cambria Math" w:hAnsi="Cambria Math"/>
                      </w:rPr>
                      <m:t>Q</m:t>
                    </m:r>
                    <m:ctrlPr>
                      <w:rPr>
                        <w:rFonts w:ascii="Cambria Math" w:hAnsi="Cambria Math"/>
                        <w:i/>
                      </w:rPr>
                    </m:ctrlPr>
                  </m:e>
                </m:bar>
                <m:ctrlPr>
                  <w:rPr>
                    <w:rFonts w:ascii="Cambria Math" w:hAnsi="Cambria Math"/>
                    <w:i/>
                  </w:rPr>
                </m:ctrlPr>
              </m:e>
              <m:sup>
                <m:r>
                  <m:rPr/>
                  <w:rPr>
                    <w:rFonts w:ascii="Cambria Math" w:hAnsi="Cambria Math"/>
                  </w:rPr>
                  <m:t>1/3</m:t>
                </m:r>
                <m:ctrlPr>
                  <w:rPr>
                    <w:rFonts w:ascii="Cambria Math" w:hAnsi="Cambria Math"/>
                    <w:i/>
                  </w:rPr>
                </m:ctrlPr>
              </m:sup>
            </m:sSup>
            <m:sSup>
              <m:sSupPr>
                <m:ctrlPr>
                  <w:rPr>
                    <w:rFonts w:ascii="Cambria Math" w:hAnsi="Cambria Math"/>
                    <w:i/>
                  </w:rPr>
                </m:ctrlPr>
              </m:sSupPr>
              <m:e>
                <m:bar>
                  <m:barPr>
                    <m:pos m:val="top"/>
                    <m:ctrlPr>
                      <w:rPr>
                        <w:rFonts w:ascii="Cambria Math" w:hAnsi="Cambria Math"/>
                        <w:i/>
                      </w:rPr>
                    </m:ctrlPr>
                  </m:barPr>
                  <m:e>
                    <m:r>
                      <m:rPr/>
                      <w:rPr>
                        <w:rFonts w:ascii="Cambria Math" w:hAnsi="Cambria Math"/>
                      </w:rPr>
                      <m:t>z</m:t>
                    </m:r>
                    <m:ctrlPr>
                      <w:rPr>
                        <w:rFonts w:ascii="Cambria Math" w:hAnsi="Cambria Math"/>
                        <w:i/>
                      </w:rPr>
                    </m:ctrlPr>
                  </m:e>
                </m:bar>
                <m:ctrlPr>
                  <w:rPr>
                    <w:rFonts w:ascii="Cambria Math" w:hAnsi="Cambria Math"/>
                    <w:i/>
                  </w:rPr>
                </m:ctrlPr>
              </m:e>
              <m:sup>
                <m:r>
                  <m:rPr/>
                  <w:rPr>
                    <w:rFonts w:ascii="Cambria Math" w:hAnsi="Cambria Math"/>
                  </w:rPr>
                  <m:t>5/3</m:t>
                </m:r>
                <m:ctrlPr>
                  <w:rPr>
                    <w:rFonts w:ascii="Cambria Math" w:hAnsi="Cambria Math"/>
                    <w:i/>
                  </w:rPr>
                </m:ctrlPr>
              </m:sup>
            </m:sSup>
            <m:ctrlPr>
              <w:rPr>
                <w:rFonts w:ascii="Cambria Math" w:hAnsi="Cambria Math"/>
                <w:i/>
              </w:rPr>
            </m:ctrlPr>
          </m:den>
        </m:f>
      </m:oMath>
      <w:r>
        <w:t>………………………………………（5.3.12-3）</w:t>
      </w:r>
    </w:p>
    <w:p>
      <w:pPr>
        <w:pStyle w:val="255"/>
        <w:jc w:val="right"/>
      </w:pPr>
      <m:oMath>
        <m:sSup>
          <m:sSupPr>
            <m:ctrlPr>
              <w:rPr>
                <w:rFonts w:ascii="Cambria Math" w:hAnsi="Cambria Math"/>
                <w:i/>
              </w:rPr>
            </m:ctrlPr>
          </m:sSupPr>
          <m:e>
            <m:bar>
              <m:barPr>
                <m:pos m:val="top"/>
                <m:ctrlPr>
                  <w:rPr>
                    <w:rFonts w:ascii="Cambria Math" w:hAnsi="Cambria Math"/>
                    <w:i/>
                  </w:rPr>
                </m:ctrlPr>
              </m:barPr>
              <m:e>
                <m:r>
                  <m:rPr/>
                  <w:rPr>
                    <w:rFonts w:ascii="Cambria Math" w:hAnsi="Cambria Math"/>
                  </w:rPr>
                  <m:t>Q</m:t>
                </m:r>
                <m:ctrlPr>
                  <w:rPr>
                    <w:rFonts w:ascii="Cambria Math" w:hAnsi="Cambria Math"/>
                    <w:i/>
                  </w:rPr>
                </m:ctrlPr>
              </m:e>
            </m:bar>
            <m:ctrlPr>
              <w:rPr>
                <w:rFonts w:ascii="Cambria Math" w:hAnsi="Cambria Math"/>
                <w:i/>
              </w:rPr>
            </m:ctrlPr>
          </m:e>
          <m:sup>
            <m:r>
              <m:rPr/>
              <w:rPr>
                <w:rFonts w:ascii="Cambria Math" w:hAnsi="Cambria Math"/>
              </w:rPr>
              <m:t>1/3</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m:t>
            </m:r>
            <m:f>
              <m:fPr>
                <m:ctrlPr>
                  <w:rPr>
                    <w:rFonts w:ascii="Cambria Math" w:hAnsi="Cambria Math"/>
                    <w:i/>
                  </w:rPr>
                </m:ctrlPr>
              </m:fPr>
              <m:num>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sm</m:t>
                    </m:r>
                    <m:ctrlPr>
                      <w:rPr>
                        <w:rFonts w:ascii="Cambria Math" w:hAnsi="Cambria Math"/>
                      </w:rPr>
                    </m:ctrlPr>
                  </m:sub>
                </m:sSub>
                <m:r>
                  <m:rPr/>
                  <w:rPr>
                    <w:rFonts w:ascii="Cambria Math" w:hAnsi="Cambria Math"/>
                  </w:rPr>
                  <m:t>+</m:t>
                </m:r>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escape</m:t>
                    </m:r>
                    <m:ctrlPr>
                      <w:rPr>
                        <w:rFonts w:ascii="Cambria Math" w:hAnsi="Cambria Math"/>
                      </w:rPr>
                    </m:ctrlPr>
                  </m:sub>
                </m:sSub>
                <m:ctrlPr>
                  <w:rPr>
                    <w:rFonts w:ascii="Cambria Math" w:hAnsi="Cambria Math"/>
                  </w:rPr>
                </m:ctrlPr>
              </m:num>
              <m:den>
                <m:r>
                  <m:rPr/>
                  <w:rPr>
                    <w:rFonts w:ascii="Cambria Math" w:hAnsi="Cambria Math"/>
                  </w:rPr>
                  <m:t>2</m:t>
                </m:r>
                <m:ctrlPr>
                  <w:rPr>
                    <w:rFonts w:ascii="Cambria Math" w:hAnsi="Cambria Math"/>
                    <w:i/>
                  </w:rPr>
                </m:ctrlPr>
              </m:den>
            </m:f>
            <m:r>
              <m:rPr/>
              <w:rPr>
                <w:rFonts w:ascii="Cambria Math" w:hAnsi="Cambria Math"/>
              </w:rPr>
              <m:t>]</m:t>
            </m:r>
            <m:ctrlPr>
              <w:rPr>
                <w:rFonts w:ascii="Cambria Math" w:hAnsi="Cambria Math"/>
              </w:rPr>
            </m:ctrlPr>
          </m:e>
          <m:sup>
            <m:r>
              <m:rPr/>
              <w:rPr>
                <w:rFonts w:ascii="Cambria Math" w:hAnsi="Cambria Math"/>
              </w:rPr>
              <m:t>1/3</m:t>
            </m:r>
            <m:ctrlPr>
              <w:rPr>
                <w:rFonts w:ascii="Cambria Math" w:hAnsi="Cambria Math"/>
              </w:rPr>
            </m:ctrlPr>
          </m:sup>
        </m:sSup>
      </m:oMath>
      <w:r>
        <w:t>………………………………（5.3.12-4）</w:t>
      </w:r>
    </w:p>
    <w:p>
      <w:pPr>
        <w:pStyle w:val="255"/>
        <w:jc w:val="right"/>
      </w:pPr>
      <m:oMath>
        <m:sSup>
          <m:sSupPr>
            <m:ctrlPr>
              <w:rPr>
                <w:rFonts w:ascii="Cambria Math" w:hAnsi="Cambria Math"/>
                <w:i/>
              </w:rPr>
            </m:ctrlPr>
          </m:sSupPr>
          <m:e>
            <m:bar>
              <m:barPr>
                <m:pos m:val="top"/>
                <m:ctrlPr>
                  <w:rPr>
                    <w:rFonts w:ascii="Cambria Math" w:hAnsi="Cambria Math"/>
                    <w:i/>
                  </w:rPr>
                </m:ctrlPr>
              </m:barPr>
              <m:e>
                <m:r>
                  <m:rPr/>
                  <w:rPr>
                    <w:rFonts w:ascii="Cambria Math" w:hAnsi="Cambria Math"/>
                  </w:rPr>
                  <m:t>z</m:t>
                </m:r>
                <m:ctrlPr>
                  <w:rPr>
                    <w:rFonts w:ascii="Cambria Math" w:hAnsi="Cambria Math"/>
                    <w:i/>
                  </w:rPr>
                </m:ctrlPr>
              </m:e>
            </m:bar>
            <m:ctrlPr>
              <w:rPr>
                <w:rFonts w:ascii="Cambria Math" w:hAnsi="Cambria Math"/>
                <w:i/>
              </w:rPr>
            </m:ctrlPr>
          </m:e>
          <m:sup>
            <m:r>
              <m:rPr/>
              <w:rPr>
                <w:rFonts w:ascii="Cambria Math" w:hAnsi="Cambria Math"/>
              </w:rPr>
              <m:t>5/3</m:t>
            </m:r>
            <m:ctrlPr>
              <w:rPr>
                <w:rFonts w:ascii="Cambria Math" w:hAnsi="Cambria Math"/>
                <w:i/>
              </w:rPr>
            </m:ctrlPr>
          </m:sup>
        </m:sSup>
        <m:r>
          <m:rPr/>
          <w:rPr>
            <w:rFonts w:ascii="Cambria Math" w:hAnsi="Cambria Math"/>
          </w:rPr>
          <m:t>=</m:t>
        </m:r>
        <m:sSup>
          <m:sSupPr>
            <m:ctrlPr>
              <w:rPr>
                <w:rFonts w:ascii="Cambria Math" w:hAnsi="Cambria Math"/>
              </w:rPr>
            </m:ctrlPr>
          </m:sSupPr>
          <m:e>
            <m:r>
              <m:rPr>
                <m:sty m:val="p"/>
              </m:rPr>
              <w:rPr>
                <w:rFonts w:ascii="Cambria Math" w:hAnsi="Cambria Math"/>
              </w:rPr>
              <m:t>[</m:t>
            </m:r>
            <m:f>
              <m:fPr>
                <m:ctrlPr>
                  <w:rPr>
                    <w:rFonts w:ascii="Cambria Math" w:hAnsi="Cambria Math"/>
                    <w:i/>
                  </w:rPr>
                </m:ctrlPr>
              </m:fPr>
              <m:num>
                <m:sSub>
                  <m:sSubPr>
                    <m:ctrlPr>
                      <w:rPr>
                        <w:rFonts w:ascii="Cambria Math" w:hAnsi="Cambria Math"/>
                      </w:rPr>
                    </m:ctrlPr>
                  </m:sSubPr>
                  <m:e>
                    <m:r>
                      <m:rPr/>
                      <w:rPr>
                        <w:rFonts w:ascii="Cambria Math" w:hAnsi="Cambria Math"/>
                      </w:rPr>
                      <m:t>z</m:t>
                    </m:r>
                    <m:ctrlPr>
                      <w:rPr>
                        <w:rFonts w:ascii="Cambria Math" w:hAnsi="Cambria Math"/>
                      </w:rPr>
                    </m:ctrlPr>
                  </m:e>
                  <m:sub>
                    <m:r>
                      <m:rPr/>
                      <w:rPr>
                        <w:rFonts w:ascii="Cambria Math" w:hAnsi="Cambria Math"/>
                      </w:rPr>
                      <m:t>sm</m:t>
                    </m:r>
                    <m:ctrlPr>
                      <w:rPr>
                        <w:rFonts w:ascii="Cambria Math" w:hAnsi="Cambria Math"/>
                      </w:rPr>
                    </m:ctrlPr>
                  </m:sub>
                </m:sSub>
                <m:r>
                  <m:rPr/>
                  <w:rPr>
                    <w:rFonts w:ascii="Cambria Math" w:hAnsi="Cambria Math"/>
                  </w:rPr>
                  <m:t>+</m:t>
                </m:r>
                <m:sSub>
                  <m:sSubPr>
                    <m:ctrlPr>
                      <w:rPr>
                        <w:rFonts w:ascii="Cambria Math" w:hAnsi="Cambria Math"/>
                      </w:rPr>
                    </m:ctrlPr>
                  </m:sSubPr>
                  <m:e>
                    <m:r>
                      <m:rPr>
                        <m:sty m:val="p"/>
                      </m:rPr>
                      <w:rPr>
                        <w:rFonts w:ascii="Cambria Math" w:hAnsi="Cambria Math"/>
                      </w:rPr>
                      <m:t>H</m:t>
                    </m:r>
                    <m:ctrlPr>
                      <w:rPr>
                        <w:rFonts w:ascii="Cambria Math" w:hAnsi="Cambria Math"/>
                      </w:rPr>
                    </m:ctrlPr>
                  </m:e>
                  <m:sub>
                    <m:r>
                      <m:rPr/>
                      <w:rPr>
                        <w:rFonts w:ascii="Cambria Math" w:hAnsi="Cambria Math"/>
                      </w:rPr>
                      <m:t>lim</m:t>
                    </m:r>
                    <m:ctrlPr>
                      <w:rPr>
                        <w:rFonts w:ascii="Cambria Math" w:hAnsi="Cambria Math"/>
                      </w:rPr>
                    </m:ctrlPr>
                  </m:sub>
                </m:sSub>
                <m:ctrlPr>
                  <w:rPr>
                    <w:rFonts w:ascii="Cambria Math" w:hAnsi="Cambria Math"/>
                  </w:rPr>
                </m:ctrlPr>
              </m:num>
              <m:den>
                <m:r>
                  <m:rPr/>
                  <w:rPr>
                    <w:rFonts w:ascii="Cambria Math" w:hAnsi="Cambria Math"/>
                  </w:rPr>
                  <m:t>2</m:t>
                </m:r>
                <m:ctrlPr>
                  <w:rPr>
                    <w:rFonts w:ascii="Cambria Math" w:hAnsi="Cambria Math"/>
                    <w:i/>
                  </w:rPr>
                </m:ctrlPr>
              </m:den>
            </m:f>
            <m:r>
              <m:rPr/>
              <w:rPr>
                <w:rFonts w:ascii="Cambria Math" w:hAnsi="Cambria Math"/>
              </w:rPr>
              <m:t>]</m:t>
            </m:r>
            <m:ctrlPr>
              <w:rPr>
                <w:rFonts w:ascii="Cambria Math" w:hAnsi="Cambria Math"/>
              </w:rPr>
            </m:ctrlPr>
          </m:e>
          <m:sup>
            <m:r>
              <m:rPr/>
              <w:rPr>
                <w:rFonts w:ascii="Cambria Math" w:hAnsi="Cambria Math"/>
              </w:rPr>
              <m:t>5/3</m:t>
            </m:r>
            <m:ctrlPr>
              <w:rPr>
                <w:rFonts w:ascii="Cambria Math" w:hAnsi="Cambria Math"/>
              </w:rPr>
            </m:ctrlPr>
          </m:sup>
        </m:sSup>
      </m:oMath>
      <w:r>
        <w:t>…………………………………（5.3.12-5）</w:t>
      </w:r>
    </w:p>
    <w:p>
      <w:pPr>
        <w:pStyle w:val="255"/>
        <w:jc w:val="right"/>
      </w:pPr>
      <m:oMath>
        <m:bar>
          <m:barPr>
            <m:pos m:val="top"/>
            <m:ctrlPr>
              <w:rPr>
                <w:rFonts w:ascii="Cambria Math" w:hAnsi="Cambria Math"/>
                <w:i/>
              </w:rPr>
            </m:ctrlPr>
          </m:barPr>
          <m:e>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ctrlPr>
                  <w:rPr>
                    <w:rFonts w:ascii="Cambria Math" w:hAnsi="Cambria Math"/>
                    <w:i/>
                  </w:rPr>
                </m:ctrlPr>
              </m:sub>
            </m:sSub>
            <m:ctrlPr>
              <w:rPr>
                <w:rFonts w:ascii="Cambria Math" w:hAnsi="Cambria Math"/>
                <w:i/>
              </w:rPr>
            </m:ctrlPr>
          </m:e>
        </m:bar>
        <m:r>
          <m:rPr/>
          <w:rPr>
            <w:rFonts w:ascii="Cambria Math" w:hAnsi="Cambria Math"/>
          </w:rPr>
          <m:t>=0.4(</m:t>
        </m:r>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d>
              <m:dPr>
                <m:ctrlPr>
                  <w:rPr>
                    <w:rFonts w:ascii="Cambria Math" w:hAnsi="Cambria Math"/>
                    <w:i/>
                  </w:rPr>
                </m:ctrlPr>
              </m:dPr>
              <m:e>
                <m:r>
                  <m:rPr/>
                  <w:rPr>
                    <w:rFonts w:ascii="Cambria Math" w:hAnsi="Cambria Math"/>
                  </w:rPr>
                  <m:t>sm</m:t>
                </m:r>
                <m:ctrlPr>
                  <w:rPr>
                    <w:rFonts w:ascii="Cambria Math" w:hAnsi="Cambria Math"/>
                    <w:i/>
                  </w:rPr>
                </m:ctrlPr>
              </m:e>
            </m:d>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d>
              <m:dPr>
                <m:ctrlPr>
                  <w:rPr>
                    <w:rFonts w:ascii="Cambria Math" w:hAnsi="Cambria Math"/>
                    <w:i/>
                  </w:rPr>
                </m:ctrlPr>
              </m:dPr>
              <m:e>
                <m:r>
                  <m:rPr/>
                  <w:rPr>
                    <w:rFonts w:ascii="Cambria Math" w:hAnsi="Cambria Math"/>
                  </w:rPr>
                  <m:t>escape</m:t>
                </m:r>
                <m:ctrlPr>
                  <w:rPr>
                    <w:rFonts w:ascii="Cambria Math" w:hAnsi="Cambria Math"/>
                    <w:i/>
                  </w:rPr>
                </m:ctrlPr>
              </m:e>
            </m:d>
            <m:ctrlPr>
              <w:rPr>
                <w:rFonts w:ascii="Cambria Math" w:hAnsi="Cambria Math"/>
                <w:i/>
              </w:rPr>
            </m:ctrlPr>
          </m:sub>
        </m:sSub>
        <m:r>
          <m:rPr/>
          <w:rPr>
            <w:rFonts w:ascii="Cambria Math" w:hAnsi="Cambria Math"/>
          </w:rPr>
          <m:t>)</m:t>
        </m:r>
      </m:oMath>
      <w:r>
        <w:t>…………………………（5.3.12-6）</w:t>
      </w:r>
    </w:p>
    <w:p>
      <w:pPr>
        <w:pStyle w:val="255"/>
        <w:jc w:val="right"/>
      </w:pPr>
      <m:oMath>
        <m:sSub>
          <m:sSubPr>
            <m:ctrlPr>
              <w:rPr>
                <w:rFonts w:ascii="Cambria Math" w:hAnsi="Cambria Math"/>
              </w:rPr>
            </m:ctrlPr>
          </m:sSubPr>
          <m:e>
            <m:r>
              <m:rPr/>
              <w:rPr>
                <w:rFonts w:ascii="Cambria Math" w:hAnsi="Cambria Math"/>
              </w:rPr>
              <m:t>z</m:t>
            </m:r>
            <m:ctrlPr>
              <w:rPr>
                <w:rFonts w:ascii="Cambria Math" w:hAnsi="Cambria Math"/>
              </w:rPr>
            </m:ctrlPr>
          </m:e>
          <m:sub>
            <m:r>
              <m:rPr/>
              <w:rPr>
                <w:rFonts w:ascii="Cambria Math" w:hAnsi="Cambria Math"/>
              </w:rPr>
              <m:t>sm</m:t>
            </m:r>
            <m:ctrlPr>
              <w:rPr>
                <w:rFonts w:ascii="Cambria Math" w:hAnsi="Cambria Math"/>
              </w:rPr>
            </m:ctrlPr>
          </m:sub>
        </m:sSub>
        <m:r>
          <m:rP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m:rPr/>
                      <w:rPr>
                        <w:rFonts w:ascii="Cambria Math" w:hAnsi="Cambria Math"/>
                      </w:rPr>
                      <m:t>2</m:t>
                    </m:r>
                    <m:ctrlPr>
                      <w:rPr>
                        <w:rFonts w:ascii="Cambria Math" w:hAnsi="Cambria Math"/>
                        <w:i/>
                      </w:rPr>
                    </m:ctrlPr>
                  </m:num>
                  <m:den>
                    <m:r>
                      <m:rPr/>
                      <w:rPr>
                        <w:rFonts w:ascii="Cambria Math" w:hAnsi="Cambria Math"/>
                      </w:rPr>
                      <m:t>n+3</m:t>
                    </m:r>
                    <m:ctrlPr>
                      <w:rPr>
                        <w:rFonts w:ascii="Cambria Math" w:hAnsi="Cambria Math"/>
                        <w:i/>
                      </w:rPr>
                    </m:ctrlPr>
                  </m:den>
                </m:f>
                <m:f>
                  <m:fPr>
                    <m:ctrlPr>
                      <w:rPr>
                        <w:rFonts w:ascii="Cambria Math" w:hAnsi="Cambria Math"/>
                        <w:i/>
                      </w:rPr>
                    </m:ctrlPr>
                  </m:fPr>
                  <m:num>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m</m:t>
                        </m:r>
                        <m:ctrlPr>
                          <w:rPr>
                            <w:rFonts w:ascii="Cambria Math" w:hAnsi="Cambria Math"/>
                            <w:i/>
                          </w:rPr>
                        </m:ctrlPr>
                      </m:sub>
                    </m:sSub>
                    <m:sSup>
                      <m:sSupPr>
                        <m:ctrlPr>
                          <w:rPr>
                            <w:rFonts w:ascii="Cambria Math" w:hAnsi="Cambria Math"/>
                            <w:i/>
                          </w:rPr>
                        </m:ctrlPr>
                      </m:sSupPr>
                      <m:e>
                        <m:r>
                          <m:rPr/>
                          <w:rPr>
                            <w:rFonts w:ascii="Cambria Math" w:hAnsi="Cambria Math"/>
                          </w:rPr>
                          <m:t>α</m:t>
                        </m:r>
                        <m:ctrlPr>
                          <w:rPr>
                            <w:rFonts w:ascii="Cambria Math" w:hAnsi="Cambria Math"/>
                            <w:i/>
                          </w:rPr>
                        </m:ctrlPr>
                      </m:e>
                      <m:sup>
                        <m:r>
                          <m:rPr/>
                          <w:rPr>
                            <w:rFonts w:ascii="Cambria Math" w:hAnsi="Cambria Math"/>
                          </w:rPr>
                          <m:t>1/3</m:t>
                        </m:r>
                        <m:ctrlPr>
                          <w:rPr>
                            <w:rFonts w:ascii="Cambria Math" w:hAnsi="Cambria Math"/>
                            <w:i/>
                          </w:rPr>
                        </m:ctrlPr>
                      </m:sup>
                    </m:sSup>
                    <m:ctrlPr>
                      <w:rPr>
                        <w:rFonts w:ascii="Cambria Math" w:hAnsi="Cambria Math"/>
                        <w:i/>
                      </w:rPr>
                    </m:ctrlPr>
                  </m:num>
                  <m:den>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r</m:t>
                        </m:r>
                        <m:ctrlPr>
                          <w:rPr>
                            <w:rFonts w:ascii="Cambria Math" w:hAnsi="Cambria Math"/>
                            <w:i/>
                          </w:rPr>
                        </m:ctrlPr>
                      </m:sub>
                    </m:sSub>
                    <m:ctrlPr>
                      <w:rPr>
                        <w:rFonts w:ascii="Cambria Math" w:hAnsi="Cambria Math"/>
                        <w:i/>
                      </w:rPr>
                    </m:ctrlPr>
                  </m:den>
                </m:f>
                <m:sSubSup>
                  <m:sSubSupPr>
                    <m:ctrlPr>
                      <w:rPr>
                        <w:rFonts w:ascii="Cambria Math" w:hAnsi="Cambria Math"/>
                        <w:i/>
                      </w:rPr>
                    </m:ctrlPr>
                  </m:sSubSupPr>
                  <m:e>
                    <m:r>
                      <m:rPr/>
                      <w:rPr>
                        <w:rFonts w:ascii="Cambria Math" w:hAnsi="Cambria Math"/>
                      </w:rPr>
                      <m:t>t</m:t>
                    </m:r>
                    <m:ctrlPr>
                      <w:rPr>
                        <w:rFonts w:ascii="Cambria Math" w:hAnsi="Cambria Math"/>
                        <w:i/>
                      </w:rPr>
                    </m:ctrlPr>
                  </m:e>
                  <m:sub>
                    <m:r>
                      <m:rPr/>
                      <w:rPr>
                        <w:rFonts w:ascii="Cambria Math" w:hAnsi="Cambria Math"/>
                      </w:rPr>
                      <m:t>sm</m:t>
                    </m:r>
                    <m:ctrlPr>
                      <w:rPr>
                        <w:rFonts w:ascii="Cambria Math" w:hAnsi="Cambria Math"/>
                        <w:i/>
                      </w:rPr>
                    </m:ctrlPr>
                  </m:sub>
                  <m:sup>
                    <m:r>
                      <m:rPr/>
                      <w:rPr>
                        <w:rFonts w:ascii="Cambria Math" w:hAnsi="Cambria Math"/>
                      </w:rPr>
                      <m:t>(n+3)/3</m:t>
                    </m:r>
                    <m:ctrlPr>
                      <w:rPr>
                        <w:rFonts w:ascii="Cambria Math" w:hAnsi="Cambria Math"/>
                        <w:i/>
                      </w:rPr>
                    </m:ctrlPr>
                  </m:sup>
                </m:sSubSup>
                <m:r>
                  <m:rPr/>
                  <w:rPr>
                    <w:rFonts w:ascii="Cambria Math" w:hAnsi="Cambria Math"/>
                  </w:rPr>
                  <m:t>+</m:t>
                </m:r>
                <m:f>
                  <m:fPr>
                    <m:ctrlPr>
                      <w:rPr>
                        <w:rFonts w:ascii="Cambria Math" w:hAnsi="Cambria Math"/>
                        <w:i/>
                      </w:rPr>
                    </m:ctrlPr>
                  </m:fPr>
                  <m:num>
                    <m:r>
                      <m:rPr/>
                      <w:rPr>
                        <w:rFonts w:ascii="Cambria Math" w:hAnsi="Cambria Math"/>
                      </w:rPr>
                      <m:t>1</m:t>
                    </m:r>
                    <m:ctrlPr>
                      <w:rPr>
                        <w:rFonts w:ascii="Cambria Math" w:hAnsi="Cambria Math"/>
                        <w:i/>
                      </w:rPr>
                    </m:ctrlPr>
                  </m:num>
                  <m:den>
                    <m:sSup>
                      <m:sSupPr>
                        <m:ctrlPr>
                          <w:rPr>
                            <w:rFonts w:ascii="Cambria Math" w:hAnsi="Cambria Math"/>
                            <w:i/>
                          </w:rPr>
                        </m:ctrlPr>
                      </m:sSupPr>
                      <m:e>
                        <m:r>
                          <m:rPr/>
                          <w:rPr>
                            <w:rFonts w:ascii="Cambria Math" w:hAnsi="Cambria Math"/>
                          </w:rPr>
                          <m:t>H</m:t>
                        </m:r>
                        <m:ctrlPr>
                          <w:rPr>
                            <w:rFonts w:ascii="Cambria Math" w:hAnsi="Cambria Math"/>
                            <w:i/>
                          </w:rPr>
                        </m:ctrlPr>
                      </m:e>
                      <m:sup>
                        <m:r>
                          <m:rPr/>
                          <w:rPr>
                            <w:rFonts w:ascii="Cambria Math" w:hAnsi="Cambria Math"/>
                          </w:rPr>
                          <m:t>2/3</m:t>
                        </m:r>
                        <m:ctrlPr>
                          <w:rPr>
                            <w:rFonts w:ascii="Cambria Math" w:hAnsi="Cambria Math"/>
                            <w:i/>
                          </w:rPr>
                        </m:ctrlPr>
                      </m:sup>
                    </m:sSup>
                    <m:ctrlPr>
                      <w:rPr>
                        <w:rFonts w:ascii="Cambria Math" w:hAnsi="Cambria Math"/>
                        <w:i/>
                      </w:rPr>
                    </m:ctrlPr>
                  </m:den>
                </m:f>
                <m:ctrlPr>
                  <w:rPr>
                    <w:rFonts w:ascii="Cambria Math" w:hAnsi="Cambria Math"/>
                    <w:i/>
                  </w:rPr>
                </m:ctrlPr>
              </m:e>
            </m:d>
            <m:ctrlPr>
              <w:rPr>
                <w:rFonts w:ascii="Cambria Math" w:hAnsi="Cambria Math"/>
                <w:i/>
              </w:rPr>
            </m:ctrlPr>
          </m:e>
          <m:sup>
            <m:r>
              <m:rPr/>
              <w:rPr>
                <w:rFonts w:ascii="Cambria Math" w:hAnsi="Cambria Math"/>
              </w:rPr>
              <m:t>−3/2</m:t>
            </m:r>
            <m:ctrlPr>
              <w:rPr>
                <w:rFonts w:ascii="Cambria Math" w:hAnsi="Cambria Math"/>
                <w:i/>
              </w:rPr>
            </m:ctrlPr>
          </m:sup>
        </m:sSup>
      </m:oMath>
      <w:r>
        <w:t>………………………（5.3.12-7）</w:t>
      </w:r>
    </w:p>
    <w:p>
      <w:pPr>
        <w:pStyle w:val="255"/>
        <w:jc w:val="right"/>
      </w:pPr>
      <m:oMath>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f>
          <m:fPr>
            <m:ctrlPr>
              <w:rPr>
                <w:rFonts w:ascii="Cambria Math" w:hAnsi="Cambria Math"/>
                <w:i/>
              </w:rPr>
            </m:ctrlPr>
          </m:fPr>
          <m:num>
            <m:r>
              <m:rPr/>
              <w:rPr>
                <w:rFonts w:ascii="Cambria Math" w:hAnsi="Cambria Math"/>
              </w:rPr>
              <m:t>353</m:t>
            </m:r>
            <m:ctrlPr>
              <w:rPr>
                <w:rFonts w:ascii="Cambria Math" w:hAnsi="Cambria Math"/>
                <w:i/>
              </w:rPr>
            </m:ctrlPr>
          </m:num>
          <m:den>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s</m:t>
                </m:r>
                <m:ctrlPr>
                  <w:rPr>
                    <w:rFonts w:ascii="Cambria Math" w:hAnsi="Cambria Math"/>
                    <w:i/>
                  </w:rPr>
                </m:ctrlPr>
              </m:sub>
            </m:sSub>
            <m:ctrlPr>
              <w:rPr>
                <w:rFonts w:ascii="Cambria Math" w:hAnsi="Cambria Math"/>
                <w:i/>
              </w:rPr>
            </m:ctrlPr>
          </m:den>
        </m:f>
      </m:oMath>
      <w:r>
        <w:t>……………………………………………（5.3.12-8）</w:t>
      </w:r>
    </w:p>
    <w:p>
      <w:pPr>
        <w:pStyle w:val="255"/>
        <w:jc w:val="right"/>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f>
          <m:fPr>
            <m:ctrlPr>
              <w:rPr>
                <w:rFonts w:ascii="Cambria Math" w:hAnsi="Cambria Math"/>
                <w:i/>
              </w:rPr>
            </m:ctrlPr>
          </m:fPr>
          <m:num>
            <m:r>
              <m:rPr/>
              <w:rPr>
                <w:rFonts w:ascii="Cambria Math" w:hAnsi="Cambria Math"/>
              </w:rPr>
              <m:t>Q</m:t>
            </m:r>
            <m:ctrlPr>
              <w:rPr>
                <w:rFonts w:ascii="Cambria Math" w:hAnsi="Cambria Math"/>
                <w:i/>
              </w:rPr>
            </m:ctrlPr>
          </m:num>
          <m:den>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p</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ℎ</m:t>
                </m:r>
                <m:ctrlPr>
                  <w:rPr>
                    <w:rFonts w:ascii="Cambria Math" w:hAnsi="Cambria Math"/>
                    <w:i/>
                  </w:rPr>
                </m:ctrlPr>
              </m:e>
              <m:sub>
                <m:r>
                  <m:rPr/>
                  <w:rPr>
                    <w:rFonts w:ascii="Cambria Math" w:hAnsi="Cambria Math"/>
                  </w:rPr>
                  <m:t>wall</m:t>
                </m:r>
                <m:ctrlPr>
                  <w:rPr>
                    <w:rFonts w:ascii="Cambria Math" w:hAnsi="Cambria Math"/>
                    <w:i/>
                  </w:rPr>
                </m:ctrlPr>
              </m:sub>
            </m:sSub>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wall</m:t>
                </m:r>
                <m:ctrlPr>
                  <w:rPr>
                    <w:rFonts w:ascii="Cambria Math" w:hAnsi="Cambria Math"/>
                    <w:i/>
                  </w:rPr>
                </m:ctrlPr>
              </m:sub>
            </m:sSub>
            <m:ctrlPr>
              <w:rPr>
                <w:rFonts w:ascii="Cambria Math" w:hAnsi="Cambria Math"/>
                <w:i/>
              </w:rPr>
            </m:ctrlPr>
          </m:den>
        </m:f>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oMath>
      <w:r>
        <w:t>……………………………………（5.3.12-9）</w:t>
      </w:r>
    </w:p>
    <w:p>
      <w:pPr>
        <w:pStyle w:val="255"/>
        <w:jc w:val="right"/>
      </w:pPr>
      <m:oMath>
        <m:sSub>
          <m:sSubPr>
            <m:ctrlPr>
              <w:rPr>
                <w:rFonts w:ascii="Cambria Math" w:hAnsi="Cambria Math"/>
                <w:i/>
              </w:rPr>
            </m:ctrlPr>
          </m:sSubPr>
          <m:e>
            <m:r>
              <m:rPr/>
              <w:rPr>
                <w:rFonts w:ascii="Cambria Math" w:hAnsi="Cambria Math"/>
              </w:rPr>
              <m:t>ℎ</m:t>
            </m:r>
            <m:ctrlPr>
              <w:rPr>
                <w:rFonts w:ascii="Cambria Math" w:hAnsi="Cambria Math"/>
                <w:i/>
              </w:rPr>
            </m:ctrlPr>
          </m:e>
          <m:sub>
            <m:r>
              <m:rPr/>
              <w:rPr>
                <w:rFonts w:ascii="Cambria Math" w:hAnsi="Cambria Math"/>
              </w:rPr>
              <m:t>wall</m:t>
            </m:r>
            <m:ctrlPr>
              <w:rPr>
                <w:rFonts w:ascii="Cambria Math" w:hAnsi="Cambria Math"/>
                <w:i/>
              </w:rPr>
            </m:ctrlPr>
          </m:sub>
        </m:sSub>
        <m:r>
          <m:rP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f>
                  <m:fPr>
                    <m:ctrlPr>
                      <w:rPr>
                        <w:rFonts w:ascii="Cambria Math" w:hAnsi="Cambria Math"/>
                        <w:i/>
                      </w:rPr>
                    </m:ctrlPr>
                  </m:fPr>
                  <m:num>
                    <m:rad>
                      <m:radPr>
                        <m:degHide m:val="1"/>
                        <m:ctrlPr>
                          <w:rPr>
                            <w:rFonts w:ascii="Cambria Math" w:hAnsi="Cambria Math"/>
                            <w:i/>
                          </w:rPr>
                        </m:ctrlPr>
                      </m:radPr>
                      <m:deg>
                        <m:ctrlPr>
                          <w:rPr>
                            <w:rFonts w:ascii="Cambria Math" w:hAnsi="Cambria Math"/>
                            <w:i/>
                          </w:rPr>
                        </m:ctrlPr>
                      </m:deg>
                      <m:e>
                        <m:r>
                          <m:rPr/>
                          <w:rPr>
                            <w:rFonts w:ascii="Cambria Math" w:hAnsi="Cambria Math"/>
                          </w:rPr>
                          <m:t>π</m:t>
                        </m:r>
                        <m:ctrlPr>
                          <w:rPr>
                            <w:rFonts w:ascii="Cambria Math" w:hAnsi="Cambria Math"/>
                            <w:i/>
                          </w:rPr>
                        </m:ctrlPr>
                      </m:e>
                    </m:rad>
                    <m:ctrlPr>
                      <w:rPr>
                        <w:rFonts w:ascii="Cambria Math" w:hAnsi="Cambria Math"/>
                        <w:i/>
                      </w:rPr>
                    </m:ctrlPr>
                  </m:num>
                  <m:den>
                    <m:r>
                      <m:rPr/>
                      <w:rPr>
                        <w:rFonts w:ascii="Cambria Math" w:hAnsi="Cambria Math"/>
                      </w:rPr>
                      <m:t>2</m:t>
                    </m:r>
                    <m:ctrlPr>
                      <w:rPr>
                        <w:rFonts w:ascii="Cambria Math" w:hAnsi="Cambria Math"/>
                        <w:i/>
                      </w:rPr>
                    </m:ctrlPr>
                  </m:den>
                </m:f>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hAnsi="Cambria Math"/>
                          </w:rPr>
                          <m:t>k</m:t>
                        </m:r>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v</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c</m:t>
                            </m:r>
                            <m:ctrlPr>
                              <w:rPr>
                                <w:rFonts w:ascii="Cambria Math" w:hAnsi="Cambria Math"/>
                                <w:i/>
                              </w:rPr>
                            </m:ctrlPr>
                          </m:sub>
                        </m:sSub>
                        <m:ctrlPr>
                          <w:rPr>
                            <w:rFonts w:ascii="Cambria Math" w:hAnsi="Cambria Math"/>
                            <w:i/>
                          </w:rPr>
                        </m:ctrlPr>
                      </m:den>
                    </m:f>
                    <m:ctrlPr>
                      <w:rPr>
                        <w:rFonts w:ascii="Cambria Math" w:hAnsi="Cambria Math"/>
                        <w:i/>
                      </w:rPr>
                    </m:ctrlPr>
                  </m:e>
                </m:rad>
                <m:r>
                  <m:rPr/>
                  <w:rPr>
                    <w:rFonts w:ascii="Cambria Math" w:hAnsi="Cambria Math"/>
                  </w:rPr>
                  <m:t xml:space="preserve">   ,</m:t>
                </m:r>
                <m:d>
                  <m:dPr>
                    <m:ctrlPr>
                      <w:rPr>
                        <w:rFonts w:ascii="Cambria Math" w:hAnsi="Cambria Math"/>
                        <w:i/>
                      </w:rPr>
                    </m:ctrlPr>
                  </m:dPr>
                  <m:e>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wall</m:t>
                        </m:r>
                        <m:ctrlPr>
                          <w:rPr>
                            <w:rFonts w:ascii="Cambria Math" w:hAnsi="Cambria Math"/>
                            <w:i/>
                          </w:rPr>
                        </m:ctrlPr>
                      </m:sub>
                    </m:sSub>
                    <m:r>
                      <m:rPr/>
                      <w:rPr>
                        <w:rFonts w:ascii="Cambria Math" w:hAnsi="Cambria Math"/>
                      </w:rPr>
                      <m:t>≥4</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hAnsi="Cambria Math"/>
                              </w:rPr>
                              <m:t>k</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c</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v</m:t>
                                </m:r>
                                <m:ctrlPr>
                                  <w:rPr>
                                    <w:rFonts w:ascii="Cambria Math" w:hAnsi="Cambria Math"/>
                                    <w:i/>
                                  </w:rPr>
                                </m:ctrlPr>
                              </m:sub>
                            </m:sSub>
                            <m:ctrlPr>
                              <w:rPr>
                                <w:rFonts w:ascii="Cambria Math" w:hAnsi="Cambria Math"/>
                                <w:i/>
                              </w:rPr>
                            </m:ctrlPr>
                          </m:den>
                        </m:f>
                        <m:ctrlPr>
                          <w:rPr>
                            <w:rFonts w:ascii="Cambria Math" w:hAnsi="Cambria Math"/>
                            <w:i/>
                          </w:rPr>
                        </m:ctrlPr>
                      </m:e>
                    </m:rad>
                    <m:ctrlPr>
                      <w:rPr>
                        <w:rFonts w:ascii="Cambria Math" w:hAnsi="Cambria Math"/>
                        <w:i/>
                      </w:rPr>
                    </m:ctrlPr>
                  </m:e>
                </m:d>
                <m:ctrlPr>
                  <w:rPr>
                    <w:rFonts w:ascii="Cambria Math" w:hAnsi="Cambria Math"/>
                    <w:i/>
                  </w:rPr>
                </m:ctrlPr>
              </m:e>
              <m:e>
                <m:f>
                  <m:fPr>
                    <m:ctrlPr>
                      <w:rPr>
                        <w:rFonts w:ascii="Cambria Math" w:hAnsi="Cambria Math"/>
                        <w:i/>
                      </w:rPr>
                    </m:ctrlPr>
                  </m:fPr>
                  <m:num>
                    <m:r>
                      <m:rPr/>
                      <w:rPr>
                        <w:rFonts w:ascii="Cambria Math" w:hAnsi="Cambria Math"/>
                      </w:rPr>
                      <m:t>k</m:t>
                    </m:r>
                    <m:ctrlPr>
                      <w:rPr>
                        <w:rFonts w:ascii="Cambria Math" w:hAnsi="Cambria Math"/>
                        <w:i/>
                      </w:rPr>
                    </m:ctrlPr>
                  </m:num>
                  <m:den>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wall</m:t>
                        </m:r>
                        <m:ctrlPr>
                          <w:rPr>
                            <w:rFonts w:ascii="Cambria Math" w:hAnsi="Cambria Math"/>
                            <w:i/>
                          </w:rPr>
                        </m:ctrlPr>
                      </m:sub>
                    </m:sSub>
                    <m:ctrlPr>
                      <w:rPr>
                        <w:rFonts w:ascii="Cambria Math" w:hAnsi="Cambria Math"/>
                        <w:i/>
                      </w:rPr>
                    </m:ctrlPr>
                  </m:den>
                </m:f>
                <m:r>
                  <m:rPr/>
                  <w:rPr>
                    <w:rFonts w:ascii="Cambria Math" w:hAnsi="Cambria Math"/>
                  </w:rPr>
                  <m:t xml:space="preserve">      ,</m:t>
                </m:r>
                <m:d>
                  <m:dPr>
                    <m:ctrlPr>
                      <w:rPr>
                        <w:rFonts w:ascii="Cambria Math" w:hAnsi="Cambria Math"/>
                        <w:i/>
                      </w:rPr>
                    </m:ctrlPr>
                  </m:dPr>
                  <m:e>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wall</m:t>
                        </m:r>
                        <m:ctrlPr>
                          <w:rPr>
                            <w:rFonts w:ascii="Cambria Math" w:hAnsi="Cambria Math"/>
                            <w:i/>
                          </w:rPr>
                        </m:ctrlPr>
                      </m:sub>
                    </m:sSub>
                    <m:r>
                      <m:rPr/>
                      <w:rPr>
                        <w:rFonts w:ascii="Cambria Math" w:hAnsi="Cambria Math"/>
                      </w:rPr>
                      <m:t>&lt;4</m:t>
                    </m:r>
                    <m:rad>
                      <m:radPr>
                        <m:degHide m:val="1"/>
                        <m:ctrlPr>
                          <w:rPr>
                            <w:rFonts w:ascii="Cambria Math" w:hAnsi="Cambria Math"/>
                            <w:i/>
                          </w:rPr>
                        </m:ctrlPr>
                      </m:radPr>
                      <m:deg>
                        <m:ctrlPr>
                          <w:rPr>
                            <w:rFonts w:ascii="Cambria Math" w:hAnsi="Cambria Math"/>
                            <w:i/>
                          </w:rPr>
                        </m:ctrlPr>
                      </m:deg>
                      <m:e>
                        <m:f>
                          <m:fPr>
                            <m:ctrlPr>
                              <w:rPr>
                                <w:rFonts w:ascii="Cambria Math" w:hAnsi="Cambria Math"/>
                                <w:i/>
                              </w:rPr>
                            </m:ctrlPr>
                          </m:fPr>
                          <m:num>
                            <m:r>
                              <m:rPr/>
                              <w:rPr>
                                <w:rFonts w:ascii="Cambria Math" w:hAnsi="Cambria Math"/>
                              </w:rPr>
                              <m:t>k</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c</m:t>
                                </m:r>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v</m:t>
                                </m:r>
                                <m:ctrlPr>
                                  <w:rPr>
                                    <w:rFonts w:ascii="Cambria Math" w:hAnsi="Cambria Math"/>
                                    <w:i/>
                                  </w:rPr>
                                </m:ctrlPr>
                              </m:sub>
                            </m:sSub>
                            <m:ctrlPr>
                              <w:rPr>
                                <w:rFonts w:ascii="Cambria Math" w:hAnsi="Cambria Math"/>
                                <w:i/>
                              </w:rPr>
                            </m:ctrlPr>
                          </m:den>
                        </m:f>
                        <m:ctrlPr>
                          <w:rPr>
                            <w:rFonts w:ascii="Cambria Math" w:hAnsi="Cambria Math"/>
                            <w:i/>
                          </w:rPr>
                        </m:ctrlPr>
                      </m:e>
                    </m:rad>
                    <m:ctrlPr>
                      <w:rPr>
                        <w:rFonts w:ascii="Cambria Math" w:hAnsi="Cambria Math"/>
                        <w:i/>
                      </w:rPr>
                    </m:ctrlPr>
                  </m:e>
                </m:d>
                <m:r>
                  <m:rPr/>
                  <w:rPr>
                    <w:rFonts w:ascii="Cambria Math" w:hAnsi="Cambria Math"/>
                  </w:rPr>
                  <m:t xml:space="preserve"> </m:t>
                </m:r>
                <m:ctrlPr>
                  <w:rPr>
                    <w:rFonts w:ascii="Cambria Math" w:hAnsi="Cambria Math"/>
                    <w:i/>
                  </w:rPr>
                </m:ctrlPr>
              </m:e>
            </m:eqArr>
            <m:ctrlPr>
              <w:rPr>
                <w:rFonts w:ascii="Cambria Math" w:hAnsi="Cambria Math"/>
                <w:i/>
              </w:rPr>
            </m:ctrlPr>
          </m:e>
        </m:d>
      </m:oMath>
      <w:r>
        <w:t>………………………（5.3.12-10）</w:t>
      </w:r>
    </w:p>
    <w:p>
      <w:pPr>
        <w:pStyle w:val="255"/>
        <w:jc w:val="left"/>
      </w:pPr>
      <w:r>
        <w:rPr>
          <w:rFonts w:hint="eastAsia"/>
        </w:rPr>
        <w:t>式中：</w:t>
      </w:r>
    </w:p>
    <w:p>
      <w:pPr>
        <w:pStyle w:val="255"/>
        <w:spacing w:before="120" w:after="120"/>
        <w:ind w:firstLine="42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m</m:t>
            </m:r>
            <m:ctrlPr>
              <w:rPr>
                <w:rFonts w:ascii="Cambria Math" w:hAnsi="Cambria Math"/>
                <w:i/>
              </w:rPr>
            </m:ctrlPr>
          </m:sub>
        </m:sSub>
      </m:oMath>
      <w:r>
        <w:t>——卷入系数，kg/kJ</w:t>
      </w:r>
      <w:r>
        <w:rPr>
          <w:vertAlign w:val="superscript"/>
        </w:rPr>
        <w:t>1/3</w:t>
      </w:r>
      <w:r>
        <w:t>/m</w:t>
      </w:r>
      <w:r>
        <w:rPr>
          <w:vertAlign w:val="superscript"/>
        </w:rPr>
        <w:t>5/3</w:t>
      </w:r>
      <w:r>
        <w:t>/s</w:t>
      </w:r>
      <w:r>
        <w:rPr>
          <w:vertAlign w:val="superscript"/>
        </w:rPr>
        <w:t>2/3</w:t>
      </w:r>
      <w:r>
        <w:t>，取0.076；</w:t>
      </w:r>
    </w:p>
    <w:p>
      <w:pPr>
        <w:pStyle w:val="255"/>
        <w:spacing w:before="120" w:after="120"/>
        <w:ind w:firstLine="42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sm</m:t>
            </m:r>
            <m:ctrlPr>
              <w:rPr>
                <w:rFonts w:ascii="Cambria Math" w:hAnsi="Cambria Math"/>
                <w:i/>
              </w:rPr>
            </m:ctrlPr>
          </m:sub>
        </m:sSub>
      </m:oMath>
      <w:r>
        <w:t>——排烟系数，kg/kJ</w:t>
      </w:r>
      <w:r>
        <w:rPr>
          <w:vertAlign w:val="superscript"/>
        </w:rPr>
        <w:t>1/3</w:t>
      </w:r>
      <w:r>
        <w:t>/m</w:t>
      </w:r>
      <w:r>
        <w:rPr>
          <w:vertAlign w:val="superscript"/>
        </w:rPr>
        <w:t>5/3</w:t>
      </w:r>
      <w:r>
        <w:t>/s</w:t>
      </w:r>
      <w:r>
        <w:rPr>
          <w:vertAlign w:val="superscript"/>
        </w:rPr>
        <w:t>2/3</w:t>
      </w:r>
      <w:r>
        <w:rPr>
          <w:rFonts w:hint="eastAsia"/>
        </w:rPr>
        <w:t>，</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sm</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m</m:t>
            </m:r>
            <m:ctrlPr>
              <w:rPr>
                <w:rFonts w:ascii="Cambria Math" w:hAnsi="Cambria Math"/>
                <w:i/>
              </w:rPr>
            </m:ctrlPr>
          </m:sub>
        </m:sSub>
      </m:oMath>
      <w:r>
        <w:t>；</w:t>
      </w:r>
    </w:p>
    <w:p>
      <w:pPr>
        <w:pStyle w:val="255"/>
        <w:spacing w:before="120" w:after="120"/>
        <w:ind w:firstLine="420"/>
      </w:pP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ascii="Cambria Math" w:hAnsi="Cambria Math"/>
              </w:rPr>
              <m:t>sm</m:t>
            </m:r>
            <m:ctrlPr>
              <w:rPr>
                <w:rFonts w:ascii="Cambria Math" w:hAnsi="Cambria Math"/>
                <w:i/>
              </w:rPr>
            </m:ctrlPr>
          </m:sub>
        </m:sSub>
      </m:oMath>
      <w:r>
        <w:rPr>
          <w:rFonts w:hint="eastAsia"/>
        </w:rPr>
        <w:t>——</w:t>
      </w:r>
      <w:r>
        <w:t>排烟开始时间，s</w:t>
      </w:r>
      <w:r>
        <w:rPr>
          <w:rFonts w:hint="eastAsia"/>
        </w:rPr>
        <w:t>，火灾响应后1</w:t>
      </w:r>
      <w:r>
        <w:t>5</w:t>
      </w:r>
      <w:r>
        <w:rPr>
          <w:rFonts w:hint="eastAsia"/>
        </w:rPr>
        <w:t>s内启动排烟风机，</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ascii="Cambria Math" w:hAnsi="Cambria Math"/>
              </w:rPr>
              <m:t>sm</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ascii="Cambria Math" w:hAnsi="Cambria Math"/>
              </w:rPr>
              <m:t>res</m:t>
            </m:r>
            <m:ctrlPr>
              <w:rPr>
                <w:rFonts w:ascii="Cambria Math" w:hAnsi="Cambria Math"/>
                <w:i/>
              </w:rPr>
            </m:ctrlPr>
          </m:sub>
        </m:sSub>
        <m:r>
          <m:rPr/>
          <w:rPr>
            <w:rFonts w:ascii="Cambria Math" w:hAnsi="Cambria Math"/>
          </w:rPr>
          <m:t>+15s</m:t>
        </m:r>
      </m:oMath>
      <w:r>
        <w:t>；</w:t>
      </w:r>
    </w:p>
    <w:p>
      <w:pPr>
        <w:pStyle w:val="255"/>
        <w:spacing w:before="120" w:after="120"/>
        <w:ind w:firstLine="420"/>
      </w:pPr>
      <m:oMath>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oMath>
      <w:r>
        <w:t>——</w:t>
      </w:r>
      <w:r>
        <w:rPr>
          <w:rFonts w:hint="eastAsia"/>
        </w:rPr>
        <w:t>烟气</w:t>
      </w:r>
      <w:r>
        <w:t>层密度，kg/m</w:t>
      </w:r>
      <w:r>
        <w:rPr>
          <w:vertAlign w:val="superscript"/>
        </w:rPr>
        <w:t>3</w:t>
      </w:r>
      <w:r>
        <w:t>；</w:t>
      </w:r>
    </w:p>
    <w:p>
      <w:pPr>
        <w:pStyle w:val="255"/>
        <w:spacing w:before="120" w:after="120"/>
        <w:ind w:firstLine="420"/>
      </w:pPr>
      <m:oMath>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r</m:t>
            </m:r>
            <m:ctrlPr>
              <w:rPr>
                <w:rFonts w:ascii="Cambria Math" w:hAnsi="Cambria Math"/>
                <w:i/>
              </w:rPr>
            </m:ctrlPr>
          </m:sub>
        </m:sSub>
      </m:oMath>
      <w:r>
        <w:t>——室内空间的底面面积，m</w:t>
      </w:r>
      <w:r>
        <w:rPr>
          <w:vertAlign w:val="superscript"/>
        </w:rPr>
        <w:t>2</w:t>
      </w:r>
      <w:r>
        <w:t>；</w:t>
      </w:r>
    </w:p>
    <w:p>
      <w:pPr>
        <w:pStyle w:val="255"/>
        <w:spacing w:before="120" w:after="120"/>
        <w:ind w:firstLine="420"/>
      </w:pPr>
      <w:r>
        <w:t>α——火灾增长系数，kW/s</w:t>
      </w:r>
      <w:r>
        <w:rPr>
          <w:vertAlign w:val="superscript"/>
        </w:rPr>
        <w:t>2</w:t>
      </w:r>
      <w:r>
        <w:t>；</w:t>
      </w:r>
    </w:p>
    <w:p>
      <w:pPr>
        <w:pStyle w:val="255"/>
        <w:spacing w:before="120" w:after="120"/>
        <w:ind w:firstLine="420"/>
      </w:pPr>
      <w:r>
        <w:t>H——空间净高，m；</w:t>
      </w:r>
    </w:p>
    <w:p>
      <w:pPr>
        <w:pStyle w:val="255"/>
        <w:spacing w:before="120" w:after="120"/>
        <w:ind w:firstLine="420"/>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d>
              <m:dPr>
                <m:ctrlPr>
                  <w:rPr>
                    <w:rFonts w:ascii="Cambria Math" w:hAnsi="Cambria Math"/>
                    <w:i/>
                  </w:rPr>
                </m:ctrlPr>
              </m:dPr>
              <m:e>
                <m:r>
                  <m:rPr/>
                  <w:rPr>
                    <w:rFonts w:ascii="Cambria Math" w:hAnsi="Cambria Math"/>
                  </w:rPr>
                  <m:t>sm</m:t>
                </m:r>
                <m:ctrlPr>
                  <w:rPr>
                    <w:rFonts w:ascii="Cambria Math" w:hAnsi="Cambria Math"/>
                    <w:i/>
                  </w:rPr>
                </m:ctrlPr>
              </m:e>
            </m:d>
            <m:ctrlPr>
              <w:rPr>
                <w:rFonts w:ascii="Cambria Math" w:hAnsi="Cambria Math"/>
                <w:i/>
              </w:rPr>
            </m:ctrlPr>
          </m:sub>
        </m:sSub>
      </m:oMath>
      <w:r>
        <w:t>——排烟</w:t>
      </w:r>
      <w:r>
        <w:rPr>
          <w:rFonts w:hint="eastAsia"/>
        </w:rPr>
        <w:t>开始时排烟风机的</w:t>
      </w:r>
      <w:r>
        <w:t>质量流速，kg/s</w:t>
      </w:r>
      <w:r>
        <w:rPr>
          <w:rFonts w:hint="eastAsia"/>
        </w:rPr>
        <w:t>，可根据机械排烟风机的性能参数确定</w:t>
      </w:r>
      <w:r>
        <w:t>；</w:t>
      </w:r>
    </w:p>
    <w:p>
      <w:pPr>
        <w:pStyle w:val="255"/>
        <w:spacing w:before="120" w:after="120"/>
        <w:ind w:firstLine="420"/>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d>
              <m:dPr>
                <m:ctrlPr>
                  <w:rPr>
                    <w:rFonts w:ascii="Cambria Math" w:hAnsi="Cambria Math"/>
                    <w:i/>
                  </w:rPr>
                </m:ctrlPr>
              </m:dPr>
              <m:e>
                <m:r>
                  <m:rPr/>
                  <w:rPr>
                    <w:rFonts w:ascii="Cambria Math" w:hAnsi="Cambria Math"/>
                  </w:rPr>
                  <m:t>escape</m:t>
                </m:r>
                <m:ctrlPr>
                  <w:rPr>
                    <w:rFonts w:ascii="Cambria Math" w:hAnsi="Cambria Math"/>
                    <w:i/>
                  </w:rPr>
                </m:ctrlPr>
              </m:e>
            </m:d>
            <m:ctrlPr>
              <w:rPr>
                <w:rFonts w:ascii="Cambria Math" w:hAnsi="Cambria Math"/>
                <w:i/>
              </w:rPr>
            </m:ctrlPr>
          </m:sub>
        </m:sSub>
      </m:oMath>
      <w:r>
        <w:rPr>
          <w:rFonts w:hint="eastAsia"/>
        </w:rPr>
        <w:t>——疏散结束时排烟风机的</w:t>
      </w:r>
      <w:r>
        <w:t>质量流速，kg/s</w:t>
      </w:r>
      <w:r>
        <w:rPr>
          <w:rFonts w:hint="eastAsia"/>
        </w:rPr>
        <w:t>，可认为</w:t>
      </w: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d>
              <m:dPr>
                <m:ctrlPr>
                  <w:rPr>
                    <w:rFonts w:ascii="Cambria Math" w:hAnsi="Cambria Math"/>
                    <w:i/>
                  </w:rPr>
                </m:ctrlPr>
              </m:dPr>
              <m:e>
                <m:r>
                  <m:rPr/>
                  <w:rPr>
                    <w:rFonts w:ascii="Cambria Math" w:hAnsi="Cambria Math"/>
                  </w:rPr>
                  <m:t>escape</m:t>
                </m:r>
                <m:ctrlPr>
                  <w:rPr>
                    <w:rFonts w:ascii="Cambria Math" w:hAnsi="Cambria Math"/>
                    <w:i/>
                  </w:rPr>
                </m:ctrlPr>
              </m:e>
            </m:d>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e</m:t>
            </m:r>
            <m:d>
              <m:dPr>
                <m:ctrlPr>
                  <w:rPr>
                    <w:rFonts w:ascii="Cambria Math" w:hAnsi="Cambria Math"/>
                    <w:i/>
                  </w:rPr>
                </m:ctrlPr>
              </m:dPr>
              <m:e>
                <m:r>
                  <m:rPr/>
                  <w:rPr>
                    <w:rFonts w:ascii="Cambria Math" w:hAnsi="Cambria Math"/>
                  </w:rPr>
                  <m:t>sm</m:t>
                </m:r>
                <m:ctrlPr>
                  <w:rPr>
                    <w:rFonts w:ascii="Cambria Math" w:hAnsi="Cambria Math"/>
                    <w:i/>
                  </w:rPr>
                </m:ctrlPr>
              </m:e>
            </m:d>
            <m:ctrlPr>
              <w:rPr>
                <w:rFonts w:ascii="Cambria Math" w:hAnsi="Cambria Math"/>
                <w:i/>
              </w:rPr>
            </m:ctrlPr>
          </m:sub>
        </m:sSub>
      </m:oMath>
      <w:r>
        <w:rPr>
          <w:rFonts w:hint="eastAsia"/>
        </w:rPr>
        <w:t>；</w:t>
      </w:r>
    </w:p>
    <w:p>
      <w:pPr>
        <w:pStyle w:val="255"/>
        <w:spacing w:before="120" w:after="120"/>
        <w:ind w:firstLine="420"/>
      </w:pPr>
      <w:r>
        <w:t>Q——火源的热释放速率，kW</w:t>
      </w:r>
      <w:r>
        <w:rPr>
          <w:rFonts w:hint="eastAsia"/>
        </w:rPr>
        <w:t>，</w:t>
      </w:r>
      <m:oMath>
        <m:r>
          <m:rPr/>
          <w:rPr>
            <w:rFonts w:ascii="Cambria Math" w:hAnsi="Cambria Math"/>
          </w:rPr>
          <m:t>Q=α</m:t>
        </m:r>
        <m:sSup>
          <m:sSupPr>
            <m:ctrlPr>
              <w:rPr>
                <w:rFonts w:ascii="Cambria Math" w:hAnsi="Cambria Math"/>
                <w:i/>
              </w:rPr>
            </m:ctrlPr>
          </m:sSupPr>
          <m:e>
            <m:r>
              <m:rPr/>
              <w:rPr>
                <w:rFonts w:hint="eastAsia" w:ascii="Cambria Math" w:hAnsi="Cambria Math"/>
              </w:rPr>
              <m:t>t</m:t>
            </m:r>
            <m:ctrlPr>
              <w:rPr>
                <w:rFonts w:ascii="Cambria Math" w:hAnsi="Cambria Math"/>
                <w:i/>
              </w:rPr>
            </m:ctrlPr>
          </m:e>
          <m:sup>
            <m:r>
              <m:rPr/>
              <w:rPr>
                <w:rFonts w:ascii="Cambria Math" w:hAnsi="Cambria Math"/>
              </w:rPr>
              <m:t>2</m:t>
            </m:r>
            <m:ctrlPr>
              <w:rPr>
                <w:rFonts w:ascii="Cambria Math" w:hAnsi="Cambria Math"/>
                <w:i/>
              </w:rPr>
            </m:ctrlPr>
          </m:sup>
        </m:sSup>
      </m:oMath>
      <w:r>
        <w:t>；</w:t>
      </w:r>
    </w:p>
    <w:p>
      <w:pPr>
        <w:pStyle w:val="255"/>
        <w:spacing w:before="120" w:after="120"/>
        <w:ind w:firstLine="420"/>
      </w:pPr>
      <m:oMath>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sm</m:t>
            </m:r>
            <m:ctrlPr>
              <w:rPr>
                <w:rFonts w:ascii="Cambria Math" w:hAnsi="Cambria Math"/>
              </w:rPr>
            </m:ctrlPr>
          </m:sub>
        </m:sSub>
      </m:oMath>
      <w:r>
        <w:rPr>
          <w:rFonts w:hint="eastAsia"/>
        </w:rPr>
        <w:t>——排烟开始时的火源热释放速率，k</w:t>
      </w:r>
      <w:r>
        <w:t>W</w:t>
      </w:r>
      <w:r>
        <w:rPr>
          <w:rFonts w:hint="eastAsia"/>
        </w:rPr>
        <w:t>，</w:t>
      </w:r>
      <m:oMath>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sm</m:t>
            </m:r>
            <m:ctrlPr>
              <w:rPr>
                <w:rFonts w:ascii="Cambria Math" w:hAnsi="Cambria Math"/>
              </w:rPr>
            </m:ctrlPr>
          </m:sub>
        </m:sSub>
        <m:r>
          <m:rPr/>
          <w:rPr>
            <w:rFonts w:ascii="Cambria Math" w:hAnsi="Cambria Math"/>
          </w:rPr>
          <m:t>=α</m:t>
        </m:r>
        <m:sSup>
          <m:sSupPr>
            <m:ctrlPr>
              <w:rPr>
                <w:rFonts w:ascii="Cambria Math" w:hAnsi="Cambria Math"/>
                <w:i/>
              </w:rPr>
            </m:ctrlPr>
          </m:sSupPr>
          <m:e>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ascii="Cambria Math" w:hAnsi="Cambria Math"/>
                  </w:rPr>
                  <m:t>sm</m:t>
                </m:r>
                <m:ctrlPr>
                  <w:rPr>
                    <w:rFonts w:ascii="Cambria Math" w:hAnsi="Cambria Math"/>
                    <w:i/>
                  </w:rPr>
                </m:ctrlPr>
              </m:sub>
            </m:sSub>
            <m:ctrlPr>
              <w:rPr>
                <w:rFonts w:ascii="Cambria Math" w:hAnsi="Cambria Math"/>
                <w:i/>
              </w:rPr>
            </m:ctrlPr>
          </m:e>
          <m:sup>
            <m:r>
              <m:rPr/>
              <w:rPr>
                <w:rFonts w:ascii="Cambria Math" w:hAnsi="Cambria Math"/>
              </w:rPr>
              <m:t>2</m:t>
            </m:r>
            <m:ctrlPr>
              <w:rPr>
                <w:rFonts w:ascii="Cambria Math" w:hAnsi="Cambria Math"/>
                <w:i/>
              </w:rPr>
            </m:ctrlPr>
          </m:sup>
        </m:sSup>
      </m:oMath>
      <w:r>
        <w:rPr>
          <w:rFonts w:hint="eastAsia"/>
        </w:rPr>
        <w:t>；</w:t>
      </w:r>
    </w:p>
    <w:p>
      <w:pPr>
        <w:pStyle w:val="255"/>
        <w:spacing w:before="120" w:after="120"/>
        <w:ind w:firstLine="420"/>
      </w:pPr>
      <m:oMath>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escape</m:t>
            </m:r>
            <m:ctrlPr>
              <w:rPr>
                <w:rFonts w:ascii="Cambria Math" w:hAnsi="Cambria Math"/>
              </w:rPr>
            </m:ctrlPr>
          </m:sub>
        </m:sSub>
      </m:oMath>
      <w:r>
        <w:rPr>
          <w:rFonts w:hint="eastAsia"/>
        </w:rPr>
        <w:t>——疏散结束时的火源热释放速率，k</w:t>
      </w:r>
      <w:r>
        <w:t>W</w:t>
      </w:r>
      <w:r>
        <w:rPr>
          <w:rFonts w:hint="eastAsia"/>
        </w:rPr>
        <w:t>，</w:t>
      </w:r>
      <m:oMath>
        <m:sSub>
          <m:sSubPr>
            <m:ctrlPr>
              <w:rPr>
                <w:rFonts w:ascii="Cambria Math" w:hAnsi="Cambria Math"/>
              </w:rPr>
            </m:ctrlPr>
          </m:sSubPr>
          <m:e>
            <m:r>
              <m:rPr/>
              <w:rPr>
                <w:rFonts w:ascii="Cambria Math" w:hAnsi="Cambria Math"/>
              </w:rPr>
              <m:t>Q</m:t>
            </m:r>
            <m:ctrlPr>
              <w:rPr>
                <w:rFonts w:ascii="Cambria Math" w:hAnsi="Cambria Math"/>
              </w:rPr>
            </m:ctrlPr>
          </m:e>
          <m:sub>
            <m:r>
              <m:rPr/>
              <w:rPr>
                <w:rFonts w:ascii="Cambria Math" w:hAnsi="Cambria Math"/>
              </w:rPr>
              <m:t>escape</m:t>
            </m:r>
            <m:ctrlPr>
              <w:rPr>
                <w:rFonts w:ascii="Cambria Math" w:hAnsi="Cambria Math"/>
              </w:rPr>
            </m:ctrlPr>
          </m:sub>
        </m:sSub>
        <m:r>
          <m:rPr/>
          <w:rPr>
            <w:rFonts w:ascii="Cambria Math" w:hAnsi="Cambria Math"/>
          </w:rPr>
          <m:t>=α</m:t>
        </m:r>
        <m:sSup>
          <m:sSupPr>
            <m:ctrlPr>
              <w:rPr>
                <w:rFonts w:ascii="Cambria Math" w:hAnsi="Cambria Math"/>
                <w:i/>
              </w:rPr>
            </m:ctrlPr>
          </m:sSupPr>
          <m:e>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ascii="Cambria Math" w:hAnsi="Cambria Math"/>
                  </w:rPr>
                  <m:t>escape</m:t>
                </m:r>
                <m:ctrlPr>
                  <w:rPr>
                    <w:rFonts w:ascii="Cambria Math" w:hAnsi="Cambria Math"/>
                    <w:i/>
                  </w:rPr>
                </m:ctrlPr>
              </m:sub>
            </m:sSub>
            <m:ctrlPr>
              <w:rPr>
                <w:rFonts w:ascii="Cambria Math" w:hAnsi="Cambria Math"/>
                <w:i/>
              </w:rPr>
            </m:ctrlPr>
          </m:e>
          <m:sup>
            <m:r>
              <m:rPr/>
              <w:rPr>
                <w:rFonts w:ascii="Cambria Math" w:hAnsi="Cambria Math"/>
              </w:rPr>
              <m:t>2</m:t>
            </m:r>
            <m:ctrlPr>
              <w:rPr>
                <w:rFonts w:ascii="Cambria Math" w:hAnsi="Cambria Math"/>
                <w:i/>
              </w:rPr>
            </m:ctrlPr>
          </m:sup>
        </m:sSup>
      </m:oMath>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ascii="Cambria Math" w:hAnsi="Cambria Math"/>
              </w:rPr>
              <m:t>escape</m:t>
            </m:r>
            <m:ctrlPr>
              <w:rPr>
                <w:rFonts w:ascii="Cambria Math" w:hAnsi="Cambria Math"/>
                <w:i/>
              </w:rPr>
            </m:ctrlPr>
          </m:sub>
        </m:sSub>
      </m:oMath>
      <w:r>
        <w:rPr>
          <w:rFonts w:hint="eastAsia"/>
        </w:rPr>
        <w:t>根据本标准6.1.2~6.1.9条确定；</w:t>
      </w:r>
    </w:p>
    <w:p>
      <w:pPr>
        <w:pStyle w:val="255"/>
        <w:spacing w:before="120" w:after="120"/>
        <w:ind w:firstLine="420"/>
      </w:pPr>
      <m:oMath>
        <m:sSub>
          <m:sSubPr>
            <m:ctrlPr>
              <w:rPr>
                <w:rFonts w:ascii="Cambria Math" w:hAnsi="Cambria Math"/>
              </w:rPr>
            </m:ctrlPr>
          </m:sSubPr>
          <m:e>
            <m:r>
              <m:rPr/>
              <w:rPr>
                <w:rFonts w:ascii="Cambria Math" w:hAnsi="Cambria Math"/>
              </w:rPr>
              <m:t>z</m:t>
            </m:r>
            <m:ctrlPr>
              <w:rPr>
                <w:rFonts w:ascii="Cambria Math" w:hAnsi="Cambria Math"/>
              </w:rPr>
            </m:ctrlPr>
          </m:e>
          <m:sub>
            <m:r>
              <m:rPr/>
              <w:rPr>
                <w:rFonts w:ascii="Cambria Math" w:hAnsi="Cambria Math"/>
              </w:rPr>
              <m:t>sm</m:t>
            </m:r>
            <m:ctrlPr>
              <w:rPr>
                <w:rFonts w:ascii="Cambria Math" w:hAnsi="Cambria Math"/>
              </w:rPr>
            </m:ctrlPr>
          </m:sub>
        </m:sSub>
      </m:oMath>
      <w:r>
        <w:t>——排烟开始时烟气层高度，m；</w:t>
      </w:r>
    </w:p>
    <w:p>
      <w:pPr>
        <w:pStyle w:val="255"/>
        <w:spacing w:before="120" w:after="120"/>
        <w:ind w:firstLine="420"/>
      </w:pPr>
      <m:oMath>
        <m:sSub>
          <m:sSubPr>
            <m:ctrlPr>
              <w:rPr>
                <w:rFonts w:ascii="Cambria Math" w:hAnsi="Cambria Math"/>
              </w:rPr>
            </m:ctrlPr>
          </m:sSubPr>
          <m:e>
            <m:r>
              <m:rPr>
                <m:sty m:val="p"/>
              </m:rPr>
              <w:rPr>
                <w:rFonts w:ascii="Cambria Math" w:hAnsi="Cambria Math"/>
              </w:rPr>
              <m:t>H</m:t>
            </m:r>
            <m:ctrlPr>
              <w:rPr>
                <w:rFonts w:ascii="Cambria Math" w:hAnsi="Cambria Math"/>
              </w:rPr>
            </m:ctrlPr>
          </m:e>
          <m:sub>
            <m:r>
              <m:rPr/>
              <w:rPr>
                <w:rFonts w:ascii="Cambria Math" w:hAnsi="Cambria Math"/>
              </w:rPr>
              <m:t>lim</m:t>
            </m:r>
            <m:ctrlPr>
              <w:rPr>
                <w:rFonts w:ascii="Cambria Math" w:hAnsi="Cambria Math"/>
              </w:rPr>
            </m:ctrlPr>
          </m:sub>
        </m:sSub>
      </m:oMath>
      <w:r>
        <w:rPr>
          <w:rFonts w:hint="eastAsia"/>
        </w:rPr>
        <w:t>——最小清晰高度</w:t>
      </w:r>
      <w:r>
        <w:t>，m</w:t>
      </w:r>
      <w:r>
        <w:rPr>
          <w:rFonts w:hint="eastAsia"/>
        </w:rPr>
        <w:t>，</w:t>
      </w:r>
      <w:r>
        <w:t>空间净高H&lt;3m的区域，最小清晰高度H</w:t>
      </w:r>
      <w:r>
        <w:rPr>
          <w:vertAlign w:val="subscript"/>
        </w:rPr>
        <w:t>0</w:t>
      </w:r>
      <w:r>
        <w:t>≥1/2H；空间净高H≥3m的区域，最小清晰高度不低于H</w:t>
      </w:r>
      <w:r>
        <w:rPr>
          <w:vertAlign w:val="subscript"/>
        </w:rPr>
        <w:t>0</w:t>
      </w:r>
      <w:r>
        <w:t>=1.6+0.1H；</w:t>
      </w:r>
    </w:p>
    <w:p>
      <w:pPr>
        <w:pStyle w:val="255"/>
        <w:spacing w:before="120" w:after="120"/>
        <w:ind w:firstLine="42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s</m:t>
            </m:r>
            <m:ctrlPr>
              <w:rPr>
                <w:rFonts w:ascii="Cambria Math" w:hAnsi="Cambria Math"/>
                <w:i/>
              </w:rPr>
            </m:ctrlPr>
          </m:sub>
        </m:sSub>
      </m:oMath>
      <w:r>
        <w:t>——烟</w:t>
      </w:r>
      <w:r>
        <w:rPr>
          <w:rFonts w:hint="eastAsia"/>
        </w:rPr>
        <w:t>气</w:t>
      </w:r>
      <w:r>
        <w:t>层温度，K；</w:t>
      </w:r>
    </w:p>
    <w:p>
      <w:pPr>
        <w:pStyle w:val="255"/>
        <w:spacing w:before="120" w:after="120"/>
        <w:ind w:firstLine="42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t>——常压下空气的定压热容，kJ/kgK，一般取1.0；</w:t>
      </w:r>
    </w:p>
    <w:p>
      <w:pPr>
        <w:pStyle w:val="255"/>
        <w:spacing w:before="120" w:after="120"/>
        <w:ind w:firstLine="420"/>
      </w:pP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p</m:t>
            </m:r>
            <m:ctrlPr>
              <w:rPr>
                <w:rFonts w:ascii="Cambria Math" w:hAnsi="Cambria Math"/>
                <w:i/>
              </w:rPr>
            </m:ctrlPr>
          </m:sub>
        </m:sSub>
      </m:oMath>
      <w:r>
        <w:t>——火羽流的质量流速，kg/s，产烟和排烟达到平衡稳态时，</w:t>
      </w:r>
      <m:oMath>
        <m:sSub>
          <m:sSubPr>
            <m:ctrlPr>
              <w:rPr>
                <w:rFonts w:ascii="Cambria Math" w:hAnsi="Cambria Math"/>
                <w:i/>
              </w:rPr>
            </m:ctrlPr>
          </m:sSubPr>
          <m:e>
            <m:r>
              <m:rPr/>
              <w:rPr>
                <w:rFonts w:ascii="Cambria Math" w:hAnsi="Cambria Math"/>
              </w:rPr>
              <m:t>m</m:t>
            </m:r>
            <m:ctrlPr>
              <w:rPr>
                <w:rFonts w:ascii="Cambria Math" w:hAnsi="Cambria Math"/>
                <w:i/>
              </w:rPr>
            </m:ctrlPr>
          </m:e>
          <m:sub>
            <m:r>
              <m:rPr/>
              <w:rPr>
                <w:rFonts w:ascii="Cambria Math" w:hAnsi="Cambria Math"/>
              </w:rPr>
              <m:t>p</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m</m:t>
            </m:r>
            <m:ctrlPr>
              <w:rPr>
                <w:rFonts w:ascii="Cambria Math" w:hAnsi="Cambria Math"/>
                <w:i/>
              </w:rPr>
            </m:ctrlPr>
          </m:e>
          <m:sub>
            <m:r>
              <m:rPr/>
              <w:rPr>
                <w:rFonts w:hint="eastAsia" w:ascii="Cambria Math" w:hAnsi="Cambria Math"/>
              </w:rPr>
              <m:t>e</m:t>
            </m:r>
            <m:ctrlPr>
              <w:rPr>
                <w:rFonts w:ascii="Cambria Math" w:hAnsi="Cambria Math"/>
                <w:i/>
              </w:rPr>
            </m:ctrlPr>
          </m:sub>
        </m:sSub>
      </m:oMath>
      <w:r>
        <w:t>；</w:t>
      </w:r>
    </w:p>
    <w:p>
      <w:pPr>
        <w:pStyle w:val="255"/>
        <w:spacing w:before="120" w:after="120"/>
        <w:ind w:firstLine="420"/>
      </w:pPr>
      <m:oMath>
        <m:sSub>
          <m:sSubPr>
            <m:ctrlPr>
              <w:rPr>
                <w:rFonts w:ascii="Cambria Math" w:hAnsi="Cambria Math"/>
                <w:i/>
              </w:rPr>
            </m:ctrlPr>
          </m:sSubPr>
          <m:e>
            <m:r>
              <m:rPr/>
              <w:rPr>
                <w:rFonts w:ascii="Cambria Math" w:hAnsi="Cambria Math"/>
              </w:rPr>
              <m:t>ℎ</m:t>
            </m:r>
            <m:ctrlPr>
              <w:rPr>
                <w:rFonts w:ascii="Cambria Math" w:hAnsi="Cambria Math"/>
                <w:i/>
              </w:rPr>
            </m:ctrlPr>
          </m:e>
          <m:sub>
            <m:r>
              <m:rPr/>
              <w:rPr>
                <w:rFonts w:ascii="Cambria Math" w:hAnsi="Cambria Math"/>
              </w:rPr>
              <m:t>wall</m:t>
            </m:r>
            <m:ctrlPr>
              <w:rPr>
                <w:rFonts w:ascii="Cambria Math" w:hAnsi="Cambria Math"/>
                <w:i/>
              </w:rPr>
            </m:ctrlPr>
          </m:sub>
        </m:sSub>
      </m:oMath>
      <w:r>
        <w:t>——室内空间边界面的有效传热系数，kW/m</w:t>
      </w:r>
      <w:r>
        <w:rPr>
          <w:vertAlign w:val="superscript"/>
        </w:rPr>
        <w:t>2</w:t>
      </w:r>
      <w:r>
        <w:t>K；</w:t>
      </w:r>
    </w:p>
    <w:p>
      <w:pPr>
        <w:pStyle w:val="255"/>
        <w:spacing w:before="120" w:after="120"/>
        <w:ind w:firstLine="420"/>
      </w:pPr>
      <m:oMath>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wall</m:t>
            </m:r>
            <m:ctrlPr>
              <w:rPr>
                <w:rFonts w:ascii="Cambria Math" w:hAnsi="Cambria Math"/>
                <w:i/>
              </w:rPr>
            </m:ctrlPr>
          </m:sub>
        </m:sSub>
      </m:oMath>
      <w:r>
        <w:t>——和烟气层接触的室内空间边界面的表面积，m</w:t>
      </w:r>
      <w:r>
        <w:rPr>
          <w:vertAlign w:val="superscript"/>
        </w:rPr>
        <w:t>2</w:t>
      </w:r>
      <w:r>
        <w:t>；</w:t>
      </w:r>
    </w:p>
    <w:p>
      <w:pPr>
        <w:pStyle w:val="255"/>
        <w:spacing w:before="120" w:after="120"/>
        <w:ind w:firstLine="420"/>
      </w:pPr>
      <w:r>
        <w:t>k——室内空间边界材料的导热系数，kW/m K；</w:t>
      </w:r>
    </w:p>
    <w:p>
      <w:pPr>
        <w:pStyle w:val="255"/>
        <w:spacing w:before="120" w:after="120"/>
        <w:ind w:firstLine="42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v</m:t>
            </m:r>
            <m:ctrlPr>
              <w:rPr>
                <w:rFonts w:ascii="Cambria Math" w:hAnsi="Cambria Math"/>
                <w:i/>
              </w:rPr>
            </m:ctrlPr>
          </m:sub>
        </m:sSub>
      </m:oMath>
      <w:r>
        <w:t>——室内空间边界面材料的定容热容，kJ/m</w:t>
      </w:r>
      <w:r>
        <w:rPr>
          <w:vertAlign w:val="superscript"/>
        </w:rPr>
        <w:t>3</w:t>
      </w:r>
      <w:r>
        <w:t xml:space="preserve"> K；</w:t>
      </w:r>
    </w:p>
    <w:p>
      <w:pPr>
        <w:pStyle w:val="255"/>
        <w:spacing w:before="120" w:after="120"/>
        <w:ind w:firstLine="420"/>
      </w:pPr>
      <m:oMath>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c</m:t>
            </m:r>
            <m:ctrlPr>
              <w:rPr>
                <w:rFonts w:ascii="Cambria Math" w:hAnsi="Cambria Math"/>
                <w:i/>
              </w:rPr>
            </m:ctrlPr>
          </m:sub>
        </m:sSub>
      </m:oMath>
      <w:r>
        <w:t>——室内空间边界面吸收热量的特征时间，一般取1000s；</w:t>
      </w:r>
    </w:p>
    <w:p>
      <w:pPr>
        <w:pStyle w:val="255"/>
        <w:spacing w:before="120" w:after="120"/>
        <w:ind w:firstLine="420"/>
      </w:pPr>
      <m:oMath>
        <m:sSub>
          <m:sSubPr>
            <m:ctrlPr>
              <w:rPr>
                <w:rFonts w:ascii="Cambria Math" w:hAnsi="Cambria Math"/>
                <w:i/>
              </w:rPr>
            </m:ctrlPr>
          </m:sSubPr>
          <m:e>
            <m:r>
              <m:rPr/>
              <w:rPr>
                <w:rFonts w:ascii="Cambria Math" w:hAnsi="Cambria Math"/>
              </w:rPr>
              <m:t>D</m:t>
            </m:r>
            <m:ctrlPr>
              <w:rPr>
                <w:rFonts w:ascii="Cambria Math" w:hAnsi="Cambria Math"/>
                <w:i/>
              </w:rPr>
            </m:ctrlPr>
          </m:e>
          <m:sub>
            <m:r>
              <m:rPr/>
              <w:rPr>
                <w:rFonts w:ascii="Cambria Math" w:hAnsi="Cambria Math"/>
              </w:rPr>
              <m:t>wall</m:t>
            </m:r>
            <m:ctrlPr>
              <w:rPr>
                <w:rFonts w:ascii="Cambria Math" w:hAnsi="Cambria Math"/>
                <w:i/>
              </w:rPr>
            </m:ctrlPr>
          </m:sub>
        </m:sSub>
      </m:oMath>
      <w:r>
        <w:t>——室内空间边界面材料的厚度，m。</w:t>
      </w:r>
    </w:p>
    <w:p>
      <w:pPr>
        <w:pStyle w:val="195"/>
      </w:pPr>
      <w:r>
        <w:t>最小清晰高度处的烟气层温度T</w:t>
      </w:r>
      <w:r>
        <w:rPr>
          <w:vertAlign w:val="subscript"/>
        </w:rPr>
        <w:t>s</w:t>
      </w:r>
      <w:r>
        <w:t>达到危险值的时间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oMath>
      <w:r>
        <w:t>应按照公式（5.3.13-1）</w:t>
      </w:r>
      <w:r>
        <w:rPr>
          <w:rFonts w:hint="eastAsia"/>
        </w:rPr>
        <w:t>~（</w:t>
      </w:r>
      <w:r>
        <w:t>5.3.13-2</w:t>
      </w:r>
      <w:r>
        <w:rPr>
          <w:rFonts w:hint="eastAsia"/>
        </w:rPr>
        <w:t>）</w:t>
      </w:r>
      <w:r>
        <w:t>计算：</w:t>
      </w:r>
    </w:p>
    <w:p>
      <w:pPr>
        <w:pStyle w:val="255"/>
        <w:ind w:firstLine="480" w:firstLineChars="200"/>
      </w:pPr>
      <w:r>
        <w:rPr>
          <w:rFonts w:hint="eastAsia"/>
        </w:rPr>
        <w:t>1</w:t>
      </w:r>
      <w:r>
        <w:t xml:space="preserve">  无</w:t>
      </w:r>
      <w:r>
        <w:rPr>
          <w:rFonts w:hint="eastAsia"/>
        </w:rPr>
        <w:t>机械</w:t>
      </w:r>
      <w:r>
        <w:t>排烟</w:t>
      </w:r>
      <w:r>
        <w:rPr>
          <w:rFonts w:hint="eastAsia"/>
        </w:rPr>
        <w:t>或</w:t>
      </w:r>
      <w:r>
        <w:t>机械排烟失效时，最小清晰高度处的烟气层温度T</w:t>
      </w:r>
      <w:r>
        <w:rPr>
          <w:vertAlign w:val="subscript"/>
        </w:rPr>
        <w:t>s</w:t>
      </w:r>
      <w:r>
        <w:t>达到危险值的时间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oMath>
      <w:r>
        <w:rPr>
          <w:rFonts w:hint="eastAsia"/>
        </w:rPr>
        <w:t>应按下式计算：</w:t>
      </w:r>
    </w:p>
    <w:p>
      <w:pPr>
        <w:pStyle w:val="192"/>
        <w:numPr>
          <w:ilvl w:val="0"/>
          <w:numId w:val="0"/>
        </w:numPr>
        <w:ind w:firstLine="960" w:firstLineChars="400"/>
        <w:jc w:val="right"/>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r>
          <m:rPr/>
          <w:rPr>
            <w:rFonts w:hint="eastAsia" w:ascii="Cambria Math" w:hAnsi="Cambria Math"/>
          </w:rPr>
          <m:t>=</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r</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r</m:t>
                        </m:r>
                        <m:ctrlPr>
                          <w:rPr>
                            <w:rFonts w:ascii="Cambria Math" w:hAnsi="Cambria Math"/>
                            <w:i/>
                          </w:rPr>
                        </m:ctrlPr>
                      </m:sub>
                    </m:sSub>
                    <m:r>
                      <m:rPr/>
                      <w:rPr>
                        <w:rFonts w:ascii="Cambria Math" w:hAnsi="Cambria Math"/>
                      </w:rPr>
                      <m:t>−Z)(n+1)</m:t>
                    </m:r>
                    <m:ctrlPr>
                      <w:rPr>
                        <w:rFonts w:ascii="Cambria Math" w:hAnsi="Cambria Math"/>
                        <w:i/>
                      </w:rPr>
                    </m:ctrlPr>
                  </m:num>
                  <m:den>
                    <m:r>
                      <m:rPr/>
                      <w:rPr>
                        <w:rFonts w:ascii="Cambria Math" w:hAnsi="Cambria Math"/>
                      </w:rPr>
                      <m:t>α(1−λ)</m:t>
                    </m:r>
                    <m:ctrlPr>
                      <w:rPr>
                        <w:rFonts w:ascii="Cambria Math" w:hAnsi="Cambria Math"/>
                        <w:i/>
                      </w:rPr>
                    </m:ctrlPr>
                  </m:den>
                </m:f>
                <m:ctrlPr>
                  <w:rPr>
                    <w:rFonts w:ascii="Cambria Math" w:hAnsi="Cambria Math"/>
                    <w:i/>
                  </w:rPr>
                </m:ctrlPr>
              </m:e>
            </m:d>
            <m:ctrlPr>
              <w:rPr>
                <w:rFonts w:ascii="Cambria Math" w:hAnsi="Cambria Math"/>
                <w:i/>
              </w:rPr>
            </m:ctrlPr>
          </m:e>
          <m:sup>
            <m:r>
              <m:rPr/>
              <w:rPr>
                <w:rFonts w:ascii="Cambria Math" w:hAnsi="Cambria Math"/>
              </w:rPr>
              <m:t>1/(n+1)</m:t>
            </m:r>
            <m:ctrlPr>
              <w:rPr>
                <w:rFonts w:ascii="Cambria Math" w:hAnsi="Cambria Math"/>
                <w:i/>
              </w:rPr>
            </m:ctrlPr>
          </m:sup>
        </m:sSup>
      </m:oMath>
      <w:r>
        <w:t>…………………………（5.3.13-1）</w:t>
      </w:r>
    </w:p>
    <w:p>
      <w:pPr>
        <w:pStyle w:val="255"/>
        <w:ind w:firstLine="480" w:firstLineChars="200"/>
      </w:pPr>
      <w:r>
        <w:t>2  机械排烟</w:t>
      </w:r>
      <w:r>
        <w:rPr>
          <w:rFonts w:hint="eastAsia"/>
        </w:rPr>
        <w:t>有</w:t>
      </w:r>
      <w:r>
        <w:t>效时，最小清晰高度处的烟气层温度T</w:t>
      </w:r>
      <w:r>
        <w:rPr>
          <w:vertAlign w:val="subscript"/>
        </w:rPr>
        <w:t>s</w:t>
      </w:r>
      <w:r>
        <w:t>达到危险值的时间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oMath>
      <w:r>
        <w:rPr>
          <w:rFonts w:hint="eastAsia"/>
        </w:rPr>
        <w:t>应按下式计算：</w:t>
      </w:r>
    </w:p>
    <w:p>
      <w:pPr>
        <w:pStyle w:val="192"/>
        <w:numPr>
          <w:ilvl w:val="0"/>
          <w:numId w:val="0"/>
        </w:numPr>
        <w:ind w:firstLine="960" w:firstLineChars="400"/>
        <w:jc w:val="right"/>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m:t>
            </m:r>
            <m:ctrlPr>
              <w:rPr>
                <w:rFonts w:ascii="Cambria Math" w:hAnsi="Cambria Math"/>
              </w:rPr>
            </m:ctrlPr>
          </m:sub>
        </m:sSub>
        <m:r>
          <m:rPr/>
          <w:rPr>
            <w:rFonts w:hint="eastAsia" w:ascii="Cambria Math" w:hAnsi="Cambria Math"/>
          </w:rPr>
          <m:t>=</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T</m:t>
                    </m:r>
                    <m:ctrlPr>
                      <w:rPr>
                        <w:rFonts w:ascii="Cambria Math" w:hAnsi="Cambria Math"/>
                        <w:i/>
                      </w:rPr>
                    </m:ctrlPr>
                  </m:e>
                  <m:sub>
                    <m:r>
                      <m:rPr/>
                      <w:rPr>
                        <w:rFonts w:ascii="Cambria Math" w:hAnsi="Cambria Math"/>
                      </w:rPr>
                      <m:t>0</m:t>
                    </m:r>
                    <m:ctrlPr>
                      <w:rPr>
                        <w:rFonts w:ascii="Cambria Math" w:hAnsi="Cambria Math"/>
                        <w:i/>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sSub>
                      <m:sSubPr>
                        <m:ctrlPr>
                          <w:rPr>
                            <w:rFonts w:ascii="Cambria Math" w:hAnsi="Cambria Math"/>
                            <w:i/>
                          </w:rPr>
                        </m:ctrlPr>
                      </m:sSubPr>
                      <m:e>
                        <m:r>
                          <m:rPr/>
                          <w:rPr>
                            <w:rFonts w:hint="eastAsia" w:ascii="Cambria Math" w:hAnsi="Cambria Math"/>
                          </w:rPr>
                          <m:t>m</m:t>
                        </m:r>
                        <m:ctrlPr>
                          <w:rPr>
                            <w:rFonts w:ascii="Cambria Math" w:hAnsi="Cambria Math"/>
                            <w:i/>
                          </w:rPr>
                        </m:ctrlPr>
                      </m:e>
                      <m:sub>
                        <m:r>
                          <m:rPr/>
                          <w:rPr>
                            <w:rFonts w:ascii="Cambria Math" w:hAnsi="Cambria Math"/>
                          </w:rPr>
                          <m:t>p</m:t>
                        </m:r>
                        <m:ctrlPr>
                          <w:rPr>
                            <w:rFonts w:ascii="Cambria Math" w:hAnsi="Cambria Math"/>
                            <w:i/>
                          </w:rPr>
                        </m:ctrlPr>
                      </m:sub>
                    </m:sSub>
                    <m:r>
                      <m:rPr/>
                      <w:rPr>
                        <w:rFonts w:ascii="Cambria Math" w:hAnsi="Cambria Math"/>
                      </w:rPr>
                      <m:t>+</m:t>
                    </m:r>
                    <m:sSub>
                      <m:sSubPr>
                        <m:ctrlPr>
                          <w:rPr>
                            <w:rFonts w:ascii="Cambria Math" w:hAnsi="Cambria Math"/>
                            <w:i/>
                            <w:kern w:val="2"/>
                            <w:szCs w:val="21"/>
                          </w:rPr>
                        </m:ctrlPr>
                      </m:sSubPr>
                      <m:e>
                        <m:r>
                          <m:rPr/>
                          <w:rPr>
                            <w:rFonts w:ascii="Cambria Math" w:hAnsi="Cambria Math"/>
                          </w:rPr>
                          <m:t>ℎ</m:t>
                        </m:r>
                        <m:ctrlPr>
                          <w:rPr>
                            <w:rFonts w:ascii="Cambria Math" w:hAnsi="Cambria Math"/>
                            <w:i/>
                            <w:kern w:val="2"/>
                            <w:szCs w:val="21"/>
                          </w:rPr>
                        </m:ctrlPr>
                      </m:e>
                      <m:sub>
                        <m:r>
                          <m:rPr/>
                          <w:rPr>
                            <w:rFonts w:ascii="Cambria Math" w:hAnsi="Cambria Math"/>
                          </w:rPr>
                          <m:t>wall</m:t>
                        </m:r>
                        <m:ctrlPr>
                          <w:rPr>
                            <w:rFonts w:ascii="Cambria Math" w:hAnsi="Cambria Math"/>
                            <w:i/>
                            <w:kern w:val="2"/>
                            <w:szCs w:val="21"/>
                          </w:rPr>
                        </m:ctrlPr>
                      </m:sub>
                    </m:sSub>
                    <m:sSub>
                      <m:sSubPr>
                        <m:ctrlPr>
                          <w:rPr>
                            <w:rFonts w:ascii="Cambria Math" w:hAnsi="Cambria Math"/>
                            <w:i/>
                            <w:kern w:val="2"/>
                            <w:szCs w:val="21"/>
                          </w:rPr>
                        </m:ctrlPr>
                      </m:sSubPr>
                      <m:e>
                        <m:r>
                          <m:rPr/>
                          <w:rPr>
                            <w:rFonts w:ascii="Cambria Math" w:hAnsi="Cambria Math"/>
                          </w:rPr>
                          <m:t>A</m:t>
                        </m:r>
                        <m:ctrlPr>
                          <w:rPr>
                            <w:rFonts w:ascii="Cambria Math" w:hAnsi="Cambria Math"/>
                            <w:i/>
                            <w:kern w:val="2"/>
                            <w:szCs w:val="21"/>
                          </w:rPr>
                        </m:ctrlPr>
                      </m:e>
                      <m:sub>
                        <m:r>
                          <m:rPr/>
                          <w:rPr>
                            <w:rFonts w:ascii="Cambria Math" w:hAnsi="Cambria Math"/>
                          </w:rPr>
                          <m:t>wall</m:t>
                        </m:r>
                        <m:ctrlPr>
                          <w:rPr>
                            <w:rFonts w:ascii="Cambria Math" w:hAnsi="Cambria Math"/>
                            <w:i/>
                            <w:kern w:val="2"/>
                            <w:szCs w:val="21"/>
                          </w:rPr>
                        </m:ctrlPr>
                      </m:sub>
                    </m:sSub>
                    <m:ctrlPr>
                      <w:rPr>
                        <w:rFonts w:ascii="Cambria Math" w:hAnsi="Cambria Math"/>
                        <w:i/>
                      </w:rPr>
                    </m:ctrlPr>
                  </m:num>
                  <m:den>
                    <m:r>
                      <m:rPr/>
                      <w:rPr>
                        <w:rFonts w:ascii="Cambria Math" w:hAnsi="Cambria Math"/>
                      </w:rPr>
                      <m:t>α</m:t>
                    </m:r>
                    <m:ctrlPr>
                      <w:rPr>
                        <w:rFonts w:ascii="Cambria Math" w:hAnsi="Cambria Math"/>
                        <w:i/>
                      </w:rPr>
                    </m:ctrlPr>
                  </m:den>
                </m:f>
                <m:ctrlPr>
                  <w:rPr>
                    <w:rFonts w:ascii="Cambria Math" w:hAnsi="Cambria Math"/>
                    <w:i/>
                  </w:rPr>
                </m:ctrlPr>
              </m:e>
            </m:d>
            <m:ctrlPr>
              <w:rPr>
                <w:rFonts w:ascii="Cambria Math" w:hAnsi="Cambria Math"/>
                <w:i/>
              </w:rPr>
            </m:ctrlPr>
          </m:e>
          <m:sup>
            <m:r>
              <m:rPr/>
              <w:rPr>
                <w:rFonts w:ascii="Cambria Math" w:hAnsi="Cambria Math"/>
              </w:rPr>
              <m:t>1/(n)</m:t>
            </m:r>
            <m:ctrlPr>
              <w:rPr>
                <w:rFonts w:ascii="Cambria Math" w:hAnsi="Cambria Math"/>
                <w:i/>
              </w:rPr>
            </m:ctrlPr>
          </m:sup>
        </m:sSup>
      </m:oMath>
      <w:r>
        <w:t>…………………………（5.3.13-2）</w:t>
      </w:r>
    </w:p>
    <w:p>
      <w:pPr>
        <w:pStyle w:val="192"/>
        <w:numPr>
          <w:ilvl w:val="0"/>
          <w:numId w:val="0"/>
        </w:numPr>
        <w:ind w:firstLine="480" w:firstLineChars="200"/>
      </w:pPr>
      <w:r>
        <w:t>式中：T</w:t>
      </w:r>
      <w:r>
        <w:rPr>
          <w:vertAlign w:val="subscript"/>
        </w:rPr>
        <w:t>s</w:t>
      </w:r>
      <w:r>
        <w:t>——烟气层温度</w:t>
      </w:r>
      <w:r>
        <w:rPr>
          <w:rFonts w:hint="eastAsia"/>
        </w:rPr>
        <w:t>危险值</w:t>
      </w:r>
      <w:r>
        <w:t>，K</w:t>
      </w:r>
      <w:r>
        <w:rPr>
          <w:rFonts w:hint="eastAsia"/>
        </w:rPr>
        <w:t>，</w:t>
      </w:r>
      <w:r>
        <w:t>最小清晰高度处温度危险值</w:t>
      </w:r>
      <w:r>
        <w:rPr>
          <w:rFonts w:hint="eastAsia"/>
        </w:rPr>
        <w:t>333K</w:t>
      </w:r>
      <w:r>
        <w:t>；</w:t>
      </w:r>
    </w:p>
    <w:p>
      <w:pPr>
        <w:pStyle w:val="192"/>
        <w:numPr>
          <w:ilvl w:val="0"/>
          <w:numId w:val="0"/>
        </w:numPr>
        <w:ind w:firstLine="1200" w:firstLineChars="500"/>
      </w:pPr>
      <w:r>
        <w:t>λ——房间表面的导热系数，一般取值0W/m•K；</w:t>
      </w:r>
    </w:p>
    <w:p>
      <w:pPr>
        <w:pStyle w:val="192"/>
        <w:numPr>
          <w:ilvl w:val="0"/>
          <w:numId w:val="0"/>
        </w:numPr>
        <w:ind w:firstLine="1200" w:firstLineChars="500"/>
      </w:pPr>
      <w:r>
        <w:t>c</w:t>
      </w:r>
      <w:r>
        <w:rPr>
          <w:vertAlign w:val="subscript"/>
        </w:rPr>
        <w:t>p</w:t>
      </w:r>
      <w:r>
        <w:t>——</w:t>
      </w:r>
      <w:r>
        <w:rPr>
          <w:rFonts w:hint="eastAsia"/>
        </w:rPr>
        <w:t>常压下空气的定压热容，</w:t>
      </w:r>
      <w:r>
        <w:t>kJ/kgK</w:t>
      </w:r>
      <w:r>
        <w:rPr>
          <w:rFonts w:hint="eastAsia"/>
        </w:rPr>
        <w:t>，一般取</w:t>
      </w:r>
      <w:r>
        <w:t>1.0；</w:t>
      </w:r>
    </w:p>
    <w:p>
      <w:pPr>
        <w:pStyle w:val="192"/>
        <w:numPr>
          <w:ilvl w:val="0"/>
          <w:numId w:val="0"/>
        </w:numPr>
        <w:ind w:firstLine="1200" w:firstLineChars="500"/>
      </w:pPr>
      <w:r>
        <w:t>T</w:t>
      </w:r>
      <w:r>
        <w:rPr>
          <w:vertAlign w:val="subscript"/>
        </w:rPr>
        <w:t>0</w:t>
      </w:r>
      <w:r>
        <w:t>——未起火时</w:t>
      </w:r>
      <w:r>
        <w:rPr>
          <w:rFonts w:hint="eastAsia"/>
        </w:rPr>
        <w:t>环境</w:t>
      </w:r>
      <w:r>
        <w:t>温度，K。</w:t>
      </w:r>
    </w:p>
    <w:p>
      <w:pPr>
        <w:pStyle w:val="195"/>
      </w:pPr>
      <w:r>
        <w:t>最小清晰高度处的</w:t>
      </w:r>
      <w:r>
        <w:rPr>
          <w:rFonts w:hint="eastAsia"/>
        </w:rPr>
        <w:t>烟气中危险气体浓度</w:t>
      </w:r>
      <w:r>
        <w:t>Ys达到危险值的时间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B</m:t>
            </m:r>
            <m:ctrlPr>
              <w:rPr>
                <w:rFonts w:ascii="Cambria Math" w:hAnsi="Cambria Math"/>
              </w:rPr>
            </m:ctrlPr>
          </m:sub>
        </m:sSub>
      </m:oMath>
      <w:r>
        <w:t>应按照公式（5.3.14-1）</w:t>
      </w:r>
      <w:r>
        <w:rPr>
          <w:rFonts w:hint="eastAsia"/>
        </w:rPr>
        <w:t>~</w:t>
      </w:r>
      <w:r>
        <w:t>(5.3.14-2)计算：</w:t>
      </w:r>
    </w:p>
    <w:p>
      <w:pPr>
        <w:pStyle w:val="192"/>
        <w:numPr>
          <w:ilvl w:val="0"/>
          <w:numId w:val="0"/>
        </w:numPr>
        <w:ind w:firstLine="480" w:firstLineChars="200"/>
        <w:jc w:val="left"/>
      </w:pPr>
      <w:r>
        <w:rPr>
          <w:rFonts w:hint="eastAsia"/>
        </w:rPr>
        <w:t>1</w:t>
      </w:r>
      <w:r>
        <w:t xml:space="preserve">  无</w:t>
      </w:r>
      <w:r>
        <w:rPr>
          <w:rFonts w:hint="eastAsia"/>
        </w:rPr>
        <w:t>机械</w:t>
      </w:r>
      <w:r>
        <w:t>排烟</w:t>
      </w:r>
      <w:r>
        <w:rPr>
          <w:rFonts w:hint="eastAsia"/>
        </w:rPr>
        <w:t>或</w:t>
      </w:r>
      <w:r>
        <w:t>机械排烟失效时，最小清晰高度处的</w:t>
      </w:r>
      <w:r>
        <w:rPr>
          <w:rFonts w:hint="eastAsia"/>
        </w:rPr>
        <w:t>烟气中危险气体浓度</w:t>
      </w:r>
      <w:r>
        <w:t>Ys达到危险值的时间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B</m:t>
            </m:r>
            <m:ctrlPr>
              <w:rPr>
                <w:rFonts w:ascii="Cambria Math" w:hAnsi="Cambria Math"/>
              </w:rPr>
            </m:ctrlPr>
          </m:sub>
        </m:sSub>
      </m:oMath>
      <w:r>
        <w:rPr>
          <w:rFonts w:hint="eastAsia"/>
        </w:rPr>
        <w:t>应按下式计算：</w:t>
      </w:r>
    </w:p>
    <w:p>
      <w:pPr>
        <w:pStyle w:val="192"/>
        <w:numPr>
          <w:ilvl w:val="0"/>
          <w:numId w:val="0"/>
        </w:numPr>
        <w:ind w:firstLine="480" w:firstLineChars="200"/>
        <w:jc w:val="right"/>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B</m:t>
            </m:r>
            <m:ctrlPr>
              <w:rPr>
                <w:rFonts w:ascii="Cambria Math" w:hAnsi="Cambria Math"/>
              </w:rPr>
            </m:ctrlPr>
          </m:sub>
        </m:sSub>
        <m:r>
          <m:rPr/>
          <w:rPr>
            <w:rFonts w:hint="eastAsia" w:ascii="Cambria Math" w:hAnsi="Cambria Math"/>
          </w:rPr>
          <m:t>=</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m:rPr/>
                      <w:rPr>
                        <w:rFonts w:ascii="Cambria Math" w:hAnsi="Cambria Math"/>
                      </w:rPr>
                      <m:t>(Y</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Y</m:t>
                    </m:r>
                    <m:ctrlPr>
                      <w:rPr>
                        <w:rFonts w:ascii="Cambria Math" w:hAnsi="Cambria Math"/>
                        <w:i/>
                      </w:rPr>
                    </m:ctrlPr>
                  </m:e>
                  <m:sub>
                    <m:r>
                      <m:rPr/>
                      <w:rPr>
                        <w:rFonts w:ascii="Cambria Math" w:hAnsi="Cambria Math"/>
                      </w:rPr>
                      <m:t>0</m:t>
                    </m:r>
                    <m:ctrlPr>
                      <w:rPr>
                        <w:rFonts w:ascii="Cambria Math" w:hAnsi="Cambria Math"/>
                        <w:i/>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r</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r</m:t>
                        </m:r>
                        <m:ctrlPr>
                          <w:rPr>
                            <w:rFonts w:ascii="Cambria Math" w:hAnsi="Cambria Math"/>
                            <w:i/>
                          </w:rPr>
                        </m:ctrlPr>
                      </m:sub>
                    </m:sSub>
                    <m:r>
                      <m:rPr/>
                      <w:rPr>
                        <w:rFonts w:ascii="Cambria Math" w:hAnsi="Cambria Math"/>
                      </w:rPr>
                      <m:t>−Z)(n+1)</m:t>
                    </m:r>
                    <m:ctrlPr>
                      <w:rPr>
                        <w:rFonts w:ascii="Cambria Math" w:hAnsi="Cambria Math"/>
                        <w:i/>
                      </w:rPr>
                    </m:ctrlPr>
                  </m:num>
                  <m:den>
                    <m:r>
                      <m:rPr/>
                      <w:rPr>
                        <w:rFonts w:ascii="Cambria Math" w:hAnsi="Cambria Math"/>
                      </w:rPr>
                      <m:t>ηα</m:t>
                    </m:r>
                    <m:ctrlPr>
                      <w:rPr>
                        <w:rFonts w:ascii="Cambria Math" w:hAnsi="Cambria Math"/>
                        <w:i/>
                      </w:rPr>
                    </m:ctrlPr>
                  </m:den>
                </m:f>
                <m:ctrlPr>
                  <w:rPr>
                    <w:rFonts w:ascii="Cambria Math" w:hAnsi="Cambria Math"/>
                    <w:i/>
                  </w:rPr>
                </m:ctrlPr>
              </m:e>
            </m:d>
            <m:ctrlPr>
              <w:rPr>
                <w:rFonts w:ascii="Cambria Math" w:hAnsi="Cambria Math"/>
                <w:i/>
              </w:rPr>
            </m:ctrlPr>
          </m:e>
          <m:sup>
            <m:r>
              <m:rPr/>
              <w:rPr>
                <w:rFonts w:ascii="Cambria Math" w:hAnsi="Cambria Math"/>
              </w:rPr>
              <m:t>1/(n+1)</m:t>
            </m:r>
            <m:ctrlPr>
              <w:rPr>
                <w:rFonts w:ascii="Cambria Math" w:hAnsi="Cambria Math"/>
                <w:i/>
              </w:rPr>
            </m:ctrlPr>
          </m:sup>
        </m:sSup>
      </m:oMath>
      <w:r>
        <w:t>…………………………（5.3.14-1）</w:t>
      </w:r>
    </w:p>
    <w:p>
      <w:pPr>
        <w:pStyle w:val="192"/>
        <w:numPr>
          <w:ilvl w:val="0"/>
          <w:numId w:val="0"/>
        </w:numPr>
        <w:ind w:firstLine="480" w:firstLineChars="200"/>
        <w:jc w:val="left"/>
      </w:pPr>
      <w:r>
        <w:t xml:space="preserve">2  </w:t>
      </w:r>
      <w:r>
        <w:rPr>
          <w:rFonts w:hint="eastAsia"/>
        </w:rPr>
        <w:t>机械</w:t>
      </w:r>
      <w:r>
        <w:t>排烟</w:t>
      </w:r>
      <w:r>
        <w:rPr>
          <w:rFonts w:hint="eastAsia"/>
        </w:rPr>
        <w:t>有</w:t>
      </w:r>
      <w:r>
        <w:t>效时，最小清晰高度处的</w:t>
      </w:r>
      <w:r>
        <w:rPr>
          <w:rFonts w:hint="eastAsia"/>
        </w:rPr>
        <w:t>烟气中危险气体浓度</w:t>
      </w:r>
      <w:r>
        <w:t>Ys达到危险值的时间</w:t>
      </w: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B</m:t>
            </m:r>
            <m:ctrlPr>
              <w:rPr>
                <w:rFonts w:ascii="Cambria Math" w:hAnsi="Cambria Math"/>
              </w:rPr>
            </m:ctrlPr>
          </m:sub>
        </m:sSub>
      </m:oMath>
      <w:r>
        <w:rPr>
          <w:rFonts w:hint="eastAsia"/>
        </w:rPr>
        <w:t>应按下式计算：</w:t>
      </w:r>
    </w:p>
    <w:p>
      <w:pPr>
        <w:pStyle w:val="192"/>
        <w:numPr>
          <w:ilvl w:val="0"/>
          <w:numId w:val="0"/>
        </w:numPr>
        <w:ind w:firstLine="480" w:firstLineChars="200"/>
        <w:jc w:val="right"/>
      </w:pPr>
      <m:oMath>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B</m:t>
            </m:r>
            <m:ctrlPr>
              <w:rPr>
                <w:rFonts w:ascii="Cambria Math" w:hAnsi="Cambria Math"/>
              </w:rPr>
            </m:ctrlPr>
          </m:sub>
        </m:sSub>
        <m:r>
          <m:rPr/>
          <w:rPr>
            <w:rFonts w:hint="eastAsia" w:ascii="Cambria Math" w:hAnsi="Cambria Math"/>
          </w:rPr>
          <m:t>=</m:t>
        </m:r>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m:rPr/>
                      <w:rPr>
                        <w:rFonts w:ascii="Cambria Math" w:hAnsi="Cambria Math"/>
                      </w:rPr>
                      <m:t>(Y</m:t>
                    </m:r>
                    <m:ctrlPr>
                      <w:rPr>
                        <w:rFonts w:ascii="Cambria Math" w:hAnsi="Cambria Math"/>
                        <w:i/>
                      </w:rPr>
                    </m:ctrlPr>
                  </m:e>
                  <m:sub>
                    <m:r>
                      <m:rPr/>
                      <w:rPr>
                        <w:rFonts w:ascii="Cambria Math" w:hAnsi="Cambria Math"/>
                      </w:rPr>
                      <m:t>s</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Y</m:t>
                    </m:r>
                    <m:ctrlPr>
                      <w:rPr>
                        <w:rFonts w:ascii="Cambria Math" w:hAnsi="Cambria Math"/>
                        <w:i/>
                      </w:rPr>
                    </m:ctrlPr>
                  </m:e>
                  <m:sub>
                    <m:r>
                      <m:rPr/>
                      <w:rPr>
                        <w:rFonts w:ascii="Cambria Math" w:hAnsi="Cambria Math"/>
                      </w:rPr>
                      <m:t>0</m:t>
                    </m:r>
                    <m:ctrlPr>
                      <w:rPr>
                        <w:rFonts w:ascii="Cambria Math" w:hAnsi="Cambria Math"/>
                        <w:i/>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ρ</m:t>
                        </m:r>
                        <m:ctrlPr>
                          <w:rPr>
                            <w:rFonts w:ascii="Cambria Math" w:hAnsi="Cambria Math"/>
                            <w:i/>
                          </w:rPr>
                        </m:ctrlPr>
                      </m:e>
                      <m:sub>
                        <m:r>
                          <m:rPr/>
                          <w:rPr>
                            <w:rFonts w:ascii="Cambria Math" w:hAnsi="Cambria Math"/>
                          </w:rPr>
                          <m:t>s</m:t>
                        </m:r>
                        <m:ctrlPr>
                          <w:rPr>
                            <w:rFonts w:ascii="Cambria Math" w:hAnsi="Cambria Math"/>
                            <w:i/>
                          </w:rPr>
                        </m:ctrlPr>
                      </m:sub>
                    </m:sSub>
                    <m:sSub>
                      <m:sSubPr>
                        <m:ctrlPr>
                          <w:rPr>
                            <w:rFonts w:ascii="Cambria Math" w:hAnsi="Cambria Math"/>
                            <w:i/>
                          </w:rPr>
                        </m:ctrlPr>
                      </m:sSubPr>
                      <m:e>
                        <m:r>
                          <m:rPr/>
                          <w:rPr>
                            <w:rFonts w:ascii="Cambria Math" w:hAnsi="Cambria Math"/>
                          </w:rPr>
                          <m:t>V</m:t>
                        </m:r>
                        <m:ctrlPr>
                          <w:rPr>
                            <w:rFonts w:ascii="Cambria Math" w:hAnsi="Cambria Math"/>
                            <w:i/>
                          </w:rPr>
                        </m:ctrlPr>
                      </m:e>
                      <m:sub>
                        <m:r>
                          <m:rPr/>
                          <w:rPr>
                            <w:rFonts w:hint="eastAsia" w:ascii="Cambria Math" w:hAnsi="Cambria Math"/>
                          </w:rPr>
                          <m:t>e</m:t>
                        </m:r>
                        <m:ctrlPr>
                          <w:rPr>
                            <w:rFonts w:ascii="Cambria Math" w:hAnsi="Cambria Math"/>
                            <w:i/>
                          </w:rPr>
                        </m:ctrlPr>
                      </m:sub>
                    </m:sSub>
                    <m:ctrlPr>
                      <w:rPr>
                        <w:rFonts w:ascii="Cambria Math" w:hAnsi="Cambria Math"/>
                        <w:i/>
                      </w:rPr>
                    </m:ctrlPr>
                  </m:num>
                  <m:den>
                    <m:r>
                      <m:rPr/>
                      <w:rPr>
                        <w:rFonts w:ascii="Cambria Math" w:hAnsi="Cambria Math"/>
                      </w:rPr>
                      <m:t>ηα</m:t>
                    </m:r>
                    <m:ctrlPr>
                      <w:rPr>
                        <w:rFonts w:ascii="Cambria Math" w:hAnsi="Cambria Math"/>
                        <w:i/>
                      </w:rPr>
                    </m:ctrlPr>
                  </m:den>
                </m:f>
                <m:ctrlPr>
                  <w:rPr>
                    <w:rFonts w:ascii="Cambria Math" w:hAnsi="Cambria Math"/>
                    <w:i/>
                  </w:rPr>
                </m:ctrlPr>
              </m:e>
            </m:d>
            <m:ctrlPr>
              <w:rPr>
                <w:rFonts w:ascii="Cambria Math" w:hAnsi="Cambria Math"/>
                <w:i/>
              </w:rPr>
            </m:ctrlPr>
          </m:e>
          <m:sup>
            <m:r>
              <m:rPr/>
              <w:rPr>
                <w:rFonts w:ascii="Cambria Math" w:hAnsi="Cambria Math"/>
              </w:rPr>
              <m:t>1/(n)</m:t>
            </m:r>
            <m:ctrlPr>
              <w:rPr>
                <w:rFonts w:ascii="Cambria Math" w:hAnsi="Cambria Math"/>
                <w:i/>
              </w:rPr>
            </m:ctrlPr>
          </m:sup>
        </m:sSup>
      </m:oMath>
      <w:r>
        <w:t>…………………………（5.3.14-2）</w:t>
      </w:r>
    </w:p>
    <w:p>
      <w:pPr>
        <w:pStyle w:val="192"/>
        <w:numPr>
          <w:ilvl w:val="0"/>
          <w:numId w:val="0"/>
        </w:numPr>
        <w:ind w:firstLine="480" w:firstLineChars="200"/>
      </w:pPr>
      <w:r>
        <w:rPr>
          <w:rFonts w:hint="eastAsia"/>
        </w:rPr>
        <w:t>式中：</w:t>
      </w:r>
      <w:r>
        <w:t>Y</w:t>
      </w:r>
      <w:r>
        <w:rPr>
          <w:vertAlign w:val="subscript"/>
        </w:rPr>
        <w:t>s</w:t>
      </w:r>
      <w:r>
        <w:t>——</w:t>
      </w:r>
      <w:r>
        <w:rPr>
          <w:rFonts w:hint="eastAsia"/>
        </w:rPr>
        <w:t>烟气中气体浓度危险临界值</w:t>
      </w:r>
      <w:r>
        <w:t>，</w:t>
      </w:r>
      <w:r>
        <w:rPr>
          <w:rFonts w:hint="eastAsia"/>
        </w:rPr>
        <w:t>k</w:t>
      </w:r>
      <w:r>
        <w:t>g/kg</w:t>
      </w:r>
      <w:r>
        <w:rPr>
          <w:rFonts w:hint="eastAsia"/>
        </w:rPr>
        <w:t>，C</w:t>
      </w:r>
      <w:r>
        <w:t>O</w:t>
      </w:r>
      <w:r>
        <w:rPr>
          <w:vertAlign w:val="subscript"/>
        </w:rPr>
        <w:t>2</w:t>
      </w:r>
      <w:r>
        <w:rPr>
          <w:rFonts w:hint="eastAsia"/>
        </w:rPr>
        <w:t>气体浓度危险临界值为</w:t>
      </w:r>
      <w:r>
        <w:t>2.4</w:t>
      </w:r>
      <w:r>
        <w:rPr>
          <w:rFonts w:hint="eastAsia"/>
        </w:rPr>
        <w:t>×</w:t>
      </w:r>
      <w:r>
        <w:t>10</w:t>
      </w:r>
      <w:r>
        <w:rPr>
          <w:vertAlign w:val="superscript"/>
        </w:rPr>
        <w:t>-4</w:t>
      </w:r>
      <w:r>
        <w:rPr>
          <w:rFonts w:hint="eastAsia"/>
        </w:rPr>
        <w:t>kg/kg ，C</w:t>
      </w:r>
      <w:r>
        <w:t>O</w:t>
      </w:r>
      <w:r>
        <w:rPr>
          <w:rFonts w:hint="eastAsia"/>
        </w:rPr>
        <w:t>气体浓度危险临界值为</w:t>
      </w:r>
      <w:r>
        <w:t>2.4</w:t>
      </w:r>
      <w:r>
        <w:rPr>
          <w:rFonts w:hint="eastAsia"/>
        </w:rPr>
        <w:t>×</w:t>
      </w:r>
      <w:r>
        <w:t>10</w:t>
      </w:r>
      <w:r>
        <w:rPr>
          <w:vertAlign w:val="superscript"/>
        </w:rPr>
        <w:t>-5</w:t>
      </w:r>
      <w:r>
        <w:rPr>
          <w:rFonts w:hint="eastAsia"/>
        </w:rPr>
        <w:t>kg/kg</w:t>
      </w:r>
      <w:r>
        <w:t>；</w:t>
      </w:r>
    </w:p>
    <w:p>
      <w:pPr>
        <w:pStyle w:val="192"/>
        <w:numPr>
          <w:ilvl w:val="0"/>
          <w:numId w:val="0"/>
        </w:numPr>
        <w:ind w:firstLine="1200" w:firstLineChars="500"/>
      </w:pPr>
      <m:oMath>
        <m:sSub>
          <m:sSubPr>
            <m:ctrlPr>
              <w:rPr>
                <w:rFonts w:ascii="Cambria Math" w:hAnsi="Cambria Math"/>
                <w:i/>
              </w:rPr>
            </m:ctrlPr>
          </m:sSubPr>
          <m:e>
            <m:r>
              <m:rPr/>
              <w:rPr>
                <w:rFonts w:ascii="Cambria Math" w:hAnsi="Cambria Math"/>
              </w:rPr>
              <m:t>Y</m:t>
            </m:r>
            <m:ctrlPr>
              <w:rPr>
                <w:rFonts w:ascii="Cambria Math" w:hAnsi="Cambria Math"/>
                <w:i/>
              </w:rPr>
            </m:ctrlPr>
          </m:e>
          <m:sub>
            <m:r>
              <m:rPr/>
              <w:rPr>
                <w:rFonts w:ascii="Cambria Math" w:hAnsi="Cambria Math"/>
              </w:rPr>
              <m:t>0</m:t>
            </m:r>
            <m:ctrlPr>
              <w:rPr>
                <w:rFonts w:ascii="Cambria Math" w:hAnsi="Cambria Math"/>
                <w:i/>
              </w:rPr>
            </m:ctrlPr>
          </m:sub>
        </m:sSub>
      </m:oMath>
      <w:r>
        <w:t>——</w:t>
      </w:r>
      <w:r>
        <w:rPr>
          <w:rFonts w:hint="eastAsia"/>
        </w:rPr>
        <w:t>空气中气体浓度</w:t>
      </w:r>
      <w:r>
        <w:t>，kg/kg</w:t>
      </w:r>
      <w:r>
        <w:rPr>
          <w:rFonts w:hint="eastAsia"/>
        </w:rPr>
        <w:t>，通常C</w:t>
      </w:r>
      <w:r>
        <w:t>O</w:t>
      </w:r>
      <w:r>
        <w:rPr>
          <w:vertAlign w:val="subscript"/>
        </w:rPr>
        <w:t>2</w:t>
      </w:r>
      <w:r>
        <w:rPr>
          <w:rFonts w:hint="eastAsia"/>
        </w:rPr>
        <w:t>气体浓度取值，CO气体浓度取值0</w:t>
      </w:r>
      <w:r>
        <w:t>；</w:t>
      </w:r>
    </w:p>
    <w:p>
      <w:pPr>
        <w:pStyle w:val="192"/>
        <w:numPr>
          <w:ilvl w:val="0"/>
          <w:numId w:val="0"/>
        </w:numPr>
        <w:ind w:firstLine="1200" w:firstLineChars="500"/>
      </w:pPr>
      <m:oMath>
        <m:r>
          <m:rPr/>
          <w:rPr>
            <w:rFonts w:ascii="Cambria Math" w:hAnsi="Cambria Math"/>
          </w:rPr>
          <m:t>η</m:t>
        </m:r>
      </m:oMath>
      <w:r>
        <w:t>——</w:t>
      </w:r>
      <w:r>
        <w:rPr>
          <w:rFonts w:hint="eastAsia"/>
        </w:rPr>
        <w:t>气体产生速率，kg/k</w:t>
      </w:r>
      <w:r>
        <w:t>J</w:t>
      </w:r>
      <w:r>
        <w:rPr>
          <w:rFonts w:hint="eastAsia"/>
        </w:rPr>
        <w:t>，C</w:t>
      </w:r>
      <w:r>
        <w:t>O</w:t>
      </w:r>
      <w:r>
        <w:rPr>
          <w:vertAlign w:val="subscript"/>
        </w:rPr>
        <w:t>2</w:t>
      </w:r>
      <w:r>
        <w:rPr>
          <w:rFonts w:hint="eastAsia"/>
        </w:rPr>
        <w:t>气体产生率</w:t>
      </w:r>
      <w:r>
        <w:rPr>
          <w:color w:val="000000"/>
          <w:szCs w:val="24"/>
          <w:shd w:val="clear" w:color="auto" w:fill="FFFFFF"/>
        </w:rPr>
        <w:t>7.61×10</w:t>
      </w:r>
      <w:r>
        <w:rPr>
          <w:color w:val="000000"/>
          <w:szCs w:val="24"/>
          <w:shd w:val="clear" w:color="auto" w:fill="FFFFFF"/>
          <w:vertAlign w:val="superscript"/>
        </w:rPr>
        <w:t>-5</w:t>
      </w:r>
      <w:r>
        <w:rPr>
          <w:color w:val="000000"/>
          <w:szCs w:val="24"/>
          <w:shd w:val="clear" w:color="auto" w:fill="FFFFFF"/>
        </w:rPr>
        <w:t>kg/kJ</w:t>
      </w:r>
      <w:r>
        <w:rPr>
          <w:rFonts w:hint="eastAsia"/>
        </w:rPr>
        <w:t>；</w:t>
      </w:r>
    </w:p>
    <w:p>
      <w:pPr>
        <w:pStyle w:val="192"/>
        <w:numPr>
          <w:ilvl w:val="0"/>
          <w:numId w:val="0"/>
        </w:numPr>
        <w:ind w:firstLine="1200" w:firstLineChars="500"/>
      </w:pPr>
      <m:oMath>
        <m:sSub>
          <m:sSubPr>
            <m:ctrlPr>
              <w:rPr>
                <w:rFonts w:ascii="Cambria Math" w:hAnsi="Cambria Math"/>
                <w:i/>
              </w:rPr>
            </m:ctrlPr>
          </m:sSubPr>
          <m:e>
            <m:r>
              <m:rPr/>
              <w:rPr>
                <w:rFonts w:ascii="Cambria Math" w:hAnsi="Cambria Math"/>
              </w:rPr>
              <m:t>V</m:t>
            </m:r>
            <m:ctrlPr>
              <w:rPr>
                <w:rFonts w:ascii="Cambria Math" w:hAnsi="Cambria Math"/>
                <w:i/>
              </w:rPr>
            </m:ctrlPr>
          </m:e>
          <m:sub>
            <m:r>
              <m:rPr/>
              <w:rPr>
                <w:rFonts w:hint="eastAsia" w:ascii="Cambria Math" w:hAnsi="Cambria Math"/>
              </w:rPr>
              <m:t>e</m:t>
            </m:r>
            <m:ctrlPr>
              <w:rPr>
                <w:rFonts w:ascii="Cambria Math" w:hAnsi="Cambria Math"/>
                <w:i/>
              </w:rPr>
            </m:ctrlPr>
          </m:sub>
        </m:sSub>
      </m:oMath>
      <w:r>
        <w:rPr>
          <w:rFonts w:hint="eastAsia"/>
        </w:rPr>
        <w:t>——</w:t>
      </w:r>
      <w:r>
        <w:t>机械排烟系统的体积流速，m</w:t>
      </w:r>
      <w:r>
        <w:rPr>
          <w:vertAlign w:val="superscript"/>
        </w:rPr>
        <w:t>3</w:t>
      </w:r>
      <w:r>
        <w:t>/s</w:t>
      </w:r>
      <w:r>
        <w:rPr>
          <w:rFonts w:hint="eastAsia"/>
        </w:rPr>
        <w:t>，</w:t>
      </w:r>
      <w:r>
        <w:t>根据机械排烟风机</w:t>
      </w:r>
      <w:r>
        <w:rPr>
          <w:rFonts w:hint="eastAsia"/>
        </w:rPr>
        <w:t>选型</w:t>
      </w:r>
      <w:r>
        <w:t>确定。</w:t>
      </w:r>
    </w:p>
    <w:p>
      <w:pPr>
        <w:pStyle w:val="195"/>
      </w:pPr>
      <w:r>
        <w:t>考虑最不利情况，假定可用安全疏散时间内未疏散到安全区域的人员已经伤亡，火场伤亡人数</w:t>
      </w:r>
      <m:oMath>
        <m:sSub>
          <m:sSubPr>
            <m:ctrlPr>
              <w:rPr>
                <w:rFonts w:ascii="Cambria Math" w:hAnsi="Cambria Math"/>
              </w:rPr>
            </m:ctrlPr>
          </m:sSubPr>
          <m:e>
            <m:r>
              <m:rPr/>
              <w:rPr>
                <w:rFonts w:ascii="Cambria Math" w:hAnsi="Cambria Math"/>
              </w:rPr>
              <m:t>S</m:t>
            </m:r>
            <m:ctrlPr>
              <w:rPr>
                <w:rFonts w:ascii="Cambria Math" w:hAnsi="Cambria Math"/>
              </w:rPr>
            </m:ctrlPr>
          </m:e>
          <m:sub>
            <m:r>
              <m:rPr/>
              <w:rPr>
                <w:rFonts w:hint="eastAsia" w:ascii="Cambria Math" w:hAnsi="Cambria Math"/>
              </w:rPr>
              <m:t>die</m:t>
            </m:r>
            <m:ctrlPr>
              <w:rPr>
                <w:rFonts w:ascii="Cambria Math" w:hAnsi="Cambria Math"/>
              </w:rPr>
            </m:ctrlPr>
          </m:sub>
        </m:sSub>
      </m:oMath>
      <w:r>
        <w:t>应</w:t>
      </w:r>
      <w:r>
        <w:rPr>
          <w:rFonts w:hint="eastAsia"/>
        </w:rPr>
        <w:t>根据下列规定</w:t>
      </w:r>
      <w:r>
        <w:t>推断：</w:t>
      </w:r>
    </w:p>
    <w:p>
      <w:pPr>
        <w:pStyle w:val="192"/>
        <w:numPr>
          <w:ilvl w:val="0"/>
          <w:numId w:val="0"/>
        </w:numPr>
        <w:ind w:firstLine="480" w:firstLineChars="200"/>
      </w:pPr>
      <w:r>
        <w:t>1）</w:t>
      </w:r>
      <w:r>
        <w:rPr>
          <w:rFonts w:hint="eastAsia"/>
        </w:rPr>
        <w:t>当</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oMath>
      <w:r>
        <w:t>≤</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t>时，建筑内人员均可疏散至安全区域，无人员伤亡；</w:t>
      </w:r>
    </w:p>
    <w:p>
      <w:pPr>
        <w:pStyle w:val="192"/>
        <w:numPr>
          <w:ilvl w:val="0"/>
          <w:numId w:val="0"/>
        </w:numPr>
        <w:ind w:firstLine="480" w:firstLineChars="200"/>
      </w:pPr>
      <w:r>
        <w:t>2）当</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RSET</m:t>
            </m:r>
            <m:ctrlPr>
              <w:rPr>
                <w:rFonts w:ascii="Cambria Math" w:hAnsi="Cambria Math"/>
              </w:rPr>
            </m:ctrlPr>
          </m:sub>
        </m:sSub>
      </m:oMath>
      <w:r>
        <w:t>&gt;</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t>，且</w:t>
      </w:r>
      <m:oMath>
        <m:sSub>
          <m:sSubPr>
            <m:ctrlPr>
              <w:rPr>
                <w:rFonts w:ascii="Cambria Math" w:hAnsi="Cambria Math"/>
              </w:rPr>
            </m:ctrlPr>
          </m:sSubPr>
          <m:e>
            <m:r>
              <m:rPr/>
              <w:rPr>
                <w:rFonts w:ascii="Cambria Math" w:hAnsi="Cambria Math"/>
              </w:rPr>
              <m:t>S</m:t>
            </m:r>
            <m:ctrlPr>
              <w:rPr>
                <w:rFonts w:ascii="Cambria Math" w:hAnsi="Cambria Math"/>
              </w:rPr>
            </m:ctrlPr>
          </m:e>
          <m:sub>
            <m:r>
              <m:rPr/>
              <w:rPr>
                <w:rFonts w:hint="eastAsia" w:ascii="Cambria Math" w:hAnsi="Cambria Math"/>
              </w:rPr>
              <m:t>die</m:t>
            </m:r>
            <m:ctrlPr>
              <w:rPr>
                <w:rFonts w:ascii="Cambria Math" w:hAnsi="Cambria Math"/>
              </w:rPr>
            </m:ctrlPr>
          </m:sub>
        </m:sSub>
      </m:oMath>
      <w:r>
        <w:rPr>
          <w:rFonts w:hint="eastAsia"/>
        </w:rPr>
        <w:t>为</w:t>
      </w:r>
      <w:r>
        <w:t>建筑内人员总数</w:t>
      </w:r>
      <w:r>
        <w:rPr>
          <w:rFonts w:hint="eastAsia"/>
        </w:rPr>
        <w:t>减去</w:t>
      </w:r>
      <m:oMath>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oMath>
      <w:r>
        <w:rPr>
          <w:rFonts w:hint="eastAsia"/>
        </w:rPr>
        <w:t>时间内疏散的人数</w:t>
      </w:r>
      <w:r>
        <w:t>。</w:t>
      </w:r>
    </w:p>
    <w:p>
      <w:pPr>
        <w:pStyle w:val="192"/>
        <w:numPr>
          <w:ilvl w:val="0"/>
          <w:numId w:val="0"/>
        </w:numPr>
      </w:pPr>
    </w:p>
    <w:p>
      <w:pPr>
        <w:pStyle w:val="135"/>
        <w:spacing w:before="120" w:after="120"/>
        <w:ind w:left="0"/>
        <w:jc w:val="center"/>
        <w:rPr>
          <w:rFonts w:ascii="Times New Roman"/>
          <w:sz w:val="28"/>
        </w:rPr>
      </w:pPr>
      <w:bookmarkStart w:id="163" w:name="_Toc191997182"/>
      <w:bookmarkStart w:id="164" w:name="_Toc191997468"/>
      <w:bookmarkStart w:id="165" w:name="_Toc214005515"/>
      <w:bookmarkStart w:id="166" w:name="_Toc214005684"/>
      <w:bookmarkStart w:id="167" w:name="_Toc214008847"/>
      <w:bookmarkStart w:id="168" w:name="_Toc191997248"/>
      <w:bookmarkStart w:id="169" w:name="_Toc191997427"/>
      <w:bookmarkStart w:id="170" w:name="_Toc27225"/>
      <w:r>
        <w:rPr>
          <w:rFonts w:hint="eastAsia" w:ascii="Times New Roman"/>
          <w:sz w:val="28"/>
        </w:rPr>
        <w:t>直接</w:t>
      </w:r>
      <w:r>
        <w:rPr>
          <w:rFonts w:ascii="Times New Roman"/>
          <w:sz w:val="28"/>
        </w:rPr>
        <w:t>财产损失</w:t>
      </w:r>
      <w:r>
        <w:rPr>
          <w:rFonts w:hint="eastAsia" w:ascii="Times New Roman"/>
          <w:sz w:val="28"/>
        </w:rPr>
        <w:t>分析</w:t>
      </w:r>
      <w:r>
        <w:rPr>
          <w:rFonts w:ascii="Times New Roman"/>
          <w:sz w:val="28"/>
        </w:rPr>
        <w:t>方法</w:t>
      </w:r>
      <w:bookmarkEnd w:id="163"/>
      <w:bookmarkEnd w:id="164"/>
      <w:bookmarkEnd w:id="165"/>
      <w:bookmarkEnd w:id="166"/>
      <w:bookmarkEnd w:id="167"/>
      <w:bookmarkEnd w:id="168"/>
      <w:bookmarkEnd w:id="169"/>
      <w:bookmarkEnd w:id="170"/>
    </w:p>
    <w:p>
      <w:pPr>
        <w:pStyle w:val="195"/>
      </w:pPr>
      <w:r>
        <w:t>火灾</w:t>
      </w:r>
      <w:r>
        <w:rPr>
          <w:rFonts w:hint="eastAsia"/>
        </w:rPr>
        <w:t>直接</w:t>
      </w:r>
      <w:r>
        <w:t>财产损失估计应在充分了解和掌握火灾孕育、发生和发展的动力演化机理基础上，建立综合考虑火灾统计结果、建筑物的结构特性、所采取的防火灭火措施的科学的估计方法。</w:t>
      </w:r>
    </w:p>
    <w:p>
      <w:pPr>
        <w:pStyle w:val="195"/>
      </w:pPr>
      <w:r>
        <w:rPr>
          <w:rFonts w:hint="eastAsia"/>
        </w:rPr>
        <w:t>火灾直接财产损失应包括建筑物本身的损失和建筑物内物品、设备等的损失，应按公式（</w:t>
      </w:r>
      <w:r>
        <w:t>5.4.2</w:t>
      </w:r>
      <w:r>
        <w:rPr>
          <w:rFonts w:hint="eastAsia"/>
        </w:rPr>
        <w:t>）计算：</w:t>
      </w:r>
    </w:p>
    <w:p>
      <w:pPr>
        <w:pStyle w:val="255"/>
        <w:jc w:val="right"/>
      </w:pPr>
      <w:r>
        <w:rPr>
          <w:rFonts w:hint="eastAsia"/>
        </w:rPr>
        <w:t>E</w:t>
      </w:r>
      <w:r>
        <w:t>=E</w:t>
      </w:r>
      <w:r>
        <w:rPr>
          <w:vertAlign w:val="subscript"/>
        </w:rPr>
        <w:t>h</w:t>
      </w:r>
      <w:r>
        <w:t>+E</w:t>
      </w:r>
      <w:r>
        <w:rPr>
          <w:vertAlign w:val="subscript"/>
        </w:rPr>
        <w:t>e</w:t>
      </w:r>
      <w:r>
        <w:t>…………………………………………（5.4.2）</w:t>
      </w:r>
    </w:p>
    <w:p>
      <w:pPr>
        <w:pStyle w:val="255"/>
        <w:ind w:firstLine="480" w:firstLineChars="200"/>
        <w:jc w:val="left"/>
      </w:pPr>
      <w:r>
        <w:rPr>
          <w:rFonts w:hint="eastAsia"/>
        </w:rPr>
        <w:t>式中：E——建筑火灾直接财产损失，元；</w:t>
      </w:r>
    </w:p>
    <w:p>
      <w:pPr>
        <w:pStyle w:val="255"/>
        <w:ind w:firstLine="1200" w:firstLineChars="500"/>
        <w:jc w:val="left"/>
      </w:pPr>
      <w:r>
        <w:t>E</w:t>
      </w:r>
      <w:r>
        <w:rPr>
          <w:rFonts w:hint="eastAsia"/>
          <w:vertAlign w:val="subscript"/>
        </w:rPr>
        <w:t>h</w:t>
      </w:r>
      <w:r>
        <w:rPr>
          <w:rFonts w:hint="eastAsia"/>
        </w:rPr>
        <w:t>——建筑物本身的损失，即固定资产损失，元；</w:t>
      </w:r>
    </w:p>
    <w:p>
      <w:pPr>
        <w:pStyle w:val="255"/>
        <w:ind w:firstLine="1200" w:firstLineChars="500"/>
        <w:jc w:val="left"/>
      </w:pPr>
      <w:r>
        <w:t>E</w:t>
      </w:r>
      <w:r>
        <w:rPr>
          <w:rFonts w:hint="eastAsia"/>
          <w:vertAlign w:val="subscript"/>
        </w:rPr>
        <w:t>e</w:t>
      </w:r>
      <w:r>
        <w:rPr>
          <w:rFonts w:hint="eastAsia"/>
        </w:rPr>
        <w:t>——建筑物内物品、设备等的损失，即移动资产损失，元。</w:t>
      </w:r>
    </w:p>
    <w:p>
      <w:pPr>
        <w:pStyle w:val="195"/>
      </w:pPr>
      <w:r>
        <w:t>火灾</w:t>
      </w:r>
      <w:r>
        <w:rPr>
          <w:rFonts w:hint="eastAsia"/>
        </w:rPr>
        <w:t>固定</w:t>
      </w:r>
      <w:r>
        <w:t>财产</w:t>
      </w:r>
      <w:r>
        <w:rPr>
          <w:rFonts w:hint="eastAsia"/>
        </w:rPr>
        <w:t>损失宜根据公式（</w:t>
      </w:r>
      <w:r>
        <w:t>5.4.3</w:t>
      </w:r>
      <w:r>
        <w:rPr>
          <w:rFonts w:hint="eastAsia"/>
        </w:rPr>
        <w:t>）计算：</w:t>
      </w:r>
    </w:p>
    <w:p>
      <w:pPr>
        <w:pStyle w:val="192"/>
        <w:numPr>
          <w:ilvl w:val="0"/>
          <w:numId w:val="0"/>
        </w:numPr>
        <w:jc w:val="right"/>
      </w:pPr>
      <w:r>
        <w:t>E</w:t>
      </w:r>
      <w:r>
        <w:rPr>
          <w:rFonts w:hint="eastAsia"/>
          <w:vertAlign w:val="subscript"/>
        </w:rPr>
        <w:t>h</w:t>
      </w:r>
      <w:r>
        <w:t>=f</w:t>
      </w:r>
      <w:r>
        <w:rPr>
          <w:rFonts w:hint="eastAsia"/>
        </w:rPr>
        <w:t>×</w:t>
      </w:r>
      <m:oMath>
        <m:sSub>
          <m:sSubPr>
            <m:ctrlPr>
              <w:rPr>
                <w:rFonts w:ascii="Cambria Math" w:hAnsi="Cambria Math"/>
              </w:rPr>
            </m:ctrlPr>
          </m:sSubPr>
          <m:e>
            <m:r>
              <m:rPr/>
              <w:rPr>
                <w:rFonts w:ascii="Cambria Math" w:hAnsi="Cambria Math"/>
              </w:rPr>
              <m:t>A</m:t>
            </m:r>
            <m:ctrlPr>
              <w:rPr>
                <w:rFonts w:ascii="Cambria Math" w:hAnsi="Cambria Math"/>
              </w:rPr>
            </m:ctrlPr>
          </m:e>
          <m:sub>
            <m:r>
              <m:rPr/>
              <w:rPr>
                <w:rFonts w:ascii="Cambria Math" w:hAnsi="Cambria Math"/>
              </w:rPr>
              <m:t>FZ</m:t>
            </m:r>
            <m:ctrlPr>
              <w:rPr>
                <w:rFonts w:ascii="Cambria Math" w:hAnsi="Cambria Math"/>
              </w:rPr>
            </m:ctrlPr>
          </m:sub>
        </m:sSub>
      </m:oMath>
      <w:r>
        <w:t>………………………………………（5.4.3）</w:t>
      </w:r>
    </w:p>
    <w:p>
      <w:pPr>
        <w:pStyle w:val="192"/>
        <w:numPr>
          <w:ilvl w:val="0"/>
          <w:numId w:val="0"/>
        </w:numPr>
        <w:ind w:left="420"/>
      </w:pPr>
      <w:r>
        <w:t>式中：</w:t>
      </w:r>
      <w:r>
        <w:rPr>
          <w:rFonts w:hint="eastAsia"/>
        </w:rPr>
        <w:t>f</w:t>
      </w:r>
      <w:r>
        <w:t>——建筑物单价，元</w:t>
      </w:r>
      <w:r>
        <w:rPr>
          <w:rFonts w:hint="eastAsia"/>
        </w:rPr>
        <w:t>/㎡，单价</w:t>
      </w:r>
      <w:r>
        <w:t>=</w:t>
      </w:r>
      <w:r>
        <w:rPr>
          <w:rFonts w:hint="eastAsia"/>
        </w:rPr>
        <w:t>总造价/总建筑面积</w:t>
      </w:r>
      <w:r>
        <w:t>；</w:t>
      </w:r>
    </w:p>
    <w:p>
      <w:pPr>
        <w:pStyle w:val="192"/>
        <w:numPr>
          <w:ilvl w:val="0"/>
          <w:numId w:val="0"/>
        </w:numPr>
        <w:ind w:left="420" w:firstLine="720" w:firstLineChars="300"/>
      </w:pPr>
      <m:oMath>
        <m:sSub>
          <m:sSubPr>
            <m:ctrlPr>
              <w:rPr>
                <w:rFonts w:ascii="Cambria Math" w:hAnsi="Cambria Math"/>
              </w:rPr>
            </m:ctrlPr>
          </m:sSubPr>
          <m:e>
            <m:r>
              <m:rPr/>
              <w:rPr>
                <w:rFonts w:ascii="Cambria Math" w:hAnsi="Cambria Math"/>
              </w:rPr>
              <m:t>A</m:t>
            </m:r>
            <m:ctrlPr>
              <w:rPr>
                <w:rFonts w:ascii="Cambria Math" w:hAnsi="Cambria Math"/>
              </w:rPr>
            </m:ctrlPr>
          </m:e>
          <m:sub>
            <m:r>
              <m:rPr/>
              <w:rPr>
                <w:rFonts w:ascii="Cambria Math" w:hAnsi="Cambria Math"/>
              </w:rPr>
              <m:t>FZ</m:t>
            </m:r>
            <m:ctrlPr>
              <w:rPr>
                <w:rFonts w:ascii="Cambria Math" w:hAnsi="Cambria Math"/>
              </w:rPr>
            </m:ctrlPr>
          </m:sub>
        </m:sSub>
      </m:oMath>
      <w:r>
        <w:t>——火灾后</w:t>
      </w:r>
      <w:r>
        <w:rPr>
          <w:rFonts w:hint="eastAsia"/>
        </w:rPr>
        <w:t>的过火面积</w:t>
      </w:r>
      <w:r>
        <w:t>，m</w:t>
      </w:r>
      <w:r>
        <w:rPr>
          <w:vertAlign w:val="superscript"/>
        </w:rPr>
        <w:t>2</w:t>
      </w:r>
      <w:r>
        <w:t>，根据《建筑火灾过火面积评估标准》计算得到。</w:t>
      </w:r>
    </w:p>
    <w:p>
      <w:pPr>
        <w:pStyle w:val="195"/>
      </w:pPr>
      <w:r>
        <w:rPr>
          <w:rFonts w:hint="eastAsia"/>
        </w:rPr>
        <w:t>火灾移动财产</w:t>
      </w:r>
      <w:r>
        <w:t>损失宜根据公式（5.4.4）计算：</w:t>
      </w:r>
    </w:p>
    <w:p>
      <w:pPr>
        <w:pStyle w:val="192"/>
        <w:numPr>
          <w:ilvl w:val="0"/>
          <w:numId w:val="0"/>
        </w:numPr>
        <w:jc w:val="right"/>
      </w:pPr>
      <w:r>
        <w:t>E</w:t>
      </w:r>
      <w:r>
        <w:rPr>
          <w:rFonts w:hint="eastAsia"/>
          <w:vertAlign w:val="subscript"/>
        </w:rPr>
        <w:t>e</w:t>
      </w:r>
      <w:r>
        <w:t>=φ</w:t>
      </w:r>
      <w:r>
        <w:rPr>
          <w:rFonts w:hint="eastAsia"/>
        </w:rPr>
        <w:t>×</w:t>
      </w:r>
      <w:r>
        <w:t>E</w:t>
      </w:r>
      <w:r>
        <w:rPr>
          <w:rFonts w:hint="eastAsia"/>
          <w:vertAlign w:val="subscript"/>
        </w:rPr>
        <w:t>h</w:t>
      </w:r>
      <w:r>
        <w:t>………………………………………（5.4.4）</w:t>
      </w:r>
    </w:p>
    <w:p>
      <w:pPr>
        <w:pStyle w:val="192"/>
        <w:numPr>
          <w:ilvl w:val="0"/>
          <w:numId w:val="0"/>
        </w:numPr>
        <w:ind w:left="420"/>
      </w:pPr>
      <w:r>
        <w:t>式中</w:t>
      </w:r>
      <w:r>
        <w:rPr>
          <w:rFonts w:hint="eastAsia"/>
        </w:rPr>
        <w:t>：</w:t>
      </w:r>
      <w:r>
        <w:rPr>
          <w:rFonts w:ascii="Cambria Math" w:hAnsi="Cambria Math" w:cs="Cambria Math"/>
        </w:rPr>
        <w:t>𝜑</w:t>
      </w:r>
      <w:r>
        <w:t>——比例系数，建筑物移动资产与固定资产的比，住宅0.5、商业1.0、医疗1.5、政府机构1.0、学校1.5。</w:t>
      </w:r>
    </w:p>
    <w:p>
      <w:pPr>
        <w:pStyle w:val="135"/>
        <w:spacing w:before="120" w:after="120"/>
        <w:ind w:left="0"/>
        <w:jc w:val="center"/>
        <w:rPr>
          <w:rFonts w:ascii="Times New Roman"/>
          <w:sz w:val="28"/>
          <w:szCs w:val="28"/>
        </w:rPr>
      </w:pPr>
      <w:bookmarkStart w:id="171" w:name="_Toc214005516"/>
      <w:bookmarkStart w:id="172" w:name="_Toc214005685"/>
      <w:bookmarkStart w:id="173" w:name="_Toc214008848"/>
      <w:bookmarkStart w:id="174" w:name="_Toc19836"/>
      <w:r>
        <w:rPr>
          <w:rFonts w:hint="eastAsia" w:ascii="Times New Roman"/>
          <w:sz w:val="28"/>
          <w:szCs w:val="28"/>
        </w:rPr>
        <w:t>商业连续性中断分析方法</w:t>
      </w:r>
      <w:bookmarkEnd w:id="171"/>
      <w:bookmarkEnd w:id="172"/>
      <w:bookmarkEnd w:id="173"/>
      <w:bookmarkEnd w:id="174"/>
    </w:p>
    <w:p>
      <w:pPr>
        <w:pStyle w:val="195"/>
      </w:pPr>
      <w:r>
        <w:rPr>
          <w:rFonts w:hint="eastAsia"/>
        </w:rPr>
        <w:t>商业连续性中断影响分析方法宜采用案例类比法，应根据与目标建筑相同或相似类型的</w:t>
      </w:r>
      <w:r>
        <w:t>火灾</w:t>
      </w:r>
      <w:r>
        <w:rPr>
          <w:rFonts w:hint="eastAsia"/>
        </w:rPr>
        <w:t>案例，分析推导出下列内容：</w:t>
      </w:r>
    </w:p>
    <w:p>
      <w:pPr>
        <w:pStyle w:val="255"/>
        <w:ind w:firstLine="482" w:firstLineChars="200"/>
      </w:pPr>
      <w:r>
        <w:rPr>
          <w:b/>
        </w:rPr>
        <w:t>1</w:t>
      </w:r>
      <w:r>
        <w:t xml:space="preserve">  </w:t>
      </w:r>
      <w:r>
        <w:rPr>
          <w:rFonts w:hint="eastAsia"/>
        </w:rPr>
        <w:t>影响商业连续性中断的因素、类型。</w:t>
      </w:r>
    </w:p>
    <w:p>
      <w:pPr>
        <w:pStyle w:val="255"/>
        <w:ind w:firstLine="482" w:firstLineChars="200"/>
      </w:pPr>
      <w:r>
        <w:rPr>
          <w:b/>
        </w:rPr>
        <w:t>2</w:t>
      </w:r>
      <w:r>
        <w:t xml:space="preserve">  </w:t>
      </w:r>
      <w:r>
        <w:rPr>
          <w:rFonts w:hint="eastAsia"/>
        </w:rPr>
        <w:t>最长可容忍中断时间，即目标建筑及其经营者或使用者对商业活动不恢复而无法接受的最长时间。</w:t>
      </w:r>
    </w:p>
    <w:p>
      <w:pPr>
        <w:pStyle w:val="255"/>
        <w:ind w:firstLine="482" w:firstLineChars="200"/>
      </w:pPr>
      <w:r>
        <w:rPr>
          <w:b/>
        </w:rPr>
        <w:t xml:space="preserve">3  </w:t>
      </w:r>
      <w:r>
        <w:rPr>
          <w:rFonts w:hint="eastAsia"/>
        </w:rPr>
        <w:t>为恢复商业活动而需最先恢复的业务或服务。</w:t>
      </w:r>
    </w:p>
    <w:p>
      <w:pPr>
        <w:pStyle w:val="255"/>
        <w:ind w:firstLine="482" w:firstLineChars="200"/>
      </w:pPr>
      <w:r>
        <w:rPr>
          <w:b/>
        </w:rPr>
        <w:t>4</w:t>
      </w:r>
      <w:r>
        <w:t xml:space="preserve">  </w:t>
      </w:r>
      <w:r>
        <w:rPr>
          <w:rFonts w:hint="eastAsia"/>
        </w:rPr>
        <w:t>恢复业务或服务所需的资源措施、成本。</w:t>
      </w:r>
    </w:p>
    <w:p>
      <w:pPr>
        <w:pStyle w:val="195"/>
      </w:pPr>
      <w:r>
        <w:rPr>
          <w:rFonts w:hint="eastAsia"/>
        </w:rPr>
        <w:t>应基于从火灾案例中推导出的内容，分析目标建筑发生火灾后可能导致的商业连续性中断的时间、或保证连续所需的措施和成本、或恢复优先业务或服务所需的措施和成本等。</w:t>
      </w:r>
    </w:p>
    <w:p>
      <w:pPr>
        <w:pStyle w:val="135"/>
        <w:spacing w:before="120" w:after="120"/>
        <w:ind w:left="0"/>
        <w:jc w:val="center"/>
        <w:rPr>
          <w:rFonts w:ascii="Times New Roman"/>
          <w:sz w:val="28"/>
          <w:szCs w:val="28"/>
        </w:rPr>
      </w:pPr>
      <w:bookmarkStart w:id="175" w:name="_Toc214005517"/>
      <w:bookmarkStart w:id="176" w:name="_Toc214005686"/>
      <w:bookmarkStart w:id="177" w:name="_Toc214008849"/>
      <w:bookmarkStart w:id="178" w:name="_Toc15759"/>
      <w:r>
        <w:rPr>
          <w:rFonts w:hint="eastAsia" w:ascii="Times New Roman"/>
          <w:sz w:val="28"/>
          <w:szCs w:val="28"/>
        </w:rPr>
        <w:t>环境破坏分析方法</w:t>
      </w:r>
      <w:bookmarkEnd w:id="175"/>
      <w:bookmarkEnd w:id="176"/>
      <w:bookmarkEnd w:id="177"/>
      <w:bookmarkEnd w:id="178"/>
    </w:p>
    <w:p>
      <w:pPr>
        <w:pStyle w:val="195"/>
      </w:pPr>
      <w:r>
        <w:rPr>
          <w:rFonts w:hint="eastAsia"/>
        </w:rPr>
        <w:t>分析环境破坏应对火灾事故引起的次生、衍生环境破坏进行分析评价。</w:t>
      </w:r>
    </w:p>
    <w:p>
      <w:pPr>
        <w:pStyle w:val="195"/>
      </w:pPr>
      <w:r>
        <w:rPr>
          <w:rFonts w:hint="eastAsia"/>
        </w:rPr>
        <w:t>评估火灾造成的环境破坏需要考虑多个因素，包括火灾的规模、火源的种类、燃烧物质的种类、火灾发生的地点、气象条件等。</w:t>
      </w:r>
    </w:p>
    <w:p>
      <w:pPr>
        <w:pStyle w:val="195"/>
      </w:pPr>
      <w:r>
        <w:rPr>
          <w:rFonts w:hint="eastAsia"/>
        </w:rPr>
        <w:t>环境破坏分析方法宜采用案例类比法，应根据与目标建筑相同或相似类型的</w:t>
      </w:r>
      <w:r>
        <w:t>火灾</w:t>
      </w:r>
      <w:r>
        <w:rPr>
          <w:rFonts w:hint="eastAsia"/>
        </w:rPr>
        <w:t>案例，分析推导出下列内容：</w:t>
      </w:r>
      <w:r>
        <w:t xml:space="preserve"> </w:t>
      </w:r>
    </w:p>
    <w:p>
      <w:pPr>
        <w:pStyle w:val="255"/>
        <w:ind w:firstLine="482" w:firstLineChars="200"/>
      </w:pPr>
      <w:r>
        <w:rPr>
          <w:b/>
        </w:rPr>
        <w:t>1</w:t>
      </w:r>
      <w:r>
        <w:rPr>
          <w:rFonts w:hint="eastAsia"/>
        </w:rPr>
        <w:t xml:space="preserve">  影响生态的因素、类型。</w:t>
      </w:r>
    </w:p>
    <w:p>
      <w:pPr>
        <w:pStyle w:val="255"/>
        <w:ind w:firstLine="482" w:firstLineChars="200"/>
      </w:pPr>
      <w:r>
        <w:rPr>
          <w:b/>
        </w:rPr>
        <w:t>2</w:t>
      </w:r>
      <w:r>
        <w:rPr>
          <w:rFonts w:hint="eastAsia"/>
        </w:rPr>
        <w:t xml:space="preserve">  最严重可容忍环境破坏程度，即目标建筑及其经营者或使用者对环境破坏不恢复而无法接受的程度。</w:t>
      </w:r>
    </w:p>
    <w:p>
      <w:pPr>
        <w:pStyle w:val="255"/>
        <w:ind w:firstLine="482" w:firstLineChars="200"/>
      </w:pPr>
      <w:r>
        <w:rPr>
          <w:rFonts w:hint="eastAsia"/>
          <w:b/>
        </w:rPr>
        <w:t>3</w:t>
      </w:r>
      <w:r>
        <w:rPr>
          <w:b/>
        </w:rPr>
        <w:t xml:space="preserve">  </w:t>
      </w:r>
      <w:r>
        <w:rPr>
          <w:rFonts w:hint="eastAsia"/>
        </w:rPr>
        <w:t>为恢复生态环境需最先恢复的生态组分。</w:t>
      </w:r>
    </w:p>
    <w:p>
      <w:pPr>
        <w:pStyle w:val="255"/>
        <w:ind w:firstLine="482" w:firstLineChars="200"/>
      </w:pPr>
      <w:r>
        <w:rPr>
          <w:b/>
        </w:rPr>
        <w:t>4</w:t>
      </w:r>
      <w:r>
        <w:rPr>
          <w:rFonts w:hint="eastAsia"/>
        </w:rPr>
        <w:t xml:space="preserve">  恢复生态所需的资源措施、成本。</w:t>
      </w:r>
    </w:p>
    <w:p>
      <w:pPr>
        <w:pStyle w:val="195"/>
      </w:pPr>
      <w:r>
        <w:rPr>
          <w:rFonts w:hint="eastAsia"/>
        </w:rPr>
        <w:t>应基于从火灾案例中推导出的内容，分析目标建筑发生火灾后可能导致的环境破坏类型和严重程、或恢复优先生态组分所需的措施和成本度、或恢复环境所需的措施和成本等。</w:t>
      </w:r>
    </w:p>
    <w:p>
      <w:pPr>
        <w:pStyle w:val="54"/>
        <w:ind w:firstLine="480"/>
        <w:rPr>
          <w:rFonts w:ascii="Times New Roman"/>
        </w:rPr>
      </w:pPr>
    </w:p>
    <w:p>
      <w:pPr>
        <w:pStyle w:val="135"/>
        <w:spacing w:before="120" w:after="120"/>
        <w:ind w:left="0"/>
        <w:jc w:val="center"/>
        <w:rPr>
          <w:rFonts w:ascii="Times New Roman" w:eastAsia="楷体"/>
          <w:sz w:val="28"/>
        </w:rPr>
      </w:pPr>
      <w:bookmarkStart w:id="179" w:name="_Toc214005518"/>
      <w:bookmarkStart w:id="180" w:name="_Toc214008850"/>
      <w:bookmarkStart w:id="181" w:name="_Toc214005687"/>
      <w:bookmarkStart w:id="182" w:name="_Toc6350"/>
      <w:r>
        <w:rPr>
          <w:rFonts w:hint="eastAsia" w:ascii="Times New Roman"/>
          <w:sz w:val="28"/>
        </w:rPr>
        <w:t>火灾损失评估结果判定</w:t>
      </w:r>
      <w:bookmarkEnd w:id="179"/>
      <w:bookmarkEnd w:id="180"/>
      <w:bookmarkEnd w:id="181"/>
      <w:bookmarkEnd w:id="182"/>
    </w:p>
    <w:p>
      <w:pPr>
        <w:pStyle w:val="195"/>
        <w:spacing w:before="240"/>
        <w:jc w:val="left"/>
      </w:pPr>
      <w:r>
        <w:t>人员</w:t>
      </w:r>
      <w:r>
        <w:rPr>
          <w:rFonts w:hint="eastAsia"/>
        </w:rPr>
        <w:t>损失严重程度</w:t>
      </w:r>
      <w:r>
        <w:t>可根据</w:t>
      </w:r>
      <w:r>
        <w:rPr>
          <w:rFonts w:hint="eastAsia"/>
        </w:rPr>
        <w:t>人员损失系数</w:t>
      </w: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oMath>
      <w:r>
        <w:rPr>
          <w:rFonts w:hint="eastAsia"/>
        </w:rPr>
        <w:t>确定，</w:t>
      </w:r>
      <w:r>
        <w:t>应根据公式（5.7.1）计算，并应根据表5.7.1确定人员</w:t>
      </w:r>
      <w:r>
        <w:rPr>
          <w:rFonts w:hint="eastAsia"/>
        </w:rPr>
        <w:t>伤亡情况</w:t>
      </w:r>
      <w:r>
        <w:t>：</w:t>
      </w:r>
    </w:p>
    <w:p>
      <w:pPr>
        <w:pStyle w:val="195"/>
        <w:numPr>
          <w:ilvl w:val="0"/>
          <w:numId w:val="0"/>
        </w:numPr>
        <w:spacing w:before="240"/>
        <w:jc w:val="right"/>
        <w:rPr>
          <w:iCs/>
        </w:rPr>
      </w:pP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sz w:val="18"/>
            <w:szCs w:val="18"/>
          </w:rPr>
          <m:t>=1−</m:t>
        </m:r>
        <m:f>
          <m:fPr>
            <m:ctrlPr>
              <w:rPr>
                <w:rFonts w:ascii="Cambria Math" w:hAnsi="Cambria Math"/>
                <w:bCs/>
                <w:sz w:val="18"/>
                <w:szCs w:val="18"/>
              </w:rPr>
            </m:ctrlPr>
          </m:fPr>
          <m:num>
            <m:sSub>
              <m:sSubPr>
                <m:ctrlPr>
                  <w:rPr>
                    <w:rFonts w:ascii="Cambria Math" w:hAnsi="Cambria Math"/>
                  </w:rPr>
                </m:ctrlPr>
              </m:sSubPr>
              <m:e>
                <m:r>
                  <m:rPr/>
                  <w:rPr>
                    <w:rFonts w:hint="eastAsia" w:ascii="Cambria Math" w:hAnsi="Cambria Math"/>
                  </w:rPr>
                  <m:t>t</m:t>
                </m:r>
                <m:ctrlPr>
                  <w:rPr>
                    <w:rFonts w:ascii="Cambria Math" w:hAnsi="Cambria Math"/>
                  </w:rPr>
                </m:ctrlPr>
              </m:e>
              <m:sub>
                <m:r>
                  <m:rPr>
                    <m:sty m:val="p"/>
                  </m:rPr>
                  <w:rPr>
                    <w:rFonts w:ascii="Cambria Math" w:hAnsi="Cambria Math"/>
                  </w:rPr>
                  <m:t>ASET</m:t>
                </m:r>
                <m:ctrlPr>
                  <w:rPr>
                    <w:rFonts w:ascii="Cambria Math" w:hAnsi="Cambria Math"/>
                  </w:rPr>
                </m:ctrlPr>
              </m:sub>
            </m:sSub>
            <m:r>
              <m:rPr/>
              <w:rPr>
                <w:rFonts w:ascii="Cambria Math" w:hAnsi="Cambria Math"/>
                <w:sz w:val="18"/>
                <w:szCs w:val="18"/>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res</m:t>
                </m:r>
                <m:ctrlPr>
                  <w:rPr>
                    <w:rFonts w:ascii="Cambria Math" w:hAnsi="Cambria Math"/>
                  </w:rPr>
                </m:ctrlPr>
              </m:sub>
            </m:sSub>
            <m:r>
              <m:rPr/>
              <w:rPr>
                <w:rFonts w:ascii="Cambria Math" w:hAnsi="Cambria Math"/>
                <w:sz w:val="18"/>
                <w:szCs w:val="18"/>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pre</m:t>
                </m:r>
                <m:ctrlPr>
                  <w:rPr>
                    <w:rFonts w:ascii="Cambria Math" w:hAnsi="Cambria Math"/>
                  </w:rPr>
                </m:ctrlPr>
              </m:sub>
            </m:sSub>
            <m:ctrlPr>
              <w:rPr>
                <w:rFonts w:ascii="Cambria Math" w:hAnsi="Cambria Math"/>
                <w:bCs/>
                <w:sz w:val="18"/>
                <w:szCs w:val="18"/>
              </w:rPr>
            </m:ctrlPr>
          </m:num>
          <m:den>
            <m:r>
              <m:rPr/>
              <w:rPr>
                <w:rFonts w:ascii="Cambria Math" w:hAnsi="Cambria Math"/>
              </w:rPr>
              <m:t>2.0</m:t>
            </m:r>
            <m:r>
              <m:rPr/>
              <w:rPr>
                <w:rFonts w:hint="eastAsia" w:ascii="Cambria Math" w:hAnsi="Cambria Math"/>
              </w:rPr>
              <m:t>×</m:t>
            </m:r>
            <m:r>
              <m:rPr/>
              <w:rPr>
                <w:rFonts w:ascii="Cambria Math" w:hAnsi="Cambria Math"/>
              </w:rPr>
              <m:t>β</m:t>
            </m:r>
            <m:r>
              <m:rPr/>
              <w:rPr>
                <w:rFonts w:hint="eastAsia" w:ascii="Cambria Math" w:hAnsi="Cambria Math"/>
              </w:rPr>
              <m:t>×</m:t>
            </m:r>
            <m:sSub>
              <m:sSubPr>
                <m:ctrlPr>
                  <w:rPr>
                    <w:rFonts w:ascii="Cambria Math" w:hAnsi="Cambria Math"/>
                  </w:rPr>
                </m:ctrlPr>
              </m:sSubPr>
              <m:e>
                <m:r>
                  <m:rPr/>
                  <w:rPr>
                    <w:rFonts w:ascii="Cambria Math" w:hAnsi="Cambria Math"/>
                  </w:rPr>
                  <m:t>t</m:t>
                </m:r>
                <m:ctrlPr>
                  <w:rPr>
                    <w:rFonts w:ascii="Cambria Math" w:hAnsi="Cambria Math"/>
                  </w:rPr>
                </m:ctrlPr>
              </m:e>
              <m:sub>
                <m:r>
                  <m:rPr/>
                  <w:rPr>
                    <w:rFonts w:ascii="Cambria Math" w:hAnsi="Cambria Math"/>
                  </w:rPr>
                  <m:t>trav</m:t>
                </m:r>
                <m:ctrlPr>
                  <w:rPr>
                    <w:rFonts w:ascii="Cambria Math" w:hAnsi="Cambria Math"/>
                  </w:rPr>
                </m:ctrlPr>
              </m:sub>
            </m:sSub>
            <m:ctrlPr>
              <w:rPr>
                <w:rFonts w:ascii="Cambria Math" w:hAnsi="Cambria Math"/>
                <w:bCs/>
                <w:sz w:val="18"/>
                <w:szCs w:val="18"/>
              </w:rPr>
            </m:ctrlPr>
          </m:den>
        </m:f>
      </m:oMath>
      <w:r>
        <w:rPr>
          <w:bCs/>
          <w:sz w:val="18"/>
          <w:szCs w:val="18"/>
        </w:rPr>
        <w:t xml:space="preserve">                         </w:t>
      </w:r>
      <w:r>
        <w:rPr>
          <w:szCs w:val="24"/>
        </w:rPr>
        <w:t xml:space="preserve">              </w:t>
      </w:r>
      <w:r>
        <w:rPr>
          <w:iCs/>
        </w:rPr>
        <w:t>（5.7.1）</w:t>
      </w:r>
    </w:p>
    <w:p>
      <w:pPr>
        <w:pStyle w:val="142"/>
        <w:spacing w:before="0" w:beforeLines="0" w:after="0" w:afterLines="0"/>
        <w:rPr>
          <w:szCs w:val="18"/>
        </w:rPr>
      </w:pPr>
      <w:bookmarkStart w:id="183" w:name="OLE_LINK18"/>
      <w:bookmarkStart w:id="184" w:name="OLE_LINK17"/>
    </w:p>
    <w:p>
      <w:pPr>
        <w:pStyle w:val="142"/>
        <w:spacing w:before="0" w:beforeLines="0" w:after="0" w:afterLines="0"/>
      </w:pPr>
      <w:r>
        <w:rPr>
          <w:szCs w:val="18"/>
        </w:rPr>
        <w:t>表5.7.1  人员</w:t>
      </w:r>
      <w:r>
        <w:rPr>
          <w:rFonts w:hint="eastAsia"/>
          <w:szCs w:val="18"/>
        </w:rPr>
        <w:t>伤亡严重程度</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7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m:oMathPara>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oMath>
            </m:oMathPara>
          </w:p>
        </w:tc>
        <w:tc>
          <w:tcPr>
            <w:tcW w:w="3940" w:type="pct"/>
            <w:shd w:val="clear" w:color="auto" w:fill="auto"/>
            <w:vAlign w:val="center"/>
          </w:tcPr>
          <w:p>
            <w:pPr>
              <w:pStyle w:val="207"/>
            </w:pPr>
            <w:r>
              <w:t>人员</w:t>
            </w:r>
            <w:r>
              <w:rPr>
                <w:rFonts w:hint="eastAsia"/>
              </w:rPr>
              <w:t>伤亡严重程度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m:oMathPara>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=0</m:t>
                </m:r>
              </m:oMath>
            </m:oMathPara>
          </w:p>
        </w:tc>
        <w:tc>
          <w:tcPr>
            <w:tcW w:w="3940" w:type="pct"/>
            <w:shd w:val="clear" w:color="auto" w:fill="auto"/>
            <w:vAlign w:val="center"/>
          </w:tcPr>
          <w:p>
            <w:pPr>
              <w:pStyle w:val="207"/>
              <w:jc w:val="left"/>
            </w:pPr>
            <w:r>
              <w:rPr>
                <w:rFonts w:hint="eastAsia"/>
              </w:rPr>
              <w:t>无人员伤亡，或轻微受伤，或轻微的健康影响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m:oMathPara>
              <m:oMath>
                <m:r>
                  <m:rPr>
                    <m:sty m:val="p"/>
                  </m:rPr>
                  <w:rPr>
                    <w:rFonts w:ascii="Cambria Math" w:hAnsi="Cambria Math"/>
                  </w:rPr>
                  <m:t>0</m:t>
                </m:r>
                <m:sSub>
                  <m:sSubPr>
                    <m:ctrlPr>
                      <w:rPr>
                        <w:rFonts w:ascii="Cambria Math" w:hAnsi="Cambria Math"/>
                        <w:sz w:val="18"/>
                        <w:szCs w:val="18"/>
                      </w:rPr>
                    </m:ctrlPr>
                  </m:sSubPr>
                  <m:e>
                    <m:r>
                      <m:rPr>
                        <m:sty m:val="p"/>
                      </m:rPr>
                      <w:rPr>
                        <w:rFonts w:ascii="Cambria Math" w:hAnsi="Cambria Math"/>
                      </w:rPr>
                      <m:t>≤</m:t>
                    </m:r>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&lt;0.25</m:t>
                </m:r>
              </m:oMath>
            </m:oMathPara>
          </w:p>
        </w:tc>
        <w:tc>
          <w:tcPr>
            <w:tcW w:w="3940" w:type="pct"/>
            <w:shd w:val="clear" w:color="auto" w:fill="auto"/>
            <w:vAlign w:val="center"/>
          </w:tcPr>
          <w:p>
            <w:pPr>
              <w:pStyle w:val="207"/>
              <w:jc w:val="both"/>
            </w:pPr>
            <w:r>
              <w:t>3</w:t>
            </w:r>
            <w:r>
              <w:rPr>
                <w:rFonts w:hint="eastAsia"/>
              </w:rPr>
              <w:t>人以下死亡，或1</w:t>
            </w:r>
            <w:r>
              <w:t>0</w:t>
            </w:r>
            <w:r>
              <w:rPr>
                <w:rFonts w:hint="eastAsia"/>
              </w:rPr>
              <w:t>人以下重伤和死亡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m:oMathPara>
              <m:oMath>
                <m:r>
                  <m:rPr>
                    <m:sty m:val="p"/>
                  </m:rPr>
                  <w:rPr>
                    <w:rFonts w:ascii="Cambria Math" w:hAnsi="Cambria Math"/>
                  </w:rPr>
                  <m:t>0.25≤</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&lt;0.5</m:t>
                </m:r>
              </m:oMath>
            </m:oMathPara>
          </w:p>
        </w:tc>
        <w:tc>
          <w:tcPr>
            <w:tcW w:w="3940" w:type="pct"/>
            <w:shd w:val="clear" w:color="auto" w:fill="auto"/>
            <w:vAlign w:val="center"/>
          </w:tcPr>
          <w:p>
            <w:pPr>
              <w:pStyle w:val="207"/>
              <w:jc w:val="both"/>
            </w:pPr>
            <w:r>
              <w:rPr>
                <w:rFonts w:hint="eastAsia"/>
              </w:rPr>
              <w:t>1</w:t>
            </w:r>
            <w:r>
              <w:t>0</w:t>
            </w:r>
            <w:r>
              <w:rPr>
                <w:rFonts w:hint="eastAsia"/>
              </w:rPr>
              <w:t>人以下死亡，或1</w:t>
            </w:r>
            <w:r>
              <w:t>0</w:t>
            </w:r>
            <w:r>
              <w:rPr>
                <w:rFonts w:hint="eastAsia"/>
              </w:rPr>
              <w:t>人以上5</w:t>
            </w:r>
            <w:r>
              <w:t>0</w:t>
            </w:r>
            <w:r>
              <w:rPr>
                <w:rFonts w:hint="eastAsia"/>
              </w:rPr>
              <w:t>人以下重伤和死亡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m:oMathPara>
              <m:oMath>
                <m:r>
                  <m:rPr>
                    <m:sty m:val="p"/>
                  </m:rPr>
                  <w:rPr>
                    <w:rFonts w:ascii="Cambria Math" w:hAnsi="Cambria Math"/>
                  </w:rPr>
                  <m:t>0.5≤</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&lt;0.75</m:t>
                </m:r>
              </m:oMath>
            </m:oMathPara>
          </w:p>
        </w:tc>
        <w:tc>
          <w:tcPr>
            <w:tcW w:w="3940" w:type="pct"/>
            <w:shd w:val="clear" w:color="auto" w:fill="auto"/>
            <w:vAlign w:val="center"/>
          </w:tcPr>
          <w:p>
            <w:pPr>
              <w:pStyle w:val="207"/>
              <w:jc w:val="both"/>
            </w:pPr>
            <w:r>
              <w:rPr>
                <w:rFonts w:hint="eastAsia"/>
              </w:rPr>
              <w:t>1</w:t>
            </w:r>
            <w:r>
              <w:t>0</w:t>
            </w:r>
            <w:r>
              <w:rPr>
                <w:rFonts w:hint="eastAsia"/>
              </w:rPr>
              <w:t>人以上3</w:t>
            </w:r>
            <w:r>
              <w:t>0</w:t>
            </w:r>
            <w:r>
              <w:rPr>
                <w:rFonts w:hint="eastAsia"/>
              </w:rPr>
              <w:t>人以下</w:t>
            </w:r>
            <w:r>
              <w:t>人员死亡，</w:t>
            </w:r>
            <w:r>
              <w:rPr>
                <w:rFonts w:hint="eastAsia"/>
              </w:rPr>
              <w:t>或5</w:t>
            </w:r>
            <w:r>
              <w:t>0</w:t>
            </w:r>
            <w:r>
              <w:rPr>
                <w:rFonts w:hint="eastAsia"/>
              </w:rPr>
              <w:t>人以上1</w:t>
            </w:r>
            <w:r>
              <w:t>00</w:t>
            </w:r>
            <w:r>
              <w:rPr>
                <w:rFonts w:hint="eastAsia"/>
              </w:rPr>
              <w:t>人以下重伤和死亡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m:oMathPara>
              <m:oMath>
                <m:sSub>
                  <w:bookmarkStart w:id="185" w:name="OLE_LINK20"/>
                  <w:bookmarkStart w:id="186" w:name="OLE_LINK21"/>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≥0.75</m:t>
                </m:r>
                <w:bookmarkEnd w:id="185"/>
                <w:bookmarkEnd w:id="186"/>
              </m:oMath>
            </m:oMathPara>
          </w:p>
        </w:tc>
        <w:tc>
          <w:tcPr>
            <w:tcW w:w="3940" w:type="pct"/>
            <w:shd w:val="clear" w:color="auto" w:fill="auto"/>
            <w:vAlign w:val="center"/>
          </w:tcPr>
          <w:p>
            <w:pPr>
              <w:pStyle w:val="207"/>
              <w:jc w:val="both"/>
            </w:pPr>
            <w:r>
              <w:rPr>
                <w:rFonts w:hint="eastAsia"/>
              </w:rPr>
              <w:t>3</w:t>
            </w:r>
            <w:r>
              <w:t>0</w:t>
            </w:r>
            <w:r>
              <w:rPr>
                <w:rFonts w:hint="eastAsia"/>
              </w:rPr>
              <w:t>人以上</w:t>
            </w:r>
            <w:r>
              <w:t>人员死亡</w:t>
            </w:r>
            <w:r>
              <w:rPr>
                <w:rFonts w:hint="eastAsia"/>
              </w:rPr>
              <w:t>，或1</w:t>
            </w:r>
            <w:r>
              <w:t>00</w:t>
            </w:r>
            <w:r>
              <w:rPr>
                <w:rFonts w:hint="eastAsia"/>
              </w:rPr>
              <w:t>人以上重伤和死亡</w:t>
            </w:r>
          </w:p>
        </w:tc>
      </w:tr>
    </w:tbl>
    <w:p>
      <w:pPr>
        <w:pStyle w:val="192"/>
        <w:numPr>
          <w:ilvl w:val="0"/>
          <w:numId w:val="0"/>
        </w:numPr>
      </w:pPr>
      <w:r>
        <w:rPr>
          <w:rFonts w:hint="eastAsia"/>
        </w:rPr>
        <w:t>注：</w:t>
      </w:r>
      <w:r>
        <w:t>1.</w:t>
      </w:r>
      <w:r>
        <w:rPr>
          <w:rFonts w:hint="eastAsia"/>
        </w:rPr>
        <w:t>人员伤亡严重程度描述参考《火灾统计管理规定》消防</w:t>
      </w:r>
      <w:r>
        <w:rPr>
          <w:rFonts w:ascii="Cambria Math" w:hAnsi="Cambria Math" w:cs="Cambria Math"/>
        </w:rPr>
        <w:t>⟮</w:t>
      </w:r>
      <w:r>
        <w:t>2025</w:t>
      </w:r>
      <w:r>
        <w:rPr>
          <w:rFonts w:ascii="Cambria Math" w:hAnsi="Cambria Math" w:cs="Cambria Math"/>
        </w:rPr>
        <w:t>⟯</w:t>
      </w:r>
      <w:r>
        <w:t>17</w:t>
      </w:r>
      <w:r>
        <w:rPr>
          <w:rFonts w:hint="eastAsia"/>
        </w:rPr>
        <w:t>号。2</w:t>
      </w:r>
      <w:r>
        <w:t>.</w:t>
      </w:r>
      <w:r>
        <w:rPr>
          <w:rFonts w:hint="eastAsia"/>
        </w:rPr>
        <w:t>表中“以上”包括本数，“以下”不包括本数。</w:t>
      </w:r>
    </w:p>
    <w:bookmarkEnd w:id="183"/>
    <w:bookmarkEnd w:id="184"/>
    <w:p>
      <w:pPr>
        <w:pStyle w:val="54"/>
        <w:ind w:firstLine="480"/>
        <w:rPr>
          <w:rFonts w:ascii="Times New Roman" w:eastAsia="楷体"/>
        </w:rPr>
      </w:pPr>
    </w:p>
    <w:p>
      <w:pPr>
        <w:pStyle w:val="195"/>
        <w:spacing w:before="240"/>
        <w:jc w:val="left"/>
      </w:pPr>
      <w:r>
        <w:rPr>
          <w:rFonts w:hint="eastAsia"/>
        </w:rPr>
        <w:t>火灾直接财产损失严重程度</w:t>
      </w:r>
      <w:r>
        <w:t>可根据</w:t>
      </w:r>
      <w:r>
        <w:rPr>
          <w:rFonts w:hint="eastAsia"/>
        </w:rPr>
        <w:t>财产损失系数</w:t>
      </w: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oMath>
      <w:r>
        <w:rPr>
          <w:rFonts w:hint="eastAsia"/>
        </w:rPr>
        <w:t>确定，</w:t>
      </w:r>
      <w:r>
        <w:t>应根据公式（5.7.2）计算，并应根据表5.7.2确定人员</w:t>
      </w:r>
      <w:r>
        <w:rPr>
          <w:rFonts w:hint="eastAsia"/>
        </w:rPr>
        <w:t>伤亡情况</w:t>
      </w:r>
      <w:r>
        <w:t>：</w:t>
      </w:r>
      <w:r>
        <w:rPr>
          <w:rFonts w:hint="eastAsia"/>
        </w:rPr>
        <w:t>。</w:t>
      </w:r>
    </w:p>
    <w:p>
      <w:pPr>
        <w:pStyle w:val="192"/>
        <w:numPr>
          <w:ilvl w:val="0"/>
          <w:numId w:val="0"/>
        </w:numPr>
        <w:jc w:val="right"/>
        <w:rPr>
          <w:iCs/>
        </w:rPr>
      </w:pP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w:rPr>
            <w:rFonts w:ascii="Cambria Math" w:hAnsi="Cambria Math"/>
            <w:sz w:val="18"/>
            <w:szCs w:val="18"/>
          </w:rPr>
          <m:t>=</m:t>
        </m:r>
        <m:f>
          <m:fPr>
            <m:ctrlPr>
              <w:rPr>
                <w:rFonts w:ascii="Cambria Math" w:hAnsi="Cambria Math"/>
                <w:i/>
                <w:sz w:val="18"/>
                <w:szCs w:val="18"/>
              </w:rPr>
            </m:ctrlPr>
          </m:fPr>
          <m:num>
            <m:r>
              <m:rPr/>
              <w:rPr>
                <w:rFonts w:ascii="Cambria Math" w:hAnsi="Cambria Math"/>
                <w:sz w:val="18"/>
                <w:szCs w:val="18"/>
              </w:rPr>
              <m:t>E−</m:t>
            </m:r>
            <m:sSub>
              <m:sSubPr>
                <m:ctrlPr>
                  <w:rPr>
                    <w:rFonts w:ascii="Cambria Math" w:hAnsi="Cambria Math"/>
                    <w:sz w:val="18"/>
                    <w:szCs w:val="18"/>
                  </w:rPr>
                </m:ctrlPr>
              </m:sSubPr>
              <m:e>
                <m:r>
                  <m:rPr>
                    <m:sty m:val="p"/>
                  </m:rPr>
                  <w:rPr>
                    <w:rFonts w:ascii="Cambria Math" w:hAnsi="Cambria Math"/>
                    <w:sz w:val="18"/>
                    <w:szCs w:val="18"/>
                  </w:rPr>
                  <m:t>E</m:t>
                </m:r>
                <m:ctrlPr>
                  <w:rPr>
                    <w:rFonts w:ascii="Cambria Math" w:hAnsi="Cambria Math"/>
                    <w:sz w:val="18"/>
                    <w:szCs w:val="18"/>
                  </w:rPr>
                </m:ctrlPr>
              </m:e>
              <m:sub>
                <m:r>
                  <m:rPr/>
                  <w:rPr>
                    <w:rFonts w:hint="eastAsia" w:ascii="Cambria Math" w:hAnsi="Cambria Math"/>
                    <w:sz w:val="18"/>
                    <w:szCs w:val="18"/>
                  </w:rPr>
                  <m:t>min</m:t>
                </m:r>
                <m:ctrlPr>
                  <w:rPr>
                    <w:rFonts w:ascii="Cambria Math" w:hAnsi="Cambria Math"/>
                    <w:sz w:val="18"/>
                    <w:szCs w:val="18"/>
                  </w:rPr>
                </m:ctrlPr>
              </m:sub>
            </m:sSub>
            <m:ctrlPr>
              <w:rPr>
                <w:rFonts w:ascii="Cambria Math" w:hAnsi="Cambria Math"/>
                <w:i/>
                <w:sz w:val="18"/>
                <w:szCs w:val="18"/>
              </w:rPr>
            </m:ctrlPr>
          </m:num>
          <m:den>
            <m:sSub>
              <m:sSubPr>
                <m:ctrlPr>
                  <w:rPr>
                    <w:rFonts w:ascii="Cambria Math" w:hAnsi="Cambria Math"/>
                    <w:sz w:val="18"/>
                    <w:szCs w:val="18"/>
                  </w:rPr>
                </m:ctrlPr>
              </m:sSubPr>
              <m:e>
                <m:sSub>
                  <m:sSubPr>
                    <m:ctrlPr>
                      <w:rPr>
                        <w:rFonts w:ascii="Cambria Math" w:hAnsi="Cambria Math"/>
                        <w:sz w:val="18"/>
                        <w:szCs w:val="18"/>
                      </w:rPr>
                    </m:ctrlPr>
                  </m:sSubPr>
                  <m:e>
                    <m:r>
                      <m:rPr>
                        <m:sty m:val="p"/>
                      </m:rPr>
                      <w:rPr>
                        <w:rFonts w:ascii="Cambria Math" w:hAnsi="Cambria Math"/>
                        <w:sz w:val="18"/>
                        <w:szCs w:val="18"/>
                      </w:rPr>
                      <m:t>E</m:t>
                    </m:r>
                    <m:ctrlPr>
                      <w:rPr>
                        <w:rFonts w:ascii="Cambria Math" w:hAnsi="Cambria Math"/>
                        <w:sz w:val="18"/>
                        <w:szCs w:val="18"/>
                      </w:rPr>
                    </m:ctrlPr>
                  </m:e>
                  <m:sub>
                    <m:r>
                      <m:rPr/>
                      <w:rPr>
                        <w:rFonts w:hint="eastAsia" w:ascii="Cambria Math" w:hAnsi="Cambria Math"/>
                        <w:sz w:val="18"/>
                        <w:szCs w:val="18"/>
                      </w:rPr>
                      <m:t>max</m:t>
                    </m:r>
                    <m:ctrlPr>
                      <w:rPr>
                        <w:rFonts w:ascii="Cambria Math" w:hAnsi="Cambria Math"/>
                        <w:sz w:val="18"/>
                        <w:szCs w:val="18"/>
                      </w:rPr>
                    </m:ctrlPr>
                  </m:sub>
                </m:sSub>
                <m:r>
                  <m:rPr>
                    <m:sty m:val="p"/>
                  </m:rPr>
                  <w:rPr>
                    <w:rFonts w:ascii="Cambria Math" w:hAnsi="Cambria Math"/>
                    <w:sz w:val="18"/>
                    <w:szCs w:val="18"/>
                  </w:rPr>
                  <m:t>−E</m:t>
                </m:r>
                <m:ctrlPr>
                  <w:rPr>
                    <w:rFonts w:ascii="Cambria Math" w:hAnsi="Cambria Math"/>
                    <w:sz w:val="18"/>
                    <w:szCs w:val="18"/>
                  </w:rPr>
                </m:ctrlPr>
              </m:e>
              <m:sub>
                <m:r>
                  <m:rPr/>
                  <w:rPr>
                    <w:rFonts w:hint="eastAsia" w:ascii="Cambria Math" w:hAnsi="Cambria Math"/>
                    <w:sz w:val="18"/>
                    <w:szCs w:val="18"/>
                  </w:rPr>
                  <m:t>min</m:t>
                </m:r>
                <m:ctrlPr>
                  <w:rPr>
                    <w:rFonts w:ascii="Cambria Math" w:hAnsi="Cambria Math"/>
                    <w:sz w:val="18"/>
                    <w:szCs w:val="18"/>
                  </w:rPr>
                </m:ctrlPr>
              </m:sub>
            </m:sSub>
            <m:ctrlPr>
              <w:rPr>
                <w:rFonts w:ascii="Cambria Math" w:hAnsi="Cambria Math"/>
                <w:i/>
                <w:sz w:val="18"/>
                <w:szCs w:val="18"/>
              </w:rPr>
            </m:ctrlPr>
          </m:den>
        </m:f>
      </m:oMath>
      <w:r>
        <w:rPr>
          <w:bCs/>
          <w:sz w:val="18"/>
          <w:szCs w:val="18"/>
        </w:rPr>
        <w:t xml:space="preserve">                 </w:t>
      </w:r>
      <w:r>
        <w:rPr>
          <w:szCs w:val="24"/>
        </w:rPr>
        <w:t xml:space="preserve">              </w:t>
      </w:r>
      <w:r>
        <w:rPr>
          <w:iCs/>
        </w:rPr>
        <w:t>（5.7.2）</w:t>
      </w:r>
    </w:p>
    <w:p>
      <w:pPr>
        <w:pStyle w:val="255"/>
        <w:wordWrap/>
        <w:spacing w:line="240" w:lineRule="auto"/>
        <w:ind w:left="420" w:firstLine="420"/>
        <w:rPr>
          <w:sz w:val="21"/>
        </w:rPr>
      </w:pPr>
      <w:r>
        <w:rPr>
          <w:sz w:val="21"/>
        </w:rPr>
        <w:t>式中：</w:t>
      </w:r>
      <w:r>
        <w:rPr>
          <w:sz w:val="21"/>
        </w:rPr>
        <w:fldChar w:fldCharType="begin"/>
      </w:r>
      <w:r>
        <w:rPr>
          <w:sz w:val="21"/>
        </w:rPr>
        <w:instrText xml:space="preserve"> QUOTE </w:instrText>
      </w:r>
      <w:r>
        <w:rPr>
          <w:rFonts w:ascii="Cambria Math" w:hAnsi="Cambria Math" w:cs="Cambria Math"/>
          <w:sz w:val="18"/>
          <w:szCs w:val="18"/>
        </w:rPr>
        <w:instrText xml:space="preserve">𝐴𝐸𝑆𝑇</w:instrText>
      </w:r>
      <w:r>
        <w:rPr>
          <w:sz w:val="21"/>
        </w:rPr>
        <w:instrText xml:space="preserve"> </w:instrText>
      </w:r>
      <w:r>
        <w:rPr>
          <w:sz w:val="21"/>
        </w:rPr>
        <w:fldChar w:fldCharType="end"/>
      </w:r>
      <m:oMath>
        <m:sSub>
          <m:sSubPr>
            <m:ctrlPr>
              <w:rPr>
                <w:rFonts w:ascii="Cambria Math" w:hAnsi="Cambria Math"/>
                <w:kern w:val="0"/>
                <w:sz w:val="18"/>
                <w:szCs w:val="18"/>
              </w:rPr>
            </m:ctrlPr>
          </m:sSubPr>
          <m:e>
            <m:r>
              <m:rPr>
                <m:sty m:val="p"/>
              </m:rPr>
              <w:rPr>
                <w:rFonts w:ascii="Cambria Math" w:hAnsi="Cambria Math"/>
                <w:sz w:val="18"/>
                <w:szCs w:val="18"/>
              </w:rPr>
              <m:t>E</m:t>
            </m:r>
            <m:ctrlPr>
              <w:rPr>
                <w:rFonts w:ascii="Cambria Math" w:hAnsi="Cambria Math"/>
                <w:kern w:val="0"/>
                <w:sz w:val="18"/>
                <w:szCs w:val="18"/>
              </w:rPr>
            </m:ctrlPr>
          </m:e>
          <m:sub>
            <m:r>
              <m:rPr/>
              <w:rPr>
                <w:rFonts w:hint="eastAsia" w:ascii="Cambria Math" w:hAnsi="Cambria Math"/>
                <w:sz w:val="18"/>
                <w:szCs w:val="18"/>
              </w:rPr>
              <m:t>min</m:t>
            </m:r>
            <m:ctrlPr>
              <w:rPr>
                <w:rFonts w:ascii="Cambria Math" w:hAnsi="Cambria Math"/>
                <w:kern w:val="0"/>
                <w:sz w:val="18"/>
                <w:szCs w:val="18"/>
              </w:rPr>
            </m:ctrlPr>
          </m:sub>
        </m:sSub>
      </m:oMath>
      <w:r>
        <w:rPr>
          <w:sz w:val="21"/>
        </w:rPr>
        <w:t>——</w:t>
      </w:r>
      <w:r>
        <w:rPr>
          <w:rFonts w:hint="eastAsia"/>
          <w:sz w:val="21"/>
        </w:rPr>
        <w:t>同类型建筑历史火灾直接财产损失最小值</w:t>
      </w:r>
      <w:r>
        <w:rPr>
          <w:sz w:val="21"/>
        </w:rPr>
        <w:t>，</w:t>
      </w:r>
      <w:r>
        <w:rPr>
          <w:rFonts w:hint="eastAsia"/>
          <w:sz w:val="21"/>
        </w:rPr>
        <w:t>元</w:t>
      </w:r>
      <w:r>
        <w:rPr>
          <w:sz w:val="21"/>
        </w:rPr>
        <w:t>；</w:t>
      </w:r>
    </w:p>
    <w:p>
      <w:pPr>
        <w:pStyle w:val="255"/>
        <w:wordWrap/>
        <w:spacing w:line="240" w:lineRule="auto"/>
        <w:ind w:left="420" w:firstLine="1080" w:firstLineChars="600"/>
        <w:rPr>
          <w:sz w:val="21"/>
        </w:rPr>
      </w:pPr>
      <m:oMath>
        <m:sSub>
          <m:sSubPr>
            <m:ctrlPr>
              <w:rPr>
                <w:rFonts w:ascii="Cambria Math" w:hAnsi="Cambria Math"/>
                <w:kern w:val="0"/>
                <w:sz w:val="18"/>
                <w:szCs w:val="18"/>
              </w:rPr>
            </m:ctrlPr>
          </m:sSubPr>
          <m:e>
            <m:r>
              <m:rPr>
                <m:sty m:val="p"/>
              </m:rPr>
              <w:rPr>
                <w:rFonts w:ascii="Cambria Math" w:hAnsi="Cambria Math"/>
                <w:sz w:val="18"/>
                <w:szCs w:val="18"/>
              </w:rPr>
              <m:t>E</m:t>
            </m:r>
            <m:ctrlPr>
              <w:rPr>
                <w:rFonts w:ascii="Cambria Math" w:hAnsi="Cambria Math"/>
                <w:kern w:val="0"/>
                <w:sz w:val="18"/>
                <w:szCs w:val="18"/>
              </w:rPr>
            </m:ctrlPr>
          </m:e>
          <m:sub>
            <m:r>
              <m:rPr/>
              <w:rPr>
                <w:rFonts w:hint="eastAsia" w:ascii="Cambria Math" w:hAnsi="Cambria Math"/>
                <w:sz w:val="18"/>
                <w:szCs w:val="18"/>
              </w:rPr>
              <m:t>max</m:t>
            </m:r>
            <m:ctrlPr>
              <w:rPr>
                <w:rFonts w:ascii="Cambria Math" w:hAnsi="Cambria Math"/>
                <w:kern w:val="0"/>
                <w:sz w:val="18"/>
                <w:szCs w:val="18"/>
              </w:rPr>
            </m:ctrlPr>
          </m:sub>
        </m:sSub>
      </m:oMath>
      <w:r>
        <w:rPr>
          <w:sz w:val="21"/>
        </w:rPr>
        <w:fldChar w:fldCharType="begin"/>
      </w:r>
      <w:r>
        <w:rPr>
          <w:sz w:val="21"/>
        </w:rPr>
        <w:instrText xml:space="preserve"> QUOTE </w:instrText>
      </w:r>
      <w:r>
        <w:rPr>
          <w:rFonts w:ascii="Cambria Math" w:hAnsi="Cambria Math" w:cs="Cambria Math"/>
          <w:sz w:val="18"/>
          <w:szCs w:val="18"/>
        </w:rPr>
        <w:instrText xml:space="preserve">𝑡𝑊</w:instrText>
      </w:r>
      <w:r>
        <w:rPr>
          <w:sz w:val="21"/>
        </w:rPr>
        <w:instrText xml:space="preserve"> </w:instrText>
      </w:r>
      <w:r>
        <w:rPr>
          <w:sz w:val="21"/>
        </w:rPr>
        <w:fldChar w:fldCharType="end"/>
      </w:r>
      <w:r>
        <w:rPr>
          <w:sz w:val="21"/>
        </w:rPr>
        <w:t>——</w:t>
      </w:r>
      <w:r>
        <w:rPr>
          <w:rFonts w:hint="eastAsia"/>
          <w:sz w:val="21"/>
        </w:rPr>
        <w:t>同类型建筑历史火灾直接财产损失最大值</w:t>
      </w:r>
      <w:r>
        <w:rPr>
          <w:sz w:val="21"/>
        </w:rPr>
        <w:t>，</w:t>
      </w:r>
      <w:r>
        <w:rPr>
          <w:rFonts w:hint="eastAsia"/>
          <w:sz w:val="21"/>
        </w:rPr>
        <w:t>元。</w:t>
      </w:r>
    </w:p>
    <w:p>
      <w:pPr>
        <w:pStyle w:val="142"/>
        <w:spacing w:before="0" w:beforeLines="0" w:after="0" w:afterLines="0"/>
        <w:ind w:left="420"/>
        <w:rPr>
          <w:szCs w:val="18"/>
        </w:rPr>
      </w:pPr>
      <w:r>
        <w:rPr>
          <w:szCs w:val="18"/>
        </w:rPr>
        <w:t xml:space="preserve">表5.7.2  </w:t>
      </w:r>
      <w:r>
        <w:rPr>
          <w:rFonts w:hint="eastAsia"/>
          <w:szCs w:val="18"/>
        </w:rPr>
        <w:t>财产损失严重程度</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9"/>
        <w:gridCol w:w="6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pct"/>
            <w:shd w:val="clear" w:color="auto" w:fill="auto"/>
            <w:vAlign w:val="center"/>
          </w:tcPr>
          <w:p>
            <w:pPr>
              <w:pStyle w:val="207"/>
            </w:pPr>
            <m:oMathPara>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oMath>
            </m:oMathPara>
          </w:p>
        </w:tc>
        <w:tc>
          <w:tcPr>
            <w:tcW w:w="3637" w:type="pct"/>
            <w:shd w:val="clear" w:color="auto" w:fill="auto"/>
            <w:vAlign w:val="center"/>
          </w:tcPr>
          <w:p>
            <w:pPr>
              <w:pStyle w:val="207"/>
            </w:pPr>
            <w:r>
              <w:rPr>
                <w:rFonts w:hint="eastAsia"/>
              </w:rPr>
              <w:t>财产损失严重程度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pct"/>
            <w:shd w:val="clear" w:color="auto" w:fill="auto"/>
            <w:vAlign w:val="center"/>
          </w:tcPr>
          <w:p>
            <w:pPr>
              <w:pStyle w:val="207"/>
            </w:pPr>
            <m:oMathPara>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&lt;3.3×</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oMath>
            </m:oMathPara>
          </w:p>
        </w:tc>
        <w:tc>
          <w:tcPr>
            <w:tcW w:w="3637" w:type="pct"/>
            <w:shd w:val="clear" w:color="auto" w:fill="auto"/>
            <w:vAlign w:val="center"/>
          </w:tcPr>
          <w:p>
            <w:pPr>
              <w:pStyle w:val="207"/>
              <w:jc w:val="left"/>
            </w:pPr>
            <w:r>
              <w:t>1000</w:t>
            </w:r>
            <w:r>
              <w:rPr>
                <w:rFonts w:hint="eastAsia"/>
              </w:rPr>
              <w:t>元以下</w:t>
            </w:r>
            <w:r>
              <w:t>的直接财产损失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pct"/>
            <w:shd w:val="clear" w:color="auto" w:fill="auto"/>
            <w:vAlign w:val="center"/>
          </w:tcPr>
          <w:p>
            <w:pPr>
              <w:pStyle w:val="207"/>
            </w:pPr>
            <m:oMathPara>
              <m:oMath>
                <m:r>
                  <m:rPr>
                    <m:sty m:val="p"/>
                  </m:rPr>
                  <w:rPr>
                    <w:rFonts w:ascii="Cambria Math" w:hAnsi="Cambria Math"/>
                  </w:rPr>
                  <m:t>3.3×</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r>
                  <m:rPr>
                    <m:sty m:val="p"/>
                  </m:rPr>
                  <w:rPr>
                    <w:rFonts w:ascii="Cambria Math" w:hAnsi="Cambria Math"/>
                  </w:rPr>
                  <m:t>≤</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&lt;0.1</m:t>
                </m:r>
              </m:oMath>
            </m:oMathPara>
          </w:p>
        </w:tc>
        <w:tc>
          <w:tcPr>
            <w:tcW w:w="3637" w:type="pct"/>
            <w:shd w:val="clear" w:color="auto" w:fill="auto"/>
            <w:vAlign w:val="center"/>
          </w:tcPr>
          <w:p>
            <w:pPr>
              <w:pStyle w:val="207"/>
              <w:jc w:val="both"/>
            </w:pPr>
            <w:r>
              <w:rPr>
                <w:rFonts w:hint="eastAsia"/>
              </w:rPr>
              <w:t>3</w:t>
            </w:r>
            <w:r>
              <w:t>000</w:t>
            </w:r>
            <w:r>
              <w:rPr>
                <w:rFonts w:hint="eastAsia"/>
              </w:rPr>
              <w:t>万元以下</w:t>
            </w:r>
            <w:r>
              <w:t>的直接财产损失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pct"/>
            <w:shd w:val="clear" w:color="auto" w:fill="auto"/>
            <w:vAlign w:val="center"/>
          </w:tcPr>
          <w:p>
            <w:pPr>
              <w:pStyle w:val="207"/>
            </w:pPr>
            <m:oMathPara>
              <m:oMath>
                <m:r>
                  <m:rPr>
                    <m:sty m:val="p"/>
                  </m:rPr>
                  <w:rPr>
                    <w:rFonts w:ascii="Cambria Math" w:hAnsi="Cambria Math"/>
                  </w:rPr>
                  <m:t>0.1≤</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&lt;0.33</m:t>
                </m:r>
              </m:oMath>
            </m:oMathPara>
          </w:p>
        </w:tc>
        <w:tc>
          <w:tcPr>
            <w:tcW w:w="3637" w:type="pct"/>
            <w:shd w:val="clear" w:color="auto" w:fill="auto"/>
            <w:vAlign w:val="center"/>
          </w:tcPr>
          <w:p>
            <w:pPr>
              <w:pStyle w:val="207"/>
              <w:jc w:val="both"/>
            </w:pPr>
            <w:r>
              <w:rPr>
                <w:rFonts w:hint="eastAsia"/>
              </w:rPr>
              <w:t>3</w:t>
            </w:r>
            <w:r>
              <w:t>000万元</w:t>
            </w:r>
            <w:r>
              <w:rPr>
                <w:rFonts w:hint="eastAsia"/>
              </w:rPr>
              <w:t>以上1亿元以下</w:t>
            </w:r>
            <w:r>
              <w:t>的直接财产损失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pct"/>
            <w:shd w:val="clear" w:color="auto" w:fill="auto"/>
            <w:vAlign w:val="center"/>
          </w:tcPr>
          <w:p>
            <w:pPr>
              <w:pStyle w:val="207"/>
            </w:pPr>
            <m:oMathPara>
              <m:oMath>
                <m:r>
                  <m:rPr>
                    <m:sty m:val="p"/>
                  </m:rPr>
                  <w:rPr>
                    <w:rFonts w:ascii="Cambria Math" w:hAnsi="Cambria Math"/>
                  </w:rPr>
                  <m:t>0.33≤</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&lt;1.0</m:t>
                </m:r>
              </m:oMath>
            </m:oMathPara>
          </w:p>
        </w:tc>
        <w:tc>
          <w:tcPr>
            <w:tcW w:w="3637" w:type="pct"/>
            <w:shd w:val="clear" w:color="auto" w:fill="auto"/>
            <w:vAlign w:val="center"/>
          </w:tcPr>
          <w:p>
            <w:pPr>
              <w:pStyle w:val="207"/>
              <w:jc w:val="both"/>
            </w:pPr>
            <w:r>
              <w:rPr>
                <w:rFonts w:hint="eastAsia"/>
              </w:rPr>
              <w:t>1亿元以上</w:t>
            </w:r>
            <w:r>
              <w:t>3</w:t>
            </w:r>
            <w:r>
              <w:rPr>
                <w:rFonts w:hint="eastAsia"/>
              </w:rPr>
              <w:t>亿元以下</w:t>
            </w:r>
            <w:r>
              <w:t>的直接财产损失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3" w:type="pct"/>
            <w:shd w:val="clear" w:color="auto" w:fill="auto"/>
            <w:vAlign w:val="center"/>
          </w:tcPr>
          <w:p>
            <w:pPr>
              <w:pStyle w:val="207"/>
            </w:pPr>
            <m:oMathPara>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≥1.0</m:t>
                </m:r>
              </m:oMath>
            </m:oMathPara>
          </w:p>
        </w:tc>
        <w:tc>
          <w:tcPr>
            <w:tcW w:w="3637" w:type="pct"/>
            <w:shd w:val="clear" w:color="auto" w:fill="auto"/>
            <w:vAlign w:val="center"/>
          </w:tcPr>
          <w:p>
            <w:pPr>
              <w:pStyle w:val="207"/>
              <w:jc w:val="both"/>
            </w:pPr>
            <w:r>
              <w:t>3</w:t>
            </w:r>
            <w:r>
              <w:rPr>
                <w:rFonts w:hint="eastAsia"/>
              </w:rPr>
              <w:t>亿元以上的</w:t>
            </w:r>
            <w:r>
              <w:t>直接财产损失</w:t>
            </w:r>
          </w:p>
        </w:tc>
      </w:tr>
    </w:tbl>
    <w:p>
      <w:pPr>
        <w:pStyle w:val="192"/>
        <w:numPr>
          <w:ilvl w:val="0"/>
          <w:numId w:val="0"/>
        </w:numPr>
      </w:pPr>
      <w:r>
        <w:rPr>
          <w:rFonts w:hint="eastAsia"/>
        </w:rPr>
        <w:t>注：</w:t>
      </w:r>
      <w:r>
        <w:t>1.</w:t>
      </w:r>
      <w:r>
        <w:rPr>
          <w:rFonts w:hint="eastAsia"/>
        </w:rPr>
        <w:t>财产损失严重程度描述参考《火灾统计管理规定》消防</w:t>
      </w:r>
      <w:r>
        <w:rPr>
          <w:rFonts w:ascii="Cambria Math" w:hAnsi="Cambria Math" w:cs="Cambria Math"/>
        </w:rPr>
        <w:t>⟮</w:t>
      </w:r>
      <w:r>
        <w:t>2025</w:t>
      </w:r>
      <w:r>
        <w:rPr>
          <w:rFonts w:ascii="Cambria Math" w:hAnsi="Cambria Math" w:cs="Cambria Math"/>
        </w:rPr>
        <w:t>⟯</w:t>
      </w:r>
      <w:r>
        <w:t>17</w:t>
      </w:r>
      <w:r>
        <w:rPr>
          <w:rFonts w:hint="eastAsia"/>
        </w:rPr>
        <w:t>号。2</w:t>
      </w:r>
      <w:r>
        <w:t>.</w:t>
      </w:r>
      <w:r>
        <w:rPr>
          <w:rFonts w:hint="eastAsia"/>
        </w:rPr>
        <w:t>表中“以上”包括本数，“以下”不包括本数。</w:t>
      </w:r>
    </w:p>
    <w:p>
      <w:pPr>
        <w:pStyle w:val="255"/>
        <w:wordWrap/>
        <w:spacing w:line="240" w:lineRule="auto"/>
        <w:ind w:left="420"/>
        <w:rPr>
          <w:rFonts w:eastAsia="楷体"/>
          <w:sz w:val="21"/>
        </w:rPr>
      </w:pPr>
    </w:p>
    <w:p>
      <w:pPr>
        <w:pStyle w:val="195"/>
        <w:spacing w:before="240"/>
        <w:jc w:val="left"/>
      </w:pPr>
      <w:r>
        <w:rPr>
          <w:rFonts w:hint="eastAsia"/>
        </w:rPr>
        <w:t>火灾损失评估结果</w:t>
      </w:r>
      <m:oMath>
        <m:r>
          <m:rPr>
            <m:sty m:val="p"/>
          </m:rPr>
          <w:rPr>
            <w:rFonts w:ascii="Cambria Math" w:hAnsi="Cambria Math"/>
            <w:sz w:val="18"/>
            <w:szCs w:val="18"/>
          </w:rPr>
          <m:t>S</m:t>
        </m:r>
      </m:oMath>
      <w:r>
        <w:rPr>
          <w:rFonts w:hint="eastAsia"/>
        </w:rPr>
        <w:t>应根据人员损失和财产损失综合判定，并应进行归一化，损失严重程度等级由高到低划分为</w:t>
      </w:r>
      <w:r>
        <w:t>5</w:t>
      </w:r>
      <w:r>
        <w:rPr>
          <w:rFonts w:hint="eastAsia"/>
        </w:rPr>
        <w:t>个等级，等级划分见表</w:t>
      </w:r>
      <w:r>
        <w:t>5.7.3</w:t>
      </w:r>
      <w:r>
        <w:rPr>
          <w:rFonts w:hint="eastAsia"/>
        </w:rPr>
        <w:t>。</w:t>
      </w:r>
    </w:p>
    <w:p>
      <w:pPr>
        <w:pStyle w:val="142"/>
        <w:spacing w:before="0" w:beforeLines="0" w:after="0" w:afterLines="0"/>
        <w:ind w:left="420"/>
      </w:pPr>
      <w:r>
        <w:rPr>
          <w:szCs w:val="18"/>
        </w:rPr>
        <w:t>表5.7.</w:t>
      </w:r>
      <w:r>
        <w:rPr>
          <w:rFonts w:hint="eastAsia"/>
          <w:szCs w:val="18"/>
        </w:rPr>
        <w:t>3</w:t>
      </w:r>
      <w:r>
        <w:rPr>
          <w:szCs w:val="18"/>
        </w:rPr>
        <w:t xml:space="preserve">  </w:t>
      </w:r>
      <w:r>
        <w:rPr>
          <w:rFonts w:hint="eastAsia"/>
          <w:szCs w:val="18"/>
        </w:rPr>
        <w:t>火灾损失严重程度</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3"/>
        <w:gridCol w:w="4356"/>
        <w:gridCol w:w="2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pct"/>
            <w:shd w:val="clear" w:color="auto" w:fill="auto"/>
            <w:vAlign w:val="center"/>
          </w:tcPr>
          <w:p>
            <w:pPr>
              <w:pStyle w:val="207"/>
              <w:rPr>
                <w:b/>
              </w:rPr>
            </w:pPr>
            <w:r>
              <w:rPr>
                <w:rFonts w:hint="eastAsia"/>
                <w:b/>
              </w:rPr>
              <w:t>严重程度</w:t>
            </w:r>
          </w:p>
        </w:tc>
        <w:tc>
          <w:tcPr>
            <w:tcW w:w="2276" w:type="pct"/>
            <w:vAlign w:val="center"/>
          </w:tcPr>
          <w:p>
            <w:pPr>
              <w:pStyle w:val="207"/>
              <w:rPr>
                <w:b/>
              </w:rPr>
            </w:pPr>
            <w:r>
              <w:rPr>
                <w:rFonts w:hint="eastAsia"/>
                <w:b/>
              </w:rPr>
              <w:t>火灾损失后果</w:t>
            </w:r>
            <m:oMath>
              <m:sSub>
                <m:sSubPr>
                  <m:ctrlPr>
                    <w:rPr>
                      <w:rFonts w:ascii="Cambria Math" w:hAnsi="Cambria Math"/>
                      <w:b/>
                      <w:sz w:val="18"/>
                      <w:szCs w:val="18"/>
                    </w:rPr>
                  </m:ctrlPr>
                </m:sSubPr>
                <m:e>
                  <m:r>
                    <m:rPr>
                      <m:sty m:val="b"/>
                    </m:rPr>
                    <w:rPr>
                      <w:rFonts w:ascii="Cambria Math" w:hAnsi="Cambria Math"/>
                      <w:sz w:val="18"/>
                      <w:szCs w:val="18"/>
                    </w:rPr>
                    <m:t>S</m:t>
                  </m:r>
                  <m:ctrlPr>
                    <w:rPr>
                      <w:rFonts w:ascii="Cambria Math" w:hAnsi="Cambria Math"/>
                      <w:b/>
                      <w:sz w:val="18"/>
                      <w:szCs w:val="18"/>
                    </w:rPr>
                  </m:ctrlPr>
                </m:e>
                <m:sub>
                  <m:r>
                    <m:rPr>
                      <m:sty m:val="bi"/>
                    </m:rPr>
                    <w:rPr>
                      <w:rFonts w:ascii="Cambria Math" w:hAnsi="Cambria Math"/>
                      <w:sz w:val="18"/>
                      <w:szCs w:val="18"/>
                    </w:rPr>
                    <m:t>S</m:t>
                  </m:r>
                  <m:ctrlPr>
                    <w:rPr>
                      <w:rFonts w:ascii="Cambria Math" w:hAnsi="Cambria Math"/>
                      <w:b/>
                      <w:sz w:val="18"/>
                      <w:szCs w:val="18"/>
                    </w:rPr>
                  </m:ctrlPr>
                </m:sub>
              </m:sSub>
            </m:oMath>
            <w:r>
              <w:rPr>
                <w:rFonts w:hint="eastAsia"/>
                <w:b/>
                <w:sz w:val="18"/>
                <w:szCs w:val="18"/>
              </w:rPr>
              <w:t>或</w:t>
            </w:r>
            <m:oMath>
              <m:sSub>
                <m:sSubPr>
                  <m:ctrlPr>
                    <w:rPr>
                      <w:rFonts w:ascii="Cambria Math" w:hAnsi="Cambria Math"/>
                      <w:b/>
                      <w:sz w:val="18"/>
                      <w:szCs w:val="18"/>
                    </w:rPr>
                  </m:ctrlPr>
                </m:sSubPr>
                <m:e>
                  <m:r>
                    <m:rPr>
                      <m:sty m:val="b"/>
                    </m:rPr>
                    <w:rPr>
                      <w:rFonts w:ascii="Cambria Math" w:hAnsi="Cambria Math"/>
                      <w:sz w:val="18"/>
                      <w:szCs w:val="18"/>
                    </w:rPr>
                    <m:t>S</m:t>
                  </m:r>
                  <m:ctrlPr>
                    <w:rPr>
                      <w:rFonts w:ascii="Cambria Math" w:hAnsi="Cambria Math"/>
                      <w:b/>
                      <w:sz w:val="18"/>
                      <w:szCs w:val="18"/>
                    </w:rPr>
                  </m:ctrlPr>
                </m:e>
                <m:sub>
                  <m:r>
                    <m:rPr>
                      <m:sty m:val="bi"/>
                    </m:rPr>
                    <w:rPr>
                      <w:rFonts w:ascii="Cambria Math" w:hAnsi="Cambria Math"/>
                      <w:sz w:val="18"/>
                      <w:szCs w:val="18"/>
                    </w:rPr>
                    <m:t>E</m:t>
                  </m:r>
                  <m:ctrlPr>
                    <w:rPr>
                      <w:rFonts w:ascii="Cambria Math" w:hAnsi="Cambria Math"/>
                      <w:b/>
                      <w:sz w:val="18"/>
                      <w:szCs w:val="18"/>
                    </w:rPr>
                  </m:ctrlPr>
                </m:sub>
              </m:sSub>
            </m:oMath>
          </w:p>
        </w:tc>
        <w:tc>
          <w:tcPr>
            <w:tcW w:w="1437" w:type="pct"/>
            <w:vAlign w:val="center"/>
          </w:tcPr>
          <w:p>
            <w:pPr>
              <w:pStyle w:val="207"/>
              <w:rPr>
                <w:b/>
              </w:rPr>
            </w:pPr>
            <w:r>
              <w:rPr>
                <w:rFonts w:hint="eastAsia"/>
                <w:b/>
              </w:rPr>
              <w:t>归一化后火灾损失后果</w:t>
            </w:r>
            <m:oMath>
              <m:r>
                <m:rPr>
                  <m:sty m:val="b"/>
                </m:rPr>
                <w:rPr>
                  <w:rFonts w:ascii="Cambria Math" w:hAnsi="Cambria Math"/>
                  <w:sz w:val="18"/>
                  <w:szCs w:val="18"/>
                </w:rPr>
                <m:t>S</m:t>
              </m:r>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pct"/>
            <w:shd w:val="clear" w:color="auto" w:fill="auto"/>
            <w:vAlign w:val="center"/>
          </w:tcPr>
          <w:p>
            <w:pPr>
              <w:pStyle w:val="207"/>
              <w:rPr>
                <w:bCs/>
                <w:szCs w:val="18"/>
              </w:rPr>
            </w:pPr>
            <w:r>
              <w:rPr>
                <w:bCs/>
                <w:szCs w:val="18"/>
              </w:rPr>
              <w:t>一级（</w:t>
            </w:r>
            <w:r>
              <w:rPr>
                <w:rFonts w:hint="eastAsia"/>
                <w:bCs/>
                <w:szCs w:val="18"/>
              </w:rPr>
              <w:t>轻微</w:t>
            </w:r>
            <w:r>
              <w:rPr>
                <w:bCs/>
                <w:szCs w:val="18"/>
              </w:rPr>
              <w:t>）</w:t>
            </w:r>
          </w:p>
        </w:tc>
        <w:tc>
          <w:tcPr>
            <w:tcW w:w="2276" w:type="pct"/>
            <w:vAlign w:val="center"/>
          </w:tcPr>
          <w:p>
            <w:pPr>
              <w:pStyle w:val="207"/>
            </w:pP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=0</m:t>
              </m:r>
            </m:oMath>
            <w:r>
              <w:rPr>
                <w:rFonts w:hint="eastAsia"/>
              </w:rPr>
              <w:t>且</w:t>
            </w: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m:t>
              </m:r>
              <w:bookmarkStart w:id="187" w:name="OLE_LINK16"/>
              <w:bookmarkStart w:id="188" w:name="OLE_LINK19"/>
              <m:r>
                <m:rPr>
                  <m:sty m:val="p"/>
                </m:rPr>
                <w:rPr>
                  <w:rFonts w:ascii="Cambria Math" w:hAnsi="Cambria Math"/>
                </w:rPr>
                <m:t>3.3×</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oMath>
            <w:bookmarkEnd w:id="187"/>
            <w:bookmarkEnd w:id="188"/>
          </w:p>
        </w:tc>
        <w:tc>
          <w:tcPr>
            <w:tcW w:w="1437" w:type="pct"/>
            <w:vAlign w:val="center"/>
          </w:tcPr>
          <w:p>
            <w:pPr>
              <w:pStyle w:val="207"/>
              <w:jc w:val="both"/>
              <w:rPr>
                <w:sz w:val="18"/>
                <w:szCs w:val="18"/>
              </w:rPr>
            </w:pPr>
            <m:oMathPara>
              <m:oMath>
                <m:r>
                  <m:rPr>
                    <m:sty m:val="p"/>
                  </m:rPr>
                  <w:rPr>
                    <w:rFonts w:ascii="Cambria Math" w:hAnsi="Cambria Math"/>
                    <w:sz w:val="18"/>
                    <w:szCs w:val="18"/>
                  </w:rPr>
                  <m:t>S</m:t>
                </m:r>
                <m:r>
                  <m:rPr>
                    <m:sty m:val="p"/>
                  </m:rPr>
                  <w:rPr>
                    <w:rFonts w:ascii="Cambria Math" w:hAnsi="Cambria Math"/>
                  </w:rPr>
                  <m:t>&lt;1.0×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pct"/>
            <w:shd w:val="clear" w:color="auto" w:fill="auto"/>
            <w:vAlign w:val="center"/>
          </w:tcPr>
          <w:p>
            <w:pPr>
              <w:pStyle w:val="207"/>
            </w:pPr>
            <w:r>
              <w:rPr>
                <w:bCs/>
                <w:szCs w:val="18"/>
              </w:rPr>
              <w:t>二级（</w:t>
            </w:r>
            <w:r>
              <w:rPr>
                <w:rFonts w:hint="eastAsia"/>
                <w:bCs/>
                <w:szCs w:val="18"/>
              </w:rPr>
              <w:t>一般</w:t>
            </w:r>
            <w:r>
              <w:rPr>
                <w:bCs/>
                <w:szCs w:val="18"/>
              </w:rPr>
              <w:t>）</w:t>
            </w:r>
          </w:p>
        </w:tc>
        <w:tc>
          <w:tcPr>
            <w:tcW w:w="2276" w:type="pct"/>
            <w:vAlign w:val="center"/>
          </w:tcPr>
          <w:p>
            <w:pPr>
              <w:pStyle w:val="207"/>
            </w:pPr>
            <m:oMath>
              <m:r>
                <m:rPr>
                  <m:sty m:val="p"/>
                </m:rPr>
                <w:rPr>
                  <w:rFonts w:ascii="Cambria Math" w:hAnsi="Cambria Math"/>
                </w:rPr>
                <m:t>0</m:t>
              </m:r>
              <m:sSub>
                <m:sSubPr>
                  <m:ctrlPr>
                    <w:rPr>
                      <w:rFonts w:ascii="Cambria Math" w:hAnsi="Cambria Math"/>
                      <w:sz w:val="18"/>
                      <w:szCs w:val="18"/>
                    </w:rPr>
                  </m:ctrlPr>
                </m:sSubPr>
                <m:e>
                  <m:r>
                    <m:rPr>
                      <m:sty m:val="p"/>
                    </m:rPr>
                    <w:rPr>
                      <w:rFonts w:ascii="Cambria Math" w:hAnsi="Cambria Math"/>
                    </w:rPr>
                    <m:t>≤</m:t>
                  </m:r>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&lt;0.25</m:t>
              </m:r>
            </m:oMath>
            <w:r>
              <w:rPr>
                <w:rFonts w:hint="eastAsia"/>
              </w:rPr>
              <w:t>或</w:t>
            </w:r>
            <m:oMath>
              <m:r>
                <m:rPr>
                  <m:sty m:val="p"/>
                </m:rPr>
                <w:rPr>
                  <w:rFonts w:ascii="Cambria Math" w:hAnsi="Cambria Math"/>
                </w:rPr>
                <m:t>3.3×</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r>
                <m:rPr>
                  <m:sty m:val="p"/>
                </m:rPr>
                <w:rPr>
                  <w:rFonts w:ascii="Cambria Math" w:hAnsi="Cambria Math"/>
                </w:rPr>
                <m:t>≤</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&lt;0.1</m:t>
              </m:r>
            </m:oMath>
          </w:p>
        </w:tc>
        <w:tc>
          <w:tcPr>
            <w:tcW w:w="1437" w:type="pct"/>
            <w:vAlign w:val="center"/>
          </w:tcPr>
          <w:p>
            <w:pPr>
              <w:pStyle w:val="207"/>
              <w:rPr>
                <w:rFonts w:eastAsia="黑体"/>
              </w:rPr>
            </w:pPr>
            <m:oMathPara>
              <m:oMath>
                <m:r>
                  <m:rPr>
                    <m:sty m:val="p"/>
                  </m:rPr>
                  <w:rPr>
                    <w:rFonts w:ascii="Cambria Math" w:hAnsi="Cambria Math"/>
                  </w:rPr>
                  <m:t>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r>
                  <m:rPr>
                    <m:sty m:val="p"/>
                  </m:rPr>
                  <w:rPr>
                    <w:rFonts w:ascii="Cambria Math" w:hAnsi="Cambria Math"/>
                    <w:sz w:val="18"/>
                    <w:szCs w:val="18"/>
                  </w:rPr>
                  <m:t>≤S</m:t>
                </m:r>
                <m:r>
                  <m:rPr>
                    <m:sty m:val="p"/>
                  </m:rPr>
                  <w:rPr>
                    <w:rFonts w:ascii="Cambria Math" w:hAnsi="Cambria Math"/>
                  </w:rPr>
                  <m:t>&lt;0.1</m:t>
                </m:r>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pct"/>
            <w:shd w:val="clear" w:color="auto" w:fill="auto"/>
            <w:vAlign w:val="center"/>
          </w:tcPr>
          <w:p>
            <w:pPr>
              <w:pStyle w:val="207"/>
            </w:pPr>
            <w:r>
              <w:rPr>
                <w:rFonts w:hint="eastAsia"/>
                <w:bCs/>
                <w:szCs w:val="18"/>
              </w:rPr>
              <w:t>三</w:t>
            </w:r>
            <w:r>
              <w:rPr>
                <w:bCs/>
                <w:szCs w:val="18"/>
              </w:rPr>
              <w:t>级（</w:t>
            </w:r>
            <w:r>
              <w:rPr>
                <w:rFonts w:hint="eastAsia"/>
                <w:bCs/>
                <w:szCs w:val="18"/>
              </w:rPr>
              <w:t>较大</w:t>
            </w:r>
            <w:r>
              <w:rPr>
                <w:bCs/>
                <w:szCs w:val="18"/>
              </w:rPr>
              <w:t>）</w:t>
            </w:r>
          </w:p>
        </w:tc>
        <w:tc>
          <w:tcPr>
            <w:tcW w:w="2276" w:type="pct"/>
            <w:vAlign w:val="center"/>
          </w:tcPr>
          <w:p>
            <w:pPr>
              <w:pStyle w:val="207"/>
            </w:pPr>
            <m:oMath>
              <m:r>
                <m:rPr>
                  <m:sty m:val="p"/>
                </m:rPr>
                <w:rPr>
                  <w:rFonts w:ascii="Cambria Math" w:hAnsi="Cambria Math"/>
                </w:rPr>
                <m:t>0.25≤</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&lt;0.5</m:t>
              </m:r>
            </m:oMath>
            <w:r>
              <w:rPr>
                <w:rFonts w:hint="eastAsia"/>
              </w:rPr>
              <w:t>或</w:t>
            </w:r>
            <m:oMath>
              <m:r>
                <m:rPr>
                  <m:sty m:val="p"/>
                </m:rPr>
                <w:rPr>
                  <w:rFonts w:ascii="Cambria Math" w:hAnsi="Cambria Math"/>
                </w:rPr>
                <m:t>0.1≤</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&lt;0.33</m:t>
              </m:r>
            </m:oMath>
          </w:p>
        </w:tc>
        <w:tc>
          <w:tcPr>
            <w:tcW w:w="1437" w:type="pct"/>
            <w:vAlign w:val="center"/>
          </w:tcPr>
          <w:p>
            <w:pPr>
              <w:pStyle w:val="207"/>
              <w:rPr>
                <w:rFonts w:eastAsia="黑体"/>
              </w:rPr>
            </w:pPr>
            <m:oMathPara>
              <m:oMath>
                <m:r>
                  <m:rPr>
                    <m:sty m:val="p"/>
                  </m:rPr>
                  <w:rPr>
                    <w:rFonts w:ascii="Cambria Math" w:hAnsi="Cambria Math"/>
                    <w:sz w:val="18"/>
                    <w:szCs w:val="18"/>
                  </w:rPr>
                  <m:t>0.1≤S</m:t>
                </m:r>
                <m:r>
                  <m:rPr>
                    <m:sty m:val="p"/>
                  </m:rPr>
                  <w:rPr>
                    <w:rFonts w:ascii="Cambria Math" w:hAnsi="Cambria Math"/>
                  </w:rPr>
                  <m:t>&lt;0.33</m:t>
                </m:r>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pct"/>
            <w:shd w:val="clear" w:color="auto" w:fill="auto"/>
            <w:vAlign w:val="center"/>
          </w:tcPr>
          <w:p>
            <w:pPr>
              <w:pStyle w:val="207"/>
            </w:pPr>
            <w:r>
              <w:rPr>
                <w:rFonts w:hint="eastAsia"/>
                <w:bCs/>
                <w:szCs w:val="18"/>
              </w:rPr>
              <w:t>四</w:t>
            </w:r>
            <w:r>
              <w:rPr>
                <w:bCs/>
                <w:szCs w:val="18"/>
              </w:rPr>
              <w:t>级（重大）</w:t>
            </w:r>
          </w:p>
        </w:tc>
        <w:tc>
          <w:tcPr>
            <w:tcW w:w="2276" w:type="pct"/>
            <w:vAlign w:val="center"/>
          </w:tcPr>
          <w:p>
            <w:pPr>
              <w:pStyle w:val="207"/>
            </w:pPr>
            <m:oMath>
              <m:r>
                <m:rPr>
                  <m:sty m:val="p"/>
                </m:rPr>
                <w:rPr>
                  <w:rFonts w:ascii="Cambria Math" w:hAnsi="Cambria Math"/>
                </w:rPr>
                <m:t>0.5≤</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&lt;0.75</m:t>
              </m:r>
            </m:oMath>
            <w:r>
              <w:rPr>
                <w:rFonts w:hint="eastAsia"/>
              </w:rPr>
              <w:t>或</w:t>
            </w:r>
            <m:oMath>
              <m:r>
                <m:rPr>
                  <m:sty m:val="p"/>
                </m:rPr>
                <w:rPr>
                  <w:rFonts w:ascii="Cambria Math" w:hAnsi="Cambria Math"/>
                </w:rPr>
                <m:t>0.33≤</m:t>
              </m:r>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&lt;1.0</m:t>
              </m:r>
            </m:oMath>
          </w:p>
        </w:tc>
        <w:tc>
          <w:tcPr>
            <w:tcW w:w="1437" w:type="pct"/>
            <w:vAlign w:val="center"/>
          </w:tcPr>
          <w:p>
            <w:pPr>
              <w:pStyle w:val="207"/>
            </w:pPr>
            <m:oMathPara>
              <m:oMath>
                <m:r>
                  <m:rPr>
                    <m:sty m:val="p"/>
                  </m:rPr>
                  <w:rPr>
                    <w:rFonts w:ascii="Cambria Math" w:hAnsi="Cambria Math"/>
                    <w:sz w:val="18"/>
                    <w:szCs w:val="18"/>
                  </w:rPr>
                  <m:t>0.33≤S</m:t>
                </m:r>
                <m:r>
                  <m:rPr>
                    <m:sty m:val="p"/>
                  </m:rPr>
                  <w:rPr>
                    <w:rFonts w:ascii="Cambria Math" w:hAnsi="Cambria Math"/>
                  </w:rPr>
                  <m:t>&lt;0.5</m:t>
                </m:r>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pct"/>
            <w:shd w:val="clear" w:color="auto" w:fill="auto"/>
            <w:vAlign w:val="center"/>
          </w:tcPr>
          <w:p>
            <w:pPr>
              <w:pStyle w:val="207"/>
            </w:pPr>
            <w:r>
              <w:rPr>
                <w:rFonts w:hint="eastAsia"/>
                <w:bCs/>
                <w:szCs w:val="18"/>
              </w:rPr>
              <w:t>五</w:t>
            </w:r>
            <w:r>
              <w:rPr>
                <w:bCs/>
                <w:szCs w:val="18"/>
              </w:rPr>
              <w:t>级（</w:t>
            </w:r>
            <w:r>
              <w:rPr>
                <w:rFonts w:hint="eastAsia"/>
                <w:bCs/>
                <w:szCs w:val="18"/>
              </w:rPr>
              <w:t>特别重大</w:t>
            </w:r>
            <w:r>
              <w:rPr>
                <w:bCs/>
                <w:szCs w:val="18"/>
              </w:rPr>
              <w:t>）</w:t>
            </w:r>
          </w:p>
        </w:tc>
        <w:tc>
          <w:tcPr>
            <w:tcW w:w="2276" w:type="pct"/>
            <w:vAlign w:val="center"/>
          </w:tcPr>
          <w:p>
            <w:pPr>
              <w:pStyle w:val="207"/>
            </w:pP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S</m:t>
                  </m:r>
                  <m:ctrlPr>
                    <w:rPr>
                      <w:rFonts w:ascii="Cambria Math" w:hAnsi="Cambria Math"/>
                      <w:sz w:val="18"/>
                      <w:szCs w:val="18"/>
                    </w:rPr>
                  </m:ctrlPr>
                </m:sub>
              </m:sSub>
              <m:r>
                <m:rPr>
                  <m:sty m:val="p"/>
                </m:rPr>
                <w:rPr>
                  <w:rFonts w:ascii="Cambria Math" w:hAnsi="Cambria Math"/>
                </w:rPr>
                <m:t>≥0.75</m:t>
              </m:r>
            </m:oMath>
            <w:r>
              <w:rPr>
                <w:rFonts w:hint="eastAsia"/>
              </w:rPr>
              <w:t>或</w:t>
            </w:r>
            <m:oMath>
              <m:sSub>
                <m:sSubPr>
                  <m:ctrlPr>
                    <w:rPr>
                      <w:rFonts w:ascii="Cambria Math" w:hAnsi="Cambria Math"/>
                      <w:sz w:val="18"/>
                      <w:szCs w:val="18"/>
                    </w:rPr>
                  </m:ctrlPr>
                </m:sSubPr>
                <m:e>
                  <m:r>
                    <m:rPr>
                      <m:sty m:val="p"/>
                    </m:rPr>
                    <w:rPr>
                      <w:rFonts w:ascii="Cambria Math" w:hAnsi="Cambria Math"/>
                      <w:sz w:val="18"/>
                      <w:szCs w:val="18"/>
                    </w:rPr>
                    <m:t>S</m:t>
                  </m:r>
                  <m:ctrlPr>
                    <w:rPr>
                      <w:rFonts w:ascii="Cambria Math" w:hAnsi="Cambria Math"/>
                      <w:sz w:val="18"/>
                      <w:szCs w:val="18"/>
                    </w:rPr>
                  </m:ctrlPr>
                </m:e>
                <m:sub>
                  <m:r>
                    <m:rPr/>
                    <w:rPr>
                      <w:rFonts w:ascii="Cambria Math" w:hAnsi="Cambria Math"/>
                      <w:sz w:val="18"/>
                      <w:szCs w:val="18"/>
                    </w:rPr>
                    <m:t>E</m:t>
                  </m:r>
                  <m:ctrlPr>
                    <w:rPr>
                      <w:rFonts w:ascii="Cambria Math" w:hAnsi="Cambria Math"/>
                      <w:sz w:val="18"/>
                      <w:szCs w:val="18"/>
                    </w:rPr>
                  </m:ctrlPr>
                </m:sub>
              </m:sSub>
              <m:r>
                <m:rPr>
                  <m:sty m:val="p"/>
                </m:rPr>
                <w:rPr>
                  <w:rFonts w:ascii="Cambria Math" w:hAnsi="Cambria Math"/>
                </w:rPr>
                <m:t>≥1.0</m:t>
              </m:r>
            </m:oMath>
          </w:p>
        </w:tc>
        <w:tc>
          <w:tcPr>
            <w:tcW w:w="1437" w:type="pct"/>
            <w:vAlign w:val="center"/>
          </w:tcPr>
          <w:p>
            <w:pPr>
              <w:pStyle w:val="207"/>
              <w:rPr>
                <w:sz w:val="18"/>
                <w:szCs w:val="18"/>
              </w:rPr>
            </w:pPr>
            <m:oMathPara>
              <m:oMath>
                <m:r>
                  <m:rPr>
                    <m:sty m:val="p"/>
                  </m:rPr>
                  <w:rPr>
                    <w:rFonts w:ascii="Cambria Math" w:hAnsi="Cambria Math"/>
                    <w:sz w:val="18"/>
                    <w:szCs w:val="18"/>
                  </w:rPr>
                  <m:t>0.5≤S</m:t>
                </m:r>
                <m:r>
                  <m:rPr>
                    <m:sty m:val="p"/>
                  </m:rPr>
                  <w:rPr>
                    <w:rFonts w:ascii="Cambria Math" w:hAnsi="Cambria Math"/>
                  </w:rPr>
                  <m:t>&lt;1.0</m:t>
                </m:r>
              </m:oMath>
            </m:oMathPara>
          </w:p>
        </w:tc>
      </w:tr>
    </w:tbl>
    <w:p>
      <w:pPr>
        <w:pStyle w:val="54"/>
        <w:ind w:firstLine="560"/>
        <w:rPr>
          <w:rFonts w:ascii="Times New Roman"/>
          <w:sz w:val="28"/>
        </w:rPr>
      </w:pPr>
      <w:bookmarkStart w:id="189" w:name="_Toc191997183"/>
      <w:bookmarkStart w:id="190" w:name="_Toc191997469"/>
      <w:bookmarkStart w:id="191" w:name="_Toc191997249"/>
      <w:bookmarkStart w:id="192" w:name="_Toc191997428"/>
    </w:p>
    <w:p>
      <w:pPr>
        <w:pStyle w:val="195"/>
      </w:pPr>
      <w:r>
        <w:rPr>
          <w:rFonts w:hint="eastAsia"/>
        </w:rPr>
        <w:t>商业连续性中断严重程度宜根据中断时间定性判断：</w:t>
      </w:r>
    </w:p>
    <w:p>
      <w:pPr>
        <w:pStyle w:val="192"/>
        <w:numPr>
          <w:ilvl w:val="0"/>
          <w:numId w:val="0"/>
        </w:numPr>
        <w:spacing w:before="120" w:after="120"/>
        <w:ind w:firstLine="480" w:firstLineChars="200"/>
      </w:pPr>
      <w:r>
        <w:rPr>
          <w:rFonts w:hint="eastAsia"/>
        </w:rPr>
        <w:t xml:space="preserve">1 </w:t>
      </w:r>
      <w:r>
        <w:t xml:space="preserve"> </w:t>
      </w:r>
      <w:r>
        <w:rPr>
          <w:rFonts w:hint="eastAsia"/>
        </w:rPr>
        <w:t>较小：中断时间在一天之内；</w:t>
      </w:r>
    </w:p>
    <w:p>
      <w:pPr>
        <w:pStyle w:val="192"/>
        <w:numPr>
          <w:ilvl w:val="0"/>
          <w:numId w:val="0"/>
        </w:numPr>
        <w:spacing w:before="120" w:after="120"/>
        <w:ind w:firstLine="480" w:firstLineChars="200"/>
      </w:pPr>
      <w:r>
        <w:t>2</w:t>
      </w:r>
      <w:r>
        <w:rPr>
          <w:rFonts w:hint="eastAsia"/>
        </w:rPr>
        <w:t xml:space="preserve"> </w:t>
      </w:r>
      <w:r>
        <w:t xml:space="preserve"> </w:t>
      </w:r>
      <w:r>
        <w:rPr>
          <w:rFonts w:hint="eastAsia"/>
        </w:rPr>
        <w:t>中等：中断时间介于一天到一周之间；</w:t>
      </w:r>
    </w:p>
    <w:p>
      <w:pPr>
        <w:pStyle w:val="192"/>
        <w:numPr>
          <w:ilvl w:val="0"/>
          <w:numId w:val="0"/>
        </w:numPr>
        <w:spacing w:before="120" w:after="120"/>
        <w:ind w:firstLine="480" w:firstLineChars="200"/>
      </w:pPr>
      <w:r>
        <w:t>3</w:t>
      </w:r>
      <w:r>
        <w:rPr>
          <w:rFonts w:hint="eastAsia"/>
        </w:rPr>
        <w:t xml:space="preserve"> </w:t>
      </w:r>
      <w:r>
        <w:t xml:space="preserve"> </w:t>
      </w:r>
      <w:r>
        <w:rPr>
          <w:rFonts w:hint="eastAsia"/>
        </w:rPr>
        <w:t>重大：中断时间介于一周到一月之间；</w:t>
      </w:r>
    </w:p>
    <w:p>
      <w:pPr>
        <w:pStyle w:val="192"/>
        <w:numPr>
          <w:ilvl w:val="0"/>
          <w:numId w:val="0"/>
        </w:numPr>
        <w:spacing w:before="120" w:after="120"/>
        <w:ind w:firstLine="480" w:firstLineChars="200"/>
      </w:pPr>
      <w:r>
        <w:t>4</w:t>
      </w:r>
      <w:r>
        <w:rPr>
          <w:rFonts w:hint="eastAsia"/>
        </w:rPr>
        <w:t xml:space="preserve"> </w:t>
      </w:r>
      <w:r>
        <w:t xml:space="preserve"> </w:t>
      </w:r>
      <w:r>
        <w:rPr>
          <w:rFonts w:hint="eastAsia"/>
        </w:rPr>
        <w:t>严重：中断时间在一月以上。</w:t>
      </w:r>
    </w:p>
    <w:p>
      <w:pPr>
        <w:pStyle w:val="255"/>
      </w:pPr>
    </w:p>
    <w:p>
      <w:pPr>
        <w:pStyle w:val="195"/>
      </w:pPr>
      <w:r>
        <w:rPr>
          <w:rFonts w:hint="eastAsia"/>
        </w:rPr>
        <w:t>环境破坏严重程度宜根据环境的恢复期定性判断：</w:t>
      </w:r>
    </w:p>
    <w:p>
      <w:pPr>
        <w:pStyle w:val="192"/>
        <w:numPr>
          <w:ilvl w:val="0"/>
          <w:numId w:val="0"/>
        </w:numPr>
        <w:spacing w:before="120" w:after="120"/>
        <w:ind w:firstLine="480" w:firstLineChars="200"/>
      </w:pPr>
      <w:r>
        <w:rPr>
          <w:rFonts w:hint="eastAsia"/>
        </w:rPr>
        <w:t xml:space="preserve">1 </w:t>
      </w:r>
      <w:r>
        <w:t xml:space="preserve"> </w:t>
      </w:r>
      <w:r>
        <w:rPr>
          <w:rFonts w:hint="eastAsia"/>
        </w:rPr>
        <w:t>较小：恢复期介于一个月到一年之间的环境破坏；</w:t>
      </w:r>
    </w:p>
    <w:p>
      <w:pPr>
        <w:pStyle w:val="192"/>
        <w:numPr>
          <w:ilvl w:val="0"/>
          <w:numId w:val="0"/>
        </w:numPr>
        <w:spacing w:before="120" w:after="120"/>
        <w:ind w:firstLine="480" w:firstLineChars="200"/>
      </w:pPr>
      <w:r>
        <w:t>2</w:t>
      </w:r>
      <w:r>
        <w:rPr>
          <w:rFonts w:hint="eastAsia"/>
        </w:rPr>
        <w:t xml:space="preserve"> </w:t>
      </w:r>
      <w:r>
        <w:t xml:space="preserve"> </w:t>
      </w:r>
      <w:r>
        <w:rPr>
          <w:rFonts w:hint="eastAsia"/>
        </w:rPr>
        <w:t>中等：恢复期介于一年到三年之间的环境破坏；</w:t>
      </w:r>
    </w:p>
    <w:p>
      <w:pPr>
        <w:pStyle w:val="192"/>
        <w:numPr>
          <w:ilvl w:val="0"/>
          <w:numId w:val="0"/>
        </w:numPr>
        <w:spacing w:before="120" w:after="120"/>
        <w:ind w:firstLine="480" w:firstLineChars="200"/>
      </w:pPr>
      <w:r>
        <w:t>3</w:t>
      </w:r>
      <w:r>
        <w:rPr>
          <w:rFonts w:hint="eastAsia"/>
        </w:rPr>
        <w:t xml:space="preserve"> </w:t>
      </w:r>
      <w:r>
        <w:t xml:space="preserve"> </w:t>
      </w:r>
      <w:r>
        <w:rPr>
          <w:rFonts w:hint="eastAsia"/>
        </w:rPr>
        <w:t>重大：恢复期介于三年到十年之间的环境破坏；</w:t>
      </w:r>
    </w:p>
    <w:p>
      <w:pPr>
        <w:pStyle w:val="192"/>
        <w:numPr>
          <w:ilvl w:val="0"/>
          <w:numId w:val="0"/>
        </w:numPr>
        <w:spacing w:before="120" w:after="120"/>
        <w:ind w:firstLine="480" w:firstLineChars="200"/>
      </w:pPr>
      <w:r>
        <w:t>4</w:t>
      </w:r>
      <w:r>
        <w:rPr>
          <w:rFonts w:hint="eastAsia"/>
        </w:rPr>
        <w:t xml:space="preserve"> </w:t>
      </w:r>
      <w:r>
        <w:t xml:space="preserve"> </w:t>
      </w:r>
      <w:r>
        <w:rPr>
          <w:rFonts w:hint="eastAsia"/>
        </w:rPr>
        <w:t>严重：恢复期在十年以上的环境破坏。</w:t>
      </w:r>
    </w:p>
    <w:p>
      <w:pPr>
        <w:pStyle w:val="255"/>
      </w:pPr>
    </w:p>
    <w:bookmarkEnd w:id="189"/>
    <w:bookmarkEnd w:id="190"/>
    <w:bookmarkEnd w:id="191"/>
    <w:bookmarkEnd w:id="192"/>
    <w:p>
      <w:pPr>
        <w:pStyle w:val="135"/>
        <w:spacing w:before="120" w:after="120"/>
        <w:ind w:left="0"/>
        <w:jc w:val="center"/>
        <w:rPr>
          <w:rFonts w:ascii="Times New Roman"/>
          <w:sz w:val="28"/>
        </w:rPr>
      </w:pPr>
      <w:bookmarkStart w:id="193" w:name="_Toc214008851"/>
      <w:bookmarkStart w:id="194" w:name="_Toc214005519"/>
      <w:bookmarkStart w:id="195" w:name="_Toc214005688"/>
      <w:bookmarkStart w:id="196" w:name="_Toc23768"/>
      <w:bookmarkStart w:id="197" w:name="_Toc191997429"/>
      <w:bookmarkStart w:id="198" w:name="_Toc191997250"/>
      <w:bookmarkStart w:id="199" w:name="_Toc191997184"/>
      <w:bookmarkStart w:id="200" w:name="_Toc191997470"/>
      <w:r>
        <w:rPr>
          <w:rFonts w:ascii="Times New Roman"/>
          <w:sz w:val="28"/>
        </w:rPr>
        <w:t>火灾风险判定</w:t>
      </w:r>
      <w:bookmarkEnd w:id="193"/>
      <w:bookmarkEnd w:id="194"/>
      <w:bookmarkEnd w:id="195"/>
      <w:bookmarkEnd w:id="196"/>
    </w:p>
    <w:p>
      <w:pPr>
        <w:pStyle w:val="195"/>
      </w:pPr>
      <w:r>
        <w:rPr>
          <w:rFonts w:hint="eastAsia"/>
        </w:rPr>
        <w:t>建筑三维</w:t>
      </w:r>
      <w:r>
        <w:t>火灾风险</w:t>
      </w:r>
      <w:r>
        <w:rPr>
          <w:rFonts w:hint="eastAsia"/>
        </w:rPr>
        <w:t>应根据火灾概率、火灾损失、消防站灭火救援能力确定，其中火灾损失宜包括人员损失和直接财产损失。建筑三维火灾风险可根据</w:t>
      </w:r>
      <w:r>
        <w:t>公式（5.8.1）</w:t>
      </w:r>
      <w:r>
        <w:rPr>
          <w:rFonts w:hint="eastAsia"/>
        </w:rPr>
        <w:t>计算：</w:t>
      </w:r>
    </w:p>
    <w:p>
      <w:pPr>
        <w:pStyle w:val="54"/>
        <w:ind w:firstLine="480"/>
        <w:jc w:val="right"/>
        <w:rPr>
          <w:rFonts w:ascii="Times New Roman"/>
        </w:rPr>
      </w:pPr>
      <w:r>
        <w:rPr>
          <w:rFonts w:ascii="Times New Roman"/>
        </w:rPr>
        <w:t>R=PST……………………………………………（5.8.1）</w:t>
      </w:r>
    </w:p>
    <w:p>
      <w:pPr>
        <w:pStyle w:val="54"/>
        <w:ind w:left="752" w:leftChars="286" w:hanging="151" w:hangingChars="63"/>
        <w:rPr>
          <w:rFonts w:ascii="Times New Roman"/>
        </w:rPr>
      </w:pPr>
      <w:r>
        <w:rPr>
          <w:rFonts w:ascii="Times New Roman"/>
        </w:rPr>
        <w:t>式中：</w:t>
      </w:r>
    </w:p>
    <w:p>
      <w:pPr>
        <w:pStyle w:val="54"/>
        <w:ind w:left="601" w:leftChars="286" w:firstLine="480"/>
        <w:rPr>
          <w:rFonts w:ascii="Times New Roman"/>
        </w:rPr>
      </w:pPr>
      <w:r>
        <w:rPr>
          <w:rFonts w:ascii="Times New Roman"/>
        </w:rPr>
        <w:t>R——火灾风险；</w:t>
      </w:r>
    </w:p>
    <w:p>
      <w:pPr>
        <w:pStyle w:val="54"/>
        <w:ind w:left="601" w:leftChars="286" w:firstLine="480"/>
        <w:rPr>
          <w:rFonts w:ascii="Times New Roman"/>
        </w:rPr>
      </w:pPr>
      <w:r>
        <w:rPr>
          <w:rFonts w:ascii="Times New Roman"/>
        </w:rPr>
        <w:t>P——火灾</w:t>
      </w:r>
      <w:r>
        <w:rPr>
          <w:rFonts w:hint="eastAsia" w:ascii="Times New Roman"/>
        </w:rPr>
        <w:t>发生的可能性，即火灾</w:t>
      </w:r>
      <w:r>
        <w:rPr>
          <w:rFonts w:ascii="Times New Roman"/>
        </w:rPr>
        <w:t>概率</w:t>
      </w:r>
      <w:r>
        <w:rPr>
          <w:rFonts w:hint="eastAsia" w:ascii="Times New Roman"/>
        </w:rPr>
        <w:t>，应根据《建筑火灾概率计算标准》（编制中）的相关规定确定</w:t>
      </w:r>
      <w:r>
        <w:rPr>
          <w:rFonts w:ascii="Times New Roman"/>
        </w:rPr>
        <w:t>；</w:t>
      </w:r>
    </w:p>
    <w:p>
      <w:pPr>
        <w:pStyle w:val="54"/>
        <w:ind w:left="601" w:leftChars="286" w:firstLine="480"/>
        <w:rPr>
          <w:rFonts w:ascii="Times New Roman"/>
        </w:rPr>
      </w:pPr>
      <w:r>
        <w:rPr>
          <w:rFonts w:ascii="Times New Roman"/>
        </w:rPr>
        <w:t>S——火灾</w:t>
      </w:r>
      <w:r>
        <w:rPr>
          <w:rFonts w:hint="eastAsia" w:ascii="Times New Roman"/>
        </w:rPr>
        <w:t>可能造成的</w:t>
      </w:r>
      <w:r>
        <w:rPr>
          <w:rFonts w:ascii="Times New Roman"/>
        </w:rPr>
        <w:t>后果</w:t>
      </w:r>
      <w:r>
        <w:rPr>
          <w:rFonts w:hint="eastAsia" w:ascii="Times New Roman"/>
        </w:rPr>
        <w:t>，即火灾损失；</w:t>
      </w:r>
    </w:p>
    <w:p>
      <w:pPr>
        <w:pStyle w:val="54"/>
        <w:ind w:left="601" w:leftChars="286" w:firstLine="480"/>
        <w:rPr>
          <w:rFonts w:ascii="Times New Roman"/>
        </w:rPr>
      </w:pPr>
      <w:r>
        <w:rPr>
          <w:rFonts w:hint="eastAsia" w:ascii="Times New Roman"/>
        </w:rPr>
        <w:t>T——消防队灭火救援能力</w:t>
      </w:r>
      <w:r>
        <w:rPr>
          <w:rFonts w:ascii="Times New Roman"/>
        </w:rPr>
        <w:t>。</w:t>
      </w:r>
    </w:p>
    <w:p>
      <w:pPr>
        <w:pStyle w:val="195"/>
      </w:pPr>
      <w:r>
        <w:rPr>
          <w:rFonts w:hint="eastAsia"/>
        </w:rPr>
        <w:t>建筑三维</w:t>
      </w:r>
      <w:r>
        <w:t>火灾风险</w:t>
      </w:r>
      <w:r>
        <w:rPr>
          <w:rFonts w:hint="eastAsia"/>
        </w:rPr>
        <w:t>等级由高到低划分为5个等级，见表</w:t>
      </w:r>
      <w:r>
        <w:t>5.8.2</w:t>
      </w:r>
      <w:r>
        <w:rPr>
          <w:rFonts w:hint="eastAsia"/>
        </w:rPr>
        <w:t>。</w:t>
      </w:r>
    </w:p>
    <w:p>
      <w:pPr>
        <w:pStyle w:val="142"/>
        <w:spacing w:before="120" w:after="120"/>
      </w:pPr>
      <w:r>
        <w:rPr>
          <w:rFonts w:hint="eastAsia"/>
        </w:rPr>
        <w:t>表</w:t>
      </w:r>
      <w:r>
        <w:t xml:space="preserve">5.8.2  </w:t>
      </w:r>
      <w:r>
        <w:rPr>
          <w:rFonts w:hint="eastAsia"/>
        </w:rPr>
        <w:t>建筑三维火灾风险等级划分</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7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w:r>
              <w:rPr>
                <w:rFonts w:hint="eastAsia"/>
              </w:rPr>
              <w:t>风险等级</w:t>
            </w:r>
          </w:p>
        </w:tc>
        <w:tc>
          <w:tcPr>
            <w:tcW w:w="3940" w:type="pct"/>
            <w:shd w:val="clear" w:color="auto" w:fill="auto"/>
            <w:vAlign w:val="center"/>
          </w:tcPr>
          <w:p>
            <w:pPr>
              <w:pStyle w:val="207"/>
            </w:pPr>
            <w:r>
              <w:rPr>
                <w:rFonts w:hint="eastAsia"/>
              </w:rPr>
              <w:t>风险分值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w:r>
              <w:rPr>
                <w:rFonts w:hint="eastAsia"/>
              </w:rPr>
              <w:t>低风险</w:t>
            </w:r>
          </w:p>
        </w:tc>
        <w:tc>
          <w:tcPr>
            <w:tcW w:w="3940" w:type="pct"/>
            <w:shd w:val="clear" w:color="auto" w:fill="auto"/>
            <w:vAlign w:val="center"/>
          </w:tcPr>
          <w:p>
            <w:pPr>
              <w:pStyle w:val="207"/>
              <w:jc w:val="left"/>
            </w:pPr>
            <m:oMathPara>
              <m:oMath>
                <m:r>
                  <m:rPr>
                    <m:sty m:val="p"/>
                  </m:rPr>
                  <w:rPr>
                    <w:rFonts w:ascii="Cambria Math" w:hAnsi="Cambria Math"/>
                  </w:rPr>
                  <m:t>R≤1.0×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−8</m:t>
                    </m:r>
                    <m:ctrlPr>
                      <w:rPr>
                        <w:rFonts w:ascii="Cambria Math" w:hAnsi="Cambria Math"/>
                      </w:rPr>
                    </m:ctrlPr>
                  </m:sup>
                </m:sSup>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w:r>
              <w:rPr>
                <w:rFonts w:hint="eastAsia"/>
                <w:bCs/>
                <w:szCs w:val="18"/>
              </w:rPr>
              <w:t>较低风险</w:t>
            </w:r>
          </w:p>
        </w:tc>
        <w:tc>
          <w:tcPr>
            <w:tcW w:w="3940" w:type="pct"/>
            <w:shd w:val="clear" w:color="auto" w:fill="auto"/>
            <w:vAlign w:val="center"/>
          </w:tcPr>
          <w:p>
            <w:pPr>
              <w:pStyle w:val="207"/>
              <w:jc w:val="both"/>
            </w:pPr>
            <m:oMathPara>
              <m:oMath>
                <m:r>
                  <m:rPr>
                    <m:sty m:val="p"/>
                  </m:rPr>
                  <w:rPr>
                    <w:rFonts w:ascii="Cambria Math" w:hAnsi="Cambria Math"/>
                  </w:rPr>
                  <m:t>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−8</m:t>
                    </m:r>
                    <m:ctrlPr>
                      <w:rPr>
                        <w:rFonts w:ascii="Cambria Math" w:hAnsi="Cambria Math"/>
                      </w:rPr>
                    </m:ctrlPr>
                  </m:sup>
                </m:sSup>
                <m:r>
                  <m:rPr>
                    <m:sty m:val="p"/>
                  </m:rPr>
                  <w:rPr>
                    <w:rFonts w:ascii="Cambria Math" w:hAnsi="Cambria Math"/>
                  </w:rPr>
                  <m:t>&lt;R≤1.0×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w:r>
              <w:rPr>
                <w:rFonts w:hint="eastAsia"/>
              </w:rPr>
              <w:t>中风险</w:t>
            </w:r>
          </w:p>
        </w:tc>
        <w:tc>
          <w:tcPr>
            <w:tcW w:w="3940" w:type="pct"/>
            <w:shd w:val="clear" w:color="auto" w:fill="auto"/>
            <w:vAlign w:val="center"/>
          </w:tcPr>
          <w:p>
            <w:pPr>
              <w:pStyle w:val="207"/>
              <w:jc w:val="both"/>
            </w:pPr>
            <m:oMathPara>
              <m:oMath>
                <m:r>
                  <m:rPr>
                    <m:sty m:val="p"/>
                  </m:rPr>
                  <w:rPr>
                    <w:rFonts w:ascii="Cambria Math" w:hAnsi="Cambria Math"/>
                  </w:rPr>
                  <m:t>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−6</m:t>
                    </m:r>
                    <m:ctrlPr>
                      <w:rPr>
                        <w:rFonts w:ascii="Cambria Math" w:hAnsi="Cambria Math"/>
                      </w:rPr>
                    </m:ctrlPr>
                  </m:sup>
                </m:sSup>
                <m:r>
                  <m:rPr>
                    <m:sty m:val="p"/>
                  </m:rPr>
                  <w:rPr>
                    <w:rFonts w:ascii="Cambria Math" w:hAnsi="Cambria Math"/>
                  </w:rPr>
                  <m:t>&lt;R≤1.0×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−4</m:t>
                    </m:r>
                    <m:ctrlPr>
                      <w:rPr>
                        <w:rFonts w:ascii="Cambria Math" w:hAnsi="Cambria Math"/>
                      </w:rPr>
                    </m:ctrlPr>
                  </m:sup>
                </m:sSup>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w:r>
              <w:rPr>
                <w:rFonts w:hint="eastAsia"/>
              </w:rPr>
              <w:t>较高风险</w:t>
            </w:r>
          </w:p>
        </w:tc>
        <w:tc>
          <w:tcPr>
            <w:tcW w:w="3940" w:type="pct"/>
            <w:shd w:val="clear" w:color="auto" w:fill="auto"/>
            <w:vAlign w:val="center"/>
          </w:tcPr>
          <w:p>
            <w:pPr>
              <w:pStyle w:val="207"/>
              <w:jc w:val="both"/>
            </w:pPr>
            <m:oMathPara>
              <m:oMath>
                <m:r>
                  <m:rPr>
                    <m:sty m:val="p"/>
                  </m:rPr>
                  <w:rPr>
                    <w:rFonts w:ascii="Cambria Math" w:hAnsi="Cambria Math"/>
                  </w:rPr>
                  <m:t>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−4</m:t>
                    </m:r>
                    <m:ctrlPr>
                      <w:rPr>
                        <w:rFonts w:ascii="Cambria Math" w:hAnsi="Cambria Math"/>
                      </w:rPr>
                    </m:ctrlPr>
                  </m:sup>
                </m:sSup>
                <m:r>
                  <m:rPr>
                    <m:sty m:val="p"/>
                  </m:rPr>
                  <w:rPr>
                    <w:rFonts w:ascii="Cambria Math" w:hAnsi="Cambria Math"/>
                  </w:rPr>
                  <m:t>&lt;R≤1.0×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−2</m:t>
                    </m:r>
                    <m:ctrlPr>
                      <w:rPr>
                        <w:rFonts w:ascii="Cambria Math" w:hAnsi="Cambria Math"/>
                      </w:rPr>
                    </m:ctrlPr>
                  </m:sup>
                </m:sSup>
              </m:oMath>
            </m:oMathPara>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60" w:type="pct"/>
            <w:shd w:val="clear" w:color="auto" w:fill="auto"/>
            <w:vAlign w:val="center"/>
          </w:tcPr>
          <w:p>
            <w:pPr>
              <w:pStyle w:val="207"/>
            </w:pPr>
            <w:r>
              <w:rPr>
                <w:rFonts w:hint="eastAsia"/>
              </w:rPr>
              <w:t>高风险</w:t>
            </w:r>
          </w:p>
        </w:tc>
        <w:tc>
          <w:tcPr>
            <w:tcW w:w="3940" w:type="pct"/>
            <w:shd w:val="clear" w:color="auto" w:fill="auto"/>
            <w:vAlign w:val="center"/>
          </w:tcPr>
          <w:p>
            <w:pPr>
              <w:pStyle w:val="207"/>
              <w:jc w:val="both"/>
            </w:pPr>
            <m:oMathPara>
              <m:oMath>
                <m:r>
                  <m:rPr>
                    <m:sty m:val="p"/>
                  </m:rPr>
                  <w:rPr>
                    <w:rFonts w:ascii="Cambria Math" w:hAnsi="Cambria Math"/>
                  </w:rPr>
                  <m:t>1.0×</m:t>
                </m:r>
                <m:sSup>
                  <m:sSupPr>
                    <m:ctrlPr>
                      <w:rPr>
                        <w:rFonts w:ascii="Cambria Math" w:hAnsi="Cambria Math"/>
                      </w:rPr>
                    </m:ctrlPr>
                  </m:sSupPr>
                  <m:e>
                    <m:r>
                      <m:rPr>
                        <m:sty m:val="p"/>
                      </m:rPr>
                      <w:rPr>
                        <w:rFonts w:ascii="Cambria Math" w:hAnsi="Cambria Math"/>
                      </w:rPr>
                      <m:t>10</m:t>
                    </m:r>
                    <m:ctrlPr>
                      <w:rPr>
                        <w:rFonts w:ascii="Cambria Math" w:hAnsi="Cambria Math"/>
                      </w:rPr>
                    </m:ctrlPr>
                  </m:e>
                  <m:sup>
                    <m:r>
                      <m:rPr/>
                      <w:rPr>
                        <w:rFonts w:ascii="Cambria Math" w:hAnsi="Cambria Math"/>
                      </w:rPr>
                      <m:t>−2</m:t>
                    </m:r>
                    <m:ctrlPr>
                      <w:rPr>
                        <w:rFonts w:ascii="Cambria Math" w:hAnsi="Cambria Math"/>
                      </w:rPr>
                    </m:ctrlPr>
                  </m:sup>
                </m:sSup>
                <m:r>
                  <m:rPr>
                    <m:sty m:val="p"/>
                  </m:rPr>
                  <w:rPr>
                    <w:rFonts w:ascii="Cambria Math" w:hAnsi="Cambria Math"/>
                  </w:rPr>
                  <m:t>&lt;R≤1.0</m:t>
                </m:r>
              </m:oMath>
            </m:oMathPara>
          </w:p>
        </w:tc>
      </w:tr>
    </w:tbl>
    <w:p>
      <w:pPr>
        <w:pStyle w:val="54"/>
        <w:ind w:firstLine="0" w:firstLineChars="0"/>
        <w:rPr>
          <w:rFonts w:ascii="Times New Roman"/>
        </w:rPr>
      </w:pPr>
    </w:p>
    <w:p>
      <w:pPr>
        <w:pStyle w:val="54"/>
        <w:ind w:firstLine="0" w:firstLineChars="0"/>
        <w:rPr>
          <w:rFonts w:ascii="Times New Roman"/>
        </w:rPr>
      </w:pPr>
    </w:p>
    <w:p>
      <w:pPr>
        <w:pStyle w:val="134"/>
        <w:spacing w:before="240" w:after="240"/>
        <w:ind w:left="0"/>
        <w:jc w:val="center"/>
        <w:rPr>
          <w:rFonts w:ascii="Times New Roman"/>
          <w:sz w:val="32"/>
        </w:rPr>
        <w:sectPr>
          <w:pgSz w:w="11906" w:h="16838"/>
          <w:pgMar w:top="2410" w:right="1134" w:bottom="1134" w:left="1134" w:header="1418" w:footer="1134" w:gutter="284"/>
          <w:cols w:space="425" w:num="1"/>
          <w:formProt w:val="0"/>
          <w:docGrid w:linePitch="312" w:charSpace="0"/>
        </w:sectPr>
      </w:pPr>
    </w:p>
    <w:p>
      <w:pPr>
        <w:pStyle w:val="134"/>
        <w:spacing w:before="240" w:after="240"/>
        <w:ind w:left="0"/>
        <w:jc w:val="center"/>
        <w:rPr>
          <w:rFonts w:ascii="Times New Roman"/>
          <w:sz w:val="32"/>
        </w:rPr>
      </w:pPr>
      <w:bookmarkStart w:id="201" w:name="_Toc214005520"/>
      <w:bookmarkStart w:id="202" w:name="_Toc214005689"/>
      <w:bookmarkStart w:id="203" w:name="_Toc214008852"/>
      <w:bookmarkStart w:id="204" w:name="_Toc60"/>
      <w:r>
        <w:rPr>
          <w:rFonts w:ascii="Times New Roman"/>
          <w:sz w:val="32"/>
        </w:rPr>
        <w:t>火灾风险评价</w:t>
      </w:r>
      <w:bookmarkEnd w:id="197"/>
      <w:bookmarkEnd w:id="198"/>
      <w:bookmarkEnd w:id="199"/>
      <w:bookmarkEnd w:id="200"/>
      <w:bookmarkEnd w:id="201"/>
      <w:bookmarkEnd w:id="202"/>
      <w:bookmarkEnd w:id="203"/>
      <w:bookmarkEnd w:id="204"/>
    </w:p>
    <w:p>
      <w:pPr>
        <w:pStyle w:val="135"/>
        <w:spacing w:before="120" w:after="120"/>
        <w:ind w:left="0"/>
        <w:jc w:val="center"/>
        <w:rPr>
          <w:rFonts w:ascii="Times New Roman"/>
          <w:sz w:val="28"/>
        </w:rPr>
      </w:pPr>
      <w:bookmarkStart w:id="205" w:name="_Toc214005521"/>
      <w:bookmarkStart w:id="206" w:name="_Toc214008853"/>
      <w:bookmarkStart w:id="207" w:name="_Toc214005690"/>
      <w:bookmarkStart w:id="208" w:name="_Toc24794"/>
      <w:bookmarkStart w:id="209" w:name="_Toc191997185"/>
      <w:bookmarkStart w:id="210" w:name="_Toc191997471"/>
      <w:bookmarkStart w:id="211" w:name="_Toc191997251"/>
      <w:bookmarkStart w:id="212" w:name="_Toc191997430"/>
      <w:r>
        <w:rPr>
          <w:rFonts w:hint="eastAsia" w:ascii="Times New Roman"/>
          <w:sz w:val="28"/>
        </w:rPr>
        <w:t>火灾风险准则</w:t>
      </w:r>
      <w:bookmarkEnd w:id="205"/>
      <w:bookmarkEnd w:id="206"/>
      <w:bookmarkEnd w:id="207"/>
      <w:bookmarkEnd w:id="208"/>
    </w:p>
    <w:p>
      <w:pPr>
        <w:pStyle w:val="195"/>
      </w:pPr>
      <w:r>
        <w:rPr>
          <w:rFonts w:hint="eastAsia"/>
        </w:rPr>
        <w:t>应根据火灾风险的可接受度确定火灾风险准则，将风险划分为不可接受风险区、中间风险区（A</w:t>
      </w:r>
      <w:r>
        <w:t>LARP</w:t>
      </w:r>
      <w:r>
        <w:rPr>
          <w:rFonts w:hint="eastAsia"/>
        </w:rPr>
        <w:t>区/最低合理可行区）、可接受风险区3个区域，并应符合下列规定：</w:t>
      </w:r>
    </w:p>
    <w:p>
      <w:pPr>
        <w:jc w:val="center"/>
        <w:rPr>
          <w:rFonts w:ascii="Times New Roman" w:hAnsi="Times New Roman"/>
        </w:rPr>
      </w:pPr>
      <w:r>
        <w:rPr>
          <w:rFonts w:hint="eastAsia" w:ascii="Times New Roman" w:hAnsi="Times New Roman"/>
        </w:rPr>
        <w:t>表</w:t>
      </w:r>
      <w:r>
        <w:rPr>
          <w:rFonts w:ascii="Times New Roman" w:hAnsi="Times New Roman"/>
        </w:rPr>
        <w:t xml:space="preserve">6.1.1  </w:t>
      </w:r>
      <w:r>
        <w:rPr>
          <w:rFonts w:hint="eastAsia" w:ascii="Times New Roman" w:hAnsi="Times New Roman"/>
        </w:rPr>
        <w:t>火灾风险可容许程度分类</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3"/>
        <w:gridCol w:w="76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pct"/>
            <w:vAlign w:val="center"/>
          </w:tcPr>
          <w:p>
            <w:pPr>
              <w:jc w:val="center"/>
              <w:rPr>
                <w:rFonts w:ascii="Times New Roman" w:hAnsi="Times New Roman" w:eastAsia="宋体" w:cs="Times New Roman"/>
              </w:rPr>
            </w:pPr>
            <w:r>
              <w:rPr>
                <w:rFonts w:hint="eastAsia" w:ascii="Times New Roman" w:hAnsi="Times New Roman" w:eastAsia="宋体" w:cs="Times New Roman"/>
              </w:rPr>
              <w:t>风险可容许程度</w:t>
            </w:r>
          </w:p>
        </w:tc>
        <w:tc>
          <w:tcPr>
            <w:tcW w:w="4016" w:type="pct"/>
            <w:vAlign w:val="center"/>
          </w:tcPr>
          <w:p>
            <w:pPr>
              <w:jc w:val="center"/>
              <w:rPr>
                <w:rFonts w:ascii="Times New Roman" w:hAnsi="Times New Roman" w:eastAsia="宋体" w:cs="Times New Roman"/>
              </w:rPr>
            </w:pPr>
            <w:r>
              <w:rPr>
                <w:rFonts w:hint="eastAsia" w:ascii="Times New Roman" w:hAnsi="Times New Roman" w:eastAsia="宋体" w:cs="Times New Roman"/>
              </w:rPr>
              <w:t>详细描述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pct"/>
            <w:vAlign w:val="center"/>
          </w:tcPr>
          <w:p>
            <w:pPr>
              <w:jc w:val="center"/>
              <w:rPr>
                <w:rFonts w:ascii="Times New Roman" w:hAnsi="Times New Roman" w:eastAsia="宋体" w:cs="Times New Roman"/>
              </w:rPr>
            </w:pPr>
            <w:r>
              <w:rPr>
                <w:rFonts w:hint="eastAsia" w:ascii="Times New Roman" w:hAnsi="Times New Roman" w:eastAsia="宋体" w:cs="Times New Roman"/>
              </w:rPr>
              <w:t>不可接受风险区</w:t>
            </w:r>
          </w:p>
        </w:tc>
        <w:tc>
          <w:tcPr>
            <w:tcW w:w="4016" w:type="pct"/>
            <w:vAlign w:val="center"/>
          </w:tcPr>
          <w:p>
            <w:pPr>
              <w:jc w:val="left"/>
              <w:rPr>
                <w:rFonts w:ascii="Times New Roman" w:hAnsi="Times New Roman" w:eastAsia="宋体" w:cs="Times New Roman"/>
              </w:rPr>
            </w:pPr>
            <w:r>
              <w:rPr>
                <w:rFonts w:hint="eastAsia" w:ascii="Times New Roman" w:hAnsi="Times New Roman" w:eastAsia="宋体" w:cs="Times New Roman"/>
              </w:rPr>
              <w:t>在该区域内无论相关活动可以带来什么收益，风险等级都是无法承受的，必须不惜代价进行风险应对；火灾风险评估结果为较高风险等级、高风险等级。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pct"/>
            <w:vAlign w:val="center"/>
          </w:tcPr>
          <w:p>
            <w:pPr>
              <w:jc w:val="center"/>
              <w:rPr>
                <w:rFonts w:ascii="Times New Roman" w:hAnsi="Times New Roman" w:eastAsia="宋体" w:cs="Times New Roman"/>
              </w:rPr>
            </w:pPr>
            <w:r>
              <w:rPr>
                <w:rFonts w:hint="eastAsia" w:ascii="Times New Roman" w:hAnsi="Times New Roman" w:eastAsia="宋体" w:cs="Times New Roman"/>
              </w:rPr>
              <w:t>中间风险区</w:t>
            </w:r>
          </w:p>
        </w:tc>
        <w:tc>
          <w:tcPr>
            <w:tcW w:w="4016" w:type="pct"/>
            <w:vAlign w:val="center"/>
          </w:tcPr>
          <w:p>
            <w:pPr>
              <w:jc w:val="left"/>
              <w:rPr>
                <w:rFonts w:ascii="Times New Roman" w:hAnsi="Times New Roman" w:eastAsia="宋体" w:cs="Times New Roman"/>
              </w:rPr>
            </w:pPr>
            <w:r>
              <w:rPr>
                <w:rFonts w:hint="eastAsia" w:ascii="Times New Roman" w:hAnsi="Times New Roman" w:eastAsia="宋体" w:cs="Times New Roman"/>
              </w:rPr>
              <w:t>对该区域内风险的应对需要考虑实施应对措施的成本与收益，并权衡机遇与潜在后果；火灾风险评估结果为中风险等级。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4" w:type="pct"/>
            <w:vAlign w:val="center"/>
          </w:tcPr>
          <w:p>
            <w:pPr>
              <w:jc w:val="center"/>
              <w:rPr>
                <w:rFonts w:ascii="Times New Roman" w:hAnsi="Times New Roman" w:eastAsia="宋体" w:cs="Times New Roman"/>
              </w:rPr>
            </w:pPr>
            <w:r>
              <w:rPr>
                <w:rFonts w:hint="eastAsia" w:ascii="Times New Roman" w:hAnsi="Times New Roman" w:eastAsia="宋体" w:cs="Times New Roman"/>
              </w:rPr>
              <w:t>可接受风险区</w:t>
            </w:r>
          </w:p>
        </w:tc>
        <w:tc>
          <w:tcPr>
            <w:tcW w:w="4016" w:type="pct"/>
            <w:vAlign w:val="center"/>
          </w:tcPr>
          <w:p>
            <w:pPr>
              <w:jc w:val="left"/>
              <w:rPr>
                <w:rFonts w:ascii="Times New Roman" w:hAnsi="Times New Roman" w:eastAsia="宋体" w:cs="Times New Roman"/>
              </w:rPr>
            </w:pPr>
            <w:r>
              <w:rPr>
                <w:rFonts w:hint="eastAsia" w:ascii="Times New Roman" w:hAnsi="Times New Roman" w:eastAsia="宋体" w:cs="Times New Roman"/>
              </w:rPr>
              <w:t>该区域中的风险等级微不足道，或者风险很小，无需采取任何风险应对措施；火灾风险评估结果为较低风险等级、低风险等级。</w:t>
            </w:r>
          </w:p>
        </w:tc>
      </w:tr>
      <w:bookmarkEnd w:id="209"/>
      <w:bookmarkEnd w:id="210"/>
      <w:bookmarkEnd w:id="211"/>
      <w:bookmarkEnd w:id="212"/>
    </w:tbl>
    <w:p>
      <w:pPr>
        <w:pStyle w:val="54"/>
        <w:ind w:firstLine="480"/>
        <w:rPr>
          <w:rFonts w:ascii="Times New Roman"/>
        </w:rPr>
      </w:pPr>
      <w:bookmarkStart w:id="213" w:name="_Toc191997431"/>
      <w:bookmarkStart w:id="214" w:name="_Toc191997186"/>
      <w:bookmarkStart w:id="215" w:name="_Toc191997252"/>
      <w:bookmarkStart w:id="216" w:name="_Toc191997472"/>
    </w:p>
    <w:p>
      <w:pPr>
        <w:pStyle w:val="135"/>
        <w:spacing w:before="120" w:after="120"/>
        <w:ind w:left="0"/>
        <w:jc w:val="center"/>
        <w:rPr>
          <w:rFonts w:ascii="Times New Roman"/>
          <w:sz w:val="28"/>
        </w:rPr>
      </w:pPr>
      <w:bookmarkStart w:id="217" w:name="_Toc214005522"/>
      <w:bookmarkStart w:id="218" w:name="_Toc214008854"/>
      <w:bookmarkStart w:id="219" w:name="_Toc214005691"/>
      <w:bookmarkStart w:id="220" w:name="_Toc32704"/>
      <w:r>
        <w:rPr>
          <w:rFonts w:ascii="Times New Roman"/>
          <w:sz w:val="28"/>
        </w:rPr>
        <w:t>火灾风险</w:t>
      </w:r>
      <w:r>
        <w:rPr>
          <w:rFonts w:hint="eastAsia" w:ascii="Times New Roman"/>
          <w:sz w:val="28"/>
        </w:rPr>
        <w:t>不确定性和敏感度分析</w:t>
      </w:r>
      <w:bookmarkEnd w:id="213"/>
      <w:bookmarkEnd w:id="214"/>
      <w:bookmarkEnd w:id="215"/>
      <w:bookmarkEnd w:id="216"/>
      <w:bookmarkEnd w:id="217"/>
      <w:bookmarkEnd w:id="218"/>
      <w:bookmarkEnd w:id="219"/>
      <w:bookmarkEnd w:id="220"/>
    </w:p>
    <w:p>
      <w:pPr>
        <w:pStyle w:val="195"/>
      </w:pPr>
      <w:r>
        <w:t>火灾风险分析</w:t>
      </w:r>
      <w:r>
        <w:rPr>
          <w:rFonts w:hint="eastAsia"/>
        </w:rPr>
        <w:t>结果的不确定性影响因素宜包括下列内容：</w:t>
      </w:r>
    </w:p>
    <w:p>
      <w:pPr>
        <w:pStyle w:val="255"/>
        <w:ind w:firstLine="482" w:firstLineChars="200"/>
      </w:pPr>
      <w:r>
        <w:rPr>
          <w:b/>
        </w:rPr>
        <w:t>1</w:t>
      </w:r>
      <w:r>
        <w:t xml:space="preserve">  </w:t>
      </w:r>
      <w:r>
        <w:rPr>
          <w:rFonts w:hint="eastAsia"/>
        </w:rPr>
        <w:t>数据收集方法的不一致。</w:t>
      </w:r>
    </w:p>
    <w:p>
      <w:pPr>
        <w:pStyle w:val="255"/>
        <w:ind w:firstLine="482" w:firstLineChars="200"/>
      </w:pPr>
      <w:r>
        <w:rPr>
          <w:b/>
        </w:rPr>
        <w:t>2</w:t>
      </w:r>
      <w:r>
        <w:t xml:space="preserve">  </w:t>
      </w:r>
      <w:r>
        <w:rPr>
          <w:rFonts w:hint="eastAsia"/>
        </w:rPr>
        <w:t>数据收集类型的不充分。</w:t>
      </w:r>
    </w:p>
    <w:p>
      <w:pPr>
        <w:pStyle w:val="255"/>
        <w:ind w:firstLine="482" w:firstLineChars="200"/>
      </w:pPr>
      <w:r>
        <w:rPr>
          <w:b/>
        </w:rPr>
        <w:t>3</w:t>
      </w:r>
      <w:r>
        <w:t xml:space="preserve">  </w:t>
      </w:r>
      <w:r>
        <w:rPr>
          <w:rFonts w:hint="eastAsia"/>
        </w:rPr>
        <w:t>数据收集数量的不足。</w:t>
      </w:r>
    </w:p>
    <w:p>
      <w:pPr>
        <w:pStyle w:val="255"/>
        <w:ind w:firstLine="482" w:firstLineChars="200"/>
      </w:pPr>
      <w:r>
        <w:rPr>
          <w:b/>
        </w:rPr>
        <w:t>4</w:t>
      </w:r>
      <w:r>
        <w:t xml:space="preserve">  </w:t>
      </w:r>
      <w:r>
        <w:rPr>
          <w:rFonts w:hint="eastAsia"/>
        </w:rPr>
        <w:t>数据来源的不可靠。</w:t>
      </w:r>
    </w:p>
    <w:p>
      <w:pPr>
        <w:pStyle w:val="255"/>
        <w:ind w:firstLine="482" w:firstLineChars="200"/>
      </w:pPr>
      <w:r>
        <w:rPr>
          <w:b/>
        </w:rPr>
        <w:t>5</w:t>
      </w:r>
      <w:r>
        <w:t xml:space="preserve">  </w:t>
      </w:r>
      <w:r>
        <w:rPr>
          <w:rFonts w:hint="eastAsia"/>
        </w:rPr>
        <w:t>数据的可变性，如人员行为的多变性、不确定性。</w:t>
      </w:r>
    </w:p>
    <w:p>
      <w:pPr>
        <w:pStyle w:val="255"/>
        <w:ind w:firstLine="482" w:firstLineChars="200"/>
      </w:pPr>
      <w:r>
        <w:rPr>
          <w:b/>
        </w:rPr>
        <w:t>6</w:t>
      </w:r>
      <w:r>
        <w:t xml:space="preserve">  </w:t>
      </w:r>
      <w:r>
        <w:rPr>
          <w:rFonts w:hint="eastAsia"/>
        </w:rPr>
        <w:t>假设条件的不一致。</w:t>
      </w:r>
    </w:p>
    <w:p>
      <w:pPr>
        <w:pStyle w:val="255"/>
        <w:ind w:firstLine="482" w:firstLineChars="200"/>
      </w:pPr>
      <w:r>
        <w:rPr>
          <w:b/>
        </w:rPr>
        <w:t>7</w:t>
      </w:r>
      <w:r>
        <w:t xml:space="preserve">  </w:t>
      </w:r>
      <w:r>
        <w:rPr>
          <w:rFonts w:hint="eastAsia"/>
        </w:rPr>
        <w:t>风险分析方法无法充分解决事件的复杂性。</w:t>
      </w:r>
    </w:p>
    <w:p>
      <w:pPr>
        <w:pStyle w:val="195"/>
      </w:pPr>
      <w:r>
        <w:rPr>
          <w:rFonts w:hint="eastAsia"/>
        </w:rPr>
        <w:t>可通过敏感度分析火灾风险评估中所用数据和假设条件中的不确定性的显著性，敏感度应按下式分析：</w:t>
      </w:r>
    </w:p>
    <w:p>
      <w:pPr>
        <w:pStyle w:val="195"/>
        <w:numPr>
          <w:ilvl w:val="0"/>
          <w:numId w:val="0"/>
        </w:numPr>
        <w:ind w:firstLine="480"/>
        <w:jc w:val="right"/>
      </w:pPr>
      <w:bookmarkStart w:id="221" w:name="OLE_LINK57"/>
      <w:bookmarkStart w:id="222" w:name="OLE_LINK58"/>
      <m:oMath>
        <m:sSub>
          <m:sSubPr>
            <m:ctrlPr>
              <w:rPr>
                <w:rStyle w:val="274"/>
                <w:rFonts w:ascii="Cambria Math" w:hAnsi="Cambria Math"/>
                <w:i/>
                <w:iCs/>
              </w:rPr>
            </m:ctrlPr>
          </m:sSubPr>
          <m:e>
            <w:bookmarkStart w:id="223" w:name="OLE_LINK28"/>
            <w:bookmarkStart w:id="224" w:name="OLE_LINK27"/>
            <m:r>
              <m:rPr/>
              <w:rPr>
                <w:rStyle w:val="274"/>
                <w:rFonts w:ascii="Cambria Math" w:hAnsi="Cambria Math"/>
              </w:rPr>
              <m:t>S</m:t>
            </m:r>
            <m:ctrlPr>
              <w:rPr>
                <w:rStyle w:val="274"/>
                <w:rFonts w:ascii="Cambria Math" w:hAnsi="Cambria Math"/>
                <w:i/>
                <w:iCs/>
              </w:rPr>
            </m:ctrlPr>
          </m:e>
          <m:sub>
            <m:r>
              <m:rPr/>
              <w:rPr>
                <w:rStyle w:val="274"/>
                <w:rFonts w:ascii="Cambria Math" w:hAnsi="Cambria Math"/>
              </w:rPr>
              <m:t>X</m:t>
            </m:r>
            <m:r>
              <m:rPr/>
              <w:rPr>
                <w:rStyle w:val="274"/>
                <w:rFonts w:ascii="Cambria Math" w:hAnsi="Cambria Math"/>
                <w:sz w:val="17"/>
                <w:szCs w:val="17"/>
              </w:rPr>
              <m:t>i</m:t>
            </m:r>
            <w:bookmarkEnd w:id="223"/>
            <w:bookmarkEnd w:id="224"/>
            <m:ctrlPr>
              <w:rPr>
                <w:rStyle w:val="274"/>
                <w:rFonts w:ascii="Cambria Math" w:hAnsi="Cambria Math"/>
                <w:i/>
                <w:iCs/>
              </w:rPr>
            </m:ctrlPr>
          </m:sub>
        </m:sSub>
        <m:r>
          <m:rPr>
            <m:sty m:val="p"/>
          </m:rPr>
          <w:rPr>
            <w:rStyle w:val="275"/>
            <w:rFonts w:ascii="Cambria Math" w:hAnsi="Cambria Math"/>
          </w:rPr>
          <m:t>=[</m:t>
        </m:r>
        <m:r>
          <m:rPr/>
          <w:rPr>
            <w:rStyle w:val="275"/>
            <w:rFonts w:ascii="Cambria Math" w:hAnsi="Cambria Math"/>
          </w:rPr>
          <m:t>f</m:t>
        </m:r>
        <m:d>
          <m:dPr>
            <m:ctrlPr>
              <w:rPr>
                <w:rStyle w:val="275"/>
                <w:rFonts w:ascii="Cambria Math" w:hAnsi="Cambria Math"/>
                <w:i/>
              </w:rPr>
            </m:ctrlPr>
          </m:dPr>
          <m:e>
            <m:r>
              <m:rPr/>
              <w:rPr>
                <w:rStyle w:val="274"/>
                <w:rFonts w:ascii="Cambria Math" w:hAnsi="Cambria Math"/>
              </w:rPr>
              <m:t>X</m:t>
            </m:r>
            <m:r>
              <m:rPr/>
              <w:rPr>
                <w:rStyle w:val="274"/>
                <w:rFonts w:ascii="Cambria Math" w:hAnsi="Cambria Math"/>
                <w:sz w:val="17"/>
                <w:szCs w:val="17"/>
              </w:rPr>
              <m:t>1</m:t>
            </m:r>
            <m:r>
              <m:rPr/>
              <w:rPr>
                <w:rStyle w:val="274"/>
                <w:rFonts w:ascii="Cambria Math" w:hAnsi="Cambria Math"/>
                <w:sz w:val="19"/>
                <w:szCs w:val="19"/>
                <w:shd w:val="clear" w:color="auto" w:fill="FFFFFF"/>
              </w:rPr>
              <m:t>,</m:t>
            </m:r>
            <m:r>
              <m:rPr/>
              <w:rPr>
                <w:rStyle w:val="274"/>
                <w:rFonts w:ascii="Cambria Math" w:hAnsi="Cambria Math"/>
              </w:rPr>
              <m:t>X</m:t>
            </m:r>
            <m:r>
              <m:rPr/>
              <w:rPr>
                <w:rStyle w:val="274"/>
                <w:rFonts w:ascii="Cambria Math" w:hAnsi="Cambria Math"/>
                <w:sz w:val="17"/>
                <w:szCs w:val="17"/>
              </w:rPr>
              <m:t>i+</m:t>
            </m:r>
            <m:r>
              <m:rPr>
                <m:sty m:val="p"/>
              </m:rPr>
              <w:rPr>
                <w:rStyle w:val="274"/>
                <w:rFonts w:ascii="Cambria Math" w:hAnsi="Cambria Math"/>
                <w:sz w:val="17"/>
                <w:szCs w:val="17"/>
              </w:rPr>
              <m:t>Δ</m:t>
            </m:r>
            <m:r>
              <m:rPr/>
              <w:rPr>
                <w:rStyle w:val="274"/>
                <w:rFonts w:ascii="Cambria Math" w:hAnsi="Cambria Math"/>
              </w:rPr>
              <m:t>X</m:t>
            </m:r>
            <m:r>
              <m:rPr/>
              <w:rPr>
                <w:rStyle w:val="274"/>
                <w:rFonts w:ascii="Cambria Math" w:hAnsi="Cambria Math"/>
                <w:sz w:val="17"/>
                <w:szCs w:val="17"/>
              </w:rPr>
              <m:t>i</m:t>
            </m:r>
            <m:r>
              <m:rPr/>
              <w:rPr>
                <w:rStyle w:val="274"/>
                <w:rFonts w:ascii="Cambria Math" w:hAnsi="Cambria Math"/>
                <w:sz w:val="19"/>
                <w:szCs w:val="19"/>
                <w:shd w:val="clear" w:color="auto" w:fill="FFFFFF"/>
              </w:rPr>
              <m:t>,…,</m:t>
            </m:r>
            <m:r>
              <m:rPr/>
              <w:rPr>
                <w:rStyle w:val="274"/>
                <w:rFonts w:ascii="Cambria Math" w:hAnsi="Cambria Math"/>
              </w:rPr>
              <m:t>X</m:t>
            </m:r>
            <m:r>
              <m:rPr/>
              <w:rPr>
                <w:rStyle w:val="274"/>
                <w:rFonts w:ascii="Cambria Math" w:hAnsi="Cambria Math"/>
                <w:sz w:val="17"/>
                <w:szCs w:val="17"/>
              </w:rPr>
              <m:t>n</m:t>
            </m:r>
            <m:ctrlPr>
              <w:rPr>
                <w:rStyle w:val="275"/>
                <w:rFonts w:ascii="Cambria Math" w:hAnsi="Cambria Math"/>
                <w:i/>
              </w:rPr>
            </m:ctrlPr>
          </m:e>
        </m:d>
        <m:r>
          <m:rPr/>
          <w:rPr>
            <w:rStyle w:val="275"/>
            <w:rFonts w:ascii="Cambria Math" w:hAnsi="Cambria Math"/>
          </w:rPr>
          <m:t>−f</m:t>
        </m:r>
        <m:d>
          <m:dPr>
            <m:ctrlPr>
              <w:rPr>
                <w:rStyle w:val="275"/>
                <w:rFonts w:ascii="Cambria Math" w:hAnsi="Cambria Math"/>
                <w:i/>
              </w:rPr>
            </m:ctrlPr>
          </m:dPr>
          <m:e>
            <m:r>
              <m:rPr/>
              <w:rPr>
                <w:rStyle w:val="274"/>
                <w:rFonts w:ascii="Cambria Math" w:hAnsi="Cambria Math"/>
              </w:rPr>
              <m:t>X</m:t>
            </m:r>
            <m:r>
              <m:rPr/>
              <w:rPr>
                <w:rStyle w:val="274"/>
                <w:rFonts w:ascii="Cambria Math" w:hAnsi="Cambria Math"/>
                <w:sz w:val="17"/>
                <w:szCs w:val="17"/>
              </w:rPr>
              <m:t>1</m:t>
            </m:r>
            <m:r>
              <m:rPr/>
              <w:rPr>
                <w:rStyle w:val="274"/>
                <w:rFonts w:ascii="Cambria Math" w:hAnsi="Cambria Math"/>
                <w:sz w:val="19"/>
                <w:szCs w:val="19"/>
                <w:shd w:val="clear" w:color="auto" w:fill="FFFFFF"/>
              </w:rPr>
              <m:t>,</m:t>
            </m:r>
            <m:r>
              <m:rPr/>
              <w:rPr>
                <w:rStyle w:val="274"/>
                <w:rFonts w:ascii="Cambria Math" w:hAnsi="Cambria Math"/>
              </w:rPr>
              <m:t>X</m:t>
            </m:r>
            <m:r>
              <m:rPr/>
              <w:rPr>
                <w:rStyle w:val="274"/>
                <w:rFonts w:ascii="Cambria Math" w:hAnsi="Cambria Math"/>
                <w:sz w:val="17"/>
                <w:szCs w:val="17"/>
              </w:rPr>
              <m:t>i</m:t>
            </m:r>
            <m:r>
              <m:rPr/>
              <w:rPr>
                <w:rStyle w:val="274"/>
                <w:rFonts w:ascii="Cambria Math" w:hAnsi="Cambria Math"/>
                <w:sz w:val="19"/>
                <w:szCs w:val="19"/>
                <w:shd w:val="clear" w:color="auto" w:fill="FFFFFF"/>
              </w:rPr>
              <m:t>,…,</m:t>
            </m:r>
            <m:r>
              <m:rPr/>
              <w:rPr>
                <w:rStyle w:val="274"/>
                <w:rFonts w:ascii="Cambria Math" w:hAnsi="Cambria Math"/>
              </w:rPr>
              <m:t>X</m:t>
            </m:r>
            <m:r>
              <m:rPr/>
              <w:rPr>
                <w:rStyle w:val="274"/>
                <w:rFonts w:ascii="Cambria Math" w:hAnsi="Cambria Math"/>
                <w:sz w:val="17"/>
                <w:szCs w:val="17"/>
              </w:rPr>
              <m:t>n</m:t>
            </m:r>
            <m:ctrlPr>
              <w:rPr>
                <w:rStyle w:val="275"/>
                <w:rFonts w:ascii="Cambria Math" w:hAnsi="Cambria Math"/>
                <w:i/>
              </w:rPr>
            </m:ctrlPr>
          </m:e>
        </m:d>
        <m:r>
          <m:rPr>
            <m:sty m:val="p"/>
          </m:rPr>
          <w:rPr>
            <w:rStyle w:val="275"/>
            <w:rFonts w:ascii="Cambria Math" w:hAnsi="Cambria Math"/>
          </w:rPr>
          <m:t>]/</m:t>
        </m:r>
        <m:r>
          <m:rPr>
            <m:sty m:val="p"/>
          </m:rPr>
          <w:rPr>
            <w:rStyle w:val="274"/>
            <w:rFonts w:ascii="Cambria Math" w:hAnsi="Cambria Math"/>
            <w:sz w:val="17"/>
            <w:szCs w:val="17"/>
          </w:rPr>
          <m:t>Δ</m:t>
        </m:r>
        <m:r>
          <m:rPr/>
          <w:rPr>
            <w:rStyle w:val="274"/>
            <w:rFonts w:ascii="Cambria Math" w:hAnsi="Cambria Math"/>
          </w:rPr>
          <m:t>X</m:t>
        </m:r>
        <m:r>
          <m:rPr/>
          <w:rPr>
            <w:rStyle w:val="274"/>
            <w:rFonts w:ascii="Cambria Math" w:hAnsi="Cambria Math"/>
            <w:sz w:val="17"/>
            <w:szCs w:val="17"/>
          </w:rPr>
          <m:t>i</m:t>
        </m:r>
      </m:oMath>
      <w:r>
        <w:rPr>
          <w:rStyle w:val="274"/>
          <w:iCs/>
          <w:sz w:val="19"/>
          <w:szCs w:val="19"/>
          <w:shd w:val="clear" w:color="auto" w:fill="FFFFFF"/>
        </w:rPr>
        <w:tab/>
      </w:r>
      <w:r>
        <w:rPr>
          <w:rStyle w:val="274"/>
          <w:iCs/>
          <w:sz w:val="19"/>
          <w:szCs w:val="19"/>
          <w:shd w:val="clear" w:color="auto" w:fill="FFFFFF"/>
        </w:rPr>
        <w:tab/>
      </w:r>
      <w:r>
        <w:rPr>
          <w:rStyle w:val="274"/>
          <w:iCs/>
          <w:sz w:val="19"/>
          <w:szCs w:val="19"/>
          <w:shd w:val="clear" w:color="auto" w:fill="FFFFFF"/>
        </w:rPr>
        <w:tab/>
      </w:r>
      <w:r>
        <w:rPr>
          <w:rStyle w:val="274"/>
          <w:iCs/>
          <w:sz w:val="19"/>
          <w:szCs w:val="19"/>
          <w:shd w:val="clear" w:color="auto" w:fill="FFFFFF"/>
        </w:rPr>
        <w:tab/>
      </w:r>
      <w:r>
        <w:t>（6.2.2）</w:t>
      </w:r>
    </w:p>
    <w:p>
      <w:pPr>
        <w:pStyle w:val="195"/>
        <w:numPr>
          <w:ilvl w:val="0"/>
          <w:numId w:val="0"/>
        </w:numPr>
        <w:ind w:firstLine="480"/>
        <w:jc w:val="left"/>
      </w:pPr>
      <w:r>
        <w:t>式中：</w:t>
      </w:r>
      <m:oMath>
        <m:sSub>
          <m:sSubPr>
            <m:ctrlPr>
              <w:rPr>
                <w:rStyle w:val="274"/>
                <w:rFonts w:ascii="Cambria Math" w:hAnsi="Cambria Math"/>
                <w:i/>
                <w:iCs/>
              </w:rPr>
            </m:ctrlPr>
          </m:sSubPr>
          <m:e>
            <m:r>
              <m:rPr/>
              <w:rPr>
                <w:rStyle w:val="274"/>
                <w:rFonts w:ascii="Cambria Math" w:hAnsi="Cambria Math"/>
              </w:rPr>
              <m:t>S</m:t>
            </m:r>
            <m:ctrlPr>
              <w:rPr>
                <w:rStyle w:val="274"/>
                <w:rFonts w:ascii="Cambria Math" w:hAnsi="Cambria Math"/>
                <w:i/>
                <w:iCs/>
              </w:rPr>
            </m:ctrlPr>
          </m:e>
          <m:sub>
            <m:r>
              <m:rPr/>
              <w:rPr>
                <w:rStyle w:val="274"/>
                <w:rFonts w:ascii="Cambria Math" w:hAnsi="Cambria Math"/>
              </w:rPr>
              <m:t>X</m:t>
            </m:r>
            <m:r>
              <m:rPr/>
              <w:rPr>
                <w:rStyle w:val="274"/>
                <w:rFonts w:ascii="Cambria Math" w:hAnsi="Cambria Math"/>
                <w:sz w:val="17"/>
                <w:szCs w:val="17"/>
              </w:rPr>
              <m:t>i</m:t>
            </m:r>
            <m:ctrlPr>
              <w:rPr>
                <w:rStyle w:val="274"/>
                <w:rFonts w:ascii="Cambria Math" w:hAnsi="Cambria Math"/>
                <w:i/>
                <w:iCs/>
              </w:rPr>
            </m:ctrlPr>
          </m:sub>
        </m:sSub>
      </m:oMath>
      <w:r>
        <w:rPr>
          <w:rStyle w:val="274"/>
          <w:rFonts w:hint="eastAsia"/>
          <w:iCs/>
        </w:rPr>
        <w:t>——</w:t>
      </w:r>
      <w:r>
        <w:t>变量</w:t>
      </w:r>
      <m:oMath>
        <m:r>
          <m:rPr/>
          <w:rPr>
            <w:rStyle w:val="274"/>
            <w:rFonts w:ascii="Cambria Math" w:hAnsi="Cambria Math"/>
            <w:sz w:val="27"/>
            <w:szCs w:val="27"/>
            <w:shd w:val="clear" w:color="auto" w:fill="FFFFFF"/>
          </w:rPr>
          <m:t>X</m:t>
        </m:r>
        <m:r>
          <m:rPr/>
          <w:rPr>
            <w:rStyle w:val="274"/>
            <w:rFonts w:ascii="Cambria Math" w:hAnsi="Cambria Math"/>
            <w:sz w:val="19"/>
            <w:szCs w:val="19"/>
            <w:shd w:val="clear" w:color="auto" w:fill="FFFFFF"/>
          </w:rPr>
          <m:t>i</m:t>
        </m:r>
      </m:oMath>
      <w:r>
        <w:t>的</w:t>
      </w:r>
      <w:r>
        <w:rPr>
          <w:rStyle w:val="274"/>
          <w:rFonts w:hint="eastAsia"/>
          <w:iCs/>
        </w:rPr>
        <w:t>敏感度；</w:t>
      </w:r>
    </w:p>
    <w:p>
      <w:pPr>
        <w:pStyle w:val="195"/>
        <w:numPr>
          <w:ilvl w:val="0"/>
          <w:numId w:val="0"/>
        </w:numPr>
        <w:ind w:firstLine="1350" w:firstLineChars="500"/>
        <w:jc w:val="left"/>
      </w:pPr>
      <m:oMath>
        <m:r>
          <m:rPr>
            <m:sty m:val="p"/>
          </m:rPr>
          <w:rPr>
            <w:rStyle w:val="274"/>
            <w:rFonts w:ascii="Cambria Math" w:hAnsi="Cambria Math"/>
            <w:sz w:val="27"/>
            <w:szCs w:val="27"/>
            <w:shd w:val="clear" w:color="auto" w:fill="FFFFFF"/>
          </w:rPr>
          <m:t>Δ</m:t>
        </m:r>
        <m:r>
          <m:rPr/>
          <w:rPr>
            <w:rStyle w:val="274"/>
            <w:rFonts w:ascii="Cambria Math" w:hAnsi="Cambria Math"/>
            <w:sz w:val="27"/>
            <w:szCs w:val="27"/>
            <w:shd w:val="clear" w:color="auto" w:fill="FFFFFF"/>
          </w:rPr>
          <m:t>X</m:t>
        </m:r>
        <m:r>
          <m:rPr/>
          <w:rPr>
            <w:rStyle w:val="274"/>
            <w:rFonts w:ascii="Cambria Math" w:hAnsi="Cambria Math"/>
            <w:sz w:val="19"/>
            <w:szCs w:val="19"/>
            <w:shd w:val="clear" w:color="auto" w:fill="FFFFFF"/>
          </w:rPr>
          <m:t>i</m:t>
        </m:r>
      </m:oMath>
      <w:r>
        <w:t>——变量</w:t>
      </w:r>
      <m:oMath>
        <m:r>
          <m:rPr/>
          <w:rPr>
            <w:rStyle w:val="274"/>
            <w:rFonts w:ascii="Cambria Math" w:hAnsi="Cambria Math"/>
            <w:sz w:val="27"/>
            <w:szCs w:val="27"/>
            <w:shd w:val="clear" w:color="auto" w:fill="FFFFFF"/>
          </w:rPr>
          <m:t>X</m:t>
        </m:r>
        <m:r>
          <m:rPr/>
          <w:rPr>
            <w:rStyle w:val="274"/>
            <w:rFonts w:ascii="Cambria Math" w:hAnsi="Cambria Math"/>
            <w:sz w:val="19"/>
            <w:szCs w:val="19"/>
            <w:shd w:val="clear" w:color="auto" w:fill="FFFFFF"/>
          </w:rPr>
          <m:t>i</m:t>
        </m:r>
      </m:oMath>
      <w:r>
        <w:t>的微小扰动；</w:t>
      </w:r>
    </w:p>
    <w:p>
      <w:pPr>
        <w:pStyle w:val="195"/>
        <w:numPr>
          <w:ilvl w:val="0"/>
          <w:numId w:val="0"/>
        </w:numPr>
        <w:ind w:firstLine="1200" w:firstLineChars="500"/>
        <w:jc w:val="left"/>
      </w:pPr>
      <m:oMath>
        <m:r>
          <m:rPr/>
          <w:rPr>
            <w:rStyle w:val="275"/>
            <w:rFonts w:ascii="Cambria Math" w:hAnsi="Cambria Math"/>
          </w:rPr>
          <m:t>f</m:t>
        </m:r>
        <m:d>
          <m:dPr>
            <m:ctrlPr>
              <w:rPr>
                <w:rStyle w:val="275"/>
                <w:rFonts w:ascii="Cambria Math" w:hAnsi="Cambria Math"/>
                <w:i/>
              </w:rPr>
            </m:ctrlPr>
          </m:dPr>
          <m:e>
            <m:r>
              <m:rPr/>
              <w:rPr>
                <w:rStyle w:val="274"/>
                <w:rFonts w:ascii="Cambria Math" w:hAnsi="Cambria Math"/>
              </w:rPr>
              <m:t>X</m:t>
            </m:r>
            <m:ctrlPr>
              <w:rPr>
                <w:rStyle w:val="275"/>
                <w:rFonts w:ascii="Cambria Math" w:hAnsi="Cambria Math"/>
                <w:i/>
              </w:rPr>
            </m:ctrlPr>
          </m:e>
        </m:d>
      </m:oMath>
      <w:r>
        <w:t>——输出量。</w:t>
      </w:r>
    </w:p>
    <w:p>
      <w:pPr>
        <w:pStyle w:val="195"/>
        <w:numPr>
          <w:ilvl w:val="0"/>
          <w:numId w:val="0"/>
        </w:numPr>
        <w:ind w:firstLine="1200" w:firstLineChars="500"/>
        <w:jc w:val="left"/>
      </w:pPr>
    </w:p>
    <w:bookmarkEnd w:id="221"/>
    <w:bookmarkEnd w:id="222"/>
    <w:p>
      <w:pPr>
        <w:pStyle w:val="195"/>
      </w:pPr>
      <w:r>
        <w:rPr>
          <w:rFonts w:hint="eastAsia"/>
        </w:rPr>
        <w:t>针对敏感度分析确定对火灾风险评估结果影响较大或关键作用的数据或假设条件，应提出应对措施，并宜持续监测。</w:t>
      </w:r>
    </w:p>
    <w:p>
      <w:pPr>
        <w:pStyle w:val="195"/>
      </w:pPr>
      <w:r>
        <w:rPr>
          <w:rFonts w:hint="eastAsia"/>
        </w:rPr>
        <w:t>可</w:t>
      </w:r>
      <w:r>
        <w:t>信度系数可根据公式（6.2.4）计算得到：</w:t>
      </w:r>
    </w:p>
    <w:p>
      <w:pPr>
        <w:pStyle w:val="192"/>
        <w:numPr>
          <w:ilvl w:val="0"/>
          <w:numId w:val="0"/>
        </w:numPr>
        <w:spacing w:before="120" w:after="120"/>
        <w:jc w:val="right"/>
      </w:pPr>
      <m:oMath>
        <m:r>
          <m:rPr/>
          <w:rPr>
            <w:rFonts w:ascii="Cambria Math" w:hAnsi="Cambria Math" w:eastAsia="Cambria Math" w:cs="Cambria Math"/>
          </w:rPr>
          <m:t>τ</m:t>
        </m:r>
        <m:r>
          <m:rPr>
            <m:sty m:val="p"/>
          </m:rPr>
          <w:rPr>
            <w:rFonts w:ascii="Cambria Math" w:hAnsi="Cambria Math" w:eastAsia="Cambria Math" w:cs="Cambria Math"/>
          </w:rPr>
          <m:t>=</m:t>
        </m:r>
        <m:f>
          <m:fPr>
            <m:ctrlPr>
              <w:rPr>
                <w:rFonts w:ascii="Cambria Math" w:hAnsi="Cambria Math" w:eastAsia="Cambria Math"/>
              </w:rPr>
            </m:ctrlPr>
          </m:fPr>
          <m:num>
            <m:r>
              <m:rPr/>
              <w:rPr>
                <w:rFonts w:ascii="Cambria Math" w:hAnsi="Cambria Math" w:eastAsia="Cambria Math" w:cs="Cambria Math"/>
              </w:rPr>
              <m:t>K</m:t>
            </m:r>
            <m:ctrlPr>
              <w:rPr>
                <w:rFonts w:ascii="Cambria Math" w:hAnsi="Cambria Math" w:eastAsia="Cambria Math"/>
              </w:rPr>
            </m:ctrlPr>
          </m:num>
          <m:den>
            <m:r>
              <m:rPr/>
              <w:rPr>
                <w:rFonts w:ascii="Cambria Math" w:hAnsi="Cambria Math" w:eastAsia="Cambria Math" w:cs="Cambria Math"/>
              </w:rPr>
              <m:t>K−1</m:t>
            </m:r>
            <m:ctrlPr>
              <w:rPr>
                <w:rFonts w:ascii="Cambria Math" w:hAnsi="Cambria Math" w:eastAsia="Cambria Math"/>
              </w:rPr>
            </m:ctrlPr>
          </m:den>
        </m:f>
        <m:d>
          <m:dPr>
            <m:ctrlPr>
              <w:rPr>
                <w:rFonts w:ascii="Cambria Math" w:hAnsi="Cambria Math" w:eastAsia="Cambria Math"/>
                <w:i/>
              </w:rPr>
            </m:ctrlPr>
          </m:dPr>
          <m:e>
            <m:r>
              <m:rPr/>
              <w:rPr>
                <w:rFonts w:ascii="Cambria Math" w:hAnsi="Cambria Math" w:eastAsia="Cambria Math"/>
              </w:rPr>
              <m:t>1−</m:t>
            </m:r>
            <m:f>
              <m:fPr>
                <m:ctrlPr>
                  <w:rPr>
                    <w:rFonts w:ascii="Cambria Math" w:hAnsi="Cambria Math" w:eastAsia="Cambria Math"/>
                    <w:i/>
                  </w:rPr>
                </m:ctrlPr>
              </m:fPr>
              <m:num>
                <m:nary>
                  <m:naryPr>
                    <m:chr m:val="∑"/>
                    <m:limLoc m:val="subSup"/>
                    <m:ctrlPr>
                      <w:rPr>
                        <w:rFonts w:ascii="Cambria Math" w:hAnsi="Cambria Math" w:eastAsia="Cambria Math"/>
                        <w:i/>
                      </w:rPr>
                    </m:ctrlPr>
                  </m:naryPr>
                  <m:sub>
                    <m:r>
                      <m:rPr/>
                      <w:rPr>
                        <w:rFonts w:ascii="Cambria Math" w:hAnsi="Cambria Math" w:eastAsia="Cambria Math"/>
                      </w:rPr>
                      <m:t>i</m:t>
                    </m:r>
                    <m:ctrlPr>
                      <w:rPr>
                        <w:rFonts w:ascii="Cambria Math" w:hAnsi="Cambria Math" w:eastAsia="Cambria Math"/>
                        <w:i/>
                      </w:rPr>
                    </m:ctrlPr>
                  </m:sub>
                  <m:sup>
                    <m:r>
                      <m:rPr/>
                      <w:rPr>
                        <w:rFonts w:ascii="Cambria Math" w:hAnsi="Cambria Math" w:eastAsia="Cambria Math"/>
                      </w:rPr>
                      <m:t>K</m:t>
                    </m:r>
                    <m:ctrlPr>
                      <w:rPr>
                        <w:rFonts w:ascii="Cambria Math" w:hAnsi="Cambria Math" w:eastAsia="Cambria Math"/>
                        <w:i/>
                      </w:rPr>
                    </m:ctrlPr>
                  </m:sup>
                  <m:e>
                    <m:sSubSup>
                      <m:sSubSupPr>
                        <m:ctrlPr>
                          <w:rPr>
                            <w:rFonts w:ascii="Cambria Math" w:hAnsi="Cambria Math" w:eastAsia="Cambria Math"/>
                            <w:i/>
                          </w:rPr>
                        </m:ctrlPr>
                      </m:sSubSupPr>
                      <m:e>
                        <m:r>
                          <m:rPr/>
                          <w:rPr>
                            <w:rFonts w:ascii="Cambria Math" w:hAnsi="Cambria Math" w:eastAsia="Cambria Math"/>
                          </w:rPr>
                          <m:t>S</m:t>
                        </m:r>
                        <m:ctrlPr>
                          <w:rPr>
                            <w:rFonts w:ascii="Cambria Math" w:hAnsi="Cambria Math" w:eastAsia="Cambria Math"/>
                            <w:i/>
                          </w:rPr>
                        </m:ctrlPr>
                      </m:e>
                      <m:sub>
                        <m:r>
                          <m:rPr/>
                          <w:rPr>
                            <w:rFonts w:ascii="Cambria Math" w:hAnsi="Cambria Math" w:eastAsia="Cambria Math"/>
                          </w:rPr>
                          <m:t>i</m:t>
                        </m:r>
                        <m:ctrlPr>
                          <w:rPr>
                            <w:rFonts w:ascii="Cambria Math" w:hAnsi="Cambria Math" w:eastAsia="Cambria Math"/>
                            <w:i/>
                          </w:rPr>
                        </m:ctrlPr>
                      </m:sub>
                      <m:sup>
                        <m:r>
                          <m:rPr/>
                          <w:rPr>
                            <w:rFonts w:ascii="Cambria Math" w:hAnsi="Cambria Math" w:eastAsia="Cambria Math"/>
                          </w:rPr>
                          <m:t>2</m:t>
                        </m:r>
                        <m:ctrlPr>
                          <w:rPr>
                            <w:rFonts w:ascii="Cambria Math" w:hAnsi="Cambria Math" w:eastAsia="Cambria Math"/>
                            <w:i/>
                          </w:rPr>
                        </m:ctrlPr>
                      </m:sup>
                    </m:sSubSup>
                    <m:ctrlPr>
                      <w:rPr>
                        <w:rFonts w:ascii="Cambria Math" w:hAnsi="Cambria Math" w:eastAsia="Cambria Math"/>
                        <w:i/>
                      </w:rPr>
                    </m:ctrlPr>
                  </m:e>
                </m:nary>
                <m:ctrlPr>
                  <w:rPr>
                    <w:rFonts w:ascii="Cambria Math" w:hAnsi="Cambria Math" w:eastAsia="Cambria Math"/>
                    <w:i/>
                  </w:rPr>
                </m:ctrlPr>
              </m:num>
              <m:den>
                <m:sSubSup>
                  <m:sSubSupPr>
                    <m:ctrlPr>
                      <w:rPr>
                        <w:rFonts w:ascii="Cambria Math" w:hAnsi="Cambria Math" w:eastAsia="Cambria Math"/>
                        <w:i/>
                      </w:rPr>
                    </m:ctrlPr>
                  </m:sSubSupPr>
                  <m:e>
                    <m:r>
                      <m:rPr/>
                      <w:rPr>
                        <w:rFonts w:ascii="Cambria Math" w:hAnsi="Cambria Math" w:eastAsia="Cambria Math"/>
                      </w:rPr>
                      <m:t>S</m:t>
                    </m:r>
                    <m:ctrlPr>
                      <w:rPr>
                        <w:rFonts w:ascii="Cambria Math" w:hAnsi="Cambria Math" w:eastAsia="Cambria Math"/>
                        <w:i/>
                      </w:rPr>
                    </m:ctrlPr>
                  </m:e>
                  <m:sub>
                    <m:r>
                      <m:rPr/>
                      <w:rPr>
                        <w:rFonts w:ascii="Cambria Math" w:hAnsi="Cambria Math" w:eastAsia="Cambria Math"/>
                      </w:rPr>
                      <m:t>x</m:t>
                    </m:r>
                    <m:ctrlPr>
                      <w:rPr>
                        <w:rFonts w:ascii="Cambria Math" w:hAnsi="Cambria Math" w:eastAsia="Cambria Math"/>
                        <w:i/>
                      </w:rPr>
                    </m:ctrlPr>
                  </m:sub>
                  <m:sup>
                    <m:r>
                      <m:rPr/>
                      <w:rPr>
                        <w:rFonts w:ascii="Cambria Math" w:hAnsi="Cambria Math" w:eastAsia="Cambria Math"/>
                      </w:rPr>
                      <m:t>2</m:t>
                    </m:r>
                    <m:ctrlPr>
                      <w:rPr>
                        <w:rFonts w:ascii="Cambria Math" w:hAnsi="Cambria Math" w:eastAsia="Cambria Math"/>
                        <w:i/>
                      </w:rPr>
                    </m:ctrlPr>
                  </m:sup>
                </m:sSubSup>
                <m:ctrlPr>
                  <w:rPr>
                    <w:rFonts w:ascii="Cambria Math" w:hAnsi="Cambria Math" w:eastAsia="Cambria Math"/>
                    <w:i/>
                  </w:rPr>
                </m:ctrlPr>
              </m:den>
            </m:f>
            <m:ctrlPr>
              <w:rPr>
                <w:rFonts w:ascii="Cambria Math" w:hAnsi="Cambria Math" w:eastAsia="Cambria Math"/>
                <w:i/>
              </w:rPr>
            </m:ctrlPr>
          </m:e>
        </m:d>
      </m:oMath>
      <w:r>
        <w:tab/>
      </w:r>
      <w:r>
        <w:tab/>
      </w:r>
      <w:r>
        <w:tab/>
      </w:r>
      <w:r>
        <w:tab/>
      </w:r>
      <w:r>
        <w:tab/>
      </w:r>
      <w:r>
        <w:tab/>
      </w:r>
      <w:r>
        <w:tab/>
      </w:r>
      <w:r>
        <w:t>（6.2.4）</w:t>
      </w:r>
    </w:p>
    <w:p>
      <w:pPr>
        <w:pStyle w:val="192"/>
        <w:numPr>
          <w:ilvl w:val="0"/>
          <w:numId w:val="0"/>
        </w:numPr>
        <w:ind w:firstLine="480" w:firstLineChars="200"/>
      </w:pPr>
      <w:r>
        <w:t>式中:</w:t>
      </w:r>
      <m:oMath>
        <m:r>
          <m:rPr/>
          <w:rPr>
            <w:rFonts w:ascii="Cambria Math" w:hAnsi="Cambria Math" w:eastAsia="Cambria Math" w:cs="Cambria Math"/>
          </w:rPr>
          <m:t>τ</m:t>
        </m:r>
      </m:oMath>
      <w:r>
        <w:t>——</w:t>
      </w:r>
      <w:r>
        <w:rPr>
          <w:rFonts w:hint="eastAsia"/>
        </w:rPr>
        <w:t>可</w:t>
      </w:r>
      <w:r>
        <w:t>信度系数；</w:t>
      </w:r>
    </w:p>
    <w:p>
      <w:pPr>
        <w:pStyle w:val="192"/>
        <w:numPr>
          <w:ilvl w:val="0"/>
          <w:numId w:val="0"/>
        </w:numPr>
        <w:ind w:firstLine="960" w:firstLineChars="400"/>
      </w:pPr>
      <w:r>
        <w:rPr>
          <w:i/>
        </w:rPr>
        <w:t>K</w:t>
      </w:r>
      <w:r>
        <w:t>——</w:t>
      </w:r>
      <w:r>
        <w:rPr>
          <w:rFonts w:hint="eastAsia"/>
        </w:rPr>
        <w:t>分析的</w:t>
      </w:r>
      <w:r>
        <w:t>总项数；</w:t>
      </w:r>
    </w:p>
    <w:p>
      <w:pPr>
        <w:pStyle w:val="192"/>
        <w:numPr>
          <w:ilvl w:val="0"/>
          <w:numId w:val="0"/>
        </w:numPr>
        <w:ind w:firstLine="960" w:firstLineChars="400"/>
      </w:pPr>
      <m:oMath>
        <m:sSubSup>
          <m:sSubSupPr>
            <m:ctrlPr>
              <w:rPr>
                <w:rFonts w:ascii="Cambria Math" w:hAnsi="Cambria Math" w:eastAsia="Cambria Math"/>
                <w:i/>
              </w:rPr>
            </m:ctrlPr>
          </m:sSubSupPr>
          <m:e>
            <m:r>
              <m:rPr/>
              <w:rPr>
                <w:rFonts w:ascii="Cambria Math" w:hAnsi="Cambria Math" w:eastAsia="Cambria Math"/>
              </w:rPr>
              <m:t>S</m:t>
            </m:r>
            <m:ctrlPr>
              <w:rPr>
                <w:rFonts w:ascii="Cambria Math" w:hAnsi="Cambria Math" w:eastAsia="Cambria Math"/>
                <w:i/>
              </w:rPr>
            </m:ctrlPr>
          </m:e>
          <m:sub>
            <m:r>
              <m:rPr/>
              <w:rPr>
                <w:rFonts w:ascii="Cambria Math" w:hAnsi="Cambria Math" w:eastAsia="Cambria Math"/>
              </w:rPr>
              <m:t>i</m:t>
            </m:r>
            <m:ctrlPr>
              <w:rPr>
                <w:rFonts w:ascii="Cambria Math" w:hAnsi="Cambria Math" w:eastAsia="Cambria Math"/>
                <w:i/>
              </w:rPr>
            </m:ctrlPr>
          </m:sub>
          <m:sup>
            <m:r>
              <m:rPr/>
              <w:rPr>
                <w:rFonts w:ascii="Cambria Math" w:hAnsi="Cambria Math" w:eastAsia="Cambria Math"/>
              </w:rPr>
              <m:t>2</m:t>
            </m:r>
            <m:ctrlPr>
              <w:rPr>
                <w:rFonts w:ascii="Cambria Math" w:hAnsi="Cambria Math" w:eastAsia="Cambria Math"/>
                <w:i/>
              </w:rPr>
            </m:ctrlPr>
          </m:sup>
        </m:sSubSup>
      </m:oMath>
      <w:r>
        <w:t>——第i项数据的方差；</w:t>
      </w:r>
    </w:p>
    <w:p>
      <w:pPr>
        <w:pStyle w:val="192"/>
        <w:numPr>
          <w:ilvl w:val="0"/>
          <w:numId w:val="0"/>
        </w:numPr>
        <w:ind w:firstLine="960" w:firstLineChars="400"/>
      </w:pPr>
      <m:oMath>
        <m:sSubSup>
          <m:sSubSupPr>
            <m:ctrlPr>
              <w:rPr>
                <w:rFonts w:ascii="Cambria Math" w:hAnsi="Cambria Math" w:eastAsia="Cambria Math"/>
                <w:i/>
              </w:rPr>
            </m:ctrlPr>
          </m:sSubSupPr>
          <m:e>
            <m:r>
              <m:rPr/>
              <w:rPr>
                <w:rFonts w:ascii="Cambria Math" w:hAnsi="Cambria Math" w:eastAsia="Cambria Math"/>
              </w:rPr>
              <m:t>S</m:t>
            </m:r>
            <m:ctrlPr>
              <w:rPr>
                <w:rFonts w:ascii="Cambria Math" w:hAnsi="Cambria Math" w:eastAsia="Cambria Math"/>
                <w:i/>
              </w:rPr>
            </m:ctrlPr>
          </m:e>
          <m:sub>
            <m:r>
              <m:rPr/>
              <w:rPr>
                <w:rFonts w:ascii="Cambria Math" w:hAnsi="Cambria Math" w:eastAsia="Cambria Math"/>
              </w:rPr>
              <m:t>x</m:t>
            </m:r>
            <m:ctrlPr>
              <w:rPr>
                <w:rFonts w:ascii="Cambria Math" w:hAnsi="Cambria Math" w:eastAsia="Cambria Math"/>
                <w:i/>
              </w:rPr>
            </m:ctrlPr>
          </m:sub>
          <m:sup>
            <m:r>
              <m:rPr/>
              <w:rPr>
                <w:rFonts w:ascii="Cambria Math" w:hAnsi="Cambria Math" w:eastAsia="Cambria Math"/>
              </w:rPr>
              <m:t>2</m:t>
            </m:r>
            <m:ctrlPr>
              <w:rPr>
                <w:rFonts w:ascii="Cambria Math" w:hAnsi="Cambria Math" w:eastAsia="Cambria Math"/>
                <w:i/>
              </w:rPr>
            </m:ctrlPr>
          </m:sup>
        </m:sSubSup>
      </m:oMath>
      <w:r>
        <w:t>——总数据的方差。</w:t>
      </w:r>
    </w:p>
    <w:p>
      <w:pPr>
        <w:pStyle w:val="195"/>
      </w:pPr>
      <w:r>
        <w:t>可信度评价，可根据表6.2.5判断。</w:t>
      </w:r>
    </w:p>
    <w:p>
      <w:pPr>
        <w:pStyle w:val="142"/>
        <w:spacing w:before="0" w:beforeLines="0" w:after="0" w:afterLines="0"/>
      </w:pPr>
      <w:r>
        <w:rPr>
          <w:szCs w:val="18"/>
        </w:rPr>
        <w:t>表6.2.5  信度系数评判标准</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2729"/>
        <w:gridCol w:w="4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pct"/>
            <w:shd w:val="clear" w:color="auto" w:fill="auto"/>
            <w:vAlign w:val="center"/>
          </w:tcPr>
          <w:p>
            <w:pPr>
              <w:pStyle w:val="207"/>
            </w:pPr>
            <w:r>
              <w:t>信度系数</w:t>
            </w:r>
          </w:p>
        </w:tc>
        <w:tc>
          <w:tcPr>
            <w:tcW w:w="1426" w:type="pct"/>
            <w:shd w:val="clear" w:color="auto" w:fill="auto"/>
          </w:tcPr>
          <w:p>
            <w:pPr>
              <w:pStyle w:val="207"/>
            </w:pPr>
            <w:r>
              <w:t>信度评价</w:t>
            </w:r>
          </w:p>
        </w:tc>
        <w:tc>
          <w:tcPr>
            <w:tcW w:w="2347" w:type="pct"/>
            <w:shd w:val="clear" w:color="auto" w:fill="auto"/>
            <w:vAlign w:val="center"/>
          </w:tcPr>
          <w:p>
            <w:pPr>
              <w:pStyle w:val="207"/>
            </w:pPr>
            <w:r>
              <w:rPr>
                <w:rFonts w:hint="eastAsia"/>
              </w:rPr>
              <w:t>数据或假设条件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pct"/>
            <w:shd w:val="clear" w:color="auto" w:fill="auto"/>
            <w:vAlign w:val="center"/>
          </w:tcPr>
          <w:p>
            <w:pPr>
              <w:pStyle w:val="207"/>
            </w:pPr>
            <m:oMath>
              <m:r>
                <m:rPr/>
                <w:rPr>
                  <w:rFonts w:ascii="Cambria Math" w:hAnsi="Cambria Math" w:eastAsia="Cambria Math" w:cs="Cambria Math"/>
                </w:rPr>
                <m:t>τ</m:t>
              </m:r>
            </m:oMath>
            <w:r>
              <w:rPr>
                <w:bCs/>
                <w:szCs w:val="18"/>
              </w:rPr>
              <w:t>≥0.9</w:t>
            </w:r>
          </w:p>
        </w:tc>
        <w:tc>
          <w:tcPr>
            <w:tcW w:w="1426" w:type="pct"/>
            <w:shd w:val="clear" w:color="auto" w:fill="auto"/>
          </w:tcPr>
          <w:p>
            <w:pPr>
              <w:pStyle w:val="207"/>
            </w:pPr>
            <w:r>
              <w:t>优良</w:t>
            </w:r>
          </w:p>
        </w:tc>
        <w:tc>
          <w:tcPr>
            <w:tcW w:w="2347" w:type="pct"/>
            <w:vMerge w:val="restart"/>
            <w:shd w:val="clear" w:color="auto" w:fill="auto"/>
            <w:vAlign w:val="center"/>
          </w:tcPr>
          <w:p>
            <w:pPr>
              <w:pStyle w:val="207"/>
            </w:pPr>
            <w:r>
              <w:rPr>
                <w:rFonts w:hint="eastAsia"/>
              </w:rPr>
              <w:t>基础数据或假设条件可</w:t>
            </w:r>
            <w:r>
              <w:t>信度很好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pct"/>
            <w:shd w:val="clear" w:color="auto" w:fill="auto"/>
            <w:vAlign w:val="center"/>
          </w:tcPr>
          <w:p>
            <w:pPr>
              <w:pStyle w:val="207"/>
            </w:pPr>
            <w:r>
              <w:t>0.8</w:t>
            </w:r>
            <w:r>
              <w:rPr>
                <w:rFonts w:hint="eastAsia"/>
              </w:rPr>
              <w:t>≤</w:t>
            </w:r>
            <m:oMath>
              <m:r>
                <m:rPr/>
                <w:rPr>
                  <w:rFonts w:ascii="Cambria Math" w:hAnsi="Cambria Math" w:eastAsia="Cambria Math" w:cs="Cambria Math"/>
                </w:rPr>
                <m:t>τ</m:t>
              </m:r>
            </m:oMath>
            <w:r>
              <w:rPr>
                <w:bCs/>
                <w:szCs w:val="18"/>
              </w:rPr>
              <w:t>&lt;0.9</w:t>
            </w:r>
          </w:p>
        </w:tc>
        <w:tc>
          <w:tcPr>
            <w:tcW w:w="1426" w:type="pct"/>
            <w:shd w:val="clear" w:color="auto" w:fill="auto"/>
          </w:tcPr>
          <w:p>
            <w:pPr>
              <w:pStyle w:val="207"/>
            </w:pPr>
            <w:r>
              <w:t>好</w:t>
            </w:r>
          </w:p>
        </w:tc>
        <w:tc>
          <w:tcPr>
            <w:tcW w:w="2347" w:type="pct"/>
            <w:vMerge w:val="continue"/>
            <w:shd w:val="clear" w:color="auto" w:fill="auto"/>
            <w:vAlign w:val="center"/>
          </w:tcPr>
          <w:p>
            <w:pPr>
              <w:pStyle w:val="207"/>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pct"/>
            <w:shd w:val="clear" w:color="auto" w:fill="auto"/>
            <w:vAlign w:val="center"/>
          </w:tcPr>
          <w:p>
            <w:pPr>
              <w:pStyle w:val="207"/>
            </w:pPr>
            <w:r>
              <w:t>0.7</w:t>
            </w:r>
            <w:r>
              <w:rPr>
                <w:rFonts w:hint="eastAsia"/>
              </w:rPr>
              <w:t>≤</w:t>
            </w:r>
            <m:oMath>
              <m:r>
                <m:rPr/>
                <w:rPr>
                  <w:rFonts w:ascii="Cambria Math" w:hAnsi="Cambria Math" w:eastAsia="Cambria Math" w:cs="Cambria Math"/>
                </w:rPr>
                <m:t>τ</m:t>
              </m:r>
            </m:oMath>
            <w:r>
              <w:rPr>
                <w:bCs/>
                <w:szCs w:val="18"/>
              </w:rPr>
              <w:t>&lt;0.8</w:t>
            </w:r>
          </w:p>
        </w:tc>
        <w:tc>
          <w:tcPr>
            <w:tcW w:w="1426" w:type="pct"/>
            <w:shd w:val="clear" w:color="auto" w:fill="auto"/>
          </w:tcPr>
          <w:p>
            <w:pPr>
              <w:pStyle w:val="207"/>
            </w:pPr>
            <w:r>
              <w:t>尚可</w:t>
            </w:r>
          </w:p>
        </w:tc>
        <w:tc>
          <w:tcPr>
            <w:tcW w:w="2347" w:type="pct"/>
            <w:shd w:val="clear" w:color="auto" w:fill="auto"/>
            <w:vAlign w:val="center"/>
          </w:tcPr>
          <w:p>
            <w:pPr>
              <w:pStyle w:val="207"/>
            </w:pPr>
            <w:r>
              <w:rPr>
                <w:rFonts w:hint="eastAsia"/>
              </w:rPr>
              <w:t>基础数据或假设条件可</w:t>
            </w:r>
            <w:r>
              <w:t>信度可接受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27" w:type="pct"/>
            <w:shd w:val="clear" w:color="auto" w:fill="auto"/>
            <w:vAlign w:val="center"/>
          </w:tcPr>
          <w:p>
            <w:pPr>
              <w:pStyle w:val="207"/>
            </w:pPr>
            <m:oMath>
              <m:r>
                <m:rPr/>
                <w:rPr>
                  <w:rFonts w:ascii="Cambria Math" w:hAnsi="Cambria Math" w:eastAsia="Cambria Math" w:cs="Cambria Math"/>
                </w:rPr>
                <m:t>τ</m:t>
              </m:r>
            </m:oMath>
            <w:r>
              <w:rPr>
                <w:bCs/>
                <w:szCs w:val="18"/>
              </w:rPr>
              <w:t>&lt;0.7</w:t>
            </w:r>
          </w:p>
        </w:tc>
        <w:tc>
          <w:tcPr>
            <w:tcW w:w="1426" w:type="pct"/>
            <w:shd w:val="clear" w:color="auto" w:fill="auto"/>
          </w:tcPr>
          <w:p>
            <w:pPr>
              <w:pStyle w:val="207"/>
            </w:pPr>
            <w:r>
              <w:t>不佳</w:t>
            </w:r>
          </w:p>
        </w:tc>
        <w:tc>
          <w:tcPr>
            <w:tcW w:w="2347" w:type="pct"/>
            <w:shd w:val="clear" w:color="auto" w:fill="auto"/>
            <w:vAlign w:val="center"/>
          </w:tcPr>
          <w:p>
            <w:pPr>
              <w:pStyle w:val="207"/>
            </w:pPr>
            <w:r>
              <w:t>有些</w:t>
            </w:r>
            <w:r>
              <w:rPr>
                <w:rFonts w:hint="eastAsia"/>
              </w:rPr>
              <w:t>基础数据或假设条件</w:t>
            </w:r>
            <w:r>
              <w:t>需要</w:t>
            </w:r>
            <w:r>
              <w:rPr>
                <w:rFonts w:hint="eastAsia"/>
              </w:rPr>
              <w:t>修订或删除</w:t>
            </w:r>
          </w:p>
        </w:tc>
      </w:tr>
    </w:tbl>
    <w:p>
      <w:pPr>
        <w:pStyle w:val="192"/>
        <w:numPr>
          <w:ilvl w:val="0"/>
          <w:numId w:val="0"/>
        </w:numPr>
      </w:pPr>
    </w:p>
    <w:p>
      <w:pPr>
        <w:pStyle w:val="227"/>
        <w:rPr>
          <w:rFonts w:ascii="Times New Roman"/>
          <w:vanish w:val="0"/>
        </w:rPr>
      </w:pPr>
      <w:r>
        <w:rPr>
          <w:rFonts w:ascii="Times New Roman"/>
        </w:rPr>
        <w:br w:type="page"/>
      </w:r>
    </w:p>
    <w:p>
      <w:pPr>
        <w:pStyle w:val="134"/>
        <w:spacing w:before="240" w:after="240"/>
        <w:ind w:left="0"/>
        <w:jc w:val="center"/>
        <w:rPr>
          <w:rFonts w:ascii="Times New Roman"/>
          <w:sz w:val="32"/>
          <w:szCs w:val="32"/>
        </w:rPr>
        <w:sectPr>
          <w:pgSz w:w="11906" w:h="16838"/>
          <w:pgMar w:top="2410" w:right="1134" w:bottom="1134" w:left="1134" w:header="1418" w:footer="1134" w:gutter="284"/>
          <w:cols w:space="425" w:num="1"/>
          <w:formProt w:val="0"/>
          <w:docGrid w:linePitch="312" w:charSpace="0"/>
        </w:sectPr>
      </w:pPr>
      <w:bookmarkStart w:id="225" w:name="_Toc191997474"/>
      <w:bookmarkStart w:id="226" w:name="_Toc191997254"/>
      <w:bookmarkStart w:id="227" w:name="_Toc191997433"/>
      <w:bookmarkStart w:id="228" w:name="_Toc191997188"/>
    </w:p>
    <w:p>
      <w:pPr>
        <w:pStyle w:val="134"/>
        <w:spacing w:before="312" w:after="312"/>
        <w:ind w:left="0"/>
        <w:jc w:val="center"/>
        <w:rPr>
          <w:rFonts w:ascii="Times New Roman"/>
          <w:sz w:val="32"/>
          <w:szCs w:val="32"/>
        </w:rPr>
      </w:pPr>
      <w:bookmarkStart w:id="229" w:name="_Toc214005523"/>
      <w:bookmarkStart w:id="230" w:name="_Toc214005692"/>
      <w:bookmarkStart w:id="231" w:name="_Toc214008855"/>
      <w:bookmarkStart w:id="232" w:name="_Toc28895"/>
      <w:r>
        <w:rPr>
          <w:rFonts w:ascii="Times New Roman"/>
          <w:sz w:val="32"/>
          <w:szCs w:val="32"/>
        </w:rPr>
        <w:t>火灾风险应对</w:t>
      </w:r>
      <w:bookmarkEnd w:id="225"/>
      <w:bookmarkEnd w:id="226"/>
      <w:bookmarkEnd w:id="227"/>
      <w:bookmarkEnd w:id="228"/>
      <w:r>
        <w:rPr>
          <w:rFonts w:hint="eastAsia" w:ascii="Times New Roman"/>
          <w:sz w:val="32"/>
          <w:szCs w:val="32"/>
        </w:rPr>
        <w:t>和后评估</w:t>
      </w:r>
      <w:bookmarkEnd w:id="229"/>
      <w:bookmarkEnd w:id="230"/>
      <w:bookmarkEnd w:id="231"/>
      <w:bookmarkEnd w:id="232"/>
    </w:p>
    <w:p>
      <w:pPr>
        <w:pStyle w:val="255"/>
        <w:rPr>
          <w:sz w:val="21"/>
        </w:rPr>
      </w:pPr>
      <w:r>
        <w:rPr>
          <w:b/>
          <w:sz w:val="21"/>
        </w:rPr>
        <w:t>7.0.1</w:t>
      </w:r>
      <w:r>
        <w:rPr>
          <w:sz w:val="21"/>
        </w:rPr>
        <w:t xml:space="preserve">  火灾风险</w:t>
      </w:r>
      <w:r>
        <w:rPr>
          <w:rFonts w:hint="eastAsia"/>
          <w:sz w:val="21"/>
        </w:rPr>
        <w:t>评估结果为</w:t>
      </w:r>
      <w:r>
        <w:rPr>
          <w:sz w:val="21"/>
        </w:rPr>
        <w:t>较高风险</w:t>
      </w:r>
      <w:r>
        <w:rPr>
          <w:rFonts w:hint="eastAsia"/>
          <w:sz w:val="21"/>
        </w:rPr>
        <w:t>和</w:t>
      </w:r>
      <w:r>
        <w:rPr>
          <w:sz w:val="21"/>
        </w:rPr>
        <w:t>高风险</w:t>
      </w:r>
      <w:r>
        <w:rPr>
          <w:rFonts w:hint="eastAsia"/>
          <w:sz w:val="21"/>
        </w:rPr>
        <w:t>等级的建筑应</w:t>
      </w:r>
      <w:r>
        <w:rPr>
          <w:sz w:val="21"/>
        </w:rPr>
        <w:t>制定并实施有效的</w:t>
      </w:r>
      <w:r>
        <w:rPr>
          <w:rFonts w:hint="eastAsia"/>
          <w:sz w:val="21"/>
        </w:rPr>
        <w:t>安全</w:t>
      </w:r>
      <w:r>
        <w:rPr>
          <w:sz w:val="21"/>
        </w:rPr>
        <w:t>措施降低火灾风险等级</w:t>
      </w:r>
      <w:r>
        <w:rPr>
          <w:rFonts w:hint="eastAsia"/>
          <w:sz w:val="21"/>
        </w:rPr>
        <w:t>，较低风险和中风险等级的建筑宜制定并实施有效的安全措施降低火灾风险等级：</w:t>
      </w:r>
    </w:p>
    <w:p>
      <w:pPr>
        <w:pStyle w:val="255"/>
        <w:ind w:firstLine="422" w:firstLineChars="200"/>
        <w:rPr>
          <w:sz w:val="21"/>
        </w:rPr>
      </w:pPr>
      <w:r>
        <w:rPr>
          <w:b/>
          <w:sz w:val="21"/>
        </w:rPr>
        <w:t>1</w:t>
      </w:r>
      <w:r>
        <w:rPr>
          <w:sz w:val="21"/>
        </w:rPr>
        <w:t xml:space="preserve">  </w:t>
      </w:r>
      <w:r>
        <w:rPr>
          <w:rFonts w:hint="eastAsia"/>
          <w:sz w:val="21"/>
        </w:rPr>
        <w:t>被动防火措施，提高结构耐火等级，如包裹防火板、涂抹防火涂料等；设置防火隔离带、防火隔间、防火门窗等；装饰装修采用不燃或难燃材料等。</w:t>
      </w:r>
    </w:p>
    <w:p>
      <w:pPr>
        <w:pStyle w:val="255"/>
        <w:ind w:firstLine="422" w:firstLineChars="200"/>
        <w:rPr>
          <w:sz w:val="21"/>
        </w:rPr>
      </w:pPr>
      <w:r>
        <w:rPr>
          <w:b/>
          <w:sz w:val="21"/>
        </w:rPr>
        <w:t>2</w:t>
      </w:r>
      <w:r>
        <w:rPr>
          <w:sz w:val="21"/>
        </w:rPr>
        <w:t xml:space="preserve">  </w:t>
      </w:r>
      <w:r>
        <w:rPr>
          <w:rFonts w:hint="eastAsia"/>
          <w:sz w:val="21"/>
        </w:rPr>
        <w:t>安全疏散措施，提高疏散和避难设施可靠性，如设置避难隔间、避难走道、扩大前室等。</w:t>
      </w:r>
    </w:p>
    <w:p>
      <w:pPr>
        <w:pStyle w:val="255"/>
        <w:ind w:firstLine="422" w:firstLineChars="200"/>
        <w:rPr>
          <w:sz w:val="21"/>
        </w:rPr>
      </w:pPr>
      <w:r>
        <w:rPr>
          <w:b/>
          <w:sz w:val="21"/>
        </w:rPr>
        <w:t>3</w:t>
      </w:r>
      <w:r>
        <w:rPr>
          <w:sz w:val="21"/>
        </w:rPr>
        <w:t xml:space="preserve">  </w:t>
      </w:r>
      <w:r>
        <w:rPr>
          <w:rFonts w:hint="eastAsia"/>
          <w:sz w:val="21"/>
        </w:rPr>
        <w:t>主动防火措施，提高排烟设施可靠性，如设置双风机排烟、增大储烟仓厚度等；提高灭火设施可靠性，如快速响应喷头、双水源等；提高火灾报警可靠性，如极早期火灾探测器、不同类型探测器双重探测等。</w:t>
      </w:r>
    </w:p>
    <w:p>
      <w:pPr>
        <w:pStyle w:val="255"/>
        <w:ind w:firstLine="422" w:firstLineChars="200"/>
        <w:rPr>
          <w:sz w:val="21"/>
        </w:rPr>
      </w:pPr>
      <w:r>
        <w:rPr>
          <w:b/>
          <w:sz w:val="21"/>
        </w:rPr>
        <w:t>4</w:t>
      </w:r>
      <w:r>
        <w:rPr>
          <w:sz w:val="21"/>
        </w:rPr>
        <w:t xml:space="preserve">  </w:t>
      </w:r>
      <w:r>
        <w:rPr>
          <w:rFonts w:hint="eastAsia"/>
          <w:sz w:val="21"/>
        </w:rPr>
        <w:t>灭火救援措施，如消防救援电梯、消防救援窗、设置微型消防站、专职消防站等。</w:t>
      </w:r>
    </w:p>
    <w:p>
      <w:pPr>
        <w:pStyle w:val="255"/>
        <w:rPr>
          <w:sz w:val="21"/>
        </w:rPr>
      </w:pPr>
      <w:r>
        <w:rPr>
          <w:b/>
          <w:sz w:val="21"/>
        </w:rPr>
        <w:t>7.0.2</w:t>
      </w:r>
      <w:r>
        <w:rPr>
          <w:sz w:val="21"/>
        </w:rPr>
        <w:t xml:space="preserve">  </w:t>
      </w:r>
      <w:r>
        <w:rPr>
          <w:rFonts w:hint="eastAsia"/>
          <w:sz w:val="21"/>
        </w:rPr>
        <w:t>安全</w:t>
      </w:r>
      <w:r>
        <w:rPr>
          <w:sz w:val="21"/>
        </w:rPr>
        <w:t>措施的</w:t>
      </w:r>
      <w:r>
        <w:rPr>
          <w:rFonts w:hint="eastAsia"/>
          <w:sz w:val="21"/>
        </w:rPr>
        <w:t>制定和实施</w:t>
      </w:r>
      <w:r>
        <w:rPr>
          <w:sz w:val="21"/>
        </w:rPr>
        <w:t>宜根据成本</w:t>
      </w:r>
      <w:r>
        <w:rPr>
          <w:rFonts w:hint="eastAsia"/>
          <w:sz w:val="21"/>
        </w:rPr>
        <w:t>-</w:t>
      </w:r>
      <w:r>
        <w:rPr>
          <w:sz w:val="21"/>
        </w:rPr>
        <w:t>效益比f确定，成本-效益</w:t>
      </w:r>
      <w:r>
        <w:rPr>
          <w:rFonts w:hint="eastAsia"/>
          <w:sz w:val="21"/>
        </w:rPr>
        <w:t>比f</w:t>
      </w:r>
      <w:r>
        <w:rPr>
          <w:sz w:val="21"/>
        </w:rPr>
        <w:t>应根据公式（7.0.2-1）、（7.0.2-2）计算</w:t>
      </w:r>
      <w:r>
        <w:rPr>
          <w:rFonts w:hint="eastAsia"/>
          <w:sz w:val="21"/>
        </w:rPr>
        <w:t>，安全措施设置要求</w:t>
      </w:r>
      <w:r>
        <w:rPr>
          <w:sz w:val="21"/>
        </w:rPr>
        <w:t>见表7.0.2。</w:t>
      </w:r>
    </w:p>
    <w:p>
      <w:pPr>
        <w:pStyle w:val="192"/>
        <w:numPr>
          <w:ilvl w:val="0"/>
          <w:numId w:val="0"/>
        </w:numPr>
        <w:jc w:val="right"/>
      </w:pPr>
      <m:oMath>
        <m:sSub>
          <m:sSubPr>
            <m:ctrlPr>
              <w:rPr>
                <w:rFonts w:ascii="Cambria Math" w:hAnsi="Cambria Math"/>
              </w:rPr>
            </m:ctrlPr>
          </m:sSubPr>
          <m:e>
            <m:r>
              <m:rPr/>
              <w:rPr>
                <w:rFonts w:ascii="Cambria Math" w:hAnsi="Cambria Math"/>
              </w:rPr>
              <m:t>K</m:t>
            </m:r>
            <m:ctrlPr>
              <w:rPr>
                <w:rFonts w:ascii="Cambria Math" w:hAnsi="Cambria Math"/>
              </w:rPr>
            </m:ctrlPr>
          </m:e>
          <m:sub>
            <m:r>
              <m:rPr/>
              <w:rPr>
                <w:rFonts w:ascii="Cambria Math" w:hAnsi="Cambria Math"/>
              </w:rPr>
              <m:t>year</m:t>
            </m:r>
            <m:ctrlPr>
              <w:rPr>
                <w:rFonts w:ascii="Cambria Math" w:hAnsi="Cambria Math"/>
              </w:rPr>
            </m:ctrlPr>
          </m:sub>
        </m:sSub>
        <m:r>
          <m:rPr/>
          <w:rPr>
            <w:rFonts w:ascii="Cambria Math" w:hAnsi="Cambria Math"/>
          </w:rPr>
          <m:t>=</m:t>
        </m:r>
        <m:sSub>
          <m:sSubPr>
            <m:ctrlPr>
              <w:rPr>
                <w:rFonts w:ascii="Cambria Math" w:hAnsi="Cambria Math"/>
              </w:rPr>
            </m:ctrlPr>
          </m:sSubPr>
          <m:e>
            <m:r>
              <m:rPr/>
              <w:rPr>
                <w:rFonts w:ascii="Cambria Math" w:hAnsi="Cambria Math"/>
              </w:rPr>
              <m:t>K</m:t>
            </m:r>
            <m:ctrlPr>
              <w:rPr>
                <w:rFonts w:ascii="Cambria Math" w:hAnsi="Cambria Math"/>
              </w:rPr>
            </m:ctrlPr>
          </m:e>
          <m:sub>
            <m:r>
              <m:rPr/>
              <w:rPr>
                <w:rFonts w:ascii="Cambria Math" w:hAnsi="Cambria Math"/>
              </w:rPr>
              <m:t>invest</m:t>
            </m:r>
            <m:ctrlPr>
              <w:rPr>
                <w:rFonts w:ascii="Cambria Math" w:hAnsi="Cambria Math"/>
              </w:rPr>
            </m:ctrlPr>
          </m:sub>
        </m:sSub>
        <m:f>
          <m:fPr>
            <m:ctrlPr>
              <w:rPr>
                <w:rFonts w:ascii="Cambria Math" w:hAnsi="Cambria Math"/>
                <w:i/>
              </w:rPr>
            </m:ctrlPr>
          </m:fPr>
          <m:num>
            <m:sSup>
              <m:sSupPr>
                <m:ctrlPr>
                  <w:rPr>
                    <w:rFonts w:ascii="Cambria Math" w:hAnsi="Cambria Math"/>
                    <w:i/>
                  </w:rPr>
                </m:ctrlPr>
              </m:sSupPr>
              <m:e>
                <m:r>
                  <m:rPr/>
                  <w:rPr>
                    <w:rFonts w:ascii="Cambria Math" w:hAnsi="Cambria Math"/>
                  </w:rPr>
                  <m:t>(1+d)</m:t>
                </m:r>
                <m:ctrlPr>
                  <w:rPr>
                    <w:rFonts w:ascii="Cambria Math" w:hAnsi="Cambria Math"/>
                    <w:i/>
                  </w:rPr>
                </m:ctrlPr>
              </m:e>
              <m:sup>
                <m:r>
                  <m:rPr/>
                  <w:rPr>
                    <w:rFonts w:ascii="Cambria Math" w:hAnsi="Cambria Math"/>
                  </w:rPr>
                  <m:t>m</m:t>
                </m:r>
                <m:ctrlPr>
                  <w:rPr>
                    <w:rFonts w:ascii="Cambria Math" w:hAnsi="Cambria Math"/>
                    <w:i/>
                  </w:rPr>
                </m:ctrlPr>
              </m:sup>
            </m:sSup>
            <m:r>
              <m:rPr/>
              <w:rPr>
                <w:rFonts w:ascii="Cambria Math" w:hAnsi="Cambria Math"/>
              </w:rPr>
              <m:t>d</m:t>
            </m:r>
            <m:ctrlPr>
              <w:rPr>
                <w:rFonts w:ascii="Cambria Math" w:hAnsi="Cambria Math"/>
                <w:i/>
              </w:rPr>
            </m:ctrlPr>
          </m:num>
          <m:den>
            <m:sSup>
              <m:sSupPr>
                <m:ctrlPr>
                  <w:rPr>
                    <w:rFonts w:ascii="Cambria Math" w:hAnsi="Cambria Math"/>
                    <w:i/>
                  </w:rPr>
                </m:ctrlPr>
              </m:sSupPr>
              <m:e>
                <m:r>
                  <m:rPr/>
                  <w:rPr>
                    <w:rFonts w:ascii="Cambria Math" w:hAnsi="Cambria Math"/>
                  </w:rPr>
                  <m:t>(1+d)</m:t>
                </m:r>
                <m:ctrlPr>
                  <w:rPr>
                    <w:rFonts w:ascii="Cambria Math" w:hAnsi="Cambria Math"/>
                    <w:i/>
                  </w:rPr>
                </m:ctrlPr>
              </m:e>
              <m:sup>
                <m:r>
                  <m:rPr/>
                  <w:rPr>
                    <w:rFonts w:ascii="Cambria Math" w:hAnsi="Cambria Math"/>
                  </w:rPr>
                  <m:t>m</m:t>
                </m:r>
                <m:ctrlPr>
                  <w:rPr>
                    <w:rFonts w:ascii="Cambria Math" w:hAnsi="Cambria Math"/>
                    <w:i/>
                  </w:rPr>
                </m:ctrlPr>
              </m:sup>
            </m:sSup>
            <m:r>
              <m:rPr/>
              <w:rPr>
                <w:rFonts w:ascii="Cambria Math" w:hAnsi="Cambria Math"/>
              </w:rPr>
              <m:t>−1</m:t>
            </m:r>
            <m:ctrlPr>
              <w:rPr>
                <w:rFonts w:ascii="Cambria Math" w:hAnsi="Cambria Math"/>
                <w:i/>
              </w:rPr>
            </m:ctrlPr>
          </m:den>
        </m:f>
        <m:r>
          <m:rPr/>
          <w:rPr>
            <w:rFonts w:ascii="Cambria Math" w:hAnsi="Cambria Math"/>
          </w:rPr>
          <m:t>+</m:t>
        </m:r>
        <m:sSub>
          <m:sSubPr>
            <m:ctrlPr>
              <w:rPr>
                <w:rFonts w:ascii="Cambria Math" w:hAnsi="Cambria Math"/>
              </w:rPr>
            </m:ctrlPr>
          </m:sSubPr>
          <m:e>
            <m:r>
              <m:rPr/>
              <w:rPr>
                <w:rFonts w:ascii="Cambria Math" w:hAnsi="Cambria Math"/>
              </w:rPr>
              <m:t>K</m:t>
            </m:r>
            <m:ctrlPr>
              <w:rPr>
                <w:rFonts w:ascii="Cambria Math" w:hAnsi="Cambria Math"/>
              </w:rPr>
            </m:ctrlPr>
          </m:e>
          <m:sub>
            <m:r>
              <m:rPr/>
              <w:rPr>
                <w:rFonts w:ascii="Cambria Math" w:hAnsi="Cambria Math"/>
              </w:rPr>
              <m:t>operating</m:t>
            </m:r>
            <m:ctrlPr>
              <w:rPr>
                <w:rFonts w:ascii="Cambria Math" w:hAnsi="Cambria Math"/>
              </w:rPr>
            </m:ctrlPr>
          </m:sub>
        </m:sSub>
      </m:oMath>
      <w:r>
        <w:t>…………………（7.0.2-1）</w:t>
      </w:r>
    </w:p>
    <w:p>
      <w:pPr>
        <w:pStyle w:val="192"/>
        <w:numPr>
          <w:ilvl w:val="0"/>
          <w:numId w:val="0"/>
        </w:numPr>
        <w:jc w:val="right"/>
      </w:pPr>
      <m:oMath>
        <m:r>
          <m:rPr/>
          <w:rPr>
            <w:rFonts w:hint="eastAsia" w:ascii="Cambria Math" w:hAnsi="Cambria Math"/>
          </w:rPr>
          <m:t>c</m:t>
        </m:r>
        <m:r>
          <m:rPr/>
          <w:rPr>
            <w:rFonts w:hint="eastAsia" w:ascii="Cambria Math" w:hAnsi="Cambria Math"/>
            <w:vertAlign w:val="subscript"/>
          </w:rPr>
          <m:t>x</m:t>
        </m:r>
        <m:r>
          <m:rPr>
            <m:sty m:val="p"/>
          </m:rPr>
          <w:rPr>
            <w:rFonts w:ascii="Cambria Math" w:hAnsi="Cambria Math"/>
          </w:rPr>
          <m:t>=</m:t>
        </m:r>
        <m:f>
          <m:fPr>
            <m:ctrlPr>
              <w:rPr>
                <w:rFonts w:ascii="Cambria Math" w:hAnsi="Cambria Math"/>
              </w:rPr>
            </m:ctrlPr>
          </m:fPr>
          <m:num>
            <m:sSub>
              <m:sSubPr>
                <m:ctrlPr>
                  <w:rPr>
                    <w:rFonts w:ascii="Cambria Math" w:hAnsi="Cambria Math"/>
                    <w:i/>
                  </w:rPr>
                </m:ctrlPr>
              </m:sSubPr>
              <m:e>
                <m:r>
                  <m:rPr/>
                  <w:rPr>
                    <w:rFonts w:ascii="Cambria Math" w:hAnsi="Cambria Math"/>
                  </w:rPr>
                  <m:t>K</m:t>
                </m:r>
                <m:ctrlPr>
                  <w:rPr>
                    <w:rFonts w:ascii="Cambria Math" w:hAnsi="Cambria Math"/>
                    <w:i/>
                  </w:rPr>
                </m:ctrlPr>
              </m:e>
              <m:sub>
                <m:r>
                  <m:rPr/>
                  <w:rPr>
                    <w:rFonts w:hint="eastAsia" w:ascii="Cambria Math" w:hAnsi="Cambria Math"/>
                  </w:rPr>
                  <m:t>marginal</m:t>
                </m:r>
                <m:ctrlPr>
                  <w:rPr>
                    <w:rFonts w:ascii="Cambria Math" w:hAnsi="Cambria Math"/>
                    <w:i/>
                  </w:rPr>
                </m:ctrlPr>
              </m:sub>
            </m:sSub>
            <m:ctrlPr>
              <w:rPr>
                <w:rFonts w:ascii="Cambria Math" w:hAnsi="Cambria Math"/>
              </w:rPr>
            </m:ctrlPr>
          </m:num>
          <m:den>
            <m:sSub>
              <m:sSubPr>
                <m:ctrlPr>
                  <w:rPr>
                    <w:rFonts w:ascii="Cambria Math" w:hAnsi="Cambria Math"/>
                    <w:i/>
                  </w:rPr>
                </m:ctrlPr>
              </m:sSubPr>
              <m:e>
                <m:r>
                  <m:rPr/>
                  <w:rPr>
                    <w:rFonts w:ascii="Cambria Math" w:hAnsi="Cambria Math"/>
                  </w:rPr>
                  <m:t>K</m:t>
                </m:r>
                <m:ctrlPr>
                  <w:rPr>
                    <w:rFonts w:ascii="Cambria Math" w:hAnsi="Cambria Math"/>
                    <w:i/>
                  </w:rPr>
                </m:ctrlPr>
              </m:e>
              <m:sub>
                <m:r>
                  <m:rPr/>
                  <w:rPr>
                    <w:rFonts w:ascii="Cambria Math" w:hAnsi="Cambria Math"/>
                  </w:rPr>
                  <m:t>year</m:t>
                </m:r>
                <m:ctrlPr>
                  <w:rPr>
                    <w:rFonts w:ascii="Cambria Math" w:hAnsi="Cambria Math"/>
                    <w:i/>
                  </w:rPr>
                </m:ctrlPr>
              </m:sub>
            </m:sSub>
            <m:ctrlPr>
              <w:rPr>
                <w:rFonts w:ascii="Cambria Math" w:hAnsi="Cambria Math"/>
              </w:rPr>
            </m:ctrlPr>
          </m:den>
        </m:f>
      </m:oMath>
      <w:r>
        <w:t>……………………………………………（7.0.2-2）</w:t>
      </w:r>
    </w:p>
    <w:p>
      <w:pPr>
        <w:pStyle w:val="192"/>
        <w:numPr>
          <w:ilvl w:val="0"/>
          <w:numId w:val="0"/>
        </w:numPr>
        <w:ind w:firstLine="480" w:firstLineChars="200"/>
      </w:pPr>
      <w:r>
        <w:t>式中:</w:t>
      </w:r>
      <w:r>
        <w:rPr>
          <w:i/>
        </w:rPr>
        <w:t>K</w:t>
      </w:r>
      <w:r>
        <w:rPr>
          <w:i/>
          <w:vertAlign w:val="subscript"/>
        </w:rPr>
        <w:t>year</w:t>
      </w:r>
      <w:r>
        <w:t>——</w:t>
      </w:r>
      <w:r>
        <w:rPr>
          <w:rFonts w:hint="eastAsia"/>
        </w:rPr>
        <w:t>实施安全措施的年度</w:t>
      </w:r>
      <w:r>
        <w:t>成本（</w:t>
      </w:r>
      <w:r>
        <w:rPr>
          <w:rFonts w:hint="eastAsia"/>
          <w:color w:val="333333"/>
          <w:szCs w:val="24"/>
          <w:shd w:val="clear" w:color="auto" w:fill="FFFFFF"/>
        </w:rPr>
        <w:t>元</w:t>
      </w:r>
      <w:r>
        <w:t>/年）</w:t>
      </w:r>
      <w:r>
        <w:rPr>
          <w:rFonts w:hint="eastAsia"/>
        </w:rPr>
        <w:t>，即成本</w:t>
      </w:r>
      <w:r>
        <w:t>；</w:t>
      </w:r>
    </w:p>
    <w:p>
      <w:pPr>
        <w:pStyle w:val="192"/>
        <w:numPr>
          <w:ilvl w:val="0"/>
          <w:numId w:val="0"/>
        </w:numPr>
        <w:ind w:firstLine="960" w:firstLineChars="400"/>
      </w:pPr>
      <w:r>
        <w:rPr>
          <w:i/>
        </w:rPr>
        <w:t>K</w:t>
      </w:r>
      <w:r>
        <w:rPr>
          <w:i/>
          <w:vertAlign w:val="subscript"/>
        </w:rPr>
        <w:t>invest</w:t>
      </w:r>
      <w:r>
        <w:t>——</w:t>
      </w:r>
      <w:r>
        <w:rPr>
          <w:rFonts w:hint="eastAsia"/>
        </w:rPr>
        <w:t>实施安全措施的</w:t>
      </w:r>
      <w:r>
        <w:t>投资成本（</w:t>
      </w:r>
      <w:r>
        <w:rPr>
          <w:rFonts w:hint="eastAsia"/>
          <w:color w:val="333333"/>
          <w:szCs w:val="24"/>
          <w:shd w:val="clear" w:color="auto" w:fill="FFFFFF"/>
        </w:rPr>
        <w:t>元</w:t>
      </w:r>
      <w:r>
        <w:t>/m</w:t>
      </w:r>
      <w:r>
        <w:rPr>
          <w:vertAlign w:val="superscript"/>
        </w:rPr>
        <w:t>2</w:t>
      </w:r>
      <w:r>
        <w:t>）；</w:t>
      </w:r>
    </w:p>
    <w:p>
      <w:pPr>
        <w:pStyle w:val="192"/>
        <w:numPr>
          <w:ilvl w:val="0"/>
          <w:numId w:val="0"/>
        </w:numPr>
        <w:ind w:firstLine="960" w:firstLineChars="400"/>
      </w:pPr>
      <w:r>
        <w:rPr>
          <w:i/>
        </w:rPr>
        <w:t>K</w:t>
      </w:r>
      <w:r>
        <w:rPr>
          <w:i/>
          <w:vertAlign w:val="subscript"/>
        </w:rPr>
        <w:t>operating</w:t>
      </w:r>
      <w:r>
        <w:t>——</w:t>
      </w:r>
      <w:r>
        <w:rPr>
          <w:rFonts w:hint="eastAsia"/>
        </w:rPr>
        <w:t>安全措施的</w:t>
      </w:r>
      <w:r>
        <w:t>运营/维护</w:t>
      </w:r>
      <w:r>
        <w:rPr>
          <w:rFonts w:hint="eastAsia"/>
        </w:rPr>
        <w:t>年度</w:t>
      </w:r>
      <w:r>
        <w:t>成本（</w:t>
      </w:r>
      <w:r>
        <w:rPr>
          <w:rFonts w:hint="eastAsia"/>
          <w:color w:val="333333"/>
          <w:szCs w:val="24"/>
          <w:shd w:val="clear" w:color="auto" w:fill="FFFFFF"/>
        </w:rPr>
        <w:t>元</w:t>
      </w:r>
      <w:r>
        <w:t>/年）；</w:t>
      </w:r>
    </w:p>
    <w:p>
      <w:pPr>
        <w:pStyle w:val="192"/>
        <w:numPr>
          <w:ilvl w:val="0"/>
          <w:numId w:val="0"/>
        </w:numPr>
        <w:ind w:firstLine="960" w:firstLineChars="400"/>
      </w:pPr>
      <w:r>
        <w:t>m——</w:t>
      </w:r>
      <w:r>
        <w:rPr>
          <w:rFonts w:hint="eastAsia"/>
        </w:rPr>
        <w:t>安全措施的使用</w:t>
      </w:r>
      <w:r>
        <w:t>寿命（年）；</w:t>
      </w:r>
    </w:p>
    <w:p>
      <w:pPr>
        <w:pStyle w:val="192"/>
        <w:numPr>
          <w:ilvl w:val="0"/>
          <w:numId w:val="0"/>
        </w:numPr>
        <w:ind w:firstLine="960" w:firstLineChars="400"/>
      </w:pPr>
      <w:r>
        <w:t>d——贴现率/年金因子（%）(一般在2%范围内)；</w:t>
      </w:r>
    </w:p>
    <w:p>
      <w:pPr>
        <w:pStyle w:val="192"/>
        <w:numPr>
          <w:ilvl w:val="0"/>
          <w:numId w:val="0"/>
        </w:numPr>
        <w:ind w:firstLine="960" w:firstLineChars="400"/>
      </w:pPr>
      <w:r>
        <w:rPr>
          <w:rFonts w:hint="eastAsia"/>
          <w:i/>
        </w:rPr>
        <w:t>c</w:t>
      </w:r>
      <w:r>
        <w:rPr>
          <w:rFonts w:hint="eastAsia"/>
          <w:i/>
          <w:vertAlign w:val="subscript"/>
        </w:rPr>
        <w:t>x</w:t>
      </w:r>
      <w:r>
        <w:t xml:space="preserve"> ——成本</w:t>
      </w:r>
      <w:r>
        <w:rPr>
          <w:rFonts w:hint="eastAsia"/>
        </w:rPr>
        <w:t>-</w:t>
      </w:r>
      <w:r>
        <w:t>效益比；</w:t>
      </w:r>
    </w:p>
    <w:p>
      <w:pPr>
        <w:pStyle w:val="192"/>
        <w:numPr>
          <w:ilvl w:val="0"/>
          <w:numId w:val="0"/>
        </w:numPr>
        <w:ind w:firstLine="960" w:firstLineChars="400"/>
      </w:pPr>
      <m:oMath>
        <m:sSub>
          <m:sSubPr>
            <m:ctrlPr>
              <w:rPr>
                <w:rFonts w:ascii="Cambria Math" w:hAnsi="Cambria Math"/>
                <w:i/>
              </w:rPr>
            </m:ctrlPr>
          </m:sSubPr>
          <m:e>
            <m:r>
              <m:rPr/>
              <w:rPr>
                <w:rFonts w:ascii="Cambria Math" w:hAnsi="Cambria Math"/>
              </w:rPr>
              <m:t>K</m:t>
            </m:r>
            <m:ctrlPr>
              <w:rPr>
                <w:rFonts w:ascii="Cambria Math" w:hAnsi="Cambria Math"/>
                <w:i/>
              </w:rPr>
            </m:ctrlPr>
          </m:e>
          <m:sub>
            <m:r>
              <m:rPr/>
              <w:rPr>
                <w:rFonts w:hint="eastAsia" w:ascii="Cambria Math" w:hAnsi="Cambria Math"/>
              </w:rPr>
              <m:t>marginal</m:t>
            </m:r>
            <m:ctrlPr>
              <w:rPr>
                <w:rFonts w:ascii="Cambria Math" w:hAnsi="Cambria Math"/>
                <w:i/>
              </w:rPr>
            </m:ctrlPr>
          </m:sub>
        </m:sSub>
      </m:oMath>
      <w:r>
        <w:t>——火灾造成的损失</w:t>
      </w:r>
      <w:r>
        <w:rPr>
          <w:rFonts w:hint="eastAsia"/>
        </w:rPr>
        <w:t>（元），包括直接财产损失和人身损害赔偿，即效益</w:t>
      </w:r>
      <w:r>
        <w:t>。</w:t>
      </w:r>
    </w:p>
    <w:p>
      <w:pPr>
        <w:pStyle w:val="255"/>
        <w:rPr>
          <w:sz w:val="21"/>
        </w:rPr>
      </w:pPr>
    </w:p>
    <w:p>
      <w:pPr>
        <w:pStyle w:val="142"/>
        <w:spacing w:before="156" w:after="156"/>
      </w:pPr>
      <w:r>
        <w:t>表7.0.2  安全措施设置要求</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auto"/>
          </w:tcPr>
          <w:p>
            <w:pPr>
              <w:pStyle w:val="207"/>
            </w:pPr>
            <w:r>
              <w:t>成本效益比f</w:t>
            </w:r>
          </w:p>
        </w:tc>
        <w:tc>
          <w:tcPr>
            <w:tcW w:w="2500" w:type="pct"/>
            <w:shd w:val="clear" w:color="auto" w:fill="auto"/>
          </w:tcPr>
          <w:p>
            <w:pPr>
              <w:pStyle w:val="207"/>
            </w:pPr>
            <w:r>
              <w:t>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auto"/>
          </w:tcPr>
          <w:p>
            <w:pPr>
              <w:pStyle w:val="207"/>
            </w:pPr>
            <w:r>
              <w:t>f&gt;1</w:t>
            </w:r>
          </w:p>
        </w:tc>
        <w:tc>
          <w:tcPr>
            <w:tcW w:w="2500" w:type="pct"/>
            <w:shd w:val="clear" w:color="auto" w:fill="auto"/>
          </w:tcPr>
          <w:p>
            <w:pPr>
              <w:pStyle w:val="207"/>
            </w:pPr>
            <w:r>
              <w:t>应</w:t>
            </w:r>
            <w:r>
              <w:rPr>
                <w:rFonts w:hint="eastAsia"/>
              </w:rPr>
              <w:t>采取安全措施，措施经济可行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auto"/>
          </w:tcPr>
          <w:p>
            <w:pPr>
              <w:pStyle w:val="207"/>
            </w:pPr>
            <w:r>
              <w:t>0.8&lt;f≤1</w:t>
            </w:r>
          </w:p>
        </w:tc>
        <w:tc>
          <w:tcPr>
            <w:tcW w:w="2500" w:type="pct"/>
            <w:shd w:val="clear" w:color="auto" w:fill="auto"/>
          </w:tcPr>
          <w:p>
            <w:pPr>
              <w:pStyle w:val="207"/>
            </w:pPr>
            <w:r>
              <w:rPr>
                <w:rFonts w:hint="eastAsia"/>
              </w:rPr>
              <w:t>较高风险和高风险等级建筑</w:t>
            </w:r>
            <w:r>
              <w:t>可</w:t>
            </w:r>
            <w:r>
              <w:rPr>
                <w:rFonts w:hint="eastAsia"/>
              </w:rPr>
              <w:t>采取安全措施</w:t>
            </w:r>
            <w:r>
              <w:t>，通过个案研究分析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shd w:val="clear" w:color="auto" w:fill="auto"/>
          </w:tcPr>
          <w:p>
            <w:pPr>
              <w:pStyle w:val="207"/>
            </w:pPr>
            <w:r>
              <w:t>f≤0.8</w:t>
            </w:r>
          </w:p>
        </w:tc>
        <w:tc>
          <w:tcPr>
            <w:tcW w:w="2500" w:type="pct"/>
            <w:shd w:val="clear" w:color="auto" w:fill="auto"/>
          </w:tcPr>
          <w:p>
            <w:pPr>
              <w:pStyle w:val="207"/>
            </w:pPr>
            <w:r>
              <w:t>不宜</w:t>
            </w:r>
            <w:r>
              <w:rPr>
                <w:rFonts w:hint="eastAsia"/>
              </w:rPr>
              <w:t>采取安全措施</w:t>
            </w:r>
            <w:r>
              <w:t>，安全措施不</w:t>
            </w:r>
            <w:r>
              <w:rPr>
                <w:rFonts w:hint="eastAsia"/>
              </w:rPr>
              <w:t>经济</w:t>
            </w:r>
          </w:p>
        </w:tc>
      </w:tr>
    </w:tbl>
    <w:p>
      <w:pPr>
        <w:pStyle w:val="54"/>
        <w:spacing w:line="312" w:lineRule="auto"/>
        <w:ind w:firstLine="0" w:firstLineChars="0"/>
        <w:rPr>
          <w:rFonts w:ascii="Times New Roman"/>
        </w:rPr>
      </w:pPr>
      <w:r>
        <w:rPr>
          <w:rFonts w:ascii="Times New Roman"/>
          <w:b/>
        </w:rPr>
        <w:t>7.0.3</w:t>
      </w:r>
      <w:r>
        <w:rPr>
          <w:rFonts w:ascii="Times New Roman"/>
        </w:rPr>
        <w:t xml:space="preserve">  </w:t>
      </w:r>
      <w:r>
        <w:rPr>
          <w:rFonts w:hint="eastAsia" w:ascii="Times New Roman"/>
        </w:rPr>
        <w:t>对于火灾风险评估等级为中风险、较高风险、高风险等级的建筑，经过预防措施降低火灾风险后，应组织相关人员对安全措施进行验收并开展后评估，明确治理后的火灾风险等级。</w:t>
      </w:r>
    </w:p>
    <w:p>
      <w:pPr>
        <w:pStyle w:val="54"/>
        <w:spacing w:line="312" w:lineRule="auto"/>
        <w:ind w:firstLine="0" w:firstLineChars="0"/>
        <w:rPr>
          <w:rFonts w:ascii="Times New Roman"/>
        </w:rPr>
      </w:pPr>
      <w:r>
        <w:rPr>
          <w:rFonts w:ascii="Times New Roman"/>
          <w:b/>
        </w:rPr>
        <w:t>7.0.4</w:t>
      </w:r>
      <w:r>
        <w:rPr>
          <w:rFonts w:ascii="Times New Roman"/>
        </w:rPr>
        <w:t xml:space="preserve">  </w:t>
      </w:r>
      <w:r>
        <w:rPr>
          <w:rFonts w:hint="eastAsia" w:ascii="Times New Roman"/>
        </w:rPr>
        <w:t>对于采取安全措施后降低火灾风险的建筑，应定期进行火灾风险后评估，确定其火灾风险等级。</w:t>
      </w:r>
    </w:p>
    <w:p>
      <w:pPr>
        <w:pStyle w:val="54"/>
        <w:ind w:firstLine="0" w:firstLineChars="0"/>
        <w:rPr>
          <w:rFonts w:ascii="Times New Roman"/>
        </w:rPr>
      </w:pPr>
    </w:p>
    <w:p>
      <w:pPr>
        <w:pStyle w:val="134"/>
        <w:spacing w:before="312" w:after="312"/>
        <w:ind w:left="0"/>
        <w:jc w:val="center"/>
        <w:rPr>
          <w:rFonts w:ascii="Times New Roman"/>
        </w:rPr>
      </w:pPr>
      <w:r>
        <w:rPr>
          <w:rFonts w:ascii="Times New Roman"/>
        </w:rPr>
        <w:br w:type="page"/>
      </w:r>
      <w:bookmarkStart w:id="233" w:name="_Toc214005693"/>
      <w:bookmarkStart w:id="234" w:name="_Toc214008856"/>
      <w:bookmarkStart w:id="235" w:name="_Toc214005524"/>
      <w:bookmarkStart w:id="236" w:name="_Toc191997189"/>
      <w:bookmarkStart w:id="237" w:name="_Toc191997255"/>
      <w:bookmarkStart w:id="238" w:name="_Toc191997475"/>
      <w:bookmarkStart w:id="239" w:name="_Toc191997434"/>
      <w:bookmarkStart w:id="240" w:name="_Toc26003"/>
      <w:r>
        <w:rPr>
          <w:rFonts w:ascii="Times New Roman"/>
          <w:sz w:val="32"/>
        </w:rPr>
        <w:t>火灾风险评估的监督和检查</w:t>
      </w:r>
      <w:bookmarkEnd w:id="233"/>
      <w:bookmarkEnd w:id="234"/>
      <w:bookmarkEnd w:id="235"/>
      <w:bookmarkEnd w:id="236"/>
      <w:bookmarkEnd w:id="237"/>
      <w:bookmarkEnd w:id="238"/>
      <w:bookmarkEnd w:id="239"/>
      <w:bookmarkEnd w:id="240"/>
    </w:p>
    <w:p>
      <w:pPr>
        <w:pStyle w:val="255"/>
        <w:rPr>
          <w:sz w:val="21"/>
        </w:rPr>
      </w:pPr>
      <w:r>
        <w:rPr>
          <w:sz w:val="21"/>
        </w:rPr>
        <w:t>8.0.1  应对火灾风险评估过程中的危险源、风险源等变量因子进行监督和检查，以便定期更新风险评估的信息和结果。</w:t>
      </w:r>
    </w:p>
    <w:p>
      <w:pPr>
        <w:pStyle w:val="255"/>
        <w:rPr>
          <w:sz w:val="21"/>
        </w:rPr>
      </w:pPr>
      <w:r>
        <w:rPr>
          <w:sz w:val="21"/>
        </w:rPr>
        <w:t>8.0.2  应识别和记录为</w:t>
      </w:r>
      <w:r>
        <w:rPr>
          <w:rFonts w:hint="eastAsia"/>
          <w:sz w:val="21"/>
        </w:rPr>
        <w:t>更新</w:t>
      </w:r>
      <w:r>
        <w:rPr>
          <w:sz w:val="21"/>
        </w:rPr>
        <w:t>风险评估结果而监测的数据。</w:t>
      </w:r>
    </w:p>
    <w:p>
      <w:pPr>
        <w:pStyle w:val="255"/>
        <w:rPr>
          <w:b/>
          <w:sz w:val="32"/>
          <w:szCs w:val="32"/>
        </w:rPr>
      </w:pPr>
      <w:r>
        <w:rPr>
          <w:sz w:val="21"/>
        </w:rPr>
        <w:t>8.0.3  应监测和记录风险应对措施的实施效果，以便为风险分析提供数据。</w:t>
      </w:r>
      <w:r>
        <w:br w:type="page"/>
      </w:r>
      <w:bookmarkStart w:id="241" w:name="_Toc191997437"/>
      <w:bookmarkStart w:id="242" w:name="_Toc214005525"/>
      <w:bookmarkStart w:id="243" w:name="_Toc15625"/>
      <w:bookmarkStart w:id="244" w:name="_Toc22064"/>
      <w:bookmarkStart w:id="245" w:name="_Toc4354"/>
      <w:bookmarkStart w:id="246" w:name="_Toc214008857"/>
      <w:bookmarkStart w:id="247" w:name="_Toc191997258"/>
      <w:bookmarkStart w:id="248" w:name="_Toc191997192"/>
      <w:r>
        <w:rPr>
          <w:b/>
          <w:sz w:val="32"/>
          <w:szCs w:val="32"/>
        </w:rPr>
        <w:t>本规程用词说明</w:t>
      </w:r>
      <w:bookmarkEnd w:id="241"/>
      <w:bookmarkEnd w:id="242"/>
      <w:bookmarkEnd w:id="243"/>
      <w:bookmarkEnd w:id="244"/>
      <w:bookmarkEnd w:id="245"/>
      <w:bookmarkEnd w:id="246"/>
      <w:bookmarkEnd w:id="247"/>
      <w:bookmarkEnd w:id="248"/>
    </w:p>
    <w:p>
      <w:pPr>
        <w:spacing w:line="360" w:lineRule="auto"/>
        <w:ind w:firstLine="422" w:firstLineChars="200"/>
        <w:rPr>
          <w:rFonts w:ascii="Times New Roman" w:hAnsi="Times New Roman"/>
          <w:szCs w:val="24"/>
        </w:rPr>
      </w:pPr>
      <w:r>
        <w:rPr>
          <w:rFonts w:ascii="Times New Roman" w:hAnsi="Times New Roman"/>
          <w:b/>
          <w:bCs/>
          <w:szCs w:val="24"/>
        </w:rPr>
        <w:t>1</w:t>
      </w:r>
      <w:r>
        <w:rPr>
          <w:rFonts w:ascii="Times New Roman" w:hAnsi="Times New Roman"/>
          <w:szCs w:val="24"/>
        </w:rPr>
        <w:t xml:space="preserve">  为便于在执行本规程条文时区别对待，对于要求严格程度不同的用词说明如下：</w:t>
      </w:r>
    </w:p>
    <w:p>
      <w:pPr>
        <w:spacing w:line="360" w:lineRule="auto"/>
        <w:ind w:left="420" w:leftChars="200" w:firstLine="420" w:firstLineChars="200"/>
        <w:rPr>
          <w:rFonts w:ascii="Times New Roman" w:hAnsi="Times New Roman"/>
          <w:szCs w:val="24"/>
        </w:rPr>
      </w:pPr>
      <w:r>
        <w:rPr>
          <w:rFonts w:ascii="Times New Roman" w:hAnsi="Times New Roman"/>
          <w:szCs w:val="24"/>
        </w:rPr>
        <w:t>1）表示很严格，非这样做不可的：</w:t>
      </w:r>
    </w:p>
    <w:p>
      <w:pPr>
        <w:spacing w:line="360" w:lineRule="auto"/>
        <w:ind w:left="420" w:leftChars="200" w:firstLine="735" w:firstLineChars="350"/>
        <w:rPr>
          <w:rFonts w:ascii="Times New Roman" w:hAnsi="Times New Roman"/>
          <w:szCs w:val="24"/>
        </w:rPr>
      </w:pPr>
      <w:r>
        <w:rPr>
          <w:rFonts w:ascii="Times New Roman" w:hAnsi="Times New Roman"/>
          <w:szCs w:val="24"/>
        </w:rPr>
        <w:t>正面词采用“必须”，反面词采用“严禁”；</w:t>
      </w:r>
    </w:p>
    <w:p>
      <w:pPr>
        <w:spacing w:line="360" w:lineRule="auto"/>
        <w:ind w:left="420" w:leftChars="200" w:firstLine="420" w:firstLineChars="200"/>
        <w:rPr>
          <w:rFonts w:ascii="Times New Roman" w:hAnsi="Times New Roman"/>
          <w:szCs w:val="24"/>
        </w:rPr>
      </w:pPr>
      <w:r>
        <w:rPr>
          <w:rFonts w:ascii="Times New Roman" w:hAnsi="Times New Roman"/>
          <w:szCs w:val="24"/>
        </w:rPr>
        <w:t>2）表示严格，在正常情况下均应这样做的：</w:t>
      </w:r>
    </w:p>
    <w:p>
      <w:pPr>
        <w:spacing w:line="360" w:lineRule="auto"/>
        <w:ind w:left="420" w:leftChars="200" w:firstLine="735" w:firstLineChars="350"/>
        <w:rPr>
          <w:rFonts w:ascii="Times New Roman" w:hAnsi="Times New Roman"/>
          <w:szCs w:val="24"/>
        </w:rPr>
      </w:pPr>
      <w:r>
        <w:rPr>
          <w:rFonts w:ascii="Times New Roman" w:hAnsi="Times New Roman"/>
          <w:szCs w:val="24"/>
        </w:rPr>
        <w:t>正面词采用“应”，反面词采用“不应”或“不得”；</w:t>
      </w:r>
    </w:p>
    <w:p>
      <w:pPr>
        <w:spacing w:line="360" w:lineRule="auto"/>
        <w:ind w:left="420" w:leftChars="200" w:firstLine="420" w:firstLineChars="200"/>
        <w:rPr>
          <w:rFonts w:ascii="Times New Roman" w:hAnsi="Times New Roman"/>
          <w:szCs w:val="24"/>
        </w:rPr>
      </w:pPr>
      <w:r>
        <w:rPr>
          <w:rFonts w:ascii="Times New Roman" w:hAnsi="Times New Roman"/>
          <w:szCs w:val="24"/>
        </w:rPr>
        <w:t>3）表示允许稍有选择，在条件许可时首先应这样做的：</w:t>
      </w:r>
    </w:p>
    <w:p>
      <w:pPr>
        <w:spacing w:line="360" w:lineRule="auto"/>
        <w:ind w:left="420" w:leftChars="200" w:firstLine="735" w:firstLineChars="350"/>
        <w:rPr>
          <w:rFonts w:ascii="Times New Roman" w:hAnsi="Times New Roman"/>
          <w:szCs w:val="24"/>
        </w:rPr>
      </w:pPr>
      <w:r>
        <w:rPr>
          <w:rFonts w:ascii="Times New Roman" w:hAnsi="Times New Roman"/>
          <w:szCs w:val="24"/>
        </w:rPr>
        <w:t>正面词采用“宜”，反面词采用“不宜”；</w:t>
      </w:r>
    </w:p>
    <w:p>
      <w:pPr>
        <w:spacing w:line="360" w:lineRule="auto"/>
        <w:ind w:left="420" w:leftChars="200" w:firstLine="420" w:firstLineChars="200"/>
        <w:rPr>
          <w:rFonts w:ascii="Times New Roman" w:hAnsi="Times New Roman"/>
          <w:szCs w:val="24"/>
        </w:rPr>
      </w:pPr>
      <w:r>
        <w:rPr>
          <w:rFonts w:ascii="Times New Roman" w:hAnsi="Times New Roman"/>
          <w:szCs w:val="24"/>
        </w:rPr>
        <w:t>4）表示有选择，在一定条件下可以这样做的，采用“可”。</w:t>
      </w:r>
    </w:p>
    <w:p>
      <w:pPr>
        <w:pStyle w:val="18"/>
        <w:spacing w:line="360" w:lineRule="auto"/>
        <w:ind w:firstLine="482" w:firstLineChars="200"/>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条文中指明应按其它标准执行的写法为：“应符合……的规定”或“应按……执行”。</w:t>
      </w:r>
    </w:p>
    <w:p>
      <w:pPr>
        <w:spacing w:before="360" w:after="360"/>
        <w:jc w:val="center"/>
        <w:outlineLvl w:val="0"/>
        <w:rPr>
          <w:rFonts w:ascii="Times New Roman" w:hAnsi="Times New Roman"/>
          <w:b/>
          <w:sz w:val="32"/>
          <w:szCs w:val="32"/>
        </w:rPr>
      </w:pPr>
      <w:r>
        <w:rPr>
          <w:rFonts w:ascii="Times New Roman" w:hAnsi="Times New Roman"/>
        </w:rPr>
        <w:br w:type="page"/>
      </w:r>
      <w:bookmarkStart w:id="249" w:name="_Toc214005526"/>
      <w:bookmarkStart w:id="250" w:name="_Toc214009586"/>
      <w:bookmarkStart w:id="251" w:name="_Toc191997259"/>
      <w:bookmarkStart w:id="252" w:name="_Toc17481"/>
      <w:bookmarkStart w:id="253" w:name="_Toc191997438"/>
      <w:bookmarkStart w:id="254" w:name="_Toc214008858"/>
      <w:bookmarkStart w:id="255" w:name="_Toc19136"/>
      <w:bookmarkStart w:id="256" w:name="_Toc191997193"/>
      <w:bookmarkStart w:id="257" w:name="_Toc26062"/>
      <w:bookmarkStart w:id="258" w:name="_Toc7403"/>
      <w:r>
        <w:rPr>
          <w:rFonts w:ascii="Times New Roman" w:hAnsi="Times New Roman"/>
          <w:b/>
          <w:sz w:val="32"/>
          <w:szCs w:val="32"/>
        </w:rPr>
        <w:t>引用标准名录</w:t>
      </w:r>
      <w:bookmarkEnd w:id="249"/>
      <w:bookmarkEnd w:id="250"/>
      <w:bookmarkEnd w:id="251"/>
      <w:bookmarkEnd w:id="252"/>
      <w:bookmarkEnd w:id="253"/>
      <w:bookmarkEnd w:id="254"/>
      <w:bookmarkEnd w:id="255"/>
      <w:bookmarkEnd w:id="256"/>
      <w:bookmarkEnd w:id="257"/>
      <w:bookmarkEnd w:id="258"/>
    </w:p>
    <w:p>
      <w:pPr>
        <w:rPr>
          <w:rFonts w:ascii="Times New Roman" w:hAnsi="Times New Roman"/>
        </w:rPr>
      </w:pPr>
      <w:r>
        <w:rPr>
          <w:rFonts w:ascii="Times New Roman" w:hAnsi="Times New Roman"/>
        </w:rPr>
        <w:t>《风险管理 指南》GB/T24353</w:t>
      </w:r>
    </w:p>
    <w:p>
      <w:pPr>
        <w:rPr>
          <w:rFonts w:ascii="Times New Roman" w:hAnsi="Times New Roman"/>
        </w:rPr>
      </w:pPr>
      <w:r>
        <w:rPr>
          <w:rFonts w:hint="eastAsia" w:ascii="Times New Roman" w:hAnsi="Times New Roman"/>
        </w:rPr>
        <w:t>《风险管理 术语》GB/T23694</w:t>
      </w:r>
    </w:p>
    <w:p>
      <w:pPr>
        <w:rPr>
          <w:rFonts w:ascii="Times New Roman" w:hAnsi="Times New Roman"/>
        </w:rPr>
      </w:pPr>
      <w:r>
        <w:rPr>
          <w:rFonts w:ascii="Times New Roman" w:hAnsi="Times New Roman"/>
        </w:rPr>
        <w:t>《消防安全工程 第3部分：火灾风险评估指南》GB/T 31593.3</w:t>
      </w:r>
    </w:p>
    <w:p>
      <w:pPr>
        <w:rPr>
          <w:rFonts w:ascii="Times New Roman" w:hAnsi="Times New Roman"/>
        </w:rPr>
      </w:pPr>
      <w:r>
        <w:rPr>
          <w:rFonts w:ascii="Times New Roman" w:hAnsi="Times New Roman"/>
        </w:rPr>
        <w:t>《消防安全工程  第2部分：所需数据类型与信息》GB/T 31593.2</w:t>
      </w:r>
    </w:p>
    <w:p>
      <w:pPr>
        <w:rPr>
          <w:rFonts w:ascii="Times New Roman" w:hAnsi="Times New Roman"/>
        </w:rPr>
      </w:pPr>
      <w:r>
        <w:rPr>
          <w:rFonts w:hint="eastAsia" w:ascii="Times New Roman" w:hAnsi="Times New Roman"/>
        </w:rPr>
        <w:t>《重大火灾隐患判定规则》GB35181</w:t>
      </w:r>
    </w:p>
    <w:p>
      <w:r>
        <w:t>《建筑物财产保险火灾风险评估指南》 GB/T 41020</w:t>
      </w:r>
    </w:p>
    <w:p>
      <w:r>
        <w:rPr>
          <w:rFonts w:hint="eastAsia"/>
        </w:rPr>
        <w:t>《安全与韧性 业务连续性管理体系 要求》GB/T30146</w:t>
      </w:r>
    </w:p>
    <w:p>
      <w:pPr>
        <w:rPr>
          <w:rFonts w:ascii="Times New Roman" w:hAnsi="Times New Roman"/>
        </w:rPr>
      </w:pPr>
      <w:r>
        <w:rPr>
          <w:rFonts w:ascii="Times New Roman" w:hAnsi="Times New Roman"/>
        </w:rPr>
        <w:t>《建筑火灾荷载调查与统计分析方法》GA/T 1427</w:t>
      </w:r>
    </w:p>
    <w:p>
      <w:r>
        <w:rPr>
          <w:rFonts w:hint="eastAsia"/>
        </w:rPr>
        <w:t>《火灾直接经济损失统计方法》XF/T185</w:t>
      </w:r>
    </w:p>
    <w:p>
      <w:pPr>
        <w:rPr>
          <w:rFonts w:ascii="Times New Roman" w:hAnsi="Times New Roman"/>
        </w:rPr>
      </w:pPr>
      <w:r>
        <w:rPr>
          <w:rFonts w:ascii="Times New Roman" w:hAnsi="Times New Roman"/>
        </w:rPr>
        <w:t>《建筑火灾过火面积评估标准》</w:t>
      </w:r>
    </w:p>
    <w:p>
      <w:pPr>
        <w:rPr>
          <w:rFonts w:ascii="Times New Roman" w:hAnsi="Times New Roman"/>
        </w:rPr>
      </w:pPr>
      <w:r>
        <w:rPr>
          <w:rFonts w:ascii="Times New Roman" w:hAnsi="Times New Roman"/>
        </w:rPr>
        <w:t>《火灾概率计算标准》</w:t>
      </w:r>
    </w:p>
    <w:p>
      <w:pPr>
        <w:rPr>
          <w:rFonts w:ascii="Times New Roman" w:hAnsi="Times New Roman"/>
        </w:rPr>
      </w:pPr>
      <w:r>
        <w:rPr>
          <w:rFonts w:ascii="Times New Roman" w:hAnsi="Times New Roman"/>
        </w:rPr>
        <w:t>《火灾损失计算标准》</w:t>
      </w:r>
    </w:p>
    <w:p>
      <w:pPr>
        <w:rPr>
          <w:rFonts w:ascii="Times New Roman" w:hAnsi="Times New Roman"/>
        </w:rPr>
      </w:pPr>
      <w:r>
        <w:rPr>
          <w:rFonts w:ascii="Times New Roman" w:hAnsi="Times New Roman"/>
        </w:rPr>
        <w:br w:type="page"/>
      </w:r>
    </w:p>
    <w:p>
      <w:pPr>
        <w:rPr>
          <w:rFonts w:ascii="Times New Roman" w:hAnsi="Times New Roman"/>
        </w:rPr>
      </w:pPr>
    </w:p>
    <w:p>
      <w:pPr>
        <w:jc w:val="center"/>
        <w:rPr>
          <w:rFonts w:ascii="Times New Roman" w:hAnsi="Times New Roman" w:eastAsia="黑体"/>
          <w:sz w:val="32"/>
        </w:rPr>
      </w:pPr>
      <w:r>
        <w:rPr>
          <w:rFonts w:ascii="Times New Roman" w:hAnsi="Times New Roman" w:eastAsia="黑体"/>
          <w:sz w:val="32"/>
        </w:rPr>
        <w:t>中国工程建设标准化协会标准</w:t>
      </w:r>
    </w:p>
    <w:p>
      <w:pPr>
        <w:rPr>
          <w:rFonts w:ascii="Times New Roman" w:hAnsi="Times New Roman"/>
        </w:rPr>
      </w:pPr>
    </w:p>
    <w:p>
      <w:pPr>
        <w:rPr>
          <w:rFonts w:ascii="Times New Roman" w:hAnsi="Times New Roman"/>
        </w:rPr>
      </w:pPr>
    </w:p>
    <w:p>
      <w:pPr>
        <w:jc w:val="center"/>
        <w:rPr>
          <w:rFonts w:ascii="Times New Roman" w:hAnsi="Times New Roman"/>
          <w:b/>
          <w:sz w:val="44"/>
          <w:szCs w:val="44"/>
        </w:rPr>
      </w:pPr>
      <w:r>
        <w:rPr>
          <w:rFonts w:ascii="Times New Roman" w:hAnsi="Times New Roman"/>
          <w:b/>
          <w:sz w:val="44"/>
          <w:szCs w:val="44"/>
        </w:rPr>
        <w:t>建筑火灾风险评估技术标准</w:t>
      </w:r>
    </w:p>
    <w:p>
      <w:pPr>
        <w:jc w:val="center"/>
        <w:rPr>
          <w:rFonts w:ascii="Times New Roman" w:hAnsi="Times New Roman"/>
          <w:sz w:val="22"/>
        </w:rPr>
      </w:pPr>
      <w:r>
        <w:rPr>
          <w:rFonts w:ascii="Times New Roman" w:hAnsi="Times New Roman"/>
          <w:b/>
          <w:sz w:val="28"/>
          <w:szCs w:val="32"/>
        </w:rPr>
        <w:t>CECS XXX - 20</w:t>
      </w:r>
      <w:r>
        <w:rPr>
          <w:rFonts w:hint="eastAsia" w:ascii="Times New Roman" w:hAnsi="Times New Roman"/>
          <w:b/>
          <w:sz w:val="28"/>
          <w:szCs w:val="32"/>
        </w:rPr>
        <w:t>2</w:t>
      </w:r>
      <w:r>
        <w:rPr>
          <w:rFonts w:ascii="Times New Roman" w:hAnsi="Times New Roman"/>
          <w:b/>
          <w:sz w:val="28"/>
          <w:szCs w:val="32"/>
        </w:rPr>
        <w:t>X</w:t>
      </w:r>
    </w:p>
    <w:p>
      <w:pPr>
        <w:jc w:val="center"/>
        <w:rPr>
          <w:rFonts w:ascii="Times New Roman" w:hAnsi="Times New Roman"/>
          <w:sz w:val="30"/>
          <w:szCs w:val="30"/>
        </w:rPr>
      </w:pPr>
    </w:p>
    <w:p>
      <w:pPr>
        <w:pStyle w:val="2"/>
        <w:ind w:right="2852" w:rightChars="1358" w:firstLine="3261" w:firstLineChars="1015"/>
        <w:jc w:val="distribute"/>
        <w:rPr>
          <w:sz w:val="32"/>
          <w:szCs w:val="24"/>
        </w:rPr>
      </w:pPr>
      <w:bookmarkStart w:id="259" w:name="_Toc30518"/>
      <w:bookmarkStart w:id="260" w:name="_Toc191997260"/>
      <w:bookmarkStart w:id="261" w:name="_Toc18074197"/>
      <w:bookmarkStart w:id="262" w:name="_Toc191997478"/>
      <w:bookmarkStart w:id="263" w:name="_Toc214005527"/>
      <w:bookmarkStart w:id="264" w:name="_Toc17187002"/>
      <w:bookmarkStart w:id="265" w:name="_Toc191997194"/>
      <w:bookmarkStart w:id="266" w:name="_Toc26662"/>
      <w:bookmarkStart w:id="267" w:name="_Toc191997439"/>
      <w:bookmarkStart w:id="268" w:name="_Toc214008859"/>
      <w:bookmarkStart w:id="269" w:name="_Toc214005694"/>
      <w:bookmarkStart w:id="270" w:name="_Toc1014"/>
      <w:r>
        <w:rPr>
          <w:sz w:val="32"/>
          <w:szCs w:val="24"/>
        </w:rPr>
        <w:t>条文说明</w:t>
      </w:r>
      <w:bookmarkEnd w:id="259"/>
      <w:bookmarkEnd w:id="260"/>
      <w:bookmarkEnd w:id="261"/>
      <w:bookmarkEnd w:id="262"/>
      <w:bookmarkEnd w:id="263"/>
      <w:bookmarkEnd w:id="264"/>
      <w:bookmarkEnd w:id="265"/>
      <w:bookmarkEnd w:id="266"/>
      <w:bookmarkEnd w:id="267"/>
      <w:bookmarkEnd w:id="268"/>
      <w:bookmarkEnd w:id="269"/>
      <w:bookmarkEnd w:id="270"/>
    </w:p>
    <w:p>
      <w:pPr>
        <w:spacing w:before="312" w:beforeLines="100" w:after="312" w:afterLines="100" w:line="360" w:lineRule="auto"/>
        <w:jc w:val="center"/>
        <w:outlineLvl w:val="0"/>
        <w:rPr>
          <w:rFonts w:ascii="Times New Roman" w:hAnsi="Times New Roman" w:cs="宋体"/>
          <w:b/>
          <w:bCs/>
          <w:sz w:val="32"/>
          <w:szCs w:val="32"/>
          <w:lang w:val="zh-CN"/>
        </w:rPr>
      </w:pPr>
      <w:r>
        <w:rPr>
          <w:rFonts w:ascii="Times New Roman" w:hAnsi="Times New Roman"/>
          <w:b/>
          <w:szCs w:val="24"/>
        </w:rPr>
        <w:br w:type="page"/>
      </w:r>
      <w:bookmarkStart w:id="271" w:name="_Toc214008860"/>
      <w:bookmarkStart w:id="272" w:name="_Toc191997261"/>
      <w:bookmarkStart w:id="273" w:name="_Toc214005528"/>
      <w:bookmarkStart w:id="274" w:name="_Toc214009588"/>
      <w:bookmarkStart w:id="275" w:name="_Toc3741"/>
      <w:bookmarkStart w:id="276" w:name="_Toc191997440"/>
      <w:bookmarkStart w:id="277" w:name="_Toc216"/>
      <w:bookmarkStart w:id="278" w:name="_Toc16867"/>
      <w:bookmarkStart w:id="279" w:name="_Toc2038"/>
      <w:bookmarkStart w:id="280" w:name="_Toc4182"/>
      <w:bookmarkStart w:id="281" w:name="_Toc32592"/>
      <w:r>
        <w:rPr>
          <w:rFonts w:hint="eastAsia" w:ascii="Times New Roman" w:hAnsi="Times New Roman" w:cs="宋体"/>
          <w:b/>
          <w:bCs/>
          <w:sz w:val="32"/>
          <w:szCs w:val="32"/>
          <w:lang w:val="zh-CN"/>
        </w:rPr>
        <w:t>目</w:t>
      </w:r>
      <w:r>
        <w:rPr>
          <w:rFonts w:hint="eastAsia" w:ascii="Times New Roman" w:hAnsi="Times New Roman" w:cs="宋体"/>
          <w:b/>
          <w:bCs/>
          <w:sz w:val="32"/>
          <w:szCs w:val="32"/>
        </w:rPr>
        <w:t xml:space="preserve">  </w:t>
      </w:r>
      <w:r>
        <w:rPr>
          <w:rFonts w:hint="eastAsia" w:ascii="Times New Roman" w:hAnsi="Times New Roman" w:cs="宋体"/>
          <w:b/>
          <w:bCs/>
          <w:sz w:val="32"/>
          <w:szCs w:val="32"/>
          <w:lang w:val="zh-CN"/>
        </w:rPr>
        <w:t>次</w:t>
      </w:r>
      <w:bookmarkEnd w:id="271"/>
      <w:bookmarkEnd w:id="272"/>
      <w:bookmarkEnd w:id="273"/>
      <w:bookmarkEnd w:id="274"/>
      <w:bookmarkEnd w:id="275"/>
      <w:bookmarkEnd w:id="276"/>
      <w:bookmarkEnd w:id="277"/>
      <w:bookmarkEnd w:id="278"/>
      <w:bookmarkEnd w:id="279"/>
      <w:bookmarkEnd w:id="280"/>
      <w:bookmarkEnd w:id="281"/>
    </w:p>
    <w:p>
      <w:pPr>
        <w:pStyle w:val="23"/>
        <w:tabs>
          <w:tab w:val="right" w:leader="dot" w:pos="8296"/>
        </w:tabs>
        <w:rPr>
          <w:rFonts w:ascii="Times New Roman" w:eastAsiaTheme="minorEastAsia" w:cstheme="minorBidi"/>
          <w:sz w:val="21"/>
          <w:szCs w:val="22"/>
        </w:rPr>
      </w:pPr>
      <w:r>
        <w:rPr>
          <w:rFonts w:hint="eastAsia" w:ascii="Times New Roman" w:cs="宋体"/>
          <w:szCs w:val="24"/>
        </w:rPr>
        <w:fldChar w:fldCharType="begin"/>
      </w:r>
      <w:r>
        <w:rPr>
          <w:rFonts w:hint="eastAsia" w:ascii="Times New Roman" w:cs="宋体"/>
          <w:szCs w:val="24"/>
        </w:rPr>
        <w:instrText xml:space="preserve">TOC \o "1-3" \h \u </w:instrText>
      </w:r>
      <w:r>
        <w:rPr>
          <w:rFonts w:hint="eastAsia" w:ascii="Times New Roman" w:cs="宋体"/>
          <w:szCs w:val="24"/>
        </w:rPr>
        <w:fldChar w:fldCharType="separate"/>
      </w:r>
    </w:p>
    <w:sdt>
      <w:sdtPr>
        <w:rPr>
          <w:lang w:val="zh-CN"/>
        </w:rPr>
        <w:id w:val="-81464386"/>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277"/>
            <w:spacing w:before="156" w:after="156"/>
            <w:jc w:val="center"/>
            <w:rPr>
              <w:rFonts w:asciiTheme="minorHAnsi" w:hAnsiTheme="minorHAnsi" w:eastAsiaTheme="minorEastAsia" w:cstheme="minorBidi"/>
              <w:sz w:val="21"/>
              <w:szCs w:val="22"/>
            </w:rPr>
          </w:pPr>
          <w:r>
            <w:fldChar w:fldCharType="begin"/>
          </w:r>
          <w:r>
            <w:instrText xml:space="preserve"> TOC \o "1-3" \h \z \u </w:instrText>
          </w:r>
          <w:r>
            <w:fldChar w:fldCharType="separate"/>
          </w:r>
        </w:p>
        <w:p>
          <w:pPr>
            <w:pStyle w:val="23"/>
            <w:tabs>
              <w:tab w:val="right" w:leader="dot" w:pos="8296"/>
            </w:tabs>
            <w:rPr>
              <w:rFonts w:ascii="Times New Roman" w:hAnsiTheme="minorHAnsi" w:eastAsiaTheme="minorEastAsia" w:cstheme="minorBidi"/>
              <w:sz w:val="21"/>
              <w:szCs w:val="22"/>
            </w:rPr>
          </w:pPr>
          <w:r>
            <w:fldChar w:fldCharType="begin"/>
          </w:r>
          <w:r>
            <w:instrText xml:space="preserve"> HYPERLINK \l "_Toc214008861" </w:instrText>
          </w:r>
          <w:r>
            <w:fldChar w:fldCharType="separate"/>
          </w:r>
          <w:r>
            <w:rPr>
              <w:rStyle w:val="38"/>
              <w:rFonts w:ascii="Times New Roman"/>
            </w:rPr>
            <w:t>1  总  则</w:t>
          </w:r>
          <w:r>
            <w:rPr>
              <w:rFonts w:ascii="Times New Roman"/>
            </w:rPr>
            <w:tab/>
          </w:r>
          <w:r>
            <w:rPr>
              <w:rFonts w:ascii="Times New Roman"/>
            </w:rPr>
            <w:fldChar w:fldCharType="begin"/>
          </w:r>
          <w:r>
            <w:rPr>
              <w:rFonts w:ascii="Times New Roman"/>
            </w:rPr>
            <w:instrText xml:space="preserve"> PAGEREF _Toc214008861 \h </w:instrText>
          </w:r>
          <w:r>
            <w:rPr>
              <w:rFonts w:ascii="Times New Roman"/>
            </w:rPr>
            <w:fldChar w:fldCharType="separate"/>
          </w:r>
          <w:r>
            <w:rPr>
              <w:rFonts w:ascii="Times New Roman"/>
            </w:rPr>
            <w:t>33</w:t>
          </w:r>
          <w:r>
            <w:rPr>
              <w:rFonts w:ascii="Times New Roman"/>
            </w:rPr>
            <w:fldChar w:fldCharType="end"/>
          </w:r>
          <w:r>
            <w:rPr>
              <w:rFonts w:ascii="Times New Roman"/>
            </w:rPr>
            <w:fldChar w:fldCharType="end"/>
          </w:r>
        </w:p>
        <w:p>
          <w:pPr>
            <w:pStyle w:val="23"/>
            <w:tabs>
              <w:tab w:val="right" w:leader="dot" w:pos="8296"/>
            </w:tabs>
            <w:rPr>
              <w:rFonts w:ascii="Times New Roman" w:hAnsiTheme="minorHAnsi" w:eastAsiaTheme="minorEastAsia" w:cstheme="minorBidi"/>
              <w:sz w:val="21"/>
              <w:szCs w:val="22"/>
            </w:rPr>
          </w:pPr>
          <w:r>
            <w:fldChar w:fldCharType="begin"/>
          </w:r>
          <w:r>
            <w:instrText xml:space="preserve"> HYPERLINK \l "_Toc214008862" </w:instrText>
          </w:r>
          <w:r>
            <w:fldChar w:fldCharType="separate"/>
          </w:r>
          <w:r>
            <w:rPr>
              <w:rStyle w:val="38"/>
              <w:rFonts w:ascii="Times New Roman"/>
            </w:rPr>
            <w:t>2  术语和符号</w:t>
          </w:r>
          <w:r>
            <w:rPr>
              <w:rFonts w:ascii="Times New Roman"/>
            </w:rPr>
            <w:tab/>
          </w:r>
          <w:r>
            <w:rPr>
              <w:rFonts w:ascii="Times New Roman"/>
            </w:rPr>
            <w:fldChar w:fldCharType="begin"/>
          </w:r>
          <w:r>
            <w:rPr>
              <w:rFonts w:ascii="Times New Roman"/>
            </w:rPr>
            <w:instrText xml:space="preserve"> PAGEREF _Toc214008862 \h </w:instrText>
          </w:r>
          <w:r>
            <w:rPr>
              <w:rFonts w:ascii="Times New Roman"/>
            </w:rPr>
            <w:fldChar w:fldCharType="separate"/>
          </w:r>
          <w:r>
            <w:rPr>
              <w:rFonts w:ascii="Times New Roman"/>
            </w:rPr>
            <w:t>34</w:t>
          </w:r>
          <w:r>
            <w:rPr>
              <w:rFonts w:ascii="Times New Roman"/>
            </w:rPr>
            <w:fldChar w:fldCharType="end"/>
          </w:r>
          <w:r>
            <w:rPr>
              <w:rFonts w:ascii="Times New Roman"/>
            </w:rPr>
            <w:fldChar w:fldCharType="end"/>
          </w:r>
        </w:p>
        <w:p>
          <w:pPr>
            <w:pStyle w:val="28"/>
            <w:rPr>
              <w:rFonts w:ascii="Times New Roman" w:hAnsiTheme="minorHAnsi" w:eastAsiaTheme="minorEastAsia" w:cstheme="minorBidi"/>
              <w:sz w:val="21"/>
              <w:szCs w:val="22"/>
            </w:rPr>
          </w:pPr>
          <w:r>
            <w:fldChar w:fldCharType="begin"/>
          </w:r>
          <w:r>
            <w:instrText xml:space="preserve"> HYPERLINK \l "_Toc214008863" </w:instrText>
          </w:r>
          <w:r>
            <w:fldChar w:fldCharType="separate"/>
          </w:r>
          <w:r>
            <w:rPr>
              <w:rStyle w:val="38"/>
              <w:rFonts w:ascii="Times New Roman"/>
            </w:rPr>
            <w:t>2.1  术  语</w:t>
          </w:r>
          <w:r>
            <w:rPr>
              <w:rFonts w:ascii="Times New Roman"/>
            </w:rPr>
            <w:tab/>
          </w:r>
          <w:r>
            <w:rPr>
              <w:rFonts w:ascii="Times New Roman"/>
            </w:rPr>
            <w:fldChar w:fldCharType="begin"/>
          </w:r>
          <w:r>
            <w:rPr>
              <w:rFonts w:ascii="Times New Roman"/>
            </w:rPr>
            <w:instrText xml:space="preserve"> PAGEREF _Toc214008863 \h </w:instrText>
          </w:r>
          <w:r>
            <w:rPr>
              <w:rFonts w:ascii="Times New Roman"/>
            </w:rPr>
            <w:fldChar w:fldCharType="separate"/>
          </w:r>
          <w:r>
            <w:rPr>
              <w:rFonts w:ascii="Times New Roman"/>
            </w:rPr>
            <w:t>34</w:t>
          </w:r>
          <w:r>
            <w:rPr>
              <w:rFonts w:ascii="Times New Roman"/>
            </w:rPr>
            <w:fldChar w:fldCharType="end"/>
          </w:r>
          <w:r>
            <w:rPr>
              <w:rFonts w:ascii="Times New Roman"/>
            </w:rPr>
            <w:fldChar w:fldCharType="end"/>
          </w:r>
        </w:p>
        <w:p>
          <w:pPr>
            <w:pStyle w:val="28"/>
            <w:rPr>
              <w:rFonts w:ascii="Times New Roman" w:hAnsiTheme="minorHAnsi" w:eastAsiaTheme="minorEastAsia" w:cstheme="minorBidi"/>
              <w:sz w:val="21"/>
              <w:szCs w:val="22"/>
            </w:rPr>
          </w:pPr>
          <w:r>
            <w:fldChar w:fldCharType="begin"/>
          </w:r>
          <w:r>
            <w:instrText xml:space="preserve"> HYPERLINK \l "_Toc214008864" </w:instrText>
          </w:r>
          <w:r>
            <w:fldChar w:fldCharType="separate"/>
          </w:r>
          <w:r>
            <w:rPr>
              <w:rStyle w:val="38"/>
              <w:rFonts w:ascii="Times New Roman"/>
            </w:rPr>
            <w:t>2.2  符  号</w:t>
          </w:r>
          <w:r>
            <w:rPr>
              <w:rFonts w:ascii="Times New Roman"/>
            </w:rPr>
            <w:tab/>
          </w:r>
          <w:r>
            <w:rPr>
              <w:rFonts w:ascii="Times New Roman"/>
            </w:rPr>
            <w:fldChar w:fldCharType="begin"/>
          </w:r>
          <w:r>
            <w:rPr>
              <w:rFonts w:ascii="Times New Roman"/>
            </w:rPr>
            <w:instrText xml:space="preserve"> PAGEREF _Toc214008864 \h </w:instrText>
          </w:r>
          <w:r>
            <w:rPr>
              <w:rFonts w:ascii="Times New Roman"/>
            </w:rPr>
            <w:fldChar w:fldCharType="separate"/>
          </w:r>
          <w:r>
            <w:rPr>
              <w:rFonts w:ascii="Times New Roman"/>
            </w:rPr>
            <w:t>34</w:t>
          </w:r>
          <w:r>
            <w:rPr>
              <w:rFonts w:ascii="Times New Roman"/>
            </w:rPr>
            <w:fldChar w:fldCharType="end"/>
          </w:r>
          <w:r>
            <w:rPr>
              <w:rFonts w:ascii="Times New Roman"/>
            </w:rPr>
            <w:fldChar w:fldCharType="end"/>
          </w:r>
        </w:p>
        <w:p>
          <w:pPr>
            <w:pStyle w:val="23"/>
            <w:tabs>
              <w:tab w:val="right" w:leader="dot" w:pos="8296"/>
            </w:tabs>
            <w:rPr>
              <w:rFonts w:ascii="Times New Roman" w:hAnsiTheme="minorHAnsi" w:eastAsiaTheme="minorEastAsia" w:cstheme="minorBidi"/>
              <w:sz w:val="21"/>
              <w:szCs w:val="22"/>
            </w:rPr>
          </w:pPr>
          <w:r>
            <w:fldChar w:fldCharType="begin"/>
          </w:r>
          <w:r>
            <w:instrText xml:space="preserve"> HYPERLINK \l "_Toc214008865" </w:instrText>
          </w:r>
          <w:r>
            <w:fldChar w:fldCharType="separate"/>
          </w:r>
          <w:r>
            <w:rPr>
              <w:rStyle w:val="38"/>
              <w:rFonts w:ascii="Times New Roman"/>
            </w:rPr>
            <w:t>5  火灾风险分析</w:t>
          </w:r>
          <w:r>
            <w:rPr>
              <w:rFonts w:ascii="Times New Roman"/>
            </w:rPr>
            <w:tab/>
          </w:r>
          <w:r>
            <w:rPr>
              <w:rFonts w:ascii="Times New Roman"/>
            </w:rPr>
            <w:fldChar w:fldCharType="begin"/>
          </w:r>
          <w:r>
            <w:rPr>
              <w:rFonts w:ascii="Times New Roman"/>
            </w:rPr>
            <w:instrText xml:space="preserve"> PAGEREF _Toc214008865 \h </w:instrText>
          </w:r>
          <w:r>
            <w:rPr>
              <w:rFonts w:ascii="Times New Roman"/>
            </w:rPr>
            <w:fldChar w:fldCharType="separate"/>
          </w:r>
          <w:r>
            <w:rPr>
              <w:rFonts w:ascii="Times New Roman"/>
            </w:rPr>
            <w:t>35</w:t>
          </w:r>
          <w:r>
            <w:rPr>
              <w:rFonts w:ascii="Times New Roman"/>
            </w:rPr>
            <w:fldChar w:fldCharType="end"/>
          </w:r>
          <w:r>
            <w:rPr>
              <w:rFonts w:ascii="Times New Roman"/>
            </w:rPr>
            <w:fldChar w:fldCharType="end"/>
          </w:r>
        </w:p>
        <w:p>
          <w:pPr>
            <w:pStyle w:val="23"/>
            <w:tabs>
              <w:tab w:val="right" w:leader="dot" w:pos="8296"/>
            </w:tabs>
            <w:rPr>
              <w:rFonts w:ascii="Times New Roman" w:hAnsiTheme="minorHAnsi" w:eastAsiaTheme="minorEastAsia" w:cstheme="minorBidi"/>
              <w:sz w:val="21"/>
              <w:szCs w:val="22"/>
            </w:rPr>
          </w:pPr>
          <w:r>
            <w:fldChar w:fldCharType="begin"/>
          </w:r>
          <w:r>
            <w:instrText xml:space="preserve"> HYPERLINK \l "_Toc214008866" </w:instrText>
          </w:r>
          <w:r>
            <w:fldChar w:fldCharType="separate"/>
          </w:r>
          <w:r>
            <w:rPr>
              <w:rStyle w:val="38"/>
              <w:rFonts w:ascii="Times New Roman"/>
            </w:rPr>
            <w:t>6  火灾风险评价</w:t>
          </w:r>
          <w:r>
            <w:rPr>
              <w:rFonts w:ascii="Times New Roman"/>
            </w:rPr>
            <w:tab/>
          </w:r>
          <w:r>
            <w:rPr>
              <w:rFonts w:ascii="Times New Roman"/>
            </w:rPr>
            <w:fldChar w:fldCharType="begin"/>
          </w:r>
          <w:r>
            <w:rPr>
              <w:rFonts w:ascii="Times New Roman"/>
            </w:rPr>
            <w:instrText xml:space="preserve"> PAGEREF _Toc214008866 \h </w:instrText>
          </w:r>
          <w:r>
            <w:rPr>
              <w:rFonts w:ascii="Times New Roman"/>
            </w:rPr>
            <w:fldChar w:fldCharType="separate"/>
          </w:r>
          <w:r>
            <w:rPr>
              <w:rFonts w:ascii="Times New Roman"/>
            </w:rPr>
            <w:t>38</w:t>
          </w:r>
          <w:r>
            <w:rPr>
              <w:rFonts w:ascii="Times New Roman"/>
            </w:rPr>
            <w:fldChar w:fldCharType="end"/>
          </w:r>
          <w:r>
            <w:rPr>
              <w:rFonts w:ascii="Times New Roman"/>
            </w:rPr>
            <w:fldChar w:fldCharType="end"/>
          </w:r>
        </w:p>
        <w:p>
          <w:pPr>
            <w:pStyle w:val="23"/>
            <w:tabs>
              <w:tab w:val="right" w:leader="dot" w:pos="8296"/>
            </w:tabs>
            <w:rPr>
              <w:rFonts w:ascii="Times New Roman" w:hAnsiTheme="minorHAnsi" w:eastAsiaTheme="minorEastAsia" w:cstheme="minorBidi"/>
              <w:sz w:val="21"/>
              <w:szCs w:val="22"/>
            </w:rPr>
          </w:pPr>
          <w:r>
            <w:fldChar w:fldCharType="begin"/>
          </w:r>
          <w:r>
            <w:instrText xml:space="preserve"> HYPERLINK \l "_Toc214008867" </w:instrText>
          </w:r>
          <w:r>
            <w:fldChar w:fldCharType="separate"/>
          </w:r>
          <w:r>
            <w:rPr>
              <w:rStyle w:val="38"/>
              <w:rFonts w:ascii="Times New Roman"/>
            </w:rPr>
            <w:t>7  火灾风险可信度分析</w:t>
          </w:r>
          <w:r>
            <w:rPr>
              <w:rFonts w:ascii="Times New Roman"/>
            </w:rPr>
            <w:tab/>
          </w:r>
          <w:r>
            <w:rPr>
              <w:rFonts w:ascii="Times New Roman"/>
            </w:rPr>
            <w:fldChar w:fldCharType="begin"/>
          </w:r>
          <w:r>
            <w:rPr>
              <w:rFonts w:ascii="Times New Roman"/>
            </w:rPr>
            <w:instrText xml:space="preserve"> PAGEREF _Toc214008867 \h </w:instrText>
          </w:r>
          <w:r>
            <w:rPr>
              <w:rFonts w:ascii="Times New Roman"/>
            </w:rPr>
            <w:fldChar w:fldCharType="separate"/>
          </w:r>
          <w:r>
            <w:rPr>
              <w:rFonts w:ascii="Times New Roman"/>
            </w:rPr>
            <w:t>39</w:t>
          </w:r>
          <w:r>
            <w:rPr>
              <w:rFonts w:ascii="Times New Roman"/>
            </w:rPr>
            <w:fldChar w:fldCharType="end"/>
          </w:r>
          <w:r>
            <w:rPr>
              <w:rFonts w:ascii="Times New Roman"/>
            </w:rPr>
            <w:fldChar w:fldCharType="end"/>
          </w:r>
        </w:p>
        <w:p>
          <w:r>
            <w:rPr>
              <w:b/>
              <w:bCs/>
              <w:lang w:val="zh-CN"/>
            </w:rPr>
            <w:fldChar w:fldCharType="end"/>
          </w:r>
        </w:p>
      </w:sdtContent>
    </w:sdt>
    <w:p>
      <w:pPr>
        <w:pStyle w:val="23"/>
        <w:tabs>
          <w:tab w:val="right" w:leader="dot" w:pos="8296"/>
        </w:tabs>
        <w:rPr>
          <w:rFonts w:ascii="Times New Roman" w:eastAsiaTheme="minorEastAsia" w:cstheme="minorBidi"/>
          <w:sz w:val="21"/>
          <w:szCs w:val="22"/>
        </w:rPr>
      </w:pPr>
    </w:p>
    <w:p>
      <w:pPr>
        <w:spacing w:before="360" w:after="360"/>
        <w:jc w:val="center"/>
        <w:rPr>
          <w:rFonts w:ascii="Times New Roman" w:hAnsi="Times New Roman" w:cs="宋体"/>
          <w:szCs w:val="24"/>
        </w:rPr>
      </w:pPr>
      <w:r>
        <w:rPr>
          <w:rFonts w:hint="eastAsia" w:ascii="Times New Roman" w:hAnsi="Times New Roman" w:cs="宋体"/>
          <w:szCs w:val="24"/>
        </w:rPr>
        <w:fldChar w:fldCharType="end"/>
      </w:r>
    </w:p>
    <w:p>
      <w:pPr>
        <w:pStyle w:val="134"/>
        <w:numPr>
          <w:ilvl w:val="0"/>
          <w:numId w:val="0"/>
        </w:numPr>
        <w:spacing w:before="312" w:after="312"/>
        <w:jc w:val="center"/>
        <w:rPr>
          <w:rFonts w:ascii="Times New Roman"/>
          <w:sz w:val="32"/>
          <w:szCs w:val="32"/>
        </w:rPr>
      </w:pPr>
      <w:r>
        <w:rPr>
          <w:rFonts w:ascii="Times New Roman" w:cs="宋体"/>
          <w:szCs w:val="24"/>
        </w:rPr>
        <w:br w:type="page"/>
      </w:r>
      <w:bookmarkStart w:id="282" w:name="_Toc214005695"/>
      <w:bookmarkStart w:id="283" w:name="_Toc191997479"/>
      <w:bookmarkStart w:id="284" w:name="_Toc214009589"/>
      <w:bookmarkStart w:id="285" w:name="_Toc214005529"/>
      <w:bookmarkStart w:id="286" w:name="_Toc13509"/>
      <w:r>
        <w:rPr>
          <w:rFonts w:ascii="Times New Roman"/>
          <w:sz w:val="32"/>
          <w:szCs w:val="32"/>
        </w:rPr>
        <w:t>1  总  则</w:t>
      </w:r>
      <w:bookmarkEnd w:id="282"/>
      <w:bookmarkEnd w:id="283"/>
      <w:bookmarkEnd w:id="284"/>
      <w:bookmarkEnd w:id="285"/>
      <w:bookmarkEnd w:id="286"/>
    </w:p>
    <w:p>
      <w:pPr>
        <w:pStyle w:val="255"/>
        <w:ind w:firstLine="482" w:firstLineChars="200"/>
      </w:pPr>
      <w:r>
        <w:rPr>
          <w:b/>
        </w:rPr>
        <w:t>1.0.1</w:t>
      </w:r>
      <w:r>
        <w:t xml:space="preserve">  过去30年，中国城镇化率从1990年的26%提升至2023年的65%以上，高层建筑、地下空间、大型综合体激增，火灾风险点呈几何级增长。尽管我国的10万人口火灾起数在全世界是最低的国家之一，但我们的千次火灾死亡率比发达国家高3倍左右，其主要原因是建筑消防设施安全可靠性低、责任单位不重视，消防安全措施落实不到位。</w:t>
      </w:r>
    </w:p>
    <w:p>
      <w:pPr>
        <w:pStyle w:val="255"/>
        <w:ind w:firstLine="480" w:firstLineChars="200"/>
      </w:pPr>
      <w:r>
        <w:t>党的十八大以来，以习近平同志为核心的党中央将防灾减灾救灾摆在更加突出的位置，习近平总书记在中共十八届中央政治局第二十三次集体学习时指出：“要坚持以防为主、防抗救相结合的方针，坚持常态减灾和非常态救灾相统一，努力实现从注重灾后救助向注重灾前预防转变，从应对单一灾种向综合减灾转变，从减少灾害损失向减轻灾害风险转变，全面提高全社会抵御自然灾害的综合防范能力。”</w:t>
      </w:r>
    </w:p>
    <w:p>
      <w:pPr>
        <w:pStyle w:val="255"/>
        <w:ind w:firstLine="480" w:firstLineChars="200"/>
      </w:pPr>
      <w:r>
        <w:t>火灾风险评估是消防工作从事后补救惩罚向制度化、规范化、科学化、超前化的事前预防转型的有效技术手段，有利于指导各级政府、部门、单位有针对性的在源头解决建筑内火灾防控薄弱环节，提升建筑防范化解消防隐患的能力，进而提高社会面火灾防控能力和城市消防安全韧性，营造安全稳定的社会环境。因此，研究并编制火灾风险评估标准，有助于源头解决安全隐患，加固火灾防控防线。</w:t>
      </w:r>
    </w:p>
    <w:p>
      <w:pPr>
        <w:pStyle w:val="134"/>
        <w:spacing w:before="312" w:after="312"/>
        <w:ind w:left="0"/>
        <w:jc w:val="center"/>
        <w:rPr>
          <w:rFonts w:ascii="Times New Roman"/>
          <w:sz w:val="32"/>
          <w:szCs w:val="30"/>
        </w:rPr>
        <w:sectPr>
          <w:pgSz w:w="11906" w:h="16838"/>
          <w:pgMar w:top="1440" w:right="1800" w:bottom="1440" w:left="1800" w:header="851" w:footer="992" w:gutter="0"/>
          <w:cols w:space="425" w:num="1"/>
          <w:docGrid w:type="lines" w:linePitch="312" w:charSpace="0"/>
        </w:sectPr>
      </w:pPr>
      <w:bookmarkStart w:id="287" w:name="_Toc214005696"/>
      <w:bookmarkStart w:id="288" w:name="_Toc191997480"/>
      <w:bookmarkStart w:id="289" w:name="_Toc214005530"/>
    </w:p>
    <w:p>
      <w:pPr>
        <w:pStyle w:val="134"/>
        <w:numPr>
          <w:ilvl w:val="0"/>
          <w:numId w:val="0"/>
        </w:numPr>
        <w:spacing w:before="312" w:after="312"/>
        <w:jc w:val="center"/>
        <w:rPr>
          <w:rFonts w:ascii="Times New Roman"/>
          <w:sz w:val="32"/>
          <w:szCs w:val="30"/>
        </w:rPr>
      </w:pPr>
      <w:bookmarkStart w:id="290" w:name="_Toc214009590"/>
      <w:bookmarkStart w:id="291" w:name="_Toc23738"/>
      <w:r>
        <w:rPr>
          <w:rFonts w:hint="eastAsia" w:ascii="Times New Roman"/>
          <w:sz w:val="32"/>
          <w:szCs w:val="30"/>
        </w:rPr>
        <w:t>2</w:t>
      </w:r>
      <w:r>
        <w:rPr>
          <w:rFonts w:ascii="Times New Roman"/>
          <w:sz w:val="32"/>
          <w:szCs w:val="30"/>
        </w:rPr>
        <w:t xml:space="preserve">  术语和符号</w:t>
      </w:r>
      <w:bookmarkEnd w:id="287"/>
      <w:bookmarkEnd w:id="288"/>
      <w:bookmarkEnd w:id="289"/>
      <w:bookmarkEnd w:id="290"/>
      <w:bookmarkEnd w:id="291"/>
    </w:p>
    <w:p>
      <w:pPr>
        <w:pStyle w:val="135"/>
        <w:numPr>
          <w:ilvl w:val="0"/>
          <w:numId w:val="0"/>
        </w:numPr>
        <w:spacing w:before="156" w:after="156"/>
        <w:jc w:val="center"/>
        <w:rPr>
          <w:sz w:val="28"/>
          <w:szCs w:val="28"/>
        </w:rPr>
      </w:pPr>
      <w:bookmarkStart w:id="292" w:name="_Toc214009591"/>
      <w:bookmarkStart w:id="293" w:name="_Toc207893127"/>
      <w:bookmarkStart w:id="294" w:name="_Toc12507"/>
      <w:r>
        <w:rPr>
          <w:rFonts w:hint="eastAsia"/>
          <w:sz w:val="28"/>
          <w:szCs w:val="28"/>
        </w:rPr>
        <w:t>2</w:t>
      </w:r>
      <w:r>
        <w:rPr>
          <w:sz w:val="28"/>
          <w:szCs w:val="28"/>
        </w:rPr>
        <w:t>.1  术  语</w:t>
      </w:r>
      <w:bookmarkEnd w:id="292"/>
      <w:bookmarkEnd w:id="293"/>
      <w:bookmarkEnd w:id="294"/>
    </w:p>
    <w:p>
      <w:pPr>
        <w:pStyle w:val="54"/>
        <w:ind w:firstLine="420" w:firstLineChars="0"/>
      </w:pPr>
      <w:r>
        <w:t>本节所给出的术语，为本标准有关章节中所引用的、用于火灾风险评估的专用术语。在编写本节术语时，还参考了现行国家标准</w:t>
      </w:r>
      <w:r>
        <w:rPr>
          <w:rFonts w:hint="eastAsia"/>
        </w:rPr>
        <w:t>《风险管理 术语》GB/T23694、《重大火灾隐患判定规则》GB35181、</w:t>
      </w:r>
      <w:r>
        <w:t>《消防安全工程 第1部分:计算方法的评估、验证和确认》GB/T 31593.1、《消防安全工程 第3部分：火灾风险评估指南》GB/T 31593.3、《建筑物财产保险火灾风险评估指南》 GB/T 41020</w:t>
      </w:r>
      <w:r>
        <w:rPr>
          <w:rFonts w:hint="eastAsia"/>
        </w:rPr>
        <w:t>、《火灾直接经济损失统计方法》XF/T185、《安全与韧性 业务连续性管理体系 要求》GB/T30146</w:t>
      </w:r>
      <w:r>
        <w:t>等国家标准中的术语。</w:t>
      </w:r>
    </w:p>
    <w:p>
      <w:pPr>
        <w:pStyle w:val="135"/>
        <w:numPr>
          <w:ilvl w:val="0"/>
          <w:numId w:val="0"/>
        </w:numPr>
        <w:spacing w:before="156" w:after="156"/>
        <w:jc w:val="center"/>
        <w:rPr>
          <w:sz w:val="28"/>
          <w:szCs w:val="28"/>
        </w:rPr>
      </w:pPr>
      <w:bookmarkStart w:id="295" w:name="_Toc214009592"/>
      <w:bookmarkStart w:id="296" w:name="_Toc207893128"/>
      <w:bookmarkStart w:id="297" w:name="_Toc17623"/>
      <w:r>
        <w:rPr>
          <w:rFonts w:hint="eastAsia"/>
          <w:sz w:val="28"/>
          <w:szCs w:val="28"/>
        </w:rPr>
        <w:t>2</w:t>
      </w:r>
      <w:r>
        <w:rPr>
          <w:sz w:val="28"/>
          <w:szCs w:val="28"/>
        </w:rPr>
        <w:t>.2  符  号</w:t>
      </w:r>
      <w:bookmarkEnd w:id="295"/>
      <w:bookmarkEnd w:id="296"/>
      <w:bookmarkEnd w:id="297"/>
    </w:p>
    <w:p>
      <w:pPr>
        <w:pStyle w:val="54"/>
        <w:ind w:firstLine="420" w:firstLineChars="0"/>
      </w:pPr>
      <w:r>
        <w:t>符号主要参照现行国家标准，并根据本标准的需要规定。</w:t>
      </w:r>
    </w:p>
    <w:p>
      <w:pPr>
        <w:pStyle w:val="255"/>
        <w:ind w:firstLine="480" w:firstLineChars="200"/>
      </w:pPr>
    </w:p>
    <w:p>
      <w:pPr>
        <w:pStyle w:val="255"/>
        <w:ind w:firstLine="480" w:firstLineChars="200"/>
      </w:pPr>
    </w:p>
    <w:p>
      <w:pPr>
        <w:pStyle w:val="54"/>
        <w:ind w:firstLine="480"/>
        <w:rPr>
          <w:rFonts w:hint="eastAsia"/>
        </w:rPr>
      </w:pPr>
    </w:p>
    <w:p>
      <w:pPr>
        <w:pStyle w:val="134"/>
        <w:spacing w:before="312" w:after="312"/>
        <w:ind w:left="0"/>
        <w:jc w:val="center"/>
        <w:rPr>
          <w:rFonts w:ascii="Times New Roman"/>
          <w:sz w:val="32"/>
          <w:szCs w:val="30"/>
        </w:rPr>
        <w:sectPr>
          <w:pgSz w:w="11906" w:h="16838"/>
          <w:pgMar w:top="1440" w:right="1800" w:bottom="1440" w:left="1800" w:header="851" w:footer="992" w:gutter="0"/>
          <w:cols w:space="425" w:num="1"/>
          <w:docGrid w:type="lines" w:linePitch="312" w:charSpace="0"/>
        </w:sectPr>
      </w:pPr>
      <w:bookmarkStart w:id="298" w:name="_Toc214005697"/>
      <w:bookmarkStart w:id="299" w:name="_Toc191997481"/>
      <w:bookmarkStart w:id="300" w:name="_Toc214005531"/>
    </w:p>
    <w:bookmarkEnd w:id="298"/>
    <w:bookmarkEnd w:id="299"/>
    <w:bookmarkEnd w:id="300"/>
    <w:p>
      <w:pPr>
        <w:pStyle w:val="134"/>
        <w:numPr>
          <w:ilvl w:val="0"/>
          <w:numId w:val="0"/>
        </w:numPr>
        <w:spacing w:before="312" w:after="312"/>
        <w:jc w:val="center"/>
        <w:rPr>
          <w:rFonts w:ascii="Times New Roman"/>
          <w:sz w:val="32"/>
          <w:szCs w:val="32"/>
        </w:rPr>
      </w:pPr>
      <w:bookmarkStart w:id="301" w:name="_Toc191997483"/>
      <w:bookmarkStart w:id="302" w:name="_Toc214005533"/>
      <w:bookmarkStart w:id="303" w:name="_Toc214005699"/>
      <w:bookmarkStart w:id="304" w:name="_Toc214009593"/>
      <w:bookmarkStart w:id="305" w:name="_Toc20693"/>
      <w:r>
        <w:rPr>
          <w:rFonts w:ascii="Times New Roman"/>
          <w:sz w:val="32"/>
          <w:szCs w:val="32"/>
        </w:rPr>
        <w:t>5  火灾风险分析</w:t>
      </w:r>
      <w:bookmarkEnd w:id="301"/>
      <w:bookmarkEnd w:id="302"/>
      <w:bookmarkEnd w:id="303"/>
      <w:bookmarkEnd w:id="304"/>
      <w:bookmarkEnd w:id="305"/>
    </w:p>
    <w:p>
      <w:pPr>
        <w:pStyle w:val="54"/>
        <w:spacing w:before="156" w:beforeLines="50" w:after="156" w:afterLines="50"/>
        <w:ind w:firstLine="0" w:firstLineChars="0"/>
        <w:jc w:val="center"/>
        <w:rPr>
          <w:rFonts w:ascii="黑体" w:hAnsi="黑体" w:eastAsia="黑体"/>
          <w:sz w:val="28"/>
          <w:szCs w:val="28"/>
        </w:rPr>
      </w:pPr>
      <w:r>
        <w:rPr>
          <w:rFonts w:hint="eastAsia" w:ascii="黑体" w:hAnsi="黑体" w:eastAsia="黑体"/>
          <w:sz w:val="28"/>
          <w:szCs w:val="28"/>
        </w:rPr>
        <w:t>5</w:t>
      </w:r>
      <w:r>
        <w:rPr>
          <w:rFonts w:ascii="黑体" w:hAnsi="黑体" w:eastAsia="黑体"/>
          <w:sz w:val="28"/>
          <w:szCs w:val="28"/>
        </w:rPr>
        <w:t xml:space="preserve">.3  </w:t>
      </w:r>
      <w:r>
        <w:rPr>
          <w:rFonts w:hint="eastAsia" w:ascii="黑体" w:hAnsi="黑体" w:eastAsia="黑体"/>
          <w:sz w:val="28"/>
          <w:szCs w:val="28"/>
        </w:rPr>
        <w:t>人员损失分析方法</w:t>
      </w:r>
    </w:p>
    <w:p>
      <w:pPr>
        <w:pStyle w:val="54"/>
        <w:ind w:firstLine="0" w:firstLineChars="0"/>
        <w:rPr>
          <w:rFonts w:ascii="Times New Roman"/>
        </w:rPr>
      </w:pPr>
      <w:r>
        <w:rPr>
          <w:rFonts w:hint="eastAsia" w:ascii="Times New Roman"/>
          <w:b/>
        </w:rPr>
        <w:t>5</w:t>
      </w:r>
      <w:r>
        <w:rPr>
          <w:rFonts w:ascii="Times New Roman"/>
          <w:b/>
        </w:rPr>
        <w:t>.3.3</w:t>
      </w:r>
      <w:r>
        <w:rPr>
          <w:rFonts w:ascii="Times New Roman"/>
        </w:rPr>
        <w:t xml:space="preserve">  </w:t>
      </w:r>
      <w:r>
        <w:rPr>
          <w:rFonts w:hint="eastAsia" w:ascii="Times New Roman"/>
        </w:rPr>
        <w:t>点型感温探测器或线型感温探测器适合安装在对探测可靠性要求较高的部位；感烟探测器适合在要求探测灵敏度高、响应时间短的场所安装。如果点型火灾探测器的报警时间仍达不到设计要求，宜安装火焰探测器或空气采样探测器。</w:t>
      </w:r>
    </w:p>
    <w:p>
      <w:pPr>
        <w:pStyle w:val="54"/>
        <w:ind w:firstLine="420" w:firstLineChars="0"/>
      </w:pPr>
      <w:r>
        <w:rPr>
          <w:rFonts w:hint="eastAsia"/>
        </w:rPr>
        <w:t>探测器类型或安装位置如果选择不当，使得整个探测系统设计不合理，就可能导致大量的误报警。合理的设计以及对火灾探测报警系统的可靠维护，能够有效降低误报率。</w:t>
      </w:r>
    </w:p>
    <w:p>
      <w:pPr>
        <w:pStyle w:val="54"/>
        <w:ind w:firstLine="0" w:firstLineChars="0"/>
      </w:pPr>
      <w:r>
        <w:rPr>
          <w:rFonts w:hint="eastAsia"/>
          <w:b/>
        </w:rPr>
        <w:t>5</w:t>
      </w:r>
      <w:r>
        <w:rPr>
          <w:b/>
        </w:rPr>
        <w:t>.3.4</w:t>
      </w:r>
      <w:r>
        <w:t xml:space="preserve">  </w:t>
      </w:r>
      <w:r>
        <w:rPr>
          <w:rFonts w:hint="eastAsia"/>
        </w:rPr>
        <w:t>根据测量元件的热特性和在局部火灾环境中的热传递系数可得到“响应时间指数”（RTI）参数，同样，结合RTI并测量热敏元件的热损失可得到“导热系数”（C）参数。通过探测器周围的平均气体速度和温度等相关信息可计算出探测器的响应时间。</w:t>
      </w:r>
    </w:p>
    <w:p>
      <w:pPr>
        <w:pStyle w:val="54"/>
        <w:ind w:firstLine="0" w:firstLineChars="0"/>
      </w:pPr>
      <w:r>
        <w:rPr>
          <w:rFonts w:hint="eastAsia"/>
          <w:b/>
        </w:rPr>
        <w:t>5</w:t>
      </w:r>
      <w:r>
        <w:rPr>
          <w:b/>
        </w:rPr>
        <w:t>.3.5</w:t>
      </w:r>
      <w:r>
        <w:t xml:space="preserve">  SFPE 手册中感温探测器与环境之间热量传递总热流量可表示为</w:t>
      </w:r>
    </w:p>
    <w:p>
      <w:pPr>
        <w:pStyle w:val="54"/>
        <w:ind w:firstLine="0" w:firstLineChars="0"/>
        <w:jc w:val="center"/>
      </w:pPr>
      <w:r>
        <w:drawing>
          <wp:inline distT="0" distB="0" distL="0" distR="0">
            <wp:extent cx="1933575" cy="447675"/>
            <wp:effectExtent l="0" t="0" r="9525" b="9525"/>
            <wp:docPr id="151" name="图片 8" descr="C:\Users\12268\Documents\WeChat Files\wxid_i16nv1ad62db22\FileStorage\Temp\16817144629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8" descr="C:\Users\12268\Documents\WeChat Files\wxid_i16nv1ad62db22\FileStorage\Temp\1681714462999.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33575" cy="447675"/>
                    </a:xfrm>
                    <a:prstGeom prst="rect">
                      <a:avLst/>
                    </a:prstGeom>
                    <a:noFill/>
                    <a:ln>
                      <a:noFill/>
                    </a:ln>
                  </pic:spPr>
                </pic:pic>
              </a:graphicData>
            </a:graphic>
          </wp:inline>
        </w:drawing>
      </w:r>
    </w:p>
    <w:p>
      <w:pPr>
        <w:pStyle w:val="54"/>
        <w:ind w:firstLine="420" w:firstLineChars="0"/>
      </w:pPr>
      <w:r>
        <w:t>在火灾发展初期，通过辐射传递到感温元件的热量可以忽略不计，而大多数感温探测器中的感温元件相对于探测器的其他部件是绝热的，因此，与对流传递的热量相比，感温探测器的感温元件通过导热和辐射方式与其他部件和天花板之间的热传递可以忽略不计。因此探测器接感温元件所收到的净热流就近似等于对流热流量：</w:t>
      </w:r>
      <w:r>
        <w:drawing>
          <wp:inline distT="0" distB="0" distL="0" distR="0">
            <wp:extent cx="1266825" cy="142875"/>
            <wp:effectExtent l="0" t="0" r="9525" b="9525"/>
            <wp:docPr id="152" name="图片 9" descr="C:\Users\12268\Documents\WeChat Files\wxid_i16nv1ad62db22\FileStorage\Temp\1681714602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9" descr="C:\Users\12268\Documents\WeChat Files\wxid_i16nv1ad62db22\FileStorage\Temp\1681714602040.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266825" cy="142875"/>
                    </a:xfrm>
                    <a:prstGeom prst="rect">
                      <a:avLst/>
                    </a:prstGeom>
                    <a:noFill/>
                    <a:ln>
                      <a:noFill/>
                    </a:ln>
                  </pic:spPr>
                </pic:pic>
              </a:graphicData>
            </a:graphic>
          </wp:inline>
        </w:drawing>
      </w:r>
      <w:r>
        <w:t>。因此，可以得到火灾发展初期探测器的热平衡方程式为：</w:t>
      </w:r>
      <w:r>
        <w:drawing>
          <wp:inline distT="0" distB="0" distL="0" distR="0">
            <wp:extent cx="1390650" cy="247650"/>
            <wp:effectExtent l="0" t="0" r="0" b="0"/>
            <wp:docPr id="153" name="图片 12" descr="C:\Users\12268\Documents\WeChat Files\wxid_i16nv1ad62db22\FileStorage\Temp\16817147065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2" descr="C:\Users\12268\Documents\WeChat Files\wxid_i16nv1ad62db22\FileStorage\Temp\1681714706550.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390650" cy="247650"/>
                    </a:xfrm>
                    <a:prstGeom prst="rect">
                      <a:avLst/>
                    </a:prstGeom>
                    <a:noFill/>
                    <a:ln>
                      <a:noFill/>
                    </a:ln>
                  </pic:spPr>
                </pic:pic>
              </a:graphicData>
            </a:graphic>
          </wp:inline>
        </w:drawing>
      </w:r>
      <w:r>
        <w:t>。令</w:t>
      </w:r>
      <w:r>
        <w:drawing>
          <wp:inline distT="0" distB="0" distL="0" distR="0">
            <wp:extent cx="847725" cy="228600"/>
            <wp:effectExtent l="0" t="0" r="9525" b="0"/>
            <wp:docPr id="154" name="图片 13" descr="C:\Users\12268\Documents\WeChat Files\wxid_i16nv1ad62db22\FileStorage\Temp\16817147496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3" descr="C:\Users\12268\Documents\WeChat Files\wxid_i16nv1ad62db22\FileStorage\Temp\1681714749657.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847725" cy="228600"/>
                    </a:xfrm>
                    <a:prstGeom prst="rect">
                      <a:avLst/>
                    </a:prstGeom>
                    <a:noFill/>
                    <a:ln>
                      <a:noFill/>
                    </a:ln>
                  </pic:spPr>
                </pic:pic>
              </a:graphicData>
            </a:graphic>
          </wp:inline>
        </w:drawing>
      </w:r>
      <w:r>
        <w:t>，得到</w:t>
      </w:r>
      <w:r>
        <w:drawing>
          <wp:inline distT="0" distB="0" distL="0" distR="0">
            <wp:extent cx="1095375" cy="257175"/>
            <wp:effectExtent l="0" t="0" r="9525" b="9525"/>
            <wp:docPr id="155" name="图片 14" descr="C:\Users\12268\Documents\WeChat Files\wxid_i16nv1ad62db22\FileStorage\Temp\16817148045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4" descr="C:\Users\12268\Documents\WeChat Files\wxid_i16nv1ad62db22\FileStorage\Temp\1681714804556.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095375" cy="257175"/>
                    </a:xfrm>
                    <a:prstGeom prst="rect">
                      <a:avLst/>
                    </a:prstGeom>
                    <a:noFill/>
                    <a:ln>
                      <a:noFill/>
                    </a:ln>
                  </pic:spPr>
                </pic:pic>
              </a:graphicData>
            </a:graphic>
          </wp:inline>
        </w:drawing>
      </w:r>
      <w:r>
        <w:t>，积分后得到：</w:t>
      </w:r>
      <w:r>
        <w:drawing>
          <wp:inline distT="0" distB="0" distL="0" distR="0">
            <wp:extent cx="1171575" cy="295275"/>
            <wp:effectExtent l="0" t="0" r="9525" b="9525"/>
            <wp:docPr id="156" name="图片 15" descr="C:\Users\12268\Documents\WeChat Files\wxid_i16nv1ad62db22\FileStorage\Temp\1681714849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 descr="C:\Users\12268\Documents\WeChat Files\wxid_i16nv1ad62db22\FileStorage\Temp\1681714849325.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171575" cy="295275"/>
                    </a:xfrm>
                    <a:prstGeom prst="rect">
                      <a:avLst/>
                    </a:prstGeom>
                    <a:noFill/>
                    <a:ln>
                      <a:noFill/>
                    </a:ln>
                  </pic:spPr>
                </pic:pic>
              </a:graphicData>
            </a:graphic>
          </wp:inline>
        </w:drawing>
      </w:r>
    </w:p>
    <w:p>
      <w:pPr>
        <w:pStyle w:val="54"/>
        <w:ind w:firstLine="420" w:firstLineChars="0"/>
      </w:pPr>
      <w:r>
        <w:t>Alpert的《Calaulation of Response Time of Ceiling-Mounted Fire Detectors》研究给出了顶棚下给定径向位置r时，烟气最高温度和最大速度的计算方法。</w:t>
      </w:r>
    </w:p>
    <w:p>
      <w:pPr>
        <w:pStyle w:val="54"/>
        <w:ind w:firstLine="0" w:firstLineChars="0"/>
      </w:pPr>
      <w:r>
        <w:rPr>
          <w:rFonts w:hint="eastAsia"/>
          <w:b/>
        </w:rPr>
        <w:t>5</w:t>
      </w:r>
      <w:r>
        <w:rPr>
          <w:b/>
        </w:rPr>
        <w:t>.3.6</w:t>
      </w:r>
      <w:r>
        <w:t xml:space="preserve">  学者Mowrer研究出了一种基于烟气传播和稳态火源的感烟探测器动作时间计算方法，动作时间分为两部分，一部分是烟羽流垂直方向的传播时间，一部分是顶棚射流水平方向的传播时间。</w:t>
      </w:r>
    </w:p>
    <w:p>
      <w:pPr>
        <w:pStyle w:val="54"/>
        <w:ind w:firstLine="0" w:firstLineChars="0"/>
      </w:pPr>
      <w:r>
        <w:rPr>
          <w:rFonts w:hint="eastAsia"/>
          <w:b/>
        </w:rPr>
        <w:t>5</w:t>
      </w:r>
      <w:r>
        <w:rPr>
          <w:b/>
        </w:rPr>
        <w:t xml:space="preserve">.3.7 </w:t>
      </w:r>
      <w:r>
        <w:t xml:space="preserve"> </w:t>
      </w:r>
      <w:r>
        <w:rPr>
          <w:rFonts w:hint="eastAsia"/>
        </w:rPr>
        <w:t>当设置有火灾自动报警系统时，一旦探测器被触发就向所有人员发出警报。在这种情况下，所有人员的疏散时间都从发出警报的那一时刻开始，而发出警报和探测到火灾基本上在同一时刻发生。探测时间与火灾发展及烟气蔓延情况有关。</w:t>
      </w:r>
    </w:p>
    <w:p>
      <w:pPr>
        <w:pStyle w:val="54"/>
        <w:ind w:firstLine="420" w:firstLineChars="0"/>
      </w:pPr>
      <w:r>
        <w:rPr>
          <w:rFonts w:hint="eastAsia"/>
        </w:rPr>
        <w:t>当没有设置全楼的火灾自动报警系统，只在局部设置独立的报警器时，情况要复杂一些。在这种情况下，人们可以通过最初的火灾征兆，如烟气、探测器或报警器发出的警报发现着火，但是只限于起火附近的一小部分人或监控人员，而不是建筑内所有的人员。当一个人通过火灾烟气或探测报警装置发出的声光信息了解到发生火灾时，即表示这个人接收到了警报信息，其反应时间由此开始计算。如果采用带预警的火灾自动报警系统，一旦探测到火灾，首先会向监控人员发出预警信号。</w:t>
      </w:r>
    </w:p>
    <w:p>
      <w:pPr>
        <w:pStyle w:val="54"/>
        <w:ind w:firstLine="420" w:firstLineChars="0"/>
      </w:pPr>
      <w:r>
        <w:rPr>
          <w:rFonts w:hint="eastAsia"/>
        </w:rPr>
        <w:t>当最初的几个人接收到火灾警报信息后，即进入火灾确认和反应阶段，并伴随着一系列行为的发生，比如进一步了解火灾的情况，向所有其他人员发出警报信息等。一旦向所有人员发出警报，建筑内的其他人员就会意识到火灾的发生，并进入疏散的预动阶段。</w:t>
      </w:r>
    </w:p>
    <w:p>
      <w:pPr>
        <w:pStyle w:val="54"/>
        <w:ind w:firstLine="0" w:firstLineChars="0"/>
      </w:pPr>
      <w:r>
        <w:rPr>
          <w:rFonts w:hint="eastAsia"/>
          <w:b/>
        </w:rPr>
        <w:t>5</w:t>
      </w:r>
      <w:r>
        <w:rPr>
          <w:b/>
        </w:rPr>
        <w:t>.3.8</w:t>
      </w:r>
      <w:r>
        <w:t xml:space="preserve">  </w:t>
      </w:r>
      <w:r>
        <w:rPr>
          <w:rFonts w:hint="eastAsia"/>
        </w:rPr>
        <w:t>表中是英国《BSDD240: 1997, Fire SaFety Engineering in Buildings》中推荐的人员响应时间。</w:t>
      </w:r>
    </w:p>
    <w:p>
      <w:pPr>
        <w:pStyle w:val="54"/>
        <w:ind w:firstLine="0" w:firstLineChars="0"/>
      </w:pPr>
      <w:r>
        <w:rPr>
          <w:rFonts w:hint="eastAsia"/>
          <w:b/>
        </w:rPr>
        <w:t>5</w:t>
      </w:r>
      <w:r>
        <w:rPr>
          <w:b/>
        </w:rPr>
        <w:t>.3.9</w:t>
      </w:r>
      <w:r>
        <w:t xml:space="preserve">  </w:t>
      </w:r>
      <w:r>
        <w:rPr>
          <w:rFonts w:hint="eastAsia"/>
        </w:rPr>
        <w:t>人群的疏散速度是人员密度的函数，SFHPE《消防工程手册》对人员疏散参数（疏散速度、人流量、有效疏散宽度）的系统归纳被消防安全工程界广泛采纳。该手册认为人员的行走速度是人员密度的函数：当人员密度在0.54～3.8人/m2之间时，人员疏散速度可用以下公式表示：</w:t>
      </w:r>
      <m:oMath>
        <m:r>
          <m:rPr/>
          <w:rPr>
            <w:rFonts w:ascii="Cambria Math" w:hAnsi="Cambria Math"/>
          </w:rPr>
          <m:t>v</m:t>
        </m:r>
        <m:r>
          <m:rPr>
            <m:sty m:val="p"/>
          </m:rPr>
          <w:rPr>
            <w:rFonts w:ascii="Cambria Math" w:hAnsi="Cambria Math"/>
          </w:rPr>
          <m:t>=k−0.266kD</m:t>
        </m:r>
      </m:oMath>
      <w:r>
        <w:rPr>
          <w:rFonts w:hint="eastAsia"/>
        </w:rPr>
        <w:t>。</w:t>
      </w:r>
    </w:p>
    <w:p>
      <w:pPr>
        <w:pStyle w:val="54"/>
        <w:ind w:firstLine="420" w:firstLineChars="0"/>
      </w:pPr>
      <w:r>
        <w:rPr>
          <w:rFonts w:hint="eastAsia"/>
        </w:rPr>
        <w:t>针对人员在楼梯间的疏散速度，加拿大的Pauls等学者曾对不同场所的人员进行过多次疏散试验，结果表明：人员上楼梯速度为0.5m/s，人员下楼梯速度为0.8m/s。也有相关的文献介绍，人员上楼梯速度为0.4 倍的正常速度，人员下楼梯速度为0.6倍的正常速度。另外，对于不同类型的人员疏散速度，苏格兰爱丁堡大学研究成果不但给出了4类人员（成年男士、成年女士、儿童和老者）的平均形体尺寸，还给出了4类人员的步行速度建议推荐值，结果表明：后三类人员，即成年女士、儿童和老者，其水平和沿坡道、楼梯上下行疏散速度分别为第一类人员成年男士的85%、66%和59%。</w:t>
      </w:r>
    </w:p>
    <w:p>
      <w:pPr>
        <w:pStyle w:val="54"/>
        <w:ind w:firstLine="0" w:firstLineChars="0"/>
      </w:pPr>
      <w:r>
        <w:rPr>
          <w:rFonts w:hint="eastAsia"/>
          <w:b/>
        </w:rPr>
        <w:t>5.3.12</w:t>
      </w:r>
      <w:r>
        <w:t xml:space="preserve"> </w:t>
      </w:r>
      <w:r>
        <w:rPr>
          <w:rFonts w:hint="eastAsia"/>
        </w:rPr>
        <w:t xml:space="preserve"> 烟气层达到最小清晰高度的情况通常分为2种：一种是无机械排烟或机械排烟失效的情况，另一种是机械排烟有效的情况。计算方法主要参考日本文献《煙層下端高さに基づく避難安全検証法に関する研究》、《消防安全工程 第6部分：烟气层的计算要求》GB/T31593.6-2015。</w:t>
      </w:r>
    </w:p>
    <w:p>
      <w:pPr>
        <w:pStyle w:val="54"/>
        <w:ind w:firstLine="0" w:firstLineChars="0"/>
        <w:rPr>
          <w:rFonts w:hint="eastAsia"/>
        </w:rPr>
      </w:pPr>
      <w:r>
        <w:rPr>
          <w:rFonts w:hint="eastAsia"/>
          <w:b/>
        </w:rPr>
        <w:t>5.3.13</w:t>
      </w:r>
      <w:r>
        <w:rPr>
          <w:rFonts w:hint="eastAsia"/>
        </w:rPr>
        <w:t xml:space="preserve"> </w:t>
      </w:r>
      <w:r>
        <w:t xml:space="preserve"> </w:t>
      </w:r>
      <w:r>
        <w:rPr>
          <w:rFonts w:hint="eastAsia"/>
        </w:rPr>
        <w:t>《消防安全工程 第6部分：烟气层的计算要求》GB/T31593.6-2015附录C中公式C.8。</w:t>
      </w:r>
    </w:p>
    <w:p>
      <w:pPr>
        <w:pStyle w:val="54"/>
        <w:ind w:firstLine="0" w:firstLineChars="0"/>
      </w:pPr>
      <w:r>
        <w:rPr>
          <w:rFonts w:hint="eastAsia"/>
          <w:b/>
        </w:rPr>
        <w:t>5.3.14</w:t>
      </w:r>
      <w:r>
        <w:rPr>
          <w:rFonts w:hint="eastAsia"/>
        </w:rPr>
        <w:t xml:space="preserve"> </w:t>
      </w:r>
      <w:r>
        <w:t xml:space="preserve"> </w:t>
      </w:r>
      <w:r>
        <w:rPr>
          <w:rFonts w:hint="eastAsia"/>
        </w:rPr>
        <w:t>参数η取决于燃料的种类和燃料/空气的比率。由于公式中假设火相对于室内空间比较小，η可取通风良好的值。</w:t>
      </w:r>
    </w:p>
    <w:p>
      <w:pPr>
        <w:pStyle w:val="54"/>
        <w:spacing w:before="156" w:beforeLines="50" w:after="156" w:afterLines="50"/>
        <w:ind w:firstLine="0" w:firstLineChars="0"/>
        <w:jc w:val="center"/>
        <w:rPr>
          <w:rFonts w:hint="eastAsia" w:ascii="黑体" w:hAnsi="黑体" w:eastAsia="黑体"/>
          <w:sz w:val="28"/>
          <w:szCs w:val="28"/>
        </w:rPr>
      </w:pPr>
      <w:r>
        <w:rPr>
          <w:rFonts w:hint="eastAsia" w:ascii="黑体" w:hAnsi="黑体" w:eastAsia="黑体"/>
          <w:sz w:val="28"/>
          <w:szCs w:val="28"/>
        </w:rPr>
        <w:t>5</w:t>
      </w:r>
      <w:r>
        <w:rPr>
          <w:rFonts w:ascii="黑体" w:hAnsi="黑体" w:eastAsia="黑体"/>
          <w:sz w:val="28"/>
          <w:szCs w:val="28"/>
        </w:rPr>
        <w:t xml:space="preserve">.4  </w:t>
      </w:r>
      <w:r>
        <w:rPr>
          <w:rFonts w:hint="eastAsia" w:ascii="黑体" w:hAnsi="黑体" w:eastAsia="黑体"/>
          <w:sz w:val="28"/>
          <w:szCs w:val="28"/>
        </w:rPr>
        <w:t>直接财产损失分析方法</w:t>
      </w:r>
    </w:p>
    <w:p>
      <w:pPr>
        <w:pStyle w:val="54"/>
        <w:ind w:firstLine="0" w:firstLineChars="0"/>
        <w:rPr>
          <w:rFonts w:hint="eastAsia"/>
        </w:rPr>
      </w:pPr>
      <w:r>
        <w:rPr>
          <w:rFonts w:hint="eastAsia"/>
          <w:b/>
        </w:rPr>
        <w:t>5.4.3</w:t>
      </w:r>
      <w:r>
        <w:t xml:space="preserve"> </w:t>
      </w:r>
      <w:r>
        <w:rPr>
          <w:rFonts w:hint="eastAsia"/>
        </w:rPr>
        <w:t xml:space="preserve"> </w:t>
      </w:r>
      <w:r>
        <w:t xml:space="preserve"> </w:t>
      </w:r>
      <w:r>
        <w:rPr>
          <w:rFonts w:hint="eastAsia"/>
        </w:rPr>
        <w:t>建筑物单价可根据所评估建筑的实际总造价和总建筑面积计算得到。</w:t>
      </w:r>
    </w:p>
    <w:p>
      <w:pPr>
        <w:pStyle w:val="54"/>
        <w:ind w:firstLine="480"/>
      </w:pPr>
      <w:r>
        <w:rPr>
          <w:rFonts w:hint="eastAsia"/>
        </w:rPr>
        <w:t>财政部印发的《基本建设项目建设成本管理规定》财建</w:t>
      </w:r>
      <w:r>
        <w:rPr>
          <w:rFonts w:ascii="Cambria Math" w:hAnsi="Cambria Math" w:cs="Cambria Math"/>
        </w:rPr>
        <w:t>⟮</w:t>
      </w:r>
      <w:r>
        <w:t>2016</w:t>
      </w:r>
      <w:r>
        <w:rPr>
          <w:rFonts w:ascii="Cambria Math" w:hAnsi="Cambria Math" w:cs="Cambria Math"/>
        </w:rPr>
        <w:t>⟯</w:t>
      </w:r>
      <w:r>
        <w:t>504</w:t>
      </w:r>
      <w:r>
        <w:rPr>
          <w:rFonts w:hint="eastAsia"/>
        </w:rPr>
        <w:t>号文中规定了基本建设项目的建设成本的相关规定。</w:t>
      </w:r>
    </w:p>
    <w:p>
      <w:pPr>
        <w:pStyle w:val="54"/>
        <w:ind w:firstLine="480"/>
      </w:pPr>
      <w:r>
        <w:rPr>
          <w:rFonts w:hint="eastAsia"/>
        </w:rPr>
        <w:t>《湖南省建筑物建设成本参考标准研究成果》中给出了湖南省各类建筑建设成本标准，可供参考。</w:t>
      </w:r>
    </w:p>
    <w:p>
      <w:pPr>
        <w:pStyle w:val="54"/>
        <w:ind w:firstLine="0" w:firstLineChars="0"/>
      </w:pPr>
      <w:r>
        <w:rPr>
          <w:rFonts w:hint="eastAsia"/>
          <w:b/>
        </w:rPr>
        <w:t>5.4.4</w:t>
      </w:r>
      <w:r>
        <w:t xml:space="preserve"> </w:t>
      </w:r>
      <w:r>
        <w:rPr>
          <w:rFonts w:hint="eastAsia"/>
        </w:rPr>
        <w:t xml:space="preserve"> 比例系数参照HA-ZUS97灾害损失预测方法确定不同用途的建筑室内财产总价与结构造价比（住宅50%、商业100%、医疗150%、政府机构100%、学校150%）。</w:t>
      </w:r>
    </w:p>
    <w:p>
      <w:pPr>
        <w:pStyle w:val="54"/>
        <w:spacing w:before="156" w:beforeLines="50" w:after="156" w:afterLines="50"/>
        <w:ind w:firstLine="0" w:firstLineChars="0"/>
        <w:jc w:val="center"/>
        <w:rPr>
          <w:rFonts w:ascii="黑体" w:hAnsi="黑体" w:eastAsia="黑体"/>
          <w:sz w:val="28"/>
          <w:szCs w:val="28"/>
        </w:rPr>
      </w:pPr>
      <w:r>
        <w:rPr>
          <w:rFonts w:hint="eastAsia" w:ascii="黑体" w:hAnsi="黑体" w:eastAsia="黑体"/>
          <w:sz w:val="28"/>
          <w:szCs w:val="28"/>
        </w:rPr>
        <w:t>5</w:t>
      </w:r>
      <w:r>
        <w:rPr>
          <w:rFonts w:ascii="黑体" w:hAnsi="黑体" w:eastAsia="黑体"/>
          <w:sz w:val="28"/>
          <w:szCs w:val="28"/>
        </w:rPr>
        <w:t xml:space="preserve">.5  </w:t>
      </w:r>
      <w:r>
        <w:rPr>
          <w:rFonts w:hint="eastAsia" w:ascii="黑体" w:hAnsi="黑体" w:eastAsia="黑体"/>
          <w:sz w:val="28"/>
          <w:szCs w:val="28"/>
        </w:rPr>
        <w:t>商业连续性中断分析方法</w:t>
      </w:r>
    </w:p>
    <w:p>
      <w:pPr>
        <w:pStyle w:val="54"/>
        <w:ind w:firstLine="0" w:firstLineChars="0"/>
        <w:rPr>
          <w:rFonts w:hint="eastAsia"/>
        </w:rPr>
      </w:pPr>
      <w:r>
        <w:rPr>
          <w:rFonts w:hint="eastAsia"/>
          <w:b/>
        </w:rPr>
        <w:t>5.5.1</w:t>
      </w:r>
      <w:r>
        <w:rPr>
          <w:rFonts w:hint="eastAsia"/>
        </w:rPr>
        <w:t xml:space="preserve"> </w:t>
      </w:r>
      <w:r>
        <w:t xml:space="preserve"> </w:t>
      </w:r>
      <w:r>
        <w:rPr>
          <w:rFonts w:hint="eastAsia"/>
        </w:rPr>
        <w:t>商业连续性中断和环境破坏很难定量估算，本标准采用火灾案例类比法定性确定商业连续性中断和环境破坏。</w:t>
      </w:r>
    </w:p>
    <w:p>
      <w:pPr>
        <w:pStyle w:val="54"/>
        <w:ind w:firstLine="480"/>
        <w:rPr>
          <w:rFonts w:hint="eastAsia"/>
        </w:rPr>
      </w:pPr>
      <w:r>
        <w:rPr>
          <w:rFonts w:hint="eastAsia"/>
        </w:rPr>
        <w:t>《安全与韧性 业务连续性管理体系 要求》GB/T30146-2022 中第8.2.2节提到业务影响分析。</w:t>
      </w:r>
    </w:p>
    <w:p>
      <w:pPr>
        <w:pStyle w:val="54"/>
        <w:ind w:firstLine="0" w:firstLineChars="0"/>
        <w:rPr>
          <w:rFonts w:hint="eastAsia"/>
        </w:rPr>
      </w:pPr>
      <w:r>
        <w:rPr>
          <w:rFonts w:hint="eastAsia"/>
          <w:b/>
        </w:rPr>
        <w:t>5.5.2</w:t>
      </w:r>
      <w:r>
        <w:rPr>
          <w:rFonts w:hint="eastAsia"/>
        </w:rPr>
        <w:t xml:space="preserve"> </w:t>
      </w:r>
      <w:r>
        <w:t xml:space="preserve"> </w:t>
      </w:r>
      <w:r>
        <w:rPr>
          <w:rFonts w:hint="eastAsia"/>
        </w:rPr>
        <w:t>2008年广东大宝山隧道内半挂大货车追尾碰撞前方槽罐车，导致槽罐车所载危险化学品二甲苯泄漏并起火剧烈燃烧，不仅导致2人死亡、汽车被烧毁，而且火灾导致隧道顶部水泥钢筋脱落，封闭维修长达1个多月，在维修期间，隧道禁止通行。</w:t>
      </w:r>
    </w:p>
    <w:p>
      <w:pPr>
        <w:pStyle w:val="54"/>
        <w:ind w:firstLine="480"/>
        <w:rPr>
          <w:rFonts w:hint="eastAsia"/>
        </w:rPr>
      </w:pPr>
      <w:r>
        <w:rPr>
          <w:rFonts w:hint="eastAsia"/>
        </w:rPr>
        <w:t>2010年浙江大溪岭隧道半挂车轮胎起火，9辆车被烧毁，隧道内机电设施受损，交通中断7h。</w:t>
      </w:r>
    </w:p>
    <w:p>
      <w:pPr>
        <w:pStyle w:val="54"/>
        <w:ind w:firstLine="480"/>
        <w:rPr>
          <w:rFonts w:hint="eastAsia"/>
        </w:rPr>
      </w:pPr>
      <w:r>
        <w:rPr>
          <w:rFonts w:hint="eastAsia"/>
        </w:rPr>
        <w:t>2012年甘肃桃花沟隧道，2辆车追尾，30t硝基苯爆燃，3人受伤1辆半挂车被烧毁，隧道拱顶烧毁，混凝土大面积剥落，交通中断6h。</w:t>
      </w:r>
    </w:p>
    <w:p>
      <w:pPr>
        <w:pStyle w:val="54"/>
        <w:spacing w:before="156" w:beforeLines="50" w:after="156" w:afterLines="50"/>
        <w:ind w:firstLine="0" w:firstLineChars="0"/>
        <w:jc w:val="center"/>
        <w:rPr>
          <w:rFonts w:ascii="黑体" w:hAnsi="黑体" w:eastAsia="黑体"/>
          <w:sz w:val="28"/>
          <w:szCs w:val="28"/>
        </w:rPr>
      </w:pPr>
      <w:r>
        <w:rPr>
          <w:rFonts w:hint="eastAsia" w:ascii="黑体" w:hAnsi="黑体" w:eastAsia="黑体"/>
          <w:sz w:val="28"/>
          <w:szCs w:val="28"/>
        </w:rPr>
        <w:t>5</w:t>
      </w:r>
      <w:r>
        <w:rPr>
          <w:rFonts w:ascii="黑体" w:hAnsi="黑体" w:eastAsia="黑体"/>
          <w:sz w:val="28"/>
          <w:szCs w:val="28"/>
        </w:rPr>
        <w:t xml:space="preserve">.6  </w:t>
      </w:r>
      <w:r>
        <w:rPr>
          <w:rFonts w:hint="eastAsia" w:ascii="黑体" w:hAnsi="黑体" w:eastAsia="黑体"/>
          <w:sz w:val="28"/>
          <w:szCs w:val="28"/>
        </w:rPr>
        <w:t>环境破坏分析方法</w:t>
      </w:r>
    </w:p>
    <w:p>
      <w:pPr>
        <w:pStyle w:val="54"/>
        <w:ind w:firstLine="0" w:firstLineChars="0"/>
        <w:rPr>
          <w:rFonts w:hint="eastAsia"/>
        </w:rPr>
      </w:pPr>
      <w:r>
        <w:rPr>
          <w:rFonts w:hint="eastAsia"/>
          <w:b/>
        </w:rPr>
        <w:t>5.6.4</w:t>
      </w:r>
      <w:r>
        <w:rPr>
          <w:rFonts w:hint="eastAsia"/>
        </w:rPr>
        <w:t xml:space="preserve"> </w:t>
      </w:r>
      <w:r>
        <w:t xml:space="preserve"> </w:t>
      </w:r>
      <w:r>
        <w:rPr>
          <w:rFonts w:hint="eastAsia"/>
        </w:rPr>
        <w:t>可根据吉林石化、大连油库、天津港大爆炸、响水爆炸、漳州PX项目等火灾案例，分析推导出危险化学品建筑火灾时可能导致的环境破坏风险。</w:t>
      </w:r>
    </w:p>
    <w:p>
      <w:pPr>
        <w:pStyle w:val="54"/>
        <w:ind w:firstLine="480"/>
        <w:rPr>
          <w:rFonts w:hint="eastAsia"/>
        </w:rPr>
      </w:pPr>
    </w:p>
    <w:p>
      <w:pPr>
        <w:pStyle w:val="134"/>
        <w:numPr>
          <w:ilvl w:val="0"/>
          <w:numId w:val="0"/>
        </w:numPr>
        <w:spacing w:before="312" w:after="312"/>
        <w:jc w:val="center"/>
        <w:rPr>
          <w:rFonts w:ascii="Times New Roman"/>
          <w:sz w:val="32"/>
          <w:szCs w:val="32"/>
        </w:rPr>
        <w:sectPr>
          <w:pgSz w:w="11906" w:h="16838"/>
          <w:pgMar w:top="1440" w:right="1800" w:bottom="1440" w:left="1800" w:header="851" w:footer="992" w:gutter="0"/>
          <w:cols w:space="425" w:num="1"/>
          <w:docGrid w:type="lines" w:linePitch="312" w:charSpace="0"/>
        </w:sectPr>
      </w:pPr>
      <w:bookmarkStart w:id="306" w:name="_Toc191997484"/>
      <w:bookmarkStart w:id="307" w:name="_Toc214005534"/>
      <w:bookmarkStart w:id="308" w:name="_Toc214005700"/>
    </w:p>
    <w:p>
      <w:pPr>
        <w:pStyle w:val="134"/>
        <w:numPr>
          <w:ilvl w:val="0"/>
          <w:numId w:val="0"/>
        </w:numPr>
        <w:spacing w:before="312" w:after="312"/>
        <w:jc w:val="center"/>
        <w:rPr>
          <w:rFonts w:ascii="Times New Roman"/>
          <w:sz w:val="32"/>
          <w:szCs w:val="32"/>
        </w:rPr>
      </w:pPr>
      <w:bookmarkStart w:id="309" w:name="_Toc214009594"/>
      <w:bookmarkStart w:id="310" w:name="_Toc2361"/>
      <w:r>
        <w:rPr>
          <w:rFonts w:hint="eastAsia" w:ascii="Times New Roman"/>
          <w:sz w:val="32"/>
          <w:szCs w:val="32"/>
        </w:rPr>
        <w:t>6</w:t>
      </w:r>
      <w:r>
        <w:rPr>
          <w:rFonts w:ascii="Times New Roman"/>
          <w:sz w:val="32"/>
          <w:szCs w:val="32"/>
        </w:rPr>
        <w:t xml:space="preserve">  火灾风险评价</w:t>
      </w:r>
      <w:bookmarkEnd w:id="306"/>
      <w:bookmarkEnd w:id="307"/>
      <w:bookmarkEnd w:id="308"/>
      <w:bookmarkEnd w:id="309"/>
      <w:bookmarkEnd w:id="310"/>
    </w:p>
    <w:p>
      <w:pPr>
        <w:pStyle w:val="54"/>
        <w:spacing w:before="156" w:beforeLines="50" w:after="156" w:afterLines="50"/>
        <w:ind w:firstLine="0" w:firstLineChars="0"/>
        <w:jc w:val="center"/>
        <w:rPr>
          <w:rFonts w:hint="eastAsia" w:ascii="黑体" w:hAnsi="黑体" w:eastAsia="黑体"/>
          <w:sz w:val="28"/>
          <w:szCs w:val="28"/>
        </w:rPr>
      </w:pPr>
      <w:r>
        <w:rPr>
          <w:rFonts w:hint="eastAsia" w:ascii="黑体" w:hAnsi="黑体" w:eastAsia="黑体"/>
          <w:sz w:val="28"/>
          <w:szCs w:val="28"/>
        </w:rPr>
        <w:t>6</w:t>
      </w:r>
      <w:r>
        <w:rPr>
          <w:rFonts w:ascii="黑体" w:hAnsi="黑体" w:eastAsia="黑体"/>
          <w:sz w:val="28"/>
          <w:szCs w:val="28"/>
        </w:rPr>
        <w:t xml:space="preserve">.2  </w:t>
      </w:r>
      <w:r>
        <w:rPr>
          <w:rFonts w:hint="eastAsia" w:ascii="黑体" w:hAnsi="黑体" w:eastAsia="黑体"/>
          <w:sz w:val="28"/>
          <w:szCs w:val="28"/>
        </w:rPr>
        <w:t>火灾风险不确定性和敏感度分析</w:t>
      </w:r>
    </w:p>
    <w:p>
      <w:pPr>
        <w:pStyle w:val="54"/>
        <w:ind w:firstLine="0" w:firstLineChars="0"/>
        <w:rPr>
          <w:rFonts w:hint="eastAsia"/>
        </w:rPr>
      </w:pPr>
      <w:r>
        <w:rPr>
          <w:rFonts w:hint="eastAsia"/>
          <w:b/>
        </w:rPr>
        <w:t>6.2.1</w:t>
      </w:r>
      <w:r>
        <w:t xml:space="preserve"> </w:t>
      </w:r>
      <w:r>
        <w:rPr>
          <w:rFonts w:hint="eastAsia"/>
        </w:rPr>
        <w:t xml:space="preserve"> 不确定性分析主要是分析“输入参数的不确定性对输出结果有多大的影响”。</w:t>
      </w:r>
    </w:p>
    <w:p>
      <w:pPr>
        <w:pStyle w:val="54"/>
        <w:ind w:firstLine="0" w:firstLineChars="0"/>
        <w:rPr>
          <w:rFonts w:hint="eastAsia"/>
        </w:rPr>
      </w:pPr>
      <w:r>
        <w:rPr>
          <w:rFonts w:hint="eastAsia"/>
          <w:b/>
        </w:rPr>
        <w:t>6.2.2</w:t>
      </w:r>
      <w:r>
        <w:rPr>
          <w:rFonts w:hint="eastAsia"/>
        </w:rPr>
        <w:t xml:space="preserve"> </w:t>
      </w:r>
      <w:r>
        <w:t xml:space="preserve"> </w:t>
      </w:r>
      <w:r>
        <w:rPr>
          <w:rFonts w:hint="eastAsia"/>
        </w:rPr>
        <w:t>敏感度分析主要是分析“哪些输入参数对输出结果具有重要影响”。例如，火灾概率预测中，可对影响概率大小的第一类危险源、第二类危险源的每个因子进行敏感度分析，根据敏感度大小确定主要影响因子，后续可针对主要影响因子采取对应的措施，降低火灾概率，从而降低火灾风险。火灾损失预测中也可采用相同的方法，对影响人员损失、直接财产损失等的因子进行敏感度分析，确定主要影响因子，风险应对中提出对应措施。</w:t>
      </w:r>
    </w:p>
    <w:p>
      <w:pPr>
        <w:pStyle w:val="54"/>
        <w:ind w:firstLine="0" w:firstLineChars="0"/>
        <w:rPr>
          <w:rFonts w:hint="eastAsia"/>
        </w:rPr>
      </w:pPr>
      <w:r>
        <w:rPr>
          <w:rFonts w:hint="eastAsia"/>
          <w:b/>
        </w:rPr>
        <w:t>6.2.5</w:t>
      </w:r>
      <w:r>
        <w:t xml:space="preserve"> </w:t>
      </w:r>
      <w:r>
        <w:rPr>
          <w:rFonts w:hint="eastAsia"/>
        </w:rPr>
        <w:t xml:space="preserve"> 敏感度分析主要是分析“哪些输入参数对输出结果具有重要影响”。例如，火灾概率预测中，可对影响概率大小的第一类危险源、第二类危险源的每个因子进行敏感度分析，根据敏感度大小确定主要影响因子，后续可针对主要影响因子采取对应的措施，降低火灾概率，从而降低火灾风险。火灾损失预测中也可采用相同的方法，对影响人员损失、直接财产损失等的因子进行敏感度分析，确定主要影响因子，风险应对中提出对应措施。</w:t>
      </w:r>
    </w:p>
    <w:p>
      <w:pPr>
        <w:pStyle w:val="54"/>
        <w:ind w:firstLine="480"/>
        <w:rPr>
          <w:rFonts w:hint="eastAsia"/>
        </w:rPr>
      </w:pPr>
    </w:p>
    <w:p>
      <w:pPr>
        <w:pStyle w:val="134"/>
        <w:numPr>
          <w:ilvl w:val="0"/>
          <w:numId w:val="0"/>
        </w:numPr>
        <w:spacing w:before="312" w:after="312"/>
        <w:jc w:val="center"/>
        <w:rPr>
          <w:rFonts w:ascii="Times New Roman"/>
          <w:sz w:val="32"/>
          <w:szCs w:val="32"/>
        </w:rPr>
        <w:sectPr>
          <w:pgSz w:w="11906" w:h="16838"/>
          <w:pgMar w:top="1440" w:right="1800" w:bottom="1440" w:left="1800" w:header="851" w:footer="992" w:gutter="0"/>
          <w:cols w:space="425" w:num="1"/>
          <w:docGrid w:type="lines" w:linePitch="312" w:charSpace="0"/>
        </w:sectPr>
      </w:pPr>
      <w:bookmarkStart w:id="311" w:name="_Toc191997485"/>
      <w:bookmarkStart w:id="312" w:name="_Toc214005701"/>
      <w:bookmarkStart w:id="313" w:name="_Toc214005535"/>
    </w:p>
    <w:p>
      <w:pPr>
        <w:pStyle w:val="134"/>
        <w:numPr>
          <w:ilvl w:val="0"/>
          <w:numId w:val="0"/>
        </w:numPr>
        <w:spacing w:before="312" w:after="312"/>
        <w:jc w:val="center"/>
        <w:rPr>
          <w:rFonts w:ascii="Times New Roman"/>
          <w:sz w:val="32"/>
          <w:szCs w:val="32"/>
        </w:rPr>
      </w:pPr>
      <w:bookmarkStart w:id="314" w:name="_Toc214009595"/>
      <w:bookmarkStart w:id="315" w:name="_Toc2547"/>
      <w:r>
        <w:rPr>
          <w:rFonts w:hint="eastAsia" w:ascii="Times New Roman"/>
          <w:sz w:val="32"/>
          <w:szCs w:val="32"/>
        </w:rPr>
        <w:t>7</w:t>
      </w:r>
      <w:r>
        <w:rPr>
          <w:rFonts w:ascii="Times New Roman"/>
          <w:sz w:val="32"/>
          <w:szCs w:val="32"/>
        </w:rPr>
        <w:t xml:space="preserve">  火灾风险可信度分析</w:t>
      </w:r>
      <w:bookmarkEnd w:id="311"/>
      <w:bookmarkEnd w:id="312"/>
      <w:bookmarkEnd w:id="313"/>
      <w:bookmarkEnd w:id="314"/>
      <w:bookmarkEnd w:id="315"/>
    </w:p>
    <w:p>
      <w:pPr>
        <w:pStyle w:val="54"/>
        <w:ind w:firstLine="0" w:firstLineChars="0"/>
        <w:rPr>
          <w:rFonts w:hint="eastAsia"/>
        </w:rPr>
      </w:pPr>
      <w:r>
        <w:rPr>
          <w:rFonts w:hint="eastAsia"/>
          <w:b/>
        </w:rPr>
        <w:t>7.0.2</w:t>
      </w:r>
      <w:r>
        <w:t xml:space="preserve"> </w:t>
      </w:r>
      <w:r>
        <w:rPr>
          <w:rFonts w:hint="eastAsia"/>
        </w:rPr>
        <w:t xml:space="preserve"> 成本-效益方法考虑的是安全措施的效率与其降低风险的潜力相比较。除了从经济角度证明安全措施的有效性外，这种方法还可以作为可接受性标准。因此，成本-效益方法可用来评价获得安全水平的最低费用。此外，它还可用于不同安全措施的比较和评价。</w:t>
      </w:r>
    </w:p>
    <w:p>
      <w:pPr>
        <w:pStyle w:val="54"/>
        <w:ind w:firstLine="480"/>
        <w:rPr>
          <w:rFonts w:hint="eastAsia"/>
        </w:rPr>
      </w:pPr>
      <w:r>
        <w:rPr>
          <w:rFonts w:hint="eastAsia"/>
        </w:rPr>
        <w:t>人身损害赔偿可根据《最高人民法院关于审理人身损害赔偿案件适用法律若干问题的解释》《中华人民共和国民法典》等国家法律法规以及各省市的相关规定确定。</w:t>
      </w:r>
    </w:p>
    <w:p>
      <w:pPr>
        <w:pStyle w:val="23"/>
        <w:tabs>
          <w:tab w:val="right" w:leader="dot" w:pos="8640"/>
        </w:tabs>
        <w:spacing w:before="156" w:beforeLines="50" w:after="156" w:line="360" w:lineRule="auto"/>
        <w:jc w:val="center"/>
        <w:rPr>
          <w:rFonts w:ascii="Times New Roman"/>
          <w:b/>
          <w:sz w:val="32"/>
          <w:szCs w:val="32"/>
        </w:rPr>
      </w:pPr>
    </w:p>
    <w:p>
      <w:pPr>
        <w:spacing w:before="360" w:after="360"/>
        <w:jc w:val="center"/>
        <w:rPr>
          <w:rFonts w:ascii="Times New Roman" w:hAnsi="Times New Roman"/>
        </w:rPr>
      </w:pPr>
    </w:p>
    <w:p>
      <w:pPr>
        <w:rPr>
          <w:rFonts w:ascii="Times New Roman" w:hAnsi="Times New Roman"/>
        </w:rPr>
      </w:pPr>
      <w:r>
        <w:rPr>
          <w:rFonts w:ascii="Times New Roman" w:hAnsi="Times New Roman"/>
        </w:rPr>
        <w:fldChar w:fldCharType="begin">
          <w:fldData xml:space="preserve">ZQBKAHoAdABYAFEAMQB3AFcAOABXAGQAZgA4ACsAUwBwAGUAZQBOADIAeABoAEIAVQBwADkAcABE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</w:fldData>
        </w:fldChar>
      </w:r>
      <w:r>
        <w:rPr>
          <w:rFonts w:ascii="Times New Roman" w:hAnsi="Times New Roman"/>
        </w:rPr>
        <w:instrText xml:space="preserve">ADDIN CNKISM.UserStyle</w:instrText>
      </w:r>
      <w:r>
        <w:rPr>
          <w:rFonts w:ascii="Times New Roman" w:hAnsi="Times New Roman"/>
        </w:rPr>
        <w:fldChar w:fldCharType="end"/>
      </w:r>
      <w:bookmarkEnd w:id="0"/>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fldChar w:fldCharType="begin"/>
    </w:r>
    <w:r>
      <w:instrText xml:space="preserve">PAGE   \* MERGEFORMAT</w:instrText>
    </w:r>
    <w:r>
      <w:fldChar w:fldCharType="separate"/>
    </w:r>
    <w:r>
      <w:rPr>
        <w:lang w:val="zh-CN"/>
      </w:rPr>
      <w:t>30</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pPr>
    <w:r>
      <w:fldChar w:fldCharType="begin"/>
    </w:r>
    <w:r>
      <w:instrText xml:space="preserve">PAGE   \* MERGEFORMAT</w:instrText>
    </w:r>
    <w:r>
      <w:fldChar w:fldCharType="separate"/>
    </w:r>
    <w:r>
      <w:rPr>
        <w:lang w:val="zh-CN"/>
      </w:rPr>
      <w:t>2</w:t>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right"/>
    </w:pPr>
    <w:r>
      <w:fldChar w:fldCharType="begin"/>
    </w:r>
    <w:r>
      <w:instrText xml:space="preserve">PAGE   \* MERGEFORMAT</w:instrText>
    </w:r>
    <w:r>
      <w:fldChar w:fldCharType="separate"/>
    </w:r>
    <w:r>
      <w:rPr>
        <w:lang w:val="zh-CN"/>
      </w:rPr>
      <w:t>16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25"/>
        <w:ind w:left="780" w:hanging="360"/>
      </w:pPr>
      <w:r>
        <w:rPr>
          <w:rStyle w:val="40"/>
        </w:rPr>
        <w:footnoteRef/>
      </w:r>
      <w:r>
        <w:t xml:space="preserve"> </w:t>
      </w:r>
      <w:r>
        <w:rPr>
          <w:rFonts w:hint="eastAsia"/>
        </w:rPr>
        <w:t>执业健康安全管理体系 G</w:t>
      </w:r>
      <w:r>
        <w:t>B/T 28001-2011.</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93"/>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89"/>
      <w:suff w:val="nothing"/>
      <w:lvlText w:val="%1%2.%3　"/>
      <w:lvlJc w:val="left"/>
      <w:pPr>
        <w:ind w:left="0" w:firstLine="0"/>
      </w:pPr>
    </w:lvl>
    <w:lvl w:ilvl="3" w:tentative="0">
      <w:start w:val="1"/>
      <w:numFmt w:val="decimal"/>
      <w:pStyle w:val="148"/>
      <w:suff w:val="nothing"/>
      <w:lvlText w:val="%1%2.%3.%4　"/>
      <w:lvlJc w:val="left"/>
      <w:pPr>
        <w:ind w:left="0" w:firstLine="0"/>
      </w:pPr>
    </w:lvl>
    <w:lvl w:ilvl="4" w:tentative="0">
      <w:start w:val="1"/>
      <w:numFmt w:val="decimal"/>
      <w:pStyle w:val="183"/>
      <w:suff w:val="nothing"/>
      <w:lvlText w:val="%1%2.%3.%4.%5　"/>
      <w:lvlJc w:val="left"/>
      <w:pPr>
        <w:ind w:left="0" w:firstLine="0"/>
      </w:pPr>
    </w:lvl>
    <w:lvl w:ilvl="5" w:tentative="0">
      <w:start w:val="1"/>
      <w:numFmt w:val="decimal"/>
      <w:pStyle w:val="185"/>
      <w:suff w:val="nothing"/>
      <w:lvlText w:val="%1%2.%3.%4.%5.%6　"/>
      <w:lvlJc w:val="left"/>
      <w:pPr>
        <w:ind w:left="0" w:firstLine="0"/>
      </w:pPr>
    </w:lvl>
    <w:lvl w:ilvl="6" w:tentative="0">
      <w:start w:val="1"/>
      <w:numFmt w:val="decimal"/>
      <w:pStyle w:val="18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5111977"/>
    <w:multiLevelType w:val="multilevel"/>
    <w:tmpl w:val="05111977"/>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07ED3FEA"/>
    <w:multiLevelType w:val="multilevel"/>
    <w:tmpl w:val="07ED3FEA"/>
    <w:lvl w:ilvl="0" w:tentative="0">
      <w:start w:val="1"/>
      <w:numFmt w:val="none"/>
      <w:pStyle w:val="55"/>
      <w:lvlText w:val="%1"/>
      <w:lvlJc w:val="left"/>
      <w:pPr>
        <w:ind w:left="425" w:hanging="425"/>
      </w:pPr>
      <w:rPr>
        <w:rFonts w:hint="eastAsia"/>
      </w:rPr>
    </w:lvl>
    <w:lvl w:ilvl="1" w:tentative="0">
      <w:start w:val="1"/>
      <w:numFmt w:val="decimal"/>
      <w:pStyle w:val="57"/>
      <w:suff w:val="nothing"/>
      <w:lvlText w:val="%10.%2 "/>
      <w:lvlJc w:val="left"/>
      <w:pPr>
        <w:ind w:left="0" w:firstLine="0"/>
      </w:pPr>
      <w:rPr>
        <w:rFonts w:hint="eastAsia" w:ascii="黑体" w:hAnsi="等线" w:eastAsia="黑体"/>
        <w:b w:val="0"/>
        <w:i w:val="0"/>
        <w:sz w:val="21"/>
      </w:rPr>
    </w:lvl>
    <w:lvl w:ilvl="2" w:tentative="0">
      <w:start w:val="1"/>
      <w:numFmt w:val="decimal"/>
      <w:pStyle w:val="58"/>
      <w:suff w:val="nothing"/>
      <w:lvlText w:val="%10.%2.%3 "/>
      <w:lvlJc w:val="left"/>
      <w:pPr>
        <w:ind w:left="0" w:firstLine="0"/>
      </w:pPr>
      <w:rPr>
        <w:rFonts w:hint="eastAsia" w:ascii="黑体" w:hAnsi="等线" w:eastAsia="黑体"/>
        <w:b w:val="0"/>
        <w:i w:val="0"/>
        <w:sz w:val="21"/>
      </w:rPr>
    </w:lvl>
    <w:lvl w:ilvl="3" w:tentative="0">
      <w:start w:val="1"/>
      <w:numFmt w:val="decimal"/>
      <w:pStyle w:val="59"/>
      <w:suff w:val="nothing"/>
      <w:lvlText w:val="%10.%2.%3.%4 "/>
      <w:lvlJc w:val="left"/>
      <w:pPr>
        <w:ind w:left="0" w:firstLine="0"/>
      </w:pPr>
      <w:rPr>
        <w:rFonts w:hint="eastAsia" w:ascii="黑体" w:hAnsi="等线" w:eastAsia="黑体"/>
        <w:b w:val="0"/>
        <w:i w:val="0"/>
        <w:sz w:val="21"/>
      </w:rPr>
    </w:lvl>
    <w:lvl w:ilvl="4" w:tentative="0">
      <w:start w:val="1"/>
      <w:numFmt w:val="decimal"/>
      <w:pStyle w:val="60"/>
      <w:suff w:val="nothing"/>
      <w:lvlText w:val="%10.%2.%3.%4.%5 "/>
      <w:lvlJc w:val="left"/>
      <w:pPr>
        <w:ind w:left="0" w:firstLine="0"/>
      </w:pPr>
      <w:rPr>
        <w:rFonts w:hint="eastAsia" w:ascii="黑体" w:hAnsi="等线" w:eastAsia="黑体"/>
        <w:b w:val="0"/>
        <w:i w:val="0"/>
        <w:sz w:val="21"/>
      </w:rPr>
    </w:lvl>
    <w:lvl w:ilvl="5" w:tentative="0">
      <w:start w:val="1"/>
      <w:numFmt w:val="decimal"/>
      <w:pStyle w:val="61"/>
      <w:suff w:val="nothing"/>
      <w:lvlText w:val="%10.%2.%3.%4.%5.%6 "/>
      <w:lvlJc w:val="left"/>
      <w:pPr>
        <w:ind w:left="0" w:firstLine="0"/>
      </w:pPr>
      <w:rPr>
        <w:rFonts w:hint="eastAsia" w:ascii="黑体" w:hAnsi="等线"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210"/>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96"/>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9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4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114"/>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121"/>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A701C4"/>
    <w:multiLevelType w:val="multilevel"/>
    <w:tmpl w:val="1FA701C4"/>
    <w:lvl w:ilvl="0" w:tentative="0">
      <w:start w:val="1"/>
      <w:numFmt w:val="decimal"/>
      <w:lvlText w:val="%1)"/>
      <w:lvlJc w:val="left"/>
      <w:pPr>
        <w:ind w:left="840" w:hanging="420"/>
      </w:pPr>
      <w:rPr>
        <w:rFonts w:hint="default"/>
        <w:b/>
        <w:spacing w:val="-2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2767473F"/>
    <w:multiLevelType w:val="multilevel"/>
    <w:tmpl w:val="2767473F"/>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2">
    <w:nsid w:val="2C5917C3"/>
    <w:multiLevelType w:val="multilevel"/>
    <w:tmpl w:val="2C5917C3"/>
    <w:lvl w:ilvl="0" w:tentative="0">
      <w:start w:val="1"/>
      <w:numFmt w:val="none"/>
      <w:pStyle w:val="16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215"/>
      <w:lvlText w:val=""/>
      <w:lvlJc w:val="left"/>
      <w:pPr>
        <w:ind w:left="851" w:hanging="431"/>
      </w:pPr>
      <w:rPr>
        <w:rFonts w:hint="default" w:ascii="Symbol" w:hAnsi="Symbol"/>
        <w:sz w:val="21"/>
      </w:rPr>
    </w:lvl>
    <w:lvl w:ilvl="2" w:tentative="0">
      <w:start w:val="1"/>
      <w:numFmt w:val="bullet"/>
      <w:pStyle w:val="20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3">
    <w:nsid w:val="32F04FB2"/>
    <w:multiLevelType w:val="multilevel"/>
    <w:tmpl w:val="32F04FB2"/>
    <w:lvl w:ilvl="0" w:tentative="0">
      <w:start w:val="1"/>
      <w:numFmt w:val="lowerLetter"/>
      <w:pStyle w:val="13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4">
    <w:nsid w:val="48802D1C"/>
    <w:multiLevelType w:val="multilevel"/>
    <w:tmpl w:val="48802D1C"/>
    <w:lvl w:ilvl="0" w:tentative="0">
      <w:start w:val="1"/>
      <w:numFmt w:val="upperLetter"/>
      <w:pStyle w:val="226"/>
      <w:lvlText w:val="%1"/>
      <w:lvlJc w:val="left"/>
      <w:pPr>
        <w:ind w:left="420" w:hanging="420"/>
      </w:pPr>
      <w:rPr>
        <w:rFonts w:hint="eastAsia"/>
      </w:rPr>
    </w:lvl>
    <w:lvl w:ilvl="1" w:tentative="0">
      <w:start w:val="1"/>
      <w:numFmt w:val="decimal"/>
      <w:pStyle w:val="112"/>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5">
    <w:nsid w:val="4B733A5F"/>
    <w:multiLevelType w:val="multilevel"/>
    <w:tmpl w:val="4B733A5F"/>
    <w:lvl w:ilvl="0" w:tentative="0">
      <w:start w:val="1"/>
      <w:numFmt w:val="decimal"/>
      <w:pStyle w:val="212"/>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6">
    <w:nsid w:val="4E5D0534"/>
    <w:multiLevelType w:val="multilevel"/>
    <w:tmpl w:val="4E5D0534"/>
    <w:lvl w:ilvl="0" w:tentative="0">
      <w:start w:val="1"/>
      <w:numFmt w:val="decimal"/>
      <w:pStyle w:val="14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7">
    <w:nsid w:val="54632751"/>
    <w:multiLevelType w:val="multilevel"/>
    <w:tmpl w:val="54632751"/>
    <w:lvl w:ilvl="0" w:tentative="0">
      <w:start w:val="1"/>
      <w:numFmt w:val="none"/>
      <w:pStyle w:val="122"/>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8">
    <w:nsid w:val="557C2AF5"/>
    <w:multiLevelType w:val="multilevel"/>
    <w:tmpl w:val="557C2AF5"/>
    <w:lvl w:ilvl="0" w:tentative="0">
      <w:start w:val="1"/>
      <w:numFmt w:val="decimal"/>
      <w:pStyle w:val="14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9">
    <w:nsid w:val="5603797C"/>
    <w:multiLevelType w:val="multilevel"/>
    <w:tmpl w:val="5603797C"/>
    <w:lvl w:ilvl="0" w:tentative="0">
      <w:start w:val="1"/>
      <w:numFmt w:val="upperLetter"/>
      <w:pStyle w:val="227"/>
      <w:suff w:val="space"/>
      <w:lvlText w:val="%1"/>
      <w:lvlJc w:val="left"/>
      <w:pPr>
        <w:ind w:left="425" w:hanging="425"/>
      </w:pPr>
      <w:rPr>
        <w:rFonts w:hint="eastAsia"/>
      </w:rPr>
    </w:lvl>
    <w:lvl w:ilvl="1" w:tentative="0">
      <w:start w:val="1"/>
      <w:numFmt w:val="decimal"/>
      <w:pStyle w:val="106"/>
      <w:suff w:val="space"/>
      <w:lvlText w:val="表%1.%2"/>
      <w:lvlJc w:val="center"/>
      <w:pPr>
        <w:ind w:left="0" w:firstLine="0"/>
      </w:pPr>
      <w:rPr>
        <w:rFonts w:hint="eastAsia" w:ascii="黑体" w:eastAsia="黑体"/>
        <w:sz w:val="21"/>
      </w:rPr>
    </w:lvl>
    <w:lvl w:ilvl="2" w:tentative="0">
      <w:start w:val="1"/>
      <w:numFmt w:val="decimal"/>
      <w:pStyle w:val="240"/>
      <w:lvlText w:val="%1.%2.%3"/>
      <w:lvlJc w:val="left"/>
      <w:pPr>
        <w:ind w:left="1418" w:hanging="567"/>
      </w:pPr>
      <w:rPr>
        <w:rFonts w:hint="eastAsia"/>
      </w:rPr>
    </w:lvl>
    <w:lvl w:ilvl="3" w:tentative="0">
      <w:start w:val="1"/>
      <w:numFmt w:val="decimal"/>
      <w:pStyle w:val="241"/>
      <w:lvlText w:val="%1.%2.%3.%4"/>
      <w:lvlJc w:val="left"/>
      <w:pPr>
        <w:ind w:left="1984" w:hanging="708"/>
      </w:pPr>
      <w:rPr>
        <w:rFonts w:hint="eastAsia"/>
      </w:rPr>
    </w:lvl>
    <w:lvl w:ilvl="4" w:tentative="0">
      <w:start w:val="1"/>
      <w:numFmt w:val="decimal"/>
      <w:pStyle w:val="242"/>
      <w:lvlText w:val="%1.%2.%3.%4.%5"/>
      <w:lvlJc w:val="left"/>
      <w:pPr>
        <w:ind w:left="2551" w:hanging="850"/>
      </w:pPr>
      <w:rPr>
        <w:rFonts w:hint="eastAsia"/>
      </w:rPr>
    </w:lvl>
    <w:lvl w:ilvl="5" w:tentative="0">
      <w:start w:val="1"/>
      <w:numFmt w:val="decimal"/>
      <w:pStyle w:val="243"/>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564D2089"/>
    <w:multiLevelType w:val="multilevel"/>
    <w:tmpl w:val="564D2089"/>
    <w:lvl w:ilvl="0" w:tentative="0">
      <w:start w:val="1"/>
      <w:numFmt w:val="none"/>
      <w:pStyle w:val="14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63E04760"/>
    <w:multiLevelType w:val="multilevel"/>
    <w:tmpl w:val="63E04760"/>
    <w:lvl w:ilvl="0" w:tentative="0">
      <w:start w:val="1"/>
      <w:numFmt w:val="decimal"/>
      <w:lvlText w:val="%1"/>
      <w:lvlJc w:val="left"/>
      <w:pPr>
        <w:ind w:left="840" w:hanging="420"/>
      </w:pPr>
      <w:rPr>
        <w:rFonts w:hint="default" w:ascii="Times New Roman" w:hAnsi="Times New Roman" w:eastAsia="宋体" w:cs="Times New Roman"/>
        <w:b/>
        <w:spacing w:val="-2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644622F9"/>
    <w:multiLevelType w:val="multilevel"/>
    <w:tmpl w:val="644622F9"/>
    <w:lvl w:ilvl="0" w:tentative="0">
      <w:start w:val="1"/>
      <w:numFmt w:val="upperRoman"/>
      <w:pStyle w:val="19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54A26C9"/>
    <w:multiLevelType w:val="multilevel"/>
    <w:tmpl w:val="654A26C9"/>
    <w:lvl w:ilvl="0" w:tentative="0">
      <w:start w:val="1"/>
      <w:numFmt w:val="none"/>
      <w:pStyle w:val="217"/>
      <w:lvlText w:val="──"/>
      <w:lvlJc w:val="left"/>
      <w:pPr>
        <w:ind w:left="851" w:firstLine="0"/>
      </w:pPr>
      <w:rPr>
        <w:rFonts w:hint="eastAsia" w:ascii="宋体" w:hAnsi="等线 Light" w:eastAsia="宋体"/>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4">
    <w:nsid w:val="657D3FBC"/>
    <w:multiLevelType w:val="multilevel"/>
    <w:tmpl w:val="657D3FBC"/>
    <w:lvl w:ilvl="0" w:tentative="0">
      <w:start w:val="1"/>
      <w:numFmt w:val="upperLetter"/>
      <w:pStyle w:val="105"/>
      <w:suff w:val="nothing"/>
      <w:lvlText w:val="附录%1"/>
      <w:lvlJc w:val="left"/>
      <w:pPr>
        <w:ind w:left="0" w:firstLine="0"/>
      </w:pPr>
      <w:rPr>
        <w:rFonts w:hint="eastAsia"/>
        <w:spacing w:val="100"/>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eastAsia="黑体"/>
        <w:b w:val="0"/>
        <w:i w:val="0"/>
        <w:sz w:val="21"/>
      </w:rPr>
    </w:lvl>
    <w:lvl w:ilvl="3" w:tentative="0">
      <w:start w:val="1"/>
      <w:numFmt w:val="decimal"/>
      <w:pStyle w:val="110"/>
      <w:suff w:val="nothing"/>
      <w:lvlText w:val="%1.%2.%3.%4　"/>
      <w:lvlJc w:val="left"/>
      <w:pPr>
        <w:ind w:left="0" w:firstLine="0"/>
      </w:pPr>
      <w:rPr>
        <w:rFonts w:hint="eastAsia" w:ascii="黑体" w:eastAsia="黑体"/>
        <w:b w:val="0"/>
        <w:i w:val="0"/>
        <w:sz w:val="21"/>
      </w:rPr>
    </w:lvl>
    <w:lvl w:ilvl="4" w:tentative="0">
      <w:start w:val="1"/>
      <w:numFmt w:val="decimal"/>
      <w:pStyle w:val="111"/>
      <w:suff w:val="nothing"/>
      <w:lvlText w:val="%1.%2.%3.%4.%5　"/>
      <w:lvlJc w:val="left"/>
      <w:pPr>
        <w:ind w:left="0" w:firstLine="0"/>
      </w:pPr>
      <w:rPr>
        <w:rFonts w:hint="eastAsia" w:ascii="黑体" w:eastAsia="黑体"/>
        <w:b w:val="0"/>
        <w:i w:val="0"/>
        <w:sz w:val="21"/>
      </w:rPr>
    </w:lvl>
    <w:lvl w:ilvl="5" w:tentative="0">
      <w:start w:val="1"/>
      <w:numFmt w:val="decimal"/>
      <w:pStyle w:val="113"/>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5">
    <w:nsid w:val="69506ABF"/>
    <w:multiLevelType w:val="multilevel"/>
    <w:tmpl w:val="69506ABF"/>
    <w:lvl w:ilvl="0" w:tentative="0">
      <w:start w:val="1"/>
      <w:numFmt w:val="bullet"/>
      <w:pStyle w:val="216"/>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6">
    <w:nsid w:val="6C472873"/>
    <w:multiLevelType w:val="multilevel"/>
    <w:tmpl w:val="6C472873"/>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6CA41985"/>
    <w:multiLevelType w:val="multilevel"/>
    <w:tmpl w:val="6CA41985"/>
    <w:lvl w:ilvl="0" w:tentative="0">
      <w:start w:val="1"/>
      <w:numFmt w:val="decimal"/>
      <w:pStyle w:val="126"/>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42AC1"/>
    <w:multiLevelType w:val="multilevel"/>
    <w:tmpl w:val="6CE42AC1"/>
    <w:lvl w:ilvl="0" w:tentative="0">
      <w:start w:val="1"/>
      <w:numFmt w:val="lowerLetter"/>
      <w:pStyle w:val="20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EA2025"/>
    <w:multiLevelType w:val="multilevel"/>
    <w:tmpl w:val="6CEA2025"/>
    <w:lvl w:ilvl="0" w:tentative="0">
      <w:start w:val="1"/>
      <w:numFmt w:val="none"/>
      <w:pStyle w:val="182"/>
      <w:suff w:val="nothing"/>
      <w:lvlText w:val="%1"/>
      <w:lvlJc w:val="left"/>
      <w:pPr>
        <w:ind w:left="0" w:firstLine="0"/>
      </w:pPr>
      <w:rPr>
        <w:rFonts w:hint="eastAsia"/>
      </w:rPr>
    </w:lvl>
    <w:lvl w:ilvl="1" w:tentative="0">
      <w:start w:val="1"/>
      <w:numFmt w:val="decimal"/>
      <w:pStyle w:val="134"/>
      <w:suff w:val="nothing"/>
      <w:lvlText w:val="%1%2　"/>
      <w:lvlJc w:val="left"/>
      <w:pPr>
        <w:ind w:left="3828" w:firstLine="0"/>
      </w:pPr>
      <w:rPr>
        <w:rFonts w:hint="default" w:ascii="Times New Roman" w:hAnsi="Times New Roman" w:eastAsia="黑体" w:cs="Times New Roman"/>
        <w:b w:val="0"/>
        <w:i w:val="0"/>
        <w:sz w:val="32"/>
        <w:szCs w:val="32"/>
      </w:rPr>
    </w:lvl>
    <w:lvl w:ilvl="2" w:tentative="0">
      <w:start w:val="1"/>
      <w:numFmt w:val="decimal"/>
      <w:pStyle w:val="135"/>
      <w:suff w:val="nothing"/>
      <w:lvlText w:val="%1%2.%3　"/>
      <w:lvlJc w:val="left"/>
      <w:pPr>
        <w:ind w:left="3969" w:firstLine="0"/>
      </w:pPr>
      <w:rPr>
        <w:rFonts w:hint="default" w:ascii="Times New Roman" w:hAnsi="Times New Roman" w:eastAsia="黑体" w:cs="Times New Roman"/>
        <w:b w:val="0"/>
        <w:bCs w:val="0"/>
        <w:i w:val="0"/>
        <w:iCs w:val="0"/>
        <w:caps w:val="0"/>
        <w:smallCaps w:val="0"/>
        <w:strike w:val="0"/>
        <w:dstrike w:val="0"/>
        <w:vanish w:val="0"/>
        <w:color w:val="000000"/>
        <w:spacing w:val="0"/>
        <w:kern w:val="0"/>
        <w:position w:val="0"/>
        <w:sz w:val="28"/>
        <w:szCs w:val="28"/>
        <w:u w:val="none"/>
        <w:vertAlign w:val="baseline"/>
      </w:rPr>
    </w:lvl>
    <w:lvl w:ilvl="3" w:tentative="0">
      <w:start w:val="1"/>
      <w:numFmt w:val="decimal"/>
      <w:pStyle w:val="94"/>
      <w:suff w:val="nothing"/>
      <w:lvlText w:val="%1%2.%3.%4　"/>
      <w:lvlJc w:val="left"/>
      <w:pPr>
        <w:ind w:left="0" w:firstLine="0"/>
      </w:pPr>
      <w:rPr>
        <w:rFonts w:hint="default" w:ascii="Times New Roman" w:hAnsi="Times New Roman" w:eastAsia="黑体" w:cs="Times New Roman"/>
        <w:b/>
        <w:i w:val="0"/>
        <w:sz w:val="24"/>
      </w:rPr>
    </w:lvl>
    <w:lvl w:ilvl="4" w:tentative="0">
      <w:start w:val="1"/>
      <w:numFmt w:val="decimal"/>
      <w:pStyle w:val="123"/>
      <w:suff w:val="nothing"/>
      <w:lvlText w:val="%1%2.%3.%4.%5　"/>
      <w:lvlJc w:val="left"/>
      <w:pPr>
        <w:ind w:left="0" w:firstLine="0"/>
      </w:pPr>
      <w:rPr>
        <w:rFonts w:hint="eastAsia" w:ascii="黑体" w:eastAsia="黑体"/>
        <w:b w:val="0"/>
        <w:i w:val="0"/>
        <w:sz w:val="21"/>
      </w:rPr>
    </w:lvl>
    <w:lvl w:ilvl="5" w:tentative="0">
      <w:start w:val="1"/>
      <w:numFmt w:val="decimal"/>
      <w:pStyle w:val="127"/>
      <w:suff w:val="nothing"/>
      <w:lvlText w:val="%1%2.%3.%4.%5.%6　"/>
      <w:lvlJc w:val="left"/>
      <w:pPr>
        <w:ind w:left="0" w:firstLine="0"/>
      </w:pPr>
      <w:rPr>
        <w:rFonts w:hint="eastAsia" w:ascii="黑体" w:eastAsia="黑体"/>
        <w:b w:val="0"/>
        <w:i w:val="0"/>
        <w:sz w:val="21"/>
      </w:rPr>
    </w:lvl>
    <w:lvl w:ilvl="6" w:tentative="0">
      <w:start w:val="1"/>
      <w:numFmt w:val="decimal"/>
      <w:pStyle w:val="13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0">
    <w:nsid w:val="6DBF04F4"/>
    <w:multiLevelType w:val="multilevel"/>
    <w:tmpl w:val="6DBF04F4"/>
    <w:lvl w:ilvl="0" w:tentative="0">
      <w:start w:val="1"/>
      <w:numFmt w:val="none"/>
      <w:pStyle w:val="208"/>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1">
    <w:nsid w:val="6DF35F19"/>
    <w:multiLevelType w:val="multilevel"/>
    <w:tmpl w:val="6DF35F19"/>
    <w:lvl w:ilvl="0" w:tentative="0">
      <w:start w:val="1"/>
      <w:numFmt w:val="decimal"/>
      <w:pStyle w:val="14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2">
    <w:nsid w:val="76933334"/>
    <w:multiLevelType w:val="multilevel"/>
    <w:tmpl w:val="76933334"/>
    <w:lvl w:ilvl="0" w:tentative="0">
      <w:start w:val="1"/>
      <w:numFmt w:val="none"/>
      <w:pStyle w:val="16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0"/>
  </w:num>
  <w:num w:numId="3">
    <w:abstractNumId w:val="29"/>
  </w:num>
  <w:num w:numId="4">
    <w:abstractNumId w:val="5"/>
  </w:num>
  <w:num w:numId="5">
    <w:abstractNumId w:val="24"/>
  </w:num>
  <w:num w:numId="6">
    <w:abstractNumId w:val="19"/>
  </w:num>
  <w:num w:numId="7">
    <w:abstractNumId w:val="14"/>
  </w:num>
  <w:num w:numId="8">
    <w:abstractNumId w:val="8"/>
  </w:num>
  <w:num w:numId="9">
    <w:abstractNumId w:val="9"/>
  </w:num>
  <w:num w:numId="10">
    <w:abstractNumId w:val="17"/>
  </w:num>
  <w:num w:numId="11">
    <w:abstractNumId w:val="27"/>
  </w:num>
  <w:num w:numId="12">
    <w:abstractNumId w:val="13"/>
  </w:num>
  <w:num w:numId="13">
    <w:abstractNumId w:val="7"/>
  </w:num>
  <w:num w:numId="14">
    <w:abstractNumId w:val="20"/>
  </w:num>
  <w:num w:numId="15">
    <w:abstractNumId w:val="18"/>
  </w:num>
  <w:num w:numId="16">
    <w:abstractNumId w:val="31"/>
  </w:num>
  <w:num w:numId="17">
    <w:abstractNumId w:val="16"/>
  </w:num>
  <w:num w:numId="18">
    <w:abstractNumId w:val="1"/>
  </w:num>
  <w:num w:numId="19">
    <w:abstractNumId w:val="12"/>
  </w:num>
  <w:num w:numId="20">
    <w:abstractNumId w:val="32"/>
  </w:num>
  <w:num w:numId="21">
    <w:abstractNumId w:val="22"/>
  </w:num>
  <w:num w:numId="22">
    <w:abstractNumId w:val="6"/>
  </w:num>
  <w:num w:numId="23">
    <w:abstractNumId w:val="28"/>
  </w:num>
  <w:num w:numId="24">
    <w:abstractNumId w:val="30"/>
  </w:num>
  <w:num w:numId="25">
    <w:abstractNumId w:val="4"/>
  </w:num>
  <w:num w:numId="26">
    <w:abstractNumId w:val="15"/>
  </w:num>
  <w:num w:numId="27">
    <w:abstractNumId w:val="25"/>
  </w:num>
  <w:num w:numId="28">
    <w:abstractNumId w:val="23"/>
  </w:num>
  <w:num w:numId="29">
    <w:abstractNumId w:val="26"/>
  </w:num>
  <w:num w:numId="30">
    <w:abstractNumId w:val="11"/>
  </w:num>
  <w:num w:numId="31">
    <w:abstractNumId w:val="2"/>
  </w:num>
  <w:num w:numId="32">
    <w:abstractNumId w:val="21"/>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3337"/>
    <w:rsid w:val="0000231E"/>
    <w:rsid w:val="000037E1"/>
    <w:rsid w:val="000046C1"/>
    <w:rsid w:val="000055CE"/>
    <w:rsid w:val="00007A71"/>
    <w:rsid w:val="00007CCD"/>
    <w:rsid w:val="00014ED1"/>
    <w:rsid w:val="000221F2"/>
    <w:rsid w:val="000232B5"/>
    <w:rsid w:val="00026B27"/>
    <w:rsid w:val="000329CF"/>
    <w:rsid w:val="000332D5"/>
    <w:rsid w:val="00033994"/>
    <w:rsid w:val="00037378"/>
    <w:rsid w:val="00037ABC"/>
    <w:rsid w:val="00043242"/>
    <w:rsid w:val="0004538F"/>
    <w:rsid w:val="00046331"/>
    <w:rsid w:val="000518D0"/>
    <w:rsid w:val="00053465"/>
    <w:rsid w:val="00054702"/>
    <w:rsid w:val="00054B9D"/>
    <w:rsid w:val="000611E2"/>
    <w:rsid w:val="00062787"/>
    <w:rsid w:val="000754F6"/>
    <w:rsid w:val="000758D8"/>
    <w:rsid w:val="00075A77"/>
    <w:rsid w:val="0007616C"/>
    <w:rsid w:val="0007770C"/>
    <w:rsid w:val="000823C0"/>
    <w:rsid w:val="00082AE9"/>
    <w:rsid w:val="000855B9"/>
    <w:rsid w:val="000857C7"/>
    <w:rsid w:val="00086970"/>
    <w:rsid w:val="00087241"/>
    <w:rsid w:val="000919E3"/>
    <w:rsid w:val="000947A8"/>
    <w:rsid w:val="000A17C8"/>
    <w:rsid w:val="000A21C6"/>
    <w:rsid w:val="000A2C9C"/>
    <w:rsid w:val="000A4027"/>
    <w:rsid w:val="000A592F"/>
    <w:rsid w:val="000A762E"/>
    <w:rsid w:val="000D14D1"/>
    <w:rsid w:val="000D667A"/>
    <w:rsid w:val="000D78F4"/>
    <w:rsid w:val="000E3DBB"/>
    <w:rsid w:val="000E4781"/>
    <w:rsid w:val="000E589F"/>
    <w:rsid w:val="000F2B4D"/>
    <w:rsid w:val="000F4ECC"/>
    <w:rsid w:val="000F758A"/>
    <w:rsid w:val="000F7B08"/>
    <w:rsid w:val="00103000"/>
    <w:rsid w:val="00106DA9"/>
    <w:rsid w:val="00107C90"/>
    <w:rsid w:val="00107ED6"/>
    <w:rsid w:val="001128C8"/>
    <w:rsid w:val="0011344C"/>
    <w:rsid w:val="00117F88"/>
    <w:rsid w:val="00121CE2"/>
    <w:rsid w:val="00121F69"/>
    <w:rsid w:val="00123A4F"/>
    <w:rsid w:val="0012733E"/>
    <w:rsid w:val="0012798F"/>
    <w:rsid w:val="0013082A"/>
    <w:rsid w:val="00143FAC"/>
    <w:rsid w:val="001512C5"/>
    <w:rsid w:val="0015195C"/>
    <w:rsid w:val="001521FA"/>
    <w:rsid w:val="001529B1"/>
    <w:rsid w:val="00153BF7"/>
    <w:rsid w:val="0016011B"/>
    <w:rsid w:val="00162071"/>
    <w:rsid w:val="0016354E"/>
    <w:rsid w:val="00165191"/>
    <w:rsid w:val="00167A48"/>
    <w:rsid w:val="001728FF"/>
    <w:rsid w:val="0017335D"/>
    <w:rsid w:val="00177228"/>
    <w:rsid w:val="001802AA"/>
    <w:rsid w:val="001811A9"/>
    <w:rsid w:val="001812C7"/>
    <w:rsid w:val="001824D9"/>
    <w:rsid w:val="00183DA0"/>
    <w:rsid w:val="00185032"/>
    <w:rsid w:val="00185144"/>
    <w:rsid w:val="00193BA6"/>
    <w:rsid w:val="0019497E"/>
    <w:rsid w:val="001A075A"/>
    <w:rsid w:val="001B264F"/>
    <w:rsid w:val="001B40ED"/>
    <w:rsid w:val="001C0061"/>
    <w:rsid w:val="001C3393"/>
    <w:rsid w:val="001C3C81"/>
    <w:rsid w:val="001C507B"/>
    <w:rsid w:val="001D2A27"/>
    <w:rsid w:val="001D2F18"/>
    <w:rsid w:val="001D4B1F"/>
    <w:rsid w:val="001E77BD"/>
    <w:rsid w:val="001F428C"/>
    <w:rsid w:val="001F5B4C"/>
    <w:rsid w:val="001F7B10"/>
    <w:rsid w:val="00202AA8"/>
    <w:rsid w:val="002072B1"/>
    <w:rsid w:val="0020786E"/>
    <w:rsid w:val="00211B0A"/>
    <w:rsid w:val="002136F8"/>
    <w:rsid w:val="0021546B"/>
    <w:rsid w:val="0022589A"/>
    <w:rsid w:val="00225E8E"/>
    <w:rsid w:val="002274F4"/>
    <w:rsid w:val="0023417F"/>
    <w:rsid w:val="00234735"/>
    <w:rsid w:val="0023531E"/>
    <w:rsid w:val="00235420"/>
    <w:rsid w:val="00237B5F"/>
    <w:rsid w:val="002420EC"/>
    <w:rsid w:val="00242113"/>
    <w:rsid w:val="002457E1"/>
    <w:rsid w:val="00247A78"/>
    <w:rsid w:val="00250315"/>
    <w:rsid w:val="0025061E"/>
    <w:rsid w:val="00250F19"/>
    <w:rsid w:val="002517E9"/>
    <w:rsid w:val="00252D89"/>
    <w:rsid w:val="00254F1B"/>
    <w:rsid w:val="002554D5"/>
    <w:rsid w:val="00256651"/>
    <w:rsid w:val="00256F26"/>
    <w:rsid w:val="00263189"/>
    <w:rsid w:val="00263988"/>
    <w:rsid w:val="00266F47"/>
    <w:rsid w:val="00273337"/>
    <w:rsid w:val="00280BA8"/>
    <w:rsid w:val="002818A9"/>
    <w:rsid w:val="002835E0"/>
    <w:rsid w:val="00283C50"/>
    <w:rsid w:val="00294633"/>
    <w:rsid w:val="00295624"/>
    <w:rsid w:val="00295789"/>
    <w:rsid w:val="00297763"/>
    <w:rsid w:val="00297C69"/>
    <w:rsid w:val="002A19EA"/>
    <w:rsid w:val="002A1BF9"/>
    <w:rsid w:val="002A214C"/>
    <w:rsid w:val="002A24A1"/>
    <w:rsid w:val="002B0253"/>
    <w:rsid w:val="002B0419"/>
    <w:rsid w:val="002B3659"/>
    <w:rsid w:val="002B3B2E"/>
    <w:rsid w:val="002B44EF"/>
    <w:rsid w:val="002B7310"/>
    <w:rsid w:val="002C024C"/>
    <w:rsid w:val="002C062A"/>
    <w:rsid w:val="002C0CBE"/>
    <w:rsid w:val="002C166D"/>
    <w:rsid w:val="002C31C4"/>
    <w:rsid w:val="002C321F"/>
    <w:rsid w:val="002C383F"/>
    <w:rsid w:val="002C465F"/>
    <w:rsid w:val="002C6D85"/>
    <w:rsid w:val="002D0349"/>
    <w:rsid w:val="002D1530"/>
    <w:rsid w:val="002D1FF2"/>
    <w:rsid w:val="002D627D"/>
    <w:rsid w:val="002E0D75"/>
    <w:rsid w:val="002E6369"/>
    <w:rsid w:val="002E684B"/>
    <w:rsid w:val="002F0FC6"/>
    <w:rsid w:val="002F2B7F"/>
    <w:rsid w:val="002F2CF9"/>
    <w:rsid w:val="002F494E"/>
    <w:rsid w:val="002F4BDF"/>
    <w:rsid w:val="002F5A85"/>
    <w:rsid w:val="002F5BC4"/>
    <w:rsid w:val="002F6257"/>
    <w:rsid w:val="00304845"/>
    <w:rsid w:val="0031378B"/>
    <w:rsid w:val="00316913"/>
    <w:rsid w:val="003226F7"/>
    <w:rsid w:val="00322C61"/>
    <w:rsid w:val="00323EFA"/>
    <w:rsid w:val="003244C8"/>
    <w:rsid w:val="0032514C"/>
    <w:rsid w:val="00330E68"/>
    <w:rsid w:val="00340635"/>
    <w:rsid w:val="00342ABB"/>
    <w:rsid w:val="00345463"/>
    <w:rsid w:val="0034599B"/>
    <w:rsid w:val="00346BAB"/>
    <w:rsid w:val="00352140"/>
    <w:rsid w:val="003521C5"/>
    <w:rsid w:val="00352F22"/>
    <w:rsid w:val="00353168"/>
    <w:rsid w:val="00353279"/>
    <w:rsid w:val="00353E4D"/>
    <w:rsid w:val="00355D69"/>
    <w:rsid w:val="003646C8"/>
    <w:rsid w:val="00366A5C"/>
    <w:rsid w:val="00371669"/>
    <w:rsid w:val="00374E8B"/>
    <w:rsid w:val="0038285B"/>
    <w:rsid w:val="00384970"/>
    <w:rsid w:val="00385A08"/>
    <w:rsid w:val="00387C3B"/>
    <w:rsid w:val="00392C59"/>
    <w:rsid w:val="003972D9"/>
    <w:rsid w:val="003A04D6"/>
    <w:rsid w:val="003A0F6D"/>
    <w:rsid w:val="003B3C87"/>
    <w:rsid w:val="003B5D0C"/>
    <w:rsid w:val="003B60AD"/>
    <w:rsid w:val="003C3101"/>
    <w:rsid w:val="003C7596"/>
    <w:rsid w:val="003D05AB"/>
    <w:rsid w:val="003E4E52"/>
    <w:rsid w:val="003E558A"/>
    <w:rsid w:val="003E7D1A"/>
    <w:rsid w:val="003E7E65"/>
    <w:rsid w:val="003E7E88"/>
    <w:rsid w:val="003F20BE"/>
    <w:rsid w:val="003F2ADB"/>
    <w:rsid w:val="003F78B8"/>
    <w:rsid w:val="00400238"/>
    <w:rsid w:val="00400725"/>
    <w:rsid w:val="004007A1"/>
    <w:rsid w:val="004022EB"/>
    <w:rsid w:val="00422B48"/>
    <w:rsid w:val="00424576"/>
    <w:rsid w:val="00432702"/>
    <w:rsid w:val="00433406"/>
    <w:rsid w:val="00437EF2"/>
    <w:rsid w:val="0044236E"/>
    <w:rsid w:val="00442936"/>
    <w:rsid w:val="00444A69"/>
    <w:rsid w:val="0044698F"/>
    <w:rsid w:val="004510EA"/>
    <w:rsid w:val="004612DA"/>
    <w:rsid w:val="00461F86"/>
    <w:rsid w:val="004633B4"/>
    <w:rsid w:val="00463740"/>
    <w:rsid w:val="0047354D"/>
    <w:rsid w:val="004746C3"/>
    <w:rsid w:val="00483793"/>
    <w:rsid w:val="00484497"/>
    <w:rsid w:val="004869CA"/>
    <w:rsid w:val="00490EB9"/>
    <w:rsid w:val="0049128D"/>
    <w:rsid w:val="004941A1"/>
    <w:rsid w:val="00495E28"/>
    <w:rsid w:val="004A4F75"/>
    <w:rsid w:val="004B04C1"/>
    <w:rsid w:val="004B1563"/>
    <w:rsid w:val="004B1D80"/>
    <w:rsid w:val="004B21CA"/>
    <w:rsid w:val="004B48ED"/>
    <w:rsid w:val="004B491D"/>
    <w:rsid w:val="004B6DB2"/>
    <w:rsid w:val="004C147A"/>
    <w:rsid w:val="004C25ED"/>
    <w:rsid w:val="004C2AEC"/>
    <w:rsid w:val="004C4344"/>
    <w:rsid w:val="004C49FE"/>
    <w:rsid w:val="004C5BC2"/>
    <w:rsid w:val="004D0B4D"/>
    <w:rsid w:val="004D0BC5"/>
    <w:rsid w:val="004D2302"/>
    <w:rsid w:val="004E264D"/>
    <w:rsid w:val="004E2752"/>
    <w:rsid w:val="004E2928"/>
    <w:rsid w:val="004E2E6D"/>
    <w:rsid w:val="004E2F1C"/>
    <w:rsid w:val="004E3036"/>
    <w:rsid w:val="004E3448"/>
    <w:rsid w:val="004E40A2"/>
    <w:rsid w:val="004E65A9"/>
    <w:rsid w:val="004E7450"/>
    <w:rsid w:val="004F187E"/>
    <w:rsid w:val="004F2548"/>
    <w:rsid w:val="004F3448"/>
    <w:rsid w:val="004F5BC5"/>
    <w:rsid w:val="004F6A65"/>
    <w:rsid w:val="004F74D1"/>
    <w:rsid w:val="00500B2C"/>
    <w:rsid w:val="0051402A"/>
    <w:rsid w:val="0051427C"/>
    <w:rsid w:val="00514545"/>
    <w:rsid w:val="00514D02"/>
    <w:rsid w:val="00515F15"/>
    <w:rsid w:val="00516268"/>
    <w:rsid w:val="005163DA"/>
    <w:rsid w:val="00522136"/>
    <w:rsid w:val="005270E4"/>
    <w:rsid w:val="005368C8"/>
    <w:rsid w:val="005430CB"/>
    <w:rsid w:val="00551061"/>
    <w:rsid w:val="005511BC"/>
    <w:rsid w:val="00555BE5"/>
    <w:rsid w:val="00556B28"/>
    <w:rsid w:val="005575A4"/>
    <w:rsid w:val="0056015B"/>
    <w:rsid w:val="00560B90"/>
    <w:rsid w:val="005615F8"/>
    <w:rsid w:val="00565416"/>
    <w:rsid w:val="00567A09"/>
    <w:rsid w:val="00570D1C"/>
    <w:rsid w:val="0057253C"/>
    <w:rsid w:val="00573038"/>
    <w:rsid w:val="00573422"/>
    <w:rsid w:val="00577FFB"/>
    <w:rsid w:val="00584524"/>
    <w:rsid w:val="00587B19"/>
    <w:rsid w:val="00591CED"/>
    <w:rsid w:val="005928E1"/>
    <w:rsid w:val="00592B93"/>
    <w:rsid w:val="005940B6"/>
    <w:rsid w:val="005945E4"/>
    <w:rsid w:val="00594C27"/>
    <w:rsid w:val="00597999"/>
    <w:rsid w:val="005A052C"/>
    <w:rsid w:val="005A5783"/>
    <w:rsid w:val="005A6BCC"/>
    <w:rsid w:val="005A7745"/>
    <w:rsid w:val="005A7E11"/>
    <w:rsid w:val="005B0EB0"/>
    <w:rsid w:val="005B2518"/>
    <w:rsid w:val="005B58DA"/>
    <w:rsid w:val="005C1A2F"/>
    <w:rsid w:val="005C319C"/>
    <w:rsid w:val="005C5831"/>
    <w:rsid w:val="005C605C"/>
    <w:rsid w:val="005C6F96"/>
    <w:rsid w:val="005D3044"/>
    <w:rsid w:val="005D3662"/>
    <w:rsid w:val="005D4139"/>
    <w:rsid w:val="005D5368"/>
    <w:rsid w:val="005D658C"/>
    <w:rsid w:val="005D7A44"/>
    <w:rsid w:val="005E0F06"/>
    <w:rsid w:val="005E222D"/>
    <w:rsid w:val="005E4ADA"/>
    <w:rsid w:val="005E66F2"/>
    <w:rsid w:val="005F0032"/>
    <w:rsid w:val="005F09C7"/>
    <w:rsid w:val="005F41A4"/>
    <w:rsid w:val="005F4683"/>
    <w:rsid w:val="005F4A2D"/>
    <w:rsid w:val="005F4C95"/>
    <w:rsid w:val="005F7557"/>
    <w:rsid w:val="005F7664"/>
    <w:rsid w:val="006015AB"/>
    <w:rsid w:val="00601963"/>
    <w:rsid w:val="0060537F"/>
    <w:rsid w:val="006079FB"/>
    <w:rsid w:val="00607F7B"/>
    <w:rsid w:val="0061153B"/>
    <w:rsid w:val="006160F8"/>
    <w:rsid w:val="006175C6"/>
    <w:rsid w:val="00620B10"/>
    <w:rsid w:val="0062225A"/>
    <w:rsid w:val="0062426C"/>
    <w:rsid w:val="006275E7"/>
    <w:rsid w:val="006348D0"/>
    <w:rsid w:val="00634A82"/>
    <w:rsid w:val="00643291"/>
    <w:rsid w:val="00645BD4"/>
    <w:rsid w:val="00651BD4"/>
    <w:rsid w:val="0065346C"/>
    <w:rsid w:val="00655C55"/>
    <w:rsid w:val="006610B0"/>
    <w:rsid w:val="00662155"/>
    <w:rsid w:val="00663A2E"/>
    <w:rsid w:val="00665172"/>
    <w:rsid w:val="006658F6"/>
    <w:rsid w:val="006702D5"/>
    <w:rsid w:val="0067174D"/>
    <w:rsid w:val="006728FA"/>
    <w:rsid w:val="00684751"/>
    <w:rsid w:val="00690046"/>
    <w:rsid w:val="006902BF"/>
    <w:rsid w:val="006926FB"/>
    <w:rsid w:val="006A6C84"/>
    <w:rsid w:val="006A7066"/>
    <w:rsid w:val="006A7732"/>
    <w:rsid w:val="006B2069"/>
    <w:rsid w:val="006B2B07"/>
    <w:rsid w:val="006B4685"/>
    <w:rsid w:val="006B4772"/>
    <w:rsid w:val="006B7003"/>
    <w:rsid w:val="006C30EA"/>
    <w:rsid w:val="006C7482"/>
    <w:rsid w:val="006D25CF"/>
    <w:rsid w:val="006D298D"/>
    <w:rsid w:val="006D2EFC"/>
    <w:rsid w:val="006D49A4"/>
    <w:rsid w:val="006D7291"/>
    <w:rsid w:val="006E6D15"/>
    <w:rsid w:val="006E7BEC"/>
    <w:rsid w:val="006F3E5B"/>
    <w:rsid w:val="006F4CCA"/>
    <w:rsid w:val="00701360"/>
    <w:rsid w:val="007024C5"/>
    <w:rsid w:val="007039B9"/>
    <w:rsid w:val="0070730C"/>
    <w:rsid w:val="00715FA6"/>
    <w:rsid w:val="0071667A"/>
    <w:rsid w:val="007166D3"/>
    <w:rsid w:val="00724A14"/>
    <w:rsid w:val="007252EA"/>
    <w:rsid w:val="00725F89"/>
    <w:rsid w:val="00730D8F"/>
    <w:rsid w:val="00731AFA"/>
    <w:rsid w:val="00731B9C"/>
    <w:rsid w:val="00732185"/>
    <w:rsid w:val="00732B74"/>
    <w:rsid w:val="0073493B"/>
    <w:rsid w:val="0073628B"/>
    <w:rsid w:val="00736D03"/>
    <w:rsid w:val="007375B0"/>
    <w:rsid w:val="00740409"/>
    <w:rsid w:val="00750069"/>
    <w:rsid w:val="007510CC"/>
    <w:rsid w:val="00751A32"/>
    <w:rsid w:val="00752AA3"/>
    <w:rsid w:val="007547C7"/>
    <w:rsid w:val="00754E0F"/>
    <w:rsid w:val="00756E0B"/>
    <w:rsid w:val="00760685"/>
    <w:rsid w:val="0076099D"/>
    <w:rsid w:val="007658A4"/>
    <w:rsid w:val="00765F69"/>
    <w:rsid w:val="0077058F"/>
    <w:rsid w:val="007723CF"/>
    <w:rsid w:val="007733A8"/>
    <w:rsid w:val="0077494D"/>
    <w:rsid w:val="007750EC"/>
    <w:rsid w:val="0077680A"/>
    <w:rsid w:val="007805A7"/>
    <w:rsid w:val="00781F5B"/>
    <w:rsid w:val="007823B4"/>
    <w:rsid w:val="00784C6C"/>
    <w:rsid w:val="00786157"/>
    <w:rsid w:val="007862A9"/>
    <w:rsid w:val="00790213"/>
    <w:rsid w:val="00790B07"/>
    <w:rsid w:val="0079700D"/>
    <w:rsid w:val="007A09C2"/>
    <w:rsid w:val="007A0E0A"/>
    <w:rsid w:val="007A14BB"/>
    <w:rsid w:val="007A17B6"/>
    <w:rsid w:val="007A200A"/>
    <w:rsid w:val="007A5B70"/>
    <w:rsid w:val="007A616D"/>
    <w:rsid w:val="007B09F4"/>
    <w:rsid w:val="007B2136"/>
    <w:rsid w:val="007B3812"/>
    <w:rsid w:val="007B392F"/>
    <w:rsid w:val="007C10EB"/>
    <w:rsid w:val="007C2C86"/>
    <w:rsid w:val="007E1C36"/>
    <w:rsid w:val="007E4417"/>
    <w:rsid w:val="007E4465"/>
    <w:rsid w:val="007F0CAD"/>
    <w:rsid w:val="007F26A3"/>
    <w:rsid w:val="007F33B8"/>
    <w:rsid w:val="007F7669"/>
    <w:rsid w:val="007F7C08"/>
    <w:rsid w:val="0080131C"/>
    <w:rsid w:val="0080347F"/>
    <w:rsid w:val="00805C99"/>
    <w:rsid w:val="0081191D"/>
    <w:rsid w:val="0081220D"/>
    <w:rsid w:val="008150D3"/>
    <w:rsid w:val="00821822"/>
    <w:rsid w:val="008237A3"/>
    <w:rsid w:val="00826499"/>
    <w:rsid w:val="00836BFD"/>
    <w:rsid w:val="00840E02"/>
    <w:rsid w:val="008413F7"/>
    <w:rsid w:val="00841E80"/>
    <w:rsid w:val="008533B3"/>
    <w:rsid w:val="008533D5"/>
    <w:rsid w:val="00853E48"/>
    <w:rsid w:val="00855D71"/>
    <w:rsid w:val="0085763C"/>
    <w:rsid w:val="00865661"/>
    <w:rsid w:val="0086649C"/>
    <w:rsid w:val="008667B9"/>
    <w:rsid w:val="00867486"/>
    <w:rsid w:val="008812DE"/>
    <w:rsid w:val="00884EAF"/>
    <w:rsid w:val="008854D7"/>
    <w:rsid w:val="008900E2"/>
    <w:rsid w:val="00890CFB"/>
    <w:rsid w:val="00893988"/>
    <w:rsid w:val="00893B1E"/>
    <w:rsid w:val="008A1389"/>
    <w:rsid w:val="008A330D"/>
    <w:rsid w:val="008A4253"/>
    <w:rsid w:val="008A60D6"/>
    <w:rsid w:val="008B340A"/>
    <w:rsid w:val="008B3C9D"/>
    <w:rsid w:val="008B7BDC"/>
    <w:rsid w:val="008C0E1F"/>
    <w:rsid w:val="008C2E92"/>
    <w:rsid w:val="008C7E47"/>
    <w:rsid w:val="008D193C"/>
    <w:rsid w:val="008D578F"/>
    <w:rsid w:val="008D68DB"/>
    <w:rsid w:val="008E2AF1"/>
    <w:rsid w:val="008E43BC"/>
    <w:rsid w:val="008E48CD"/>
    <w:rsid w:val="008F118F"/>
    <w:rsid w:val="008F21D6"/>
    <w:rsid w:val="008F4D56"/>
    <w:rsid w:val="008F508C"/>
    <w:rsid w:val="008F6FE8"/>
    <w:rsid w:val="00902BD5"/>
    <w:rsid w:val="0090753D"/>
    <w:rsid w:val="009163C8"/>
    <w:rsid w:val="009173B4"/>
    <w:rsid w:val="0092358E"/>
    <w:rsid w:val="00924DC3"/>
    <w:rsid w:val="00926D10"/>
    <w:rsid w:val="00927857"/>
    <w:rsid w:val="009321BE"/>
    <w:rsid w:val="0093293F"/>
    <w:rsid w:val="00933F5A"/>
    <w:rsid w:val="0093421C"/>
    <w:rsid w:val="009350EE"/>
    <w:rsid w:val="0093604E"/>
    <w:rsid w:val="00941101"/>
    <w:rsid w:val="00941BDC"/>
    <w:rsid w:val="009421D0"/>
    <w:rsid w:val="00951B53"/>
    <w:rsid w:val="00954583"/>
    <w:rsid w:val="0096029F"/>
    <w:rsid w:val="00962AED"/>
    <w:rsid w:val="009646A4"/>
    <w:rsid w:val="00967DBE"/>
    <w:rsid w:val="00971218"/>
    <w:rsid w:val="00972E34"/>
    <w:rsid w:val="009757B7"/>
    <w:rsid w:val="00975F16"/>
    <w:rsid w:val="009804E0"/>
    <w:rsid w:val="0098149C"/>
    <w:rsid w:val="00982D15"/>
    <w:rsid w:val="0098562A"/>
    <w:rsid w:val="009866EA"/>
    <w:rsid w:val="00987557"/>
    <w:rsid w:val="009877AA"/>
    <w:rsid w:val="009907E1"/>
    <w:rsid w:val="00990E52"/>
    <w:rsid w:val="00991286"/>
    <w:rsid w:val="00992BFA"/>
    <w:rsid w:val="00994C05"/>
    <w:rsid w:val="00994E98"/>
    <w:rsid w:val="009956BF"/>
    <w:rsid w:val="009A114E"/>
    <w:rsid w:val="009A2185"/>
    <w:rsid w:val="009A6113"/>
    <w:rsid w:val="009A7182"/>
    <w:rsid w:val="009A73AD"/>
    <w:rsid w:val="009B12CA"/>
    <w:rsid w:val="009B31F7"/>
    <w:rsid w:val="009B549D"/>
    <w:rsid w:val="009B5A5B"/>
    <w:rsid w:val="009C1601"/>
    <w:rsid w:val="009C32EC"/>
    <w:rsid w:val="009C4E86"/>
    <w:rsid w:val="009C5432"/>
    <w:rsid w:val="009C7C2C"/>
    <w:rsid w:val="009D10B3"/>
    <w:rsid w:val="009D2C02"/>
    <w:rsid w:val="009D394A"/>
    <w:rsid w:val="009D67C9"/>
    <w:rsid w:val="009E00D0"/>
    <w:rsid w:val="009E032C"/>
    <w:rsid w:val="009E2AE2"/>
    <w:rsid w:val="009E6374"/>
    <w:rsid w:val="009F0F51"/>
    <w:rsid w:val="009F2EBF"/>
    <w:rsid w:val="009F3468"/>
    <w:rsid w:val="009F6551"/>
    <w:rsid w:val="00A05930"/>
    <w:rsid w:val="00A06A41"/>
    <w:rsid w:val="00A10FF4"/>
    <w:rsid w:val="00A218AD"/>
    <w:rsid w:val="00A21A98"/>
    <w:rsid w:val="00A23601"/>
    <w:rsid w:val="00A23C1D"/>
    <w:rsid w:val="00A25009"/>
    <w:rsid w:val="00A2747E"/>
    <w:rsid w:val="00A30B81"/>
    <w:rsid w:val="00A35958"/>
    <w:rsid w:val="00A35B97"/>
    <w:rsid w:val="00A3780F"/>
    <w:rsid w:val="00A41419"/>
    <w:rsid w:val="00A41AC4"/>
    <w:rsid w:val="00A42C6A"/>
    <w:rsid w:val="00A45714"/>
    <w:rsid w:val="00A507E9"/>
    <w:rsid w:val="00A51AC6"/>
    <w:rsid w:val="00A544C5"/>
    <w:rsid w:val="00A57865"/>
    <w:rsid w:val="00A6054A"/>
    <w:rsid w:val="00A64815"/>
    <w:rsid w:val="00A657DD"/>
    <w:rsid w:val="00A65E77"/>
    <w:rsid w:val="00A7535B"/>
    <w:rsid w:val="00A77269"/>
    <w:rsid w:val="00A8210C"/>
    <w:rsid w:val="00A858B1"/>
    <w:rsid w:val="00A95FCC"/>
    <w:rsid w:val="00A969B3"/>
    <w:rsid w:val="00A97154"/>
    <w:rsid w:val="00A97F46"/>
    <w:rsid w:val="00AA00EE"/>
    <w:rsid w:val="00AA10A3"/>
    <w:rsid w:val="00AA1196"/>
    <w:rsid w:val="00AA3410"/>
    <w:rsid w:val="00AA6688"/>
    <w:rsid w:val="00AB1433"/>
    <w:rsid w:val="00AB42B0"/>
    <w:rsid w:val="00AC2B6D"/>
    <w:rsid w:val="00AC339F"/>
    <w:rsid w:val="00AC3B60"/>
    <w:rsid w:val="00AC77B7"/>
    <w:rsid w:val="00AD7715"/>
    <w:rsid w:val="00AE073A"/>
    <w:rsid w:val="00AE11B7"/>
    <w:rsid w:val="00AE179B"/>
    <w:rsid w:val="00AE7D15"/>
    <w:rsid w:val="00AF093E"/>
    <w:rsid w:val="00AF385D"/>
    <w:rsid w:val="00AF4612"/>
    <w:rsid w:val="00AF4774"/>
    <w:rsid w:val="00AF5494"/>
    <w:rsid w:val="00AF759D"/>
    <w:rsid w:val="00B00538"/>
    <w:rsid w:val="00B04B5A"/>
    <w:rsid w:val="00B05C01"/>
    <w:rsid w:val="00B07DB7"/>
    <w:rsid w:val="00B100DA"/>
    <w:rsid w:val="00B10E7E"/>
    <w:rsid w:val="00B11D10"/>
    <w:rsid w:val="00B12262"/>
    <w:rsid w:val="00B130CE"/>
    <w:rsid w:val="00B15D13"/>
    <w:rsid w:val="00B17069"/>
    <w:rsid w:val="00B20E4E"/>
    <w:rsid w:val="00B23852"/>
    <w:rsid w:val="00B3063A"/>
    <w:rsid w:val="00B310C6"/>
    <w:rsid w:val="00B34C2B"/>
    <w:rsid w:val="00B435A7"/>
    <w:rsid w:val="00B45B61"/>
    <w:rsid w:val="00B475A3"/>
    <w:rsid w:val="00B53BC4"/>
    <w:rsid w:val="00B7240E"/>
    <w:rsid w:val="00B72C98"/>
    <w:rsid w:val="00B8111B"/>
    <w:rsid w:val="00B81C00"/>
    <w:rsid w:val="00B852F2"/>
    <w:rsid w:val="00B86C49"/>
    <w:rsid w:val="00B9129C"/>
    <w:rsid w:val="00B937C4"/>
    <w:rsid w:val="00B952BA"/>
    <w:rsid w:val="00BA00B0"/>
    <w:rsid w:val="00BA10C9"/>
    <w:rsid w:val="00BA29CD"/>
    <w:rsid w:val="00BA3707"/>
    <w:rsid w:val="00BA5B1A"/>
    <w:rsid w:val="00BA71F5"/>
    <w:rsid w:val="00BB2D5D"/>
    <w:rsid w:val="00BB3B77"/>
    <w:rsid w:val="00BB534B"/>
    <w:rsid w:val="00BB679A"/>
    <w:rsid w:val="00BB7B26"/>
    <w:rsid w:val="00BC37C4"/>
    <w:rsid w:val="00BC73F8"/>
    <w:rsid w:val="00BD0DC8"/>
    <w:rsid w:val="00BD1A8F"/>
    <w:rsid w:val="00BD2FCC"/>
    <w:rsid w:val="00BD3D65"/>
    <w:rsid w:val="00BE33C0"/>
    <w:rsid w:val="00BE6125"/>
    <w:rsid w:val="00BE6DE6"/>
    <w:rsid w:val="00BE705B"/>
    <w:rsid w:val="00BE707F"/>
    <w:rsid w:val="00BF289B"/>
    <w:rsid w:val="00BF32F7"/>
    <w:rsid w:val="00BF728D"/>
    <w:rsid w:val="00C02BD5"/>
    <w:rsid w:val="00C02F44"/>
    <w:rsid w:val="00C043E3"/>
    <w:rsid w:val="00C048AC"/>
    <w:rsid w:val="00C0586A"/>
    <w:rsid w:val="00C05EC8"/>
    <w:rsid w:val="00C0667B"/>
    <w:rsid w:val="00C0738C"/>
    <w:rsid w:val="00C134CC"/>
    <w:rsid w:val="00C202E2"/>
    <w:rsid w:val="00C2110B"/>
    <w:rsid w:val="00C2490C"/>
    <w:rsid w:val="00C26489"/>
    <w:rsid w:val="00C32671"/>
    <w:rsid w:val="00C36AF4"/>
    <w:rsid w:val="00C438D5"/>
    <w:rsid w:val="00C465C0"/>
    <w:rsid w:val="00C4707D"/>
    <w:rsid w:val="00C47B05"/>
    <w:rsid w:val="00C527F6"/>
    <w:rsid w:val="00C655E2"/>
    <w:rsid w:val="00C66DCA"/>
    <w:rsid w:val="00C67019"/>
    <w:rsid w:val="00C707B2"/>
    <w:rsid w:val="00C7767C"/>
    <w:rsid w:val="00C82084"/>
    <w:rsid w:val="00C826B0"/>
    <w:rsid w:val="00C84347"/>
    <w:rsid w:val="00C90BEF"/>
    <w:rsid w:val="00C918E9"/>
    <w:rsid w:val="00C92B53"/>
    <w:rsid w:val="00C93997"/>
    <w:rsid w:val="00C9525D"/>
    <w:rsid w:val="00CA0632"/>
    <w:rsid w:val="00CA06E6"/>
    <w:rsid w:val="00CA2008"/>
    <w:rsid w:val="00CB005A"/>
    <w:rsid w:val="00CB023F"/>
    <w:rsid w:val="00CB3CCC"/>
    <w:rsid w:val="00CB4259"/>
    <w:rsid w:val="00CB4C3A"/>
    <w:rsid w:val="00CC4CFB"/>
    <w:rsid w:val="00CC67A7"/>
    <w:rsid w:val="00CD0131"/>
    <w:rsid w:val="00CD0D6D"/>
    <w:rsid w:val="00CD3585"/>
    <w:rsid w:val="00CE0933"/>
    <w:rsid w:val="00CE119B"/>
    <w:rsid w:val="00CE2311"/>
    <w:rsid w:val="00CE4ACD"/>
    <w:rsid w:val="00CF14CC"/>
    <w:rsid w:val="00CF3D4B"/>
    <w:rsid w:val="00CF71CA"/>
    <w:rsid w:val="00D01301"/>
    <w:rsid w:val="00D04573"/>
    <w:rsid w:val="00D11DEE"/>
    <w:rsid w:val="00D13630"/>
    <w:rsid w:val="00D13840"/>
    <w:rsid w:val="00D14A75"/>
    <w:rsid w:val="00D14DD0"/>
    <w:rsid w:val="00D14EDA"/>
    <w:rsid w:val="00D17D1A"/>
    <w:rsid w:val="00D208E4"/>
    <w:rsid w:val="00D20EFF"/>
    <w:rsid w:val="00D26D2E"/>
    <w:rsid w:val="00D30702"/>
    <w:rsid w:val="00D32B46"/>
    <w:rsid w:val="00D334B6"/>
    <w:rsid w:val="00D34156"/>
    <w:rsid w:val="00D3712E"/>
    <w:rsid w:val="00D401B4"/>
    <w:rsid w:val="00D4315F"/>
    <w:rsid w:val="00D436C7"/>
    <w:rsid w:val="00D43945"/>
    <w:rsid w:val="00D44C05"/>
    <w:rsid w:val="00D465CB"/>
    <w:rsid w:val="00D5273D"/>
    <w:rsid w:val="00D54EBF"/>
    <w:rsid w:val="00D55EF8"/>
    <w:rsid w:val="00D5617A"/>
    <w:rsid w:val="00D57653"/>
    <w:rsid w:val="00D578C4"/>
    <w:rsid w:val="00D633BF"/>
    <w:rsid w:val="00D6435C"/>
    <w:rsid w:val="00D6462B"/>
    <w:rsid w:val="00D66977"/>
    <w:rsid w:val="00D66AFB"/>
    <w:rsid w:val="00D67841"/>
    <w:rsid w:val="00D713D7"/>
    <w:rsid w:val="00D714D5"/>
    <w:rsid w:val="00D7250A"/>
    <w:rsid w:val="00D7369A"/>
    <w:rsid w:val="00D740DF"/>
    <w:rsid w:val="00D763A7"/>
    <w:rsid w:val="00D77AF2"/>
    <w:rsid w:val="00D830E7"/>
    <w:rsid w:val="00D8370B"/>
    <w:rsid w:val="00D84194"/>
    <w:rsid w:val="00D91948"/>
    <w:rsid w:val="00D92C56"/>
    <w:rsid w:val="00D935F1"/>
    <w:rsid w:val="00D95696"/>
    <w:rsid w:val="00D95F1F"/>
    <w:rsid w:val="00D9751E"/>
    <w:rsid w:val="00D978FA"/>
    <w:rsid w:val="00DA3309"/>
    <w:rsid w:val="00DA5977"/>
    <w:rsid w:val="00DA7FE7"/>
    <w:rsid w:val="00DB0D2F"/>
    <w:rsid w:val="00DB0E40"/>
    <w:rsid w:val="00DB1164"/>
    <w:rsid w:val="00DB31DF"/>
    <w:rsid w:val="00DB5A99"/>
    <w:rsid w:val="00DC0348"/>
    <w:rsid w:val="00DC266E"/>
    <w:rsid w:val="00DC274D"/>
    <w:rsid w:val="00DC4C11"/>
    <w:rsid w:val="00DD475F"/>
    <w:rsid w:val="00DD4B65"/>
    <w:rsid w:val="00DD4D47"/>
    <w:rsid w:val="00DD4FB0"/>
    <w:rsid w:val="00DE3FE8"/>
    <w:rsid w:val="00DE4A54"/>
    <w:rsid w:val="00DF2139"/>
    <w:rsid w:val="00DF236F"/>
    <w:rsid w:val="00DF43A9"/>
    <w:rsid w:val="00E02621"/>
    <w:rsid w:val="00E06EB0"/>
    <w:rsid w:val="00E11032"/>
    <w:rsid w:val="00E12735"/>
    <w:rsid w:val="00E1313D"/>
    <w:rsid w:val="00E13563"/>
    <w:rsid w:val="00E15314"/>
    <w:rsid w:val="00E16F8E"/>
    <w:rsid w:val="00E2255A"/>
    <w:rsid w:val="00E225B3"/>
    <w:rsid w:val="00E23528"/>
    <w:rsid w:val="00E24952"/>
    <w:rsid w:val="00E24B9F"/>
    <w:rsid w:val="00E26FB5"/>
    <w:rsid w:val="00E27381"/>
    <w:rsid w:val="00E315BF"/>
    <w:rsid w:val="00E367AC"/>
    <w:rsid w:val="00E41181"/>
    <w:rsid w:val="00E41BF3"/>
    <w:rsid w:val="00E42F07"/>
    <w:rsid w:val="00E454C3"/>
    <w:rsid w:val="00E46BE5"/>
    <w:rsid w:val="00E46EB6"/>
    <w:rsid w:val="00E50122"/>
    <w:rsid w:val="00E50EE9"/>
    <w:rsid w:val="00E56A52"/>
    <w:rsid w:val="00E56C11"/>
    <w:rsid w:val="00E639C3"/>
    <w:rsid w:val="00E63A7B"/>
    <w:rsid w:val="00E67F22"/>
    <w:rsid w:val="00E71890"/>
    <w:rsid w:val="00E75EDC"/>
    <w:rsid w:val="00E809AF"/>
    <w:rsid w:val="00E80C78"/>
    <w:rsid w:val="00E82B39"/>
    <w:rsid w:val="00E83290"/>
    <w:rsid w:val="00E84B66"/>
    <w:rsid w:val="00E8617E"/>
    <w:rsid w:val="00E861D7"/>
    <w:rsid w:val="00E87197"/>
    <w:rsid w:val="00E87D05"/>
    <w:rsid w:val="00E87E3C"/>
    <w:rsid w:val="00E90E44"/>
    <w:rsid w:val="00E9149D"/>
    <w:rsid w:val="00E929F3"/>
    <w:rsid w:val="00E93E76"/>
    <w:rsid w:val="00E95F68"/>
    <w:rsid w:val="00EA20CB"/>
    <w:rsid w:val="00EA7016"/>
    <w:rsid w:val="00EB3909"/>
    <w:rsid w:val="00EB3E7B"/>
    <w:rsid w:val="00EB6284"/>
    <w:rsid w:val="00EB6A5E"/>
    <w:rsid w:val="00EB6B2C"/>
    <w:rsid w:val="00EB7168"/>
    <w:rsid w:val="00EC16B5"/>
    <w:rsid w:val="00EC2EC6"/>
    <w:rsid w:val="00EC2F4B"/>
    <w:rsid w:val="00EC4CD7"/>
    <w:rsid w:val="00EC6072"/>
    <w:rsid w:val="00ED04CF"/>
    <w:rsid w:val="00ED2668"/>
    <w:rsid w:val="00ED35EC"/>
    <w:rsid w:val="00ED4383"/>
    <w:rsid w:val="00ED620B"/>
    <w:rsid w:val="00ED7BC8"/>
    <w:rsid w:val="00ED7F20"/>
    <w:rsid w:val="00EE19E4"/>
    <w:rsid w:val="00EE1B98"/>
    <w:rsid w:val="00EE3D78"/>
    <w:rsid w:val="00EE466C"/>
    <w:rsid w:val="00EF073E"/>
    <w:rsid w:val="00EF1825"/>
    <w:rsid w:val="00EF624C"/>
    <w:rsid w:val="00EF7D49"/>
    <w:rsid w:val="00F0095B"/>
    <w:rsid w:val="00F042AC"/>
    <w:rsid w:val="00F05BB3"/>
    <w:rsid w:val="00F06D54"/>
    <w:rsid w:val="00F07C0D"/>
    <w:rsid w:val="00F106D2"/>
    <w:rsid w:val="00F129AA"/>
    <w:rsid w:val="00F13FC5"/>
    <w:rsid w:val="00F144F5"/>
    <w:rsid w:val="00F165C4"/>
    <w:rsid w:val="00F20042"/>
    <w:rsid w:val="00F20BFA"/>
    <w:rsid w:val="00F27588"/>
    <w:rsid w:val="00F34FAB"/>
    <w:rsid w:val="00F377E6"/>
    <w:rsid w:val="00F429B0"/>
    <w:rsid w:val="00F45676"/>
    <w:rsid w:val="00F47461"/>
    <w:rsid w:val="00F53EB9"/>
    <w:rsid w:val="00F54221"/>
    <w:rsid w:val="00F56998"/>
    <w:rsid w:val="00F5780C"/>
    <w:rsid w:val="00F61386"/>
    <w:rsid w:val="00F6420A"/>
    <w:rsid w:val="00F70DC1"/>
    <w:rsid w:val="00F74AB0"/>
    <w:rsid w:val="00F829ED"/>
    <w:rsid w:val="00F84A2D"/>
    <w:rsid w:val="00F85E8B"/>
    <w:rsid w:val="00F90EAA"/>
    <w:rsid w:val="00F9589B"/>
    <w:rsid w:val="00FA1292"/>
    <w:rsid w:val="00FA30AE"/>
    <w:rsid w:val="00FB232D"/>
    <w:rsid w:val="00FB4397"/>
    <w:rsid w:val="00FB7F1F"/>
    <w:rsid w:val="00FC0360"/>
    <w:rsid w:val="00FC0391"/>
    <w:rsid w:val="00FC686F"/>
    <w:rsid w:val="00FD3431"/>
    <w:rsid w:val="00FD5F22"/>
    <w:rsid w:val="00FD7828"/>
    <w:rsid w:val="00FE3ABD"/>
    <w:rsid w:val="00FE4CDF"/>
    <w:rsid w:val="00FF30CA"/>
    <w:rsid w:val="00FF4803"/>
    <w:rsid w:val="00FF6649"/>
    <w:rsid w:val="00FF6DF6"/>
    <w:rsid w:val="08566DDB"/>
    <w:rsid w:val="11E87854"/>
    <w:rsid w:val="150A2D44"/>
    <w:rsid w:val="22B53519"/>
    <w:rsid w:val="507D1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uiPriority="39" w:semiHidden="0" w:name="toc 5"/>
    <w:lsdException w:uiPriority="39" w:semiHidden="0" w:name="toc 6"/>
    <w:lsdException w:qFormat="1" w:uiPriority="39" w:semiHidden="0" w:name="toc 7"/>
    <w:lsdException w:uiPriority="39" w:name="toc 8"/>
    <w:lsdException w:uiPriority="39" w:name="toc 9"/>
    <w:lsdException w:qFormat="1" w:unhideWhenUsed="0" w:uiPriority="0" w:semiHidden="0" w:name="Normal Indent"/>
    <w:lsdException w:qFormat="1" w:unhideWhenUsed="0" w:uiPriority="0" w:name="footnote text"/>
    <w:lsdException w:uiPriority="0" w:semiHidden="0" w:name="annotation text"/>
    <w:lsdException w:uiPriority="99" w:semiHidden="0" w:name="header"/>
    <w:lsdException w:qFormat="1" w:uiPriority="99" w:semiHidden="0" w:name="footer"/>
    <w:lsdException w:uiPriority="99" w:name="index heading"/>
    <w:lsdException w:qFormat="1" w:uiPriority="35" w:semiHidden="0" w:name="caption"/>
    <w:lsdException w:unhideWhenUsed="0" w:uiPriority="0" w:name="table of figures"/>
    <w:lsdException w:uiPriority="99" w:name="envelope address"/>
    <w:lsdException w:uiPriority="99" w:name="envelope return"/>
    <w:lsdException w:qFormat="1" w:unhideWhenUsed="0" w:uiPriority="0" w:name="footnote reference"/>
    <w:lsdException w:uiPriority="0"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3"/>
    <w:qFormat/>
    <w:uiPriority w:val="9"/>
    <w:pPr>
      <w:keepNext/>
      <w:keepLines/>
      <w:adjustRightInd w:val="0"/>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64"/>
    <w:qFormat/>
    <w:uiPriority w:val="9"/>
    <w:pPr>
      <w:keepNext/>
      <w:keepLines/>
      <w:adjustRightInd w:val="0"/>
      <w:spacing w:before="260" w:after="260" w:line="416" w:lineRule="auto"/>
      <w:outlineLvl w:val="1"/>
    </w:pPr>
    <w:rPr>
      <w:rFonts w:ascii="Arial" w:hAnsi="Arial" w:eastAsia="黑体" w:cs="Times New Roman"/>
      <w:b/>
      <w:bCs/>
      <w:sz w:val="32"/>
      <w:szCs w:val="32"/>
    </w:rPr>
  </w:style>
  <w:style w:type="paragraph" w:styleId="4">
    <w:name w:val="heading 3"/>
    <w:basedOn w:val="1"/>
    <w:next w:val="1"/>
    <w:link w:val="65"/>
    <w:qFormat/>
    <w:uiPriority w:val="9"/>
    <w:pPr>
      <w:keepNext/>
      <w:keepLines/>
      <w:adjustRightInd w:val="0"/>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link w:val="66"/>
    <w:qFormat/>
    <w:uiPriority w:val="9"/>
    <w:pPr>
      <w:keepNext/>
      <w:keepLines/>
      <w:adjustRightInd w:val="0"/>
      <w:spacing w:before="280" w:after="290" w:line="376" w:lineRule="auto"/>
      <w:outlineLvl w:val="3"/>
    </w:pPr>
    <w:rPr>
      <w:rFonts w:ascii="Arial" w:hAnsi="Arial" w:eastAsia="黑体" w:cs="Times New Roman"/>
      <w:b/>
      <w:bCs/>
      <w:sz w:val="28"/>
      <w:szCs w:val="28"/>
    </w:rPr>
  </w:style>
  <w:style w:type="paragraph" w:styleId="6">
    <w:name w:val="heading 5"/>
    <w:basedOn w:val="1"/>
    <w:next w:val="1"/>
    <w:link w:val="67"/>
    <w:qFormat/>
    <w:uiPriority w:val="9"/>
    <w:pPr>
      <w:keepNext/>
      <w:keepLines/>
      <w:spacing w:before="280" w:after="290" w:line="376" w:lineRule="auto"/>
      <w:outlineLvl w:val="4"/>
    </w:pPr>
    <w:rPr>
      <w:rFonts w:ascii="Times New Roman" w:hAnsi="Times New Roman" w:eastAsia="宋体" w:cs="Times New Roman"/>
      <w:b/>
      <w:bCs/>
      <w:sz w:val="28"/>
      <w:szCs w:val="28"/>
    </w:rPr>
  </w:style>
  <w:style w:type="paragraph" w:styleId="7">
    <w:name w:val="heading 6"/>
    <w:basedOn w:val="1"/>
    <w:next w:val="1"/>
    <w:link w:val="68"/>
    <w:qFormat/>
    <w:uiPriority w:val="9"/>
    <w:pPr>
      <w:keepNext/>
      <w:keepLines/>
      <w:spacing w:before="240" w:after="64" w:line="320" w:lineRule="auto"/>
      <w:outlineLvl w:val="5"/>
    </w:pPr>
    <w:rPr>
      <w:rFonts w:ascii="Arial" w:hAnsi="Arial" w:eastAsia="黑体" w:cs="Times New Roman"/>
      <w:b/>
      <w:bCs/>
      <w:sz w:val="24"/>
      <w:szCs w:val="24"/>
    </w:rPr>
  </w:style>
  <w:style w:type="paragraph" w:styleId="8">
    <w:name w:val="heading 7"/>
    <w:basedOn w:val="1"/>
    <w:next w:val="1"/>
    <w:link w:val="69"/>
    <w:qFormat/>
    <w:uiPriority w:val="9"/>
    <w:pPr>
      <w:keepNext/>
      <w:keepLines/>
      <w:spacing w:before="240" w:after="64" w:line="320" w:lineRule="auto"/>
      <w:outlineLvl w:val="6"/>
    </w:pPr>
    <w:rPr>
      <w:rFonts w:ascii="Times New Roman" w:hAnsi="Times New Roman" w:eastAsia="宋体" w:cs="Times New Roman"/>
      <w:b/>
      <w:bCs/>
      <w:sz w:val="24"/>
      <w:szCs w:val="24"/>
    </w:rPr>
  </w:style>
  <w:style w:type="paragraph" w:styleId="9">
    <w:name w:val="heading 8"/>
    <w:basedOn w:val="1"/>
    <w:next w:val="1"/>
    <w:link w:val="70"/>
    <w:qFormat/>
    <w:uiPriority w:val="9"/>
    <w:pPr>
      <w:keepNext/>
      <w:keepLines/>
      <w:spacing w:before="240" w:after="64" w:line="320" w:lineRule="auto"/>
      <w:outlineLvl w:val="7"/>
    </w:pPr>
    <w:rPr>
      <w:rFonts w:ascii="Arial" w:hAnsi="Arial" w:eastAsia="黑体" w:cs="Times New Roman"/>
      <w:sz w:val="24"/>
      <w:szCs w:val="24"/>
    </w:rPr>
  </w:style>
  <w:style w:type="paragraph" w:styleId="10">
    <w:name w:val="heading 9"/>
    <w:basedOn w:val="1"/>
    <w:next w:val="1"/>
    <w:link w:val="71"/>
    <w:qFormat/>
    <w:uiPriority w:val="9"/>
    <w:pPr>
      <w:keepNext/>
      <w:keepLines/>
      <w:spacing w:before="240" w:after="64" w:line="320" w:lineRule="auto"/>
      <w:outlineLvl w:val="8"/>
    </w:pPr>
    <w:rPr>
      <w:rFonts w:ascii="Arial" w:hAnsi="Arial" w:eastAsia="黑体" w:cs="Times New Roman"/>
      <w:sz w:val="24"/>
      <w:szCs w:val="21"/>
    </w:rPr>
  </w:style>
  <w:style w:type="character" w:default="1" w:styleId="34">
    <w:name w:val="Default Paragraph Font"/>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adjustRightInd w:val="0"/>
      <w:spacing w:line="300" w:lineRule="exact"/>
      <w:ind w:left="1259"/>
    </w:pPr>
    <w:rPr>
      <w:rFonts w:ascii="宋体" w:hAnsi="Times New Roman" w:eastAsia="宋体" w:cs="Times New Roman"/>
      <w:sz w:val="24"/>
      <w:szCs w:val="21"/>
    </w:rPr>
  </w:style>
  <w:style w:type="paragraph" w:styleId="12">
    <w:name w:val="Normal Indent"/>
    <w:basedOn w:val="1"/>
    <w:qFormat/>
    <w:uiPriority w:val="0"/>
    <w:pPr>
      <w:adjustRightInd w:val="0"/>
      <w:spacing w:line="400" w:lineRule="exact"/>
      <w:ind w:firstLine="420"/>
    </w:pPr>
    <w:rPr>
      <w:rFonts w:ascii="Times New Roman" w:hAnsi="Times New Roman" w:eastAsia="宋体" w:cs="Times New Roman"/>
      <w:sz w:val="24"/>
      <w:szCs w:val="21"/>
    </w:rPr>
  </w:style>
  <w:style w:type="paragraph" w:styleId="13">
    <w:name w:val="caption"/>
    <w:basedOn w:val="1"/>
    <w:next w:val="1"/>
    <w:link w:val="254"/>
    <w:unhideWhenUsed/>
    <w:qFormat/>
    <w:uiPriority w:val="35"/>
    <w:pPr>
      <w:spacing w:line="360" w:lineRule="auto"/>
    </w:pPr>
    <w:rPr>
      <w:rFonts w:ascii="等线 Light" w:hAnsi="等线 Light" w:eastAsia="黑体" w:cs="Times New Roman"/>
      <w:sz w:val="20"/>
      <w:szCs w:val="20"/>
    </w:rPr>
  </w:style>
  <w:style w:type="paragraph" w:styleId="14">
    <w:name w:val="annotation text"/>
    <w:basedOn w:val="1"/>
    <w:link w:val="261"/>
    <w:unhideWhenUsed/>
    <w:uiPriority w:val="0"/>
    <w:pPr>
      <w:adjustRightInd w:val="0"/>
      <w:spacing w:line="400" w:lineRule="exact"/>
      <w:jc w:val="left"/>
    </w:pPr>
    <w:rPr>
      <w:rFonts w:ascii="Times New Roman" w:hAnsi="Times New Roman" w:eastAsia="宋体" w:cs="Times New Roman"/>
      <w:sz w:val="24"/>
      <w:szCs w:val="21"/>
    </w:rPr>
  </w:style>
  <w:style w:type="paragraph" w:styleId="15">
    <w:name w:val="Body Text"/>
    <w:basedOn w:val="1"/>
    <w:link w:val="116"/>
    <w:uiPriority w:val="0"/>
    <w:pPr>
      <w:adjustRightInd w:val="0"/>
      <w:spacing w:after="120" w:line="400" w:lineRule="exact"/>
    </w:pPr>
    <w:rPr>
      <w:rFonts w:ascii="Times New Roman" w:hAnsi="Times New Roman" w:eastAsia="宋体" w:cs="Times New Roman"/>
      <w:sz w:val="24"/>
      <w:szCs w:val="21"/>
    </w:rPr>
  </w:style>
  <w:style w:type="paragraph" w:styleId="16">
    <w:name w:val="toc 5"/>
    <w:basedOn w:val="1"/>
    <w:next w:val="1"/>
    <w:unhideWhenUsed/>
    <w:uiPriority w:val="39"/>
    <w:pPr>
      <w:adjustRightInd w:val="0"/>
      <w:spacing w:line="400" w:lineRule="exact"/>
      <w:ind w:left="839"/>
    </w:pPr>
    <w:rPr>
      <w:rFonts w:ascii="宋体" w:hAnsi="Times New Roman" w:eastAsia="宋体" w:cs="Times New Roman"/>
      <w:sz w:val="24"/>
      <w:szCs w:val="21"/>
    </w:rPr>
  </w:style>
  <w:style w:type="paragraph" w:styleId="17">
    <w:name w:val="toc 3"/>
    <w:basedOn w:val="1"/>
    <w:next w:val="1"/>
    <w:unhideWhenUsed/>
    <w:qFormat/>
    <w:uiPriority w:val="39"/>
    <w:pPr>
      <w:adjustRightInd w:val="0"/>
      <w:spacing w:line="300" w:lineRule="exact"/>
      <w:ind w:left="420"/>
    </w:pPr>
    <w:rPr>
      <w:rFonts w:ascii="宋体" w:hAnsi="Times New Roman" w:eastAsia="宋体" w:cs="Times New Roman"/>
      <w:sz w:val="24"/>
      <w:szCs w:val="21"/>
    </w:rPr>
  </w:style>
  <w:style w:type="paragraph" w:styleId="18">
    <w:name w:val="Plain Text"/>
    <w:basedOn w:val="1"/>
    <w:link w:val="267"/>
    <w:qFormat/>
    <w:uiPriority w:val="0"/>
    <w:pPr>
      <w:widowControl/>
    </w:pPr>
    <w:rPr>
      <w:rFonts w:ascii="宋体" w:hAnsi="Courier New" w:eastAsia="宋体" w:cs="Times New Roman"/>
      <w:szCs w:val="21"/>
    </w:rPr>
  </w:style>
  <w:style w:type="paragraph" w:styleId="19">
    <w:name w:val="Date"/>
    <w:basedOn w:val="1"/>
    <w:next w:val="1"/>
    <w:link w:val="265"/>
    <w:semiHidden/>
    <w:unhideWhenUsed/>
    <w:qFormat/>
    <w:uiPriority w:val="99"/>
    <w:pPr>
      <w:adjustRightInd w:val="0"/>
      <w:spacing w:line="400" w:lineRule="exact"/>
      <w:ind w:left="100" w:leftChars="2500"/>
    </w:pPr>
    <w:rPr>
      <w:rFonts w:ascii="Times New Roman" w:hAnsi="Times New Roman" w:eastAsia="宋体" w:cs="Times New Roman"/>
      <w:sz w:val="24"/>
      <w:szCs w:val="21"/>
    </w:rPr>
  </w:style>
  <w:style w:type="paragraph" w:styleId="20">
    <w:name w:val="Balloon Text"/>
    <w:basedOn w:val="1"/>
    <w:link w:val="73"/>
    <w:semiHidden/>
    <w:unhideWhenUsed/>
    <w:qFormat/>
    <w:uiPriority w:val="99"/>
    <w:pPr>
      <w:adjustRightInd w:val="0"/>
      <w:spacing w:line="400" w:lineRule="exact"/>
    </w:pPr>
    <w:rPr>
      <w:rFonts w:ascii="Times New Roman" w:hAnsi="Times New Roman" w:eastAsia="宋体" w:cs="Times New Roman"/>
      <w:sz w:val="18"/>
      <w:szCs w:val="18"/>
    </w:rPr>
  </w:style>
  <w:style w:type="paragraph" w:styleId="21">
    <w:name w:val="footer"/>
    <w:basedOn w:val="1"/>
    <w:link w:val="53"/>
    <w:unhideWhenUsed/>
    <w:qFormat/>
    <w:uiPriority w:val="99"/>
    <w:pPr>
      <w:tabs>
        <w:tab w:val="center" w:pos="4153"/>
        <w:tab w:val="right" w:pos="8306"/>
      </w:tabs>
      <w:adjustRightInd w:val="0"/>
      <w:snapToGrid w:val="0"/>
      <w:spacing w:line="400" w:lineRule="exact"/>
      <w:jc w:val="left"/>
    </w:pPr>
    <w:rPr>
      <w:rFonts w:ascii="Times New Roman" w:hAnsi="Times New Roman" w:eastAsia="宋体" w:cs="Times New Roman"/>
      <w:sz w:val="18"/>
      <w:szCs w:val="18"/>
    </w:rPr>
  </w:style>
  <w:style w:type="paragraph" w:styleId="22">
    <w:name w:val="header"/>
    <w:basedOn w:val="1"/>
    <w:link w:val="51"/>
    <w:unhideWhenUsed/>
    <w:uiPriority w:val="99"/>
    <w:pPr>
      <w:pBdr>
        <w:bottom w:val="single" w:color="auto" w:sz="6" w:space="1"/>
      </w:pBdr>
      <w:tabs>
        <w:tab w:val="center" w:pos="4153"/>
        <w:tab w:val="right" w:pos="8306"/>
      </w:tabs>
      <w:adjustRightInd w:val="0"/>
      <w:snapToGrid w:val="0"/>
      <w:spacing w:line="400" w:lineRule="exact"/>
      <w:jc w:val="center"/>
    </w:pPr>
    <w:rPr>
      <w:rFonts w:ascii="Times New Roman" w:hAnsi="Times New Roman" w:eastAsia="宋体" w:cs="Times New Roman"/>
      <w:sz w:val="18"/>
      <w:szCs w:val="18"/>
    </w:rPr>
  </w:style>
  <w:style w:type="paragraph" w:styleId="23">
    <w:name w:val="toc 1"/>
    <w:basedOn w:val="1"/>
    <w:next w:val="1"/>
    <w:unhideWhenUsed/>
    <w:qFormat/>
    <w:uiPriority w:val="39"/>
    <w:pPr>
      <w:adjustRightInd w:val="0"/>
      <w:spacing w:line="400" w:lineRule="exact"/>
    </w:pPr>
    <w:rPr>
      <w:rFonts w:ascii="宋体" w:hAnsi="Times New Roman" w:eastAsia="宋体" w:cs="Times New Roman"/>
      <w:sz w:val="24"/>
      <w:szCs w:val="21"/>
    </w:rPr>
  </w:style>
  <w:style w:type="paragraph" w:styleId="24">
    <w:name w:val="toc 4"/>
    <w:basedOn w:val="1"/>
    <w:next w:val="1"/>
    <w:unhideWhenUsed/>
    <w:uiPriority w:val="39"/>
    <w:pPr>
      <w:tabs>
        <w:tab w:val="right" w:leader="dot" w:pos="9344"/>
      </w:tabs>
      <w:adjustRightInd w:val="0"/>
      <w:spacing w:line="300" w:lineRule="exact"/>
      <w:ind w:left="629"/>
    </w:pPr>
    <w:rPr>
      <w:rFonts w:ascii="宋体" w:hAnsi="Times New Roman" w:eastAsia="宋体" w:cs="Times New Roman"/>
      <w:sz w:val="24"/>
      <w:szCs w:val="21"/>
    </w:rPr>
  </w:style>
  <w:style w:type="paragraph" w:styleId="25">
    <w:name w:val="footnote text"/>
    <w:basedOn w:val="1"/>
    <w:next w:val="1"/>
    <w:link w:val="129"/>
    <w:semiHidden/>
    <w:qFormat/>
    <w:uiPriority w:val="0"/>
    <w:pPr>
      <w:snapToGrid w:val="0"/>
      <w:spacing w:line="300" w:lineRule="exact"/>
      <w:ind w:left="400" w:leftChars="200" w:hanging="200" w:hangingChars="200"/>
      <w:jc w:val="left"/>
    </w:pPr>
    <w:rPr>
      <w:rFonts w:ascii="宋体" w:hAnsi="Times New Roman" w:eastAsia="宋体" w:cs="Times New Roman"/>
      <w:sz w:val="18"/>
      <w:szCs w:val="18"/>
    </w:rPr>
  </w:style>
  <w:style w:type="paragraph" w:styleId="26">
    <w:name w:val="toc 6"/>
    <w:basedOn w:val="1"/>
    <w:next w:val="1"/>
    <w:unhideWhenUsed/>
    <w:uiPriority w:val="39"/>
    <w:pPr>
      <w:adjustRightInd w:val="0"/>
      <w:spacing w:line="300" w:lineRule="exact"/>
      <w:ind w:left="1049"/>
    </w:pPr>
    <w:rPr>
      <w:rFonts w:ascii="宋体" w:hAnsi="Times New Roman" w:eastAsia="宋体" w:cs="Times New Roman"/>
      <w:sz w:val="24"/>
      <w:szCs w:val="21"/>
    </w:rPr>
  </w:style>
  <w:style w:type="paragraph" w:styleId="27">
    <w:name w:val="table of figures"/>
    <w:basedOn w:val="1"/>
    <w:next w:val="1"/>
    <w:semiHidden/>
    <w:uiPriority w:val="0"/>
    <w:pPr>
      <w:jc w:val="left"/>
    </w:pPr>
    <w:rPr>
      <w:rFonts w:ascii="Times New Roman" w:hAnsi="Times New Roman" w:eastAsia="宋体" w:cs="Times New Roman"/>
      <w:sz w:val="24"/>
      <w:szCs w:val="24"/>
    </w:rPr>
  </w:style>
  <w:style w:type="paragraph" w:styleId="28">
    <w:name w:val="toc 2"/>
    <w:basedOn w:val="1"/>
    <w:next w:val="1"/>
    <w:unhideWhenUsed/>
    <w:qFormat/>
    <w:uiPriority w:val="39"/>
    <w:pPr>
      <w:tabs>
        <w:tab w:val="right" w:leader="dot" w:pos="9344"/>
      </w:tabs>
      <w:adjustRightInd w:val="0"/>
      <w:spacing w:line="300" w:lineRule="exact"/>
      <w:ind w:left="210"/>
      <w:jc w:val="right"/>
    </w:pPr>
    <w:rPr>
      <w:rFonts w:ascii="宋体" w:hAnsi="Times New Roman" w:eastAsia="宋体" w:cs="Times New Roman"/>
      <w:sz w:val="24"/>
      <w:szCs w:val="21"/>
    </w:rPr>
  </w:style>
  <w:style w:type="paragraph" w:styleId="29">
    <w:name w:val="Normal (Web)"/>
    <w:basedOn w:val="1"/>
    <w:semiHidden/>
    <w:unhideWhenUsed/>
    <w:uiPriority w:val="99"/>
    <w:pPr>
      <w:widowControl/>
      <w:spacing w:before="100" w:beforeAutospacing="1" w:after="100" w:afterAutospacing="1" w:line="360" w:lineRule="auto"/>
      <w:jc w:val="left"/>
    </w:pPr>
    <w:rPr>
      <w:rFonts w:ascii="宋体" w:hAnsi="宋体" w:eastAsia="宋体" w:cs="宋体"/>
      <w:kern w:val="0"/>
      <w:sz w:val="24"/>
      <w:szCs w:val="24"/>
    </w:rPr>
  </w:style>
  <w:style w:type="paragraph" w:styleId="30">
    <w:name w:val="Title"/>
    <w:basedOn w:val="1"/>
    <w:link w:val="78"/>
    <w:qFormat/>
    <w:uiPriority w:val="0"/>
    <w:pPr>
      <w:adjustRightInd w:val="0"/>
      <w:spacing w:before="240" w:after="60" w:line="400" w:lineRule="exact"/>
      <w:jc w:val="center"/>
      <w:outlineLvl w:val="0"/>
    </w:pPr>
    <w:rPr>
      <w:rFonts w:ascii="Arial" w:hAnsi="Arial" w:eastAsia="宋体" w:cs="Arial"/>
      <w:b/>
      <w:bCs/>
      <w:sz w:val="32"/>
      <w:szCs w:val="32"/>
    </w:rPr>
  </w:style>
  <w:style w:type="paragraph" w:styleId="31">
    <w:name w:val="annotation subject"/>
    <w:basedOn w:val="14"/>
    <w:next w:val="14"/>
    <w:link w:val="263"/>
    <w:semiHidden/>
    <w:unhideWhenUsed/>
    <w:uiPriority w:val="99"/>
    <w:rPr>
      <w:b/>
      <w:bCs/>
    </w:rPr>
  </w:style>
  <w:style w:type="table" w:styleId="33">
    <w:name w:val="Table Grid"/>
    <w:basedOn w:val="32"/>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qFormat/>
    <w:uiPriority w:val="22"/>
    <w:rPr>
      <w:b/>
      <w:bCs/>
    </w:rPr>
  </w:style>
  <w:style w:type="character" w:styleId="36">
    <w:name w:val="page number"/>
    <w:qFormat/>
    <w:uiPriority w:val="99"/>
    <w:rPr>
      <w:rFonts w:ascii="宋体" w:hAnsi="Times New Roman" w:eastAsia="宋体"/>
      <w:sz w:val="18"/>
    </w:rPr>
  </w:style>
  <w:style w:type="character" w:styleId="37">
    <w:name w:val="Emphasis"/>
    <w:qFormat/>
    <w:uiPriority w:val="20"/>
    <w:rPr>
      <w:i/>
      <w:iCs/>
    </w:rPr>
  </w:style>
  <w:style w:type="character" w:styleId="38">
    <w:name w:val="Hyperlink"/>
    <w:uiPriority w:val="99"/>
    <w:rPr>
      <w:rFonts w:ascii="宋体" w:hAnsi="Times New Roman" w:eastAsia="宋体"/>
      <w:color w:val="auto"/>
      <w:spacing w:val="0"/>
      <w:w w:val="100"/>
      <w:position w:val="0"/>
      <w:sz w:val="21"/>
      <w:u w:val="none"/>
      <w:vertAlign w:val="baseline"/>
    </w:rPr>
  </w:style>
  <w:style w:type="character" w:styleId="39">
    <w:name w:val="annotation reference"/>
    <w:unhideWhenUsed/>
    <w:uiPriority w:val="0"/>
    <w:rPr>
      <w:sz w:val="21"/>
      <w:szCs w:val="21"/>
    </w:rPr>
  </w:style>
  <w:style w:type="character" w:styleId="40">
    <w:name w:val="footnote reference"/>
    <w:semiHidden/>
    <w:qFormat/>
    <w:uiPriority w:val="0"/>
    <w:rPr>
      <w:rFonts w:ascii="宋体" w:hAnsi="宋体" w:eastAsia="宋体" w:cs="Times New Roman"/>
      <w:spacing w:val="0"/>
      <w:sz w:val="18"/>
      <w:vertAlign w:val="superscript"/>
    </w:rPr>
  </w:style>
  <w:style w:type="character" w:customStyle="1" w:styleId="41">
    <w:name w:val="标题 1 Char"/>
    <w:basedOn w:val="34"/>
    <w:qFormat/>
    <w:uiPriority w:val="9"/>
    <w:rPr>
      <w:b/>
      <w:bCs/>
      <w:kern w:val="44"/>
      <w:sz w:val="44"/>
      <w:szCs w:val="44"/>
    </w:rPr>
  </w:style>
  <w:style w:type="character" w:customStyle="1" w:styleId="42">
    <w:name w:val="标题 2 Char"/>
    <w:basedOn w:val="34"/>
    <w:semiHidden/>
    <w:qFormat/>
    <w:uiPriority w:val="9"/>
    <w:rPr>
      <w:rFonts w:asciiTheme="majorHAnsi" w:hAnsiTheme="majorHAnsi" w:eastAsiaTheme="majorEastAsia" w:cstheme="majorBidi"/>
      <w:b/>
      <w:bCs/>
      <w:sz w:val="32"/>
      <w:szCs w:val="32"/>
    </w:rPr>
  </w:style>
  <w:style w:type="character" w:customStyle="1" w:styleId="43">
    <w:name w:val="标题 3 Char"/>
    <w:basedOn w:val="34"/>
    <w:semiHidden/>
    <w:qFormat/>
    <w:uiPriority w:val="9"/>
    <w:rPr>
      <w:b/>
      <w:bCs/>
      <w:sz w:val="32"/>
      <w:szCs w:val="32"/>
    </w:rPr>
  </w:style>
  <w:style w:type="character" w:customStyle="1" w:styleId="44">
    <w:name w:val="标题 4 Char"/>
    <w:basedOn w:val="34"/>
    <w:semiHidden/>
    <w:qFormat/>
    <w:uiPriority w:val="9"/>
    <w:rPr>
      <w:rFonts w:asciiTheme="majorHAnsi" w:hAnsiTheme="majorHAnsi" w:eastAsiaTheme="majorEastAsia" w:cstheme="majorBidi"/>
      <w:b/>
      <w:bCs/>
      <w:sz w:val="28"/>
      <w:szCs w:val="28"/>
    </w:rPr>
  </w:style>
  <w:style w:type="character" w:customStyle="1" w:styleId="45">
    <w:name w:val="标题 5 Char"/>
    <w:basedOn w:val="34"/>
    <w:semiHidden/>
    <w:qFormat/>
    <w:uiPriority w:val="9"/>
    <w:rPr>
      <w:b/>
      <w:bCs/>
      <w:sz w:val="28"/>
      <w:szCs w:val="28"/>
    </w:rPr>
  </w:style>
  <w:style w:type="character" w:customStyle="1" w:styleId="46">
    <w:name w:val="标题 6 Char"/>
    <w:basedOn w:val="34"/>
    <w:semiHidden/>
    <w:qFormat/>
    <w:uiPriority w:val="9"/>
    <w:rPr>
      <w:rFonts w:asciiTheme="majorHAnsi" w:hAnsiTheme="majorHAnsi" w:eastAsiaTheme="majorEastAsia" w:cstheme="majorBidi"/>
      <w:b/>
      <w:bCs/>
      <w:sz w:val="24"/>
      <w:szCs w:val="24"/>
    </w:rPr>
  </w:style>
  <w:style w:type="character" w:customStyle="1" w:styleId="47">
    <w:name w:val="标题 7 Char"/>
    <w:basedOn w:val="34"/>
    <w:semiHidden/>
    <w:uiPriority w:val="9"/>
    <w:rPr>
      <w:b/>
      <w:bCs/>
      <w:sz w:val="24"/>
      <w:szCs w:val="24"/>
    </w:rPr>
  </w:style>
  <w:style w:type="character" w:customStyle="1" w:styleId="48">
    <w:name w:val="标题 8 Char"/>
    <w:basedOn w:val="34"/>
    <w:semiHidden/>
    <w:uiPriority w:val="9"/>
    <w:rPr>
      <w:rFonts w:asciiTheme="majorHAnsi" w:hAnsiTheme="majorHAnsi" w:eastAsiaTheme="majorEastAsia" w:cstheme="majorBidi"/>
      <w:sz w:val="24"/>
      <w:szCs w:val="24"/>
    </w:rPr>
  </w:style>
  <w:style w:type="character" w:customStyle="1" w:styleId="49">
    <w:name w:val="标题 9 Char"/>
    <w:basedOn w:val="34"/>
    <w:semiHidden/>
    <w:qFormat/>
    <w:uiPriority w:val="9"/>
    <w:rPr>
      <w:rFonts w:asciiTheme="majorHAnsi" w:hAnsiTheme="majorHAnsi" w:eastAsiaTheme="majorEastAsia" w:cstheme="majorBidi"/>
      <w:szCs w:val="21"/>
    </w:rPr>
  </w:style>
  <w:style w:type="character" w:customStyle="1" w:styleId="50">
    <w:name w:val="页眉 Char"/>
    <w:basedOn w:val="34"/>
    <w:semiHidden/>
    <w:uiPriority w:val="99"/>
    <w:rPr>
      <w:sz w:val="18"/>
      <w:szCs w:val="18"/>
    </w:rPr>
  </w:style>
  <w:style w:type="character" w:customStyle="1" w:styleId="51">
    <w:name w:val="页眉 字符"/>
    <w:link w:val="22"/>
    <w:uiPriority w:val="99"/>
    <w:rPr>
      <w:rFonts w:ascii="Times New Roman" w:hAnsi="Times New Roman" w:eastAsia="宋体" w:cs="Times New Roman"/>
      <w:sz w:val="18"/>
      <w:szCs w:val="18"/>
    </w:rPr>
  </w:style>
  <w:style w:type="character" w:customStyle="1" w:styleId="52">
    <w:name w:val="页脚 Char"/>
    <w:basedOn w:val="34"/>
    <w:semiHidden/>
    <w:uiPriority w:val="99"/>
    <w:rPr>
      <w:sz w:val="18"/>
      <w:szCs w:val="18"/>
    </w:rPr>
  </w:style>
  <w:style w:type="character" w:customStyle="1" w:styleId="53">
    <w:name w:val="页脚 字符"/>
    <w:link w:val="21"/>
    <w:qFormat/>
    <w:uiPriority w:val="99"/>
    <w:rPr>
      <w:rFonts w:ascii="Times New Roman" w:hAnsi="Times New Roman" w:eastAsia="宋体" w:cs="Times New Roman"/>
      <w:sz w:val="18"/>
      <w:szCs w:val="18"/>
    </w:rPr>
  </w:style>
  <w:style w:type="paragraph" w:customStyle="1" w:styleId="54">
    <w:name w:val="标准文件_段"/>
    <w:link w:val="56"/>
    <w:qFormat/>
    <w:uiPriority w:val="0"/>
    <w:pPr>
      <w:autoSpaceDE w:val="0"/>
      <w:autoSpaceDN w:val="0"/>
      <w:ind w:firstLine="200" w:firstLineChars="200"/>
      <w:jc w:val="both"/>
    </w:pPr>
    <w:rPr>
      <w:rFonts w:ascii="宋体" w:hAnsi="Times New Roman" w:eastAsia="宋体" w:cs="Times New Roman"/>
      <w:sz w:val="24"/>
      <w:lang w:val="en-US" w:eastAsia="zh-CN" w:bidi="ar-SA"/>
    </w:rPr>
  </w:style>
  <w:style w:type="paragraph" w:customStyle="1" w:styleId="55">
    <w:name w:val="标准文件_前言、引言标题"/>
    <w:next w:val="1"/>
    <w:qFormat/>
    <w:uiPriority w:val="0"/>
    <w:pPr>
      <w:numPr>
        <w:ilvl w:val="0"/>
        <w:numId w:val="1"/>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character" w:customStyle="1" w:styleId="56">
    <w:name w:val="标准文件_段 Char"/>
    <w:link w:val="54"/>
    <w:qFormat/>
    <w:uiPriority w:val="0"/>
    <w:rPr>
      <w:rFonts w:ascii="宋体" w:hAnsi="Times New Roman" w:eastAsia="宋体" w:cs="Times New Roman"/>
      <w:kern w:val="0"/>
      <w:sz w:val="24"/>
      <w:szCs w:val="20"/>
    </w:rPr>
  </w:style>
  <w:style w:type="paragraph" w:customStyle="1" w:styleId="57">
    <w:name w:val="标准文件_引言一级条标题"/>
    <w:basedOn w:val="54"/>
    <w:next w:val="54"/>
    <w:qFormat/>
    <w:uiPriority w:val="0"/>
    <w:pPr>
      <w:numPr>
        <w:ilvl w:val="1"/>
        <w:numId w:val="1"/>
      </w:numPr>
      <w:tabs>
        <w:tab w:val="left" w:pos="360"/>
      </w:tabs>
      <w:spacing w:before="50" w:beforeLines="50" w:after="50" w:afterLines="50"/>
      <w:ind w:firstLine="200" w:firstLineChars="0"/>
    </w:pPr>
    <w:rPr>
      <w:rFonts w:ascii="黑体" w:eastAsia="黑体"/>
    </w:rPr>
  </w:style>
  <w:style w:type="paragraph" w:customStyle="1" w:styleId="58">
    <w:name w:val="标准文件_引言二级条标题"/>
    <w:basedOn w:val="54"/>
    <w:next w:val="54"/>
    <w:qFormat/>
    <w:uiPriority w:val="0"/>
    <w:pPr>
      <w:numPr>
        <w:ilvl w:val="2"/>
        <w:numId w:val="1"/>
      </w:numPr>
      <w:tabs>
        <w:tab w:val="left" w:pos="360"/>
      </w:tabs>
      <w:spacing w:before="50" w:beforeLines="50" w:after="50" w:afterLines="50"/>
      <w:ind w:firstLine="200" w:firstLineChars="0"/>
    </w:pPr>
    <w:rPr>
      <w:rFonts w:ascii="黑体" w:eastAsia="黑体"/>
    </w:rPr>
  </w:style>
  <w:style w:type="paragraph" w:customStyle="1" w:styleId="59">
    <w:name w:val="标准文件_引言三级条标题"/>
    <w:basedOn w:val="54"/>
    <w:next w:val="54"/>
    <w:qFormat/>
    <w:uiPriority w:val="0"/>
    <w:pPr>
      <w:numPr>
        <w:ilvl w:val="3"/>
        <w:numId w:val="1"/>
      </w:numPr>
      <w:tabs>
        <w:tab w:val="left" w:pos="360"/>
      </w:tabs>
      <w:spacing w:before="50" w:beforeLines="50" w:after="50" w:afterLines="50"/>
      <w:ind w:firstLine="200" w:firstLineChars="0"/>
    </w:pPr>
    <w:rPr>
      <w:rFonts w:ascii="黑体" w:eastAsia="黑体"/>
    </w:rPr>
  </w:style>
  <w:style w:type="paragraph" w:customStyle="1" w:styleId="60">
    <w:name w:val="标准文件_引言四级条标题"/>
    <w:basedOn w:val="54"/>
    <w:next w:val="54"/>
    <w:qFormat/>
    <w:uiPriority w:val="0"/>
    <w:pPr>
      <w:numPr>
        <w:ilvl w:val="4"/>
        <w:numId w:val="1"/>
      </w:numPr>
      <w:tabs>
        <w:tab w:val="left" w:pos="360"/>
      </w:tabs>
      <w:spacing w:before="50" w:beforeLines="50" w:after="50" w:afterLines="50"/>
      <w:ind w:firstLine="200" w:firstLineChars="0"/>
    </w:pPr>
    <w:rPr>
      <w:rFonts w:ascii="黑体" w:eastAsia="黑体"/>
    </w:rPr>
  </w:style>
  <w:style w:type="paragraph" w:customStyle="1" w:styleId="61">
    <w:name w:val="标准文件_引言五级条标题"/>
    <w:basedOn w:val="54"/>
    <w:next w:val="54"/>
    <w:qFormat/>
    <w:uiPriority w:val="0"/>
    <w:pPr>
      <w:numPr>
        <w:ilvl w:val="5"/>
        <w:numId w:val="1"/>
      </w:numPr>
      <w:tabs>
        <w:tab w:val="left" w:pos="360"/>
      </w:tabs>
      <w:spacing w:before="50" w:beforeLines="50" w:after="50" w:afterLines="50"/>
      <w:ind w:firstLine="200" w:firstLineChars="0"/>
    </w:pPr>
    <w:rPr>
      <w:rFonts w:ascii="黑体" w:eastAsia="黑体"/>
    </w:rPr>
  </w:style>
  <w:style w:type="paragraph" w:customStyle="1" w:styleId="62">
    <w:name w:val="标准文件_正文标准名称"/>
    <w:qFormat/>
    <w:uiPriority w:val="0"/>
    <w:pPr>
      <w:spacing w:after="640" w:line="400" w:lineRule="exact"/>
      <w:jc w:val="center"/>
    </w:pPr>
    <w:rPr>
      <w:rFonts w:ascii="黑体" w:hAnsi="黑体" w:eastAsia="黑体" w:cs="Times New Roman"/>
      <w:kern w:val="2"/>
      <w:sz w:val="32"/>
      <w:szCs w:val="32"/>
      <w:lang w:val="en-US" w:eastAsia="zh-CN" w:bidi="ar-SA"/>
    </w:rPr>
  </w:style>
  <w:style w:type="character" w:customStyle="1" w:styleId="63">
    <w:name w:val="标题 1 字符"/>
    <w:link w:val="2"/>
    <w:uiPriority w:val="9"/>
    <w:rPr>
      <w:rFonts w:ascii="Times New Roman" w:hAnsi="Times New Roman" w:eastAsia="宋体" w:cs="Times New Roman"/>
      <w:b/>
      <w:bCs/>
      <w:kern w:val="44"/>
      <w:sz w:val="44"/>
      <w:szCs w:val="44"/>
    </w:rPr>
  </w:style>
  <w:style w:type="character" w:customStyle="1" w:styleId="64">
    <w:name w:val="标题 2 字符"/>
    <w:link w:val="3"/>
    <w:uiPriority w:val="9"/>
    <w:rPr>
      <w:rFonts w:ascii="Arial" w:hAnsi="Arial" w:eastAsia="黑体" w:cs="Times New Roman"/>
      <w:b/>
      <w:bCs/>
      <w:sz w:val="32"/>
      <w:szCs w:val="32"/>
    </w:rPr>
  </w:style>
  <w:style w:type="character" w:customStyle="1" w:styleId="65">
    <w:name w:val="标题 3 字符"/>
    <w:link w:val="4"/>
    <w:qFormat/>
    <w:uiPriority w:val="9"/>
    <w:rPr>
      <w:rFonts w:ascii="Times New Roman" w:hAnsi="Times New Roman" w:eastAsia="宋体" w:cs="Times New Roman"/>
      <w:b/>
      <w:bCs/>
      <w:sz w:val="32"/>
      <w:szCs w:val="32"/>
    </w:rPr>
  </w:style>
  <w:style w:type="character" w:customStyle="1" w:styleId="66">
    <w:name w:val="标题 4 字符"/>
    <w:link w:val="5"/>
    <w:uiPriority w:val="9"/>
    <w:rPr>
      <w:rFonts w:ascii="Arial" w:hAnsi="Arial" w:eastAsia="黑体" w:cs="Times New Roman"/>
      <w:b/>
      <w:bCs/>
      <w:sz w:val="28"/>
      <w:szCs w:val="28"/>
    </w:rPr>
  </w:style>
  <w:style w:type="character" w:customStyle="1" w:styleId="67">
    <w:name w:val="标题 5 字符"/>
    <w:link w:val="6"/>
    <w:qFormat/>
    <w:uiPriority w:val="9"/>
    <w:rPr>
      <w:rFonts w:ascii="Times New Roman" w:hAnsi="Times New Roman" w:eastAsia="宋体" w:cs="Times New Roman"/>
      <w:b/>
      <w:bCs/>
      <w:sz w:val="28"/>
      <w:szCs w:val="28"/>
    </w:rPr>
  </w:style>
  <w:style w:type="character" w:customStyle="1" w:styleId="68">
    <w:name w:val="标题 6 字符"/>
    <w:link w:val="7"/>
    <w:qFormat/>
    <w:uiPriority w:val="9"/>
    <w:rPr>
      <w:rFonts w:ascii="Arial" w:hAnsi="Arial" w:eastAsia="黑体" w:cs="Times New Roman"/>
      <w:b/>
      <w:bCs/>
      <w:sz w:val="24"/>
      <w:szCs w:val="24"/>
    </w:rPr>
  </w:style>
  <w:style w:type="character" w:customStyle="1" w:styleId="69">
    <w:name w:val="标题 7 字符"/>
    <w:link w:val="8"/>
    <w:uiPriority w:val="9"/>
    <w:rPr>
      <w:rFonts w:ascii="Times New Roman" w:hAnsi="Times New Roman" w:eastAsia="宋体" w:cs="Times New Roman"/>
      <w:b/>
      <w:bCs/>
      <w:sz w:val="24"/>
      <w:szCs w:val="24"/>
    </w:rPr>
  </w:style>
  <w:style w:type="character" w:customStyle="1" w:styleId="70">
    <w:name w:val="标题 8 字符"/>
    <w:link w:val="9"/>
    <w:qFormat/>
    <w:uiPriority w:val="9"/>
    <w:rPr>
      <w:rFonts w:ascii="Arial" w:hAnsi="Arial" w:eastAsia="黑体" w:cs="Times New Roman"/>
      <w:sz w:val="24"/>
      <w:szCs w:val="24"/>
    </w:rPr>
  </w:style>
  <w:style w:type="character" w:customStyle="1" w:styleId="71">
    <w:name w:val="标题 9 字符"/>
    <w:link w:val="10"/>
    <w:qFormat/>
    <w:uiPriority w:val="9"/>
    <w:rPr>
      <w:rFonts w:ascii="Arial" w:hAnsi="Arial" w:eastAsia="黑体" w:cs="Times New Roman"/>
      <w:sz w:val="24"/>
      <w:szCs w:val="21"/>
    </w:rPr>
  </w:style>
  <w:style w:type="character" w:customStyle="1" w:styleId="72">
    <w:name w:val="批注框文本 Char"/>
    <w:basedOn w:val="34"/>
    <w:semiHidden/>
    <w:qFormat/>
    <w:uiPriority w:val="99"/>
    <w:rPr>
      <w:sz w:val="18"/>
      <w:szCs w:val="18"/>
    </w:rPr>
  </w:style>
  <w:style w:type="character" w:customStyle="1" w:styleId="73">
    <w:name w:val="批注框文本 字符"/>
    <w:link w:val="20"/>
    <w:semiHidden/>
    <w:qFormat/>
    <w:uiPriority w:val="99"/>
    <w:rPr>
      <w:rFonts w:ascii="Times New Roman" w:hAnsi="Times New Roman" w:eastAsia="宋体" w:cs="Times New Roman"/>
      <w:sz w:val="18"/>
      <w:szCs w:val="18"/>
    </w:rPr>
  </w:style>
  <w:style w:type="paragraph" w:styleId="74">
    <w:name w:val="Quote"/>
    <w:basedOn w:val="1"/>
    <w:next w:val="1"/>
    <w:link w:val="76"/>
    <w:qFormat/>
    <w:uiPriority w:val="29"/>
    <w:pPr>
      <w:adjustRightInd w:val="0"/>
      <w:spacing w:line="400" w:lineRule="exact"/>
    </w:pPr>
    <w:rPr>
      <w:rFonts w:ascii="Times New Roman" w:hAnsi="Times New Roman" w:eastAsia="宋体" w:cs="Times New Roman"/>
      <w:i/>
      <w:iCs/>
      <w:color w:val="000000"/>
      <w:sz w:val="24"/>
      <w:szCs w:val="21"/>
    </w:rPr>
  </w:style>
  <w:style w:type="character" w:customStyle="1" w:styleId="75">
    <w:name w:val="引用 Char"/>
    <w:basedOn w:val="34"/>
    <w:uiPriority w:val="29"/>
    <w:rPr>
      <w:i/>
      <w:iCs/>
      <w:color w:val="404040" w:themeColor="text1" w:themeTint="BF"/>
      <w14:textFill>
        <w14:solidFill>
          <w14:schemeClr w14:val="tx1">
            <w14:lumMod w14:val="75000"/>
            <w14:lumOff w14:val="25000"/>
          </w14:schemeClr>
        </w14:solidFill>
      </w14:textFill>
    </w:rPr>
  </w:style>
  <w:style w:type="character" w:customStyle="1" w:styleId="76">
    <w:name w:val="引用 字符"/>
    <w:link w:val="74"/>
    <w:qFormat/>
    <w:uiPriority w:val="29"/>
    <w:rPr>
      <w:rFonts w:ascii="Times New Roman" w:hAnsi="Times New Roman" w:eastAsia="宋体" w:cs="Times New Roman"/>
      <w:i/>
      <w:iCs/>
      <w:color w:val="000000"/>
      <w:sz w:val="24"/>
      <w:szCs w:val="21"/>
    </w:rPr>
  </w:style>
  <w:style w:type="character" w:customStyle="1" w:styleId="77">
    <w:name w:val="标题 Char"/>
    <w:basedOn w:val="34"/>
    <w:qFormat/>
    <w:uiPriority w:val="10"/>
    <w:rPr>
      <w:rFonts w:eastAsia="宋体" w:asciiTheme="majorHAnsi" w:hAnsiTheme="majorHAnsi" w:cstheme="majorBidi"/>
      <w:b/>
      <w:bCs/>
      <w:sz w:val="32"/>
      <w:szCs w:val="32"/>
    </w:rPr>
  </w:style>
  <w:style w:type="character" w:customStyle="1" w:styleId="78">
    <w:name w:val="标题 字符"/>
    <w:link w:val="30"/>
    <w:qFormat/>
    <w:uiPriority w:val="0"/>
    <w:rPr>
      <w:rFonts w:ascii="Arial" w:hAnsi="Arial" w:eastAsia="宋体" w:cs="Arial"/>
      <w:b/>
      <w:bCs/>
      <w:sz w:val="32"/>
      <w:szCs w:val="32"/>
    </w:rPr>
  </w:style>
  <w:style w:type="paragraph" w:customStyle="1" w:styleId="7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8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8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8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83">
    <w:name w:val="标准书眉一"/>
    <w:qFormat/>
    <w:uiPriority w:val="0"/>
    <w:pPr>
      <w:jc w:val="both"/>
    </w:pPr>
    <w:rPr>
      <w:rFonts w:ascii="Times New Roman" w:hAnsi="Times New Roman" w:eastAsia="宋体" w:cs="Times New Roman"/>
      <w:lang w:val="en-US" w:eastAsia="zh-CN" w:bidi="ar-SA"/>
    </w:rPr>
  </w:style>
  <w:style w:type="paragraph" w:customStyle="1" w:styleId="84">
    <w:name w:val="标准文件_ICS"/>
    <w:basedOn w:val="1"/>
    <w:qFormat/>
    <w:uiPriority w:val="0"/>
    <w:pPr>
      <w:adjustRightInd w:val="0"/>
      <w:spacing w:line="0" w:lineRule="atLeast"/>
    </w:pPr>
    <w:rPr>
      <w:rFonts w:ascii="黑体" w:hAnsi="宋体" w:eastAsia="黑体" w:cs="Times New Roman"/>
      <w:sz w:val="24"/>
      <w:szCs w:val="21"/>
    </w:rPr>
  </w:style>
  <w:style w:type="paragraph" w:customStyle="1" w:styleId="85">
    <w:name w:val="标准文件_标准正文"/>
    <w:basedOn w:val="1"/>
    <w:next w:val="54"/>
    <w:qFormat/>
    <w:uiPriority w:val="0"/>
    <w:pPr>
      <w:adjustRightInd w:val="0"/>
      <w:snapToGrid w:val="0"/>
      <w:spacing w:line="400" w:lineRule="exact"/>
      <w:ind w:firstLine="200" w:firstLineChars="200"/>
    </w:pPr>
    <w:rPr>
      <w:rFonts w:ascii="Times New Roman" w:hAnsi="Times New Roman" w:eastAsia="宋体" w:cs="Times New Roman"/>
      <w:kern w:val="0"/>
      <w:sz w:val="24"/>
      <w:szCs w:val="21"/>
    </w:rPr>
  </w:style>
  <w:style w:type="paragraph" w:customStyle="1" w:styleId="86">
    <w:name w:val="标准文件_版本"/>
    <w:basedOn w:val="85"/>
    <w:qFormat/>
    <w:uiPriority w:val="0"/>
    <w:pPr>
      <w:adjustRightInd/>
      <w:snapToGrid/>
      <w:ind w:firstLine="0" w:firstLineChars="0"/>
    </w:pPr>
    <w:rPr>
      <w:rFonts w:ascii="宋体" w:hAnsi="宋体"/>
      <w:kern w:val="2"/>
    </w:rPr>
  </w:style>
  <w:style w:type="paragraph" w:customStyle="1" w:styleId="87">
    <w:name w:val="标准文件_标准部门"/>
    <w:basedOn w:val="1"/>
    <w:qFormat/>
    <w:uiPriority w:val="0"/>
    <w:pPr>
      <w:adjustRightInd w:val="0"/>
      <w:spacing w:line="400" w:lineRule="exact"/>
      <w:jc w:val="center"/>
    </w:pPr>
    <w:rPr>
      <w:rFonts w:ascii="黑体" w:hAnsi="Times New Roman" w:eastAsia="黑体" w:cs="Times New Roman"/>
      <w:kern w:val="0"/>
      <w:sz w:val="44"/>
      <w:szCs w:val="21"/>
    </w:rPr>
  </w:style>
  <w:style w:type="paragraph" w:customStyle="1" w:styleId="88">
    <w:name w:val="标准文件_标准代替"/>
    <w:basedOn w:val="1"/>
    <w:next w:val="1"/>
    <w:qFormat/>
    <w:uiPriority w:val="0"/>
    <w:pPr>
      <w:adjustRightInd w:val="0"/>
      <w:spacing w:line="310" w:lineRule="exact"/>
      <w:jc w:val="right"/>
    </w:pPr>
    <w:rPr>
      <w:rFonts w:ascii="宋体" w:hAnsi="宋体" w:eastAsia="宋体" w:cs="Times New Roman"/>
      <w:kern w:val="0"/>
      <w:sz w:val="24"/>
      <w:szCs w:val="21"/>
    </w:rPr>
  </w:style>
  <w:style w:type="paragraph" w:customStyle="1" w:styleId="89">
    <w:name w:val="标准文件_标准名称标题"/>
    <w:basedOn w:val="1"/>
    <w:next w:val="1"/>
    <w:qFormat/>
    <w:uiPriority w:val="0"/>
    <w:pPr>
      <w:widowControl/>
      <w:shd w:val="clear" w:color="FFFFFF" w:fill="FFFFFF"/>
      <w:spacing w:before="640" w:after="100" w:line="400" w:lineRule="exact"/>
      <w:jc w:val="center"/>
    </w:pPr>
    <w:rPr>
      <w:rFonts w:ascii="黑体" w:hAnsi="Times New Roman" w:eastAsia="黑体" w:cs="Times New Roman"/>
      <w:kern w:val="0"/>
      <w:sz w:val="32"/>
      <w:szCs w:val="21"/>
    </w:rPr>
  </w:style>
  <w:style w:type="paragraph" w:customStyle="1" w:styleId="90">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91">
    <w:name w:val="标准文件_页眉偶数页"/>
    <w:basedOn w:val="90"/>
    <w:next w:val="1"/>
    <w:qFormat/>
    <w:uiPriority w:val="0"/>
    <w:pPr>
      <w:jc w:val="left"/>
    </w:pPr>
  </w:style>
  <w:style w:type="paragraph" w:customStyle="1" w:styleId="92">
    <w:name w:val="标准文件_参考文献标题"/>
    <w:basedOn w:val="1"/>
    <w:next w:val="1"/>
    <w:qFormat/>
    <w:uiPriority w:val="0"/>
    <w:pPr>
      <w:widowControl/>
      <w:shd w:val="clear" w:color="FFFFFF" w:fill="FFFFFF"/>
      <w:spacing w:before="40" w:beforeLines="40" w:after="50" w:afterLines="50"/>
      <w:jc w:val="center"/>
      <w:outlineLvl w:val="0"/>
    </w:pPr>
    <w:rPr>
      <w:rFonts w:ascii="黑体" w:hAnsi="Times New Roman" w:eastAsia="黑体" w:cs="Times New Roman"/>
      <w:kern w:val="0"/>
      <w:sz w:val="24"/>
      <w:szCs w:val="21"/>
    </w:rPr>
  </w:style>
  <w:style w:type="paragraph" w:customStyle="1" w:styleId="93">
    <w:name w:val="标准文件_参考文献条目"/>
    <w:qFormat/>
    <w:uiPriority w:val="0"/>
    <w:pPr>
      <w:numPr>
        <w:ilvl w:val="0"/>
        <w:numId w:val="2"/>
      </w:numPr>
    </w:pPr>
    <w:rPr>
      <w:rFonts w:ascii="宋体" w:hAnsi="Times New Roman" w:eastAsia="宋体" w:cs="Times New Roman"/>
      <w:lang w:val="en-US" w:eastAsia="zh-CN" w:bidi="ar-SA"/>
    </w:rPr>
  </w:style>
  <w:style w:type="paragraph" w:customStyle="1" w:styleId="94">
    <w:name w:val="标准文件_二级条标题"/>
    <w:next w:val="54"/>
    <w:qFormat/>
    <w:uiPriority w:val="0"/>
    <w:pPr>
      <w:widowControl w:val="0"/>
      <w:numPr>
        <w:ilvl w:val="3"/>
        <w:numId w:val="3"/>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95">
    <w:name w:val="标准文件_发布"/>
    <w:qFormat/>
    <w:uiPriority w:val="0"/>
    <w:rPr>
      <w:rFonts w:ascii="黑体" w:eastAsia="黑体"/>
      <w:spacing w:val="0"/>
      <w:w w:val="100"/>
      <w:position w:val="3"/>
      <w:sz w:val="28"/>
    </w:rPr>
  </w:style>
  <w:style w:type="paragraph" w:customStyle="1" w:styleId="96">
    <w:name w:val="标准文件_方框数字列项"/>
    <w:basedOn w:val="54"/>
    <w:qFormat/>
    <w:uiPriority w:val="0"/>
    <w:pPr>
      <w:numPr>
        <w:ilvl w:val="0"/>
        <w:numId w:val="4"/>
      </w:numPr>
      <w:ind w:firstLine="0" w:firstLineChars="0"/>
    </w:pPr>
  </w:style>
  <w:style w:type="paragraph" w:customStyle="1" w:styleId="97">
    <w:name w:val="标准文件_封面标准编号"/>
    <w:basedOn w:val="1"/>
    <w:next w:val="88"/>
    <w:qFormat/>
    <w:uiPriority w:val="0"/>
    <w:pPr>
      <w:adjustRightInd w:val="0"/>
      <w:spacing w:line="310" w:lineRule="exact"/>
      <w:jc w:val="right"/>
    </w:pPr>
    <w:rPr>
      <w:rFonts w:ascii="黑体" w:hAnsi="Times New Roman" w:eastAsia="黑体" w:cs="Times New Roman"/>
      <w:kern w:val="0"/>
      <w:sz w:val="28"/>
      <w:szCs w:val="21"/>
    </w:rPr>
  </w:style>
  <w:style w:type="paragraph" w:customStyle="1" w:styleId="98">
    <w:name w:val="标准文件_封面标准分类号"/>
    <w:basedOn w:val="1"/>
    <w:qFormat/>
    <w:uiPriority w:val="0"/>
    <w:pPr>
      <w:adjustRightInd w:val="0"/>
      <w:spacing w:line="400" w:lineRule="exact"/>
    </w:pPr>
    <w:rPr>
      <w:rFonts w:ascii="黑体" w:hAnsi="Times New Roman" w:eastAsia="黑体" w:cs="Times New Roman"/>
      <w:b/>
      <w:kern w:val="0"/>
      <w:sz w:val="28"/>
      <w:szCs w:val="21"/>
    </w:rPr>
  </w:style>
  <w:style w:type="paragraph" w:customStyle="1" w:styleId="99">
    <w:name w:val="标准文件_封面标准名称"/>
    <w:basedOn w:val="1"/>
    <w:qFormat/>
    <w:uiPriority w:val="0"/>
    <w:pPr>
      <w:adjustRightInd w:val="0"/>
      <w:jc w:val="center"/>
    </w:pPr>
    <w:rPr>
      <w:rFonts w:ascii="黑体" w:hAnsi="Times New Roman" w:eastAsia="黑体" w:cs="Times New Roman"/>
      <w:kern w:val="0"/>
      <w:sz w:val="52"/>
      <w:szCs w:val="21"/>
    </w:rPr>
  </w:style>
  <w:style w:type="paragraph" w:customStyle="1" w:styleId="100">
    <w:name w:val="标准文件_封面标准英文名称"/>
    <w:basedOn w:val="1"/>
    <w:qFormat/>
    <w:uiPriority w:val="0"/>
    <w:pPr>
      <w:adjustRightInd w:val="0"/>
      <w:jc w:val="center"/>
    </w:pPr>
    <w:rPr>
      <w:rFonts w:ascii="黑体" w:hAnsi="Times New Roman" w:eastAsia="黑体" w:cs="Times New Roman"/>
      <w:b/>
      <w:sz w:val="28"/>
      <w:szCs w:val="21"/>
    </w:rPr>
  </w:style>
  <w:style w:type="paragraph" w:customStyle="1" w:styleId="101">
    <w:name w:val="标准文件_封面发布日期"/>
    <w:basedOn w:val="1"/>
    <w:qFormat/>
    <w:uiPriority w:val="0"/>
    <w:pPr>
      <w:adjustRightInd w:val="0"/>
      <w:spacing w:line="310" w:lineRule="exact"/>
    </w:pPr>
    <w:rPr>
      <w:rFonts w:ascii="黑体" w:hAnsi="Times New Roman" w:eastAsia="黑体" w:cs="Times New Roman"/>
      <w:kern w:val="0"/>
      <w:sz w:val="28"/>
      <w:szCs w:val="21"/>
    </w:rPr>
  </w:style>
  <w:style w:type="paragraph" w:customStyle="1" w:styleId="102">
    <w:name w:val="标准文件_封面密级"/>
    <w:basedOn w:val="1"/>
    <w:qFormat/>
    <w:uiPriority w:val="0"/>
    <w:pPr>
      <w:adjustRightInd w:val="0"/>
      <w:spacing w:line="400" w:lineRule="exact"/>
    </w:pPr>
    <w:rPr>
      <w:rFonts w:ascii="Times New Roman" w:hAnsi="Times New Roman" w:eastAsia="黑体" w:cs="Times New Roman"/>
      <w:sz w:val="32"/>
      <w:szCs w:val="21"/>
    </w:rPr>
  </w:style>
  <w:style w:type="paragraph" w:customStyle="1" w:styleId="103">
    <w:name w:val="标准文件_封面实施日期"/>
    <w:basedOn w:val="1"/>
    <w:qFormat/>
    <w:uiPriority w:val="0"/>
    <w:pPr>
      <w:adjustRightInd w:val="0"/>
      <w:spacing w:line="310" w:lineRule="exact"/>
      <w:jc w:val="right"/>
    </w:pPr>
    <w:rPr>
      <w:rFonts w:ascii="黑体" w:hAnsi="Times New Roman" w:eastAsia="黑体" w:cs="Times New Roman"/>
      <w:sz w:val="28"/>
      <w:szCs w:val="21"/>
    </w:rPr>
  </w:style>
  <w:style w:type="paragraph" w:customStyle="1" w:styleId="104">
    <w:name w:val="标准文件_封面抬头"/>
    <w:basedOn w:val="54"/>
    <w:qFormat/>
    <w:uiPriority w:val="0"/>
    <w:pPr>
      <w:adjustRightInd w:val="0"/>
      <w:spacing w:line="800" w:lineRule="exact"/>
      <w:ind w:firstLine="0" w:firstLineChars="0"/>
      <w:jc w:val="distribute"/>
    </w:pPr>
    <w:rPr>
      <w:rFonts w:ascii="黑体" w:eastAsia="黑体"/>
      <w:b/>
      <w:sz w:val="64"/>
    </w:rPr>
  </w:style>
  <w:style w:type="paragraph" w:customStyle="1" w:styleId="105">
    <w:name w:val="标准文件_附录标识"/>
    <w:next w:val="54"/>
    <w:qFormat/>
    <w:uiPriority w:val="0"/>
    <w:pPr>
      <w:numPr>
        <w:ilvl w:val="0"/>
        <w:numId w:val="5"/>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106">
    <w:name w:val="标准文件_附录表标题"/>
    <w:next w:val="54"/>
    <w:qFormat/>
    <w:uiPriority w:val="0"/>
    <w:pPr>
      <w:numPr>
        <w:ilvl w:val="1"/>
        <w:numId w:val="6"/>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107">
    <w:name w:val="标准文件_附录一级条标题"/>
    <w:next w:val="54"/>
    <w:uiPriority w:val="0"/>
    <w:pPr>
      <w:widowControl w:val="0"/>
      <w:numPr>
        <w:ilvl w:val="1"/>
        <w:numId w:val="5"/>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108">
    <w:name w:val="标准文件_附录二级条标题"/>
    <w:basedOn w:val="107"/>
    <w:next w:val="54"/>
    <w:qFormat/>
    <w:uiPriority w:val="0"/>
    <w:pPr>
      <w:widowControl/>
      <w:numPr>
        <w:ilvl w:val="2"/>
      </w:numPr>
      <w:wordWrap w:val="0"/>
      <w:overflowPunct w:val="0"/>
      <w:autoSpaceDE w:val="0"/>
      <w:autoSpaceDN w:val="0"/>
      <w:textAlignment w:val="baseline"/>
      <w:outlineLvl w:val="3"/>
    </w:pPr>
  </w:style>
  <w:style w:type="paragraph" w:customStyle="1" w:styleId="109">
    <w:name w:val="标准文件_附录公式"/>
    <w:basedOn w:val="85"/>
    <w:next w:val="8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110">
    <w:name w:val="标准文件_附录三级条标题"/>
    <w:next w:val="54"/>
    <w:qFormat/>
    <w:uiPriority w:val="0"/>
    <w:pPr>
      <w:widowControl w:val="0"/>
      <w:numPr>
        <w:ilvl w:val="3"/>
        <w:numId w:val="5"/>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111">
    <w:name w:val="标准文件_附录四级条标题"/>
    <w:next w:val="54"/>
    <w:uiPriority w:val="0"/>
    <w:pPr>
      <w:widowControl w:val="0"/>
      <w:numPr>
        <w:ilvl w:val="4"/>
        <w:numId w:val="5"/>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112">
    <w:name w:val="标准文件_附录图标题"/>
    <w:next w:val="54"/>
    <w:uiPriority w:val="0"/>
    <w:pPr>
      <w:numPr>
        <w:ilvl w:val="1"/>
        <w:numId w:val="7"/>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113">
    <w:name w:val="标准文件_附录五级条标题"/>
    <w:next w:val="54"/>
    <w:qFormat/>
    <w:uiPriority w:val="0"/>
    <w:pPr>
      <w:widowControl w:val="0"/>
      <w:numPr>
        <w:ilvl w:val="5"/>
        <w:numId w:val="5"/>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114">
    <w:name w:val="标准文件_附录英文标识"/>
    <w:next w:val="15"/>
    <w:qFormat/>
    <w:uiPriority w:val="0"/>
    <w:pPr>
      <w:numPr>
        <w:ilvl w:val="0"/>
        <w:numId w:val="8"/>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115">
    <w:name w:val="正文文本 Char"/>
    <w:basedOn w:val="34"/>
    <w:semiHidden/>
    <w:qFormat/>
    <w:uiPriority w:val="99"/>
  </w:style>
  <w:style w:type="character" w:customStyle="1" w:styleId="116">
    <w:name w:val="正文文本 字符"/>
    <w:link w:val="15"/>
    <w:uiPriority w:val="0"/>
    <w:rPr>
      <w:rFonts w:ascii="Times New Roman" w:hAnsi="Times New Roman" w:eastAsia="宋体" w:cs="Times New Roman"/>
      <w:sz w:val="24"/>
      <w:szCs w:val="21"/>
    </w:rPr>
  </w:style>
  <w:style w:type="paragraph" w:customStyle="1" w:styleId="117">
    <w:name w:val="标准文件_附录章标题"/>
    <w:next w:val="54"/>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18">
    <w:name w:val="标准文件_公式后的破折号"/>
    <w:basedOn w:val="54"/>
    <w:next w:val="54"/>
    <w:qFormat/>
    <w:uiPriority w:val="0"/>
    <w:pPr>
      <w:ind w:left="488" w:leftChars="200" w:hanging="289" w:hangingChars="290"/>
    </w:pPr>
  </w:style>
  <w:style w:type="paragraph" w:customStyle="1" w:styleId="119">
    <w:name w:val="标准文件_目次、标准名称标题"/>
    <w:basedOn w:val="55"/>
    <w:next w:val="54"/>
    <w:uiPriority w:val="0"/>
    <w:pPr>
      <w:numPr>
        <w:numId w:val="0"/>
      </w:numPr>
      <w:spacing w:line="460" w:lineRule="exact"/>
    </w:pPr>
  </w:style>
  <w:style w:type="paragraph" w:customStyle="1" w:styleId="120">
    <w:name w:val="标准文件_目录标题"/>
    <w:basedOn w:val="1"/>
    <w:qFormat/>
    <w:uiPriority w:val="0"/>
    <w:pPr>
      <w:adjustRightInd w:val="0"/>
      <w:spacing w:after="150" w:afterLines="150"/>
      <w:jc w:val="center"/>
    </w:pPr>
    <w:rPr>
      <w:rFonts w:ascii="黑体" w:hAnsi="Times New Roman" w:eastAsia="黑体" w:cs="Times New Roman"/>
      <w:sz w:val="32"/>
      <w:szCs w:val="21"/>
    </w:rPr>
  </w:style>
  <w:style w:type="paragraph" w:customStyle="1" w:styleId="121">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122">
    <w:name w:val="标准文件_破折号列项（二级）"/>
    <w:basedOn w:val="121"/>
    <w:qFormat/>
    <w:uiPriority w:val="0"/>
    <w:pPr>
      <w:numPr>
        <w:numId w:val="10"/>
      </w:numPr>
      <w:ind w:left="0" w:firstLine="200"/>
    </w:pPr>
  </w:style>
  <w:style w:type="paragraph" w:customStyle="1" w:styleId="123">
    <w:name w:val="标准文件_三级条标题"/>
    <w:basedOn w:val="94"/>
    <w:next w:val="54"/>
    <w:qFormat/>
    <w:uiPriority w:val="0"/>
    <w:pPr>
      <w:widowControl/>
      <w:numPr>
        <w:ilvl w:val="4"/>
      </w:numPr>
      <w:outlineLvl w:val="3"/>
    </w:pPr>
  </w:style>
  <w:style w:type="character" w:customStyle="1" w:styleId="124">
    <w:name w:val="不明显参考1"/>
    <w:qFormat/>
    <w:uiPriority w:val="31"/>
    <w:rPr>
      <w:smallCaps/>
      <w:color w:val="C0504D"/>
      <w:u w:val="single"/>
    </w:rPr>
  </w:style>
  <w:style w:type="paragraph" w:customStyle="1" w:styleId="125">
    <w:name w:val="标准文件_示例后续"/>
    <w:basedOn w:val="1"/>
    <w:qFormat/>
    <w:uiPriority w:val="0"/>
    <w:pPr>
      <w:ind w:firstLine="200" w:firstLineChars="200"/>
    </w:pPr>
    <w:rPr>
      <w:rFonts w:ascii="Times New Roman" w:hAnsi="Times New Roman" w:eastAsia="宋体" w:cs="Times New Roman"/>
      <w:sz w:val="18"/>
      <w:szCs w:val="24"/>
    </w:rPr>
  </w:style>
  <w:style w:type="paragraph" w:customStyle="1" w:styleId="126">
    <w:name w:val="标准文件_数字编号列项"/>
    <w:uiPriority w:val="0"/>
    <w:pPr>
      <w:numPr>
        <w:ilvl w:val="0"/>
        <w:numId w:val="11"/>
      </w:numPr>
      <w:jc w:val="both"/>
    </w:pPr>
    <w:rPr>
      <w:rFonts w:ascii="宋体" w:hAnsi="宋体" w:eastAsia="宋体" w:cs="Times New Roman"/>
      <w:sz w:val="21"/>
      <w:lang w:val="en-US" w:eastAsia="zh-CN" w:bidi="ar-SA"/>
    </w:rPr>
  </w:style>
  <w:style w:type="paragraph" w:customStyle="1" w:styleId="127">
    <w:name w:val="标准文件_四级条标题"/>
    <w:next w:val="54"/>
    <w:qFormat/>
    <w:uiPriority w:val="0"/>
    <w:pPr>
      <w:widowControl w:val="0"/>
      <w:numPr>
        <w:ilvl w:val="5"/>
        <w:numId w:val="3"/>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28">
    <w:name w:val="脚注文本 Char"/>
    <w:basedOn w:val="34"/>
    <w:semiHidden/>
    <w:qFormat/>
    <w:uiPriority w:val="99"/>
    <w:rPr>
      <w:sz w:val="18"/>
      <w:szCs w:val="18"/>
    </w:rPr>
  </w:style>
  <w:style w:type="character" w:customStyle="1" w:styleId="129">
    <w:name w:val="脚注文本 字符"/>
    <w:link w:val="25"/>
    <w:semiHidden/>
    <w:qFormat/>
    <w:uiPriority w:val="0"/>
    <w:rPr>
      <w:rFonts w:ascii="宋体" w:hAnsi="Times New Roman" w:eastAsia="宋体" w:cs="Times New Roman"/>
      <w:sz w:val="18"/>
      <w:szCs w:val="18"/>
    </w:rPr>
  </w:style>
  <w:style w:type="paragraph" w:customStyle="1" w:styleId="130">
    <w:name w:val="标准文件_条文脚注"/>
    <w:basedOn w:val="25"/>
    <w:qFormat/>
    <w:uiPriority w:val="0"/>
    <w:pPr>
      <w:adjustRightInd w:val="0"/>
      <w:spacing w:line="240" w:lineRule="auto"/>
      <w:ind w:left="0" w:leftChars="0" w:firstLine="200" w:firstLineChars="200"/>
      <w:jc w:val="both"/>
    </w:pPr>
    <w:rPr>
      <w:rFonts w:hAnsi="宋体"/>
    </w:rPr>
  </w:style>
  <w:style w:type="paragraph" w:customStyle="1" w:styleId="131">
    <w:name w:val="标准文件_图表脚注"/>
    <w:basedOn w:val="1"/>
    <w:next w:val="54"/>
    <w:uiPriority w:val="0"/>
    <w:pPr>
      <w:numPr>
        <w:ilvl w:val="0"/>
        <w:numId w:val="12"/>
      </w:numPr>
      <w:adjustRightInd w:val="0"/>
      <w:jc w:val="left"/>
    </w:pPr>
    <w:rPr>
      <w:rFonts w:ascii="宋体" w:hAnsi="宋体" w:eastAsia="宋体" w:cs="Times New Roman"/>
      <w:sz w:val="18"/>
      <w:szCs w:val="21"/>
    </w:rPr>
  </w:style>
  <w:style w:type="character" w:customStyle="1" w:styleId="132">
    <w:name w:val="标准文件_图表脚注内容"/>
    <w:qFormat/>
    <w:uiPriority w:val="0"/>
    <w:rPr>
      <w:rFonts w:ascii="宋体" w:hAnsi="宋体" w:eastAsia="宋体" w:cs="Times New Roman"/>
      <w:spacing w:val="0"/>
      <w:sz w:val="18"/>
      <w:vertAlign w:val="superscript"/>
    </w:rPr>
  </w:style>
  <w:style w:type="paragraph" w:customStyle="1" w:styleId="133">
    <w:name w:val="标准文件_五级条标题"/>
    <w:next w:val="54"/>
    <w:qFormat/>
    <w:uiPriority w:val="0"/>
    <w:pPr>
      <w:widowControl w:val="0"/>
      <w:numPr>
        <w:ilvl w:val="6"/>
        <w:numId w:val="3"/>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34">
    <w:name w:val="标准文件_章标题"/>
    <w:next w:val="54"/>
    <w:qFormat/>
    <w:uiPriority w:val="0"/>
    <w:pPr>
      <w:numPr>
        <w:ilvl w:val="1"/>
        <w:numId w:val="3"/>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35">
    <w:name w:val="标准文件_一级条标题"/>
    <w:basedOn w:val="134"/>
    <w:next w:val="54"/>
    <w:qFormat/>
    <w:uiPriority w:val="0"/>
    <w:pPr>
      <w:numPr>
        <w:ilvl w:val="2"/>
      </w:numPr>
      <w:spacing w:before="50" w:beforeLines="50" w:after="50" w:afterLines="50"/>
      <w:outlineLvl w:val="1"/>
    </w:pPr>
  </w:style>
  <w:style w:type="paragraph" w:customStyle="1" w:styleId="136">
    <w:name w:val="标准文件_一致程度"/>
    <w:basedOn w:val="1"/>
    <w:qFormat/>
    <w:uiPriority w:val="0"/>
    <w:pPr>
      <w:adjustRightInd w:val="0"/>
      <w:spacing w:line="440" w:lineRule="exact"/>
      <w:jc w:val="center"/>
    </w:pPr>
    <w:rPr>
      <w:rFonts w:ascii="Times New Roman" w:hAnsi="Times New Roman" w:eastAsia="宋体" w:cs="Times New Roman"/>
      <w:sz w:val="28"/>
      <w:szCs w:val="21"/>
    </w:rPr>
  </w:style>
  <w:style w:type="paragraph" w:customStyle="1" w:styleId="13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38">
    <w:name w:val="标准文件_英文图表脚注"/>
    <w:basedOn w:val="85"/>
    <w:uiPriority w:val="0"/>
    <w:pPr>
      <w:widowControl/>
      <w:adjustRightInd/>
      <w:snapToGrid/>
      <w:spacing w:line="240" w:lineRule="auto"/>
      <w:ind w:left="79" w:hanging="79" w:hangingChars="80"/>
    </w:pPr>
    <w:rPr>
      <w:rFonts w:ascii="宋体" w:hAnsi="宋体"/>
    </w:rPr>
  </w:style>
  <w:style w:type="paragraph" w:customStyle="1" w:styleId="139">
    <w:name w:val="标准文件_数字编号列项（二级）"/>
    <w:qFormat/>
    <w:uiPriority w:val="0"/>
    <w:pPr>
      <w:jc w:val="both"/>
    </w:pPr>
    <w:rPr>
      <w:rFonts w:ascii="宋体" w:hAnsi="Times New Roman" w:eastAsia="宋体" w:cs="Times New Roman"/>
      <w:sz w:val="21"/>
      <w:lang w:val="en-US" w:eastAsia="zh-CN" w:bidi="ar-SA"/>
    </w:rPr>
  </w:style>
  <w:style w:type="paragraph" w:customStyle="1" w:styleId="140">
    <w:name w:val="标准文件_英文注："/>
    <w:basedOn w:val="1"/>
    <w:next w:val="54"/>
    <w:qFormat/>
    <w:uiPriority w:val="0"/>
    <w:pPr>
      <w:numPr>
        <w:ilvl w:val="0"/>
        <w:numId w:val="13"/>
      </w:numPr>
      <w:tabs>
        <w:tab w:val="left" w:pos="420"/>
      </w:tabs>
      <w:autoSpaceDE w:val="0"/>
      <w:autoSpaceDN w:val="0"/>
      <w:adjustRightInd w:val="0"/>
    </w:pPr>
    <w:rPr>
      <w:rFonts w:ascii="宋体" w:hAnsi="宋体" w:eastAsia="宋体" w:cs="Times New Roman"/>
      <w:kern w:val="0"/>
      <w:sz w:val="18"/>
      <w:szCs w:val="20"/>
    </w:rPr>
  </w:style>
  <w:style w:type="paragraph" w:customStyle="1" w:styleId="141">
    <w:name w:val="标准文件_英文注×："/>
    <w:basedOn w:val="1"/>
    <w:qFormat/>
    <w:uiPriority w:val="0"/>
    <w:pPr>
      <w:numPr>
        <w:ilvl w:val="0"/>
        <w:numId w:val="14"/>
      </w:numPr>
      <w:tabs>
        <w:tab w:val="left" w:pos="210"/>
      </w:tabs>
      <w:autoSpaceDE w:val="0"/>
      <w:autoSpaceDN w:val="0"/>
      <w:adjustRightInd w:val="0"/>
    </w:pPr>
    <w:rPr>
      <w:rFonts w:ascii="宋体" w:hAnsi="宋体" w:eastAsia="宋体" w:cs="Times New Roman"/>
      <w:kern w:val="0"/>
      <w:sz w:val="24"/>
      <w:szCs w:val="20"/>
    </w:rPr>
  </w:style>
  <w:style w:type="paragraph" w:customStyle="1" w:styleId="142">
    <w:name w:val="标准文件_正文表标题"/>
    <w:next w:val="54"/>
    <w:qFormat/>
    <w:uiPriority w:val="0"/>
    <w:pPr>
      <w:tabs>
        <w:tab w:val="left" w:pos="0"/>
      </w:tabs>
      <w:spacing w:before="50" w:beforeLines="50" w:after="50" w:afterLines="50"/>
      <w:jc w:val="center"/>
    </w:pPr>
    <w:rPr>
      <w:rFonts w:ascii="Times New Roman" w:hAnsi="Times New Roman" w:eastAsia="宋体" w:cs="Times New Roman"/>
      <w:b/>
      <w:sz w:val="21"/>
      <w:lang w:val="en-US" w:eastAsia="zh-CN" w:bidi="ar-SA"/>
    </w:rPr>
  </w:style>
  <w:style w:type="paragraph" w:customStyle="1" w:styleId="143">
    <w:name w:val="标准文件_正文公式"/>
    <w:basedOn w:val="1"/>
    <w:next w:val="85"/>
    <w:qFormat/>
    <w:uiPriority w:val="0"/>
    <w:pPr>
      <w:tabs>
        <w:tab w:val="center" w:pos="4678"/>
        <w:tab w:val="right" w:leader="middleDot" w:pos="9356"/>
      </w:tabs>
      <w:adjustRightInd w:val="0"/>
    </w:pPr>
    <w:rPr>
      <w:rFonts w:ascii="宋体" w:hAnsi="宋体" w:eastAsia="宋体" w:cs="Times New Roman"/>
      <w:sz w:val="24"/>
      <w:szCs w:val="21"/>
    </w:rPr>
  </w:style>
  <w:style w:type="paragraph" w:customStyle="1" w:styleId="144">
    <w:name w:val="标准文件_正文图标题"/>
    <w:next w:val="54"/>
    <w:qFormat/>
    <w:uiPriority w:val="0"/>
    <w:pPr>
      <w:numPr>
        <w:ilvl w:val="0"/>
        <w:numId w:val="15"/>
      </w:numPr>
      <w:spacing w:before="50" w:beforeLines="50" w:after="50" w:afterLines="50"/>
      <w:jc w:val="center"/>
    </w:pPr>
    <w:rPr>
      <w:rFonts w:ascii="黑体" w:hAnsi="Times New Roman" w:eastAsia="黑体" w:cs="Times New Roman"/>
      <w:sz w:val="21"/>
      <w:lang w:val="en-US" w:eastAsia="zh-CN" w:bidi="ar-SA"/>
    </w:rPr>
  </w:style>
  <w:style w:type="paragraph" w:customStyle="1" w:styleId="145">
    <w:name w:val="标准文件_正文英文表标题"/>
    <w:next w:val="54"/>
    <w:qFormat/>
    <w:uiPriority w:val="0"/>
    <w:pPr>
      <w:numPr>
        <w:ilvl w:val="0"/>
        <w:numId w:val="16"/>
      </w:numPr>
      <w:jc w:val="center"/>
    </w:pPr>
    <w:rPr>
      <w:rFonts w:ascii="黑体" w:hAnsi="Times New Roman" w:eastAsia="黑体" w:cs="Times New Roman"/>
      <w:sz w:val="21"/>
      <w:lang w:val="en-US" w:eastAsia="zh-CN" w:bidi="ar-SA"/>
    </w:rPr>
  </w:style>
  <w:style w:type="paragraph" w:customStyle="1" w:styleId="146">
    <w:name w:val="标准文件_正文英文图标题"/>
    <w:next w:val="54"/>
    <w:qFormat/>
    <w:uiPriority w:val="0"/>
    <w:pPr>
      <w:numPr>
        <w:ilvl w:val="0"/>
        <w:numId w:val="17"/>
      </w:numPr>
      <w:jc w:val="center"/>
    </w:pPr>
    <w:rPr>
      <w:rFonts w:ascii="黑体" w:hAnsi="Times New Roman" w:eastAsia="黑体" w:cs="Times New Roman"/>
      <w:sz w:val="21"/>
      <w:lang w:val="en-US" w:eastAsia="zh-CN" w:bidi="ar-SA"/>
    </w:rPr>
  </w:style>
  <w:style w:type="paragraph" w:customStyle="1" w:styleId="147">
    <w:name w:val="标准文件_编号列项（三级）"/>
    <w:uiPriority w:val="0"/>
    <w:rPr>
      <w:rFonts w:ascii="宋体" w:hAnsi="Times New Roman" w:eastAsia="宋体" w:cs="Times New Roman"/>
      <w:sz w:val="21"/>
      <w:lang w:val="en-US" w:eastAsia="zh-CN" w:bidi="ar-SA"/>
    </w:rPr>
  </w:style>
  <w:style w:type="paragraph" w:customStyle="1" w:styleId="148">
    <w:name w:val="二级无标题条"/>
    <w:basedOn w:val="1"/>
    <w:qFormat/>
    <w:uiPriority w:val="0"/>
    <w:pPr>
      <w:numPr>
        <w:ilvl w:val="3"/>
        <w:numId w:val="18"/>
      </w:numPr>
    </w:pPr>
    <w:rPr>
      <w:rFonts w:ascii="宋体" w:hAnsi="宋体" w:eastAsia="宋体" w:cs="Times New Roman"/>
      <w:sz w:val="24"/>
      <w:szCs w:val="24"/>
    </w:rPr>
  </w:style>
  <w:style w:type="paragraph" w:customStyle="1" w:styleId="149">
    <w:name w:val="发布部门"/>
    <w:next w:val="54"/>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5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51">
    <w:name w:val="封面标准代替信息"/>
    <w:basedOn w:val="1"/>
    <w:uiPriority w:val="0"/>
    <w:pPr>
      <w:framePr w:w="9138" w:h="1244" w:hRule="exact" w:wrap="auto" w:vAnchor="page" w:hAnchor="margin" w:y="2908"/>
      <w:kinsoku w:val="0"/>
      <w:overflowPunct w:val="0"/>
      <w:autoSpaceDE w:val="0"/>
      <w:autoSpaceDN w:val="0"/>
      <w:adjustRightInd w:val="0"/>
      <w:spacing w:before="57" w:line="280" w:lineRule="exact"/>
      <w:jc w:val="right"/>
      <w:textAlignment w:val="center"/>
    </w:pPr>
    <w:rPr>
      <w:rFonts w:ascii="宋体" w:hAnsi="Times New Roman" w:eastAsia="宋体" w:cs="Times New Roman"/>
      <w:kern w:val="0"/>
      <w:sz w:val="24"/>
      <w:szCs w:val="20"/>
    </w:rPr>
  </w:style>
  <w:style w:type="paragraph" w:customStyle="1" w:styleId="15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53">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15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55">
    <w:name w:val="封面标准英文名称"/>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5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57">
    <w:name w:val="封面正文"/>
    <w:qFormat/>
    <w:uiPriority w:val="0"/>
    <w:pPr>
      <w:jc w:val="both"/>
    </w:pPr>
    <w:rPr>
      <w:rFonts w:ascii="Times New Roman" w:hAnsi="Times New Roman" w:eastAsia="宋体" w:cs="Times New Roman"/>
      <w:lang w:val="en-US" w:eastAsia="zh-CN" w:bidi="ar-SA"/>
    </w:rPr>
  </w:style>
  <w:style w:type="paragraph" w:customStyle="1" w:styleId="158">
    <w:name w:val="附录二级无标题条"/>
    <w:basedOn w:val="1"/>
    <w:next w:val="54"/>
    <w:qFormat/>
    <w:uiPriority w:val="0"/>
    <w:pPr>
      <w:widowControl/>
      <w:wordWrap w:val="0"/>
      <w:overflowPunct w:val="0"/>
      <w:autoSpaceDE w:val="0"/>
      <w:autoSpaceDN w:val="0"/>
      <w:textAlignment w:val="baseline"/>
      <w:outlineLvl w:val="3"/>
    </w:pPr>
    <w:rPr>
      <w:rFonts w:ascii="宋体" w:hAnsi="宋体" w:eastAsia="宋体" w:cs="Times New Roman"/>
      <w:kern w:val="21"/>
      <w:sz w:val="24"/>
      <w:szCs w:val="21"/>
    </w:rPr>
  </w:style>
  <w:style w:type="paragraph" w:customStyle="1" w:styleId="159">
    <w:name w:val="附录三级无标题条"/>
    <w:basedOn w:val="158"/>
    <w:next w:val="54"/>
    <w:uiPriority w:val="0"/>
    <w:pPr>
      <w:outlineLvl w:val="4"/>
    </w:pPr>
  </w:style>
  <w:style w:type="paragraph" w:customStyle="1" w:styleId="160">
    <w:name w:val="附录四级无标题条"/>
    <w:basedOn w:val="159"/>
    <w:next w:val="54"/>
    <w:uiPriority w:val="0"/>
    <w:pPr>
      <w:outlineLvl w:val="5"/>
    </w:pPr>
  </w:style>
  <w:style w:type="paragraph" w:customStyle="1" w:styleId="161">
    <w:name w:val="附录图"/>
    <w:next w:val="54"/>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62">
    <w:name w:val="标准文件_一级项"/>
    <w:uiPriority w:val="0"/>
    <w:pPr>
      <w:numPr>
        <w:ilvl w:val="0"/>
        <w:numId w:val="19"/>
      </w:numPr>
    </w:pPr>
    <w:rPr>
      <w:rFonts w:ascii="宋体" w:hAnsi="Times New Roman" w:eastAsia="宋体" w:cs="Times New Roman"/>
      <w:sz w:val="21"/>
      <w:lang w:val="en-US" w:eastAsia="zh-CN" w:bidi="ar-SA"/>
    </w:rPr>
  </w:style>
  <w:style w:type="paragraph" w:customStyle="1" w:styleId="163">
    <w:name w:val="附录五级无标题条"/>
    <w:basedOn w:val="160"/>
    <w:next w:val="54"/>
    <w:qFormat/>
    <w:uiPriority w:val="0"/>
    <w:pPr>
      <w:outlineLvl w:val="6"/>
    </w:pPr>
  </w:style>
  <w:style w:type="paragraph" w:customStyle="1" w:styleId="164">
    <w:name w:val="附录性质"/>
    <w:basedOn w:val="1"/>
    <w:qFormat/>
    <w:uiPriority w:val="0"/>
    <w:pPr>
      <w:widowControl/>
      <w:spacing w:line="400" w:lineRule="exact"/>
      <w:jc w:val="center"/>
    </w:pPr>
    <w:rPr>
      <w:rFonts w:ascii="黑体" w:hAnsi="Times New Roman" w:eastAsia="黑体" w:cs="Times New Roman"/>
      <w:sz w:val="24"/>
      <w:szCs w:val="21"/>
    </w:rPr>
  </w:style>
  <w:style w:type="paragraph" w:customStyle="1" w:styleId="165">
    <w:name w:val="附录一级无标题条"/>
    <w:basedOn w:val="117"/>
    <w:next w:val="54"/>
    <w:qFormat/>
    <w:uiPriority w:val="0"/>
    <w:pPr>
      <w:autoSpaceDN w:val="0"/>
      <w:outlineLvl w:val="2"/>
    </w:pPr>
    <w:rPr>
      <w:rFonts w:ascii="宋体" w:hAnsi="宋体" w:eastAsia="宋体"/>
    </w:rPr>
  </w:style>
  <w:style w:type="character" w:customStyle="1" w:styleId="166">
    <w:name w:val="个人答复风格"/>
    <w:uiPriority w:val="0"/>
    <w:rPr>
      <w:rFonts w:ascii="Arial" w:hAnsi="Arial" w:eastAsia="宋体" w:cs="Arial"/>
      <w:color w:val="auto"/>
      <w:spacing w:val="0"/>
      <w:sz w:val="20"/>
    </w:rPr>
  </w:style>
  <w:style w:type="character" w:customStyle="1" w:styleId="167">
    <w:name w:val="个人撰写风格"/>
    <w:qFormat/>
    <w:uiPriority w:val="0"/>
    <w:rPr>
      <w:rFonts w:ascii="Arial" w:hAnsi="Arial" w:eastAsia="宋体" w:cs="Arial"/>
      <w:color w:val="auto"/>
      <w:spacing w:val="0"/>
      <w:sz w:val="20"/>
    </w:rPr>
  </w:style>
  <w:style w:type="paragraph" w:customStyle="1" w:styleId="16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69">
    <w:name w:val="列项——"/>
    <w:uiPriority w:val="0"/>
    <w:pPr>
      <w:widowControl w:val="0"/>
      <w:numPr>
        <w:ilvl w:val="0"/>
        <w:numId w:val="20"/>
      </w:numPr>
      <w:jc w:val="both"/>
    </w:pPr>
    <w:rPr>
      <w:rFonts w:ascii="宋体" w:hAnsi="宋体" w:eastAsia="宋体" w:cs="Times New Roman"/>
      <w:sz w:val="21"/>
      <w:lang w:val="en-US" w:eastAsia="zh-CN" w:bidi="ar-SA"/>
    </w:rPr>
  </w:style>
  <w:style w:type="paragraph" w:customStyle="1" w:styleId="170">
    <w:name w:val="列项·"/>
    <w:basedOn w:val="54"/>
    <w:qFormat/>
    <w:uiPriority w:val="0"/>
    <w:pPr>
      <w:tabs>
        <w:tab w:val="left" w:pos="840"/>
      </w:tabs>
    </w:pPr>
  </w:style>
  <w:style w:type="paragraph" w:customStyle="1" w:styleId="17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72">
    <w:name w:val="目录 21"/>
    <w:basedOn w:val="1"/>
    <w:next w:val="1"/>
    <w:semiHidden/>
    <w:qFormat/>
    <w:uiPriority w:val="0"/>
    <w:pPr>
      <w:jc w:val="left"/>
    </w:pPr>
    <w:rPr>
      <w:rFonts w:ascii="Times New Roman" w:hAnsi="Times New Roman" w:eastAsia="宋体" w:cs="Times New Roman"/>
      <w:bCs/>
      <w:iCs/>
      <w:sz w:val="24"/>
      <w:szCs w:val="21"/>
    </w:rPr>
  </w:style>
  <w:style w:type="paragraph" w:customStyle="1" w:styleId="173">
    <w:name w:val="目录 31"/>
    <w:basedOn w:val="1"/>
    <w:next w:val="1"/>
    <w:semiHidden/>
    <w:qFormat/>
    <w:uiPriority w:val="0"/>
    <w:pPr>
      <w:adjustRightInd w:val="0"/>
    </w:pPr>
    <w:rPr>
      <w:rFonts w:ascii="宋体" w:hAnsi="宋体" w:eastAsia="宋体" w:cs="Times New Roman"/>
      <w:iCs/>
      <w:sz w:val="24"/>
      <w:szCs w:val="21"/>
    </w:rPr>
  </w:style>
  <w:style w:type="paragraph" w:customStyle="1" w:styleId="174">
    <w:name w:val="目录 41"/>
    <w:basedOn w:val="1"/>
    <w:next w:val="1"/>
    <w:semiHidden/>
    <w:qFormat/>
    <w:uiPriority w:val="0"/>
    <w:pPr>
      <w:jc w:val="left"/>
    </w:pPr>
    <w:rPr>
      <w:rFonts w:ascii="Times New Roman" w:hAnsi="Times New Roman" w:eastAsia="宋体" w:cs="Times New Roman"/>
      <w:sz w:val="24"/>
      <w:szCs w:val="21"/>
    </w:rPr>
  </w:style>
  <w:style w:type="paragraph" w:customStyle="1" w:styleId="175">
    <w:name w:val="目录 51"/>
    <w:basedOn w:val="1"/>
    <w:next w:val="1"/>
    <w:semiHidden/>
    <w:uiPriority w:val="0"/>
    <w:pPr>
      <w:adjustRightInd w:val="0"/>
    </w:pPr>
    <w:rPr>
      <w:rFonts w:ascii="宋体" w:hAnsi="宋体" w:eastAsia="宋体" w:cs="Times New Roman"/>
      <w:sz w:val="24"/>
      <w:szCs w:val="21"/>
    </w:rPr>
  </w:style>
  <w:style w:type="paragraph" w:customStyle="1" w:styleId="176">
    <w:name w:val="目录 61"/>
    <w:basedOn w:val="1"/>
    <w:next w:val="1"/>
    <w:semiHidden/>
    <w:uiPriority w:val="0"/>
    <w:pPr>
      <w:jc w:val="left"/>
    </w:pPr>
    <w:rPr>
      <w:rFonts w:ascii="Times New Roman" w:hAnsi="Times New Roman" w:eastAsia="宋体" w:cs="Times New Roman"/>
      <w:sz w:val="24"/>
      <w:szCs w:val="21"/>
    </w:rPr>
  </w:style>
  <w:style w:type="paragraph" w:customStyle="1" w:styleId="177">
    <w:name w:val="目录 71"/>
    <w:basedOn w:val="176"/>
    <w:semiHidden/>
    <w:qFormat/>
    <w:uiPriority w:val="0"/>
    <w:pPr>
      <w:ind w:left="1260"/>
    </w:pPr>
  </w:style>
  <w:style w:type="paragraph" w:customStyle="1" w:styleId="178">
    <w:name w:val="目录 81"/>
    <w:basedOn w:val="177"/>
    <w:semiHidden/>
    <w:qFormat/>
    <w:uiPriority w:val="0"/>
    <w:pPr>
      <w:ind w:left="1470"/>
    </w:pPr>
  </w:style>
  <w:style w:type="paragraph" w:customStyle="1" w:styleId="179">
    <w:name w:val="目录 91"/>
    <w:basedOn w:val="178"/>
    <w:semiHidden/>
    <w:qFormat/>
    <w:uiPriority w:val="0"/>
    <w:pPr>
      <w:ind w:left="1680"/>
    </w:pPr>
  </w:style>
  <w:style w:type="paragraph" w:customStyle="1" w:styleId="180">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81">
    <w:name w:val="其他发布部门"/>
    <w:basedOn w:val="149"/>
    <w:qFormat/>
    <w:uiPriority w:val="0"/>
    <w:pPr>
      <w:framePr w:wrap="around"/>
      <w:spacing w:line="0" w:lineRule="atLeast"/>
    </w:pPr>
    <w:rPr>
      <w:rFonts w:ascii="黑体" w:eastAsia="黑体"/>
      <w:b w:val="0"/>
    </w:rPr>
  </w:style>
  <w:style w:type="paragraph" w:customStyle="1" w:styleId="182">
    <w:name w:val="前言标题"/>
    <w:next w:val="1"/>
    <w:qFormat/>
    <w:uiPriority w:val="0"/>
    <w:pPr>
      <w:numPr>
        <w:ilvl w:val="0"/>
        <w:numId w:val="3"/>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83">
    <w:name w:val="三级无标题条"/>
    <w:basedOn w:val="1"/>
    <w:qFormat/>
    <w:uiPriority w:val="0"/>
    <w:pPr>
      <w:numPr>
        <w:ilvl w:val="4"/>
        <w:numId w:val="18"/>
      </w:numPr>
    </w:pPr>
    <w:rPr>
      <w:rFonts w:ascii="宋体" w:hAnsi="宋体" w:eastAsia="宋体" w:cs="Times New Roman"/>
      <w:sz w:val="24"/>
      <w:szCs w:val="24"/>
    </w:rPr>
  </w:style>
  <w:style w:type="paragraph" w:customStyle="1" w:styleId="184">
    <w:name w:val="实施日期"/>
    <w:basedOn w:val="150"/>
    <w:uiPriority w:val="0"/>
    <w:pPr>
      <w:framePr w:hSpace="0" w:wrap="around" w:xAlign="right"/>
      <w:jc w:val="right"/>
    </w:pPr>
  </w:style>
  <w:style w:type="paragraph" w:customStyle="1" w:styleId="185">
    <w:name w:val="四级无标题条"/>
    <w:basedOn w:val="1"/>
    <w:qFormat/>
    <w:uiPriority w:val="0"/>
    <w:pPr>
      <w:numPr>
        <w:ilvl w:val="5"/>
        <w:numId w:val="18"/>
      </w:numPr>
    </w:pPr>
    <w:rPr>
      <w:rFonts w:ascii="宋体" w:hAnsi="宋体" w:eastAsia="宋体" w:cs="Times New Roman"/>
      <w:sz w:val="24"/>
      <w:szCs w:val="24"/>
    </w:rPr>
  </w:style>
  <w:style w:type="paragraph" w:customStyle="1" w:styleId="186">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87">
    <w:name w:val="无标题条"/>
    <w:next w:val="54"/>
    <w:qFormat/>
    <w:uiPriority w:val="0"/>
    <w:pPr>
      <w:jc w:val="both"/>
    </w:pPr>
    <w:rPr>
      <w:rFonts w:ascii="宋体" w:hAnsi="宋体" w:eastAsia="宋体" w:cs="Times New Roman"/>
      <w:sz w:val="21"/>
      <w:lang w:val="en-US" w:eastAsia="zh-CN" w:bidi="ar-SA"/>
    </w:rPr>
  </w:style>
  <w:style w:type="paragraph" w:customStyle="1" w:styleId="188">
    <w:name w:val="五级无标题条"/>
    <w:basedOn w:val="1"/>
    <w:uiPriority w:val="0"/>
    <w:pPr>
      <w:numPr>
        <w:ilvl w:val="6"/>
        <w:numId w:val="18"/>
      </w:numPr>
      <w:spacing w:line="400" w:lineRule="exact"/>
    </w:pPr>
    <w:rPr>
      <w:rFonts w:ascii="Times New Roman" w:hAnsi="Times New Roman" w:eastAsia="宋体" w:cs="Times New Roman"/>
      <w:sz w:val="24"/>
      <w:szCs w:val="24"/>
    </w:rPr>
  </w:style>
  <w:style w:type="paragraph" w:customStyle="1" w:styleId="189">
    <w:name w:val="一级无标题条"/>
    <w:basedOn w:val="1"/>
    <w:qFormat/>
    <w:uiPriority w:val="0"/>
    <w:pPr>
      <w:numPr>
        <w:ilvl w:val="2"/>
        <w:numId w:val="18"/>
      </w:numPr>
      <w:spacing w:before="10" w:after="10"/>
    </w:pPr>
    <w:rPr>
      <w:rFonts w:ascii="宋体" w:hAnsi="宋体" w:eastAsia="宋体" w:cs="Times New Roman"/>
      <w:sz w:val="24"/>
      <w:szCs w:val="24"/>
    </w:rPr>
  </w:style>
  <w:style w:type="paragraph" w:customStyle="1" w:styleId="19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91">
    <w:name w:val="注×:后续"/>
    <w:basedOn w:val="190"/>
    <w:uiPriority w:val="0"/>
    <w:pPr>
      <w:ind w:left="1406" w:leftChars="0" w:hanging="499" w:firstLineChars="0"/>
    </w:pPr>
  </w:style>
  <w:style w:type="paragraph" w:customStyle="1" w:styleId="192">
    <w:name w:val="标准文件_一级无标题"/>
    <w:basedOn w:val="135"/>
    <w:qFormat/>
    <w:uiPriority w:val="0"/>
    <w:pPr>
      <w:spacing w:before="0" w:beforeLines="0" w:after="0" w:afterLines="0"/>
      <w:outlineLvl w:val="9"/>
    </w:pPr>
    <w:rPr>
      <w:rFonts w:ascii="Times New Roman" w:eastAsia="宋体"/>
      <w:sz w:val="24"/>
    </w:rPr>
  </w:style>
  <w:style w:type="paragraph" w:customStyle="1" w:styleId="193">
    <w:name w:val="标准文件_五级无标题"/>
    <w:basedOn w:val="133"/>
    <w:qFormat/>
    <w:uiPriority w:val="0"/>
    <w:pPr>
      <w:spacing w:before="0" w:beforeLines="0" w:after="0" w:afterLines="0"/>
      <w:outlineLvl w:val="9"/>
    </w:pPr>
    <w:rPr>
      <w:rFonts w:ascii="宋体" w:eastAsia="宋体"/>
    </w:rPr>
  </w:style>
  <w:style w:type="paragraph" w:customStyle="1" w:styleId="194">
    <w:name w:val="标准文件_三级无标题"/>
    <w:basedOn w:val="123"/>
    <w:qFormat/>
    <w:uiPriority w:val="0"/>
    <w:pPr>
      <w:spacing w:before="0" w:beforeLines="0" w:after="0" w:afterLines="0"/>
      <w:outlineLvl w:val="9"/>
    </w:pPr>
    <w:rPr>
      <w:rFonts w:ascii="宋体" w:eastAsia="宋体"/>
    </w:rPr>
  </w:style>
  <w:style w:type="paragraph" w:customStyle="1" w:styleId="195">
    <w:name w:val="标准文件_二级无标题"/>
    <w:basedOn w:val="94"/>
    <w:link w:val="273"/>
    <w:qFormat/>
    <w:uiPriority w:val="0"/>
    <w:pPr>
      <w:spacing w:before="0" w:beforeLines="0" w:after="0" w:afterLines="0"/>
      <w:outlineLvl w:val="9"/>
    </w:pPr>
    <w:rPr>
      <w:rFonts w:ascii="Times New Roman" w:eastAsia="宋体"/>
      <w:sz w:val="24"/>
    </w:rPr>
  </w:style>
  <w:style w:type="paragraph" w:customStyle="1" w:styleId="196">
    <w:name w:val="标准_四级无标题"/>
    <w:basedOn w:val="127"/>
    <w:next w:val="54"/>
    <w:qFormat/>
    <w:uiPriority w:val="0"/>
    <w:rPr>
      <w:rFonts w:eastAsia="宋体"/>
    </w:rPr>
  </w:style>
  <w:style w:type="paragraph" w:customStyle="1" w:styleId="197">
    <w:name w:val="标准文件_四级无标题"/>
    <w:basedOn w:val="127"/>
    <w:qFormat/>
    <w:uiPriority w:val="0"/>
    <w:pPr>
      <w:spacing w:before="0" w:beforeLines="0" w:after="0" w:afterLines="0"/>
      <w:outlineLvl w:val="9"/>
    </w:pPr>
    <w:rPr>
      <w:rFonts w:ascii="宋体" w:hAnsi="黑体" w:eastAsia="宋体"/>
      <w:szCs w:val="52"/>
    </w:rPr>
  </w:style>
  <w:style w:type="paragraph" w:customStyle="1" w:styleId="198">
    <w:name w:val="标准文件_大写罗马数字编号列项"/>
    <w:basedOn w:val="54"/>
    <w:qFormat/>
    <w:uiPriority w:val="0"/>
    <w:pPr>
      <w:numPr>
        <w:ilvl w:val="0"/>
        <w:numId w:val="21"/>
      </w:numPr>
      <w:ind w:firstLine="0" w:firstLineChars="0"/>
    </w:pPr>
    <w:rPr>
      <w:rFonts w:ascii="Times New Roman" w:cs="Arial"/>
      <w:szCs w:val="28"/>
    </w:rPr>
  </w:style>
  <w:style w:type="paragraph" w:customStyle="1" w:styleId="199">
    <w:name w:val="标准文件_小写罗马数字编号列项"/>
    <w:basedOn w:val="54"/>
    <w:uiPriority w:val="0"/>
    <w:pPr>
      <w:numPr>
        <w:ilvl w:val="0"/>
        <w:numId w:val="22"/>
      </w:numPr>
      <w:ind w:firstLine="0" w:firstLineChars="0"/>
    </w:pPr>
    <w:rPr>
      <w:rFonts w:cs="Arial"/>
      <w:szCs w:val="28"/>
    </w:rPr>
  </w:style>
  <w:style w:type="paragraph" w:customStyle="1" w:styleId="200">
    <w:name w:val="标准文件_附录标题"/>
    <w:basedOn w:val="105"/>
    <w:qFormat/>
    <w:uiPriority w:val="0"/>
    <w:pPr>
      <w:numPr>
        <w:numId w:val="0"/>
      </w:numPr>
      <w:spacing w:after="280"/>
      <w:outlineLvl w:val="9"/>
    </w:pPr>
  </w:style>
  <w:style w:type="paragraph" w:customStyle="1" w:styleId="201">
    <w:name w:val="标准文件_二级项"/>
    <w:qFormat/>
    <w:uiPriority w:val="0"/>
    <w:rPr>
      <w:rFonts w:ascii="宋体" w:hAnsi="Times New Roman" w:eastAsia="宋体" w:cs="Times New Roman"/>
      <w:sz w:val="21"/>
      <w:lang w:val="en-US" w:eastAsia="zh-CN" w:bidi="ar-SA"/>
    </w:rPr>
  </w:style>
  <w:style w:type="paragraph" w:customStyle="1" w:styleId="202">
    <w:name w:val="标准文件_三级项"/>
    <w:basedOn w:val="1"/>
    <w:qFormat/>
    <w:uiPriority w:val="0"/>
    <w:pPr>
      <w:numPr>
        <w:ilvl w:val="2"/>
        <w:numId w:val="19"/>
      </w:numPr>
      <w:adjustRightInd w:val="0"/>
      <w:spacing w:line="536870612" w:lineRule="auto"/>
    </w:pPr>
    <w:rPr>
      <w:rFonts w:ascii="Times New Roman" w:hAnsi="Times New Roman" w:eastAsia="宋体" w:cs="Times New Roman"/>
      <w:sz w:val="24"/>
      <w:szCs w:val="21"/>
    </w:rPr>
  </w:style>
  <w:style w:type="paragraph" w:customStyle="1" w:styleId="203">
    <w:name w:val="图表脚注说明"/>
    <w:basedOn w:val="1"/>
    <w:next w:val="54"/>
    <w:uiPriority w:val="0"/>
    <w:pPr>
      <w:numPr>
        <w:ilvl w:val="0"/>
        <w:numId w:val="23"/>
      </w:numPr>
      <w:ind w:left="783"/>
    </w:pPr>
    <w:rPr>
      <w:rFonts w:ascii="宋体" w:hAnsi="Times New Roman" w:eastAsia="宋体" w:cs="Times New Roman"/>
      <w:sz w:val="18"/>
      <w:szCs w:val="18"/>
    </w:rPr>
  </w:style>
  <w:style w:type="paragraph" w:customStyle="1" w:styleId="204">
    <w:name w:val="标准文件_字母编号列项（一级）"/>
    <w:qFormat/>
    <w:uiPriority w:val="0"/>
    <w:pPr>
      <w:jc w:val="both"/>
    </w:pPr>
    <w:rPr>
      <w:rFonts w:ascii="宋体" w:hAnsi="Times New Roman" w:eastAsia="宋体" w:cs="Times New Roman"/>
      <w:sz w:val="21"/>
      <w:lang w:val="en-US" w:eastAsia="zh-CN" w:bidi="ar-SA"/>
    </w:rPr>
  </w:style>
  <w:style w:type="paragraph" w:customStyle="1" w:styleId="205">
    <w:name w:val="标准文件_索引字母"/>
    <w:next w:val="54"/>
    <w:qFormat/>
    <w:uiPriority w:val="0"/>
    <w:pPr>
      <w:jc w:val="center"/>
    </w:pPr>
    <w:rPr>
      <w:rFonts w:ascii="宋体" w:hAnsi="宋体" w:eastAsia="Times New Roman" w:cs="Times New Roman"/>
      <w:b/>
      <w:kern w:val="2"/>
      <w:sz w:val="21"/>
      <w:lang w:val="en-US" w:eastAsia="zh-CN" w:bidi="ar-SA"/>
    </w:rPr>
  </w:style>
  <w:style w:type="paragraph" w:customStyle="1" w:styleId="206">
    <w:name w:val="标准文件_附录前"/>
    <w:next w:val="54"/>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207">
    <w:name w:val="标准文件_表格"/>
    <w:basedOn w:val="54"/>
    <w:qFormat/>
    <w:uiPriority w:val="0"/>
    <w:pPr>
      <w:ind w:firstLine="0" w:firstLineChars="0"/>
      <w:jc w:val="center"/>
    </w:pPr>
    <w:rPr>
      <w:rFonts w:ascii="Times New Roman"/>
      <w:sz w:val="21"/>
    </w:rPr>
  </w:style>
  <w:style w:type="paragraph" w:customStyle="1" w:styleId="208">
    <w:name w:val="标准文件_注："/>
    <w:next w:val="54"/>
    <w:qFormat/>
    <w:uiPriority w:val="0"/>
    <w:pPr>
      <w:widowControl w:val="0"/>
      <w:numPr>
        <w:ilvl w:val="0"/>
        <w:numId w:val="24"/>
      </w:numPr>
      <w:autoSpaceDE w:val="0"/>
      <w:autoSpaceDN w:val="0"/>
      <w:jc w:val="both"/>
    </w:pPr>
    <w:rPr>
      <w:rFonts w:ascii="宋体" w:hAnsi="Times New Roman" w:eastAsia="宋体" w:cs="Times New Roman"/>
      <w:sz w:val="18"/>
      <w:szCs w:val="18"/>
      <w:lang w:val="en-US" w:eastAsia="zh-CN" w:bidi="ar-SA"/>
    </w:rPr>
  </w:style>
  <w:style w:type="paragraph" w:customStyle="1" w:styleId="209">
    <w:name w:val="标准文件_注×："/>
    <w:qFormat/>
    <w:uiPriority w:val="0"/>
    <w:pPr>
      <w:widowControl w:val="0"/>
      <w:autoSpaceDE w:val="0"/>
      <w:autoSpaceDN w:val="0"/>
      <w:jc w:val="both"/>
    </w:pPr>
    <w:rPr>
      <w:rFonts w:ascii="宋体" w:hAnsi="Times New Roman" w:eastAsia="宋体" w:cs="Times New Roman"/>
      <w:sz w:val="18"/>
      <w:szCs w:val="18"/>
      <w:lang w:val="en-US" w:eastAsia="zh-CN" w:bidi="ar-SA"/>
    </w:rPr>
  </w:style>
  <w:style w:type="paragraph" w:customStyle="1" w:styleId="210">
    <w:name w:val="标准文件_示例："/>
    <w:next w:val="211"/>
    <w:uiPriority w:val="0"/>
    <w:pPr>
      <w:widowControl w:val="0"/>
      <w:numPr>
        <w:ilvl w:val="0"/>
        <w:numId w:val="25"/>
      </w:numPr>
      <w:jc w:val="both"/>
    </w:pPr>
    <w:rPr>
      <w:rFonts w:ascii="宋体" w:hAnsi="Times New Roman" w:eastAsia="宋体" w:cs="Times New Roman"/>
      <w:sz w:val="18"/>
      <w:szCs w:val="18"/>
      <w:lang w:val="en-US" w:eastAsia="zh-CN" w:bidi="ar-SA"/>
    </w:rPr>
  </w:style>
  <w:style w:type="paragraph" w:customStyle="1" w:styleId="211">
    <w:name w:val="标准文件_示例内容"/>
    <w:basedOn w:val="54"/>
    <w:qFormat/>
    <w:uiPriority w:val="0"/>
    <w:pPr>
      <w:ind w:firstLine="420"/>
    </w:pPr>
    <w:rPr>
      <w:sz w:val="18"/>
    </w:rPr>
  </w:style>
  <w:style w:type="paragraph" w:customStyle="1" w:styleId="212">
    <w:name w:val="标准文件_示例×："/>
    <w:basedOn w:val="1"/>
    <w:next w:val="211"/>
    <w:qFormat/>
    <w:uiPriority w:val="0"/>
    <w:pPr>
      <w:widowControl/>
      <w:numPr>
        <w:ilvl w:val="0"/>
        <w:numId w:val="26"/>
      </w:numPr>
    </w:pPr>
    <w:rPr>
      <w:rFonts w:ascii="宋体" w:hAnsi="Times New Roman" w:eastAsia="宋体" w:cs="Times New Roman"/>
      <w:kern w:val="0"/>
      <w:sz w:val="18"/>
      <w:szCs w:val="18"/>
    </w:rPr>
  </w:style>
  <w:style w:type="paragraph" w:customStyle="1" w:styleId="213">
    <w:name w:val="标准文件_表格续"/>
    <w:basedOn w:val="54"/>
    <w:next w:val="54"/>
    <w:qFormat/>
    <w:uiPriority w:val="0"/>
    <w:pPr>
      <w:jc w:val="center"/>
    </w:pPr>
    <w:rPr>
      <w:rFonts w:ascii="黑体" w:hAnsi="黑体" w:eastAsia="黑体"/>
    </w:rPr>
  </w:style>
  <w:style w:type="character" w:styleId="214">
    <w:name w:val="Placeholder Text"/>
    <w:semiHidden/>
    <w:uiPriority w:val="99"/>
    <w:rPr>
      <w:color w:val="808080"/>
    </w:rPr>
  </w:style>
  <w:style w:type="paragraph" w:customStyle="1" w:styleId="215">
    <w:name w:val="标准文件_二级项2"/>
    <w:basedOn w:val="54"/>
    <w:qFormat/>
    <w:uiPriority w:val="0"/>
    <w:pPr>
      <w:numPr>
        <w:ilvl w:val="1"/>
        <w:numId w:val="19"/>
      </w:numPr>
      <w:ind w:firstLine="0" w:firstLineChars="0"/>
    </w:pPr>
  </w:style>
  <w:style w:type="paragraph" w:customStyle="1" w:styleId="216">
    <w:name w:val="标准文件_三级项2"/>
    <w:basedOn w:val="54"/>
    <w:qFormat/>
    <w:uiPriority w:val="0"/>
    <w:pPr>
      <w:numPr>
        <w:ilvl w:val="0"/>
        <w:numId w:val="27"/>
      </w:numPr>
      <w:spacing w:line="300" w:lineRule="exact"/>
      <w:ind w:left="1276" w:hanging="425" w:firstLineChars="0"/>
    </w:pPr>
    <w:rPr>
      <w:rFonts w:ascii="Times New Roman"/>
    </w:rPr>
  </w:style>
  <w:style w:type="paragraph" w:customStyle="1" w:styleId="217">
    <w:name w:val="标准文件_一级项2"/>
    <w:basedOn w:val="54"/>
    <w:qFormat/>
    <w:uiPriority w:val="0"/>
    <w:pPr>
      <w:numPr>
        <w:ilvl w:val="0"/>
        <w:numId w:val="28"/>
      </w:numPr>
      <w:spacing w:line="300" w:lineRule="exact"/>
      <w:ind w:left="1271" w:hanging="420" w:firstLineChars="0"/>
    </w:pPr>
    <w:rPr>
      <w:rFonts w:ascii="Times New Roman"/>
    </w:rPr>
  </w:style>
  <w:style w:type="paragraph" w:customStyle="1" w:styleId="218">
    <w:name w:val="标准文件_提示"/>
    <w:basedOn w:val="54"/>
    <w:next w:val="54"/>
    <w:qFormat/>
    <w:uiPriority w:val="0"/>
    <w:pPr>
      <w:ind w:firstLine="420"/>
    </w:pPr>
    <w:rPr>
      <w:rFonts w:ascii="黑体" w:eastAsia="黑体"/>
    </w:rPr>
  </w:style>
  <w:style w:type="character" w:customStyle="1" w:styleId="219">
    <w:name w:val="标准文件_来源"/>
    <w:qFormat/>
    <w:uiPriority w:val="1"/>
    <w:rPr>
      <w:rFonts w:eastAsia="宋体"/>
      <w:sz w:val="21"/>
    </w:rPr>
  </w:style>
  <w:style w:type="paragraph" w:customStyle="1" w:styleId="220">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221">
    <w:name w:val="其他发布日期"/>
    <w:basedOn w:val="150"/>
    <w:uiPriority w:val="0"/>
    <w:pPr>
      <w:framePr w:w="3997" w:h="471" w:hRule="exact" w:hSpace="0" w:vSpace="181" w:wrap="around" w:vAnchor="page" w:hAnchor="page" w:x="1419" w:y="14097"/>
    </w:pPr>
  </w:style>
  <w:style w:type="paragraph" w:customStyle="1" w:styleId="222">
    <w:name w:val="其他实施日期"/>
    <w:basedOn w:val="184"/>
    <w:uiPriority w:val="0"/>
    <w:pPr>
      <w:framePr w:w="3997" w:h="471" w:hRule="exact" w:vSpace="181" w:wrap="around" w:vAnchor="page" w:hAnchor="page" w:x="7089" w:y="14097"/>
    </w:pPr>
  </w:style>
  <w:style w:type="paragraph" w:customStyle="1" w:styleId="223">
    <w:name w:val="标准文件_文件编号"/>
    <w:basedOn w:val="54"/>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224">
    <w:name w:val="标准文件_替换文件编号"/>
    <w:basedOn w:val="223"/>
    <w:qFormat/>
    <w:uiPriority w:val="0"/>
    <w:pPr>
      <w:framePr/>
      <w:spacing w:before="57"/>
    </w:pPr>
    <w:rPr>
      <w:sz w:val="21"/>
    </w:rPr>
  </w:style>
  <w:style w:type="paragraph" w:customStyle="1" w:styleId="225">
    <w:name w:val="标准文件_文件名称"/>
    <w:basedOn w:val="54"/>
    <w:next w:val="54"/>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26">
    <w:name w:val="标准文件_附录图标号"/>
    <w:basedOn w:val="54"/>
    <w:next w:val="54"/>
    <w:qFormat/>
    <w:uiPriority w:val="0"/>
    <w:pPr>
      <w:numPr>
        <w:ilvl w:val="0"/>
        <w:numId w:val="7"/>
      </w:numPr>
      <w:spacing w:line="14" w:lineRule="exact"/>
      <w:ind w:firstLine="0" w:firstLineChars="0"/>
      <w:jc w:val="center"/>
    </w:pPr>
    <w:rPr>
      <w:rFonts w:ascii="黑体" w:hAnsi="黑体" w:eastAsia="黑体"/>
      <w:vanish/>
      <w:sz w:val="2"/>
      <w:szCs w:val="21"/>
    </w:rPr>
  </w:style>
  <w:style w:type="paragraph" w:customStyle="1" w:styleId="227">
    <w:name w:val="标准文件_附录表标号"/>
    <w:basedOn w:val="54"/>
    <w:next w:val="54"/>
    <w:qFormat/>
    <w:uiPriority w:val="0"/>
    <w:pPr>
      <w:numPr>
        <w:ilvl w:val="0"/>
        <w:numId w:val="6"/>
      </w:numPr>
      <w:spacing w:line="14" w:lineRule="exact"/>
      <w:ind w:firstLine="0" w:firstLineChars="0"/>
      <w:jc w:val="center"/>
    </w:pPr>
    <w:rPr>
      <w:rFonts w:eastAsia="黑体"/>
      <w:vanish/>
      <w:sz w:val="2"/>
    </w:rPr>
  </w:style>
  <w:style w:type="paragraph" w:customStyle="1" w:styleId="228">
    <w:name w:val="标准文件_注后"/>
    <w:basedOn w:val="54"/>
    <w:qFormat/>
    <w:uiPriority w:val="0"/>
    <w:pPr>
      <w:ind w:left="811" w:firstLine="0" w:firstLineChars="0"/>
    </w:pPr>
    <w:rPr>
      <w:sz w:val="18"/>
    </w:rPr>
  </w:style>
  <w:style w:type="paragraph" w:customStyle="1" w:styleId="229">
    <w:name w:val="标准文件_注X后"/>
    <w:basedOn w:val="54"/>
    <w:qFormat/>
    <w:uiPriority w:val="0"/>
    <w:pPr>
      <w:ind w:left="811" w:firstLine="0" w:firstLineChars="0"/>
    </w:pPr>
    <w:rPr>
      <w:sz w:val="18"/>
    </w:rPr>
  </w:style>
  <w:style w:type="paragraph" w:customStyle="1" w:styleId="230">
    <w:name w:val="标准文件_示例后"/>
    <w:basedOn w:val="54"/>
    <w:qFormat/>
    <w:uiPriority w:val="0"/>
    <w:pPr>
      <w:ind w:left="964" w:firstLine="0" w:firstLineChars="0"/>
    </w:pPr>
    <w:rPr>
      <w:sz w:val="18"/>
    </w:rPr>
  </w:style>
  <w:style w:type="paragraph" w:customStyle="1" w:styleId="231">
    <w:name w:val="标准文件_示例X后"/>
    <w:basedOn w:val="54"/>
    <w:link w:val="232"/>
    <w:qFormat/>
    <w:uiPriority w:val="0"/>
    <w:pPr>
      <w:ind w:left="1049" w:firstLine="0" w:firstLineChars="0"/>
    </w:pPr>
    <w:rPr>
      <w:sz w:val="18"/>
    </w:rPr>
  </w:style>
  <w:style w:type="character" w:customStyle="1" w:styleId="232">
    <w:name w:val="标准文件_示例X后 字符"/>
    <w:link w:val="231"/>
    <w:uiPriority w:val="0"/>
    <w:rPr>
      <w:rFonts w:ascii="宋体" w:hAnsi="Times New Roman" w:eastAsia="宋体" w:cs="Times New Roman"/>
      <w:kern w:val="0"/>
      <w:sz w:val="18"/>
      <w:szCs w:val="20"/>
    </w:rPr>
  </w:style>
  <w:style w:type="paragraph" w:customStyle="1" w:styleId="233">
    <w:name w:val="标准文件_索引项"/>
    <w:basedOn w:val="54"/>
    <w:next w:val="54"/>
    <w:qFormat/>
    <w:uiPriority w:val="0"/>
    <w:pPr>
      <w:tabs>
        <w:tab w:val="right" w:leader="dot" w:pos="9356"/>
      </w:tabs>
      <w:ind w:left="210" w:hanging="210" w:firstLineChars="0"/>
      <w:jc w:val="left"/>
    </w:pPr>
  </w:style>
  <w:style w:type="paragraph" w:customStyle="1" w:styleId="234">
    <w:name w:val="标准文件_附录一级无标题"/>
    <w:basedOn w:val="107"/>
    <w:qFormat/>
    <w:uiPriority w:val="0"/>
    <w:pPr>
      <w:spacing w:before="0" w:beforeLines="0" w:after="0" w:afterLines="0" w:line="276" w:lineRule="auto"/>
      <w:outlineLvl w:val="9"/>
    </w:pPr>
    <w:rPr>
      <w:rFonts w:ascii="宋体" w:eastAsia="宋体"/>
    </w:rPr>
  </w:style>
  <w:style w:type="paragraph" w:customStyle="1" w:styleId="235">
    <w:name w:val="标准文件_附录二级无标题"/>
    <w:basedOn w:val="108"/>
    <w:uiPriority w:val="0"/>
    <w:pPr>
      <w:spacing w:before="0" w:beforeLines="0" w:after="0" w:afterLines="0" w:line="276" w:lineRule="auto"/>
      <w:outlineLvl w:val="9"/>
    </w:pPr>
    <w:rPr>
      <w:rFonts w:ascii="宋体" w:eastAsia="宋体"/>
    </w:rPr>
  </w:style>
  <w:style w:type="paragraph" w:customStyle="1" w:styleId="236">
    <w:name w:val="标准文件_附录三级无标题"/>
    <w:basedOn w:val="110"/>
    <w:qFormat/>
    <w:uiPriority w:val="0"/>
    <w:pPr>
      <w:spacing w:before="0" w:beforeLines="0" w:after="0" w:afterLines="0" w:line="276" w:lineRule="auto"/>
      <w:outlineLvl w:val="9"/>
    </w:pPr>
    <w:rPr>
      <w:rFonts w:ascii="宋体" w:eastAsia="宋体"/>
    </w:rPr>
  </w:style>
  <w:style w:type="paragraph" w:customStyle="1" w:styleId="237">
    <w:name w:val="标准文件_附录四级无标题"/>
    <w:basedOn w:val="111"/>
    <w:qFormat/>
    <w:uiPriority w:val="0"/>
    <w:pPr>
      <w:spacing w:before="0" w:beforeLines="0" w:after="0" w:afterLines="0" w:line="276" w:lineRule="auto"/>
      <w:outlineLvl w:val="9"/>
    </w:pPr>
    <w:rPr>
      <w:rFonts w:ascii="宋体" w:eastAsia="宋体"/>
    </w:rPr>
  </w:style>
  <w:style w:type="paragraph" w:customStyle="1" w:styleId="238">
    <w:name w:val="标准文件_附录五级无标题"/>
    <w:basedOn w:val="113"/>
    <w:qFormat/>
    <w:uiPriority w:val="0"/>
    <w:pPr>
      <w:spacing w:before="0" w:beforeLines="0" w:after="0" w:afterLines="0" w:line="276" w:lineRule="auto"/>
      <w:outlineLvl w:val="9"/>
    </w:pPr>
    <w:rPr>
      <w:rFonts w:ascii="宋体" w:eastAsia="宋体"/>
    </w:rPr>
  </w:style>
  <w:style w:type="paragraph" w:customStyle="1" w:styleId="239">
    <w:name w:val="标准文件_引言一级无标题"/>
    <w:basedOn w:val="57"/>
    <w:next w:val="54"/>
    <w:qFormat/>
    <w:uiPriority w:val="0"/>
    <w:pPr>
      <w:numPr>
        <w:ilvl w:val="0"/>
        <w:numId w:val="0"/>
      </w:numPr>
      <w:spacing w:before="0" w:beforeLines="0" w:after="0" w:afterLines="0" w:line="276" w:lineRule="auto"/>
    </w:pPr>
    <w:rPr>
      <w:rFonts w:ascii="宋体" w:eastAsia="宋体"/>
    </w:rPr>
  </w:style>
  <w:style w:type="paragraph" w:customStyle="1" w:styleId="240">
    <w:name w:val="标准文件_引言二级无标题"/>
    <w:basedOn w:val="58"/>
    <w:next w:val="54"/>
    <w:qFormat/>
    <w:uiPriority w:val="0"/>
    <w:pPr>
      <w:numPr>
        <w:numId w:val="6"/>
      </w:numPr>
      <w:spacing w:before="0" w:beforeLines="0" w:after="0" w:afterLines="0" w:line="276" w:lineRule="auto"/>
    </w:pPr>
    <w:rPr>
      <w:rFonts w:ascii="宋体" w:eastAsia="宋体"/>
    </w:rPr>
  </w:style>
  <w:style w:type="paragraph" w:customStyle="1" w:styleId="241">
    <w:name w:val="标准文件_引言三级无标题"/>
    <w:basedOn w:val="59"/>
    <w:next w:val="54"/>
    <w:qFormat/>
    <w:uiPriority w:val="0"/>
    <w:pPr>
      <w:numPr>
        <w:numId w:val="6"/>
      </w:numPr>
      <w:spacing w:before="0" w:beforeLines="0" w:after="0" w:afterLines="0" w:line="276" w:lineRule="auto"/>
    </w:pPr>
    <w:rPr>
      <w:rFonts w:ascii="宋体" w:eastAsia="宋体"/>
    </w:rPr>
  </w:style>
  <w:style w:type="paragraph" w:customStyle="1" w:styleId="242">
    <w:name w:val="标准文件_引言四级无标题"/>
    <w:basedOn w:val="60"/>
    <w:next w:val="54"/>
    <w:qFormat/>
    <w:uiPriority w:val="0"/>
    <w:pPr>
      <w:numPr>
        <w:numId w:val="6"/>
      </w:numPr>
      <w:spacing w:before="0" w:beforeLines="0" w:after="0" w:afterLines="0" w:line="276" w:lineRule="auto"/>
    </w:pPr>
    <w:rPr>
      <w:rFonts w:ascii="宋体" w:eastAsia="宋体"/>
    </w:rPr>
  </w:style>
  <w:style w:type="paragraph" w:customStyle="1" w:styleId="243">
    <w:name w:val="标准文件_引言五级无标题"/>
    <w:basedOn w:val="61"/>
    <w:next w:val="54"/>
    <w:qFormat/>
    <w:uiPriority w:val="0"/>
    <w:pPr>
      <w:numPr>
        <w:numId w:val="6"/>
      </w:numPr>
      <w:spacing w:before="0" w:beforeLines="0" w:after="0" w:afterLines="0" w:line="276" w:lineRule="auto"/>
    </w:pPr>
    <w:rPr>
      <w:rFonts w:ascii="宋体" w:eastAsia="宋体"/>
    </w:rPr>
  </w:style>
  <w:style w:type="paragraph" w:customStyle="1" w:styleId="244">
    <w:name w:val="标准文件_索引标题"/>
    <w:basedOn w:val="92"/>
    <w:next w:val="54"/>
    <w:qFormat/>
    <w:uiPriority w:val="0"/>
    <w:rPr>
      <w:rFonts w:hAnsi="黑体"/>
    </w:rPr>
  </w:style>
  <w:style w:type="paragraph" w:customStyle="1" w:styleId="245">
    <w:name w:val="标准文件_脚注内容"/>
    <w:basedOn w:val="54"/>
    <w:qFormat/>
    <w:uiPriority w:val="0"/>
    <w:pPr>
      <w:ind w:left="400" w:leftChars="200" w:hanging="200" w:hangingChars="200"/>
    </w:pPr>
    <w:rPr>
      <w:sz w:val="15"/>
    </w:rPr>
  </w:style>
  <w:style w:type="paragraph" w:customStyle="1" w:styleId="246">
    <w:name w:val="标准文件_术语条一"/>
    <w:basedOn w:val="192"/>
    <w:next w:val="54"/>
    <w:qFormat/>
    <w:uiPriority w:val="0"/>
  </w:style>
  <w:style w:type="paragraph" w:customStyle="1" w:styleId="247">
    <w:name w:val="标准文件_术语条二"/>
    <w:basedOn w:val="195"/>
    <w:next w:val="54"/>
    <w:qFormat/>
    <w:uiPriority w:val="0"/>
  </w:style>
  <w:style w:type="paragraph" w:customStyle="1" w:styleId="248">
    <w:name w:val="标准文件_术语条三"/>
    <w:basedOn w:val="194"/>
    <w:next w:val="54"/>
    <w:qFormat/>
    <w:uiPriority w:val="0"/>
  </w:style>
  <w:style w:type="paragraph" w:customStyle="1" w:styleId="249">
    <w:name w:val="标准文件_术语条四"/>
    <w:basedOn w:val="197"/>
    <w:next w:val="54"/>
    <w:qFormat/>
    <w:uiPriority w:val="0"/>
  </w:style>
  <w:style w:type="paragraph" w:customStyle="1" w:styleId="250">
    <w:name w:val="标准文件_术语条五"/>
    <w:basedOn w:val="193"/>
    <w:next w:val="54"/>
    <w:qFormat/>
    <w:uiPriority w:val="0"/>
  </w:style>
  <w:style w:type="paragraph" w:customStyle="1" w:styleId="25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52">
    <w:name w:val="发布"/>
    <w:qFormat/>
    <w:uiPriority w:val="0"/>
    <w:rPr>
      <w:rFonts w:ascii="黑体" w:eastAsia="黑体"/>
      <w:spacing w:val="85"/>
      <w:w w:val="100"/>
      <w:position w:val="3"/>
      <w:sz w:val="28"/>
      <w:szCs w:val="28"/>
    </w:rPr>
  </w:style>
  <w:style w:type="paragraph" w:customStyle="1" w:styleId="253">
    <w:name w:val="表格"/>
    <w:basedOn w:val="1"/>
    <w:qFormat/>
    <w:uiPriority w:val="0"/>
    <w:pPr>
      <w:widowControl/>
      <w:spacing w:line="240" w:lineRule="atLeast"/>
      <w:jc w:val="center"/>
    </w:pPr>
    <w:rPr>
      <w:rFonts w:ascii="Times New Roman" w:hAnsi="Times New Roman" w:eastAsia="宋体" w:cs="Times New Roman"/>
      <w:bCs/>
      <w:color w:val="000000"/>
      <w:kern w:val="36"/>
      <w:sz w:val="24"/>
      <w:szCs w:val="21"/>
    </w:rPr>
  </w:style>
  <w:style w:type="character" w:customStyle="1" w:styleId="254">
    <w:name w:val="题注 字符"/>
    <w:link w:val="13"/>
    <w:qFormat/>
    <w:uiPriority w:val="35"/>
    <w:rPr>
      <w:rFonts w:ascii="等线 Light" w:hAnsi="等线 Light" w:eastAsia="黑体" w:cs="Times New Roman"/>
      <w:sz w:val="20"/>
      <w:szCs w:val="20"/>
    </w:rPr>
  </w:style>
  <w:style w:type="paragraph" w:customStyle="1" w:styleId="255">
    <w:name w:val="IPPR段落"/>
    <w:link w:val="256"/>
    <w:qFormat/>
    <w:uiPriority w:val="0"/>
    <w:pPr>
      <w:widowControl w:val="0"/>
      <w:wordWrap w:val="0"/>
      <w:snapToGrid w:val="0"/>
      <w:spacing w:line="312" w:lineRule="auto"/>
      <w:jc w:val="both"/>
      <w:textAlignment w:val="top"/>
    </w:pPr>
    <w:rPr>
      <w:rFonts w:ascii="Times New Roman" w:hAnsi="Times New Roman" w:eastAsia="宋体" w:cs="Times New Roman"/>
      <w:kern w:val="2"/>
      <w:sz w:val="24"/>
      <w:szCs w:val="21"/>
      <w:lang w:val="en-US" w:eastAsia="zh-CN" w:bidi="ar-SA"/>
    </w:rPr>
  </w:style>
  <w:style w:type="character" w:customStyle="1" w:styleId="256">
    <w:name w:val="IPPR段落 Char"/>
    <w:link w:val="255"/>
    <w:qFormat/>
    <w:uiPriority w:val="0"/>
    <w:rPr>
      <w:rFonts w:ascii="Times New Roman" w:hAnsi="Times New Roman" w:eastAsia="宋体" w:cs="Times New Roman"/>
      <w:sz w:val="24"/>
      <w:szCs w:val="21"/>
    </w:rPr>
  </w:style>
  <w:style w:type="paragraph" w:customStyle="1" w:styleId="25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8"/>
      <w:szCs w:val="28"/>
    </w:rPr>
  </w:style>
  <w:style w:type="paragraph" w:styleId="258">
    <w:name w:val="List Paragraph"/>
    <w:basedOn w:val="1"/>
    <w:qFormat/>
    <w:uiPriority w:val="34"/>
    <w:pPr>
      <w:adjustRightInd w:val="0"/>
      <w:spacing w:line="400" w:lineRule="exact"/>
      <w:ind w:firstLine="420" w:firstLineChars="200"/>
    </w:pPr>
    <w:rPr>
      <w:rFonts w:ascii="Times New Roman" w:hAnsi="Times New Roman" w:eastAsia="宋体" w:cs="Times New Roman"/>
      <w:sz w:val="24"/>
      <w:szCs w:val="21"/>
    </w:rPr>
  </w:style>
  <w:style w:type="paragraph" w:customStyle="1" w:styleId="259">
    <w:name w:val="修订1"/>
    <w:hidden/>
    <w:semiHidden/>
    <w:uiPriority w:val="99"/>
    <w:rPr>
      <w:rFonts w:ascii="Calibri" w:hAnsi="Calibri" w:eastAsia="宋体" w:cs="Times New Roman"/>
      <w:kern w:val="2"/>
      <w:sz w:val="21"/>
      <w:szCs w:val="21"/>
      <w:lang w:val="en-US" w:eastAsia="zh-CN" w:bidi="ar-SA"/>
    </w:rPr>
  </w:style>
  <w:style w:type="character" w:customStyle="1" w:styleId="260">
    <w:name w:val="批注文字 Char"/>
    <w:basedOn w:val="34"/>
    <w:semiHidden/>
    <w:uiPriority w:val="99"/>
  </w:style>
  <w:style w:type="character" w:customStyle="1" w:styleId="261">
    <w:name w:val="批注文字 字符"/>
    <w:link w:val="14"/>
    <w:qFormat/>
    <w:uiPriority w:val="0"/>
    <w:rPr>
      <w:rFonts w:ascii="Times New Roman" w:hAnsi="Times New Roman" w:eastAsia="宋体" w:cs="Times New Roman"/>
      <w:sz w:val="24"/>
      <w:szCs w:val="21"/>
    </w:rPr>
  </w:style>
  <w:style w:type="character" w:customStyle="1" w:styleId="262">
    <w:name w:val="批注主题 Char"/>
    <w:basedOn w:val="260"/>
    <w:semiHidden/>
    <w:qFormat/>
    <w:uiPriority w:val="99"/>
    <w:rPr>
      <w:b/>
      <w:bCs/>
    </w:rPr>
  </w:style>
  <w:style w:type="character" w:customStyle="1" w:styleId="263">
    <w:name w:val="批注主题 字符"/>
    <w:link w:val="31"/>
    <w:semiHidden/>
    <w:uiPriority w:val="99"/>
    <w:rPr>
      <w:rFonts w:ascii="Times New Roman" w:hAnsi="Times New Roman" w:eastAsia="宋体" w:cs="Times New Roman"/>
      <w:b/>
      <w:bCs/>
      <w:sz w:val="24"/>
      <w:szCs w:val="21"/>
    </w:rPr>
  </w:style>
  <w:style w:type="character" w:customStyle="1" w:styleId="264">
    <w:name w:val="日期 Char"/>
    <w:basedOn w:val="34"/>
    <w:semiHidden/>
    <w:uiPriority w:val="99"/>
  </w:style>
  <w:style w:type="character" w:customStyle="1" w:styleId="265">
    <w:name w:val="日期 字符"/>
    <w:link w:val="19"/>
    <w:semiHidden/>
    <w:uiPriority w:val="99"/>
    <w:rPr>
      <w:rFonts w:ascii="Times New Roman" w:hAnsi="Times New Roman" w:eastAsia="宋体" w:cs="Times New Roman"/>
      <w:sz w:val="24"/>
      <w:szCs w:val="21"/>
    </w:rPr>
  </w:style>
  <w:style w:type="character" w:customStyle="1" w:styleId="266">
    <w:name w:val="纯文本 Char"/>
    <w:basedOn w:val="34"/>
    <w:semiHidden/>
    <w:uiPriority w:val="99"/>
    <w:rPr>
      <w:rFonts w:ascii="宋体" w:hAnsi="Courier New" w:eastAsia="宋体" w:cs="Courier New"/>
      <w:szCs w:val="21"/>
    </w:rPr>
  </w:style>
  <w:style w:type="character" w:customStyle="1" w:styleId="267">
    <w:name w:val="纯文本 字符"/>
    <w:link w:val="18"/>
    <w:qFormat/>
    <w:uiPriority w:val="0"/>
    <w:rPr>
      <w:rFonts w:ascii="宋体" w:hAnsi="Courier New" w:eastAsia="宋体" w:cs="Times New Roman"/>
      <w:szCs w:val="21"/>
    </w:rPr>
  </w:style>
  <w:style w:type="paragraph" w:customStyle="1" w:styleId="268">
    <w:name w:val="IPPR表头"/>
    <w:link w:val="270"/>
    <w:qFormat/>
    <w:uiPriority w:val="11"/>
    <w:pPr>
      <w:overflowPunct w:val="0"/>
      <w:snapToGrid w:val="0"/>
      <w:spacing w:line="260" w:lineRule="exact"/>
      <w:jc w:val="center"/>
      <w:textAlignment w:val="center"/>
    </w:pPr>
    <w:rPr>
      <w:rFonts w:ascii="Times New Roman" w:hAnsi="Times New Roman" w:eastAsia="宋体" w:cstheme="minorBidi"/>
      <w:b/>
      <w:kern w:val="2"/>
      <w:sz w:val="18"/>
      <w:szCs w:val="21"/>
      <w:lang w:val="en-US" w:eastAsia="zh-CN" w:bidi="ar-SA"/>
    </w:rPr>
  </w:style>
  <w:style w:type="paragraph" w:customStyle="1" w:styleId="269">
    <w:name w:val="IPPR表文字-居中"/>
    <w:basedOn w:val="255"/>
    <w:link w:val="271"/>
    <w:qFormat/>
    <w:uiPriority w:val="0"/>
    <w:pPr>
      <w:overflowPunct w:val="0"/>
      <w:spacing w:line="260" w:lineRule="exact"/>
      <w:jc w:val="center"/>
    </w:pPr>
    <w:rPr>
      <w:rFonts w:cstheme="minorBidi"/>
      <w:sz w:val="18"/>
    </w:rPr>
  </w:style>
  <w:style w:type="character" w:customStyle="1" w:styleId="270">
    <w:name w:val="IPPR表头 Char"/>
    <w:basedOn w:val="34"/>
    <w:link w:val="268"/>
    <w:qFormat/>
    <w:uiPriority w:val="11"/>
    <w:rPr>
      <w:rFonts w:ascii="Times New Roman" w:hAnsi="Times New Roman" w:eastAsia="宋体"/>
      <w:b/>
      <w:sz w:val="18"/>
      <w:szCs w:val="21"/>
    </w:rPr>
  </w:style>
  <w:style w:type="character" w:customStyle="1" w:styleId="271">
    <w:name w:val="IPPR表文字-居中 Char"/>
    <w:basedOn w:val="34"/>
    <w:link w:val="269"/>
    <w:qFormat/>
    <w:uiPriority w:val="0"/>
    <w:rPr>
      <w:rFonts w:ascii="Times New Roman" w:hAnsi="Times New Roman" w:eastAsia="宋体"/>
      <w:sz w:val="18"/>
      <w:szCs w:val="21"/>
    </w:rPr>
  </w:style>
  <w:style w:type="paragraph" w:customStyle="1" w:styleId="272">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273">
    <w:name w:val="标准文件_二级无标题 Char"/>
    <w:link w:val="195"/>
    <w:qFormat/>
    <w:uiPriority w:val="0"/>
    <w:rPr>
      <w:rFonts w:ascii="Times New Roman" w:hAnsi="Times New Roman" w:eastAsia="宋体" w:cs="Times New Roman"/>
      <w:sz w:val="24"/>
    </w:rPr>
  </w:style>
  <w:style w:type="character" w:customStyle="1" w:styleId="274">
    <w:name w:val="mord"/>
    <w:basedOn w:val="34"/>
    <w:qFormat/>
    <w:uiPriority w:val="0"/>
  </w:style>
  <w:style w:type="character" w:customStyle="1" w:styleId="275">
    <w:name w:val="mrel"/>
    <w:basedOn w:val="34"/>
    <w:qFormat/>
    <w:uiPriority w:val="0"/>
  </w:style>
  <w:style w:type="paragraph" w:customStyle="1" w:styleId="276">
    <w:name w:val="IPPR表文字-首行缩进"/>
    <w:basedOn w:val="1"/>
    <w:next w:val="1"/>
    <w:qFormat/>
    <w:uiPriority w:val="14"/>
    <w:pPr>
      <w:snapToGrid w:val="0"/>
      <w:spacing w:line="260" w:lineRule="exact"/>
      <w:jc w:val="center"/>
    </w:pPr>
    <w:rPr>
      <w:rFonts w:ascii="Times New Roman" w:hAnsi="Times New Roman" w:eastAsia="宋体"/>
      <w:sz w:val="18"/>
      <w:szCs w:val="21"/>
    </w:rPr>
  </w:style>
  <w:style w:type="paragraph" w:customStyle="1" w:styleId="277">
    <w:name w:val="TOC Heading"/>
    <w:basedOn w:val="2"/>
    <w:next w:val="1"/>
    <w:unhideWhenUsed/>
    <w:qFormat/>
    <w:uiPriority w:val="39"/>
    <w:pPr>
      <w:widowControl/>
      <w:adjustRightInd/>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1.xml"/><Relationship Id="rId4" Type="http://schemas.openxmlformats.org/officeDocument/2006/relationships/footer" Target="footer1.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E289D2-FE5E-4E8A-9B7E-BAEABCB85EC5}">
  <ds:schemaRefs/>
</ds:datastoreItem>
</file>

<file path=docProps/app.xml><?xml version="1.0" encoding="utf-8"?>
<Properties xmlns="http://schemas.openxmlformats.org/officeDocument/2006/extended-properties" xmlns:vt="http://schemas.openxmlformats.org/officeDocument/2006/docPropsVTypes">
  <Template>Normal</Template>
  <Pages>43</Pages>
  <Words>5168</Words>
  <Characters>29460</Characters>
  <Lines>245</Lines>
  <Paragraphs>69</Paragraphs>
  <TotalTime>4</TotalTime>
  <ScaleCrop>false</ScaleCrop>
  <LinksUpToDate>false</LinksUpToDate>
  <CharactersWithSpaces>34559</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2025-09-02T02:15:00Z</dcterms:created>
  <dc:creator>李嘉舒</dc:creator>
  <cp:lastModifiedBy>78164</cp:lastModifiedBy>
  <dcterms:modified xsi:type="dcterms:W3CDTF">2025-11-14T03:13:29Z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eyJoZGlkIjoiNmI2N2I0MTEzZmQ2NTliMjJiODYxZjMzNWVlODAzYmYiLCJ1c2VySWQiOiIxMzEzMDIxNDk0In0=</vt:lpwstr>
  </property>
  <property fmtid="{D5CDD505-2E9C-101B-9397-08002B2CF9AE}" pid="3" name="KSOProductBuildVer">
    <vt:lpwstr>2052-11.8.2.12309</vt:lpwstr>
  </property>
  <property fmtid="{D5CDD505-2E9C-101B-9397-08002B2CF9AE}" pid="4" name="ICV">
    <vt:lpwstr>CCF81D4ACA6C41098472B2773C3822DF_12</vt:lpwstr>
  </property>
</Properties>
</file>