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0" w:line="360" w:lineRule="auto"/>
        <w:rPr>
          <w:b/>
          <w:sz w:val="30"/>
          <w:lang w:val="en-US"/>
        </w:rPr>
      </w:pPr>
      <w:bookmarkStart w:id="0" w:name="_Toc132141665"/>
      <w:r>
        <w:rPr>
          <w:rFonts w:ascii="Times New Roman"/>
          <w:sz w:val="20"/>
          <w:lang w:val="en-US" w:bidi="ar-SA"/>
        </w:rPr>
        <w:drawing>
          <wp:inline distT="0" distB="0" distL="0" distR="0">
            <wp:extent cx="1639570" cy="979170"/>
            <wp:effectExtent l="0" t="0" r="17780" b="11430"/>
            <wp:docPr id="1200903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903448"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639570" cy="979170"/>
                    </a:xfrm>
                    <a:prstGeom prst="rect">
                      <a:avLst/>
                    </a:prstGeom>
                    <a:noFill/>
                    <a:ln>
                      <a:noFill/>
                    </a:ln>
                  </pic:spPr>
                </pic:pic>
              </a:graphicData>
            </a:graphic>
          </wp:inline>
        </w:drawing>
      </w:r>
      <w:r>
        <w:rPr>
          <w:rFonts w:hint="eastAsia" w:ascii="Times New Roman"/>
          <w:sz w:val="20"/>
          <w:lang w:val="en-US" w:bidi="ar-SA"/>
        </w:rPr>
        <w:t xml:space="preserve">                                        </w:t>
      </w:r>
      <w:r>
        <w:rPr>
          <w:rFonts w:hint="eastAsia" w:ascii="Times New Roman"/>
          <w:sz w:val="32"/>
          <w:szCs w:val="32"/>
          <w:lang w:val="en-US" w:bidi="ar-SA"/>
        </w:rPr>
        <w:t xml:space="preserve">    </w:t>
      </w:r>
      <w:r>
        <w:rPr>
          <w:rFonts w:ascii="Times New Roman" w:hAnsi="Times New Roman" w:cs="Times New Roman"/>
          <w:b/>
          <w:bCs/>
          <w:sz w:val="32"/>
          <w:szCs w:val="32"/>
          <w:lang w:val="en-US" w:bidi="ar-SA"/>
        </w:rPr>
        <w:t xml:space="preserve"> </w:t>
      </w:r>
      <w:r>
        <w:rPr>
          <w:rFonts w:ascii="Times New Roman" w:hAnsi="Times New Roman" w:cs="Times New Roman"/>
          <w:b/>
          <w:bCs/>
          <w:sz w:val="32"/>
          <w:szCs w:val="32"/>
          <w:lang w:val="en-US"/>
        </w:rPr>
        <w:t>T/CECS XXX—20XX</w:t>
      </w:r>
    </w:p>
    <w:p>
      <w:pPr>
        <w:pStyle w:val="9"/>
        <w:spacing w:before="11"/>
        <w:ind w:left="0" w:firstLine="480"/>
        <w:rPr>
          <w:rFonts w:ascii="Times New Roman"/>
          <w:b/>
          <w:sz w:val="10"/>
          <w:lang w:val="en-US"/>
        </w:rPr>
      </w:pPr>
      <w:r>
        <w:rPr>
          <w:lang w:val="en-US" w:bidi="ar-SA"/>
        </w:rPr>
        <mc:AlternateContent>
          <mc:Choice Requires="wps">
            <w:drawing>
              <wp:anchor distT="0" distB="0" distL="0" distR="0" simplePos="0" relativeHeight="251659264" behindDoc="0" locked="0" layoutInCell="1" allowOverlap="1">
                <wp:simplePos x="0" y="0"/>
                <wp:positionH relativeFrom="page">
                  <wp:posOffset>1047750</wp:posOffset>
                </wp:positionH>
                <wp:positionV relativeFrom="paragraph">
                  <wp:posOffset>30480</wp:posOffset>
                </wp:positionV>
                <wp:extent cx="5562600" cy="9525"/>
                <wp:effectExtent l="0" t="0" r="0" b="0"/>
                <wp:wrapTopAndBottom/>
                <wp:docPr id="1524042440" name="直接连接符 2"/>
                <wp:cNvGraphicFramePr/>
                <a:graphic xmlns:a="http://schemas.openxmlformats.org/drawingml/2006/main">
                  <a:graphicData uri="http://schemas.microsoft.com/office/word/2010/wordprocessingShape">
                    <wps:wsp>
                      <wps:cNvCnPr>
                        <a:cxnSpLocks noChangeShapeType="1"/>
                      </wps:cNvCnPr>
                      <wps:spPr bwMode="auto">
                        <a:xfrm flipV="1">
                          <a:off x="0" y="0"/>
                          <a:ext cx="5562600" cy="9525"/>
                        </a:xfrm>
                        <a:prstGeom prst="line">
                          <a:avLst/>
                        </a:prstGeom>
                        <a:noFill/>
                        <a:ln w="9525">
                          <a:solidFill>
                            <a:srgbClr val="000000"/>
                          </a:solidFill>
                          <a:prstDash val="solid"/>
                          <a:round/>
                        </a:ln>
                      </wps:spPr>
                      <wps:bodyPr/>
                    </wps:wsp>
                  </a:graphicData>
                </a:graphic>
              </wp:anchor>
            </w:drawing>
          </mc:Choice>
          <mc:Fallback>
            <w:pict>
              <v:line id="直接连接符 2" o:spid="_x0000_s1026" o:spt="20" style="position:absolute;left:0pt;flip:y;margin-left:82.5pt;margin-top:2.4pt;height:0.75pt;width:438pt;mso-position-horizontal-relative:page;mso-wrap-distance-bottom:0pt;mso-wrap-distance-top:0pt;z-index:251659264;mso-width-relative:page;mso-height-relative:page;" filled="f" stroked="t" coordsize="21600,21600" o:gfxdata="UEsDBAoAAAAAAIdO4kAAAAAAAAAAAAAAAAAEAAAAZHJzL1BLAwQUAAAACACHTuJALiQ5V9UAAAAI&#10;AQAADwAAAGRycy9kb3ducmV2LnhtbE2PwU7DMBBE70j8g7VI3KidtkQQ4lQIARckJErasxMvSYS9&#10;jmI3LX/P9gTH2RnNzis3J+/EjFMcAmnIFgoEUhvsQJ2G+vPl5g5ETIascYFQww9G2FSXF6UpbDjS&#10;B87b1AkuoVgYDX1KYyFlbHv0Ji7CiMTeV5i8SSynTtrJHLncO7lUKpfeDMQfejPiU4/t9/bgNTzu&#10;355X73Pjg7P3Xb2zvlavS62vrzL1ACLhKf2F4Tyfp0PFm5pwIBuFY53fMkvSsGaCs6/WGR8aDfkK&#10;ZFXK/wDVL1BLAwQUAAAACACHTuJAVMDaEvwBAADZAwAADgAAAGRycy9lMm9Eb2MueG1srVPBjtMw&#10;EL0j8Q9W7jTZqK0garqHVstlgUq7cJ86TmNheyzbbdqf4AeQuMGJI3f+huUzGDtRl10ueyAHy+OZ&#10;eW/mzWRxedSKHYTzEk2dXUyKjAnDsZFmV2fvb69evMyYD2AaUGhEnZ2Ezy6Xz58teluJEjtUjXCM&#10;QIyveltnXQi2ynPPO6HBT9AKQ84WnYZAptvljYOe0LXKy6KY5z26xjrkwnt6XQ/ObER0TwHEtpVc&#10;rJHvtTBhQHVCQaCWfCetz5ap2rYVPLxrWy8CU3VGnYZ0Egndt/HMlwuodg5sJ/lYAjylhEc9aZCG&#10;SM9QawjA9k7+A6Uld+ixDROOOh8aSYpQFxfFI21uOrAi9UJSe3sW3f8/WP72sHFMNrQJs3JaTMvp&#10;lKQxoGnyd59//Pr09ffPL3Teff/GyqhWb31FSSuzcbFffjQ39hr5R88MrjowO5Gqvj1ZQriIGfmD&#10;lGh4S5zb/g02FAP7gEm6Y+s0a5W0H2JiBCd52DHN6nSelTgGxulxNpuX84Jq5eR7NStniQqqiBJz&#10;rfPhtUDN4qXOlDRRSajgcO1DrOo+JD4bvJJKpW1QhvUjZPR4VLKJzmS43XalHDtA3Kf0jbwPwiLn&#10;Gnw3xCVXDIPK4d40A7syozRRjUHXLTanjYvuqBJNPJU5bmdcqb/tFHX/Ry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4kOVfVAAAACAEAAA8AAAAAAAAAAQAgAAAAIgAAAGRycy9kb3ducmV2Lnht&#10;bFBLAQIUABQAAAAIAIdO4kBUwNoS/AEAANkDAAAOAAAAAAAAAAEAIAAAACQBAABkcnMvZTJvRG9j&#10;LnhtbFBLBQYAAAAABgAGAFkBAACSBQAAAAA=&#10;">
                <v:fill on="f" focussize="0,0"/>
                <v:stroke color="#000000" joinstyle="round"/>
                <v:imagedata o:title=""/>
                <o:lock v:ext="edit" aspectratio="f"/>
                <w10:wrap type="topAndBottom"/>
              </v:line>
            </w:pict>
          </mc:Fallback>
        </mc:AlternateContent>
      </w:r>
    </w:p>
    <w:p>
      <w:pPr>
        <w:pStyle w:val="9"/>
        <w:spacing w:before="0"/>
        <w:ind w:left="0" w:firstLine="402"/>
        <w:rPr>
          <w:rFonts w:ascii="Times New Roman"/>
          <w:b/>
          <w:sz w:val="20"/>
          <w:lang w:val="en-US"/>
        </w:rPr>
      </w:pPr>
    </w:p>
    <w:p>
      <w:pPr>
        <w:pStyle w:val="9"/>
        <w:spacing w:before="0"/>
        <w:ind w:left="0" w:firstLine="402"/>
        <w:rPr>
          <w:rFonts w:ascii="Times New Roman"/>
          <w:b/>
          <w:sz w:val="20"/>
          <w:lang w:val="en-US"/>
        </w:rPr>
      </w:pPr>
    </w:p>
    <w:p>
      <w:pPr>
        <w:pStyle w:val="9"/>
        <w:spacing w:before="0"/>
        <w:ind w:left="0" w:firstLine="402"/>
        <w:rPr>
          <w:rFonts w:ascii="Times New Roman"/>
          <w:b/>
          <w:sz w:val="20"/>
          <w:lang w:val="en-US"/>
        </w:rPr>
      </w:pPr>
    </w:p>
    <w:p>
      <w:pPr>
        <w:pStyle w:val="9"/>
        <w:spacing w:before="0"/>
        <w:ind w:left="0" w:firstLine="402"/>
        <w:rPr>
          <w:rFonts w:ascii="Times New Roman"/>
          <w:b/>
          <w:sz w:val="20"/>
          <w:lang w:val="en-US"/>
        </w:rPr>
      </w:pPr>
    </w:p>
    <w:p>
      <w:pPr>
        <w:pStyle w:val="9"/>
        <w:spacing w:before="0"/>
        <w:ind w:left="0" w:firstLine="402"/>
        <w:rPr>
          <w:rFonts w:ascii="Times New Roman"/>
          <w:b/>
          <w:sz w:val="20"/>
          <w:lang w:val="en-US"/>
        </w:rPr>
      </w:pPr>
    </w:p>
    <w:p>
      <w:pPr>
        <w:pStyle w:val="9"/>
        <w:spacing w:before="0"/>
        <w:ind w:left="0" w:firstLine="402"/>
        <w:rPr>
          <w:rFonts w:ascii="Times New Roman"/>
          <w:b/>
          <w:sz w:val="20"/>
          <w:lang w:val="en-US"/>
        </w:rPr>
      </w:pPr>
    </w:p>
    <w:tbl>
      <w:tblPr>
        <w:tblStyle w:val="19"/>
        <w:tblW w:w="5000" w:type="pct"/>
        <w:jc w:val="center"/>
        <w:tblLayout w:type="autofit"/>
        <w:tblCellMar>
          <w:top w:w="0" w:type="dxa"/>
          <w:left w:w="0" w:type="dxa"/>
          <w:bottom w:w="0" w:type="dxa"/>
          <w:right w:w="0" w:type="dxa"/>
        </w:tblCellMar>
      </w:tblPr>
      <w:tblGrid>
        <w:gridCol w:w="9010"/>
      </w:tblGrid>
      <w:tr>
        <w:tblPrEx>
          <w:tblCellMar>
            <w:top w:w="0" w:type="dxa"/>
            <w:left w:w="0" w:type="dxa"/>
            <w:bottom w:w="0" w:type="dxa"/>
            <w:right w:w="0" w:type="dxa"/>
          </w:tblCellMar>
        </w:tblPrEx>
        <w:trPr>
          <w:trHeight w:val="849" w:hRule="atLeast"/>
          <w:jc w:val="center"/>
        </w:trPr>
        <w:tc>
          <w:tcPr>
            <w:tcW w:w="5000" w:type="pct"/>
          </w:tcPr>
          <w:p>
            <w:pPr>
              <w:jc w:val="center"/>
              <w:rPr>
                <w:rFonts w:ascii="宋体" w:hAnsi="等线"/>
                <w:b/>
                <w:sz w:val="30"/>
              </w:rPr>
            </w:pPr>
            <w:r>
              <w:rPr>
                <w:rFonts w:hint="eastAsia"/>
                <w:spacing w:val="20"/>
                <w:sz w:val="36"/>
                <w:szCs w:val="36"/>
              </w:rPr>
              <w:t>中国工程建设标准化协会标准</w:t>
            </w:r>
          </w:p>
        </w:tc>
      </w:tr>
      <w:tr>
        <w:tblPrEx>
          <w:tblCellMar>
            <w:top w:w="0" w:type="dxa"/>
            <w:left w:w="0" w:type="dxa"/>
            <w:bottom w:w="0" w:type="dxa"/>
            <w:right w:w="0" w:type="dxa"/>
          </w:tblCellMar>
        </w:tblPrEx>
        <w:trPr>
          <w:trHeight w:val="2788" w:hRule="atLeast"/>
          <w:jc w:val="center"/>
        </w:trPr>
        <w:tc>
          <w:tcPr>
            <w:tcW w:w="5000" w:type="pct"/>
          </w:tcPr>
          <w:p>
            <w:pPr>
              <w:pStyle w:val="45"/>
              <w:spacing w:before="0"/>
              <w:ind w:right="181"/>
              <w:rPr>
                <w:rFonts w:ascii="黑体" w:hAnsi="等线" w:eastAsia="黑体"/>
                <w:sz w:val="48"/>
              </w:rPr>
            </w:pPr>
          </w:p>
          <w:p>
            <w:pPr>
              <w:pStyle w:val="45"/>
              <w:spacing w:before="0"/>
              <w:ind w:right="181"/>
              <w:rPr>
                <w:rFonts w:ascii="黑体" w:hAnsi="等线" w:eastAsia="黑体"/>
                <w:sz w:val="48"/>
              </w:rPr>
            </w:pPr>
            <w:r>
              <w:rPr>
                <w:rFonts w:hint="eastAsia" w:ascii="黑体" w:hAnsi="等线" w:eastAsia="黑体"/>
                <w:sz w:val="48"/>
              </w:rPr>
              <w:t>城市生态基础设施规划设计标准</w:t>
            </w:r>
          </w:p>
          <w:p>
            <w:pPr>
              <w:pStyle w:val="45"/>
              <w:spacing w:before="156" w:line="360" w:lineRule="auto"/>
              <w:ind w:right="181"/>
              <w:rPr>
                <w:rFonts w:eastAsiaTheme="minorEastAsia"/>
                <w:sz w:val="24"/>
                <w:szCs w:val="21"/>
                <w:lang w:val="en-US"/>
              </w:rPr>
            </w:pPr>
            <w:r>
              <w:rPr>
                <w:rFonts w:eastAsia="宋体"/>
                <w:sz w:val="24"/>
                <w:szCs w:val="21"/>
                <w:lang w:val="en-US"/>
              </w:rPr>
              <w:t>Standard for urban ecological infrastructure planning and design</w:t>
            </w:r>
          </w:p>
          <w:p>
            <w:pPr>
              <w:pStyle w:val="45"/>
              <w:spacing w:before="156" w:line="360" w:lineRule="auto"/>
              <w:ind w:right="181"/>
              <w:rPr>
                <w:rFonts w:ascii="黑体" w:hAnsi="黑体" w:eastAsia="黑体" w:cs="黑体"/>
                <w:sz w:val="32"/>
                <w:szCs w:val="32"/>
              </w:rPr>
            </w:pPr>
            <w:r>
              <w:rPr>
                <w:rFonts w:hint="eastAsia" w:ascii="黑体" w:hAnsi="黑体" w:eastAsia="黑体" w:cs="黑体"/>
                <w:sz w:val="32"/>
                <w:szCs w:val="32"/>
              </w:rPr>
              <w:t>（征求意见稿）</w:t>
            </w:r>
          </w:p>
          <w:p>
            <w:pPr>
              <w:pStyle w:val="45"/>
              <w:spacing w:before="156"/>
              <w:ind w:left="181" w:right="181" w:firstLine="560"/>
              <w:rPr>
                <w:rFonts w:eastAsiaTheme="minorEastAsia"/>
                <w:sz w:val="24"/>
                <w:szCs w:val="21"/>
                <w:lang w:val="en-US"/>
              </w:rPr>
            </w:pPr>
          </w:p>
        </w:tc>
      </w:tr>
    </w:tbl>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rPr>
          <w:rFonts w:ascii="Times New Roman"/>
          <w:b/>
          <w:sz w:val="20"/>
        </w:rPr>
      </w:pPr>
    </w:p>
    <w:p>
      <w:pPr>
        <w:pStyle w:val="9"/>
        <w:spacing w:before="0"/>
        <w:ind w:left="0" w:firstLine="402"/>
        <w:jc w:val="center"/>
        <w:rPr>
          <w:rFonts w:ascii="Times New Roman"/>
          <w:b/>
          <w:sz w:val="20"/>
        </w:rPr>
      </w:pPr>
    </w:p>
    <w:p>
      <w:pPr>
        <w:jc w:val="center"/>
        <w:rPr>
          <w:sz w:val="28"/>
          <w:szCs w:val="24"/>
        </w:rPr>
      </w:pPr>
      <w:r>
        <w:rPr>
          <w:rFonts w:hint="eastAsia"/>
          <w:sz w:val="28"/>
          <w:szCs w:val="24"/>
        </w:rPr>
        <w:t>XX出 版 社</w:t>
      </w:r>
    </w:p>
    <w:p>
      <w:pPr>
        <w:ind w:firstLine="602"/>
        <w:jc w:val="center"/>
        <w:rPr>
          <w:rFonts w:ascii="宋体" w:hAnsi="宋体"/>
          <w:b/>
          <w:bCs/>
          <w:sz w:val="30"/>
          <w:szCs w:val="30"/>
        </w:rPr>
        <w:sectPr>
          <w:pgSz w:w="11910" w:h="16840"/>
          <w:pgMar w:top="1580" w:right="1360" w:bottom="280" w:left="1540" w:header="720" w:footer="720" w:gutter="0"/>
          <w:cols w:space="720" w:num="1"/>
        </w:sectPr>
      </w:pPr>
    </w:p>
    <w:p>
      <w:pPr>
        <w:widowControl/>
        <w:ind w:firstLine="643"/>
        <w:jc w:val="center"/>
        <w:rPr>
          <w:rFonts w:eastAsia="黑体"/>
          <w:b/>
          <w:sz w:val="32"/>
          <w:szCs w:val="32"/>
        </w:rPr>
      </w:pPr>
    </w:p>
    <w:p>
      <w:pPr>
        <w:widowControl/>
        <w:jc w:val="center"/>
        <w:rPr>
          <w:rFonts w:eastAsia="黑体"/>
          <w:b/>
          <w:sz w:val="32"/>
          <w:szCs w:val="32"/>
        </w:rPr>
      </w:pPr>
      <w:bookmarkStart w:id="1" w:name="OLE_LINK1"/>
      <w:r>
        <w:rPr>
          <w:rFonts w:hint="eastAsia"/>
          <w:spacing w:val="20"/>
          <w:sz w:val="36"/>
          <w:szCs w:val="36"/>
        </w:rPr>
        <w:t>中国工程建设标准化协会标准</w:t>
      </w:r>
      <w:bookmarkEnd w:id="1"/>
    </w:p>
    <w:p>
      <w:pPr>
        <w:widowControl/>
        <w:spacing w:before="156" w:beforeLines="50"/>
        <w:rPr>
          <w:rFonts w:eastAsia="黑体"/>
          <w:w w:val="95"/>
          <w:sz w:val="36"/>
          <w:szCs w:val="18"/>
        </w:rPr>
      </w:pPr>
    </w:p>
    <w:p>
      <w:pPr>
        <w:widowControl/>
        <w:spacing w:before="156" w:beforeLines="50" w:line="240" w:lineRule="auto"/>
        <w:jc w:val="center"/>
        <w:rPr>
          <w:rFonts w:ascii="宋体" w:hAnsi="宋体" w:cs="宋体"/>
          <w:w w:val="95"/>
          <w:sz w:val="48"/>
        </w:rPr>
      </w:pPr>
      <w:r>
        <w:rPr>
          <w:rFonts w:hint="eastAsia" w:ascii="宋体" w:hAnsi="宋体" w:cs="宋体"/>
          <w:w w:val="95"/>
          <w:sz w:val="48"/>
        </w:rPr>
        <w:t>城市生态基础设施规划设计标准</w:t>
      </w:r>
    </w:p>
    <w:p>
      <w:pPr>
        <w:autoSpaceDE w:val="0"/>
        <w:autoSpaceDN w:val="0"/>
        <w:adjustRightInd w:val="0"/>
        <w:jc w:val="center"/>
        <w:rPr>
          <w:b/>
          <w:kern w:val="0"/>
          <w:sz w:val="36"/>
          <w:szCs w:val="36"/>
        </w:rPr>
      </w:pPr>
      <w:r>
        <w:rPr>
          <w:rFonts w:eastAsia="黑体"/>
          <w:w w:val="95"/>
          <w:szCs w:val="13"/>
        </w:rPr>
        <w:t>Standards for urban ecological infrastructure planning and design</w:t>
      </w:r>
    </w:p>
    <w:p>
      <w:pPr>
        <w:autoSpaceDE w:val="0"/>
        <w:autoSpaceDN w:val="0"/>
        <w:adjustRightInd w:val="0"/>
        <w:rPr>
          <w:b/>
          <w:kern w:val="0"/>
          <w:sz w:val="36"/>
          <w:szCs w:val="36"/>
        </w:rPr>
      </w:pPr>
    </w:p>
    <w:p>
      <w:pPr>
        <w:widowControl/>
        <w:jc w:val="center"/>
        <w:rPr>
          <w:sz w:val="32"/>
          <w:szCs w:val="32"/>
        </w:rPr>
      </w:pPr>
      <w:r>
        <w:rPr>
          <w:b/>
          <w:bCs/>
          <w:kern w:val="0"/>
          <w:sz w:val="32"/>
          <w:szCs w:val="32"/>
          <w:lang w:bidi="ar"/>
        </w:rPr>
        <w:t>T/CECS ×× - 20××</w:t>
      </w:r>
    </w:p>
    <w:p>
      <w:pPr>
        <w:rPr>
          <w:rFonts w:eastAsia="黑体"/>
          <w:b/>
          <w:sz w:val="32"/>
          <w:szCs w:val="32"/>
        </w:rPr>
      </w:pPr>
    </w:p>
    <w:p>
      <w:pPr>
        <w:rPr>
          <w:rFonts w:eastAsia="黑体"/>
          <w:b/>
          <w:sz w:val="32"/>
          <w:szCs w:val="32"/>
        </w:rPr>
      </w:pPr>
    </w:p>
    <w:p>
      <w:pPr>
        <w:ind w:firstLine="643"/>
        <w:jc w:val="center"/>
        <w:rPr>
          <w:rFonts w:eastAsia="黑体"/>
          <w:b/>
          <w:sz w:val="32"/>
          <w:szCs w:val="32"/>
        </w:rPr>
      </w:pPr>
    </w:p>
    <w:p>
      <w:pPr>
        <w:ind w:firstLine="1960" w:firstLineChars="700"/>
        <w:rPr>
          <w:rFonts w:ascii="宋体" w:hAnsi="宋体" w:cs="宋体"/>
          <w:sz w:val="28"/>
          <w:szCs w:val="36"/>
        </w:rPr>
      </w:pPr>
      <w:r>
        <w:rPr>
          <w:rFonts w:hint="eastAsia" w:ascii="宋体" w:hAnsi="宋体" w:cs="宋体"/>
          <w:sz w:val="28"/>
        </w:rPr>
        <w:t>主编单位：</w:t>
      </w:r>
      <w:r>
        <w:rPr>
          <w:rFonts w:hint="eastAsia" w:ascii="宋体" w:hAnsi="宋体" w:cs="宋体"/>
          <w:sz w:val="28"/>
          <w:szCs w:val="36"/>
        </w:rPr>
        <w:t>中国城市规划设计研究院</w:t>
      </w:r>
    </w:p>
    <w:p>
      <w:pPr>
        <w:jc w:val="center"/>
        <w:rPr>
          <w:rFonts w:ascii="宋体" w:hAnsi="宋体" w:cs="宋体"/>
          <w:sz w:val="28"/>
        </w:rPr>
      </w:pPr>
      <w:r>
        <w:rPr>
          <w:rFonts w:hint="eastAsia" w:ascii="宋体" w:hAnsi="宋体" w:cs="宋体"/>
          <w:sz w:val="28"/>
        </w:rPr>
        <w:t>批准单位：</w:t>
      </w:r>
      <w:r>
        <w:rPr>
          <w:rFonts w:hint="eastAsia" w:ascii="宋体" w:hAnsi="宋体" w:cs="宋体"/>
          <w:sz w:val="28"/>
          <w:szCs w:val="28"/>
        </w:rPr>
        <w:t>中国工程建设标准化协会</w:t>
      </w:r>
    </w:p>
    <w:p>
      <w:pPr>
        <w:ind w:firstLine="1960" w:firstLineChars="700"/>
        <w:rPr>
          <w:sz w:val="28"/>
        </w:rPr>
      </w:pPr>
      <w:r>
        <w:rPr>
          <w:sz w:val="28"/>
        </w:rPr>
        <w:t>施行日期：2 0  ××  年  ×  月  × 日</w:t>
      </w:r>
    </w:p>
    <w:p>
      <w:pPr>
        <w:ind w:firstLine="2800" w:firstLineChars="1000"/>
        <w:jc w:val="center"/>
        <w:rPr>
          <w:sz w:val="28"/>
        </w:rPr>
      </w:pPr>
    </w:p>
    <w:p>
      <w:pPr>
        <w:ind w:firstLine="2800" w:firstLineChars="1000"/>
        <w:jc w:val="center"/>
        <w:rPr>
          <w:sz w:val="28"/>
        </w:rPr>
      </w:pPr>
    </w:p>
    <w:p>
      <w:pPr>
        <w:ind w:firstLine="2800" w:firstLineChars="1000"/>
        <w:jc w:val="center"/>
        <w:rPr>
          <w:sz w:val="28"/>
        </w:rPr>
      </w:pPr>
    </w:p>
    <w:p>
      <w:pPr>
        <w:widowControl/>
        <w:jc w:val="center"/>
        <w:rPr>
          <w:rFonts w:ascii="宋体" w:hAnsi="宋体" w:cs="宋体"/>
          <w:kern w:val="0"/>
          <w:sz w:val="30"/>
          <w:szCs w:val="30"/>
          <w:lang w:bidi="ar"/>
        </w:rPr>
      </w:pPr>
      <w:r>
        <w:rPr>
          <w:rFonts w:hint="eastAsia" w:ascii="宋体" w:hAnsi="宋体" w:cs="宋体"/>
          <w:kern w:val="0"/>
          <w:sz w:val="30"/>
          <w:szCs w:val="30"/>
          <w:lang w:bidi="ar"/>
        </w:rPr>
        <w:t>中国</w:t>
      </w:r>
      <w:r>
        <w:rPr>
          <w:rFonts w:hint="eastAsia" w:ascii="宋体" w:hAnsi="宋体" w:cs="宋体"/>
          <w:kern w:val="0"/>
          <w:sz w:val="30"/>
          <w:szCs w:val="30"/>
          <w:lang w:val="en-US" w:eastAsia="zh-CN" w:bidi="ar"/>
        </w:rPr>
        <w:t>**</w:t>
      </w:r>
      <w:r>
        <w:rPr>
          <w:rFonts w:hint="eastAsia" w:ascii="宋体" w:hAnsi="宋体" w:cs="宋体"/>
          <w:kern w:val="0"/>
          <w:sz w:val="30"/>
          <w:szCs w:val="30"/>
          <w:lang w:bidi="ar"/>
        </w:rPr>
        <w:t>出版社</w:t>
      </w:r>
    </w:p>
    <w:p>
      <w:pPr>
        <w:widowControl/>
        <w:jc w:val="center"/>
        <w:rPr>
          <w:sz w:val="28"/>
        </w:rPr>
      </w:pPr>
      <w:r>
        <w:rPr>
          <w:kern w:val="0"/>
          <w:sz w:val="30"/>
          <w:szCs w:val="30"/>
          <w:lang w:bidi="ar"/>
        </w:rPr>
        <w:t>2 0</w:t>
      </w:r>
      <w:r>
        <w:rPr>
          <w:rFonts w:hint="eastAsia" w:ascii="宋体" w:hAnsi="宋体" w:cs="宋体"/>
          <w:kern w:val="0"/>
          <w:sz w:val="30"/>
          <w:szCs w:val="30"/>
          <w:lang w:bidi="ar"/>
        </w:rPr>
        <w:t>××   北   京</w:t>
      </w:r>
    </w:p>
    <w:p>
      <w:pPr>
        <w:widowControl/>
        <w:ind w:firstLine="562"/>
        <w:jc w:val="center"/>
        <w:outlineLvl w:val="0"/>
        <w:rPr>
          <w:b/>
          <w:kern w:val="0"/>
          <w:sz w:val="28"/>
          <w:szCs w:val="28"/>
          <w:lang w:bidi="ar"/>
        </w:rPr>
        <w:sectPr>
          <w:footerReference r:id="rId5" w:type="default"/>
          <w:pgSz w:w="11906" w:h="16838"/>
          <w:pgMar w:top="1440" w:right="1800" w:bottom="1440" w:left="1800" w:header="851" w:footer="992" w:gutter="0"/>
          <w:pgNumType w:start="1"/>
          <w:cols w:space="720" w:num="1"/>
          <w:docGrid w:type="lines" w:linePitch="312" w:charSpace="0"/>
        </w:sectPr>
      </w:pPr>
    </w:p>
    <w:p>
      <w:pPr>
        <w:pageBreakBefore/>
        <w:jc w:val="center"/>
        <w:rPr>
          <w:b/>
          <w:bCs/>
          <w:sz w:val="36"/>
          <w:szCs w:val="36"/>
        </w:rPr>
      </w:pPr>
      <w:bookmarkStart w:id="2" w:name="_Toc132141658"/>
      <w:r>
        <w:rPr>
          <w:b/>
          <w:bCs/>
          <w:sz w:val="36"/>
          <w:szCs w:val="36"/>
        </w:rPr>
        <w:t>前  言</w:t>
      </w:r>
      <w:bookmarkEnd w:id="2"/>
    </w:p>
    <w:p>
      <w:pPr>
        <w:ind w:firstLine="480"/>
      </w:pPr>
      <w:r>
        <w:rPr>
          <w:rFonts w:hint="eastAsia"/>
        </w:rPr>
        <w:t>根据中国工程建设标准化协会《2023年第一批协会标准制定、修订计划》（建标协字〔2023〕10号）的要求，标准编制组经深入调查研究，认真总结实践经验，研究、消化和吸收国内外有关标准规范的技术内容，并在广泛征求意见的基础上，制定了本标准。</w:t>
      </w:r>
    </w:p>
    <w:p>
      <w:pPr>
        <w:ind w:firstLine="480"/>
      </w:pPr>
      <w:r>
        <w:rPr>
          <w:rFonts w:hint="eastAsia"/>
        </w:rPr>
        <w:t>本标准</w:t>
      </w:r>
      <w:r>
        <w:rPr>
          <w:rFonts w:hint="eastAsia"/>
          <w:lang w:val="en-US" w:eastAsia="zh-CN"/>
        </w:rPr>
        <w:t>共分5章，</w:t>
      </w:r>
      <w:r>
        <w:rPr>
          <w:rFonts w:hint="eastAsia"/>
        </w:rPr>
        <w:t>主要内容</w:t>
      </w:r>
      <w:r>
        <w:rPr>
          <w:rFonts w:hint="eastAsia"/>
          <w:lang w:val="en-US" w:eastAsia="zh-CN"/>
        </w:rPr>
        <w:t>包括</w:t>
      </w:r>
      <w:r>
        <w:rPr>
          <w:rFonts w:hint="eastAsia"/>
        </w:rPr>
        <w:t>：总则</w:t>
      </w:r>
      <w:r>
        <w:rPr>
          <w:rFonts w:hint="eastAsia"/>
          <w:lang w:eastAsia="zh-CN"/>
        </w:rPr>
        <w:t>、</w:t>
      </w:r>
      <w:r>
        <w:rPr>
          <w:rFonts w:hint="eastAsia"/>
        </w:rPr>
        <w:t>术语</w:t>
      </w:r>
      <w:r>
        <w:rPr>
          <w:rFonts w:hint="eastAsia"/>
          <w:lang w:eastAsia="zh-CN"/>
        </w:rPr>
        <w:t>、</w:t>
      </w:r>
      <w:r>
        <w:rPr>
          <w:rFonts w:hint="eastAsia"/>
        </w:rPr>
        <w:t>.基本规定</w:t>
      </w:r>
      <w:r>
        <w:rPr>
          <w:rFonts w:hint="eastAsia"/>
          <w:lang w:eastAsia="zh-CN"/>
        </w:rPr>
        <w:t>、</w:t>
      </w:r>
      <w:r>
        <w:rPr>
          <w:rFonts w:hint="eastAsia"/>
        </w:rPr>
        <w:t>规划格局</w:t>
      </w:r>
      <w:r>
        <w:rPr>
          <w:rFonts w:hint="eastAsia"/>
          <w:lang w:eastAsia="zh-CN"/>
        </w:rPr>
        <w:t>、</w:t>
      </w:r>
      <w:r>
        <w:rPr>
          <w:rFonts w:hint="eastAsia"/>
        </w:rPr>
        <w:t>设计品质。</w:t>
      </w:r>
      <w:bookmarkStart w:id="71" w:name="_GoBack"/>
      <w:bookmarkEnd w:id="71"/>
    </w:p>
    <w:p>
      <w:pPr>
        <w:ind w:firstLine="480"/>
      </w:pPr>
      <w:r>
        <w:rPr>
          <w:rFonts w:hint="eastAsia"/>
        </w:rPr>
        <w:t>本标准由住房和城乡建设部负责管理，由中国城市规划设计研究院负责技术内容的解释。执行过程中如有意见或建议，请寄送解释单位（地址：北京市海淀区车公庄西路10号，邮政编码：100044）</w:t>
      </w:r>
      <w:r>
        <w:t xml:space="preserve"> </w:t>
      </w:r>
    </w:p>
    <w:p>
      <w:r>
        <w:rPr>
          <w:rFonts w:hint="eastAsia" w:ascii="黑体" w:hAnsi="黑体" w:eastAsia="黑体" w:cs="黑体"/>
          <w:b/>
          <w:bCs/>
        </w:rPr>
        <w:t xml:space="preserve">主编单位：  </w:t>
      </w:r>
      <w:r>
        <w:t>中国城市规划设计研究院</w:t>
      </w:r>
    </w:p>
    <w:p>
      <w:pPr>
        <w:rPr>
          <w:rFonts w:ascii="宋体" w:hAnsi="宋体"/>
          <w:szCs w:val="24"/>
        </w:rPr>
      </w:pPr>
      <w:r>
        <w:rPr>
          <w:rFonts w:hint="eastAsia" w:ascii="黑体" w:hAnsi="黑体" w:eastAsia="黑体" w:cs="黑体"/>
          <w:b/>
          <w:bCs/>
        </w:rPr>
        <w:t xml:space="preserve">参编单位：  </w:t>
      </w:r>
      <w:r>
        <w:rPr>
          <w:rFonts w:hint="eastAsia" w:ascii="宋体" w:hAnsi="宋体"/>
          <w:szCs w:val="24"/>
        </w:rPr>
        <w:t>北京林业大学</w:t>
      </w:r>
    </w:p>
    <w:p>
      <w:pPr>
        <w:ind w:firstLine="1440" w:firstLineChars="600"/>
        <w:rPr>
          <w:rFonts w:ascii="宋体" w:hAnsi="宋体"/>
          <w:szCs w:val="24"/>
        </w:rPr>
      </w:pPr>
      <w:r>
        <w:rPr>
          <w:rFonts w:hint="eastAsia" w:ascii="宋体" w:hAnsi="宋体"/>
          <w:szCs w:val="24"/>
        </w:rPr>
        <w:t xml:space="preserve">中国城市建设研究院有限公司 </w:t>
      </w:r>
    </w:p>
    <w:p>
      <w:pPr>
        <w:ind w:firstLine="1440" w:firstLineChars="600"/>
        <w:rPr>
          <w:rFonts w:ascii="宋体" w:hAnsi="宋体"/>
          <w:szCs w:val="24"/>
        </w:rPr>
      </w:pPr>
      <w:r>
        <w:rPr>
          <w:rFonts w:hint="eastAsia" w:ascii="宋体" w:hAnsi="宋体"/>
          <w:szCs w:val="24"/>
        </w:rPr>
        <w:t>清华大学</w:t>
      </w:r>
    </w:p>
    <w:p>
      <w:pPr>
        <w:ind w:firstLine="1440" w:firstLineChars="600"/>
        <w:rPr>
          <w:rFonts w:ascii="宋体" w:hAnsi="宋体"/>
          <w:szCs w:val="24"/>
        </w:rPr>
      </w:pPr>
      <w:r>
        <w:rPr>
          <w:rFonts w:hint="eastAsia" w:ascii="宋体" w:hAnsi="宋体"/>
          <w:szCs w:val="24"/>
        </w:rPr>
        <w:t>北京市气候中心</w:t>
      </w:r>
    </w:p>
    <w:p>
      <w:pPr>
        <w:ind w:left="1446" w:hanging="1446" w:hangingChars="600"/>
      </w:pPr>
      <w:r>
        <w:rPr>
          <w:rFonts w:hint="eastAsia" w:ascii="黑体" w:hAnsi="黑体" w:eastAsia="黑体" w:cs="黑体"/>
          <w:b/>
          <w:bCs/>
        </w:rPr>
        <w:t>主要起草人：</w:t>
      </w:r>
      <w:r>
        <w:rPr>
          <w:rFonts w:hint="eastAsia" w:ascii="宋体" w:hAnsi="宋体"/>
          <w:szCs w:val="24"/>
        </w:rPr>
        <w:t xml:space="preserve">  </w:t>
      </w:r>
    </w:p>
    <w:p>
      <w:pPr>
        <w:rPr>
          <w:rFonts w:ascii="宋体" w:hAnsi="宋体" w:cs="宋体"/>
        </w:rPr>
      </w:pPr>
      <w:r>
        <w:rPr>
          <w:rFonts w:hint="eastAsia" w:ascii="黑体" w:hAnsi="黑体" w:eastAsia="黑体" w:cs="黑体"/>
          <w:b/>
          <w:bCs/>
        </w:rPr>
        <w:t>主要审查人：</w:t>
      </w:r>
      <w:r>
        <w:rPr>
          <w:rFonts w:ascii="宋体" w:hAnsi="宋体" w:cs="宋体"/>
        </w:rPr>
        <w:t xml:space="preserve"> </w:t>
      </w:r>
    </w:p>
    <w:p>
      <w:pPr>
        <w:rPr>
          <w:rFonts w:ascii="宋体" w:hAnsi="宋体" w:cs="宋体"/>
        </w:rPr>
      </w:pPr>
      <w:r>
        <w:rPr>
          <w:rFonts w:hint="eastAsia" w:ascii="宋体" w:hAnsi="宋体" w:cs="宋体"/>
        </w:rPr>
        <w:t xml:space="preserve">            </w:t>
      </w:r>
    </w:p>
    <w:p>
      <w:pPr>
        <w:pageBreakBefore/>
        <w:ind w:firstLine="643"/>
        <w:jc w:val="center"/>
        <w:rPr>
          <w:b/>
          <w:bCs/>
          <w:sz w:val="36"/>
          <w:szCs w:val="36"/>
        </w:rPr>
      </w:pPr>
      <w:bookmarkStart w:id="3" w:name="_Toc142335791"/>
      <w:bookmarkStart w:id="4" w:name="_Toc142334849"/>
      <w:bookmarkStart w:id="5" w:name="_Toc142335743"/>
      <w:bookmarkStart w:id="6" w:name="_Toc132141659"/>
      <w:bookmarkStart w:id="7" w:name="_Toc142335697"/>
      <w:r>
        <w:rPr>
          <w:rFonts w:hint="eastAsia"/>
          <w:b/>
          <w:bCs/>
          <w:sz w:val="36"/>
          <w:szCs w:val="36"/>
        </w:rPr>
        <w:t>目      次</w:t>
      </w:r>
      <w:bookmarkEnd w:id="3"/>
      <w:bookmarkEnd w:id="4"/>
      <w:bookmarkEnd w:id="5"/>
      <w:bookmarkEnd w:id="6"/>
      <w:bookmarkEnd w:id="7"/>
      <w:r>
        <w:rPr>
          <w:rFonts w:hint="eastAsia"/>
          <w:b/>
          <w:bCs/>
          <w:sz w:val="36"/>
          <w:szCs w:val="36"/>
        </w:rPr>
        <w:t xml:space="preserve"> </w:t>
      </w:r>
    </w:p>
    <w:p>
      <w:pPr>
        <w:pStyle w:val="1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"_Toc215054053" </w:instrText>
      </w:r>
      <w:r>
        <w:fldChar w:fldCharType="separate"/>
      </w:r>
      <w:r>
        <w:rPr>
          <w:rStyle w:val="24"/>
        </w:rPr>
        <w:t xml:space="preserve">1   </w:t>
      </w:r>
      <w:r>
        <w:rPr>
          <w:rStyle w:val="24"/>
          <w:rFonts w:hint="eastAsia"/>
        </w:rPr>
        <w:t>总</w:t>
      </w:r>
      <w:r>
        <w:rPr>
          <w:rStyle w:val="24"/>
        </w:rPr>
        <w:t xml:space="preserve">    </w:t>
      </w:r>
      <w:r>
        <w:rPr>
          <w:rStyle w:val="24"/>
          <w:rFonts w:hint="eastAsia"/>
        </w:rPr>
        <w:t>则</w:t>
      </w:r>
      <w:r>
        <w:tab/>
      </w:r>
      <w:r>
        <w:fldChar w:fldCharType="begin"/>
      </w:r>
      <w:r>
        <w:instrText xml:space="preserve"> PAGEREF _Toc215054053 \h </w:instrText>
      </w:r>
      <w:r>
        <w:fldChar w:fldCharType="separate"/>
      </w:r>
      <w:r>
        <w:t>1</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"_Toc215054054" </w:instrText>
      </w:r>
      <w:r>
        <w:fldChar w:fldCharType="separate"/>
      </w:r>
      <w:r>
        <w:rPr>
          <w:rStyle w:val="24"/>
        </w:rPr>
        <w:t xml:space="preserve">2  </w:t>
      </w:r>
      <w:r>
        <w:rPr>
          <w:rStyle w:val="24"/>
          <w:rFonts w:hint="eastAsia"/>
        </w:rPr>
        <w:t>术</w:t>
      </w:r>
      <w:r>
        <w:rPr>
          <w:rStyle w:val="24"/>
        </w:rPr>
        <w:t xml:space="preserve">    </w:t>
      </w:r>
      <w:r>
        <w:rPr>
          <w:rStyle w:val="24"/>
          <w:rFonts w:hint="eastAsia"/>
        </w:rPr>
        <w:t>语</w:t>
      </w:r>
      <w:r>
        <w:tab/>
      </w:r>
      <w:r>
        <w:fldChar w:fldCharType="begin"/>
      </w:r>
      <w:r>
        <w:instrText xml:space="preserve"> PAGEREF _Toc215054054 \h </w:instrText>
      </w:r>
      <w:r>
        <w:fldChar w:fldCharType="separate"/>
      </w:r>
      <w:r>
        <w:t>2</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"_Toc215054055" </w:instrText>
      </w:r>
      <w:r>
        <w:fldChar w:fldCharType="separate"/>
      </w:r>
      <w:r>
        <w:rPr>
          <w:rStyle w:val="24"/>
        </w:rPr>
        <w:t xml:space="preserve">3   </w:t>
      </w:r>
      <w:r>
        <w:rPr>
          <w:rStyle w:val="24"/>
          <w:rFonts w:hint="eastAsia"/>
        </w:rPr>
        <w:t>基本规定</w:t>
      </w:r>
      <w:r>
        <w:tab/>
      </w:r>
      <w:r>
        <w:fldChar w:fldCharType="begin"/>
      </w:r>
      <w:r>
        <w:instrText xml:space="preserve"> PAGEREF _Toc215054055 \h </w:instrText>
      </w:r>
      <w:r>
        <w:fldChar w:fldCharType="separate"/>
      </w:r>
      <w:r>
        <w:t>4</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"_Toc215054056" </w:instrText>
      </w:r>
      <w:r>
        <w:fldChar w:fldCharType="separate"/>
      </w:r>
      <w:r>
        <w:rPr>
          <w:rStyle w:val="24"/>
        </w:rPr>
        <w:t xml:space="preserve">4   </w:t>
      </w:r>
      <w:r>
        <w:rPr>
          <w:rStyle w:val="24"/>
          <w:rFonts w:hint="eastAsia"/>
        </w:rPr>
        <w:t>规划格局</w:t>
      </w:r>
      <w:r>
        <w:tab/>
      </w:r>
      <w:r>
        <w:fldChar w:fldCharType="begin"/>
      </w:r>
      <w:r>
        <w:instrText xml:space="preserve"> PAGEREF _Toc215054056 \h </w:instrText>
      </w:r>
      <w:r>
        <w:fldChar w:fldCharType="separate"/>
      </w:r>
      <w:r>
        <w:t>6</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"_Toc215054057" </w:instrText>
      </w:r>
      <w:r>
        <w:fldChar w:fldCharType="separate"/>
      </w:r>
      <w:r>
        <w:rPr>
          <w:rStyle w:val="24"/>
        </w:rPr>
        <w:t>4.1</w:t>
      </w:r>
      <w:r>
        <w:rPr>
          <w:rStyle w:val="24"/>
          <w:rFonts w:hint="eastAsia"/>
        </w:rPr>
        <w:t>空间要素</w:t>
      </w:r>
      <w:r>
        <w:tab/>
      </w:r>
      <w:r>
        <w:fldChar w:fldCharType="begin"/>
      </w:r>
      <w:r>
        <w:instrText xml:space="preserve"> PAGEREF _Toc215054057 \h </w:instrText>
      </w:r>
      <w:r>
        <w:fldChar w:fldCharType="separate"/>
      </w:r>
      <w:r>
        <w:t>6</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"_Toc215054058" </w:instrText>
      </w:r>
      <w:r>
        <w:fldChar w:fldCharType="separate"/>
      </w:r>
      <w:r>
        <w:rPr>
          <w:rStyle w:val="24"/>
        </w:rPr>
        <w:t>4.2</w:t>
      </w:r>
      <w:r>
        <w:rPr>
          <w:rStyle w:val="24"/>
          <w:rFonts w:hint="eastAsia"/>
        </w:rPr>
        <w:t>空间规模</w:t>
      </w:r>
      <w:r>
        <w:tab/>
      </w:r>
      <w:r>
        <w:fldChar w:fldCharType="begin"/>
      </w:r>
      <w:r>
        <w:instrText xml:space="preserve"> PAGEREF _Toc215054058 \h </w:instrText>
      </w:r>
      <w:r>
        <w:fldChar w:fldCharType="separate"/>
      </w:r>
      <w:r>
        <w:t>6</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"_Toc215054059" </w:instrText>
      </w:r>
      <w:r>
        <w:fldChar w:fldCharType="separate"/>
      </w:r>
      <w:r>
        <w:rPr>
          <w:rStyle w:val="24"/>
        </w:rPr>
        <w:t>4.3</w:t>
      </w:r>
      <w:r>
        <w:rPr>
          <w:rStyle w:val="24"/>
          <w:rFonts w:hint="eastAsia"/>
        </w:rPr>
        <w:t>空间结构</w:t>
      </w:r>
      <w:r>
        <w:tab/>
      </w:r>
      <w:r>
        <w:fldChar w:fldCharType="begin"/>
      </w:r>
      <w:r>
        <w:instrText xml:space="preserve"> PAGEREF _Toc215054059 \h </w:instrText>
      </w:r>
      <w:r>
        <w:fldChar w:fldCharType="separate"/>
      </w:r>
      <w:r>
        <w:t>6</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"_Toc215054060" </w:instrText>
      </w:r>
      <w:r>
        <w:fldChar w:fldCharType="separate"/>
      </w:r>
      <w:r>
        <w:rPr>
          <w:rStyle w:val="24"/>
        </w:rPr>
        <w:t>4.4</w:t>
      </w:r>
      <w:r>
        <w:rPr>
          <w:rStyle w:val="24"/>
          <w:rFonts w:hint="eastAsia"/>
        </w:rPr>
        <w:t>空间类型</w:t>
      </w:r>
      <w:r>
        <w:tab/>
      </w:r>
      <w:r>
        <w:fldChar w:fldCharType="begin"/>
      </w:r>
      <w:r>
        <w:instrText xml:space="preserve"> PAGEREF _Toc215054060 \h </w:instrText>
      </w:r>
      <w:r>
        <w:fldChar w:fldCharType="separate"/>
      </w:r>
      <w:r>
        <w:t>7</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"_Toc215054061" </w:instrText>
      </w:r>
      <w:r>
        <w:fldChar w:fldCharType="separate"/>
      </w:r>
      <w:r>
        <w:rPr>
          <w:rStyle w:val="24"/>
        </w:rPr>
        <w:t xml:space="preserve">5   </w:t>
      </w:r>
      <w:r>
        <w:rPr>
          <w:rStyle w:val="24"/>
          <w:rFonts w:hint="eastAsia"/>
        </w:rPr>
        <w:t>设计品质</w:t>
      </w:r>
      <w:r>
        <w:tab/>
      </w:r>
      <w:r>
        <w:fldChar w:fldCharType="begin"/>
      </w:r>
      <w:r>
        <w:instrText xml:space="preserve"> PAGEREF _Toc215054061 \h </w:instrText>
      </w:r>
      <w:r>
        <w:fldChar w:fldCharType="separate"/>
      </w:r>
      <w:r>
        <w:t>10</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"_Toc215054062" </w:instrText>
      </w:r>
      <w:r>
        <w:fldChar w:fldCharType="separate"/>
      </w:r>
      <w:r>
        <w:rPr>
          <w:rStyle w:val="24"/>
        </w:rPr>
        <w:t>5.1</w:t>
      </w:r>
      <w:r>
        <w:rPr>
          <w:rStyle w:val="24"/>
          <w:rFonts w:hint="eastAsia"/>
        </w:rPr>
        <w:t>生态环境治理设施</w:t>
      </w:r>
      <w:r>
        <w:tab/>
      </w:r>
      <w:r>
        <w:fldChar w:fldCharType="begin"/>
      </w:r>
      <w:r>
        <w:instrText xml:space="preserve"> PAGEREF _Toc215054062 \h </w:instrText>
      </w:r>
      <w:r>
        <w:fldChar w:fldCharType="separate"/>
      </w:r>
      <w:r>
        <w:t>10</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"_Toc215054063" </w:instrText>
      </w:r>
      <w:r>
        <w:fldChar w:fldCharType="separate"/>
      </w:r>
      <w:r>
        <w:rPr>
          <w:rStyle w:val="24"/>
        </w:rPr>
        <w:t>5.2</w:t>
      </w:r>
      <w:r>
        <w:rPr>
          <w:rStyle w:val="24"/>
          <w:rFonts w:hint="eastAsia"/>
        </w:rPr>
        <w:t>动植物生境空间</w:t>
      </w:r>
      <w:r>
        <w:tab/>
      </w:r>
      <w:r>
        <w:fldChar w:fldCharType="begin"/>
      </w:r>
      <w:r>
        <w:instrText xml:space="preserve"> PAGEREF _Toc215054063 \h </w:instrText>
      </w:r>
      <w:r>
        <w:fldChar w:fldCharType="separate"/>
      </w:r>
      <w:r>
        <w:t>10</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"_Toc215054064" </w:instrText>
      </w:r>
      <w:r>
        <w:fldChar w:fldCharType="separate"/>
      </w:r>
      <w:r>
        <w:rPr>
          <w:rStyle w:val="24"/>
        </w:rPr>
        <w:t>5.3</w:t>
      </w:r>
      <w:r>
        <w:rPr>
          <w:rStyle w:val="24"/>
          <w:rFonts w:hint="eastAsia"/>
        </w:rPr>
        <w:t>调节微气候空间</w:t>
      </w:r>
      <w:r>
        <w:tab/>
      </w:r>
      <w:r>
        <w:fldChar w:fldCharType="begin"/>
      </w:r>
      <w:r>
        <w:instrText xml:space="preserve"> PAGEREF _Toc215054064 \h </w:instrText>
      </w:r>
      <w:r>
        <w:fldChar w:fldCharType="separate"/>
      </w:r>
      <w:r>
        <w:t>11</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"_Toc215054065" </w:instrText>
      </w:r>
      <w:r>
        <w:fldChar w:fldCharType="separate"/>
      </w:r>
      <w:r>
        <w:rPr>
          <w:rStyle w:val="24"/>
        </w:rPr>
        <w:t>5.4</w:t>
      </w:r>
      <w:r>
        <w:rPr>
          <w:rStyle w:val="24"/>
          <w:rFonts w:hint="eastAsia"/>
        </w:rPr>
        <w:t>雨洪调节空间</w:t>
      </w:r>
      <w:r>
        <w:tab/>
      </w:r>
      <w:r>
        <w:fldChar w:fldCharType="begin"/>
      </w:r>
      <w:r>
        <w:instrText xml:space="preserve"> PAGEREF _Toc215054065 \h </w:instrText>
      </w:r>
      <w:r>
        <w:fldChar w:fldCharType="separate"/>
      </w:r>
      <w:r>
        <w:t>12</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"_Toc215054066" </w:instrText>
      </w:r>
      <w:r>
        <w:fldChar w:fldCharType="separate"/>
      </w:r>
      <w:r>
        <w:rPr>
          <w:rStyle w:val="24"/>
        </w:rPr>
        <w:t xml:space="preserve">5.5 </w:t>
      </w:r>
      <w:r>
        <w:rPr>
          <w:rStyle w:val="24"/>
          <w:rFonts w:hint="eastAsia"/>
        </w:rPr>
        <w:t>防灾避险绿地</w:t>
      </w:r>
      <w:r>
        <w:tab/>
      </w:r>
      <w:r>
        <w:fldChar w:fldCharType="begin"/>
      </w:r>
      <w:r>
        <w:instrText xml:space="preserve"> PAGEREF _Toc215054066 \h </w:instrText>
      </w:r>
      <w:r>
        <w:fldChar w:fldCharType="separate"/>
      </w:r>
      <w:r>
        <w:t>13</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"_Toc215054067" </w:instrText>
      </w:r>
      <w:r>
        <w:fldChar w:fldCharType="separate"/>
      </w:r>
      <w:r>
        <w:rPr>
          <w:rStyle w:val="24"/>
        </w:rPr>
        <w:t>5.6</w:t>
      </w:r>
      <w:r>
        <w:rPr>
          <w:rStyle w:val="24"/>
          <w:rFonts w:hint="eastAsia"/>
        </w:rPr>
        <w:t>公共设施与装备</w:t>
      </w:r>
      <w:r>
        <w:tab/>
      </w:r>
      <w:r>
        <w:fldChar w:fldCharType="begin"/>
      </w:r>
      <w:r>
        <w:instrText xml:space="preserve"> PAGEREF _Toc215054067 \h </w:instrText>
      </w:r>
      <w:r>
        <w:fldChar w:fldCharType="separate"/>
      </w:r>
      <w:r>
        <w:t>14</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"_Toc215054068" </w:instrText>
      </w:r>
      <w:r>
        <w:fldChar w:fldCharType="separate"/>
      </w:r>
      <w:r>
        <w:rPr>
          <w:rStyle w:val="24"/>
        </w:rPr>
        <w:t>5.7</w:t>
      </w:r>
      <w:r>
        <w:rPr>
          <w:rStyle w:val="24"/>
          <w:rFonts w:hint="eastAsia"/>
        </w:rPr>
        <w:t>历史文化空间与设施</w:t>
      </w:r>
      <w:r>
        <w:tab/>
      </w:r>
      <w:r>
        <w:fldChar w:fldCharType="begin"/>
      </w:r>
      <w:r>
        <w:instrText xml:space="preserve"> PAGEREF _Toc215054068 \h </w:instrText>
      </w:r>
      <w:r>
        <w:fldChar w:fldCharType="separate"/>
      </w:r>
      <w:r>
        <w:t>15</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"_Toc215054069" </w:instrText>
      </w:r>
      <w:r>
        <w:fldChar w:fldCharType="separate"/>
      </w:r>
      <w:r>
        <w:rPr>
          <w:rStyle w:val="24"/>
        </w:rPr>
        <w:t xml:space="preserve">5.8 </w:t>
      </w:r>
      <w:r>
        <w:rPr>
          <w:rStyle w:val="24"/>
          <w:rFonts w:hint="eastAsia"/>
        </w:rPr>
        <w:t>协同减碳设计</w:t>
      </w:r>
      <w:r>
        <w:tab/>
      </w:r>
      <w:r>
        <w:fldChar w:fldCharType="begin"/>
      </w:r>
      <w:r>
        <w:instrText xml:space="preserve"> PAGEREF _Toc215054069 \h </w:instrText>
      </w:r>
      <w:r>
        <w:fldChar w:fldCharType="separate"/>
      </w:r>
      <w:r>
        <w:t>15</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"_Toc215054070" </w:instrText>
      </w:r>
      <w:r>
        <w:fldChar w:fldCharType="separate"/>
      </w:r>
      <w:r>
        <w:rPr>
          <w:rStyle w:val="24"/>
          <w:rFonts w:hint="eastAsia"/>
        </w:rPr>
        <w:t>用词说明</w:t>
      </w:r>
      <w:r>
        <w:tab/>
      </w:r>
      <w:r>
        <w:fldChar w:fldCharType="begin"/>
      </w:r>
      <w:r>
        <w:instrText xml:space="preserve"> PAGEREF _Toc215054070 \h </w:instrText>
      </w:r>
      <w:r>
        <w:fldChar w:fldCharType="separate"/>
      </w:r>
      <w:r>
        <w:t>16</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"_Toc215054071" </w:instrText>
      </w:r>
      <w:r>
        <w:fldChar w:fldCharType="separate"/>
      </w:r>
      <w:r>
        <w:rPr>
          <w:rStyle w:val="24"/>
          <w:rFonts w:hint="eastAsia"/>
        </w:rPr>
        <w:t>引用标准名录</w:t>
      </w:r>
      <w:r>
        <w:tab/>
      </w:r>
      <w:r>
        <w:fldChar w:fldCharType="begin"/>
      </w:r>
      <w:r>
        <w:instrText xml:space="preserve"> PAGEREF _Toc215054071 \h </w:instrText>
      </w:r>
      <w:r>
        <w:fldChar w:fldCharType="separate"/>
      </w:r>
      <w:r>
        <w:t>17</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"_Toc215054072" </w:instrText>
      </w:r>
      <w:r>
        <w:fldChar w:fldCharType="separate"/>
      </w:r>
      <w:r>
        <w:rPr>
          <w:rStyle w:val="24"/>
          <w:rFonts w:hint="eastAsia"/>
        </w:rPr>
        <w:t>附：条文说明</w:t>
      </w:r>
      <w:r>
        <w:tab/>
      </w:r>
      <w:r>
        <w:fldChar w:fldCharType="begin"/>
      </w:r>
      <w:r>
        <w:instrText xml:space="preserve"> PAGEREF _Toc215054072 \h </w:instrText>
      </w:r>
      <w:r>
        <w:fldChar w:fldCharType="separate"/>
      </w:r>
      <w:r>
        <w:t>18</w:t>
      </w:r>
      <w:r>
        <w:fldChar w:fldCharType="end"/>
      </w:r>
      <w:r>
        <w:fldChar w:fldCharType="end"/>
      </w:r>
    </w:p>
    <w:p>
      <w:pPr>
        <w:pStyle w:val="15"/>
        <w:spacing w:line="288" w:lineRule="auto"/>
      </w:pPr>
      <w:r>
        <w:fldChar w:fldCharType="end"/>
      </w:r>
    </w:p>
    <w:p>
      <w:pPr>
        <w:tabs>
          <w:tab w:val="center" w:pos="4153"/>
        </w:tabs>
        <w:spacing w:line="288" w:lineRule="auto"/>
        <w:ind w:firstLine="480"/>
      </w:pPr>
    </w:p>
    <w:p>
      <w:pPr>
        <w:widowControl/>
        <w:spacing w:line="240" w:lineRule="auto"/>
        <w:jc w:val="left"/>
      </w:pPr>
      <w:r>
        <w:br w:type="page"/>
      </w:r>
    </w:p>
    <w:p>
      <w:pPr>
        <w:tabs>
          <w:tab w:val="center" w:pos="4153"/>
        </w:tabs>
        <w:spacing w:line="288" w:lineRule="auto"/>
        <w:ind w:firstLine="480"/>
      </w:pPr>
    </w:p>
    <w:p>
      <w:pPr>
        <w:pStyle w:val="6"/>
        <w:spacing w:before="0" w:after="0" w:line="288" w:lineRule="auto"/>
        <w:jc w:val="center"/>
        <w:rPr>
          <w:sz w:val="36"/>
          <w:szCs w:val="28"/>
        </w:rPr>
      </w:pPr>
      <w:r>
        <w:rPr>
          <w:rFonts w:hint="eastAsia"/>
          <w:sz w:val="36"/>
          <w:szCs w:val="28"/>
        </w:rPr>
        <w:t>C</w:t>
      </w:r>
      <w:r>
        <w:rPr>
          <w:sz w:val="36"/>
          <w:szCs w:val="28"/>
        </w:rPr>
        <w:t>ontents</w:t>
      </w:r>
    </w:p>
    <w:p>
      <w:pPr>
        <w:pStyle w:val="1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"_Toc201242589" </w:instrText>
      </w:r>
      <w:r>
        <w:fldChar w:fldCharType="separate"/>
      </w:r>
      <w:r>
        <w:rPr>
          <w:rStyle w:val="24"/>
        </w:rPr>
        <w:t xml:space="preserve">1   General </w:t>
      </w:r>
      <w:r>
        <w:rPr>
          <w:rStyle w:val="24"/>
          <w:rFonts w:hint="eastAsia"/>
        </w:rPr>
        <w:t>p</w:t>
      </w:r>
      <w:r>
        <w:rPr>
          <w:rStyle w:val="24"/>
        </w:rPr>
        <w:t>rovisions</w:t>
      </w:r>
      <w:r>
        <w:tab/>
      </w:r>
      <w:r>
        <w:fldChar w:fldCharType="begin"/>
      </w:r>
      <w:r>
        <w:instrText xml:space="preserve"> PAGEREF _Toc201242589 \h </w:instrText>
      </w:r>
      <w:r>
        <w:fldChar w:fldCharType="separate"/>
      </w:r>
      <w:r>
        <w:t>1</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"_Toc201242590" </w:instrText>
      </w:r>
      <w:r>
        <w:fldChar w:fldCharType="separate"/>
      </w:r>
      <w:r>
        <w:rPr>
          <w:rStyle w:val="24"/>
        </w:rPr>
        <w:t>2  Terms</w:t>
      </w:r>
      <w:r>
        <w:tab/>
      </w:r>
      <w:r>
        <w:fldChar w:fldCharType="begin"/>
      </w:r>
      <w:r>
        <w:instrText xml:space="preserve"> PAGEREF _Toc201242590 \h </w:instrText>
      </w:r>
      <w:r>
        <w:fldChar w:fldCharType="separate"/>
      </w:r>
      <w:r>
        <w:t>2</w:t>
      </w:r>
      <w:r>
        <w:fldChar w:fldCharType="end"/>
      </w:r>
      <w:r>
        <w:fldChar w:fldCharType="end"/>
      </w:r>
    </w:p>
    <w:p>
      <w:pPr>
        <w:pStyle w:val="15"/>
        <w:rPr>
          <w:rFonts w:asciiTheme="minorHAnsi" w:hAnsiTheme="minorHAnsi" w:eastAsiaTheme="minorEastAsia" w:cstheme="minorBidi"/>
          <w:kern w:val="2"/>
          <w:sz w:val="21"/>
        </w:rPr>
      </w:pPr>
      <w:r>
        <w:fldChar w:fldCharType="begin"/>
      </w:r>
      <w:r>
        <w:instrText xml:space="preserve"> HYPERLINK \l "_Toc201242591" </w:instrText>
      </w:r>
      <w:r>
        <w:fldChar w:fldCharType="separate"/>
      </w:r>
      <w:r>
        <w:rPr>
          <w:rStyle w:val="24"/>
        </w:rPr>
        <w:t xml:space="preserve">3   Basic </w:t>
      </w:r>
      <w:r>
        <w:rPr>
          <w:rStyle w:val="24"/>
          <w:rFonts w:hint="eastAsia"/>
        </w:rPr>
        <w:t>r</w:t>
      </w:r>
      <w:r>
        <w:rPr>
          <w:rStyle w:val="24"/>
        </w:rPr>
        <w:t>equirements</w:t>
      </w:r>
      <w:r>
        <w:tab/>
      </w:r>
      <w:r>
        <w:fldChar w:fldCharType="end"/>
      </w:r>
      <w:r>
        <w:t>4</w:t>
      </w:r>
    </w:p>
    <w:p>
      <w:pPr>
        <w:pStyle w:val="15"/>
        <w:rPr>
          <w:rFonts w:asciiTheme="minorHAnsi" w:hAnsiTheme="minorHAnsi" w:eastAsiaTheme="minorEastAsia" w:cstheme="minorBidi"/>
          <w:kern w:val="2"/>
          <w:sz w:val="21"/>
        </w:rPr>
      </w:pPr>
      <w:r>
        <w:fldChar w:fldCharType="begin"/>
      </w:r>
      <w:r>
        <w:instrText xml:space="preserve"> HYPERLINK \l "_Toc201242592" </w:instrText>
      </w:r>
      <w:r>
        <w:fldChar w:fldCharType="separate"/>
      </w:r>
      <w:r>
        <w:rPr>
          <w:rStyle w:val="24"/>
        </w:rPr>
        <w:t xml:space="preserve">4   </w:t>
      </w:r>
      <w:r>
        <w:rPr>
          <w:rFonts w:ascii="PingFang SC" w:hAnsi="PingFang SC"/>
          <w:color w:val="333333"/>
          <w:sz w:val="27"/>
          <w:szCs w:val="27"/>
          <w:shd w:val="clear" w:color="auto" w:fill="FFFFFF"/>
        </w:rPr>
        <w:t>Planning pattern</w:t>
      </w:r>
      <w:r>
        <w:tab/>
      </w:r>
      <w:r>
        <w:fldChar w:fldCharType="end"/>
      </w:r>
      <w:r>
        <w:t>6</w:t>
      </w:r>
    </w:p>
    <w:p>
      <w:pPr>
        <w:pStyle w:val="16"/>
        <w:ind w:firstLine="480"/>
        <w:rPr>
          <w:rFonts w:asciiTheme="minorHAnsi" w:hAnsiTheme="minorHAnsi" w:eastAsiaTheme="minorEastAsia" w:cstheme="minorBidi"/>
          <w:kern w:val="2"/>
          <w:sz w:val="21"/>
        </w:rPr>
      </w:pPr>
      <w:r>
        <w:fldChar w:fldCharType="begin"/>
      </w:r>
      <w:r>
        <w:instrText xml:space="preserve"> HYPERLINK \l "_Toc201242593" </w:instrText>
      </w:r>
      <w:r>
        <w:fldChar w:fldCharType="separate"/>
      </w:r>
      <w:r>
        <w:rPr>
          <w:rStyle w:val="24"/>
        </w:rPr>
        <w:t>4.1</w:t>
      </w:r>
      <w:r>
        <w:t xml:space="preserve"> </w:t>
      </w:r>
      <w:r>
        <w:rPr>
          <w:rStyle w:val="24"/>
        </w:rPr>
        <w:t>Spatial elements</w:t>
      </w:r>
      <w:r>
        <w:tab/>
      </w:r>
      <w:r>
        <w:fldChar w:fldCharType="end"/>
      </w:r>
      <w:r>
        <w:t>6</w:t>
      </w:r>
    </w:p>
    <w:p>
      <w:pPr>
        <w:pStyle w:val="16"/>
        <w:ind w:firstLine="480"/>
        <w:rPr>
          <w:rFonts w:asciiTheme="minorHAnsi" w:hAnsiTheme="minorHAnsi" w:eastAsiaTheme="minorEastAsia" w:cstheme="minorBidi"/>
          <w:kern w:val="2"/>
          <w:sz w:val="21"/>
        </w:rPr>
      </w:pPr>
      <w:r>
        <w:fldChar w:fldCharType="begin"/>
      </w:r>
      <w:r>
        <w:instrText xml:space="preserve"> HYPERLINK \l "_Toc201242594" </w:instrText>
      </w:r>
      <w:r>
        <w:fldChar w:fldCharType="separate"/>
      </w:r>
      <w:r>
        <w:rPr>
          <w:rStyle w:val="24"/>
        </w:rPr>
        <w:t>4.2</w:t>
      </w:r>
      <w:r>
        <w:t xml:space="preserve"> </w:t>
      </w:r>
      <w:r>
        <w:rPr>
          <w:rStyle w:val="24"/>
        </w:rPr>
        <w:t>Space scales</w:t>
      </w:r>
      <w:r>
        <w:tab/>
      </w:r>
      <w:r>
        <w:fldChar w:fldCharType="end"/>
      </w:r>
      <w:r>
        <w:t>6</w:t>
      </w:r>
    </w:p>
    <w:p>
      <w:pPr>
        <w:pStyle w:val="16"/>
        <w:ind w:firstLine="480"/>
        <w:rPr>
          <w:rFonts w:asciiTheme="minorHAnsi" w:hAnsiTheme="minorHAnsi" w:eastAsiaTheme="minorEastAsia" w:cstheme="minorBidi"/>
          <w:kern w:val="2"/>
          <w:sz w:val="21"/>
        </w:rPr>
      </w:pPr>
      <w:r>
        <w:fldChar w:fldCharType="begin"/>
      </w:r>
      <w:r>
        <w:instrText xml:space="preserve"> HYPERLINK \l "_Toc201242595" </w:instrText>
      </w:r>
      <w:r>
        <w:fldChar w:fldCharType="separate"/>
      </w:r>
      <w:r>
        <w:rPr>
          <w:rStyle w:val="24"/>
        </w:rPr>
        <w:t>4.3</w:t>
      </w:r>
      <w:r>
        <w:t xml:space="preserve"> </w:t>
      </w:r>
      <w:r>
        <w:rPr>
          <w:rStyle w:val="24"/>
        </w:rPr>
        <w:t>Spatial structures</w:t>
      </w:r>
      <w:r>
        <w:tab/>
      </w:r>
      <w:r>
        <w:fldChar w:fldCharType="end"/>
      </w:r>
      <w:r>
        <w:t>6</w:t>
      </w:r>
    </w:p>
    <w:p>
      <w:pPr>
        <w:pStyle w:val="16"/>
        <w:ind w:firstLine="480"/>
        <w:rPr>
          <w:rFonts w:asciiTheme="minorHAnsi" w:hAnsiTheme="minorHAnsi" w:eastAsiaTheme="minorEastAsia" w:cstheme="minorBidi"/>
          <w:kern w:val="2"/>
          <w:sz w:val="21"/>
        </w:rPr>
      </w:pPr>
      <w:r>
        <w:fldChar w:fldCharType="begin"/>
      </w:r>
      <w:r>
        <w:instrText xml:space="preserve"> HYPERLINK \l "_Toc201242596" </w:instrText>
      </w:r>
      <w:r>
        <w:fldChar w:fldCharType="separate"/>
      </w:r>
      <w:r>
        <w:rPr>
          <w:rStyle w:val="24"/>
        </w:rPr>
        <w:t>4.4</w:t>
      </w:r>
      <w:r>
        <w:t xml:space="preserve"> </w:t>
      </w:r>
      <w:r>
        <w:rPr>
          <w:rStyle w:val="24"/>
        </w:rPr>
        <w:t>Space types</w:t>
      </w:r>
      <w:r>
        <w:tab/>
      </w:r>
      <w:r>
        <w:fldChar w:fldCharType="end"/>
      </w:r>
      <w:r>
        <w:t>7</w:t>
      </w:r>
    </w:p>
    <w:p>
      <w:pPr>
        <w:pStyle w:val="15"/>
        <w:rPr>
          <w:rFonts w:asciiTheme="minorHAnsi" w:hAnsiTheme="minorHAnsi" w:eastAsiaTheme="minorEastAsia" w:cstheme="minorBidi"/>
          <w:kern w:val="2"/>
          <w:sz w:val="21"/>
        </w:rPr>
      </w:pPr>
      <w:r>
        <w:fldChar w:fldCharType="begin"/>
      </w:r>
      <w:r>
        <w:instrText xml:space="preserve"> HYPERLINK \l "_Toc201242597" </w:instrText>
      </w:r>
      <w:r>
        <w:fldChar w:fldCharType="separate"/>
      </w:r>
      <w:r>
        <w:rPr>
          <w:rStyle w:val="24"/>
        </w:rPr>
        <w:t>5   design quality</w:t>
      </w:r>
      <w:r>
        <w:tab/>
      </w:r>
      <w:r>
        <w:fldChar w:fldCharType="begin"/>
      </w:r>
      <w:r>
        <w:instrText xml:space="preserve"> PAGEREF _Toc201242597 \h </w:instrText>
      </w:r>
      <w:r>
        <w:fldChar w:fldCharType="separate"/>
      </w:r>
      <w:r>
        <w:t>10</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"_Toc201242598" </w:instrText>
      </w:r>
      <w:r>
        <w:fldChar w:fldCharType="separate"/>
      </w:r>
      <w:r>
        <w:rPr>
          <w:rStyle w:val="24"/>
        </w:rPr>
        <w:t>5.1 Ecological restoration methods</w:t>
      </w:r>
      <w:r>
        <w:tab/>
      </w:r>
      <w:r>
        <w:fldChar w:fldCharType="begin"/>
      </w:r>
      <w:r>
        <w:instrText xml:space="preserve"> PAGEREF _Toc201242598 \h </w:instrText>
      </w:r>
      <w:r>
        <w:fldChar w:fldCharType="separate"/>
      </w:r>
      <w:r>
        <w:t>1</w:t>
      </w:r>
      <w:r>
        <w:fldChar w:fldCharType="end"/>
      </w:r>
      <w:r>
        <w:fldChar w:fldCharType="end"/>
      </w:r>
      <w:r>
        <w:t>0</w:t>
      </w:r>
    </w:p>
    <w:p>
      <w:pPr>
        <w:pStyle w:val="16"/>
        <w:ind w:firstLine="480"/>
        <w:rPr>
          <w:rFonts w:asciiTheme="minorHAnsi" w:hAnsiTheme="minorHAnsi" w:eastAsiaTheme="minorEastAsia" w:cstheme="minorBidi"/>
          <w:kern w:val="2"/>
          <w:sz w:val="21"/>
        </w:rPr>
      </w:pPr>
      <w:r>
        <w:fldChar w:fldCharType="begin"/>
      </w:r>
      <w:r>
        <w:instrText xml:space="preserve"> HYPERLINK \l "_Toc201242599" </w:instrText>
      </w:r>
      <w:r>
        <w:fldChar w:fldCharType="separate"/>
      </w:r>
      <w:r>
        <w:rPr>
          <w:rStyle w:val="24"/>
        </w:rPr>
        <w:t>5.2</w:t>
      </w:r>
      <w:r>
        <w:t xml:space="preserve"> </w:t>
      </w:r>
      <w:r>
        <w:rPr>
          <w:rStyle w:val="24"/>
        </w:rPr>
        <w:t>Habitat space of animals and plants</w:t>
      </w:r>
      <w:r>
        <w:tab/>
      </w:r>
      <w:r>
        <w:fldChar w:fldCharType="begin"/>
      </w:r>
      <w:r>
        <w:instrText xml:space="preserve"> PAGEREF _Toc201242599 \h </w:instrText>
      </w:r>
      <w:r>
        <w:fldChar w:fldCharType="separate"/>
      </w:r>
      <w:r>
        <w:t>1</w:t>
      </w:r>
      <w:r>
        <w:fldChar w:fldCharType="end"/>
      </w:r>
      <w:r>
        <w:fldChar w:fldCharType="end"/>
      </w:r>
      <w:r>
        <w:t>0</w:t>
      </w:r>
    </w:p>
    <w:p>
      <w:pPr>
        <w:pStyle w:val="16"/>
        <w:ind w:firstLine="480"/>
        <w:rPr>
          <w:rFonts w:asciiTheme="minorHAnsi" w:hAnsiTheme="minorHAnsi" w:eastAsiaTheme="minorEastAsia" w:cstheme="minorBidi"/>
          <w:kern w:val="2"/>
          <w:sz w:val="21"/>
        </w:rPr>
      </w:pPr>
      <w:r>
        <w:fldChar w:fldCharType="begin"/>
      </w:r>
      <w:r>
        <w:instrText xml:space="preserve"> HYPERLINK \l "_Toc201242600" </w:instrText>
      </w:r>
      <w:r>
        <w:fldChar w:fldCharType="separate"/>
      </w:r>
      <w:r>
        <w:rPr>
          <w:rStyle w:val="24"/>
        </w:rPr>
        <w:t>5.3</w:t>
      </w:r>
      <w:r>
        <w:t xml:space="preserve"> </w:t>
      </w:r>
      <w:r>
        <w:rPr>
          <w:rStyle w:val="24"/>
        </w:rPr>
        <w:t>climatic regulation space</w:t>
      </w:r>
      <w:r>
        <w:tab/>
      </w:r>
      <w:r>
        <w:fldChar w:fldCharType="begin"/>
      </w:r>
      <w:r>
        <w:instrText xml:space="preserve"> PAGEREF _Toc201242600 \h </w:instrText>
      </w:r>
      <w:r>
        <w:fldChar w:fldCharType="separate"/>
      </w:r>
      <w:r>
        <w:t>11</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"_Toc201242601" </w:instrText>
      </w:r>
      <w:r>
        <w:fldChar w:fldCharType="separate"/>
      </w:r>
      <w:r>
        <w:rPr>
          <w:rStyle w:val="24"/>
        </w:rPr>
        <w:t>5.4</w:t>
      </w:r>
      <w:r>
        <w:t xml:space="preserve"> </w:t>
      </w:r>
      <w:r>
        <w:rPr>
          <w:rStyle w:val="24"/>
        </w:rPr>
        <w:t>Stormwater management space</w:t>
      </w:r>
      <w:r>
        <w:tab/>
      </w:r>
      <w:r>
        <w:t>1</w:t>
      </w:r>
      <w:r>
        <w:fldChar w:fldCharType="begin"/>
      </w:r>
      <w:r>
        <w:instrText xml:space="preserve"> PAGEREF _Toc201242601 \h </w:instrText>
      </w:r>
      <w:r>
        <w:fldChar w:fldCharType="separate"/>
      </w:r>
      <w:r>
        <w:t>2</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"_Toc201242602" </w:instrText>
      </w:r>
      <w:r>
        <w:fldChar w:fldCharType="separate"/>
      </w:r>
      <w:r>
        <w:rPr>
          <w:rStyle w:val="24"/>
        </w:rPr>
        <w:t xml:space="preserve">5.5 </w:t>
      </w:r>
      <w:r>
        <w:rPr>
          <w:rStyle w:val="22"/>
          <w:rFonts w:ascii="PingFang SC" w:hAnsi="PingFang SC"/>
          <w:b w:val="0"/>
          <w:bCs w:val="0"/>
          <w:color w:val="333333"/>
        </w:rPr>
        <w:t>Disaster prevention green space</w:t>
      </w:r>
      <w:r>
        <w:tab/>
      </w:r>
      <w:r>
        <w:fldChar w:fldCharType="begin"/>
      </w:r>
      <w:r>
        <w:instrText xml:space="preserve"> PAGEREF _Toc201242602 \h </w:instrText>
      </w:r>
      <w:r>
        <w:fldChar w:fldCharType="separate"/>
      </w:r>
      <w:r>
        <w:t>13</w:t>
      </w:r>
      <w:r>
        <w:fldChar w:fldCharType="end"/>
      </w:r>
      <w:r>
        <w:fldChar w:fldCharType="end"/>
      </w:r>
    </w:p>
    <w:p>
      <w:pPr>
        <w:pStyle w:val="16"/>
        <w:ind w:firstLine="480"/>
        <w:rPr>
          <w:rFonts w:asciiTheme="minorHAnsi" w:hAnsiTheme="minorHAnsi" w:eastAsiaTheme="minorEastAsia" w:cstheme="minorBidi"/>
          <w:kern w:val="2"/>
          <w:sz w:val="21"/>
        </w:rPr>
      </w:pPr>
      <w:r>
        <w:fldChar w:fldCharType="begin"/>
      </w:r>
      <w:r>
        <w:instrText xml:space="preserve"> HYPERLINK \l "_Toc201242603" </w:instrText>
      </w:r>
      <w:r>
        <w:fldChar w:fldCharType="separate"/>
      </w:r>
      <w:r>
        <w:rPr>
          <w:rStyle w:val="24"/>
        </w:rPr>
        <w:t>5.6</w:t>
      </w:r>
      <w:r>
        <w:t xml:space="preserve"> </w:t>
      </w:r>
      <w:r>
        <w:rPr>
          <w:rStyle w:val="24"/>
        </w:rPr>
        <w:t>Public facilities and equipment</w:t>
      </w:r>
      <w:r>
        <w:tab/>
      </w:r>
      <w:r>
        <w:fldChar w:fldCharType="begin"/>
      </w:r>
      <w:r>
        <w:instrText xml:space="preserve"> PAGEREF _Toc201242603 \h </w:instrText>
      </w:r>
      <w:r>
        <w:fldChar w:fldCharType="separate"/>
      </w:r>
      <w:r>
        <w:t>1</w:t>
      </w:r>
      <w:r>
        <w:fldChar w:fldCharType="end"/>
      </w:r>
      <w:r>
        <w:fldChar w:fldCharType="end"/>
      </w:r>
      <w:r>
        <w:t>4</w:t>
      </w:r>
    </w:p>
    <w:p>
      <w:pPr>
        <w:pStyle w:val="16"/>
        <w:ind w:firstLine="480"/>
        <w:rPr>
          <w:rFonts w:asciiTheme="minorHAnsi" w:hAnsiTheme="minorHAnsi" w:eastAsiaTheme="minorEastAsia" w:cstheme="minorBidi"/>
          <w:kern w:val="2"/>
          <w:sz w:val="21"/>
        </w:rPr>
      </w:pPr>
      <w:r>
        <w:fldChar w:fldCharType="begin"/>
      </w:r>
      <w:r>
        <w:instrText xml:space="preserve"> HYPERLINK \l "_Toc201242604" </w:instrText>
      </w:r>
      <w:r>
        <w:fldChar w:fldCharType="separate"/>
      </w:r>
      <w:r>
        <w:rPr>
          <w:rStyle w:val="24"/>
        </w:rPr>
        <w:t>5.7</w:t>
      </w:r>
      <w:r>
        <w:t xml:space="preserve"> </w:t>
      </w:r>
      <w:r>
        <w:rPr>
          <w:rStyle w:val="24"/>
        </w:rPr>
        <w:t>Historical and cultural spaces and facilities</w:t>
      </w:r>
      <w:r>
        <w:tab/>
      </w:r>
      <w:r>
        <w:fldChar w:fldCharType="begin"/>
      </w:r>
      <w:r>
        <w:instrText xml:space="preserve"> PAGEREF _Toc201242604 \h </w:instrText>
      </w:r>
      <w:r>
        <w:fldChar w:fldCharType="separate"/>
      </w:r>
      <w:r>
        <w:t>1</w:t>
      </w:r>
      <w:r>
        <w:fldChar w:fldCharType="end"/>
      </w:r>
      <w:r>
        <w:fldChar w:fldCharType="end"/>
      </w:r>
      <w:r>
        <w:t>5</w:t>
      </w:r>
    </w:p>
    <w:p>
      <w:pPr>
        <w:pStyle w:val="16"/>
        <w:ind w:firstLine="480"/>
        <w:rPr>
          <w:rFonts w:asciiTheme="minorHAnsi" w:hAnsiTheme="minorHAnsi" w:eastAsiaTheme="minorEastAsia" w:cstheme="minorBidi"/>
          <w:kern w:val="2"/>
          <w:sz w:val="21"/>
        </w:rPr>
      </w:pPr>
      <w:r>
        <w:fldChar w:fldCharType="begin"/>
      </w:r>
      <w:r>
        <w:instrText xml:space="preserve"> HYPERLINK \l "_Toc201242605" </w:instrText>
      </w:r>
      <w:r>
        <w:fldChar w:fldCharType="separate"/>
      </w:r>
      <w:r>
        <w:rPr>
          <w:rStyle w:val="24"/>
        </w:rPr>
        <w:t>5.8</w:t>
      </w:r>
      <w:r>
        <w:t xml:space="preserve"> </w:t>
      </w:r>
      <w:r>
        <w:rPr>
          <w:rStyle w:val="24"/>
        </w:rPr>
        <w:t>Collaborative Carbon Reduction Design</w:t>
      </w:r>
      <w:r>
        <w:tab/>
      </w:r>
      <w:r>
        <w:fldChar w:fldCharType="begin"/>
      </w:r>
      <w:r>
        <w:instrText xml:space="preserve"> PAGEREF _Toc201242605 \h </w:instrText>
      </w:r>
      <w:r>
        <w:fldChar w:fldCharType="separate"/>
      </w:r>
      <w:r>
        <w:t>15</w:t>
      </w:r>
      <w:r>
        <w:fldChar w:fldCharType="end"/>
      </w:r>
      <w:r>
        <w:fldChar w:fldCharType="end"/>
      </w:r>
    </w:p>
    <w:p>
      <w:pPr>
        <w:pStyle w:val="15"/>
        <w:rPr>
          <w:rStyle w:val="24"/>
          <w:color w:val="000000" w:themeColor="text1"/>
          <w:u w:val="none"/>
          <w14:textFill>
            <w14:solidFill>
              <w14:schemeClr w14:val="tx1"/>
            </w14:solidFill>
          </w14:textFill>
        </w:rPr>
      </w:pPr>
      <w:r>
        <w:fldChar w:fldCharType="end"/>
      </w:r>
      <w:r>
        <w:rPr>
          <w:rStyle w:val="24"/>
          <w:color w:val="000000" w:themeColor="text1"/>
          <w:u w:val="none"/>
          <w14:textFill>
            <w14:solidFill>
              <w14:schemeClr w14:val="tx1"/>
            </w14:solidFill>
          </w14:textFill>
        </w:rPr>
        <w:t xml:space="preserve">Word usage explanation...............................................................................................16 </w:t>
      </w:r>
    </w:p>
    <w:p>
      <w:pPr>
        <w:pStyle w:val="15"/>
        <w:rPr>
          <w:rStyle w:val="24"/>
          <w:color w:val="000000" w:themeColor="text1"/>
          <w:u w:val="none"/>
          <w14:textFill>
            <w14:solidFill>
              <w14:schemeClr w14:val="tx1"/>
            </w14:solidFill>
          </w14:textFill>
        </w:rPr>
      </w:pPr>
      <w:r>
        <w:rPr>
          <w:rStyle w:val="24"/>
          <w:color w:val="000000" w:themeColor="text1"/>
          <w:u w:val="none"/>
          <w14:textFill>
            <w14:solidFill>
              <w14:schemeClr w14:val="tx1"/>
            </w14:solidFill>
          </w14:textFill>
        </w:rPr>
        <w:t>Reference standard directory .......................................................................................17</w:t>
      </w:r>
    </w:p>
    <w:p/>
    <w:p>
      <w:pPr>
        <w:widowControl/>
        <w:spacing w:line="240" w:lineRule="auto"/>
        <w:jc w:val="left"/>
      </w:pPr>
      <w:r>
        <w:br w:type="page"/>
      </w:r>
    </w:p>
    <w:p>
      <w:pPr>
        <w:widowControl/>
        <w:spacing w:line="240" w:lineRule="auto"/>
        <w:jc w:val="left"/>
        <w:sectPr>
          <w:footerReference r:id="rId6" w:type="default"/>
          <w:type w:val="continuous"/>
          <w:pgSz w:w="11906" w:h="16838"/>
          <w:pgMar w:top="1440" w:right="1800" w:bottom="1440" w:left="1800" w:header="851" w:footer="992" w:gutter="0"/>
          <w:pgNumType w:fmt="upperRoman" w:start="1"/>
          <w:cols w:space="720" w:num="1"/>
          <w:docGrid w:type="lines" w:linePitch="312" w:charSpace="0"/>
        </w:sectPr>
      </w:pPr>
    </w:p>
    <w:p>
      <w:pPr>
        <w:pStyle w:val="2"/>
        <w:spacing w:line="360" w:lineRule="auto"/>
      </w:pPr>
      <w:bookmarkStart w:id="8" w:name="_Toc215054053"/>
      <w:r>
        <w:rPr>
          <w:rFonts w:hint="eastAsia"/>
        </w:rPr>
        <w:t>1   总    则</w:t>
      </w:r>
      <w:bookmarkEnd w:id="8"/>
    </w:p>
    <w:p>
      <w:pPr>
        <w:pStyle w:val="5"/>
        <w:spacing w:before="0" w:after="0"/>
        <w:rPr>
          <w:b w:val="0"/>
        </w:rPr>
      </w:pPr>
      <w:r>
        <w:rPr>
          <w:rFonts w:hint="eastAsia"/>
        </w:rPr>
        <w:t>1.0.1</w:t>
      </w:r>
      <w:r>
        <w:rPr>
          <w:rFonts w:hint="eastAsia"/>
          <w:b w:val="0"/>
        </w:rPr>
        <w:tab/>
      </w:r>
      <w:r>
        <w:rPr>
          <w:rFonts w:hint="eastAsia"/>
          <w:b w:val="0"/>
        </w:rPr>
        <w:t>为推动生态优先、绿色发展，在城市中营造人与自然和谐共生的高品质人居环境，提高城市生态基础设施布局的科学性，制定本标准。</w:t>
      </w:r>
    </w:p>
    <w:p>
      <w:pPr>
        <w:pStyle w:val="5"/>
        <w:spacing w:before="0" w:after="0"/>
        <w:rPr>
          <w:b w:val="0"/>
        </w:rPr>
      </w:pPr>
      <w:r>
        <w:rPr>
          <w:rFonts w:hint="eastAsia"/>
        </w:rPr>
        <w:t>1.0.2</w:t>
      </w:r>
      <w:r>
        <w:rPr>
          <w:rFonts w:hint="eastAsia"/>
          <w:b w:val="0"/>
        </w:rPr>
        <w:tab/>
      </w:r>
      <w:r>
        <w:rPr>
          <w:rFonts w:hint="eastAsia"/>
          <w:b w:val="0"/>
        </w:rPr>
        <w:t>本标准适用于城市生态基础设施的规划设计。</w:t>
      </w:r>
    </w:p>
    <w:p>
      <w:pPr>
        <w:pStyle w:val="5"/>
        <w:spacing w:before="0" w:after="0"/>
        <w:rPr>
          <w:b w:val="0"/>
        </w:rPr>
      </w:pPr>
      <w:r>
        <w:rPr>
          <w:rFonts w:hint="eastAsia"/>
        </w:rPr>
        <w:t>1.0.</w:t>
      </w:r>
      <w:r>
        <w:t>3</w:t>
      </w:r>
      <w:r>
        <w:rPr>
          <w:rFonts w:hint="eastAsia"/>
          <w:b w:val="0"/>
        </w:rPr>
        <w:tab/>
      </w:r>
      <w:r>
        <w:rPr>
          <w:rFonts w:hint="eastAsia"/>
          <w:b w:val="0"/>
        </w:rPr>
        <w:t>城市生态基础设施规划设计除应执行本标准的规定外，</w:t>
      </w:r>
      <w:r>
        <w:rPr>
          <w:b w:val="0"/>
        </w:rPr>
        <w:t>尚应符合国家现行有关标准和现行中国工程建设标准化协会标准的规定。</w:t>
      </w:r>
    </w:p>
    <w:p>
      <w:pPr>
        <w:pStyle w:val="2"/>
        <w:spacing w:line="360" w:lineRule="auto"/>
      </w:pPr>
      <w:bookmarkStart w:id="9" w:name="_Toc215054054"/>
      <w:r>
        <w:t>2</w:t>
      </w:r>
      <w:r>
        <w:rPr>
          <w:rFonts w:hint="eastAsia"/>
        </w:rPr>
        <w:t xml:space="preserve">  术    语</w:t>
      </w:r>
      <w:bookmarkEnd w:id="9"/>
    </w:p>
    <w:p>
      <w:pPr>
        <w:pStyle w:val="5"/>
        <w:spacing w:before="0" w:after="0"/>
      </w:pPr>
      <w:r>
        <w:rPr>
          <w:rFonts w:hint="eastAsia"/>
        </w:rPr>
        <w:t>2.0.1</w:t>
      </w:r>
      <w:r>
        <w:rPr>
          <w:rFonts w:hint="eastAsia"/>
          <w:b w:val="0"/>
        </w:rPr>
        <w:tab/>
      </w:r>
      <w:r>
        <w:rPr>
          <w:rFonts w:hint="eastAsia"/>
          <w:b w:val="0"/>
        </w:rPr>
        <w:t xml:space="preserve">城市生态基础设施 urban ecological infrastructure </w:t>
      </w:r>
      <w:r>
        <w:rPr>
          <w:b w:val="0"/>
        </w:rPr>
        <w:t xml:space="preserve"> </w:t>
      </w:r>
    </w:p>
    <w:p>
      <w:pPr>
        <w:ind w:firstLine="480" w:firstLineChars="200"/>
      </w:pPr>
      <w:r>
        <w:rPr>
          <w:rFonts w:hint="eastAsia"/>
        </w:rPr>
        <w:t>城市生态基础设施是城市中保持、改善和增加生态系统服务所必备的一系列要素和组合。</w:t>
      </w:r>
    </w:p>
    <w:p>
      <w:pPr>
        <w:pStyle w:val="5"/>
        <w:spacing w:before="0" w:after="0"/>
      </w:pPr>
      <w:r>
        <w:t>2.0.</w:t>
      </w:r>
      <w:r>
        <w:rPr>
          <w:rFonts w:hint="eastAsia"/>
        </w:rPr>
        <w:t>2</w:t>
      </w:r>
      <w:r>
        <w:rPr>
          <w:rFonts w:hint="eastAsia"/>
          <w:b w:val="0"/>
        </w:rPr>
        <w:tab/>
      </w:r>
      <w:r>
        <w:rPr>
          <w:rFonts w:hint="eastAsia"/>
          <w:b w:val="0"/>
          <w:bCs w:val="0"/>
        </w:rPr>
        <w:t>城市蓝绿空间 urban blue-green space</w:t>
      </w:r>
    </w:p>
    <w:p>
      <w:pPr>
        <w:ind w:firstLine="480" w:firstLineChars="200"/>
      </w:pPr>
      <w:r>
        <w:rPr>
          <w:rFonts w:hint="eastAsia"/>
        </w:rPr>
        <w:t>城市蓝绿空间是城市中各类水域、湿地、绿地等各类自然和人工开敞空间所组成的系统。</w:t>
      </w:r>
    </w:p>
    <w:p>
      <w:pPr>
        <w:pStyle w:val="5"/>
        <w:spacing w:before="0" w:after="0"/>
      </w:pPr>
      <w:r>
        <w:t>2.0.</w:t>
      </w:r>
      <w:r>
        <w:rPr>
          <w:rFonts w:hint="eastAsia"/>
        </w:rPr>
        <w:t>3</w:t>
      </w:r>
      <w:r>
        <w:rPr>
          <w:rFonts w:hint="eastAsia"/>
          <w:b w:val="0"/>
        </w:rPr>
        <w:tab/>
      </w:r>
      <w:r>
        <w:rPr>
          <w:rFonts w:hint="eastAsia"/>
          <w:b w:val="0"/>
          <w:bCs w:val="0"/>
        </w:rPr>
        <w:t>城市生态廊道 urban ecological corridor</w:t>
      </w:r>
    </w:p>
    <w:p>
      <w:pPr>
        <w:ind w:firstLine="480" w:firstLineChars="200"/>
      </w:pPr>
      <w:r>
        <w:rPr>
          <w:rFonts w:hint="eastAsia"/>
        </w:rPr>
        <w:t>城市生态廊道是城市中连接生物栖息地、保障生物迁移的通道。</w:t>
      </w:r>
    </w:p>
    <w:p>
      <w:pPr>
        <w:pStyle w:val="5"/>
        <w:spacing w:before="0" w:after="0"/>
      </w:pPr>
      <w:r>
        <w:rPr>
          <w:rFonts w:hint="eastAsia"/>
        </w:rPr>
        <w:t>2.0.4</w:t>
      </w:r>
      <w:r>
        <w:rPr>
          <w:rFonts w:hint="eastAsia"/>
          <w:b w:val="0"/>
        </w:rPr>
        <w:tab/>
      </w:r>
      <w:r>
        <w:rPr>
          <w:rFonts w:hint="eastAsia"/>
          <w:b w:val="0"/>
        </w:rPr>
        <w:t>城市水系廊道 urban water corridor</w:t>
      </w:r>
    </w:p>
    <w:p>
      <w:pPr>
        <w:ind w:firstLine="480" w:firstLineChars="200"/>
      </w:pPr>
      <w:r>
        <w:rPr>
          <w:rFonts w:hint="eastAsia"/>
        </w:rPr>
        <w:t>城市水系廊道是城市内常年、季节性的河流、降雨瞬时形成的短时水系及两侧生态缓冲带组成的廊道。</w:t>
      </w:r>
    </w:p>
    <w:p>
      <w:pPr>
        <w:pStyle w:val="5"/>
        <w:spacing w:before="0" w:after="0"/>
      </w:pPr>
      <w:r>
        <w:rPr>
          <w:rFonts w:hint="eastAsia"/>
        </w:rPr>
        <w:t>2.0.5</w:t>
      </w:r>
      <w:r>
        <w:rPr>
          <w:rFonts w:hint="eastAsia"/>
          <w:b w:val="0"/>
        </w:rPr>
        <w:tab/>
      </w:r>
      <w:r>
        <w:rPr>
          <w:rFonts w:hint="eastAsia"/>
          <w:b w:val="0"/>
        </w:rPr>
        <w:t>城市通风廊道 urban ventilation corridor</w:t>
      </w:r>
    </w:p>
    <w:p>
      <w:pPr>
        <w:ind w:firstLine="480" w:firstLineChars="200"/>
      </w:pPr>
      <w:r>
        <w:rPr>
          <w:rFonts w:hint="eastAsia"/>
        </w:rPr>
        <w:t>城市通风廊道是为改善城市空气流通、缓解热岛效应、提升空气质量而划定的特定风道系统。</w:t>
      </w:r>
    </w:p>
    <w:p>
      <w:pPr>
        <w:pStyle w:val="5"/>
        <w:spacing w:before="0" w:after="0"/>
      </w:pPr>
      <w:r>
        <w:rPr>
          <w:rFonts w:hint="eastAsia"/>
        </w:rPr>
        <w:t>2.0.6</w:t>
      </w:r>
      <w:r>
        <w:rPr>
          <w:rFonts w:hint="eastAsia"/>
          <w:b w:val="0"/>
        </w:rPr>
        <w:tab/>
      </w:r>
      <w:r>
        <w:rPr>
          <w:rFonts w:hint="eastAsia"/>
          <w:b w:val="0"/>
        </w:rPr>
        <w:t>城市生态冷源 urban ecological cold source</w:t>
      </w:r>
    </w:p>
    <w:p>
      <w:pPr>
        <w:ind w:firstLine="480" w:firstLineChars="200"/>
      </w:pPr>
      <w:r>
        <w:rPr>
          <w:rFonts w:hint="eastAsia"/>
        </w:rPr>
        <w:t>城市生态冷源又称为城市绿源（urban green source），是城市中有一定面积、能改善气象环境的农田、林地、水体以及城市绿地。</w:t>
      </w:r>
    </w:p>
    <w:p>
      <w:pPr>
        <w:pStyle w:val="5"/>
        <w:spacing w:before="0" w:after="0"/>
      </w:pPr>
      <w:r>
        <w:rPr>
          <w:rFonts w:hint="eastAsia"/>
        </w:rPr>
        <w:t>2.0.7</w:t>
      </w:r>
      <w:r>
        <w:rPr>
          <w:rFonts w:hint="eastAsia"/>
          <w:b w:val="0"/>
        </w:rPr>
        <w:tab/>
      </w:r>
      <w:r>
        <w:rPr>
          <w:rFonts w:hint="eastAsia"/>
          <w:b w:val="0"/>
        </w:rPr>
        <w:t>城市林荫空间 urban tree lined space</w:t>
      </w:r>
    </w:p>
    <w:p>
      <w:pPr>
        <w:ind w:firstLine="480" w:firstLineChars="200"/>
      </w:pPr>
      <w:r>
        <w:rPr>
          <w:rFonts w:hint="eastAsia"/>
        </w:rPr>
        <w:t>城市林荫空间是由乔木组成、可供游览或休憩活动的城市绿地。</w:t>
      </w:r>
    </w:p>
    <w:p>
      <w:pPr>
        <w:pStyle w:val="5"/>
        <w:spacing w:before="0" w:after="0"/>
      </w:pPr>
      <w:r>
        <w:rPr>
          <w:rFonts w:hint="eastAsia"/>
        </w:rPr>
        <w:t>2.0.8</w:t>
      </w:r>
      <w:r>
        <w:rPr>
          <w:rFonts w:hint="eastAsia"/>
          <w:b w:val="0"/>
        </w:rPr>
        <w:tab/>
      </w:r>
      <w:r>
        <w:rPr>
          <w:rFonts w:hint="eastAsia"/>
          <w:b w:val="0"/>
        </w:rPr>
        <w:t>生态缓冲空间 buffer strip</w:t>
      </w:r>
    </w:p>
    <w:p>
      <w:pPr>
        <w:ind w:firstLine="480" w:firstLineChars="200"/>
      </w:pPr>
      <w:r>
        <w:rPr>
          <w:rFonts w:hint="eastAsia"/>
        </w:rPr>
        <w:t>生态缓冲空间是市域中偏自然的生态系统和高度人工化的城市建成区的交错过渡地带。</w:t>
      </w:r>
    </w:p>
    <w:p>
      <w:pPr>
        <w:pStyle w:val="5"/>
        <w:spacing w:before="0" w:after="0"/>
      </w:pPr>
      <w:r>
        <w:rPr>
          <w:rFonts w:hint="eastAsia"/>
        </w:rPr>
        <w:t>2.0.9</w:t>
      </w:r>
      <w:r>
        <w:rPr>
          <w:rFonts w:hint="eastAsia"/>
          <w:b w:val="0"/>
        </w:rPr>
        <w:tab/>
      </w:r>
      <w:r>
        <w:rPr>
          <w:rFonts w:hint="eastAsia"/>
          <w:b w:val="0"/>
        </w:rPr>
        <w:t>生存需求 biological survival need</w:t>
      </w:r>
    </w:p>
    <w:p>
      <w:pPr>
        <w:ind w:firstLine="480" w:firstLineChars="200"/>
      </w:pPr>
      <w:r>
        <w:rPr>
          <w:rFonts w:hint="eastAsia"/>
        </w:rPr>
        <w:t>生存需求为动植物觅食、繁衍、巢居、休憩、安全庇佑等需求。</w:t>
      </w:r>
    </w:p>
    <w:p>
      <w:pPr>
        <w:pStyle w:val="5"/>
        <w:spacing w:before="0" w:after="0"/>
      </w:pPr>
      <w:r>
        <w:rPr>
          <w:rFonts w:hint="eastAsia"/>
        </w:rPr>
        <w:t>2.0.10</w:t>
      </w:r>
      <w:r>
        <w:rPr>
          <w:rFonts w:hint="eastAsia"/>
          <w:b w:val="0"/>
        </w:rPr>
        <w:tab/>
      </w:r>
      <w:r>
        <w:rPr>
          <w:rFonts w:hint="eastAsia"/>
          <w:b w:val="0"/>
        </w:rPr>
        <w:t>关键物种 key species</w:t>
      </w:r>
    </w:p>
    <w:p>
      <w:pPr>
        <w:ind w:firstLine="480" w:firstLineChars="200"/>
      </w:pPr>
      <w:r>
        <w:rPr>
          <w:rFonts w:hint="eastAsia"/>
        </w:rPr>
        <w:t>关键物种是对于维持群落或者生态系统的物种组成、生态系统功能和生物多样性等方面的作用功能起决定性的物种。</w:t>
      </w:r>
    </w:p>
    <w:p>
      <w:pPr>
        <w:pStyle w:val="5"/>
        <w:spacing w:before="0" w:after="0"/>
      </w:pPr>
      <w:r>
        <w:rPr>
          <w:rFonts w:hint="eastAsia"/>
        </w:rPr>
        <w:t>2.0.11</w:t>
      </w:r>
      <w:r>
        <w:rPr>
          <w:rFonts w:hint="eastAsia"/>
          <w:b w:val="0"/>
        </w:rPr>
        <w:tab/>
      </w:r>
      <w:r>
        <w:rPr>
          <w:rFonts w:hint="eastAsia"/>
          <w:b w:val="0"/>
        </w:rPr>
        <w:t>内部种 interior species</w:t>
      </w:r>
    </w:p>
    <w:p>
      <w:pPr>
        <w:ind w:firstLine="480" w:firstLineChars="200"/>
      </w:pPr>
      <w:r>
        <w:rPr>
          <w:rFonts w:hint="eastAsia"/>
        </w:rPr>
        <w:t>内部种为需要较稳定的环境条件，往往集中分布在斑块中心部分（核心区）的物种。</w:t>
      </w:r>
    </w:p>
    <w:p>
      <w:pPr>
        <w:pStyle w:val="5"/>
        <w:spacing w:before="0" w:after="0"/>
      </w:pPr>
      <w:r>
        <w:rPr>
          <w:rFonts w:hint="eastAsia"/>
        </w:rPr>
        <w:t>2.0.12</w:t>
      </w:r>
      <w:r>
        <w:rPr>
          <w:rFonts w:hint="eastAsia"/>
          <w:b w:val="0"/>
        </w:rPr>
        <w:tab/>
      </w:r>
      <w:r>
        <w:rPr>
          <w:rFonts w:hint="eastAsia"/>
          <w:b w:val="0"/>
        </w:rPr>
        <w:t>边缘种 edge species</w:t>
      </w:r>
    </w:p>
    <w:p>
      <w:pPr>
        <w:ind w:firstLine="480" w:firstLineChars="200"/>
      </w:pPr>
      <w:r>
        <w:rPr>
          <w:rFonts w:hint="eastAsia"/>
        </w:rPr>
        <w:t>边缘种为适应多变的或阳光充足的环境条件，主要分布在斑块边缘部分的物种。</w:t>
      </w:r>
    </w:p>
    <w:p>
      <w:pPr>
        <w:pStyle w:val="5"/>
        <w:spacing w:before="0" w:after="0"/>
      </w:pPr>
      <w:r>
        <w:rPr>
          <w:rFonts w:hint="eastAsia"/>
        </w:rPr>
        <w:t>2.0.13</w:t>
      </w:r>
      <w:r>
        <w:rPr>
          <w:rFonts w:hint="eastAsia"/>
          <w:b w:val="0"/>
        </w:rPr>
        <w:tab/>
      </w:r>
      <w:r>
        <w:rPr>
          <w:rFonts w:hint="eastAsia"/>
          <w:b w:val="0"/>
        </w:rPr>
        <w:t>自然带 Urban Wilderness Areas</w:t>
      </w:r>
    </w:p>
    <w:p>
      <w:pPr>
        <w:ind w:firstLine="480" w:firstLineChars="200"/>
      </w:pPr>
      <w:r>
        <w:rPr>
          <w:rFonts w:hint="eastAsia"/>
        </w:rPr>
        <w:t>自然带是指在城市林地绿地区域内保留的较大面积，强调避免人为干预，促进自然演替且具有良好连通性的区域。</w:t>
      </w:r>
    </w:p>
    <w:p>
      <w:pPr>
        <w:pStyle w:val="5"/>
        <w:spacing w:before="0" w:after="0"/>
        <w:rPr>
          <w:b w:val="0"/>
        </w:rPr>
      </w:pPr>
      <w:r>
        <w:rPr>
          <w:rFonts w:hint="eastAsia"/>
        </w:rPr>
        <w:t>2.0.14</w:t>
      </w:r>
      <w:r>
        <w:rPr>
          <w:rFonts w:hint="eastAsia"/>
          <w:b w:val="0"/>
        </w:rPr>
        <w:tab/>
      </w:r>
      <w:r>
        <w:rPr>
          <w:rFonts w:hint="eastAsia"/>
          <w:b w:val="0"/>
        </w:rPr>
        <w:t>生境设施 Habitat Facilities</w:t>
      </w:r>
    </w:p>
    <w:p>
      <w:pPr>
        <w:ind w:firstLine="480" w:firstLineChars="200"/>
      </w:pPr>
      <w:r>
        <w:rPr>
          <w:rFonts w:hint="eastAsia"/>
        </w:rPr>
        <w:t>生境设施是指在人类干预或生态修复过程中，为野生动植物仿真或重建其自然栖息环境而设置的人造或半自然结构与配置。</w:t>
      </w:r>
    </w:p>
    <w:p>
      <w:pPr>
        <w:ind w:firstLine="480" w:firstLineChars="200"/>
      </w:pPr>
    </w:p>
    <w:p>
      <w:pPr>
        <w:pStyle w:val="2"/>
        <w:spacing w:line="360" w:lineRule="auto"/>
      </w:pPr>
      <w:bookmarkStart w:id="10" w:name="_Toc215054055"/>
      <w:r>
        <w:t>3</w:t>
      </w:r>
      <w:r>
        <w:rPr>
          <w:rFonts w:hint="eastAsia"/>
        </w:rPr>
        <w:t xml:space="preserve">   基本规定</w:t>
      </w:r>
      <w:bookmarkEnd w:id="10"/>
    </w:p>
    <w:p>
      <w:pPr>
        <w:pStyle w:val="5"/>
        <w:spacing w:before="0" w:after="0"/>
        <w:rPr>
          <w:b w:val="0"/>
        </w:rPr>
      </w:pPr>
      <w:r>
        <w:t>3.0.1</w:t>
      </w:r>
      <w:r>
        <w:rPr>
          <w:rFonts w:hint="eastAsia"/>
          <w:b w:val="0"/>
        </w:rPr>
        <w:tab/>
      </w:r>
      <w:r>
        <w:rPr>
          <w:rFonts w:hint="eastAsia"/>
          <w:b w:val="0"/>
        </w:rPr>
        <w:t>城市生态基础设施规划设计包括城市生态基础设施规划格局和城市生态基础设施设计品质。</w:t>
      </w:r>
    </w:p>
    <w:p>
      <w:pPr>
        <w:pStyle w:val="5"/>
        <w:spacing w:before="0" w:after="0"/>
        <w:rPr>
          <w:b w:val="0"/>
        </w:rPr>
      </w:pPr>
      <w:r>
        <w:t>3.0.2</w:t>
      </w:r>
      <w:r>
        <w:rPr>
          <w:rFonts w:hint="eastAsia"/>
          <w:b w:val="0"/>
        </w:rPr>
        <w:tab/>
      </w:r>
      <w:r>
        <w:rPr>
          <w:rFonts w:hint="eastAsia"/>
          <w:b w:val="0"/>
        </w:rPr>
        <w:t>城市生态基础设施规划应以批准的国土空间总体规划和相关专项规划为依据。</w:t>
      </w:r>
    </w:p>
    <w:p>
      <w:pPr>
        <w:pStyle w:val="5"/>
        <w:spacing w:before="0" w:after="0"/>
        <w:rPr>
          <w:b w:val="0"/>
        </w:rPr>
      </w:pPr>
      <w:r>
        <w:rPr>
          <w:rFonts w:hint="eastAsia"/>
        </w:rPr>
        <w:t>3</w:t>
      </w:r>
      <w:r>
        <w:t>.0.3</w:t>
      </w:r>
      <w:r>
        <w:rPr>
          <w:rFonts w:hint="eastAsia"/>
          <w:b w:val="0"/>
        </w:rPr>
        <w:tab/>
      </w:r>
      <w:r>
        <w:rPr>
          <w:rFonts w:hint="eastAsia"/>
          <w:b w:val="0"/>
        </w:rPr>
        <w:t>城市生态基础设施规划设计应遵循</w:t>
      </w:r>
      <w:r>
        <w:rPr>
          <w:b w:val="0"/>
        </w:rPr>
        <w:t>下列原则：</w:t>
      </w:r>
    </w:p>
    <w:p>
      <w:pPr>
        <w:ind w:firstLine="482" w:firstLineChars="200"/>
        <w:rPr>
          <w:bCs/>
        </w:rPr>
      </w:pPr>
      <w:r>
        <w:rPr>
          <w:rFonts w:hint="eastAsia"/>
          <w:b/>
          <w:bCs/>
          <w:szCs w:val="28"/>
        </w:rPr>
        <w:t>1</w:t>
      </w:r>
      <w:r>
        <w:rPr>
          <w:rFonts w:hint="eastAsia"/>
          <w:bCs/>
        </w:rPr>
        <w:t>多元价值原则。应兼顾自然生态价值和社会文化价值，在保障城市安全韧性、强化资源环境支撑、维护生态功能稳定、保护生物多样性、提升碳汇能力的同时，满足人民美好生活需要、维护社会公平、尊重地域文化。</w:t>
      </w:r>
    </w:p>
    <w:p>
      <w:pPr>
        <w:ind w:firstLine="482" w:firstLineChars="200"/>
        <w:rPr>
          <w:bCs/>
        </w:rPr>
      </w:pPr>
      <w:r>
        <w:rPr>
          <w:b/>
          <w:bCs/>
          <w:szCs w:val="28"/>
        </w:rPr>
        <w:t>2</w:t>
      </w:r>
      <w:r>
        <w:rPr>
          <w:rFonts w:hint="eastAsia"/>
          <w:bCs/>
        </w:rPr>
        <w:t>系统协同原则。应坚持山水林田湖草沙生命共同体理念，充分利用自然、半自然和人工生态系统，构建具备整体性、系统性、协同性，“点-线-面”相结合的城市生态网络。</w:t>
      </w:r>
    </w:p>
    <w:p>
      <w:pPr>
        <w:ind w:firstLine="482" w:firstLineChars="200"/>
        <w:rPr>
          <w:bCs/>
        </w:rPr>
      </w:pPr>
      <w:r>
        <w:rPr>
          <w:rFonts w:hint="eastAsia"/>
          <w:b/>
          <w:bCs/>
          <w:szCs w:val="28"/>
        </w:rPr>
        <w:t>3</w:t>
      </w:r>
      <w:r>
        <w:rPr>
          <w:rFonts w:hint="eastAsia"/>
          <w:bCs/>
        </w:rPr>
        <w:t>自我适应原则。应坚持复杂自适应系统理念，充分发挥大自然的自组织和自设计能力，以自然修复为主、人工修复为辅，选择基于自然的解决方案和低冲击开发模式。</w:t>
      </w:r>
    </w:p>
    <w:p>
      <w:pPr>
        <w:ind w:firstLine="482" w:firstLineChars="200"/>
        <w:rPr>
          <w:bCs/>
        </w:rPr>
      </w:pPr>
      <w:r>
        <w:rPr>
          <w:rFonts w:hint="eastAsia"/>
          <w:b/>
          <w:bCs/>
          <w:szCs w:val="28"/>
        </w:rPr>
        <w:t>4</w:t>
      </w:r>
      <w:r>
        <w:rPr>
          <w:rFonts w:hint="eastAsia"/>
          <w:bCs/>
        </w:rPr>
        <w:t>因地制宜原则。遵循所在地域的气候、环境、资源、经济和文化等特点，随形就势、就地取材，选择先进适用的技术方案。</w:t>
      </w:r>
    </w:p>
    <w:p>
      <w:pPr>
        <w:ind w:firstLine="482" w:firstLineChars="200"/>
        <w:rPr>
          <w:bCs/>
        </w:rPr>
      </w:pPr>
      <w:r>
        <w:rPr>
          <w:b/>
          <w:bCs/>
          <w:szCs w:val="28"/>
        </w:rPr>
        <w:t>5</w:t>
      </w:r>
      <w:r>
        <w:rPr>
          <w:rFonts w:hint="eastAsia"/>
          <w:bCs/>
        </w:rPr>
        <w:t>公众参与原则。充分调动政府、市场、社会等多方面力量，尊重当地居民意愿，实现共建、共治、共享。</w:t>
      </w:r>
    </w:p>
    <w:p>
      <w:pPr>
        <w:pStyle w:val="5"/>
        <w:spacing w:before="0" w:after="0"/>
        <w:rPr>
          <w:b w:val="0"/>
          <w:strike/>
        </w:rPr>
      </w:pPr>
      <w:r>
        <w:rPr>
          <w:rFonts w:hint="eastAsia"/>
        </w:rPr>
        <w:t>3</w:t>
      </w:r>
      <w:r>
        <w:t>.0.4</w:t>
      </w:r>
      <w:r>
        <w:rPr>
          <w:rFonts w:hint="eastAsia"/>
          <w:b w:val="0"/>
        </w:rPr>
        <w:tab/>
      </w:r>
      <w:r>
        <w:rPr>
          <w:rFonts w:hint="eastAsia"/>
          <w:b w:val="0"/>
        </w:rPr>
        <w:t>城市生态基础设施规划设计应达到以下目标：</w:t>
      </w:r>
    </w:p>
    <w:p>
      <w:pPr>
        <w:ind w:firstLine="480"/>
      </w:pPr>
      <w:r>
        <w:rPr>
          <w:rFonts w:hint="eastAsia"/>
        </w:rPr>
        <w:t xml:space="preserve">1城市生态格局完整、生态冷源、通风廊道、水系廊道健全，城市公园绿地体系等级清晰、网络完整； </w:t>
      </w:r>
    </w:p>
    <w:p>
      <w:pPr>
        <w:ind w:firstLine="480"/>
      </w:pPr>
      <w:r>
        <w:rPr>
          <w:rFonts w:hint="eastAsia"/>
        </w:rPr>
        <w:t>2城市生态空间品质提升，生态系统服务功能优化，满足动植物栖息、微气候调节、雨洪调节、防灾避险、公共服务、文化传承、协同减碳等功能。</w:t>
      </w:r>
    </w:p>
    <w:p>
      <w:pPr>
        <w:pStyle w:val="5"/>
        <w:spacing w:before="0" w:after="0"/>
        <w:rPr>
          <w:b w:val="0"/>
        </w:rPr>
      </w:pPr>
      <w:r>
        <w:rPr>
          <w:rFonts w:ascii="楷体" w:hAnsi="楷体" w:eastAsia="楷体"/>
          <w:color w:val="000000" w:themeColor="text1"/>
          <w:sz w:val="21"/>
          <w:szCs w:val="21"/>
          <w14:textFill>
            <w14:solidFill>
              <w14:schemeClr w14:val="tx1"/>
            </w14:solidFill>
          </w14:textFill>
        </w:rPr>
        <w:t xml:space="preserve"> </w:t>
      </w:r>
      <w:r>
        <w:t>3.0.5</w:t>
      </w:r>
      <w:r>
        <w:rPr>
          <w:b w:val="0"/>
        </w:rPr>
        <w:tab/>
      </w:r>
      <w:r>
        <w:rPr>
          <w:rFonts w:hint="eastAsia"/>
          <w:b w:val="0"/>
        </w:rPr>
        <w:t>城市生态基础设施规划设计关键指标应符合表3.0.5的规定：</w:t>
      </w:r>
    </w:p>
    <w:p>
      <w:pPr>
        <w:ind w:firstLine="420"/>
        <w:jc w:val="center"/>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表3.0.5</w:t>
      </w:r>
      <w:r>
        <w:rPr>
          <w:rFonts w:ascii="黑体" w:hAnsi="黑体" w:eastAsia="黑体"/>
          <w:color w:val="000000" w:themeColor="text1"/>
          <w:sz w:val="21"/>
          <w:szCs w:val="21"/>
          <w14:textFill>
            <w14:solidFill>
              <w14:schemeClr w14:val="tx1"/>
            </w14:solidFill>
          </w14:textFill>
        </w:rPr>
        <w:t xml:space="preserve">  城市</w:t>
      </w:r>
      <w:r>
        <w:rPr>
          <w:rFonts w:hint="eastAsia" w:ascii="黑体" w:hAnsi="黑体" w:eastAsia="黑体"/>
          <w:color w:val="000000" w:themeColor="text1"/>
          <w:sz w:val="21"/>
          <w:szCs w:val="21"/>
          <w14:textFill>
            <w14:solidFill>
              <w14:schemeClr w14:val="tx1"/>
            </w14:solidFill>
          </w14:textFill>
        </w:rPr>
        <w:t>生态基础设施关键指标表</w:t>
      </w:r>
    </w:p>
    <w:tbl>
      <w:tblPr>
        <w:tblStyle w:val="7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1"/>
        <w:gridCol w:w="687"/>
        <w:gridCol w:w="2313"/>
        <w:gridCol w:w="2211"/>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tcPr>
          <w:p>
            <w:pPr>
              <w:spacing w:before="156" w:line="240" w:lineRule="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类别</w:t>
            </w:r>
          </w:p>
        </w:tc>
        <w:tc>
          <w:tcPr>
            <w:tcW w:w="687" w:type="dxa"/>
          </w:tcPr>
          <w:p>
            <w:pPr>
              <w:spacing w:before="156" w:line="240" w:lineRule="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序号</w:t>
            </w:r>
          </w:p>
        </w:tc>
        <w:tc>
          <w:tcPr>
            <w:tcW w:w="2313" w:type="dxa"/>
          </w:tcPr>
          <w:p>
            <w:pPr>
              <w:spacing w:before="156" w:line="240" w:lineRule="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指标</w:t>
            </w:r>
          </w:p>
        </w:tc>
        <w:tc>
          <w:tcPr>
            <w:tcW w:w="2126" w:type="dxa"/>
          </w:tcPr>
          <w:p>
            <w:pPr>
              <w:spacing w:before="156" w:line="240" w:lineRule="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数值</w:t>
            </w:r>
          </w:p>
        </w:tc>
        <w:tc>
          <w:tcPr>
            <w:tcW w:w="2489" w:type="dxa"/>
          </w:tcPr>
          <w:p>
            <w:pPr>
              <w:spacing w:before="156" w:line="240" w:lineRule="auto"/>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restart"/>
          </w:tcPr>
          <w:p>
            <w:pPr>
              <w:spacing w:before="156" w:line="240" w:lineRule="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规划格局</w:t>
            </w: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城区人均生态基础设施面积</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大于等于15</w:t>
            </w:r>
            <w:r>
              <w:rPr>
                <w:rFonts w:hint="eastAsia" w:ascii="宋体" w:hAnsi="宋体"/>
                <w:color w:val="000000" w:themeColor="text1"/>
                <w:sz w:val="21"/>
                <w:szCs w:val="21"/>
                <w14:textFill>
                  <w14:solidFill>
                    <w14:schemeClr w14:val="tx1"/>
                  </w14:solidFill>
                </w14:textFill>
              </w:rPr>
              <w:t>m</w:t>
            </w:r>
            <w:r>
              <w:rPr>
                <w:rFonts w:ascii="宋体" w:hAnsi="宋体"/>
                <w:color w:val="000000" w:themeColor="text1"/>
                <w:sz w:val="21"/>
                <w:szCs w:val="21"/>
                <w:vertAlign w:val="superscript"/>
                <w14:textFill>
                  <w14:solidFill>
                    <w14:schemeClr w14:val="tx1"/>
                  </w14:solidFill>
                </w14:textFill>
              </w:rPr>
              <w:t>2</w:t>
            </w:r>
            <w:r>
              <w:rPr>
                <w:rFonts w:hint="eastAsia" w:ascii="宋体" w:hAnsi="宋体"/>
                <w:color w:val="000000" w:themeColor="text1"/>
                <w:sz w:val="21"/>
                <w:szCs w:val="21"/>
                <w14:textFill>
                  <w14:solidFill>
                    <w14:schemeClr w14:val="tx1"/>
                  </w14:solidFill>
                </w14:textFill>
              </w:rPr>
              <w:t>/人</w:t>
            </w:r>
          </w:p>
        </w:tc>
        <w:tc>
          <w:tcPr>
            <w:tcW w:w="2489" w:type="dxa"/>
          </w:tcPr>
          <w:p>
            <w:pPr>
              <w:spacing w:before="156" w:line="240" w:lineRule="auto"/>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2</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城区地均生态基础设施面积</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新建城区不宜低于40hm</w:t>
            </w:r>
            <w:r>
              <w:rPr>
                <w:rFonts w:ascii="宋体" w:hAnsi="宋体"/>
                <w:color w:val="000000" w:themeColor="text1"/>
                <w:sz w:val="21"/>
                <w:szCs w:val="21"/>
                <w:vertAlign w:val="superscript"/>
                <w14:textFill>
                  <w14:solidFill>
                    <w14:schemeClr w14:val="tx1"/>
                  </w14:solidFill>
                </w14:textFill>
              </w:rPr>
              <w:t>2</w:t>
            </w:r>
            <w:r>
              <w:rPr>
                <w:rFonts w:hint="eastAsia" w:ascii="宋体" w:hAnsi="宋体"/>
                <w:color w:val="000000" w:themeColor="text1"/>
                <w:sz w:val="21"/>
                <w:szCs w:val="21"/>
                <w14:textFill>
                  <w14:solidFill>
                    <w14:schemeClr w14:val="tx1"/>
                  </w14:solidFill>
                </w14:textFill>
              </w:rPr>
              <w:t>/km</w:t>
            </w:r>
            <w:r>
              <w:rPr>
                <w:rFonts w:ascii="宋体" w:hAnsi="宋体"/>
                <w:color w:val="000000" w:themeColor="text1"/>
                <w:sz w:val="21"/>
                <w:szCs w:val="21"/>
                <w:vertAlign w:val="superscript"/>
                <w14:textFill>
                  <w14:solidFill>
                    <w14:schemeClr w14:val="tx1"/>
                  </w14:solidFill>
                </w14:textFill>
              </w:rPr>
              <w:t>2</w:t>
            </w:r>
            <w:r>
              <w:rPr>
                <w:rFonts w:hint="eastAsia" w:ascii="宋体" w:hAnsi="宋体"/>
                <w:color w:val="000000" w:themeColor="text1"/>
                <w:sz w:val="21"/>
                <w:szCs w:val="21"/>
                <w14:textFill>
                  <w14:solidFill>
                    <w14:schemeClr w14:val="tx1"/>
                  </w14:solidFill>
                </w14:textFill>
              </w:rPr>
              <w:t>；</w:t>
            </w:r>
          </w:p>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已建城区不宜低于20hm</w:t>
            </w:r>
            <w:r>
              <w:rPr>
                <w:rFonts w:ascii="宋体" w:hAnsi="宋体"/>
                <w:color w:val="000000" w:themeColor="text1"/>
                <w:sz w:val="21"/>
                <w:szCs w:val="21"/>
                <w:vertAlign w:val="superscript"/>
                <w14:textFill>
                  <w14:solidFill>
                    <w14:schemeClr w14:val="tx1"/>
                  </w14:solidFill>
                </w14:textFill>
              </w:rPr>
              <w:t>2</w:t>
            </w:r>
            <w:r>
              <w:rPr>
                <w:rFonts w:hint="eastAsia" w:ascii="宋体" w:hAnsi="宋体"/>
                <w:color w:val="000000" w:themeColor="text1"/>
                <w:sz w:val="21"/>
                <w:szCs w:val="21"/>
                <w14:textFill>
                  <w14:solidFill>
                    <w14:schemeClr w14:val="tx1"/>
                  </w14:solidFill>
                </w14:textFill>
              </w:rPr>
              <w:t>/km</w:t>
            </w:r>
            <w:r>
              <w:rPr>
                <w:rFonts w:ascii="宋体" w:hAnsi="宋体"/>
                <w:color w:val="000000" w:themeColor="text1"/>
                <w:sz w:val="21"/>
                <w:szCs w:val="21"/>
                <w:vertAlign w:val="superscript"/>
                <w14:textFill>
                  <w14:solidFill>
                    <w14:schemeClr w14:val="tx1"/>
                  </w14:solidFill>
                </w14:textFill>
              </w:rPr>
              <w:t>2</w:t>
            </w:r>
            <w:r>
              <w:rPr>
                <w:rFonts w:hint="eastAsia" w:ascii="宋体" w:hAnsi="宋体"/>
                <w:color w:val="000000" w:themeColor="text1"/>
                <w:sz w:val="21"/>
                <w:szCs w:val="21"/>
                <w14:textFill>
                  <w14:solidFill>
                    <w14:schemeClr w14:val="tx1"/>
                  </w14:solidFill>
                </w14:textFill>
              </w:rPr>
              <w:t>。</w:t>
            </w:r>
          </w:p>
        </w:tc>
        <w:tc>
          <w:tcPr>
            <w:tcW w:w="2489" w:type="dxa"/>
          </w:tcPr>
          <w:p>
            <w:pPr>
              <w:spacing w:before="156" w:line="240" w:lineRule="auto"/>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3</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城区级绿道网密度</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1.0km/km</w:t>
            </w:r>
            <w:r>
              <w:rPr>
                <w:rFonts w:ascii="宋体" w:hAnsi="宋体"/>
                <w:color w:val="000000" w:themeColor="text1"/>
                <w:sz w:val="21"/>
                <w:szCs w:val="21"/>
                <w14:textFill>
                  <w14:solidFill>
                    <w14:schemeClr w14:val="tx1"/>
                  </w14:solidFill>
                </w14:textFill>
              </w:rPr>
              <w:t>²</w:t>
            </w:r>
            <w:r>
              <w:rPr>
                <w:rFonts w:hint="eastAsia" w:ascii="宋体" w:hAnsi="宋体"/>
                <w:color w:val="000000" w:themeColor="text1"/>
                <w:sz w:val="21"/>
                <w:szCs w:val="21"/>
                <w14:textFill>
                  <w14:solidFill>
                    <w14:schemeClr w14:val="tx1"/>
                  </w14:solidFill>
                </w14:textFill>
              </w:rPr>
              <w:t>~1.5km/km</w:t>
            </w:r>
            <w:r>
              <w:rPr>
                <w:rFonts w:ascii="宋体" w:hAnsi="宋体"/>
                <w:color w:val="000000" w:themeColor="text1"/>
                <w:sz w:val="21"/>
                <w:szCs w:val="21"/>
                <w14:textFill>
                  <w14:solidFill>
                    <w14:schemeClr w14:val="tx1"/>
                  </w14:solidFill>
                </w14:textFill>
              </w:rPr>
              <w:t>²</w:t>
            </w:r>
          </w:p>
        </w:tc>
        <w:tc>
          <w:tcPr>
            <w:tcW w:w="2489" w:type="dxa"/>
          </w:tcPr>
          <w:p>
            <w:pPr>
              <w:spacing w:before="156" w:line="240" w:lineRule="auto"/>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4</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廊道宽度</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生态廊道：</w:t>
            </w:r>
            <w:r>
              <w:rPr>
                <w:rFonts w:hint="eastAsia" w:ascii="宋体" w:hAnsi="宋体"/>
                <w:color w:val="000000" w:themeColor="text1"/>
                <w:sz w:val="21"/>
                <w:szCs w:val="21"/>
                <w14:textFill>
                  <w14:solidFill>
                    <w14:schemeClr w14:val="tx1"/>
                  </w14:solidFill>
                </w14:textFill>
              </w:rPr>
              <w:t>大于等于</w:t>
            </w:r>
            <w:r>
              <w:rPr>
                <w:rFonts w:ascii="宋体" w:hAnsi="宋体"/>
                <w:color w:val="000000" w:themeColor="text1"/>
                <w:sz w:val="21"/>
                <w:szCs w:val="21"/>
                <w14:textFill>
                  <w14:solidFill>
                    <w14:schemeClr w14:val="tx1"/>
                  </w14:solidFill>
                </w14:textFill>
              </w:rPr>
              <w:t>12m；</w:t>
            </w:r>
          </w:p>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通风廊道：大于等于50m；</w:t>
            </w:r>
          </w:p>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城市绿道：</w:t>
            </w:r>
            <w:r>
              <w:rPr>
                <w:rFonts w:ascii="宋体" w:hAnsi="宋体"/>
                <w:color w:val="000000" w:themeColor="text1"/>
                <w:sz w:val="21"/>
                <w:szCs w:val="21"/>
                <w14:textFill>
                  <w14:solidFill>
                    <w14:schemeClr w14:val="tx1"/>
                  </w14:solidFill>
                </w14:textFill>
              </w:rPr>
              <w:t>大于等于</w:t>
            </w:r>
            <w:r>
              <w:rPr>
                <w:rFonts w:hint="eastAsia" w:ascii="宋体" w:hAnsi="宋体"/>
                <w:color w:val="000000" w:themeColor="text1"/>
                <w:sz w:val="21"/>
                <w:szCs w:val="21"/>
                <w14:textFill>
                  <w14:solidFill>
                    <w14:schemeClr w14:val="tx1"/>
                  </w14:solidFill>
                </w14:textFill>
              </w:rPr>
              <w:t>3m。</w:t>
            </w:r>
          </w:p>
        </w:tc>
        <w:tc>
          <w:tcPr>
            <w:tcW w:w="2489" w:type="dxa"/>
          </w:tcPr>
          <w:p>
            <w:pPr>
              <w:spacing w:before="156" w:line="240" w:lineRule="auto"/>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restart"/>
          </w:tcPr>
          <w:p>
            <w:pPr>
              <w:spacing w:before="156" w:line="240" w:lineRule="auto"/>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设计</w:t>
            </w:r>
            <w:r>
              <w:rPr>
                <w:rFonts w:ascii="宋体" w:hAnsi="宋体"/>
                <w:color w:val="000000" w:themeColor="text1"/>
                <w:sz w:val="21"/>
                <w:szCs w:val="21"/>
                <w14:textFill>
                  <w14:solidFill>
                    <w14:schemeClr w14:val="tx1"/>
                  </w14:solidFill>
                </w14:textFill>
              </w:rPr>
              <w:t>品质</w:t>
            </w:r>
          </w:p>
          <w:p>
            <w:pPr>
              <w:spacing w:before="156" w:line="240" w:lineRule="auto"/>
              <w:ind w:firstLine="420"/>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5</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山体修复区域植被覆盖度提升率</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w:t>
            </w:r>
            <w:r>
              <w:rPr>
                <w:rFonts w:hint="eastAsia" w:ascii="宋体" w:hAnsi="宋体"/>
                <w:color w:val="000000" w:themeColor="text1"/>
                <w:sz w:val="21"/>
                <w:szCs w:val="21"/>
                <w14:textFill>
                  <w14:solidFill>
                    <w14:schemeClr w14:val="tx1"/>
                  </w14:solidFill>
                </w14:textFill>
              </w:rPr>
              <w:t>5%</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6</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自然岸线保有率提升率</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w:t>
            </w:r>
            <w:r>
              <w:rPr>
                <w:rFonts w:hint="eastAsia" w:ascii="宋体" w:hAnsi="宋体"/>
                <w:color w:val="000000" w:themeColor="text1"/>
                <w:sz w:val="21"/>
                <w:szCs w:val="21"/>
                <w14:textFill>
                  <w14:solidFill>
                    <w14:schemeClr w14:val="tx1"/>
                  </w14:solidFill>
                </w14:textFill>
              </w:rPr>
              <w:t>0</w:t>
            </w:r>
            <w:r>
              <w:rPr>
                <w:rFonts w:ascii="宋体" w:hAnsi="宋体"/>
                <w:color w:val="000000" w:themeColor="text1"/>
                <w:sz w:val="21"/>
                <w:szCs w:val="21"/>
                <w14:textFill>
                  <w14:solidFill>
                    <w14:schemeClr w14:val="tx1"/>
                  </w14:solidFill>
                </w14:textFill>
              </w:rPr>
              <w:t>.5%</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7</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公园自然带比例</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大于等于</w:t>
            </w:r>
            <w:r>
              <w:rPr>
                <w:rFonts w:hint="eastAsia" w:ascii="宋体" w:hAnsi="宋体"/>
                <w:color w:val="000000" w:themeColor="text1"/>
                <w:sz w:val="21"/>
                <w:szCs w:val="21"/>
                <w14:textFill>
                  <w14:solidFill>
                    <w14:schemeClr w14:val="tx1"/>
                  </w14:solidFill>
                </w14:textFill>
              </w:rPr>
              <w:t>10%</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城市公园宜按照10%的比例划定自然带；郊野公园宜按照20%-30%的比例划定自然带。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8</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乡土树种使用率</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大于等于</w:t>
            </w:r>
            <w:r>
              <w:rPr>
                <w:rFonts w:hint="eastAsia" w:ascii="宋体" w:hAnsi="宋体"/>
                <w:color w:val="000000" w:themeColor="text1"/>
                <w:sz w:val="21"/>
                <w:szCs w:val="21"/>
                <w14:textFill>
                  <w14:solidFill>
                    <w14:schemeClr w14:val="tx1"/>
                  </w14:solidFill>
                </w14:textFill>
              </w:rPr>
              <w:t>8</w:t>
            </w:r>
            <w:r>
              <w:rPr>
                <w:rFonts w:ascii="宋体" w:hAnsi="宋体"/>
                <w:color w:val="000000" w:themeColor="text1"/>
                <w:sz w:val="21"/>
                <w:szCs w:val="21"/>
                <w14:textFill>
                  <w14:solidFill>
                    <w14:schemeClr w14:val="tx1"/>
                  </w14:solidFill>
                </w14:textFill>
              </w:rPr>
              <w:t>0%</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9</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通风廊道内部</w:t>
            </w:r>
            <w:r>
              <w:rPr>
                <w:rFonts w:ascii="宋体" w:hAnsi="宋体"/>
                <w:color w:val="000000" w:themeColor="text1"/>
                <w:sz w:val="21"/>
                <w:szCs w:val="21"/>
                <w14:textFill>
                  <w14:solidFill>
                    <w14:schemeClr w14:val="tx1"/>
                  </w14:solidFill>
                </w14:textFill>
              </w:rPr>
              <w:t>及</w:t>
            </w:r>
            <w:r>
              <w:rPr>
                <w:rFonts w:hint="eastAsia" w:ascii="宋体" w:hAnsi="宋体"/>
                <w:color w:val="000000" w:themeColor="text1"/>
                <w:sz w:val="21"/>
                <w:szCs w:val="21"/>
                <w14:textFill>
                  <w14:solidFill>
                    <w14:schemeClr w14:val="tx1"/>
                  </w14:solidFill>
                </w14:textFill>
              </w:rPr>
              <w:t>周边绿化覆盖率</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大于等于30%</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尹杰</w:t>
            </w:r>
            <w:r>
              <w:rPr>
                <w:rFonts w:ascii="宋体" w:hAnsi="宋体"/>
                <w:color w:val="000000" w:themeColor="text1"/>
                <w:sz w:val="21"/>
                <w:szCs w:val="21"/>
                <w14:textFill>
                  <w14:solidFill>
                    <w14:schemeClr w14:val="tx1"/>
                  </w14:solidFill>
                </w14:textFill>
              </w:rPr>
              <w:t xml:space="preserve">等, </w:t>
            </w:r>
            <w:r>
              <w:rPr>
                <w:rFonts w:hint="eastAsia" w:ascii="宋体" w:hAnsi="宋体"/>
                <w:color w:val="000000" w:themeColor="text1"/>
                <w:sz w:val="21"/>
                <w:szCs w:val="21"/>
                <w14:textFill>
                  <w14:solidFill>
                    <w14:schemeClr w14:val="tx1"/>
                  </w14:solidFill>
                </w14:textFill>
              </w:rPr>
              <w:t>基于</w:t>
            </w:r>
            <w:r>
              <w:rPr>
                <w:rFonts w:ascii="宋体" w:hAnsi="宋体"/>
                <w:color w:val="000000" w:themeColor="text1"/>
                <w:sz w:val="21"/>
                <w:szCs w:val="21"/>
                <w14:textFill>
                  <w14:solidFill>
                    <w14:schemeClr w14:val="tx1"/>
                  </w14:solidFill>
                </w14:textFill>
              </w:rPr>
              <w:t>GIS和CFD的城市街道通风廊道研究——以武汉为例</w:t>
            </w:r>
            <w:r>
              <w:rPr>
                <w:rFonts w:hint="eastAsia" w:ascii="宋体" w:hAnsi="宋体"/>
                <w:color w:val="000000" w:themeColor="text1"/>
                <w:sz w:val="21"/>
                <w:szCs w:val="21"/>
                <w14:textFill>
                  <w14:solidFill>
                    <w14:schemeClr w14:val="tx1"/>
                  </w14:solidFill>
                </w14:textFill>
              </w:rPr>
              <w:t>. 中国</w:t>
            </w:r>
            <w:r>
              <w:rPr>
                <w:rFonts w:ascii="宋体" w:hAnsi="宋体"/>
                <w:color w:val="000000" w:themeColor="text1"/>
                <w:sz w:val="21"/>
                <w:szCs w:val="21"/>
                <w14:textFill>
                  <w14:solidFill>
                    <w14:schemeClr w14:val="tx1"/>
                  </w14:solidFill>
                </w14:textFill>
              </w:rPr>
              <w:t>园林</w:t>
            </w:r>
            <w:r>
              <w:rPr>
                <w:rFonts w:hint="eastAsia" w:ascii="宋体" w:hAnsi="宋体"/>
                <w:color w:val="000000" w:themeColor="text1"/>
                <w:sz w:val="21"/>
                <w:szCs w:val="21"/>
                <w14:textFill>
                  <w14:solidFill>
                    <w14:schemeClr w14:val="tx1"/>
                  </w14:solidFill>
                </w14:textFill>
              </w:rPr>
              <w:t xml:space="preserve">, 2019, </w:t>
            </w:r>
            <w:r>
              <w:rPr>
                <w:rFonts w:ascii="宋体" w:hAnsi="宋体"/>
                <w:color w:val="000000" w:themeColor="text1"/>
                <w:sz w:val="21"/>
                <w:szCs w:val="21"/>
                <w14:textFill>
                  <w14:solidFill>
                    <w14:schemeClr w14:val="tx1"/>
                  </w14:solidFill>
                </w14:textFill>
              </w:rPr>
              <w:t>35(6): 84-88.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w:t>
            </w:r>
            <w:r>
              <w:rPr>
                <w:rFonts w:ascii="宋体" w:hAnsi="宋体"/>
                <w:color w:val="000000" w:themeColor="text1"/>
                <w:sz w:val="21"/>
                <w:szCs w:val="21"/>
                <w14:textFill>
                  <w14:solidFill>
                    <w14:schemeClr w14:val="tx1"/>
                  </w14:solidFill>
                </w14:textFill>
              </w:rPr>
              <w:t>0</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城市雨水就地消纳利用</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大于等于70%</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《国务院办公厅关于推进海绵城市建设的指导意见》 国办发〔2015〕75号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1" w:type="dxa"/>
            <w:vMerge w:val="continue"/>
          </w:tcPr>
          <w:p>
            <w:pPr>
              <w:spacing w:before="156" w:line="240" w:lineRule="auto"/>
              <w:rPr>
                <w:rFonts w:ascii="宋体" w:hAnsi="宋体"/>
                <w:color w:val="000000" w:themeColor="text1"/>
                <w:sz w:val="21"/>
                <w:szCs w:val="21"/>
                <w14:textFill>
                  <w14:solidFill>
                    <w14:schemeClr w14:val="tx1"/>
                  </w14:solidFill>
                </w14:textFill>
              </w:rPr>
            </w:pPr>
          </w:p>
        </w:tc>
        <w:tc>
          <w:tcPr>
            <w:tcW w:w="687" w:type="dxa"/>
          </w:tcPr>
          <w:p>
            <w:pPr>
              <w:spacing w:before="156" w:line="240" w:lineRule="auto"/>
              <w:jc w:val="left"/>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w:t>
            </w:r>
            <w:r>
              <w:rPr>
                <w:rFonts w:ascii="宋体" w:hAnsi="宋体"/>
                <w:color w:val="000000" w:themeColor="text1"/>
                <w:sz w:val="21"/>
                <w:szCs w:val="21"/>
                <w14:textFill>
                  <w14:solidFill>
                    <w14:schemeClr w14:val="tx1"/>
                  </w14:solidFill>
                </w14:textFill>
              </w:rPr>
              <w:t>1</w:t>
            </w:r>
          </w:p>
        </w:tc>
        <w:tc>
          <w:tcPr>
            <w:tcW w:w="2313"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绿地覆盖面积中乔灌木设计配比</w:t>
            </w:r>
          </w:p>
        </w:tc>
        <w:tc>
          <w:tcPr>
            <w:tcW w:w="2126" w:type="dxa"/>
          </w:tcPr>
          <w:p>
            <w:pPr>
              <w:spacing w:before="156" w:line="240" w:lineRule="auto"/>
              <w:jc w:val="left"/>
              <w:rPr>
                <w:rFonts w:ascii="宋体" w:hAnsi="宋体"/>
                <w:color w:val="000000" w:themeColor="text1"/>
                <w:sz w:val="21"/>
                <w:szCs w:val="21"/>
                <w14:textFill>
                  <w14:solidFill>
                    <w14:schemeClr w14:val="tx1"/>
                  </w14:solidFill>
                </w14:textFill>
              </w:rPr>
            </w:pPr>
            <w:r>
              <w:rPr>
                <w:rFonts w:ascii="宋体" w:hAnsi="宋体"/>
                <w:color w:val="000000" w:themeColor="text1"/>
                <w:sz w:val="21"/>
                <w:szCs w:val="21"/>
                <w14:textFill>
                  <w14:solidFill>
                    <w14:schemeClr w14:val="tx1"/>
                  </w14:solidFill>
                </w14:textFill>
              </w:rPr>
              <w:t>50%~70%</w:t>
            </w:r>
          </w:p>
        </w:tc>
        <w:tc>
          <w:tcPr>
            <w:tcW w:w="2489" w:type="dxa"/>
          </w:tcPr>
          <w:p>
            <w:pPr>
              <w:spacing w:before="156" w:line="240" w:lineRule="auto"/>
              <w:jc w:val="left"/>
              <w:rPr>
                <w:rFonts w:ascii="宋体" w:hAnsi="宋体"/>
                <w:color w:val="000000" w:themeColor="text1"/>
                <w:sz w:val="21"/>
                <w:szCs w:val="21"/>
                <w14:textFill>
                  <w14:solidFill>
                    <w14:schemeClr w14:val="tx1"/>
                  </w14:solidFill>
                </w14:textFill>
              </w:rPr>
            </w:pPr>
          </w:p>
        </w:tc>
      </w:tr>
    </w:tbl>
    <w:p>
      <w:pPr>
        <w:widowControl/>
        <w:spacing w:line="240" w:lineRule="auto"/>
        <w:jc w:val="left"/>
      </w:pPr>
    </w:p>
    <w:p>
      <w:pPr>
        <w:pStyle w:val="2"/>
        <w:spacing w:line="360" w:lineRule="auto"/>
      </w:pPr>
      <w:bookmarkStart w:id="11" w:name="_Toc215054056"/>
      <w:bookmarkStart w:id="12" w:name="_Toc201242592"/>
      <w:r>
        <w:rPr>
          <w:rFonts w:hint="eastAsia"/>
        </w:rPr>
        <w:t>4   规划格局</w:t>
      </w:r>
      <w:bookmarkEnd w:id="11"/>
      <w:bookmarkEnd w:id="12"/>
    </w:p>
    <w:p>
      <w:pPr>
        <w:pStyle w:val="3"/>
        <w:spacing w:before="156" w:after="156"/>
        <w:rPr>
          <w:color w:val="FF0000"/>
        </w:rPr>
      </w:pPr>
      <w:bookmarkStart w:id="13" w:name="_Toc167205750"/>
      <w:bookmarkStart w:id="14" w:name="_Toc201242593"/>
      <w:bookmarkStart w:id="15" w:name="_Toc215054057"/>
      <w:r>
        <w:t>4.</w:t>
      </w:r>
      <w:bookmarkEnd w:id="13"/>
      <w:r>
        <w:t>1</w:t>
      </w:r>
      <w:r>
        <w:rPr>
          <w:rFonts w:hint="eastAsia"/>
        </w:rPr>
        <w:t>空间要素</w:t>
      </w:r>
      <w:bookmarkEnd w:id="14"/>
      <w:bookmarkEnd w:id="15"/>
    </w:p>
    <w:p>
      <w:pPr>
        <w:pStyle w:val="5"/>
        <w:spacing w:before="0" w:after="0"/>
        <w:rPr>
          <w:b w:val="0"/>
        </w:rPr>
      </w:pPr>
      <w:r>
        <w:t>4.1.1</w:t>
      </w:r>
      <w:r>
        <w:rPr>
          <w:rFonts w:hint="eastAsia"/>
          <w:b w:val="0"/>
        </w:rPr>
        <w:tab/>
      </w:r>
      <w:r>
        <w:rPr>
          <w:rFonts w:hint="eastAsia"/>
          <w:b w:val="0"/>
        </w:rPr>
        <w:t>城市生态设施应按市域生态基础设施、市区生态设施、社区生态基础设施进行识别和保护：</w:t>
      </w:r>
    </w:p>
    <w:p>
      <w:pPr>
        <w:ind w:firstLine="482" w:firstLineChars="200"/>
        <w:rPr>
          <w:bCs/>
          <w:szCs w:val="28"/>
        </w:rPr>
      </w:pPr>
      <w:r>
        <w:rPr>
          <w:b/>
          <w:bCs/>
          <w:szCs w:val="28"/>
        </w:rPr>
        <w:t>1</w:t>
      </w:r>
      <w:r>
        <w:rPr>
          <w:bCs/>
          <w:szCs w:val="28"/>
        </w:rPr>
        <w:t xml:space="preserve"> </w:t>
      </w:r>
      <w:r>
        <w:rPr>
          <w:rFonts w:hint="eastAsia"/>
          <w:bCs/>
          <w:szCs w:val="28"/>
        </w:rPr>
        <w:t>市域生态基础设施应</w:t>
      </w:r>
      <w:r>
        <w:rPr>
          <w:bCs/>
          <w:szCs w:val="28"/>
        </w:rPr>
        <w:t>包括</w:t>
      </w:r>
      <w:r>
        <w:rPr>
          <w:rFonts w:hint="eastAsia"/>
          <w:bCs/>
          <w:szCs w:val="28"/>
        </w:rPr>
        <w:t>一定规模的水体、湿地、林地、大型公园绿地，以及带状蓝绿空间，面积大于等于</w:t>
      </w:r>
      <w:r>
        <w:rPr>
          <w:bCs/>
          <w:szCs w:val="28"/>
        </w:rPr>
        <w:t>50</w:t>
      </w:r>
      <w:r>
        <w:rPr>
          <w:rFonts w:hint="eastAsia"/>
          <w:bCs/>
          <w:szCs w:val="28"/>
        </w:rPr>
        <w:t>hm</w:t>
      </w:r>
      <w:r>
        <w:rPr>
          <w:bCs/>
          <w:szCs w:val="28"/>
          <w:vertAlign w:val="superscript"/>
        </w:rPr>
        <w:t>2</w:t>
      </w:r>
      <w:r>
        <w:rPr>
          <w:rFonts w:hint="eastAsia"/>
          <w:bCs/>
          <w:szCs w:val="28"/>
        </w:rPr>
        <w:t>。</w:t>
      </w:r>
    </w:p>
    <w:p>
      <w:pPr>
        <w:ind w:firstLine="482" w:firstLineChars="200"/>
        <w:rPr>
          <w:bCs/>
          <w:szCs w:val="28"/>
        </w:rPr>
      </w:pPr>
      <w:r>
        <w:rPr>
          <w:b/>
          <w:bCs/>
          <w:szCs w:val="28"/>
        </w:rPr>
        <w:t>2</w:t>
      </w:r>
      <w:r>
        <w:rPr>
          <w:bCs/>
          <w:szCs w:val="28"/>
        </w:rPr>
        <w:t xml:space="preserve"> </w:t>
      </w:r>
      <w:r>
        <w:rPr>
          <w:rFonts w:hint="eastAsia"/>
          <w:bCs/>
          <w:szCs w:val="28"/>
        </w:rPr>
        <w:t>市区生态基础设施应包括城市各类城市公园绿地，通常规模在</w:t>
      </w:r>
      <w:r>
        <w:rPr>
          <w:bCs/>
          <w:szCs w:val="28"/>
        </w:rPr>
        <w:t>10</w:t>
      </w:r>
      <w:r>
        <w:rPr>
          <w:rFonts w:hint="eastAsia"/>
          <w:bCs/>
          <w:szCs w:val="28"/>
        </w:rPr>
        <w:t>~</w:t>
      </w:r>
      <w:r>
        <w:rPr>
          <w:bCs/>
          <w:szCs w:val="28"/>
        </w:rPr>
        <w:t>50</w:t>
      </w:r>
      <w:r>
        <w:rPr>
          <w:rFonts w:hint="eastAsia"/>
          <w:bCs/>
          <w:szCs w:val="28"/>
        </w:rPr>
        <w:t xml:space="preserve"> hm</w:t>
      </w:r>
      <w:r>
        <w:rPr>
          <w:bCs/>
          <w:szCs w:val="28"/>
          <w:vertAlign w:val="superscript"/>
        </w:rPr>
        <w:t>2</w:t>
      </w:r>
      <w:r>
        <w:rPr>
          <w:rFonts w:hint="eastAsia"/>
          <w:bCs/>
          <w:szCs w:val="28"/>
        </w:rPr>
        <w:t>。</w:t>
      </w:r>
    </w:p>
    <w:p>
      <w:pPr>
        <w:ind w:firstLine="482" w:firstLineChars="200"/>
      </w:pPr>
      <w:r>
        <w:rPr>
          <w:b/>
          <w:bCs/>
          <w:szCs w:val="28"/>
        </w:rPr>
        <w:t>3</w:t>
      </w:r>
      <w:r>
        <w:rPr>
          <w:bCs/>
          <w:szCs w:val="28"/>
        </w:rPr>
        <w:t xml:space="preserve"> </w:t>
      </w:r>
      <w:r>
        <w:rPr>
          <w:rFonts w:hint="eastAsia"/>
          <w:bCs/>
          <w:szCs w:val="28"/>
        </w:rPr>
        <w:t>社区生态基础设施应包括社区公园和小微绿地、林荫道，通常规模在</w:t>
      </w:r>
      <w:r>
        <w:rPr>
          <w:bCs/>
          <w:szCs w:val="28"/>
        </w:rPr>
        <w:t>0.04</w:t>
      </w:r>
      <w:r>
        <w:rPr>
          <w:rFonts w:hint="eastAsia"/>
          <w:bCs/>
          <w:szCs w:val="28"/>
        </w:rPr>
        <w:t>~</w:t>
      </w:r>
      <w:r>
        <w:rPr>
          <w:bCs/>
          <w:szCs w:val="28"/>
        </w:rPr>
        <w:t>10</w:t>
      </w:r>
      <w:r>
        <w:rPr>
          <w:rFonts w:hint="eastAsia"/>
          <w:bCs/>
          <w:szCs w:val="28"/>
        </w:rPr>
        <w:t xml:space="preserve"> hm</w:t>
      </w:r>
      <w:r>
        <w:rPr>
          <w:bCs/>
          <w:szCs w:val="28"/>
          <w:vertAlign w:val="superscript"/>
        </w:rPr>
        <w:t>2</w:t>
      </w:r>
      <w:r>
        <w:rPr>
          <w:rFonts w:hint="eastAsia"/>
          <w:bCs/>
          <w:szCs w:val="28"/>
        </w:rPr>
        <w:t>。</w:t>
      </w:r>
    </w:p>
    <w:p>
      <w:pPr>
        <w:pStyle w:val="5"/>
        <w:spacing w:before="0" w:after="0"/>
        <w:rPr>
          <w:b w:val="0"/>
        </w:rPr>
      </w:pPr>
      <w:r>
        <w:rPr>
          <w:rFonts w:hint="eastAsia"/>
        </w:rPr>
        <w:t>4</w:t>
      </w:r>
      <w:r>
        <w:t>.1.2</w:t>
      </w:r>
      <w:r>
        <w:rPr>
          <w:rFonts w:hint="eastAsia"/>
          <w:b w:val="0"/>
        </w:rPr>
        <w:tab/>
      </w:r>
      <w:r>
        <w:rPr>
          <w:rFonts w:hint="eastAsia"/>
          <w:b w:val="0"/>
        </w:rPr>
        <w:t>识别</w:t>
      </w:r>
      <w:r>
        <w:rPr>
          <w:b w:val="0"/>
        </w:rPr>
        <w:t>和划定可作为城市生态基础设施的潜力空间，</w:t>
      </w:r>
      <w:r>
        <w:rPr>
          <w:rFonts w:hint="eastAsia"/>
          <w:b w:val="0"/>
        </w:rPr>
        <w:t>应包括低效产业用地、旧城、旧村用地、其他低效用地及其它可利用的闲置空间。</w:t>
      </w:r>
    </w:p>
    <w:p>
      <w:pPr>
        <w:pStyle w:val="3"/>
        <w:spacing w:before="156" w:after="156"/>
      </w:pPr>
      <w:bookmarkStart w:id="16" w:name="_Toc201242594"/>
      <w:bookmarkStart w:id="17" w:name="_Toc215054058"/>
      <w:r>
        <w:rPr>
          <w:rFonts w:hint="eastAsia"/>
        </w:rPr>
        <w:t>4</w:t>
      </w:r>
      <w:r>
        <w:t>.2空间规模</w:t>
      </w:r>
      <w:bookmarkEnd w:id="16"/>
      <w:bookmarkEnd w:id="17"/>
    </w:p>
    <w:p>
      <w:pPr>
        <w:pStyle w:val="5"/>
        <w:spacing w:before="0" w:after="0"/>
        <w:rPr>
          <w:b w:val="0"/>
        </w:rPr>
      </w:pPr>
      <w:r>
        <w:rPr>
          <w:rFonts w:hint="eastAsia"/>
        </w:rPr>
        <w:t>4</w:t>
      </w:r>
      <w:r>
        <w:t>.2.1</w:t>
      </w:r>
      <w:r>
        <w:rPr>
          <w:rFonts w:hint="eastAsia"/>
          <w:b w:val="0"/>
        </w:rPr>
        <w:tab/>
      </w:r>
      <w:r>
        <w:rPr>
          <w:b w:val="0"/>
        </w:rPr>
        <w:t>保障人均生态基础设施规模，</w:t>
      </w:r>
      <w:r>
        <w:rPr>
          <w:rFonts w:hint="eastAsia"/>
          <w:b w:val="0"/>
        </w:rPr>
        <w:t>并应符合下列规定</w:t>
      </w:r>
      <w:r>
        <w:rPr>
          <w:b w:val="0"/>
        </w:rPr>
        <w:t>:</w:t>
      </w:r>
    </w:p>
    <w:p>
      <w:pPr>
        <w:ind w:firstLine="480"/>
      </w:pPr>
      <w:r>
        <w:rPr>
          <w:rFonts w:hint="eastAsia"/>
          <w:b/>
          <w:bCs/>
          <w:szCs w:val="28"/>
        </w:rPr>
        <w:t>1</w:t>
      </w:r>
      <w:r>
        <w:rPr>
          <w:b/>
          <w:bCs/>
          <w:szCs w:val="28"/>
        </w:rPr>
        <w:t xml:space="preserve"> </w:t>
      </w:r>
      <w:r>
        <w:rPr>
          <w:rFonts w:hint="eastAsia"/>
        </w:rPr>
        <w:t>城区人均生态基础设施面积不应低于</w:t>
      </w:r>
      <w:r>
        <w:t>15.0</w:t>
      </w:r>
      <w:r>
        <w:rPr>
          <w:rFonts w:hint="eastAsia"/>
        </w:rPr>
        <w:t>m</w:t>
      </w:r>
      <w:r>
        <w:rPr>
          <w:vertAlign w:val="superscript"/>
        </w:rPr>
        <w:t>2</w:t>
      </w:r>
      <w:r>
        <w:rPr>
          <w:rFonts w:hint="eastAsia"/>
        </w:rPr>
        <w:t>；</w:t>
      </w:r>
    </w:p>
    <w:p>
      <w:pPr>
        <w:ind w:firstLine="480"/>
      </w:pPr>
      <w:r>
        <w:rPr>
          <w:b/>
          <w:bCs/>
          <w:szCs w:val="28"/>
        </w:rPr>
        <w:t xml:space="preserve">2 </w:t>
      </w:r>
      <w:r>
        <w:rPr>
          <w:rFonts w:hint="eastAsia"/>
        </w:rPr>
        <w:t>城区人均公园保障度不应低于4</w:t>
      </w:r>
      <w:r>
        <w:t>0%。</w:t>
      </w:r>
    </w:p>
    <w:p>
      <w:pPr>
        <w:pStyle w:val="5"/>
        <w:spacing w:before="0" w:after="0"/>
        <w:rPr>
          <w:b w:val="0"/>
        </w:rPr>
      </w:pPr>
      <w:r>
        <w:rPr>
          <w:rFonts w:hint="eastAsia"/>
        </w:rPr>
        <w:t>4</w:t>
      </w:r>
      <w:r>
        <w:t>.2.2</w:t>
      </w:r>
      <w:r>
        <w:rPr>
          <w:rFonts w:hint="eastAsia"/>
          <w:b w:val="0"/>
        </w:rPr>
        <w:tab/>
      </w:r>
      <w:r>
        <w:rPr>
          <w:b w:val="0"/>
        </w:rPr>
        <w:t>保障生态基础设施规模，</w:t>
      </w:r>
      <w:r>
        <w:rPr>
          <w:rFonts w:hint="eastAsia"/>
          <w:b w:val="0"/>
        </w:rPr>
        <w:t>并应符合下列规定</w:t>
      </w:r>
      <w:r>
        <w:rPr>
          <w:b w:val="0"/>
        </w:rPr>
        <w:t>:</w:t>
      </w:r>
    </w:p>
    <w:p>
      <w:pPr>
        <w:ind w:firstLine="480"/>
      </w:pPr>
      <w:r>
        <w:rPr>
          <w:rFonts w:hint="eastAsia"/>
          <w:b/>
          <w:bCs/>
          <w:szCs w:val="28"/>
        </w:rPr>
        <w:t>1</w:t>
      </w:r>
      <w:r>
        <w:rPr>
          <w:b/>
          <w:bCs/>
          <w:szCs w:val="28"/>
        </w:rPr>
        <w:t xml:space="preserve"> </w:t>
      </w:r>
      <w:r>
        <w:rPr>
          <w:rFonts w:hint="eastAsia"/>
        </w:rPr>
        <w:t>新建城区生态基础设施面积不宜低于</w:t>
      </w:r>
      <w:r>
        <w:t>40</w:t>
      </w:r>
      <w:r>
        <w:rPr>
          <w:rFonts w:hint="eastAsia" w:asciiTheme="minorEastAsia" w:hAnsiTheme="minorEastAsia" w:eastAsiaTheme="minorEastAsia"/>
          <w:color w:val="000000" w:themeColor="text1"/>
          <w:sz w:val="21"/>
          <w:szCs w:val="21"/>
          <w14:textFill>
            <w14:solidFill>
              <w14:schemeClr w14:val="tx1"/>
            </w14:solidFill>
          </w14:textFill>
        </w:rPr>
        <w:t xml:space="preserve"> </w:t>
      </w:r>
      <w:r>
        <w:t>hm</w:t>
      </w:r>
      <w:r>
        <w:rPr>
          <w:vertAlign w:val="superscript"/>
        </w:rPr>
        <w:t>2</w:t>
      </w:r>
      <w:r>
        <w:t>/km</w:t>
      </w:r>
      <w:r>
        <w:rPr>
          <w:vertAlign w:val="superscript"/>
        </w:rPr>
        <w:t>2</w:t>
      </w:r>
      <w:r>
        <w:rPr>
          <w:rFonts w:hint="eastAsia"/>
        </w:rPr>
        <w:t>；</w:t>
      </w:r>
    </w:p>
    <w:p>
      <w:pPr>
        <w:ind w:firstLine="480"/>
      </w:pPr>
      <w:r>
        <w:rPr>
          <w:b/>
          <w:bCs/>
          <w:szCs w:val="28"/>
        </w:rPr>
        <w:t xml:space="preserve">2 </w:t>
      </w:r>
      <w:r>
        <w:t>已建城区</w:t>
      </w:r>
      <w:r>
        <w:rPr>
          <w:rFonts w:hint="eastAsia"/>
        </w:rPr>
        <w:t>生态基础设施面积不宜低于</w:t>
      </w:r>
      <w:r>
        <w:t>20 hm</w:t>
      </w:r>
      <w:r>
        <w:rPr>
          <w:vertAlign w:val="superscript"/>
        </w:rPr>
        <w:t>2</w:t>
      </w:r>
      <w:r>
        <w:t>/km</w:t>
      </w:r>
      <w:r>
        <w:rPr>
          <w:vertAlign w:val="superscript"/>
        </w:rPr>
        <w:t>2</w:t>
      </w:r>
      <w:r>
        <w:t>。</w:t>
      </w:r>
    </w:p>
    <w:p>
      <w:pPr>
        <w:pStyle w:val="3"/>
        <w:spacing w:before="156" w:after="156"/>
      </w:pPr>
      <w:bookmarkStart w:id="18" w:name="_Toc215054059"/>
      <w:bookmarkStart w:id="19" w:name="_Toc201242595"/>
      <w:r>
        <w:t>4.3空间结构</w:t>
      </w:r>
      <w:bookmarkEnd w:id="18"/>
      <w:bookmarkEnd w:id="19"/>
    </w:p>
    <w:p>
      <w:pPr>
        <w:pStyle w:val="5"/>
        <w:spacing w:before="0" w:after="0"/>
        <w:rPr>
          <w:b w:val="0"/>
        </w:rPr>
      </w:pPr>
      <w:r>
        <w:rPr>
          <w:rFonts w:hint="eastAsia"/>
        </w:rPr>
        <w:t>4</w:t>
      </w:r>
      <w:r>
        <w:t>.3.1</w:t>
      </w:r>
      <w:r>
        <w:rPr>
          <w:rFonts w:hint="eastAsia"/>
          <w:b w:val="0"/>
        </w:rPr>
        <w:tab/>
      </w:r>
      <w:r>
        <w:rPr>
          <w:rFonts w:hint="eastAsia"/>
          <w:b w:val="0"/>
        </w:rPr>
        <w:t>城市生态基础设施体系布局应符合下列规定</w:t>
      </w:r>
      <w:r>
        <w:rPr>
          <w:b w:val="0"/>
        </w:rPr>
        <w:t>：</w:t>
      </w:r>
    </w:p>
    <w:p>
      <w:pPr>
        <w:ind w:firstLine="482" w:firstLineChars="200"/>
        <w:rPr>
          <w:bCs/>
          <w:szCs w:val="28"/>
        </w:rPr>
      </w:pPr>
      <w:r>
        <w:rPr>
          <w:b/>
          <w:bCs/>
          <w:szCs w:val="28"/>
        </w:rPr>
        <w:t>1</w:t>
      </w:r>
      <w:r>
        <w:rPr>
          <w:bCs/>
          <w:szCs w:val="28"/>
        </w:rPr>
        <w:t xml:space="preserve"> </w:t>
      </w:r>
      <w:r>
        <w:rPr>
          <w:rFonts w:hint="eastAsia"/>
          <w:bCs/>
          <w:szCs w:val="28"/>
        </w:rPr>
        <w:t>应按服务半径分级配置大、中、小不同规模和类型的公园绿地，规模及服务半径应符合现行国家标准《城市绿地规划标准》GB/T51346的有关规定。</w:t>
      </w:r>
    </w:p>
    <w:p>
      <w:pPr>
        <w:ind w:firstLine="482" w:firstLineChars="200"/>
        <w:rPr>
          <w:bCs/>
          <w:szCs w:val="28"/>
        </w:rPr>
      </w:pPr>
      <w:r>
        <w:rPr>
          <w:b/>
          <w:bCs/>
          <w:szCs w:val="28"/>
        </w:rPr>
        <w:t>2</w:t>
      </w:r>
      <w:r>
        <w:rPr>
          <w:bCs/>
          <w:szCs w:val="28"/>
        </w:rPr>
        <w:t xml:space="preserve"> </w:t>
      </w:r>
      <w:r>
        <w:rPr>
          <w:rFonts w:hint="eastAsia"/>
          <w:bCs/>
          <w:szCs w:val="28"/>
        </w:rPr>
        <w:t>加强沿河沿路沿边线型生态基础设施建设，通过构建绿环、绿带、绿楔、绿廊、绿道系统等线状空间，提升城市生态基础设施的完整性。</w:t>
      </w:r>
    </w:p>
    <w:p>
      <w:pPr>
        <w:ind w:firstLine="482" w:firstLineChars="200"/>
        <w:rPr>
          <w:bCs/>
          <w:szCs w:val="28"/>
        </w:rPr>
      </w:pPr>
      <w:r>
        <w:rPr>
          <w:b/>
          <w:bCs/>
          <w:szCs w:val="28"/>
        </w:rPr>
        <w:t>3</w:t>
      </w:r>
      <w:r>
        <w:rPr>
          <w:bCs/>
          <w:szCs w:val="28"/>
        </w:rPr>
        <w:t xml:space="preserve"> </w:t>
      </w:r>
      <w:r>
        <w:rPr>
          <w:rFonts w:hint="eastAsia"/>
          <w:bCs/>
          <w:szCs w:val="28"/>
        </w:rPr>
        <w:t>利用识别空间要素所划定的潜力空间，通过留白增绿、拆违建绿、见缝插绿等方式，建设社区公园、口袋公园</w:t>
      </w:r>
      <w:r>
        <w:rPr>
          <w:bCs/>
          <w:szCs w:val="28"/>
        </w:rPr>
        <w:t>、小微绿地、街头游园</w:t>
      </w:r>
      <w:r>
        <w:rPr>
          <w:rFonts w:hint="eastAsia"/>
          <w:bCs/>
          <w:szCs w:val="28"/>
        </w:rPr>
        <w:t>。</w:t>
      </w:r>
    </w:p>
    <w:p>
      <w:pPr>
        <w:pStyle w:val="5"/>
        <w:spacing w:before="0" w:after="0"/>
        <w:rPr>
          <w:b w:val="0"/>
        </w:rPr>
      </w:pPr>
      <w:r>
        <w:rPr>
          <w:rFonts w:hint="eastAsia"/>
        </w:rPr>
        <w:t>4</w:t>
      </w:r>
      <w:r>
        <w:t>.3.2</w:t>
      </w:r>
      <w:r>
        <w:rPr>
          <w:rFonts w:hint="eastAsia"/>
          <w:b w:val="0"/>
        </w:rPr>
        <w:tab/>
      </w:r>
      <w:r>
        <w:rPr>
          <w:rFonts w:hint="eastAsia"/>
          <w:b w:val="0"/>
        </w:rPr>
        <w:t>提升</w:t>
      </w:r>
      <w:r>
        <w:rPr>
          <w:b w:val="0"/>
        </w:rPr>
        <w:t>城市生态基础设施与城市各类功能区域的</w:t>
      </w:r>
      <w:r>
        <w:rPr>
          <w:rFonts w:hint="eastAsia"/>
          <w:b w:val="0"/>
        </w:rPr>
        <w:t xml:space="preserve">协同性，应符合下列规定： </w:t>
      </w:r>
    </w:p>
    <w:p>
      <w:pPr>
        <w:ind w:firstLine="480"/>
      </w:pPr>
      <w:r>
        <w:rPr>
          <w:rFonts w:hint="eastAsia"/>
          <w:b/>
        </w:rPr>
        <w:t>1</w:t>
      </w:r>
      <w:r>
        <w:rPr>
          <w:rFonts w:hint="eastAsia"/>
        </w:rPr>
        <w:t>城市生态基础设施应串连自然保护区、风景名胜区、自然公园、城市公园等自然景观要素，以及历史文化街区、历史建筑、历史文化名镇名村等历史文化要素。</w:t>
      </w:r>
    </w:p>
    <w:p>
      <w:pPr>
        <w:ind w:firstLine="480"/>
      </w:pPr>
      <w:r>
        <w:rPr>
          <w:rFonts w:hint="eastAsia"/>
          <w:b/>
        </w:rPr>
        <w:t xml:space="preserve">2 </w:t>
      </w:r>
      <w:r>
        <w:rPr>
          <w:rFonts w:hint="eastAsia"/>
        </w:rPr>
        <w:t>城市生态基础设施应串联城市居住集中区域与就业集中区域，并在沿线衔接文化体育、商业购物、餐饮娱乐等各类公共服务设施。</w:t>
      </w:r>
    </w:p>
    <w:p>
      <w:pPr>
        <w:ind w:firstLine="480"/>
      </w:pPr>
      <w:r>
        <w:rPr>
          <w:rFonts w:hint="eastAsia"/>
          <w:b/>
        </w:rPr>
        <w:t>3</w:t>
      </w:r>
      <w:r>
        <w:rPr>
          <w:rFonts w:hint="eastAsia"/>
        </w:rPr>
        <w:t>城市生态基础设施应与公共交通系统、城市绿地系统相衔接，建设连续、便捷、安全、舒适的步行骑行空间。</w:t>
      </w:r>
    </w:p>
    <w:p>
      <w:pPr>
        <w:pStyle w:val="3"/>
        <w:spacing w:before="156" w:after="156"/>
      </w:pPr>
      <w:bookmarkStart w:id="20" w:name="_Toc167205751"/>
      <w:bookmarkStart w:id="21" w:name="_Toc201242596"/>
      <w:bookmarkStart w:id="22" w:name="_Toc215054060"/>
      <w:r>
        <w:t>4.</w:t>
      </w:r>
      <w:bookmarkEnd w:id="20"/>
      <w:r>
        <w:t>4空间类型</w:t>
      </w:r>
      <w:bookmarkEnd w:id="21"/>
      <w:bookmarkEnd w:id="22"/>
    </w:p>
    <w:p>
      <w:pPr>
        <w:pStyle w:val="5"/>
        <w:spacing w:before="0" w:after="0"/>
        <w:rPr>
          <w:b w:val="0"/>
        </w:rPr>
      </w:pPr>
      <w:r>
        <w:rPr>
          <w:rFonts w:hint="eastAsia"/>
        </w:rPr>
        <w:t>4</w:t>
      </w:r>
      <w:r>
        <w:t>.4.1</w:t>
      </w:r>
      <w:r>
        <w:rPr>
          <w:rFonts w:hint="eastAsia"/>
          <w:b w:val="0"/>
        </w:rPr>
        <w:tab/>
      </w:r>
      <w:r>
        <w:rPr>
          <w:b w:val="0"/>
        </w:rPr>
        <w:t>城市应建立</w:t>
      </w:r>
      <w:r>
        <w:rPr>
          <w:rFonts w:hint="eastAsia"/>
          <w:b w:val="0"/>
        </w:rPr>
        <w:t>各级生态廊道体系，并应符合下列规定</w:t>
      </w:r>
      <w:r>
        <w:rPr>
          <w:b w:val="0"/>
        </w:rPr>
        <w:t xml:space="preserve">： </w:t>
      </w:r>
    </w:p>
    <w:p>
      <w:pPr>
        <w:ind w:firstLine="480"/>
      </w:pPr>
      <w:r>
        <w:rPr>
          <w:b/>
        </w:rPr>
        <w:t>1</w:t>
      </w:r>
      <w:r>
        <w:rPr>
          <w:rFonts w:hint="eastAsia"/>
        </w:rPr>
        <w:t>基于关键物种的生存需求，确定生物生态廊道的潜在路径。</w:t>
      </w:r>
    </w:p>
    <w:p>
      <w:pPr>
        <w:ind w:firstLine="480"/>
      </w:pPr>
      <w:r>
        <w:rPr>
          <w:rFonts w:hint="eastAsia"/>
          <w:b/>
        </w:rPr>
        <w:t>2</w:t>
      </w:r>
      <w:r>
        <w:rPr>
          <w:rFonts w:hint="eastAsia"/>
        </w:rPr>
        <w:t>生态廊道宽度结合关键物种需求、城市生态功能需求和现状用地情况综合确定。</w:t>
      </w:r>
    </w:p>
    <w:p>
      <w:pPr>
        <w:ind w:firstLine="480"/>
      </w:pPr>
      <w:r>
        <w:rPr>
          <w:rFonts w:hint="eastAsia"/>
          <w:b/>
        </w:rPr>
        <w:t>3</w:t>
      </w:r>
      <w:r>
        <w:rPr>
          <w:rFonts w:hint="eastAsia"/>
        </w:rPr>
        <w:t>关键物种为动物时，</w:t>
      </w:r>
      <w:r>
        <w:t>生态廊道宽度应符合下列规定：</w:t>
      </w:r>
    </w:p>
    <w:p>
      <w:pPr>
        <w:ind w:firstLine="960" w:firstLineChars="400"/>
      </w:pPr>
      <w:r>
        <w:t>1）</w:t>
      </w:r>
      <w:r>
        <w:rPr>
          <w:rFonts w:hint="eastAsia"/>
        </w:rPr>
        <w:t>无脊椎类动物种群，满足基本生存需求的廊道宽度不宜低于3m~12m；</w:t>
      </w:r>
    </w:p>
    <w:p>
      <w:pPr>
        <w:ind w:firstLine="960" w:firstLineChars="400"/>
      </w:pPr>
      <w:r>
        <w:t>2）</w:t>
      </w:r>
      <w:r>
        <w:rPr>
          <w:rFonts w:hint="eastAsia"/>
        </w:rPr>
        <w:t>鱼类、小型哺乳类动物种群，满足基本生存需求的廊道宽度不宜低于12~30米；</w:t>
      </w:r>
    </w:p>
    <w:p>
      <w:pPr>
        <w:ind w:firstLine="960" w:firstLineChars="400"/>
      </w:pPr>
      <w:r>
        <w:t>3）</w:t>
      </w:r>
      <w:r>
        <w:rPr>
          <w:rFonts w:hint="eastAsia"/>
        </w:rPr>
        <w:t>爬行类、两栖类</w:t>
      </w:r>
      <w:bookmarkStart w:id="23" w:name="OLE_LINK4"/>
      <w:r>
        <w:rPr>
          <w:rFonts w:hint="eastAsia"/>
        </w:rPr>
        <w:t>动物种群</w:t>
      </w:r>
      <w:bookmarkEnd w:id="23"/>
      <w:r>
        <w:rPr>
          <w:rFonts w:hint="eastAsia"/>
        </w:rPr>
        <w:t>，满足基本生存需求的廊道宽度不宜低于30~60米；</w:t>
      </w:r>
    </w:p>
    <w:p>
      <w:pPr>
        <w:ind w:firstLine="960" w:firstLineChars="400"/>
      </w:pPr>
      <w:r>
        <w:t>4）</w:t>
      </w:r>
      <w:r>
        <w:rPr>
          <w:rFonts w:hint="eastAsia"/>
        </w:rPr>
        <w:t>鸟类动物种群，满足生存、迁徙需求的廊道宽度不宜低于12m~60m，满足生存、迁徙、传播需求的廊道宽度不宜低于60m~200m，实现鸟类物种丰富的廊道宽度不宜低于600m~1200m；</w:t>
      </w:r>
    </w:p>
    <w:p>
      <w:pPr>
        <w:ind w:firstLine="960" w:firstLineChars="400"/>
      </w:pPr>
      <w:r>
        <w:t>5）</w:t>
      </w:r>
      <w:r>
        <w:rPr>
          <w:rFonts w:hint="eastAsia"/>
        </w:rPr>
        <w:t>中等、大型哺乳类动物种群，满足生存、迁徙需求的廊道宽度宜为数百米至数公里不等。</w:t>
      </w:r>
    </w:p>
    <w:p>
      <w:pPr>
        <w:ind w:firstLine="480"/>
      </w:pPr>
      <w:r>
        <w:rPr>
          <w:rFonts w:hint="eastAsia"/>
          <w:b/>
        </w:rPr>
        <w:t>4</w:t>
      </w:r>
      <w:r>
        <w:rPr>
          <w:rFonts w:hint="eastAsia"/>
        </w:rPr>
        <w:t>关键物种为植物时，</w:t>
      </w:r>
      <w:r>
        <w:t>生态廊道宽度应符合下列规定：</w:t>
      </w:r>
    </w:p>
    <w:p>
      <w:pPr>
        <w:ind w:firstLine="480"/>
      </w:pPr>
      <w:r>
        <w:t>1）</w:t>
      </w:r>
      <w:r>
        <w:rPr>
          <w:rFonts w:hint="eastAsia"/>
        </w:rPr>
        <w:t>草本植物较种群多边缘种，满足生存需求的廊道宽度不宜低于12m~60m；</w:t>
      </w:r>
    </w:p>
    <w:p>
      <w:pPr>
        <w:ind w:firstLine="480"/>
      </w:pPr>
      <w:r>
        <w:t>2）</w:t>
      </w:r>
      <w:r>
        <w:rPr>
          <w:rFonts w:hint="eastAsia"/>
        </w:rPr>
        <w:t>草本植物种群较多内部种，满足生存、传播需求的廊道宽度不宜低于60~100米；</w:t>
      </w:r>
    </w:p>
    <w:p>
      <w:pPr>
        <w:ind w:firstLine="480"/>
      </w:pPr>
      <w:r>
        <w:t>3）</w:t>
      </w:r>
      <w:r>
        <w:rPr>
          <w:rFonts w:hint="eastAsia"/>
        </w:rPr>
        <w:t>乔木种群，满足生存需要的廊道宽度不宜低于60m。</w:t>
      </w:r>
    </w:p>
    <w:p>
      <w:pPr>
        <w:pStyle w:val="5"/>
        <w:spacing w:before="0" w:after="0"/>
        <w:rPr>
          <w:b w:val="0"/>
        </w:rPr>
      </w:pPr>
      <w:r>
        <w:t>4.4.2</w:t>
      </w:r>
      <w:r>
        <w:rPr>
          <w:rFonts w:hint="eastAsia"/>
          <w:b w:val="0"/>
        </w:rPr>
        <w:tab/>
      </w:r>
      <w:r>
        <w:rPr>
          <w:b w:val="0"/>
        </w:rPr>
        <w:t>城市</w:t>
      </w:r>
      <w:r>
        <w:rPr>
          <w:rFonts w:hint="eastAsia"/>
          <w:b w:val="0"/>
        </w:rPr>
        <w:t>水系廊道两侧应设置生态缓冲带，并应符合下列规定：</w:t>
      </w:r>
    </w:p>
    <w:p>
      <w:pPr>
        <w:ind w:firstLine="480"/>
      </w:pPr>
      <w:r>
        <w:rPr>
          <w:rFonts w:hint="eastAsia"/>
          <w:b/>
        </w:rPr>
        <w:t>1</w:t>
      </w:r>
      <w:r>
        <w:rPr>
          <w:rFonts w:hint="eastAsia"/>
        </w:rPr>
        <w:t>生态缓冲带宽度不宜低于30m</w:t>
      </w:r>
      <w:r>
        <w:t>；</w:t>
      </w:r>
    </w:p>
    <w:p>
      <w:pPr>
        <w:ind w:firstLine="480"/>
      </w:pPr>
      <w:r>
        <w:rPr>
          <w:rFonts w:hint="eastAsia"/>
          <w:b/>
        </w:rPr>
        <w:t>2</w:t>
      </w:r>
      <w:r>
        <w:rPr>
          <w:rFonts w:hint="eastAsia"/>
        </w:rPr>
        <w:t>生态缓冲带可包括驳岸、河漫滩、滨河林地、草地、湿地等；</w:t>
      </w:r>
    </w:p>
    <w:p>
      <w:pPr>
        <w:ind w:firstLine="480"/>
      </w:pPr>
      <w:r>
        <w:rPr>
          <w:rFonts w:hint="eastAsia"/>
          <w:b/>
        </w:rPr>
        <w:t>3</w:t>
      </w:r>
      <w:r>
        <w:rPr>
          <w:rFonts w:hint="eastAsia"/>
        </w:rPr>
        <w:t>生态缓冲带应加强水资源涵养、水土环境保持、洪涝蓄滞和排放、调节微气候、动物多样性栖息和迁徙等生态功能的有效发挥。</w:t>
      </w:r>
    </w:p>
    <w:p>
      <w:pPr>
        <w:pStyle w:val="5"/>
        <w:spacing w:before="0" w:after="0"/>
        <w:rPr>
          <w:b w:val="0"/>
        </w:rPr>
      </w:pPr>
      <w:r>
        <w:t>4.4.3</w:t>
      </w:r>
      <w:r>
        <w:rPr>
          <w:rFonts w:hint="eastAsia"/>
          <w:b w:val="0"/>
        </w:rPr>
        <w:tab/>
      </w:r>
      <w:r>
        <w:rPr>
          <w:rFonts w:hint="eastAsia"/>
          <w:b w:val="0"/>
        </w:rPr>
        <w:t>城市布局各级通风廊道，应符合下列规定：</w:t>
      </w:r>
    </w:p>
    <w:p>
      <w:pPr>
        <w:ind w:firstLine="480"/>
      </w:pPr>
      <w:bookmarkStart w:id="24" w:name="_Toc167205752"/>
      <w:r>
        <w:rPr>
          <w:b/>
        </w:rPr>
        <w:t>1</w:t>
      </w:r>
      <w:r>
        <w:rPr>
          <w:rFonts w:hint="eastAsia"/>
        </w:rPr>
        <w:t>城市主要通风廊道宜贯穿整个城市，应连通城市生态冷源与城市中心热岛强度高的区域，连通城区外通风量大与城区内通风量小的区域。</w:t>
      </w:r>
      <w:r>
        <w:t>城市</w:t>
      </w:r>
      <w:r>
        <w:rPr>
          <w:rFonts w:hint="eastAsia"/>
        </w:rPr>
        <w:t>主要通风廊道应与城市主导风向近似一致，依托城市快速路、主干路、河道、绿地、高压线走廊及其他类型的带状空旷地为载体，廊道宽度宜大于等于</w:t>
      </w:r>
      <w:r>
        <w:t>200</w:t>
      </w:r>
      <w:r>
        <w:rPr>
          <w:rFonts w:hint="eastAsia"/>
        </w:rPr>
        <w:t>m</w:t>
      </w:r>
      <w:r>
        <w:t>。</w:t>
      </w:r>
    </w:p>
    <w:p>
      <w:pPr>
        <w:ind w:firstLine="480"/>
      </w:pPr>
      <w:r>
        <w:rPr>
          <w:b/>
        </w:rPr>
        <w:t>2</w:t>
      </w:r>
      <w:r>
        <w:t>城市</w:t>
      </w:r>
      <w:r>
        <w:rPr>
          <w:rFonts w:hint="eastAsia"/>
        </w:rPr>
        <w:t>次要通风廊道应连通城市生态冷源与城市，弥补城市主要通风廊道未覆盖，且通风量较小、热岛强度较高的区域。</w:t>
      </w:r>
      <w:r>
        <w:t>城市</w:t>
      </w:r>
      <w:r>
        <w:rPr>
          <w:rFonts w:hint="eastAsia"/>
        </w:rPr>
        <w:t>次要通风廊道与区域主导风向的夹角应小于4</w:t>
      </w:r>
      <w:r>
        <w:t>5</w:t>
      </w:r>
      <w:r>
        <w:rPr>
          <w:rFonts w:hint="eastAsia"/>
        </w:rPr>
        <w:t>°</w:t>
      </w:r>
      <w:r>
        <w:t>，</w:t>
      </w:r>
      <w:r>
        <w:rPr>
          <w:rFonts w:hint="eastAsia"/>
        </w:rPr>
        <w:t>依托城市道路、河道、绿地以及低密度较通透建筑群等作为载体，辅助和延展主要通风廊道的通风效能，廊道宽度宜大于等于</w:t>
      </w:r>
      <w:r>
        <w:t>50</w:t>
      </w:r>
      <w:r>
        <w:rPr>
          <w:rFonts w:hint="eastAsia"/>
        </w:rPr>
        <w:t>m</w:t>
      </w:r>
      <w:r>
        <w:t>。</w:t>
      </w:r>
    </w:p>
    <w:p>
      <w:pPr>
        <w:pStyle w:val="56"/>
        <w:ind w:firstLine="482"/>
        <w:rPr>
          <w:rFonts w:ascii="宋体" w:hAnsi="宋体"/>
          <w:szCs w:val="21"/>
        </w:rPr>
      </w:pPr>
      <w:r>
        <w:rPr>
          <w:rFonts w:hint="eastAsia"/>
          <w:b/>
        </w:rPr>
        <w:t>3</w:t>
      </w:r>
      <w:r>
        <w:rPr>
          <w:rFonts w:ascii="宋体" w:hAnsi="宋体"/>
          <w:szCs w:val="21"/>
        </w:rPr>
        <w:t>在大风区或者冬季寒冷地区,应</w:t>
      </w:r>
      <w:r>
        <w:rPr>
          <w:rFonts w:hint="eastAsia" w:ascii="宋体" w:hAnsi="宋体"/>
          <w:szCs w:val="21"/>
        </w:rPr>
        <w:t>采取</w:t>
      </w:r>
      <w:r>
        <w:rPr>
          <w:rFonts w:ascii="宋体" w:hAnsi="宋体"/>
          <w:szCs w:val="21"/>
        </w:rPr>
        <w:t>阻挡冬季盛行风向的规划布局措施。</w:t>
      </w:r>
    </w:p>
    <w:p>
      <w:pPr>
        <w:pStyle w:val="9"/>
        <w:ind w:firstLine="420"/>
        <w:rPr>
          <w:rFonts w:ascii="楷体" w:hAnsi="楷体" w:eastAsia="楷体"/>
          <w:color w:val="000000" w:themeColor="text1"/>
          <w:sz w:val="21"/>
          <w:szCs w:val="21"/>
          <w14:textFill>
            <w14:solidFill>
              <w14:schemeClr w14:val="tx1"/>
            </w14:solidFill>
          </w14:textFill>
        </w:rPr>
      </w:pPr>
    </w:p>
    <w:bookmarkEnd w:id="24"/>
    <w:p>
      <w:pPr>
        <w:pStyle w:val="5"/>
        <w:spacing w:before="0" w:after="0"/>
        <w:rPr>
          <w:b w:val="0"/>
        </w:rPr>
      </w:pPr>
      <w:r>
        <w:t>4.4.4</w:t>
      </w:r>
      <w:r>
        <w:rPr>
          <w:rFonts w:hint="eastAsia"/>
          <w:b w:val="0"/>
        </w:rPr>
        <w:tab/>
      </w:r>
      <w:r>
        <w:rPr>
          <w:b w:val="0"/>
        </w:rPr>
        <w:t>城市应结合居民通勤</w:t>
      </w:r>
      <w:r>
        <w:rPr>
          <w:rFonts w:hint="eastAsia"/>
          <w:b w:val="0"/>
        </w:rPr>
        <w:t>、</w:t>
      </w:r>
      <w:r>
        <w:rPr>
          <w:b w:val="0"/>
        </w:rPr>
        <w:t>健身休闲路径</w:t>
      </w:r>
      <w:r>
        <w:rPr>
          <w:rFonts w:hint="eastAsia"/>
          <w:b w:val="0"/>
        </w:rPr>
        <w:t>对绿道</w:t>
      </w:r>
      <w:r>
        <w:rPr>
          <w:b w:val="0"/>
        </w:rPr>
        <w:t>进行分级布局</w:t>
      </w:r>
      <w:r>
        <w:rPr>
          <w:rFonts w:hint="eastAsia"/>
          <w:b w:val="0"/>
        </w:rPr>
        <w:t>，并应符合下列规定：</w:t>
      </w:r>
    </w:p>
    <w:p>
      <w:pPr>
        <w:pStyle w:val="56"/>
        <w:ind w:firstLine="482"/>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区域级和市域级绿道应跨越多个城市及市域城镇、农业、生态空间，串联区域重要自然景观、历史人文及旅游休闲资源，宽度不宜小于3m。</w:t>
      </w:r>
    </w:p>
    <w:p>
      <w:pPr>
        <w:pStyle w:val="56"/>
        <w:ind w:firstLine="482"/>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城区级绿道应布局在城镇空间内，连接重要城市功能组团、串联各类生态基础设施和重要自然与人文资源，绿道网密度宜为1.0km/km</w:t>
      </w:r>
      <w:r>
        <w:rPr>
          <w:rFonts w:ascii="Calibri" w:hAnsi="Calibri" w:cs="Calibri"/>
          <w:color w:val="000000" w:themeColor="text1"/>
          <w:szCs w:val="21"/>
          <w14:textFill>
            <w14:solidFill>
              <w14:schemeClr w14:val="tx1"/>
            </w14:solidFill>
          </w14:textFill>
        </w:rPr>
        <w:t>²</w:t>
      </w:r>
      <w:r>
        <w:rPr>
          <w:rFonts w:hint="eastAsia" w:ascii="宋体" w:hAnsi="宋体"/>
          <w:color w:val="000000" w:themeColor="text1"/>
          <w:szCs w:val="21"/>
          <w14:textFill>
            <w14:solidFill>
              <w14:schemeClr w14:val="tx1"/>
            </w14:solidFill>
          </w14:textFill>
        </w:rPr>
        <w:t>~1.5km/km</w:t>
      </w:r>
      <w:r>
        <w:rPr>
          <w:rFonts w:ascii="Calibri" w:hAnsi="Calibri" w:cs="Calibri"/>
          <w:color w:val="000000" w:themeColor="text1"/>
          <w:szCs w:val="21"/>
          <w14:textFill>
            <w14:solidFill>
              <w14:schemeClr w14:val="tx1"/>
            </w14:solidFill>
          </w14:textFill>
        </w:rPr>
        <w:t>²</w:t>
      </w:r>
      <w:r>
        <w:rPr>
          <w:rFonts w:hint="eastAsia" w:ascii="仿宋" w:hAnsi="仿宋" w:cs="仿宋"/>
          <w:color w:val="000000" w:themeColor="text1"/>
          <w:szCs w:val="21"/>
          <w14:textFill>
            <w14:solidFill>
              <w14:schemeClr w14:val="tx1"/>
            </w14:solidFill>
          </w14:textFill>
        </w:rPr>
        <w:t>，绿道宽度宜大于等于</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m，郁闭度宜大于等于0.7。</w:t>
      </w:r>
    </w:p>
    <w:p>
      <w:pPr>
        <w:pStyle w:val="56"/>
        <w:ind w:firstLine="482"/>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社区级绿道应连接住宅与社区生态基础设施、方便社区居民就近使用，宽度宜大于等于</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m。</w:t>
      </w:r>
    </w:p>
    <w:p>
      <w:pPr>
        <w:pStyle w:val="56"/>
        <w:ind w:firstLine="482"/>
      </w:pPr>
      <w:r>
        <w:rPr>
          <w:rFonts w:hint="eastAsia" w:ascii="宋体" w:hAnsi="宋体"/>
          <w:b/>
          <w:szCs w:val="21"/>
        </w:rPr>
        <w:t>4</w:t>
      </w:r>
      <w:r>
        <w:rPr>
          <w:rFonts w:hint="eastAsia" w:ascii="宋体" w:hAnsi="宋体"/>
          <w:szCs w:val="21"/>
        </w:rPr>
        <w:t>城镇空间</w:t>
      </w:r>
      <w:r>
        <w:rPr>
          <w:rFonts w:hint="eastAsia"/>
        </w:rPr>
        <w:t>绿道长度宜超过</w:t>
      </w:r>
      <w:r>
        <w:t>1</w:t>
      </w:r>
      <w:r>
        <w:rPr>
          <w:rFonts w:hint="eastAsia"/>
        </w:rPr>
        <w:t>km</w:t>
      </w:r>
      <w:r>
        <w:t>/</w:t>
      </w:r>
      <w:r>
        <w:rPr>
          <w:rFonts w:hint="eastAsia"/>
        </w:rPr>
        <w:t>万人</w:t>
      </w:r>
      <w:r>
        <w:t>。</w:t>
      </w:r>
    </w:p>
    <w:p>
      <w:pPr>
        <w:pStyle w:val="5"/>
        <w:spacing w:before="0" w:after="0"/>
      </w:pPr>
      <w:r>
        <w:t>4.4.5</w:t>
      </w:r>
      <w:r>
        <w:rPr>
          <w:rFonts w:hint="eastAsia"/>
          <w:b w:val="0"/>
        </w:rPr>
        <w:tab/>
      </w:r>
      <w:r>
        <w:rPr>
          <w:b w:val="0"/>
        </w:rPr>
        <w:t>城市布局防灾避险绿地</w:t>
      </w:r>
      <w:r>
        <w:rPr>
          <w:rFonts w:hint="eastAsia"/>
          <w:b w:val="0"/>
        </w:rPr>
        <w:t>，级配标准、服务半径、有效避险面积应遵循《城市绿地防灾避险设计导则》相关要求。</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rPr>
          <w:b w:val="0"/>
        </w:rPr>
      </w:pPr>
      <w:r>
        <w:t>4.4.6</w:t>
      </w:r>
      <w:r>
        <w:rPr>
          <w:rFonts w:hint="eastAsia"/>
          <w:b w:val="0"/>
        </w:rPr>
        <w:tab/>
      </w:r>
      <w:r>
        <w:rPr>
          <w:b w:val="0"/>
        </w:rPr>
        <w:t>城市应塑造“山-</w:t>
      </w:r>
      <w:r>
        <w:rPr>
          <w:rFonts w:hint="eastAsia"/>
          <w:b w:val="0"/>
        </w:rPr>
        <w:t>水</w:t>
      </w:r>
      <w:r>
        <w:rPr>
          <w:b w:val="0"/>
        </w:rPr>
        <w:t>-</w:t>
      </w:r>
      <w:r>
        <w:rPr>
          <w:rFonts w:hint="eastAsia"/>
          <w:b w:val="0"/>
        </w:rPr>
        <w:t>城</w:t>
      </w:r>
      <w:r>
        <w:rPr>
          <w:b w:val="0"/>
        </w:rPr>
        <w:t>-文”有机</w:t>
      </w:r>
      <w:r>
        <w:rPr>
          <w:rFonts w:hint="eastAsia"/>
          <w:b w:val="0"/>
        </w:rPr>
        <w:t>融合的城市形态，并符合下列规定：</w:t>
      </w:r>
    </w:p>
    <w:p>
      <w:pPr>
        <w:pStyle w:val="56"/>
        <w:ind w:firstLine="482"/>
        <w:rPr>
          <w:rFonts w:ascii="宋体" w:hAnsi="宋体"/>
          <w:szCs w:val="21"/>
        </w:rPr>
      </w:pPr>
      <w:r>
        <w:rPr>
          <w:rFonts w:ascii="宋体" w:hAnsi="宋体"/>
          <w:b/>
          <w:szCs w:val="21"/>
        </w:rPr>
        <w:t>1</w:t>
      </w:r>
      <w:r>
        <w:rPr>
          <w:rFonts w:ascii="宋体" w:hAnsi="宋体"/>
          <w:szCs w:val="21"/>
        </w:rPr>
        <w:t>构建</w:t>
      </w:r>
      <w:r>
        <w:rPr>
          <w:rFonts w:hint="eastAsia" w:ascii="宋体" w:hAnsi="宋体"/>
          <w:szCs w:val="21"/>
        </w:rPr>
        <w:t>自然与人文融合的景观风貌系统，应统筹划定</w:t>
      </w:r>
      <w:r>
        <w:rPr>
          <w:rFonts w:ascii="宋体" w:hAnsi="宋体"/>
          <w:szCs w:val="21"/>
        </w:rPr>
        <w:t>大尺度自然山水</w:t>
      </w:r>
      <w:r>
        <w:rPr>
          <w:rFonts w:hint="eastAsia" w:ascii="宋体" w:hAnsi="宋体"/>
          <w:szCs w:val="21"/>
        </w:rPr>
        <w:t>格局和</w:t>
      </w:r>
      <w:r>
        <w:rPr>
          <w:rFonts w:ascii="宋体" w:hAnsi="宋体"/>
          <w:szCs w:val="21"/>
        </w:rPr>
        <w:t>历史文化</w:t>
      </w:r>
      <w:r>
        <w:rPr>
          <w:rFonts w:hint="eastAsia" w:ascii="宋体" w:hAnsi="宋体"/>
          <w:szCs w:val="21"/>
        </w:rPr>
        <w:t>资源保护边界，</w:t>
      </w:r>
      <w:r>
        <w:t>实施分区分类保护管理</w:t>
      </w:r>
      <w:r>
        <w:rPr>
          <w:rFonts w:hint="eastAsia"/>
        </w:rPr>
        <w:t>，</w:t>
      </w:r>
      <w:r>
        <w:rPr>
          <w:rFonts w:hint="eastAsia" w:ascii="宋体" w:hAnsi="宋体"/>
          <w:szCs w:val="21"/>
        </w:rPr>
        <w:t>保障生态格局和文化要素的连续性和完整性；</w:t>
      </w:r>
    </w:p>
    <w:p>
      <w:pPr>
        <w:pStyle w:val="56"/>
        <w:ind w:firstLine="482"/>
        <w:rPr>
          <w:rFonts w:ascii="宋体" w:hAnsi="宋体"/>
          <w:szCs w:val="21"/>
        </w:rPr>
      </w:pPr>
      <w:r>
        <w:rPr>
          <w:rFonts w:ascii="宋体" w:hAnsi="宋体"/>
          <w:b/>
          <w:szCs w:val="21"/>
        </w:rPr>
        <w:t>2</w:t>
      </w:r>
      <w:r>
        <w:rPr>
          <w:rFonts w:ascii="宋体" w:hAnsi="宋体"/>
          <w:szCs w:val="21"/>
        </w:rPr>
        <w:t xml:space="preserve"> </w:t>
      </w:r>
      <w:r>
        <w:rPr>
          <w:rFonts w:hint="eastAsia" w:ascii="宋体" w:hAnsi="宋体"/>
          <w:szCs w:val="21"/>
        </w:rPr>
        <w:t>塑造生态文化复合廊道，应加强城市历史轴线、历史河道、故道遗址等的保护修复，保证生态文化景观视廊畅通，形成具有城市特色的文化景观序列；</w:t>
      </w:r>
    </w:p>
    <w:p>
      <w:pPr>
        <w:pStyle w:val="56"/>
        <w:ind w:firstLine="482"/>
        <w:rPr>
          <w:rFonts w:ascii="宋体" w:hAnsi="宋体"/>
          <w:szCs w:val="21"/>
        </w:rPr>
      </w:pPr>
      <w:r>
        <w:rPr>
          <w:rFonts w:ascii="宋体" w:hAnsi="宋体"/>
          <w:b/>
          <w:szCs w:val="21"/>
        </w:rPr>
        <w:t>3</w:t>
      </w:r>
      <w:r>
        <w:rPr>
          <w:rFonts w:hint="eastAsia"/>
        </w:rPr>
        <w:t>凸显生态文化景观要素，</w:t>
      </w:r>
      <w:r>
        <w:rPr>
          <w:rFonts w:hint="eastAsia" w:ascii="宋体" w:hAnsi="宋体"/>
          <w:szCs w:val="21"/>
        </w:rPr>
        <w:t>应</w:t>
      </w:r>
      <w:r>
        <w:rPr>
          <w:rFonts w:ascii="宋体" w:hAnsi="宋体"/>
          <w:szCs w:val="21"/>
        </w:rPr>
        <w:t>依托城区内承载历史记忆的街巷、院落</w:t>
      </w:r>
      <w:r>
        <w:rPr>
          <w:rFonts w:hint="eastAsia" w:ascii="宋体" w:hAnsi="宋体"/>
          <w:szCs w:val="21"/>
        </w:rPr>
        <w:t>和</w:t>
      </w:r>
      <w:r>
        <w:rPr>
          <w:rFonts w:ascii="宋体" w:hAnsi="宋体"/>
          <w:szCs w:val="21"/>
        </w:rPr>
        <w:t>小微空间，增补彰显历史文化的空间载体，</w:t>
      </w:r>
      <w:r>
        <w:rPr>
          <w:rFonts w:hint="eastAsia" w:ascii="宋体" w:hAnsi="宋体"/>
          <w:szCs w:val="21"/>
        </w:rPr>
        <w:t>提升</w:t>
      </w:r>
      <w:r>
        <w:rPr>
          <w:rFonts w:ascii="宋体" w:hAnsi="宋体"/>
          <w:szCs w:val="21"/>
        </w:rPr>
        <w:t>城市蓝绿空间的文化内涵。</w:t>
      </w:r>
    </w:p>
    <w:p>
      <w:pPr>
        <w:pStyle w:val="2"/>
        <w:spacing w:line="360" w:lineRule="auto"/>
      </w:pPr>
      <w:bookmarkStart w:id="25" w:name="_Toc201242597"/>
      <w:bookmarkStart w:id="26" w:name="_Toc215054061"/>
      <w:bookmarkStart w:id="27" w:name="_Toc167205753"/>
      <w:r>
        <w:rPr>
          <w:rFonts w:hint="eastAsia"/>
        </w:rPr>
        <w:t>5   设计品质</w:t>
      </w:r>
      <w:bookmarkEnd w:id="25"/>
      <w:bookmarkEnd w:id="26"/>
      <w:bookmarkEnd w:id="27"/>
    </w:p>
    <w:p>
      <w:pPr>
        <w:pStyle w:val="3"/>
        <w:spacing w:before="156" w:after="156"/>
      </w:pPr>
      <w:bookmarkStart w:id="28" w:name="_Toc215054062"/>
      <w:bookmarkStart w:id="29" w:name="_Toc201242598"/>
      <w:r>
        <w:rPr>
          <w:rFonts w:hint="eastAsia"/>
        </w:rPr>
        <w:t>5</w:t>
      </w:r>
      <w:r>
        <w:t>.1</w:t>
      </w:r>
      <w:r>
        <w:rPr>
          <w:rFonts w:hint="eastAsia"/>
        </w:rPr>
        <w:t>生态环境治理设施</w:t>
      </w:r>
      <w:bookmarkEnd w:id="28"/>
      <w:bookmarkEnd w:id="29"/>
    </w:p>
    <w:p>
      <w:pPr>
        <w:pStyle w:val="5"/>
        <w:spacing w:before="0" w:after="0"/>
      </w:pPr>
      <w:r>
        <w:rPr>
          <w:rFonts w:hint="eastAsia"/>
        </w:rPr>
        <w:t>5</w:t>
      </w:r>
      <w:r>
        <w:t>.1.1</w:t>
      </w:r>
      <w:r>
        <w:rPr>
          <w:rFonts w:hint="eastAsia"/>
          <w:b w:val="0"/>
        </w:rPr>
        <w:tab/>
      </w:r>
      <w:r>
        <w:rPr>
          <w:rFonts w:hint="eastAsia"/>
          <w:b w:val="0"/>
        </w:rPr>
        <w:t>应坚持山水林田湖草沙一体化保护修复，</w:t>
      </w:r>
      <w:r>
        <w:rPr>
          <w:b w:val="0"/>
        </w:rPr>
        <w:t>采用</w:t>
      </w:r>
      <w:r>
        <w:rPr>
          <w:rFonts w:hint="eastAsia"/>
          <w:b w:val="0"/>
        </w:rPr>
        <w:t>自然恢复为主、人工修复为辅的方式，开展受损山体、河湖岸线和土壤</w:t>
      </w:r>
      <w:r>
        <w:rPr>
          <w:b w:val="0"/>
        </w:rPr>
        <w:t>等</w:t>
      </w:r>
      <w:r>
        <w:rPr>
          <w:rFonts w:hint="eastAsia"/>
          <w:b w:val="0"/>
        </w:rPr>
        <w:t>的修复</w:t>
      </w:r>
      <w:r>
        <w:rPr>
          <w:b w:val="0"/>
        </w:rPr>
        <w:t>。</w:t>
      </w:r>
    </w:p>
    <w:p>
      <w:pPr>
        <w:pStyle w:val="5"/>
        <w:spacing w:before="0" w:after="0"/>
        <w:rPr>
          <w:b w:val="0"/>
        </w:rPr>
      </w:pPr>
      <w:r>
        <w:rPr>
          <w:rFonts w:hint="eastAsia"/>
        </w:rPr>
        <w:t>5</w:t>
      </w:r>
      <w:r>
        <w:t>.1.2</w:t>
      </w:r>
      <w:r>
        <w:rPr>
          <w:rFonts w:hint="eastAsia"/>
          <w:b w:val="0"/>
        </w:rPr>
        <w:tab/>
      </w:r>
      <w:r>
        <w:rPr>
          <w:b w:val="0"/>
        </w:rPr>
        <w:t>山体修复</w:t>
      </w:r>
      <w:r>
        <w:rPr>
          <w:rFonts w:hint="eastAsia"/>
          <w:b w:val="0"/>
        </w:rPr>
        <w:t>应结合坡面类型、固土技术及目标植被，选择适宜的植被修复技术，包括垂直绿化、客土喷播、植被生态混凝土等技术进行修复。修复区域植被覆盖度提升率应大于5%。</w:t>
      </w:r>
    </w:p>
    <w:p>
      <w:pPr>
        <w:pStyle w:val="5"/>
        <w:spacing w:before="0" w:after="0"/>
        <w:rPr>
          <w:b w:val="0"/>
        </w:rPr>
      </w:pPr>
      <w:r>
        <w:rPr>
          <w:rFonts w:hint="eastAsia"/>
        </w:rPr>
        <w:t>5</w:t>
      </w:r>
      <w:r>
        <w:t>.1.3</w:t>
      </w:r>
      <w:r>
        <w:rPr>
          <w:rFonts w:hint="eastAsia"/>
          <w:b w:val="0"/>
        </w:rPr>
        <w:tab/>
      </w:r>
      <w:r>
        <w:rPr>
          <w:b w:val="0"/>
        </w:rPr>
        <w:t xml:space="preserve">恢复自然岸线，应满足以下要求： </w:t>
      </w:r>
    </w:p>
    <w:p>
      <w:pPr>
        <w:pStyle w:val="56"/>
        <w:ind w:firstLine="482"/>
        <w:rPr>
          <w:rFonts w:ascii="宋体" w:hAnsi="宋体"/>
          <w:szCs w:val="21"/>
        </w:rPr>
      </w:pPr>
      <w:r>
        <w:rPr>
          <w:rFonts w:hint="eastAsia" w:ascii="宋体" w:hAnsi="宋体"/>
          <w:b/>
          <w:szCs w:val="21"/>
        </w:rPr>
        <w:t>1</w:t>
      </w:r>
      <w:r>
        <w:rPr>
          <w:rFonts w:ascii="宋体" w:hAnsi="宋体"/>
          <w:szCs w:val="21"/>
        </w:rPr>
        <w:t>对于已受损的自然岸线，</w:t>
      </w:r>
      <w:r>
        <w:rPr>
          <w:rFonts w:hint="eastAsia" w:ascii="宋体" w:hAnsi="宋体"/>
          <w:szCs w:val="21"/>
        </w:rPr>
        <w:t>宜</w:t>
      </w:r>
      <w:r>
        <w:rPr>
          <w:rFonts w:ascii="宋体" w:hAnsi="宋体"/>
          <w:szCs w:val="21"/>
        </w:rPr>
        <w:t>采用人工生态修复的方法，如种植本土植物、恢复湿地等，</w:t>
      </w:r>
      <w:r>
        <w:rPr>
          <w:rFonts w:hint="eastAsia" w:ascii="宋体" w:hAnsi="宋体"/>
          <w:szCs w:val="21"/>
        </w:rPr>
        <w:t>以</w:t>
      </w:r>
      <w:r>
        <w:rPr>
          <w:rFonts w:ascii="宋体" w:hAnsi="宋体"/>
          <w:szCs w:val="21"/>
        </w:rPr>
        <w:t>恢复其生态功能；</w:t>
      </w:r>
    </w:p>
    <w:p>
      <w:pPr>
        <w:pStyle w:val="56"/>
        <w:ind w:firstLine="482"/>
        <w:rPr>
          <w:rFonts w:ascii="宋体" w:hAnsi="宋体"/>
          <w:szCs w:val="21"/>
        </w:rPr>
      </w:pPr>
      <w:r>
        <w:rPr>
          <w:rFonts w:hint="eastAsia" w:ascii="宋体" w:hAnsi="宋体"/>
          <w:b/>
          <w:szCs w:val="21"/>
        </w:rPr>
        <w:t>2</w:t>
      </w:r>
      <w:r>
        <w:rPr>
          <w:rFonts w:hint="eastAsia" w:ascii="宋体" w:hAnsi="宋体"/>
          <w:szCs w:val="21"/>
        </w:rPr>
        <w:t>宜</w:t>
      </w:r>
      <w:r>
        <w:rPr>
          <w:rFonts w:ascii="宋体" w:hAnsi="宋体"/>
          <w:szCs w:val="21"/>
        </w:rPr>
        <w:t>利用植物或植物与土木工程相结合的方法，构建具有防止水系岸线坍塌、促进水体与土壤相互渗透、兼具自然景观效果的生态护岸；</w:t>
      </w:r>
    </w:p>
    <w:p>
      <w:pPr>
        <w:pStyle w:val="56"/>
        <w:ind w:firstLine="482"/>
        <w:rPr>
          <w:rFonts w:ascii="宋体" w:hAnsi="宋体"/>
          <w:szCs w:val="21"/>
        </w:rPr>
      </w:pPr>
      <w:r>
        <w:rPr>
          <w:rFonts w:hint="eastAsia" w:ascii="宋体" w:hAnsi="宋体"/>
          <w:b/>
          <w:szCs w:val="21"/>
        </w:rPr>
        <w:t>3</w:t>
      </w:r>
      <w:r>
        <w:rPr>
          <w:rFonts w:hint="eastAsia" w:ascii="宋体" w:hAnsi="宋体"/>
          <w:szCs w:val="21"/>
        </w:rPr>
        <w:t>宜</w:t>
      </w:r>
      <w:r>
        <w:rPr>
          <w:rFonts w:ascii="宋体" w:hAnsi="宋体"/>
          <w:szCs w:val="21"/>
        </w:rPr>
        <w:t>利用岸线</w:t>
      </w:r>
      <w:r>
        <w:rPr>
          <w:rFonts w:hint="eastAsia" w:ascii="宋体" w:hAnsi="宋体"/>
          <w:szCs w:val="21"/>
        </w:rPr>
        <w:t>两侧</w:t>
      </w:r>
      <w:r>
        <w:rPr>
          <w:rFonts w:ascii="宋体" w:hAnsi="宋体"/>
          <w:szCs w:val="21"/>
        </w:rPr>
        <w:t>，复原或</w:t>
      </w:r>
      <w:r>
        <w:rPr>
          <w:rFonts w:hint="eastAsia" w:ascii="宋体" w:hAnsi="宋体"/>
          <w:szCs w:val="21"/>
        </w:rPr>
        <w:t>保持</w:t>
      </w:r>
      <w:r>
        <w:rPr>
          <w:rFonts w:ascii="宋体" w:hAnsi="宋体"/>
          <w:szCs w:val="21"/>
        </w:rPr>
        <w:t>河流的自然型态，打造具有亲水游憩功能的公园。</w:t>
      </w:r>
    </w:p>
    <w:p>
      <w:pPr>
        <w:pStyle w:val="56"/>
        <w:ind w:firstLine="482"/>
        <w:rPr>
          <w:rFonts w:ascii="宋体" w:hAnsi="宋体"/>
          <w:szCs w:val="21"/>
        </w:rPr>
      </w:pPr>
      <w:r>
        <w:rPr>
          <w:rFonts w:hint="eastAsia" w:ascii="宋体" w:hAnsi="宋体"/>
          <w:b/>
          <w:szCs w:val="21"/>
        </w:rPr>
        <w:t>4</w:t>
      </w:r>
      <w:r>
        <w:rPr>
          <w:rFonts w:hint="eastAsia" w:ascii="宋体" w:hAnsi="宋体"/>
          <w:szCs w:val="21"/>
        </w:rPr>
        <w:t>恢复后</w:t>
      </w:r>
      <w:r>
        <w:rPr>
          <w:rFonts w:ascii="宋体" w:hAnsi="宋体"/>
          <w:szCs w:val="21"/>
        </w:rPr>
        <w:t>自然岸线保有率提升率应大于</w:t>
      </w:r>
      <w:r>
        <w:rPr>
          <w:rFonts w:hint="eastAsia" w:ascii="宋体" w:hAnsi="宋体"/>
          <w:szCs w:val="21"/>
        </w:rPr>
        <w:t>0</w:t>
      </w:r>
      <w:r>
        <w:rPr>
          <w:rFonts w:ascii="宋体" w:hAnsi="宋体"/>
          <w:szCs w:val="21"/>
        </w:rPr>
        <w:t>.5%。</w:t>
      </w:r>
    </w:p>
    <w:p>
      <w:pPr>
        <w:pStyle w:val="5"/>
        <w:spacing w:before="0" w:after="0"/>
        <w:rPr>
          <w:b w:val="0"/>
        </w:rPr>
      </w:pPr>
      <w:bookmarkStart w:id="30" w:name="_Hlk176955762"/>
      <w:r>
        <w:t>5.1.4</w:t>
      </w:r>
      <w:r>
        <w:rPr>
          <w:rFonts w:hint="eastAsia"/>
          <w:b w:val="0"/>
        </w:rPr>
        <w:tab/>
      </w:r>
      <w:r>
        <w:rPr>
          <w:rFonts w:hint="eastAsia"/>
          <w:b w:val="0"/>
        </w:rPr>
        <w:t>棕地土壤修复包括工业棕地、垃圾填埋场和矿山</w:t>
      </w:r>
      <w:r>
        <w:rPr>
          <w:b w:val="0"/>
        </w:rPr>
        <w:t>修复等，应恢复生态安全与土地活力</w:t>
      </w:r>
      <w:r>
        <w:rPr>
          <w:rFonts w:hint="eastAsia"/>
          <w:b w:val="0"/>
        </w:rPr>
        <w:t>，宜结合不同的污染类型，采取原位阻隔填埋、植物修复、微生物修复等方式。</w:t>
      </w:r>
    </w:p>
    <w:bookmarkEnd w:id="30"/>
    <w:p>
      <w:pPr>
        <w:pStyle w:val="3"/>
        <w:spacing w:before="156" w:after="156"/>
        <w:rPr>
          <w:color w:val="FF0000"/>
        </w:rPr>
      </w:pPr>
      <w:bookmarkStart w:id="31" w:name="_Toc167205756"/>
      <w:bookmarkStart w:id="32" w:name="_Toc201242599"/>
      <w:bookmarkStart w:id="33" w:name="_Toc215054063"/>
      <w:r>
        <w:t>5.2</w:t>
      </w:r>
      <w:r>
        <w:rPr>
          <w:rFonts w:hint="eastAsia"/>
        </w:rPr>
        <w:t>动植物生境空间</w:t>
      </w:r>
      <w:bookmarkEnd w:id="31"/>
      <w:bookmarkEnd w:id="32"/>
      <w:bookmarkEnd w:id="33"/>
    </w:p>
    <w:p>
      <w:pPr>
        <w:pStyle w:val="5"/>
        <w:spacing w:before="0" w:after="0"/>
        <w:rPr>
          <w:b w:val="0"/>
        </w:rPr>
      </w:pPr>
      <w:r>
        <w:rPr>
          <w:rFonts w:hint="eastAsia"/>
        </w:rPr>
        <w:t>5</w:t>
      </w:r>
      <w:r>
        <w:t>.2.1</w:t>
      </w:r>
      <w:r>
        <w:rPr>
          <w:rFonts w:hint="eastAsia"/>
          <w:b w:val="0"/>
        </w:rPr>
        <w:tab/>
      </w:r>
      <w:r>
        <w:rPr>
          <w:rFonts w:hint="eastAsia"/>
          <w:b w:val="0"/>
        </w:rPr>
        <w:t>应开展城市内的生物栖息地保育，优化植物配置，营造多样化的生境，增加开敞空间与各生境斑块的连接度，开展动物的人工招引和重引入。</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pPr>
      <w:r>
        <w:rPr>
          <w:rFonts w:hint="eastAsia"/>
        </w:rPr>
        <w:t>5</w:t>
      </w:r>
      <w:r>
        <w:t>.2.2</w:t>
      </w:r>
      <w:r>
        <w:rPr>
          <w:rFonts w:hint="eastAsia"/>
          <w:b w:val="0"/>
        </w:rPr>
        <w:tab/>
      </w:r>
      <w:r>
        <w:rPr>
          <w:b w:val="0"/>
        </w:rPr>
        <w:t>宜结合城市公园、郊野公园划定自然带，并</w:t>
      </w:r>
      <w:r>
        <w:rPr>
          <w:rFonts w:hint="eastAsia"/>
          <w:b w:val="0"/>
        </w:rPr>
        <w:t>应</w:t>
      </w:r>
      <w:r>
        <w:rPr>
          <w:b w:val="0"/>
        </w:rPr>
        <w:t xml:space="preserve">满足以下要求： </w:t>
      </w:r>
    </w:p>
    <w:p>
      <w:pPr>
        <w:pStyle w:val="56"/>
        <w:ind w:firstLine="482"/>
        <w:rPr>
          <w:rFonts w:ascii="宋体" w:hAnsi="宋体"/>
          <w:szCs w:val="21"/>
        </w:rPr>
      </w:pPr>
      <w:r>
        <w:rPr>
          <w:rFonts w:ascii="宋体" w:hAnsi="宋体"/>
          <w:b/>
          <w:szCs w:val="21"/>
        </w:rPr>
        <w:t>1</w:t>
      </w:r>
      <w:r>
        <w:rPr>
          <w:rFonts w:hint="eastAsia" w:ascii="宋体" w:hAnsi="宋体"/>
          <w:b/>
          <w:szCs w:val="21"/>
        </w:rPr>
        <w:t xml:space="preserve"> </w:t>
      </w:r>
      <w:r>
        <w:rPr>
          <w:rFonts w:hint="eastAsia" w:ascii="宋体" w:hAnsi="宋体"/>
          <w:szCs w:val="21"/>
        </w:rPr>
        <w:t>城市公园宜按占地面积的10%划定自然带；</w:t>
      </w:r>
    </w:p>
    <w:p>
      <w:pPr>
        <w:pStyle w:val="56"/>
        <w:ind w:firstLine="482"/>
        <w:rPr>
          <w:rFonts w:ascii="宋体" w:hAnsi="宋体"/>
          <w:szCs w:val="21"/>
        </w:rPr>
      </w:pPr>
      <w:r>
        <w:rPr>
          <w:rFonts w:ascii="宋体" w:hAnsi="宋体"/>
          <w:b/>
          <w:szCs w:val="21"/>
        </w:rPr>
        <w:t>2</w:t>
      </w:r>
      <w:r>
        <w:rPr>
          <w:rFonts w:ascii="宋体" w:hAnsi="宋体"/>
          <w:szCs w:val="21"/>
        </w:rPr>
        <w:t xml:space="preserve"> </w:t>
      </w:r>
      <w:r>
        <w:rPr>
          <w:rFonts w:hint="eastAsia" w:ascii="宋体" w:hAnsi="宋体"/>
          <w:szCs w:val="21"/>
        </w:rPr>
        <w:t>郊野公园宜按占地面积的</w:t>
      </w:r>
      <w:r>
        <w:rPr>
          <w:rFonts w:ascii="宋体" w:hAnsi="宋体"/>
          <w:szCs w:val="21"/>
        </w:rPr>
        <w:t>20%~30%</w:t>
      </w:r>
      <w:r>
        <w:rPr>
          <w:rFonts w:hint="eastAsia" w:ascii="宋体" w:hAnsi="宋体"/>
          <w:szCs w:val="21"/>
        </w:rPr>
        <w:t>划定自然带。</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rPr>
          <w:b w:val="0"/>
        </w:rPr>
      </w:pPr>
      <w:r>
        <w:rPr>
          <w:rFonts w:hint="eastAsia"/>
        </w:rPr>
        <w:t>5</w:t>
      </w:r>
      <w:r>
        <w:t>.2.3</w:t>
      </w:r>
      <w:r>
        <w:rPr>
          <w:rFonts w:hint="eastAsia"/>
          <w:b w:val="0"/>
        </w:rPr>
        <w:tab/>
      </w:r>
      <w:r>
        <w:rPr>
          <w:rFonts w:hint="eastAsia"/>
          <w:b w:val="0"/>
        </w:rPr>
        <w:t>优化生境植被配置，应满足以下要求：</w:t>
      </w:r>
      <w:r>
        <w:rPr>
          <w:b w:val="0"/>
        </w:rPr>
        <w:t xml:space="preserve"> </w:t>
      </w:r>
    </w:p>
    <w:p>
      <w:pPr>
        <w:ind w:firstLine="480"/>
      </w:pPr>
      <w:r>
        <w:rPr>
          <w:rFonts w:hint="eastAsia"/>
          <w:b/>
        </w:rPr>
        <w:t>1</w:t>
      </w:r>
      <w:r>
        <w:rPr>
          <w:b/>
        </w:rPr>
        <w:t xml:space="preserve"> </w:t>
      </w:r>
      <w:r>
        <w:t>使用乡土树种营造动植物生境空间，</w:t>
      </w:r>
      <w:r>
        <w:rPr>
          <w:rFonts w:hint="eastAsia"/>
        </w:rPr>
        <w:t>乡土树种使用率应大于等于</w:t>
      </w:r>
      <w:r>
        <w:t>80%</w:t>
      </w:r>
      <w:r>
        <w:rPr>
          <w:rFonts w:hint="eastAsia"/>
        </w:rPr>
        <w:t>；</w:t>
      </w:r>
    </w:p>
    <w:p>
      <w:pPr>
        <w:ind w:firstLine="480"/>
      </w:pPr>
      <w:r>
        <w:rPr>
          <w:b/>
        </w:rPr>
        <w:t>2</w:t>
      </w:r>
      <w:r>
        <w:rPr>
          <w:rFonts w:hint="eastAsia"/>
        </w:rPr>
        <w:t xml:space="preserve"> 植物的配置应遵照动物的栖息偏好，注重多层次复合的植物群落配置，打造近水区域取食层、地面灌草丛取食层、树冠枝叶取食层和空中取食层，为动物取食提供多种生态位以减少竞争。</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rPr>
          <w:b w:val="0"/>
        </w:rPr>
      </w:pPr>
      <w:r>
        <w:rPr>
          <w:rFonts w:hint="eastAsia"/>
        </w:rPr>
        <w:t>5</w:t>
      </w:r>
      <w:r>
        <w:t>.2.4</w:t>
      </w:r>
      <w:r>
        <w:rPr>
          <w:rFonts w:hint="eastAsia"/>
          <w:b w:val="0"/>
        </w:rPr>
        <w:tab/>
      </w:r>
      <w:r>
        <w:rPr>
          <w:b w:val="0"/>
        </w:rPr>
        <w:t xml:space="preserve">营建不同类型的生境设施空间，应满足以下要求： </w:t>
      </w:r>
    </w:p>
    <w:p>
      <w:pPr>
        <w:ind w:firstLine="480"/>
      </w:pPr>
      <w:r>
        <w:rPr>
          <w:b/>
        </w:rPr>
        <w:t xml:space="preserve">1 </w:t>
      </w:r>
      <w:r>
        <w:rPr>
          <w:rFonts w:hint="eastAsia"/>
        </w:rPr>
        <w:t>生境水域环境</w:t>
      </w:r>
      <w:r>
        <w:t>应</w:t>
      </w:r>
      <w:r>
        <w:rPr>
          <w:rFonts w:hint="eastAsia"/>
        </w:rPr>
        <w:t>保证较缓的护岸坡度，预留一定面积的裸露泥滩或砾石滩涂，并结合水中岛屿进行营建；</w:t>
      </w:r>
    </w:p>
    <w:p>
      <w:pPr>
        <w:ind w:firstLine="480"/>
      </w:pPr>
      <w:r>
        <w:rPr>
          <w:b/>
        </w:rPr>
        <w:t>2</w:t>
      </w:r>
      <w:r>
        <w:rPr>
          <w:rFonts w:hint="eastAsia"/>
        </w:rPr>
        <w:t xml:space="preserve"> 庇护地应保持较多、较高、较密的林冠层和灌草覆盖层，以提供充足的巢材；</w:t>
      </w:r>
    </w:p>
    <w:p>
      <w:pPr>
        <w:ind w:firstLine="480"/>
      </w:pPr>
      <w:r>
        <w:rPr>
          <w:b/>
        </w:rPr>
        <w:t>3</w:t>
      </w:r>
      <w:r>
        <w:t xml:space="preserve"> </w:t>
      </w:r>
      <w:r>
        <w:rPr>
          <w:rFonts w:hint="eastAsia"/>
        </w:rPr>
        <w:t>宜多营造树根、树洞、岩洞、土壤空隙等，以便于动物藏身和储存食物；</w:t>
      </w:r>
    </w:p>
    <w:p>
      <w:pPr>
        <w:ind w:firstLine="480"/>
      </w:pPr>
      <w:r>
        <w:rPr>
          <w:b/>
        </w:rPr>
        <w:t>4</w:t>
      </w:r>
      <w:r>
        <w:t xml:space="preserve"> </w:t>
      </w:r>
      <w:r>
        <w:rPr>
          <w:rFonts w:hint="eastAsia"/>
        </w:rPr>
        <w:t>可植入人工生境设施保留或创造庇护环境，如人工堆置木头、瓦砾、石块，人工巢箱、昆虫旅馆等，以辅助动物隐蔽和栖息。</w:t>
      </w:r>
    </w:p>
    <w:p>
      <w:pPr>
        <w:pStyle w:val="3"/>
        <w:spacing w:before="156" w:after="156"/>
      </w:pPr>
      <w:bookmarkStart w:id="34" w:name="_Toc201242600"/>
      <w:bookmarkStart w:id="35" w:name="_Toc215054064"/>
      <w:bookmarkStart w:id="36" w:name="_Toc167205758"/>
      <w:r>
        <w:t>5.3</w:t>
      </w:r>
      <w:r>
        <w:rPr>
          <w:rFonts w:hint="eastAsia"/>
        </w:rPr>
        <w:t>调节微气候空间</w:t>
      </w:r>
      <w:bookmarkEnd w:id="34"/>
      <w:bookmarkEnd w:id="35"/>
      <w:bookmarkEnd w:id="36"/>
    </w:p>
    <w:p>
      <w:pPr>
        <w:pStyle w:val="5"/>
        <w:spacing w:before="0" w:after="0"/>
        <w:rPr>
          <w:b w:val="0"/>
        </w:rPr>
      </w:pPr>
      <w:r>
        <w:t>5.3.1</w:t>
      </w:r>
      <w:r>
        <w:rPr>
          <w:rFonts w:hint="eastAsia"/>
          <w:b w:val="0"/>
        </w:rPr>
        <w:tab/>
      </w:r>
      <w:r>
        <w:rPr>
          <w:rFonts w:hint="eastAsia"/>
          <w:b w:val="0"/>
        </w:rPr>
        <w:t>通风廊道内应以绿地、河流、街道、广场、主干路等开敞空间为主，允许保留一定的建筑，并应满足以下要求：</w:t>
      </w:r>
      <w:r>
        <w:rPr>
          <w:b w:val="0"/>
        </w:rPr>
        <w:t xml:space="preserve"> </w:t>
      </w:r>
    </w:p>
    <w:p>
      <w:pPr>
        <w:ind w:firstLine="480"/>
      </w:pPr>
      <w:r>
        <w:rPr>
          <w:b/>
        </w:rPr>
        <w:t>1</w:t>
      </w:r>
      <w:r>
        <w:rPr>
          <w:rFonts w:hint="eastAsia"/>
        </w:rPr>
        <w:t>一级、二级通风廊道的建设用地比例应分别低于</w:t>
      </w:r>
      <w:r>
        <w:t>20%</w:t>
      </w:r>
      <w:r>
        <w:rPr>
          <w:rFonts w:hint="eastAsia"/>
        </w:rPr>
        <w:t>、</w:t>
      </w:r>
      <w:r>
        <w:t>25%</w:t>
      </w:r>
      <w:r>
        <w:rPr>
          <w:rFonts w:hint="eastAsia"/>
        </w:rPr>
        <w:t>，建筑密度应分别低于</w:t>
      </w:r>
      <w:r>
        <w:t>25%</w:t>
      </w:r>
      <w:r>
        <w:rPr>
          <w:rFonts w:hint="eastAsia"/>
        </w:rPr>
        <w:t>、</w:t>
      </w:r>
      <w:r>
        <w:t>30%</w:t>
      </w:r>
      <w:r>
        <w:rPr>
          <w:rFonts w:hint="eastAsia"/>
        </w:rPr>
        <w:t>；</w:t>
      </w:r>
    </w:p>
    <w:p>
      <w:pPr>
        <w:ind w:firstLine="480"/>
      </w:pPr>
      <w:r>
        <w:rPr>
          <w:b/>
        </w:rPr>
        <w:t>2</w:t>
      </w:r>
      <w:r>
        <w:t xml:space="preserve"> </w:t>
      </w:r>
      <w:r>
        <w:rPr>
          <w:rFonts w:hint="eastAsia"/>
        </w:rPr>
        <w:t>廊道内单栋建筑物垂直于廊道方向的高度、宽度应小于廊道宽度的</w:t>
      </w:r>
      <w:r>
        <w:t>10%</w:t>
      </w:r>
      <w:r>
        <w:rPr>
          <w:rFonts w:hint="eastAsia"/>
        </w:rPr>
        <w:t>。</w:t>
      </w:r>
    </w:p>
    <w:p>
      <w:pPr>
        <w:ind w:firstLine="480"/>
      </w:pPr>
      <w:r>
        <w:rPr>
          <w:b/>
        </w:rPr>
        <w:t>3</w:t>
      </w:r>
      <w:r>
        <w:t xml:space="preserve">  </w:t>
      </w:r>
      <w:r>
        <w:rPr>
          <w:rFonts w:hint="eastAsia"/>
        </w:rPr>
        <w:t>一级通风廊道两侧建筑高宽比不宜大于</w:t>
      </w:r>
      <w:r>
        <w:t>0.5</w:t>
      </w:r>
      <w:r>
        <w:rPr>
          <w:rFonts w:hint="eastAsia"/>
        </w:rPr>
        <w:t>，场地间口率不宜小于</w:t>
      </w:r>
      <w:r>
        <w:t>40%</w:t>
      </w:r>
      <w:r>
        <w:rPr>
          <w:rFonts w:hint="eastAsia"/>
        </w:rPr>
        <w:t>；二级通风廊道两侧建筑高宽比不宜大于</w:t>
      </w:r>
      <w:r>
        <w:t>1.0</w:t>
      </w:r>
      <w:r>
        <w:rPr>
          <w:rFonts w:hint="eastAsia"/>
        </w:rPr>
        <w:t>，场地间口率不宜小于</w:t>
      </w:r>
      <w:r>
        <w:t>30%</w:t>
      </w:r>
      <w:r>
        <w:rPr>
          <w:rFonts w:hint="eastAsia"/>
        </w:rPr>
        <w:t>；</w:t>
      </w:r>
    </w:p>
    <w:p>
      <w:pPr>
        <w:ind w:firstLine="480"/>
      </w:pPr>
      <w:r>
        <w:rPr>
          <w:b/>
        </w:rPr>
        <w:t xml:space="preserve">4 </w:t>
      </w:r>
      <w:r>
        <w:rPr>
          <w:rFonts w:hint="eastAsia"/>
        </w:rPr>
        <w:t>通风廊道周边</w:t>
      </w:r>
      <w:r>
        <w:t>500m</w:t>
      </w:r>
      <w:r>
        <w:rPr>
          <w:rFonts w:hint="eastAsia"/>
        </w:rPr>
        <w:t>内的地块应尽可能增加绿化</w:t>
      </w:r>
      <w:r>
        <w:t>空间</w:t>
      </w:r>
      <w:r>
        <w:rPr>
          <w:rFonts w:hint="eastAsia"/>
        </w:rPr>
        <w:t>，宜保证绿化覆盖率在</w:t>
      </w:r>
      <w:r>
        <w:t>30%</w:t>
      </w:r>
      <w:r>
        <w:rPr>
          <w:rFonts w:hint="eastAsia"/>
        </w:rPr>
        <w:t>以上；</w:t>
      </w:r>
    </w:p>
    <w:p>
      <w:pPr>
        <w:ind w:firstLine="480"/>
      </w:pPr>
      <w:r>
        <w:rPr>
          <w:b/>
        </w:rPr>
        <w:t xml:space="preserve">5 </w:t>
      </w:r>
      <w:r>
        <w:rPr>
          <w:rFonts w:hint="eastAsia"/>
        </w:rPr>
        <w:t>不宜采用封闭的围合式建筑布局，宜采用错列式、斜列式、自由式、对角递增式、高低错落式的建筑布局形式，并保证来风方向的建筑高度较低、或外低内高的建筑布局。</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rPr>
          <w:b w:val="0"/>
        </w:rPr>
      </w:pPr>
      <w:r>
        <w:t>5.3.2</w:t>
      </w:r>
      <w:r>
        <w:rPr>
          <w:rFonts w:hint="eastAsia"/>
          <w:b w:val="0"/>
        </w:rPr>
        <w:tab/>
      </w:r>
      <w:r>
        <w:rPr>
          <w:rFonts w:hint="eastAsia"/>
          <w:b w:val="0"/>
        </w:rPr>
        <w:t>宜在通风廊道的上游、关键节点以及热岛效应较为严重的区域增加城市生态冷源，并满足以下要求：</w:t>
      </w:r>
      <w:r>
        <w:rPr>
          <w:b w:val="0"/>
        </w:rPr>
        <w:t xml:space="preserve"> </w:t>
      </w:r>
    </w:p>
    <w:p>
      <w:pPr>
        <w:ind w:firstLine="480"/>
      </w:pPr>
      <w:r>
        <w:rPr>
          <w:b/>
        </w:rPr>
        <w:t>1</w:t>
      </w:r>
      <w:r>
        <w:rPr>
          <w:rFonts w:hint="eastAsia"/>
        </w:rPr>
        <w:t>绿地面积不宜小于</w:t>
      </w:r>
      <w:r>
        <w:t>3</w:t>
      </w:r>
      <w:r>
        <w:rPr>
          <w:rFonts w:hint="eastAsia"/>
        </w:rPr>
        <w:t>hm</w:t>
      </w:r>
      <w:r>
        <w:rPr>
          <w:vertAlign w:val="superscript"/>
        </w:rPr>
        <w:t>2</w:t>
      </w:r>
      <w:r>
        <w:rPr>
          <w:rFonts w:hint="eastAsia"/>
        </w:rPr>
        <w:t>，且植被覆盖度不宜小于</w:t>
      </w:r>
      <w:r>
        <w:t>30%</w:t>
      </w:r>
      <w:r>
        <w:rPr>
          <w:rFonts w:hint="eastAsia"/>
        </w:rPr>
        <w:t>。</w:t>
      </w:r>
    </w:p>
    <w:p>
      <w:pPr>
        <w:ind w:firstLine="480"/>
      </w:pPr>
      <w:r>
        <w:rPr>
          <w:b/>
        </w:rPr>
        <w:t>2</w:t>
      </w:r>
      <w:r>
        <w:rPr>
          <w:rFonts w:hint="eastAsia"/>
        </w:rPr>
        <w:t>利用自然水体提升冷源质量，水域面积宜大于</w:t>
      </w:r>
      <w:r>
        <w:t>等于</w:t>
      </w:r>
      <w:r>
        <w:rPr>
          <w:rFonts w:hint="eastAsia"/>
        </w:rPr>
        <w:t>0.6 hm</w:t>
      </w:r>
      <w:r>
        <w:rPr>
          <w:vertAlign w:val="superscript"/>
        </w:rPr>
        <w:t>2</w:t>
      </w:r>
      <w:r>
        <w:rPr>
          <w:rFonts w:hint="eastAsia"/>
        </w:rPr>
        <w:t>。</w:t>
      </w:r>
    </w:p>
    <w:p>
      <w:pPr>
        <w:pStyle w:val="5"/>
        <w:spacing w:before="0" w:after="0"/>
        <w:rPr>
          <w:b w:val="0"/>
        </w:rPr>
      </w:pPr>
      <w:r>
        <w:t>5.3.3</w:t>
      </w:r>
      <w:r>
        <w:rPr>
          <w:rFonts w:hint="eastAsia"/>
          <w:b w:val="0"/>
        </w:rPr>
        <w:tab/>
      </w:r>
      <w:r>
        <w:rPr>
          <w:rFonts w:hint="eastAsia"/>
          <w:b w:val="0"/>
        </w:rPr>
        <w:t>结合城市道路设置林荫空间，应满足以下要求：</w:t>
      </w:r>
    </w:p>
    <w:p>
      <w:pPr>
        <w:ind w:firstLine="480"/>
      </w:pPr>
      <w:r>
        <w:rPr>
          <w:rFonts w:hint="eastAsia"/>
          <w:b/>
        </w:rPr>
        <w:t>1</w:t>
      </w:r>
      <w:r>
        <w:rPr>
          <w:rFonts w:hint="eastAsia"/>
        </w:rPr>
        <w:t>林荫道保障景观效果和生态功，能宽度宜在</w:t>
      </w:r>
      <w:r>
        <w:t>8m</w:t>
      </w:r>
      <w:r>
        <w:rPr>
          <w:rFonts w:hint="eastAsia"/>
        </w:rPr>
        <w:t>~</w:t>
      </w:r>
      <w:r>
        <w:t>40m</w:t>
      </w:r>
      <w:r>
        <w:rPr>
          <w:rFonts w:hint="eastAsia"/>
        </w:rPr>
        <w:t>之间，长度应大于等于5</w:t>
      </w:r>
      <w:r>
        <w:t>00米</w:t>
      </w:r>
      <w:r>
        <w:rPr>
          <w:rFonts w:hint="eastAsia"/>
        </w:rPr>
        <w:t>；</w:t>
      </w:r>
    </w:p>
    <w:p>
      <w:pPr>
        <w:ind w:firstLine="480"/>
      </w:pPr>
      <w:r>
        <w:rPr>
          <w:b/>
        </w:rPr>
        <w:t>2</w:t>
      </w:r>
      <w:r>
        <w:t xml:space="preserve"> </w:t>
      </w:r>
      <w:r>
        <w:rPr>
          <w:rFonts w:hint="eastAsia"/>
        </w:rPr>
        <w:t>以步行为主的林荫道保障浓密的树荫和舒适的步行环境，树冠与道路高宽比宜达到</w:t>
      </w:r>
      <w:r>
        <w:t>D/H</w:t>
      </w:r>
      <w:r>
        <w:rPr>
          <w:rFonts w:hint="eastAsia"/>
        </w:rPr>
        <w:t>≤</w:t>
      </w:r>
      <w:r>
        <w:t>1</w:t>
      </w:r>
      <w:r>
        <w:rPr>
          <w:rFonts w:hint="eastAsia"/>
        </w:rPr>
        <w:t>；</w:t>
      </w:r>
    </w:p>
    <w:p>
      <w:pPr>
        <w:ind w:firstLine="480"/>
      </w:pPr>
      <w:r>
        <w:rPr>
          <w:b/>
        </w:rPr>
        <w:t>3</w:t>
      </w:r>
      <w:r>
        <w:t xml:space="preserve"> </w:t>
      </w:r>
      <w:r>
        <w:rPr>
          <w:rFonts w:hint="eastAsia"/>
        </w:rPr>
        <w:t>人车混行的林荫道平衡遮荫效果和通风条件，同时满足交通需求，树冠与道路高宽比宜达到</w:t>
      </w:r>
      <w:r>
        <w:t>1</w:t>
      </w:r>
      <w:r>
        <w:rPr>
          <w:rFonts w:hint="eastAsia"/>
        </w:rPr>
        <w:t>≤</w:t>
      </w:r>
      <w:r>
        <w:t>D/H</w:t>
      </w:r>
      <w:r>
        <w:rPr>
          <w:rFonts w:hint="eastAsia"/>
        </w:rPr>
        <w:t>≤</w:t>
      </w:r>
      <w:r>
        <w:t>4</w:t>
      </w:r>
      <w:r>
        <w:rPr>
          <w:rFonts w:hint="eastAsia"/>
        </w:rPr>
        <w:t>。</w:t>
      </w:r>
    </w:p>
    <w:p>
      <w:pPr>
        <w:pStyle w:val="3"/>
        <w:spacing w:before="156" w:after="156"/>
      </w:pPr>
      <w:bookmarkStart w:id="37" w:name="_Toc201242601"/>
      <w:bookmarkStart w:id="38" w:name="_Toc215054065"/>
      <w:r>
        <w:t>5.4</w:t>
      </w:r>
      <w:r>
        <w:rPr>
          <w:rFonts w:hint="eastAsia"/>
        </w:rPr>
        <w:t>雨洪调节空间</w:t>
      </w:r>
      <w:bookmarkEnd w:id="37"/>
      <w:bookmarkEnd w:id="38"/>
    </w:p>
    <w:p>
      <w:pPr>
        <w:pStyle w:val="5"/>
        <w:spacing w:before="0" w:after="0"/>
        <w:rPr>
          <w:b w:val="0"/>
        </w:rPr>
      </w:pPr>
      <w:r>
        <w:t>5.4.1</w:t>
      </w:r>
      <w:r>
        <w:rPr>
          <w:rFonts w:hint="eastAsia"/>
          <w:b w:val="0"/>
        </w:rPr>
        <w:tab/>
      </w:r>
      <w:r>
        <w:rPr>
          <w:rFonts w:hint="eastAsia"/>
          <w:b w:val="0"/>
        </w:rPr>
        <w:t>应</w:t>
      </w:r>
      <w:r>
        <w:rPr>
          <w:b w:val="0"/>
        </w:rPr>
        <w:t>利用</w:t>
      </w:r>
      <w:r>
        <w:rPr>
          <w:rFonts w:hint="eastAsia"/>
          <w:b w:val="0"/>
        </w:rPr>
        <w:t>城市滨水绿带、公园中具有调蓄作用的水体，城市竖向中相对低势的开敞空间设置城市雨洪调蓄空间，满足以下要求：</w:t>
      </w:r>
      <w:r>
        <w:rPr>
          <w:b w:val="0"/>
        </w:rPr>
        <w:t xml:space="preserve"> </w:t>
      </w:r>
    </w:p>
    <w:p>
      <w:pPr>
        <w:ind w:firstLine="480"/>
      </w:pPr>
      <w:r>
        <w:rPr>
          <w:rFonts w:hint="eastAsia"/>
          <w:b/>
        </w:rPr>
        <w:t>1</w:t>
      </w:r>
      <w:r>
        <w:t xml:space="preserve"> </w:t>
      </w:r>
      <w:r>
        <w:rPr>
          <w:rFonts w:hint="eastAsia"/>
        </w:rPr>
        <w:t>滨水空间</w:t>
      </w:r>
      <w:r>
        <w:t>应</w:t>
      </w:r>
      <w:r>
        <w:rPr>
          <w:rFonts w:hint="eastAsia"/>
        </w:rPr>
        <w:t>形成斜坡宽度不低于</w:t>
      </w:r>
      <w:r>
        <w:t>5</w:t>
      </w:r>
      <w:r>
        <w:rPr>
          <w:rFonts w:hint="eastAsia"/>
        </w:rPr>
        <w:t>米且坡度不大于</w:t>
      </w:r>
      <w:r>
        <w:t>30</w:t>
      </w:r>
      <w:r>
        <w:rPr>
          <w:rFonts w:hint="eastAsia"/>
        </w:rPr>
        <w:t>°的植被缓冲空间，用于净化雨水径流污染；</w:t>
      </w:r>
    </w:p>
    <w:p>
      <w:pPr>
        <w:ind w:firstLine="480"/>
      </w:pPr>
      <w:r>
        <w:rPr>
          <w:b/>
        </w:rPr>
        <w:t>2</w:t>
      </w:r>
      <w:r>
        <w:t xml:space="preserve"> </w:t>
      </w:r>
      <w:r>
        <w:rPr>
          <w:rFonts w:hint="eastAsia"/>
        </w:rPr>
        <w:t>公园中具有调蓄作用的水体应注意雨水径流的输送路径的畅通、入流前的净化设计；</w:t>
      </w:r>
    </w:p>
    <w:p>
      <w:pPr>
        <w:ind w:firstLine="480"/>
      </w:pPr>
      <w:r>
        <w:rPr>
          <w:b/>
        </w:rPr>
        <w:t>3</w:t>
      </w:r>
      <w:r>
        <w:t xml:space="preserve"> </w:t>
      </w:r>
      <w:r>
        <w:rPr>
          <w:rFonts w:hint="eastAsia"/>
        </w:rPr>
        <w:t>低势的雨洪滞蓄空间应保障安全</w:t>
      </w:r>
      <w:r>
        <w:t>，使用</w:t>
      </w:r>
      <w:r>
        <w:rPr>
          <w:rFonts w:hint="eastAsia"/>
        </w:rPr>
        <w:t>水旱两宜的设计手法，</w:t>
      </w:r>
      <w:r>
        <w:t>保证</w:t>
      </w:r>
      <w:r>
        <w:rPr>
          <w:rFonts w:hint="eastAsia"/>
        </w:rPr>
        <w:t>多功能用途；</w:t>
      </w:r>
    </w:p>
    <w:p>
      <w:pPr>
        <w:ind w:firstLine="480"/>
      </w:pPr>
      <w:r>
        <w:rPr>
          <w:rFonts w:hint="eastAsia"/>
          <w:b/>
        </w:rPr>
        <w:t>4</w:t>
      </w:r>
      <w:r>
        <w:t xml:space="preserve"> </w:t>
      </w:r>
      <w:r>
        <w:rPr>
          <w:rFonts w:hint="eastAsia"/>
        </w:rPr>
        <w:t>城市生态基础设施应与城市灰色雨水设施充分协同，实现70%的雨水就地消纳利用。</w:t>
      </w:r>
    </w:p>
    <w:p>
      <w:pPr>
        <w:pStyle w:val="9"/>
        <w:ind w:firstLine="420"/>
        <w:rPr>
          <w:rFonts w:ascii="楷体" w:hAnsi="楷体" w:eastAsia="楷体"/>
          <w:color w:val="000000" w:themeColor="text1"/>
          <w:sz w:val="21"/>
          <w:szCs w:val="21"/>
          <w14:textFill>
            <w14:solidFill>
              <w14:schemeClr w14:val="tx1"/>
            </w14:solidFill>
          </w14:textFill>
        </w:rPr>
      </w:pPr>
    </w:p>
    <w:p>
      <w:pPr>
        <w:pStyle w:val="5"/>
        <w:spacing w:before="0" w:after="0"/>
        <w:rPr>
          <w:b w:val="0"/>
        </w:rPr>
      </w:pPr>
      <w:r>
        <w:t>5.4.2</w:t>
      </w:r>
      <w:r>
        <w:rPr>
          <w:rFonts w:hint="eastAsia"/>
          <w:b w:val="0"/>
        </w:rPr>
        <w:tab/>
      </w:r>
      <w:r>
        <w:rPr>
          <w:rFonts w:hint="eastAsia"/>
          <w:b w:val="0"/>
        </w:rPr>
        <w:t>提升社区对雨水的滞纳能力，应</w:t>
      </w:r>
      <w:r>
        <w:rPr>
          <w:b w:val="0"/>
        </w:rPr>
        <w:t>满足</w:t>
      </w:r>
      <w:r>
        <w:rPr>
          <w:rFonts w:hint="eastAsia"/>
          <w:b w:val="0"/>
        </w:rPr>
        <w:t>以下要求：</w:t>
      </w:r>
    </w:p>
    <w:p>
      <w:pPr>
        <w:ind w:firstLine="480"/>
      </w:pPr>
      <w:r>
        <w:rPr>
          <w:rFonts w:hint="eastAsia"/>
          <w:b/>
        </w:rPr>
        <w:t>1</w:t>
      </w:r>
      <w:r>
        <w:t xml:space="preserve"> </w:t>
      </w:r>
      <w:r>
        <w:rPr>
          <w:rFonts w:hint="eastAsia"/>
        </w:rPr>
        <w:t>宜使用透水铺装，</w:t>
      </w:r>
      <w:r>
        <w:rPr>
          <w:rFonts w:ascii="Segoe UI" w:hAnsi="Segoe UI" w:cs="Segoe UI"/>
          <w:shd w:val="clear" w:color="auto" w:fill="FFFFFF"/>
        </w:rPr>
        <w:t>人行道、广场等硬化地面透水率</w:t>
      </w:r>
      <w:r>
        <w:rPr>
          <w:rFonts w:hint="eastAsia" w:ascii="Segoe UI" w:hAnsi="Segoe UI" w:cs="Segoe UI"/>
          <w:shd w:val="clear" w:color="auto" w:fill="FFFFFF"/>
        </w:rPr>
        <w:t>不宜</w:t>
      </w:r>
      <w:r>
        <w:rPr>
          <w:rFonts w:hint="eastAsia"/>
        </w:rPr>
        <w:t>小</w:t>
      </w:r>
      <w:r>
        <w:rPr>
          <w:rFonts w:hint="eastAsia" w:ascii="Segoe UI" w:hAnsi="Segoe UI" w:cs="Segoe UI"/>
          <w:shd w:val="clear" w:color="auto" w:fill="FFFFFF"/>
        </w:rPr>
        <w:t>于</w:t>
      </w:r>
      <w:r>
        <w:rPr>
          <w:rFonts w:ascii="Segoe UI" w:hAnsi="Segoe UI" w:cs="Segoe UI"/>
          <w:shd w:val="clear" w:color="auto" w:fill="FFFFFF"/>
        </w:rPr>
        <w:t>40%</w:t>
      </w:r>
      <w:r>
        <w:rPr>
          <w:rFonts w:hint="eastAsia" w:ascii="Segoe UI" w:hAnsi="Segoe UI" w:cs="Segoe UI"/>
          <w:shd w:val="clear" w:color="auto" w:fill="FFFFFF"/>
        </w:rPr>
        <w:t>；</w:t>
      </w:r>
    </w:p>
    <w:p>
      <w:pPr>
        <w:ind w:firstLine="480"/>
      </w:pPr>
      <w:r>
        <w:rPr>
          <w:rFonts w:hint="eastAsia"/>
          <w:b/>
        </w:rPr>
        <w:t>2</w:t>
      </w:r>
      <w:r>
        <w:t xml:space="preserve"> 宜结合社区绿化，设置雨水花园、下凹式绿地、植草沟、生态树池等雨水收集设施，提升社区雨水滞纳能力。</w:t>
      </w:r>
    </w:p>
    <w:p>
      <w:pPr>
        <w:pStyle w:val="3"/>
        <w:spacing w:before="156" w:after="156"/>
      </w:pPr>
      <w:bookmarkStart w:id="39" w:name="_Toc201242602"/>
      <w:bookmarkStart w:id="40" w:name="_Toc215054066"/>
      <w:bookmarkStart w:id="41" w:name="_Toc167205757"/>
      <w:r>
        <w:t xml:space="preserve">5.5 </w:t>
      </w:r>
      <w:r>
        <w:rPr>
          <w:rFonts w:hint="eastAsia"/>
        </w:rPr>
        <w:t>防灾避险绿地</w:t>
      </w:r>
      <w:bookmarkEnd w:id="39"/>
      <w:bookmarkEnd w:id="40"/>
    </w:p>
    <w:p>
      <w:pPr>
        <w:pStyle w:val="5"/>
        <w:spacing w:before="0" w:after="0"/>
        <w:rPr>
          <w:b w:val="0"/>
        </w:rPr>
      </w:pPr>
      <w:r>
        <w:rPr>
          <w:rFonts w:hint="eastAsia"/>
        </w:rPr>
        <w:t>5</w:t>
      </w:r>
      <w:r>
        <w:t>.5.1</w:t>
      </w:r>
      <w:r>
        <w:rPr>
          <w:rFonts w:hint="eastAsia"/>
          <w:b w:val="0"/>
        </w:rPr>
        <w:tab/>
      </w:r>
      <w:r>
        <w:rPr>
          <w:b w:val="0"/>
        </w:rPr>
        <w:t>城市防灾避险绿地分区设计、竖向设计、道路铺装设计、种植设计及配套设施应符合</w:t>
      </w:r>
      <w:r>
        <w:rPr>
          <w:rFonts w:hint="eastAsia"/>
          <w:b w:val="0"/>
        </w:rPr>
        <w:t>现行国家标准《防灾避难场所设计规范》GB51143相关要求，内容和重点应符合下列规定：</w:t>
      </w:r>
    </w:p>
    <w:p>
      <w:pPr>
        <w:ind w:firstLine="480"/>
      </w:pPr>
      <w:r>
        <w:rPr>
          <w:rFonts w:hint="eastAsia"/>
          <w:b/>
        </w:rPr>
        <w:t>1</w:t>
      </w:r>
      <w:r>
        <w:t xml:space="preserve"> 长期避险绿地应具备以下灾时功能区：救灾指挥区、物资存储与装卸区、避险与灾后重建生活营地、临时医疗区、停车场与直升机临时停机坪和出入口。中短期避险绿地应具备以下灾时功能区：救灾管理区、物资存储与装卸区、临时避险空间、救援用车停车场、出入口；</w:t>
      </w:r>
    </w:p>
    <w:p>
      <w:pPr>
        <w:ind w:firstLine="480"/>
      </w:pPr>
      <w:r>
        <w:rPr>
          <w:b/>
        </w:rPr>
        <w:t>2</w:t>
      </w:r>
      <w:r>
        <w:t xml:space="preserve"> 防灾避险绿地设计应结合现状地形地貌、城市用地竖向规划以 及城市绿地防灾避险功能要求进行竖向设计。竖向设计应满足</w:t>
      </w:r>
      <w:r>
        <w:rPr>
          <w:rFonts w:hint="eastAsia"/>
        </w:rPr>
        <w:t>现行国家标准</w:t>
      </w:r>
      <w:r>
        <w:t>《防灾避难场所设计规范》GB51143中</w:t>
      </w:r>
      <w:r>
        <w:rPr>
          <w:rFonts w:hint="eastAsia"/>
        </w:rPr>
        <w:t>5.3.5条的</w:t>
      </w:r>
      <w:r>
        <w:t>要求；</w:t>
      </w:r>
    </w:p>
    <w:p>
      <w:pPr>
        <w:ind w:firstLine="480"/>
      </w:pPr>
      <w:r>
        <w:rPr>
          <w:rFonts w:hint="eastAsia"/>
          <w:b/>
        </w:rPr>
        <w:t>3</w:t>
      </w:r>
      <w:r>
        <w:t xml:space="preserve"> 应保障所有防灾避险功能区域顺畅通达，走向明晰，并设置明显的标识标牌。长期避险绿地内救援通道宽度应大于5</w:t>
      </w:r>
      <w:r>
        <w:rPr>
          <w:rFonts w:hint="eastAsia"/>
        </w:rPr>
        <w:t>m，</w:t>
      </w:r>
      <w:r>
        <w:t>中短期避险绿地和紧急避险绿地园路设置应符合</w:t>
      </w:r>
      <w:r>
        <w:rPr>
          <w:rFonts w:hint="eastAsia"/>
        </w:rPr>
        <w:t>现行国家标准</w:t>
      </w:r>
      <w:r>
        <w:t>《公园设计规范》GB 51192的相关要求，兼顾应急救援、人员疏散等需要。通道、广场铺装面应规整、平坦且排水通畅；</w:t>
      </w:r>
    </w:p>
    <w:p>
      <w:pPr>
        <w:ind w:firstLine="480"/>
      </w:pPr>
      <w:r>
        <w:rPr>
          <w:b/>
        </w:rPr>
        <w:t>4</w:t>
      </w:r>
      <w:r>
        <w:t xml:space="preserve"> </w:t>
      </w:r>
      <w:r>
        <w:rPr>
          <w:rFonts w:hint="eastAsia"/>
        </w:rPr>
        <w:t>防灾避险</w:t>
      </w:r>
      <w:r>
        <w:t>绿地边缘应布置防护绿带。长期避险绿地边缘防护绿带宽度不应少于10m，</w:t>
      </w:r>
      <w:r>
        <w:rPr>
          <w:rFonts w:hint="eastAsia"/>
        </w:rPr>
        <w:t>宜采用</w:t>
      </w:r>
      <w:r>
        <w:t>三排乔灌木交互种植，中短期避险绿地边缘防护绿带应采用乔灌木交互种植；</w:t>
      </w:r>
    </w:p>
    <w:p>
      <w:pPr>
        <w:ind w:firstLine="480"/>
      </w:pPr>
      <w:r>
        <w:rPr>
          <w:rFonts w:hint="eastAsia"/>
          <w:b/>
        </w:rPr>
        <w:t>5</w:t>
      </w:r>
      <w:r>
        <w:t xml:space="preserve"> 防灾避险绿地中亭廊等休憩、游赏设施，应充分考虑灾时转换为防灾避险设施的需要，并符合</w:t>
      </w:r>
      <w:r>
        <w:rPr>
          <w:rFonts w:hint="eastAsia"/>
        </w:rPr>
        <w:t>现行国家标准</w:t>
      </w:r>
      <w:r>
        <w:t>《中国地震动参数区划图》GB 18306-2015、《建筑抗震设计规范》GB 50011和《建筑工程抗震设防分类标准》GB 50223的相关要求。</w:t>
      </w:r>
    </w:p>
    <w:p>
      <w:pPr>
        <w:pStyle w:val="5"/>
        <w:spacing w:before="0" w:after="0"/>
        <w:rPr>
          <w:b w:val="0"/>
        </w:rPr>
      </w:pPr>
      <w:r>
        <w:rPr>
          <w:rFonts w:hint="eastAsia"/>
        </w:rPr>
        <w:t>5</w:t>
      </w:r>
      <w:r>
        <w:t>.5.2</w:t>
      </w:r>
      <w:r>
        <w:rPr>
          <w:rFonts w:hint="eastAsia"/>
          <w:b w:val="0"/>
        </w:rPr>
        <w:tab/>
      </w:r>
      <w:r>
        <w:rPr>
          <w:b w:val="0"/>
        </w:rPr>
        <w:t>防灾避险绿地应急供水、供电设施应满足以下要求：</w:t>
      </w:r>
    </w:p>
    <w:p>
      <w:pPr>
        <w:ind w:firstLine="480"/>
      </w:pPr>
      <w:r>
        <w:rPr>
          <w:b/>
        </w:rPr>
        <w:t>1</w:t>
      </w:r>
      <w:r>
        <w:t xml:space="preserve"> 长期、中短期避险绿地的救灾通道和主要避灾场所宜设置一定比例的太阳能照明设置，保障夜间避灾照明需求，</w:t>
      </w:r>
      <w:r>
        <w:rPr>
          <w:rFonts w:hint="eastAsia"/>
        </w:rPr>
        <w:t>并应设置应急发电设施保证</w:t>
      </w:r>
      <w:r>
        <w:t>灾时、灾后照明系统能够独立运行需要；</w:t>
      </w:r>
    </w:p>
    <w:p>
      <w:pPr>
        <w:ind w:firstLine="480"/>
      </w:pPr>
      <w:r>
        <w:rPr>
          <w:rFonts w:hint="eastAsia"/>
          <w:b/>
        </w:rPr>
        <w:t>2</w:t>
      </w:r>
      <w:r>
        <w:t xml:space="preserve"> 长期、中短期避险绿地设有独立的供水设施，并结合城市给水、自备水源、河湖水等实现多水源供水和分质供水，生活饮用水水质应达到</w:t>
      </w:r>
      <w:r>
        <w:rPr>
          <w:rFonts w:hint="eastAsia"/>
        </w:rPr>
        <w:t>现行国家标准《生活饮用水卫生标准》</w:t>
      </w:r>
      <w:r>
        <w:t>GB 5749规定的要求。紧急避险绿地结合绿地配套设施设置应急供水点。</w:t>
      </w:r>
    </w:p>
    <w:bookmarkEnd w:id="41"/>
    <w:p>
      <w:pPr>
        <w:pStyle w:val="3"/>
        <w:spacing w:before="156" w:after="156"/>
      </w:pPr>
      <w:bookmarkStart w:id="42" w:name="_Toc167205759"/>
      <w:bookmarkStart w:id="43" w:name="_Toc215054067"/>
      <w:bookmarkStart w:id="44" w:name="_Toc201242603"/>
      <w:bookmarkStart w:id="45" w:name="_Toc128479640"/>
      <w:r>
        <w:t>5.6</w:t>
      </w:r>
      <w:r>
        <w:rPr>
          <w:rFonts w:hint="eastAsia"/>
        </w:rPr>
        <w:t>公共设施与装备</w:t>
      </w:r>
      <w:bookmarkEnd w:id="42"/>
      <w:bookmarkEnd w:id="43"/>
      <w:bookmarkEnd w:id="44"/>
    </w:p>
    <w:p>
      <w:pPr>
        <w:pStyle w:val="5"/>
        <w:spacing w:before="0" w:after="0"/>
        <w:rPr>
          <w:b w:val="0"/>
        </w:rPr>
      </w:pPr>
      <w:bookmarkStart w:id="46" w:name="_Toc167205760"/>
      <w:r>
        <w:rPr>
          <w:rFonts w:hint="eastAsia"/>
        </w:rPr>
        <w:t>5</w:t>
      </w:r>
      <w:r>
        <w:t>.6.1</w:t>
      </w:r>
      <w:r>
        <w:rPr>
          <w:rFonts w:hint="eastAsia"/>
          <w:b w:val="0"/>
        </w:rPr>
        <w:tab/>
      </w:r>
      <w:r>
        <w:rPr>
          <w:rFonts w:hint="eastAsia"/>
          <w:b w:val="0"/>
        </w:rPr>
        <w:t>大于1hm</w:t>
      </w:r>
      <w:r>
        <w:rPr>
          <w:b w:val="0"/>
          <w:vertAlign w:val="superscript"/>
        </w:rPr>
        <w:t>2</w:t>
      </w:r>
      <w:r>
        <w:rPr>
          <w:rFonts w:hint="eastAsia"/>
          <w:b w:val="0"/>
        </w:rPr>
        <w:t>的公园应根据公园面积及类型设置儿童游戏、休闲游憩、运动康体、文化科普、卫生</w:t>
      </w:r>
      <w:r>
        <w:rPr>
          <w:b w:val="0"/>
        </w:rPr>
        <w:t>及医疗</w:t>
      </w:r>
      <w:r>
        <w:rPr>
          <w:rFonts w:hint="eastAsia"/>
          <w:b w:val="0"/>
        </w:rPr>
        <w:t>服务、商业服务、园务管理等设施。设施设置规定应符合现行国家标准《城市绿地规划标准》</w:t>
      </w:r>
      <w:r>
        <w:rPr>
          <w:b w:val="0"/>
        </w:rPr>
        <w:t>GB/T51346</w:t>
      </w:r>
      <w:r>
        <w:rPr>
          <w:rFonts w:hint="eastAsia"/>
          <w:b w:val="0"/>
        </w:rPr>
        <w:t>的有关规定。</w:t>
      </w:r>
    </w:p>
    <w:p>
      <w:pPr>
        <w:pStyle w:val="5"/>
        <w:spacing w:before="0" w:after="0"/>
        <w:rPr>
          <w:b w:val="0"/>
        </w:rPr>
      </w:pPr>
      <w:r>
        <w:t>5.6.2</w:t>
      </w:r>
      <w:r>
        <w:rPr>
          <w:rFonts w:hint="eastAsia"/>
          <w:b w:val="0"/>
        </w:rPr>
        <w:tab/>
      </w:r>
      <w:r>
        <w:rPr>
          <w:rFonts w:hint="eastAsia"/>
          <w:b w:val="0"/>
        </w:rPr>
        <w:t>提供满足各年龄使用者基本需求的设施，应满足以下要求：</w:t>
      </w:r>
    </w:p>
    <w:p>
      <w:pPr>
        <w:ind w:firstLine="480"/>
      </w:pPr>
      <w:r>
        <w:rPr>
          <w:b/>
        </w:rPr>
        <w:t>1</w:t>
      </w:r>
      <w:r>
        <w:rPr>
          <w:rFonts w:hint="eastAsia"/>
        </w:rPr>
        <w:t>地形设计应保证环境安全、无视线盲区、坡度适宜，宜增强空间趣味性以提升使用频率；</w:t>
      </w:r>
    </w:p>
    <w:p>
      <w:pPr>
        <w:ind w:firstLine="480"/>
      </w:pPr>
      <w:r>
        <w:rPr>
          <w:b/>
        </w:rPr>
        <w:t>2</w:t>
      </w:r>
      <w:r>
        <w:rPr>
          <w:rFonts w:hint="eastAsia"/>
        </w:rPr>
        <w:t>活动场地内应避免选取易造成危害的植物，区域内植物空间设计宜避免过于郁闭，应便于社会监护；</w:t>
      </w:r>
    </w:p>
    <w:p>
      <w:pPr>
        <w:ind w:firstLine="480"/>
      </w:pPr>
      <w:r>
        <w:rPr>
          <w:b/>
        </w:rPr>
        <w:t>3</w:t>
      </w:r>
      <w:r>
        <w:t>塑造</w:t>
      </w:r>
      <w:r>
        <w:rPr>
          <w:rFonts w:hint="eastAsia"/>
        </w:rPr>
        <w:t>宜人</w:t>
      </w:r>
      <w:r>
        <w:t>的场地自然环境，</w:t>
      </w:r>
      <w:r>
        <w:rPr>
          <w:rFonts w:hint="eastAsia"/>
        </w:rPr>
        <w:t>场地周边宜采用冠大荫浓的乔木树种提供遮阴，宜在冬季主导风向上布置挡风屏障。宜多布局季节性强、色彩鲜明、芳香、可采摘的本土植物，营造感官互动的生态景观空间；</w:t>
      </w:r>
    </w:p>
    <w:p>
      <w:pPr>
        <w:ind w:firstLine="480"/>
      </w:pPr>
      <w:r>
        <w:rPr>
          <w:b/>
        </w:rPr>
        <w:t xml:space="preserve">4 </w:t>
      </w:r>
      <w:r>
        <w:rPr>
          <w:rFonts w:hint="eastAsia"/>
        </w:rPr>
        <w:t>景观小品表面宜光滑，未端或转弯处宜设计成圆角，以避免潜在安全风险。</w:t>
      </w:r>
    </w:p>
    <w:p>
      <w:pPr>
        <w:ind w:firstLine="480"/>
      </w:pPr>
      <w:r>
        <w:rPr>
          <w:b/>
        </w:rPr>
        <w:t>5</w:t>
      </w:r>
      <w:r>
        <w:rPr>
          <w:rFonts w:hint="eastAsia"/>
        </w:rPr>
        <w:t>公园绿地照明应与主要交通流线相结合，避免产生照明盲区。</w:t>
      </w:r>
      <w:r>
        <w:t xml:space="preserve"> </w:t>
      </w:r>
      <w:r>
        <w:rPr>
          <w:rFonts w:hint="eastAsia"/>
        </w:rPr>
        <w:t>公园绿地的出入口、主要活动区域、附属建筑等空间宜设置监控系统，保证重点区域监控无盲区</w:t>
      </w:r>
      <w:r>
        <w:t>；</w:t>
      </w:r>
    </w:p>
    <w:p>
      <w:pPr>
        <w:ind w:firstLine="480"/>
      </w:pPr>
      <w:r>
        <w:rPr>
          <w:b/>
        </w:rPr>
        <w:t>6</w:t>
      </w:r>
      <w:r>
        <w:rPr>
          <w:rFonts w:hint="eastAsia"/>
        </w:rPr>
        <w:t>公园绿地规模较大时，宜设置母婴室和第三卫生间。综合公园靠近公共卫生间宜至少设置</w:t>
      </w:r>
      <w:r>
        <w:t>1</w:t>
      </w:r>
      <w:r>
        <w:rPr>
          <w:rFonts w:hint="eastAsia"/>
        </w:rPr>
        <w:t>处母婴室。儿童活动频繁的大型公园，可设置多处母婴室。</w:t>
      </w:r>
    </w:p>
    <w:p>
      <w:pPr>
        <w:ind w:firstLine="480"/>
      </w:pPr>
      <w:r>
        <w:rPr>
          <w:b/>
        </w:rPr>
        <w:t xml:space="preserve">7 </w:t>
      </w:r>
      <w:r>
        <w:t>应</w:t>
      </w:r>
      <w:r>
        <w:rPr>
          <w:rFonts w:hint="eastAsia"/>
        </w:rPr>
        <w:t>提供灵活布局的大型开放场地，满足各年龄段使用者沟通的交往需求。预留大面积草坪、可供休闲娱乐的滨河空间等，结合宽敞开阔的场地运营较大规模的节庆赛事，丰富各年龄使用者的参与体验。</w:t>
      </w:r>
    </w:p>
    <w:p>
      <w:pPr>
        <w:pStyle w:val="5"/>
        <w:spacing w:before="0" w:after="0"/>
        <w:rPr>
          <w:b w:val="0"/>
        </w:rPr>
      </w:pPr>
      <w:r>
        <w:t>5.6.3</w:t>
      </w:r>
      <w:r>
        <w:rPr>
          <w:rFonts w:hint="eastAsia"/>
          <w:b w:val="0"/>
        </w:rPr>
        <w:tab/>
      </w:r>
      <w:r>
        <w:rPr>
          <w:rFonts w:hint="eastAsia"/>
          <w:b w:val="0"/>
        </w:rPr>
        <w:t>宜结合公园绿道建设综合服务驿站，</w:t>
      </w:r>
      <w:r>
        <w:rPr>
          <w:b w:val="0"/>
        </w:rPr>
        <w:t>满足</w:t>
      </w:r>
      <w:r>
        <w:rPr>
          <w:rFonts w:hint="eastAsia"/>
          <w:b w:val="0"/>
        </w:rPr>
        <w:t>以下要求：</w:t>
      </w:r>
      <w:r>
        <w:rPr>
          <w:b w:val="0"/>
        </w:rPr>
        <w:t xml:space="preserve"> </w:t>
      </w:r>
    </w:p>
    <w:p>
      <w:pPr>
        <w:ind w:firstLine="480"/>
      </w:pPr>
      <w:r>
        <w:rPr>
          <w:rFonts w:hint="eastAsia"/>
          <w:b/>
        </w:rPr>
        <w:t>1</w:t>
      </w:r>
      <w:r>
        <w:rPr>
          <w:rFonts w:hint="eastAsia"/>
        </w:rPr>
        <w:t>一级驿站宜结合大型公园绿地、文化体育设施等进行设置，包括游客集散、旅游度假、商业服务、文化展示与体验等功能，间距宜为</w:t>
      </w:r>
      <w:r>
        <w:t>5km~8km</w:t>
      </w:r>
      <w:r>
        <w:rPr>
          <w:rFonts w:hint="eastAsia"/>
        </w:rPr>
        <w:t>；</w:t>
      </w:r>
    </w:p>
    <w:p>
      <w:pPr>
        <w:ind w:firstLine="480"/>
      </w:pPr>
      <w:r>
        <w:rPr>
          <w:rFonts w:hint="eastAsia"/>
          <w:b/>
        </w:rPr>
        <w:t>2</w:t>
      </w:r>
      <w:r>
        <w:rPr>
          <w:rFonts w:hint="eastAsia"/>
        </w:rPr>
        <w:t>二级驿站宜结合公园绿地、广场进行设计，包括商业服务，休憩娱乐等功能，间距宜为 3</w:t>
      </w:r>
      <w:r>
        <w:t>km~</w:t>
      </w:r>
      <w:r>
        <w:rPr>
          <w:rFonts w:hint="eastAsia"/>
        </w:rPr>
        <w:t>5km；</w:t>
      </w:r>
    </w:p>
    <w:p>
      <w:pPr>
        <w:ind w:firstLine="480"/>
      </w:pPr>
      <w:r>
        <w:rPr>
          <w:rFonts w:hint="eastAsia"/>
          <w:b/>
        </w:rPr>
        <w:t>3</w:t>
      </w:r>
      <w:r>
        <w:rPr>
          <w:rFonts w:hint="eastAsia"/>
        </w:rPr>
        <w:t>三级驿站可根据功能需求进行灵活设置，提供一般休憩、自行车停车点、自助售货等功能，间距宜为 1km</w:t>
      </w:r>
      <w:r>
        <w:t>~</w:t>
      </w:r>
      <w:r>
        <w:rPr>
          <w:rFonts w:hint="eastAsia"/>
        </w:rPr>
        <w:t>2km。</w:t>
      </w:r>
    </w:p>
    <w:bookmarkEnd w:id="46"/>
    <w:p>
      <w:pPr>
        <w:pStyle w:val="3"/>
        <w:spacing w:before="156" w:after="156"/>
      </w:pPr>
      <w:bookmarkStart w:id="47" w:name="_Toc201242604"/>
      <w:bookmarkStart w:id="48" w:name="_Toc167205761"/>
      <w:bookmarkStart w:id="49" w:name="_Toc215054068"/>
      <w:r>
        <w:t>5.7</w:t>
      </w:r>
      <w:r>
        <w:rPr>
          <w:rFonts w:hint="eastAsia"/>
        </w:rPr>
        <w:t>历史文化空间与设施</w:t>
      </w:r>
      <w:bookmarkEnd w:id="47"/>
      <w:bookmarkEnd w:id="48"/>
      <w:bookmarkEnd w:id="49"/>
    </w:p>
    <w:p>
      <w:pPr>
        <w:pStyle w:val="5"/>
        <w:spacing w:before="0" w:after="0"/>
        <w:rPr>
          <w:b w:val="0"/>
        </w:rPr>
      </w:pPr>
      <w:r>
        <w:rPr>
          <w:rFonts w:hint="eastAsia"/>
        </w:rPr>
        <w:t>5.</w:t>
      </w:r>
      <w:r>
        <w:t>7</w:t>
      </w:r>
      <w:r>
        <w:rPr>
          <w:rFonts w:hint="eastAsia"/>
        </w:rPr>
        <w:t>.1</w:t>
      </w:r>
      <w:r>
        <w:rPr>
          <w:rFonts w:hint="eastAsia"/>
          <w:b w:val="0"/>
        </w:rPr>
        <w:tab/>
      </w:r>
      <w:r>
        <w:rPr>
          <w:rFonts w:hint="eastAsia"/>
          <w:b w:val="0"/>
        </w:rPr>
        <w:t>塑造文化景观路径，应</w:t>
      </w:r>
      <w:r>
        <w:rPr>
          <w:b w:val="0"/>
        </w:rPr>
        <w:t>满足</w:t>
      </w:r>
      <w:r>
        <w:rPr>
          <w:rFonts w:hint="eastAsia"/>
          <w:b w:val="0"/>
        </w:rPr>
        <w:t>以下要求：</w:t>
      </w:r>
    </w:p>
    <w:p>
      <w:pPr>
        <w:ind w:firstLine="480"/>
      </w:pPr>
      <w:r>
        <w:rPr>
          <w:b/>
        </w:rPr>
        <w:t>1</w:t>
      </w:r>
      <w:r>
        <w:t>应</w:t>
      </w:r>
      <w:r>
        <w:rPr>
          <w:rFonts w:hint="eastAsia"/>
        </w:rPr>
        <w:t>结合具有自然景观和历史文化特色的节点与设施，设置景观路径；</w:t>
      </w:r>
    </w:p>
    <w:p>
      <w:pPr>
        <w:ind w:firstLine="480"/>
      </w:pPr>
      <w:r>
        <w:rPr>
          <w:b/>
        </w:rPr>
        <w:t>2</w:t>
      </w:r>
      <w:r>
        <w:t>强化沿线景观层次性，节点可</w:t>
      </w:r>
      <w:r>
        <w:rPr>
          <w:rFonts w:hint="eastAsia"/>
        </w:rPr>
        <w:t>采取对景、框景、借景、障景等方式，对重要景观视线、视廊进行控制，实现步移景异的景观效果。</w:t>
      </w:r>
    </w:p>
    <w:p>
      <w:pPr>
        <w:pStyle w:val="5"/>
        <w:spacing w:before="0" w:after="0"/>
        <w:rPr>
          <w:b w:val="0"/>
        </w:rPr>
      </w:pPr>
      <w:r>
        <w:t>5.7.2</w:t>
      </w:r>
      <w:r>
        <w:rPr>
          <w:rFonts w:hint="eastAsia"/>
          <w:b w:val="0"/>
        </w:rPr>
        <w:tab/>
      </w:r>
      <w:r>
        <w:rPr>
          <w:rFonts w:hint="eastAsia"/>
          <w:b w:val="0"/>
        </w:rPr>
        <w:t>塑造与城市生活相结合的文化活动场所，应</w:t>
      </w:r>
      <w:r>
        <w:rPr>
          <w:b w:val="0"/>
        </w:rPr>
        <w:t>满足</w:t>
      </w:r>
      <w:r>
        <w:rPr>
          <w:rFonts w:hint="eastAsia"/>
          <w:b w:val="0"/>
        </w:rPr>
        <w:t>以下要求：</w:t>
      </w:r>
      <w:r>
        <w:rPr>
          <w:b w:val="0"/>
        </w:rPr>
        <w:t xml:space="preserve"> </w:t>
      </w:r>
    </w:p>
    <w:p>
      <w:pPr>
        <w:ind w:firstLine="480"/>
      </w:pPr>
      <w:r>
        <w:rPr>
          <w:b/>
        </w:rPr>
        <w:t>1</w:t>
      </w:r>
      <w:r>
        <w:t>应</w:t>
      </w:r>
      <w:r>
        <w:rPr>
          <w:rFonts w:hint="eastAsia"/>
        </w:rPr>
        <w:t>提炼当地文化特征，通过打造主题空间、举办展览演出、开展特色体验活动等方式，强化文化场景营造；</w:t>
      </w:r>
    </w:p>
    <w:p>
      <w:pPr>
        <w:ind w:firstLine="480"/>
      </w:pPr>
      <w:r>
        <w:rPr>
          <w:b/>
        </w:rPr>
        <w:t>2</w:t>
      </w:r>
      <w:r>
        <w:rPr>
          <w:rFonts w:hint="eastAsia"/>
        </w:rPr>
        <w:t>蓝绿空间宜</w:t>
      </w:r>
      <w:r>
        <w:t>结合</w:t>
      </w:r>
      <w:r>
        <w:rPr>
          <w:rFonts w:hint="eastAsia"/>
        </w:rPr>
        <w:t>文化场馆、文创景观布局，作为文化场所的外延空间，丰富文化主题表现力</w:t>
      </w:r>
      <w:r>
        <w:t>。</w:t>
      </w:r>
    </w:p>
    <w:bookmarkEnd w:id="45"/>
    <w:p>
      <w:pPr>
        <w:pStyle w:val="3"/>
        <w:spacing w:before="156" w:after="156"/>
      </w:pPr>
      <w:bookmarkStart w:id="50" w:name="_Toc201242605"/>
      <w:bookmarkStart w:id="51" w:name="_Toc215054069"/>
      <w:r>
        <w:rPr>
          <w:rFonts w:hint="eastAsia"/>
        </w:rPr>
        <w:t>5.</w:t>
      </w:r>
      <w:r>
        <w:t>8</w:t>
      </w:r>
      <w:r>
        <w:rPr>
          <w:rFonts w:hint="eastAsia"/>
        </w:rPr>
        <w:t xml:space="preserve"> 协同减碳设计</w:t>
      </w:r>
      <w:bookmarkEnd w:id="50"/>
      <w:bookmarkEnd w:id="51"/>
    </w:p>
    <w:p>
      <w:pPr>
        <w:pStyle w:val="5"/>
        <w:spacing w:before="0" w:after="0"/>
        <w:rPr>
          <w:b w:val="0"/>
        </w:rPr>
      </w:pPr>
      <w:r>
        <w:t>5.8.1</w:t>
      </w:r>
      <w:r>
        <w:rPr>
          <w:rFonts w:hint="eastAsia"/>
          <w:b w:val="0"/>
        </w:rPr>
        <w:tab/>
      </w:r>
      <w:r>
        <w:rPr>
          <w:b w:val="0"/>
        </w:rPr>
        <w:t>园林植被</w:t>
      </w:r>
      <w:r>
        <w:rPr>
          <w:rFonts w:hint="eastAsia"/>
          <w:b w:val="0"/>
        </w:rPr>
        <w:t>采取固碳设计，应</w:t>
      </w:r>
      <w:r>
        <w:rPr>
          <w:b w:val="0"/>
        </w:rPr>
        <w:t>满足</w:t>
      </w:r>
      <w:r>
        <w:rPr>
          <w:rFonts w:hint="eastAsia"/>
          <w:b w:val="0"/>
        </w:rPr>
        <w:t>以下要求：</w:t>
      </w:r>
    </w:p>
    <w:p>
      <w:pPr>
        <w:ind w:firstLine="480"/>
      </w:pPr>
      <w:r>
        <w:rPr>
          <w:rFonts w:hint="eastAsia"/>
          <w:b/>
        </w:rPr>
        <w:t>1</w:t>
      </w:r>
      <w:r>
        <w:rPr>
          <w:rFonts w:hint="eastAsia"/>
        </w:rPr>
        <w:t>注重营造配置合理、健康生长的植物群落。公园宜设置自然生态演替区域，降低人工干扰；</w:t>
      </w:r>
    </w:p>
    <w:p>
      <w:pPr>
        <w:ind w:firstLine="480"/>
      </w:pPr>
      <w:r>
        <w:rPr>
          <w:rFonts w:hint="eastAsia"/>
          <w:b/>
        </w:rPr>
        <w:t>2</w:t>
      </w:r>
      <w:r>
        <w:rPr>
          <w:rFonts w:hint="eastAsia"/>
        </w:rPr>
        <w:t>加强城市绿地乔木种类的使用，</w:t>
      </w:r>
      <w:r>
        <w:t>绿地覆盖面积中乔灌木设计配比宜控制在50%</w:t>
      </w:r>
      <w:r>
        <w:rPr>
          <w:rFonts w:hint="eastAsia"/>
        </w:rPr>
        <w:t>-</w:t>
      </w:r>
      <w:r>
        <w:t>70%。</w:t>
      </w:r>
    </w:p>
    <w:p>
      <w:pPr>
        <w:pStyle w:val="5"/>
        <w:spacing w:before="0" w:after="0"/>
        <w:rPr>
          <w:b w:val="0"/>
        </w:rPr>
      </w:pPr>
      <w:r>
        <w:t>5.8.2</w:t>
      </w:r>
      <w:r>
        <w:rPr>
          <w:rFonts w:hint="eastAsia"/>
          <w:b w:val="0"/>
        </w:rPr>
        <w:tab/>
      </w:r>
      <w:r>
        <w:rPr>
          <w:b w:val="0"/>
        </w:rPr>
        <w:t>园林</w:t>
      </w:r>
      <w:r>
        <w:rPr>
          <w:rFonts w:hint="eastAsia"/>
          <w:b w:val="0"/>
        </w:rPr>
        <w:t>设施采取降碳设计，应</w:t>
      </w:r>
      <w:r>
        <w:rPr>
          <w:b w:val="0"/>
        </w:rPr>
        <w:t>满足</w:t>
      </w:r>
      <w:r>
        <w:rPr>
          <w:rFonts w:hint="eastAsia"/>
          <w:b w:val="0"/>
        </w:rPr>
        <w:t>以下要求：</w:t>
      </w:r>
    </w:p>
    <w:p>
      <w:pPr>
        <w:ind w:firstLine="480"/>
      </w:pPr>
      <w:r>
        <w:rPr>
          <w:b/>
        </w:rPr>
        <w:t>1</w:t>
      </w:r>
      <w:r>
        <w:rPr>
          <w:rFonts w:hint="eastAsia"/>
        </w:rPr>
        <w:t>铺装材料应优先考虑</w:t>
      </w:r>
      <w:r>
        <w:t>采</w:t>
      </w:r>
      <w:r>
        <w:rPr>
          <w:rFonts w:hint="eastAsia"/>
        </w:rPr>
        <w:t>用建筑垃圾粉粹物做基层；</w:t>
      </w:r>
    </w:p>
    <w:p>
      <w:pPr>
        <w:ind w:firstLine="480"/>
      </w:pPr>
      <w:r>
        <w:rPr>
          <w:rFonts w:hint="eastAsia"/>
          <w:b/>
        </w:rPr>
        <w:t>2</w:t>
      </w:r>
      <w:r>
        <w:rPr>
          <w:rFonts w:hint="eastAsia"/>
        </w:rPr>
        <w:t>应优先采用本地化、本土化、可循环再生的材料，避免远距离运输产生的碳排放</w:t>
      </w:r>
      <w:r>
        <w:t>和</w:t>
      </w:r>
      <w:r>
        <w:rPr>
          <w:rFonts w:hint="eastAsia"/>
        </w:rPr>
        <w:t>材料降解造成的污染；</w:t>
      </w:r>
    </w:p>
    <w:p>
      <w:pPr>
        <w:ind w:firstLine="480"/>
      </w:pPr>
      <w:r>
        <w:rPr>
          <w:rFonts w:hint="eastAsia"/>
          <w:b/>
        </w:rPr>
        <w:t>3</w:t>
      </w:r>
      <w:r>
        <w:t>宜</w:t>
      </w:r>
      <w:r>
        <w:rPr>
          <w:rFonts w:hint="eastAsia"/>
        </w:rPr>
        <w:t>采用促进园林废弃物场地降解循环的技术手法，使园林废弃物就地消纳、参与在地生态微循环。</w:t>
      </w:r>
    </w:p>
    <w:p>
      <w:pPr>
        <w:widowControl/>
        <w:spacing w:line="240" w:lineRule="auto"/>
        <w:jc w:val="left"/>
        <w:rPr>
          <w:sz w:val="32"/>
        </w:rPr>
      </w:pPr>
      <w:r>
        <w:rPr>
          <w:sz w:val="32"/>
        </w:rPr>
        <w:br w:type="page"/>
      </w:r>
    </w:p>
    <w:p>
      <w:pPr>
        <w:pStyle w:val="2"/>
        <w:spacing w:line="360" w:lineRule="auto"/>
      </w:pPr>
      <w:bookmarkStart w:id="52" w:name="_Toc215054070"/>
      <w:r>
        <w:rPr>
          <w:rFonts w:hint="eastAsia"/>
        </w:rPr>
        <w:t>用词说明</w:t>
      </w:r>
      <w:bookmarkEnd w:id="52"/>
    </w:p>
    <w:p>
      <w:pPr>
        <w:ind w:firstLine="640"/>
        <w:jc w:val="center"/>
        <w:rPr>
          <w:sz w:val="32"/>
        </w:rPr>
      </w:pPr>
    </w:p>
    <w:p>
      <w:pPr>
        <w:ind w:firstLine="480"/>
      </w:pPr>
      <w:r>
        <w:rPr>
          <w:rFonts w:hint="eastAsia"/>
        </w:rPr>
        <w:t>为便于在执行本标准条文时区别对待，对要求严格程度不同的用词说明如下：</w:t>
      </w:r>
    </w:p>
    <w:p>
      <w:pPr>
        <w:ind w:firstLine="480"/>
      </w:pPr>
      <w:r>
        <w:rPr>
          <w:rFonts w:hint="eastAsia"/>
        </w:rPr>
        <w:t>1</w:t>
      </w:r>
      <w:r>
        <w:t xml:space="preserve"> </w:t>
      </w:r>
      <w:r>
        <w:rPr>
          <w:rFonts w:hint="eastAsia"/>
        </w:rPr>
        <w:t>表示很严格，非这样做不可的：</w:t>
      </w:r>
    </w:p>
    <w:p>
      <w:pPr>
        <w:ind w:firstLine="480"/>
      </w:pPr>
      <w:r>
        <w:rPr>
          <w:rFonts w:hint="eastAsia"/>
        </w:rPr>
        <w:t>正面词采用“必须”，反面词采用“严禁”；</w:t>
      </w:r>
    </w:p>
    <w:p>
      <w:pPr>
        <w:ind w:firstLine="480"/>
      </w:pPr>
      <w:r>
        <w:rPr>
          <w:rFonts w:hint="eastAsia"/>
        </w:rPr>
        <w:t>2</w:t>
      </w:r>
      <w:r>
        <w:t xml:space="preserve"> </w:t>
      </w:r>
      <w:r>
        <w:rPr>
          <w:rFonts w:hint="eastAsia"/>
        </w:rPr>
        <w:t>表示严格，在正常情况下均应这样做的：</w:t>
      </w:r>
    </w:p>
    <w:p>
      <w:pPr>
        <w:ind w:firstLine="480"/>
      </w:pPr>
      <w:r>
        <w:rPr>
          <w:rFonts w:hint="eastAsia"/>
        </w:rPr>
        <w:t>正面词采用“应”，反面词采用“不应”或“不得”；</w:t>
      </w:r>
    </w:p>
    <w:p>
      <w:pPr>
        <w:ind w:firstLine="480"/>
      </w:pPr>
      <w:r>
        <w:rPr>
          <w:rFonts w:hint="eastAsia"/>
        </w:rPr>
        <w:t>3</w:t>
      </w:r>
      <w:r>
        <w:t xml:space="preserve"> </w:t>
      </w:r>
      <w:r>
        <w:rPr>
          <w:rFonts w:hint="eastAsia"/>
        </w:rPr>
        <w:t>表示允许稍有选择，在条件许可时首先应这样做的：</w:t>
      </w:r>
    </w:p>
    <w:p>
      <w:pPr>
        <w:ind w:firstLine="480"/>
      </w:pPr>
      <w:r>
        <w:rPr>
          <w:rFonts w:hint="eastAsia"/>
        </w:rPr>
        <w:t>正面词采用“宜”，反面词采用“不宜”；</w:t>
      </w:r>
    </w:p>
    <w:p>
      <w:pPr>
        <w:ind w:firstLine="480"/>
      </w:pPr>
      <w:r>
        <w:rPr>
          <w:rFonts w:hint="eastAsia"/>
        </w:rPr>
        <w:t>4</w:t>
      </w:r>
      <w:r>
        <w:t xml:space="preserve"> </w:t>
      </w:r>
      <w:r>
        <w:rPr>
          <w:rFonts w:hint="eastAsia"/>
        </w:rPr>
        <w:t>表示有选择，在一定条件下可以这样做的，采用“可”。</w:t>
      </w:r>
    </w:p>
    <w:p>
      <w:pPr>
        <w:widowControl/>
        <w:spacing w:line="240" w:lineRule="auto"/>
        <w:jc w:val="left"/>
      </w:pPr>
      <w:r>
        <w:br w:type="page"/>
      </w:r>
    </w:p>
    <w:p>
      <w:pPr>
        <w:pStyle w:val="2"/>
        <w:spacing w:line="360" w:lineRule="auto"/>
      </w:pPr>
      <w:bookmarkStart w:id="53" w:name="_Toc215054071"/>
      <w:r>
        <w:rPr>
          <w:rFonts w:hint="eastAsia"/>
        </w:rPr>
        <w:t>引用标准名录</w:t>
      </w:r>
      <w:bookmarkEnd w:id="53"/>
    </w:p>
    <w:p>
      <w:pPr>
        <w:jc w:val="center"/>
        <w:rPr>
          <w:sz w:val="32"/>
        </w:rPr>
      </w:pPr>
    </w:p>
    <w:p>
      <w:pPr>
        <w:ind w:firstLine="480"/>
      </w:pPr>
      <w:r>
        <w:rPr>
          <w:rFonts w:hint="eastAsia"/>
        </w:rPr>
        <w:t>本标准引用下列标准。其中，注日期的，仅对该日期对应的版本适用本标准；不注日期的，其最新版适用于本标准。</w:t>
      </w:r>
    </w:p>
    <w:p>
      <w:pPr>
        <w:ind w:firstLine="480"/>
      </w:pPr>
      <w:r>
        <w:rPr>
          <w:rFonts w:hint="eastAsia"/>
        </w:rPr>
        <w:t>《建筑抗震设计规范》GB 50011</w:t>
      </w:r>
    </w:p>
    <w:p>
      <w:pPr>
        <w:ind w:firstLine="480"/>
      </w:pPr>
      <w:r>
        <w:rPr>
          <w:rFonts w:hint="eastAsia"/>
        </w:rPr>
        <w:t>《建筑工程抗震设防分类标准》GB 50223</w:t>
      </w:r>
    </w:p>
    <w:p>
      <w:pPr>
        <w:ind w:firstLine="480"/>
      </w:pPr>
      <w:r>
        <w:rPr>
          <w:rFonts w:hint="eastAsia"/>
        </w:rPr>
        <w:t>《防灾避难场所设计规范》GB51143</w:t>
      </w:r>
    </w:p>
    <w:p>
      <w:pPr>
        <w:ind w:firstLine="480"/>
      </w:pPr>
      <w:r>
        <w:rPr>
          <w:rFonts w:hint="eastAsia"/>
        </w:rPr>
        <w:t>《公园设计规范》GB 51192</w:t>
      </w:r>
    </w:p>
    <w:p>
      <w:pPr>
        <w:ind w:firstLine="480"/>
      </w:pPr>
      <w:r>
        <w:rPr>
          <w:rFonts w:hint="eastAsia"/>
        </w:rPr>
        <w:t>《城市绿地规划标准》GB/T 51346</w:t>
      </w:r>
    </w:p>
    <w:p>
      <w:pPr>
        <w:ind w:firstLine="480"/>
      </w:pPr>
      <w:r>
        <w:rPr>
          <w:rFonts w:hint="eastAsia"/>
        </w:rPr>
        <w:t>《中国地震动参数区划图》GB 18306</w:t>
      </w:r>
    </w:p>
    <w:p>
      <w:pPr>
        <w:ind w:firstLine="480"/>
      </w:pPr>
    </w:p>
    <w:p>
      <w:pPr>
        <w:widowControl/>
        <w:spacing w:line="240" w:lineRule="auto"/>
        <w:jc w:val="left"/>
      </w:pPr>
      <w:r>
        <w:br w:type="page"/>
      </w:r>
    </w:p>
    <w:p>
      <w:pPr>
        <w:pStyle w:val="2"/>
        <w:spacing w:line="360" w:lineRule="auto"/>
        <w:rPr>
          <w:color w:val="FFFFFF" w:themeColor="background1"/>
          <w14:textFill>
            <w14:solidFill>
              <w14:schemeClr w14:val="bg1"/>
            </w14:solidFill>
          </w14:textFill>
        </w:rPr>
      </w:pPr>
      <w:bookmarkStart w:id="54" w:name="_Toc215054072"/>
      <w:r>
        <w:rPr>
          <w:color w:val="FFFFFF" w:themeColor="background1"/>
          <w14:textFill>
            <w14:solidFill>
              <w14:schemeClr w14:val="bg1"/>
            </w14:solidFill>
          </w14:textFill>
        </w:rPr>
        <w:t>附：条文说明</w:t>
      </w:r>
      <w:bookmarkEnd w:id="54"/>
    </w:p>
    <w:p>
      <w:pPr>
        <w:jc w:val="center"/>
        <w:rPr>
          <w:sz w:val="36"/>
        </w:rPr>
      </w:pPr>
      <w:r>
        <w:rPr>
          <w:rFonts w:hint="eastAsia"/>
          <w:sz w:val="36"/>
        </w:rPr>
        <w:t>中国工程建设标准化协会标准</w:t>
      </w:r>
    </w:p>
    <w:p>
      <w:pPr>
        <w:jc w:val="center"/>
        <w:rPr>
          <w:sz w:val="32"/>
        </w:rPr>
      </w:pPr>
    </w:p>
    <w:p>
      <w:pPr>
        <w:widowControl/>
        <w:spacing w:before="156" w:beforeLines="50" w:line="240" w:lineRule="auto"/>
        <w:jc w:val="center"/>
        <w:rPr>
          <w:rFonts w:ascii="宋体" w:hAnsi="宋体" w:cs="宋体"/>
          <w:w w:val="95"/>
          <w:sz w:val="48"/>
        </w:rPr>
      </w:pPr>
      <w:r>
        <w:rPr>
          <w:rFonts w:hint="eastAsia" w:ascii="宋体" w:hAnsi="宋体" w:cs="宋体"/>
          <w:w w:val="95"/>
          <w:sz w:val="48"/>
        </w:rPr>
        <w:t>城市生态基础设施规划设计标准</w:t>
      </w:r>
    </w:p>
    <w:p>
      <w:pPr>
        <w:jc w:val="center"/>
        <w:rPr>
          <w:sz w:val="32"/>
        </w:rPr>
      </w:pPr>
    </w:p>
    <w:p>
      <w:pPr>
        <w:jc w:val="center"/>
        <w:rPr>
          <w:b/>
          <w:bCs/>
          <w:kern w:val="0"/>
          <w:sz w:val="32"/>
          <w:szCs w:val="32"/>
          <w:lang w:bidi="ar"/>
        </w:rPr>
      </w:pPr>
      <w:r>
        <w:rPr>
          <w:b/>
          <w:bCs/>
          <w:kern w:val="0"/>
          <w:sz w:val="32"/>
          <w:szCs w:val="32"/>
          <w:lang w:bidi="ar"/>
        </w:rPr>
        <w:t>T/CECS ×× - 20</w:t>
      </w:r>
      <w:r>
        <w:rPr>
          <w:rFonts w:hint="eastAsia"/>
          <w:b/>
          <w:bCs/>
          <w:kern w:val="0"/>
          <w:sz w:val="32"/>
          <w:szCs w:val="32"/>
          <w:lang w:bidi="ar"/>
        </w:rPr>
        <w:t>25</w:t>
      </w:r>
    </w:p>
    <w:p>
      <w:pPr>
        <w:ind w:firstLine="480"/>
        <w:jc w:val="center"/>
        <w:rPr>
          <w:b/>
          <w:kern w:val="0"/>
          <w:sz w:val="30"/>
          <w:szCs w:val="30"/>
        </w:rPr>
      </w:pPr>
    </w:p>
    <w:p>
      <w:pPr>
        <w:jc w:val="center"/>
        <w:rPr>
          <w:rFonts w:ascii="宋体" w:hAnsi="宋体"/>
          <w:b/>
          <w:bCs/>
          <w:w w:val="95"/>
          <w:sz w:val="36"/>
          <w:szCs w:val="18"/>
        </w:rPr>
      </w:pPr>
      <w:r>
        <w:rPr>
          <w:rFonts w:hint="eastAsia" w:ascii="宋体" w:hAnsi="宋体"/>
          <w:b/>
          <w:bCs/>
          <w:w w:val="95"/>
          <w:sz w:val="36"/>
          <w:szCs w:val="18"/>
        </w:rPr>
        <w:t>条 文 说 明</w:t>
      </w:r>
    </w:p>
    <w:p>
      <w:pPr>
        <w:jc w:val="center"/>
        <w:rPr>
          <w:sz w:val="32"/>
        </w:rPr>
      </w:pPr>
    </w:p>
    <w:bookmarkEnd w:id="0"/>
    <w:p>
      <w:pPr>
        <w:widowControl/>
        <w:spacing w:line="240" w:lineRule="auto"/>
        <w:jc w:val="left"/>
      </w:pPr>
      <w:r>
        <w:br w:type="page"/>
      </w:r>
    </w:p>
    <w:p>
      <w:pPr>
        <w:pStyle w:val="2"/>
        <w:spacing w:line="360" w:lineRule="auto"/>
      </w:pPr>
      <w:bookmarkStart w:id="55" w:name="_Toc215054073"/>
      <w:r>
        <w:rPr>
          <w:rFonts w:hint="eastAsia"/>
        </w:rPr>
        <w:t>1   总    则</w:t>
      </w:r>
      <w:bookmarkEnd w:id="55"/>
    </w:p>
    <w:p>
      <w:pPr>
        <w:pStyle w:val="5"/>
        <w:spacing w:before="0" w:after="0"/>
        <w:rPr>
          <w:b w:val="0"/>
          <w:bCs w:val="0"/>
        </w:rPr>
      </w:pPr>
      <w:r>
        <w:rPr>
          <w:rFonts w:hint="eastAsia"/>
          <w:b w:val="0"/>
          <w:bCs w:val="0"/>
        </w:rPr>
        <w:t>1.0.1</w:t>
      </w:r>
      <w:r>
        <w:rPr>
          <w:rFonts w:hint="eastAsia"/>
          <w:b w:val="0"/>
          <w:bCs w:val="0"/>
        </w:rPr>
        <w:tab/>
      </w:r>
      <w:r>
        <w:rPr>
          <w:rFonts w:hint="eastAsia"/>
          <w:b w:val="0"/>
          <w:bCs w:val="0"/>
        </w:rPr>
        <w:t>本条规定了标准编制目的。城市生态基础设施作为城市生态系统的核心载体，是践行生态文明思想、落实绿色发展理念的关键抓手，更是保障城市可持续发展、提升人民群众生活品质的基础性工程。</w:t>
      </w:r>
      <w:r>
        <w:rPr>
          <w:b w:val="0"/>
          <w:bCs w:val="0"/>
        </w:rPr>
        <w:t>​</w:t>
      </w:r>
    </w:p>
    <w:p>
      <w:pPr>
        <w:ind w:firstLine="480"/>
      </w:pPr>
      <w:r>
        <w:rPr>
          <w:rFonts w:hint="eastAsia"/>
        </w:rPr>
        <w:t>当前，我国城市化进程持续深化，城市规模不断扩张与生态空间约束的矛盾日益突出，部分城市存在生态空间碎片化、功能单一化、服务供给不均等问题：生态系统连通性不足，安全韧性支撑能力薄弱；生态服务与休闲游憩需求脱节，未能充分满足居民日常使用需求；景观风貌同质化严重，地域文化特色未能有效彰显。同时，城市发展对生态环境的依赖度不断提升，人民群众对优质生态产品、宜居生活空间的期盼愈发强烈，传统生态建设模式已难以适应新时代城市发展的新要求。</w:t>
      </w:r>
      <w:r>
        <w:t>​</w:t>
      </w:r>
    </w:p>
    <w:p>
      <w:pPr>
        <w:ind w:firstLine="480"/>
      </w:pPr>
      <w:r>
        <w:rPr>
          <w:rFonts w:hint="eastAsia"/>
        </w:rPr>
        <w:t>面对城市发展的新形势与新挑战，亟待通过标准化建设规范城市生态基础设施规划设计工作。本标准以生态文明思想、绿色发展理念为指导，坚持认识、尊重、顺应生态保护和城市发展规律，聚焦城市生态基础设施的多重核心功能，明确规划设计的原则、内容、重点与技术要求。发挥城市生态基础设施在安全韧性、生态环境、休闲游憩、景观文化等方面的多重功能。通过系统规范的规划设计，构建系统完整、功能复合、普惠高效、特色鲜明的城市生态基础设施体系，为打造宜居、韧性、智慧城市提供坚实支撑，推动实现城市可持续发展与人与自然和谐共生。</w:t>
      </w:r>
    </w:p>
    <w:p>
      <w:pPr>
        <w:pStyle w:val="5"/>
        <w:spacing w:before="0" w:after="0"/>
        <w:rPr>
          <w:b w:val="0"/>
          <w:bCs w:val="0"/>
        </w:rPr>
      </w:pPr>
      <w:r>
        <w:rPr>
          <w:b w:val="0"/>
          <w:bCs w:val="0"/>
        </w:rPr>
        <w:t>1.0.2</w:t>
      </w:r>
      <w:r>
        <w:rPr>
          <w:b w:val="0"/>
          <w:bCs w:val="0"/>
        </w:rPr>
        <w:tab/>
      </w:r>
      <w:r>
        <w:rPr>
          <w:rFonts w:hint="eastAsia"/>
          <w:b w:val="0"/>
          <w:bCs w:val="0"/>
        </w:rPr>
        <w:t>本条规定了标准的适用范围。</w:t>
      </w:r>
    </w:p>
    <w:p>
      <w:pPr>
        <w:pStyle w:val="5"/>
        <w:spacing w:before="0" w:after="0"/>
        <w:rPr>
          <w:b w:val="0"/>
          <w:bCs w:val="0"/>
        </w:rPr>
      </w:pPr>
      <w:r>
        <w:rPr>
          <w:b w:val="0"/>
          <w:bCs w:val="0"/>
        </w:rPr>
        <w:t>1.0.3</w:t>
      </w:r>
      <w:r>
        <w:rPr>
          <w:b w:val="0"/>
          <w:bCs w:val="0"/>
        </w:rPr>
        <w:tab/>
      </w:r>
      <w:r>
        <w:rPr>
          <w:rFonts w:hint="eastAsia"/>
          <w:b w:val="0"/>
          <w:bCs w:val="0"/>
        </w:rPr>
        <w:t>本条规定了与现行标准的关系。</w:t>
      </w:r>
    </w:p>
    <w:p>
      <w:pPr>
        <w:pStyle w:val="2"/>
        <w:spacing w:line="360" w:lineRule="auto"/>
      </w:pPr>
      <w:bookmarkStart w:id="56" w:name="_Toc215054074"/>
      <w:r>
        <w:t>3</w:t>
      </w:r>
      <w:r>
        <w:rPr>
          <w:rFonts w:hint="eastAsia"/>
        </w:rPr>
        <w:t xml:space="preserve">   基本规定</w:t>
      </w:r>
      <w:bookmarkEnd w:id="56"/>
    </w:p>
    <w:p>
      <w:pPr>
        <w:pStyle w:val="5"/>
        <w:spacing w:before="0" w:after="0"/>
        <w:rPr>
          <w:b w:val="0"/>
          <w:bCs w:val="0"/>
        </w:rPr>
      </w:pPr>
      <w:r>
        <w:rPr>
          <w:b w:val="0"/>
          <w:bCs w:val="0"/>
        </w:rPr>
        <w:t>3.0.1</w:t>
      </w:r>
      <w:r>
        <w:rPr>
          <w:rFonts w:hint="eastAsia"/>
          <w:b w:val="0"/>
          <w:bCs w:val="0"/>
        </w:rPr>
        <w:tab/>
      </w:r>
      <w:r>
        <w:rPr>
          <w:rFonts w:hint="eastAsia"/>
          <w:b w:val="0"/>
          <w:bCs w:val="0"/>
        </w:rPr>
        <w:t>本条规定了城市生态基础设施规划设计的主要任务。城市生态基础设施规划的主要任务是实现城市生态格局优化，城市生态基础设施设计的主要任务是实现城市生态品质提升。</w:t>
      </w:r>
    </w:p>
    <w:p>
      <w:pPr>
        <w:pStyle w:val="5"/>
        <w:spacing w:before="0" w:after="0"/>
        <w:rPr>
          <w:b w:val="0"/>
          <w:bCs w:val="0"/>
        </w:rPr>
      </w:pPr>
      <w:r>
        <w:rPr>
          <w:b w:val="0"/>
          <w:bCs w:val="0"/>
        </w:rPr>
        <w:t>3.0.2</w:t>
      </w:r>
      <w:r>
        <w:rPr>
          <w:rFonts w:hint="eastAsia"/>
          <w:b w:val="0"/>
          <w:bCs w:val="0"/>
        </w:rPr>
        <w:tab/>
      </w:r>
      <w:r>
        <w:rPr>
          <w:rFonts w:hint="eastAsia"/>
          <w:b w:val="0"/>
          <w:bCs w:val="0"/>
        </w:rPr>
        <w:t>本条规定了城市生态基础设施规划设计的依据。城市生态基础设施规划应以批准的国土空间总体规划和相关专项规划为依据。城市生态基础设施设计应以城市生态基础设施规划、批准的国土空间详细规划和相关专项规划为依据。</w:t>
      </w:r>
    </w:p>
    <w:p>
      <w:pPr>
        <w:pStyle w:val="5"/>
        <w:spacing w:before="0" w:after="0"/>
        <w:rPr>
          <w:b w:val="0"/>
          <w:bCs w:val="0"/>
        </w:rPr>
      </w:pPr>
      <w:r>
        <w:rPr>
          <w:rFonts w:hint="eastAsia"/>
          <w:b w:val="0"/>
          <w:bCs w:val="0"/>
        </w:rPr>
        <w:t>3</w:t>
      </w:r>
      <w:r>
        <w:rPr>
          <w:b w:val="0"/>
          <w:bCs w:val="0"/>
        </w:rPr>
        <w:t>.0.3</w:t>
      </w:r>
      <w:r>
        <w:rPr>
          <w:rFonts w:hint="eastAsia"/>
          <w:b w:val="0"/>
          <w:bCs w:val="0"/>
        </w:rPr>
        <w:tab/>
      </w:r>
      <w:r>
        <w:rPr>
          <w:rFonts w:hint="eastAsia"/>
          <w:b w:val="0"/>
          <w:bCs w:val="0"/>
        </w:rPr>
        <w:t>本条规定了城市生态基础设施规划设计的原则。</w:t>
      </w:r>
    </w:p>
    <w:p>
      <w:pPr>
        <w:pStyle w:val="5"/>
        <w:spacing w:before="0" w:after="0"/>
        <w:rPr>
          <w:b w:val="0"/>
          <w:bCs w:val="0"/>
        </w:rPr>
      </w:pPr>
      <w:r>
        <w:rPr>
          <w:rFonts w:hint="eastAsia"/>
          <w:b w:val="0"/>
          <w:bCs w:val="0"/>
        </w:rPr>
        <w:t>3</w:t>
      </w:r>
      <w:r>
        <w:rPr>
          <w:b w:val="0"/>
          <w:bCs w:val="0"/>
        </w:rPr>
        <w:t>.0.4</w:t>
      </w:r>
      <w:r>
        <w:rPr>
          <w:rFonts w:hint="eastAsia"/>
          <w:b w:val="0"/>
          <w:bCs w:val="0"/>
        </w:rPr>
        <w:tab/>
      </w:r>
      <w:r>
        <w:rPr>
          <w:b w:val="0"/>
          <w:bCs w:val="0"/>
        </w:rPr>
        <w:t>本条文提出了城市生态基础设施</w:t>
      </w:r>
      <w:r>
        <w:rPr>
          <w:rFonts w:hint="eastAsia"/>
          <w:b w:val="0"/>
          <w:bCs w:val="0"/>
        </w:rPr>
        <w:t>规划</w:t>
      </w:r>
      <w:r>
        <w:rPr>
          <w:b w:val="0"/>
          <w:bCs w:val="0"/>
        </w:rPr>
        <w:t>设计的总体目标。</w:t>
      </w:r>
    </w:p>
    <w:p>
      <w:pPr>
        <w:pStyle w:val="5"/>
        <w:spacing w:before="0" w:after="0"/>
        <w:rPr>
          <w:b w:val="0"/>
          <w:bCs w:val="0"/>
        </w:rPr>
      </w:pPr>
      <w:r>
        <w:rPr>
          <w:rFonts w:hint="eastAsia"/>
          <w:b w:val="0"/>
          <w:bCs w:val="0"/>
        </w:rPr>
        <w:t>3</w:t>
      </w:r>
      <w:r>
        <w:rPr>
          <w:b w:val="0"/>
          <w:bCs w:val="0"/>
        </w:rPr>
        <w:t>.0.5</w:t>
      </w:r>
      <w:r>
        <w:rPr>
          <w:rFonts w:hint="eastAsia"/>
          <w:b w:val="0"/>
          <w:bCs w:val="0"/>
        </w:rPr>
        <w:tab/>
      </w:r>
      <w:r>
        <w:rPr>
          <w:b w:val="0"/>
          <w:bCs w:val="0"/>
        </w:rPr>
        <w:t>本条文提出了城市生态基础设施</w:t>
      </w:r>
      <w:r>
        <w:rPr>
          <w:rFonts w:hint="eastAsia"/>
          <w:b w:val="0"/>
          <w:bCs w:val="0"/>
        </w:rPr>
        <w:t>规划</w:t>
      </w:r>
      <w:r>
        <w:rPr>
          <w:b w:val="0"/>
          <w:bCs w:val="0"/>
        </w:rPr>
        <w:t>设计的</w:t>
      </w:r>
      <w:r>
        <w:rPr>
          <w:rFonts w:hint="eastAsia"/>
          <w:b w:val="0"/>
          <w:bCs w:val="0"/>
        </w:rPr>
        <w:t>关键</w:t>
      </w:r>
      <w:r>
        <w:rPr>
          <w:b w:val="0"/>
          <w:bCs w:val="0"/>
        </w:rPr>
        <w:t>指标。</w:t>
      </w:r>
    </w:p>
    <w:p>
      <w:pPr>
        <w:pStyle w:val="2"/>
        <w:spacing w:line="360" w:lineRule="auto"/>
      </w:pPr>
      <w:bookmarkStart w:id="57" w:name="_Toc215054075"/>
      <w:r>
        <w:rPr>
          <w:rFonts w:hint="eastAsia"/>
        </w:rPr>
        <w:t>4   规划格局</w:t>
      </w:r>
      <w:bookmarkEnd w:id="57"/>
    </w:p>
    <w:p>
      <w:pPr>
        <w:pStyle w:val="3"/>
        <w:spacing w:before="156" w:after="156"/>
        <w:rPr>
          <w:color w:val="FF0000"/>
        </w:rPr>
      </w:pPr>
      <w:bookmarkStart w:id="58" w:name="_Toc215054076"/>
      <w:r>
        <w:t>4.1</w:t>
      </w:r>
      <w:r>
        <w:rPr>
          <w:rFonts w:hint="eastAsia"/>
        </w:rPr>
        <w:t>空间要素</w:t>
      </w:r>
      <w:bookmarkEnd w:id="58"/>
    </w:p>
    <w:p>
      <w:pPr>
        <w:pStyle w:val="5"/>
        <w:spacing w:before="0" w:after="0"/>
        <w:rPr>
          <w:b w:val="0"/>
          <w:bCs w:val="0"/>
        </w:rPr>
      </w:pPr>
      <w:r>
        <w:rPr>
          <w:b w:val="0"/>
          <w:bCs w:val="0"/>
        </w:rPr>
        <w:t>4.1.1</w:t>
      </w:r>
      <w:r>
        <w:rPr>
          <w:rFonts w:hint="eastAsia"/>
          <w:b w:val="0"/>
          <w:bCs w:val="0"/>
        </w:rPr>
        <w:tab/>
      </w:r>
      <w:r>
        <w:rPr>
          <w:rFonts w:hint="eastAsia"/>
          <w:b w:val="0"/>
          <w:bCs w:val="0"/>
        </w:rPr>
        <w:t>城市生态基础设施的设置依据共同的目标——保护生物多样性、缓解城市热岛、调节小气气候、改善城市大气环境、削减雨水径流污染、缓解城市内涝、发挥固碳和减碳效能等，针对不同尺度，基于市域、城市建成区，以及城市社区层面，在目标上做微调，并提出对应尺度的生态基础设施规模。</w:t>
      </w:r>
    </w:p>
    <w:p>
      <w:pPr>
        <w:ind w:firstLine="480"/>
      </w:pPr>
      <w:r>
        <w:rPr>
          <w:rFonts w:hint="eastAsia"/>
        </w:rPr>
        <w:t>这些规模的确定是按照我国现行标准和基础设施的设置的情况确定的。</w:t>
      </w:r>
    </w:p>
    <w:p>
      <w:pPr>
        <w:ind w:firstLine="480"/>
      </w:pPr>
      <w:r>
        <w:rPr>
          <w:rFonts w:hint="eastAsia"/>
        </w:rPr>
        <w:t>市域级的设施主要是湿地、水体、森林等蓝绿生态空间，通常规模较大，考虑到单个面积的可划分性，提出50hm</w:t>
      </w:r>
      <w:r>
        <w:rPr>
          <w:vertAlign w:val="superscript"/>
        </w:rPr>
        <w:t>2</w:t>
      </w:r>
      <w:r>
        <w:rPr>
          <w:rFonts w:hint="eastAsia"/>
        </w:rPr>
        <w:t>的最小尺度。</w:t>
      </w:r>
    </w:p>
    <w:p>
      <w:pPr>
        <w:ind w:firstLine="480"/>
      </w:pPr>
      <w:r>
        <w:rPr>
          <w:rFonts w:hint="eastAsia"/>
        </w:rPr>
        <w:t>城市建成区通常用地比较紧张，结合公园设计规范中综合性公园的规模要求，斌考虑满足生态要求的基本尺度，确定了10 hm</w:t>
      </w:r>
      <w:r>
        <w:rPr>
          <w:vertAlign w:val="superscript"/>
        </w:rPr>
        <w:t>2</w:t>
      </w:r>
      <w:r>
        <w:rPr>
          <w:rFonts w:hint="eastAsia"/>
        </w:rPr>
        <w:t>的最小尺度。</w:t>
      </w:r>
    </w:p>
    <w:p>
      <w:pPr>
        <w:ind w:firstLine="480"/>
      </w:pPr>
      <w:r>
        <w:rPr>
          <w:rFonts w:hint="eastAsia"/>
        </w:rPr>
        <w:t>社区尺度的绿地规模则更小，现有居住区规划设计规范中提出的社区绿地的最小规模要求为0.4 hm</w:t>
      </w:r>
      <w:r>
        <w:rPr>
          <w:vertAlign w:val="superscript"/>
        </w:rPr>
        <w:t>2</w:t>
      </w:r>
      <w:r>
        <w:rPr>
          <w:rFonts w:hint="eastAsia"/>
        </w:rPr>
        <w:t>。同时，基于当前城市存量发展阶段特征，鼓励结合城市微更新打造“口袋公园”，面积一般在</w:t>
      </w:r>
      <w:r>
        <w:t>0.04</w:t>
      </w:r>
      <w:r>
        <w:rPr>
          <w:rFonts w:hint="eastAsia"/>
        </w:rPr>
        <w:t xml:space="preserve"> hm</w:t>
      </w:r>
      <w:r>
        <w:rPr>
          <w:vertAlign w:val="superscript"/>
        </w:rPr>
        <w:t>2</w:t>
      </w:r>
      <w:r>
        <w:rPr>
          <w:rFonts w:hint="eastAsia"/>
        </w:rPr>
        <w:t>~</w:t>
      </w:r>
      <w:r>
        <w:t>1</w:t>
      </w:r>
      <w:r>
        <w:rPr>
          <w:rFonts w:hint="eastAsia"/>
        </w:rPr>
        <w:t xml:space="preserve"> hm</w:t>
      </w:r>
      <w:r>
        <w:rPr>
          <w:vertAlign w:val="superscript"/>
        </w:rPr>
        <w:t>2</w:t>
      </w:r>
      <w:r>
        <w:rPr>
          <w:rFonts w:hint="eastAsia"/>
        </w:rPr>
        <w:t>之间。</w:t>
      </w:r>
    </w:p>
    <w:p>
      <w:pPr>
        <w:pStyle w:val="5"/>
        <w:spacing w:before="0" w:after="0"/>
        <w:rPr>
          <w:b w:val="0"/>
          <w:bCs w:val="0"/>
        </w:rPr>
      </w:pPr>
      <w:r>
        <w:rPr>
          <w:rFonts w:hint="eastAsia"/>
          <w:b w:val="0"/>
          <w:bCs w:val="0"/>
        </w:rPr>
        <w:t>4</w:t>
      </w:r>
      <w:r>
        <w:rPr>
          <w:b w:val="0"/>
          <w:bCs w:val="0"/>
        </w:rPr>
        <w:t>.1.2</w:t>
      </w:r>
      <w:r>
        <w:rPr>
          <w:rFonts w:hint="eastAsia"/>
          <w:b w:val="0"/>
          <w:bCs w:val="0"/>
        </w:rPr>
        <w:tab/>
      </w:r>
      <w:r>
        <w:rPr>
          <w:rFonts w:hint="eastAsia"/>
          <w:b w:val="0"/>
          <w:bCs w:val="0"/>
        </w:rPr>
        <w:t>在城市生态基础设施规划设计标准中纳入潜力空间生态化改造条款，是应对城市空间资源约束与生态需求增长矛盾的必然选择，其核心目的在于激活存量空间价值、优化生态格局，实现城市可持续发展。该条款明确以优化城市生态格局为目标，重点识别和划定四类可作为城市生态基础设施的潜力空间，在治理污染、修复生态、保障安全的基础上实施生态化改造，具体包括：</w:t>
      </w:r>
      <w:r>
        <w:rPr>
          <w:rFonts w:hint="eastAsia" w:ascii="MS Gothic" w:hAnsi="MS Gothic" w:eastAsia="MS Gothic" w:cs="MS Gothic"/>
          <w:b w:val="0"/>
          <w:bCs w:val="0"/>
        </w:rPr>
        <w:t>​</w:t>
      </w:r>
    </w:p>
    <w:p>
      <w:pPr>
        <w:ind w:firstLine="480"/>
      </w:pPr>
      <w:r>
        <w:rPr>
          <w:rFonts w:hint="eastAsia"/>
        </w:rPr>
        <w:t>低效产业用地：涵盖已废弃或列入市、区工业布局调整计划、待搬迁的工业及仓储用地，以及已废弃的露采矿山用地等长期闲置或低质利用的产业相关空间；</w:t>
      </w:r>
      <w:r>
        <w:rPr>
          <w:rFonts w:hint="eastAsia" w:ascii="MS Gothic" w:hAnsi="MS Gothic" w:eastAsia="MS Gothic" w:cs="MS Gothic"/>
        </w:rPr>
        <w:t>​</w:t>
      </w:r>
    </w:p>
    <w:p>
      <w:pPr>
        <w:ind w:firstLine="480"/>
      </w:pPr>
      <w:r>
        <w:rPr>
          <w:rFonts w:hint="eastAsia"/>
        </w:rPr>
        <w:t>旧城、旧村用地：指布局散乱、设施落后，不具有保留价值，且按规划确定应实施改造的旧城区、危旧房、城中村和村庄用地；</w:t>
      </w:r>
      <w:r>
        <w:rPr>
          <w:rFonts w:hint="eastAsia" w:ascii="MS Gothic" w:hAnsi="MS Gothic" w:eastAsia="MS Gothic" w:cs="MS Gothic"/>
        </w:rPr>
        <w:t>​</w:t>
      </w:r>
    </w:p>
    <w:p>
      <w:pPr>
        <w:ind w:firstLine="480"/>
      </w:pPr>
      <w:r>
        <w:rPr>
          <w:rFonts w:hint="eastAsia"/>
        </w:rPr>
        <w:t>其他低效用地：依据规划可利用的空旷地、边角地、夹心地、插花地等零星低效空间；</w:t>
      </w:r>
      <w:r>
        <w:rPr>
          <w:rFonts w:hint="eastAsia" w:ascii="MS Gothic" w:hAnsi="MS Gothic" w:eastAsia="MS Gothic" w:cs="MS Gothic"/>
        </w:rPr>
        <w:t>​</w:t>
      </w:r>
    </w:p>
    <w:p>
      <w:pPr>
        <w:ind w:firstLine="480"/>
      </w:pPr>
      <w:r>
        <w:rPr>
          <w:rFonts w:hint="eastAsia"/>
        </w:rPr>
        <w:t>其它可利用的闲置空间：包括轨道基础设施沿线空间，高架桥下、人行天桥下的空间，城乡边界空间，街头三角地与建筑退界空间，建筑屋顶、平台、廊桥空间等分散性闲置载体。</w:t>
      </w:r>
      <w:r>
        <w:rPr>
          <w:rFonts w:hint="eastAsia" w:ascii="MS Gothic" w:hAnsi="MS Gothic" w:eastAsia="MS Gothic" w:cs="MS Gothic"/>
        </w:rPr>
        <w:t>​</w:t>
      </w:r>
    </w:p>
    <w:p>
      <w:pPr>
        <w:ind w:firstLine="480"/>
      </w:pPr>
      <w:r>
        <w:rPr>
          <w:rFonts w:hint="eastAsia"/>
        </w:rPr>
        <w:t>上述潜力空间的生态化改造具有多重关键作用，具体体现在三方面：</w:t>
      </w:r>
      <w:r>
        <w:rPr>
          <w:rFonts w:hint="eastAsia" w:ascii="MS Gothic" w:hAnsi="MS Gothic" w:eastAsia="MS Gothic" w:cs="MS Gothic"/>
        </w:rPr>
        <w:t>​</w:t>
      </w:r>
    </w:p>
    <w:p>
      <w:pPr>
        <w:ind w:firstLine="480"/>
      </w:pPr>
      <w:r>
        <w:rPr>
          <w:rFonts w:hint="eastAsia"/>
        </w:rPr>
        <w:t>一是盘活低效资源，破解生态用地困局。随着城市开发强度逼近极限，新增生态用地空间日益稀缺。而低效产业用地、旧城旧村用地等存量空间长期处于闲置或低质利用状态，通过生态化改造，既能避免</w:t>
      </w:r>
      <w:r>
        <w:t xml:space="preserve"> “</w:t>
      </w:r>
      <w:r>
        <w:rPr>
          <w:rFonts w:hint="eastAsia"/>
        </w:rPr>
        <w:t>摊大饼”</w:t>
      </w:r>
      <w:r>
        <w:t xml:space="preserve"> </w:t>
      </w:r>
      <w:r>
        <w:rPr>
          <w:rFonts w:hint="eastAsia"/>
        </w:rPr>
        <w:t>式的城市无序扩张，又能充分释放存量空间的生态潜力，为城市生态建设补充宝贵载体。如上海杨浦滨江将废弃工业码头改造为生态岸线，深圳华侨城将旧厂房转化为湿地公园，均生动印证了存量空间的生态价值转化潜力。</w:t>
      </w:r>
      <w:r>
        <w:rPr>
          <w:rFonts w:hint="eastAsia" w:ascii="MS Gothic" w:hAnsi="MS Gothic" w:eastAsia="MS Gothic" w:cs="MS Gothic"/>
        </w:rPr>
        <w:t>​</w:t>
      </w:r>
    </w:p>
    <w:p>
      <w:pPr>
        <w:ind w:firstLine="480"/>
      </w:pPr>
      <w:r>
        <w:rPr>
          <w:rFonts w:hint="eastAsia"/>
        </w:rPr>
        <w:t>二是修补生态断点，完善系统连通性。轨道沿线、高架桥下、街头三角地等闲置空间往往是城市生态网络的</w:t>
      </w:r>
      <w:r>
        <w:t xml:space="preserve"> “</w:t>
      </w:r>
      <w:r>
        <w:rPr>
          <w:rFonts w:hint="eastAsia"/>
        </w:rPr>
        <w:t>断点”，导致生态斑块破碎化、廊道连通性不足。将此类空间纳入生态基础设施建设，通过</w:t>
      </w:r>
      <w:r>
        <w:t xml:space="preserve"> “</w:t>
      </w:r>
      <w:r>
        <w:rPr>
          <w:rFonts w:hint="eastAsia"/>
        </w:rPr>
        <w:t>见缝插绿”“立体增绿”</w:t>
      </w:r>
      <w:r>
        <w:t xml:space="preserve"> </w:t>
      </w:r>
      <w:r>
        <w:rPr>
          <w:rFonts w:hint="eastAsia"/>
        </w:rPr>
        <w:t>等方式构建小微绿地、空中绿廊、垂直绿化等生态载体，可有效串联分散的生态斑块，增强城市生态廊道的连通性，提升生物迁徙效率与生态服务效能。例如新加坡充分利用建筑退界与屋顶空间打造垂直绿化网络，显著改善了城市生态系统的完整性。</w:t>
      </w:r>
      <w:r>
        <w:rPr>
          <w:rFonts w:hint="eastAsia" w:ascii="MS Gothic" w:hAnsi="MS Gothic" w:eastAsia="MS Gothic" w:cs="MS Gothic"/>
        </w:rPr>
        <w:t>​</w:t>
      </w:r>
    </w:p>
    <w:p>
      <w:pPr>
        <w:ind w:firstLine="480"/>
      </w:pPr>
      <w:r>
        <w:rPr>
          <w:rFonts w:hint="eastAsia"/>
        </w:rPr>
        <w:t>三是促进功能复合，实现多重效益平衡。潜力空间的生态化改造坚持生态修复与民生需求并重，兼顾生态、社会、经济多重效益。在生态层面，通过污染治理、植被恢复等措施改善区域生态环境；在民生层面，融入口袋公园、社区花园、游憩步道等功能，为居民提供优质生活空间，如城中村改造中配套建设社区绿地，既优化人居环境，又满足居民休闲需求；在功能拓展层面，建筑屋顶绿化、平台绿化等还兼具隔热降噪、雨水调蓄等实用功能。此外，结合文化展示、休闲体验、文创产业等功能开发，可推动生态价值向经济价值转化，如成都 “高线公园” 利用废弃铁路打造文创生态廊道，不仅修复了区域生态，更带动了周边商业活力与区域价值提升，实现生态效益、社会效益与经济效益的有机统一。</w:t>
      </w:r>
    </w:p>
    <w:p>
      <w:pPr>
        <w:pStyle w:val="3"/>
        <w:spacing w:before="156" w:after="156"/>
      </w:pPr>
      <w:bookmarkStart w:id="59" w:name="_Toc215054077"/>
      <w:r>
        <w:rPr>
          <w:rFonts w:hint="eastAsia"/>
        </w:rPr>
        <w:t>4</w:t>
      </w:r>
      <w:r>
        <w:t>.2空间规模</w:t>
      </w:r>
      <w:bookmarkEnd w:id="59"/>
    </w:p>
    <w:p>
      <w:pPr>
        <w:pStyle w:val="5"/>
        <w:spacing w:before="0" w:after="0"/>
        <w:rPr>
          <w:b w:val="0"/>
          <w:bCs w:val="0"/>
        </w:rPr>
      </w:pPr>
      <w:r>
        <w:rPr>
          <w:rFonts w:hint="eastAsia"/>
          <w:b w:val="0"/>
          <w:bCs w:val="0"/>
        </w:rPr>
        <w:t>4</w:t>
      </w:r>
      <w:r>
        <w:rPr>
          <w:b w:val="0"/>
          <w:bCs w:val="0"/>
        </w:rPr>
        <w:t>.2.1</w:t>
      </w:r>
      <w:r>
        <w:rPr>
          <w:rFonts w:hint="eastAsia"/>
          <w:b w:val="0"/>
          <w:bCs w:val="0"/>
        </w:rPr>
        <w:tab/>
      </w:r>
      <w:r>
        <w:rPr>
          <w:rFonts w:hint="eastAsia"/>
          <w:b w:val="0"/>
          <w:bCs w:val="0"/>
        </w:rPr>
        <w:t>保障</w:t>
      </w:r>
      <w:r>
        <w:rPr>
          <w:b w:val="0"/>
          <w:bCs w:val="0"/>
        </w:rPr>
        <w:t>人均生态基础设施规模直接关系居民生活质量及安全健康。足够的绿地、公园等设施为居民提供休闲、健身、社交空间，缓解城市生活压力；生态基础设施在应对突发灾害时可作为应急避难场所，保障居民生命安全，人均规模达标才能确保在灾害发生时，每位居民都有足够安全的避险空间。此外，良好的生态环境有助于提升居民身心健康</w:t>
      </w:r>
      <w:r>
        <w:rPr>
          <w:rFonts w:hint="eastAsia"/>
          <w:b w:val="0"/>
          <w:bCs w:val="0"/>
        </w:rPr>
        <w:t>，</w:t>
      </w:r>
      <w:r>
        <w:rPr>
          <w:b w:val="0"/>
          <w:bCs w:val="0"/>
        </w:rPr>
        <w:t>降低焦虑、抑郁等心理疾病风险。</w:t>
      </w:r>
    </w:p>
    <w:p>
      <w:pPr>
        <w:ind w:firstLine="480"/>
      </w:pPr>
      <w:r>
        <w:t>保障人均生态基础设施规模，重点从数量和分布两方面进行指标设置，保证空间公平性。数量指标通过</w:t>
      </w:r>
      <w:r>
        <w:rPr>
          <w:rFonts w:hint="eastAsia"/>
        </w:rPr>
        <w:t>人均生态基础设施面积进行管控，空间分布通过人均公园保障度进行管控。</w:t>
      </w:r>
    </w:p>
    <w:p>
      <w:pPr>
        <w:ind w:firstLine="480"/>
      </w:pPr>
      <w:r>
        <w:rPr>
          <w:rFonts w:hint="eastAsia"/>
        </w:rPr>
        <w:t>人均生态基础设施面积方面，《国家园林城市标准》中，城区人均公园绿地最低值不低于</w:t>
      </w:r>
      <w:r>
        <w:t>5.0</w:t>
      </w:r>
      <w:r>
        <w:rPr>
          <w:rFonts w:hint="eastAsia"/>
        </w:rPr>
        <w:t>m</w:t>
      </w:r>
      <w:r>
        <w:rPr>
          <w:vertAlign w:val="superscript"/>
        </w:rPr>
        <w:t>2</w:t>
      </w:r>
      <w:r>
        <w:rPr>
          <w:rFonts w:hint="eastAsia"/>
        </w:rPr>
        <w:t>/人，现行国家标准《城市用地分类与规划建设用地标准》</w:t>
      </w:r>
      <w:r>
        <w:t>GB 50137</w:t>
      </w:r>
      <w:r>
        <w:rPr>
          <w:rFonts w:hint="eastAsia"/>
        </w:rPr>
        <w:t>最低值不低于</w:t>
      </w:r>
      <w:r>
        <w:t>10.0</w:t>
      </w:r>
      <w:r>
        <w:rPr>
          <w:rFonts w:hint="eastAsia"/>
        </w:rPr>
        <w:t xml:space="preserve"> m</w:t>
      </w:r>
      <w:r>
        <w:t>2</w:t>
      </w:r>
      <w:r>
        <w:rPr>
          <w:rFonts w:hint="eastAsia"/>
        </w:rPr>
        <w:t>/人，《国家生态园林城市标准》中人均公园绿地面积不小于1</w:t>
      </w:r>
      <w:r>
        <w:t>4.8</w:t>
      </w:r>
      <w:r>
        <w:rPr>
          <w:rFonts w:hint="eastAsia"/>
        </w:rPr>
        <w:t xml:space="preserve"> m</w:t>
      </w:r>
      <w:r>
        <w:rPr>
          <w:vertAlign w:val="superscript"/>
        </w:rPr>
        <w:t>2</w:t>
      </w:r>
      <w:r>
        <w:rPr>
          <w:rFonts w:hint="eastAsia"/>
        </w:rPr>
        <w:t>/人。</w:t>
      </w:r>
      <w:r>
        <w:t>相比于公园绿地，生态基础设施内涵更加丰富，空间范围更加广阔。同时，随着居民对生态空间的需求加强，该指标值建议在现有人均绿地面积指标基础上进行提升。</w:t>
      </w:r>
    </w:p>
    <w:p>
      <w:pPr>
        <w:ind w:firstLine="480"/>
      </w:pPr>
      <w:r>
        <w:rPr>
          <w:rFonts w:hint="eastAsia"/>
        </w:rPr>
        <w:t>人均公园保障度方面，中国城市规划设计研究院发布的中国主要城市公园评估报告（2021年）中，提出“人均公园保障度”指标，含义为</w:t>
      </w:r>
      <w:r>
        <w:t>建成区内人均公园面积总和超过5平方米的区域占比</w:t>
      </w:r>
      <w:r>
        <w:rPr>
          <w:rFonts w:hint="eastAsia"/>
        </w:rPr>
        <w:t>。</w:t>
      </w:r>
      <w:r>
        <w:t>该指标的设定实现了从传统指标“数值评价”公园绿地 总量与人口总量的关系，转向“空间评价”公园绿地布局与人口分布的关系。根据该报告，我国主要城市人均公园保障度最高值为76.69%，最低值为29.85%，平均值为52.29%。其中，人均公园保障度超过40%的城市共30个，超过50%的城市共19个。根据以上测算结果，结合城市发展的现实需求，设定</w:t>
      </w:r>
      <w:r>
        <w:rPr>
          <w:rFonts w:hint="eastAsia"/>
        </w:rPr>
        <w:t>城区人均公园保障度不低于40%的指标。</w:t>
      </w:r>
    </w:p>
    <w:p>
      <w:pPr>
        <w:pStyle w:val="5"/>
        <w:spacing w:before="0" w:after="0"/>
        <w:rPr>
          <w:b w:val="0"/>
          <w:bCs w:val="0"/>
        </w:rPr>
      </w:pPr>
      <w:r>
        <w:rPr>
          <w:rFonts w:hint="eastAsia"/>
          <w:b w:val="0"/>
          <w:bCs w:val="0"/>
        </w:rPr>
        <w:t>4</w:t>
      </w:r>
      <w:r>
        <w:rPr>
          <w:b w:val="0"/>
          <w:bCs w:val="0"/>
        </w:rPr>
        <w:t>.2.2</w:t>
      </w:r>
      <w:r>
        <w:rPr>
          <w:rFonts w:hint="eastAsia"/>
          <w:b w:val="0"/>
          <w:bCs w:val="0"/>
        </w:rPr>
        <w:tab/>
      </w:r>
      <w:r>
        <w:rPr>
          <w:b w:val="0"/>
          <w:bCs w:val="0"/>
        </w:rPr>
        <w:t>保障地均生态基础设施规模，是提升城市韧性、实现城市可持续发展的重要支撑。从城市韧性提升看，充足的地均生态基础设施是构建“弹性城市”的物质基础。高密度的生态空间（如绿地、湿地、生态廊道）可形成立体生态网络，有效缓解城市热岛效应，缓冲极端气候冲击，凸显生态空间对城市安全的 “韧性底盘”作用。从可持续发展角度，保障地均生态基础设施规模是破解“城市病”、实现人地协调的关键抓手。一方面，生态基础设施通过提供碳汇、空气净化、水土保持等服务，直接支撑“双碳”目标。另一方面，地均指标约束下的紧凑开发模式，合理的地均配置能引导土地高效利用，避免“摊大饼”式扩张，为城市长远发展预留生态弹性。</w:t>
      </w:r>
    </w:p>
    <w:p>
      <w:pPr>
        <w:ind w:firstLine="480"/>
      </w:pPr>
      <w:r>
        <w:rPr>
          <w:rFonts w:hint="eastAsia"/>
        </w:rPr>
        <w:t>现行国家标准《城市用地分类与规划建设用地标准》GB 50137-2011明确 “绿地与广场用地” 占城市建设用地比例为 10%~15%（其中公园绿地大于等于8%），是地均生态基础设施的核心构成部分。《绿色生态城区评价标准》城区实施立体绿化，各类园林绿地养护管理良好，城区绿化覆盖率较高，应按下列规则分别评分并累计：绿化覆盖率达到37%，得3分；达到42%，得4分；达到45%，得5分。新加坡城市绿地覆盖率目标 从 1991 年规划的 24% 逐步提升至当前的 47%，并计划 2030 年进一步增至 50%。</w:t>
      </w:r>
    </w:p>
    <w:p>
      <w:pPr>
        <w:ind w:firstLine="480"/>
      </w:pPr>
      <w:r>
        <w:t>考虑到</w:t>
      </w:r>
      <w:r>
        <w:rPr>
          <w:rFonts w:hint="eastAsia"/>
        </w:rPr>
        <w:t>新建城区及已建城区的差异，将该指标进行分类设置。新建城区注重生态基础设施重空间的预留，已建城区重点通过城市更新扩充潜在生态基础设施空间。</w:t>
      </w:r>
    </w:p>
    <w:p>
      <w:pPr>
        <w:pStyle w:val="3"/>
        <w:spacing w:before="156" w:after="156"/>
      </w:pPr>
      <w:bookmarkStart w:id="60" w:name="_Toc215054078"/>
      <w:r>
        <w:t>4.3空间结构</w:t>
      </w:r>
      <w:bookmarkEnd w:id="60"/>
    </w:p>
    <w:p>
      <w:pPr>
        <w:pStyle w:val="5"/>
        <w:spacing w:before="0" w:after="0"/>
        <w:rPr>
          <w:b w:val="0"/>
          <w:bCs w:val="0"/>
        </w:rPr>
      </w:pPr>
      <w:r>
        <w:rPr>
          <w:rFonts w:hint="eastAsia"/>
          <w:b w:val="0"/>
          <w:bCs w:val="0"/>
        </w:rPr>
        <w:t>4</w:t>
      </w:r>
      <w:r>
        <w:rPr>
          <w:b w:val="0"/>
          <w:bCs w:val="0"/>
        </w:rPr>
        <w:t>.3.1</w:t>
      </w:r>
      <w:r>
        <w:rPr>
          <w:rFonts w:hint="eastAsia"/>
          <w:b w:val="0"/>
          <w:bCs w:val="0"/>
        </w:rPr>
        <w:tab/>
      </w:r>
      <w:r>
        <w:rPr>
          <w:rFonts w:hint="eastAsia"/>
          <w:b w:val="0"/>
          <w:bCs w:val="0"/>
        </w:rPr>
        <w:t>本条文旨在破解城市生态空间碎片化、服务不均等问题，构建</w:t>
      </w:r>
      <w:r>
        <w:rPr>
          <w:b w:val="0"/>
          <w:bCs w:val="0"/>
        </w:rPr>
        <w:t>“</w:t>
      </w:r>
      <w:r>
        <w:rPr>
          <w:rFonts w:hint="eastAsia"/>
          <w:b w:val="0"/>
          <w:bCs w:val="0"/>
        </w:rPr>
        <w:t>均衡、连通、高效”的生态基础设施体系，实现生态服务普惠化与生态系统完整化。</w:t>
      </w:r>
      <w:r>
        <w:rPr>
          <w:b w:val="0"/>
          <w:bCs w:val="0"/>
        </w:rPr>
        <w:t>​</w:t>
      </w:r>
    </w:p>
    <w:p>
      <w:pPr>
        <w:ind w:firstLine="480"/>
      </w:pPr>
      <w:r>
        <w:rPr>
          <w:rFonts w:hint="eastAsia"/>
        </w:rPr>
        <w:t>按服务半径分级配置大中小规模公园绿地，核心是满足居民差异化需求与活动规律，且遵循现行国家标准《城市绿地规划标准》</w:t>
      </w:r>
      <w:r>
        <w:t>GB/T51346</w:t>
      </w:r>
      <w:r>
        <w:rPr>
          <w:rFonts w:hint="eastAsia"/>
        </w:rPr>
        <w:t>中公园体系</w:t>
      </w:r>
      <w:r>
        <w:t>“</w:t>
      </w:r>
      <w:r>
        <w:rPr>
          <w:rFonts w:hint="eastAsia"/>
        </w:rPr>
        <w:t>分级配置、均衡布局”等原则。其中，大型综合公园服务全市、承载文化与大型活动，社区级绿地满足就近游憩，形成</w:t>
      </w:r>
      <w:r>
        <w:t>“</w:t>
      </w:r>
      <w:r>
        <w:rPr>
          <w:rFonts w:hint="eastAsia"/>
        </w:rPr>
        <w:t>全市</w:t>
      </w:r>
      <w:r>
        <w:t>—</w:t>
      </w:r>
      <w:r>
        <w:rPr>
          <w:rFonts w:hint="eastAsia"/>
        </w:rPr>
        <w:t>社区”层级服务体系，可明确各绿地功能与服务半径，避免资源错配，从根本上改善生态服务不均等问题。</w:t>
      </w:r>
      <w:r>
        <w:rPr>
          <w:rFonts w:hint="eastAsia" w:ascii="MS Gothic" w:hAnsi="MS Gothic" w:eastAsia="MS Gothic" w:cs="MS Gothic"/>
        </w:rPr>
        <w:t>​</w:t>
      </w:r>
    </w:p>
    <w:p>
      <w:pPr>
        <w:ind w:firstLine="480"/>
      </w:pPr>
      <w:r>
        <w:rPr>
          <w:rFonts w:hint="eastAsia"/>
        </w:rPr>
        <w:t>加强沿河沿路沿边线型生态设施建设，构建绿环、绿带、绿道等线状空间，是破解生态空间</w:t>
      </w:r>
      <w:r>
        <w:t>“</w:t>
      </w:r>
      <w:r>
        <w:rPr>
          <w:rFonts w:hint="eastAsia"/>
        </w:rPr>
        <w:t>碎片化”的关键，核心是修补生态断点、提升连通性。线状设施是生态网络的</w:t>
      </w:r>
      <w:r>
        <w:t>“</w:t>
      </w:r>
      <w:r>
        <w:rPr>
          <w:rFonts w:hint="eastAsia"/>
        </w:rPr>
        <w:t>串联纽带”：生态廊道可促进物种迁徙、维持生物多样性，解决孤立斑块生态功能弱的问题；绿道能引导绿色出行，缓解交通压力，实现</w:t>
      </w:r>
      <w:r>
        <w:t>“</w:t>
      </w:r>
      <w:r>
        <w:rPr>
          <w:rFonts w:hint="eastAsia"/>
        </w:rPr>
        <w:t>生态</w:t>
      </w:r>
      <w:r>
        <w:t>+</w:t>
      </w:r>
      <w:r>
        <w:rPr>
          <w:rFonts w:hint="eastAsia"/>
        </w:rPr>
        <w:t>民生”复合功能，比如沿河绿道可兼顾防洪与休闲，提升城市韧性。</w:t>
      </w:r>
      <w:r>
        <w:rPr>
          <w:rFonts w:hint="eastAsia" w:ascii="MS Gothic" w:hAnsi="MS Gothic" w:eastAsia="MS Gothic" w:cs="MS Gothic"/>
        </w:rPr>
        <w:t>​</w:t>
      </w:r>
    </w:p>
    <w:p>
      <w:pPr>
        <w:ind w:firstLine="480"/>
      </w:pPr>
      <w:r>
        <w:rPr>
          <w:rFonts w:hint="eastAsia"/>
        </w:rPr>
        <w:t>利用潜力空间建设小微绿地，是高密度城市破解生态用地紧张的创新方式。通过留白增绿、见缝插绿等低成本方式“挤”出生态空间，可弥补大型绿地覆盖短板。其中“口袋公园”需符合《口袋公园建设指南》“开放、约400m</w:t>
      </w:r>
      <w:r>
        <w:rPr>
          <w:vertAlign w:val="superscript"/>
        </w:rPr>
        <w:t>2</w:t>
      </w:r>
      <w:r>
        <w:rPr>
          <w:rFonts w:hint="eastAsia"/>
        </w:rPr>
        <w:t>、有游憩功能”的要求，同时衔接《“十四五”全国城市基础设施建设规划》，结合十五分钟生活圈“微更新”，用零碎空地建小微绿地、口袋公园，促进邻里交往。这种模式能丰富生态空间类型与密度，提升可达性，实现居民“推窗见绿、出门入园”，还能激活存量空间价值，避免城市无序扩张。</w:t>
      </w:r>
    </w:p>
    <w:p>
      <w:pPr>
        <w:pStyle w:val="5"/>
        <w:spacing w:before="0" w:after="0"/>
        <w:rPr>
          <w:b w:val="0"/>
          <w:bCs w:val="0"/>
        </w:rPr>
      </w:pPr>
      <w:r>
        <w:rPr>
          <w:rFonts w:hint="eastAsia"/>
          <w:b w:val="0"/>
          <w:bCs w:val="0"/>
        </w:rPr>
        <w:t>4</w:t>
      </w:r>
      <w:r>
        <w:rPr>
          <w:b w:val="0"/>
          <w:bCs w:val="0"/>
        </w:rPr>
        <w:t>.3.2</w:t>
      </w:r>
      <w:r>
        <w:rPr>
          <w:rFonts w:hint="eastAsia"/>
          <w:b w:val="0"/>
          <w:bCs w:val="0"/>
        </w:rPr>
        <w:tab/>
      </w:r>
      <w:r>
        <w:rPr>
          <w:rFonts w:hint="eastAsia"/>
          <w:b w:val="0"/>
          <w:bCs w:val="0"/>
        </w:rPr>
        <w:t>标准中制定此条款，旨在打破城市生态基础设施与其他功能区域的空间与功能割裂，通过系统性衔接，实现生态价值、社会价值与经济价值的最大化，</w:t>
      </w:r>
      <w:r>
        <w:rPr>
          <w:b w:val="0"/>
          <w:bCs w:val="0"/>
        </w:rPr>
        <w:t>推动城市从 “功能分区” 向 “融合共生” 转型，最终实现生态空间更高效、城市特色更鲜明、居民生活更美好的发展目标。</w:t>
      </w:r>
    </w:p>
    <w:p>
      <w:pPr>
        <w:ind w:firstLine="480"/>
      </w:pPr>
      <w:r>
        <w:t>融合自然与人文资源，塑造城市特色魅力。当前城市发展中，生态资源与历史文化资源常因功能分区而各自孤立，导致城市风貌同质化、文化特色流失。将生态基础设施串联自然保护区、风景名胜区与历史文化街区，可形成“山水为底、文化为魂”的空间格局。例如</w:t>
      </w:r>
      <w:r>
        <w:rPr>
          <w:rFonts w:hint="eastAsia"/>
        </w:rPr>
        <w:t>，</w:t>
      </w:r>
      <w:r>
        <w:t>深圳山海连城项目通过构建“一脊一带二十廊”生态魅力骨架，积极串联自然保护区、风景名胜区、自然公园及城市公园等自然景观要素。横贯深圳中部连绵百公里的绿色山脉，借助山林步道体系与生态廊桥，将众多自然保护地、森林公园等紧密相连，构建起1000km“三径三线”远足径体系。其中，首条山海通廊“塘朗山-大沙河-深圳湾”廊道全线贯通，无缝衔接自然郊野公园、生态水廊和滨海休闲带，让市民能够亲身领略自然生态的魅力。</w:t>
      </w:r>
    </w:p>
    <w:p>
      <w:pPr>
        <w:ind w:firstLine="480"/>
      </w:pPr>
      <w:r>
        <w:t>优化职住与服务连接，激发城市内生动力。职住分离、公共服务分布不均是现代城市的普遍痛点。通过生态基础设施串联居住区与就业区，既能缩短通勤距离、缓解交通压力，又能依托沿线设置文化场馆、商业综合体等设施，形成“生态+生活+生产”的复合功能带。例如，深圳光明科学城以绿道连接科研园区与社区，并布局图书馆、运动中心等服务节点，既提升了居民生活便利性，又增强了人才吸引力，推动创新要素集聚。这种衔接模式有效激活城市经济循环，提升区域发展活力与竞争力。</w:t>
      </w:r>
    </w:p>
    <w:p>
      <w:pPr>
        <w:ind w:firstLine="480"/>
      </w:pPr>
      <w:r>
        <w:t>构建绿色交通网络，提升城市活力品质。传统城市交通以机动车为主，步行与骑行空间碎片化、不连续，降低了城市生活品质。生态基础设施与公共交通、绿地系统衔接，可打造连续、安全的慢行网络，引导绿色出行。如哥本哈根的“超级线性公园”与地铁站点无缝对接，居民通过步行、骑行即可抵达城市各功能区，减少碳排放的同时提升了出行体验。</w:t>
      </w:r>
    </w:p>
    <w:p>
      <w:pPr>
        <w:pStyle w:val="3"/>
        <w:spacing w:before="156" w:after="156"/>
      </w:pPr>
      <w:bookmarkStart w:id="61" w:name="_Toc215054079"/>
      <w:r>
        <w:t>4.4空间类型</w:t>
      </w:r>
      <w:bookmarkEnd w:id="61"/>
    </w:p>
    <w:p>
      <w:pPr>
        <w:pStyle w:val="5"/>
        <w:spacing w:before="0" w:after="0"/>
        <w:rPr>
          <w:b w:val="0"/>
          <w:bCs w:val="0"/>
        </w:rPr>
      </w:pPr>
      <w:r>
        <w:rPr>
          <w:rFonts w:hint="eastAsia"/>
          <w:b w:val="0"/>
          <w:bCs w:val="0"/>
        </w:rPr>
        <w:t>4</w:t>
      </w:r>
      <w:r>
        <w:rPr>
          <w:b w:val="0"/>
          <w:bCs w:val="0"/>
        </w:rPr>
        <w:t>.4.1</w:t>
      </w:r>
      <w:r>
        <w:rPr>
          <w:rFonts w:hint="eastAsia"/>
          <w:b w:val="0"/>
          <w:bCs w:val="0"/>
        </w:rPr>
        <w:tab/>
      </w:r>
      <w:r>
        <w:rPr>
          <w:rFonts w:hint="eastAsia"/>
          <w:b w:val="0"/>
          <w:bCs w:val="0"/>
        </w:rPr>
        <w:t>生态廊道宽度对于生态功能的发挥有重要影响。一般情况下，生态廊道宽度在满足最小宽度要求的基础上越宽越好，随着廊道宽度的增加，内部种逐渐增加，边缘种在增加到一定程度后趋于稳定。</w:t>
      </w:r>
    </w:p>
    <w:p>
      <w:pPr>
        <w:ind w:firstLine="480"/>
      </w:pPr>
      <w:r>
        <w:rPr>
          <w:rFonts w:hint="eastAsia"/>
        </w:rPr>
        <w:t>生态廊道的宽度取决于关键物种的生存需求、廊道植被构成（植被垂直、水平形态及年龄结构、覆盖度、多样性等）、廊道其他功能需求（游憩、文化遗产保护、交通运输等）及现状用地情况等。本标准依据邬建国、俞孔坚、朱强等学者的相关研究成果，针对不同类型的关键物种归纳出具有针对性的生态廊道适宜宽度。</w:t>
      </w:r>
    </w:p>
    <w:p>
      <w:pPr>
        <w:ind w:firstLine="420"/>
        <w:jc w:val="center"/>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表</w:t>
      </w:r>
      <w:r>
        <w:rPr>
          <w:rFonts w:ascii="黑体" w:hAnsi="黑体" w:eastAsia="黑体"/>
          <w:color w:val="000000" w:themeColor="text1"/>
          <w:sz w:val="21"/>
          <w:szCs w:val="21"/>
          <w14:textFill>
            <w14:solidFill>
              <w14:schemeClr w14:val="tx1"/>
            </w14:solidFill>
          </w14:textFill>
        </w:rPr>
        <w:t xml:space="preserve">4.4.1 </w:t>
      </w:r>
      <w:r>
        <w:rPr>
          <w:rFonts w:hint="eastAsia" w:ascii="黑体" w:hAnsi="黑体" w:eastAsia="黑体"/>
          <w:color w:val="000000" w:themeColor="text1"/>
          <w:sz w:val="21"/>
          <w:szCs w:val="21"/>
          <w14:textFill>
            <w14:solidFill>
              <w14:schemeClr w14:val="tx1"/>
            </w14:solidFill>
          </w14:textFill>
        </w:rPr>
        <w:t>生态廊道适宜宽度</w:t>
      </w:r>
    </w:p>
    <w:tbl>
      <w:tblPr>
        <w:tblStyle w:val="19"/>
        <w:tblW w:w="4998"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459"/>
        <w:gridCol w:w="2527"/>
        <w:gridCol w:w="434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876"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关键物种类型</w:t>
            </w:r>
          </w:p>
        </w:tc>
        <w:tc>
          <w:tcPr>
            <w:tcW w:w="1517" w:type="pct"/>
            <w:tcBorders>
              <w:tl2br w:val="nil"/>
              <w:tr2bl w:val="nil"/>
            </w:tcBorders>
            <w:vAlign w:val="center"/>
          </w:tcPr>
          <w:p>
            <w:pPr>
              <w:spacing w:line="240" w:lineRule="auto"/>
              <w:jc w:val="center"/>
              <w:textAlignment w:val="center"/>
              <w:rPr>
                <w:rFonts w:ascii="宋体" w:hAnsi="宋体"/>
                <w:kern w:val="0"/>
                <w:sz w:val="21"/>
                <w:szCs w:val="21"/>
              </w:rPr>
            </w:pPr>
            <w:r>
              <w:rPr>
                <w:rFonts w:hint="eastAsia" w:ascii="宋体" w:hAnsi="宋体"/>
                <w:kern w:val="0"/>
                <w:sz w:val="21"/>
                <w:szCs w:val="21"/>
              </w:rPr>
              <w:t>廊道宽度</w:t>
            </w:r>
          </w:p>
        </w:tc>
        <w:tc>
          <w:tcPr>
            <w:tcW w:w="2606"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生物生存需求的功能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30" w:hRule="atLeast"/>
        </w:trPr>
        <w:tc>
          <w:tcPr>
            <w:tcW w:w="876" w:type="pct"/>
            <w:vMerge w:val="restar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无脊椎动物</w:t>
            </w: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3~12</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基本满足保护无脊椎动物种群的功能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0"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大于等于12</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满足保护无脊椎动物种群的功能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6" w:hRule="atLeast"/>
        </w:trPr>
        <w:tc>
          <w:tcPr>
            <w:tcW w:w="876" w:type="pct"/>
            <w:vMerge w:val="restar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草本植物</w:t>
            </w: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12m~30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包含草本植物多数的边缘种，但多样性较低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96"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30m~60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包含较多草本植物的边缘种，但多样性低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0"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60m~100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包含较大的草本植物多样性和内部种；满足草本植物传播以及生态多样性保护的功能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17" w:hRule="atLeast"/>
        </w:trPr>
        <w:tc>
          <w:tcPr>
            <w:tcW w:w="876" w:type="pct"/>
            <w:vMerge w:val="restar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鱼类、小型哺乳动物、爬行动物、两栖类动物</w:t>
            </w: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12m~30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满足保护</w:t>
            </w:r>
            <w:r>
              <w:rPr>
                <w:rFonts w:hint="eastAsia" w:ascii="宋体" w:hAnsi="宋体"/>
                <w:kern w:val="0"/>
                <w:sz w:val="21"/>
                <w:szCs w:val="21"/>
              </w:rPr>
              <w:t>鱼类、小型哺乳动物</w:t>
            </w:r>
            <w:r>
              <w:rPr>
                <w:rFonts w:hint="eastAsia" w:ascii="宋体" w:hAnsi="宋体"/>
                <w:sz w:val="21"/>
                <w:szCs w:val="21"/>
              </w:rPr>
              <w:t>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39"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30m~60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满足保护</w:t>
            </w:r>
            <w:r>
              <w:rPr>
                <w:rFonts w:hint="eastAsia" w:ascii="宋体" w:hAnsi="宋体"/>
                <w:kern w:val="0"/>
                <w:sz w:val="21"/>
                <w:szCs w:val="21"/>
              </w:rPr>
              <w:t>鱼类、小型哺乳动物、爬行动物、两栖类动物</w:t>
            </w:r>
            <w:r>
              <w:rPr>
                <w:rFonts w:hint="eastAsia" w:ascii="宋体" w:hAnsi="宋体"/>
                <w:sz w:val="21"/>
                <w:szCs w:val="21"/>
              </w:rPr>
              <w:t>的功能；为鱼类繁殖创造多样化的生境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2" w:hRule="atLeast"/>
        </w:trPr>
        <w:tc>
          <w:tcPr>
            <w:tcW w:w="876" w:type="pct"/>
            <w:vMerge w:val="restar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鸟类</w:t>
            </w: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12m~30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包含鸟类多数的边缘种，但多样性较低；满足鸟类迁徙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2"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30m~60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包含较多鸟类边缘种，但多样性低，满足鸟类迁徙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2"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60m~100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包含较大的鸟类多样性和内部种，满足鸟类迁徙和传播以及生物多样性保护的功能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82"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100m~200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保护鸟类，保护生物多样性比较合适的宽度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74" w:hRule="atLeast"/>
        </w:trPr>
        <w:tc>
          <w:tcPr>
            <w:tcW w:w="876" w:type="pct"/>
            <w:vMerge w:val="continue"/>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大于等于600m~1200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含有较多鸟类内部种；能创造自然的、物种丰富的景观结构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1" w:hRule="atLeast"/>
        </w:trPr>
        <w:tc>
          <w:tcPr>
            <w:tcW w:w="876"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乔木</w:t>
            </w:r>
          </w:p>
        </w:tc>
        <w:tc>
          <w:tcPr>
            <w:tcW w:w="1517"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24"/>
                <w:sz w:val="21"/>
                <w:szCs w:val="21"/>
              </w:rPr>
            </w:pPr>
            <w:r>
              <w:rPr>
                <w:rFonts w:hint="eastAsia" w:ascii="宋体" w:hAnsi="宋体"/>
                <w:kern w:val="24"/>
                <w:sz w:val="21"/>
                <w:szCs w:val="21"/>
              </w:rPr>
              <w:t>大于等于60</w:t>
            </w:r>
            <w:r>
              <w:rPr>
                <w:rFonts w:hint="eastAsia" w:ascii="宋体" w:hAnsi="宋体"/>
                <w:kern w:val="0"/>
                <w:sz w:val="21"/>
                <w:szCs w:val="21"/>
              </w:rPr>
              <w:t>m</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许多乔木种群存活的最小廊道宽度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1" w:hRule="atLeast"/>
        </w:trPr>
        <w:tc>
          <w:tcPr>
            <w:tcW w:w="876"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中等、大型哺乳动物</w:t>
            </w:r>
          </w:p>
        </w:tc>
        <w:tc>
          <w:tcPr>
            <w:tcW w:w="1517"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数百米至数公里不等</w:t>
            </w:r>
          </w:p>
        </w:tc>
        <w:tc>
          <w:tcPr>
            <w:tcW w:w="2606" w:type="pct"/>
            <w:tcBorders>
              <w:tl2br w:val="nil"/>
              <w:tr2bl w:val="nil"/>
            </w:tcBorders>
            <w:tcMar>
              <w:top w:w="12" w:type="dxa"/>
              <w:left w:w="12" w:type="dxa"/>
              <w:bottom w:w="0" w:type="dxa"/>
              <w:right w:w="12" w:type="dxa"/>
            </w:tcMar>
            <w:vAlign w:val="center"/>
          </w:tcPr>
          <w:p>
            <w:pPr>
              <w:spacing w:line="240" w:lineRule="auto"/>
              <w:jc w:val="center"/>
              <w:rPr>
                <w:rFonts w:ascii="宋体" w:hAnsi="宋体"/>
                <w:sz w:val="21"/>
                <w:szCs w:val="21"/>
              </w:rPr>
            </w:pPr>
            <w:r>
              <w:rPr>
                <w:rFonts w:hint="eastAsia" w:ascii="宋体" w:hAnsi="宋体"/>
                <w:sz w:val="21"/>
                <w:szCs w:val="21"/>
              </w:rPr>
              <w:t>满足中等及大型哺乳动物的迁徙</w:t>
            </w:r>
          </w:p>
        </w:tc>
      </w:tr>
    </w:tbl>
    <w:p>
      <w:pPr>
        <w:ind w:firstLine="480"/>
      </w:pPr>
      <w:r>
        <w:rPr>
          <w:rFonts w:hint="eastAsia"/>
        </w:rPr>
        <w:t>生态廊道的路径可采用“源地识别-阻力面构建-廊道提取”评估方法构建，首先确定保护的关键物种，其次识别关键物种适宜生境分布区，建构生境保护区间的最小阻力模型，评估最小成本路径，生成生态廊道最佳适宜廊道，结合城市用地功能布局，最终确定生态廊道空间布局。</w:t>
      </w:r>
    </w:p>
    <w:p>
      <w:pPr>
        <w:pStyle w:val="5"/>
        <w:spacing w:before="0" w:after="0"/>
        <w:rPr>
          <w:b w:val="0"/>
          <w:bCs w:val="0"/>
        </w:rPr>
      </w:pPr>
      <w:r>
        <w:rPr>
          <w:b w:val="0"/>
          <w:bCs w:val="0"/>
        </w:rPr>
        <w:t>4.4.2</w:t>
      </w:r>
      <w:r>
        <w:rPr>
          <w:rFonts w:hint="eastAsia"/>
          <w:b w:val="0"/>
          <w:bCs w:val="0"/>
        </w:rPr>
        <w:tab/>
      </w:r>
      <w:r>
        <w:rPr>
          <w:rFonts w:hint="eastAsia"/>
          <w:b w:val="0"/>
          <w:bCs w:val="0"/>
        </w:rPr>
        <w:t>相关研究表明，水系生态廊道的生物缓冲带宽度一般大于30m才能有效降低温度，增加河流生物食物供应，有效过滤污染物，发挥相应生态功能。河流两岸污染负荷越高、滨河地带坡度越大、周边人类活动或建设强度越高、廊道植被越多样、地形越复杂的河流生态廊道宽度应当越宽。本标准依据俞孔坚、车生泉、朱强等学者的相关研究成果，依据发挥的不同生态效益归纳出具有针对性的水系廊道生态缓冲带适宜宽度。</w:t>
      </w:r>
    </w:p>
    <w:p>
      <w:pPr>
        <w:ind w:firstLine="420"/>
        <w:jc w:val="center"/>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表</w:t>
      </w:r>
      <w:r>
        <w:rPr>
          <w:rFonts w:ascii="黑体" w:hAnsi="黑体" w:eastAsia="黑体"/>
          <w:color w:val="000000" w:themeColor="text1"/>
          <w:sz w:val="21"/>
          <w:szCs w:val="21"/>
          <w14:textFill>
            <w14:solidFill>
              <w14:schemeClr w14:val="tx1"/>
            </w14:solidFill>
          </w14:textFill>
        </w:rPr>
        <w:t xml:space="preserve">4.4.2 </w:t>
      </w:r>
      <w:r>
        <w:rPr>
          <w:rFonts w:hint="eastAsia" w:ascii="黑体" w:hAnsi="黑体" w:eastAsia="黑体"/>
          <w:color w:val="000000" w:themeColor="text1"/>
          <w:sz w:val="21"/>
          <w:szCs w:val="21"/>
          <w14:textFill>
            <w14:solidFill>
              <w14:schemeClr w14:val="tx1"/>
            </w14:solidFill>
          </w14:textFill>
        </w:rPr>
        <w:t>河流生态廊道生态缓冲带适宜宽度</w:t>
      </w:r>
    </w:p>
    <w:tbl>
      <w:tblPr>
        <w:tblStyle w:val="19"/>
        <w:tblpPr w:leftFromText="180" w:rightFromText="180" w:vertAnchor="text" w:horzAnchor="margin" w:tblpY="22"/>
        <w:tblOverlap w:val="never"/>
        <w:tblW w:w="4997"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3042"/>
        <w:gridCol w:w="527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0" w:hRule="atLeast"/>
        </w:trPr>
        <w:tc>
          <w:tcPr>
            <w:tcW w:w="1829"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生态缓冲带宽度</w:t>
            </w:r>
          </w:p>
        </w:tc>
        <w:tc>
          <w:tcPr>
            <w:tcW w:w="3171" w:type="pct"/>
            <w:tcBorders>
              <w:tl2br w:val="nil"/>
              <w:tr2bl w:val="nil"/>
            </w:tcBorders>
            <w:vAlign w:val="center"/>
          </w:tcPr>
          <w:p>
            <w:pPr>
              <w:spacing w:line="240" w:lineRule="auto"/>
              <w:jc w:val="center"/>
              <w:textAlignment w:val="center"/>
              <w:rPr>
                <w:rFonts w:ascii="宋体" w:hAnsi="宋体"/>
                <w:kern w:val="0"/>
                <w:sz w:val="21"/>
                <w:szCs w:val="21"/>
              </w:rPr>
            </w:pPr>
            <w:r>
              <w:rPr>
                <w:rFonts w:hint="eastAsia" w:ascii="宋体" w:hAnsi="宋体"/>
                <w:kern w:val="0"/>
                <w:sz w:val="21"/>
                <w:szCs w:val="21"/>
              </w:rPr>
              <w:t>生态效益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1" w:hRule="atLeast"/>
        </w:trPr>
        <w:tc>
          <w:tcPr>
            <w:tcW w:w="1829"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30m~80m</w:t>
            </w:r>
          </w:p>
        </w:tc>
        <w:tc>
          <w:tcPr>
            <w:tcW w:w="3171" w:type="pct"/>
            <w:tcBorders>
              <w:tl2br w:val="nil"/>
              <w:tr2bl w:val="nil"/>
            </w:tcBorders>
            <w:tcMar>
              <w:top w:w="12" w:type="dxa"/>
              <w:left w:w="12" w:type="dxa"/>
              <w:bottom w:w="0" w:type="dxa"/>
              <w:right w:w="12" w:type="dxa"/>
            </w:tcMar>
            <w:vAlign w:val="center"/>
          </w:tcPr>
          <w:p>
            <w:pPr>
              <w:pStyle w:val="56"/>
              <w:widowControl/>
              <w:spacing w:line="240" w:lineRule="auto"/>
              <w:jc w:val="left"/>
              <w:textAlignment w:val="center"/>
              <w:rPr>
                <w:rFonts w:ascii="宋体" w:hAnsi="宋体"/>
                <w:kern w:val="24"/>
                <w:sz w:val="21"/>
                <w:szCs w:val="21"/>
              </w:rPr>
            </w:pPr>
            <w:r>
              <w:rPr>
                <w:rFonts w:hint="eastAsia" w:ascii="宋体" w:hAnsi="宋体"/>
                <w:kern w:val="24"/>
                <w:sz w:val="21"/>
                <w:szCs w:val="21"/>
              </w:rPr>
              <w:t>有效降低温度、增加河流生物食物供应、有效过滤污染物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1" w:hRule="atLeast"/>
        </w:trPr>
        <w:tc>
          <w:tcPr>
            <w:tcW w:w="1829" w:type="pct"/>
            <w:tcBorders>
              <w:tl2br w:val="nil"/>
              <w:tr2bl w:val="nil"/>
            </w:tcBorders>
            <w:tcMar>
              <w:top w:w="12" w:type="dxa"/>
              <w:left w:w="12" w:type="dxa"/>
              <w:bottom w:w="0" w:type="dxa"/>
              <w:right w:w="12" w:type="dxa"/>
            </w:tcMar>
            <w:vAlign w:val="center"/>
          </w:tcPr>
          <w:p>
            <w:pPr>
              <w:widowControl/>
              <w:spacing w:line="240" w:lineRule="auto"/>
              <w:jc w:val="center"/>
              <w:textAlignment w:val="center"/>
              <w:rPr>
                <w:rFonts w:ascii="宋体" w:hAnsi="宋体"/>
                <w:kern w:val="0"/>
                <w:sz w:val="21"/>
                <w:szCs w:val="21"/>
              </w:rPr>
            </w:pPr>
            <w:r>
              <w:rPr>
                <w:rFonts w:hint="eastAsia" w:ascii="宋体" w:hAnsi="宋体"/>
                <w:kern w:val="0"/>
                <w:sz w:val="21"/>
                <w:szCs w:val="21"/>
              </w:rPr>
              <w:t>大于等于80m</w:t>
            </w:r>
          </w:p>
        </w:tc>
        <w:tc>
          <w:tcPr>
            <w:tcW w:w="3171" w:type="pct"/>
            <w:tcBorders>
              <w:tl2br w:val="nil"/>
              <w:tr2bl w:val="nil"/>
            </w:tcBorders>
            <w:tcMar>
              <w:top w:w="12" w:type="dxa"/>
              <w:left w:w="12" w:type="dxa"/>
              <w:bottom w:w="0" w:type="dxa"/>
              <w:right w:w="12" w:type="dxa"/>
            </w:tcMar>
            <w:vAlign w:val="center"/>
          </w:tcPr>
          <w:p>
            <w:pPr>
              <w:pStyle w:val="56"/>
              <w:widowControl/>
              <w:spacing w:line="240" w:lineRule="auto"/>
              <w:jc w:val="center"/>
              <w:textAlignment w:val="center"/>
              <w:rPr>
                <w:rFonts w:ascii="宋体" w:hAnsi="宋体"/>
                <w:kern w:val="24"/>
                <w:sz w:val="21"/>
                <w:szCs w:val="21"/>
              </w:rPr>
            </w:pPr>
            <w:r>
              <w:rPr>
                <w:rFonts w:hint="eastAsia" w:ascii="宋体" w:hAnsi="宋体"/>
                <w:kern w:val="24"/>
                <w:sz w:val="21"/>
                <w:szCs w:val="21"/>
              </w:rPr>
              <w:t>较好控制沉积物及土壤元素流失</w:t>
            </w:r>
          </w:p>
        </w:tc>
      </w:tr>
    </w:tbl>
    <w:p>
      <w:pPr>
        <w:ind w:firstLine="480"/>
      </w:pPr>
    </w:p>
    <w:p>
      <w:pPr>
        <w:pStyle w:val="5"/>
        <w:spacing w:before="0" w:after="0"/>
        <w:rPr>
          <w:b w:val="0"/>
          <w:bCs w:val="0"/>
        </w:rPr>
      </w:pPr>
      <w:r>
        <w:rPr>
          <w:b w:val="0"/>
          <w:bCs w:val="0"/>
        </w:rPr>
        <w:t>4.4.3</w:t>
      </w:r>
      <w:r>
        <w:rPr>
          <w:rFonts w:hint="eastAsia"/>
          <w:b w:val="0"/>
          <w:bCs w:val="0"/>
        </w:rPr>
        <w:tab/>
      </w:r>
      <w:r>
        <w:rPr>
          <w:rFonts w:hint="eastAsia"/>
          <w:b w:val="0"/>
          <w:bCs w:val="0"/>
        </w:rPr>
        <w:t>在对城市进行气候评估基础上，结合城市特点、用地布局等因素，构建通风廊道，连通城市内外生态冷源，</w:t>
      </w:r>
      <w:r>
        <w:rPr>
          <w:b w:val="0"/>
          <w:bCs w:val="0"/>
        </w:rPr>
        <w:t>引入新鲜空气</w:t>
      </w:r>
      <w:r>
        <w:rPr>
          <w:rFonts w:hint="eastAsia"/>
          <w:b w:val="0"/>
          <w:bCs w:val="0"/>
        </w:rPr>
        <w:t>，发挥改善局地气象环境、缓解城市热岛效应、提高城市宜居性。通风廊道构建时并非</w:t>
      </w:r>
      <w:r>
        <w:rPr>
          <w:b w:val="0"/>
          <w:bCs w:val="0"/>
        </w:rPr>
        <w:t>大拆大建</w:t>
      </w:r>
      <w:r>
        <w:rPr>
          <w:rFonts w:hint="eastAsia"/>
          <w:b w:val="0"/>
          <w:bCs w:val="0"/>
        </w:rPr>
        <w:t>，而是应充分考虑城市现有建设格局和未来用地规划，识别可</w:t>
      </w:r>
      <w:r>
        <w:rPr>
          <w:b w:val="0"/>
          <w:bCs w:val="0"/>
        </w:rPr>
        <w:t>有效利用</w:t>
      </w:r>
      <w:r>
        <w:rPr>
          <w:rFonts w:hint="eastAsia"/>
          <w:b w:val="0"/>
          <w:bCs w:val="0"/>
        </w:rPr>
        <w:t>的城市大型绿地、水体、河道</w:t>
      </w:r>
      <w:r>
        <w:rPr>
          <w:b w:val="0"/>
          <w:bCs w:val="0"/>
        </w:rPr>
        <w:t>、路网以及其他通风潜力较高的区域</w:t>
      </w:r>
      <w:r>
        <w:rPr>
          <w:rFonts w:hint="eastAsia"/>
          <w:b w:val="0"/>
          <w:bCs w:val="0"/>
        </w:rPr>
        <w:t>。其中</w:t>
      </w:r>
      <w:r>
        <w:rPr>
          <w:b w:val="0"/>
          <w:bCs w:val="0"/>
        </w:rPr>
        <w:t>，</w:t>
      </w:r>
      <w:r>
        <w:rPr>
          <w:rFonts w:hint="eastAsia"/>
          <w:b w:val="0"/>
          <w:bCs w:val="0"/>
        </w:rPr>
        <w:t>研究表明</w:t>
      </w:r>
      <w:r>
        <w:rPr>
          <w:b w:val="0"/>
          <w:bCs w:val="0"/>
        </w:rPr>
        <w:t>，</w:t>
      </w:r>
      <w:r>
        <w:rPr>
          <w:rFonts w:hint="eastAsia"/>
          <w:b w:val="0"/>
          <w:bCs w:val="0"/>
        </w:rPr>
        <w:t>城市大型绿地和水体对周边区域具有明显降温和</w:t>
      </w:r>
      <w:r>
        <w:rPr>
          <w:b w:val="0"/>
          <w:bCs w:val="0"/>
        </w:rPr>
        <w:t>通风</w:t>
      </w:r>
      <w:r>
        <w:rPr>
          <w:rFonts w:hint="eastAsia"/>
          <w:b w:val="0"/>
          <w:bCs w:val="0"/>
        </w:rPr>
        <w:t>效应；河道和路网通常是地表粗糙度较低、通风能力强的带状空间，且构建成本相对较低，因此可作为城市通风廊道的载体，连接城市内外的生态冷源。</w:t>
      </w:r>
    </w:p>
    <w:p>
      <w:pPr>
        <w:pStyle w:val="5"/>
        <w:spacing w:before="0" w:after="0"/>
        <w:rPr>
          <w:b w:val="0"/>
          <w:bCs w:val="0"/>
        </w:rPr>
      </w:pPr>
      <w:r>
        <w:rPr>
          <w:b w:val="0"/>
          <w:bCs w:val="0"/>
        </w:rPr>
        <w:t>4.4.4</w:t>
      </w:r>
      <w:r>
        <w:rPr>
          <w:rFonts w:hint="eastAsia"/>
          <w:b w:val="0"/>
          <w:bCs w:val="0"/>
        </w:rPr>
        <w:tab/>
      </w:r>
      <w:r>
        <w:rPr>
          <w:b w:val="0"/>
          <w:bCs w:val="0"/>
        </w:rPr>
        <w:t>城市绿道建设是国家践行生态文明、推动高质量发展的重要抓手，其意义远超“种树修路”的传统认知，而是通过生态网络构建、绿色生活引导、文化价值激活等多维度作用，实现城市从“规模扩张”向“内涵提升”的转型。《中共中央国务院关于进一步加强城市规划建设管理工作的若干意见》（2016年）明确提出“优化城市绿地布局，构建绿道系统，实现城市内外绿地连接贯通，将生态要素引入市区”，首次将绿道建设提升至国家战略层面。《关于推动城乡建设绿色发展的意见》（中共中央办公厅、国务院办公厅，2021年）将绿道纳入“区域生态网络”建设范畴。近年来，北京、上海、深圳、成都、杭州等城市先后开展了城市绿道系统建设，与城市绿地系统衔接，在城市生态修复与韧性提升、社会健康与公共服务均等化、绿色出行与低碳转型等方面成效显著。</w:t>
      </w:r>
    </w:p>
    <w:p>
      <w:pPr>
        <w:ind w:firstLine="480"/>
      </w:pPr>
      <w:r>
        <w:t>本条文根据各城市的实践，将城市绿道分为三个等级</w:t>
      </w:r>
      <w:r>
        <w:rPr>
          <w:rFonts w:hint="eastAsia"/>
        </w:rPr>
        <w:t>，区域级和市域级绿道强调城市对风景区等自然景观的串连，城区级绿道强调连接重要城市功能组团与各类功能用地，社区级绿道强调居民的就近使用，</w:t>
      </w:r>
      <w:r>
        <w:t>相关指标值设置参考如下表。</w:t>
      </w:r>
    </w:p>
    <w:p>
      <w:pPr>
        <w:ind w:firstLine="420"/>
        <w:jc w:val="center"/>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表</w:t>
      </w:r>
      <w:r>
        <w:rPr>
          <w:rFonts w:ascii="黑体" w:hAnsi="黑体" w:eastAsia="黑体"/>
          <w:color w:val="000000" w:themeColor="text1"/>
          <w:sz w:val="21"/>
          <w:szCs w:val="21"/>
          <w14:textFill>
            <w14:solidFill>
              <w14:schemeClr w14:val="tx1"/>
            </w14:solidFill>
          </w14:textFill>
        </w:rPr>
        <w:t xml:space="preserve">4.4.4  </w:t>
      </w:r>
      <w:r>
        <w:rPr>
          <w:rFonts w:hint="eastAsia" w:ascii="黑体" w:hAnsi="黑体" w:eastAsia="黑体"/>
          <w:color w:val="000000" w:themeColor="text1"/>
          <w:sz w:val="21"/>
          <w:szCs w:val="21"/>
          <w14:textFill>
            <w14:solidFill>
              <w14:schemeClr w14:val="tx1"/>
            </w14:solidFill>
          </w14:textFill>
        </w:rPr>
        <w:t>城市绿道宽度设置依据</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城市实践</w:t>
            </w:r>
          </w:p>
        </w:tc>
        <w:tc>
          <w:tcPr>
            <w:tcW w:w="6458" w:type="dxa"/>
          </w:tcPr>
          <w:p>
            <w:pPr>
              <w:spacing w:line="240" w:lineRule="auto"/>
              <w:jc w:val="center"/>
              <w:rPr>
                <w:rFonts w:ascii="宋体" w:hAnsi="宋体"/>
                <w:sz w:val="21"/>
                <w:szCs w:val="21"/>
              </w:rPr>
            </w:pPr>
            <w:r>
              <w:rPr>
                <w:rFonts w:hint="eastAsia" w:ascii="宋体" w:hAnsi="宋体"/>
                <w:sz w:val="21"/>
                <w:szCs w:val="21"/>
              </w:rPr>
              <w:t>绿道建设要求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《上海市绿道建设导则》</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新建绿道游径宽度应小于3.5m。绿道游径为步行骑行综合道的，步行道、自行车车道之间应设置绿化带等隔离设施。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《东莞市城市与社区绿道分类建设标准》</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慢行道宽4米以上，其中自行车道宽2.5m以上，人行道宽1.5m以上。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新加坡公园连接道网络(Park Connector Network，简称“PCN”)计划</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宽</w:t>
            </w:r>
            <w:r>
              <w:rPr>
                <w:rFonts w:ascii="宋体" w:hAnsi="宋体"/>
                <w:sz w:val="21"/>
                <w:szCs w:val="21"/>
              </w:rPr>
              <w:t>4</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的标准型路径：用于慢跑、步行的步道宽度为</w:t>
            </w:r>
            <w:r>
              <w:rPr>
                <w:rFonts w:ascii="宋体" w:hAnsi="宋体"/>
                <w:sz w:val="21"/>
                <w:szCs w:val="21"/>
              </w:rPr>
              <w:t>1.5</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，供自行车、电动滑板车、独轮车和电动助力自行车等使用的骑行道宽度为</w:t>
            </w:r>
            <w:r>
              <w:rPr>
                <w:rFonts w:ascii="宋体" w:hAnsi="宋体"/>
                <w:sz w:val="21"/>
                <w:szCs w:val="21"/>
              </w:rPr>
              <w:t>2.5</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w:t>
            </w:r>
          </w:p>
          <w:p>
            <w:pPr>
              <w:spacing w:line="240" w:lineRule="auto"/>
              <w:jc w:val="center"/>
              <w:rPr>
                <w:rFonts w:ascii="宋体" w:hAnsi="宋体"/>
                <w:sz w:val="21"/>
                <w:szCs w:val="21"/>
              </w:rPr>
            </w:pPr>
            <w:r>
              <w:rPr>
                <w:rFonts w:hint="eastAsia" w:ascii="宋体" w:hAnsi="宋体"/>
                <w:sz w:val="21"/>
                <w:szCs w:val="21"/>
              </w:rPr>
              <w:t>宽度小于</w:t>
            </w:r>
            <w:r>
              <w:rPr>
                <w:rFonts w:ascii="宋体" w:hAnsi="宋体"/>
                <w:sz w:val="21"/>
                <w:szCs w:val="21"/>
              </w:rPr>
              <w:t>3.5</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的共享型路径：适合用地紧凑空间，使用者共用空间，步道和骑行道没有进行独立划分。</w:t>
            </w:r>
          </w:p>
          <w:p>
            <w:pPr>
              <w:spacing w:line="240" w:lineRule="auto"/>
              <w:jc w:val="center"/>
              <w:rPr>
                <w:rFonts w:ascii="宋体" w:hAnsi="宋体"/>
                <w:sz w:val="21"/>
                <w:szCs w:val="21"/>
              </w:rPr>
            </w:pPr>
            <w:r>
              <w:rPr>
                <w:rFonts w:hint="eastAsia" w:ascii="宋体" w:hAnsi="宋体"/>
                <w:sz w:val="21"/>
                <w:szCs w:val="21"/>
              </w:rPr>
              <w:t>宽</w:t>
            </w:r>
            <w:r>
              <w:rPr>
                <w:rFonts w:ascii="宋体" w:hAnsi="宋体"/>
                <w:sz w:val="21"/>
                <w:szCs w:val="21"/>
              </w:rPr>
              <w:t>6</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的舒适型路径：适合场地相对宽松的空间，步道宽度为</w:t>
            </w:r>
            <w:r>
              <w:rPr>
                <w:rFonts w:ascii="宋体" w:hAnsi="宋体"/>
                <w:sz w:val="21"/>
                <w:szCs w:val="21"/>
              </w:rPr>
              <w:t>2</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、骑行道宽度为</w:t>
            </w:r>
            <w:r>
              <w:rPr>
                <w:rFonts w:ascii="宋体" w:hAnsi="宋体"/>
                <w:sz w:val="21"/>
                <w:szCs w:val="21"/>
              </w:rPr>
              <w:t>4</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，其中</w:t>
            </w:r>
            <w:r>
              <w:rPr>
                <w:rFonts w:ascii="宋体" w:hAnsi="宋体"/>
                <w:sz w:val="21"/>
                <w:szCs w:val="21"/>
              </w:rPr>
              <w:t>2</w:t>
            </w:r>
            <w:r>
              <w:rPr>
                <w:rFonts w:hint="eastAsia" w:ascii="MS Gothic" w:hAnsi="MS Gothic" w:eastAsia="MS Gothic" w:cs="MS Gothic"/>
                <w:sz w:val="21"/>
                <w:szCs w:val="21"/>
              </w:rPr>
              <w:t> </w:t>
            </w:r>
            <w:r>
              <w:rPr>
                <w:rFonts w:ascii="宋体" w:hAnsi="宋体"/>
                <w:sz w:val="21"/>
                <w:szCs w:val="21"/>
              </w:rPr>
              <w:t>m</w:t>
            </w:r>
            <w:r>
              <w:rPr>
                <w:rFonts w:hint="eastAsia" w:ascii="宋体" w:hAnsi="宋体"/>
                <w:sz w:val="21"/>
                <w:szCs w:val="21"/>
              </w:rPr>
              <w:t>的步道宽度可支持两辆轮椅同时通行。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《海盐县绿道网专项规划（2021-2035）》</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规划绿道密度每平方公里0.94km。其中中心城区远期规划绿道密度将达到每平方公里1.3km。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ascii="宋体" w:hAnsi="宋体"/>
                <w:sz w:val="21"/>
                <w:szCs w:val="21"/>
              </w:rPr>
              <w:t>嘉兴市中心城区</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绿道密度达到1.2km/km</w:t>
            </w:r>
            <w:r>
              <w:rPr>
                <w:rFonts w:ascii="宋体" w:hAnsi="宋体"/>
                <w:sz w:val="21"/>
                <w:szCs w:val="21"/>
                <w:vertAlign w:val="superscript"/>
              </w:rPr>
              <w:t>2</w:t>
            </w:r>
            <w:r>
              <w:rPr>
                <w:rFonts w:hint="eastAsia" w:ascii="宋体" w:hAnsi="宋体"/>
                <w:sz w:val="21"/>
                <w:szCs w:val="21"/>
              </w:rPr>
              <w:t>（2</w:t>
            </w:r>
            <w:r>
              <w:rPr>
                <w:rFonts w:ascii="宋体" w:hAnsi="宋体"/>
                <w:sz w:val="21"/>
                <w:szCs w:val="21"/>
              </w:rPr>
              <w:t>021年</w:t>
            </w:r>
            <w:r>
              <w:rPr>
                <w:rFonts w:hint="eastAsia" w:ascii="宋体" w:hAnsi="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深圳市</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深圳的绿道平均密度达到 1.2 km/km</w:t>
            </w:r>
            <w:r>
              <w:rPr>
                <w:rFonts w:ascii="宋体" w:hAnsi="宋体"/>
                <w:sz w:val="21"/>
                <w:szCs w:val="21"/>
                <w:vertAlign w:val="superscript"/>
              </w:rPr>
              <w:t>2</w:t>
            </w:r>
            <w:r>
              <w:rPr>
                <w:rFonts w:hint="eastAsia" w:ascii="宋体" w:hAnsi="宋体"/>
                <w:sz w:val="21"/>
                <w:szCs w:val="21"/>
              </w:rPr>
              <w:t>（2</w:t>
            </w:r>
            <w:r>
              <w:rPr>
                <w:rFonts w:ascii="宋体" w:hAnsi="宋体"/>
                <w:sz w:val="21"/>
                <w:szCs w:val="21"/>
              </w:rPr>
              <w:t>018年</w:t>
            </w:r>
            <w:r>
              <w:rPr>
                <w:rFonts w:hint="eastAsia" w:ascii="宋体" w:hAnsi="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tcPr>
          <w:p>
            <w:pPr>
              <w:spacing w:line="240" w:lineRule="auto"/>
              <w:jc w:val="center"/>
              <w:rPr>
                <w:rFonts w:ascii="宋体" w:hAnsi="宋体"/>
                <w:sz w:val="21"/>
                <w:szCs w:val="21"/>
              </w:rPr>
            </w:pPr>
            <w:r>
              <w:rPr>
                <w:rFonts w:hint="eastAsia" w:ascii="宋体" w:hAnsi="宋体"/>
                <w:sz w:val="21"/>
                <w:szCs w:val="21"/>
              </w:rPr>
              <w:t>《湖北省绿道规划刚要》</w:t>
            </w:r>
          </w:p>
        </w:tc>
        <w:tc>
          <w:tcPr>
            <w:tcW w:w="6458" w:type="dxa"/>
            <w:vAlign w:val="center"/>
          </w:tcPr>
          <w:p>
            <w:pPr>
              <w:spacing w:line="240" w:lineRule="auto"/>
              <w:jc w:val="center"/>
              <w:rPr>
                <w:rFonts w:ascii="宋体" w:hAnsi="宋体"/>
                <w:sz w:val="21"/>
                <w:szCs w:val="21"/>
              </w:rPr>
            </w:pPr>
            <w:r>
              <w:rPr>
                <w:rFonts w:hint="eastAsia" w:ascii="宋体" w:hAnsi="宋体"/>
                <w:sz w:val="21"/>
                <w:szCs w:val="21"/>
              </w:rPr>
              <w:t>分为综合型绿道及单一型绿道。综合型绿道骑步分行，，骑行道路面宽度不小于3m，步行道路面宽度不小于2m。单一型绿道骑步混行，道路面宽度不宜小于3m。</w:t>
            </w:r>
          </w:p>
        </w:tc>
      </w:tr>
    </w:tbl>
    <w:p>
      <w:pPr>
        <w:ind w:firstLine="480"/>
      </w:pPr>
      <w:r>
        <w:t>综合以上材料，城市绿道宜根据出行方式划定宽度，</w:t>
      </w:r>
      <w:r>
        <w:rPr>
          <w:rFonts w:hint="eastAsia"/>
        </w:rPr>
        <w:t>主要区分骑步分行或者骑步混行</w:t>
      </w:r>
      <w:r>
        <w:t>。区域型绿道步行可能性较小，主要以骑步混行进行设置。城市中应鼓励骑步分行，对于有条件的地段采用</w:t>
      </w:r>
      <w:r>
        <w:rPr>
          <w:rFonts w:hint="eastAsia"/>
        </w:rPr>
        <w:t>5m的绿道宽度布局。</w:t>
      </w:r>
    </w:p>
    <w:p>
      <w:pPr>
        <w:pStyle w:val="5"/>
        <w:spacing w:before="0" w:after="0"/>
        <w:rPr>
          <w:b w:val="0"/>
          <w:bCs w:val="0"/>
        </w:rPr>
      </w:pPr>
      <w:r>
        <w:rPr>
          <w:b w:val="0"/>
          <w:bCs w:val="0"/>
        </w:rPr>
        <w:t>4.4.5</w:t>
      </w:r>
      <w:r>
        <w:rPr>
          <w:rFonts w:hint="eastAsia"/>
          <w:b w:val="0"/>
          <w:bCs w:val="0"/>
        </w:rPr>
        <w:tab/>
      </w:r>
      <w:r>
        <w:rPr>
          <w:b w:val="0"/>
          <w:bCs w:val="0"/>
        </w:rPr>
        <w:t>城市</w:t>
      </w:r>
      <w:r>
        <w:rPr>
          <w:rFonts w:hint="eastAsia"/>
          <w:b w:val="0"/>
          <w:bCs w:val="0"/>
        </w:rPr>
        <w:t>防灾避险绿地</w:t>
      </w:r>
      <w:r>
        <w:rPr>
          <w:b w:val="0"/>
          <w:bCs w:val="0"/>
        </w:rPr>
        <w:t>是城市</w:t>
      </w:r>
      <w:r>
        <w:rPr>
          <w:rFonts w:hint="eastAsia"/>
          <w:b w:val="0"/>
          <w:bCs w:val="0"/>
        </w:rPr>
        <w:t>生态</w:t>
      </w:r>
      <w:r>
        <w:rPr>
          <w:b w:val="0"/>
          <w:bCs w:val="0"/>
        </w:rPr>
        <w:t>基础设施的重要组成部分，是人民群众紧急避险、疏散转移或临时安置的重要场所。近年来，我国地震等自然灾害频发，</w:t>
      </w:r>
      <w:r>
        <w:rPr>
          <w:rFonts w:hint="eastAsia"/>
          <w:b w:val="0"/>
          <w:bCs w:val="0"/>
        </w:rPr>
        <w:t>对</w:t>
      </w:r>
      <w:r>
        <w:rPr>
          <w:b w:val="0"/>
          <w:bCs w:val="0"/>
        </w:rPr>
        <w:t>完善城市综合防灾体系，提升城市</w:t>
      </w:r>
      <w:r>
        <w:rPr>
          <w:rFonts w:hint="eastAsia"/>
          <w:b w:val="0"/>
          <w:bCs w:val="0"/>
        </w:rPr>
        <w:t>生态</w:t>
      </w:r>
      <w:r>
        <w:rPr>
          <w:b w:val="0"/>
          <w:bCs w:val="0"/>
        </w:rPr>
        <w:t>基础设施防灾避险功能提出了更高要求。</w:t>
      </w:r>
      <w:r>
        <w:rPr>
          <w:rFonts w:hint="eastAsia"/>
          <w:b w:val="0"/>
          <w:bCs w:val="0"/>
        </w:rPr>
        <w:t>防灾避险绿地与城市的深度融合，作为城市</w:t>
      </w:r>
      <w:r>
        <w:rPr>
          <w:b w:val="0"/>
          <w:bCs w:val="0"/>
        </w:rPr>
        <w:t>灾害应急响应的“生命保障线”、生态系统的“韧性缓冲带”、城市安全的“风险隔离墙”，是提升城市安全韧性、实现可持续发展的核心举措。根据</w:t>
      </w:r>
      <w:r>
        <w:rPr>
          <w:rFonts w:hint="eastAsia"/>
          <w:b w:val="0"/>
          <w:bCs w:val="0"/>
        </w:rPr>
        <w:t>《城市绿地防灾避险设计导则》要求，防灾避险绿地宜以中短期避险绿地和紧急避险绿地为主，城市人口规模在300万人以上的I型大城市和特大城市可根据用地条件、经济发展水平和实际需要设置长期避险绿地；I型大城市、特大城市和抗震设防烈度7度以上的城市，宜结合城市用地条件，根据实际情况和城市综合防灾规划，按“长期避险绿地-中期避险绿地-短期避险绿地-紧急避险绿地”4级配置；抗震设防烈度7度及以下的小城市、中等城市、II型大城市，宜按“中期避险绿地-短期避绿地-紧急避险绿地”3级配置。同时，该导则规定了防灾避险绿地服务半径、有效避险面积等相关要求。</w:t>
      </w:r>
    </w:p>
    <w:p>
      <w:pPr>
        <w:pStyle w:val="5"/>
        <w:spacing w:before="0" w:after="0"/>
        <w:rPr>
          <w:b w:val="0"/>
          <w:bCs w:val="0"/>
        </w:rPr>
      </w:pPr>
      <w:r>
        <w:rPr>
          <w:b w:val="0"/>
          <w:bCs w:val="0"/>
        </w:rPr>
        <w:t>4.4.6</w:t>
      </w:r>
      <w:r>
        <w:rPr>
          <w:rFonts w:hint="eastAsia"/>
          <w:b w:val="0"/>
          <w:bCs w:val="0"/>
        </w:rPr>
        <w:tab/>
      </w:r>
      <w:r>
        <w:rPr>
          <w:rFonts w:hint="eastAsia"/>
          <w:b w:val="0"/>
          <w:bCs w:val="0"/>
        </w:rPr>
        <w:t>构建自然与人文融合的景观风貌系统是新时代推进高质量城市发展的重要任务，体现了生态优先、文化传承、以人为本的空间治理理念。城市应统筹自然山水格局、历史文化资源和城市空间结构，划定生态与文化保护边界，实施分区分类保护管理，优化重大设施选址与景观格局，形成具有地域特色、文化内涵和生态价值的城市景观体系。</w:t>
      </w:r>
    </w:p>
    <w:p>
      <w:pPr>
        <w:widowControl/>
        <w:spacing w:line="240" w:lineRule="auto"/>
        <w:jc w:val="left"/>
      </w:pPr>
    </w:p>
    <w:p>
      <w:pPr>
        <w:pStyle w:val="2"/>
        <w:spacing w:line="360" w:lineRule="auto"/>
      </w:pPr>
      <w:bookmarkStart w:id="62" w:name="_Toc215054080"/>
      <w:r>
        <w:rPr>
          <w:rFonts w:hint="eastAsia"/>
        </w:rPr>
        <w:t>5   设计品质</w:t>
      </w:r>
      <w:bookmarkEnd w:id="62"/>
    </w:p>
    <w:p>
      <w:pPr>
        <w:pStyle w:val="3"/>
        <w:spacing w:before="156" w:after="156"/>
      </w:pPr>
      <w:bookmarkStart w:id="63" w:name="_Toc215054081"/>
      <w:r>
        <w:rPr>
          <w:rFonts w:hint="eastAsia"/>
        </w:rPr>
        <w:t>5</w:t>
      </w:r>
      <w:r>
        <w:t>.1</w:t>
      </w:r>
      <w:r>
        <w:rPr>
          <w:rFonts w:hint="eastAsia"/>
        </w:rPr>
        <w:t>生态环境治理设施</w:t>
      </w:r>
      <w:bookmarkEnd w:id="63"/>
    </w:p>
    <w:p>
      <w:pPr>
        <w:pStyle w:val="5"/>
        <w:spacing w:before="0" w:after="0"/>
        <w:rPr>
          <w:b w:val="0"/>
          <w:bCs w:val="0"/>
        </w:rPr>
      </w:pPr>
      <w:r>
        <w:rPr>
          <w:rFonts w:hint="eastAsia"/>
          <w:b w:val="0"/>
          <w:bCs w:val="0"/>
        </w:rPr>
        <w:t>5</w:t>
      </w:r>
      <w:r>
        <w:rPr>
          <w:b w:val="0"/>
          <w:bCs w:val="0"/>
        </w:rPr>
        <w:t>.1.1</w:t>
      </w:r>
      <w:r>
        <w:rPr>
          <w:rFonts w:hint="eastAsia"/>
          <w:b w:val="0"/>
          <w:bCs w:val="0"/>
        </w:rPr>
        <w:tab/>
      </w:r>
      <w:r>
        <w:rPr>
          <w:rFonts w:hint="eastAsia"/>
          <w:b w:val="0"/>
          <w:bCs w:val="0"/>
        </w:rPr>
        <w:t>本条文参照“山水林田湖草沙一体化保护和系统治理”理论，要求统筹山水林田湖草沙多要素开展整体性修复。应符合《山水林田湖草生态保护修复工程指南（试行）》（自然资办发〔2020〕38号）关于自然恢复为主、人工修复辅助的保护修复原则。</w:t>
      </w:r>
    </w:p>
    <w:p>
      <w:pPr>
        <w:pStyle w:val="5"/>
        <w:spacing w:before="0" w:after="0"/>
        <w:rPr>
          <w:b w:val="0"/>
          <w:bCs w:val="0"/>
        </w:rPr>
      </w:pPr>
      <w:r>
        <w:rPr>
          <w:rFonts w:hint="eastAsia"/>
          <w:b w:val="0"/>
          <w:bCs w:val="0"/>
        </w:rPr>
        <w:t>5</w:t>
      </w:r>
      <w:r>
        <w:rPr>
          <w:b w:val="0"/>
          <w:bCs w:val="0"/>
        </w:rPr>
        <w:t>.1.2</w:t>
      </w:r>
      <w:r>
        <w:rPr>
          <w:rFonts w:hint="eastAsia"/>
          <w:b w:val="0"/>
          <w:bCs w:val="0"/>
        </w:rPr>
        <w:tab/>
      </w:r>
      <w:r>
        <w:rPr>
          <w:rFonts w:hint="eastAsia"/>
          <w:b w:val="0"/>
          <w:bCs w:val="0"/>
        </w:rPr>
        <w:t>山体植被修复技术参照现行国家标准《裸露坡面植被恢复技术规范》GB/T 38360的坡面分类体系和技术标准体系。具体实施时需结合修复区域的坡质特征（岩石、土石混合、纯土质），按照缓坡（坡度小于25°）、陡坡（坡度25°~55°）、崖坡（坡度大于55°）三个坡度等级，制定差异化修复工程技术方案。 应符合《垂直绿化工程技术规程》</w:t>
      </w:r>
      <w:r>
        <w:rPr>
          <w:b w:val="0"/>
          <w:bCs w:val="0"/>
        </w:rPr>
        <w:t>CJJ/T 236</w:t>
      </w:r>
      <w:r>
        <w:rPr>
          <w:rFonts w:hint="eastAsia"/>
          <w:b w:val="0"/>
          <w:bCs w:val="0"/>
        </w:rPr>
        <w:t>、《边坡喷播绿化工程技术标准》</w:t>
      </w:r>
      <w:r>
        <w:rPr>
          <w:b w:val="0"/>
          <w:bCs w:val="0"/>
        </w:rPr>
        <w:t>CJJ/T 292</w:t>
      </w:r>
      <w:r>
        <w:rPr>
          <w:rFonts w:hint="eastAsia"/>
          <w:b w:val="0"/>
          <w:bCs w:val="0"/>
        </w:rPr>
        <w:t>和《生态混凝土应用技术规程》C</w:t>
      </w:r>
      <w:r>
        <w:rPr>
          <w:b w:val="0"/>
          <w:bCs w:val="0"/>
        </w:rPr>
        <w:t>ECS 361</w:t>
      </w:r>
      <w:r>
        <w:rPr>
          <w:rFonts w:hint="eastAsia"/>
          <w:b w:val="0"/>
          <w:bCs w:val="0"/>
        </w:rPr>
        <w:t>技术要求。</w:t>
      </w:r>
    </w:p>
    <w:p>
      <w:pPr>
        <w:ind w:firstLine="480"/>
      </w:pPr>
      <w:r>
        <w:rPr>
          <w:rFonts w:hint="eastAsia"/>
        </w:rPr>
        <w:t>修复成效依据《生态保护修复成效评估技术指南（试行）》HJ1272的“植被覆盖度”指标要求，结合《区域生态质量评价办法（试行）》中的植被覆盖度计算方法制定。修复后植被覆盖度提升率应满足最高评分要求，即植被覆盖度提升率大于5%，以确保山体生态功能的显著恢复。</w:t>
      </w:r>
    </w:p>
    <w:p>
      <w:pPr>
        <w:pStyle w:val="5"/>
        <w:spacing w:before="0" w:after="0"/>
        <w:rPr>
          <w:b w:val="0"/>
          <w:bCs w:val="0"/>
        </w:rPr>
      </w:pPr>
      <w:r>
        <w:rPr>
          <w:rFonts w:hint="eastAsia"/>
          <w:b w:val="0"/>
          <w:bCs w:val="0"/>
        </w:rPr>
        <w:t>5</w:t>
      </w:r>
      <w:r>
        <w:rPr>
          <w:b w:val="0"/>
          <w:bCs w:val="0"/>
        </w:rPr>
        <w:t>.1.3</w:t>
      </w:r>
      <w:r>
        <w:rPr>
          <w:rFonts w:hint="eastAsia"/>
          <w:b w:val="0"/>
          <w:bCs w:val="0"/>
        </w:rPr>
        <w:tab/>
      </w:r>
      <w:r>
        <w:rPr>
          <w:rFonts w:hint="eastAsia"/>
          <w:b w:val="0"/>
          <w:bCs w:val="0"/>
        </w:rPr>
        <w:t>河湖岸线修复参考现行国家标准《堤防工程设计规范》GB50286、《河湖生态系统保护与修复工程技术导则》SL/T 800及《河湖生态缓冲带保护修复技术指南》（环办水体函〔2021〕558号）要求。修复过程中需保留或复原河流自然蜿蜒形态，通过浅滩营造、植被缓冲带建设等技术恢复河岸腹地生态廊道，打造兼具亲水活动与生态科普功能的滨水空间。护岸工程需满足防洪标准（不低于20年一遇）与渗透性能要求，避免硬质化改造，对现有硬质护岸应实施覆土植生或锚杆加固等生态化改造。</w:t>
      </w:r>
    </w:p>
    <w:p>
      <w:pPr>
        <w:ind w:firstLine="480"/>
      </w:pPr>
      <w:r>
        <w:rPr>
          <w:rFonts w:hint="eastAsia"/>
        </w:rPr>
        <w:t>修复成效依据《生态保护修复成效评估技术指南（试行）》HJ1272中“自然岸线保有率”指标要求。修复后自然岸线保有率提升率应满足最高评分要求，即自然岸线保有率提升率大于0</w:t>
      </w:r>
      <w:r>
        <w:t>.</w:t>
      </w:r>
      <w:r>
        <w:rPr>
          <w:rFonts w:hint="eastAsia"/>
        </w:rPr>
        <w:t>5%，以确保水岸环境品质的显著提升。</w:t>
      </w:r>
    </w:p>
    <w:p>
      <w:pPr>
        <w:pStyle w:val="5"/>
        <w:spacing w:before="0" w:after="0"/>
        <w:rPr>
          <w:b w:val="0"/>
          <w:bCs w:val="0"/>
        </w:rPr>
      </w:pPr>
      <w:r>
        <w:rPr>
          <w:b w:val="0"/>
          <w:bCs w:val="0"/>
        </w:rPr>
        <w:t>5.1.4</w:t>
      </w:r>
      <w:r>
        <w:rPr>
          <w:rFonts w:hint="eastAsia"/>
          <w:b w:val="0"/>
          <w:bCs w:val="0"/>
        </w:rPr>
        <w:tab/>
      </w:r>
      <w:r>
        <w:rPr>
          <w:rFonts w:hint="eastAsia"/>
          <w:b w:val="0"/>
          <w:bCs w:val="0"/>
        </w:rPr>
        <w:t>本条文参照《建筑设计资料集》（第三版）城市典型棕地的分类，结合《建设用地土壤污染风险评估技术导则》HJ 25.3风险管控原则制定。具体修复技术选择可参考《污染场地修复技术应用指南(征求意见稿)》（环办函〔2014〕564号 ）：</w:t>
      </w:r>
    </w:p>
    <w:p>
      <w:pPr>
        <w:ind w:firstLine="480"/>
      </w:pPr>
      <w:r>
        <w:rPr>
          <w:rFonts w:hint="eastAsia"/>
        </w:rPr>
        <w:t>1原位阻隔填埋是将污染土壤进行掩埋覆盖，采用防渗、封顶等配套设施防止污染物扩散的处理方法。填埋法不能降低土壤中污染物本身的毒性和体积，但可以降低污染物在地表的暴露及其迁移性。适用于重金属、有机物及重金属与有机物复合污染类型场地，不宜用于水溶性强的污染物类型场地。工程应用应符合《污染地块风险管控技术指南—阻隔技术（试行）》（环办土壤函〔2017〕1787号）。</w:t>
      </w:r>
    </w:p>
    <w:p>
      <w:pPr>
        <w:ind w:firstLine="480"/>
      </w:pPr>
      <w:r>
        <w:rPr>
          <w:rFonts w:hint="eastAsia"/>
        </w:rPr>
        <w:t>2植物修复是利用特定植物的吸收、转化、清除或降解土壤中的污染物，从而实现土壤净化、生态效应恢复的治理技术。但尚不能达到完全修复有机污染土壤的目的，常与微生物修复结合使用。适用于砷、镉、铅、镍、铜、锌、钴、锰、铬、汞等特定重金属污染类型场地，应根据污染物类型选择适宜的修复植物。应符合《矿山植被生态修复技术规范》</w:t>
      </w:r>
      <w:r>
        <w:t>DB11/T 1690</w:t>
      </w:r>
      <w:r>
        <w:rPr>
          <w:rFonts w:hint="eastAsia"/>
        </w:rPr>
        <w:t>。</w:t>
      </w:r>
    </w:p>
    <w:p>
      <w:pPr>
        <w:ind w:firstLine="480"/>
      </w:pPr>
      <w:r>
        <w:rPr>
          <w:rFonts w:hint="eastAsia"/>
        </w:rPr>
        <w:t>3微生物修复是利用原有或接种微生物降解（代谢）土壤中污染物，并将污染物质转化为无害的末端产品的过程。但不能降解所有进入环境的污染物，且特定微生物只降解特定污染物，受各种环境因素的影响较大，常与植物修复结合使用。适用于面积较大，</w:t>
      </w:r>
      <w:r>
        <w:t>易生物降解</w:t>
      </w:r>
      <w:r>
        <w:rPr>
          <w:rFonts w:hint="eastAsia"/>
        </w:rPr>
        <w:t>的有机物污染类型场地，不宜用重金属、难降解的有机物污染土壤。应符合《微生物法修复化工污染土壤技术规范》HG/T 20719。</w:t>
      </w:r>
    </w:p>
    <w:p>
      <w:pPr>
        <w:ind w:firstLine="480"/>
      </w:pPr>
      <w:r>
        <w:rPr>
          <w:rFonts w:hint="eastAsia"/>
        </w:rPr>
        <w:t>修复目标需根据污染场地类型与再利用规划用途差异化制定，应符合现行国家标准《土壤环境质量建设用地土壤污染风险管控标准（试行）》</w:t>
      </w:r>
      <w:r>
        <w:t>GB36600</w:t>
      </w:r>
      <w:r>
        <w:rPr>
          <w:rFonts w:hint="eastAsia"/>
        </w:rPr>
        <w:t>、《工业企业场地环境调查评估与修复工作指南（试行）》（公告 2014年 第78号）、《矿山生态环境保护与恢复治理技术规范(试行)》H</w:t>
      </w:r>
      <w:r>
        <w:t>J 651</w:t>
      </w:r>
      <w:r>
        <w:rPr>
          <w:rFonts w:hint="eastAsia"/>
        </w:rPr>
        <w:t>、现行国家标准《生活垃圾填埋场稳定化场地利用技术要求》G</w:t>
      </w:r>
      <w:r>
        <w:t>B/T 25179</w:t>
      </w:r>
      <w:r>
        <w:rPr>
          <w:rFonts w:hint="eastAsia"/>
        </w:rPr>
        <w:t>要求。</w:t>
      </w:r>
    </w:p>
    <w:p>
      <w:pPr>
        <w:pStyle w:val="3"/>
        <w:spacing w:before="156" w:after="156"/>
        <w:rPr>
          <w:color w:val="FF0000"/>
        </w:rPr>
      </w:pPr>
      <w:bookmarkStart w:id="64" w:name="_Toc215054082"/>
      <w:r>
        <w:t>5.2</w:t>
      </w:r>
      <w:r>
        <w:rPr>
          <w:rFonts w:hint="eastAsia"/>
        </w:rPr>
        <w:t>动植物生境空间</w:t>
      </w:r>
      <w:bookmarkEnd w:id="64"/>
    </w:p>
    <w:p>
      <w:pPr>
        <w:pStyle w:val="5"/>
        <w:spacing w:before="0" w:after="0"/>
        <w:rPr>
          <w:b w:val="0"/>
          <w:bCs w:val="0"/>
        </w:rPr>
      </w:pPr>
      <w:r>
        <w:rPr>
          <w:rFonts w:hint="eastAsia"/>
          <w:b w:val="0"/>
          <w:bCs w:val="0"/>
        </w:rPr>
        <w:t>5</w:t>
      </w:r>
      <w:r>
        <w:rPr>
          <w:b w:val="0"/>
          <w:bCs w:val="0"/>
        </w:rPr>
        <w:t>.2.1</w:t>
      </w:r>
      <w:r>
        <w:rPr>
          <w:rFonts w:hint="eastAsia"/>
          <w:b w:val="0"/>
          <w:bCs w:val="0"/>
        </w:rPr>
        <w:tab/>
      </w:r>
      <w:r>
        <w:rPr>
          <w:rFonts w:hint="eastAsia"/>
          <w:b w:val="0"/>
          <w:bCs w:val="0"/>
        </w:rPr>
        <w:t>开展生物栖息地保育在于维护和提升物种及遗传多样性，确保生态系统稳定运行并持续提供水质净化、洪水调节、气候缓冲等关键服务；同时，通过构建连通的栖息地网络增强生态系统对气候变化与外来干扰的韧性，并为社会提供休憩、教育与健康养生场所。</w:t>
      </w:r>
    </w:p>
    <w:p>
      <w:pPr>
        <w:ind w:firstLine="480"/>
      </w:pPr>
      <w:r>
        <w:rPr>
          <w:rFonts w:hint="eastAsia"/>
        </w:rPr>
        <w:t>依据《好城区技术导则》及上海浦东高东镇近自然城市生命地标实践，在城区中首先以斑块为单元，划定大于等于2hm</w:t>
      </w:r>
      <w:r>
        <w:rPr>
          <w:rFonts w:hint="eastAsia"/>
          <w:vertAlign w:val="superscript"/>
        </w:rPr>
        <w:t>2</w:t>
      </w:r>
      <w:r>
        <w:rPr>
          <w:rFonts w:hint="eastAsia"/>
        </w:rPr>
        <w:t>的生物多样性恢复区，并在新建和改建绿地中至少种植80%的乡土适生植物；同时通过生态功能区恢复和公园自然化改造，优化植物配置并增加各栖息地斑块的连接度；最后辅以人工招引和重引入措施，以加速本地物种的定殖和生态功能的重建，以此高效、经济地提升城市生态系统的多样性和韧性。</w:t>
      </w:r>
    </w:p>
    <w:p>
      <w:pPr>
        <w:pStyle w:val="5"/>
        <w:spacing w:before="0" w:after="0"/>
        <w:rPr>
          <w:b w:val="0"/>
          <w:bCs w:val="0"/>
        </w:rPr>
      </w:pPr>
      <w:r>
        <w:rPr>
          <w:rFonts w:hint="eastAsia"/>
          <w:b w:val="0"/>
          <w:bCs w:val="0"/>
        </w:rPr>
        <w:t>5</w:t>
      </w:r>
      <w:r>
        <w:rPr>
          <w:b w:val="0"/>
          <w:bCs w:val="0"/>
        </w:rPr>
        <w:t>.2.2</w:t>
      </w:r>
      <w:r>
        <w:rPr>
          <w:rFonts w:hint="eastAsia"/>
          <w:b w:val="0"/>
          <w:bCs w:val="0"/>
        </w:rPr>
        <w:tab/>
      </w:r>
      <w:r>
        <w:rPr>
          <w:rFonts w:hint="eastAsia"/>
          <w:b w:val="0"/>
          <w:bCs w:val="0"/>
        </w:rPr>
        <w:t>通过建设自然带，对现有林地、绿地、湿地的特定区域进行改造和再野化管理，以此改善野生动植物栖息环境，增加生物物种，提升生物多样性，逐步恢复和完善城市生态系统。</w:t>
      </w:r>
    </w:p>
    <w:p>
      <w:pPr>
        <w:ind w:firstLine="480"/>
      </w:pPr>
      <w:r>
        <w:rPr>
          <w:rFonts w:hint="eastAsia"/>
        </w:rPr>
        <w:t>依据《北京市自然带建设技术导则》及《北京市绿隔地区公园建设与管理规范 (试行)》的相关规定，郊野公园每处不少于 1 处自然带，平原造林区域大于等于 1000 亩的应建设不少于 1 处。绿隔公园自然带面积比例。一道绿隔公园不小于 10%，二道绿隔不小于 20%，郊野型和生态涵养型公园应科学划定生态自然带，面积不小于公园面积的 10%。</w:t>
      </w:r>
    </w:p>
    <w:p>
      <w:pPr>
        <w:pStyle w:val="5"/>
        <w:spacing w:before="0" w:after="0"/>
        <w:rPr>
          <w:b w:val="0"/>
          <w:bCs w:val="0"/>
        </w:rPr>
      </w:pPr>
      <w:r>
        <w:rPr>
          <w:rFonts w:hint="eastAsia"/>
          <w:b w:val="0"/>
          <w:bCs w:val="0"/>
        </w:rPr>
        <w:t>5</w:t>
      </w:r>
      <w:r>
        <w:rPr>
          <w:b w:val="0"/>
          <w:bCs w:val="0"/>
        </w:rPr>
        <w:t>.2.3</w:t>
      </w:r>
      <w:r>
        <w:rPr>
          <w:rFonts w:hint="eastAsia"/>
          <w:b w:val="0"/>
          <w:bCs w:val="0"/>
        </w:rPr>
        <w:tab/>
      </w:r>
      <w:r>
        <w:rPr>
          <w:rFonts w:hint="eastAsia"/>
          <w:b w:val="0"/>
          <w:bCs w:val="0"/>
        </w:rPr>
        <w:t>依据目标动物的取食与栖息行为，设计从湿地边缘到林冠和空中多重植被层次，不仅满足不同物种在空间和季节上的取食需求，还能有效分散觅食压力、减少种间竞争，从而提升城市绿地的生物多样性与生态服务功能。优先使用对当地气候、土壤和生态系统高度适应的乡土树种，构建稳定的动物—植物共生斑块，既能保证植物群落的抗逆性和区域景观风貌，又能为本地野生动植物提供安全的栖息和迁徙通道，避免外来树种带来的生态入侵风险。</w:t>
      </w:r>
    </w:p>
    <w:p>
      <w:pPr>
        <w:ind w:firstLine="480"/>
      </w:pPr>
      <w:r>
        <w:rPr>
          <w:rFonts w:hint="eastAsia"/>
        </w:rPr>
        <w:t>依据《国家森林城市评价指标》（2023 年修订），在所有绿地、道路和生态廊道中乡土树种使用率不得低于80%，并通过专项监测确保指标持续达标。在具体实施中，应参照地方湿地公园与鸟类栖息地营建指南，合理选择沿岸、灌丛、乔木及藤本等植物组合，实现动植物生态位互补。</w:t>
      </w:r>
    </w:p>
    <w:p>
      <w:pPr>
        <w:pStyle w:val="5"/>
        <w:spacing w:before="0" w:after="0"/>
        <w:rPr>
          <w:b w:val="0"/>
          <w:bCs w:val="0"/>
        </w:rPr>
      </w:pPr>
      <w:r>
        <w:rPr>
          <w:rFonts w:hint="eastAsia"/>
          <w:b w:val="0"/>
          <w:bCs w:val="0"/>
        </w:rPr>
        <w:t>5</w:t>
      </w:r>
      <w:r>
        <w:rPr>
          <w:b w:val="0"/>
          <w:bCs w:val="0"/>
        </w:rPr>
        <w:t>.2.4</w:t>
      </w:r>
      <w:r>
        <w:rPr>
          <w:rFonts w:hint="eastAsia"/>
          <w:b w:val="0"/>
          <w:bCs w:val="0"/>
        </w:rPr>
        <w:tab/>
      </w:r>
      <w:r>
        <w:rPr>
          <w:rFonts w:hint="eastAsia"/>
          <w:b w:val="0"/>
          <w:bCs w:val="0"/>
        </w:rPr>
        <w:t>营建不同类型的生境空间能通过增加生境异质性，提供多样化生态位和资源，促进物种丰富度与生态功能的提升，构建连通的湿地、林地、草地等斑块网络，增强景观连通性与生态系统的稳定性和抗逆性，促进物种迁移与基因流动，并提供洪水调节、水质净化、休憩与环境教育等生态服务，增进人类健康与社会福祉。</w:t>
      </w:r>
    </w:p>
    <w:p>
      <w:pPr>
        <w:ind w:firstLine="480"/>
      </w:pPr>
      <w:r>
        <w:rPr>
          <w:rFonts w:hint="eastAsia"/>
        </w:rPr>
        <w:t>依据全国湿地保护规划（2022—2030年）、《生物多样性背景下城市动物生境营建的策略与方法》（刘芝若，2023），为了提升水域生境的生态功能，应设置不陡于 1:3 的缓坡护岸，方便水生和半水生动物自由迁移，在岸线保留一定面积的裸露泥滩或砾石滩涂，为底栖动物和涉禽提供觅食空间，并结合水中岛屿布置，增加栖息微环境，丰富生物多样性；在陆域植被中，通过高覆盖度的林冠层缓冲极端温度与湿度波动并持续提供巢材，配合密集的灌草层不断补给枝茎和草茎、营造隐蔽网络，为鸟类、小型哺乳类及两栖爬行动物提供避敌通道与觅食场所；利用树根盘织的根茬、树干空洞、岩石缝隙和土壤裂隙等多样化固体结构构建“隐蔽网格”，并在林下、草丛或岸边零散堆置木头、石块及瓦砾，为松鼠、刺猬、小型两栖类提供隐蔽与觅食场所；同时人工鸟箱和以竹管、稻草、碎瓦等填充的昆虫旅馆，为目标鸟类及传粉昆虫和益虫提供筑巢与越冬场所。</w:t>
      </w:r>
    </w:p>
    <w:p>
      <w:pPr>
        <w:pStyle w:val="3"/>
        <w:spacing w:before="156" w:after="156"/>
      </w:pPr>
      <w:bookmarkStart w:id="65" w:name="_Toc215054083"/>
      <w:r>
        <w:t>5.3</w:t>
      </w:r>
      <w:r>
        <w:rPr>
          <w:rFonts w:hint="eastAsia"/>
        </w:rPr>
        <w:t>调节微气候空间</w:t>
      </w:r>
      <w:bookmarkEnd w:id="65"/>
    </w:p>
    <w:p>
      <w:pPr>
        <w:pStyle w:val="5"/>
        <w:spacing w:before="0" w:after="0"/>
        <w:rPr>
          <w:b w:val="0"/>
          <w:bCs w:val="0"/>
        </w:rPr>
      </w:pPr>
      <w:r>
        <w:rPr>
          <w:b w:val="0"/>
          <w:bCs w:val="0"/>
        </w:rPr>
        <w:t>5.3.1</w:t>
      </w:r>
      <w:r>
        <w:rPr>
          <w:rFonts w:hint="eastAsia"/>
          <w:b w:val="0"/>
          <w:bCs w:val="0"/>
        </w:rPr>
        <w:tab/>
      </w:r>
      <w:r>
        <w:rPr>
          <w:rFonts w:hint="eastAsia"/>
          <w:b w:val="0"/>
          <w:bCs w:val="0"/>
        </w:rPr>
        <w:t>在主要通风廊道处，应保持廊道空间的开阔程度，对通风廊道上的建筑高度和密度进行严格管控；建筑排列应与软轻风玫瑰相结合。尽量保留和增加生态冷源用地，利用合理的建筑布局和风廊规划来降低热岛效应和改善区域环境质量。</w:t>
      </w:r>
    </w:p>
    <w:p>
      <w:pPr>
        <w:ind w:firstLine="480"/>
      </w:pPr>
      <w:r>
        <w:rPr>
          <w:rFonts w:hint="eastAsia"/>
        </w:rPr>
        <w:t>廊道内部的建筑高度、密度和布局应严格管控，践行利于通风的空间模式。应是疏而高低错落的建筑，而非密且高度一致的建筑。研究</w:t>
      </w:r>
      <w:r>
        <w:t>表明，</w:t>
      </w:r>
      <w:r>
        <w:rPr>
          <w:rFonts w:hint="eastAsia"/>
        </w:rPr>
        <w:t>相同建筑密度下，建筑错列排列比对齐排列的网格通风效果好15％～20％。当底部为大型集中式裙房、上部为分散塔楼的住宅或综合体时，应合理构建微风通道，防止底部裙房的集中体量阻挡街区人行高度的气流。建筑长边与来风方向形成的夹角宜为30</w:t>
      </w:r>
      <w:r>
        <w:t>º</w:t>
      </w:r>
      <w:r>
        <w:rPr>
          <w:rFonts w:hint="eastAsia"/>
        </w:rPr>
        <w:t>~60</w:t>
      </w:r>
      <w:r>
        <w:t>º</w:t>
      </w:r>
      <w:r>
        <w:rPr>
          <w:rFonts w:hint="eastAsia"/>
        </w:rPr>
        <w:t>，这样既可以保证所邻街道有一定的风速，同时容易形成建筑内部的穿堂风，风速比较均匀。</w:t>
      </w:r>
    </w:p>
    <w:p>
      <w:pPr>
        <w:pStyle w:val="5"/>
        <w:spacing w:before="0" w:after="0"/>
        <w:rPr>
          <w:b w:val="0"/>
          <w:bCs w:val="0"/>
        </w:rPr>
      </w:pPr>
      <w:r>
        <w:rPr>
          <w:b w:val="0"/>
          <w:bCs w:val="0"/>
        </w:rPr>
        <w:t>5.3.2</w:t>
      </w:r>
      <w:r>
        <w:rPr>
          <w:rFonts w:hint="eastAsia"/>
          <w:b w:val="0"/>
          <w:bCs w:val="0"/>
        </w:rPr>
        <w:tab/>
      </w:r>
      <w:r>
        <w:rPr>
          <w:rFonts w:hint="eastAsia"/>
          <w:b w:val="0"/>
          <w:bCs w:val="0"/>
        </w:rPr>
        <w:t>生态冷源可有效反映城市绿地生态功能水平，对降温、增湿、减流、改善城市小气候具有重要意义。质量较好的生态冷源主要为森林和水体；城市绿地属于二级到三级冷源，但面积偏小；平原农田由于存在季节物候性，冷源质量虽稍差，但面积大，有不可忽视作用。可通过合理布局绿地，扩大绿地面积，形成连续的绿化带和生态廊道，或利用自然水体（河流、湖泊等）、人造水体设施（人工湖、喷泉等）增加城市的水面面积，以此</w:t>
      </w:r>
      <w:r>
        <w:rPr>
          <w:b w:val="0"/>
          <w:bCs w:val="0"/>
        </w:rPr>
        <w:t>来增加城市生态冷源</w:t>
      </w:r>
      <w:r>
        <w:rPr>
          <w:rFonts w:hint="eastAsia"/>
          <w:b w:val="0"/>
          <w:bCs w:val="0"/>
        </w:rPr>
        <w:t>。要使人造水体有效调节微气候，其面积需要达到一定规模。一般来说，当人造水体面积在数千平方米以上时，可以对局部小气候产生明显的调节作用。但具体效果还与水体深度、形状、周围环境等因素密切相关。</w:t>
      </w:r>
    </w:p>
    <w:p>
      <w:pPr>
        <w:ind w:firstLine="480"/>
      </w:pPr>
      <w:r>
        <w:rPr>
          <w:rFonts w:hint="eastAsia"/>
        </w:rPr>
        <w:t>可根据绿量和土地利用类型进行城市</w:t>
      </w:r>
      <w:r>
        <w:t>生态冷源的定量化</w:t>
      </w:r>
      <w:r>
        <w:rPr>
          <w:rFonts w:hint="eastAsia"/>
        </w:rPr>
        <w:t>评估。基于高分辨率卫星资料和遥感技术，估算评估区绿量值，结合土地利用类型，分析生态冷源空间分布特征，计算</w:t>
      </w:r>
      <w:r>
        <w:t>方法按照</w:t>
      </w:r>
      <w:r>
        <w:rPr>
          <w:rFonts w:hint="eastAsia"/>
        </w:rPr>
        <w:t>现行国家标准</w:t>
      </w:r>
      <w:r>
        <w:t>《</w:t>
      </w:r>
      <w:r>
        <w:rPr>
          <w:rFonts w:hint="eastAsia"/>
        </w:rPr>
        <w:t>城市总体规划</w:t>
      </w:r>
      <w:r>
        <w:t>气候可行性论证技术》</w:t>
      </w:r>
      <w:r>
        <w:rPr>
          <w:rFonts w:hint="eastAsia"/>
        </w:rPr>
        <w:t>GB/</w:t>
      </w:r>
      <w:r>
        <w:t>T 37529—2019要求执行</w:t>
      </w:r>
      <w:r>
        <w:rPr>
          <w:rFonts w:hint="eastAsia"/>
        </w:rPr>
        <w:t>。</w:t>
      </w:r>
    </w:p>
    <w:p>
      <w:pPr>
        <w:pStyle w:val="5"/>
        <w:spacing w:before="0" w:after="0"/>
        <w:rPr>
          <w:b w:val="0"/>
          <w:bCs w:val="0"/>
        </w:rPr>
      </w:pPr>
      <w:r>
        <w:rPr>
          <w:b w:val="0"/>
          <w:bCs w:val="0"/>
        </w:rPr>
        <w:t>5.3.3</w:t>
      </w:r>
      <w:r>
        <w:rPr>
          <w:rFonts w:hint="eastAsia"/>
          <w:b w:val="0"/>
          <w:bCs w:val="0"/>
        </w:rPr>
        <w:tab/>
      </w:r>
      <w:r>
        <w:rPr>
          <w:b w:val="0"/>
          <w:bCs w:val="0"/>
        </w:rPr>
        <w:t>优先</w:t>
      </w:r>
      <w:r>
        <w:rPr>
          <w:rFonts w:hint="eastAsia"/>
          <w:b w:val="0"/>
          <w:bCs w:val="0"/>
        </w:rPr>
        <w:t>在</w:t>
      </w:r>
      <w:r>
        <w:rPr>
          <w:b w:val="0"/>
          <w:bCs w:val="0"/>
        </w:rPr>
        <w:t>人口密度大、缺乏大型公园绿地、人行道及非机动车道两侧</w:t>
      </w:r>
      <w:r>
        <w:rPr>
          <w:rFonts w:hint="eastAsia"/>
          <w:b w:val="0"/>
          <w:bCs w:val="0"/>
        </w:rPr>
        <w:t>等布设</w:t>
      </w:r>
      <w:r>
        <w:rPr>
          <w:b w:val="0"/>
          <w:bCs w:val="0"/>
        </w:rPr>
        <w:t>城市林荫空间</w:t>
      </w:r>
      <w:r>
        <w:rPr>
          <w:rFonts w:hint="eastAsia"/>
          <w:b w:val="0"/>
          <w:bCs w:val="0"/>
        </w:rPr>
        <w:t>。尤其是在空气流通较差</w:t>
      </w:r>
      <w:r>
        <w:rPr>
          <w:b w:val="0"/>
          <w:bCs w:val="0"/>
        </w:rPr>
        <w:t>和城市热岛效应明显的区域</w:t>
      </w:r>
      <w:r>
        <w:rPr>
          <w:rFonts w:hint="eastAsia"/>
          <w:b w:val="0"/>
          <w:bCs w:val="0"/>
        </w:rPr>
        <w:t>，结合所需</w:t>
      </w:r>
      <w:r>
        <w:rPr>
          <w:b w:val="0"/>
          <w:bCs w:val="0"/>
        </w:rPr>
        <w:t>预留的</w:t>
      </w:r>
      <w:r>
        <w:rPr>
          <w:rFonts w:hint="eastAsia"/>
          <w:b w:val="0"/>
          <w:bCs w:val="0"/>
        </w:rPr>
        <w:t>通风廊道宽度</w:t>
      </w:r>
      <w:r>
        <w:rPr>
          <w:b w:val="0"/>
          <w:bCs w:val="0"/>
        </w:rPr>
        <w:t>、长度、走向等布设林荫空间</w:t>
      </w:r>
      <w:r>
        <w:rPr>
          <w:rFonts w:hint="eastAsia"/>
          <w:b w:val="0"/>
          <w:bCs w:val="0"/>
        </w:rPr>
        <w:t>，</w:t>
      </w:r>
      <w:r>
        <w:rPr>
          <w:b w:val="0"/>
          <w:bCs w:val="0"/>
        </w:rPr>
        <w:t>从而</w:t>
      </w:r>
      <w:r>
        <w:rPr>
          <w:rFonts w:hint="eastAsia"/>
          <w:b w:val="0"/>
          <w:bCs w:val="0"/>
        </w:rPr>
        <w:t>优化城市内部空间结构，保障生态流动。另外</w:t>
      </w:r>
      <w:r>
        <w:rPr>
          <w:b w:val="0"/>
          <w:bCs w:val="0"/>
        </w:rPr>
        <w:t>，可</w:t>
      </w:r>
      <w:r>
        <w:rPr>
          <w:rFonts w:hint="eastAsia"/>
          <w:b w:val="0"/>
          <w:bCs w:val="0"/>
        </w:rPr>
        <w:t>进一步考虑</w:t>
      </w:r>
      <w:r>
        <w:rPr>
          <w:b w:val="0"/>
          <w:bCs w:val="0"/>
        </w:rPr>
        <w:t>街道两侧、公园等种植树木的布局、尺寸等对局地气候</w:t>
      </w:r>
      <w:r>
        <w:rPr>
          <w:rFonts w:hint="eastAsia"/>
          <w:b w:val="0"/>
          <w:bCs w:val="0"/>
        </w:rPr>
        <w:t>环境</w:t>
      </w:r>
      <w:r>
        <w:rPr>
          <w:b w:val="0"/>
          <w:bCs w:val="0"/>
        </w:rPr>
        <w:t>的影响</w:t>
      </w:r>
      <w:r>
        <w:rPr>
          <w:rFonts w:hint="eastAsia"/>
          <w:b w:val="0"/>
          <w:bCs w:val="0"/>
        </w:rPr>
        <w:t>，合理</w:t>
      </w:r>
      <w:r>
        <w:rPr>
          <w:b w:val="0"/>
          <w:bCs w:val="0"/>
        </w:rPr>
        <w:t>布局城市林荫空间</w:t>
      </w:r>
      <w:r>
        <w:rPr>
          <w:rFonts w:hint="eastAsia"/>
          <w:b w:val="0"/>
          <w:bCs w:val="0"/>
        </w:rPr>
        <w:t>树木高宽比以及</w:t>
      </w:r>
      <w:r>
        <w:rPr>
          <w:b w:val="0"/>
          <w:bCs w:val="0"/>
        </w:rPr>
        <w:t>距离建筑远近等</w:t>
      </w:r>
      <w:r>
        <w:rPr>
          <w:rFonts w:hint="eastAsia"/>
          <w:b w:val="0"/>
          <w:bCs w:val="0"/>
        </w:rPr>
        <w:t>，</w:t>
      </w:r>
      <w:r>
        <w:rPr>
          <w:b w:val="0"/>
          <w:bCs w:val="0"/>
        </w:rPr>
        <w:t>从而更好地发挥林荫空间的微气候调节作用。</w:t>
      </w:r>
    </w:p>
    <w:p>
      <w:pPr>
        <w:ind w:firstLine="480"/>
      </w:pPr>
      <w:r>
        <w:rPr>
          <w:rFonts w:hint="eastAsia"/>
        </w:rPr>
        <w:t>城市林荫空间中树木的高宽比（通常指道路宽度与行道树高度的比值，即D/H）对于微气候调节效果具有显著影响。</w:t>
      </w:r>
    </w:p>
    <w:p>
      <w:pPr>
        <w:pStyle w:val="3"/>
        <w:spacing w:before="156" w:after="156"/>
      </w:pPr>
      <w:bookmarkStart w:id="66" w:name="_Toc215054084"/>
      <w:r>
        <w:t>5.4</w:t>
      </w:r>
      <w:r>
        <w:rPr>
          <w:rFonts w:hint="eastAsia"/>
        </w:rPr>
        <w:t>雨洪调节空间</w:t>
      </w:r>
      <w:bookmarkEnd w:id="66"/>
    </w:p>
    <w:p>
      <w:pPr>
        <w:pStyle w:val="5"/>
        <w:spacing w:before="0" w:after="0"/>
        <w:rPr>
          <w:b w:val="0"/>
          <w:bCs w:val="0"/>
        </w:rPr>
      </w:pPr>
      <w:r>
        <w:rPr>
          <w:b w:val="0"/>
          <w:bCs w:val="0"/>
        </w:rPr>
        <w:t>5.4.1</w:t>
      </w:r>
      <w:r>
        <w:rPr>
          <w:rFonts w:hint="eastAsia"/>
          <w:b w:val="0"/>
          <w:bCs w:val="0"/>
        </w:rPr>
        <w:tab/>
      </w:r>
      <w:r>
        <w:rPr>
          <w:rFonts w:hint="eastAsia"/>
          <w:b w:val="0"/>
          <w:bCs w:val="0"/>
        </w:rPr>
        <w:t>1坡度宽于5m的良好覆被的绿带能够起到对于雨水径流中悬浮颗粒物的阻挡、沉积的作用，进而削减污染物的浓度，30°以下的坡度能使径流冲刷控制在较缓的流速，利于对径流污染的控制。</w:t>
      </w:r>
    </w:p>
    <w:p>
      <w:pPr>
        <w:ind w:firstLine="480"/>
      </w:pPr>
      <w:r>
        <w:rPr>
          <w:rFonts w:hint="eastAsia"/>
        </w:rPr>
        <w:t>2 主要规定了公园水体接纳客水，对于客水水质要做好污染控制，避免在雨季对公园水体的污染，影响游客的游赏体验。</w:t>
      </w:r>
    </w:p>
    <w:p>
      <w:pPr>
        <w:ind w:firstLine="480"/>
      </w:pPr>
      <w:r>
        <w:rPr>
          <w:rFonts w:hint="eastAsia"/>
        </w:rPr>
        <w:t>3 我国的季风气候导致多数地区降雨集中在6月~9月，通常11月至次年2月降雨稀少，因此具有消纳雨洪作用的场地，要考虑旱季的景观和场地使用的要求，做出既适应雨季又满足旱季的景观并兼顾功能的复合性。</w:t>
      </w:r>
    </w:p>
    <w:p>
      <w:pPr>
        <w:ind w:firstLine="480"/>
      </w:pPr>
      <w:r>
        <w:rPr>
          <w:rFonts w:hint="eastAsia"/>
        </w:rPr>
        <w:t>4 依据《国务院办公厅关于推进海绵城市建设的指导意见》 国办发〔2015〕75号的内容确定。</w:t>
      </w:r>
    </w:p>
    <w:p>
      <w:pPr>
        <w:pStyle w:val="5"/>
        <w:spacing w:before="0" w:after="0"/>
        <w:rPr>
          <w:b w:val="0"/>
          <w:bCs w:val="0"/>
        </w:rPr>
      </w:pPr>
      <w:r>
        <w:rPr>
          <w:b w:val="0"/>
          <w:bCs w:val="0"/>
        </w:rPr>
        <w:t>5.4.2</w:t>
      </w:r>
      <w:r>
        <w:rPr>
          <w:rFonts w:hint="eastAsia"/>
          <w:b w:val="0"/>
          <w:bCs w:val="0"/>
        </w:rPr>
        <w:tab/>
      </w:r>
      <w:r>
        <w:rPr>
          <w:b w:val="0"/>
          <w:bCs w:val="0"/>
        </w:rPr>
        <w:t>2013</w:t>
      </w:r>
      <w:r>
        <w:rPr>
          <w:rFonts w:hint="eastAsia"/>
          <w:b w:val="0"/>
          <w:bCs w:val="0"/>
        </w:rPr>
        <w:t>年</w:t>
      </w:r>
      <w:r>
        <w:rPr>
          <w:b w:val="0"/>
          <w:bCs w:val="0"/>
        </w:rPr>
        <w:t>4</w:t>
      </w:r>
      <w:r>
        <w:rPr>
          <w:rFonts w:hint="eastAsia"/>
          <w:b w:val="0"/>
          <w:bCs w:val="0"/>
        </w:rPr>
        <w:t>月，国务院办公厅发布《关于做好城市排水防涝设施建设工作的通知》，通知要求：</w:t>
      </w:r>
      <w:r>
        <w:rPr>
          <w:b w:val="0"/>
          <w:bCs w:val="0"/>
        </w:rPr>
        <w:t>“</w:t>
      </w:r>
      <w:r>
        <w:rPr>
          <w:rFonts w:hint="eastAsia"/>
          <w:b w:val="0"/>
          <w:bCs w:val="0"/>
        </w:rPr>
        <w:t>各地区旧城改造与新区建设需因地制宜配套建设雨水滞渗，新建城区硬化地面中，可渗透地面面积比例不宜低于</w:t>
      </w:r>
      <w:r>
        <w:rPr>
          <w:b w:val="0"/>
          <w:bCs w:val="0"/>
        </w:rPr>
        <w:t>40%</w:t>
      </w:r>
      <w:r>
        <w:rPr>
          <w:rFonts w:hint="eastAsia"/>
          <w:b w:val="0"/>
          <w:bCs w:val="0"/>
        </w:rPr>
        <w:t>。有条件的地区应对现有硬化路面进行透水性改造，提高对雨水的吸纳能力和蓄滞能力。</w:t>
      </w:r>
      <w:r>
        <w:rPr>
          <w:b w:val="0"/>
          <w:bCs w:val="0"/>
        </w:rPr>
        <w:t>”</w:t>
      </w:r>
    </w:p>
    <w:p>
      <w:pPr>
        <w:ind w:firstLine="480"/>
      </w:pPr>
      <w:r>
        <w:rPr>
          <w:rFonts w:hint="eastAsia"/>
        </w:rPr>
        <w:t>现行国家标准《室外排水设计规范》</w:t>
      </w:r>
      <w:r>
        <w:t> GB 50014</w:t>
      </w:r>
      <w:r>
        <w:rPr>
          <w:rFonts w:hint="eastAsia"/>
        </w:rPr>
        <w:t>中</w:t>
      </w:r>
      <w:r>
        <w:t>4.15.1</w:t>
      </w:r>
      <w:r>
        <w:rPr>
          <w:rFonts w:hint="eastAsia"/>
        </w:rPr>
        <w:t>条规定：</w:t>
      </w:r>
      <w:r>
        <w:t>“</w:t>
      </w:r>
      <w:r>
        <w:rPr>
          <w:rFonts w:hint="eastAsia"/>
        </w:rPr>
        <w:t>城镇基础设施建设应综合考虑雨水径流量的削减。人行道、停车场和广场等宜采用渗透性铺面，新建地区硬化地面中可渗透地面面积不宜低于</w:t>
      </w:r>
      <w:r>
        <w:t>40%</w:t>
      </w:r>
      <w:r>
        <w:rPr>
          <w:rFonts w:hint="eastAsia"/>
        </w:rPr>
        <w:t>，有条件的既有地区应对现有硬化地面进行透水性改建；绿地标高宜低于周边地面标高</w:t>
      </w:r>
      <w:r>
        <w:t>5cm</w:t>
      </w:r>
      <w:r>
        <w:rPr>
          <w:rFonts w:hint="eastAsia"/>
        </w:rPr>
        <w:t>～</w:t>
      </w:r>
      <w:r>
        <w:t>25cm</w:t>
      </w:r>
      <w:r>
        <w:rPr>
          <w:rFonts w:hint="eastAsia"/>
        </w:rPr>
        <w:t>，形成下凹式绿地。</w:t>
      </w:r>
      <w:r>
        <w:t>”</w:t>
      </w:r>
    </w:p>
    <w:p>
      <w:pPr>
        <w:ind w:firstLine="480"/>
      </w:pPr>
      <w:r>
        <w:rPr>
          <w:rFonts w:hint="eastAsia"/>
        </w:rPr>
        <w:t>　</w:t>
      </w:r>
      <w:r>
        <w:t>2021</w:t>
      </w:r>
      <w:r>
        <w:rPr>
          <w:rFonts w:hint="eastAsia"/>
        </w:rPr>
        <w:t>年</w:t>
      </w:r>
      <w:r>
        <w:t>4</w:t>
      </w:r>
      <w:r>
        <w:rPr>
          <w:rFonts w:hint="eastAsia"/>
        </w:rPr>
        <w:t>月，国务院办公厅发布的《关于加强城市内涝治理的实施意见》中明确：</w:t>
      </w:r>
      <w:r>
        <w:t>“</w:t>
      </w:r>
      <w:r>
        <w:rPr>
          <w:rFonts w:hint="eastAsia"/>
        </w:rPr>
        <w:t>要提高硬化地面中可渗透面积比例，因地制宜使用透水性铺装，增加下沉式绿地、植草沟、人工湿地、砂石地面和自然地面等软性透水地面，建设绿色屋顶、旱溪、干湿塘等滞水渗水设施。</w:t>
      </w:r>
      <w:r>
        <w:t>”</w:t>
      </w:r>
    </w:p>
    <w:p>
      <w:pPr>
        <w:ind w:firstLine="480"/>
      </w:pPr>
      <w:r>
        <w:rPr>
          <w:rFonts w:hint="eastAsia"/>
        </w:rPr>
        <w:t>现行国家标准《城镇内涝防治技术规范</w:t>
      </w:r>
      <w:r>
        <w:t>[</w:t>
      </w:r>
      <w:r>
        <w:rPr>
          <w:rFonts w:hint="eastAsia"/>
        </w:rPr>
        <w:t>附条文说明</w:t>
      </w:r>
      <w:r>
        <w:t>]</w:t>
      </w:r>
      <w:r>
        <w:rPr>
          <w:rFonts w:hint="eastAsia"/>
        </w:rPr>
        <w:t>》</w:t>
      </w:r>
      <w:r>
        <w:t>GB 51222</w:t>
      </w:r>
      <w:r>
        <w:rPr>
          <w:rFonts w:hint="eastAsia"/>
        </w:rPr>
        <w:t>中</w:t>
      </w:r>
      <w:r>
        <w:t>4.2.3  </w:t>
      </w:r>
      <w:r>
        <w:rPr>
          <w:rFonts w:hint="eastAsia"/>
        </w:rPr>
        <w:t>透水路面的设置，应符合下列规定：</w:t>
      </w:r>
    </w:p>
    <w:p>
      <w:pPr>
        <w:ind w:firstLine="480"/>
      </w:pPr>
      <w:r>
        <w:t>   1  </w:t>
      </w:r>
      <w:r>
        <w:rPr>
          <w:rFonts w:hint="eastAsia"/>
        </w:rPr>
        <w:t>人行道、广场、室外停车场、步行街、自行车道和建设工程的外部庭院等宜采用渗透性铺装；</w:t>
      </w:r>
    </w:p>
    <w:p>
      <w:pPr>
        <w:ind w:firstLine="480"/>
      </w:pPr>
      <w:r>
        <w:t>   2  </w:t>
      </w:r>
      <w:r>
        <w:rPr>
          <w:rFonts w:hint="eastAsia"/>
        </w:rPr>
        <w:t>新建地区硬化地面中可渗透地面面积比例不宜小于</w:t>
      </w:r>
      <w:r>
        <w:t>40</w:t>
      </w:r>
      <w:r>
        <w:rPr>
          <w:rFonts w:hint="eastAsia"/>
        </w:rPr>
        <w:t>％，易发生内涝灾害的地区不宜小于</w:t>
      </w:r>
      <w:r>
        <w:t>50</w:t>
      </w:r>
      <w:r>
        <w:rPr>
          <w:rFonts w:hint="eastAsia"/>
        </w:rPr>
        <w:t>％；</w:t>
      </w:r>
    </w:p>
    <w:p>
      <w:pPr>
        <w:ind w:firstLine="480"/>
      </w:pPr>
      <w:r>
        <w:t>   3  </w:t>
      </w:r>
      <w:r>
        <w:rPr>
          <w:rFonts w:hint="eastAsia"/>
        </w:rPr>
        <w:t>有条件的地区应对既有硬化地面进行透水性改建。</w:t>
      </w:r>
    </w:p>
    <w:p>
      <w:pPr>
        <w:ind w:firstLine="480"/>
      </w:pPr>
      <w:r>
        <w:rPr>
          <w:rFonts w:hint="eastAsia"/>
        </w:rPr>
        <w:t>综合考虑以上政策法规和标准规范等规定，考虑到地区的差异性，本规范规定新建地区硬化地面中可渗透地面面积不宜小于</w:t>
      </w:r>
      <w:r>
        <w:t>40</w:t>
      </w:r>
      <w:r>
        <w:rPr>
          <w:rFonts w:hint="eastAsia"/>
        </w:rPr>
        <w:t>％，同时强调绿地空间对于雨水的渗滞能力的设计。</w:t>
      </w:r>
    </w:p>
    <w:p>
      <w:pPr>
        <w:pStyle w:val="3"/>
        <w:spacing w:before="156" w:after="156"/>
      </w:pPr>
      <w:bookmarkStart w:id="67" w:name="_Toc215054085"/>
      <w:r>
        <w:t xml:space="preserve">5.5 </w:t>
      </w:r>
      <w:r>
        <w:rPr>
          <w:rFonts w:hint="eastAsia"/>
        </w:rPr>
        <w:t>防灾避险绿地</w:t>
      </w:r>
      <w:bookmarkEnd w:id="67"/>
    </w:p>
    <w:p>
      <w:pPr>
        <w:pStyle w:val="5"/>
        <w:spacing w:before="0" w:after="0"/>
        <w:rPr>
          <w:b w:val="0"/>
          <w:bCs w:val="0"/>
        </w:rPr>
      </w:pPr>
      <w:r>
        <w:rPr>
          <w:rFonts w:hint="eastAsia"/>
          <w:b w:val="0"/>
          <w:bCs w:val="0"/>
        </w:rPr>
        <w:t>5</w:t>
      </w:r>
      <w:r>
        <w:rPr>
          <w:b w:val="0"/>
          <w:bCs w:val="0"/>
        </w:rPr>
        <w:t>.5.1</w:t>
      </w:r>
      <w:r>
        <w:rPr>
          <w:rFonts w:hint="eastAsia"/>
          <w:b w:val="0"/>
          <w:bCs w:val="0"/>
        </w:rPr>
        <w:tab/>
      </w:r>
      <w:r>
        <w:rPr>
          <w:rFonts w:hint="eastAsia"/>
          <w:b w:val="0"/>
          <w:bCs w:val="0"/>
        </w:rPr>
        <w:t>本条提出了绿地发挥防灾避险功能，确保平灾转换的场地竖向和铺装、植物配置、休息设施等方面的要求。</w:t>
      </w:r>
    </w:p>
    <w:p>
      <w:pPr>
        <w:pStyle w:val="5"/>
        <w:spacing w:before="0" w:after="0"/>
        <w:rPr>
          <w:b w:val="0"/>
          <w:bCs w:val="0"/>
        </w:rPr>
      </w:pPr>
      <w:r>
        <w:rPr>
          <w:rFonts w:hint="eastAsia"/>
          <w:b w:val="0"/>
          <w:bCs w:val="0"/>
        </w:rPr>
        <w:t>5</w:t>
      </w:r>
      <w:r>
        <w:rPr>
          <w:b w:val="0"/>
          <w:bCs w:val="0"/>
        </w:rPr>
        <w:t>.5.2</w:t>
      </w:r>
      <w:r>
        <w:rPr>
          <w:rFonts w:hint="eastAsia"/>
          <w:b w:val="0"/>
          <w:bCs w:val="0"/>
        </w:rPr>
        <w:tab/>
      </w:r>
      <w:r>
        <w:rPr>
          <w:rFonts w:hint="eastAsia"/>
          <w:b w:val="0"/>
          <w:bCs w:val="0"/>
        </w:rPr>
        <w:t>主要考虑利用灾害发生后水电等基础设施的保障能力，以确保避险场所功能的有效发挥。</w:t>
      </w:r>
    </w:p>
    <w:p>
      <w:pPr>
        <w:pStyle w:val="3"/>
        <w:spacing w:before="156" w:after="156"/>
      </w:pPr>
      <w:bookmarkStart w:id="68" w:name="_Toc215054086"/>
      <w:r>
        <w:t>5.6</w:t>
      </w:r>
      <w:r>
        <w:rPr>
          <w:rFonts w:hint="eastAsia"/>
        </w:rPr>
        <w:t>公共设施与装备</w:t>
      </w:r>
      <w:bookmarkEnd w:id="68"/>
    </w:p>
    <w:p>
      <w:pPr>
        <w:pStyle w:val="5"/>
        <w:spacing w:before="0" w:after="0"/>
        <w:rPr>
          <w:b w:val="0"/>
          <w:bCs w:val="0"/>
        </w:rPr>
      </w:pPr>
      <w:r>
        <w:rPr>
          <w:rFonts w:hint="eastAsia"/>
          <w:b w:val="0"/>
          <w:bCs w:val="0"/>
        </w:rPr>
        <w:t>5</w:t>
      </w:r>
      <w:r>
        <w:rPr>
          <w:b w:val="0"/>
          <w:bCs w:val="0"/>
        </w:rPr>
        <w:t>.6.1</w:t>
      </w:r>
      <w:r>
        <w:rPr>
          <w:rFonts w:hint="eastAsia"/>
          <w:b w:val="0"/>
          <w:bCs w:val="0"/>
        </w:rPr>
        <w:tab/>
      </w:r>
      <w:r>
        <w:rPr>
          <w:rFonts w:hint="eastAsia"/>
          <w:b w:val="0"/>
          <w:bCs w:val="0"/>
        </w:rPr>
        <w:t>城市</w:t>
      </w:r>
      <w:r>
        <w:rPr>
          <w:b w:val="0"/>
          <w:bCs w:val="0"/>
        </w:rPr>
        <w:t>生态基础设施的完善</w:t>
      </w:r>
      <w:r>
        <w:rPr>
          <w:rFonts w:hint="eastAsia"/>
          <w:b w:val="0"/>
          <w:bCs w:val="0"/>
        </w:rPr>
        <w:t>不仅</w:t>
      </w:r>
      <w:r>
        <w:rPr>
          <w:b w:val="0"/>
          <w:bCs w:val="0"/>
        </w:rPr>
        <w:t>局限于绿化指标，而是通过设施的“全功能加载”，实现从“看绿”到“用绿”的转变，</w:t>
      </w:r>
      <w:r>
        <w:rPr>
          <w:rFonts w:hint="eastAsia"/>
          <w:b w:val="0"/>
          <w:bCs w:val="0"/>
        </w:rPr>
        <w:t>体现</w:t>
      </w:r>
      <w:r>
        <w:rPr>
          <w:b w:val="0"/>
          <w:bCs w:val="0"/>
        </w:rPr>
        <w:t>城市生态基础设施“以人为本”的核心</w:t>
      </w:r>
      <w:r>
        <w:rPr>
          <w:rFonts w:hint="eastAsia"/>
          <w:b w:val="0"/>
          <w:bCs w:val="0"/>
        </w:rPr>
        <w:t>理念</w:t>
      </w:r>
      <w:r>
        <w:rPr>
          <w:b w:val="0"/>
          <w:bCs w:val="0"/>
        </w:rPr>
        <w:t>。</w:t>
      </w:r>
    </w:p>
    <w:p>
      <w:pPr>
        <w:ind w:firstLine="480"/>
      </w:pPr>
      <w:r>
        <w:t>《关于加强生态修复城市修补工作的指导意见》（住建部，2017年）增加公共空间，完善社区服务设施，强调公园绿地需承担文化娱乐、科普教育、健身交友等综合功能。</w:t>
      </w:r>
    </w:p>
    <w:p>
      <w:pPr>
        <w:ind w:firstLine="480"/>
      </w:pPr>
      <w:r>
        <w:t>《关于科学绿化的指导意见》（国务院办公厅，2024年）要求生态空间与公共服务设施融合，例如在公园绿地中配置应急避难、医疗救助等设施，提升生态空间的社会服务效能。</w:t>
      </w:r>
    </w:p>
    <w:p>
      <w:pPr>
        <w:ind w:firstLine="480"/>
      </w:pPr>
      <w:r>
        <w:t>《口袋公园建设指南（试行）》（住建部，2024年）明确要求口袋公园需配置儿童游戏、运动健身、文化展示等设施，强调“平灾结合”功能，例如在日常作为社区活动空间，灾时转换为应急避难场所。</w:t>
      </w:r>
    </w:p>
    <w:p>
      <w:pPr>
        <w:ind w:firstLine="480"/>
      </w:pPr>
      <w:r>
        <w:t>《常州市城市绿地系统规划（2021—2035年）》明确“生态空间+公共服务”复合模式，要求新建公园按每公顷100</w:t>
      </w:r>
      <w:r>
        <w:rPr>
          <w:rFonts w:hint="eastAsia"/>
        </w:rPr>
        <w:t>m</w:t>
      </w:r>
      <w:r>
        <w:rPr>
          <w:vertAlign w:val="superscript"/>
        </w:rPr>
        <w:t>2</w:t>
      </w:r>
      <w:r>
        <w:t>配建服务设施，包括急救站、直饮水设备等，强化绿地的民生服务功能。</w:t>
      </w:r>
    </w:p>
    <w:p>
      <w:pPr>
        <w:ind w:firstLine="480"/>
      </w:pPr>
      <w:r>
        <w:t>《宁波市城镇社区公共服务设施规划设计指南》（2024年）提出“三级服务核”（街道之家、邻里之家、业主之家），要求社区公园与教育、养老设施集中布局，形成“15分钟生活圈”。</w:t>
      </w:r>
    </w:p>
    <w:p>
      <w:pPr>
        <w:pStyle w:val="5"/>
        <w:spacing w:before="0" w:after="0"/>
        <w:rPr>
          <w:b w:val="0"/>
          <w:bCs w:val="0"/>
        </w:rPr>
      </w:pPr>
      <w:r>
        <w:rPr>
          <w:b w:val="0"/>
          <w:bCs w:val="0"/>
        </w:rPr>
        <w:t>5.6.2</w:t>
      </w:r>
      <w:r>
        <w:rPr>
          <w:rFonts w:hint="eastAsia"/>
          <w:b w:val="0"/>
          <w:bCs w:val="0"/>
        </w:rPr>
        <w:tab/>
      </w:r>
      <w:r>
        <w:rPr>
          <w:b w:val="0"/>
          <w:bCs w:val="0"/>
        </w:rPr>
        <w:t>全龄友好的城市生态空间，本质是“以人民为中心”发展思想的空间投射。它拒绝将儿童视为“临时使用者”、老人视为“次要服务对象”，而是通过科学布局让每个年龄层都能在绿色空间中找到归属感。这种“全龄共享”的空间范式，不仅提升了生态基础设施的使用效率，更通过代际互动、群体共融，重塑了城市的温度与凝聚力。</w:t>
      </w:r>
    </w:p>
    <w:p>
      <w:pPr>
        <w:ind w:firstLine="480"/>
      </w:pPr>
      <w:r>
        <w:t>城市生态空间作为公共资源，须保障所有群体的使用权益。全龄友好理念通过细节设计消除“隐性排斥”：盲道串联全园、轮椅专用观景台（如上海徐汇滨江的无障碍观江平台）让残障人士平等享受自然；母婴室、儿童洗手池（如广州珠江公园的亲子卫生间）为带幼龄儿童的家庭提供便利；适老化健身器材、防滑地面（如杭州运河绿道的老年活动区）降低老年人使用风险。北京朝阳公园的调研显示，全龄设施使特殊群体使用率提升40%，真正实现“公共空间为公众”的初心。</w:t>
      </w:r>
    </w:p>
    <w:p>
      <w:pPr>
        <w:ind w:firstLine="480"/>
      </w:pPr>
      <w:r>
        <w:t>现代城市的功能分区易导致代际、群体隔离，而全龄友好空间通过“场景共融”创造自然互动契机。重庆中央公园将儿童沙坑与老年太极广场相邻布置，家长看护儿童时可与老年人交流；苏州护城河步道的“亲子阅读角”“老年戏曲角”，让不同年龄层在共享空间中产生交集。这种“无意图社交”场景，使生态空间从“路过之地”变为“停留之所”，如成都桂溪生态公园的全龄设施带动游客停留时间从1.5小时延长至3.2小时，社区归属感显著增强。</w:t>
      </w:r>
    </w:p>
    <w:p>
      <w:pPr>
        <w:pStyle w:val="5"/>
        <w:spacing w:before="0" w:after="0"/>
        <w:rPr>
          <w:b w:val="0"/>
          <w:bCs w:val="0"/>
        </w:rPr>
      </w:pPr>
      <w:r>
        <w:rPr>
          <w:b w:val="0"/>
          <w:bCs w:val="0"/>
        </w:rPr>
        <w:t>5.6.3</w:t>
      </w:r>
      <w:r>
        <w:rPr>
          <w:rFonts w:hint="eastAsia"/>
          <w:b w:val="0"/>
          <w:bCs w:val="0"/>
        </w:rPr>
        <w:tab/>
      </w:r>
      <w:r>
        <w:rPr>
          <w:rFonts w:hint="eastAsia"/>
          <w:b w:val="0"/>
          <w:bCs w:val="0"/>
        </w:rPr>
        <w:t>在标准中设置相关条款，核心目的在于破解当前绿道“重建设轻服务”的短板，通过分级分类布局与功能差异化配置，系统性提升生态空间的服务效能与使用体验，具体作用体现在以下方面：</w:t>
      </w:r>
    </w:p>
    <w:p>
      <w:pPr>
        <w:ind w:firstLine="480"/>
      </w:pPr>
      <w:r>
        <w:t>分级布局优化服务覆盖半径，契合居民使用频率与活动距离规律。一级驿站依托大型公园与文体设施，承载游客集散、旅游度假等高阶功能。例如，深圳光明区大顶岭绿道的“三桥”驿站，集休憩、商业、科普于一体，服务全市性旅游客流。二级驿站以社区公园、广场为节点，提供商业零售、休闲娱乐功能</w:t>
      </w:r>
      <w:r>
        <w:rPr>
          <w:rFonts w:hint="eastAsia"/>
        </w:rPr>
        <w:t>。</w:t>
      </w:r>
      <w:r>
        <w:t>例如，成都锦城绿道社区驿站，满足周边居民日常休闲需求</w:t>
      </w:r>
      <w:r>
        <w:rPr>
          <w:rFonts w:hint="eastAsia"/>
        </w:rPr>
        <w:t>。</w:t>
      </w:r>
      <w:r>
        <w:t>三级驿站灵活布局于绿道沿线，提供基础服务，确保市民步行15分钟内即可获取补给。这种梯度化配置避免服务空白与资源浪费，实现绿道服务效能的最大化。</w:t>
      </w:r>
    </w:p>
    <w:p>
      <w:pPr>
        <w:ind w:firstLine="480"/>
      </w:pPr>
      <w:r>
        <w:t>各级驿站功能定位明确，精准对接不同场景需求。一级驿站融合文化展示、商业服务功能，例如杭州西湖绿道驿站结合非遗工坊与特色餐饮，打造文旅消费场景；二级驿站侧重生活便利性，如广州生物岛绿道驿站设置轻食店、运动装备租赁点，服务健身人群；三级驿站聚焦基础保障，通过自行车停车、自助售货等设施，解决市民短途出行的即时需求。差异化配置既提升绿道的吸引力，又避免功能同质化竞争，使驿站成为串联生态、生活、消费的“活力节点”。</w:t>
      </w:r>
    </w:p>
    <w:p>
      <w:pPr>
        <w:ind w:firstLine="480"/>
      </w:pPr>
      <w:r>
        <w:t>根据空间功能与使用者需求增设特色设施，赋予驿站场景化服务属性。滨河驿站配置桨板收容、码头设施，契合水上运动需求，如深圳大沙河生态长廊驿站为皮划艇爱好者提供装备寄存与安全服务；社区驿站增设便民设施，如上海苏州河绿道驿站配备微波炉、医药箱，满足居民遛弯、晨练时的应急需求。这种“基础功能+特色定制”模式，既保障驿站的普适性，又增强其与特定场景的适配度，提升绿道的使用黏性与口碑。</w:t>
      </w:r>
    </w:p>
    <w:p>
      <w:pPr>
        <w:pStyle w:val="3"/>
        <w:spacing w:before="156" w:after="156"/>
      </w:pPr>
      <w:bookmarkStart w:id="69" w:name="_Toc215054087"/>
      <w:r>
        <w:t>5.7</w:t>
      </w:r>
      <w:r>
        <w:rPr>
          <w:rFonts w:hint="eastAsia"/>
        </w:rPr>
        <w:t>历史文化空间与设施</w:t>
      </w:r>
      <w:bookmarkEnd w:id="69"/>
    </w:p>
    <w:p>
      <w:pPr>
        <w:pStyle w:val="5"/>
        <w:spacing w:before="0" w:after="0"/>
        <w:rPr>
          <w:b w:val="0"/>
          <w:bCs w:val="0"/>
        </w:rPr>
      </w:pPr>
      <w:r>
        <w:rPr>
          <w:rFonts w:hint="eastAsia"/>
          <w:b w:val="0"/>
          <w:bCs w:val="0"/>
        </w:rPr>
        <w:t>5.</w:t>
      </w:r>
      <w:r>
        <w:rPr>
          <w:b w:val="0"/>
          <w:bCs w:val="0"/>
        </w:rPr>
        <w:t>7</w:t>
      </w:r>
      <w:r>
        <w:rPr>
          <w:rFonts w:hint="eastAsia"/>
          <w:b w:val="0"/>
          <w:bCs w:val="0"/>
        </w:rPr>
        <w:t>.1</w:t>
      </w:r>
      <w:r>
        <w:rPr>
          <w:rFonts w:hint="eastAsia"/>
          <w:b w:val="0"/>
          <w:bCs w:val="0"/>
        </w:rPr>
        <w:tab/>
      </w:r>
      <w:r>
        <w:rPr>
          <w:b w:val="0"/>
          <w:bCs w:val="0"/>
        </w:rPr>
        <w:t>在标准中设置此条文，旨在通过</w:t>
      </w:r>
      <w:r>
        <w:rPr>
          <w:rFonts w:hint="eastAsia"/>
          <w:b w:val="0"/>
          <w:bCs w:val="0"/>
        </w:rPr>
        <w:t>文化</w:t>
      </w:r>
      <w:r>
        <w:rPr>
          <w:b w:val="0"/>
          <w:bCs w:val="0"/>
        </w:rPr>
        <w:t>景观路径串联城市生态与人文资源，破解当前生态空间碎片化、文化特色割裂的问题。景观路径以自然山水、历史古迹、特色建筑等为节点，既能整合生态斑块，增强生态系统连通性，促进物种迁徙与栖息地修复；又能挖掘城市文化脉络，将历史街巷、非遗场所等文化元素融入绿色空间，形成“移步换景、串珠成链”的特色体验。例如，</w:t>
      </w:r>
      <w:r>
        <w:rPr>
          <w:rFonts w:hint="eastAsia"/>
          <w:b w:val="0"/>
          <w:bCs w:val="0"/>
        </w:rPr>
        <w:t>杭州</w:t>
      </w:r>
      <w:r>
        <w:rPr>
          <w:b w:val="0"/>
          <w:bCs w:val="0"/>
        </w:rPr>
        <w:t>余杭区以良渚文化为核心，整合运河、径山、古镇等文化资源，打造全长约50km的“良渚文化大走廊”</w:t>
      </w:r>
      <w:r>
        <w:rPr>
          <w:rFonts w:hint="eastAsia"/>
          <w:b w:val="0"/>
          <w:bCs w:val="0"/>
        </w:rPr>
        <w:t>；</w:t>
      </w:r>
      <w:r>
        <w:rPr>
          <w:b w:val="0"/>
          <w:bCs w:val="0"/>
        </w:rPr>
        <w:t>上海45km滨江绿道以黄浦江两岸贯通工程为核心，通过“三道贯通”（漫步道、跑步道、骑行道）串联起徐汇、黄浦、浦东、杨浦等区的滨水空间，将工业遗存、自然景观与现代城市功能深度融合，打造世界级的“城市公共客厅”</w:t>
      </w:r>
      <w:r>
        <w:rPr>
          <w:rFonts w:hint="eastAsia"/>
          <w:b w:val="0"/>
          <w:bCs w:val="0"/>
        </w:rPr>
        <w:t>；</w:t>
      </w:r>
      <w:r>
        <w:rPr>
          <w:b w:val="0"/>
          <w:bCs w:val="0"/>
        </w:rPr>
        <w:t>深圳“山海连城”以通山、达海、贯城、串趣为核心理念，依托“一脊一带二十廊”生态骨架，构建起绵延330</w:t>
      </w:r>
      <w:r>
        <w:rPr>
          <w:rFonts w:hint="eastAsia"/>
          <w:b w:val="0"/>
          <w:bCs w:val="0"/>
        </w:rPr>
        <w:t>km</w:t>
      </w:r>
      <w:r>
        <w:rPr>
          <w:b w:val="0"/>
          <w:bCs w:val="0"/>
        </w:rPr>
        <w:t>的生态游憩绿脊</w:t>
      </w:r>
      <w:r>
        <w:rPr>
          <w:rFonts w:hint="eastAsia"/>
          <w:b w:val="0"/>
          <w:bCs w:val="0"/>
        </w:rPr>
        <w:t>，</w:t>
      </w:r>
      <w:r>
        <w:rPr>
          <w:b w:val="0"/>
          <w:bCs w:val="0"/>
        </w:rPr>
        <w:t>串联梧桐山、大沙河、深圳湾等自然与人文地标，滨水蓝带则以200km滨海骑行道为脉络，将工业遗存与生态景观巧妙融合</w:t>
      </w:r>
      <w:r>
        <w:rPr>
          <w:rFonts w:hint="eastAsia"/>
          <w:b w:val="0"/>
          <w:bCs w:val="0"/>
        </w:rPr>
        <w:t>，通过</w:t>
      </w:r>
      <w:r>
        <w:rPr>
          <w:b w:val="0"/>
          <w:bCs w:val="0"/>
        </w:rPr>
        <w:t>文化赋能让山海焕发新生机。</w:t>
      </w:r>
    </w:p>
    <w:p>
      <w:pPr>
        <w:pStyle w:val="5"/>
        <w:spacing w:before="0" w:after="0"/>
        <w:rPr>
          <w:b w:val="0"/>
          <w:bCs w:val="0"/>
        </w:rPr>
      </w:pPr>
      <w:r>
        <w:rPr>
          <w:b w:val="0"/>
          <w:bCs w:val="0"/>
        </w:rPr>
        <w:t>5.7.2</w:t>
      </w:r>
      <w:r>
        <w:rPr>
          <w:rFonts w:hint="eastAsia"/>
          <w:b w:val="0"/>
          <w:bCs w:val="0"/>
        </w:rPr>
        <w:tab/>
      </w:r>
      <w:r>
        <w:rPr>
          <w:b w:val="0"/>
          <w:bCs w:val="0"/>
        </w:rPr>
        <w:t>在标准中设置</w:t>
      </w:r>
      <w:r>
        <w:rPr>
          <w:rFonts w:hint="eastAsia"/>
          <w:b w:val="0"/>
          <w:bCs w:val="0"/>
        </w:rPr>
        <w:t>此</w:t>
      </w:r>
      <w:r>
        <w:rPr>
          <w:b w:val="0"/>
          <w:bCs w:val="0"/>
        </w:rPr>
        <w:t>条款，旨在破解当前城市生态空间“重景观、轻人文”的困境，通过文化与生态的深度融合，实现空间价值的多维提升。具体而言，其核心目的与作用体现在以下两方面：</w:t>
      </w:r>
    </w:p>
    <w:p>
      <w:pPr>
        <w:ind w:firstLine="480"/>
      </w:pPr>
      <w:r>
        <w:t>从文化传承角度，城市在快速发展中面临文化记忆流失、地域特色趋同的问题。通过提炼当地文化特征，打造主题空间、举办民俗展览等，能将非遗技艺、传统节庆等文化元素融入生态空间，使文化传承从静态展示转向动态体验。例如，</w:t>
      </w:r>
      <w:r>
        <w:rPr>
          <w:rFonts w:hint="eastAsia"/>
        </w:rPr>
        <w:t>广州永庆坊以荔湾区恩宁路的历史骑楼建筑群为载体，举办非遗技艺体验、汉服巡游等</w:t>
      </w:r>
      <w:r>
        <w:t>沉浸式文化互动，</w:t>
      </w:r>
      <w:r>
        <w:rPr>
          <w:rFonts w:hint="eastAsia"/>
        </w:rPr>
        <w:t>将千年文化街区转化为非遗主题活态展示空间，既保留了岭南传统建筑肌理，又注入了现代生活功能</w:t>
      </w:r>
      <w:r>
        <w:t>，让传统文化在生态场景中焕发新生。</w:t>
      </w:r>
    </w:p>
    <w:p>
      <w:pPr>
        <w:ind w:firstLine="480"/>
      </w:pPr>
      <w:r>
        <w:t>从空间活力提升角度，单一的绿化景观易造成审美疲劳，而蓝绿空间与文化场馆、文创景观结合，可形成“文化+生态”的复合场景。如苏州金鸡湖畔将美术馆、图书馆等文化设施与滨湖绿地融合，形成艺术展览、户外阅读等特色场景；深圳大沙河生态长廊设置“科技文化绿道”，沿途布局科创雕塑、互动装置，使生态空间成为激发创意的载体。这种融合不仅丰富了生态空间的功能层次，更通过文化活动吸引人流，延长停留时间，激活空间经济价值，最终实现生态效益、社会效益与经济效益的统一。</w:t>
      </w:r>
    </w:p>
    <w:p>
      <w:pPr>
        <w:pStyle w:val="3"/>
        <w:spacing w:before="156" w:after="156"/>
      </w:pPr>
      <w:bookmarkStart w:id="70" w:name="_Toc215054088"/>
      <w:r>
        <w:rPr>
          <w:rFonts w:hint="eastAsia"/>
        </w:rPr>
        <w:t>5.</w:t>
      </w:r>
      <w:r>
        <w:t>8</w:t>
      </w:r>
      <w:r>
        <w:rPr>
          <w:rFonts w:hint="eastAsia"/>
        </w:rPr>
        <w:t xml:space="preserve"> 协同减碳设计</w:t>
      </w:r>
      <w:bookmarkEnd w:id="70"/>
    </w:p>
    <w:p>
      <w:pPr>
        <w:pStyle w:val="5"/>
        <w:spacing w:before="0" w:after="0"/>
        <w:rPr>
          <w:b w:val="0"/>
          <w:bCs w:val="0"/>
        </w:rPr>
      </w:pPr>
      <w:r>
        <w:rPr>
          <w:b w:val="0"/>
          <w:bCs w:val="0"/>
        </w:rPr>
        <w:t>5.8.1</w:t>
      </w:r>
      <w:r>
        <w:rPr>
          <w:rFonts w:hint="eastAsia"/>
          <w:b w:val="0"/>
          <w:bCs w:val="0"/>
        </w:rPr>
        <w:tab/>
      </w:r>
      <w:r>
        <w:rPr>
          <w:rFonts w:hint="eastAsia"/>
          <w:b w:val="0"/>
          <w:bCs w:val="0"/>
        </w:rPr>
        <w:t>作为生态基础设施的植物景观其重要的功能之一就是碳汇作用，最大的碳汇就是植物群落的健康生长，且尽可能的降低其人工养护管理的投入，进而做到养护管理中最大可能的减碳。</w:t>
      </w:r>
    </w:p>
    <w:p>
      <w:pPr>
        <w:ind w:firstLine="480"/>
      </w:pPr>
      <w:r>
        <w:rPr>
          <w:rFonts w:hint="eastAsia"/>
        </w:rPr>
        <w:t>植物群落中更多木本植物的使用其碳汇的效能更大，因此提出了50%~70%的乔木占比。</w:t>
      </w:r>
    </w:p>
    <w:p>
      <w:pPr>
        <w:pStyle w:val="5"/>
        <w:spacing w:before="0" w:after="0"/>
        <w:rPr>
          <w:b w:val="0"/>
          <w:bCs w:val="0"/>
        </w:rPr>
      </w:pPr>
      <w:r>
        <w:rPr>
          <w:b w:val="0"/>
          <w:bCs w:val="0"/>
        </w:rPr>
        <w:t>5.8.2</w:t>
      </w:r>
      <w:r>
        <w:rPr>
          <w:rFonts w:hint="eastAsia"/>
          <w:b w:val="0"/>
          <w:bCs w:val="0"/>
        </w:rPr>
        <w:tab/>
      </w:r>
      <w:r>
        <w:rPr>
          <w:rFonts w:hint="eastAsia"/>
          <w:b w:val="0"/>
          <w:bCs w:val="0"/>
        </w:rPr>
        <w:t>此条文主要考虑材料，降低运输距离、就地消纳，循环利用减碳。</w:t>
      </w:r>
    </w:p>
    <w:p>
      <w:pPr>
        <w:widowControl/>
        <w:spacing w:line="240" w:lineRule="auto"/>
        <w:jc w:val="left"/>
      </w:pPr>
    </w:p>
    <w:sectPr>
      <w:footerReference r:id="rId7" w:type="default"/>
      <w:pgSz w:w="11906" w:h="16838"/>
      <w:pgMar w:top="1440" w:right="1800" w:bottom="1440"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PingFang SC">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p>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r>
      <w:fldChar w:fldCharType="begin"/>
    </w:r>
    <w:r>
      <w:instrText xml:space="preserve">PAGE   \* MERGEFORMAT</w:instrText>
    </w:r>
    <w:r>
      <w:fldChar w:fldCharType="separate"/>
    </w:r>
    <w:r>
      <w:rPr>
        <w:lang w:val="zh-CN"/>
      </w:rPr>
      <w:t>40</w:t>
    </w:r>
    <w:r>
      <w:fldChar w:fldCharType="end"/>
    </w:r>
  </w:p>
  <w:p>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Y5OTllMTkyNjIxNTMwYzE1YjEwYTkyNDExMjZhYTAifQ=="/>
  </w:docVars>
  <w:rsids>
    <w:rsidRoot w:val="7DFF446E"/>
    <w:rsid w:val="00000056"/>
    <w:rsid w:val="00000228"/>
    <w:rsid w:val="00000617"/>
    <w:rsid w:val="00000B51"/>
    <w:rsid w:val="000011A6"/>
    <w:rsid w:val="000016B7"/>
    <w:rsid w:val="000016EF"/>
    <w:rsid w:val="00002240"/>
    <w:rsid w:val="00002252"/>
    <w:rsid w:val="000024A2"/>
    <w:rsid w:val="000035EB"/>
    <w:rsid w:val="00004C1B"/>
    <w:rsid w:val="00004D9D"/>
    <w:rsid w:val="00005323"/>
    <w:rsid w:val="000053AE"/>
    <w:rsid w:val="0000570C"/>
    <w:rsid w:val="0000576C"/>
    <w:rsid w:val="00005D59"/>
    <w:rsid w:val="000065F8"/>
    <w:rsid w:val="00006D66"/>
    <w:rsid w:val="0000704B"/>
    <w:rsid w:val="00007538"/>
    <w:rsid w:val="00010563"/>
    <w:rsid w:val="0001075B"/>
    <w:rsid w:val="000109B0"/>
    <w:rsid w:val="00012193"/>
    <w:rsid w:val="00012683"/>
    <w:rsid w:val="00012AEC"/>
    <w:rsid w:val="00012B7A"/>
    <w:rsid w:val="00012E90"/>
    <w:rsid w:val="00013185"/>
    <w:rsid w:val="00013712"/>
    <w:rsid w:val="00013D43"/>
    <w:rsid w:val="00013F58"/>
    <w:rsid w:val="0001445A"/>
    <w:rsid w:val="00014FC3"/>
    <w:rsid w:val="00015AD6"/>
    <w:rsid w:val="00015B38"/>
    <w:rsid w:val="00015B49"/>
    <w:rsid w:val="0001610A"/>
    <w:rsid w:val="000163B9"/>
    <w:rsid w:val="000173C5"/>
    <w:rsid w:val="00017513"/>
    <w:rsid w:val="0001777C"/>
    <w:rsid w:val="0002019D"/>
    <w:rsid w:val="00020396"/>
    <w:rsid w:val="00020666"/>
    <w:rsid w:val="00020D07"/>
    <w:rsid w:val="00020DDF"/>
    <w:rsid w:val="00020F3B"/>
    <w:rsid w:val="00020FB4"/>
    <w:rsid w:val="00021809"/>
    <w:rsid w:val="00021E8A"/>
    <w:rsid w:val="00022243"/>
    <w:rsid w:val="00022279"/>
    <w:rsid w:val="0002230B"/>
    <w:rsid w:val="00022A1A"/>
    <w:rsid w:val="00023474"/>
    <w:rsid w:val="00023568"/>
    <w:rsid w:val="000235BE"/>
    <w:rsid w:val="00025075"/>
    <w:rsid w:val="00025AB7"/>
    <w:rsid w:val="00025BA5"/>
    <w:rsid w:val="00025C71"/>
    <w:rsid w:val="00026597"/>
    <w:rsid w:val="000266F2"/>
    <w:rsid w:val="000269A2"/>
    <w:rsid w:val="00026E8E"/>
    <w:rsid w:val="00027DE4"/>
    <w:rsid w:val="0003064D"/>
    <w:rsid w:val="000310DA"/>
    <w:rsid w:val="00031848"/>
    <w:rsid w:val="00032C39"/>
    <w:rsid w:val="00032C7B"/>
    <w:rsid w:val="00032C7F"/>
    <w:rsid w:val="00032FAA"/>
    <w:rsid w:val="00033155"/>
    <w:rsid w:val="00033333"/>
    <w:rsid w:val="000334EC"/>
    <w:rsid w:val="00033805"/>
    <w:rsid w:val="000339BA"/>
    <w:rsid w:val="00033A46"/>
    <w:rsid w:val="00033EAC"/>
    <w:rsid w:val="0003436D"/>
    <w:rsid w:val="00034BEF"/>
    <w:rsid w:val="000354A3"/>
    <w:rsid w:val="00035F26"/>
    <w:rsid w:val="000360FF"/>
    <w:rsid w:val="00036425"/>
    <w:rsid w:val="00036FFA"/>
    <w:rsid w:val="000373E1"/>
    <w:rsid w:val="0003789E"/>
    <w:rsid w:val="00037B57"/>
    <w:rsid w:val="00037CDB"/>
    <w:rsid w:val="00037CF0"/>
    <w:rsid w:val="00037E19"/>
    <w:rsid w:val="000403B0"/>
    <w:rsid w:val="0004089E"/>
    <w:rsid w:val="00040F91"/>
    <w:rsid w:val="000415CD"/>
    <w:rsid w:val="00041F72"/>
    <w:rsid w:val="00042C3B"/>
    <w:rsid w:val="00043699"/>
    <w:rsid w:val="00043C10"/>
    <w:rsid w:val="00044470"/>
    <w:rsid w:val="00044750"/>
    <w:rsid w:val="000451E9"/>
    <w:rsid w:val="000452E3"/>
    <w:rsid w:val="0004552F"/>
    <w:rsid w:val="00045731"/>
    <w:rsid w:val="000459EA"/>
    <w:rsid w:val="00045DB6"/>
    <w:rsid w:val="000461AE"/>
    <w:rsid w:val="000461D4"/>
    <w:rsid w:val="00046545"/>
    <w:rsid w:val="000466BC"/>
    <w:rsid w:val="0004677D"/>
    <w:rsid w:val="00046C85"/>
    <w:rsid w:val="000472E5"/>
    <w:rsid w:val="0004788C"/>
    <w:rsid w:val="00047D10"/>
    <w:rsid w:val="00050174"/>
    <w:rsid w:val="000504FC"/>
    <w:rsid w:val="00050714"/>
    <w:rsid w:val="00050C52"/>
    <w:rsid w:val="00050D50"/>
    <w:rsid w:val="00051636"/>
    <w:rsid w:val="00051660"/>
    <w:rsid w:val="00051800"/>
    <w:rsid w:val="00051823"/>
    <w:rsid w:val="00051895"/>
    <w:rsid w:val="00051FC8"/>
    <w:rsid w:val="00051FEA"/>
    <w:rsid w:val="000520CA"/>
    <w:rsid w:val="00052960"/>
    <w:rsid w:val="00052EAA"/>
    <w:rsid w:val="000537F1"/>
    <w:rsid w:val="00053A62"/>
    <w:rsid w:val="00053FC3"/>
    <w:rsid w:val="00054B24"/>
    <w:rsid w:val="00054B31"/>
    <w:rsid w:val="00054E0F"/>
    <w:rsid w:val="00054EA0"/>
    <w:rsid w:val="000569A4"/>
    <w:rsid w:val="000569F8"/>
    <w:rsid w:val="00056D80"/>
    <w:rsid w:val="00057521"/>
    <w:rsid w:val="00057C14"/>
    <w:rsid w:val="000607BC"/>
    <w:rsid w:val="00060BDA"/>
    <w:rsid w:val="000613E3"/>
    <w:rsid w:val="00061A6A"/>
    <w:rsid w:val="00061C6B"/>
    <w:rsid w:val="00061E8B"/>
    <w:rsid w:val="00062B86"/>
    <w:rsid w:val="00064D04"/>
    <w:rsid w:val="00064FF7"/>
    <w:rsid w:val="00065037"/>
    <w:rsid w:val="000660CF"/>
    <w:rsid w:val="0006667A"/>
    <w:rsid w:val="00066F71"/>
    <w:rsid w:val="000704FC"/>
    <w:rsid w:val="00070689"/>
    <w:rsid w:val="00070902"/>
    <w:rsid w:val="00070D30"/>
    <w:rsid w:val="00070D3C"/>
    <w:rsid w:val="00070EDA"/>
    <w:rsid w:val="00070F97"/>
    <w:rsid w:val="000717B7"/>
    <w:rsid w:val="000718B2"/>
    <w:rsid w:val="00071904"/>
    <w:rsid w:val="00071A76"/>
    <w:rsid w:val="00071FF1"/>
    <w:rsid w:val="000722CE"/>
    <w:rsid w:val="00072A43"/>
    <w:rsid w:val="0007333B"/>
    <w:rsid w:val="00073493"/>
    <w:rsid w:val="0007378D"/>
    <w:rsid w:val="00073C49"/>
    <w:rsid w:val="00074522"/>
    <w:rsid w:val="000745F7"/>
    <w:rsid w:val="00074645"/>
    <w:rsid w:val="00074EAC"/>
    <w:rsid w:val="00074EE2"/>
    <w:rsid w:val="00075217"/>
    <w:rsid w:val="00075614"/>
    <w:rsid w:val="00075ABF"/>
    <w:rsid w:val="00076278"/>
    <w:rsid w:val="000763DB"/>
    <w:rsid w:val="000764F7"/>
    <w:rsid w:val="0007686A"/>
    <w:rsid w:val="000769BE"/>
    <w:rsid w:val="00077B1B"/>
    <w:rsid w:val="00077BE0"/>
    <w:rsid w:val="00080513"/>
    <w:rsid w:val="0008063E"/>
    <w:rsid w:val="0008231D"/>
    <w:rsid w:val="000824E9"/>
    <w:rsid w:val="00082A8D"/>
    <w:rsid w:val="00082A90"/>
    <w:rsid w:val="00082D10"/>
    <w:rsid w:val="00082EA6"/>
    <w:rsid w:val="00083148"/>
    <w:rsid w:val="000836C4"/>
    <w:rsid w:val="00083ACA"/>
    <w:rsid w:val="00083EF7"/>
    <w:rsid w:val="00084A8D"/>
    <w:rsid w:val="00084B0D"/>
    <w:rsid w:val="000859AC"/>
    <w:rsid w:val="00086668"/>
    <w:rsid w:val="00086919"/>
    <w:rsid w:val="00086BE4"/>
    <w:rsid w:val="0008746F"/>
    <w:rsid w:val="0009111A"/>
    <w:rsid w:val="000917E3"/>
    <w:rsid w:val="00091D9C"/>
    <w:rsid w:val="00092373"/>
    <w:rsid w:val="000927C5"/>
    <w:rsid w:val="00093435"/>
    <w:rsid w:val="000947BD"/>
    <w:rsid w:val="00094D7B"/>
    <w:rsid w:val="000950E3"/>
    <w:rsid w:val="00095201"/>
    <w:rsid w:val="00095884"/>
    <w:rsid w:val="000959A1"/>
    <w:rsid w:val="00095C58"/>
    <w:rsid w:val="00095E9A"/>
    <w:rsid w:val="0009600B"/>
    <w:rsid w:val="0009648F"/>
    <w:rsid w:val="000970B0"/>
    <w:rsid w:val="0009760A"/>
    <w:rsid w:val="00097962"/>
    <w:rsid w:val="000A07CE"/>
    <w:rsid w:val="000A0AF4"/>
    <w:rsid w:val="000A0F32"/>
    <w:rsid w:val="000A1752"/>
    <w:rsid w:val="000A2108"/>
    <w:rsid w:val="000A2194"/>
    <w:rsid w:val="000A2B59"/>
    <w:rsid w:val="000A2BE4"/>
    <w:rsid w:val="000A2F2D"/>
    <w:rsid w:val="000A368E"/>
    <w:rsid w:val="000A3714"/>
    <w:rsid w:val="000A37E5"/>
    <w:rsid w:val="000A3CC4"/>
    <w:rsid w:val="000A4686"/>
    <w:rsid w:val="000A46F9"/>
    <w:rsid w:val="000A4714"/>
    <w:rsid w:val="000A49B5"/>
    <w:rsid w:val="000A4A9F"/>
    <w:rsid w:val="000A4B5F"/>
    <w:rsid w:val="000A5863"/>
    <w:rsid w:val="000A5BB1"/>
    <w:rsid w:val="000A6153"/>
    <w:rsid w:val="000A67EE"/>
    <w:rsid w:val="000A6AAA"/>
    <w:rsid w:val="000A77FE"/>
    <w:rsid w:val="000A7A62"/>
    <w:rsid w:val="000A7B9F"/>
    <w:rsid w:val="000A7D67"/>
    <w:rsid w:val="000B0305"/>
    <w:rsid w:val="000B106D"/>
    <w:rsid w:val="000B10DC"/>
    <w:rsid w:val="000B1577"/>
    <w:rsid w:val="000B16B5"/>
    <w:rsid w:val="000B1B9B"/>
    <w:rsid w:val="000B1F1E"/>
    <w:rsid w:val="000B200F"/>
    <w:rsid w:val="000B2C85"/>
    <w:rsid w:val="000B2FAF"/>
    <w:rsid w:val="000B37C2"/>
    <w:rsid w:val="000B4455"/>
    <w:rsid w:val="000B4528"/>
    <w:rsid w:val="000B4796"/>
    <w:rsid w:val="000B493A"/>
    <w:rsid w:val="000B4D0B"/>
    <w:rsid w:val="000B4DF2"/>
    <w:rsid w:val="000B4E16"/>
    <w:rsid w:val="000B6215"/>
    <w:rsid w:val="000B6DB7"/>
    <w:rsid w:val="000B6FE6"/>
    <w:rsid w:val="000B71B9"/>
    <w:rsid w:val="000B7B1F"/>
    <w:rsid w:val="000B7EB0"/>
    <w:rsid w:val="000C0876"/>
    <w:rsid w:val="000C12D0"/>
    <w:rsid w:val="000C12D2"/>
    <w:rsid w:val="000C14C0"/>
    <w:rsid w:val="000C28CD"/>
    <w:rsid w:val="000C2D35"/>
    <w:rsid w:val="000C3117"/>
    <w:rsid w:val="000C332A"/>
    <w:rsid w:val="000C3B42"/>
    <w:rsid w:val="000C3D6E"/>
    <w:rsid w:val="000C3E14"/>
    <w:rsid w:val="000C4EC2"/>
    <w:rsid w:val="000C6772"/>
    <w:rsid w:val="000C6C44"/>
    <w:rsid w:val="000C7890"/>
    <w:rsid w:val="000C7F9B"/>
    <w:rsid w:val="000D0640"/>
    <w:rsid w:val="000D093C"/>
    <w:rsid w:val="000D11BE"/>
    <w:rsid w:val="000D1405"/>
    <w:rsid w:val="000D1503"/>
    <w:rsid w:val="000D20DA"/>
    <w:rsid w:val="000D312D"/>
    <w:rsid w:val="000D31BA"/>
    <w:rsid w:val="000D3320"/>
    <w:rsid w:val="000D348D"/>
    <w:rsid w:val="000D4233"/>
    <w:rsid w:val="000D46CA"/>
    <w:rsid w:val="000D49C8"/>
    <w:rsid w:val="000D4B85"/>
    <w:rsid w:val="000D4C61"/>
    <w:rsid w:val="000D5E7E"/>
    <w:rsid w:val="000D653D"/>
    <w:rsid w:val="000D6860"/>
    <w:rsid w:val="000D6B48"/>
    <w:rsid w:val="000D726F"/>
    <w:rsid w:val="000D757E"/>
    <w:rsid w:val="000D794E"/>
    <w:rsid w:val="000D7A5B"/>
    <w:rsid w:val="000E0E7D"/>
    <w:rsid w:val="000E0FA4"/>
    <w:rsid w:val="000E2014"/>
    <w:rsid w:val="000E223A"/>
    <w:rsid w:val="000E2427"/>
    <w:rsid w:val="000E24BF"/>
    <w:rsid w:val="000E26BA"/>
    <w:rsid w:val="000E2AA9"/>
    <w:rsid w:val="000E2CE8"/>
    <w:rsid w:val="000E2CF4"/>
    <w:rsid w:val="000E3573"/>
    <w:rsid w:val="000E3C1A"/>
    <w:rsid w:val="000E4484"/>
    <w:rsid w:val="000E45A6"/>
    <w:rsid w:val="000E5656"/>
    <w:rsid w:val="000E58DB"/>
    <w:rsid w:val="000E5AF0"/>
    <w:rsid w:val="000E5B1B"/>
    <w:rsid w:val="000E5B31"/>
    <w:rsid w:val="000E5BB8"/>
    <w:rsid w:val="000E605F"/>
    <w:rsid w:val="000E60E1"/>
    <w:rsid w:val="000E6AE4"/>
    <w:rsid w:val="000E6CC8"/>
    <w:rsid w:val="000E7098"/>
    <w:rsid w:val="000E7A60"/>
    <w:rsid w:val="000F08FE"/>
    <w:rsid w:val="000F0DF8"/>
    <w:rsid w:val="000F0FB8"/>
    <w:rsid w:val="000F2ED9"/>
    <w:rsid w:val="000F4027"/>
    <w:rsid w:val="000F429B"/>
    <w:rsid w:val="000F431E"/>
    <w:rsid w:val="000F46E3"/>
    <w:rsid w:val="000F48A9"/>
    <w:rsid w:val="000F59EE"/>
    <w:rsid w:val="000F5AD5"/>
    <w:rsid w:val="000F5CE7"/>
    <w:rsid w:val="000F5F2C"/>
    <w:rsid w:val="000F60FE"/>
    <w:rsid w:val="000F67B3"/>
    <w:rsid w:val="000F7A18"/>
    <w:rsid w:val="000F7B67"/>
    <w:rsid w:val="000F7FDA"/>
    <w:rsid w:val="001006F8"/>
    <w:rsid w:val="00100E3D"/>
    <w:rsid w:val="001010A2"/>
    <w:rsid w:val="001014F2"/>
    <w:rsid w:val="00101D59"/>
    <w:rsid w:val="00102A6A"/>
    <w:rsid w:val="00102E31"/>
    <w:rsid w:val="00103E2E"/>
    <w:rsid w:val="00103FBD"/>
    <w:rsid w:val="00103FF0"/>
    <w:rsid w:val="0010463C"/>
    <w:rsid w:val="00104DBC"/>
    <w:rsid w:val="00105048"/>
    <w:rsid w:val="00105AA9"/>
    <w:rsid w:val="00105FC4"/>
    <w:rsid w:val="00106155"/>
    <w:rsid w:val="0010636E"/>
    <w:rsid w:val="001067F5"/>
    <w:rsid w:val="001069AB"/>
    <w:rsid w:val="00106B0A"/>
    <w:rsid w:val="00106B42"/>
    <w:rsid w:val="00106B5E"/>
    <w:rsid w:val="00106FEE"/>
    <w:rsid w:val="00107E6C"/>
    <w:rsid w:val="0011001F"/>
    <w:rsid w:val="001101A0"/>
    <w:rsid w:val="00110345"/>
    <w:rsid w:val="00110497"/>
    <w:rsid w:val="00110619"/>
    <w:rsid w:val="001109A1"/>
    <w:rsid w:val="00110CF8"/>
    <w:rsid w:val="00110F33"/>
    <w:rsid w:val="00110FA9"/>
    <w:rsid w:val="00111430"/>
    <w:rsid w:val="00111FCC"/>
    <w:rsid w:val="001120D1"/>
    <w:rsid w:val="00112AF4"/>
    <w:rsid w:val="00112EEF"/>
    <w:rsid w:val="00113489"/>
    <w:rsid w:val="0011352D"/>
    <w:rsid w:val="00113C80"/>
    <w:rsid w:val="00113FE7"/>
    <w:rsid w:val="00114DA0"/>
    <w:rsid w:val="001154EF"/>
    <w:rsid w:val="00116435"/>
    <w:rsid w:val="001164F9"/>
    <w:rsid w:val="00116D26"/>
    <w:rsid w:val="001170A3"/>
    <w:rsid w:val="001172C3"/>
    <w:rsid w:val="00117CBA"/>
    <w:rsid w:val="0012081E"/>
    <w:rsid w:val="0012138F"/>
    <w:rsid w:val="00122135"/>
    <w:rsid w:val="00122207"/>
    <w:rsid w:val="0012241C"/>
    <w:rsid w:val="00122482"/>
    <w:rsid w:val="00122E57"/>
    <w:rsid w:val="00123525"/>
    <w:rsid w:val="0012355E"/>
    <w:rsid w:val="00123575"/>
    <w:rsid w:val="0012373E"/>
    <w:rsid w:val="0012427C"/>
    <w:rsid w:val="00124288"/>
    <w:rsid w:val="001242DE"/>
    <w:rsid w:val="0012490C"/>
    <w:rsid w:val="00124A4E"/>
    <w:rsid w:val="00124A94"/>
    <w:rsid w:val="00124B4D"/>
    <w:rsid w:val="00125522"/>
    <w:rsid w:val="001257B9"/>
    <w:rsid w:val="0012581A"/>
    <w:rsid w:val="00125C57"/>
    <w:rsid w:val="00125CAC"/>
    <w:rsid w:val="001260F5"/>
    <w:rsid w:val="001261CF"/>
    <w:rsid w:val="00127BFA"/>
    <w:rsid w:val="00127F30"/>
    <w:rsid w:val="00130F32"/>
    <w:rsid w:val="00131C3D"/>
    <w:rsid w:val="00131C90"/>
    <w:rsid w:val="0013218C"/>
    <w:rsid w:val="00133CFE"/>
    <w:rsid w:val="001341AB"/>
    <w:rsid w:val="001345CE"/>
    <w:rsid w:val="001349D5"/>
    <w:rsid w:val="001349FE"/>
    <w:rsid w:val="00135328"/>
    <w:rsid w:val="00136371"/>
    <w:rsid w:val="00136564"/>
    <w:rsid w:val="00136D18"/>
    <w:rsid w:val="00136ED4"/>
    <w:rsid w:val="00137520"/>
    <w:rsid w:val="001376BE"/>
    <w:rsid w:val="001404EF"/>
    <w:rsid w:val="00140A0C"/>
    <w:rsid w:val="00140C74"/>
    <w:rsid w:val="00141461"/>
    <w:rsid w:val="00141A31"/>
    <w:rsid w:val="00141AAC"/>
    <w:rsid w:val="00141E9D"/>
    <w:rsid w:val="00142124"/>
    <w:rsid w:val="00142279"/>
    <w:rsid w:val="001423D8"/>
    <w:rsid w:val="001428D3"/>
    <w:rsid w:val="00142990"/>
    <w:rsid w:val="00142E72"/>
    <w:rsid w:val="00143494"/>
    <w:rsid w:val="00143541"/>
    <w:rsid w:val="00143C84"/>
    <w:rsid w:val="00143C8C"/>
    <w:rsid w:val="00144579"/>
    <w:rsid w:val="00144734"/>
    <w:rsid w:val="00145420"/>
    <w:rsid w:val="001457E9"/>
    <w:rsid w:val="00146EC8"/>
    <w:rsid w:val="0014745F"/>
    <w:rsid w:val="0014752C"/>
    <w:rsid w:val="00147F1A"/>
    <w:rsid w:val="00150292"/>
    <w:rsid w:val="0015058B"/>
    <w:rsid w:val="001505D2"/>
    <w:rsid w:val="001507F7"/>
    <w:rsid w:val="00150E7B"/>
    <w:rsid w:val="00150F30"/>
    <w:rsid w:val="0015128F"/>
    <w:rsid w:val="001513A8"/>
    <w:rsid w:val="0015166D"/>
    <w:rsid w:val="00151870"/>
    <w:rsid w:val="001518B2"/>
    <w:rsid w:val="00151B8D"/>
    <w:rsid w:val="00151C05"/>
    <w:rsid w:val="00151EE8"/>
    <w:rsid w:val="00152075"/>
    <w:rsid w:val="00152A80"/>
    <w:rsid w:val="00152E0A"/>
    <w:rsid w:val="00153FE8"/>
    <w:rsid w:val="001544FB"/>
    <w:rsid w:val="00154735"/>
    <w:rsid w:val="001551FE"/>
    <w:rsid w:val="0015634F"/>
    <w:rsid w:val="0015686E"/>
    <w:rsid w:val="00156A3B"/>
    <w:rsid w:val="00156C43"/>
    <w:rsid w:val="00156D7A"/>
    <w:rsid w:val="001600DD"/>
    <w:rsid w:val="00160644"/>
    <w:rsid w:val="0016088E"/>
    <w:rsid w:val="001609A9"/>
    <w:rsid w:val="00160A3D"/>
    <w:rsid w:val="00161749"/>
    <w:rsid w:val="00161817"/>
    <w:rsid w:val="00161A28"/>
    <w:rsid w:val="00161A9A"/>
    <w:rsid w:val="001620B5"/>
    <w:rsid w:val="001621DB"/>
    <w:rsid w:val="00162B84"/>
    <w:rsid w:val="00162F7E"/>
    <w:rsid w:val="001632F9"/>
    <w:rsid w:val="00163B8E"/>
    <w:rsid w:val="00163BE0"/>
    <w:rsid w:val="00163D11"/>
    <w:rsid w:val="00163E95"/>
    <w:rsid w:val="0016461E"/>
    <w:rsid w:val="00164622"/>
    <w:rsid w:val="0016463B"/>
    <w:rsid w:val="00164D63"/>
    <w:rsid w:val="0016523F"/>
    <w:rsid w:val="001652AA"/>
    <w:rsid w:val="00165794"/>
    <w:rsid w:val="00165A85"/>
    <w:rsid w:val="001668CD"/>
    <w:rsid w:val="00166CF9"/>
    <w:rsid w:val="00166D87"/>
    <w:rsid w:val="0016794D"/>
    <w:rsid w:val="00167FA2"/>
    <w:rsid w:val="001703F3"/>
    <w:rsid w:val="001709FD"/>
    <w:rsid w:val="00170EBF"/>
    <w:rsid w:val="001719A3"/>
    <w:rsid w:val="00171C5A"/>
    <w:rsid w:val="00171D5E"/>
    <w:rsid w:val="0017229A"/>
    <w:rsid w:val="001725E7"/>
    <w:rsid w:val="0017322D"/>
    <w:rsid w:val="00173267"/>
    <w:rsid w:val="00173409"/>
    <w:rsid w:val="001736CA"/>
    <w:rsid w:val="00173AAF"/>
    <w:rsid w:val="00173B64"/>
    <w:rsid w:val="001740CD"/>
    <w:rsid w:val="00174138"/>
    <w:rsid w:val="001745BC"/>
    <w:rsid w:val="00175084"/>
    <w:rsid w:val="00175808"/>
    <w:rsid w:val="00175B9D"/>
    <w:rsid w:val="00175F19"/>
    <w:rsid w:val="00175FFD"/>
    <w:rsid w:val="00176434"/>
    <w:rsid w:val="001767E3"/>
    <w:rsid w:val="001777FF"/>
    <w:rsid w:val="00177DF6"/>
    <w:rsid w:val="00180DAC"/>
    <w:rsid w:val="00180E54"/>
    <w:rsid w:val="00180E7E"/>
    <w:rsid w:val="00180EE8"/>
    <w:rsid w:val="00181234"/>
    <w:rsid w:val="0018149C"/>
    <w:rsid w:val="001814CB"/>
    <w:rsid w:val="001819A7"/>
    <w:rsid w:val="00181A28"/>
    <w:rsid w:val="00182446"/>
    <w:rsid w:val="001824CF"/>
    <w:rsid w:val="00182962"/>
    <w:rsid w:val="00182D0B"/>
    <w:rsid w:val="00182E40"/>
    <w:rsid w:val="00182E80"/>
    <w:rsid w:val="001834E5"/>
    <w:rsid w:val="00183541"/>
    <w:rsid w:val="001839FF"/>
    <w:rsid w:val="00183A36"/>
    <w:rsid w:val="00184566"/>
    <w:rsid w:val="00184C31"/>
    <w:rsid w:val="00185486"/>
    <w:rsid w:val="001858A1"/>
    <w:rsid w:val="00185EFC"/>
    <w:rsid w:val="001861CD"/>
    <w:rsid w:val="001862AF"/>
    <w:rsid w:val="00186719"/>
    <w:rsid w:val="00186A23"/>
    <w:rsid w:val="001901B1"/>
    <w:rsid w:val="00190447"/>
    <w:rsid w:val="0019051B"/>
    <w:rsid w:val="0019056D"/>
    <w:rsid w:val="00190906"/>
    <w:rsid w:val="0019225D"/>
    <w:rsid w:val="00192294"/>
    <w:rsid w:val="001923FB"/>
    <w:rsid w:val="001928A8"/>
    <w:rsid w:val="001928C2"/>
    <w:rsid w:val="00192A6F"/>
    <w:rsid w:val="00192AC7"/>
    <w:rsid w:val="00193350"/>
    <w:rsid w:val="0019353D"/>
    <w:rsid w:val="001947DB"/>
    <w:rsid w:val="00194A0A"/>
    <w:rsid w:val="00194A90"/>
    <w:rsid w:val="0019559D"/>
    <w:rsid w:val="001958CB"/>
    <w:rsid w:val="00195952"/>
    <w:rsid w:val="00195D9D"/>
    <w:rsid w:val="00196651"/>
    <w:rsid w:val="00196F26"/>
    <w:rsid w:val="00196FBE"/>
    <w:rsid w:val="00197119"/>
    <w:rsid w:val="00197489"/>
    <w:rsid w:val="00197616"/>
    <w:rsid w:val="00197BE6"/>
    <w:rsid w:val="00197E97"/>
    <w:rsid w:val="00197F26"/>
    <w:rsid w:val="00197F47"/>
    <w:rsid w:val="001A01C0"/>
    <w:rsid w:val="001A0955"/>
    <w:rsid w:val="001A163D"/>
    <w:rsid w:val="001A1F34"/>
    <w:rsid w:val="001A204B"/>
    <w:rsid w:val="001A219C"/>
    <w:rsid w:val="001A2FEE"/>
    <w:rsid w:val="001A369A"/>
    <w:rsid w:val="001A3B06"/>
    <w:rsid w:val="001A3CEF"/>
    <w:rsid w:val="001A44F7"/>
    <w:rsid w:val="001A4902"/>
    <w:rsid w:val="001A630C"/>
    <w:rsid w:val="001A6635"/>
    <w:rsid w:val="001A678A"/>
    <w:rsid w:val="001A6A84"/>
    <w:rsid w:val="001A7786"/>
    <w:rsid w:val="001A791E"/>
    <w:rsid w:val="001A7D4C"/>
    <w:rsid w:val="001B0BE4"/>
    <w:rsid w:val="001B22EE"/>
    <w:rsid w:val="001B26B5"/>
    <w:rsid w:val="001B2C2F"/>
    <w:rsid w:val="001B2CB1"/>
    <w:rsid w:val="001B3492"/>
    <w:rsid w:val="001B3493"/>
    <w:rsid w:val="001B40E6"/>
    <w:rsid w:val="001B4121"/>
    <w:rsid w:val="001B45B7"/>
    <w:rsid w:val="001B476C"/>
    <w:rsid w:val="001B54F4"/>
    <w:rsid w:val="001B552E"/>
    <w:rsid w:val="001B55F5"/>
    <w:rsid w:val="001B575D"/>
    <w:rsid w:val="001B635B"/>
    <w:rsid w:val="001B6944"/>
    <w:rsid w:val="001B72D1"/>
    <w:rsid w:val="001B7E40"/>
    <w:rsid w:val="001B7EF5"/>
    <w:rsid w:val="001C02A6"/>
    <w:rsid w:val="001C0610"/>
    <w:rsid w:val="001C0646"/>
    <w:rsid w:val="001C06A6"/>
    <w:rsid w:val="001C1AC4"/>
    <w:rsid w:val="001C1ACA"/>
    <w:rsid w:val="001C2218"/>
    <w:rsid w:val="001C2662"/>
    <w:rsid w:val="001C26E0"/>
    <w:rsid w:val="001C2764"/>
    <w:rsid w:val="001C2800"/>
    <w:rsid w:val="001C33E2"/>
    <w:rsid w:val="001C3C0F"/>
    <w:rsid w:val="001C4764"/>
    <w:rsid w:val="001C4FDF"/>
    <w:rsid w:val="001C516F"/>
    <w:rsid w:val="001C607D"/>
    <w:rsid w:val="001C60E7"/>
    <w:rsid w:val="001C6D97"/>
    <w:rsid w:val="001C7B91"/>
    <w:rsid w:val="001D061D"/>
    <w:rsid w:val="001D06D4"/>
    <w:rsid w:val="001D0771"/>
    <w:rsid w:val="001D1187"/>
    <w:rsid w:val="001D1B5F"/>
    <w:rsid w:val="001D245E"/>
    <w:rsid w:val="001D26DD"/>
    <w:rsid w:val="001D3023"/>
    <w:rsid w:val="001D4CBE"/>
    <w:rsid w:val="001D4F60"/>
    <w:rsid w:val="001D50F3"/>
    <w:rsid w:val="001D5195"/>
    <w:rsid w:val="001D5492"/>
    <w:rsid w:val="001D5602"/>
    <w:rsid w:val="001D640B"/>
    <w:rsid w:val="001D694B"/>
    <w:rsid w:val="001D6B29"/>
    <w:rsid w:val="001D6D48"/>
    <w:rsid w:val="001D7521"/>
    <w:rsid w:val="001D76D6"/>
    <w:rsid w:val="001E0044"/>
    <w:rsid w:val="001E0061"/>
    <w:rsid w:val="001E0769"/>
    <w:rsid w:val="001E0A93"/>
    <w:rsid w:val="001E0B33"/>
    <w:rsid w:val="001E1005"/>
    <w:rsid w:val="001E1295"/>
    <w:rsid w:val="001E12F0"/>
    <w:rsid w:val="001E134E"/>
    <w:rsid w:val="001E1CDC"/>
    <w:rsid w:val="001E286F"/>
    <w:rsid w:val="001E2B02"/>
    <w:rsid w:val="001E2CBC"/>
    <w:rsid w:val="001E32ED"/>
    <w:rsid w:val="001E353D"/>
    <w:rsid w:val="001E412E"/>
    <w:rsid w:val="001E43B6"/>
    <w:rsid w:val="001E4884"/>
    <w:rsid w:val="001E4937"/>
    <w:rsid w:val="001E4DC8"/>
    <w:rsid w:val="001E57CE"/>
    <w:rsid w:val="001E5B5F"/>
    <w:rsid w:val="001E61A0"/>
    <w:rsid w:val="001E6814"/>
    <w:rsid w:val="001E6862"/>
    <w:rsid w:val="001E6D3B"/>
    <w:rsid w:val="001E6F7D"/>
    <w:rsid w:val="001E7373"/>
    <w:rsid w:val="001E73E0"/>
    <w:rsid w:val="001F183E"/>
    <w:rsid w:val="001F18F9"/>
    <w:rsid w:val="001F1C73"/>
    <w:rsid w:val="001F2002"/>
    <w:rsid w:val="001F339D"/>
    <w:rsid w:val="001F346C"/>
    <w:rsid w:val="001F39EF"/>
    <w:rsid w:val="001F3A54"/>
    <w:rsid w:val="001F3D25"/>
    <w:rsid w:val="001F4376"/>
    <w:rsid w:val="001F43F3"/>
    <w:rsid w:val="001F4733"/>
    <w:rsid w:val="001F48CD"/>
    <w:rsid w:val="001F4D62"/>
    <w:rsid w:val="001F696E"/>
    <w:rsid w:val="001F6CC0"/>
    <w:rsid w:val="001F6DD2"/>
    <w:rsid w:val="001F74E5"/>
    <w:rsid w:val="001F7C0F"/>
    <w:rsid w:val="001F7F94"/>
    <w:rsid w:val="002003C3"/>
    <w:rsid w:val="00200F93"/>
    <w:rsid w:val="002013C4"/>
    <w:rsid w:val="00201A3B"/>
    <w:rsid w:val="00202547"/>
    <w:rsid w:val="00204075"/>
    <w:rsid w:val="00204450"/>
    <w:rsid w:val="0020465C"/>
    <w:rsid w:val="00204CA9"/>
    <w:rsid w:val="0020539A"/>
    <w:rsid w:val="0020598E"/>
    <w:rsid w:val="00205D83"/>
    <w:rsid w:val="00205E55"/>
    <w:rsid w:val="00205F3D"/>
    <w:rsid w:val="0020637D"/>
    <w:rsid w:val="0020670F"/>
    <w:rsid w:val="002069AB"/>
    <w:rsid w:val="0020718D"/>
    <w:rsid w:val="0020737F"/>
    <w:rsid w:val="0020738E"/>
    <w:rsid w:val="00207698"/>
    <w:rsid w:val="002076AC"/>
    <w:rsid w:val="00207A2F"/>
    <w:rsid w:val="00207FAA"/>
    <w:rsid w:val="0021095D"/>
    <w:rsid w:val="00210965"/>
    <w:rsid w:val="00210ABE"/>
    <w:rsid w:val="00210FEB"/>
    <w:rsid w:val="00211227"/>
    <w:rsid w:val="0021128A"/>
    <w:rsid w:val="00211B77"/>
    <w:rsid w:val="00211C07"/>
    <w:rsid w:val="00211E4F"/>
    <w:rsid w:val="00211EFD"/>
    <w:rsid w:val="002120F1"/>
    <w:rsid w:val="002126F9"/>
    <w:rsid w:val="002127C7"/>
    <w:rsid w:val="00212959"/>
    <w:rsid w:val="00212A55"/>
    <w:rsid w:val="00212E2E"/>
    <w:rsid w:val="0021384C"/>
    <w:rsid w:val="002140F4"/>
    <w:rsid w:val="00214340"/>
    <w:rsid w:val="00214C69"/>
    <w:rsid w:val="00214CE9"/>
    <w:rsid w:val="00215789"/>
    <w:rsid w:val="00215862"/>
    <w:rsid w:val="00215AB3"/>
    <w:rsid w:val="002163A3"/>
    <w:rsid w:val="0021661B"/>
    <w:rsid w:val="0021736F"/>
    <w:rsid w:val="002179F1"/>
    <w:rsid w:val="00217F70"/>
    <w:rsid w:val="002209BB"/>
    <w:rsid w:val="00221D89"/>
    <w:rsid w:val="00221E5A"/>
    <w:rsid w:val="00221EC4"/>
    <w:rsid w:val="00222CAA"/>
    <w:rsid w:val="0022318A"/>
    <w:rsid w:val="00223E31"/>
    <w:rsid w:val="00224550"/>
    <w:rsid w:val="00225AE7"/>
    <w:rsid w:val="00225B3C"/>
    <w:rsid w:val="00226505"/>
    <w:rsid w:val="00226A79"/>
    <w:rsid w:val="00226D3C"/>
    <w:rsid w:val="0022709B"/>
    <w:rsid w:val="00227CAC"/>
    <w:rsid w:val="0023046D"/>
    <w:rsid w:val="00230616"/>
    <w:rsid w:val="0023073A"/>
    <w:rsid w:val="00230B70"/>
    <w:rsid w:val="00231299"/>
    <w:rsid w:val="00231418"/>
    <w:rsid w:val="002314B6"/>
    <w:rsid w:val="0023186C"/>
    <w:rsid w:val="002319A8"/>
    <w:rsid w:val="00231CC6"/>
    <w:rsid w:val="00231CDA"/>
    <w:rsid w:val="00231D17"/>
    <w:rsid w:val="00232298"/>
    <w:rsid w:val="00232307"/>
    <w:rsid w:val="002324EB"/>
    <w:rsid w:val="002326EC"/>
    <w:rsid w:val="00232749"/>
    <w:rsid w:val="00232C00"/>
    <w:rsid w:val="00233E8C"/>
    <w:rsid w:val="002341AC"/>
    <w:rsid w:val="00234605"/>
    <w:rsid w:val="00235897"/>
    <w:rsid w:val="00235E27"/>
    <w:rsid w:val="00236196"/>
    <w:rsid w:val="00236E12"/>
    <w:rsid w:val="00236FC7"/>
    <w:rsid w:val="002403B9"/>
    <w:rsid w:val="002404B2"/>
    <w:rsid w:val="002410E7"/>
    <w:rsid w:val="00241761"/>
    <w:rsid w:val="0024189C"/>
    <w:rsid w:val="002427CC"/>
    <w:rsid w:val="00243113"/>
    <w:rsid w:val="002431F7"/>
    <w:rsid w:val="002437FE"/>
    <w:rsid w:val="00243877"/>
    <w:rsid w:val="00244375"/>
    <w:rsid w:val="00244B37"/>
    <w:rsid w:val="00245D75"/>
    <w:rsid w:val="00245F61"/>
    <w:rsid w:val="002466E9"/>
    <w:rsid w:val="0024690C"/>
    <w:rsid w:val="002474C3"/>
    <w:rsid w:val="00247B3F"/>
    <w:rsid w:val="00247BAE"/>
    <w:rsid w:val="00247EBD"/>
    <w:rsid w:val="002501D2"/>
    <w:rsid w:val="0025137A"/>
    <w:rsid w:val="00251633"/>
    <w:rsid w:val="002525D4"/>
    <w:rsid w:val="002529EE"/>
    <w:rsid w:val="00253193"/>
    <w:rsid w:val="00254C34"/>
    <w:rsid w:val="00255946"/>
    <w:rsid w:val="0025595C"/>
    <w:rsid w:val="00256700"/>
    <w:rsid w:val="00256A20"/>
    <w:rsid w:val="00256BC6"/>
    <w:rsid w:val="0025753A"/>
    <w:rsid w:val="0025761E"/>
    <w:rsid w:val="00260153"/>
    <w:rsid w:val="002602D0"/>
    <w:rsid w:val="00260F92"/>
    <w:rsid w:val="00262FE8"/>
    <w:rsid w:val="00263D3C"/>
    <w:rsid w:val="00263F6A"/>
    <w:rsid w:val="00264041"/>
    <w:rsid w:val="002641A5"/>
    <w:rsid w:val="0026452C"/>
    <w:rsid w:val="0026454B"/>
    <w:rsid w:val="0026491F"/>
    <w:rsid w:val="00264C3F"/>
    <w:rsid w:val="00264E56"/>
    <w:rsid w:val="00264FE1"/>
    <w:rsid w:val="002651C7"/>
    <w:rsid w:val="002662AF"/>
    <w:rsid w:val="00266447"/>
    <w:rsid w:val="00266A65"/>
    <w:rsid w:val="00266B0B"/>
    <w:rsid w:val="00266C20"/>
    <w:rsid w:val="002671C7"/>
    <w:rsid w:val="00270F68"/>
    <w:rsid w:val="00271085"/>
    <w:rsid w:val="002711D9"/>
    <w:rsid w:val="002717C6"/>
    <w:rsid w:val="00271B19"/>
    <w:rsid w:val="00271E76"/>
    <w:rsid w:val="00272333"/>
    <w:rsid w:val="00272652"/>
    <w:rsid w:val="0027336F"/>
    <w:rsid w:val="0027365A"/>
    <w:rsid w:val="00273839"/>
    <w:rsid w:val="00273AFA"/>
    <w:rsid w:val="002744EF"/>
    <w:rsid w:val="0027465F"/>
    <w:rsid w:val="002749CA"/>
    <w:rsid w:val="00274C92"/>
    <w:rsid w:val="00275714"/>
    <w:rsid w:val="00275814"/>
    <w:rsid w:val="002758C3"/>
    <w:rsid w:val="00275A84"/>
    <w:rsid w:val="00275ADB"/>
    <w:rsid w:val="00275D3E"/>
    <w:rsid w:val="00276309"/>
    <w:rsid w:val="00276C35"/>
    <w:rsid w:val="00276E15"/>
    <w:rsid w:val="0027711D"/>
    <w:rsid w:val="002771DD"/>
    <w:rsid w:val="002776D8"/>
    <w:rsid w:val="00277C55"/>
    <w:rsid w:val="00277D1D"/>
    <w:rsid w:val="00277F12"/>
    <w:rsid w:val="0028048C"/>
    <w:rsid w:val="00280694"/>
    <w:rsid w:val="00280D55"/>
    <w:rsid w:val="00281341"/>
    <w:rsid w:val="00281896"/>
    <w:rsid w:val="0028218C"/>
    <w:rsid w:val="00282262"/>
    <w:rsid w:val="00282AEA"/>
    <w:rsid w:val="00282F69"/>
    <w:rsid w:val="00284529"/>
    <w:rsid w:val="002848FA"/>
    <w:rsid w:val="002848FC"/>
    <w:rsid w:val="00284E3A"/>
    <w:rsid w:val="00285BE4"/>
    <w:rsid w:val="00285DF7"/>
    <w:rsid w:val="002860B8"/>
    <w:rsid w:val="0028634B"/>
    <w:rsid w:val="002867E5"/>
    <w:rsid w:val="00287152"/>
    <w:rsid w:val="002874E8"/>
    <w:rsid w:val="00287637"/>
    <w:rsid w:val="00287E1F"/>
    <w:rsid w:val="00290686"/>
    <w:rsid w:val="002908FF"/>
    <w:rsid w:val="00290CDD"/>
    <w:rsid w:val="0029127B"/>
    <w:rsid w:val="00291A36"/>
    <w:rsid w:val="00291E9B"/>
    <w:rsid w:val="00291F8E"/>
    <w:rsid w:val="00291FF2"/>
    <w:rsid w:val="002923E0"/>
    <w:rsid w:val="002927D1"/>
    <w:rsid w:val="002929E2"/>
    <w:rsid w:val="00292B98"/>
    <w:rsid w:val="00292C38"/>
    <w:rsid w:val="00293552"/>
    <w:rsid w:val="002936C5"/>
    <w:rsid w:val="00293713"/>
    <w:rsid w:val="00293E58"/>
    <w:rsid w:val="00293F6D"/>
    <w:rsid w:val="00294A84"/>
    <w:rsid w:val="00294C34"/>
    <w:rsid w:val="00294E90"/>
    <w:rsid w:val="00295249"/>
    <w:rsid w:val="00295447"/>
    <w:rsid w:val="00295625"/>
    <w:rsid w:val="00295D27"/>
    <w:rsid w:val="00295FBD"/>
    <w:rsid w:val="002965C2"/>
    <w:rsid w:val="00296CFE"/>
    <w:rsid w:val="00296D7C"/>
    <w:rsid w:val="00297164"/>
    <w:rsid w:val="002979D6"/>
    <w:rsid w:val="00297A8B"/>
    <w:rsid w:val="00297B5E"/>
    <w:rsid w:val="002A017C"/>
    <w:rsid w:val="002A06C7"/>
    <w:rsid w:val="002A0905"/>
    <w:rsid w:val="002A1E6A"/>
    <w:rsid w:val="002A1F1B"/>
    <w:rsid w:val="002A2A53"/>
    <w:rsid w:val="002A39F9"/>
    <w:rsid w:val="002A3A13"/>
    <w:rsid w:val="002A3DD6"/>
    <w:rsid w:val="002A40FC"/>
    <w:rsid w:val="002A4573"/>
    <w:rsid w:val="002A4732"/>
    <w:rsid w:val="002A5083"/>
    <w:rsid w:val="002A564F"/>
    <w:rsid w:val="002A58AE"/>
    <w:rsid w:val="002A5996"/>
    <w:rsid w:val="002A5E1D"/>
    <w:rsid w:val="002A6025"/>
    <w:rsid w:val="002A620F"/>
    <w:rsid w:val="002A63E0"/>
    <w:rsid w:val="002A65F7"/>
    <w:rsid w:val="002A68CB"/>
    <w:rsid w:val="002A6968"/>
    <w:rsid w:val="002A6ABB"/>
    <w:rsid w:val="002A7170"/>
    <w:rsid w:val="002A7310"/>
    <w:rsid w:val="002A77A7"/>
    <w:rsid w:val="002A7EF9"/>
    <w:rsid w:val="002B04EE"/>
    <w:rsid w:val="002B0A88"/>
    <w:rsid w:val="002B0CEE"/>
    <w:rsid w:val="002B139E"/>
    <w:rsid w:val="002B17EF"/>
    <w:rsid w:val="002B195C"/>
    <w:rsid w:val="002B1C57"/>
    <w:rsid w:val="002B2102"/>
    <w:rsid w:val="002B217E"/>
    <w:rsid w:val="002B21F2"/>
    <w:rsid w:val="002B2201"/>
    <w:rsid w:val="002B2652"/>
    <w:rsid w:val="002B35B2"/>
    <w:rsid w:val="002B3F12"/>
    <w:rsid w:val="002B409F"/>
    <w:rsid w:val="002B486B"/>
    <w:rsid w:val="002B52AF"/>
    <w:rsid w:val="002B5437"/>
    <w:rsid w:val="002B5C43"/>
    <w:rsid w:val="002B5D84"/>
    <w:rsid w:val="002B5DBD"/>
    <w:rsid w:val="002B6F5B"/>
    <w:rsid w:val="002B6F8F"/>
    <w:rsid w:val="002C00D3"/>
    <w:rsid w:val="002C0222"/>
    <w:rsid w:val="002C073C"/>
    <w:rsid w:val="002C09B9"/>
    <w:rsid w:val="002C0AFB"/>
    <w:rsid w:val="002C0B11"/>
    <w:rsid w:val="002C0EF2"/>
    <w:rsid w:val="002C0F4A"/>
    <w:rsid w:val="002C1804"/>
    <w:rsid w:val="002C1EE6"/>
    <w:rsid w:val="002C2B5B"/>
    <w:rsid w:val="002C2DE6"/>
    <w:rsid w:val="002C3027"/>
    <w:rsid w:val="002C3BDB"/>
    <w:rsid w:val="002C4134"/>
    <w:rsid w:val="002C4443"/>
    <w:rsid w:val="002C4660"/>
    <w:rsid w:val="002C4B66"/>
    <w:rsid w:val="002C50D5"/>
    <w:rsid w:val="002C521E"/>
    <w:rsid w:val="002C56E9"/>
    <w:rsid w:val="002C5977"/>
    <w:rsid w:val="002D04CB"/>
    <w:rsid w:val="002D0592"/>
    <w:rsid w:val="002D05FE"/>
    <w:rsid w:val="002D0640"/>
    <w:rsid w:val="002D1701"/>
    <w:rsid w:val="002D1C98"/>
    <w:rsid w:val="002D1DFB"/>
    <w:rsid w:val="002D2425"/>
    <w:rsid w:val="002D25C2"/>
    <w:rsid w:val="002D2727"/>
    <w:rsid w:val="002D2CB6"/>
    <w:rsid w:val="002D2E1E"/>
    <w:rsid w:val="002D3283"/>
    <w:rsid w:val="002D3961"/>
    <w:rsid w:val="002D3BDA"/>
    <w:rsid w:val="002D4299"/>
    <w:rsid w:val="002D44FC"/>
    <w:rsid w:val="002D4FBA"/>
    <w:rsid w:val="002D5B14"/>
    <w:rsid w:val="002D5BC3"/>
    <w:rsid w:val="002D5C7A"/>
    <w:rsid w:val="002D62E6"/>
    <w:rsid w:val="002D6A9B"/>
    <w:rsid w:val="002D6B0A"/>
    <w:rsid w:val="002D6CE7"/>
    <w:rsid w:val="002D75C6"/>
    <w:rsid w:val="002D7F8B"/>
    <w:rsid w:val="002E01AC"/>
    <w:rsid w:val="002E01C2"/>
    <w:rsid w:val="002E03A9"/>
    <w:rsid w:val="002E050C"/>
    <w:rsid w:val="002E08F8"/>
    <w:rsid w:val="002E0B24"/>
    <w:rsid w:val="002E0CBF"/>
    <w:rsid w:val="002E101F"/>
    <w:rsid w:val="002E175D"/>
    <w:rsid w:val="002E1BD1"/>
    <w:rsid w:val="002E1C18"/>
    <w:rsid w:val="002E1E2B"/>
    <w:rsid w:val="002E2088"/>
    <w:rsid w:val="002E2124"/>
    <w:rsid w:val="002E2352"/>
    <w:rsid w:val="002E2482"/>
    <w:rsid w:val="002E2F62"/>
    <w:rsid w:val="002E2FE4"/>
    <w:rsid w:val="002E3474"/>
    <w:rsid w:val="002E3609"/>
    <w:rsid w:val="002E365A"/>
    <w:rsid w:val="002E3677"/>
    <w:rsid w:val="002E3BE8"/>
    <w:rsid w:val="002E3DF5"/>
    <w:rsid w:val="002E4141"/>
    <w:rsid w:val="002E4279"/>
    <w:rsid w:val="002E4D95"/>
    <w:rsid w:val="002E50D8"/>
    <w:rsid w:val="002E534C"/>
    <w:rsid w:val="002E596C"/>
    <w:rsid w:val="002E5AEF"/>
    <w:rsid w:val="002E5BFE"/>
    <w:rsid w:val="002E5C07"/>
    <w:rsid w:val="002E60E2"/>
    <w:rsid w:val="002E621E"/>
    <w:rsid w:val="002E63B1"/>
    <w:rsid w:val="002E67C9"/>
    <w:rsid w:val="002E6B40"/>
    <w:rsid w:val="002E7A5A"/>
    <w:rsid w:val="002F0085"/>
    <w:rsid w:val="002F0408"/>
    <w:rsid w:val="002F0659"/>
    <w:rsid w:val="002F0731"/>
    <w:rsid w:val="002F11A3"/>
    <w:rsid w:val="002F1557"/>
    <w:rsid w:val="002F1933"/>
    <w:rsid w:val="002F1BC1"/>
    <w:rsid w:val="002F2E96"/>
    <w:rsid w:val="002F35A3"/>
    <w:rsid w:val="002F3B0B"/>
    <w:rsid w:val="002F45DE"/>
    <w:rsid w:val="002F56E4"/>
    <w:rsid w:val="002F6A8E"/>
    <w:rsid w:val="002F6C41"/>
    <w:rsid w:val="002F6D85"/>
    <w:rsid w:val="002F7110"/>
    <w:rsid w:val="002F7991"/>
    <w:rsid w:val="002F7C5B"/>
    <w:rsid w:val="0030008C"/>
    <w:rsid w:val="003001D1"/>
    <w:rsid w:val="00300454"/>
    <w:rsid w:val="00300A23"/>
    <w:rsid w:val="00302EFF"/>
    <w:rsid w:val="00303443"/>
    <w:rsid w:val="00303A2F"/>
    <w:rsid w:val="00303A95"/>
    <w:rsid w:val="00304266"/>
    <w:rsid w:val="003046A9"/>
    <w:rsid w:val="00304E7B"/>
    <w:rsid w:val="00304EA1"/>
    <w:rsid w:val="00305014"/>
    <w:rsid w:val="00305287"/>
    <w:rsid w:val="003057F7"/>
    <w:rsid w:val="0030638E"/>
    <w:rsid w:val="00306A9D"/>
    <w:rsid w:val="00306CD0"/>
    <w:rsid w:val="00306E02"/>
    <w:rsid w:val="00307875"/>
    <w:rsid w:val="00307D4A"/>
    <w:rsid w:val="00307DA8"/>
    <w:rsid w:val="0031015F"/>
    <w:rsid w:val="003110BE"/>
    <w:rsid w:val="00311304"/>
    <w:rsid w:val="00313509"/>
    <w:rsid w:val="0031393C"/>
    <w:rsid w:val="003148BE"/>
    <w:rsid w:val="00314CB3"/>
    <w:rsid w:val="003150D1"/>
    <w:rsid w:val="0031512F"/>
    <w:rsid w:val="00315354"/>
    <w:rsid w:val="00315384"/>
    <w:rsid w:val="00315BED"/>
    <w:rsid w:val="00315D22"/>
    <w:rsid w:val="00315F76"/>
    <w:rsid w:val="00316EFD"/>
    <w:rsid w:val="00317790"/>
    <w:rsid w:val="00317D41"/>
    <w:rsid w:val="00320206"/>
    <w:rsid w:val="00320624"/>
    <w:rsid w:val="00320C21"/>
    <w:rsid w:val="00321302"/>
    <w:rsid w:val="00321518"/>
    <w:rsid w:val="00321702"/>
    <w:rsid w:val="003222A7"/>
    <w:rsid w:val="00322902"/>
    <w:rsid w:val="00322D0B"/>
    <w:rsid w:val="00322E36"/>
    <w:rsid w:val="00323233"/>
    <w:rsid w:val="00323286"/>
    <w:rsid w:val="00323A0D"/>
    <w:rsid w:val="00323DCB"/>
    <w:rsid w:val="00323FBA"/>
    <w:rsid w:val="003241D0"/>
    <w:rsid w:val="0032498D"/>
    <w:rsid w:val="00324AE2"/>
    <w:rsid w:val="00324DB5"/>
    <w:rsid w:val="00325356"/>
    <w:rsid w:val="0032536A"/>
    <w:rsid w:val="003268A0"/>
    <w:rsid w:val="00326C5B"/>
    <w:rsid w:val="00326CBB"/>
    <w:rsid w:val="00327691"/>
    <w:rsid w:val="003277D7"/>
    <w:rsid w:val="00327F62"/>
    <w:rsid w:val="003301F7"/>
    <w:rsid w:val="003306E4"/>
    <w:rsid w:val="00331072"/>
    <w:rsid w:val="0033111B"/>
    <w:rsid w:val="003315B4"/>
    <w:rsid w:val="00332553"/>
    <w:rsid w:val="0033267D"/>
    <w:rsid w:val="00332ADD"/>
    <w:rsid w:val="00332BC0"/>
    <w:rsid w:val="0033315B"/>
    <w:rsid w:val="00333E62"/>
    <w:rsid w:val="003344C2"/>
    <w:rsid w:val="00334A32"/>
    <w:rsid w:val="003352C4"/>
    <w:rsid w:val="003357D9"/>
    <w:rsid w:val="00335A27"/>
    <w:rsid w:val="0033635D"/>
    <w:rsid w:val="00336A7E"/>
    <w:rsid w:val="003370D8"/>
    <w:rsid w:val="00337A04"/>
    <w:rsid w:val="00337DA1"/>
    <w:rsid w:val="00340654"/>
    <w:rsid w:val="00340658"/>
    <w:rsid w:val="00340AB9"/>
    <w:rsid w:val="00341578"/>
    <w:rsid w:val="0034189B"/>
    <w:rsid w:val="00342D88"/>
    <w:rsid w:val="00342F40"/>
    <w:rsid w:val="00343420"/>
    <w:rsid w:val="00343F6E"/>
    <w:rsid w:val="00343FED"/>
    <w:rsid w:val="0034455A"/>
    <w:rsid w:val="00344FC6"/>
    <w:rsid w:val="003451ED"/>
    <w:rsid w:val="003453DD"/>
    <w:rsid w:val="003461BB"/>
    <w:rsid w:val="003462E7"/>
    <w:rsid w:val="00346613"/>
    <w:rsid w:val="00346F1A"/>
    <w:rsid w:val="003473B8"/>
    <w:rsid w:val="00347841"/>
    <w:rsid w:val="00347A1C"/>
    <w:rsid w:val="00347B46"/>
    <w:rsid w:val="00347DC8"/>
    <w:rsid w:val="0035009A"/>
    <w:rsid w:val="003500E0"/>
    <w:rsid w:val="00350561"/>
    <w:rsid w:val="00350EAA"/>
    <w:rsid w:val="00351017"/>
    <w:rsid w:val="00351680"/>
    <w:rsid w:val="00351747"/>
    <w:rsid w:val="003518B2"/>
    <w:rsid w:val="00352AF4"/>
    <w:rsid w:val="003535A5"/>
    <w:rsid w:val="003537FA"/>
    <w:rsid w:val="00353DE6"/>
    <w:rsid w:val="0035439E"/>
    <w:rsid w:val="00354771"/>
    <w:rsid w:val="00355005"/>
    <w:rsid w:val="003552F1"/>
    <w:rsid w:val="0035540C"/>
    <w:rsid w:val="0035598E"/>
    <w:rsid w:val="00356598"/>
    <w:rsid w:val="003573F0"/>
    <w:rsid w:val="003575CB"/>
    <w:rsid w:val="00357694"/>
    <w:rsid w:val="00360797"/>
    <w:rsid w:val="00360CB1"/>
    <w:rsid w:val="003618C7"/>
    <w:rsid w:val="00361FFA"/>
    <w:rsid w:val="0036214D"/>
    <w:rsid w:val="0036218A"/>
    <w:rsid w:val="0036330A"/>
    <w:rsid w:val="003634B7"/>
    <w:rsid w:val="003635C8"/>
    <w:rsid w:val="003636D4"/>
    <w:rsid w:val="00364B2E"/>
    <w:rsid w:val="00364BD0"/>
    <w:rsid w:val="00364D65"/>
    <w:rsid w:val="00364EB8"/>
    <w:rsid w:val="0036534F"/>
    <w:rsid w:val="0036550C"/>
    <w:rsid w:val="00365514"/>
    <w:rsid w:val="003663E5"/>
    <w:rsid w:val="00366A4B"/>
    <w:rsid w:val="003670CF"/>
    <w:rsid w:val="0036713D"/>
    <w:rsid w:val="003675CE"/>
    <w:rsid w:val="003678C0"/>
    <w:rsid w:val="00367E3C"/>
    <w:rsid w:val="003702BA"/>
    <w:rsid w:val="00370942"/>
    <w:rsid w:val="00370D38"/>
    <w:rsid w:val="003716E6"/>
    <w:rsid w:val="00371949"/>
    <w:rsid w:val="00371972"/>
    <w:rsid w:val="00371A1E"/>
    <w:rsid w:val="00371BEE"/>
    <w:rsid w:val="00372068"/>
    <w:rsid w:val="003722B2"/>
    <w:rsid w:val="00372A2F"/>
    <w:rsid w:val="00372F29"/>
    <w:rsid w:val="00373155"/>
    <w:rsid w:val="003738E8"/>
    <w:rsid w:val="00373945"/>
    <w:rsid w:val="0037395B"/>
    <w:rsid w:val="00373E30"/>
    <w:rsid w:val="00374997"/>
    <w:rsid w:val="00374AB5"/>
    <w:rsid w:val="00374CCA"/>
    <w:rsid w:val="00375957"/>
    <w:rsid w:val="00375D53"/>
    <w:rsid w:val="00375D6D"/>
    <w:rsid w:val="003762FC"/>
    <w:rsid w:val="003772A9"/>
    <w:rsid w:val="003777AC"/>
    <w:rsid w:val="003778F5"/>
    <w:rsid w:val="0038027C"/>
    <w:rsid w:val="00380656"/>
    <w:rsid w:val="003808A0"/>
    <w:rsid w:val="003809C3"/>
    <w:rsid w:val="00380C05"/>
    <w:rsid w:val="003810EA"/>
    <w:rsid w:val="00381CDF"/>
    <w:rsid w:val="00382555"/>
    <w:rsid w:val="00382F6C"/>
    <w:rsid w:val="0038304D"/>
    <w:rsid w:val="00383569"/>
    <w:rsid w:val="0038375E"/>
    <w:rsid w:val="00383D0C"/>
    <w:rsid w:val="00383E10"/>
    <w:rsid w:val="00384209"/>
    <w:rsid w:val="003842DA"/>
    <w:rsid w:val="00385202"/>
    <w:rsid w:val="0038571B"/>
    <w:rsid w:val="00385CC8"/>
    <w:rsid w:val="00385D5A"/>
    <w:rsid w:val="00386416"/>
    <w:rsid w:val="00386925"/>
    <w:rsid w:val="003869EB"/>
    <w:rsid w:val="00386FF7"/>
    <w:rsid w:val="00387A3E"/>
    <w:rsid w:val="00387B30"/>
    <w:rsid w:val="00387D2A"/>
    <w:rsid w:val="00387EF6"/>
    <w:rsid w:val="00390198"/>
    <w:rsid w:val="00390376"/>
    <w:rsid w:val="003903A5"/>
    <w:rsid w:val="0039043D"/>
    <w:rsid w:val="00391025"/>
    <w:rsid w:val="00391082"/>
    <w:rsid w:val="00391BF0"/>
    <w:rsid w:val="003922CF"/>
    <w:rsid w:val="003922DC"/>
    <w:rsid w:val="003923CC"/>
    <w:rsid w:val="00393060"/>
    <w:rsid w:val="003933C3"/>
    <w:rsid w:val="00393CB6"/>
    <w:rsid w:val="00394C33"/>
    <w:rsid w:val="003951D5"/>
    <w:rsid w:val="00395653"/>
    <w:rsid w:val="00396378"/>
    <w:rsid w:val="00396CB5"/>
    <w:rsid w:val="00396E44"/>
    <w:rsid w:val="00396F5D"/>
    <w:rsid w:val="0039740B"/>
    <w:rsid w:val="00397880"/>
    <w:rsid w:val="0039788A"/>
    <w:rsid w:val="00397BEA"/>
    <w:rsid w:val="003A0019"/>
    <w:rsid w:val="003A092E"/>
    <w:rsid w:val="003A1706"/>
    <w:rsid w:val="003A2237"/>
    <w:rsid w:val="003A2409"/>
    <w:rsid w:val="003A2430"/>
    <w:rsid w:val="003A2A69"/>
    <w:rsid w:val="003A2FC8"/>
    <w:rsid w:val="003A30E1"/>
    <w:rsid w:val="003A3104"/>
    <w:rsid w:val="003A3106"/>
    <w:rsid w:val="003A315F"/>
    <w:rsid w:val="003A3DBE"/>
    <w:rsid w:val="003A4035"/>
    <w:rsid w:val="003A4365"/>
    <w:rsid w:val="003A459C"/>
    <w:rsid w:val="003A4675"/>
    <w:rsid w:val="003A4AC2"/>
    <w:rsid w:val="003A4B86"/>
    <w:rsid w:val="003A4DE9"/>
    <w:rsid w:val="003A501C"/>
    <w:rsid w:val="003A51F8"/>
    <w:rsid w:val="003A5241"/>
    <w:rsid w:val="003A5D4E"/>
    <w:rsid w:val="003A5D85"/>
    <w:rsid w:val="003A61F8"/>
    <w:rsid w:val="003A6721"/>
    <w:rsid w:val="003A6F33"/>
    <w:rsid w:val="003A7081"/>
    <w:rsid w:val="003A732C"/>
    <w:rsid w:val="003B07E3"/>
    <w:rsid w:val="003B0B10"/>
    <w:rsid w:val="003B13C0"/>
    <w:rsid w:val="003B1569"/>
    <w:rsid w:val="003B16D1"/>
    <w:rsid w:val="003B1A09"/>
    <w:rsid w:val="003B1A51"/>
    <w:rsid w:val="003B2418"/>
    <w:rsid w:val="003B2AD6"/>
    <w:rsid w:val="003B31D8"/>
    <w:rsid w:val="003B32EE"/>
    <w:rsid w:val="003B3608"/>
    <w:rsid w:val="003B368E"/>
    <w:rsid w:val="003B406D"/>
    <w:rsid w:val="003B4214"/>
    <w:rsid w:val="003B46F8"/>
    <w:rsid w:val="003B4706"/>
    <w:rsid w:val="003B4718"/>
    <w:rsid w:val="003B49EB"/>
    <w:rsid w:val="003B4EEE"/>
    <w:rsid w:val="003B57A6"/>
    <w:rsid w:val="003B5CFE"/>
    <w:rsid w:val="003B68DB"/>
    <w:rsid w:val="003B6F53"/>
    <w:rsid w:val="003B77B3"/>
    <w:rsid w:val="003B7879"/>
    <w:rsid w:val="003B78FB"/>
    <w:rsid w:val="003B7D9E"/>
    <w:rsid w:val="003B7E9E"/>
    <w:rsid w:val="003C016B"/>
    <w:rsid w:val="003C044F"/>
    <w:rsid w:val="003C0861"/>
    <w:rsid w:val="003C0AC4"/>
    <w:rsid w:val="003C136C"/>
    <w:rsid w:val="003C17D0"/>
    <w:rsid w:val="003C2421"/>
    <w:rsid w:val="003C2433"/>
    <w:rsid w:val="003C278B"/>
    <w:rsid w:val="003C27B6"/>
    <w:rsid w:val="003C2B0A"/>
    <w:rsid w:val="003C2B5C"/>
    <w:rsid w:val="003C2C6E"/>
    <w:rsid w:val="003C2DEE"/>
    <w:rsid w:val="003C2E6E"/>
    <w:rsid w:val="003C3A1F"/>
    <w:rsid w:val="003C3AE0"/>
    <w:rsid w:val="003C4DEB"/>
    <w:rsid w:val="003C4F58"/>
    <w:rsid w:val="003C5015"/>
    <w:rsid w:val="003C573E"/>
    <w:rsid w:val="003C58F0"/>
    <w:rsid w:val="003C5C66"/>
    <w:rsid w:val="003C5E0A"/>
    <w:rsid w:val="003C636B"/>
    <w:rsid w:val="003C6664"/>
    <w:rsid w:val="003C67D9"/>
    <w:rsid w:val="003C6CB7"/>
    <w:rsid w:val="003C7568"/>
    <w:rsid w:val="003C7714"/>
    <w:rsid w:val="003D04E0"/>
    <w:rsid w:val="003D1101"/>
    <w:rsid w:val="003D124A"/>
    <w:rsid w:val="003D128D"/>
    <w:rsid w:val="003D1440"/>
    <w:rsid w:val="003D16BF"/>
    <w:rsid w:val="003D1825"/>
    <w:rsid w:val="003D269F"/>
    <w:rsid w:val="003D2C1C"/>
    <w:rsid w:val="003D2F94"/>
    <w:rsid w:val="003D3580"/>
    <w:rsid w:val="003D3A65"/>
    <w:rsid w:val="003D4027"/>
    <w:rsid w:val="003D4318"/>
    <w:rsid w:val="003D4AA0"/>
    <w:rsid w:val="003D53A2"/>
    <w:rsid w:val="003D582E"/>
    <w:rsid w:val="003D6E2F"/>
    <w:rsid w:val="003D72BA"/>
    <w:rsid w:val="003D7562"/>
    <w:rsid w:val="003D7B1A"/>
    <w:rsid w:val="003D7B35"/>
    <w:rsid w:val="003D7C8F"/>
    <w:rsid w:val="003E012B"/>
    <w:rsid w:val="003E045A"/>
    <w:rsid w:val="003E0483"/>
    <w:rsid w:val="003E0578"/>
    <w:rsid w:val="003E05E9"/>
    <w:rsid w:val="003E07CC"/>
    <w:rsid w:val="003E0DD2"/>
    <w:rsid w:val="003E13DA"/>
    <w:rsid w:val="003E19FF"/>
    <w:rsid w:val="003E1D16"/>
    <w:rsid w:val="003E2877"/>
    <w:rsid w:val="003E290A"/>
    <w:rsid w:val="003E3234"/>
    <w:rsid w:val="003E3659"/>
    <w:rsid w:val="003E43F5"/>
    <w:rsid w:val="003E4CCA"/>
    <w:rsid w:val="003E5204"/>
    <w:rsid w:val="003E561E"/>
    <w:rsid w:val="003E5C4F"/>
    <w:rsid w:val="003E6F92"/>
    <w:rsid w:val="003E70DF"/>
    <w:rsid w:val="003E7E18"/>
    <w:rsid w:val="003F0670"/>
    <w:rsid w:val="003F0B26"/>
    <w:rsid w:val="003F0F06"/>
    <w:rsid w:val="003F1AA0"/>
    <w:rsid w:val="003F1C10"/>
    <w:rsid w:val="003F20AD"/>
    <w:rsid w:val="003F2735"/>
    <w:rsid w:val="003F32B8"/>
    <w:rsid w:val="003F3C9F"/>
    <w:rsid w:val="003F4339"/>
    <w:rsid w:val="003F4523"/>
    <w:rsid w:val="003F46C5"/>
    <w:rsid w:val="003F486A"/>
    <w:rsid w:val="003F5166"/>
    <w:rsid w:val="003F55D7"/>
    <w:rsid w:val="003F59D8"/>
    <w:rsid w:val="003F5AA4"/>
    <w:rsid w:val="003F60E3"/>
    <w:rsid w:val="003F6379"/>
    <w:rsid w:val="003F647F"/>
    <w:rsid w:val="003F764F"/>
    <w:rsid w:val="003F7D3B"/>
    <w:rsid w:val="004000CA"/>
    <w:rsid w:val="00400192"/>
    <w:rsid w:val="00400357"/>
    <w:rsid w:val="00400C0A"/>
    <w:rsid w:val="00400C37"/>
    <w:rsid w:val="00400EB0"/>
    <w:rsid w:val="00401BD9"/>
    <w:rsid w:val="00401F07"/>
    <w:rsid w:val="00402171"/>
    <w:rsid w:val="00402300"/>
    <w:rsid w:val="00402562"/>
    <w:rsid w:val="00402DF4"/>
    <w:rsid w:val="00403106"/>
    <w:rsid w:val="00403B14"/>
    <w:rsid w:val="0040412A"/>
    <w:rsid w:val="004041E0"/>
    <w:rsid w:val="00405293"/>
    <w:rsid w:val="0040665C"/>
    <w:rsid w:val="00406DBF"/>
    <w:rsid w:val="0040728F"/>
    <w:rsid w:val="004075AF"/>
    <w:rsid w:val="00407735"/>
    <w:rsid w:val="00407961"/>
    <w:rsid w:val="00410640"/>
    <w:rsid w:val="004107A3"/>
    <w:rsid w:val="00411533"/>
    <w:rsid w:val="004119E9"/>
    <w:rsid w:val="00411E9E"/>
    <w:rsid w:val="004123EF"/>
    <w:rsid w:val="00412AB1"/>
    <w:rsid w:val="00412F2B"/>
    <w:rsid w:val="004132BC"/>
    <w:rsid w:val="0041350D"/>
    <w:rsid w:val="004136DB"/>
    <w:rsid w:val="0041420A"/>
    <w:rsid w:val="00414587"/>
    <w:rsid w:val="0041519E"/>
    <w:rsid w:val="00415642"/>
    <w:rsid w:val="004160C0"/>
    <w:rsid w:val="00416598"/>
    <w:rsid w:val="00416CDF"/>
    <w:rsid w:val="00420602"/>
    <w:rsid w:val="00420CEF"/>
    <w:rsid w:val="0042182E"/>
    <w:rsid w:val="00421AFC"/>
    <w:rsid w:val="0042218E"/>
    <w:rsid w:val="004227C1"/>
    <w:rsid w:val="00422DDA"/>
    <w:rsid w:val="004230A1"/>
    <w:rsid w:val="0042314B"/>
    <w:rsid w:val="00423BFB"/>
    <w:rsid w:val="00423CF0"/>
    <w:rsid w:val="00423F0D"/>
    <w:rsid w:val="00424021"/>
    <w:rsid w:val="0042425C"/>
    <w:rsid w:val="00424277"/>
    <w:rsid w:val="004244D7"/>
    <w:rsid w:val="0042471F"/>
    <w:rsid w:val="00424BB1"/>
    <w:rsid w:val="0042535D"/>
    <w:rsid w:val="004261F5"/>
    <w:rsid w:val="00426BB6"/>
    <w:rsid w:val="00426C46"/>
    <w:rsid w:val="004272B0"/>
    <w:rsid w:val="00427EBC"/>
    <w:rsid w:val="004305A0"/>
    <w:rsid w:val="004306F9"/>
    <w:rsid w:val="0043099D"/>
    <w:rsid w:val="00430C5C"/>
    <w:rsid w:val="00430F08"/>
    <w:rsid w:val="004314CB"/>
    <w:rsid w:val="0043189E"/>
    <w:rsid w:val="004327BE"/>
    <w:rsid w:val="00432A59"/>
    <w:rsid w:val="00432B87"/>
    <w:rsid w:val="00432F17"/>
    <w:rsid w:val="004331BB"/>
    <w:rsid w:val="004337A8"/>
    <w:rsid w:val="00434980"/>
    <w:rsid w:val="004349F9"/>
    <w:rsid w:val="0043508C"/>
    <w:rsid w:val="004353AD"/>
    <w:rsid w:val="004359A1"/>
    <w:rsid w:val="00435CD8"/>
    <w:rsid w:val="00435E4A"/>
    <w:rsid w:val="00435F8C"/>
    <w:rsid w:val="00436166"/>
    <w:rsid w:val="0043637C"/>
    <w:rsid w:val="00437210"/>
    <w:rsid w:val="004373DA"/>
    <w:rsid w:val="00437712"/>
    <w:rsid w:val="0043777C"/>
    <w:rsid w:val="00437F5A"/>
    <w:rsid w:val="0044009B"/>
    <w:rsid w:val="004411F0"/>
    <w:rsid w:val="00441584"/>
    <w:rsid w:val="00441CCA"/>
    <w:rsid w:val="004426CE"/>
    <w:rsid w:val="00442D6A"/>
    <w:rsid w:val="00443FD9"/>
    <w:rsid w:val="00444012"/>
    <w:rsid w:val="00444614"/>
    <w:rsid w:val="00444F05"/>
    <w:rsid w:val="0044511B"/>
    <w:rsid w:val="0044529B"/>
    <w:rsid w:val="004453CF"/>
    <w:rsid w:val="004459A8"/>
    <w:rsid w:val="00445C4B"/>
    <w:rsid w:val="004465EF"/>
    <w:rsid w:val="00446CCB"/>
    <w:rsid w:val="00447698"/>
    <w:rsid w:val="004476B9"/>
    <w:rsid w:val="00447E8B"/>
    <w:rsid w:val="004509CF"/>
    <w:rsid w:val="00450C9B"/>
    <w:rsid w:val="00450EB7"/>
    <w:rsid w:val="00451688"/>
    <w:rsid w:val="00451702"/>
    <w:rsid w:val="00451BD2"/>
    <w:rsid w:val="0045217E"/>
    <w:rsid w:val="0045372E"/>
    <w:rsid w:val="00454D9F"/>
    <w:rsid w:val="0045566E"/>
    <w:rsid w:val="004557B8"/>
    <w:rsid w:val="00455AA7"/>
    <w:rsid w:val="0045626D"/>
    <w:rsid w:val="004565F9"/>
    <w:rsid w:val="004567FF"/>
    <w:rsid w:val="00456C82"/>
    <w:rsid w:val="00456CE0"/>
    <w:rsid w:val="00456F59"/>
    <w:rsid w:val="0045709F"/>
    <w:rsid w:val="00457432"/>
    <w:rsid w:val="004575FA"/>
    <w:rsid w:val="00457C04"/>
    <w:rsid w:val="00457E4C"/>
    <w:rsid w:val="00457EAF"/>
    <w:rsid w:val="00460369"/>
    <w:rsid w:val="00460857"/>
    <w:rsid w:val="00460A2A"/>
    <w:rsid w:val="00460BC3"/>
    <w:rsid w:val="00460F75"/>
    <w:rsid w:val="0046139D"/>
    <w:rsid w:val="0046190E"/>
    <w:rsid w:val="00461A33"/>
    <w:rsid w:val="00461BE5"/>
    <w:rsid w:val="00461D69"/>
    <w:rsid w:val="00463066"/>
    <w:rsid w:val="00463369"/>
    <w:rsid w:val="0046349E"/>
    <w:rsid w:val="00463F7B"/>
    <w:rsid w:val="004647A7"/>
    <w:rsid w:val="004649FF"/>
    <w:rsid w:val="00464DAC"/>
    <w:rsid w:val="00464FD2"/>
    <w:rsid w:val="0046536E"/>
    <w:rsid w:val="004658BD"/>
    <w:rsid w:val="0046631C"/>
    <w:rsid w:val="0046683E"/>
    <w:rsid w:val="00466BC2"/>
    <w:rsid w:val="00466DEC"/>
    <w:rsid w:val="0046713E"/>
    <w:rsid w:val="00467157"/>
    <w:rsid w:val="0046726C"/>
    <w:rsid w:val="00467318"/>
    <w:rsid w:val="0046776D"/>
    <w:rsid w:val="00467D74"/>
    <w:rsid w:val="004704FB"/>
    <w:rsid w:val="00470918"/>
    <w:rsid w:val="004716B3"/>
    <w:rsid w:val="00471EE2"/>
    <w:rsid w:val="00472050"/>
    <w:rsid w:val="00472194"/>
    <w:rsid w:val="00472678"/>
    <w:rsid w:val="00472D65"/>
    <w:rsid w:val="004733C8"/>
    <w:rsid w:val="0047374E"/>
    <w:rsid w:val="004737C1"/>
    <w:rsid w:val="004737D6"/>
    <w:rsid w:val="0047384A"/>
    <w:rsid w:val="00473A8D"/>
    <w:rsid w:val="00474ABE"/>
    <w:rsid w:val="004750F5"/>
    <w:rsid w:val="00475A16"/>
    <w:rsid w:val="00475A36"/>
    <w:rsid w:val="00475F47"/>
    <w:rsid w:val="004766CF"/>
    <w:rsid w:val="004767F7"/>
    <w:rsid w:val="00476A37"/>
    <w:rsid w:val="00476BD4"/>
    <w:rsid w:val="00476C7D"/>
    <w:rsid w:val="00477572"/>
    <w:rsid w:val="00477660"/>
    <w:rsid w:val="00477727"/>
    <w:rsid w:val="00477CF9"/>
    <w:rsid w:val="00480546"/>
    <w:rsid w:val="004805D5"/>
    <w:rsid w:val="004805E8"/>
    <w:rsid w:val="0048089E"/>
    <w:rsid w:val="0048160A"/>
    <w:rsid w:val="004818F0"/>
    <w:rsid w:val="004827B3"/>
    <w:rsid w:val="00482D6D"/>
    <w:rsid w:val="004839C0"/>
    <w:rsid w:val="0048421D"/>
    <w:rsid w:val="00484B7A"/>
    <w:rsid w:val="00484C96"/>
    <w:rsid w:val="004854CB"/>
    <w:rsid w:val="00485615"/>
    <w:rsid w:val="004857EA"/>
    <w:rsid w:val="00485DAF"/>
    <w:rsid w:val="004862B3"/>
    <w:rsid w:val="004865B3"/>
    <w:rsid w:val="00486BE5"/>
    <w:rsid w:val="004872FC"/>
    <w:rsid w:val="00487DC7"/>
    <w:rsid w:val="00487EDC"/>
    <w:rsid w:val="00490CAF"/>
    <w:rsid w:val="00491654"/>
    <w:rsid w:val="004917E9"/>
    <w:rsid w:val="00491A29"/>
    <w:rsid w:val="00491A49"/>
    <w:rsid w:val="00492CA7"/>
    <w:rsid w:val="00493244"/>
    <w:rsid w:val="00493E9D"/>
    <w:rsid w:val="004944DB"/>
    <w:rsid w:val="00494D45"/>
    <w:rsid w:val="00495C0C"/>
    <w:rsid w:val="00496188"/>
    <w:rsid w:val="0049677D"/>
    <w:rsid w:val="00496AD7"/>
    <w:rsid w:val="00496B33"/>
    <w:rsid w:val="00497171"/>
    <w:rsid w:val="004974F0"/>
    <w:rsid w:val="00497514"/>
    <w:rsid w:val="004979D8"/>
    <w:rsid w:val="00497F63"/>
    <w:rsid w:val="00497FE4"/>
    <w:rsid w:val="004A038D"/>
    <w:rsid w:val="004A057F"/>
    <w:rsid w:val="004A07EF"/>
    <w:rsid w:val="004A0C3F"/>
    <w:rsid w:val="004A11B4"/>
    <w:rsid w:val="004A15D1"/>
    <w:rsid w:val="004A16F3"/>
    <w:rsid w:val="004A18C6"/>
    <w:rsid w:val="004A2106"/>
    <w:rsid w:val="004A25BD"/>
    <w:rsid w:val="004A26C2"/>
    <w:rsid w:val="004A2C35"/>
    <w:rsid w:val="004A305A"/>
    <w:rsid w:val="004A3613"/>
    <w:rsid w:val="004A3C81"/>
    <w:rsid w:val="004A3F65"/>
    <w:rsid w:val="004A43D1"/>
    <w:rsid w:val="004A49AE"/>
    <w:rsid w:val="004A4A6C"/>
    <w:rsid w:val="004A4E17"/>
    <w:rsid w:val="004A4E43"/>
    <w:rsid w:val="004A4F26"/>
    <w:rsid w:val="004A54CF"/>
    <w:rsid w:val="004A5F0C"/>
    <w:rsid w:val="004A60E0"/>
    <w:rsid w:val="004A66CA"/>
    <w:rsid w:val="004A7708"/>
    <w:rsid w:val="004A782D"/>
    <w:rsid w:val="004A7CEC"/>
    <w:rsid w:val="004A7E68"/>
    <w:rsid w:val="004B0424"/>
    <w:rsid w:val="004B0AD7"/>
    <w:rsid w:val="004B0D82"/>
    <w:rsid w:val="004B1194"/>
    <w:rsid w:val="004B187D"/>
    <w:rsid w:val="004B1AA5"/>
    <w:rsid w:val="004B2740"/>
    <w:rsid w:val="004B347A"/>
    <w:rsid w:val="004B3885"/>
    <w:rsid w:val="004B3ADC"/>
    <w:rsid w:val="004B3C6E"/>
    <w:rsid w:val="004B4167"/>
    <w:rsid w:val="004B42C1"/>
    <w:rsid w:val="004B4314"/>
    <w:rsid w:val="004B5460"/>
    <w:rsid w:val="004B600F"/>
    <w:rsid w:val="004B6304"/>
    <w:rsid w:val="004B66F9"/>
    <w:rsid w:val="004B6892"/>
    <w:rsid w:val="004B696A"/>
    <w:rsid w:val="004B6A13"/>
    <w:rsid w:val="004B6B84"/>
    <w:rsid w:val="004B6F04"/>
    <w:rsid w:val="004B6FEA"/>
    <w:rsid w:val="004B7321"/>
    <w:rsid w:val="004B7B27"/>
    <w:rsid w:val="004C00AE"/>
    <w:rsid w:val="004C08B6"/>
    <w:rsid w:val="004C0B63"/>
    <w:rsid w:val="004C0C91"/>
    <w:rsid w:val="004C13DB"/>
    <w:rsid w:val="004C1787"/>
    <w:rsid w:val="004C19E4"/>
    <w:rsid w:val="004C2015"/>
    <w:rsid w:val="004C24B7"/>
    <w:rsid w:val="004C265B"/>
    <w:rsid w:val="004C2DB1"/>
    <w:rsid w:val="004C30A1"/>
    <w:rsid w:val="004C329D"/>
    <w:rsid w:val="004C3716"/>
    <w:rsid w:val="004C3B59"/>
    <w:rsid w:val="004C3DC3"/>
    <w:rsid w:val="004C3FFD"/>
    <w:rsid w:val="004C4B9E"/>
    <w:rsid w:val="004C4BEB"/>
    <w:rsid w:val="004C4CCF"/>
    <w:rsid w:val="004C4FEB"/>
    <w:rsid w:val="004C5813"/>
    <w:rsid w:val="004C601E"/>
    <w:rsid w:val="004C6260"/>
    <w:rsid w:val="004C6335"/>
    <w:rsid w:val="004C6BFC"/>
    <w:rsid w:val="004C6E12"/>
    <w:rsid w:val="004C6E2C"/>
    <w:rsid w:val="004C74BA"/>
    <w:rsid w:val="004C766A"/>
    <w:rsid w:val="004C7C66"/>
    <w:rsid w:val="004C7CD8"/>
    <w:rsid w:val="004D0040"/>
    <w:rsid w:val="004D0096"/>
    <w:rsid w:val="004D035A"/>
    <w:rsid w:val="004D03AE"/>
    <w:rsid w:val="004D0DE5"/>
    <w:rsid w:val="004D1A43"/>
    <w:rsid w:val="004D1DC7"/>
    <w:rsid w:val="004D23E4"/>
    <w:rsid w:val="004D245E"/>
    <w:rsid w:val="004D26C4"/>
    <w:rsid w:val="004D2798"/>
    <w:rsid w:val="004D31E1"/>
    <w:rsid w:val="004D33F5"/>
    <w:rsid w:val="004D3951"/>
    <w:rsid w:val="004D3C30"/>
    <w:rsid w:val="004D5034"/>
    <w:rsid w:val="004D528B"/>
    <w:rsid w:val="004D5630"/>
    <w:rsid w:val="004D577F"/>
    <w:rsid w:val="004D6434"/>
    <w:rsid w:val="004D66A4"/>
    <w:rsid w:val="004D6B1B"/>
    <w:rsid w:val="004D6E50"/>
    <w:rsid w:val="004D704A"/>
    <w:rsid w:val="004D74EC"/>
    <w:rsid w:val="004E00AC"/>
    <w:rsid w:val="004E0354"/>
    <w:rsid w:val="004E1D34"/>
    <w:rsid w:val="004E270D"/>
    <w:rsid w:val="004E2751"/>
    <w:rsid w:val="004E3317"/>
    <w:rsid w:val="004E332A"/>
    <w:rsid w:val="004E3F83"/>
    <w:rsid w:val="004E44E3"/>
    <w:rsid w:val="004E4515"/>
    <w:rsid w:val="004E4656"/>
    <w:rsid w:val="004E4700"/>
    <w:rsid w:val="004E4791"/>
    <w:rsid w:val="004E4824"/>
    <w:rsid w:val="004E68E0"/>
    <w:rsid w:val="004E69E1"/>
    <w:rsid w:val="004F0196"/>
    <w:rsid w:val="004F03FE"/>
    <w:rsid w:val="004F06A0"/>
    <w:rsid w:val="004F08DA"/>
    <w:rsid w:val="004F09B7"/>
    <w:rsid w:val="004F0B59"/>
    <w:rsid w:val="004F0DF7"/>
    <w:rsid w:val="004F110B"/>
    <w:rsid w:val="004F136C"/>
    <w:rsid w:val="004F13EC"/>
    <w:rsid w:val="004F17A4"/>
    <w:rsid w:val="004F19A8"/>
    <w:rsid w:val="004F19EE"/>
    <w:rsid w:val="004F21FB"/>
    <w:rsid w:val="004F286C"/>
    <w:rsid w:val="004F337A"/>
    <w:rsid w:val="004F4166"/>
    <w:rsid w:val="004F41F7"/>
    <w:rsid w:val="004F5D81"/>
    <w:rsid w:val="004F5FB4"/>
    <w:rsid w:val="004F6336"/>
    <w:rsid w:val="004F66D2"/>
    <w:rsid w:val="004F6775"/>
    <w:rsid w:val="004F67E4"/>
    <w:rsid w:val="004F6EDB"/>
    <w:rsid w:val="004F779C"/>
    <w:rsid w:val="004F7974"/>
    <w:rsid w:val="004F7FCE"/>
    <w:rsid w:val="00500E26"/>
    <w:rsid w:val="00501797"/>
    <w:rsid w:val="00501823"/>
    <w:rsid w:val="00501A42"/>
    <w:rsid w:val="00501BB0"/>
    <w:rsid w:val="00503178"/>
    <w:rsid w:val="005036DE"/>
    <w:rsid w:val="005044AD"/>
    <w:rsid w:val="00504A66"/>
    <w:rsid w:val="00504DF3"/>
    <w:rsid w:val="005051C2"/>
    <w:rsid w:val="00505667"/>
    <w:rsid w:val="00505DBF"/>
    <w:rsid w:val="00506137"/>
    <w:rsid w:val="00506181"/>
    <w:rsid w:val="00506750"/>
    <w:rsid w:val="005069E7"/>
    <w:rsid w:val="00506F2E"/>
    <w:rsid w:val="005071FF"/>
    <w:rsid w:val="0050732F"/>
    <w:rsid w:val="00507482"/>
    <w:rsid w:val="005077D6"/>
    <w:rsid w:val="00510446"/>
    <w:rsid w:val="00510593"/>
    <w:rsid w:val="00510F17"/>
    <w:rsid w:val="005123FE"/>
    <w:rsid w:val="005125A1"/>
    <w:rsid w:val="0051269B"/>
    <w:rsid w:val="005126DA"/>
    <w:rsid w:val="0051270D"/>
    <w:rsid w:val="00512C1B"/>
    <w:rsid w:val="00513445"/>
    <w:rsid w:val="0051346B"/>
    <w:rsid w:val="00513834"/>
    <w:rsid w:val="00513C71"/>
    <w:rsid w:val="0051406E"/>
    <w:rsid w:val="005142B9"/>
    <w:rsid w:val="005147F5"/>
    <w:rsid w:val="00514922"/>
    <w:rsid w:val="00514B65"/>
    <w:rsid w:val="00514E6F"/>
    <w:rsid w:val="00515681"/>
    <w:rsid w:val="005157A0"/>
    <w:rsid w:val="00515F57"/>
    <w:rsid w:val="005161F8"/>
    <w:rsid w:val="005163BF"/>
    <w:rsid w:val="005164CD"/>
    <w:rsid w:val="0051665B"/>
    <w:rsid w:val="00516ABC"/>
    <w:rsid w:val="00516AC3"/>
    <w:rsid w:val="00516B15"/>
    <w:rsid w:val="00516B7A"/>
    <w:rsid w:val="00517201"/>
    <w:rsid w:val="00520319"/>
    <w:rsid w:val="00521770"/>
    <w:rsid w:val="0052204D"/>
    <w:rsid w:val="005221AC"/>
    <w:rsid w:val="0052231E"/>
    <w:rsid w:val="00522AF2"/>
    <w:rsid w:val="00522BA5"/>
    <w:rsid w:val="0052378C"/>
    <w:rsid w:val="00523958"/>
    <w:rsid w:val="00523B92"/>
    <w:rsid w:val="005242A9"/>
    <w:rsid w:val="0052431F"/>
    <w:rsid w:val="0052486F"/>
    <w:rsid w:val="005248B2"/>
    <w:rsid w:val="00524B4C"/>
    <w:rsid w:val="00524EEE"/>
    <w:rsid w:val="00524F2D"/>
    <w:rsid w:val="0052503B"/>
    <w:rsid w:val="00525B73"/>
    <w:rsid w:val="00525FD6"/>
    <w:rsid w:val="005260FD"/>
    <w:rsid w:val="00526354"/>
    <w:rsid w:val="0052635E"/>
    <w:rsid w:val="00527109"/>
    <w:rsid w:val="00527848"/>
    <w:rsid w:val="0052793C"/>
    <w:rsid w:val="00527AF9"/>
    <w:rsid w:val="00527D5C"/>
    <w:rsid w:val="00530129"/>
    <w:rsid w:val="0053026B"/>
    <w:rsid w:val="005305BB"/>
    <w:rsid w:val="00530867"/>
    <w:rsid w:val="00530D07"/>
    <w:rsid w:val="00530DE8"/>
    <w:rsid w:val="00530EDD"/>
    <w:rsid w:val="00531F0A"/>
    <w:rsid w:val="00531FCB"/>
    <w:rsid w:val="005321E3"/>
    <w:rsid w:val="0053227F"/>
    <w:rsid w:val="00532935"/>
    <w:rsid w:val="00532C1D"/>
    <w:rsid w:val="00533329"/>
    <w:rsid w:val="0053355A"/>
    <w:rsid w:val="0053359D"/>
    <w:rsid w:val="00534ADA"/>
    <w:rsid w:val="00535171"/>
    <w:rsid w:val="00535432"/>
    <w:rsid w:val="0053578A"/>
    <w:rsid w:val="00535FD2"/>
    <w:rsid w:val="0053658C"/>
    <w:rsid w:val="005375E2"/>
    <w:rsid w:val="005379BC"/>
    <w:rsid w:val="00537FCF"/>
    <w:rsid w:val="00540168"/>
    <w:rsid w:val="00540312"/>
    <w:rsid w:val="00540956"/>
    <w:rsid w:val="00540CF4"/>
    <w:rsid w:val="005411B4"/>
    <w:rsid w:val="0054198E"/>
    <w:rsid w:val="00541BDA"/>
    <w:rsid w:val="00541C58"/>
    <w:rsid w:val="00541EF0"/>
    <w:rsid w:val="0054248B"/>
    <w:rsid w:val="00542828"/>
    <w:rsid w:val="0054291F"/>
    <w:rsid w:val="00542A5D"/>
    <w:rsid w:val="00542E09"/>
    <w:rsid w:val="00543586"/>
    <w:rsid w:val="00543D8D"/>
    <w:rsid w:val="00543FF1"/>
    <w:rsid w:val="00544A9A"/>
    <w:rsid w:val="00545840"/>
    <w:rsid w:val="00545C8D"/>
    <w:rsid w:val="0054620C"/>
    <w:rsid w:val="00546B22"/>
    <w:rsid w:val="00546D0C"/>
    <w:rsid w:val="00547868"/>
    <w:rsid w:val="00547A17"/>
    <w:rsid w:val="00547AED"/>
    <w:rsid w:val="00547D89"/>
    <w:rsid w:val="00547F3D"/>
    <w:rsid w:val="00550767"/>
    <w:rsid w:val="005511CF"/>
    <w:rsid w:val="00551B5C"/>
    <w:rsid w:val="00551FFA"/>
    <w:rsid w:val="00552468"/>
    <w:rsid w:val="00552672"/>
    <w:rsid w:val="00552CDC"/>
    <w:rsid w:val="00553C97"/>
    <w:rsid w:val="005540AD"/>
    <w:rsid w:val="005547B2"/>
    <w:rsid w:val="00554ABD"/>
    <w:rsid w:val="00554D68"/>
    <w:rsid w:val="005559E4"/>
    <w:rsid w:val="00555A62"/>
    <w:rsid w:val="005563F0"/>
    <w:rsid w:val="005567B3"/>
    <w:rsid w:val="005569C0"/>
    <w:rsid w:val="00556B92"/>
    <w:rsid w:val="00556F4C"/>
    <w:rsid w:val="00557245"/>
    <w:rsid w:val="00557530"/>
    <w:rsid w:val="00557A4A"/>
    <w:rsid w:val="005604A7"/>
    <w:rsid w:val="005605E5"/>
    <w:rsid w:val="00560CAB"/>
    <w:rsid w:val="005618AF"/>
    <w:rsid w:val="00561913"/>
    <w:rsid w:val="00561AF5"/>
    <w:rsid w:val="00561C50"/>
    <w:rsid w:val="00562572"/>
    <w:rsid w:val="0056257A"/>
    <w:rsid w:val="005629D8"/>
    <w:rsid w:val="00563609"/>
    <w:rsid w:val="005641E3"/>
    <w:rsid w:val="005643BC"/>
    <w:rsid w:val="005644FB"/>
    <w:rsid w:val="00564C8C"/>
    <w:rsid w:val="005652E0"/>
    <w:rsid w:val="00565A0A"/>
    <w:rsid w:val="00566087"/>
    <w:rsid w:val="0056668B"/>
    <w:rsid w:val="0056671D"/>
    <w:rsid w:val="0056699A"/>
    <w:rsid w:val="00566B61"/>
    <w:rsid w:val="005670AB"/>
    <w:rsid w:val="005674B6"/>
    <w:rsid w:val="005675A4"/>
    <w:rsid w:val="005678AE"/>
    <w:rsid w:val="00567AE1"/>
    <w:rsid w:val="005700E7"/>
    <w:rsid w:val="00570198"/>
    <w:rsid w:val="00570FE6"/>
    <w:rsid w:val="005711D6"/>
    <w:rsid w:val="005715DA"/>
    <w:rsid w:val="00571651"/>
    <w:rsid w:val="0057170F"/>
    <w:rsid w:val="00571B14"/>
    <w:rsid w:val="00571C3A"/>
    <w:rsid w:val="00571D22"/>
    <w:rsid w:val="00571DCB"/>
    <w:rsid w:val="005720EE"/>
    <w:rsid w:val="005726B9"/>
    <w:rsid w:val="00572CCF"/>
    <w:rsid w:val="00572D0B"/>
    <w:rsid w:val="00572D77"/>
    <w:rsid w:val="0057337F"/>
    <w:rsid w:val="00573553"/>
    <w:rsid w:val="005738A9"/>
    <w:rsid w:val="00574D47"/>
    <w:rsid w:val="00574E1E"/>
    <w:rsid w:val="00574F19"/>
    <w:rsid w:val="00574FBA"/>
    <w:rsid w:val="00575300"/>
    <w:rsid w:val="00575632"/>
    <w:rsid w:val="0057581D"/>
    <w:rsid w:val="00575BA2"/>
    <w:rsid w:val="00576241"/>
    <w:rsid w:val="005768BC"/>
    <w:rsid w:val="00576D6E"/>
    <w:rsid w:val="00576D81"/>
    <w:rsid w:val="00577286"/>
    <w:rsid w:val="005773DE"/>
    <w:rsid w:val="00577A5D"/>
    <w:rsid w:val="00577CF1"/>
    <w:rsid w:val="00577D15"/>
    <w:rsid w:val="00580312"/>
    <w:rsid w:val="00580452"/>
    <w:rsid w:val="00580615"/>
    <w:rsid w:val="00580CAD"/>
    <w:rsid w:val="00582237"/>
    <w:rsid w:val="00582329"/>
    <w:rsid w:val="00582F94"/>
    <w:rsid w:val="00583F86"/>
    <w:rsid w:val="00584175"/>
    <w:rsid w:val="00584B97"/>
    <w:rsid w:val="00584EB8"/>
    <w:rsid w:val="0058559F"/>
    <w:rsid w:val="00585648"/>
    <w:rsid w:val="00586608"/>
    <w:rsid w:val="00586A87"/>
    <w:rsid w:val="00586B33"/>
    <w:rsid w:val="00586BFC"/>
    <w:rsid w:val="00590E93"/>
    <w:rsid w:val="005919C6"/>
    <w:rsid w:val="005925D6"/>
    <w:rsid w:val="00592946"/>
    <w:rsid w:val="005947BC"/>
    <w:rsid w:val="00594B3D"/>
    <w:rsid w:val="00595132"/>
    <w:rsid w:val="00595923"/>
    <w:rsid w:val="00596751"/>
    <w:rsid w:val="00596752"/>
    <w:rsid w:val="005967FE"/>
    <w:rsid w:val="00596F60"/>
    <w:rsid w:val="00597142"/>
    <w:rsid w:val="00597196"/>
    <w:rsid w:val="00597396"/>
    <w:rsid w:val="0059749F"/>
    <w:rsid w:val="005A033F"/>
    <w:rsid w:val="005A21F3"/>
    <w:rsid w:val="005A23BE"/>
    <w:rsid w:val="005A29F3"/>
    <w:rsid w:val="005A3B67"/>
    <w:rsid w:val="005A3BDE"/>
    <w:rsid w:val="005A4A1C"/>
    <w:rsid w:val="005A4ACC"/>
    <w:rsid w:val="005A4C6D"/>
    <w:rsid w:val="005A507B"/>
    <w:rsid w:val="005A5277"/>
    <w:rsid w:val="005A57CA"/>
    <w:rsid w:val="005A581E"/>
    <w:rsid w:val="005A5C06"/>
    <w:rsid w:val="005A6686"/>
    <w:rsid w:val="005A6911"/>
    <w:rsid w:val="005A6AA4"/>
    <w:rsid w:val="005A6DBC"/>
    <w:rsid w:val="005A78E1"/>
    <w:rsid w:val="005B08F3"/>
    <w:rsid w:val="005B0A0F"/>
    <w:rsid w:val="005B0E02"/>
    <w:rsid w:val="005B0FC4"/>
    <w:rsid w:val="005B11DD"/>
    <w:rsid w:val="005B2047"/>
    <w:rsid w:val="005B24B6"/>
    <w:rsid w:val="005B26FA"/>
    <w:rsid w:val="005B27F6"/>
    <w:rsid w:val="005B2910"/>
    <w:rsid w:val="005B2BC7"/>
    <w:rsid w:val="005B2F50"/>
    <w:rsid w:val="005B36E9"/>
    <w:rsid w:val="005B439C"/>
    <w:rsid w:val="005B4729"/>
    <w:rsid w:val="005B4DD4"/>
    <w:rsid w:val="005B51EB"/>
    <w:rsid w:val="005B5363"/>
    <w:rsid w:val="005B569B"/>
    <w:rsid w:val="005B6219"/>
    <w:rsid w:val="005B6CFA"/>
    <w:rsid w:val="005B7AA1"/>
    <w:rsid w:val="005B7ABE"/>
    <w:rsid w:val="005B7CDD"/>
    <w:rsid w:val="005C01FF"/>
    <w:rsid w:val="005C0589"/>
    <w:rsid w:val="005C071E"/>
    <w:rsid w:val="005C0DC2"/>
    <w:rsid w:val="005C0E56"/>
    <w:rsid w:val="005C1112"/>
    <w:rsid w:val="005C27BF"/>
    <w:rsid w:val="005C2942"/>
    <w:rsid w:val="005C2A04"/>
    <w:rsid w:val="005C34EF"/>
    <w:rsid w:val="005C3B3C"/>
    <w:rsid w:val="005C4F1D"/>
    <w:rsid w:val="005C58A5"/>
    <w:rsid w:val="005C5C4A"/>
    <w:rsid w:val="005C5DCA"/>
    <w:rsid w:val="005C60D3"/>
    <w:rsid w:val="005C7426"/>
    <w:rsid w:val="005C791F"/>
    <w:rsid w:val="005C7A4F"/>
    <w:rsid w:val="005D01A6"/>
    <w:rsid w:val="005D0472"/>
    <w:rsid w:val="005D06CD"/>
    <w:rsid w:val="005D0728"/>
    <w:rsid w:val="005D1414"/>
    <w:rsid w:val="005D1C49"/>
    <w:rsid w:val="005D2040"/>
    <w:rsid w:val="005D20AE"/>
    <w:rsid w:val="005D20C4"/>
    <w:rsid w:val="005D2278"/>
    <w:rsid w:val="005D2C90"/>
    <w:rsid w:val="005D2CD3"/>
    <w:rsid w:val="005D2EA4"/>
    <w:rsid w:val="005D31C5"/>
    <w:rsid w:val="005D35A8"/>
    <w:rsid w:val="005D3B28"/>
    <w:rsid w:val="005D4465"/>
    <w:rsid w:val="005D4640"/>
    <w:rsid w:val="005D4723"/>
    <w:rsid w:val="005D478E"/>
    <w:rsid w:val="005D49CF"/>
    <w:rsid w:val="005D6042"/>
    <w:rsid w:val="005D6586"/>
    <w:rsid w:val="005D65B9"/>
    <w:rsid w:val="005D7214"/>
    <w:rsid w:val="005D774B"/>
    <w:rsid w:val="005D7A96"/>
    <w:rsid w:val="005D7F91"/>
    <w:rsid w:val="005E0B17"/>
    <w:rsid w:val="005E0B9A"/>
    <w:rsid w:val="005E0C4D"/>
    <w:rsid w:val="005E0E6C"/>
    <w:rsid w:val="005E0E87"/>
    <w:rsid w:val="005E1B3C"/>
    <w:rsid w:val="005E1E42"/>
    <w:rsid w:val="005E1FCD"/>
    <w:rsid w:val="005E2193"/>
    <w:rsid w:val="005E3133"/>
    <w:rsid w:val="005E329E"/>
    <w:rsid w:val="005E3BF5"/>
    <w:rsid w:val="005E43E8"/>
    <w:rsid w:val="005E5339"/>
    <w:rsid w:val="005E555D"/>
    <w:rsid w:val="005E55BA"/>
    <w:rsid w:val="005E5862"/>
    <w:rsid w:val="005E5F9B"/>
    <w:rsid w:val="005E63BF"/>
    <w:rsid w:val="005E6807"/>
    <w:rsid w:val="005E6D28"/>
    <w:rsid w:val="005E6D80"/>
    <w:rsid w:val="005E6FAD"/>
    <w:rsid w:val="005E6FC7"/>
    <w:rsid w:val="005E736A"/>
    <w:rsid w:val="005F018F"/>
    <w:rsid w:val="005F089E"/>
    <w:rsid w:val="005F1C22"/>
    <w:rsid w:val="005F2CD8"/>
    <w:rsid w:val="005F337B"/>
    <w:rsid w:val="005F3FDA"/>
    <w:rsid w:val="005F413C"/>
    <w:rsid w:val="005F48E1"/>
    <w:rsid w:val="005F5B86"/>
    <w:rsid w:val="005F5D79"/>
    <w:rsid w:val="005F6615"/>
    <w:rsid w:val="005F67CB"/>
    <w:rsid w:val="005F6E95"/>
    <w:rsid w:val="005F7076"/>
    <w:rsid w:val="005F71E4"/>
    <w:rsid w:val="005F74FF"/>
    <w:rsid w:val="005F768B"/>
    <w:rsid w:val="005F7851"/>
    <w:rsid w:val="00600F9B"/>
    <w:rsid w:val="00601A68"/>
    <w:rsid w:val="00601B35"/>
    <w:rsid w:val="00602100"/>
    <w:rsid w:val="0060281E"/>
    <w:rsid w:val="00602970"/>
    <w:rsid w:val="00602A1B"/>
    <w:rsid w:val="00602B45"/>
    <w:rsid w:val="00602DD5"/>
    <w:rsid w:val="00603066"/>
    <w:rsid w:val="0060357C"/>
    <w:rsid w:val="00603691"/>
    <w:rsid w:val="00603CF2"/>
    <w:rsid w:val="00603E91"/>
    <w:rsid w:val="00604065"/>
    <w:rsid w:val="006042C1"/>
    <w:rsid w:val="00604466"/>
    <w:rsid w:val="00604524"/>
    <w:rsid w:val="00604CA9"/>
    <w:rsid w:val="00604CF6"/>
    <w:rsid w:val="00605107"/>
    <w:rsid w:val="0060554A"/>
    <w:rsid w:val="00605A62"/>
    <w:rsid w:val="0060691B"/>
    <w:rsid w:val="0060694A"/>
    <w:rsid w:val="00606A32"/>
    <w:rsid w:val="00606ED9"/>
    <w:rsid w:val="00606F45"/>
    <w:rsid w:val="00607191"/>
    <w:rsid w:val="00607353"/>
    <w:rsid w:val="0060741E"/>
    <w:rsid w:val="0060745A"/>
    <w:rsid w:val="00607EFB"/>
    <w:rsid w:val="00610008"/>
    <w:rsid w:val="00610201"/>
    <w:rsid w:val="006113A4"/>
    <w:rsid w:val="00611E73"/>
    <w:rsid w:val="006135E8"/>
    <w:rsid w:val="00614DE9"/>
    <w:rsid w:val="006150F8"/>
    <w:rsid w:val="00615AE9"/>
    <w:rsid w:val="00615BB0"/>
    <w:rsid w:val="00615CC8"/>
    <w:rsid w:val="006160DC"/>
    <w:rsid w:val="00616252"/>
    <w:rsid w:val="00616323"/>
    <w:rsid w:val="00616731"/>
    <w:rsid w:val="006167D3"/>
    <w:rsid w:val="00616A93"/>
    <w:rsid w:val="00616CFB"/>
    <w:rsid w:val="0061797F"/>
    <w:rsid w:val="00617F9F"/>
    <w:rsid w:val="006201C5"/>
    <w:rsid w:val="00620E32"/>
    <w:rsid w:val="006210D7"/>
    <w:rsid w:val="006211DF"/>
    <w:rsid w:val="00621546"/>
    <w:rsid w:val="00621D97"/>
    <w:rsid w:val="00622036"/>
    <w:rsid w:val="0062260D"/>
    <w:rsid w:val="00622611"/>
    <w:rsid w:val="00622D10"/>
    <w:rsid w:val="00623A3B"/>
    <w:rsid w:val="00623C6C"/>
    <w:rsid w:val="00624C02"/>
    <w:rsid w:val="0062573C"/>
    <w:rsid w:val="00625CC6"/>
    <w:rsid w:val="006274FF"/>
    <w:rsid w:val="0062798E"/>
    <w:rsid w:val="00627B3E"/>
    <w:rsid w:val="00630534"/>
    <w:rsid w:val="0063079A"/>
    <w:rsid w:val="006307C7"/>
    <w:rsid w:val="0063089A"/>
    <w:rsid w:val="00630962"/>
    <w:rsid w:val="00631656"/>
    <w:rsid w:val="00631B7D"/>
    <w:rsid w:val="00631FA2"/>
    <w:rsid w:val="00632FE6"/>
    <w:rsid w:val="006332A5"/>
    <w:rsid w:val="0063335E"/>
    <w:rsid w:val="0063360F"/>
    <w:rsid w:val="00633D05"/>
    <w:rsid w:val="00633E30"/>
    <w:rsid w:val="00634119"/>
    <w:rsid w:val="00635287"/>
    <w:rsid w:val="0063529E"/>
    <w:rsid w:val="0063572F"/>
    <w:rsid w:val="00635D9A"/>
    <w:rsid w:val="006367A9"/>
    <w:rsid w:val="00636E36"/>
    <w:rsid w:val="00636F9C"/>
    <w:rsid w:val="00637780"/>
    <w:rsid w:val="00637A95"/>
    <w:rsid w:val="006401E3"/>
    <w:rsid w:val="006408A2"/>
    <w:rsid w:val="006409A5"/>
    <w:rsid w:val="00640BE6"/>
    <w:rsid w:val="00640C83"/>
    <w:rsid w:val="00640FC3"/>
    <w:rsid w:val="006414E9"/>
    <w:rsid w:val="00641884"/>
    <w:rsid w:val="006422ED"/>
    <w:rsid w:val="006426F6"/>
    <w:rsid w:val="00643003"/>
    <w:rsid w:val="0064302F"/>
    <w:rsid w:val="00644CA3"/>
    <w:rsid w:val="00644D0D"/>
    <w:rsid w:val="00644F82"/>
    <w:rsid w:val="00645315"/>
    <w:rsid w:val="00645D38"/>
    <w:rsid w:val="00645E84"/>
    <w:rsid w:val="00645EB2"/>
    <w:rsid w:val="00645F10"/>
    <w:rsid w:val="006460CA"/>
    <w:rsid w:val="00646A89"/>
    <w:rsid w:val="00646B28"/>
    <w:rsid w:val="00646D75"/>
    <w:rsid w:val="006473F3"/>
    <w:rsid w:val="00647BD6"/>
    <w:rsid w:val="00650451"/>
    <w:rsid w:val="006513D4"/>
    <w:rsid w:val="00651847"/>
    <w:rsid w:val="00651944"/>
    <w:rsid w:val="00651CEB"/>
    <w:rsid w:val="00651DBE"/>
    <w:rsid w:val="00652B3B"/>
    <w:rsid w:val="0065372E"/>
    <w:rsid w:val="00653E8A"/>
    <w:rsid w:val="00653EF7"/>
    <w:rsid w:val="00653F9B"/>
    <w:rsid w:val="00654477"/>
    <w:rsid w:val="00654485"/>
    <w:rsid w:val="006545A8"/>
    <w:rsid w:val="006545E3"/>
    <w:rsid w:val="006546AF"/>
    <w:rsid w:val="00654701"/>
    <w:rsid w:val="00654E90"/>
    <w:rsid w:val="00654F25"/>
    <w:rsid w:val="00655A1A"/>
    <w:rsid w:val="00655FD8"/>
    <w:rsid w:val="00656944"/>
    <w:rsid w:val="00656DDE"/>
    <w:rsid w:val="00657104"/>
    <w:rsid w:val="00657DDA"/>
    <w:rsid w:val="00660045"/>
    <w:rsid w:val="0066024B"/>
    <w:rsid w:val="006608BC"/>
    <w:rsid w:val="0066172E"/>
    <w:rsid w:val="00661862"/>
    <w:rsid w:val="00662F69"/>
    <w:rsid w:val="00662F94"/>
    <w:rsid w:val="006634E7"/>
    <w:rsid w:val="00663ADA"/>
    <w:rsid w:val="00663FEF"/>
    <w:rsid w:val="00664176"/>
    <w:rsid w:val="00664330"/>
    <w:rsid w:val="00664830"/>
    <w:rsid w:val="00664F6E"/>
    <w:rsid w:val="00665528"/>
    <w:rsid w:val="0066570C"/>
    <w:rsid w:val="00666AAC"/>
    <w:rsid w:val="0066715B"/>
    <w:rsid w:val="006675CE"/>
    <w:rsid w:val="006676A2"/>
    <w:rsid w:val="00667F4F"/>
    <w:rsid w:val="00670220"/>
    <w:rsid w:val="006708DD"/>
    <w:rsid w:val="00670D28"/>
    <w:rsid w:val="00671586"/>
    <w:rsid w:val="0067183E"/>
    <w:rsid w:val="006718BF"/>
    <w:rsid w:val="00671CA1"/>
    <w:rsid w:val="00671CAE"/>
    <w:rsid w:val="00672E82"/>
    <w:rsid w:val="00672E97"/>
    <w:rsid w:val="0067348E"/>
    <w:rsid w:val="006736BD"/>
    <w:rsid w:val="00673744"/>
    <w:rsid w:val="00673CC9"/>
    <w:rsid w:val="006742E7"/>
    <w:rsid w:val="00675124"/>
    <w:rsid w:val="0067528F"/>
    <w:rsid w:val="006756F4"/>
    <w:rsid w:val="00675E7A"/>
    <w:rsid w:val="00675E9A"/>
    <w:rsid w:val="00676273"/>
    <w:rsid w:val="00676752"/>
    <w:rsid w:val="0067696C"/>
    <w:rsid w:val="0067710B"/>
    <w:rsid w:val="00677527"/>
    <w:rsid w:val="00680184"/>
    <w:rsid w:val="006802EC"/>
    <w:rsid w:val="00680B0E"/>
    <w:rsid w:val="00680BD2"/>
    <w:rsid w:val="006817D6"/>
    <w:rsid w:val="00681D3A"/>
    <w:rsid w:val="00682145"/>
    <w:rsid w:val="0068215B"/>
    <w:rsid w:val="0068264F"/>
    <w:rsid w:val="006826BF"/>
    <w:rsid w:val="006829B5"/>
    <w:rsid w:val="00682B17"/>
    <w:rsid w:val="0068369D"/>
    <w:rsid w:val="00683830"/>
    <w:rsid w:val="00683AC5"/>
    <w:rsid w:val="00684098"/>
    <w:rsid w:val="006840A8"/>
    <w:rsid w:val="006842B3"/>
    <w:rsid w:val="00684719"/>
    <w:rsid w:val="006849EA"/>
    <w:rsid w:val="00684DD4"/>
    <w:rsid w:val="00684FED"/>
    <w:rsid w:val="006852E9"/>
    <w:rsid w:val="00685981"/>
    <w:rsid w:val="00685C41"/>
    <w:rsid w:val="00686A54"/>
    <w:rsid w:val="0068759F"/>
    <w:rsid w:val="0068799E"/>
    <w:rsid w:val="00687A7D"/>
    <w:rsid w:val="006901DC"/>
    <w:rsid w:val="00690676"/>
    <w:rsid w:val="00690E5E"/>
    <w:rsid w:val="0069118E"/>
    <w:rsid w:val="00691201"/>
    <w:rsid w:val="00691CE4"/>
    <w:rsid w:val="0069243D"/>
    <w:rsid w:val="0069244D"/>
    <w:rsid w:val="00692C17"/>
    <w:rsid w:val="00693458"/>
    <w:rsid w:val="00693486"/>
    <w:rsid w:val="0069351B"/>
    <w:rsid w:val="00693E10"/>
    <w:rsid w:val="00694347"/>
    <w:rsid w:val="00694ED2"/>
    <w:rsid w:val="00694F0F"/>
    <w:rsid w:val="00695403"/>
    <w:rsid w:val="00695637"/>
    <w:rsid w:val="00695797"/>
    <w:rsid w:val="0069589C"/>
    <w:rsid w:val="00695D55"/>
    <w:rsid w:val="00695E5A"/>
    <w:rsid w:val="0069686E"/>
    <w:rsid w:val="006973A1"/>
    <w:rsid w:val="0069789A"/>
    <w:rsid w:val="00697978"/>
    <w:rsid w:val="006A034B"/>
    <w:rsid w:val="006A0A29"/>
    <w:rsid w:val="006A0EFB"/>
    <w:rsid w:val="006A1120"/>
    <w:rsid w:val="006A14B9"/>
    <w:rsid w:val="006A183F"/>
    <w:rsid w:val="006A19C8"/>
    <w:rsid w:val="006A1DBD"/>
    <w:rsid w:val="006A23B8"/>
    <w:rsid w:val="006A240C"/>
    <w:rsid w:val="006A2CC5"/>
    <w:rsid w:val="006A388C"/>
    <w:rsid w:val="006A39F1"/>
    <w:rsid w:val="006A3A63"/>
    <w:rsid w:val="006A3FD8"/>
    <w:rsid w:val="006A4066"/>
    <w:rsid w:val="006A41CC"/>
    <w:rsid w:val="006A468F"/>
    <w:rsid w:val="006A53DF"/>
    <w:rsid w:val="006A5480"/>
    <w:rsid w:val="006A54A5"/>
    <w:rsid w:val="006A579E"/>
    <w:rsid w:val="006A58DB"/>
    <w:rsid w:val="006A58F2"/>
    <w:rsid w:val="006A5C8A"/>
    <w:rsid w:val="006A5C8E"/>
    <w:rsid w:val="006A5CF4"/>
    <w:rsid w:val="006A61C8"/>
    <w:rsid w:val="006A6E63"/>
    <w:rsid w:val="006A7EAD"/>
    <w:rsid w:val="006B016D"/>
    <w:rsid w:val="006B040C"/>
    <w:rsid w:val="006B0E74"/>
    <w:rsid w:val="006B1152"/>
    <w:rsid w:val="006B1370"/>
    <w:rsid w:val="006B1400"/>
    <w:rsid w:val="006B1426"/>
    <w:rsid w:val="006B152C"/>
    <w:rsid w:val="006B1744"/>
    <w:rsid w:val="006B1B61"/>
    <w:rsid w:val="006B1D1E"/>
    <w:rsid w:val="006B209F"/>
    <w:rsid w:val="006B2392"/>
    <w:rsid w:val="006B2703"/>
    <w:rsid w:val="006B29A3"/>
    <w:rsid w:val="006B32B1"/>
    <w:rsid w:val="006B343A"/>
    <w:rsid w:val="006B343E"/>
    <w:rsid w:val="006B35B4"/>
    <w:rsid w:val="006B3F21"/>
    <w:rsid w:val="006B3F39"/>
    <w:rsid w:val="006B49C7"/>
    <w:rsid w:val="006B4A02"/>
    <w:rsid w:val="006B4A42"/>
    <w:rsid w:val="006B4A46"/>
    <w:rsid w:val="006B5415"/>
    <w:rsid w:val="006B5A01"/>
    <w:rsid w:val="006B5DD8"/>
    <w:rsid w:val="006B66AF"/>
    <w:rsid w:val="006B6995"/>
    <w:rsid w:val="006B717E"/>
    <w:rsid w:val="006B76FD"/>
    <w:rsid w:val="006C0424"/>
    <w:rsid w:val="006C04DB"/>
    <w:rsid w:val="006C07B7"/>
    <w:rsid w:val="006C0E60"/>
    <w:rsid w:val="006C11F3"/>
    <w:rsid w:val="006C139F"/>
    <w:rsid w:val="006C17E4"/>
    <w:rsid w:val="006C1FEF"/>
    <w:rsid w:val="006C20C9"/>
    <w:rsid w:val="006C2A38"/>
    <w:rsid w:val="006C2AE7"/>
    <w:rsid w:val="006C2B50"/>
    <w:rsid w:val="006C3167"/>
    <w:rsid w:val="006C3232"/>
    <w:rsid w:val="006C3599"/>
    <w:rsid w:val="006C36A3"/>
    <w:rsid w:val="006C3CB6"/>
    <w:rsid w:val="006C45EB"/>
    <w:rsid w:val="006C47EA"/>
    <w:rsid w:val="006C52A6"/>
    <w:rsid w:val="006C5BAD"/>
    <w:rsid w:val="006C5D96"/>
    <w:rsid w:val="006C60C7"/>
    <w:rsid w:val="006C67E7"/>
    <w:rsid w:val="006C7012"/>
    <w:rsid w:val="006C777A"/>
    <w:rsid w:val="006C7C27"/>
    <w:rsid w:val="006C7D43"/>
    <w:rsid w:val="006C7E56"/>
    <w:rsid w:val="006D0951"/>
    <w:rsid w:val="006D0994"/>
    <w:rsid w:val="006D1005"/>
    <w:rsid w:val="006D1B7A"/>
    <w:rsid w:val="006D1D63"/>
    <w:rsid w:val="006D1D8A"/>
    <w:rsid w:val="006D2480"/>
    <w:rsid w:val="006D2A03"/>
    <w:rsid w:val="006D2C47"/>
    <w:rsid w:val="006D37FA"/>
    <w:rsid w:val="006D3F36"/>
    <w:rsid w:val="006D439A"/>
    <w:rsid w:val="006D4623"/>
    <w:rsid w:val="006D465E"/>
    <w:rsid w:val="006D46D6"/>
    <w:rsid w:val="006D5154"/>
    <w:rsid w:val="006D57B3"/>
    <w:rsid w:val="006D57C0"/>
    <w:rsid w:val="006D5980"/>
    <w:rsid w:val="006D5B14"/>
    <w:rsid w:val="006D5BC4"/>
    <w:rsid w:val="006D60F3"/>
    <w:rsid w:val="006D6297"/>
    <w:rsid w:val="006D6499"/>
    <w:rsid w:val="006D6731"/>
    <w:rsid w:val="006D6E5D"/>
    <w:rsid w:val="006D7129"/>
    <w:rsid w:val="006D7294"/>
    <w:rsid w:val="006D7B4E"/>
    <w:rsid w:val="006D7B90"/>
    <w:rsid w:val="006E061F"/>
    <w:rsid w:val="006E16FA"/>
    <w:rsid w:val="006E197A"/>
    <w:rsid w:val="006E1AB5"/>
    <w:rsid w:val="006E1AE5"/>
    <w:rsid w:val="006E2135"/>
    <w:rsid w:val="006E24AD"/>
    <w:rsid w:val="006E290B"/>
    <w:rsid w:val="006E2C2B"/>
    <w:rsid w:val="006E30DB"/>
    <w:rsid w:val="006E365C"/>
    <w:rsid w:val="006E409B"/>
    <w:rsid w:val="006E44CC"/>
    <w:rsid w:val="006E4867"/>
    <w:rsid w:val="006E4C13"/>
    <w:rsid w:val="006E4D66"/>
    <w:rsid w:val="006E539F"/>
    <w:rsid w:val="006E5690"/>
    <w:rsid w:val="006E5775"/>
    <w:rsid w:val="006E5A0C"/>
    <w:rsid w:val="006E5A5D"/>
    <w:rsid w:val="006E6043"/>
    <w:rsid w:val="006E62AE"/>
    <w:rsid w:val="006E6431"/>
    <w:rsid w:val="006E6787"/>
    <w:rsid w:val="006E6B85"/>
    <w:rsid w:val="006E6E85"/>
    <w:rsid w:val="006E7056"/>
    <w:rsid w:val="006E72A5"/>
    <w:rsid w:val="006E7644"/>
    <w:rsid w:val="006F053E"/>
    <w:rsid w:val="006F0679"/>
    <w:rsid w:val="006F08C7"/>
    <w:rsid w:val="006F09C0"/>
    <w:rsid w:val="006F1CC4"/>
    <w:rsid w:val="006F2339"/>
    <w:rsid w:val="006F2858"/>
    <w:rsid w:val="006F2E2F"/>
    <w:rsid w:val="006F3559"/>
    <w:rsid w:val="006F3BDA"/>
    <w:rsid w:val="006F3F74"/>
    <w:rsid w:val="006F41E2"/>
    <w:rsid w:val="006F4702"/>
    <w:rsid w:val="006F4C10"/>
    <w:rsid w:val="006F5581"/>
    <w:rsid w:val="006F6E62"/>
    <w:rsid w:val="006F70EF"/>
    <w:rsid w:val="006F7266"/>
    <w:rsid w:val="006F757E"/>
    <w:rsid w:val="006F77CF"/>
    <w:rsid w:val="006F7A37"/>
    <w:rsid w:val="006F7A75"/>
    <w:rsid w:val="006F7B1C"/>
    <w:rsid w:val="00700594"/>
    <w:rsid w:val="00700A93"/>
    <w:rsid w:val="00700C36"/>
    <w:rsid w:val="00701187"/>
    <w:rsid w:val="0070226B"/>
    <w:rsid w:val="00702A6A"/>
    <w:rsid w:val="00702D11"/>
    <w:rsid w:val="00703381"/>
    <w:rsid w:val="007033E9"/>
    <w:rsid w:val="00703ACC"/>
    <w:rsid w:val="00703B6A"/>
    <w:rsid w:val="0070424D"/>
    <w:rsid w:val="00704313"/>
    <w:rsid w:val="0070437F"/>
    <w:rsid w:val="00704E2B"/>
    <w:rsid w:val="007051E2"/>
    <w:rsid w:val="00705650"/>
    <w:rsid w:val="00705A04"/>
    <w:rsid w:val="00705E27"/>
    <w:rsid w:val="00705F77"/>
    <w:rsid w:val="00706D7E"/>
    <w:rsid w:val="00706F36"/>
    <w:rsid w:val="00710315"/>
    <w:rsid w:val="00710394"/>
    <w:rsid w:val="00710774"/>
    <w:rsid w:val="0071159F"/>
    <w:rsid w:val="00711714"/>
    <w:rsid w:val="00711DF0"/>
    <w:rsid w:val="00711F46"/>
    <w:rsid w:val="00711FA1"/>
    <w:rsid w:val="00712AEE"/>
    <w:rsid w:val="00712C16"/>
    <w:rsid w:val="00712C49"/>
    <w:rsid w:val="0071330E"/>
    <w:rsid w:val="00713DD4"/>
    <w:rsid w:val="00714DE8"/>
    <w:rsid w:val="0071533F"/>
    <w:rsid w:val="00715B0D"/>
    <w:rsid w:val="00715BCD"/>
    <w:rsid w:val="00715E6F"/>
    <w:rsid w:val="00716EBE"/>
    <w:rsid w:val="00716F15"/>
    <w:rsid w:val="00717540"/>
    <w:rsid w:val="00717895"/>
    <w:rsid w:val="007179F8"/>
    <w:rsid w:val="0072017C"/>
    <w:rsid w:val="0072025C"/>
    <w:rsid w:val="00720634"/>
    <w:rsid w:val="007211ED"/>
    <w:rsid w:val="00721A5E"/>
    <w:rsid w:val="007226FF"/>
    <w:rsid w:val="00722734"/>
    <w:rsid w:val="00722880"/>
    <w:rsid w:val="00722A33"/>
    <w:rsid w:val="00723190"/>
    <w:rsid w:val="007235CB"/>
    <w:rsid w:val="00723DD4"/>
    <w:rsid w:val="00724215"/>
    <w:rsid w:val="007242E8"/>
    <w:rsid w:val="00724630"/>
    <w:rsid w:val="00724798"/>
    <w:rsid w:val="007247A3"/>
    <w:rsid w:val="00724A9C"/>
    <w:rsid w:val="00724E77"/>
    <w:rsid w:val="00725456"/>
    <w:rsid w:val="007256FB"/>
    <w:rsid w:val="00725A31"/>
    <w:rsid w:val="00726EA2"/>
    <w:rsid w:val="00726EE9"/>
    <w:rsid w:val="00726F64"/>
    <w:rsid w:val="0072709D"/>
    <w:rsid w:val="007270E2"/>
    <w:rsid w:val="00727511"/>
    <w:rsid w:val="00727BE2"/>
    <w:rsid w:val="00727F4E"/>
    <w:rsid w:val="00730348"/>
    <w:rsid w:val="007313AE"/>
    <w:rsid w:val="00731ABD"/>
    <w:rsid w:val="0073266D"/>
    <w:rsid w:val="007327C1"/>
    <w:rsid w:val="00732A68"/>
    <w:rsid w:val="00733A94"/>
    <w:rsid w:val="007342DD"/>
    <w:rsid w:val="00734442"/>
    <w:rsid w:val="00734C29"/>
    <w:rsid w:val="00734EB7"/>
    <w:rsid w:val="00734F49"/>
    <w:rsid w:val="0073538A"/>
    <w:rsid w:val="0073549F"/>
    <w:rsid w:val="00735AAC"/>
    <w:rsid w:val="007360A6"/>
    <w:rsid w:val="007369D0"/>
    <w:rsid w:val="00736CD8"/>
    <w:rsid w:val="00737AE6"/>
    <w:rsid w:val="00737BF7"/>
    <w:rsid w:val="0074003E"/>
    <w:rsid w:val="007402CB"/>
    <w:rsid w:val="0074111F"/>
    <w:rsid w:val="007415D2"/>
    <w:rsid w:val="00741797"/>
    <w:rsid w:val="007417FA"/>
    <w:rsid w:val="00741B15"/>
    <w:rsid w:val="00741F9E"/>
    <w:rsid w:val="0074224B"/>
    <w:rsid w:val="00742560"/>
    <w:rsid w:val="00743826"/>
    <w:rsid w:val="00743DF1"/>
    <w:rsid w:val="00744245"/>
    <w:rsid w:val="007443D5"/>
    <w:rsid w:val="00744B46"/>
    <w:rsid w:val="00744B87"/>
    <w:rsid w:val="007451AE"/>
    <w:rsid w:val="00745938"/>
    <w:rsid w:val="007467CB"/>
    <w:rsid w:val="007467CC"/>
    <w:rsid w:val="00747931"/>
    <w:rsid w:val="00747A94"/>
    <w:rsid w:val="00750281"/>
    <w:rsid w:val="007505EF"/>
    <w:rsid w:val="007513E7"/>
    <w:rsid w:val="00751DAC"/>
    <w:rsid w:val="0075211D"/>
    <w:rsid w:val="00752363"/>
    <w:rsid w:val="0075279E"/>
    <w:rsid w:val="00752BFF"/>
    <w:rsid w:val="00752C96"/>
    <w:rsid w:val="00752FDF"/>
    <w:rsid w:val="00753704"/>
    <w:rsid w:val="00753C51"/>
    <w:rsid w:val="0075415E"/>
    <w:rsid w:val="00754910"/>
    <w:rsid w:val="00754982"/>
    <w:rsid w:val="00754EF5"/>
    <w:rsid w:val="00755421"/>
    <w:rsid w:val="00755F26"/>
    <w:rsid w:val="00756097"/>
    <w:rsid w:val="00756437"/>
    <w:rsid w:val="00756489"/>
    <w:rsid w:val="007564A9"/>
    <w:rsid w:val="0075669F"/>
    <w:rsid w:val="007569FB"/>
    <w:rsid w:val="00756C65"/>
    <w:rsid w:val="00757AB5"/>
    <w:rsid w:val="00757B57"/>
    <w:rsid w:val="00757D42"/>
    <w:rsid w:val="00757F3F"/>
    <w:rsid w:val="007601BB"/>
    <w:rsid w:val="00760338"/>
    <w:rsid w:val="00760454"/>
    <w:rsid w:val="00760673"/>
    <w:rsid w:val="00760AAE"/>
    <w:rsid w:val="00760BA2"/>
    <w:rsid w:val="00760D25"/>
    <w:rsid w:val="00761245"/>
    <w:rsid w:val="00761E95"/>
    <w:rsid w:val="00762586"/>
    <w:rsid w:val="00763E0B"/>
    <w:rsid w:val="00764AAE"/>
    <w:rsid w:val="0076512A"/>
    <w:rsid w:val="007654CC"/>
    <w:rsid w:val="0076593A"/>
    <w:rsid w:val="00765DF4"/>
    <w:rsid w:val="00765FF0"/>
    <w:rsid w:val="00766447"/>
    <w:rsid w:val="00766801"/>
    <w:rsid w:val="00766AEB"/>
    <w:rsid w:val="00766F6F"/>
    <w:rsid w:val="00766FE9"/>
    <w:rsid w:val="00767899"/>
    <w:rsid w:val="00767F24"/>
    <w:rsid w:val="00770132"/>
    <w:rsid w:val="007701EB"/>
    <w:rsid w:val="007704FD"/>
    <w:rsid w:val="00770A97"/>
    <w:rsid w:val="00770C76"/>
    <w:rsid w:val="00770E1E"/>
    <w:rsid w:val="0077119E"/>
    <w:rsid w:val="0077126F"/>
    <w:rsid w:val="007714EA"/>
    <w:rsid w:val="00771890"/>
    <w:rsid w:val="0077194B"/>
    <w:rsid w:val="00772131"/>
    <w:rsid w:val="00773228"/>
    <w:rsid w:val="007734A5"/>
    <w:rsid w:val="0077419F"/>
    <w:rsid w:val="00774439"/>
    <w:rsid w:val="0077443E"/>
    <w:rsid w:val="00774649"/>
    <w:rsid w:val="00774873"/>
    <w:rsid w:val="00775946"/>
    <w:rsid w:val="00775D81"/>
    <w:rsid w:val="007762A7"/>
    <w:rsid w:val="007762D4"/>
    <w:rsid w:val="007774D0"/>
    <w:rsid w:val="007774F9"/>
    <w:rsid w:val="00777CCA"/>
    <w:rsid w:val="0078017E"/>
    <w:rsid w:val="00780639"/>
    <w:rsid w:val="00780F32"/>
    <w:rsid w:val="00781215"/>
    <w:rsid w:val="00781661"/>
    <w:rsid w:val="00782E26"/>
    <w:rsid w:val="00782EBD"/>
    <w:rsid w:val="007839E0"/>
    <w:rsid w:val="007847FE"/>
    <w:rsid w:val="00784973"/>
    <w:rsid w:val="00785B30"/>
    <w:rsid w:val="007868AD"/>
    <w:rsid w:val="0078739A"/>
    <w:rsid w:val="00787872"/>
    <w:rsid w:val="007879C7"/>
    <w:rsid w:val="00787C1B"/>
    <w:rsid w:val="007903E6"/>
    <w:rsid w:val="007906AA"/>
    <w:rsid w:val="0079083E"/>
    <w:rsid w:val="00790A73"/>
    <w:rsid w:val="00791327"/>
    <w:rsid w:val="007914D8"/>
    <w:rsid w:val="0079162E"/>
    <w:rsid w:val="00791C74"/>
    <w:rsid w:val="00792045"/>
    <w:rsid w:val="007924F6"/>
    <w:rsid w:val="00792899"/>
    <w:rsid w:val="0079294B"/>
    <w:rsid w:val="00792C87"/>
    <w:rsid w:val="007931F4"/>
    <w:rsid w:val="00793BA7"/>
    <w:rsid w:val="007944AC"/>
    <w:rsid w:val="007944BA"/>
    <w:rsid w:val="00796023"/>
    <w:rsid w:val="007962AF"/>
    <w:rsid w:val="007965CB"/>
    <w:rsid w:val="00797840"/>
    <w:rsid w:val="00797CCB"/>
    <w:rsid w:val="007A006B"/>
    <w:rsid w:val="007A09DA"/>
    <w:rsid w:val="007A0B0B"/>
    <w:rsid w:val="007A0C41"/>
    <w:rsid w:val="007A0F26"/>
    <w:rsid w:val="007A12E7"/>
    <w:rsid w:val="007A13F7"/>
    <w:rsid w:val="007A146C"/>
    <w:rsid w:val="007A1B83"/>
    <w:rsid w:val="007A2209"/>
    <w:rsid w:val="007A2BCB"/>
    <w:rsid w:val="007A2DCA"/>
    <w:rsid w:val="007A2E3C"/>
    <w:rsid w:val="007A3AC2"/>
    <w:rsid w:val="007A4B49"/>
    <w:rsid w:val="007A4B6B"/>
    <w:rsid w:val="007A5017"/>
    <w:rsid w:val="007A5230"/>
    <w:rsid w:val="007A55AA"/>
    <w:rsid w:val="007A5714"/>
    <w:rsid w:val="007A6007"/>
    <w:rsid w:val="007A63A6"/>
    <w:rsid w:val="007A64EA"/>
    <w:rsid w:val="007A6906"/>
    <w:rsid w:val="007A6B91"/>
    <w:rsid w:val="007A6CC9"/>
    <w:rsid w:val="007A6ECE"/>
    <w:rsid w:val="007A720F"/>
    <w:rsid w:val="007A7AD1"/>
    <w:rsid w:val="007A7B0E"/>
    <w:rsid w:val="007B0344"/>
    <w:rsid w:val="007B0856"/>
    <w:rsid w:val="007B094C"/>
    <w:rsid w:val="007B0985"/>
    <w:rsid w:val="007B0F9F"/>
    <w:rsid w:val="007B1637"/>
    <w:rsid w:val="007B1BF5"/>
    <w:rsid w:val="007B2CBA"/>
    <w:rsid w:val="007B36D6"/>
    <w:rsid w:val="007B40F2"/>
    <w:rsid w:val="007B4BD7"/>
    <w:rsid w:val="007B50AD"/>
    <w:rsid w:val="007B5AB4"/>
    <w:rsid w:val="007B6238"/>
    <w:rsid w:val="007B6F92"/>
    <w:rsid w:val="007B6F94"/>
    <w:rsid w:val="007B7B07"/>
    <w:rsid w:val="007B7C50"/>
    <w:rsid w:val="007C0053"/>
    <w:rsid w:val="007C026D"/>
    <w:rsid w:val="007C0B0A"/>
    <w:rsid w:val="007C16E1"/>
    <w:rsid w:val="007C17D1"/>
    <w:rsid w:val="007C1DC3"/>
    <w:rsid w:val="007C1E73"/>
    <w:rsid w:val="007C2D6E"/>
    <w:rsid w:val="007C374B"/>
    <w:rsid w:val="007C3808"/>
    <w:rsid w:val="007C38CA"/>
    <w:rsid w:val="007C38CE"/>
    <w:rsid w:val="007C4CC3"/>
    <w:rsid w:val="007C4E25"/>
    <w:rsid w:val="007C4F1A"/>
    <w:rsid w:val="007C5D2B"/>
    <w:rsid w:val="007C6054"/>
    <w:rsid w:val="007C6261"/>
    <w:rsid w:val="007C63CD"/>
    <w:rsid w:val="007C6D4C"/>
    <w:rsid w:val="007C6FA5"/>
    <w:rsid w:val="007C787C"/>
    <w:rsid w:val="007C7D3D"/>
    <w:rsid w:val="007D0581"/>
    <w:rsid w:val="007D0C0F"/>
    <w:rsid w:val="007D12CA"/>
    <w:rsid w:val="007D16E2"/>
    <w:rsid w:val="007D1815"/>
    <w:rsid w:val="007D2C3A"/>
    <w:rsid w:val="007D35E3"/>
    <w:rsid w:val="007D3B26"/>
    <w:rsid w:val="007D3DFD"/>
    <w:rsid w:val="007D3E69"/>
    <w:rsid w:val="007D4245"/>
    <w:rsid w:val="007D4F52"/>
    <w:rsid w:val="007D4FDC"/>
    <w:rsid w:val="007D4FEB"/>
    <w:rsid w:val="007D50F2"/>
    <w:rsid w:val="007D5EF2"/>
    <w:rsid w:val="007D6612"/>
    <w:rsid w:val="007D6790"/>
    <w:rsid w:val="007D6F04"/>
    <w:rsid w:val="007D6FF2"/>
    <w:rsid w:val="007D702A"/>
    <w:rsid w:val="007D718E"/>
    <w:rsid w:val="007D7EA5"/>
    <w:rsid w:val="007E017B"/>
    <w:rsid w:val="007E0657"/>
    <w:rsid w:val="007E07DB"/>
    <w:rsid w:val="007E141D"/>
    <w:rsid w:val="007E14CF"/>
    <w:rsid w:val="007E18CF"/>
    <w:rsid w:val="007E1968"/>
    <w:rsid w:val="007E1A90"/>
    <w:rsid w:val="007E1CF0"/>
    <w:rsid w:val="007E27EF"/>
    <w:rsid w:val="007E2A02"/>
    <w:rsid w:val="007E2AE4"/>
    <w:rsid w:val="007E3E5F"/>
    <w:rsid w:val="007E42F3"/>
    <w:rsid w:val="007E4F48"/>
    <w:rsid w:val="007E55F9"/>
    <w:rsid w:val="007E567C"/>
    <w:rsid w:val="007E5D06"/>
    <w:rsid w:val="007E6103"/>
    <w:rsid w:val="007E635E"/>
    <w:rsid w:val="007E695A"/>
    <w:rsid w:val="007E79ED"/>
    <w:rsid w:val="007E7E3F"/>
    <w:rsid w:val="007F0DF2"/>
    <w:rsid w:val="007F129C"/>
    <w:rsid w:val="007F17A5"/>
    <w:rsid w:val="007F1E6F"/>
    <w:rsid w:val="007F2148"/>
    <w:rsid w:val="007F293F"/>
    <w:rsid w:val="007F2A75"/>
    <w:rsid w:val="007F39F7"/>
    <w:rsid w:val="007F3B90"/>
    <w:rsid w:val="007F4061"/>
    <w:rsid w:val="007F4643"/>
    <w:rsid w:val="007F475E"/>
    <w:rsid w:val="007F561E"/>
    <w:rsid w:val="007F5B1B"/>
    <w:rsid w:val="007F5E3C"/>
    <w:rsid w:val="007F6462"/>
    <w:rsid w:val="007F6FA1"/>
    <w:rsid w:val="007F6FD9"/>
    <w:rsid w:val="007F721A"/>
    <w:rsid w:val="007F7567"/>
    <w:rsid w:val="007F7844"/>
    <w:rsid w:val="007F7DE2"/>
    <w:rsid w:val="00800C26"/>
    <w:rsid w:val="00800C64"/>
    <w:rsid w:val="00800D80"/>
    <w:rsid w:val="00801579"/>
    <w:rsid w:val="008018C8"/>
    <w:rsid w:val="00801D4E"/>
    <w:rsid w:val="00801FDF"/>
    <w:rsid w:val="008020DF"/>
    <w:rsid w:val="00802114"/>
    <w:rsid w:val="0080334D"/>
    <w:rsid w:val="00803541"/>
    <w:rsid w:val="00803AA3"/>
    <w:rsid w:val="00804CAC"/>
    <w:rsid w:val="0080502F"/>
    <w:rsid w:val="00806580"/>
    <w:rsid w:val="0080674E"/>
    <w:rsid w:val="00806D73"/>
    <w:rsid w:val="0080735D"/>
    <w:rsid w:val="0080766C"/>
    <w:rsid w:val="008078F3"/>
    <w:rsid w:val="00807B5C"/>
    <w:rsid w:val="00810456"/>
    <w:rsid w:val="00810B1A"/>
    <w:rsid w:val="00810D7E"/>
    <w:rsid w:val="00810DCE"/>
    <w:rsid w:val="0081155B"/>
    <w:rsid w:val="008121FA"/>
    <w:rsid w:val="0081278B"/>
    <w:rsid w:val="00812B42"/>
    <w:rsid w:val="00813E6C"/>
    <w:rsid w:val="0081419F"/>
    <w:rsid w:val="008142A3"/>
    <w:rsid w:val="00814737"/>
    <w:rsid w:val="00814753"/>
    <w:rsid w:val="0081510C"/>
    <w:rsid w:val="008153DE"/>
    <w:rsid w:val="00815B11"/>
    <w:rsid w:val="00815D5A"/>
    <w:rsid w:val="00815FC3"/>
    <w:rsid w:val="00816282"/>
    <w:rsid w:val="008176F4"/>
    <w:rsid w:val="00817CA8"/>
    <w:rsid w:val="0082091C"/>
    <w:rsid w:val="00820BD4"/>
    <w:rsid w:val="00821075"/>
    <w:rsid w:val="0082107E"/>
    <w:rsid w:val="008210E5"/>
    <w:rsid w:val="0082127E"/>
    <w:rsid w:val="00821566"/>
    <w:rsid w:val="00821A3E"/>
    <w:rsid w:val="00821C78"/>
    <w:rsid w:val="0082245B"/>
    <w:rsid w:val="008226A2"/>
    <w:rsid w:val="0082280A"/>
    <w:rsid w:val="00822839"/>
    <w:rsid w:val="00822878"/>
    <w:rsid w:val="00822974"/>
    <w:rsid w:val="00822A22"/>
    <w:rsid w:val="00822E8E"/>
    <w:rsid w:val="00822FAB"/>
    <w:rsid w:val="00822FC8"/>
    <w:rsid w:val="0082300D"/>
    <w:rsid w:val="00823377"/>
    <w:rsid w:val="008238D5"/>
    <w:rsid w:val="008243C2"/>
    <w:rsid w:val="00825694"/>
    <w:rsid w:val="008257CC"/>
    <w:rsid w:val="00826711"/>
    <w:rsid w:val="0082676B"/>
    <w:rsid w:val="0082680A"/>
    <w:rsid w:val="00826A8E"/>
    <w:rsid w:val="00826FE2"/>
    <w:rsid w:val="00827212"/>
    <w:rsid w:val="008276B4"/>
    <w:rsid w:val="00827786"/>
    <w:rsid w:val="00827787"/>
    <w:rsid w:val="00827CFB"/>
    <w:rsid w:val="00827F09"/>
    <w:rsid w:val="008301C2"/>
    <w:rsid w:val="00830CCB"/>
    <w:rsid w:val="00831300"/>
    <w:rsid w:val="00831571"/>
    <w:rsid w:val="00831752"/>
    <w:rsid w:val="0083190B"/>
    <w:rsid w:val="00832116"/>
    <w:rsid w:val="00832207"/>
    <w:rsid w:val="0083225B"/>
    <w:rsid w:val="008328EF"/>
    <w:rsid w:val="00833F4A"/>
    <w:rsid w:val="0083447A"/>
    <w:rsid w:val="0083462A"/>
    <w:rsid w:val="00834710"/>
    <w:rsid w:val="008350F7"/>
    <w:rsid w:val="0083521A"/>
    <w:rsid w:val="00835256"/>
    <w:rsid w:val="00835A27"/>
    <w:rsid w:val="00835A28"/>
    <w:rsid w:val="00836DDB"/>
    <w:rsid w:val="00836EE0"/>
    <w:rsid w:val="00836FEB"/>
    <w:rsid w:val="008370CE"/>
    <w:rsid w:val="0083712B"/>
    <w:rsid w:val="00837525"/>
    <w:rsid w:val="00837999"/>
    <w:rsid w:val="00837B22"/>
    <w:rsid w:val="00840311"/>
    <w:rsid w:val="0084035B"/>
    <w:rsid w:val="008403CE"/>
    <w:rsid w:val="008412C0"/>
    <w:rsid w:val="0084138B"/>
    <w:rsid w:val="00841C3B"/>
    <w:rsid w:val="00842B6B"/>
    <w:rsid w:val="00842C7B"/>
    <w:rsid w:val="00843635"/>
    <w:rsid w:val="008437E5"/>
    <w:rsid w:val="0084472F"/>
    <w:rsid w:val="00844B86"/>
    <w:rsid w:val="00844BCA"/>
    <w:rsid w:val="00844C57"/>
    <w:rsid w:val="00844D4E"/>
    <w:rsid w:val="00844D5B"/>
    <w:rsid w:val="00844E81"/>
    <w:rsid w:val="008458E5"/>
    <w:rsid w:val="00846918"/>
    <w:rsid w:val="008469D1"/>
    <w:rsid w:val="00846C91"/>
    <w:rsid w:val="00846CC3"/>
    <w:rsid w:val="00846CED"/>
    <w:rsid w:val="00846F34"/>
    <w:rsid w:val="00846F41"/>
    <w:rsid w:val="00846F81"/>
    <w:rsid w:val="00847248"/>
    <w:rsid w:val="00847BA2"/>
    <w:rsid w:val="00850172"/>
    <w:rsid w:val="008505B2"/>
    <w:rsid w:val="00850827"/>
    <w:rsid w:val="00850E37"/>
    <w:rsid w:val="00850EFC"/>
    <w:rsid w:val="0085193E"/>
    <w:rsid w:val="00851B5C"/>
    <w:rsid w:val="00851D40"/>
    <w:rsid w:val="00851DE1"/>
    <w:rsid w:val="008525E5"/>
    <w:rsid w:val="0085281E"/>
    <w:rsid w:val="00853466"/>
    <w:rsid w:val="00853B21"/>
    <w:rsid w:val="008551A5"/>
    <w:rsid w:val="0085531D"/>
    <w:rsid w:val="008555D5"/>
    <w:rsid w:val="00855820"/>
    <w:rsid w:val="00855AC1"/>
    <w:rsid w:val="00855B3A"/>
    <w:rsid w:val="00855B43"/>
    <w:rsid w:val="00856652"/>
    <w:rsid w:val="0085722E"/>
    <w:rsid w:val="008572CB"/>
    <w:rsid w:val="008575DC"/>
    <w:rsid w:val="00857A27"/>
    <w:rsid w:val="00857A59"/>
    <w:rsid w:val="00857F5C"/>
    <w:rsid w:val="00857F8F"/>
    <w:rsid w:val="008609B2"/>
    <w:rsid w:val="00860BEE"/>
    <w:rsid w:val="00861C55"/>
    <w:rsid w:val="00861C88"/>
    <w:rsid w:val="0086211A"/>
    <w:rsid w:val="008622EB"/>
    <w:rsid w:val="008628E8"/>
    <w:rsid w:val="008628E9"/>
    <w:rsid w:val="00862D95"/>
    <w:rsid w:val="008630E1"/>
    <w:rsid w:val="00863E34"/>
    <w:rsid w:val="008644F5"/>
    <w:rsid w:val="00864945"/>
    <w:rsid w:val="00864ADB"/>
    <w:rsid w:val="00864CC2"/>
    <w:rsid w:val="00865F12"/>
    <w:rsid w:val="0086600D"/>
    <w:rsid w:val="00866152"/>
    <w:rsid w:val="008664BF"/>
    <w:rsid w:val="00866C1C"/>
    <w:rsid w:val="0087003C"/>
    <w:rsid w:val="00872686"/>
    <w:rsid w:val="00872CA7"/>
    <w:rsid w:val="00872CE6"/>
    <w:rsid w:val="0087304F"/>
    <w:rsid w:val="008730AC"/>
    <w:rsid w:val="00874FEB"/>
    <w:rsid w:val="00875132"/>
    <w:rsid w:val="008754D6"/>
    <w:rsid w:val="008759E1"/>
    <w:rsid w:val="00876096"/>
    <w:rsid w:val="00876805"/>
    <w:rsid w:val="00876872"/>
    <w:rsid w:val="0087708A"/>
    <w:rsid w:val="008772AF"/>
    <w:rsid w:val="00877D1F"/>
    <w:rsid w:val="00877E85"/>
    <w:rsid w:val="00880075"/>
    <w:rsid w:val="008805B8"/>
    <w:rsid w:val="00880EAC"/>
    <w:rsid w:val="00881029"/>
    <w:rsid w:val="008810E9"/>
    <w:rsid w:val="00881623"/>
    <w:rsid w:val="008817F0"/>
    <w:rsid w:val="00881DC8"/>
    <w:rsid w:val="0088234D"/>
    <w:rsid w:val="008826E4"/>
    <w:rsid w:val="00883069"/>
    <w:rsid w:val="008830CA"/>
    <w:rsid w:val="00883562"/>
    <w:rsid w:val="00883B7C"/>
    <w:rsid w:val="00884188"/>
    <w:rsid w:val="0088488E"/>
    <w:rsid w:val="00884A71"/>
    <w:rsid w:val="00884B2F"/>
    <w:rsid w:val="00884BAF"/>
    <w:rsid w:val="0088585A"/>
    <w:rsid w:val="00885AF2"/>
    <w:rsid w:val="008861F3"/>
    <w:rsid w:val="0088728A"/>
    <w:rsid w:val="00887B30"/>
    <w:rsid w:val="008906E1"/>
    <w:rsid w:val="00890A39"/>
    <w:rsid w:val="00890B82"/>
    <w:rsid w:val="00890F29"/>
    <w:rsid w:val="008915F4"/>
    <w:rsid w:val="00892AFD"/>
    <w:rsid w:val="00892DBB"/>
    <w:rsid w:val="00892E9F"/>
    <w:rsid w:val="0089391B"/>
    <w:rsid w:val="00893B38"/>
    <w:rsid w:val="00893BBB"/>
    <w:rsid w:val="00894DD1"/>
    <w:rsid w:val="00895229"/>
    <w:rsid w:val="0089618F"/>
    <w:rsid w:val="00896461"/>
    <w:rsid w:val="008968CA"/>
    <w:rsid w:val="00897056"/>
    <w:rsid w:val="00897B09"/>
    <w:rsid w:val="00897C49"/>
    <w:rsid w:val="00897E9C"/>
    <w:rsid w:val="008A0A49"/>
    <w:rsid w:val="008A0B37"/>
    <w:rsid w:val="008A13FA"/>
    <w:rsid w:val="008A18A0"/>
    <w:rsid w:val="008A26C8"/>
    <w:rsid w:val="008A3C73"/>
    <w:rsid w:val="008A3DF3"/>
    <w:rsid w:val="008A3EEB"/>
    <w:rsid w:val="008A4E92"/>
    <w:rsid w:val="008A4F70"/>
    <w:rsid w:val="008A50E8"/>
    <w:rsid w:val="008A5212"/>
    <w:rsid w:val="008A53AC"/>
    <w:rsid w:val="008A5795"/>
    <w:rsid w:val="008A5854"/>
    <w:rsid w:val="008A5BAE"/>
    <w:rsid w:val="008A5C7A"/>
    <w:rsid w:val="008A6126"/>
    <w:rsid w:val="008A6375"/>
    <w:rsid w:val="008A6505"/>
    <w:rsid w:val="008A70E3"/>
    <w:rsid w:val="008A71B2"/>
    <w:rsid w:val="008A7531"/>
    <w:rsid w:val="008A798F"/>
    <w:rsid w:val="008B0478"/>
    <w:rsid w:val="008B05B2"/>
    <w:rsid w:val="008B067A"/>
    <w:rsid w:val="008B0AFC"/>
    <w:rsid w:val="008B0B9E"/>
    <w:rsid w:val="008B1B0D"/>
    <w:rsid w:val="008B1EEE"/>
    <w:rsid w:val="008B1F6B"/>
    <w:rsid w:val="008B294C"/>
    <w:rsid w:val="008B2BC6"/>
    <w:rsid w:val="008B3095"/>
    <w:rsid w:val="008B30D3"/>
    <w:rsid w:val="008B32EE"/>
    <w:rsid w:val="008B3BA7"/>
    <w:rsid w:val="008B3CE1"/>
    <w:rsid w:val="008B3F5A"/>
    <w:rsid w:val="008B42F5"/>
    <w:rsid w:val="008B5999"/>
    <w:rsid w:val="008B5F6A"/>
    <w:rsid w:val="008B60F7"/>
    <w:rsid w:val="008B618F"/>
    <w:rsid w:val="008B6BB3"/>
    <w:rsid w:val="008B732A"/>
    <w:rsid w:val="008B7E51"/>
    <w:rsid w:val="008C0870"/>
    <w:rsid w:val="008C0B5A"/>
    <w:rsid w:val="008C0CCC"/>
    <w:rsid w:val="008C155B"/>
    <w:rsid w:val="008C2A51"/>
    <w:rsid w:val="008C2AA0"/>
    <w:rsid w:val="008C3136"/>
    <w:rsid w:val="008C33C2"/>
    <w:rsid w:val="008C378C"/>
    <w:rsid w:val="008C3819"/>
    <w:rsid w:val="008C38FD"/>
    <w:rsid w:val="008C3B8D"/>
    <w:rsid w:val="008C4413"/>
    <w:rsid w:val="008C465D"/>
    <w:rsid w:val="008C5DB5"/>
    <w:rsid w:val="008C64D9"/>
    <w:rsid w:val="008C6619"/>
    <w:rsid w:val="008C6C85"/>
    <w:rsid w:val="008C73C2"/>
    <w:rsid w:val="008C7B2A"/>
    <w:rsid w:val="008C7BCC"/>
    <w:rsid w:val="008D0026"/>
    <w:rsid w:val="008D026E"/>
    <w:rsid w:val="008D0A2A"/>
    <w:rsid w:val="008D217F"/>
    <w:rsid w:val="008D2ED8"/>
    <w:rsid w:val="008D2EDE"/>
    <w:rsid w:val="008D3498"/>
    <w:rsid w:val="008D3783"/>
    <w:rsid w:val="008D3F20"/>
    <w:rsid w:val="008D46EA"/>
    <w:rsid w:val="008D4BF4"/>
    <w:rsid w:val="008D4C37"/>
    <w:rsid w:val="008D4DE2"/>
    <w:rsid w:val="008D50A2"/>
    <w:rsid w:val="008D54C1"/>
    <w:rsid w:val="008D66FE"/>
    <w:rsid w:val="008D67B8"/>
    <w:rsid w:val="008D6D44"/>
    <w:rsid w:val="008D6FD0"/>
    <w:rsid w:val="008D73E3"/>
    <w:rsid w:val="008D7901"/>
    <w:rsid w:val="008D7B67"/>
    <w:rsid w:val="008D7BDB"/>
    <w:rsid w:val="008E044A"/>
    <w:rsid w:val="008E0B1E"/>
    <w:rsid w:val="008E1F10"/>
    <w:rsid w:val="008E22B2"/>
    <w:rsid w:val="008E23E7"/>
    <w:rsid w:val="008E2474"/>
    <w:rsid w:val="008E248A"/>
    <w:rsid w:val="008E2E17"/>
    <w:rsid w:val="008E2EDF"/>
    <w:rsid w:val="008E2FDA"/>
    <w:rsid w:val="008E384A"/>
    <w:rsid w:val="008E45B6"/>
    <w:rsid w:val="008E4AC9"/>
    <w:rsid w:val="008E51BD"/>
    <w:rsid w:val="008E571A"/>
    <w:rsid w:val="008E5BEC"/>
    <w:rsid w:val="008E61E0"/>
    <w:rsid w:val="008E6700"/>
    <w:rsid w:val="008E69B1"/>
    <w:rsid w:val="008E6F09"/>
    <w:rsid w:val="008E70D3"/>
    <w:rsid w:val="008E710D"/>
    <w:rsid w:val="008E7D77"/>
    <w:rsid w:val="008E7ECC"/>
    <w:rsid w:val="008F023E"/>
    <w:rsid w:val="008F0364"/>
    <w:rsid w:val="008F080E"/>
    <w:rsid w:val="008F15CB"/>
    <w:rsid w:val="008F1896"/>
    <w:rsid w:val="008F19BB"/>
    <w:rsid w:val="008F1D54"/>
    <w:rsid w:val="008F221F"/>
    <w:rsid w:val="008F2791"/>
    <w:rsid w:val="008F2810"/>
    <w:rsid w:val="008F28DE"/>
    <w:rsid w:val="008F2956"/>
    <w:rsid w:val="008F2A03"/>
    <w:rsid w:val="008F2CE3"/>
    <w:rsid w:val="008F3150"/>
    <w:rsid w:val="008F38FF"/>
    <w:rsid w:val="008F3BCD"/>
    <w:rsid w:val="008F4392"/>
    <w:rsid w:val="008F4B64"/>
    <w:rsid w:val="008F538E"/>
    <w:rsid w:val="008F6065"/>
    <w:rsid w:val="008F6525"/>
    <w:rsid w:val="008F659C"/>
    <w:rsid w:val="008F6855"/>
    <w:rsid w:val="008F6AD0"/>
    <w:rsid w:val="008F72B2"/>
    <w:rsid w:val="008F75A3"/>
    <w:rsid w:val="008F7645"/>
    <w:rsid w:val="008F79C2"/>
    <w:rsid w:val="008F7BE3"/>
    <w:rsid w:val="008F7CDE"/>
    <w:rsid w:val="008F7D01"/>
    <w:rsid w:val="00900132"/>
    <w:rsid w:val="009003E6"/>
    <w:rsid w:val="0090050D"/>
    <w:rsid w:val="009006F2"/>
    <w:rsid w:val="0090079D"/>
    <w:rsid w:val="00900CC6"/>
    <w:rsid w:val="00901104"/>
    <w:rsid w:val="009015B2"/>
    <w:rsid w:val="00901F69"/>
    <w:rsid w:val="0090247E"/>
    <w:rsid w:val="009024E8"/>
    <w:rsid w:val="00903BD3"/>
    <w:rsid w:val="0090465E"/>
    <w:rsid w:val="00904916"/>
    <w:rsid w:val="00904A40"/>
    <w:rsid w:val="00904E64"/>
    <w:rsid w:val="00905C8E"/>
    <w:rsid w:val="00905EA8"/>
    <w:rsid w:val="00905FB7"/>
    <w:rsid w:val="0090647F"/>
    <w:rsid w:val="00906490"/>
    <w:rsid w:val="00906660"/>
    <w:rsid w:val="00906934"/>
    <w:rsid w:val="00906EF6"/>
    <w:rsid w:val="0090701F"/>
    <w:rsid w:val="009106E2"/>
    <w:rsid w:val="009115EC"/>
    <w:rsid w:val="0091328A"/>
    <w:rsid w:val="009138B4"/>
    <w:rsid w:val="0091391B"/>
    <w:rsid w:val="009141AD"/>
    <w:rsid w:val="0091456D"/>
    <w:rsid w:val="00914716"/>
    <w:rsid w:val="00914B03"/>
    <w:rsid w:val="00914E27"/>
    <w:rsid w:val="00914F80"/>
    <w:rsid w:val="0091537D"/>
    <w:rsid w:val="0091569F"/>
    <w:rsid w:val="009157EB"/>
    <w:rsid w:val="009163B1"/>
    <w:rsid w:val="00916CBD"/>
    <w:rsid w:val="00916E4C"/>
    <w:rsid w:val="009171D7"/>
    <w:rsid w:val="009174FD"/>
    <w:rsid w:val="00917CCB"/>
    <w:rsid w:val="00917CE7"/>
    <w:rsid w:val="00920CA8"/>
    <w:rsid w:val="0092149B"/>
    <w:rsid w:val="009215F4"/>
    <w:rsid w:val="00921630"/>
    <w:rsid w:val="0092200E"/>
    <w:rsid w:val="0092209D"/>
    <w:rsid w:val="0092243E"/>
    <w:rsid w:val="00922473"/>
    <w:rsid w:val="00922490"/>
    <w:rsid w:val="0092292B"/>
    <w:rsid w:val="00922E77"/>
    <w:rsid w:val="00922F0B"/>
    <w:rsid w:val="00923100"/>
    <w:rsid w:val="009233C0"/>
    <w:rsid w:val="00923928"/>
    <w:rsid w:val="00923947"/>
    <w:rsid w:val="00925016"/>
    <w:rsid w:val="009250AE"/>
    <w:rsid w:val="0092598F"/>
    <w:rsid w:val="00925A30"/>
    <w:rsid w:val="00925F12"/>
    <w:rsid w:val="00926108"/>
    <w:rsid w:val="009262AB"/>
    <w:rsid w:val="00926570"/>
    <w:rsid w:val="0092665E"/>
    <w:rsid w:val="009269B6"/>
    <w:rsid w:val="00926F78"/>
    <w:rsid w:val="00927102"/>
    <w:rsid w:val="00927E03"/>
    <w:rsid w:val="00927E40"/>
    <w:rsid w:val="00930211"/>
    <w:rsid w:val="0093049F"/>
    <w:rsid w:val="00930817"/>
    <w:rsid w:val="009309E5"/>
    <w:rsid w:val="009311D1"/>
    <w:rsid w:val="00931202"/>
    <w:rsid w:val="009318D0"/>
    <w:rsid w:val="00931F10"/>
    <w:rsid w:val="00933689"/>
    <w:rsid w:val="009338BA"/>
    <w:rsid w:val="00933CB8"/>
    <w:rsid w:val="0093444D"/>
    <w:rsid w:val="009344D1"/>
    <w:rsid w:val="00934B09"/>
    <w:rsid w:val="00934BA0"/>
    <w:rsid w:val="009354ED"/>
    <w:rsid w:val="00935580"/>
    <w:rsid w:val="009356FA"/>
    <w:rsid w:val="009358B2"/>
    <w:rsid w:val="00935E76"/>
    <w:rsid w:val="00937785"/>
    <w:rsid w:val="00937A1F"/>
    <w:rsid w:val="00937B0F"/>
    <w:rsid w:val="00937FEE"/>
    <w:rsid w:val="00940500"/>
    <w:rsid w:val="00940609"/>
    <w:rsid w:val="009408AB"/>
    <w:rsid w:val="00940F38"/>
    <w:rsid w:val="0094135C"/>
    <w:rsid w:val="00941530"/>
    <w:rsid w:val="00941641"/>
    <w:rsid w:val="00941670"/>
    <w:rsid w:val="00941A74"/>
    <w:rsid w:val="00941CAF"/>
    <w:rsid w:val="0094208E"/>
    <w:rsid w:val="0094242B"/>
    <w:rsid w:val="00942EB8"/>
    <w:rsid w:val="00942F78"/>
    <w:rsid w:val="00943558"/>
    <w:rsid w:val="00944233"/>
    <w:rsid w:val="00944DC7"/>
    <w:rsid w:val="009451D4"/>
    <w:rsid w:val="009453A1"/>
    <w:rsid w:val="009458C5"/>
    <w:rsid w:val="00946201"/>
    <w:rsid w:val="0094656A"/>
    <w:rsid w:val="0094661C"/>
    <w:rsid w:val="00946CDE"/>
    <w:rsid w:val="00947143"/>
    <w:rsid w:val="009474EA"/>
    <w:rsid w:val="00947714"/>
    <w:rsid w:val="00947B0A"/>
    <w:rsid w:val="009502A2"/>
    <w:rsid w:val="00950D77"/>
    <w:rsid w:val="009511B5"/>
    <w:rsid w:val="00951277"/>
    <w:rsid w:val="00951387"/>
    <w:rsid w:val="00951572"/>
    <w:rsid w:val="00951E0A"/>
    <w:rsid w:val="0095203A"/>
    <w:rsid w:val="009527E2"/>
    <w:rsid w:val="00952DA7"/>
    <w:rsid w:val="00952F3D"/>
    <w:rsid w:val="009533ED"/>
    <w:rsid w:val="009533F4"/>
    <w:rsid w:val="009535DB"/>
    <w:rsid w:val="0095366E"/>
    <w:rsid w:val="009538BB"/>
    <w:rsid w:val="0095473A"/>
    <w:rsid w:val="00954AA3"/>
    <w:rsid w:val="00954D2A"/>
    <w:rsid w:val="009550F1"/>
    <w:rsid w:val="00955461"/>
    <w:rsid w:val="00955571"/>
    <w:rsid w:val="00956B93"/>
    <w:rsid w:val="00957126"/>
    <w:rsid w:val="0095716F"/>
    <w:rsid w:val="00957257"/>
    <w:rsid w:val="0095736F"/>
    <w:rsid w:val="00957DB6"/>
    <w:rsid w:val="009604D0"/>
    <w:rsid w:val="00960DBD"/>
    <w:rsid w:val="009611ED"/>
    <w:rsid w:val="009619ED"/>
    <w:rsid w:val="00962605"/>
    <w:rsid w:val="009626A0"/>
    <w:rsid w:val="00962AAE"/>
    <w:rsid w:val="00962BF2"/>
    <w:rsid w:val="009631F5"/>
    <w:rsid w:val="00963374"/>
    <w:rsid w:val="00963720"/>
    <w:rsid w:val="0096489B"/>
    <w:rsid w:val="0096593F"/>
    <w:rsid w:val="00965E37"/>
    <w:rsid w:val="009666E2"/>
    <w:rsid w:val="009667D4"/>
    <w:rsid w:val="00966914"/>
    <w:rsid w:val="00966C20"/>
    <w:rsid w:val="009672D9"/>
    <w:rsid w:val="00970117"/>
    <w:rsid w:val="00970BEC"/>
    <w:rsid w:val="00970EBF"/>
    <w:rsid w:val="009717B5"/>
    <w:rsid w:val="00971F32"/>
    <w:rsid w:val="00971FE3"/>
    <w:rsid w:val="009724E0"/>
    <w:rsid w:val="009727D9"/>
    <w:rsid w:val="009730B7"/>
    <w:rsid w:val="00973161"/>
    <w:rsid w:val="00973C85"/>
    <w:rsid w:val="00974348"/>
    <w:rsid w:val="00974B94"/>
    <w:rsid w:val="00974B9D"/>
    <w:rsid w:val="00974CC1"/>
    <w:rsid w:val="00974CD5"/>
    <w:rsid w:val="0097523B"/>
    <w:rsid w:val="009752D8"/>
    <w:rsid w:val="00975353"/>
    <w:rsid w:val="0097588C"/>
    <w:rsid w:val="00975FD2"/>
    <w:rsid w:val="00976152"/>
    <w:rsid w:val="00980132"/>
    <w:rsid w:val="00980471"/>
    <w:rsid w:val="009804DD"/>
    <w:rsid w:val="00980ABC"/>
    <w:rsid w:val="00980D83"/>
    <w:rsid w:val="00980D87"/>
    <w:rsid w:val="00981B9A"/>
    <w:rsid w:val="00982A2D"/>
    <w:rsid w:val="00982C46"/>
    <w:rsid w:val="00982E52"/>
    <w:rsid w:val="00983CC2"/>
    <w:rsid w:val="009849BE"/>
    <w:rsid w:val="00984B86"/>
    <w:rsid w:val="00985419"/>
    <w:rsid w:val="00985614"/>
    <w:rsid w:val="00985776"/>
    <w:rsid w:val="00986104"/>
    <w:rsid w:val="00986D5D"/>
    <w:rsid w:val="009870B0"/>
    <w:rsid w:val="009872C9"/>
    <w:rsid w:val="00987779"/>
    <w:rsid w:val="00987C21"/>
    <w:rsid w:val="00987E54"/>
    <w:rsid w:val="00990A0E"/>
    <w:rsid w:val="00990EF9"/>
    <w:rsid w:val="00990F5F"/>
    <w:rsid w:val="00991329"/>
    <w:rsid w:val="009918D3"/>
    <w:rsid w:val="00991AF4"/>
    <w:rsid w:val="00991B30"/>
    <w:rsid w:val="00991EC0"/>
    <w:rsid w:val="009920BC"/>
    <w:rsid w:val="00992ADD"/>
    <w:rsid w:val="00992CB6"/>
    <w:rsid w:val="00992ED6"/>
    <w:rsid w:val="009932F9"/>
    <w:rsid w:val="0099373A"/>
    <w:rsid w:val="0099378C"/>
    <w:rsid w:val="00993E32"/>
    <w:rsid w:val="0099436E"/>
    <w:rsid w:val="009944DB"/>
    <w:rsid w:val="00994AC4"/>
    <w:rsid w:val="00995AB9"/>
    <w:rsid w:val="00995E6C"/>
    <w:rsid w:val="009968EA"/>
    <w:rsid w:val="00996A93"/>
    <w:rsid w:val="0099717A"/>
    <w:rsid w:val="0099768F"/>
    <w:rsid w:val="00997FC8"/>
    <w:rsid w:val="009A0205"/>
    <w:rsid w:val="009A0DE3"/>
    <w:rsid w:val="009A0E12"/>
    <w:rsid w:val="009A12E6"/>
    <w:rsid w:val="009A1421"/>
    <w:rsid w:val="009A266F"/>
    <w:rsid w:val="009A2B3C"/>
    <w:rsid w:val="009A310F"/>
    <w:rsid w:val="009A3CDA"/>
    <w:rsid w:val="009A48F6"/>
    <w:rsid w:val="009A4EA1"/>
    <w:rsid w:val="009A53EF"/>
    <w:rsid w:val="009A586F"/>
    <w:rsid w:val="009A67A0"/>
    <w:rsid w:val="009A6E4E"/>
    <w:rsid w:val="009A6EE1"/>
    <w:rsid w:val="009A6F8D"/>
    <w:rsid w:val="009A7449"/>
    <w:rsid w:val="009A7875"/>
    <w:rsid w:val="009A7B5C"/>
    <w:rsid w:val="009A7C2E"/>
    <w:rsid w:val="009A7E71"/>
    <w:rsid w:val="009B03D0"/>
    <w:rsid w:val="009B0F46"/>
    <w:rsid w:val="009B1413"/>
    <w:rsid w:val="009B160E"/>
    <w:rsid w:val="009B17EE"/>
    <w:rsid w:val="009B2408"/>
    <w:rsid w:val="009B263B"/>
    <w:rsid w:val="009B3428"/>
    <w:rsid w:val="009B3CB1"/>
    <w:rsid w:val="009B3CED"/>
    <w:rsid w:val="009B45D1"/>
    <w:rsid w:val="009B4BBF"/>
    <w:rsid w:val="009B4C67"/>
    <w:rsid w:val="009B5840"/>
    <w:rsid w:val="009B592D"/>
    <w:rsid w:val="009B5D58"/>
    <w:rsid w:val="009B5F76"/>
    <w:rsid w:val="009B6323"/>
    <w:rsid w:val="009B63A3"/>
    <w:rsid w:val="009B6438"/>
    <w:rsid w:val="009B7152"/>
    <w:rsid w:val="009B737F"/>
    <w:rsid w:val="009B79EB"/>
    <w:rsid w:val="009B7E5C"/>
    <w:rsid w:val="009C024D"/>
    <w:rsid w:val="009C051B"/>
    <w:rsid w:val="009C06A8"/>
    <w:rsid w:val="009C07CE"/>
    <w:rsid w:val="009C0CF8"/>
    <w:rsid w:val="009C0FE7"/>
    <w:rsid w:val="009C141A"/>
    <w:rsid w:val="009C15FF"/>
    <w:rsid w:val="009C19B8"/>
    <w:rsid w:val="009C1B7C"/>
    <w:rsid w:val="009C1E77"/>
    <w:rsid w:val="009C231B"/>
    <w:rsid w:val="009C25D4"/>
    <w:rsid w:val="009C2B6A"/>
    <w:rsid w:val="009C2C23"/>
    <w:rsid w:val="009C2E16"/>
    <w:rsid w:val="009C3DC0"/>
    <w:rsid w:val="009C4321"/>
    <w:rsid w:val="009C4346"/>
    <w:rsid w:val="009C44FF"/>
    <w:rsid w:val="009C5792"/>
    <w:rsid w:val="009C5B32"/>
    <w:rsid w:val="009C745C"/>
    <w:rsid w:val="009C75B3"/>
    <w:rsid w:val="009D00EE"/>
    <w:rsid w:val="009D072B"/>
    <w:rsid w:val="009D0E7E"/>
    <w:rsid w:val="009D11BA"/>
    <w:rsid w:val="009D1551"/>
    <w:rsid w:val="009D1785"/>
    <w:rsid w:val="009D17EE"/>
    <w:rsid w:val="009D1C39"/>
    <w:rsid w:val="009D1DCF"/>
    <w:rsid w:val="009D2F63"/>
    <w:rsid w:val="009D2F9B"/>
    <w:rsid w:val="009D3607"/>
    <w:rsid w:val="009D3965"/>
    <w:rsid w:val="009D418E"/>
    <w:rsid w:val="009D4400"/>
    <w:rsid w:val="009D4406"/>
    <w:rsid w:val="009D4CF1"/>
    <w:rsid w:val="009D4DE3"/>
    <w:rsid w:val="009D6392"/>
    <w:rsid w:val="009D648F"/>
    <w:rsid w:val="009D6590"/>
    <w:rsid w:val="009D7059"/>
    <w:rsid w:val="009D7287"/>
    <w:rsid w:val="009E08F2"/>
    <w:rsid w:val="009E0B5D"/>
    <w:rsid w:val="009E0DFD"/>
    <w:rsid w:val="009E0E3E"/>
    <w:rsid w:val="009E2069"/>
    <w:rsid w:val="009E2566"/>
    <w:rsid w:val="009E2AA2"/>
    <w:rsid w:val="009E4315"/>
    <w:rsid w:val="009E4FCF"/>
    <w:rsid w:val="009E4FE4"/>
    <w:rsid w:val="009E56EC"/>
    <w:rsid w:val="009E570C"/>
    <w:rsid w:val="009E5B28"/>
    <w:rsid w:val="009E6F00"/>
    <w:rsid w:val="009E7760"/>
    <w:rsid w:val="009E7BF3"/>
    <w:rsid w:val="009F01A0"/>
    <w:rsid w:val="009F0D4C"/>
    <w:rsid w:val="009F1B7D"/>
    <w:rsid w:val="009F21BA"/>
    <w:rsid w:val="009F29EE"/>
    <w:rsid w:val="009F2E36"/>
    <w:rsid w:val="009F3ACC"/>
    <w:rsid w:val="009F4D0D"/>
    <w:rsid w:val="009F52CE"/>
    <w:rsid w:val="009F5414"/>
    <w:rsid w:val="009F56A2"/>
    <w:rsid w:val="009F676C"/>
    <w:rsid w:val="009F67F0"/>
    <w:rsid w:val="009F6F3C"/>
    <w:rsid w:val="009F7386"/>
    <w:rsid w:val="009F7B4A"/>
    <w:rsid w:val="009F7EEF"/>
    <w:rsid w:val="00A0002A"/>
    <w:rsid w:val="00A0104A"/>
    <w:rsid w:val="00A01719"/>
    <w:rsid w:val="00A018B7"/>
    <w:rsid w:val="00A01C9D"/>
    <w:rsid w:val="00A02AB5"/>
    <w:rsid w:val="00A031B1"/>
    <w:rsid w:val="00A0325B"/>
    <w:rsid w:val="00A032AC"/>
    <w:rsid w:val="00A042E7"/>
    <w:rsid w:val="00A04578"/>
    <w:rsid w:val="00A046F7"/>
    <w:rsid w:val="00A04CE4"/>
    <w:rsid w:val="00A04EA6"/>
    <w:rsid w:val="00A05686"/>
    <w:rsid w:val="00A05995"/>
    <w:rsid w:val="00A069FE"/>
    <w:rsid w:val="00A06DF1"/>
    <w:rsid w:val="00A072A3"/>
    <w:rsid w:val="00A07A2D"/>
    <w:rsid w:val="00A07D7F"/>
    <w:rsid w:val="00A107AC"/>
    <w:rsid w:val="00A10E58"/>
    <w:rsid w:val="00A111DD"/>
    <w:rsid w:val="00A11AEA"/>
    <w:rsid w:val="00A12B29"/>
    <w:rsid w:val="00A13772"/>
    <w:rsid w:val="00A13949"/>
    <w:rsid w:val="00A13DF7"/>
    <w:rsid w:val="00A14113"/>
    <w:rsid w:val="00A142B7"/>
    <w:rsid w:val="00A14878"/>
    <w:rsid w:val="00A15278"/>
    <w:rsid w:val="00A15DC8"/>
    <w:rsid w:val="00A15DDC"/>
    <w:rsid w:val="00A1663F"/>
    <w:rsid w:val="00A2039A"/>
    <w:rsid w:val="00A207F9"/>
    <w:rsid w:val="00A20BB1"/>
    <w:rsid w:val="00A21EF3"/>
    <w:rsid w:val="00A21FD3"/>
    <w:rsid w:val="00A224BC"/>
    <w:rsid w:val="00A2352D"/>
    <w:rsid w:val="00A235CA"/>
    <w:rsid w:val="00A23CF4"/>
    <w:rsid w:val="00A248AD"/>
    <w:rsid w:val="00A24C15"/>
    <w:rsid w:val="00A24E22"/>
    <w:rsid w:val="00A24FAA"/>
    <w:rsid w:val="00A25A35"/>
    <w:rsid w:val="00A25D26"/>
    <w:rsid w:val="00A27BE9"/>
    <w:rsid w:val="00A27C80"/>
    <w:rsid w:val="00A27C9E"/>
    <w:rsid w:val="00A3005C"/>
    <w:rsid w:val="00A300CD"/>
    <w:rsid w:val="00A30250"/>
    <w:rsid w:val="00A3041B"/>
    <w:rsid w:val="00A316C7"/>
    <w:rsid w:val="00A31A99"/>
    <w:rsid w:val="00A31EE0"/>
    <w:rsid w:val="00A322F1"/>
    <w:rsid w:val="00A32549"/>
    <w:rsid w:val="00A332EB"/>
    <w:rsid w:val="00A3381A"/>
    <w:rsid w:val="00A33E3E"/>
    <w:rsid w:val="00A33F0F"/>
    <w:rsid w:val="00A343B2"/>
    <w:rsid w:val="00A3515B"/>
    <w:rsid w:val="00A352A6"/>
    <w:rsid w:val="00A35C74"/>
    <w:rsid w:val="00A36156"/>
    <w:rsid w:val="00A36D41"/>
    <w:rsid w:val="00A36DB3"/>
    <w:rsid w:val="00A4064B"/>
    <w:rsid w:val="00A40967"/>
    <w:rsid w:val="00A41C43"/>
    <w:rsid w:val="00A41C63"/>
    <w:rsid w:val="00A423A6"/>
    <w:rsid w:val="00A42B20"/>
    <w:rsid w:val="00A439A3"/>
    <w:rsid w:val="00A43D8C"/>
    <w:rsid w:val="00A44AE4"/>
    <w:rsid w:val="00A44BB5"/>
    <w:rsid w:val="00A44E06"/>
    <w:rsid w:val="00A451C8"/>
    <w:rsid w:val="00A45313"/>
    <w:rsid w:val="00A45539"/>
    <w:rsid w:val="00A45602"/>
    <w:rsid w:val="00A459DC"/>
    <w:rsid w:val="00A45FC7"/>
    <w:rsid w:val="00A45FCD"/>
    <w:rsid w:val="00A46DC0"/>
    <w:rsid w:val="00A470BE"/>
    <w:rsid w:val="00A476A8"/>
    <w:rsid w:val="00A47766"/>
    <w:rsid w:val="00A47B26"/>
    <w:rsid w:val="00A47DE1"/>
    <w:rsid w:val="00A503B1"/>
    <w:rsid w:val="00A503ED"/>
    <w:rsid w:val="00A507AC"/>
    <w:rsid w:val="00A50AA5"/>
    <w:rsid w:val="00A50B5F"/>
    <w:rsid w:val="00A51D95"/>
    <w:rsid w:val="00A52304"/>
    <w:rsid w:val="00A5256A"/>
    <w:rsid w:val="00A527B6"/>
    <w:rsid w:val="00A52E3C"/>
    <w:rsid w:val="00A52E78"/>
    <w:rsid w:val="00A52F6E"/>
    <w:rsid w:val="00A5306A"/>
    <w:rsid w:val="00A5408F"/>
    <w:rsid w:val="00A5409C"/>
    <w:rsid w:val="00A540E0"/>
    <w:rsid w:val="00A548FF"/>
    <w:rsid w:val="00A555A1"/>
    <w:rsid w:val="00A55681"/>
    <w:rsid w:val="00A55836"/>
    <w:rsid w:val="00A55E62"/>
    <w:rsid w:val="00A5653F"/>
    <w:rsid w:val="00A600C2"/>
    <w:rsid w:val="00A607B9"/>
    <w:rsid w:val="00A60EA5"/>
    <w:rsid w:val="00A618E6"/>
    <w:rsid w:val="00A6199D"/>
    <w:rsid w:val="00A62547"/>
    <w:rsid w:val="00A62FE4"/>
    <w:rsid w:val="00A6300A"/>
    <w:rsid w:val="00A630C8"/>
    <w:rsid w:val="00A6328C"/>
    <w:rsid w:val="00A641A9"/>
    <w:rsid w:val="00A64447"/>
    <w:rsid w:val="00A64F8D"/>
    <w:rsid w:val="00A65067"/>
    <w:rsid w:val="00A65B4A"/>
    <w:rsid w:val="00A65FF4"/>
    <w:rsid w:val="00A66188"/>
    <w:rsid w:val="00A662CF"/>
    <w:rsid w:val="00A66336"/>
    <w:rsid w:val="00A663D6"/>
    <w:rsid w:val="00A66429"/>
    <w:rsid w:val="00A664FA"/>
    <w:rsid w:val="00A66887"/>
    <w:rsid w:val="00A66EE0"/>
    <w:rsid w:val="00A67E78"/>
    <w:rsid w:val="00A7025C"/>
    <w:rsid w:val="00A70426"/>
    <w:rsid w:val="00A70577"/>
    <w:rsid w:val="00A70736"/>
    <w:rsid w:val="00A70856"/>
    <w:rsid w:val="00A70B10"/>
    <w:rsid w:val="00A70B36"/>
    <w:rsid w:val="00A70F28"/>
    <w:rsid w:val="00A71012"/>
    <w:rsid w:val="00A7108A"/>
    <w:rsid w:val="00A71706"/>
    <w:rsid w:val="00A71737"/>
    <w:rsid w:val="00A71763"/>
    <w:rsid w:val="00A71878"/>
    <w:rsid w:val="00A71C18"/>
    <w:rsid w:val="00A7201A"/>
    <w:rsid w:val="00A728AF"/>
    <w:rsid w:val="00A72B8C"/>
    <w:rsid w:val="00A72F8D"/>
    <w:rsid w:val="00A73262"/>
    <w:rsid w:val="00A7329E"/>
    <w:rsid w:val="00A7380F"/>
    <w:rsid w:val="00A73B06"/>
    <w:rsid w:val="00A73CB3"/>
    <w:rsid w:val="00A73EFE"/>
    <w:rsid w:val="00A7431D"/>
    <w:rsid w:val="00A747E4"/>
    <w:rsid w:val="00A74857"/>
    <w:rsid w:val="00A74D86"/>
    <w:rsid w:val="00A74F7A"/>
    <w:rsid w:val="00A74F9A"/>
    <w:rsid w:val="00A75790"/>
    <w:rsid w:val="00A766CB"/>
    <w:rsid w:val="00A76A51"/>
    <w:rsid w:val="00A76B1C"/>
    <w:rsid w:val="00A76C20"/>
    <w:rsid w:val="00A772B7"/>
    <w:rsid w:val="00A77A43"/>
    <w:rsid w:val="00A80AE0"/>
    <w:rsid w:val="00A81139"/>
    <w:rsid w:val="00A81A03"/>
    <w:rsid w:val="00A81D2D"/>
    <w:rsid w:val="00A8255E"/>
    <w:rsid w:val="00A828AA"/>
    <w:rsid w:val="00A83520"/>
    <w:rsid w:val="00A836D9"/>
    <w:rsid w:val="00A8424D"/>
    <w:rsid w:val="00A84446"/>
    <w:rsid w:val="00A84D8A"/>
    <w:rsid w:val="00A85562"/>
    <w:rsid w:val="00A859B9"/>
    <w:rsid w:val="00A85A10"/>
    <w:rsid w:val="00A85AFC"/>
    <w:rsid w:val="00A86265"/>
    <w:rsid w:val="00A86854"/>
    <w:rsid w:val="00A868A0"/>
    <w:rsid w:val="00A87017"/>
    <w:rsid w:val="00A879B0"/>
    <w:rsid w:val="00A87AC7"/>
    <w:rsid w:val="00A90916"/>
    <w:rsid w:val="00A90ADE"/>
    <w:rsid w:val="00A9185E"/>
    <w:rsid w:val="00A91D16"/>
    <w:rsid w:val="00A91E50"/>
    <w:rsid w:val="00A920A2"/>
    <w:rsid w:val="00A92AE8"/>
    <w:rsid w:val="00A92C3E"/>
    <w:rsid w:val="00A930C7"/>
    <w:rsid w:val="00A936C6"/>
    <w:rsid w:val="00A939AE"/>
    <w:rsid w:val="00A93B6C"/>
    <w:rsid w:val="00A93EA1"/>
    <w:rsid w:val="00A955ED"/>
    <w:rsid w:val="00A95BEB"/>
    <w:rsid w:val="00A95BFB"/>
    <w:rsid w:val="00A95E82"/>
    <w:rsid w:val="00A96553"/>
    <w:rsid w:val="00A969B2"/>
    <w:rsid w:val="00A96B48"/>
    <w:rsid w:val="00A973DE"/>
    <w:rsid w:val="00A97437"/>
    <w:rsid w:val="00A97D71"/>
    <w:rsid w:val="00AA0307"/>
    <w:rsid w:val="00AA0A81"/>
    <w:rsid w:val="00AA1D9A"/>
    <w:rsid w:val="00AA2269"/>
    <w:rsid w:val="00AA2A27"/>
    <w:rsid w:val="00AA2C47"/>
    <w:rsid w:val="00AA32C8"/>
    <w:rsid w:val="00AA345A"/>
    <w:rsid w:val="00AA36C3"/>
    <w:rsid w:val="00AA3CD5"/>
    <w:rsid w:val="00AA48A4"/>
    <w:rsid w:val="00AA590F"/>
    <w:rsid w:val="00AA5A12"/>
    <w:rsid w:val="00AA5D90"/>
    <w:rsid w:val="00AA5F92"/>
    <w:rsid w:val="00AA6279"/>
    <w:rsid w:val="00AA7655"/>
    <w:rsid w:val="00AA7BBB"/>
    <w:rsid w:val="00AB002A"/>
    <w:rsid w:val="00AB02AB"/>
    <w:rsid w:val="00AB05C4"/>
    <w:rsid w:val="00AB08D2"/>
    <w:rsid w:val="00AB0BCF"/>
    <w:rsid w:val="00AB1133"/>
    <w:rsid w:val="00AB1E74"/>
    <w:rsid w:val="00AB208F"/>
    <w:rsid w:val="00AB2545"/>
    <w:rsid w:val="00AB2C4B"/>
    <w:rsid w:val="00AB3094"/>
    <w:rsid w:val="00AB32B9"/>
    <w:rsid w:val="00AB466F"/>
    <w:rsid w:val="00AB55E1"/>
    <w:rsid w:val="00AB5962"/>
    <w:rsid w:val="00AB5FA4"/>
    <w:rsid w:val="00AB6206"/>
    <w:rsid w:val="00AB7267"/>
    <w:rsid w:val="00AB7304"/>
    <w:rsid w:val="00AC00D9"/>
    <w:rsid w:val="00AC0225"/>
    <w:rsid w:val="00AC02E7"/>
    <w:rsid w:val="00AC0332"/>
    <w:rsid w:val="00AC03E2"/>
    <w:rsid w:val="00AC07F5"/>
    <w:rsid w:val="00AC0B4C"/>
    <w:rsid w:val="00AC11C0"/>
    <w:rsid w:val="00AC13CB"/>
    <w:rsid w:val="00AC1C74"/>
    <w:rsid w:val="00AC1D09"/>
    <w:rsid w:val="00AC1FF9"/>
    <w:rsid w:val="00AC2AA7"/>
    <w:rsid w:val="00AC3100"/>
    <w:rsid w:val="00AC3319"/>
    <w:rsid w:val="00AC37EA"/>
    <w:rsid w:val="00AC3999"/>
    <w:rsid w:val="00AC39EC"/>
    <w:rsid w:val="00AC3B00"/>
    <w:rsid w:val="00AC40C0"/>
    <w:rsid w:val="00AC46CD"/>
    <w:rsid w:val="00AC48B5"/>
    <w:rsid w:val="00AC4EC7"/>
    <w:rsid w:val="00AC6429"/>
    <w:rsid w:val="00AC64FD"/>
    <w:rsid w:val="00AC6DB8"/>
    <w:rsid w:val="00AC7F24"/>
    <w:rsid w:val="00AD04FD"/>
    <w:rsid w:val="00AD0CC0"/>
    <w:rsid w:val="00AD1185"/>
    <w:rsid w:val="00AD1458"/>
    <w:rsid w:val="00AD1A5C"/>
    <w:rsid w:val="00AD1B48"/>
    <w:rsid w:val="00AD1E78"/>
    <w:rsid w:val="00AD2E48"/>
    <w:rsid w:val="00AD3355"/>
    <w:rsid w:val="00AD37E6"/>
    <w:rsid w:val="00AD3B47"/>
    <w:rsid w:val="00AD3EE5"/>
    <w:rsid w:val="00AD4B13"/>
    <w:rsid w:val="00AD4F6B"/>
    <w:rsid w:val="00AD502C"/>
    <w:rsid w:val="00AD5692"/>
    <w:rsid w:val="00AD5718"/>
    <w:rsid w:val="00AD5788"/>
    <w:rsid w:val="00AD5986"/>
    <w:rsid w:val="00AD598C"/>
    <w:rsid w:val="00AD6060"/>
    <w:rsid w:val="00AD62CA"/>
    <w:rsid w:val="00AD630E"/>
    <w:rsid w:val="00AD6D39"/>
    <w:rsid w:val="00AD70D0"/>
    <w:rsid w:val="00AD7B1B"/>
    <w:rsid w:val="00AD7E08"/>
    <w:rsid w:val="00AE0314"/>
    <w:rsid w:val="00AE038E"/>
    <w:rsid w:val="00AE112F"/>
    <w:rsid w:val="00AE121B"/>
    <w:rsid w:val="00AE13F9"/>
    <w:rsid w:val="00AE16A3"/>
    <w:rsid w:val="00AE17FD"/>
    <w:rsid w:val="00AE192B"/>
    <w:rsid w:val="00AE211C"/>
    <w:rsid w:val="00AE21C7"/>
    <w:rsid w:val="00AE23B0"/>
    <w:rsid w:val="00AE2998"/>
    <w:rsid w:val="00AE36B2"/>
    <w:rsid w:val="00AE3FD3"/>
    <w:rsid w:val="00AE47ED"/>
    <w:rsid w:val="00AE4A45"/>
    <w:rsid w:val="00AE4B69"/>
    <w:rsid w:val="00AE54D8"/>
    <w:rsid w:val="00AE5763"/>
    <w:rsid w:val="00AE58BE"/>
    <w:rsid w:val="00AE65A7"/>
    <w:rsid w:val="00AE732D"/>
    <w:rsid w:val="00AE76E7"/>
    <w:rsid w:val="00AE797E"/>
    <w:rsid w:val="00AE7DD9"/>
    <w:rsid w:val="00AF05A3"/>
    <w:rsid w:val="00AF09DF"/>
    <w:rsid w:val="00AF0F16"/>
    <w:rsid w:val="00AF185E"/>
    <w:rsid w:val="00AF19DB"/>
    <w:rsid w:val="00AF1A53"/>
    <w:rsid w:val="00AF1AFD"/>
    <w:rsid w:val="00AF1C2E"/>
    <w:rsid w:val="00AF1C75"/>
    <w:rsid w:val="00AF219C"/>
    <w:rsid w:val="00AF21FB"/>
    <w:rsid w:val="00AF225F"/>
    <w:rsid w:val="00AF277E"/>
    <w:rsid w:val="00AF2966"/>
    <w:rsid w:val="00AF29F3"/>
    <w:rsid w:val="00AF2F38"/>
    <w:rsid w:val="00AF3276"/>
    <w:rsid w:val="00AF4318"/>
    <w:rsid w:val="00AF462A"/>
    <w:rsid w:val="00AF5157"/>
    <w:rsid w:val="00AF59F5"/>
    <w:rsid w:val="00AF5A6B"/>
    <w:rsid w:val="00AF5ADF"/>
    <w:rsid w:val="00AF5C8A"/>
    <w:rsid w:val="00AF68D1"/>
    <w:rsid w:val="00AF755D"/>
    <w:rsid w:val="00AF7640"/>
    <w:rsid w:val="00AF7BBF"/>
    <w:rsid w:val="00AF7DE5"/>
    <w:rsid w:val="00B0097B"/>
    <w:rsid w:val="00B00BC7"/>
    <w:rsid w:val="00B013E1"/>
    <w:rsid w:val="00B0166C"/>
    <w:rsid w:val="00B01D18"/>
    <w:rsid w:val="00B020A4"/>
    <w:rsid w:val="00B0278B"/>
    <w:rsid w:val="00B02E68"/>
    <w:rsid w:val="00B033A2"/>
    <w:rsid w:val="00B033FC"/>
    <w:rsid w:val="00B0345F"/>
    <w:rsid w:val="00B0380D"/>
    <w:rsid w:val="00B0446C"/>
    <w:rsid w:val="00B04535"/>
    <w:rsid w:val="00B04A49"/>
    <w:rsid w:val="00B05011"/>
    <w:rsid w:val="00B06174"/>
    <w:rsid w:val="00B0657B"/>
    <w:rsid w:val="00B066BA"/>
    <w:rsid w:val="00B066FA"/>
    <w:rsid w:val="00B079B7"/>
    <w:rsid w:val="00B079FB"/>
    <w:rsid w:val="00B07DBE"/>
    <w:rsid w:val="00B1007F"/>
    <w:rsid w:val="00B10395"/>
    <w:rsid w:val="00B10C7C"/>
    <w:rsid w:val="00B1150D"/>
    <w:rsid w:val="00B11543"/>
    <w:rsid w:val="00B115A7"/>
    <w:rsid w:val="00B11617"/>
    <w:rsid w:val="00B118AC"/>
    <w:rsid w:val="00B12A79"/>
    <w:rsid w:val="00B13406"/>
    <w:rsid w:val="00B14187"/>
    <w:rsid w:val="00B15094"/>
    <w:rsid w:val="00B1527A"/>
    <w:rsid w:val="00B1540B"/>
    <w:rsid w:val="00B154C2"/>
    <w:rsid w:val="00B15A33"/>
    <w:rsid w:val="00B162FC"/>
    <w:rsid w:val="00B16C36"/>
    <w:rsid w:val="00B170C9"/>
    <w:rsid w:val="00B17296"/>
    <w:rsid w:val="00B17E70"/>
    <w:rsid w:val="00B17F6F"/>
    <w:rsid w:val="00B202E8"/>
    <w:rsid w:val="00B204F5"/>
    <w:rsid w:val="00B20A16"/>
    <w:rsid w:val="00B20BF2"/>
    <w:rsid w:val="00B2102F"/>
    <w:rsid w:val="00B219F5"/>
    <w:rsid w:val="00B22D04"/>
    <w:rsid w:val="00B232F4"/>
    <w:rsid w:val="00B2356D"/>
    <w:rsid w:val="00B235B9"/>
    <w:rsid w:val="00B23798"/>
    <w:rsid w:val="00B23A75"/>
    <w:rsid w:val="00B23CF8"/>
    <w:rsid w:val="00B23E14"/>
    <w:rsid w:val="00B24B4E"/>
    <w:rsid w:val="00B250C1"/>
    <w:rsid w:val="00B2516A"/>
    <w:rsid w:val="00B2526F"/>
    <w:rsid w:val="00B252A1"/>
    <w:rsid w:val="00B2547E"/>
    <w:rsid w:val="00B258E6"/>
    <w:rsid w:val="00B2627B"/>
    <w:rsid w:val="00B26B60"/>
    <w:rsid w:val="00B27134"/>
    <w:rsid w:val="00B27470"/>
    <w:rsid w:val="00B27B27"/>
    <w:rsid w:val="00B27B8C"/>
    <w:rsid w:val="00B27BEC"/>
    <w:rsid w:val="00B27E7D"/>
    <w:rsid w:val="00B30520"/>
    <w:rsid w:val="00B30676"/>
    <w:rsid w:val="00B307D8"/>
    <w:rsid w:val="00B316A8"/>
    <w:rsid w:val="00B324CE"/>
    <w:rsid w:val="00B32BF2"/>
    <w:rsid w:val="00B32D0D"/>
    <w:rsid w:val="00B32F8C"/>
    <w:rsid w:val="00B3321F"/>
    <w:rsid w:val="00B3544B"/>
    <w:rsid w:val="00B35678"/>
    <w:rsid w:val="00B35758"/>
    <w:rsid w:val="00B35CE9"/>
    <w:rsid w:val="00B3611F"/>
    <w:rsid w:val="00B364F6"/>
    <w:rsid w:val="00B36B89"/>
    <w:rsid w:val="00B36C28"/>
    <w:rsid w:val="00B37B1D"/>
    <w:rsid w:val="00B403CC"/>
    <w:rsid w:val="00B4048A"/>
    <w:rsid w:val="00B4067E"/>
    <w:rsid w:val="00B40F48"/>
    <w:rsid w:val="00B41781"/>
    <w:rsid w:val="00B41D32"/>
    <w:rsid w:val="00B42579"/>
    <w:rsid w:val="00B42CD2"/>
    <w:rsid w:val="00B42E00"/>
    <w:rsid w:val="00B42F9B"/>
    <w:rsid w:val="00B43377"/>
    <w:rsid w:val="00B44863"/>
    <w:rsid w:val="00B44CA5"/>
    <w:rsid w:val="00B44EB2"/>
    <w:rsid w:val="00B453ED"/>
    <w:rsid w:val="00B454A2"/>
    <w:rsid w:val="00B4586C"/>
    <w:rsid w:val="00B45967"/>
    <w:rsid w:val="00B4599B"/>
    <w:rsid w:val="00B4665D"/>
    <w:rsid w:val="00B4694E"/>
    <w:rsid w:val="00B46953"/>
    <w:rsid w:val="00B470BE"/>
    <w:rsid w:val="00B475EC"/>
    <w:rsid w:val="00B47A9F"/>
    <w:rsid w:val="00B47EBB"/>
    <w:rsid w:val="00B501C9"/>
    <w:rsid w:val="00B5070E"/>
    <w:rsid w:val="00B5077A"/>
    <w:rsid w:val="00B50A5E"/>
    <w:rsid w:val="00B50B63"/>
    <w:rsid w:val="00B50D43"/>
    <w:rsid w:val="00B50E5F"/>
    <w:rsid w:val="00B51B57"/>
    <w:rsid w:val="00B51B7B"/>
    <w:rsid w:val="00B5211C"/>
    <w:rsid w:val="00B52696"/>
    <w:rsid w:val="00B52A03"/>
    <w:rsid w:val="00B53007"/>
    <w:rsid w:val="00B5344F"/>
    <w:rsid w:val="00B53775"/>
    <w:rsid w:val="00B53F79"/>
    <w:rsid w:val="00B55739"/>
    <w:rsid w:val="00B5594D"/>
    <w:rsid w:val="00B55C2D"/>
    <w:rsid w:val="00B568F0"/>
    <w:rsid w:val="00B57392"/>
    <w:rsid w:val="00B574E1"/>
    <w:rsid w:val="00B576B4"/>
    <w:rsid w:val="00B6056F"/>
    <w:rsid w:val="00B60899"/>
    <w:rsid w:val="00B60BA2"/>
    <w:rsid w:val="00B6160E"/>
    <w:rsid w:val="00B61F02"/>
    <w:rsid w:val="00B62005"/>
    <w:rsid w:val="00B621E6"/>
    <w:rsid w:val="00B629D8"/>
    <w:rsid w:val="00B62C27"/>
    <w:rsid w:val="00B63948"/>
    <w:rsid w:val="00B645C3"/>
    <w:rsid w:val="00B64B58"/>
    <w:rsid w:val="00B65049"/>
    <w:rsid w:val="00B650AE"/>
    <w:rsid w:val="00B655B3"/>
    <w:rsid w:val="00B656C6"/>
    <w:rsid w:val="00B65A7A"/>
    <w:rsid w:val="00B65EB7"/>
    <w:rsid w:val="00B65F02"/>
    <w:rsid w:val="00B66002"/>
    <w:rsid w:val="00B66602"/>
    <w:rsid w:val="00B674ED"/>
    <w:rsid w:val="00B707EB"/>
    <w:rsid w:val="00B714DE"/>
    <w:rsid w:val="00B71820"/>
    <w:rsid w:val="00B71A26"/>
    <w:rsid w:val="00B72320"/>
    <w:rsid w:val="00B72984"/>
    <w:rsid w:val="00B730B2"/>
    <w:rsid w:val="00B735CE"/>
    <w:rsid w:val="00B738E1"/>
    <w:rsid w:val="00B73DE0"/>
    <w:rsid w:val="00B7472A"/>
    <w:rsid w:val="00B74D0D"/>
    <w:rsid w:val="00B74E94"/>
    <w:rsid w:val="00B75D9D"/>
    <w:rsid w:val="00B764B6"/>
    <w:rsid w:val="00B768E6"/>
    <w:rsid w:val="00B76AC9"/>
    <w:rsid w:val="00B76BD0"/>
    <w:rsid w:val="00B776AE"/>
    <w:rsid w:val="00B77D58"/>
    <w:rsid w:val="00B8011A"/>
    <w:rsid w:val="00B807E7"/>
    <w:rsid w:val="00B80E59"/>
    <w:rsid w:val="00B80F6D"/>
    <w:rsid w:val="00B81329"/>
    <w:rsid w:val="00B81D63"/>
    <w:rsid w:val="00B821C3"/>
    <w:rsid w:val="00B827E6"/>
    <w:rsid w:val="00B830DA"/>
    <w:rsid w:val="00B833BA"/>
    <w:rsid w:val="00B83416"/>
    <w:rsid w:val="00B8367D"/>
    <w:rsid w:val="00B8398F"/>
    <w:rsid w:val="00B83DC9"/>
    <w:rsid w:val="00B84503"/>
    <w:rsid w:val="00B84992"/>
    <w:rsid w:val="00B84EE5"/>
    <w:rsid w:val="00B85489"/>
    <w:rsid w:val="00B854A4"/>
    <w:rsid w:val="00B85BA4"/>
    <w:rsid w:val="00B85F01"/>
    <w:rsid w:val="00B87924"/>
    <w:rsid w:val="00B87B92"/>
    <w:rsid w:val="00B87E75"/>
    <w:rsid w:val="00B90789"/>
    <w:rsid w:val="00B9193E"/>
    <w:rsid w:val="00B91B7F"/>
    <w:rsid w:val="00B92514"/>
    <w:rsid w:val="00B92F8B"/>
    <w:rsid w:val="00B931E2"/>
    <w:rsid w:val="00B935DC"/>
    <w:rsid w:val="00B93D33"/>
    <w:rsid w:val="00B93F24"/>
    <w:rsid w:val="00B94000"/>
    <w:rsid w:val="00B94029"/>
    <w:rsid w:val="00B9417B"/>
    <w:rsid w:val="00B94509"/>
    <w:rsid w:val="00B94785"/>
    <w:rsid w:val="00B94994"/>
    <w:rsid w:val="00B94BFD"/>
    <w:rsid w:val="00B94EC6"/>
    <w:rsid w:val="00B95779"/>
    <w:rsid w:val="00B95E55"/>
    <w:rsid w:val="00B960E5"/>
    <w:rsid w:val="00B96312"/>
    <w:rsid w:val="00B96A0C"/>
    <w:rsid w:val="00B971F8"/>
    <w:rsid w:val="00B9722F"/>
    <w:rsid w:val="00B97DB4"/>
    <w:rsid w:val="00BA036C"/>
    <w:rsid w:val="00BA064E"/>
    <w:rsid w:val="00BA0C46"/>
    <w:rsid w:val="00BA0C74"/>
    <w:rsid w:val="00BA0E42"/>
    <w:rsid w:val="00BA14F4"/>
    <w:rsid w:val="00BA1885"/>
    <w:rsid w:val="00BA1E7A"/>
    <w:rsid w:val="00BA2EC2"/>
    <w:rsid w:val="00BA2F72"/>
    <w:rsid w:val="00BA2FA0"/>
    <w:rsid w:val="00BA3A55"/>
    <w:rsid w:val="00BA3B9B"/>
    <w:rsid w:val="00BA3BB7"/>
    <w:rsid w:val="00BA3C76"/>
    <w:rsid w:val="00BA42C0"/>
    <w:rsid w:val="00BA42EB"/>
    <w:rsid w:val="00BA432A"/>
    <w:rsid w:val="00BA43A5"/>
    <w:rsid w:val="00BA444F"/>
    <w:rsid w:val="00BA4470"/>
    <w:rsid w:val="00BA4512"/>
    <w:rsid w:val="00BA46A0"/>
    <w:rsid w:val="00BA473F"/>
    <w:rsid w:val="00BA4758"/>
    <w:rsid w:val="00BA4C60"/>
    <w:rsid w:val="00BA536E"/>
    <w:rsid w:val="00BA57B2"/>
    <w:rsid w:val="00BA5F38"/>
    <w:rsid w:val="00BA60A8"/>
    <w:rsid w:val="00BA6CC7"/>
    <w:rsid w:val="00BA7607"/>
    <w:rsid w:val="00BA79D4"/>
    <w:rsid w:val="00BA7C7B"/>
    <w:rsid w:val="00BB01F1"/>
    <w:rsid w:val="00BB0BB6"/>
    <w:rsid w:val="00BB108B"/>
    <w:rsid w:val="00BB121F"/>
    <w:rsid w:val="00BB16CD"/>
    <w:rsid w:val="00BB19BB"/>
    <w:rsid w:val="00BB26B7"/>
    <w:rsid w:val="00BB2761"/>
    <w:rsid w:val="00BB2787"/>
    <w:rsid w:val="00BB28E7"/>
    <w:rsid w:val="00BB3205"/>
    <w:rsid w:val="00BB3588"/>
    <w:rsid w:val="00BB3E5C"/>
    <w:rsid w:val="00BB3FD4"/>
    <w:rsid w:val="00BB401E"/>
    <w:rsid w:val="00BB41D4"/>
    <w:rsid w:val="00BB4881"/>
    <w:rsid w:val="00BB48BB"/>
    <w:rsid w:val="00BB513E"/>
    <w:rsid w:val="00BB518E"/>
    <w:rsid w:val="00BB57F8"/>
    <w:rsid w:val="00BB590E"/>
    <w:rsid w:val="00BB6415"/>
    <w:rsid w:val="00BB64EE"/>
    <w:rsid w:val="00BB6AFB"/>
    <w:rsid w:val="00BB787A"/>
    <w:rsid w:val="00BB799B"/>
    <w:rsid w:val="00BB79C8"/>
    <w:rsid w:val="00BB7A7E"/>
    <w:rsid w:val="00BC06E2"/>
    <w:rsid w:val="00BC0797"/>
    <w:rsid w:val="00BC0B98"/>
    <w:rsid w:val="00BC1301"/>
    <w:rsid w:val="00BC2002"/>
    <w:rsid w:val="00BC265D"/>
    <w:rsid w:val="00BC2F2B"/>
    <w:rsid w:val="00BC42DB"/>
    <w:rsid w:val="00BC4AF9"/>
    <w:rsid w:val="00BC4E1A"/>
    <w:rsid w:val="00BC4F3D"/>
    <w:rsid w:val="00BC524A"/>
    <w:rsid w:val="00BC6FA6"/>
    <w:rsid w:val="00BC7320"/>
    <w:rsid w:val="00BC780F"/>
    <w:rsid w:val="00BC7F1D"/>
    <w:rsid w:val="00BD0749"/>
    <w:rsid w:val="00BD0C23"/>
    <w:rsid w:val="00BD0EA4"/>
    <w:rsid w:val="00BD1300"/>
    <w:rsid w:val="00BD1BCB"/>
    <w:rsid w:val="00BD21A5"/>
    <w:rsid w:val="00BD2BBF"/>
    <w:rsid w:val="00BD3500"/>
    <w:rsid w:val="00BD3E47"/>
    <w:rsid w:val="00BD42D1"/>
    <w:rsid w:val="00BD4AA6"/>
    <w:rsid w:val="00BD4BF6"/>
    <w:rsid w:val="00BD50DE"/>
    <w:rsid w:val="00BD52B3"/>
    <w:rsid w:val="00BD52F7"/>
    <w:rsid w:val="00BD5578"/>
    <w:rsid w:val="00BD558E"/>
    <w:rsid w:val="00BD569B"/>
    <w:rsid w:val="00BD5AB2"/>
    <w:rsid w:val="00BD6681"/>
    <w:rsid w:val="00BD740F"/>
    <w:rsid w:val="00BD7FFA"/>
    <w:rsid w:val="00BE015E"/>
    <w:rsid w:val="00BE02F3"/>
    <w:rsid w:val="00BE0667"/>
    <w:rsid w:val="00BE0E6F"/>
    <w:rsid w:val="00BE0E72"/>
    <w:rsid w:val="00BE116B"/>
    <w:rsid w:val="00BE1469"/>
    <w:rsid w:val="00BE1BC7"/>
    <w:rsid w:val="00BE1CE7"/>
    <w:rsid w:val="00BE2062"/>
    <w:rsid w:val="00BE2D50"/>
    <w:rsid w:val="00BE32D3"/>
    <w:rsid w:val="00BE3460"/>
    <w:rsid w:val="00BE3572"/>
    <w:rsid w:val="00BE4519"/>
    <w:rsid w:val="00BE53B3"/>
    <w:rsid w:val="00BE590A"/>
    <w:rsid w:val="00BE5EF9"/>
    <w:rsid w:val="00BE669B"/>
    <w:rsid w:val="00BE675F"/>
    <w:rsid w:val="00BE6C16"/>
    <w:rsid w:val="00BE6CA9"/>
    <w:rsid w:val="00BF038E"/>
    <w:rsid w:val="00BF09D2"/>
    <w:rsid w:val="00BF1099"/>
    <w:rsid w:val="00BF11DE"/>
    <w:rsid w:val="00BF15E8"/>
    <w:rsid w:val="00BF17D6"/>
    <w:rsid w:val="00BF1B98"/>
    <w:rsid w:val="00BF21DD"/>
    <w:rsid w:val="00BF287C"/>
    <w:rsid w:val="00BF2C92"/>
    <w:rsid w:val="00BF3255"/>
    <w:rsid w:val="00BF3D20"/>
    <w:rsid w:val="00BF4B86"/>
    <w:rsid w:val="00BF51D0"/>
    <w:rsid w:val="00BF5393"/>
    <w:rsid w:val="00BF5C3A"/>
    <w:rsid w:val="00BF6111"/>
    <w:rsid w:val="00BF638B"/>
    <w:rsid w:val="00BF6A51"/>
    <w:rsid w:val="00BF6C25"/>
    <w:rsid w:val="00BF6D97"/>
    <w:rsid w:val="00BF6E79"/>
    <w:rsid w:val="00BF72FE"/>
    <w:rsid w:val="00BF7A18"/>
    <w:rsid w:val="00C0026F"/>
    <w:rsid w:val="00C00512"/>
    <w:rsid w:val="00C01E91"/>
    <w:rsid w:val="00C02AFC"/>
    <w:rsid w:val="00C02DD0"/>
    <w:rsid w:val="00C03727"/>
    <w:rsid w:val="00C038D0"/>
    <w:rsid w:val="00C043DB"/>
    <w:rsid w:val="00C04BC2"/>
    <w:rsid w:val="00C05105"/>
    <w:rsid w:val="00C0534F"/>
    <w:rsid w:val="00C058AF"/>
    <w:rsid w:val="00C061F5"/>
    <w:rsid w:val="00C063EE"/>
    <w:rsid w:val="00C06BE1"/>
    <w:rsid w:val="00C06EF2"/>
    <w:rsid w:val="00C075C7"/>
    <w:rsid w:val="00C07C67"/>
    <w:rsid w:val="00C07C80"/>
    <w:rsid w:val="00C10292"/>
    <w:rsid w:val="00C1049D"/>
    <w:rsid w:val="00C1093B"/>
    <w:rsid w:val="00C10B85"/>
    <w:rsid w:val="00C112CB"/>
    <w:rsid w:val="00C11B63"/>
    <w:rsid w:val="00C121EC"/>
    <w:rsid w:val="00C1221A"/>
    <w:rsid w:val="00C12744"/>
    <w:rsid w:val="00C127C3"/>
    <w:rsid w:val="00C128FD"/>
    <w:rsid w:val="00C12CAD"/>
    <w:rsid w:val="00C12FB4"/>
    <w:rsid w:val="00C1352B"/>
    <w:rsid w:val="00C135C1"/>
    <w:rsid w:val="00C14EA3"/>
    <w:rsid w:val="00C154FA"/>
    <w:rsid w:val="00C17281"/>
    <w:rsid w:val="00C2051E"/>
    <w:rsid w:val="00C206CC"/>
    <w:rsid w:val="00C207D4"/>
    <w:rsid w:val="00C20BC3"/>
    <w:rsid w:val="00C21074"/>
    <w:rsid w:val="00C21289"/>
    <w:rsid w:val="00C2143B"/>
    <w:rsid w:val="00C21DC6"/>
    <w:rsid w:val="00C21EEA"/>
    <w:rsid w:val="00C21F33"/>
    <w:rsid w:val="00C2211B"/>
    <w:rsid w:val="00C22410"/>
    <w:rsid w:val="00C227BB"/>
    <w:rsid w:val="00C22D00"/>
    <w:rsid w:val="00C23A98"/>
    <w:rsid w:val="00C23B10"/>
    <w:rsid w:val="00C23CB3"/>
    <w:rsid w:val="00C23F55"/>
    <w:rsid w:val="00C24091"/>
    <w:rsid w:val="00C2681A"/>
    <w:rsid w:val="00C269B5"/>
    <w:rsid w:val="00C27313"/>
    <w:rsid w:val="00C27C46"/>
    <w:rsid w:val="00C27DD3"/>
    <w:rsid w:val="00C30CB5"/>
    <w:rsid w:val="00C31086"/>
    <w:rsid w:val="00C310ED"/>
    <w:rsid w:val="00C312DD"/>
    <w:rsid w:val="00C31F25"/>
    <w:rsid w:val="00C3268E"/>
    <w:rsid w:val="00C33A16"/>
    <w:rsid w:val="00C33FF8"/>
    <w:rsid w:val="00C345D6"/>
    <w:rsid w:val="00C347A3"/>
    <w:rsid w:val="00C34E72"/>
    <w:rsid w:val="00C34FFE"/>
    <w:rsid w:val="00C350EE"/>
    <w:rsid w:val="00C35D5C"/>
    <w:rsid w:val="00C35E32"/>
    <w:rsid w:val="00C35F2B"/>
    <w:rsid w:val="00C361D7"/>
    <w:rsid w:val="00C36531"/>
    <w:rsid w:val="00C3657B"/>
    <w:rsid w:val="00C36D28"/>
    <w:rsid w:val="00C36E17"/>
    <w:rsid w:val="00C40156"/>
    <w:rsid w:val="00C4037A"/>
    <w:rsid w:val="00C4056F"/>
    <w:rsid w:val="00C4126B"/>
    <w:rsid w:val="00C41858"/>
    <w:rsid w:val="00C4190F"/>
    <w:rsid w:val="00C41F4F"/>
    <w:rsid w:val="00C42038"/>
    <w:rsid w:val="00C42476"/>
    <w:rsid w:val="00C440D8"/>
    <w:rsid w:val="00C442A3"/>
    <w:rsid w:val="00C4452C"/>
    <w:rsid w:val="00C447A4"/>
    <w:rsid w:val="00C44F00"/>
    <w:rsid w:val="00C45167"/>
    <w:rsid w:val="00C45981"/>
    <w:rsid w:val="00C462A1"/>
    <w:rsid w:val="00C465BC"/>
    <w:rsid w:val="00C46BA7"/>
    <w:rsid w:val="00C46E1C"/>
    <w:rsid w:val="00C46FF7"/>
    <w:rsid w:val="00C47024"/>
    <w:rsid w:val="00C47364"/>
    <w:rsid w:val="00C47A3F"/>
    <w:rsid w:val="00C47BDB"/>
    <w:rsid w:val="00C47D69"/>
    <w:rsid w:val="00C47E3F"/>
    <w:rsid w:val="00C501AC"/>
    <w:rsid w:val="00C5031F"/>
    <w:rsid w:val="00C509FA"/>
    <w:rsid w:val="00C50F2A"/>
    <w:rsid w:val="00C51094"/>
    <w:rsid w:val="00C512E8"/>
    <w:rsid w:val="00C51704"/>
    <w:rsid w:val="00C517DC"/>
    <w:rsid w:val="00C51920"/>
    <w:rsid w:val="00C51A63"/>
    <w:rsid w:val="00C52039"/>
    <w:rsid w:val="00C525FB"/>
    <w:rsid w:val="00C52A39"/>
    <w:rsid w:val="00C53335"/>
    <w:rsid w:val="00C5355A"/>
    <w:rsid w:val="00C53B0B"/>
    <w:rsid w:val="00C53EBB"/>
    <w:rsid w:val="00C53F88"/>
    <w:rsid w:val="00C546A2"/>
    <w:rsid w:val="00C55F0E"/>
    <w:rsid w:val="00C5612E"/>
    <w:rsid w:val="00C563AF"/>
    <w:rsid w:val="00C56AF1"/>
    <w:rsid w:val="00C56E22"/>
    <w:rsid w:val="00C5744F"/>
    <w:rsid w:val="00C607F3"/>
    <w:rsid w:val="00C60BCC"/>
    <w:rsid w:val="00C611C8"/>
    <w:rsid w:val="00C613E7"/>
    <w:rsid w:val="00C61E63"/>
    <w:rsid w:val="00C6282D"/>
    <w:rsid w:val="00C6295D"/>
    <w:rsid w:val="00C62965"/>
    <w:rsid w:val="00C62B00"/>
    <w:rsid w:val="00C62DA7"/>
    <w:rsid w:val="00C62E80"/>
    <w:rsid w:val="00C62E81"/>
    <w:rsid w:val="00C631E2"/>
    <w:rsid w:val="00C63E21"/>
    <w:rsid w:val="00C648F7"/>
    <w:rsid w:val="00C64CCC"/>
    <w:rsid w:val="00C65570"/>
    <w:rsid w:val="00C6577C"/>
    <w:rsid w:val="00C65C6A"/>
    <w:rsid w:val="00C65E51"/>
    <w:rsid w:val="00C66191"/>
    <w:rsid w:val="00C662D5"/>
    <w:rsid w:val="00C662EF"/>
    <w:rsid w:val="00C6674E"/>
    <w:rsid w:val="00C667DD"/>
    <w:rsid w:val="00C66AAC"/>
    <w:rsid w:val="00C6719D"/>
    <w:rsid w:val="00C673FA"/>
    <w:rsid w:val="00C6782C"/>
    <w:rsid w:val="00C678C6"/>
    <w:rsid w:val="00C67FEA"/>
    <w:rsid w:val="00C70AC1"/>
    <w:rsid w:val="00C70D0F"/>
    <w:rsid w:val="00C713C0"/>
    <w:rsid w:val="00C719F3"/>
    <w:rsid w:val="00C71DA7"/>
    <w:rsid w:val="00C71FEF"/>
    <w:rsid w:val="00C723A4"/>
    <w:rsid w:val="00C7265A"/>
    <w:rsid w:val="00C72D20"/>
    <w:rsid w:val="00C72E48"/>
    <w:rsid w:val="00C72EDD"/>
    <w:rsid w:val="00C72F4C"/>
    <w:rsid w:val="00C73994"/>
    <w:rsid w:val="00C73A61"/>
    <w:rsid w:val="00C75210"/>
    <w:rsid w:val="00C75BB5"/>
    <w:rsid w:val="00C75BF0"/>
    <w:rsid w:val="00C75F29"/>
    <w:rsid w:val="00C76412"/>
    <w:rsid w:val="00C764F5"/>
    <w:rsid w:val="00C77267"/>
    <w:rsid w:val="00C77278"/>
    <w:rsid w:val="00C7747B"/>
    <w:rsid w:val="00C7782E"/>
    <w:rsid w:val="00C779C0"/>
    <w:rsid w:val="00C77AD7"/>
    <w:rsid w:val="00C77D28"/>
    <w:rsid w:val="00C77E4F"/>
    <w:rsid w:val="00C801A5"/>
    <w:rsid w:val="00C80614"/>
    <w:rsid w:val="00C80B25"/>
    <w:rsid w:val="00C80C7D"/>
    <w:rsid w:val="00C80CDA"/>
    <w:rsid w:val="00C8141E"/>
    <w:rsid w:val="00C81725"/>
    <w:rsid w:val="00C819B7"/>
    <w:rsid w:val="00C81A6F"/>
    <w:rsid w:val="00C8250F"/>
    <w:rsid w:val="00C82D1B"/>
    <w:rsid w:val="00C830D5"/>
    <w:rsid w:val="00C8334C"/>
    <w:rsid w:val="00C84843"/>
    <w:rsid w:val="00C84BD7"/>
    <w:rsid w:val="00C85106"/>
    <w:rsid w:val="00C85330"/>
    <w:rsid w:val="00C854DC"/>
    <w:rsid w:val="00C85B41"/>
    <w:rsid w:val="00C85B67"/>
    <w:rsid w:val="00C86C55"/>
    <w:rsid w:val="00C87299"/>
    <w:rsid w:val="00C87F59"/>
    <w:rsid w:val="00C90C82"/>
    <w:rsid w:val="00C90CCF"/>
    <w:rsid w:val="00C91005"/>
    <w:rsid w:val="00C9148A"/>
    <w:rsid w:val="00C91B6F"/>
    <w:rsid w:val="00C91ED4"/>
    <w:rsid w:val="00C91FC8"/>
    <w:rsid w:val="00C929AB"/>
    <w:rsid w:val="00C93CC4"/>
    <w:rsid w:val="00C943D6"/>
    <w:rsid w:val="00C94666"/>
    <w:rsid w:val="00C94733"/>
    <w:rsid w:val="00CA0032"/>
    <w:rsid w:val="00CA006D"/>
    <w:rsid w:val="00CA01DF"/>
    <w:rsid w:val="00CA060F"/>
    <w:rsid w:val="00CA10DB"/>
    <w:rsid w:val="00CA13FC"/>
    <w:rsid w:val="00CA16B6"/>
    <w:rsid w:val="00CA1735"/>
    <w:rsid w:val="00CA18BB"/>
    <w:rsid w:val="00CA1A69"/>
    <w:rsid w:val="00CA2C42"/>
    <w:rsid w:val="00CA2E5D"/>
    <w:rsid w:val="00CA31EE"/>
    <w:rsid w:val="00CA338A"/>
    <w:rsid w:val="00CA3EAB"/>
    <w:rsid w:val="00CA4137"/>
    <w:rsid w:val="00CA4F12"/>
    <w:rsid w:val="00CA4F2F"/>
    <w:rsid w:val="00CA5108"/>
    <w:rsid w:val="00CA517E"/>
    <w:rsid w:val="00CA56CC"/>
    <w:rsid w:val="00CA5E95"/>
    <w:rsid w:val="00CA5F6A"/>
    <w:rsid w:val="00CA62ED"/>
    <w:rsid w:val="00CA6A6C"/>
    <w:rsid w:val="00CA6EF6"/>
    <w:rsid w:val="00CA775F"/>
    <w:rsid w:val="00CA7793"/>
    <w:rsid w:val="00CA7A2D"/>
    <w:rsid w:val="00CA7C85"/>
    <w:rsid w:val="00CA7DB6"/>
    <w:rsid w:val="00CB075E"/>
    <w:rsid w:val="00CB0881"/>
    <w:rsid w:val="00CB092D"/>
    <w:rsid w:val="00CB0D18"/>
    <w:rsid w:val="00CB188C"/>
    <w:rsid w:val="00CB1F92"/>
    <w:rsid w:val="00CB2088"/>
    <w:rsid w:val="00CB22E5"/>
    <w:rsid w:val="00CB2468"/>
    <w:rsid w:val="00CB249C"/>
    <w:rsid w:val="00CB27AA"/>
    <w:rsid w:val="00CB356C"/>
    <w:rsid w:val="00CB3658"/>
    <w:rsid w:val="00CB3948"/>
    <w:rsid w:val="00CB416A"/>
    <w:rsid w:val="00CB450C"/>
    <w:rsid w:val="00CB5490"/>
    <w:rsid w:val="00CB589E"/>
    <w:rsid w:val="00CB5C9A"/>
    <w:rsid w:val="00CB61B5"/>
    <w:rsid w:val="00CB6964"/>
    <w:rsid w:val="00CB733E"/>
    <w:rsid w:val="00CB7F23"/>
    <w:rsid w:val="00CC0137"/>
    <w:rsid w:val="00CC0E60"/>
    <w:rsid w:val="00CC1ADF"/>
    <w:rsid w:val="00CC1CAF"/>
    <w:rsid w:val="00CC2B09"/>
    <w:rsid w:val="00CC3311"/>
    <w:rsid w:val="00CC336A"/>
    <w:rsid w:val="00CC3794"/>
    <w:rsid w:val="00CC3AF7"/>
    <w:rsid w:val="00CC3DC4"/>
    <w:rsid w:val="00CC414E"/>
    <w:rsid w:val="00CC49B1"/>
    <w:rsid w:val="00CC503F"/>
    <w:rsid w:val="00CC51C6"/>
    <w:rsid w:val="00CC58B2"/>
    <w:rsid w:val="00CC5B81"/>
    <w:rsid w:val="00CC66DF"/>
    <w:rsid w:val="00CC6A66"/>
    <w:rsid w:val="00CC6D22"/>
    <w:rsid w:val="00CC6D43"/>
    <w:rsid w:val="00CC7554"/>
    <w:rsid w:val="00CC7663"/>
    <w:rsid w:val="00CC7711"/>
    <w:rsid w:val="00CC77EE"/>
    <w:rsid w:val="00CC7E9F"/>
    <w:rsid w:val="00CD027D"/>
    <w:rsid w:val="00CD035B"/>
    <w:rsid w:val="00CD0905"/>
    <w:rsid w:val="00CD0F0A"/>
    <w:rsid w:val="00CD17C8"/>
    <w:rsid w:val="00CD2369"/>
    <w:rsid w:val="00CD2506"/>
    <w:rsid w:val="00CD26C9"/>
    <w:rsid w:val="00CD2AB3"/>
    <w:rsid w:val="00CD4A69"/>
    <w:rsid w:val="00CD4F6C"/>
    <w:rsid w:val="00CD517A"/>
    <w:rsid w:val="00CD52F8"/>
    <w:rsid w:val="00CD5556"/>
    <w:rsid w:val="00CD56B0"/>
    <w:rsid w:val="00CD58D4"/>
    <w:rsid w:val="00CD5D7D"/>
    <w:rsid w:val="00CD62FA"/>
    <w:rsid w:val="00CD654C"/>
    <w:rsid w:val="00CD6B3E"/>
    <w:rsid w:val="00CD70DC"/>
    <w:rsid w:val="00CD7349"/>
    <w:rsid w:val="00CD746B"/>
    <w:rsid w:val="00CE0341"/>
    <w:rsid w:val="00CE06CD"/>
    <w:rsid w:val="00CE0848"/>
    <w:rsid w:val="00CE1734"/>
    <w:rsid w:val="00CE1765"/>
    <w:rsid w:val="00CE17FB"/>
    <w:rsid w:val="00CE1932"/>
    <w:rsid w:val="00CE1A36"/>
    <w:rsid w:val="00CE2739"/>
    <w:rsid w:val="00CE28F0"/>
    <w:rsid w:val="00CE2A25"/>
    <w:rsid w:val="00CE3581"/>
    <w:rsid w:val="00CE486B"/>
    <w:rsid w:val="00CE5208"/>
    <w:rsid w:val="00CE52E4"/>
    <w:rsid w:val="00CE59DB"/>
    <w:rsid w:val="00CE605D"/>
    <w:rsid w:val="00CE6A2F"/>
    <w:rsid w:val="00CE6DE5"/>
    <w:rsid w:val="00CE79CC"/>
    <w:rsid w:val="00CE7AB5"/>
    <w:rsid w:val="00CF0160"/>
    <w:rsid w:val="00CF19E1"/>
    <w:rsid w:val="00CF2294"/>
    <w:rsid w:val="00CF27FB"/>
    <w:rsid w:val="00CF28F3"/>
    <w:rsid w:val="00CF2FAF"/>
    <w:rsid w:val="00CF33B9"/>
    <w:rsid w:val="00CF3A19"/>
    <w:rsid w:val="00CF3EE6"/>
    <w:rsid w:val="00CF418B"/>
    <w:rsid w:val="00CF46F8"/>
    <w:rsid w:val="00CF5136"/>
    <w:rsid w:val="00CF5D99"/>
    <w:rsid w:val="00CF6671"/>
    <w:rsid w:val="00CF6FF5"/>
    <w:rsid w:val="00CF74B0"/>
    <w:rsid w:val="00D000CB"/>
    <w:rsid w:val="00D002FD"/>
    <w:rsid w:val="00D00AEE"/>
    <w:rsid w:val="00D00CC1"/>
    <w:rsid w:val="00D010BA"/>
    <w:rsid w:val="00D013ED"/>
    <w:rsid w:val="00D01839"/>
    <w:rsid w:val="00D01997"/>
    <w:rsid w:val="00D01E8E"/>
    <w:rsid w:val="00D02EA8"/>
    <w:rsid w:val="00D032ED"/>
    <w:rsid w:val="00D03441"/>
    <w:rsid w:val="00D036AD"/>
    <w:rsid w:val="00D036DE"/>
    <w:rsid w:val="00D037A3"/>
    <w:rsid w:val="00D03810"/>
    <w:rsid w:val="00D04443"/>
    <w:rsid w:val="00D04E5E"/>
    <w:rsid w:val="00D04F92"/>
    <w:rsid w:val="00D052E5"/>
    <w:rsid w:val="00D054DD"/>
    <w:rsid w:val="00D059F8"/>
    <w:rsid w:val="00D05E39"/>
    <w:rsid w:val="00D05F35"/>
    <w:rsid w:val="00D06909"/>
    <w:rsid w:val="00D06B86"/>
    <w:rsid w:val="00D06BFF"/>
    <w:rsid w:val="00D07411"/>
    <w:rsid w:val="00D07C16"/>
    <w:rsid w:val="00D1024D"/>
    <w:rsid w:val="00D10BC3"/>
    <w:rsid w:val="00D10C72"/>
    <w:rsid w:val="00D10FB1"/>
    <w:rsid w:val="00D117BC"/>
    <w:rsid w:val="00D11877"/>
    <w:rsid w:val="00D11BB9"/>
    <w:rsid w:val="00D11D05"/>
    <w:rsid w:val="00D11FB8"/>
    <w:rsid w:val="00D1246E"/>
    <w:rsid w:val="00D12586"/>
    <w:rsid w:val="00D12815"/>
    <w:rsid w:val="00D12B5D"/>
    <w:rsid w:val="00D12C15"/>
    <w:rsid w:val="00D12D87"/>
    <w:rsid w:val="00D13923"/>
    <w:rsid w:val="00D13DC6"/>
    <w:rsid w:val="00D14317"/>
    <w:rsid w:val="00D150C4"/>
    <w:rsid w:val="00D15AB5"/>
    <w:rsid w:val="00D167C1"/>
    <w:rsid w:val="00D16F46"/>
    <w:rsid w:val="00D176A9"/>
    <w:rsid w:val="00D17977"/>
    <w:rsid w:val="00D17A76"/>
    <w:rsid w:val="00D17F67"/>
    <w:rsid w:val="00D17F69"/>
    <w:rsid w:val="00D20234"/>
    <w:rsid w:val="00D204A1"/>
    <w:rsid w:val="00D20939"/>
    <w:rsid w:val="00D20B36"/>
    <w:rsid w:val="00D20F46"/>
    <w:rsid w:val="00D21F44"/>
    <w:rsid w:val="00D223AB"/>
    <w:rsid w:val="00D22956"/>
    <w:rsid w:val="00D22B83"/>
    <w:rsid w:val="00D22D97"/>
    <w:rsid w:val="00D22E7A"/>
    <w:rsid w:val="00D22F15"/>
    <w:rsid w:val="00D23832"/>
    <w:rsid w:val="00D23DCA"/>
    <w:rsid w:val="00D23E65"/>
    <w:rsid w:val="00D241DF"/>
    <w:rsid w:val="00D24BE4"/>
    <w:rsid w:val="00D24E25"/>
    <w:rsid w:val="00D24EB9"/>
    <w:rsid w:val="00D24FDD"/>
    <w:rsid w:val="00D25065"/>
    <w:rsid w:val="00D26133"/>
    <w:rsid w:val="00D26742"/>
    <w:rsid w:val="00D26B5C"/>
    <w:rsid w:val="00D272AA"/>
    <w:rsid w:val="00D27AEE"/>
    <w:rsid w:val="00D27C01"/>
    <w:rsid w:val="00D27E18"/>
    <w:rsid w:val="00D27E8A"/>
    <w:rsid w:val="00D3013C"/>
    <w:rsid w:val="00D30643"/>
    <w:rsid w:val="00D311C2"/>
    <w:rsid w:val="00D316B9"/>
    <w:rsid w:val="00D317C0"/>
    <w:rsid w:val="00D31DB2"/>
    <w:rsid w:val="00D31E52"/>
    <w:rsid w:val="00D320C6"/>
    <w:rsid w:val="00D32184"/>
    <w:rsid w:val="00D32C92"/>
    <w:rsid w:val="00D32EE4"/>
    <w:rsid w:val="00D33A0E"/>
    <w:rsid w:val="00D33CC6"/>
    <w:rsid w:val="00D343C7"/>
    <w:rsid w:val="00D34892"/>
    <w:rsid w:val="00D352C1"/>
    <w:rsid w:val="00D35714"/>
    <w:rsid w:val="00D35AAB"/>
    <w:rsid w:val="00D36357"/>
    <w:rsid w:val="00D3693A"/>
    <w:rsid w:val="00D3715E"/>
    <w:rsid w:val="00D37411"/>
    <w:rsid w:val="00D375F9"/>
    <w:rsid w:val="00D37778"/>
    <w:rsid w:val="00D37842"/>
    <w:rsid w:val="00D3793C"/>
    <w:rsid w:val="00D37A3A"/>
    <w:rsid w:val="00D37DDE"/>
    <w:rsid w:val="00D37FB6"/>
    <w:rsid w:val="00D40971"/>
    <w:rsid w:val="00D409CA"/>
    <w:rsid w:val="00D4198C"/>
    <w:rsid w:val="00D41CF5"/>
    <w:rsid w:val="00D41E40"/>
    <w:rsid w:val="00D4207F"/>
    <w:rsid w:val="00D434A6"/>
    <w:rsid w:val="00D43707"/>
    <w:rsid w:val="00D43A3A"/>
    <w:rsid w:val="00D44395"/>
    <w:rsid w:val="00D4441E"/>
    <w:rsid w:val="00D448D2"/>
    <w:rsid w:val="00D44A8B"/>
    <w:rsid w:val="00D44D59"/>
    <w:rsid w:val="00D4508B"/>
    <w:rsid w:val="00D4525D"/>
    <w:rsid w:val="00D45624"/>
    <w:rsid w:val="00D4669B"/>
    <w:rsid w:val="00D470CB"/>
    <w:rsid w:val="00D47432"/>
    <w:rsid w:val="00D479CD"/>
    <w:rsid w:val="00D47ACD"/>
    <w:rsid w:val="00D47BE7"/>
    <w:rsid w:val="00D50376"/>
    <w:rsid w:val="00D50C22"/>
    <w:rsid w:val="00D50D50"/>
    <w:rsid w:val="00D51306"/>
    <w:rsid w:val="00D518F4"/>
    <w:rsid w:val="00D525C0"/>
    <w:rsid w:val="00D52836"/>
    <w:rsid w:val="00D52D17"/>
    <w:rsid w:val="00D52F18"/>
    <w:rsid w:val="00D52F6C"/>
    <w:rsid w:val="00D53CC8"/>
    <w:rsid w:val="00D5461C"/>
    <w:rsid w:val="00D54CFD"/>
    <w:rsid w:val="00D54EA8"/>
    <w:rsid w:val="00D54F02"/>
    <w:rsid w:val="00D55292"/>
    <w:rsid w:val="00D55696"/>
    <w:rsid w:val="00D55871"/>
    <w:rsid w:val="00D55C99"/>
    <w:rsid w:val="00D55D7B"/>
    <w:rsid w:val="00D56541"/>
    <w:rsid w:val="00D567E4"/>
    <w:rsid w:val="00D5790F"/>
    <w:rsid w:val="00D57AED"/>
    <w:rsid w:val="00D57FDD"/>
    <w:rsid w:val="00D6068A"/>
    <w:rsid w:val="00D609BD"/>
    <w:rsid w:val="00D60BC4"/>
    <w:rsid w:val="00D60F84"/>
    <w:rsid w:val="00D61373"/>
    <w:rsid w:val="00D614EB"/>
    <w:rsid w:val="00D61707"/>
    <w:rsid w:val="00D61B7C"/>
    <w:rsid w:val="00D61C2D"/>
    <w:rsid w:val="00D61C2E"/>
    <w:rsid w:val="00D6275C"/>
    <w:rsid w:val="00D628F5"/>
    <w:rsid w:val="00D633B6"/>
    <w:rsid w:val="00D63AC2"/>
    <w:rsid w:val="00D63CA5"/>
    <w:rsid w:val="00D63D4A"/>
    <w:rsid w:val="00D644DB"/>
    <w:rsid w:val="00D65E3E"/>
    <w:rsid w:val="00D6608C"/>
    <w:rsid w:val="00D660AB"/>
    <w:rsid w:val="00D660E6"/>
    <w:rsid w:val="00D66A21"/>
    <w:rsid w:val="00D66EE4"/>
    <w:rsid w:val="00D674FB"/>
    <w:rsid w:val="00D703FD"/>
    <w:rsid w:val="00D706A2"/>
    <w:rsid w:val="00D70F6B"/>
    <w:rsid w:val="00D7112D"/>
    <w:rsid w:val="00D72007"/>
    <w:rsid w:val="00D72473"/>
    <w:rsid w:val="00D7347F"/>
    <w:rsid w:val="00D747B5"/>
    <w:rsid w:val="00D74EC9"/>
    <w:rsid w:val="00D753C4"/>
    <w:rsid w:val="00D75700"/>
    <w:rsid w:val="00D759C1"/>
    <w:rsid w:val="00D75E62"/>
    <w:rsid w:val="00D76AE7"/>
    <w:rsid w:val="00D77327"/>
    <w:rsid w:val="00D773DD"/>
    <w:rsid w:val="00D7744C"/>
    <w:rsid w:val="00D77CAE"/>
    <w:rsid w:val="00D8060E"/>
    <w:rsid w:val="00D8086B"/>
    <w:rsid w:val="00D81A53"/>
    <w:rsid w:val="00D81F00"/>
    <w:rsid w:val="00D827A2"/>
    <w:rsid w:val="00D83072"/>
    <w:rsid w:val="00D83646"/>
    <w:rsid w:val="00D845C9"/>
    <w:rsid w:val="00D8501A"/>
    <w:rsid w:val="00D857F8"/>
    <w:rsid w:val="00D859AF"/>
    <w:rsid w:val="00D86195"/>
    <w:rsid w:val="00D862C7"/>
    <w:rsid w:val="00D864CB"/>
    <w:rsid w:val="00D866B3"/>
    <w:rsid w:val="00D86A5A"/>
    <w:rsid w:val="00D86D76"/>
    <w:rsid w:val="00D87306"/>
    <w:rsid w:val="00D87376"/>
    <w:rsid w:val="00D877BE"/>
    <w:rsid w:val="00D87F79"/>
    <w:rsid w:val="00D90BF7"/>
    <w:rsid w:val="00D90FCC"/>
    <w:rsid w:val="00D91595"/>
    <w:rsid w:val="00D92158"/>
    <w:rsid w:val="00D92233"/>
    <w:rsid w:val="00D923FB"/>
    <w:rsid w:val="00D92B25"/>
    <w:rsid w:val="00D92BD4"/>
    <w:rsid w:val="00D92D5E"/>
    <w:rsid w:val="00D9314A"/>
    <w:rsid w:val="00D931EE"/>
    <w:rsid w:val="00D9356E"/>
    <w:rsid w:val="00D93908"/>
    <w:rsid w:val="00D93A94"/>
    <w:rsid w:val="00D95302"/>
    <w:rsid w:val="00D95831"/>
    <w:rsid w:val="00D9589C"/>
    <w:rsid w:val="00D958D6"/>
    <w:rsid w:val="00D959CD"/>
    <w:rsid w:val="00D959DC"/>
    <w:rsid w:val="00D95A6D"/>
    <w:rsid w:val="00D95D61"/>
    <w:rsid w:val="00D95DB9"/>
    <w:rsid w:val="00D96019"/>
    <w:rsid w:val="00D960B3"/>
    <w:rsid w:val="00D96260"/>
    <w:rsid w:val="00D96653"/>
    <w:rsid w:val="00D96BA8"/>
    <w:rsid w:val="00D96DA7"/>
    <w:rsid w:val="00D97511"/>
    <w:rsid w:val="00D976EB"/>
    <w:rsid w:val="00D978CA"/>
    <w:rsid w:val="00DA02E5"/>
    <w:rsid w:val="00DA0491"/>
    <w:rsid w:val="00DA0AC3"/>
    <w:rsid w:val="00DA0DD6"/>
    <w:rsid w:val="00DA142D"/>
    <w:rsid w:val="00DA177D"/>
    <w:rsid w:val="00DA202C"/>
    <w:rsid w:val="00DA230F"/>
    <w:rsid w:val="00DA3348"/>
    <w:rsid w:val="00DA34D4"/>
    <w:rsid w:val="00DA34F0"/>
    <w:rsid w:val="00DA3E4E"/>
    <w:rsid w:val="00DA4027"/>
    <w:rsid w:val="00DA40CA"/>
    <w:rsid w:val="00DA42C9"/>
    <w:rsid w:val="00DA46F8"/>
    <w:rsid w:val="00DA495C"/>
    <w:rsid w:val="00DA497F"/>
    <w:rsid w:val="00DA4F56"/>
    <w:rsid w:val="00DA53B0"/>
    <w:rsid w:val="00DA5432"/>
    <w:rsid w:val="00DA58B2"/>
    <w:rsid w:val="00DA5A42"/>
    <w:rsid w:val="00DA5CE8"/>
    <w:rsid w:val="00DA7E3A"/>
    <w:rsid w:val="00DA7F0D"/>
    <w:rsid w:val="00DB0806"/>
    <w:rsid w:val="00DB08D8"/>
    <w:rsid w:val="00DB0E6A"/>
    <w:rsid w:val="00DB202E"/>
    <w:rsid w:val="00DB2072"/>
    <w:rsid w:val="00DB20B4"/>
    <w:rsid w:val="00DB2B33"/>
    <w:rsid w:val="00DB30B7"/>
    <w:rsid w:val="00DB35D9"/>
    <w:rsid w:val="00DB376E"/>
    <w:rsid w:val="00DB45E8"/>
    <w:rsid w:val="00DB4CFB"/>
    <w:rsid w:val="00DB4D14"/>
    <w:rsid w:val="00DB527E"/>
    <w:rsid w:val="00DB536F"/>
    <w:rsid w:val="00DB53E1"/>
    <w:rsid w:val="00DB55C0"/>
    <w:rsid w:val="00DB5A42"/>
    <w:rsid w:val="00DB5B0D"/>
    <w:rsid w:val="00DB5DEC"/>
    <w:rsid w:val="00DB61A9"/>
    <w:rsid w:val="00DB63BE"/>
    <w:rsid w:val="00DB6DFB"/>
    <w:rsid w:val="00DB6EB2"/>
    <w:rsid w:val="00DB6FFD"/>
    <w:rsid w:val="00DB73E1"/>
    <w:rsid w:val="00DB779B"/>
    <w:rsid w:val="00DC03C6"/>
    <w:rsid w:val="00DC1259"/>
    <w:rsid w:val="00DC1B45"/>
    <w:rsid w:val="00DC269A"/>
    <w:rsid w:val="00DC28E2"/>
    <w:rsid w:val="00DC32F9"/>
    <w:rsid w:val="00DC32FD"/>
    <w:rsid w:val="00DC396A"/>
    <w:rsid w:val="00DC4A2F"/>
    <w:rsid w:val="00DC59FA"/>
    <w:rsid w:val="00DC69B2"/>
    <w:rsid w:val="00DC6C2D"/>
    <w:rsid w:val="00DC70B1"/>
    <w:rsid w:val="00DC743D"/>
    <w:rsid w:val="00DD003D"/>
    <w:rsid w:val="00DD023D"/>
    <w:rsid w:val="00DD084E"/>
    <w:rsid w:val="00DD0F5B"/>
    <w:rsid w:val="00DD1090"/>
    <w:rsid w:val="00DD11AE"/>
    <w:rsid w:val="00DD193C"/>
    <w:rsid w:val="00DD1C3F"/>
    <w:rsid w:val="00DD25B9"/>
    <w:rsid w:val="00DD26BE"/>
    <w:rsid w:val="00DD2E4A"/>
    <w:rsid w:val="00DD3044"/>
    <w:rsid w:val="00DD30E2"/>
    <w:rsid w:val="00DD348B"/>
    <w:rsid w:val="00DD3821"/>
    <w:rsid w:val="00DD3A0F"/>
    <w:rsid w:val="00DD3FB6"/>
    <w:rsid w:val="00DD40FD"/>
    <w:rsid w:val="00DD42AB"/>
    <w:rsid w:val="00DD446B"/>
    <w:rsid w:val="00DD4598"/>
    <w:rsid w:val="00DD505A"/>
    <w:rsid w:val="00DD516D"/>
    <w:rsid w:val="00DD54D5"/>
    <w:rsid w:val="00DD5EF1"/>
    <w:rsid w:val="00DD608A"/>
    <w:rsid w:val="00DD65AF"/>
    <w:rsid w:val="00DD67DA"/>
    <w:rsid w:val="00DD723E"/>
    <w:rsid w:val="00DD7CC5"/>
    <w:rsid w:val="00DD7D0E"/>
    <w:rsid w:val="00DD7D61"/>
    <w:rsid w:val="00DD7E01"/>
    <w:rsid w:val="00DE0074"/>
    <w:rsid w:val="00DE0CDA"/>
    <w:rsid w:val="00DE134C"/>
    <w:rsid w:val="00DE134D"/>
    <w:rsid w:val="00DE1469"/>
    <w:rsid w:val="00DE1ADB"/>
    <w:rsid w:val="00DE1B46"/>
    <w:rsid w:val="00DE228E"/>
    <w:rsid w:val="00DE3672"/>
    <w:rsid w:val="00DE3984"/>
    <w:rsid w:val="00DE3F8E"/>
    <w:rsid w:val="00DE48E3"/>
    <w:rsid w:val="00DE4F30"/>
    <w:rsid w:val="00DE50CA"/>
    <w:rsid w:val="00DE549B"/>
    <w:rsid w:val="00DE5681"/>
    <w:rsid w:val="00DE585C"/>
    <w:rsid w:val="00DE58D9"/>
    <w:rsid w:val="00DE5B41"/>
    <w:rsid w:val="00DE5E86"/>
    <w:rsid w:val="00DE5EC5"/>
    <w:rsid w:val="00DE62CB"/>
    <w:rsid w:val="00DE6561"/>
    <w:rsid w:val="00DE6782"/>
    <w:rsid w:val="00DF0081"/>
    <w:rsid w:val="00DF00CE"/>
    <w:rsid w:val="00DF0480"/>
    <w:rsid w:val="00DF1945"/>
    <w:rsid w:val="00DF27B0"/>
    <w:rsid w:val="00DF2954"/>
    <w:rsid w:val="00DF33B3"/>
    <w:rsid w:val="00DF3502"/>
    <w:rsid w:val="00DF3C56"/>
    <w:rsid w:val="00DF4413"/>
    <w:rsid w:val="00DF4B8E"/>
    <w:rsid w:val="00DF4BE3"/>
    <w:rsid w:val="00DF5279"/>
    <w:rsid w:val="00DF5B07"/>
    <w:rsid w:val="00DF609E"/>
    <w:rsid w:val="00DF660D"/>
    <w:rsid w:val="00DF691F"/>
    <w:rsid w:val="00DF6AE3"/>
    <w:rsid w:val="00DF6C50"/>
    <w:rsid w:val="00DF7099"/>
    <w:rsid w:val="00DF7164"/>
    <w:rsid w:val="00DF7DB7"/>
    <w:rsid w:val="00DF7EBF"/>
    <w:rsid w:val="00DF7F9A"/>
    <w:rsid w:val="00E00250"/>
    <w:rsid w:val="00E00D75"/>
    <w:rsid w:val="00E00F63"/>
    <w:rsid w:val="00E0109E"/>
    <w:rsid w:val="00E01D85"/>
    <w:rsid w:val="00E01EF5"/>
    <w:rsid w:val="00E01FAB"/>
    <w:rsid w:val="00E02EB0"/>
    <w:rsid w:val="00E03014"/>
    <w:rsid w:val="00E0334C"/>
    <w:rsid w:val="00E035CA"/>
    <w:rsid w:val="00E03A4B"/>
    <w:rsid w:val="00E040D7"/>
    <w:rsid w:val="00E0415C"/>
    <w:rsid w:val="00E0432F"/>
    <w:rsid w:val="00E04929"/>
    <w:rsid w:val="00E05035"/>
    <w:rsid w:val="00E05429"/>
    <w:rsid w:val="00E06168"/>
    <w:rsid w:val="00E06713"/>
    <w:rsid w:val="00E0674E"/>
    <w:rsid w:val="00E0727F"/>
    <w:rsid w:val="00E07C6D"/>
    <w:rsid w:val="00E10597"/>
    <w:rsid w:val="00E10B41"/>
    <w:rsid w:val="00E10C19"/>
    <w:rsid w:val="00E10DB7"/>
    <w:rsid w:val="00E10EC6"/>
    <w:rsid w:val="00E10EF2"/>
    <w:rsid w:val="00E11164"/>
    <w:rsid w:val="00E11193"/>
    <w:rsid w:val="00E11811"/>
    <w:rsid w:val="00E11D7C"/>
    <w:rsid w:val="00E1203A"/>
    <w:rsid w:val="00E1226F"/>
    <w:rsid w:val="00E12318"/>
    <w:rsid w:val="00E132AF"/>
    <w:rsid w:val="00E13B78"/>
    <w:rsid w:val="00E141CB"/>
    <w:rsid w:val="00E14265"/>
    <w:rsid w:val="00E143A4"/>
    <w:rsid w:val="00E15C96"/>
    <w:rsid w:val="00E165C8"/>
    <w:rsid w:val="00E16658"/>
    <w:rsid w:val="00E16CDA"/>
    <w:rsid w:val="00E17088"/>
    <w:rsid w:val="00E17390"/>
    <w:rsid w:val="00E174A7"/>
    <w:rsid w:val="00E17673"/>
    <w:rsid w:val="00E179E3"/>
    <w:rsid w:val="00E216F7"/>
    <w:rsid w:val="00E21E32"/>
    <w:rsid w:val="00E22056"/>
    <w:rsid w:val="00E221F1"/>
    <w:rsid w:val="00E227DD"/>
    <w:rsid w:val="00E22AB2"/>
    <w:rsid w:val="00E2387D"/>
    <w:rsid w:val="00E2407D"/>
    <w:rsid w:val="00E248DC"/>
    <w:rsid w:val="00E24E97"/>
    <w:rsid w:val="00E24EF3"/>
    <w:rsid w:val="00E26941"/>
    <w:rsid w:val="00E26C29"/>
    <w:rsid w:val="00E27282"/>
    <w:rsid w:val="00E27294"/>
    <w:rsid w:val="00E27897"/>
    <w:rsid w:val="00E278B0"/>
    <w:rsid w:val="00E27D9F"/>
    <w:rsid w:val="00E30360"/>
    <w:rsid w:val="00E305CA"/>
    <w:rsid w:val="00E3095D"/>
    <w:rsid w:val="00E31642"/>
    <w:rsid w:val="00E31692"/>
    <w:rsid w:val="00E318E6"/>
    <w:rsid w:val="00E31EFE"/>
    <w:rsid w:val="00E3211D"/>
    <w:rsid w:val="00E32ECB"/>
    <w:rsid w:val="00E33277"/>
    <w:rsid w:val="00E33475"/>
    <w:rsid w:val="00E33592"/>
    <w:rsid w:val="00E33917"/>
    <w:rsid w:val="00E34775"/>
    <w:rsid w:val="00E34D35"/>
    <w:rsid w:val="00E34E3D"/>
    <w:rsid w:val="00E34F68"/>
    <w:rsid w:val="00E35744"/>
    <w:rsid w:val="00E35BA6"/>
    <w:rsid w:val="00E35F65"/>
    <w:rsid w:val="00E3731A"/>
    <w:rsid w:val="00E375C3"/>
    <w:rsid w:val="00E377A4"/>
    <w:rsid w:val="00E378D2"/>
    <w:rsid w:val="00E37EA4"/>
    <w:rsid w:val="00E4042F"/>
    <w:rsid w:val="00E40BD0"/>
    <w:rsid w:val="00E40C01"/>
    <w:rsid w:val="00E41513"/>
    <w:rsid w:val="00E4152B"/>
    <w:rsid w:val="00E4161B"/>
    <w:rsid w:val="00E4163D"/>
    <w:rsid w:val="00E420D5"/>
    <w:rsid w:val="00E424CE"/>
    <w:rsid w:val="00E43894"/>
    <w:rsid w:val="00E43A83"/>
    <w:rsid w:val="00E44497"/>
    <w:rsid w:val="00E44A95"/>
    <w:rsid w:val="00E44E7D"/>
    <w:rsid w:val="00E44E7E"/>
    <w:rsid w:val="00E44F05"/>
    <w:rsid w:val="00E44F0F"/>
    <w:rsid w:val="00E459AF"/>
    <w:rsid w:val="00E45F04"/>
    <w:rsid w:val="00E462B8"/>
    <w:rsid w:val="00E467AF"/>
    <w:rsid w:val="00E46CB9"/>
    <w:rsid w:val="00E4759E"/>
    <w:rsid w:val="00E478F5"/>
    <w:rsid w:val="00E47F32"/>
    <w:rsid w:val="00E503D4"/>
    <w:rsid w:val="00E50D66"/>
    <w:rsid w:val="00E50D69"/>
    <w:rsid w:val="00E52022"/>
    <w:rsid w:val="00E521CA"/>
    <w:rsid w:val="00E523DC"/>
    <w:rsid w:val="00E525F7"/>
    <w:rsid w:val="00E5292D"/>
    <w:rsid w:val="00E52B00"/>
    <w:rsid w:val="00E53661"/>
    <w:rsid w:val="00E54B2E"/>
    <w:rsid w:val="00E54BF2"/>
    <w:rsid w:val="00E551B9"/>
    <w:rsid w:val="00E555DD"/>
    <w:rsid w:val="00E55771"/>
    <w:rsid w:val="00E56510"/>
    <w:rsid w:val="00E568CE"/>
    <w:rsid w:val="00E569FE"/>
    <w:rsid w:val="00E574BA"/>
    <w:rsid w:val="00E5782E"/>
    <w:rsid w:val="00E579E7"/>
    <w:rsid w:val="00E57CC3"/>
    <w:rsid w:val="00E57F07"/>
    <w:rsid w:val="00E60BE8"/>
    <w:rsid w:val="00E60CBB"/>
    <w:rsid w:val="00E611E6"/>
    <w:rsid w:val="00E61EF9"/>
    <w:rsid w:val="00E62E0F"/>
    <w:rsid w:val="00E630B6"/>
    <w:rsid w:val="00E630BE"/>
    <w:rsid w:val="00E6343D"/>
    <w:rsid w:val="00E63583"/>
    <w:rsid w:val="00E635B8"/>
    <w:rsid w:val="00E63CC1"/>
    <w:rsid w:val="00E63F90"/>
    <w:rsid w:val="00E6432D"/>
    <w:rsid w:val="00E64B99"/>
    <w:rsid w:val="00E64CAC"/>
    <w:rsid w:val="00E64F71"/>
    <w:rsid w:val="00E6535A"/>
    <w:rsid w:val="00E66128"/>
    <w:rsid w:val="00E66CF6"/>
    <w:rsid w:val="00E6747F"/>
    <w:rsid w:val="00E674D4"/>
    <w:rsid w:val="00E67516"/>
    <w:rsid w:val="00E67632"/>
    <w:rsid w:val="00E67BBA"/>
    <w:rsid w:val="00E67E7F"/>
    <w:rsid w:val="00E7028F"/>
    <w:rsid w:val="00E70499"/>
    <w:rsid w:val="00E704D4"/>
    <w:rsid w:val="00E7077B"/>
    <w:rsid w:val="00E70B3F"/>
    <w:rsid w:val="00E71D05"/>
    <w:rsid w:val="00E71F89"/>
    <w:rsid w:val="00E72335"/>
    <w:rsid w:val="00E73121"/>
    <w:rsid w:val="00E736BD"/>
    <w:rsid w:val="00E738F4"/>
    <w:rsid w:val="00E7410D"/>
    <w:rsid w:val="00E745A3"/>
    <w:rsid w:val="00E74686"/>
    <w:rsid w:val="00E74A19"/>
    <w:rsid w:val="00E74EE0"/>
    <w:rsid w:val="00E757DD"/>
    <w:rsid w:val="00E75CD3"/>
    <w:rsid w:val="00E76196"/>
    <w:rsid w:val="00E762F8"/>
    <w:rsid w:val="00E763A3"/>
    <w:rsid w:val="00E7640D"/>
    <w:rsid w:val="00E76488"/>
    <w:rsid w:val="00E768D1"/>
    <w:rsid w:val="00E77123"/>
    <w:rsid w:val="00E775AD"/>
    <w:rsid w:val="00E8083A"/>
    <w:rsid w:val="00E809E6"/>
    <w:rsid w:val="00E80B43"/>
    <w:rsid w:val="00E81E1C"/>
    <w:rsid w:val="00E81EE3"/>
    <w:rsid w:val="00E830F3"/>
    <w:rsid w:val="00E830F7"/>
    <w:rsid w:val="00E83362"/>
    <w:rsid w:val="00E83575"/>
    <w:rsid w:val="00E838AB"/>
    <w:rsid w:val="00E83E00"/>
    <w:rsid w:val="00E83FAF"/>
    <w:rsid w:val="00E844B6"/>
    <w:rsid w:val="00E845E3"/>
    <w:rsid w:val="00E84881"/>
    <w:rsid w:val="00E84922"/>
    <w:rsid w:val="00E84972"/>
    <w:rsid w:val="00E851DF"/>
    <w:rsid w:val="00E85206"/>
    <w:rsid w:val="00E85365"/>
    <w:rsid w:val="00E86019"/>
    <w:rsid w:val="00E86115"/>
    <w:rsid w:val="00E865FD"/>
    <w:rsid w:val="00E8697D"/>
    <w:rsid w:val="00E86D52"/>
    <w:rsid w:val="00E86ED2"/>
    <w:rsid w:val="00E872F6"/>
    <w:rsid w:val="00E87534"/>
    <w:rsid w:val="00E87A4C"/>
    <w:rsid w:val="00E87AD2"/>
    <w:rsid w:val="00E87AEB"/>
    <w:rsid w:val="00E87D2D"/>
    <w:rsid w:val="00E902E1"/>
    <w:rsid w:val="00E9099A"/>
    <w:rsid w:val="00E90AA6"/>
    <w:rsid w:val="00E90B89"/>
    <w:rsid w:val="00E910EC"/>
    <w:rsid w:val="00E915CA"/>
    <w:rsid w:val="00E9177D"/>
    <w:rsid w:val="00E91846"/>
    <w:rsid w:val="00E9340E"/>
    <w:rsid w:val="00E93FC4"/>
    <w:rsid w:val="00E941A8"/>
    <w:rsid w:val="00E9455B"/>
    <w:rsid w:val="00E9471C"/>
    <w:rsid w:val="00E957DB"/>
    <w:rsid w:val="00E95B6A"/>
    <w:rsid w:val="00E95BCD"/>
    <w:rsid w:val="00E95ED8"/>
    <w:rsid w:val="00E96084"/>
    <w:rsid w:val="00E96A0B"/>
    <w:rsid w:val="00E97755"/>
    <w:rsid w:val="00E977D3"/>
    <w:rsid w:val="00E97FAE"/>
    <w:rsid w:val="00EA01A9"/>
    <w:rsid w:val="00EA01C5"/>
    <w:rsid w:val="00EA0826"/>
    <w:rsid w:val="00EA0E4E"/>
    <w:rsid w:val="00EA11A1"/>
    <w:rsid w:val="00EA13F4"/>
    <w:rsid w:val="00EA1E82"/>
    <w:rsid w:val="00EA2830"/>
    <w:rsid w:val="00EA33B3"/>
    <w:rsid w:val="00EA3C06"/>
    <w:rsid w:val="00EA3CCF"/>
    <w:rsid w:val="00EA42BD"/>
    <w:rsid w:val="00EA4527"/>
    <w:rsid w:val="00EA4677"/>
    <w:rsid w:val="00EA4770"/>
    <w:rsid w:val="00EA4B40"/>
    <w:rsid w:val="00EA4B8A"/>
    <w:rsid w:val="00EA4C87"/>
    <w:rsid w:val="00EA5684"/>
    <w:rsid w:val="00EA56DF"/>
    <w:rsid w:val="00EA578D"/>
    <w:rsid w:val="00EA5D62"/>
    <w:rsid w:val="00EA605E"/>
    <w:rsid w:val="00EA6786"/>
    <w:rsid w:val="00EA67C5"/>
    <w:rsid w:val="00EA73E9"/>
    <w:rsid w:val="00EA7694"/>
    <w:rsid w:val="00EA78DC"/>
    <w:rsid w:val="00EA79A4"/>
    <w:rsid w:val="00EA7B97"/>
    <w:rsid w:val="00EA7D81"/>
    <w:rsid w:val="00EB02E0"/>
    <w:rsid w:val="00EB0536"/>
    <w:rsid w:val="00EB1326"/>
    <w:rsid w:val="00EB16ED"/>
    <w:rsid w:val="00EB1C8B"/>
    <w:rsid w:val="00EB20B6"/>
    <w:rsid w:val="00EB240A"/>
    <w:rsid w:val="00EB2A28"/>
    <w:rsid w:val="00EB302A"/>
    <w:rsid w:val="00EB311B"/>
    <w:rsid w:val="00EB3225"/>
    <w:rsid w:val="00EB3335"/>
    <w:rsid w:val="00EB3F9A"/>
    <w:rsid w:val="00EB4059"/>
    <w:rsid w:val="00EB56DF"/>
    <w:rsid w:val="00EB583D"/>
    <w:rsid w:val="00EB59D7"/>
    <w:rsid w:val="00EB6949"/>
    <w:rsid w:val="00EB6F5A"/>
    <w:rsid w:val="00EB78A9"/>
    <w:rsid w:val="00EB7A7F"/>
    <w:rsid w:val="00EC0498"/>
    <w:rsid w:val="00EC164C"/>
    <w:rsid w:val="00EC277D"/>
    <w:rsid w:val="00EC34A0"/>
    <w:rsid w:val="00EC394C"/>
    <w:rsid w:val="00EC4365"/>
    <w:rsid w:val="00EC453D"/>
    <w:rsid w:val="00EC46EB"/>
    <w:rsid w:val="00EC5254"/>
    <w:rsid w:val="00EC526C"/>
    <w:rsid w:val="00EC57AB"/>
    <w:rsid w:val="00EC587F"/>
    <w:rsid w:val="00EC59E8"/>
    <w:rsid w:val="00EC5C76"/>
    <w:rsid w:val="00EC5F0C"/>
    <w:rsid w:val="00EC5F26"/>
    <w:rsid w:val="00EC6C23"/>
    <w:rsid w:val="00EC6F6E"/>
    <w:rsid w:val="00EC72EF"/>
    <w:rsid w:val="00EC7769"/>
    <w:rsid w:val="00EC77AC"/>
    <w:rsid w:val="00EC795E"/>
    <w:rsid w:val="00EC7978"/>
    <w:rsid w:val="00EC7CD8"/>
    <w:rsid w:val="00ED078B"/>
    <w:rsid w:val="00ED0AF2"/>
    <w:rsid w:val="00ED0D08"/>
    <w:rsid w:val="00ED1057"/>
    <w:rsid w:val="00ED198E"/>
    <w:rsid w:val="00ED1ED8"/>
    <w:rsid w:val="00ED2B56"/>
    <w:rsid w:val="00ED2C59"/>
    <w:rsid w:val="00ED2E93"/>
    <w:rsid w:val="00ED31F1"/>
    <w:rsid w:val="00ED322E"/>
    <w:rsid w:val="00ED3DE3"/>
    <w:rsid w:val="00ED4127"/>
    <w:rsid w:val="00ED42AB"/>
    <w:rsid w:val="00ED42C3"/>
    <w:rsid w:val="00ED457D"/>
    <w:rsid w:val="00ED47F9"/>
    <w:rsid w:val="00ED4DDB"/>
    <w:rsid w:val="00ED52F8"/>
    <w:rsid w:val="00ED5B09"/>
    <w:rsid w:val="00ED5B80"/>
    <w:rsid w:val="00ED6108"/>
    <w:rsid w:val="00ED6171"/>
    <w:rsid w:val="00ED64DE"/>
    <w:rsid w:val="00ED6673"/>
    <w:rsid w:val="00ED719D"/>
    <w:rsid w:val="00ED732D"/>
    <w:rsid w:val="00ED7BCF"/>
    <w:rsid w:val="00EE05C6"/>
    <w:rsid w:val="00EE0AB7"/>
    <w:rsid w:val="00EE170C"/>
    <w:rsid w:val="00EE1802"/>
    <w:rsid w:val="00EE2074"/>
    <w:rsid w:val="00EE233B"/>
    <w:rsid w:val="00EE2816"/>
    <w:rsid w:val="00EE29D4"/>
    <w:rsid w:val="00EE2A98"/>
    <w:rsid w:val="00EE2C83"/>
    <w:rsid w:val="00EE2C9A"/>
    <w:rsid w:val="00EE3112"/>
    <w:rsid w:val="00EE32C9"/>
    <w:rsid w:val="00EE34C0"/>
    <w:rsid w:val="00EE35A7"/>
    <w:rsid w:val="00EE35E5"/>
    <w:rsid w:val="00EE4113"/>
    <w:rsid w:val="00EE4668"/>
    <w:rsid w:val="00EE514A"/>
    <w:rsid w:val="00EE514B"/>
    <w:rsid w:val="00EE5266"/>
    <w:rsid w:val="00EE558E"/>
    <w:rsid w:val="00EE56FF"/>
    <w:rsid w:val="00EE5B89"/>
    <w:rsid w:val="00EE5F32"/>
    <w:rsid w:val="00EE624B"/>
    <w:rsid w:val="00EE7C42"/>
    <w:rsid w:val="00EF0E87"/>
    <w:rsid w:val="00EF171D"/>
    <w:rsid w:val="00EF26C9"/>
    <w:rsid w:val="00EF29C7"/>
    <w:rsid w:val="00EF33F5"/>
    <w:rsid w:val="00EF3A1C"/>
    <w:rsid w:val="00EF3DD9"/>
    <w:rsid w:val="00EF41A1"/>
    <w:rsid w:val="00EF41FF"/>
    <w:rsid w:val="00EF42FB"/>
    <w:rsid w:val="00EF44B1"/>
    <w:rsid w:val="00EF46A3"/>
    <w:rsid w:val="00EF4944"/>
    <w:rsid w:val="00EF50AF"/>
    <w:rsid w:val="00EF55D2"/>
    <w:rsid w:val="00EF589E"/>
    <w:rsid w:val="00EF606C"/>
    <w:rsid w:val="00EF613B"/>
    <w:rsid w:val="00EF642C"/>
    <w:rsid w:val="00EF663E"/>
    <w:rsid w:val="00EF66B8"/>
    <w:rsid w:val="00EF6B2E"/>
    <w:rsid w:val="00EF6D87"/>
    <w:rsid w:val="00EF6F23"/>
    <w:rsid w:val="00EF6FBB"/>
    <w:rsid w:val="00EF7175"/>
    <w:rsid w:val="00EF753C"/>
    <w:rsid w:val="00EF7663"/>
    <w:rsid w:val="00EF7BA1"/>
    <w:rsid w:val="00EF7D7B"/>
    <w:rsid w:val="00F002C9"/>
    <w:rsid w:val="00F00366"/>
    <w:rsid w:val="00F004E0"/>
    <w:rsid w:val="00F00953"/>
    <w:rsid w:val="00F00D47"/>
    <w:rsid w:val="00F00D61"/>
    <w:rsid w:val="00F01D0F"/>
    <w:rsid w:val="00F0245A"/>
    <w:rsid w:val="00F02CC9"/>
    <w:rsid w:val="00F03489"/>
    <w:rsid w:val="00F03CEB"/>
    <w:rsid w:val="00F040CB"/>
    <w:rsid w:val="00F057F3"/>
    <w:rsid w:val="00F05C71"/>
    <w:rsid w:val="00F0692E"/>
    <w:rsid w:val="00F06BFC"/>
    <w:rsid w:val="00F07D1B"/>
    <w:rsid w:val="00F10525"/>
    <w:rsid w:val="00F106E1"/>
    <w:rsid w:val="00F10720"/>
    <w:rsid w:val="00F118CC"/>
    <w:rsid w:val="00F12426"/>
    <w:rsid w:val="00F128FC"/>
    <w:rsid w:val="00F12BEA"/>
    <w:rsid w:val="00F12D8B"/>
    <w:rsid w:val="00F1319A"/>
    <w:rsid w:val="00F1332B"/>
    <w:rsid w:val="00F133F1"/>
    <w:rsid w:val="00F13749"/>
    <w:rsid w:val="00F13A90"/>
    <w:rsid w:val="00F142A7"/>
    <w:rsid w:val="00F147AD"/>
    <w:rsid w:val="00F15220"/>
    <w:rsid w:val="00F15277"/>
    <w:rsid w:val="00F15A1E"/>
    <w:rsid w:val="00F16C1F"/>
    <w:rsid w:val="00F202E5"/>
    <w:rsid w:val="00F21350"/>
    <w:rsid w:val="00F22106"/>
    <w:rsid w:val="00F22464"/>
    <w:rsid w:val="00F22666"/>
    <w:rsid w:val="00F229B3"/>
    <w:rsid w:val="00F229C7"/>
    <w:rsid w:val="00F230CF"/>
    <w:rsid w:val="00F23AE2"/>
    <w:rsid w:val="00F24082"/>
    <w:rsid w:val="00F24B0B"/>
    <w:rsid w:val="00F24BFF"/>
    <w:rsid w:val="00F24CD9"/>
    <w:rsid w:val="00F2588A"/>
    <w:rsid w:val="00F26FE6"/>
    <w:rsid w:val="00F272D8"/>
    <w:rsid w:val="00F272FC"/>
    <w:rsid w:val="00F273F2"/>
    <w:rsid w:val="00F274DA"/>
    <w:rsid w:val="00F27674"/>
    <w:rsid w:val="00F276D7"/>
    <w:rsid w:val="00F27D41"/>
    <w:rsid w:val="00F27F87"/>
    <w:rsid w:val="00F3021C"/>
    <w:rsid w:val="00F3056B"/>
    <w:rsid w:val="00F30816"/>
    <w:rsid w:val="00F308F4"/>
    <w:rsid w:val="00F31C65"/>
    <w:rsid w:val="00F31D28"/>
    <w:rsid w:val="00F32587"/>
    <w:rsid w:val="00F32717"/>
    <w:rsid w:val="00F328C3"/>
    <w:rsid w:val="00F32AA5"/>
    <w:rsid w:val="00F32D74"/>
    <w:rsid w:val="00F32E59"/>
    <w:rsid w:val="00F331B4"/>
    <w:rsid w:val="00F3365F"/>
    <w:rsid w:val="00F3397A"/>
    <w:rsid w:val="00F351F7"/>
    <w:rsid w:val="00F35303"/>
    <w:rsid w:val="00F354B3"/>
    <w:rsid w:val="00F357A7"/>
    <w:rsid w:val="00F35B58"/>
    <w:rsid w:val="00F367E5"/>
    <w:rsid w:val="00F36934"/>
    <w:rsid w:val="00F36E19"/>
    <w:rsid w:val="00F37082"/>
    <w:rsid w:val="00F370BC"/>
    <w:rsid w:val="00F379BA"/>
    <w:rsid w:val="00F40090"/>
    <w:rsid w:val="00F406EC"/>
    <w:rsid w:val="00F40DE3"/>
    <w:rsid w:val="00F4124C"/>
    <w:rsid w:val="00F4164F"/>
    <w:rsid w:val="00F41925"/>
    <w:rsid w:val="00F429B1"/>
    <w:rsid w:val="00F42A8A"/>
    <w:rsid w:val="00F42D6E"/>
    <w:rsid w:val="00F4329A"/>
    <w:rsid w:val="00F43BE4"/>
    <w:rsid w:val="00F43CAB"/>
    <w:rsid w:val="00F43CC9"/>
    <w:rsid w:val="00F43E57"/>
    <w:rsid w:val="00F4447A"/>
    <w:rsid w:val="00F4449A"/>
    <w:rsid w:val="00F4450C"/>
    <w:rsid w:val="00F44CD6"/>
    <w:rsid w:val="00F44CEE"/>
    <w:rsid w:val="00F44E66"/>
    <w:rsid w:val="00F44EDF"/>
    <w:rsid w:val="00F452AC"/>
    <w:rsid w:val="00F45719"/>
    <w:rsid w:val="00F45B52"/>
    <w:rsid w:val="00F45CC6"/>
    <w:rsid w:val="00F45E8F"/>
    <w:rsid w:val="00F469EC"/>
    <w:rsid w:val="00F475A5"/>
    <w:rsid w:val="00F507D1"/>
    <w:rsid w:val="00F5154F"/>
    <w:rsid w:val="00F517E6"/>
    <w:rsid w:val="00F51F40"/>
    <w:rsid w:val="00F53364"/>
    <w:rsid w:val="00F53C59"/>
    <w:rsid w:val="00F54CCC"/>
    <w:rsid w:val="00F5530E"/>
    <w:rsid w:val="00F5557B"/>
    <w:rsid w:val="00F55B9B"/>
    <w:rsid w:val="00F55C69"/>
    <w:rsid w:val="00F56960"/>
    <w:rsid w:val="00F569D4"/>
    <w:rsid w:val="00F571A8"/>
    <w:rsid w:val="00F57801"/>
    <w:rsid w:val="00F57A89"/>
    <w:rsid w:val="00F57B23"/>
    <w:rsid w:val="00F57DBF"/>
    <w:rsid w:val="00F57E5B"/>
    <w:rsid w:val="00F601EE"/>
    <w:rsid w:val="00F609B4"/>
    <w:rsid w:val="00F60EF0"/>
    <w:rsid w:val="00F61878"/>
    <w:rsid w:val="00F623CC"/>
    <w:rsid w:val="00F62721"/>
    <w:rsid w:val="00F63349"/>
    <w:rsid w:val="00F63514"/>
    <w:rsid w:val="00F63C67"/>
    <w:rsid w:val="00F6420F"/>
    <w:rsid w:val="00F64352"/>
    <w:rsid w:val="00F6468A"/>
    <w:rsid w:val="00F64AAC"/>
    <w:rsid w:val="00F6525C"/>
    <w:rsid w:val="00F6632B"/>
    <w:rsid w:val="00F665F6"/>
    <w:rsid w:val="00F666B2"/>
    <w:rsid w:val="00F66862"/>
    <w:rsid w:val="00F669A9"/>
    <w:rsid w:val="00F66E7A"/>
    <w:rsid w:val="00F670F5"/>
    <w:rsid w:val="00F70178"/>
    <w:rsid w:val="00F7048C"/>
    <w:rsid w:val="00F70542"/>
    <w:rsid w:val="00F7085F"/>
    <w:rsid w:val="00F70932"/>
    <w:rsid w:val="00F71008"/>
    <w:rsid w:val="00F712F3"/>
    <w:rsid w:val="00F71D64"/>
    <w:rsid w:val="00F721DA"/>
    <w:rsid w:val="00F728A9"/>
    <w:rsid w:val="00F73206"/>
    <w:rsid w:val="00F73382"/>
    <w:rsid w:val="00F735FB"/>
    <w:rsid w:val="00F73650"/>
    <w:rsid w:val="00F73734"/>
    <w:rsid w:val="00F739ED"/>
    <w:rsid w:val="00F73A58"/>
    <w:rsid w:val="00F73D0E"/>
    <w:rsid w:val="00F73D39"/>
    <w:rsid w:val="00F73F77"/>
    <w:rsid w:val="00F7457F"/>
    <w:rsid w:val="00F74597"/>
    <w:rsid w:val="00F759B5"/>
    <w:rsid w:val="00F75A05"/>
    <w:rsid w:val="00F75F4C"/>
    <w:rsid w:val="00F7613E"/>
    <w:rsid w:val="00F7651C"/>
    <w:rsid w:val="00F76780"/>
    <w:rsid w:val="00F76909"/>
    <w:rsid w:val="00F7742A"/>
    <w:rsid w:val="00F77D9A"/>
    <w:rsid w:val="00F80655"/>
    <w:rsid w:val="00F8070D"/>
    <w:rsid w:val="00F80813"/>
    <w:rsid w:val="00F8090D"/>
    <w:rsid w:val="00F80F70"/>
    <w:rsid w:val="00F818A6"/>
    <w:rsid w:val="00F822CE"/>
    <w:rsid w:val="00F823DB"/>
    <w:rsid w:val="00F8280E"/>
    <w:rsid w:val="00F82E17"/>
    <w:rsid w:val="00F82E63"/>
    <w:rsid w:val="00F83042"/>
    <w:rsid w:val="00F83090"/>
    <w:rsid w:val="00F83B21"/>
    <w:rsid w:val="00F83F9E"/>
    <w:rsid w:val="00F8415F"/>
    <w:rsid w:val="00F84382"/>
    <w:rsid w:val="00F844F9"/>
    <w:rsid w:val="00F84846"/>
    <w:rsid w:val="00F84C00"/>
    <w:rsid w:val="00F84CBA"/>
    <w:rsid w:val="00F85493"/>
    <w:rsid w:val="00F86700"/>
    <w:rsid w:val="00F86918"/>
    <w:rsid w:val="00F86D00"/>
    <w:rsid w:val="00F874FA"/>
    <w:rsid w:val="00F876C1"/>
    <w:rsid w:val="00F87703"/>
    <w:rsid w:val="00F87740"/>
    <w:rsid w:val="00F879EC"/>
    <w:rsid w:val="00F906D0"/>
    <w:rsid w:val="00F90AE7"/>
    <w:rsid w:val="00F913EC"/>
    <w:rsid w:val="00F9183B"/>
    <w:rsid w:val="00F91931"/>
    <w:rsid w:val="00F91E1C"/>
    <w:rsid w:val="00F91EF2"/>
    <w:rsid w:val="00F9239D"/>
    <w:rsid w:val="00F926DE"/>
    <w:rsid w:val="00F92993"/>
    <w:rsid w:val="00F92D3A"/>
    <w:rsid w:val="00F92FB9"/>
    <w:rsid w:val="00F93716"/>
    <w:rsid w:val="00F93E38"/>
    <w:rsid w:val="00F93FE6"/>
    <w:rsid w:val="00F94D57"/>
    <w:rsid w:val="00F94E58"/>
    <w:rsid w:val="00F94FD9"/>
    <w:rsid w:val="00F950EF"/>
    <w:rsid w:val="00F95959"/>
    <w:rsid w:val="00F964A4"/>
    <w:rsid w:val="00F96987"/>
    <w:rsid w:val="00F97281"/>
    <w:rsid w:val="00F97D56"/>
    <w:rsid w:val="00F97EAA"/>
    <w:rsid w:val="00FA051A"/>
    <w:rsid w:val="00FA0B16"/>
    <w:rsid w:val="00FA0B7B"/>
    <w:rsid w:val="00FA197C"/>
    <w:rsid w:val="00FA1CFF"/>
    <w:rsid w:val="00FA1E18"/>
    <w:rsid w:val="00FA2418"/>
    <w:rsid w:val="00FA2EA9"/>
    <w:rsid w:val="00FA2F59"/>
    <w:rsid w:val="00FA32FF"/>
    <w:rsid w:val="00FA3808"/>
    <w:rsid w:val="00FA3D5D"/>
    <w:rsid w:val="00FA4497"/>
    <w:rsid w:val="00FA45CA"/>
    <w:rsid w:val="00FA4A8C"/>
    <w:rsid w:val="00FA4D26"/>
    <w:rsid w:val="00FA5967"/>
    <w:rsid w:val="00FA5D7C"/>
    <w:rsid w:val="00FA5FC5"/>
    <w:rsid w:val="00FA6541"/>
    <w:rsid w:val="00FA6787"/>
    <w:rsid w:val="00FA6A86"/>
    <w:rsid w:val="00FA6C00"/>
    <w:rsid w:val="00FA7189"/>
    <w:rsid w:val="00FB0008"/>
    <w:rsid w:val="00FB02F2"/>
    <w:rsid w:val="00FB04D5"/>
    <w:rsid w:val="00FB0866"/>
    <w:rsid w:val="00FB0DDE"/>
    <w:rsid w:val="00FB0E76"/>
    <w:rsid w:val="00FB1276"/>
    <w:rsid w:val="00FB15CF"/>
    <w:rsid w:val="00FB1838"/>
    <w:rsid w:val="00FB1DA6"/>
    <w:rsid w:val="00FB2248"/>
    <w:rsid w:val="00FB27FC"/>
    <w:rsid w:val="00FB28BC"/>
    <w:rsid w:val="00FB2CC7"/>
    <w:rsid w:val="00FB2D0C"/>
    <w:rsid w:val="00FB2DDC"/>
    <w:rsid w:val="00FB32C2"/>
    <w:rsid w:val="00FB3481"/>
    <w:rsid w:val="00FB34D7"/>
    <w:rsid w:val="00FB3A6F"/>
    <w:rsid w:val="00FB403B"/>
    <w:rsid w:val="00FB4C67"/>
    <w:rsid w:val="00FB5A06"/>
    <w:rsid w:val="00FB5A4E"/>
    <w:rsid w:val="00FB5AE8"/>
    <w:rsid w:val="00FB601C"/>
    <w:rsid w:val="00FB6834"/>
    <w:rsid w:val="00FB6B1C"/>
    <w:rsid w:val="00FB6C5C"/>
    <w:rsid w:val="00FB6D2B"/>
    <w:rsid w:val="00FB6E48"/>
    <w:rsid w:val="00FB76A8"/>
    <w:rsid w:val="00FC02B8"/>
    <w:rsid w:val="00FC0405"/>
    <w:rsid w:val="00FC067D"/>
    <w:rsid w:val="00FC0693"/>
    <w:rsid w:val="00FC0724"/>
    <w:rsid w:val="00FC0F0E"/>
    <w:rsid w:val="00FC1092"/>
    <w:rsid w:val="00FC1289"/>
    <w:rsid w:val="00FC1EE8"/>
    <w:rsid w:val="00FC1EFF"/>
    <w:rsid w:val="00FC22A4"/>
    <w:rsid w:val="00FC28E3"/>
    <w:rsid w:val="00FC34B0"/>
    <w:rsid w:val="00FC3F2E"/>
    <w:rsid w:val="00FC48EB"/>
    <w:rsid w:val="00FC498F"/>
    <w:rsid w:val="00FC4CD2"/>
    <w:rsid w:val="00FC4EF1"/>
    <w:rsid w:val="00FC5132"/>
    <w:rsid w:val="00FC56C4"/>
    <w:rsid w:val="00FC584A"/>
    <w:rsid w:val="00FC58EF"/>
    <w:rsid w:val="00FC59EA"/>
    <w:rsid w:val="00FC5B51"/>
    <w:rsid w:val="00FC617C"/>
    <w:rsid w:val="00FC69CD"/>
    <w:rsid w:val="00FC6CE7"/>
    <w:rsid w:val="00FC6FF8"/>
    <w:rsid w:val="00FC7677"/>
    <w:rsid w:val="00FC7D38"/>
    <w:rsid w:val="00FC7EC4"/>
    <w:rsid w:val="00FD00EA"/>
    <w:rsid w:val="00FD0C02"/>
    <w:rsid w:val="00FD1326"/>
    <w:rsid w:val="00FD1908"/>
    <w:rsid w:val="00FD1A88"/>
    <w:rsid w:val="00FD1F46"/>
    <w:rsid w:val="00FD236B"/>
    <w:rsid w:val="00FD2830"/>
    <w:rsid w:val="00FD2948"/>
    <w:rsid w:val="00FD2EE1"/>
    <w:rsid w:val="00FD31CF"/>
    <w:rsid w:val="00FD3730"/>
    <w:rsid w:val="00FD379D"/>
    <w:rsid w:val="00FD3BE6"/>
    <w:rsid w:val="00FD3FED"/>
    <w:rsid w:val="00FD4293"/>
    <w:rsid w:val="00FD49EA"/>
    <w:rsid w:val="00FD5199"/>
    <w:rsid w:val="00FD56DE"/>
    <w:rsid w:val="00FD5E69"/>
    <w:rsid w:val="00FD603C"/>
    <w:rsid w:val="00FD60B1"/>
    <w:rsid w:val="00FD60EB"/>
    <w:rsid w:val="00FD63AB"/>
    <w:rsid w:val="00FD6624"/>
    <w:rsid w:val="00FD6693"/>
    <w:rsid w:val="00FD6888"/>
    <w:rsid w:val="00FD71FE"/>
    <w:rsid w:val="00FD7288"/>
    <w:rsid w:val="00FD7805"/>
    <w:rsid w:val="00FE00F8"/>
    <w:rsid w:val="00FE024D"/>
    <w:rsid w:val="00FE0B50"/>
    <w:rsid w:val="00FE0EE9"/>
    <w:rsid w:val="00FE115F"/>
    <w:rsid w:val="00FE11EF"/>
    <w:rsid w:val="00FE16D7"/>
    <w:rsid w:val="00FE1D2B"/>
    <w:rsid w:val="00FE1F99"/>
    <w:rsid w:val="00FE2228"/>
    <w:rsid w:val="00FE29C9"/>
    <w:rsid w:val="00FE2AAA"/>
    <w:rsid w:val="00FE3298"/>
    <w:rsid w:val="00FE3631"/>
    <w:rsid w:val="00FE37F5"/>
    <w:rsid w:val="00FE39CD"/>
    <w:rsid w:val="00FE3DFD"/>
    <w:rsid w:val="00FE4027"/>
    <w:rsid w:val="00FE45A8"/>
    <w:rsid w:val="00FE4A91"/>
    <w:rsid w:val="00FE5E73"/>
    <w:rsid w:val="00FE5E81"/>
    <w:rsid w:val="00FE5F2A"/>
    <w:rsid w:val="00FE7FA7"/>
    <w:rsid w:val="00FF0050"/>
    <w:rsid w:val="00FF028A"/>
    <w:rsid w:val="00FF03E3"/>
    <w:rsid w:val="00FF1636"/>
    <w:rsid w:val="00FF1831"/>
    <w:rsid w:val="00FF1DB3"/>
    <w:rsid w:val="00FF25D0"/>
    <w:rsid w:val="00FF3143"/>
    <w:rsid w:val="00FF36F1"/>
    <w:rsid w:val="00FF37BB"/>
    <w:rsid w:val="00FF38A9"/>
    <w:rsid w:val="00FF3A2A"/>
    <w:rsid w:val="00FF3BF1"/>
    <w:rsid w:val="00FF4FBE"/>
    <w:rsid w:val="00FF532A"/>
    <w:rsid w:val="00FF535E"/>
    <w:rsid w:val="00FF5441"/>
    <w:rsid w:val="00FF5580"/>
    <w:rsid w:val="00FF5F31"/>
    <w:rsid w:val="00FF6D44"/>
    <w:rsid w:val="00FF6EB6"/>
    <w:rsid w:val="00FF6EBF"/>
    <w:rsid w:val="00FF7205"/>
    <w:rsid w:val="00FF7907"/>
    <w:rsid w:val="00FF7E6E"/>
    <w:rsid w:val="00FF7F39"/>
    <w:rsid w:val="01CA5CC8"/>
    <w:rsid w:val="0341020B"/>
    <w:rsid w:val="05834617"/>
    <w:rsid w:val="058468D3"/>
    <w:rsid w:val="06021CF7"/>
    <w:rsid w:val="06227CCF"/>
    <w:rsid w:val="089C7987"/>
    <w:rsid w:val="08B702B2"/>
    <w:rsid w:val="097B4667"/>
    <w:rsid w:val="09A63D83"/>
    <w:rsid w:val="09B13866"/>
    <w:rsid w:val="09BC05EC"/>
    <w:rsid w:val="0B083CC0"/>
    <w:rsid w:val="0BD04822"/>
    <w:rsid w:val="0C882A07"/>
    <w:rsid w:val="0D4A0AC6"/>
    <w:rsid w:val="0D5F5002"/>
    <w:rsid w:val="0E1C59E0"/>
    <w:rsid w:val="0ECA4754"/>
    <w:rsid w:val="0FB5AB70"/>
    <w:rsid w:val="10A57B48"/>
    <w:rsid w:val="10B812F8"/>
    <w:rsid w:val="118934A9"/>
    <w:rsid w:val="139B5716"/>
    <w:rsid w:val="13BB237A"/>
    <w:rsid w:val="13FE3297"/>
    <w:rsid w:val="140B6CAE"/>
    <w:rsid w:val="15DF29D5"/>
    <w:rsid w:val="15E04885"/>
    <w:rsid w:val="15EC4D86"/>
    <w:rsid w:val="16645204"/>
    <w:rsid w:val="166554B1"/>
    <w:rsid w:val="17AC1D07"/>
    <w:rsid w:val="17DB2585"/>
    <w:rsid w:val="1821268E"/>
    <w:rsid w:val="184C5231"/>
    <w:rsid w:val="19434886"/>
    <w:rsid w:val="19CE2824"/>
    <w:rsid w:val="1A5F5810"/>
    <w:rsid w:val="1A8F7334"/>
    <w:rsid w:val="1CC7132A"/>
    <w:rsid w:val="1D5E0D47"/>
    <w:rsid w:val="1DA41F17"/>
    <w:rsid w:val="1DBBE135"/>
    <w:rsid w:val="1F5A6DEE"/>
    <w:rsid w:val="1F642E60"/>
    <w:rsid w:val="1FBB095D"/>
    <w:rsid w:val="1FD74E53"/>
    <w:rsid w:val="1FF639D9"/>
    <w:rsid w:val="206128D8"/>
    <w:rsid w:val="20886AC7"/>
    <w:rsid w:val="219D7809"/>
    <w:rsid w:val="240C1134"/>
    <w:rsid w:val="243C7B16"/>
    <w:rsid w:val="24F42ED8"/>
    <w:rsid w:val="25AB7A3A"/>
    <w:rsid w:val="25EF60B4"/>
    <w:rsid w:val="25FF138D"/>
    <w:rsid w:val="2601765A"/>
    <w:rsid w:val="271A1D00"/>
    <w:rsid w:val="273911D2"/>
    <w:rsid w:val="2A7D1837"/>
    <w:rsid w:val="2BDF043E"/>
    <w:rsid w:val="2D8C0151"/>
    <w:rsid w:val="2D9D410D"/>
    <w:rsid w:val="2DAF2092"/>
    <w:rsid w:val="2E55CCC9"/>
    <w:rsid w:val="2E6E080B"/>
    <w:rsid w:val="2EBEE1D9"/>
    <w:rsid w:val="2F086F0A"/>
    <w:rsid w:val="2F5FE2CA"/>
    <w:rsid w:val="2FDF39C8"/>
    <w:rsid w:val="30006BD5"/>
    <w:rsid w:val="301B257E"/>
    <w:rsid w:val="338D1756"/>
    <w:rsid w:val="359F8F90"/>
    <w:rsid w:val="36FFEF17"/>
    <w:rsid w:val="376B04CC"/>
    <w:rsid w:val="37CF0D39"/>
    <w:rsid w:val="37DC41A0"/>
    <w:rsid w:val="37EB6085"/>
    <w:rsid w:val="37FF9812"/>
    <w:rsid w:val="380B25BB"/>
    <w:rsid w:val="38B77560"/>
    <w:rsid w:val="39180AEB"/>
    <w:rsid w:val="396627FA"/>
    <w:rsid w:val="39777F08"/>
    <w:rsid w:val="3A477AB7"/>
    <w:rsid w:val="3A593061"/>
    <w:rsid w:val="3ABF2A8D"/>
    <w:rsid w:val="3ADF443D"/>
    <w:rsid w:val="3B67747E"/>
    <w:rsid w:val="3BED446F"/>
    <w:rsid w:val="3BEF1E40"/>
    <w:rsid w:val="3BFF6FFF"/>
    <w:rsid w:val="3C2F0D4A"/>
    <w:rsid w:val="3CDE1E8A"/>
    <w:rsid w:val="3DAE5E5B"/>
    <w:rsid w:val="3E2EE421"/>
    <w:rsid w:val="3E5CE9D3"/>
    <w:rsid w:val="3E730C6B"/>
    <w:rsid w:val="3E7D5385"/>
    <w:rsid w:val="3E7FB082"/>
    <w:rsid w:val="3EB85C7F"/>
    <w:rsid w:val="3EDFE877"/>
    <w:rsid w:val="3F7F32F9"/>
    <w:rsid w:val="3FAFD976"/>
    <w:rsid w:val="3FF76980"/>
    <w:rsid w:val="3FFF142A"/>
    <w:rsid w:val="408E3D89"/>
    <w:rsid w:val="41B376E5"/>
    <w:rsid w:val="41DA7286"/>
    <w:rsid w:val="41FF5C30"/>
    <w:rsid w:val="423F35D0"/>
    <w:rsid w:val="42C90179"/>
    <w:rsid w:val="437B855A"/>
    <w:rsid w:val="438F22F2"/>
    <w:rsid w:val="43D146B8"/>
    <w:rsid w:val="43EF2593"/>
    <w:rsid w:val="43FF4431"/>
    <w:rsid w:val="458115B6"/>
    <w:rsid w:val="45DB086B"/>
    <w:rsid w:val="464535BF"/>
    <w:rsid w:val="465061B4"/>
    <w:rsid w:val="47725C0A"/>
    <w:rsid w:val="47EB5315"/>
    <w:rsid w:val="481F6806"/>
    <w:rsid w:val="485C3F8A"/>
    <w:rsid w:val="4BED4DC5"/>
    <w:rsid w:val="4E8B05D5"/>
    <w:rsid w:val="4EA3758F"/>
    <w:rsid w:val="4F274C6E"/>
    <w:rsid w:val="4F905428"/>
    <w:rsid w:val="4FE63B9E"/>
    <w:rsid w:val="4FFF0F38"/>
    <w:rsid w:val="5059420E"/>
    <w:rsid w:val="506C4808"/>
    <w:rsid w:val="507B6192"/>
    <w:rsid w:val="527870C6"/>
    <w:rsid w:val="52BA1939"/>
    <w:rsid w:val="52DD6516"/>
    <w:rsid w:val="533D7674"/>
    <w:rsid w:val="53E5E810"/>
    <w:rsid w:val="53F1FE07"/>
    <w:rsid w:val="55315DB3"/>
    <w:rsid w:val="55E76EB4"/>
    <w:rsid w:val="55FB374B"/>
    <w:rsid w:val="56260894"/>
    <w:rsid w:val="565780A8"/>
    <w:rsid w:val="56813D1C"/>
    <w:rsid w:val="56E91E9B"/>
    <w:rsid w:val="57175F87"/>
    <w:rsid w:val="572947D7"/>
    <w:rsid w:val="57C55C52"/>
    <w:rsid w:val="57D77E09"/>
    <w:rsid w:val="57FD77A1"/>
    <w:rsid w:val="57FF11B8"/>
    <w:rsid w:val="587C24DF"/>
    <w:rsid w:val="587E032B"/>
    <w:rsid w:val="589C5DBB"/>
    <w:rsid w:val="59AC10B0"/>
    <w:rsid w:val="59C7FAAC"/>
    <w:rsid w:val="59E56D9A"/>
    <w:rsid w:val="59FAF470"/>
    <w:rsid w:val="5A678175"/>
    <w:rsid w:val="5ADFA7D5"/>
    <w:rsid w:val="5AFDF8B9"/>
    <w:rsid w:val="5BD94B4C"/>
    <w:rsid w:val="5BE1B008"/>
    <w:rsid w:val="5BEA4111"/>
    <w:rsid w:val="5CA40764"/>
    <w:rsid w:val="5CF33D6A"/>
    <w:rsid w:val="5D1A730C"/>
    <w:rsid w:val="5D771E40"/>
    <w:rsid w:val="5D830D11"/>
    <w:rsid w:val="5DBF2D34"/>
    <w:rsid w:val="5DF5AF7A"/>
    <w:rsid w:val="5E271DF0"/>
    <w:rsid w:val="5EBFDF03"/>
    <w:rsid w:val="5EFBA57F"/>
    <w:rsid w:val="5EFF448A"/>
    <w:rsid w:val="5F6F7CE1"/>
    <w:rsid w:val="5F77C613"/>
    <w:rsid w:val="5FB7C226"/>
    <w:rsid w:val="5FDE9749"/>
    <w:rsid w:val="5FFF44FB"/>
    <w:rsid w:val="5FFFBCE1"/>
    <w:rsid w:val="6018004D"/>
    <w:rsid w:val="60BB607C"/>
    <w:rsid w:val="61335371"/>
    <w:rsid w:val="61A67C66"/>
    <w:rsid w:val="62171D6B"/>
    <w:rsid w:val="624F2B96"/>
    <w:rsid w:val="643808A0"/>
    <w:rsid w:val="64634A61"/>
    <w:rsid w:val="657DDA2D"/>
    <w:rsid w:val="65EE5B70"/>
    <w:rsid w:val="679FEBB2"/>
    <w:rsid w:val="67AB25C8"/>
    <w:rsid w:val="67B72330"/>
    <w:rsid w:val="67D424DD"/>
    <w:rsid w:val="67E56BDE"/>
    <w:rsid w:val="6AEE4C57"/>
    <w:rsid w:val="6AFB3AB7"/>
    <w:rsid w:val="6AFFDDA2"/>
    <w:rsid w:val="6B26541A"/>
    <w:rsid w:val="6B9BD1AD"/>
    <w:rsid w:val="6BB75D99"/>
    <w:rsid w:val="6BFF4888"/>
    <w:rsid w:val="6DFF224B"/>
    <w:rsid w:val="6E99E67F"/>
    <w:rsid w:val="6F4C2857"/>
    <w:rsid w:val="6FAB680F"/>
    <w:rsid w:val="6FDFC532"/>
    <w:rsid w:val="6FED00C1"/>
    <w:rsid w:val="6FFF8775"/>
    <w:rsid w:val="70161521"/>
    <w:rsid w:val="70286C25"/>
    <w:rsid w:val="711FB014"/>
    <w:rsid w:val="7128222B"/>
    <w:rsid w:val="71376302"/>
    <w:rsid w:val="71ADABE0"/>
    <w:rsid w:val="72EF13C1"/>
    <w:rsid w:val="73280A66"/>
    <w:rsid w:val="7375030D"/>
    <w:rsid w:val="74CF5F3E"/>
    <w:rsid w:val="753A3511"/>
    <w:rsid w:val="757F4C38"/>
    <w:rsid w:val="759011CE"/>
    <w:rsid w:val="75FEA512"/>
    <w:rsid w:val="76284C1D"/>
    <w:rsid w:val="763005C4"/>
    <w:rsid w:val="767AFA6F"/>
    <w:rsid w:val="767FC521"/>
    <w:rsid w:val="76B70966"/>
    <w:rsid w:val="77AD276B"/>
    <w:rsid w:val="77B917EE"/>
    <w:rsid w:val="77DE5D91"/>
    <w:rsid w:val="77EF0D2C"/>
    <w:rsid w:val="787B6852"/>
    <w:rsid w:val="78947487"/>
    <w:rsid w:val="78FDD335"/>
    <w:rsid w:val="796570A1"/>
    <w:rsid w:val="79705240"/>
    <w:rsid w:val="7A7B50B2"/>
    <w:rsid w:val="7ABE1E4A"/>
    <w:rsid w:val="7ACB698A"/>
    <w:rsid w:val="7AF1E7CD"/>
    <w:rsid w:val="7BAF2145"/>
    <w:rsid w:val="7BEF483B"/>
    <w:rsid w:val="7CDD7B16"/>
    <w:rsid w:val="7CE71790"/>
    <w:rsid w:val="7CFD2C30"/>
    <w:rsid w:val="7CFFD441"/>
    <w:rsid w:val="7D31799A"/>
    <w:rsid w:val="7DBF163D"/>
    <w:rsid w:val="7DDFF328"/>
    <w:rsid w:val="7DED98B4"/>
    <w:rsid w:val="7DF7423B"/>
    <w:rsid w:val="7DF9B74C"/>
    <w:rsid w:val="7DFF01D1"/>
    <w:rsid w:val="7DFF095A"/>
    <w:rsid w:val="7DFF446E"/>
    <w:rsid w:val="7E5718C9"/>
    <w:rsid w:val="7E7C5BAD"/>
    <w:rsid w:val="7EE8AF61"/>
    <w:rsid w:val="7EFF35D6"/>
    <w:rsid w:val="7F3EB776"/>
    <w:rsid w:val="7F3F552F"/>
    <w:rsid w:val="7F6E495B"/>
    <w:rsid w:val="7F721856"/>
    <w:rsid w:val="7F7F3E5F"/>
    <w:rsid w:val="7F7F5B52"/>
    <w:rsid w:val="7F9FB9B5"/>
    <w:rsid w:val="7FA7A01E"/>
    <w:rsid w:val="7FB38720"/>
    <w:rsid w:val="7FB3E8C3"/>
    <w:rsid w:val="7FBC432F"/>
    <w:rsid w:val="7FBC6547"/>
    <w:rsid w:val="7FDDB7E7"/>
    <w:rsid w:val="7FDE9FA8"/>
    <w:rsid w:val="7FDF2A86"/>
    <w:rsid w:val="7FDF7B49"/>
    <w:rsid w:val="7FE94B2A"/>
    <w:rsid w:val="7FEB0F1C"/>
    <w:rsid w:val="7FED3FB2"/>
    <w:rsid w:val="7FEFC7BB"/>
    <w:rsid w:val="7FF3AF12"/>
    <w:rsid w:val="7FF9FCAB"/>
    <w:rsid w:val="7FFB106A"/>
    <w:rsid w:val="7FFBD358"/>
    <w:rsid w:val="7FFC3FF8"/>
    <w:rsid w:val="7FFD7731"/>
    <w:rsid w:val="84F7509F"/>
    <w:rsid w:val="86FFAB0D"/>
    <w:rsid w:val="8FB7FC28"/>
    <w:rsid w:val="91FF3E7A"/>
    <w:rsid w:val="9BCB3FDE"/>
    <w:rsid w:val="9DFEE34E"/>
    <w:rsid w:val="9FD7FEA4"/>
    <w:rsid w:val="9FDF17E6"/>
    <w:rsid w:val="9FF7548C"/>
    <w:rsid w:val="A3EF31E9"/>
    <w:rsid w:val="ABF9E9A0"/>
    <w:rsid w:val="AF774E14"/>
    <w:rsid w:val="AFBD9FEE"/>
    <w:rsid w:val="AFD6057C"/>
    <w:rsid w:val="AFE9A913"/>
    <w:rsid w:val="AFFE82E7"/>
    <w:rsid w:val="B535DA67"/>
    <w:rsid w:val="B9F53D5F"/>
    <w:rsid w:val="BC3600FB"/>
    <w:rsid w:val="BCF702EE"/>
    <w:rsid w:val="BCFF10D1"/>
    <w:rsid w:val="BDAD3285"/>
    <w:rsid w:val="BDEFAFAF"/>
    <w:rsid w:val="BDFF8A2C"/>
    <w:rsid w:val="BF278294"/>
    <w:rsid w:val="BFB2F28C"/>
    <w:rsid w:val="BFBF0F38"/>
    <w:rsid w:val="BFEF4DC3"/>
    <w:rsid w:val="BFF75402"/>
    <w:rsid w:val="BFF7B214"/>
    <w:rsid w:val="C7E5CE86"/>
    <w:rsid w:val="CF27184F"/>
    <w:rsid w:val="CFEEF3FF"/>
    <w:rsid w:val="D0770B6B"/>
    <w:rsid w:val="D1D7BAA6"/>
    <w:rsid w:val="D4EB5BF0"/>
    <w:rsid w:val="D5EBBCED"/>
    <w:rsid w:val="D76FF4DC"/>
    <w:rsid w:val="D7FF19EF"/>
    <w:rsid w:val="DAEF6957"/>
    <w:rsid w:val="DB0BF180"/>
    <w:rsid w:val="DE3EF8A6"/>
    <w:rsid w:val="DEF6DEC2"/>
    <w:rsid w:val="DEFF7291"/>
    <w:rsid w:val="DF2F177C"/>
    <w:rsid w:val="DF4BD98D"/>
    <w:rsid w:val="DF639352"/>
    <w:rsid w:val="DF6AD59A"/>
    <w:rsid w:val="DF7E9E48"/>
    <w:rsid w:val="DF9FB1DB"/>
    <w:rsid w:val="DFE9D349"/>
    <w:rsid w:val="DFFD7180"/>
    <w:rsid w:val="DFFF1185"/>
    <w:rsid w:val="DFFF4EE5"/>
    <w:rsid w:val="E4BFC414"/>
    <w:rsid w:val="E4FF0411"/>
    <w:rsid w:val="E7B41BF2"/>
    <w:rsid w:val="E9771A10"/>
    <w:rsid w:val="E977917D"/>
    <w:rsid w:val="EADF5D97"/>
    <w:rsid w:val="EAFDB5A1"/>
    <w:rsid w:val="EB2EFF69"/>
    <w:rsid w:val="EBFF0466"/>
    <w:rsid w:val="EDDF1C93"/>
    <w:rsid w:val="EDEF147C"/>
    <w:rsid w:val="EEFDBF4A"/>
    <w:rsid w:val="EF5E1A83"/>
    <w:rsid w:val="EF738D70"/>
    <w:rsid w:val="EFAFED25"/>
    <w:rsid w:val="EFBF7C56"/>
    <w:rsid w:val="EFEF22CB"/>
    <w:rsid w:val="F0FFD66E"/>
    <w:rsid w:val="F14E7B2A"/>
    <w:rsid w:val="F19F8595"/>
    <w:rsid w:val="F1FE959C"/>
    <w:rsid w:val="F27C3425"/>
    <w:rsid w:val="F2EFC383"/>
    <w:rsid w:val="F2FECB65"/>
    <w:rsid w:val="F3DB80A3"/>
    <w:rsid w:val="F539314B"/>
    <w:rsid w:val="F57D815E"/>
    <w:rsid w:val="F5B1401C"/>
    <w:rsid w:val="F5DBE799"/>
    <w:rsid w:val="F5ED7E6E"/>
    <w:rsid w:val="F71DCC5C"/>
    <w:rsid w:val="F76BACD5"/>
    <w:rsid w:val="F76FE4E5"/>
    <w:rsid w:val="F77F10DA"/>
    <w:rsid w:val="F7D8E79A"/>
    <w:rsid w:val="F7E34BDB"/>
    <w:rsid w:val="F7EF7962"/>
    <w:rsid w:val="F7F49136"/>
    <w:rsid w:val="F97BD8B8"/>
    <w:rsid w:val="F9EB76C2"/>
    <w:rsid w:val="F9FF36F0"/>
    <w:rsid w:val="FA6FC323"/>
    <w:rsid w:val="FAF3FAA0"/>
    <w:rsid w:val="FAFBAEF9"/>
    <w:rsid w:val="FCFF92DE"/>
    <w:rsid w:val="FD82B0D8"/>
    <w:rsid w:val="FDBDD981"/>
    <w:rsid w:val="FDBF743A"/>
    <w:rsid w:val="FDCF67D8"/>
    <w:rsid w:val="FDE365CE"/>
    <w:rsid w:val="FDEFAD75"/>
    <w:rsid w:val="FDF99AAD"/>
    <w:rsid w:val="FDFF1858"/>
    <w:rsid w:val="FE57CF57"/>
    <w:rsid w:val="FEBBE2D5"/>
    <w:rsid w:val="FEEACDA2"/>
    <w:rsid w:val="FEFD4297"/>
    <w:rsid w:val="FEFFBBD6"/>
    <w:rsid w:val="FF13C81C"/>
    <w:rsid w:val="FF38C401"/>
    <w:rsid w:val="FF3FE923"/>
    <w:rsid w:val="FF6D6E74"/>
    <w:rsid w:val="FF7B0CA9"/>
    <w:rsid w:val="FF7CF282"/>
    <w:rsid w:val="FF7CFF75"/>
    <w:rsid w:val="FF977AF0"/>
    <w:rsid w:val="FFAB65A1"/>
    <w:rsid w:val="FFAD2D05"/>
    <w:rsid w:val="FFB9589B"/>
    <w:rsid w:val="FFBF29F5"/>
    <w:rsid w:val="FFC43AE1"/>
    <w:rsid w:val="FFD3DAB2"/>
    <w:rsid w:val="FFD76483"/>
    <w:rsid w:val="FFE355CF"/>
    <w:rsid w:val="FFE3F868"/>
    <w:rsid w:val="FFFA88A4"/>
    <w:rsid w:val="FFFB87E8"/>
    <w:rsid w:val="FFFBD98A"/>
    <w:rsid w:val="FFFD305B"/>
    <w:rsid w:val="FFFE9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2">
    <w:name w:val="heading 1"/>
    <w:basedOn w:val="1"/>
    <w:next w:val="1"/>
    <w:link w:val="46"/>
    <w:qFormat/>
    <w:uiPriority w:val="9"/>
    <w:pPr>
      <w:keepNext/>
      <w:keepLines/>
      <w:pageBreakBefore/>
      <w:spacing w:before="340" w:after="330" w:line="576" w:lineRule="auto"/>
      <w:jc w:val="center"/>
      <w:outlineLvl w:val="0"/>
    </w:pPr>
    <w:rPr>
      <w:b/>
      <w:kern w:val="44"/>
      <w:sz w:val="32"/>
    </w:rPr>
  </w:style>
  <w:style w:type="paragraph" w:styleId="3">
    <w:name w:val="heading 2"/>
    <w:basedOn w:val="1"/>
    <w:next w:val="1"/>
    <w:link w:val="65"/>
    <w:qFormat/>
    <w:uiPriority w:val="9"/>
    <w:pPr>
      <w:keepNext/>
      <w:keepLines/>
      <w:tabs>
        <w:tab w:val="left" w:pos="420"/>
      </w:tabs>
      <w:spacing w:before="50" w:beforeLines="50" w:after="50" w:afterLines="50"/>
      <w:jc w:val="center"/>
      <w:outlineLvl w:val="1"/>
    </w:pPr>
    <w:rPr>
      <w:rFonts w:eastAsia="黑体"/>
      <w:b/>
      <w:bCs/>
      <w:szCs w:val="32"/>
    </w:rPr>
  </w:style>
  <w:style w:type="paragraph" w:styleId="4">
    <w:name w:val="heading 3"/>
    <w:basedOn w:val="1"/>
    <w:next w:val="1"/>
    <w:link w:val="66"/>
    <w:qFormat/>
    <w:uiPriority w:val="9"/>
    <w:pPr>
      <w:keepNext/>
      <w:keepLines/>
      <w:spacing w:before="260" w:after="260"/>
      <w:jc w:val="center"/>
      <w:outlineLvl w:val="2"/>
    </w:pPr>
    <w:rPr>
      <w:rFonts w:eastAsia="仿宋"/>
    </w:rPr>
  </w:style>
  <w:style w:type="paragraph" w:styleId="5">
    <w:name w:val="heading 4"/>
    <w:basedOn w:val="1"/>
    <w:next w:val="1"/>
    <w:link w:val="27"/>
    <w:qFormat/>
    <w:uiPriority w:val="9"/>
    <w:pPr>
      <w:keepNext/>
      <w:keepLines/>
      <w:spacing w:before="260" w:after="260"/>
      <w:outlineLvl w:val="3"/>
    </w:pPr>
    <w:rPr>
      <w:b/>
      <w:bCs/>
      <w:szCs w:val="28"/>
    </w:rPr>
  </w:style>
  <w:style w:type="paragraph" w:styleId="6">
    <w:name w:val="heading 5"/>
    <w:basedOn w:val="1"/>
    <w:next w:val="1"/>
    <w:unhideWhenUsed/>
    <w:qFormat/>
    <w:uiPriority w:val="0"/>
    <w:pPr>
      <w:keepNext/>
      <w:keepLines/>
      <w:spacing w:before="280" w:after="290" w:line="372" w:lineRule="auto"/>
      <w:outlineLvl w:val="4"/>
    </w:pPr>
    <w:rPr>
      <w:b/>
      <w:sz w:val="28"/>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annotation text"/>
    <w:basedOn w:val="1"/>
    <w:link w:val="28"/>
    <w:qFormat/>
    <w:uiPriority w:val="99"/>
    <w:pPr>
      <w:jc w:val="left"/>
    </w:pPr>
  </w:style>
  <w:style w:type="paragraph" w:styleId="9">
    <w:name w:val="Body Text"/>
    <w:basedOn w:val="1"/>
    <w:link w:val="29"/>
    <w:qFormat/>
    <w:uiPriority w:val="99"/>
    <w:pPr>
      <w:autoSpaceDE w:val="0"/>
      <w:autoSpaceDN w:val="0"/>
      <w:spacing w:before="161" w:line="240" w:lineRule="auto"/>
      <w:ind w:left="260"/>
      <w:jc w:val="left"/>
    </w:pPr>
    <w:rPr>
      <w:rFonts w:ascii="宋体" w:hAnsi="宋体" w:cs="宋体"/>
      <w:kern w:val="0"/>
      <w:szCs w:val="24"/>
      <w:lang w:val="zh-CN" w:bidi="zh-CN"/>
    </w:rPr>
  </w:style>
  <w:style w:type="paragraph" w:styleId="10">
    <w:name w:val="toc 3"/>
    <w:basedOn w:val="1"/>
    <w:next w:val="1"/>
    <w:unhideWhenUsed/>
    <w:qFormat/>
    <w:uiPriority w:val="39"/>
    <w:pPr>
      <w:widowControl/>
      <w:ind w:firstLine="400" w:firstLineChars="400"/>
      <w:jc w:val="left"/>
    </w:pPr>
    <w:rPr>
      <w:kern w:val="0"/>
    </w:rPr>
  </w:style>
  <w:style w:type="paragraph" w:styleId="11">
    <w:name w:val="Date"/>
    <w:basedOn w:val="1"/>
    <w:next w:val="1"/>
    <w:link w:val="67"/>
    <w:unhideWhenUsed/>
    <w:uiPriority w:val="99"/>
    <w:pPr>
      <w:ind w:left="100" w:leftChars="2500" w:firstLine="200" w:firstLineChars="200"/>
    </w:pPr>
    <w:rPr>
      <w:rFonts w:eastAsia="仿宋" w:cstheme="minorBidi"/>
    </w:rPr>
  </w:style>
  <w:style w:type="paragraph" w:styleId="12">
    <w:name w:val="Balloon Text"/>
    <w:basedOn w:val="1"/>
    <w:link w:val="57"/>
    <w:qFormat/>
    <w:uiPriority w:val="99"/>
    <w:pPr>
      <w:spacing w:line="240" w:lineRule="auto"/>
    </w:pPr>
    <w:rPr>
      <w:sz w:val="18"/>
      <w:szCs w:val="18"/>
    </w:rPr>
  </w:style>
  <w:style w:type="paragraph" w:styleId="13">
    <w:name w:val="footer"/>
    <w:basedOn w:val="1"/>
    <w:link w:val="30"/>
    <w:unhideWhenUsed/>
    <w:qFormat/>
    <w:uiPriority w:val="99"/>
    <w:pPr>
      <w:tabs>
        <w:tab w:val="center" w:pos="4153"/>
        <w:tab w:val="right" w:pos="8306"/>
      </w:tabs>
      <w:snapToGrid w:val="0"/>
      <w:jc w:val="left"/>
    </w:pPr>
    <w:rPr>
      <w:sz w:val="18"/>
      <w:szCs w:val="18"/>
    </w:rPr>
  </w:style>
  <w:style w:type="paragraph" w:styleId="14">
    <w:name w:val="header"/>
    <w:basedOn w:val="1"/>
    <w:link w:val="3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5">
    <w:name w:val="toc 1"/>
    <w:basedOn w:val="1"/>
    <w:next w:val="1"/>
    <w:unhideWhenUsed/>
    <w:qFormat/>
    <w:uiPriority w:val="39"/>
    <w:pPr>
      <w:widowControl/>
      <w:tabs>
        <w:tab w:val="right" w:leader="dot" w:pos="8296"/>
      </w:tabs>
      <w:jc w:val="left"/>
    </w:pPr>
    <w:rPr>
      <w:kern w:val="0"/>
    </w:rPr>
  </w:style>
  <w:style w:type="paragraph" w:styleId="16">
    <w:name w:val="toc 2"/>
    <w:basedOn w:val="1"/>
    <w:next w:val="1"/>
    <w:unhideWhenUsed/>
    <w:qFormat/>
    <w:uiPriority w:val="39"/>
    <w:pPr>
      <w:widowControl/>
      <w:tabs>
        <w:tab w:val="right" w:leader="dot" w:pos="8296"/>
      </w:tabs>
      <w:ind w:firstLine="200" w:firstLineChars="200"/>
      <w:jc w:val="left"/>
    </w:pPr>
    <w:rPr>
      <w:kern w:val="0"/>
    </w:rPr>
  </w:style>
  <w:style w:type="paragraph" w:styleId="17">
    <w:name w:val="Normal (Web)"/>
    <w:basedOn w:val="1"/>
    <w:unhideWhenUsed/>
    <w:uiPriority w:val="99"/>
    <w:pPr>
      <w:widowControl/>
      <w:spacing w:before="100" w:beforeAutospacing="1" w:after="100" w:afterAutospacing="1" w:line="240" w:lineRule="auto"/>
      <w:jc w:val="left"/>
    </w:pPr>
    <w:rPr>
      <w:rFonts w:ascii="宋体" w:hAnsi="宋体" w:cs="宋体"/>
      <w:kern w:val="0"/>
      <w:szCs w:val="24"/>
    </w:rPr>
  </w:style>
  <w:style w:type="paragraph" w:styleId="18">
    <w:name w:val="annotation subject"/>
    <w:basedOn w:val="8"/>
    <w:next w:val="8"/>
    <w:link w:val="32"/>
    <w:qFormat/>
    <w:uiPriority w:val="99"/>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22"/>
    <w:rPr>
      <w:b/>
      <w:bCs/>
    </w:rPr>
  </w:style>
  <w:style w:type="character" w:styleId="23">
    <w:name w:val="FollowedHyperlink"/>
    <w:basedOn w:val="21"/>
    <w:unhideWhenUsed/>
    <w:uiPriority w:val="99"/>
    <w:rPr>
      <w:color w:val="954F72" w:themeColor="followedHyperlink"/>
      <w:u w:val="single"/>
      <w14:textFill>
        <w14:solidFill>
          <w14:schemeClr w14:val="folHlink"/>
        </w14:solidFill>
      </w14:textFill>
    </w:rPr>
  </w:style>
  <w:style w:type="character" w:styleId="24">
    <w:name w:val="Hyperlink"/>
    <w:basedOn w:val="21"/>
    <w:unhideWhenUsed/>
    <w:qFormat/>
    <w:uiPriority w:val="99"/>
    <w:rPr>
      <w:color w:val="0563C1"/>
      <w:u w:val="single"/>
    </w:rPr>
  </w:style>
  <w:style w:type="character" w:styleId="25">
    <w:name w:val="annotation reference"/>
    <w:basedOn w:val="21"/>
    <w:qFormat/>
    <w:uiPriority w:val="99"/>
    <w:rPr>
      <w:sz w:val="21"/>
      <w:szCs w:val="21"/>
    </w:rPr>
  </w:style>
  <w:style w:type="paragraph" w:styleId="26">
    <w:name w:val="No Spacing"/>
    <w:basedOn w:val="1"/>
    <w:link w:val="33"/>
    <w:qFormat/>
    <w:uiPriority w:val="1"/>
    <w:pPr>
      <w:ind w:firstLine="200" w:firstLineChars="200"/>
    </w:pPr>
    <w:rPr>
      <w:color w:val="4472C4"/>
    </w:rPr>
  </w:style>
  <w:style w:type="character" w:customStyle="1" w:styleId="27">
    <w:name w:val="标题 4 Char"/>
    <w:basedOn w:val="21"/>
    <w:link w:val="5"/>
    <w:qFormat/>
    <w:uiPriority w:val="9"/>
    <w:rPr>
      <w:rFonts w:ascii="Times New Roman" w:hAnsi="Times New Roman" w:cs="Times New Roman"/>
      <w:b/>
      <w:bCs/>
      <w:kern w:val="2"/>
      <w:sz w:val="24"/>
      <w:szCs w:val="28"/>
    </w:rPr>
  </w:style>
  <w:style w:type="character" w:customStyle="1" w:styleId="28">
    <w:name w:val="批注文字 Char"/>
    <w:basedOn w:val="21"/>
    <w:link w:val="8"/>
    <w:qFormat/>
    <w:uiPriority w:val="99"/>
    <w:rPr>
      <w:rFonts w:ascii="Times New Roman" w:hAnsi="Times New Roman"/>
      <w:kern w:val="2"/>
      <w:sz w:val="24"/>
      <w:szCs w:val="22"/>
    </w:rPr>
  </w:style>
  <w:style w:type="character" w:customStyle="1" w:styleId="29">
    <w:name w:val="正文文本 Char"/>
    <w:basedOn w:val="21"/>
    <w:link w:val="9"/>
    <w:qFormat/>
    <w:uiPriority w:val="99"/>
    <w:rPr>
      <w:rFonts w:ascii="宋体" w:hAnsi="宋体" w:cs="宋体"/>
      <w:sz w:val="24"/>
      <w:szCs w:val="24"/>
      <w:lang w:val="zh-CN" w:bidi="zh-CN"/>
    </w:rPr>
  </w:style>
  <w:style w:type="character" w:customStyle="1" w:styleId="30">
    <w:name w:val="页脚 Char"/>
    <w:link w:val="13"/>
    <w:qFormat/>
    <w:uiPriority w:val="99"/>
    <w:rPr>
      <w:rFonts w:ascii="Times New Roman" w:hAnsi="Times New Roman"/>
      <w:kern w:val="2"/>
      <w:sz w:val="18"/>
      <w:szCs w:val="18"/>
    </w:rPr>
  </w:style>
  <w:style w:type="character" w:customStyle="1" w:styleId="31">
    <w:name w:val="页眉 Char"/>
    <w:link w:val="14"/>
    <w:qFormat/>
    <w:uiPriority w:val="99"/>
    <w:rPr>
      <w:rFonts w:ascii="Times New Roman" w:hAnsi="Times New Roman"/>
      <w:kern w:val="2"/>
      <w:sz w:val="18"/>
      <w:szCs w:val="18"/>
    </w:rPr>
  </w:style>
  <w:style w:type="character" w:customStyle="1" w:styleId="32">
    <w:name w:val="批注主题 Char"/>
    <w:basedOn w:val="28"/>
    <w:link w:val="18"/>
    <w:qFormat/>
    <w:uiPriority w:val="99"/>
    <w:rPr>
      <w:rFonts w:ascii="Times New Roman" w:hAnsi="Times New Roman"/>
      <w:b/>
      <w:bCs/>
      <w:kern w:val="2"/>
      <w:sz w:val="24"/>
      <w:szCs w:val="22"/>
    </w:rPr>
  </w:style>
  <w:style w:type="character" w:customStyle="1" w:styleId="33">
    <w:name w:val="无间隔 Char"/>
    <w:basedOn w:val="21"/>
    <w:link w:val="26"/>
    <w:qFormat/>
    <w:uiPriority w:val="1"/>
    <w:rPr>
      <w:rFonts w:ascii="Times New Roman" w:hAnsi="Times New Roman"/>
      <w:color w:val="4472C4"/>
      <w:kern w:val="2"/>
      <w:sz w:val="24"/>
      <w:szCs w:val="22"/>
    </w:rPr>
  </w:style>
  <w:style w:type="character" w:styleId="34">
    <w:name w:val="Placeholder Text"/>
    <w:basedOn w:val="21"/>
    <w:unhideWhenUsed/>
    <w:qFormat/>
    <w:uiPriority w:val="99"/>
    <w:rPr>
      <w:color w:val="808080"/>
    </w:rPr>
  </w:style>
  <w:style w:type="paragraph" w:styleId="35">
    <w:name w:val="Quote"/>
    <w:basedOn w:val="1"/>
    <w:next w:val="1"/>
    <w:link w:val="36"/>
    <w:qFormat/>
    <w:uiPriority w:val="99"/>
    <w:pPr>
      <w:spacing w:before="200" w:after="160"/>
      <w:ind w:left="864" w:right="864"/>
      <w:jc w:val="center"/>
    </w:pPr>
    <w:rPr>
      <w:i/>
      <w:iCs/>
      <w:color w:val="3F3F3F"/>
    </w:rPr>
  </w:style>
  <w:style w:type="character" w:customStyle="1" w:styleId="36">
    <w:name w:val="引用 Char"/>
    <w:basedOn w:val="21"/>
    <w:link w:val="35"/>
    <w:qFormat/>
    <w:uiPriority w:val="99"/>
    <w:rPr>
      <w:rFonts w:ascii="Times New Roman" w:hAnsi="Times New Roman"/>
      <w:i/>
      <w:iCs/>
      <w:color w:val="3F3F3F"/>
      <w:kern w:val="2"/>
      <w:sz w:val="24"/>
      <w:szCs w:val="22"/>
    </w:rPr>
  </w:style>
  <w:style w:type="paragraph" w:customStyle="1" w:styleId="37">
    <w:name w:val="表格题注"/>
    <w:basedOn w:val="35"/>
    <w:link w:val="38"/>
    <w:qFormat/>
    <w:uiPriority w:val="0"/>
    <w:rPr>
      <w:rFonts w:eastAsia="黑体"/>
      <w:b/>
      <w:i w:val="0"/>
      <w:color w:val="000000" w:themeColor="text1"/>
      <w:sz w:val="21"/>
      <w14:textFill>
        <w14:solidFill>
          <w14:schemeClr w14:val="tx1"/>
        </w14:solidFill>
      </w14:textFill>
    </w:rPr>
  </w:style>
  <w:style w:type="character" w:customStyle="1" w:styleId="38">
    <w:name w:val="表格题注 字符"/>
    <w:basedOn w:val="36"/>
    <w:link w:val="37"/>
    <w:qFormat/>
    <w:uiPriority w:val="0"/>
    <w:rPr>
      <w:rFonts w:ascii="Times New Roman" w:hAnsi="Times New Roman" w:eastAsia="黑体"/>
      <w:b/>
      <w:i w:val="0"/>
      <w:color w:val="000000" w:themeColor="text1"/>
      <w:kern w:val="2"/>
      <w:sz w:val="21"/>
      <w:szCs w:val="22"/>
      <w14:textFill>
        <w14:solidFill>
          <w14:schemeClr w14:val="tx1"/>
        </w14:solidFill>
      </w14:textFill>
    </w:rPr>
  </w:style>
  <w:style w:type="paragraph" w:customStyle="1" w:styleId="39">
    <w:name w:val="表格"/>
    <w:basedOn w:val="26"/>
    <w:link w:val="40"/>
    <w:qFormat/>
    <w:uiPriority w:val="0"/>
    <w:pPr>
      <w:ind w:firstLine="0" w:firstLineChars="0"/>
      <w:jc w:val="center"/>
    </w:pPr>
    <w:rPr>
      <w:color w:val="auto"/>
      <w:sz w:val="21"/>
    </w:rPr>
  </w:style>
  <w:style w:type="character" w:customStyle="1" w:styleId="40">
    <w:name w:val="表格 字符"/>
    <w:basedOn w:val="33"/>
    <w:link w:val="39"/>
    <w:qFormat/>
    <w:uiPriority w:val="0"/>
    <w:rPr>
      <w:rFonts w:ascii="Times New Roman" w:hAnsi="Times New Roman"/>
      <w:color w:val="4472C4"/>
      <w:kern w:val="2"/>
      <w:sz w:val="21"/>
      <w:szCs w:val="22"/>
    </w:rPr>
  </w:style>
  <w:style w:type="paragraph" w:customStyle="1" w:styleId="41">
    <w:name w:val="表格A"/>
    <w:basedOn w:val="39"/>
    <w:link w:val="42"/>
    <w:qFormat/>
    <w:uiPriority w:val="0"/>
    <w:pPr>
      <w:spacing w:line="240" w:lineRule="auto"/>
    </w:pPr>
    <w:rPr>
      <w:sz w:val="18"/>
    </w:rPr>
  </w:style>
  <w:style w:type="character" w:customStyle="1" w:styleId="42">
    <w:name w:val="表格A 字符"/>
    <w:basedOn w:val="40"/>
    <w:link w:val="41"/>
    <w:qFormat/>
    <w:uiPriority w:val="0"/>
    <w:rPr>
      <w:rFonts w:ascii="Times New Roman" w:hAnsi="Times New Roman"/>
      <w:color w:val="4472C4"/>
      <w:kern w:val="2"/>
      <w:sz w:val="18"/>
      <w:szCs w:val="22"/>
    </w:rPr>
  </w:style>
  <w:style w:type="paragraph" w:customStyle="1" w:styleId="43">
    <w:name w:val="TOC 标题1"/>
    <w:basedOn w:val="2"/>
    <w:next w:val="1"/>
    <w:unhideWhenUsed/>
    <w:qFormat/>
    <w:uiPriority w:val="39"/>
    <w:pPr>
      <w:pageBreakBefore w:val="0"/>
      <w:widowControl/>
      <w:spacing w:before="240" w:after="0" w:line="259" w:lineRule="auto"/>
      <w:jc w:val="left"/>
      <w:outlineLvl w:val="9"/>
    </w:pPr>
    <w:rPr>
      <w:rFonts w:ascii="等线 Light" w:hAnsi="等线 Light" w:eastAsia="等线 Light"/>
      <w:b w:val="0"/>
      <w:color w:val="2F5496"/>
      <w:kern w:val="0"/>
      <w:szCs w:val="32"/>
    </w:rPr>
  </w:style>
  <w:style w:type="table" w:customStyle="1" w:styleId="44">
    <w:name w:val="Table Normal"/>
    <w:unhideWhenUsed/>
    <w:qFormat/>
    <w:uiPriority w:val="2"/>
    <w:pPr>
      <w:widowControl w:val="0"/>
      <w:autoSpaceDE w:val="0"/>
      <w:autoSpaceDN w:val="0"/>
    </w:pPr>
    <w:rPr>
      <w:rFonts w:ascii="等线" w:hAnsi="等线" w:eastAsia="等线"/>
      <w:sz w:val="22"/>
      <w:szCs w:val="22"/>
      <w:lang w:eastAsia="en-US"/>
    </w:rPr>
    <w:tblPr>
      <w:tblCellMar>
        <w:top w:w="0" w:type="dxa"/>
        <w:left w:w="0" w:type="dxa"/>
        <w:bottom w:w="0" w:type="dxa"/>
        <w:right w:w="0" w:type="dxa"/>
      </w:tblCellMar>
    </w:tblPr>
  </w:style>
  <w:style w:type="paragraph" w:customStyle="1" w:styleId="45">
    <w:name w:val="Table Paragraph"/>
    <w:basedOn w:val="1"/>
    <w:qFormat/>
    <w:uiPriority w:val="1"/>
    <w:pPr>
      <w:autoSpaceDE w:val="0"/>
      <w:autoSpaceDN w:val="0"/>
      <w:spacing w:before="52" w:line="240" w:lineRule="auto"/>
      <w:jc w:val="center"/>
    </w:pPr>
    <w:rPr>
      <w:rFonts w:eastAsia="Times New Roman"/>
      <w:kern w:val="0"/>
      <w:sz w:val="22"/>
      <w:lang w:val="zh-CN" w:bidi="zh-CN"/>
    </w:rPr>
  </w:style>
  <w:style w:type="character" w:customStyle="1" w:styleId="46">
    <w:name w:val="标题 1 Char"/>
    <w:basedOn w:val="21"/>
    <w:link w:val="2"/>
    <w:qFormat/>
    <w:uiPriority w:val="9"/>
    <w:rPr>
      <w:rFonts w:ascii="Times New Roman" w:hAnsi="Times New Roman"/>
      <w:b/>
      <w:kern w:val="44"/>
      <w:sz w:val="32"/>
      <w:szCs w:val="22"/>
    </w:rPr>
  </w:style>
  <w:style w:type="paragraph" w:customStyle="1" w:styleId="47">
    <w:name w:val="6表格"/>
    <w:basedOn w:val="1"/>
    <w:link w:val="48"/>
    <w:qFormat/>
    <w:uiPriority w:val="0"/>
    <w:pPr>
      <w:spacing w:before="50" w:beforeLines="50"/>
      <w:jc w:val="center"/>
    </w:pPr>
    <w:rPr>
      <w:rFonts w:eastAsiaTheme="minorEastAsia" w:cstheme="minorBidi"/>
      <w:sz w:val="21"/>
      <w:szCs w:val="21"/>
    </w:rPr>
  </w:style>
  <w:style w:type="character" w:customStyle="1" w:styleId="48">
    <w:name w:val="6表格 Char"/>
    <w:basedOn w:val="21"/>
    <w:link w:val="47"/>
    <w:qFormat/>
    <w:uiPriority w:val="0"/>
    <w:rPr>
      <w:rFonts w:ascii="Times New Roman" w:hAnsi="Times New Roman" w:eastAsiaTheme="minorEastAsia" w:cstheme="minorBidi"/>
      <w:kern w:val="2"/>
      <w:sz w:val="21"/>
      <w:szCs w:val="21"/>
    </w:rPr>
  </w:style>
  <w:style w:type="paragraph" w:customStyle="1" w:styleId="49">
    <w:name w:val="说明"/>
    <w:basedOn w:val="1"/>
    <w:link w:val="51"/>
    <w:qFormat/>
    <w:uiPriority w:val="0"/>
    <w:pPr>
      <w:widowControl/>
      <w:ind w:firstLine="480" w:firstLineChars="200"/>
    </w:pPr>
    <w:rPr>
      <w:rFonts w:eastAsiaTheme="minorEastAsia"/>
      <w:bCs/>
      <w:color w:val="0070C0"/>
      <w:kern w:val="0"/>
      <w:szCs w:val="24"/>
    </w:rPr>
  </w:style>
  <w:style w:type="paragraph" w:customStyle="1" w:styleId="50">
    <w:name w:val="4标题"/>
    <w:basedOn w:val="1"/>
    <w:link w:val="52"/>
    <w:qFormat/>
    <w:uiPriority w:val="0"/>
    <w:pPr>
      <w:spacing w:before="260" w:after="260"/>
      <w:outlineLvl w:val="3"/>
    </w:pPr>
    <w:rPr>
      <w:rFonts w:eastAsiaTheme="minorEastAsia" w:cstheme="minorBidi"/>
      <w:b/>
      <w:szCs w:val="24"/>
    </w:rPr>
  </w:style>
  <w:style w:type="character" w:customStyle="1" w:styleId="51">
    <w:name w:val="说明 字符"/>
    <w:basedOn w:val="21"/>
    <w:link w:val="49"/>
    <w:qFormat/>
    <w:uiPriority w:val="0"/>
    <w:rPr>
      <w:rFonts w:ascii="Times New Roman" w:hAnsi="Times New Roman" w:eastAsiaTheme="minorEastAsia"/>
      <w:bCs/>
      <w:color w:val="0070C0"/>
      <w:sz w:val="24"/>
      <w:szCs w:val="24"/>
    </w:rPr>
  </w:style>
  <w:style w:type="character" w:customStyle="1" w:styleId="52">
    <w:name w:val="4标题 字符"/>
    <w:basedOn w:val="21"/>
    <w:link w:val="50"/>
    <w:qFormat/>
    <w:uiPriority w:val="0"/>
    <w:rPr>
      <w:rFonts w:ascii="Times New Roman" w:hAnsi="Times New Roman" w:eastAsiaTheme="minorEastAsia" w:cstheme="minorBidi"/>
      <w:b/>
      <w:kern w:val="2"/>
      <w:sz w:val="24"/>
      <w:szCs w:val="24"/>
    </w:rPr>
  </w:style>
  <w:style w:type="paragraph" w:customStyle="1" w:styleId="53">
    <w:name w:val="修订1"/>
    <w:hidden/>
    <w:unhideWhenUsed/>
    <w:qFormat/>
    <w:uiPriority w:val="99"/>
    <w:rPr>
      <w:rFonts w:ascii="Times New Roman" w:hAnsi="Times New Roman" w:eastAsia="宋体" w:cs="Times New Roman"/>
      <w:kern w:val="2"/>
      <w:sz w:val="24"/>
      <w:szCs w:val="22"/>
      <w:lang w:val="en-US" w:eastAsia="zh-CN" w:bidi="ar-SA"/>
    </w:rPr>
  </w:style>
  <w:style w:type="paragraph" w:customStyle="1" w:styleId="54">
    <w:name w:val="修订2"/>
    <w:hidden/>
    <w:unhideWhenUsed/>
    <w:qFormat/>
    <w:uiPriority w:val="99"/>
    <w:rPr>
      <w:rFonts w:ascii="Times New Roman" w:hAnsi="Times New Roman" w:eastAsia="宋体" w:cs="Times New Roman"/>
      <w:kern w:val="2"/>
      <w:sz w:val="24"/>
      <w:szCs w:val="22"/>
      <w:lang w:val="en-US" w:eastAsia="zh-CN" w:bidi="ar-SA"/>
    </w:rPr>
  </w:style>
  <w:style w:type="paragraph" w:customStyle="1" w:styleId="55">
    <w:name w:val="TOC 标题2"/>
    <w:basedOn w:val="2"/>
    <w:next w:val="1"/>
    <w:unhideWhenUsed/>
    <w:qFormat/>
    <w:uiPriority w:val="39"/>
    <w:pPr>
      <w:pageBreakBefore w:val="0"/>
      <w:widowControl/>
      <w:spacing w:before="240" w:after="0" w:line="259" w:lineRule="auto"/>
      <w:jc w:val="left"/>
      <w:outlineLvl w:val="9"/>
    </w:pPr>
    <w:rPr>
      <w:rFonts w:asciiTheme="majorHAnsi" w:hAnsiTheme="majorHAnsi" w:eastAsiaTheme="majorEastAsia" w:cstheme="majorBidi"/>
      <w:b w:val="0"/>
      <w:color w:val="2F5597" w:themeColor="accent1" w:themeShade="BF"/>
      <w:kern w:val="0"/>
      <w:szCs w:val="32"/>
    </w:rPr>
  </w:style>
  <w:style w:type="paragraph" w:styleId="56">
    <w:name w:val="List Paragraph"/>
    <w:basedOn w:val="1"/>
    <w:unhideWhenUsed/>
    <w:qFormat/>
    <w:uiPriority w:val="34"/>
    <w:pPr>
      <w:ind w:firstLine="420" w:firstLineChars="200"/>
    </w:pPr>
  </w:style>
  <w:style w:type="character" w:customStyle="1" w:styleId="57">
    <w:name w:val="批注框文本 Char"/>
    <w:basedOn w:val="21"/>
    <w:link w:val="12"/>
    <w:qFormat/>
    <w:uiPriority w:val="99"/>
    <w:rPr>
      <w:rFonts w:ascii="Times New Roman" w:hAnsi="Times New Roman"/>
      <w:kern w:val="2"/>
      <w:sz w:val="18"/>
      <w:szCs w:val="18"/>
    </w:rPr>
  </w:style>
  <w:style w:type="paragraph" w:customStyle="1" w:styleId="58">
    <w:name w:val="修订3"/>
    <w:hidden/>
    <w:unhideWhenUsed/>
    <w:qFormat/>
    <w:uiPriority w:val="99"/>
    <w:rPr>
      <w:rFonts w:ascii="Times New Roman" w:hAnsi="Times New Roman" w:eastAsia="宋体" w:cs="Times New Roman"/>
      <w:kern w:val="2"/>
      <w:sz w:val="24"/>
      <w:szCs w:val="22"/>
      <w:lang w:val="en-US" w:eastAsia="zh-CN" w:bidi="ar-SA"/>
    </w:rPr>
  </w:style>
  <w:style w:type="paragraph" w:customStyle="1" w:styleId="59">
    <w:name w:val="修订4"/>
    <w:hidden/>
    <w:unhideWhenUsed/>
    <w:qFormat/>
    <w:uiPriority w:val="99"/>
    <w:rPr>
      <w:rFonts w:ascii="Times New Roman" w:hAnsi="Times New Roman" w:eastAsia="宋体" w:cs="Times New Roman"/>
      <w:kern w:val="2"/>
      <w:sz w:val="24"/>
      <w:szCs w:val="22"/>
      <w:lang w:val="en-US" w:eastAsia="zh-CN" w:bidi="ar-SA"/>
    </w:rPr>
  </w:style>
  <w:style w:type="table" w:customStyle="1" w:styleId="60">
    <w:name w:val="网格型14"/>
    <w:basedOn w:val="19"/>
    <w:qFormat/>
    <w:uiPriority w:val="39"/>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1">
    <w:name w:val="修订5"/>
    <w:hidden/>
    <w:unhideWhenUsed/>
    <w:qFormat/>
    <w:uiPriority w:val="99"/>
    <w:rPr>
      <w:rFonts w:ascii="Times New Roman" w:hAnsi="Times New Roman" w:eastAsia="宋体" w:cs="Times New Roman"/>
      <w:kern w:val="2"/>
      <w:sz w:val="24"/>
      <w:szCs w:val="22"/>
      <w:lang w:val="en-US" w:eastAsia="zh-CN" w:bidi="ar-SA"/>
    </w:rPr>
  </w:style>
  <w:style w:type="paragraph" w:customStyle="1" w:styleId="62">
    <w:name w:val="TOC 标题3"/>
    <w:basedOn w:val="2"/>
    <w:next w:val="1"/>
    <w:unhideWhenUsed/>
    <w:qFormat/>
    <w:uiPriority w:val="39"/>
    <w:pPr>
      <w:pageBreakBefore w:val="0"/>
      <w:widowControl/>
      <w:spacing w:before="240" w:after="0" w:line="259" w:lineRule="auto"/>
      <w:jc w:val="left"/>
      <w:outlineLvl w:val="9"/>
    </w:pPr>
    <w:rPr>
      <w:rFonts w:asciiTheme="majorHAnsi" w:hAnsiTheme="majorHAnsi" w:eastAsiaTheme="majorEastAsia" w:cstheme="majorBidi"/>
      <w:b w:val="0"/>
      <w:color w:val="2F5597" w:themeColor="accent1" w:themeShade="BF"/>
      <w:kern w:val="0"/>
      <w:szCs w:val="32"/>
    </w:rPr>
  </w:style>
  <w:style w:type="paragraph" w:customStyle="1" w:styleId="63">
    <w:name w:val="修订6"/>
    <w:hidden/>
    <w:semiHidden/>
    <w:qFormat/>
    <w:uiPriority w:val="99"/>
    <w:rPr>
      <w:rFonts w:ascii="Times New Roman" w:hAnsi="Times New Roman" w:eastAsia="宋体" w:cs="Times New Roman"/>
      <w:kern w:val="2"/>
      <w:sz w:val="24"/>
      <w:szCs w:val="22"/>
      <w:lang w:val="en-US" w:eastAsia="zh-CN" w:bidi="ar-SA"/>
    </w:rPr>
  </w:style>
  <w:style w:type="paragraph" w:customStyle="1" w:styleId="64">
    <w:name w:val="修订7"/>
    <w:hidden/>
    <w:unhideWhenUsed/>
    <w:qFormat/>
    <w:uiPriority w:val="99"/>
    <w:rPr>
      <w:rFonts w:ascii="Times New Roman" w:hAnsi="Times New Roman" w:eastAsia="宋体" w:cs="Times New Roman"/>
      <w:kern w:val="2"/>
      <w:sz w:val="24"/>
      <w:szCs w:val="22"/>
      <w:lang w:val="en-US" w:eastAsia="zh-CN" w:bidi="ar-SA"/>
    </w:rPr>
  </w:style>
  <w:style w:type="character" w:customStyle="1" w:styleId="65">
    <w:name w:val="标题 2 Char"/>
    <w:basedOn w:val="21"/>
    <w:link w:val="3"/>
    <w:uiPriority w:val="9"/>
    <w:rPr>
      <w:rFonts w:ascii="Times New Roman" w:hAnsi="Times New Roman" w:eastAsia="黑体"/>
      <w:b/>
      <w:bCs/>
      <w:kern w:val="2"/>
      <w:sz w:val="24"/>
      <w:szCs w:val="32"/>
    </w:rPr>
  </w:style>
  <w:style w:type="character" w:customStyle="1" w:styleId="66">
    <w:name w:val="标题 3 Char"/>
    <w:basedOn w:val="21"/>
    <w:link w:val="4"/>
    <w:qFormat/>
    <w:uiPriority w:val="9"/>
    <w:rPr>
      <w:rFonts w:ascii="Times New Roman" w:hAnsi="Times New Roman" w:eastAsia="仿宋"/>
      <w:kern w:val="2"/>
      <w:sz w:val="24"/>
      <w:szCs w:val="22"/>
    </w:rPr>
  </w:style>
  <w:style w:type="character" w:customStyle="1" w:styleId="67">
    <w:name w:val="日期 Char"/>
    <w:basedOn w:val="21"/>
    <w:link w:val="11"/>
    <w:uiPriority w:val="99"/>
    <w:rPr>
      <w:rFonts w:ascii="Times New Roman" w:hAnsi="Times New Roman" w:eastAsia="仿宋" w:cstheme="minorBidi"/>
      <w:kern w:val="2"/>
      <w:sz w:val="24"/>
      <w:szCs w:val="22"/>
    </w:rPr>
  </w:style>
  <w:style w:type="character" w:customStyle="1" w:styleId="68">
    <w:name w:val="表格 Char"/>
    <w:basedOn w:val="21"/>
    <w:uiPriority w:val="0"/>
    <w:rPr>
      <w:rFonts w:ascii="仿宋" w:hAnsi="仿宋" w:eastAsia="仿宋"/>
      <w:bCs/>
      <w:kern w:val="2"/>
      <w:sz w:val="21"/>
      <w:szCs w:val="21"/>
    </w:rPr>
  </w:style>
  <w:style w:type="character" w:customStyle="1" w:styleId="69">
    <w:name w:val="fontstyle01"/>
    <w:basedOn w:val="21"/>
    <w:qFormat/>
    <w:uiPriority w:val="0"/>
    <w:rPr>
      <w:rFonts w:hint="eastAsia" w:ascii="宋体" w:hAnsi="宋体" w:eastAsia="宋体"/>
      <w:color w:val="000000"/>
      <w:sz w:val="24"/>
      <w:szCs w:val="24"/>
    </w:rPr>
  </w:style>
  <w:style w:type="table" w:customStyle="1" w:styleId="70">
    <w:name w:val="网格型1"/>
    <w:basedOn w:val="1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1">
    <w:name w:val="katex-mathml"/>
    <w:basedOn w:val="21"/>
    <w:uiPriority w:val="0"/>
  </w:style>
  <w:style w:type="character" w:customStyle="1" w:styleId="72">
    <w:name w:val="semi-button-content-right"/>
    <w:basedOn w:val="21"/>
    <w:uiPriority w:val="0"/>
  </w:style>
  <w:style w:type="character" w:customStyle="1" w:styleId="73">
    <w:name w:val="title-igakyj"/>
    <w:basedOn w:val="21"/>
    <w:uiPriority w:val="0"/>
  </w:style>
  <w:style w:type="paragraph" w:customStyle="1" w:styleId="74">
    <w:name w:val="Revision"/>
    <w:hidden/>
    <w:semiHidden/>
    <w:uiPriority w:val="99"/>
    <w:rPr>
      <w:rFonts w:ascii="Times New Roman" w:hAnsi="Times New Roman"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CF60AA-F725-47A5-81A7-34E240944600}">
  <ds:schemaRefs/>
</ds:datastoreItem>
</file>

<file path=docProps/app.xml><?xml version="1.0" encoding="utf-8"?>
<Properties xmlns="http://schemas.openxmlformats.org/officeDocument/2006/extended-properties" xmlns:vt="http://schemas.openxmlformats.org/officeDocument/2006/docPropsVTypes">
  <Template>Normal</Template>
  <Pages>46</Pages>
  <Words>4524</Words>
  <Characters>25788</Characters>
  <Lines>214</Lines>
  <Paragraphs>60</Paragraphs>
  <TotalTime>14</TotalTime>
  <ScaleCrop>false</ScaleCrop>
  <LinksUpToDate>false</LinksUpToDate>
  <CharactersWithSpaces>30252</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2025-11-26T05:21:00Z</dcterms:created>
  <dc:creator>航城城建办前期组</dc:creator>
  <cp:lastModifiedBy>78164</cp:lastModifiedBy>
  <cp:lastPrinted>2025-02-18T03:04:00Z</cp:lastPrinted>
  <dcterms:modified xsi:type="dcterms:W3CDTF">2025-12-05T02:11:45Z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C9401E3FE9314B6DAA6B07ED49CDCB03_13</vt:lpwstr>
  </property>
  <property fmtid="{D5CDD505-2E9C-101B-9397-08002B2CF9AE}" pid="4" name="KSOTemplateDocerSaveRecord">
    <vt:lpwstr>eyJoZGlkIjoiYTVmZGYyZjUwNjAxYzU3NGQyNTM4NWUxM2YzMmE5M2YiLCJ1c2VySWQiOiIzMzY3MDYxNjAifQ==</vt:lpwstr>
  </property>
</Properties>
</file>