
<file path=[Content_Types].xml><?xml version="1.0" encoding="utf-8"?>
<Types xmlns="http://schemas.openxmlformats.org/package/2006/content-types">
  <Default Extension="xml" ContentType="application/xml"/>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eastAsia="宋体" w:cs="Times New Roman"/>
          <w:b/>
          <w:bCs/>
          <w:sz w:val="52"/>
          <w:szCs w:val="84"/>
        </w:rPr>
      </w:pPr>
      <w:r>
        <w:rPr>
          <w:rFonts w:eastAsia="宋体" w:cs="Times New Roman"/>
        </w:rPr>
        <w:drawing>
          <wp:anchor distT="0" distB="0" distL="114300" distR="114300" simplePos="0" relativeHeight="251659264" behindDoc="0" locked="0" layoutInCell="1" allowOverlap="1">
            <wp:simplePos x="0" y="0"/>
            <wp:positionH relativeFrom="column">
              <wp:posOffset>0</wp:posOffset>
            </wp:positionH>
            <wp:positionV relativeFrom="paragraph">
              <wp:posOffset>79375</wp:posOffset>
            </wp:positionV>
            <wp:extent cx="1737995" cy="1149350"/>
            <wp:effectExtent l="0" t="0" r="0" b="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737995" cy="1149350"/>
                    </a:xfrm>
                    <a:prstGeom prst="rect">
                      <a:avLst/>
                    </a:prstGeom>
                    <a:noFill/>
                    <a:ln>
                      <a:noFill/>
                    </a:ln>
                  </pic:spPr>
                </pic:pic>
              </a:graphicData>
            </a:graphic>
          </wp:anchor>
        </w:drawing>
      </w:r>
    </w:p>
    <w:p>
      <w:pPr>
        <w:rPr>
          <w:rFonts w:eastAsia="宋体" w:cs="Times New Roman"/>
          <w:b/>
          <w:bCs/>
          <w:sz w:val="52"/>
          <w:szCs w:val="84"/>
        </w:rPr>
      </w:pPr>
    </w:p>
    <w:p>
      <w:pPr>
        <w:jc w:val="right"/>
        <w:rPr>
          <w:rFonts w:eastAsia="宋体" w:cs="Times New Roman"/>
          <w:sz w:val="32"/>
          <w:szCs w:val="32"/>
        </w:rPr>
      </w:pPr>
      <w:r>
        <w:rPr>
          <w:rFonts w:eastAsia="宋体" w:cs="Times New Roman"/>
          <w:b/>
          <w:bCs/>
          <w:sz w:val="36"/>
          <w:szCs w:val="36"/>
        </w:rPr>
        <w:t xml:space="preserve">T/CECS </w:t>
      </w:r>
      <w:r>
        <w:rPr>
          <w:rFonts w:eastAsia="宋体" w:cs="Times New Roman"/>
          <w:sz w:val="36"/>
          <w:szCs w:val="36"/>
        </w:rPr>
        <w:t>XXX- 202X</w:t>
      </w:r>
    </w:p>
    <w:p>
      <w:pPr>
        <w:jc w:val="center"/>
        <w:rPr>
          <w:rFonts w:eastAsia="宋体" w:cs="Times New Roman"/>
          <w:szCs w:val="32"/>
        </w:rPr>
      </w:pPr>
      <w:r>
        <w:rPr>
          <w:rFonts w:eastAsia="宋体" w:cs="Times New Roman"/>
        </w:rPr>
        <mc:AlternateContent>
          <mc:Choice Requires="wps">
            <w:drawing>
              <wp:anchor distT="0" distB="0" distL="114300" distR="114300" simplePos="0" relativeHeight="251660288" behindDoc="0" locked="0" layoutInCell="1" allowOverlap="1">
                <wp:simplePos x="0" y="0"/>
                <wp:positionH relativeFrom="column">
                  <wp:posOffset>2540</wp:posOffset>
                </wp:positionH>
                <wp:positionV relativeFrom="paragraph">
                  <wp:posOffset>120650</wp:posOffset>
                </wp:positionV>
                <wp:extent cx="5422265" cy="0"/>
                <wp:effectExtent l="0" t="0" r="0" b="0"/>
                <wp:wrapNone/>
                <wp:docPr id="234708918" name="直接连接符 1"/>
                <wp:cNvGraphicFramePr/>
                <a:graphic xmlns:a="http://schemas.openxmlformats.org/drawingml/2006/main">
                  <a:graphicData uri="http://schemas.microsoft.com/office/word/2010/wordprocessingShape">
                    <wps:wsp>
                      <wps:cNvCnPr/>
                      <wps:spPr>
                        <a:xfrm>
                          <a:off x="0" y="0"/>
                          <a:ext cx="5422265"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o:spt="20" style="position:absolute;left:0pt;margin-left:0.2pt;margin-top:9.5pt;height:0pt;width:426.95pt;z-index:251660288;mso-width-relative:page;mso-height-relative:page;" filled="f" stroked="t" coordsize="21600,21600" o:gfxdata="UEsDBAoAAAAAAIdO4kAAAAAAAAAAAAAAAAAEAAAAZHJzL1BLAwQUAAAACACHTuJAWU2kVtUAAAAG&#10;AQAADwAAAGRycy9kb3ducmV2LnhtbE2PT0vDQBDF74LfYRnBm92trZLGbIoIRUQF03rwuM1Ok2B2&#10;JmS3f/z2jnjQ47z3ePN7xfIUenXAMXZMFqYTAwqpZt9RY+F9s7rKQMXkyLueCS18YYRleX5WuNzz&#10;kSo8rFOjpIRi7iy0KQ251rFuMbg44QFJvB2PwSU5x0b70R2lPPT62phbHVxH8qF1Az60WH+u98HC&#10;7Pl1U6W3jFbVbvHyyPcf2ZNhay8vpuYOVMJT+gvDD76gQylMW96Tj6q3MJecqAsZJG52M5+B2v4K&#10;uiz0f/zyG1BLAwQUAAAACACHTuJA8dc6c+wBAAC6AwAADgAAAGRycy9lMm9Eb2MueG1srVO9btsw&#10;EN4L5B0I7rVkNU4dwXKGGMlStAaaPgBNkRIB/oHHWPZL9AUKdGunjt37Nkkfo0fKcdJ0yVAN1PF4&#10;9x2/746Li53RZCsCKGcbOp2UlAjLXats19BPN1ev55RAZLZl2lnR0L0AerE8ebUYfC0q1zvdikAQ&#10;xEI9+Ib2Mfq6KID3wjCYOC8sHkoXDIu4DV3RBjYgutFFVZZnxeBC64PjAgC9q/GQHhDDSwCdlIqL&#10;leO3Rtg4ogahWURK0CsPdJlvK6Xg8YOUICLRDUWmMa9YBO1NWovlgtVdYL5X/HAF9pIrPONkmLJY&#10;9Ai1YpGR26D+gTKKBwdOxgl3phiJZEWQxbR8ps3HnnmRuaDU4I+iw/+D5e+360BU29Dqzenbcn4+&#10;xfZbZrDx919+3n3+9vvXV1zvf3wn0yTW4KHGnEu7Docd+HVIzHcymPRHTmSXBd4fBRa7SDg6Z6dV&#10;VZ3NKOEPZ8Vjog8Qr4UzJBkN1com7qxm23cQsRiGPoQkt3VXSuvcP23JgKN8Xs6wrZzhUEocBjSN&#10;R2JgO0qY7nDaeQwZEpxWbUpPQBC6zaUOZMvSjOQvMcVyf4Wl2isG/RiXj8bpMSrig9DKNHT+NFtb&#10;BEl6jQola+PafRYu+7Glucxh/NLMPN3n7Mcnt/w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WU2k&#10;VtUAAAAGAQAADwAAAAAAAAABACAAAAAiAAAAZHJzL2Rvd25yZXYueG1sUEsBAhQAFAAAAAgAh07i&#10;QPHXOnPsAQAAugMAAA4AAAAAAAAAAQAgAAAAJAEAAGRycy9lMm9Eb2MueG1sUEsFBgAAAAAGAAYA&#10;WQEAAIIFAAAAAA==&#10;">
                <v:fill on="f" focussize="0,0"/>
                <v:stroke weight="1.5pt" color="#000000 [3200]" miterlimit="8" joinstyle="miter"/>
                <v:imagedata o:title=""/>
                <o:lock v:ext="edit" aspectratio="f"/>
              </v:line>
            </w:pict>
          </mc:Fallback>
        </mc:AlternateContent>
      </w:r>
    </w:p>
    <w:p>
      <w:pPr>
        <w:widowControl/>
        <w:tabs>
          <w:tab w:val="left" w:pos="3510"/>
        </w:tabs>
        <w:jc w:val="left"/>
        <w:rPr>
          <w:rFonts w:eastAsia="宋体" w:cs="Times New Roman"/>
          <w:color w:val="000000" w:themeColor="text1"/>
          <w14:textFill>
            <w14:solidFill>
              <w14:schemeClr w14:val="tx1"/>
            </w14:solidFill>
          </w14:textFill>
        </w:rPr>
      </w:pPr>
    </w:p>
    <w:p>
      <w:pPr>
        <w:widowControl/>
        <w:tabs>
          <w:tab w:val="left" w:pos="3510"/>
        </w:tabs>
        <w:jc w:val="left"/>
        <w:rPr>
          <w:rFonts w:eastAsia="宋体" w:cs="Times New Roman"/>
          <w:color w:val="000000" w:themeColor="text1"/>
          <w14:textFill>
            <w14:solidFill>
              <w14:schemeClr w14:val="tx1"/>
            </w14:solidFill>
          </w14:textFill>
        </w:rPr>
      </w:pPr>
    </w:p>
    <w:p>
      <w:pPr>
        <w:jc w:val="center"/>
        <w:rPr>
          <w:rFonts w:eastAsia="宋体" w:cs="Times New Roman"/>
          <w:b/>
          <w:color w:val="000000" w:themeColor="text1"/>
          <w:sz w:val="36"/>
          <w:szCs w:val="36"/>
          <w14:textFill>
            <w14:solidFill>
              <w14:schemeClr w14:val="tx1"/>
            </w14:solidFill>
          </w14:textFill>
        </w:rPr>
      </w:pPr>
      <w:r>
        <w:rPr>
          <w:rFonts w:eastAsia="宋体" w:cs="Times New Roman"/>
          <w:b/>
          <w:color w:val="000000" w:themeColor="text1"/>
          <w:sz w:val="36"/>
          <w:szCs w:val="36"/>
          <w14:textFill>
            <w14:solidFill>
              <w14:schemeClr w14:val="tx1"/>
            </w14:solidFill>
          </w14:textFill>
        </w:rPr>
        <w:t>中国工程建设标准化协会标准</w:t>
      </w:r>
    </w:p>
    <w:p>
      <w:pPr>
        <w:pStyle w:val="30"/>
        <w:rPr>
          <w:rFonts w:eastAsia="宋体"/>
        </w:rPr>
      </w:pPr>
    </w:p>
    <w:p>
      <w:pPr>
        <w:pStyle w:val="29"/>
        <w:rPr>
          <w:rFonts w:eastAsia="宋体"/>
        </w:rPr>
      </w:pPr>
    </w:p>
    <w:p>
      <w:pPr>
        <w:pStyle w:val="28"/>
        <w:ind w:left="204"/>
        <w:rPr>
          <w:rFonts w:hint="eastAsia" w:ascii="黑体" w:hAnsi="黑体"/>
          <w:sz w:val="48"/>
          <w:szCs w:val="48"/>
        </w:rPr>
      </w:pPr>
      <w:bookmarkStart w:id="0" w:name="_Hlk206758376"/>
      <w:r>
        <w:rPr>
          <w:rFonts w:ascii="黑体" w:hAnsi="黑体"/>
          <w:sz w:val="48"/>
          <w:szCs w:val="48"/>
        </w:rPr>
        <w:t>防烟排烟系统可靠性</w:t>
      </w:r>
      <w:r>
        <w:rPr>
          <w:rFonts w:ascii="黑体" w:hAnsi="黑体"/>
          <w:color w:val="auto"/>
          <w:sz w:val="48"/>
          <w:szCs w:val="48"/>
        </w:rPr>
        <w:t>评</w:t>
      </w:r>
      <w:r>
        <w:rPr>
          <w:rFonts w:hint="eastAsia" w:ascii="黑体" w:hAnsi="黑体"/>
          <w:color w:val="auto"/>
          <w:sz w:val="48"/>
          <w:szCs w:val="48"/>
        </w:rPr>
        <w:t>定</w:t>
      </w:r>
      <w:r>
        <w:rPr>
          <w:rFonts w:ascii="黑体" w:hAnsi="黑体"/>
          <w:sz w:val="48"/>
          <w:szCs w:val="48"/>
        </w:rPr>
        <w:t>标准</w:t>
      </w:r>
    </w:p>
    <w:bookmarkEnd w:id="0"/>
    <w:p>
      <w:pPr>
        <w:pStyle w:val="28"/>
        <w:ind w:left="204"/>
        <w:rPr>
          <w:rFonts w:eastAsia="宋体"/>
          <w:sz w:val="24"/>
          <w:szCs w:val="24"/>
        </w:rPr>
      </w:pPr>
      <w:r>
        <w:rPr>
          <w:rFonts w:eastAsia="宋体"/>
          <w:sz w:val="24"/>
          <w:szCs w:val="24"/>
        </w:rPr>
        <w:t>Reliability evaluation standard for smoke control and exhaust system</w:t>
      </w:r>
    </w:p>
    <w:p>
      <w:pPr>
        <w:pStyle w:val="28"/>
        <w:ind w:left="204"/>
        <w:rPr>
          <w:rFonts w:eastAsia="宋体"/>
          <w:sz w:val="32"/>
          <w:szCs w:val="32"/>
        </w:rPr>
      </w:pPr>
      <w:r>
        <w:rPr>
          <w:rFonts w:eastAsia="宋体"/>
          <w:sz w:val="32"/>
          <w:szCs w:val="32"/>
        </w:rPr>
        <w:t>（</w:t>
      </w:r>
      <w:r>
        <w:rPr>
          <w:rFonts w:hint="eastAsia" w:eastAsia="宋体"/>
          <w:sz w:val="32"/>
          <w:szCs w:val="32"/>
        </w:rPr>
        <w:t>征求意见</w:t>
      </w:r>
      <w:r>
        <w:rPr>
          <w:rFonts w:eastAsia="宋体"/>
          <w:sz w:val="32"/>
          <w:szCs w:val="32"/>
        </w:rPr>
        <w:t>稿）</w:t>
      </w:r>
    </w:p>
    <w:p>
      <w:pPr>
        <w:widowControl/>
        <w:adjustRightInd w:val="0"/>
        <w:snapToGrid w:val="0"/>
        <w:rPr>
          <w:rFonts w:eastAsia="宋体" w:cs="Times New Roman"/>
          <w:bCs/>
          <w:kern w:val="44"/>
        </w:rPr>
      </w:pPr>
    </w:p>
    <w:p>
      <w:pPr>
        <w:widowControl/>
        <w:adjustRightInd w:val="0"/>
        <w:snapToGrid w:val="0"/>
        <w:rPr>
          <w:rFonts w:eastAsia="宋体" w:cs="Times New Roman"/>
          <w:bCs/>
          <w:kern w:val="44"/>
        </w:rPr>
      </w:pPr>
    </w:p>
    <w:p>
      <w:pPr>
        <w:widowControl/>
        <w:adjustRightInd w:val="0"/>
        <w:snapToGrid w:val="0"/>
        <w:rPr>
          <w:rFonts w:eastAsia="宋体" w:cs="Times New Roman"/>
          <w:bCs/>
          <w:kern w:val="44"/>
        </w:rPr>
      </w:pPr>
    </w:p>
    <w:p>
      <w:pPr>
        <w:widowControl/>
        <w:adjustRightInd w:val="0"/>
        <w:snapToGrid w:val="0"/>
        <w:rPr>
          <w:rFonts w:eastAsia="宋体" w:cs="Times New Roman"/>
          <w:bCs/>
          <w:kern w:val="44"/>
        </w:rPr>
      </w:pPr>
    </w:p>
    <w:p>
      <w:pPr>
        <w:widowControl/>
        <w:adjustRightInd w:val="0"/>
        <w:snapToGrid w:val="0"/>
        <w:rPr>
          <w:rFonts w:eastAsia="宋体" w:cs="Times New Roman"/>
          <w:bCs/>
          <w:kern w:val="44"/>
        </w:rPr>
      </w:pPr>
    </w:p>
    <w:p>
      <w:pPr>
        <w:widowControl/>
        <w:adjustRightInd w:val="0"/>
        <w:snapToGrid w:val="0"/>
        <w:rPr>
          <w:rFonts w:eastAsia="宋体" w:cs="Times New Roman"/>
          <w:bCs/>
          <w:kern w:val="44"/>
        </w:rPr>
      </w:pPr>
    </w:p>
    <w:p>
      <w:pPr>
        <w:widowControl/>
        <w:adjustRightInd w:val="0"/>
        <w:snapToGrid w:val="0"/>
        <w:rPr>
          <w:rFonts w:eastAsia="宋体" w:cs="Times New Roman"/>
          <w:bCs/>
          <w:kern w:val="44"/>
        </w:rPr>
      </w:pPr>
    </w:p>
    <w:p>
      <w:pPr>
        <w:widowControl/>
        <w:adjustRightInd w:val="0"/>
        <w:snapToGrid w:val="0"/>
        <w:rPr>
          <w:rFonts w:eastAsia="宋体" w:cs="Times New Roman"/>
          <w:bCs/>
          <w:kern w:val="44"/>
        </w:rPr>
      </w:pPr>
    </w:p>
    <w:p>
      <w:pPr>
        <w:widowControl/>
        <w:adjustRightInd w:val="0"/>
        <w:snapToGrid w:val="0"/>
        <w:rPr>
          <w:rFonts w:eastAsia="宋体" w:cs="Times New Roman"/>
          <w:bCs/>
          <w:kern w:val="44"/>
        </w:rPr>
      </w:pPr>
    </w:p>
    <w:p>
      <w:pPr>
        <w:widowControl/>
        <w:adjustRightInd w:val="0"/>
        <w:snapToGrid w:val="0"/>
        <w:rPr>
          <w:rFonts w:eastAsia="宋体" w:cs="Times New Roman"/>
          <w:bCs/>
          <w:kern w:val="44"/>
        </w:rPr>
      </w:pPr>
    </w:p>
    <w:p>
      <w:pPr>
        <w:widowControl/>
        <w:adjustRightInd w:val="0"/>
        <w:snapToGrid w:val="0"/>
        <w:rPr>
          <w:rFonts w:eastAsia="宋体" w:cs="Times New Roman"/>
          <w:bCs/>
          <w:kern w:val="44"/>
        </w:rPr>
      </w:pPr>
    </w:p>
    <w:p>
      <w:pPr>
        <w:widowControl/>
        <w:adjustRightInd w:val="0"/>
        <w:snapToGrid w:val="0"/>
        <w:rPr>
          <w:rFonts w:eastAsia="宋体" w:cs="Times New Roman"/>
          <w:bCs/>
          <w:kern w:val="44"/>
        </w:rPr>
      </w:pPr>
    </w:p>
    <w:p>
      <w:pPr>
        <w:autoSpaceDE w:val="0"/>
        <w:autoSpaceDN w:val="0"/>
        <w:jc w:val="left"/>
        <w:rPr>
          <w:rFonts w:hint="eastAsia" w:hAnsi="宋体" w:cs="宋体"/>
          <w:b/>
          <w:sz w:val="20"/>
          <w:szCs w:val="24"/>
          <w:lang w:val="zh-CN" w:bidi="zh-CN"/>
        </w:rPr>
      </w:pPr>
    </w:p>
    <w:p>
      <w:pPr>
        <w:autoSpaceDE w:val="0"/>
        <w:autoSpaceDN w:val="0"/>
        <w:ind w:firstLine="402"/>
        <w:jc w:val="center"/>
        <w:rPr>
          <w:rFonts w:hint="eastAsia" w:hAnsi="宋体" w:cs="宋体"/>
          <w:b/>
          <w:sz w:val="20"/>
          <w:szCs w:val="24"/>
          <w:lang w:val="zh-CN" w:bidi="zh-CN"/>
        </w:rPr>
      </w:pPr>
    </w:p>
    <w:p>
      <w:pPr>
        <w:jc w:val="center"/>
        <w:rPr>
          <w:sz w:val="28"/>
          <w:szCs w:val="24"/>
        </w:rPr>
      </w:pPr>
      <w:r>
        <w:rPr>
          <w:rFonts w:hint="eastAsia"/>
          <w:sz w:val="28"/>
          <w:szCs w:val="24"/>
        </w:rPr>
        <w:t>XX出 版 社</w:t>
      </w:r>
    </w:p>
    <w:p>
      <w:pPr>
        <w:widowControl/>
        <w:adjustRightInd w:val="0"/>
        <w:snapToGrid w:val="0"/>
        <w:rPr>
          <w:rFonts w:eastAsia="宋体" w:cs="Times New Roman"/>
          <w:bCs/>
          <w:kern w:val="44"/>
        </w:rPr>
      </w:pPr>
    </w:p>
    <w:p>
      <w:pPr>
        <w:widowControl/>
        <w:jc w:val="center"/>
        <w:rPr>
          <w:rFonts w:eastAsia="黑体"/>
          <w:b/>
          <w:sz w:val="32"/>
          <w:szCs w:val="32"/>
        </w:rPr>
      </w:pPr>
      <w:r>
        <w:rPr>
          <w:rFonts w:hint="eastAsia"/>
          <w:spacing w:val="20"/>
          <w:sz w:val="36"/>
          <w:szCs w:val="36"/>
        </w:rPr>
        <w:t>中国工程建设标准化协会标准</w:t>
      </w:r>
    </w:p>
    <w:p>
      <w:pPr>
        <w:widowControl/>
        <w:spacing w:before="156" w:beforeLines="50"/>
        <w:rPr>
          <w:rFonts w:eastAsia="黑体"/>
          <w:w w:val="95"/>
          <w:sz w:val="36"/>
          <w:szCs w:val="18"/>
        </w:rPr>
      </w:pPr>
    </w:p>
    <w:p>
      <w:pPr>
        <w:autoSpaceDE w:val="0"/>
        <w:autoSpaceDN w:val="0"/>
        <w:adjustRightInd w:val="0"/>
        <w:jc w:val="center"/>
        <w:rPr>
          <w:rFonts w:hint="eastAsia" w:ascii="宋体" w:hAnsi="宋体" w:cs="宋体"/>
          <w:w w:val="95"/>
          <w:sz w:val="48"/>
        </w:rPr>
      </w:pPr>
      <w:r>
        <w:rPr>
          <w:rFonts w:hint="eastAsia" w:ascii="宋体" w:hAnsi="宋体" w:cs="宋体"/>
          <w:w w:val="95"/>
          <w:sz w:val="48"/>
        </w:rPr>
        <w:t>防烟排烟系统可靠性</w:t>
      </w:r>
      <w:r>
        <w:rPr>
          <w:rFonts w:hint="eastAsia" w:ascii="宋体" w:hAnsi="宋体" w:cs="宋体"/>
          <w:color w:val="auto"/>
          <w:w w:val="95"/>
          <w:sz w:val="48"/>
        </w:rPr>
        <w:t>评定</w:t>
      </w:r>
      <w:r>
        <w:rPr>
          <w:rFonts w:hint="eastAsia" w:ascii="宋体" w:hAnsi="宋体" w:cs="宋体"/>
          <w:w w:val="95"/>
          <w:sz w:val="48"/>
        </w:rPr>
        <w:t>标准</w:t>
      </w:r>
    </w:p>
    <w:p>
      <w:pPr>
        <w:pStyle w:val="28"/>
        <w:ind w:left="204"/>
        <w:rPr>
          <w:rFonts w:eastAsia="宋体"/>
          <w:sz w:val="24"/>
          <w:szCs w:val="24"/>
        </w:rPr>
      </w:pPr>
      <w:r>
        <w:rPr>
          <w:rFonts w:eastAsia="宋体"/>
          <w:sz w:val="24"/>
          <w:szCs w:val="24"/>
        </w:rPr>
        <w:t>Reliability evaluation standard for smoke control and exhaust system</w:t>
      </w:r>
    </w:p>
    <w:p>
      <w:pPr>
        <w:autoSpaceDE w:val="0"/>
        <w:autoSpaceDN w:val="0"/>
        <w:adjustRightInd w:val="0"/>
        <w:jc w:val="center"/>
        <w:rPr>
          <w:rFonts w:eastAsia="黑体"/>
          <w:w w:val="95"/>
          <w:szCs w:val="13"/>
        </w:rPr>
      </w:pPr>
    </w:p>
    <w:p>
      <w:pPr>
        <w:widowControl/>
        <w:jc w:val="center"/>
        <w:rPr>
          <w:sz w:val="32"/>
          <w:szCs w:val="32"/>
        </w:rPr>
      </w:pPr>
      <w:r>
        <w:rPr>
          <w:b/>
          <w:bCs/>
          <w:sz w:val="32"/>
          <w:szCs w:val="32"/>
          <w:lang w:bidi="ar"/>
        </w:rPr>
        <w:t>T/CECS ×× - 20××</w:t>
      </w:r>
    </w:p>
    <w:p>
      <w:pPr>
        <w:rPr>
          <w:rFonts w:eastAsia="黑体"/>
          <w:b/>
          <w:sz w:val="32"/>
          <w:szCs w:val="32"/>
        </w:rPr>
      </w:pPr>
    </w:p>
    <w:p>
      <w:pPr>
        <w:rPr>
          <w:rFonts w:eastAsia="黑体"/>
          <w:b/>
          <w:sz w:val="32"/>
          <w:szCs w:val="32"/>
        </w:rPr>
      </w:pPr>
    </w:p>
    <w:p>
      <w:pPr>
        <w:ind w:firstLine="643"/>
        <w:jc w:val="center"/>
        <w:rPr>
          <w:rFonts w:eastAsia="黑体"/>
          <w:b/>
          <w:sz w:val="32"/>
          <w:szCs w:val="32"/>
        </w:rPr>
      </w:pPr>
    </w:p>
    <w:p>
      <w:pPr>
        <w:jc w:val="center"/>
        <w:rPr>
          <w:rFonts w:hint="eastAsia" w:ascii="宋体" w:hAnsi="宋体" w:cs="宋体"/>
          <w:sz w:val="28"/>
        </w:rPr>
      </w:pPr>
      <w:r>
        <w:rPr>
          <w:rFonts w:hint="eastAsia" w:ascii="宋体" w:hAnsi="宋体" w:cs="宋体"/>
          <w:sz w:val="28"/>
        </w:rPr>
        <w:t>主编单位：建研防火科技有限公司</w:t>
      </w:r>
    </w:p>
    <w:p>
      <w:pPr>
        <w:jc w:val="center"/>
        <w:rPr>
          <w:rFonts w:hint="eastAsia" w:ascii="宋体" w:hAnsi="宋体" w:cs="宋体"/>
          <w:sz w:val="28"/>
        </w:rPr>
      </w:pPr>
      <w:r>
        <w:rPr>
          <w:rFonts w:hint="eastAsia" w:ascii="宋体" w:hAnsi="宋体" w:cs="宋体"/>
          <w:sz w:val="28"/>
        </w:rPr>
        <w:t xml:space="preserve">                   搏力谋自控设备 (上海)有限公司</w:t>
      </w:r>
    </w:p>
    <w:p>
      <w:pPr>
        <w:jc w:val="center"/>
        <w:rPr>
          <w:rFonts w:hint="eastAsia" w:ascii="宋体" w:hAnsi="宋体" w:cs="宋体"/>
          <w:sz w:val="28"/>
        </w:rPr>
      </w:pPr>
      <w:r>
        <w:rPr>
          <w:rFonts w:hint="eastAsia" w:ascii="宋体" w:hAnsi="宋体" w:cs="宋体"/>
          <w:sz w:val="28"/>
        </w:rPr>
        <w:t xml:space="preserve"> 批准单位：</w:t>
      </w:r>
      <w:r>
        <w:rPr>
          <w:rFonts w:hint="eastAsia" w:ascii="宋体" w:hAnsi="宋体" w:cs="宋体"/>
          <w:sz w:val="28"/>
          <w:szCs w:val="28"/>
        </w:rPr>
        <w:t>中国工程建设标准化协会</w:t>
      </w:r>
    </w:p>
    <w:p>
      <w:pPr>
        <w:ind w:firstLine="1960" w:firstLineChars="700"/>
        <w:rPr>
          <w:sz w:val="28"/>
        </w:rPr>
      </w:pPr>
      <w:r>
        <w:rPr>
          <w:sz w:val="28"/>
        </w:rPr>
        <w:t>施行日期：2 0  ××  年  ×  月  × 日</w:t>
      </w:r>
    </w:p>
    <w:p>
      <w:pPr>
        <w:ind w:firstLine="2800" w:firstLineChars="1000"/>
        <w:jc w:val="center"/>
        <w:rPr>
          <w:sz w:val="28"/>
        </w:rPr>
      </w:pPr>
    </w:p>
    <w:p>
      <w:pPr>
        <w:ind w:firstLine="2800" w:firstLineChars="1000"/>
        <w:jc w:val="center"/>
        <w:rPr>
          <w:sz w:val="28"/>
        </w:rPr>
      </w:pPr>
    </w:p>
    <w:p>
      <w:pPr>
        <w:ind w:firstLine="2800" w:firstLineChars="1000"/>
        <w:jc w:val="center"/>
        <w:rPr>
          <w:sz w:val="28"/>
        </w:rPr>
      </w:pPr>
    </w:p>
    <w:p>
      <w:pPr>
        <w:widowControl/>
        <w:jc w:val="center"/>
        <w:rPr>
          <w:rFonts w:hint="eastAsia" w:ascii="宋体" w:hAnsi="宋体" w:cs="宋体"/>
          <w:sz w:val="30"/>
          <w:szCs w:val="30"/>
          <w:lang w:bidi="ar"/>
        </w:rPr>
      </w:pPr>
      <w:r>
        <w:rPr>
          <w:rFonts w:hint="eastAsia" w:ascii="宋体" w:hAnsi="宋体" w:cs="宋体"/>
          <w:sz w:val="30"/>
          <w:szCs w:val="30"/>
          <w:lang w:bidi="ar"/>
        </w:rPr>
        <w:t>中国</w:t>
      </w:r>
      <w:r>
        <w:rPr>
          <w:rFonts w:hint="eastAsia" w:ascii="宋体" w:hAnsi="宋体" w:cs="宋体"/>
          <w:sz w:val="30"/>
          <w:szCs w:val="30"/>
          <w:lang w:val="en-US" w:eastAsia="zh-CN" w:bidi="ar"/>
        </w:rPr>
        <w:t>**</w:t>
      </w:r>
      <w:r>
        <w:rPr>
          <w:rFonts w:hint="eastAsia" w:ascii="宋体" w:hAnsi="宋体" w:cs="宋体"/>
          <w:sz w:val="30"/>
          <w:szCs w:val="30"/>
          <w:lang w:bidi="ar"/>
        </w:rPr>
        <w:t>出版社</w:t>
      </w:r>
    </w:p>
    <w:p>
      <w:pPr>
        <w:widowControl/>
        <w:jc w:val="center"/>
        <w:rPr>
          <w:sz w:val="28"/>
        </w:rPr>
      </w:pPr>
      <w:r>
        <w:rPr>
          <w:sz w:val="30"/>
          <w:szCs w:val="30"/>
          <w:lang w:bidi="ar"/>
        </w:rPr>
        <w:t>2 0</w:t>
      </w:r>
      <w:r>
        <w:rPr>
          <w:rFonts w:hint="eastAsia" w:ascii="宋体" w:hAnsi="宋体" w:cs="宋体"/>
          <w:sz w:val="30"/>
          <w:szCs w:val="30"/>
          <w:lang w:bidi="ar"/>
        </w:rPr>
        <w:t>××   北   京</w:t>
      </w:r>
    </w:p>
    <w:p>
      <w:pPr>
        <w:widowControl/>
        <w:adjustRightInd w:val="0"/>
        <w:snapToGrid w:val="0"/>
        <w:rPr>
          <w:rFonts w:eastAsia="宋体" w:cs="Times New Roman"/>
          <w:bCs/>
          <w:kern w:val="44"/>
        </w:rPr>
      </w:pPr>
    </w:p>
    <w:p>
      <w:pPr>
        <w:widowControl/>
        <w:adjustRightInd w:val="0"/>
        <w:snapToGrid w:val="0"/>
        <w:rPr>
          <w:rFonts w:eastAsia="宋体" w:cs="Times New Roman"/>
          <w:bCs/>
          <w:kern w:val="44"/>
        </w:rPr>
        <w:sectPr>
          <w:footerReference r:id="rId5" w:type="default"/>
          <w:pgSz w:w="11906" w:h="16838"/>
          <w:pgMar w:top="1440" w:right="1800" w:bottom="1440" w:left="1800" w:header="851" w:footer="992" w:gutter="0"/>
          <w:cols w:space="720" w:num="1"/>
          <w:docGrid w:type="lines" w:linePitch="312" w:charSpace="0"/>
        </w:sectPr>
      </w:pPr>
    </w:p>
    <w:p>
      <w:pPr>
        <w:jc w:val="center"/>
        <w:rPr>
          <w:rFonts w:eastAsia="宋体" w:cs="Times New Roman"/>
          <w:b/>
          <w:sz w:val="32"/>
          <w:szCs w:val="32"/>
        </w:rPr>
      </w:pPr>
      <w:r>
        <w:rPr>
          <w:rFonts w:eastAsia="宋体" w:cs="Times New Roman"/>
          <w:b/>
          <w:sz w:val="32"/>
          <w:szCs w:val="32"/>
        </w:rPr>
        <w:t>前 言</w:t>
      </w:r>
    </w:p>
    <w:p>
      <w:pPr>
        <w:pStyle w:val="22"/>
        <w:spacing w:line="360" w:lineRule="auto"/>
        <w:ind w:firstLine="480" w:firstLineChars="200"/>
        <w:rPr>
          <w:rFonts w:ascii="Times New Roman" w:hAnsi="Times New Roman" w:cs="Times New Roman"/>
          <w:color w:val="auto"/>
        </w:rPr>
      </w:pPr>
      <w:r>
        <w:rPr>
          <w:rFonts w:hint="eastAsia" w:ascii="Times New Roman" w:hAnsi="Times New Roman" w:cs="Times New Roman"/>
          <w:color w:val="auto"/>
        </w:rPr>
        <w:t>《防烟排烟系统可靠性评定标准》（以下简称“本标准”）是根据中国工程建设标准化协会《2023年第二批协会标准制订、修订计划》（建标协字[2023]50号）的要求进行编制。标准编制组经广泛</w:t>
      </w:r>
      <w:r>
        <w:rPr>
          <w:rFonts w:ascii="Times New Roman" w:hAnsi="Times New Roman" w:cs="Times New Roman"/>
          <w:color w:val="auto"/>
        </w:rPr>
        <w:t>调查研究</w:t>
      </w:r>
      <w:r>
        <w:rPr>
          <w:rFonts w:hint="eastAsia" w:ascii="Times New Roman" w:hAnsi="Times New Roman" w:cs="Times New Roman"/>
          <w:color w:val="auto"/>
        </w:rPr>
        <w:t>，认真总结经验，参考有关国内外的先进标准，并在广泛征求意见的基础上，制定本标准。</w:t>
      </w:r>
    </w:p>
    <w:p>
      <w:pPr>
        <w:pStyle w:val="22"/>
        <w:spacing w:line="360" w:lineRule="auto"/>
        <w:ind w:firstLine="480" w:firstLineChars="200"/>
        <w:rPr>
          <w:rFonts w:ascii="Times New Roman" w:hAnsi="Times New Roman" w:cs="Times New Roman"/>
          <w:color w:val="auto"/>
        </w:rPr>
      </w:pPr>
      <w:r>
        <w:rPr>
          <w:rFonts w:hint="eastAsia" w:ascii="Times New Roman" w:hAnsi="Times New Roman" w:cs="Times New Roman"/>
          <w:color w:val="auto"/>
        </w:rPr>
        <w:t>本标准共分5章和1个附录，主要内容包括：总则、术语、基本规定、评定方法、评定后监督检查</w:t>
      </w:r>
      <w:r>
        <w:rPr>
          <w:rFonts w:hint="eastAsia" w:ascii="Times New Roman" w:hAnsi="Times New Roman" w:cs="Times New Roman"/>
          <w:color w:val="auto"/>
          <w:lang w:val="en-US" w:eastAsia="zh-CN"/>
        </w:rPr>
        <w:t>等</w:t>
      </w:r>
      <w:bookmarkStart w:id="171" w:name="_GoBack"/>
      <w:bookmarkEnd w:id="171"/>
      <w:r>
        <w:rPr>
          <w:rFonts w:hint="eastAsia" w:ascii="Times New Roman" w:hAnsi="Times New Roman" w:cs="Times New Roman"/>
          <w:color w:val="auto"/>
        </w:rPr>
        <w:t>。</w:t>
      </w:r>
    </w:p>
    <w:p>
      <w:pPr>
        <w:pStyle w:val="22"/>
        <w:spacing w:line="360" w:lineRule="auto"/>
        <w:ind w:firstLine="480" w:firstLineChars="200"/>
        <w:rPr>
          <w:rFonts w:ascii="Times New Roman" w:hAnsi="Times New Roman" w:cs="Times New Roman"/>
          <w:color w:val="auto"/>
        </w:rPr>
      </w:pPr>
      <w:r>
        <w:rPr>
          <w:rFonts w:hint="eastAsia" w:ascii="Times New Roman" w:hAnsi="Times New Roman" w:cs="Times New Roman"/>
          <w:color w:val="auto"/>
        </w:rPr>
        <w:t>本标准的某些内容可能直接或间接涉及专利，本标准的发布机构不承担识别这些专利的责任。</w:t>
      </w:r>
    </w:p>
    <w:p>
      <w:pPr>
        <w:pStyle w:val="22"/>
        <w:spacing w:line="360" w:lineRule="auto"/>
        <w:ind w:firstLine="480" w:firstLineChars="200"/>
        <w:jc w:val="both"/>
        <w:rPr>
          <w:rFonts w:ascii="Times New Roman" w:hAnsi="Times New Roman" w:cs="Times New Roman"/>
          <w:color w:val="auto"/>
        </w:rPr>
      </w:pPr>
      <w:r>
        <w:rPr>
          <w:rFonts w:hint="eastAsia" w:ascii="Times New Roman" w:hAnsi="Times New Roman" w:cs="Times New Roman"/>
          <w:color w:val="auto"/>
        </w:rPr>
        <w:t>本标准由中国工程建设标准化协会建筑防火分委会归口管理，由建研防火科技有限公司负责具体技术内容的解释。执行过程中，如有意见或建议，请反馈给建研防火科技有限公司（地址：北京市朝阳区北三环东路30号，邮编：100013，邮箱：</w:t>
      </w:r>
      <w:r>
        <w:rPr>
          <w:rFonts w:ascii="Times New Roman" w:hAnsi="Times New Roman" w:cs="Times New Roman"/>
          <w:color w:val="auto"/>
        </w:rPr>
        <w:t>fhsaqjt@cabr.com.cn</w:t>
      </w:r>
      <w:r>
        <w:rPr>
          <w:rFonts w:hint="eastAsia" w:ascii="Times New Roman" w:hAnsi="Times New Roman" w:cs="Times New Roman"/>
          <w:color w:val="auto"/>
        </w:rPr>
        <w:t>）</w:t>
      </w:r>
    </w:p>
    <w:p>
      <w:pPr>
        <w:jc w:val="left"/>
        <w:rPr>
          <w:rFonts w:eastAsia="宋体" w:cs="Times New Roman"/>
          <w:szCs w:val="24"/>
        </w:rPr>
      </w:pPr>
      <w:r>
        <w:rPr>
          <w:rFonts w:ascii="黑体" w:hAnsi="黑体" w:eastAsia="黑体" w:cs="Times New Roman"/>
          <w:b/>
          <w:szCs w:val="24"/>
        </w:rPr>
        <w:t>主编单位：</w:t>
      </w:r>
      <w:r>
        <w:rPr>
          <w:rFonts w:hint="eastAsia" w:ascii="黑体" w:hAnsi="黑体" w:eastAsia="黑体" w:cs="Times New Roman"/>
          <w:b/>
          <w:szCs w:val="24"/>
        </w:rPr>
        <w:t xml:space="preserve">  </w:t>
      </w:r>
      <w:r>
        <w:rPr>
          <w:rFonts w:hint="eastAsia" w:eastAsia="宋体" w:cs="Times New Roman"/>
          <w:szCs w:val="24"/>
        </w:rPr>
        <w:t>建研防火科技</w:t>
      </w:r>
      <w:bookmarkStart w:id="1" w:name="_Hlk193879506"/>
      <w:r>
        <w:rPr>
          <w:rFonts w:hint="eastAsia" w:eastAsia="宋体" w:cs="Times New Roman"/>
          <w:szCs w:val="24"/>
        </w:rPr>
        <w:t>有限公司</w:t>
      </w:r>
      <w:bookmarkEnd w:id="1"/>
    </w:p>
    <w:p>
      <w:pPr>
        <w:ind w:firstLine="1416" w:firstLineChars="590"/>
        <w:jc w:val="left"/>
        <w:rPr>
          <w:rFonts w:eastAsia="宋体" w:cs="Times New Roman"/>
          <w:szCs w:val="24"/>
        </w:rPr>
      </w:pPr>
      <w:r>
        <w:rPr>
          <w:rFonts w:eastAsia="宋体" w:cs="Times New Roman"/>
          <w:szCs w:val="24"/>
        </w:rPr>
        <w:t>搏力谋自控设备 (上海)有限公司</w:t>
      </w:r>
    </w:p>
    <w:p>
      <w:pPr>
        <w:jc w:val="left"/>
        <w:rPr>
          <w:rFonts w:eastAsia="宋体" w:cs="Times New Roman"/>
          <w:szCs w:val="24"/>
        </w:rPr>
      </w:pPr>
      <w:r>
        <w:rPr>
          <w:rFonts w:ascii="黑体" w:hAnsi="黑体" w:eastAsia="黑体" w:cs="Times New Roman"/>
          <w:b/>
          <w:szCs w:val="24"/>
        </w:rPr>
        <w:t>参编单位：</w:t>
      </w:r>
      <w:r>
        <w:rPr>
          <w:rFonts w:hint="eastAsia" w:ascii="黑体" w:hAnsi="黑体" w:eastAsia="黑体" w:cs="Times New Roman"/>
          <w:b/>
          <w:szCs w:val="24"/>
        </w:rPr>
        <w:t xml:space="preserve">  </w:t>
      </w:r>
      <w:r>
        <w:rPr>
          <w:rFonts w:hint="eastAsia" w:eastAsia="宋体" w:cs="Times New Roman"/>
          <w:szCs w:val="24"/>
        </w:rPr>
        <w:t>浙江省工业设计研究院有限公司</w:t>
      </w:r>
    </w:p>
    <w:p>
      <w:pPr>
        <w:ind w:firstLine="1416" w:firstLineChars="590"/>
        <w:jc w:val="left"/>
        <w:rPr>
          <w:rFonts w:eastAsia="宋体" w:cs="Times New Roman"/>
          <w:szCs w:val="24"/>
        </w:rPr>
      </w:pPr>
      <w:r>
        <w:rPr>
          <w:rFonts w:hint="eastAsia" w:eastAsia="宋体" w:cs="Times New Roman"/>
          <w:szCs w:val="24"/>
        </w:rPr>
        <w:t>北京中铁安装工程有限公司</w:t>
      </w:r>
    </w:p>
    <w:p>
      <w:pPr>
        <w:ind w:firstLine="1416" w:firstLineChars="590"/>
        <w:jc w:val="left"/>
        <w:rPr>
          <w:rFonts w:eastAsia="宋体" w:cs="Times New Roman"/>
          <w:szCs w:val="24"/>
        </w:rPr>
      </w:pPr>
      <w:r>
        <w:rPr>
          <w:rFonts w:hint="eastAsia" w:eastAsia="宋体" w:cs="Times New Roman"/>
          <w:szCs w:val="24"/>
        </w:rPr>
        <w:t>山东迈凯诺安防科技有限公司</w:t>
      </w:r>
    </w:p>
    <w:p>
      <w:pPr>
        <w:ind w:firstLine="1416" w:firstLineChars="590"/>
        <w:jc w:val="left"/>
        <w:rPr>
          <w:rFonts w:eastAsia="宋体" w:cs="Times New Roman"/>
          <w:szCs w:val="24"/>
        </w:rPr>
      </w:pPr>
      <w:r>
        <w:rPr>
          <w:rFonts w:hint="eastAsia" w:eastAsia="宋体" w:cs="Times New Roman"/>
          <w:szCs w:val="24"/>
        </w:rPr>
        <w:t>上海迈联建筑技术有限公司</w:t>
      </w:r>
    </w:p>
    <w:p>
      <w:pPr>
        <w:ind w:firstLine="1416" w:firstLineChars="590"/>
        <w:jc w:val="left"/>
        <w:rPr>
          <w:rFonts w:eastAsia="宋体" w:cs="Times New Roman"/>
          <w:szCs w:val="24"/>
        </w:rPr>
      </w:pPr>
      <w:r>
        <w:rPr>
          <w:rFonts w:hint="eastAsia" w:eastAsia="宋体" w:cs="Times New Roman"/>
          <w:szCs w:val="24"/>
        </w:rPr>
        <w:t>妥思空调设备（苏州）有限公司</w:t>
      </w:r>
    </w:p>
    <w:p>
      <w:pPr>
        <w:ind w:firstLine="1416" w:firstLineChars="590"/>
        <w:jc w:val="left"/>
        <w:rPr>
          <w:rFonts w:eastAsia="宋体" w:cs="Times New Roman"/>
          <w:szCs w:val="24"/>
        </w:rPr>
      </w:pPr>
      <w:r>
        <w:rPr>
          <w:rFonts w:hint="eastAsia" w:eastAsia="宋体" w:cs="Times New Roman"/>
          <w:szCs w:val="24"/>
        </w:rPr>
        <w:t>火犀通风科技（天津）有限公司</w:t>
      </w:r>
    </w:p>
    <w:p>
      <w:pPr>
        <w:ind w:firstLine="1416" w:firstLineChars="590"/>
        <w:jc w:val="left"/>
        <w:rPr>
          <w:rFonts w:eastAsia="宋体" w:cs="Times New Roman"/>
          <w:szCs w:val="24"/>
        </w:rPr>
      </w:pPr>
      <w:r>
        <w:rPr>
          <w:rFonts w:hint="eastAsia" w:eastAsia="宋体" w:cs="Times New Roman"/>
          <w:szCs w:val="24"/>
        </w:rPr>
        <w:t>大连光华采光通风工程有限公司</w:t>
      </w:r>
    </w:p>
    <w:p>
      <w:pPr>
        <w:ind w:firstLine="1416" w:firstLineChars="590"/>
        <w:jc w:val="left"/>
        <w:rPr>
          <w:rFonts w:eastAsia="宋体" w:cs="Times New Roman"/>
          <w:szCs w:val="24"/>
        </w:rPr>
      </w:pPr>
      <w:r>
        <w:rPr>
          <w:rFonts w:hint="eastAsia" w:eastAsia="宋体" w:cs="Times New Roman"/>
          <w:szCs w:val="24"/>
        </w:rPr>
        <w:t>威卢克斯（中国）有限公司</w:t>
      </w:r>
    </w:p>
    <w:p>
      <w:pPr>
        <w:ind w:firstLine="1416" w:firstLineChars="590"/>
        <w:jc w:val="left"/>
        <w:rPr>
          <w:rFonts w:eastAsia="宋体" w:cs="Times New Roman"/>
          <w:szCs w:val="24"/>
        </w:rPr>
      </w:pPr>
      <w:r>
        <w:rPr>
          <w:rFonts w:hint="eastAsia" w:eastAsia="宋体" w:cs="Times New Roman"/>
          <w:szCs w:val="24"/>
        </w:rPr>
        <w:t>拉米尼特建筑系统（苏州）有限公司</w:t>
      </w:r>
    </w:p>
    <w:p>
      <w:pPr>
        <w:ind w:firstLine="1416" w:firstLineChars="590"/>
        <w:jc w:val="left"/>
        <w:rPr>
          <w:rFonts w:eastAsia="宋体" w:cs="Times New Roman"/>
          <w:szCs w:val="24"/>
        </w:rPr>
      </w:pPr>
      <w:r>
        <w:rPr>
          <w:rFonts w:hint="eastAsia" w:eastAsia="宋体" w:cs="Times New Roman"/>
          <w:szCs w:val="24"/>
        </w:rPr>
        <w:t>中铁时代建筑设计院有限公司</w:t>
      </w:r>
    </w:p>
    <w:p>
      <w:pPr>
        <w:ind w:firstLine="1416" w:firstLineChars="590"/>
        <w:jc w:val="left"/>
        <w:rPr>
          <w:rFonts w:eastAsia="宋体" w:cs="Times New Roman"/>
          <w:szCs w:val="24"/>
        </w:rPr>
      </w:pPr>
      <w:r>
        <w:rPr>
          <w:rFonts w:hint="eastAsia" w:eastAsia="宋体" w:cs="Times New Roman"/>
          <w:szCs w:val="24"/>
        </w:rPr>
        <w:t>北京吉盛机电设备有限公司</w:t>
      </w:r>
    </w:p>
    <w:p>
      <w:pPr>
        <w:ind w:firstLine="1416" w:firstLineChars="590"/>
        <w:jc w:val="left"/>
        <w:rPr>
          <w:rFonts w:eastAsia="宋体" w:cs="Times New Roman"/>
          <w:szCs w:val="24"/>
        </w:rPr>
      </w:pPr>
      <w:r>
        <w:rPr>
          <w:rFonts w:hint="eastAsia" w:eastAsia="宋体" w:cs="Times New Roman"/>
          <w:szCs w:val="24"/>
        </w:rPr>
        <w:t>上海澄德建筑技术有限公司</w:t>
      </w:r>
    </w:p>
    <w:p>
      <w:pPr>
        <w:jc w:val="left"/>
        <w:rPr>
          <w:rFonts w:hint="eastAsia" w:ascii="黑体" w:hAnsi="黑体" w:eastAsia="黑体" w:cs="Times New Roman"/>
          <w:b/>
          <w:szCs w:val="24"/>
        </w:rPr>
      </w:pPr>
      <w:r>
        <w:rPr>
          <w:rFonts w:ascii="黑体" w:hAnsi="黑体" w:eastAsia="黑体" w:cs="Times New Roman"/>
          <w:b/>
          <w:szCs w:val="24"/>
        </w:rPr>
        <w:t>主要起草人：</w:t>
      </w:r>
    </w:p>
    <w:p>
      <w:pPr>
        <w:jc w:val="left"/>
        <w:rPr>
          <w:rFonts w:hint="eastAsia" w:ascii="黑体" w:hAnsi="黑体" w:eastAsia="黑体" w:cs="Times New Roman"/>
          <w:b/>
          <w:szCs w:val="24"/>
        </w:rPr>
      </w:pPr>
      <w:r>
        <w:rPr>
          <w:rFonts w:ascii="黑体" w:hAnsi="黑体" w:eastAsia="黑体" w:cs="Times New Roman"/>
          <w:b/>
          <w:szCs w:val="24"/>
        </w:rPr>
        <w:t>主要审查人：</w:t>
      </w:r>
    </w:p>
    <w:p>
      <w:pPr>
        <w:pStyle w:val="39"/>
        <w:jc w:val="center"/>
        <w:rPr>
          <w:rFonts w:hint="eastAsia" w:ascii="黑体" w:hAnsi="黑体" w:eastAsia="黑体" w:cs="Times New Roman"/>
          <w:b/>
          <w:sz w:val="24"/>
          <w:szCs w:val="24"/>
        </w:rPr>
      </w:pPr>
    </w:p>
    <w:sdt>
      <w:sdtPr>
        <w:rPr>
          <w:rFonts w:asciiTheme="minorHAnsi" w:hAnsiTheme="minorHAnsi" w:eastAsiaTheme="minorEastAsia" w:cstheme="minorBidi"/>
          <w:color w:val="auto"/>
          <w:kern w:val="2"/>
          <w:sz w:val="21"/>
          <w:szCs w:val="22"/>
          <w:lang w:val="zh-CN"/>
        </w:rPr>
        <w:id w:val="-335157174"/>
        <w:docPartObj>
          <w:docPartGallery w:val="Table of Contents"/>
          <w:docPartUnique/>
        </w:docPartObj>
      </w:sdtPr>
      <w:sdtEndPr>
        <w:rPr>
          <w:rFonts w:ascii="Times New Roman" w:hAnsi="Times New Roman" w:eastAsiaTheme="minorEastAsia" w:cstheme="minorBidi"/>
          <w:b/>
          <w:bCs/>
          <w:color w:val="auto"/>
          <w:kern w:val="2"/>
          <w:sz w:val="24"/>
          <w:szCs w:val="24"/>
          <w:lang w:val="zh-CN"/>
        </w:rPr>
      </w:sdtEndPr>
      <w:sdtContent>
        <w:p>
          <w:pPr>
            <w:pStyle w:val="39"/>
            <w:jc w:val="center"/>
            <w:rPr>
              <w:color w:val="auto"/>
              <w:sz w:val="36"/>
              <w:szCs w:val="36"/>
              <w:lang w:val="zh-CN"/>
            </w:rPr>
          </w:pPr>
          <w:r>
            <w:rPr>
              <w:color w:val="auto"/>
              <w:sz w:val="36"/>
              <w:szCs w:val="36"/>
              <w:lang w:val="zh-CN"/>
            </w:rPr>
            <w:t>目</w:t>
          </w:r>
          <w:r>
            <w:rPr>
              <w:rFonts w:hint="eastAsia"/>
              <w:color w:val="auto"/>
              <w:sz w:val="36"/>
              <w:szCs w:val="36"/>
              <w:lang w:val="zh-CN"/>
            </w:rPr>
            <w:t xml:space="preserve">   次</w:t>
          </w:r>
        </w:p>
        <w:p>
          <w:pPr>
            <w:rPr>
              <w:lang w:val="zh-CN"/>
            </w:rPr>
          </w:pPr>
        </w:p>
        <w:p>
          <w:pPr>
            <w:pStyle w:val="13"/>
            <w:rPr>
              <w14:ligatures w14:val="standardContextual"/>
            </w:rPr>
          </w:pPr>
          <w:r>
            <w:fldChar w:fldCharType="begin"/>
          </w:r>
          <w:r>
            <w:instrText xml:space="preserve"> TOC \o "1-3" \h \z \u </w:instrText>
          </w:r>
          <w:r>
            <w:fldChar w:fldCharType="separate"/>
          </w:r>
          <w:r>
            <w:fldChar w:fldCharType="begin"/>
          </w:r>
          <w:r>
            <w:instrText xml:space="preserve"> HYPERLINK \l "_Toc206760182" </w:instrText>
          </w:r>
          <w:r>
            <w:fldChar w:fldCharType="separate"/>
          </w:r>
          <w:r>
            <w:rPr>
              <w:rStyle w:val="20"/>
            </w:rPr>
            <w:t>1</w:t>
          </w:r>
          <w:r>
            <w:rPr>
              <w:rStyle w:val="20"/>
              <w:rFonts w:hint="eastAsia" w:ascii="宋体" w:hAnsi="宋体"/>
            </w:rPr>
            <w:t xml:space="preserve"> </w:t>
          </w:r>
          <w:r>
            <w:rPr>
              <w:rStyle w:val="20"/>
              <w:rFonts w:hint="eastAsia"/>
            </w:rPr>
            <w:t xml:space="preserve"> </w:t>
          </w:r>
          <w:r>
            <w:rPr>
              <w:rStyle w:val="20"/>
              <w:rFonts w:hint="eastAsia" w:ascii="宋体" w:hAnsi="宋体"/>
            </w:rPr>
            <w:t>总  则</w:t>
          </w:r>
          <w:r>
            <w:rPr>
              <w:rFonts w:hint="eastAsia"/>
            </w:rPr>
            <w:tab/>
          </w:r>
          <w:r>
            <w:rPr>
              <w:rFonts w:hint="eastAsia"/>
            </w:rPr>
            <w:fldChar w:fldCharType="begin"/>
          </w:r>
          <w:r>
            <w:rPr>
              <w:rFonts w:hint="eastAsia"/>
            </w:rPr>
            <w:instrText xml:space="preserve"> </w:instrText>
          </w:r>
          <w:r>
            <w:instrText xml:space="preserve">PAGEREF _Toc206760182 \h</w:instrText>
          </w:r>
          <w:r>
            <w:rPr>
              <w:rFonts w:hint="eastAsia"/>
            </w:rPr>
            <w:instrText xml:space="preserve"> </w:instrText>
          </w:r>
          <w:r>
            <w:rPr>
              <w:rFonts w:hint="eastAsia"/>
            </w:rPr>
            <w:fldChar w:fldCharType="separate"/>
          </w:r>
          <w:r>
            <w:t>1</w:t>
          </w:r>
          <w:r>
            <w:rPr>
              <w:rFonts w:hint="eastAsia"/>
            </w:rPr>
            <w:fldChar w:fldCharType="end"/>
          </w:r>
          <w:r>
            <w:rPr>
              <w:rFonts w:hint="eastAsia"/>
            </w:rPr>
            <w:fldChar w:fldCharType="end"/>
          </w:r>
        </w:p>
        <w:p>
          <w:pPr>
            <w:pStyle w:val="13"/>
            <w:rPr>
              <w14:ligatures w14:val="standardContextual"/>
            </w:rPr>
          </w:pPr>
          <w:r>
            <w:fldChar w:fldCharType="begin"/>
          </w:r>
          <w:r>
            <w:instrText xml:space="preserve"> HYPERLINK \l "_Toc206760183" </w:instrText>
          </w:r>
          <w:r>
            <w:fldChar w:fldCharType="separate"/>
          </w:r>
          <w:r>
            <w:rPr>
              <w:rStyle w:val="20"/>
            </w:rPr>
            <w:t>2  术 语</w:t>
          </w:r>
          <w:r>
            <w:tab/>
          </w:r>
          <w:r>
            <w:fldChar w:fldCharType="begin"/>
          </w:r>
          <w:r>
            <w:instrText xml:space="preserve"> PAGEREF _Toc206760183 \h </w:instrText>
          </w:r>
          <w:r>
            <w:fldChar w:fldCharType="separate"/>
          </w:r>
          <w:r>
            <w:t>2</w:t>
          </w:r>
          <w:r>
            <w:fldChar w:fldCharType="end"/>
          </w:r>
          <w:r>
            <w:fldChar w:fldCharType="end"/>
          </w:r>
        </w:p>
        <w:p>
          <w:pPr>
            <w:pStyle w:val="13"/>
            <w:rPr>
              <w14:ligatures w14:val="standardContextual"/>
            </w:rPr>
          </w:pPr>
          <w:r>
            <w:fldChar w:fldCharType="begin"/>
          </w:r>
          <w:r>
            <w:instrText xml:space="preserve"> HYPERLINK \l "_Toc206760184" </w:instrText>
          </w:r>
          <w:r>
            <w:fldChar w:fldCharType="separate"/>
          </w:r>
          <w:r>
            <w:rPr>
              <w:rStyle w:val="20"/>
            </w:rPr>
            <w:t>3　基本规定</w:t>
          </w:r>
          <w:r>
            <w:tab/>
          </w:r>
          <w:r>
            <w:fldChar w:fldCharType="begin"/>
          </w:r>
          <w:r>
            <w:instrText xml:space="preserve"> PAGEREF _Toc206760184 \h </w:instrText>
          </w:r>
          <w:r>
            <w:fldChar w:fldCharType="separate"/>
          </w:r>
          <w:r>
            <w:t>3</w:t>
          </w:r>
          <w:r>
            <w:fldChar w:fldCharType="end"/>
          </w:r>
          <w:r>
            <w:fldChar w:fldCharType="end"/>
          </w:r>
        </w:p>
        <w:p>
          <w:pPr>
            <w:pStyle w:val="15"/>
            <w:ind w:left="480"/>
            <w:rPr>
              <w14:ligatures w14:val="standardContextual"/>
            </w:rPr>
          </w:pPr>
          <w:r>
            <w:fldChar w:fldCharType="begin"/>
          </w:r>
          <w:r>
            <w:instrText xml:space="preserve"> HYPERLINK \l "_Toc206760185" </w:instrText>
          </w:r>
          <w:r>
            <w:fldChar w:fldCharType="separate"/>
          </w:r>
          <w:r>
            <w:rPr>
              <w:rStyle w:val="20"/>
            </w:rPr>
            <w:t>3.1　一般规定</w:t>
          </w:r>
          <w:r>
            <w:tab/>
          </w:r>
          <w:r>
            <w:fldChar w:fldCharType="begin"/>
          </w:r>
          <w:r>
            <w:instrText xml:space="preserve"> PAGEREF _Toc206760185 \h </w:instrText>
          </w:r>
          <w:r>
            <w:fldChar w:fldCharType="separate"/>
          </w:r>
          <w:r>
            <w:t>3</w:t>
          </w:r>
          <w:r>
            <w:fldChar w:fldCharType="end"/>
          </w:r>
          <w:r>
            <w:fldChar w:fldCharType="end"/>
          </w:r>
        </w:p>
        <w:p>
          <w:pPr>
            <w:pStyle w:val="15"/>
            <w:ind w:left="480"/>
            <w:rPr>
              <w14:ligatures w14:val="standardContextual"/>
            </w:rPr>
          </w:pPr>
          <w:r>
            <w:fldChar w:fldCharType="begin"/>
          </w:r>
          <w:r>
            <w:instrText xml:space="preserve"> HYPERLINK \l "_Toc206760186" </w:instrText>
          </w:r>
          <w:r>
            <w:fldChar w:fldCharType="separate"/>
          </w:r>
          <w:r>
            <w:rPr>
              <w:rStyle w:val="20"/>
            </w:rPr>
            <w:t>3.2　评定规则</w:t>
          </w:r>
          <w:r>
            <w:tab/>
          </w:r>
          <w:r>
            <w:fldChar w:fldCharType="begin"/>
          </w:r>
          <w:r>
            <w:instrText xml:space="preserve"> PAGEREF _Toc206760186 \h </w:instrText>
          </w:r>
          <w:r>
            <w:fldChar w:fldCharType="separate"/>
          </w:r>
          <w:r>
            <w:t>3</w:t>
          </w:r>
          <w:r>
            <w:fldChar w:fldCharType="end"/>
          </w:r>
          <w:r>
            <w:fldChar w:fldCharType="end"/>
          </w:r>
        </w:p>
        <w:p>
          <w:pPr>
            <w:pStyle w:val="13"/>
            <w:rPr>
              <w14:ligatures w14:val="standardContextual"/>
            </w:rPr>
          </w:pPr>
          <w:r>
            <w:fldChar w:fldCharType="begin"/>
          </w:r>
          <w:r>
            <w:instrText xml:space="preserve"> HYPERLINK \l "_Toc206760187" </w:instrText>
          </w:r>
          <w:r>
            <w:fldChar w:fldCharType="separate"/>
          </w:r>
          <w:r>
            <w:rPr>
              <w:rStyle w:val="20"/>
            </w:rPr>
            <w:t>4  评定方法</w:t>
          </w:r>
          <w:r>
            <w:tab/>
          </w:r>
          <w:r>
            <w:fldChar w:fldCharType="begin"/>
          </w:r>
          <w:r>
            <w:instrText xml:space="preserve"> PAGEREF _Toc206760187 \h </w:instrText>
          </w:r>
          <w:r>
            <w:fldChar w:fldCharType="separate"/>
          </w:r>
          <w:r>
            <w:t>5</w:t>
          </w:r>
          <w:r>
            <w:fldChar w:fldCharType="end"/>
          </w:r>
          <w:r>
            <w:fldChar w:fldCharType="end"/>
          </w:r>
        </w:p>
        <w:p>
          <w:pPr>
            <w:pStyle w:val="15"/>
            <w:ind w:left="480"/>
            <w:rPr>
              <w14:ligatures w14:val="standardContextual"/>
            </w:rPr>
          </w:pPr>
          <w:r>
            <w:fldChar w:fldCharType="begin"/>
          </w:r>
          <w:r>
            <w:instrText xml:space="preserve"> HYPERLINK \l "_Toc206760188" </w:instrText>
          </w:r>
          <w:r>
            <w:fldChar w:fldCharType="separate"/>
          </w:r>
          <w:r>
            <w:rPr>
              <w:rStyle w:val="20"/>
            </w:rPr>
            <w:t>4.1 一般规定</w:t>
          </w:r>
          <w:r>
            <w:tab/>
          </w:r>
          <w:r>
            <w:fldChar w:fldCharType="begin"/>
          </w:r>
          <w:r>
            <w:instrText xml:space="preserve"> PAGEREF _Toc206760188 \h </w:instrText>
          </w:r>
          <w:r>
            <w:fldChar w:fldCharType="separate"/>
          </w:r>
          <w:r>
            <w:t>5</w:t>
          </w:r>
          <w:r>
            <w:fldChar w:fldCharType="end"/>
          </w:r>
          <w:r>
            <w:fldChar w:fldCharType="end"/>
          </w:r>
        </w:p>
        <w:p>
          <w:pPr>
            <w:pStyle w:val="15"/>
            <w:ind w:left="480"/>
            <w:rPr>
              <w14:ligatures w14:val="standardContextual"/>
            </w:rPr>
          </w:pPr>
          <w:r>
            <w:fldChar w:fldCharType="begin"/>
          </w:r>
          <w:r>
            <w:instrText xml:space="preserve"> HYPERLINK \l "_Toc206760189" </w:instrText>
          </w:r>
          <w:r>
            <w:fldChar w:fldCharType="separate"/>
          </w:r>
          <w:r>
            <w:rPr>
              <w:rStyle w:val="20"/>
            </w:rPr>
            <w:t>4.2  评定内容与评分标准</w:t>
          </w:r>
          <w:r>
            <w:tab/>
          </w:r>
          <w:r>
            <w:fldChar w:fldCharType="begin"/>
          </w:r>
          <w:r>
            <w:instrText xml:space="preserve"> PAGEREF _Toc206760189 \h </w:instrText>
          </w:r>
          <w:r>
            <w:fldChar w:fldCharType="separate"/>
          </w:r>
          <w:r>
            <w:t>6</w:t>
          </w:r>
          <w:r>
            <w:fldChar w:fldCharType="end"/>
          </w:r>
          <w:r>
            <w:fldChar w:fldCharType="end"/>
          </w:r>
        </w:p>
        <w:p>
          <w:pPr>
            <w:pStyle w:val="13"/>
            <w:rPr>
              <w14:ligatures w14:val="standardContextual"/>
            </w:rPr>
          </w:pPr>
          <w:r>
            <w:fldChar w:fldCharType="begin"/>
          </w:r>
          <w:r>
            <w:instrText xml:space="preserve"> HYPERLINK \l "_Toc206760199" </w:instrText>
          </w:r>
          <w:r>
            <w:fldChar w:fldCharType="separate"/>
          </w:r>
          <w:r>
            <w:rPr>
              <w:rStyle w:val="20"/>
            </w:rPr>
            <w:t>5  评定后监督检查</w:t>
          </w:r>
          <w:r>
            <w:tab/>
          </w:r>
          <w:r>
            <w:fldChar w:fldCharType="begin"/>
          </w:r>
          <w:r>
            <w:instrText xml:space="preserve"> PAGEREF _Toc206760199 \h </w:instrText>
          </w:r>
          <w:r>
            <w:fldChar w:fldCharType="separate"/>
          </w:r>
          <w:r>
            <w:t>105</w:t>
          </w:r>
          <w:r>
            <w:fldChar w:fldCharType="end"/>
          </w:r>
          <w:r>
            <w:fldChar w:fldCharType="end"/>
          </w:r>
        </w:p>
        <w:p>
          <w:pPr>
            <w:pStyle w:val="13"/>
            <w:rPr>
              <w14:ligatures w14:val="standardContextual"/>
            </w:rPr>
          </w:pPr>
          <w:r>
            <w:fldChar w:fldCharType="begin"/>
          </w:r>
          <w:r>
            <w:instrText xml:space="preserve"> HYPERLINK \l "_Toc206760200" </w:instrText>
          </w:r>
          <w:r>
            <w:fldChar w:fldCharType="separate"/>
          </w:r>
          <w:r>
            <w:rPr>
              <w:rStyle w:val="20"/>
              <w:rFonts w:hint="eastAsia" w:ascii="宋体" w:hAnsi="宋体"/>
            </w:rPr>
            <w:t>附录</w:t>
          </w:r>
          <w:r>
            <w:rPr>
              <w:rStyle w:val="20"/>
            </w:rPr>
            <w:t>1</w:t>
          </w:r>
          <w:r>
            <w:rPr>
              <w:rStyle w:val="20"/>
              <w:rFonts w:hint="eastAsia" w:ascii="宋体" w:hAnsi="宋体"/>
            </w:rPr>
            <w:t xml:space="preserve"> 不同级别消防产品建议适用的建筑类型</w:t>
          </w:r>
          <w:r>
            <w:rPr>
              <w:rFonts w:hint="eastAsia"/>
            </w:rPr>
            <w:tab/>
          </w:r>
          <w:r>
            <w:rPr>
              <w:rFonts w:hint="eastAsia"/>
            </w:rPr>
            <w:fldChar w:fldCharType="begin"/>
          </w:r>
          <w:r>
            <w:rPr>
              <w:rFonts w:hint="eastAsia"/>
            </w:rPr>
            <w:instrText xml:space="preserve"> </w:instrText>
          </w:r>
          <w:r>
            <w:instrText xml:space="preserve">PAGEREF _Toc206760200 \h</w:instrText>
          </w:r>
          <w:r>
            <w:rPr>
              <w:rFonts w:hint="eastAsia"/>
            </w:rPr>
            <w:instrText xml:space="preserve"> </w:instrText>
          </w:r>
          <w:r>
            <w:rPr>
              <w:rFonts w:hint="eastAsia"/>
            </w:rPr>
            <w:fldChar w:fldCharType="separate"/>
          </w:r>
          <w:r>
            <w:t>106</w:t>
          </w:r>
          <w:r>
            <w:rPr>
              <w:rFonts w:hint="eastAsia"/>
            </w:rPr>
            <w:fldChar w:fldCharType="end"/>
          </w:r>
          <w:r>
            <w:rPr>
              <w:rFonts w:hint="eastAsia"/>
            </w:rPr>
            <w:fldChar w:fldCharType="end"/>
          </w:r>
        </w:p>
        <w:p>
          <w:pPr>
            <w:pStyle w:val="13"/>
            <w:rPr>
              <w14:ligatures w14:val="standardContextual"/>
            </w:rPr>
          </w:pPr>
          <w:r>
            <w:fldChar w:fldCharType="begin"/>
          </w:r>
          <w:r>
            <w:instrText xml:space="preserve"> HYPERLINK \l "_Toc206760201" </w:instrText>
          </w:r>
          <w:r>
            <w:fldChar w:fldCharType="separate"/>
          </w:r>
          <w:r>
            <w:rPr>
              <w:rStyle w:val="20"/>
              <w:rFonts w:hint="eastAsia" w:ascii="宋体" w:hAnsi="宋体"/>
            </w:rPr>
            <w:t>用词说明</w:t>
          </w:r>
          <w:r>
            <w:rPr>
              <w:rFonts w:hint="eastAsia"/>
            </w:rPr>
            <w:tab/>
          </w:r>
          <w:r>
            <w:rPr>
              <w:rFonts w:hint="eastAsia"/>
            </w:rPr>
            <w:fldChar w:fldCharType="begin"/>
          </w:r>
          <w:r>
            <w:rPr>
              <w:rFonts w:hint="eastAsia"/>
            </w:rPr>
            <w:instrText xml:space="preserve"> </w:instrText>
          </w:r>
          <w:r>
            <w:instrText xml:space="preserve">PAGEREF _Toc206760201 \h</w:instrText>
          </w:r>
          <w:r>
            <w:rPr>
              <w:rFonts w:hint="eastAsia"/>
            </w:rPr>
            <w:instrText xml:space="preserve"> </w:instrText>
          </w:r>
          <w:r>
            <w:rPr>
              <w:rFonts w:hint="eastAsia"/>
            </w:rPr>
            <w:fldChar w:fldCharType="separate"/>
          </w:r>
          <w:r>
            <w:t>110</w:t>
          </w:r>
          <w:r>
            <w:rPr>
              <w:rFonts w:hint="eastAsia"/>
            </w:rPr>
            <w:fldChar w:fldCharType="end"/>
          </w:r>
          <w:r>
            <w:rPr>
              <w:rFonts w:hint="eastAsia"/>
            </w:rPr>
            <w:fldChar w:fldCharType="end"/>
          </w:r>
        </w:p>
        <w:p>
          <w:pPr>
            <w:pStyle w:val="13"/>
            <w:rPr>
              <w14:ligatures w14:val="standardContextual"/>
            </w:rPr>
          </w:pPr>
          <w:r>
            <w:fldChar w:fldCharType="begin"/>
          </w:r>
          <w:r>
            <w:instrText xml:space="preserve"> HYPERLINK \l "_Toc206760202" </w:instrText>
          </w:r>
          <w:r>
            <w:fldChar w:fldCharType="separate"/>
          </w:r>
          <w:r>
            <w:rPr>
              <w:rStyle w:val="20"/>
              <w:rFonts w:hint="eastAsia" w:ascii="宋体" w:hAnsi="宋体"/>
            </w:rPr>
            <w:t>引用标准名录</w:t>
          </w:r>
          <w:r>
            <w:rPr>
              <w:rFonts w:hint="eastAsia"/>
            </w:rPr>
            <w:tab/>
          </w:r>
          <w:r>
            <w:rPr>
              <w:rFonts w:hint="eastAsia"/>
            </w:rPr>
            <w:fldChar w:fldCharType="begin"/>
          </w:r>
          <w:r>
            <w:rPr>
              <w:rFonts w:hint="eastAsia"/>
            </w:rPr>
            <w:instrText xml:space="preserve"> </w:instrText>
          </w:r>
          <w:r>
            <w:instrText xml:space="preserve">PAGEREF _Toc206760202 \h</w:instrText>
          </w:r>
          <w:r>
            <w:rPr>
              <w:rFonts w:hint="eastAsia"/>
            </w:rPr>
            <w:instrText xml:space="preserve"> </w:instrText>
          </w:r>
          <w:r>
            <w:rPr>
              <w:rFonts w:hint="eastAsia"/>
            </w:rPr>
            <w:fldChar w:fldCharType="separate"/>
          </w:r>
          <w:r>
            <w:t>111</w:t>
          </w:r>
          <w:r>
            <w:rPr>
              <w:rFonts w:hint="eastAsia"/>
            </w:rPr>
            <w:fldChar w:fldCharType="end"/>
          </w:r>
          <w:r>
            <w:rPr>
              <w:rFonts w:hint="eastAsia"/>
            </w:rPr>
            <w:fldChar w:fldCharType="end"/>
          </w:r>
        </w:p>
        <w:p>
          <w:pPr>
            <w:pStyle w:val="13"/>
            <w:rPr>
              <w14:ligatures w14:val="standardContextual"/>
            </w:rPr>
          </w:pPr>
          <w:r>
            <w:rPr>
              <w:rStyle w:val="20"/>
              <w:rFonts w:hint="eastAsia" w:asciiTheme="minorEastAsia" w:hAnsiTheme="minorEastAsia" w:eastAsiaTheme="minorEastAsia"/>
              <w:color w:val="auto"/>
              <w:u w:val="none"/>
            </w:rPr>
            <w:t>附：</w:t>
          </w:r>
          <w:r>
            <w:fldChar w:fldCharType="begin"/>
          </w:r>
          <w:r>
            <w:instrText xml:space="preserve"> HYPERLINK \l "_Toc206760203" </w:instrText>
          </w:r>
          <w:r>
            <w:fldChar w:fldCharType="separate"/>
          </w:r>
          <w:r>
            <w:rPr>
              <w:rStyle w:val="20"/>
              <w:rFonts w:hint="eastAsia" w:asciiTheme="minorEastAsia" w:hAnsiTheme="minorEastAsia" w:eastAsiaTheme="minorEastAsia"/>
            </w:rPr>
            <w:t>条文说明</w:t>
          </w:r>
          <w:r>
            <w:rPr>
              <w:rFonts w:hint="eastAsia"/>
            </w:rPr>
            <w:tab/>
          </w:r>
          <w:r>
            <w:rPr>
              <w:rFonts w:hint="eastAsia"/>
            </w:rPr>
            <w:t>112</w:t>
          </w:r>
          <w:r>
            <w:rPr>
              <w:rFonts w:hint="eastAsia"/>
            </w:rPr>
            <w:fldChar w:fldCharType="end"/>
          </w:r>
        </w:p>
        <w:p>
          <w:pPr>
            <w:rPr>
              <w:szCs w:val="24"/>
            </w:rPr>
          </w:pPr>
          <w:r>
            <w:rPr>
              <w:b/>
              <w:bCs/>
              <w:szCs w:val="24"/>
              <w:lang w:val="zh-CN"/>
            </w:rPr>
            <w:fldChar w:fldCharType="end"/>
          </w:r>
        </w:p>
      </w:sdtContent>
    </w:sdt>
    <w:p>
      <w:pPr>
        <w:widowControl/>
        <w:jc w:val="left"/>
        <w:rPr>
          <w:rFonts w:cs="Times New Roman"/>
          <w:bCs/>
          <w:szCs w:val="24"/>
        </w:rPr>
      </w:pPr>
      <w:r>
        <w:rPr>
          <w:rFonts w:hint="eastAsia" w:cs="Times New Roman" w:asciiTheme="minorEastAsia" w:hAnsiTheme="minorEastAsia"/>
          <w:b/>
          <w:szCs w:val="24"/>
        </w:rPr>
        <w:br w:type="page"/>
      </w:r>
    </w:p>
    <w:sdt>
      <w:sdtPr>
        <w:rPr>
          <w:rFonts w:asciiTheme="minorHAnsi" w:hAnsiTheme="minorHAnsi" w:eastAsiaTheme="minorEastAsia" w:cstheme="minorBidi"/>
          <w:color w:val="auto"/>
          <w:kern w:val="2"/>
          <w:sz w:val="21"/>
          <w:szCs w:val="22"/>
          <w:lang w:val="zh-CN"/>
        </w:rPr>
        <w:id w:val="879135820"/>
        <w:docPartObj>
          <w:docPartGallery w:val="Table of Contents"/>
          <w:docPartUnique/>
        </w:docPartObj>
      </w:sdtPr>
      <w:sdtEndPr>
        <w:rPr>
          <w:rFonts w:ascii="Times New Roman" w:hAnsi="Times New Roman" w:cs="Times New Roman" w:eastAsiaTheme="minorEastAsia"/>
          <w:b/>
          <w:bCs/>
          <w:color w:val="auto"/>
          <w:kern w:val="2"/>
          <w:sz w:val="24"/>
          <w:szCs w:val="24"/>
          <w:lang w:val="zh-CN"/>
        </w:rPr>
      </w:sdtEndPr>
      <w:sdtContent>
        <w:p>
          <w:pPr>
            <w:pStyle w:val="39"/>
            <w:jc w:val="center"/>
            <w:rPr>
              <w:color w:val="auto"/>
              <w:sz w:val="36"/>
              <w:szCs w:val="36"/>
            </w:rPr>
          </w:pPr>
          <w:r>
            <w:rPr>
              <w:rFonts w:ascii="Times New Roman" w:hAnsi="Times New Roman" w:cs="Times New Roman"/>
              <w:color w:val="auto"/>
              <w:sz w:val="36"/>
              <w:szCs w:val="36"/>
              <w:lang w:val="zh-CN"/>
            </w:rPr>
            <w:t>Contents</w:t>
          </w:r>
        </w:p>
        <w:p>
          <w:pPr>
            <w:pStyle w:val="13"/>
            <w:rPr>
              <w14:ligatures w14:val="standardContextual"/>
            </w:rPr>
          </w:pPr>
          <w:r>
            <w:fldChar w:fldCharType="begin"/>
          </w:r>
          <w:r>
            <w:instrText xml:space="preserve"> TOC \o "1-3" \h \z \u </w:instrText>
          </w:r>
          <w:r>
            <w:fldChar w:fldCharType="separate"/>
          </w:r>
          <w:r>
            <w:fldChar w:fldCharType="begin"/>
          </w:r>
          <w:r>
            <w:instrText xml:space="preserve"> HYPERLINK \l "_Toc206760182" </w:instrText>
          </w:r>
          <w:r>
            <w:fldChar w:fldCharType="separate"/>
          </w:r>
          <w:r>
            <w:rPr>
              <w:rStyle w:val="20"/>
            </w:rPr>
            <w:t>1  General provisions</w:t>
          </w:r>
          <w:r>
            <w:tab/>
          </w:r>
          <w:r>
            <w:fldChar w:fldCharType="begin"/>
          </w:r>
          <w:r>
            <w:instrText xml:space="preserve"> PAGEREF _Toc206760182 \h </w:instrText>
          </w:r>
          <w:r>
            <w:fldChar w:fldCharType="separate"/>
          </w:r>
          <w:r>
            <w:t>1</w:t>
          </w:r>
          <w:r>
            <w:fldChar w:fldCharType="end"/>
          </w:r>
          <w:r>
            <w:fldChar w:fldCharType="end"/>
          </w:r>
        </w:p>
        <w:p>
          <w:pPr>
            <w:pStyle w:val="13"/>
            <w:rPr>
              <w14:ligatures w14:val="standardContextual"/>
            </w:rPr>
          </w:pPr>
          <w:r>
            <w:fldChar w:fldCharType="begin"/>
          </w:r>
          <w:r>
            <w:instrText xml:space="preserve"> HYPERLINK \l "_Toc206760183" </w:instrText>
          </w:r>
          <w:r>
            <w:fldChar w:fldCharType="separate"/>
          </w:r>
          <w:r>
            <w:rPr>
              <w:rStyle w:val="20"/>
            </w:rPr>
            <w:t>2  Terms</w:t>
          </w:r>
          <w:r>
            <w:tab/>
          </w:r>
          <w:r>
            <w:fldChar w:fldCharType="begin"/>
          </w:r>
          <w:r>
            <w:instrText xml:space="preserve"> PAGEREF _Toc206760183 \h </w:instrText>
          </w:r>
          <w:r>
            <w:fldChar w:fldCharType="separate"/>
          </w:r>
          <w:r>
            <w:t>2</w:t>
          </w:r>
          <w:r>
            <w:fldChar w:fldCharType="end"/>
          </w:r>
          <w:r>
            <w:fldChar w:fldCharType="end"/>
          </w:r>
        </w:p>
        <w:p>
          <w:pPr>
            <w:pStyle w:val="13"/>
            <w:rPr>
              <w14:ligatures w14:val="standardContextual"/>
            </w:rPr>
          </w:pPr>
          <w:r>
            <w:fldChar w:fldCharType="begin"/>
          </w:r>
          <w:r>
            <w:instrText xml:space="preserve"> HYPERLINK \l "_Toc206760184" </w:instrText>
          </w:r>
          <w:r>
            <w:fldChar w:fldCharType="separate"/>
          </w:r>
          <w:r>
            <w:rPr>
              <w:rStyle w:val="20"/>
            </w:rPr>
            <w:t>3　Basic requirements</w:t>
          </w:r>
          <w:r>
            <w:tab/>
          </w:r>
          <w:r>
            <w:fldChar w:fldCharType="begin"/>
          </w:r>
          <w:r>
            <w:instrText xml:space="preserve"> PAGEREF _Toc206760184 \h </w:instrText>
          </w:r>
          <w:r>
            <w:fldChar w:fldCharType="separate"/>
          </w:r>
          <w:r>
            <w:t>4</w:t>
          </w:r>
          <w:r>
            <w:fldChar w:fldCharType="end"/>
          </w:r>
          <w:r>
            <w:fldChar w:fldCharType="end"/>
          </w:r>
        </w:p>
        <w:p>
          <w:pPr>
            <w:pStyle w:val="15"/>
            <w:spacing w:line="360" w:lineRule="auto"/>
            <w:ind w:left="480"/>
            <w:rPr>
              <w14:ligatures w14:val="standardContextual"/>
            </w:rPr>
          </w:pPr>
          <w:r>
            <w:fldChar w:fldCharType="begin"/>
          </w:r>
          <w:r>
            <w:instrText xml:space="preserve"> HYPERLINK \l "_Toc206760185" </w:instrText>
          </w:r>
          <w:r>
            <w:fldChar w:fldCharType="separate"/>
          </w:r>
          <w:r>
            <w:rPr>
              <w:rStyle w:val="20"/>
            </w:rPr>
            <w:t>3.1　</w:t>
          </w:r>
          <w:r>
            <w:t xml:space="preserve"> </w:t>
          </w:r>
          <w:r>
            <w:rPr>
              <w:rStyle w:val="20"/>
            </w:rPr>
            <w:t>General requirement</w:t>
          </w:r>
          <w:r>
            <w:tab/>
          </w:r>
          <w:r>
            <w:fldChar w:fldCharType="begin"/>
          </w:r>
          <w:r>
            <w:instrText xml:space="preserve"> PAGEREF _Toc206760185 \h </w:instrText>
          </w:r>
          <w:r>
            <w:fldChar w:fldCharType="separate"/>
          </w:r>
          <w:r>
            <w:t>4</w:t>
          </w:r>
          <w:r>
            <w:fldChar w:fldCharType="end"/>
          </w:r>
          <w:r>
            <w:fldChar w:fldCharType="end"/>
          </w:r>
        </w:p>
        <w:p>
          <w:pPr>
            <w:pStyle w:val="15"/>
            <w:spacing w:line="360" w:lineRule="auto"/>
            <w:ind w:left="480"/>
            <w:rPr>
              <w14:ligatures w14:val="standardContextual"/>
            </w:rPr>
          </w:pPr>
          <w:r>
            <w:fldChar w:fldCharType="begin"/>
          </w:r>
          <w:r>
            <w:instrText xml:space="preserve"> HYPERLINK \l "_Toc206760186" </w:instrText>
          </w:r>
          <w:r>
            <w:fldChar w:fldCharType="separate"/>
          </w:r>
          <w:r>
            <w:rPr>
              <w:rStyle w:val="20"/>
            </w:rPr>
            <w:t>3.2　</w:t>
          </w:r>
          <w:r>
            <w:t xml:space="preserve"> </w:t>
          </w:r>
          <w:r>
            <w:rPr>
              <w:rStyle w:val="20"/>
              <w:rFonts w:hint="eastAsia"/>
            </w:rPr>
            <w:t>E</w:t>
          </w:r>
          <w:r>
            <w:rPr>
              <w:rStyle w:val="20"/>
            </w:rPr>
            <w:t>valuation rule</w:t>
          </w:r>
          <w:r>
            <w:tab/>
          </w:r>
          <w:r>
            <w:fldChar w:fldCharType="begin"/>
          </w:r>
          <w:r>
            <w:instrText xml:space="preserve"> PAGEREF _Toc206760186 \h </w:instrText>
          </w:r>
          <w:r>
            <w:fldChar w:fldCharType="separate"/>
          </w:r>
          <w:r>
            <w:t>4</w:t>
          </w:r>
          <w:r>
            <w:fldChar w:fldCharType="end"/>
          </w:r>
          <w:r>
            <w:fldChar w:fldCharType="end"/>
          </w:r>
        </w:p>
        <w:p>
          <w:pPr>
            <w:pStyle w:val="13"/>
            <w:rPr>
              <w14:ligatures w14:val="standardContextual"/>
            </w:rPr>
          </w:pPr>
          <w:r>
            <w:fldChar w:fldCharType="begin"/>
          </w:r>
          <w:r>
            <w:instrText xml:space="preserve"> HYPERLINK \l "_Toc206760187" </w:instrText>
          </w:r>
          <w:r>
            <w:fldChar w:fldCharType="separate"/>
          </w:r>
          <w:r>
            <w:rPr>
              <w:rStyle w:val="20"/>
            </w:rPr>
            <w:t xml:space="preserve">4  </w:t>
          </w:r>
          <w:r>
            <w:rPr>
              <w:rStyle w:val="20"/>
              <w:rFonts w:hint="eastAsia"/>
            </w:rPr>
            <w:t>E</w:t>
          </w:r>
          <w:r>
            <w:rPr>
              <w:rStyle w:val="20"/>
            </w:rPr>
            <w:t>valuation method</w:t>
          </w:r>
          <w:r>
            <w:tab/>
          </w:r>
          <w:r>
            <w:fldChar w:fldCharType="begin"/>
          </w:r>
          <w:r>
            <w:instrText xml:space="preserve"> PAGEREF _Toc206760187 \h </w:instrText>
          </w:r>
          <w:r>
            <w:fldChar w:fldCharType="separate"/>
          </w:r>
          <w:r>
            <w:t>6</w:t>
          </w:r>
          <w:r>
            <w:fldChar w:fldCharType="end"/>
          </w:r>
          <w:r>
            <w:fldChar w:fldCharType="end"/>
          </w:r>
        </w:p>
        <w:p>
          <w:pPr>
            <w:pStyle w:val="15"/>
            <w:spacing w:line="360" w:lineRule="auto"/>
            <w:ind w:left="480"/>
            <w:rPr>
              <w14:ligatures w14:val="standardContextual"/>
            </w:rPr>
          </w:pPr>
          <w:r>
            <w:fldChar w:fldCharType="begin"/>
          </w:r>
          <w:r>
            <w:instrText xml:space="preserve"> HYPERLINK \l "_Toc206760188" </w:instrText>
          </w:r>
          <w:r>
            <w:fldChar w:fldCharType="separate"/>
          </w:r>
          <w:r>
            <w:rPr>
              <w:rStyle w:val="20"/>
            </w:rPr>
            <w:t>4.1</w:t>
          </w:r>
          <w:r>
            <w:rPr>
              <w:rStyle w:val="20"/>
              <w:rFonts w:hint="eastAsia"/>
            </w:rPr>
            <w:t xml:space="preserve"> </w:t>
          </w:r>
          <w:r>
            <w:rPr>
              <w:rStyle w:val="20"/>
            </w:rPr>
            <w:t xml:space="preserve"> General requirement</w:t>
          </w:r>
          <w:r>
            <w:tab/>
          </w:r>
          <w:r>
            <w:fldChar w:fldCharType="begin"/>
          </w:r>
          <w:r>
            <w:instrText xml:space="preserve"> PAGEREF _Toc206760188 \h </w:instrText>
          </w:r>
          <w:r>
            <w:fldChar w:fldCharType="separate"/>
          </w:r>
          <w:r>
            <w:t>6</w:t>
          </w:r>
          <w:r>
            <w:fldChar w:fldCharType="end"/>
          </w:r>
          <w:r>
            <w:fldChar w:fldCharType="end"/>
          </w:r>
        </w:p>
        <w:p>
          <w:pPr>
            <w:pStyle w:val="15"/>
            <w:spacing w:line="360" w:lineRule="auto"/>
            <w:ind w:left="480"/>
            <w:rPr>
              <w14:ligatures w14:val="standardContextual"/>
            </w:rPr>
          </w:pPr>
          <w:r>
            <w:fldChar w:fldCharType="begin"/>
          </w:r>
          <w:r>
            <w:instrText xml:space="preserve"> HYPERLINK \l "_Toc206760189" </w:instrText>
          </w:r>
          <w:r>
            <w:fldChar w:fldCharType="separate"/>
          </w:r>
          <w:r>
            <w:rPr>
              <w:rStyle w:val="20"/>
            </w:rPr>
            <w:t xml:space="preserve">4.2  Evaluation </w:t>
          </w:r>
          <w:r>
            <w:rPr>
              <w:rStyle w:val="20"/>
              <w:rFonts w:hint="eastAsia"/>
            </w:rPr>
            <w:t>c</w:t>
          </w:r>
          <w:r>
            <w:rPr>
              <w:rStyle w:val="20"/>
            </w:rPr>
            <w:t xml:space="preserve">ontent and </w:t>
          </w:r>
          <w:r>
            <w:rPr>
              <w:rStyle w:val="20"/>
              <w:rFonts w:hint="eastAsia"/>
            </w:rPr>
            <w:t>s</w:t>
          </w:r>
          <w:r>
            <w:rPr>
              <w:rStyle w:val="20"/>
            </w:rPr>
            <w:t xml:space="preserve">coring </w:t>
          </w:r>
          <w:r>
            <w:rPr>
              <w:rStyle w:val="20"/>
              <w:rFonts w:hint="eastAsia"/>
            </w:rPr>
            <w:t>c</w:t>
          </w:r>
          <w:r>
            <w:rPr>
              <w:rStyle w:val="20"/>
            </w:rPr>
            <w:t>riteria</w:t>
          </w:r>
          <w:r>
            <w:tab/>
          </w:r>
          <w:r>
            <w:fldChar w:fldCharType="begin"/>
          </w:r>
          <w:r>
            <w:instrText xml:space="preserve"> PAGEREF _Toc206760189 \h </w:instrText>
          </w:r>
          <w:r>
            <w:fldChar w:fldCharType="separate"/>
          </w:r>
          <w:r>
            <w:t>7</w:t>
          </w:r>
          <w:r>
            <w:fldChar w:fldCharType="end"/>
          </w:r>
          <w:r>
            <w:fldChar w:fldCharType="end"/>
          </w:r>
        </w:p>
        <w:p>
          <w:pPr>
            <w:pStyle w:val="13"/>
            <w:rPr>
              <w14:ligatures w14:val="standardContextual"/>
            </w:rPr>
          </w:pPr>
          <w:r>
            <w:fldChar w:fldCharType="begin"/>
          </w:r>
          <w:r>
            <w:instrText xml:space="preserve"> HYPERLINK \l "_Toc206760199" </w:instrText>
          </w:r>
          <w:r>
            <w:fldChar w:fldCharType="separate"/>
          </w:r>
          <w:r>
            <w:rPr>
              <w:rStyle w:val="20"/>
            </w:rPr>
            <w:t xml:space="preserve">5 </w:t>
          </w:r>
          <w:r>
            <w:rPr>
              <w:rStyle w:val="20"/>
              <w:rFonts w:hint="eastAsia"/>
            </w:rPr>
            <w:t xml:space="preserve"> </w:t>
          </w:r>
          <w:r>
            <w:rPr>
              <w:rStyle w:val="20"/>
            </w:rPr>
            <w:t>Post-evaluation supervision and inspection</w:t>
          </w:r>
          <w:r>
            <w:tab/>
          </w:r>
          <w:r>
            <w:fldChar w:fldCharType="begin"/>
          </w:r>
          <w:r>
            <w:instrText xml:space="preserve"> PAGEREF _Toc206760199 \h </w:instrText>
          </w:r>
          <w:r>
            <w:fldChar w:fldCharType="separate"/>
          </w:r>
          <w:r>
            <w:t>106</w:t>
          </w:r>
          <w:r>
            <w:fldChar w:fldCharType="end"/>
          </w:r>
          <w:r>
            <w:fldChar w:fldCharType="end"/>
          </w:r>
        </w:p>
        <w:p>
          <w:pPr>
            <w:pStyle w:val="13"/>
            <w:rPr>
              <w14:ligatures w14:val="standardContextual"/>
            </w:rPr>
          </w:pPr>
          <w:r>
            <w:fldChar w:fldCharType="begin"/>
          </w:r>
          <w:r>
            <w:instrText xml:space="preserve"> HYPERLINK \l "_Toc206760200" </w:instrText>
          </w:r>
          <w:r>
            <w:fldChar w:fldCharType="separate"/>
          </w:r>
          <w:r>
            <w:rPr>
              <w:rStyle w:val="20"/>
            </w:rPr>
            <w:t xml:space="preserve">Appendix 1: Recommended </w:t>
          </w:r>
          <w:r>
            <w:rPr>
              <w:rStyle w:val="20"/>
              <w:rFonts w:hint="eastAsia"/>
            </w:rPr>
            <w:t>t</w:t>
          </w:r>
          <w:r>
            <w:rPr>
              <w:rStyle w:val="20"/>
            </w:rPr>
            <w:t xml:space="preserve">ypes of </w:t>
          </w:r>
          <w:r>
            <w:rPr>
              <w:rStyle w:val="20"/>
              <w:rFonts w:hint="eastAsia"/>
            </w:rPr>
            <w:t>b</w:t>
          </w:r>
          <w:r>
            <w:rPr>
              <w:rStyle w:val="20"/>
            </w:rPr>
            <w:t xml:space="preserve">uildings </w:t>
          </w:r>
          <w:r>
            <w:rPr>
              <w:rStyle w:val="20"/>
              <w:rFonts w:hint="eastAsia"/>
            </w:rPr>
            <w:t>a</w:t>
          </w:r>
          <w:r>
            <w:rPr>
              <w:rStyle w:val="20"/>
            </w:rPr>
            <w:t xml:space="preserve">pplicable to </w:t>
          </w:r>
          <w:r>
            <w:rPr>
              <w:rStyle w:val="20"/>
              <w:rFonts w:hint="eastAsia"/>
            </w:rPr>
            <w:t>d</w:t>
          </w:r>
          <w:r>
            <w:rPr>
              <w:rStyle w:val="20"/>
            </w:rPr>
            <w:t xml:space="preserve">ifferent </w:t>
          </w:r>
          <w:r>
            <w:rPr>
              <w:rStyle w:val="20"/>
              <w:rFonts w:hint="eastAsia"/>
            </w:rPr>
            <w:t>l</w:t>
          </w:r>
          <w:r>
            <w:rPr>
              <w:rStyle w:val="20"/>
            </w:rPr>
            <w:t xml:space="preserve">evels of </w:t>
          </w:r>
          <w:r>
            <w:rPr>
              <w:rStyle w:val="20"/>
              <w:rFonts w:hint="eastAsia"/>
            </w:rPr>
            <w:t>f</w:t>
          </w:r>
          <w:r>
            <w:rPr>
              <w:rStyle w:val="20"/>
            </w:rPr>
            <w:t xml:space="preserve">ire </w:t>
          </w:r>
          <w:r>
            <w:rPr>
              <w:rStyle w:val="20"/>
              <w:rFonts w:hint="eastAsia"/>
            </w:rPr>
            <w:t>p</w:t>
          </w:r>
          <w:r>
            <w:rPr>
              <w:rStyle w:val="20"/>
            </w:rPr>
            <w:t xml:space="preserve">rotection </w:t>
          </w:r>
          <w:r>
            <w:rPr>
              <w:rStyle w:val="20"/>
              <w:rFonts w:hint="eastAsia"/>
            </w:rPr>
            <w:t>p</w:t>
          </w:r>
          <w:r>
            <w:rPr>
              <w:rStyle w:val="20"/>
            </w:rPr>
            <w:t xml:space="preserve">roducts </w:t>
          </w:r>
          <w:r>
            <w:tab/>
          </w:r>
          <w:r>
            <w:fldChar w:fldCharType="begin"/>
          </w:r>
          <w:r>
            <w:instrText xml:space="preserve"> PAGEREF _Toc206760200 \h </w:instrText>
          </w:r>
          <w:r>
            <w:fldChar w:fldCharType="separate"/>
          </w:r>
          <w:r>
            <w:t>107</w:t>
          </w:r>
          <w:r>
            <w:fldChar w:fldCharType="end"/>
          </w:r>
          <w:r>
            <w:fldChar w:fldCharType="end"/>
          </w:r>
        </w:p>
        <w:p>
          <w:pPr>
            <w:pStyle w:val="13"/>
            <w:rPr>
              <w14:ligatures w14:val="standardContextual"/>
            </w:rPr>
          </w:pPr>
          <w:r>
            <w:fldChar w:fldCharType="begin"/>
          </w:r>
          <w:r>
            <w:instrText xml:space="preserve"> HYPERLINK \l "_Toc206760201" </w:instrText>
          </w:r>
          <w:r>
            <w:fldChar w:fldCharType="separate"/>
          </w:r>
          <w:r>
            <w:rPr>
              <w:rStyle w:val="20"/>
            </w:rPr>
            <w:t>Explanation of wording</w:t>
          </w:r>
          <w:r>
            <w:tab/>
          </w:r>
          <w:r>
            <w:fldChar w:fldCharType="begin"/>
          </w:r>
          <w:r>
            <w:instrText xml:space="preserve"> PAGEREF _Toc206760201 \h </w:instrText>
          </w:r>
          <w:r>
            <w:fldChar w:fldCharType="separate"/>
          </w:r>
          <w:r>
            <w:t>111</w:t>
          </w:r>
          <w:r>
            <w:fldChar w:fldCharType="end"/>
          </w:r>
          <w:r>
            <w:fldChar w:fldCharType="end"/>
          </w:r>
        </w:p>
        <w:p>
          <w:pPr>
            <w:pStyle w:val="13"/>
            <w:rPr>
              <w14:ligatures w14:val="standardContextual"/>
            </w:rPr>
          </w:pPr>
          <w:r>
            <w:fldChar w:fldCharType="begin"/>
          </w:r>
          <w:r>
            <w:instrText xml:space="preserve"> HYPERLINK \l "_Toc206760202" </w:instrText>
          </w:r>
          <w:r>
            <w:fldChar w:fldCharType="separate"/>
          </w:r>
          <w:r>
            <w:rPr>
              <w:rStyle w:val="20"/>
            </w:rPr>
            <w:t>List of quoted standards</w:t>
          </w:r>
          <w:r>
            <w:tab/>
          </w:r>
          <w:r>
            <w:fldChar w:fldCharType="begin"/>
          </w:r>
          <w:r>
            <w:instrText xml:space="preserve"> PAGEREF _Toc206760202 \h </w:instrText>
          </w:r>
          <w:r>
            <w:fldChar w:fldCharType="separate"/>
          </w:r>
          <w:r>
            <w:t>112</w:t>
          </w:r>
          <w:r>
            <w:fldChar w:fldCharType="end"/>
          </w:r>
          <w:r>
            <w:fldChar w:fldCharType="end"/>
          </w:r>
        </w:p>
        <w:p>
          <w:pPr>
            <w:pStyle w:val="13"/>
            <w:rPr>
              <w14:ligatures w14:val="standardContextual"/>
            </w:rPr>
          </w:pPr>
          <w:r>
            <w:fldChar w:fldCharType="begin"/>
          </w:r>
          <w:r>
            <w:instrText xml:space="preserve"> HYPERLINK \l "_Toc206760203" </w:instrText>
          </w:r>
          <w:r>
            <w:fldChar w:fldCharType="separate"/>
          </w:r>
          <w:r>
            <w:rPr>
              <w:rStyle w:val="20"/>
              <w:rFonts w:eastAsiaTheme="minorEastAsia"/>
            </w:rPr>
            <w:t>Addition: Explanation of provisions</w:t>
          </w:r>
          <w:r>
            <w:tab/>
          </w:r>
          <w:r>
            <w:t>78</w:t>
          </w:r>
          <w:r>
            <w:fldChar w:fldCharType="end"/>
          </w:r>
        </w:p>
        <w:p>
          <w:pPr>
            <w:rPr>
              <w:rFonts w:cs="Times New Roman"/>
              <w:b/>
              <w:bCs/>
              <w:szCs w:val="24"/>
              <w:lang w:val="zh-CN"/>
            </w:rPr>
          </w:pPr>
          <w:r>
            <w:rPr>
              <w:rFonts w:cs="Times New Roman"/>
              <w:b/>
              <w:bCs/>
              <w:szCs w:val="24"/>
              <w:lang w:val="zh-CN"/>
            </w:rPr>
            <w:fldChar w:fldCharType="end"/>
          </w:r>
        </w:p>
      </w:sdtContent>
    </w:sdt>
    <w:p>
      <w:pPr>
        <w:jc w:val="left"/>
        <w:rPr>
          <w:rFonts w:hint="eastAsia" w:ascii="黑体" w:hAnsi="黑体" w:eastAsia="黑体" w:cs="Times New Roman"/>
          <w:b/>
          <w:szCs w:val="24"/>
        </w:rPr>
        <w:sectPr>
          <w:pgSz w:w="11906" w:h="16838"/>
          <w:pgMar w:top="1440" w:right="1800" w:bottom="1440" w:left="1800" w:header="851" w:footer="992" w:gutter="0"/>
          <w:pgNumType w:start="1"/>
          <w:cols w:space="425" w:num="1"/>
          <w:docGrid w:type="lines" w:linePitch="312" w:charSpace="0"/>
        </w:sectPr>
      </w:pPr>
    </w:p>
    <w:p>
      <w:pPr>
        <w:pStyle w:val="2"/>
        <w:jc w:val="center"/>
        <w:rPr>
          <w:kern w:val="2"/>
          <w:sz w:val="32"/>
          <w:szCs w:val="32"/>
        </w:rPr>
      </w:pPr>
      <w:bookmarkStart w:id="2" w:name="_Toc206760182"/>
      <w:bookmarkStart w:id="3" w:name="_Toc206757992"/>
      <w:r>
        <w:rPr>
          <w:kern w:val="2"/>
          <w:sz w:val="32"/>
          <w:szCs w:val="32"/>
        </w:rPr>
        <w:t xml:space="preserve">1 </w:t>
      </w:r>
      <w:r>
        <w:rPr>
          <w:rFonts w:hint="eastAsia"/>
          <w:kern w:val="2"/>
          <w:sz w:val="32"/>
          <w:szCs w:val="32"/>
        </w:rPr>
        <w:t xml:space="preserve"> </w:t>
      </w:r>
      <w:r>
        <w:rPr>
          <w:kern w:val="2"/>
          <w:sz w:val="32"/>
          <w:szCs w:val="32"/>
        </w:rPr>
        <w:t>总</w:t>
      </w:r>
      <w:r>
        <w:rPr>
          <w:rFonts w:hint="eastAsia"/>
          <w:kern w:val="2"/>
          <w:sz w:val="32"/>
          <w:szCs w:val="32"/>
        </w:rPr>
        <w:t xml:space="preserve">  </w:t>
      </w:r>
      <w:r>
        <w:rPr>
          <w:kern w:val="2"/>
          <w:sz w:val="32"/>
          <w:szCs w:val="32"/>
        </w:rPr>
        <w:t>则</w:t>
      </w:r>
      <w:bookmarkEnd w:id="2"/>
      <w:bookmarkEnd w:id="3"/>
    </w:p>
    <w:p>
      <w:pPr>
        <w:pStyle w:val="23"/>
        <w:numPr>
          <w:ilvl w:val="2"/>
          <w:numId w:val="1"/>
        </w:numPr>
        <w:snapToGrid w:val="0"/>
        <w:spacing w:after="156" w:afterLines="50" w:line="300" w:lineRule="auto"/>
        <w:ind w:firstLineChars="0"/>
        <w:rPr>
          <w:rFonts w:eastAsia="宋体" w:cs="Times New Roman"/>
          <w:szCs w:val="24"/>
        </w:rPr>
      </w:pPr>
      <w:r>
        <w:rPr>
          <w:rFonts w:eastAsia="宋体" w:cs="Times New Roman"/>
          <w:szCs w:val="24"/>
        </w:rPr>
        <w:t>为确保防烟排烟系统在建设工程</w:t>
      </w:r>
      <w:r>
        <w:rPr>
          <w:rFonts w:hint="eastAsia" w:eastAsia="宋体" w:cs="Times New Roman"/>
          <w:szCs w:val="24"/>
        </w:rPr>
        <w:t>质量，</w:t>
      </w:r>
      <w:r>
        <w:rPr>
          <w:rFonts w:eastAsia="宋体" w:cs="Times New Roman"/>
          <w:szCs w:val="24"/>
        </w:rPr>
        <w:t>从组件生产、设计</w:t>
      </w:r>
      <w:r>
        <w:rPr>
          <w:rFonts w:hint="eastAsia" w:eastAsia="宋体" w:cs="Times New Roman"/>
          <w:szCs w:val="24"/>
        </w:rPr>
        <w:t>、</w:t>
      </w:r>
      <w:r>
        <w:rPr>
          <w:rFonts w:eastAsia="宋体" w:cs="Times New Roman"/>
          <w:szCs w:val="24"/>
        </w:rPr>
        <w:t>采购与施工安装</w:t>
      </w:r>
      <w:r>
        <w:rPr>
          <w:rFonts w:hint="eastAsia" w:eastAsia="宋体" w:cs="Times New Roman"/>
          <w:szCs w:val="24"/>
        </w:rPr>
        <w:t>、</w:t>
      </w:r>
      <w:r>
        <w:rPr>
          <w:rFonts w:eastAsia="宋体" w:cs="Times New Roman"/>
          <w:szCs w:val="24"/>
        </w:rPr>
        <w:t>运行前调试验收的可靠性，推动</w:t>
      </w:r>
      <w:r>
        <w:rPr>
          <w:rFonts w:hint="eastAsia" w:eastAsia="宋体" w:cs="Times New Roman"/>
          <w:szCs w:val="24"/>
        </w:rPr>
        <w:t>该</w:t>
      </w:r>
      <w:r>
        <w:rPr>
          <w:rFonts w:eastAsia="宋体" w:cs="Times New Roman"/>
          <w:szCs w:val="24"/>
        </w:rPr>
        <w:t>领域规范发展，制定</w:t>
      </w:r>
      <w:r>
        <w:rPr>
          <w:rFonts w:hint="eastAsia" w:eastAsia="宋体" w:cs="Times New Roman"/>
          <w:szCs w:val="24"/>
        </w:rPr>
        <w:t>本</w:t>
      </w:r>
      <w:r>
        <w:rPr>
          <w:rFonts w:eastAsia="宋体" w:cs="Times New Roman"/>
          <w:szCs w:val="24"/>
        </w:rPr>
        <w:t>标准。</w:t>
      </w:r>
    </w:p>
    <w:p>
      <w:pPr>
        <w:pStyle w:val="23"/>
        <w:numPr>
          <w:ilvl w:val="2"/>
          <w:numId w:val="1"/>
        </w:numPr>
        <w:snapToGrid w:val="0"/>
        <w:spacing w:after="156" w:afterLines="50" w:line="300" w:lineRule="auto"/>
        <w:ind w:firstLineChars="0"/>
        <w:rPr>
          <w:rFonts w:eastAsia="宋体" w:cs="Times New Roman"/>
          <w:szCs w:val="24"/>
        </w:rPr>
      </w:pPr>
      <w:r>
        <w:rPr>
          <w:rFonts w:eastAsia="宋体" w:cs="Times New Roman"/>
          <w:szCs w:val="24"/>
        </w:rPr>
        <w:t>本标准适用于防烟排烟系统产品的可靠性评定，新建、改建和扩建工程</w:t>
      </w:r>
      <w:r>
        <w:rPr>
          <w:rFonts w:hint="eastAsia" w:eastAsia="宋体" w:cs="Times New Roman"/>
          <w:szCs w:val="24"/>
        </w:rPr>
        <w:t>以及</w:t>
      </w:r>
      <w:r>
        <w:rPr>
          <w:rFonts w:eastAsia="宋体" w:cs="Times New Roman"/>
          <w:szCs w:val="24"/>
        </w:rPr>
        <w:t>既有建筑工程改造</w:t>
      </w:r>
      <w:r>
        <w:rPr>
          <w:rFonts w:hint="eastAsia" w:eastAsia="宋体" w:cs="Times New Roman"/>
          <w:szCs w:val="24"/>
        </w:rPr>
        <w:t>项目的</w:t>
      </w:r>
      <w:r>
        <w:rPr>
          <w:rFonts w:eastAsia="宋体" w:cs="Times New Roman"/>
          <w:szCs w:val="24"/>
        </w:rPr>
        <w:t>防烟排烟系统设计、施工与</w:t>
      </w:r>
      <w:r>
        <w:rPr>
          <w:rFonts w:hint="eastAsia" w:eastAsia="宋体" w:cs="Times New Roman"/>
          <w:szCs w:val="24"/>
        </w:rPr>
        <w:t>验收各阶段的可靠性评定</w:t>
      </w:r>
      <w:r>
        <w:rPr>
          <w:rFonts w:eastAsia="宋体" w:cs="Times New Roman"/>
          <w:szCs w:val="24"/>
        </w:rPr>
        <w:t>。</w:t>
      </w:r>
    </w:p>
    <w:p>
      <w:pPr>
        <w:snapToGrid w:val="0"/>
        <w:spacing w:after="156" w:afterLines="50" w:line="300" w:lineRule="auto"/>
        <w:ind w:left="708" w:hanging="708" w:hangingChars="294"/>
        <w:rPr>
          <w:rFonts w:eastAsia="宋体" w:cs="Times New Roman"/>
          <w:szCs w:val="24"/>
        </w:rPr>
      </w:pPr>
      <w:r>
        <w:rPr>
          <w:rFonts w:eastAsia="宋体" w:cs="Times New Roman"/>
          <w:b/>
          <w:szCs w:val="24"/>
        </w:rPr>
        <w:t>1.0.3</w:t>
      </w:r>
      <w:r>
        <w:rPr>
          <w:rFonts w:eastAsia="宋体" w:cs="Times New Roman"/>
          <w:szCs w:val="24"/>
        </w:rPr>
        <w:t xml:space="preserve">  防烟排烟系统的可靠性评定</w:t>
      </w:r>
      <w:r>
        <w:rPr>
          <w:rFonts w:hint="eastAsia" w:eastAsia="宋体" w:cs="Times New Roman"/>
          <w:szCs w:val="24"/>
        </w:rPr>
        <w:t>，</w:t>
      </w:r>
      <w:r>
        <w:rPr>
          <w:rFonts w:eastAsia="宋体" w:cs="Times New Roman"/>
          <w:szCs w:val="24"/>
        </w:rPr>
        <w:t>除应</w:t>
      </w:r>
      <w:r>
        <w:rPr>
          <w:rFonts w:hint="eastAsia" w:eastAsia="宋体" w:cs="Times New Roman"/>
          <w:szCs w:val="24"/>
        </w:rPr>
        <w:t>遵守</w:t>
      </w:r>
      <w:r>
        <w:rPr>
          <w:rFonts w:eastAsia="宋体" w:cs="Times New Roman"/>
          <w:szCs w:val="24"/>
        </w:rPr>
        <w:t>本标准外，尚应符合国家现行有关标准规范的</w:t>
      </w:r>
      <w:r>
        <w:rPr>
          <w:rFonts w:hint="eastAsia" w:eastAsia="宋体" w:cs="Times New Roman"/>
          <w:szCs w:val="24"/>
        </w:rPr>
        <w:t>相关</w:t>
      </w:r>
      <w:r>
        <w:rPr>
          <w:rFonts w:eastAsia="宋体" w:cs="Times New Roman"/>
          <w:szCs w:val="24"/>
        </w:rPr>
        <w:t>规定</w:t>
      </w:r>
      <w:r>
        <w:rPr>
          <w:rFonts w:hint="eastAsia" w:eastAsia="宋体" w:cs="Times New Roman"/>
          <w:szCs w:val="24"/>
        </w:rPr>
        <w:t>和现行中国工程建设标准化协会有关标准的规定</w:t>
      </w:r>
      <w:r>
        <w:rPr>
          <w:rFonts w:eastAsia="宋体" w:cs="Times New Roman"/>
          <w:szCs w:val="24"/>
        </w:rPr>
        <w:t>。</w:t>
      </w:r>
    </w:p>
    <w:p>
      <w:pPr>
        <w:widowControl/>
        <w:jc w:val="left"/>
        <w:rPr>
          <w:rFonts w:eastAsia="宋体" w:cs="Times New Roman"/>
          <w:szCs w:val="24"/>
        </w:rPr>
      </w:pPr>
      <w:r>
        <w:rPr>
          <w:rFonts w:eastAsia="宋体" w:cs="Times New Roman"/>
          <w:szCs w:val="24"/>
        </w:rPr>
        <w:br w:type="page"/>
      </w:r>
    </w:p>
    <w:p>
      <w:pPr>
        <w:pStyle w:val="2"/>
        <w:jc w:val="center"/>
        <w:rPr>
          <w:kern w:val="2"/>
          <w:sz w:val="32"/>
          <w:szCs w:val="32"/>
        </w:rPr>
      </w:pPr>
      <w:bookmarkStart w:id="4" w:name="_Toc206760183"/>
      <w:bookmarkStart w:id="5" w:name="_Toc206757993"/>
      <w:r>
        <w:rPr>
          <w:kern w:val="2"/>
          <w:sz w:val="32"/>
          <w:szCs w:val="32"/>
        </w:rPr>
        <w:t xml:space="preserve">2 </w:t>
      </w:r>
      <w:r>
        <w:rPr>
          <w:rFonts w:hint="eastAsia"/>
          <w:kern w:val="2"/>
          <w:sz w:val="32"/>
          <w:szCs w:val="32"/>
        </w:rPr>
        <w:t xml:space="preserve"> </w:t>
      </w:r>
      <w:r>
        <w:rPr>
          <w:kern w:val="2"/>
          <w:sz w:val="32"/>
          <w:szCs w:val="32"/>
        </w:rPr>
        <w:t>术</w:t>
      </w:r>
      <w:r>
        <w:rPr>
          <w:rFonts w:hint="eastAsia"/>
          <w:kern w:val="2"/>
          <w:sz w:val="32"/>
          <w:szCs w:val="32"/>
        </w:rPr>
        <w:t xml:space="preserve"> </w:t>
      </w:r>
      <w:r>
        <w:rPr>
          <w:kern w:val="2"/>
          <w:sz w:val="32"/>
          <w:szCs w:val="32"/>
        </w:rPr>
        <w:t>语</w:t>
      </w:r>
      <w:bookmarkEnd w:id="4"/>
      <w:bookmarkEnd w:id="5"/>
    </w:p>
    <w:p>
      <w:pPr>
        <w:pStyle w:val="22"/>
        <w:snapToGrid w:val="0"/>
        <w:spacing w:after="156" w:afterLines="50" w:line="300" w:lineRule="auto"/>
        <w:rPr>
          <w:rFonts w:ascii="Times New Roman" w:hAnsi="Times New Roman" w:cs="Times New Roman"/>
          <w:color w:val="auto"/>
          <w:sz w:val="21"/>
          <w:szCs w:val="21"/>
        </w:rPr>
      </w:pPr>
      <w:r>
        <w:rPr>
          <w:rFonts w:ascii="Times New Roman" w:hAnsi="Times New Roman" w:cs="Times New Roman"/>
          <w:b/>
          <w:color w:val="auto"/>
          <w:kern w:val="2"/>
        </w:rPr>
        <w:t>2.0.</w:t>
      </w:r>
      <w:r>
        <w:rPr>
          <w:rFonts w:hint="eastAsia" w:ascii="Times New Roman" w:hAnsi="Times New Roman" w:cs="Times New Roman"/>
          <w:b/>
          <w:color w:val="auto"/>
          <w:kern w:val="2"/>
        </w:rPr>
        <w:t>1</w:t>
      </w:r>
      <w:r>
        <w:rPr>
          <w:rFonts w:ascii="Times New Roman" w:hAnsi="Times New Roman" w:cs="Times New Roman"/>
          <w:bCs/>
          <w:color w:val="auto"/>
        </w:rPr>
        <w:t xml:space="preserve"> </w:t>
      </w:r>
      <w:r>
        <w:rPr>
          <w:rFonts w:cs="Times New Roman" w:asciiTheme="minorEastAsia" w:hAnsiTheme="minorEastAsia" w:eastAsiaTheme="minorEastAsia"/>
          <w:bCs/>
          <w:color w:val="auto"/>
        </w:rPr>
        <w:t>防烟排烟风机</w:t>
      </w:r>
      <w:r>
        <w:rPr>
          <w:rFonts w:ascii="Times New Roman" w:hAnsi="Times New Roman" w:cs="Times New Roman"/>
          <w:bCs/>
          <w:color w:val="auto"/>
        </w:rPr>
        <w:t xml:space="preserve"> Positive pressure blower </w:t>
      </w:r>
      <w:r>
        <w:rPr>
          <w:rFonts w:hint="eastAsia" w:ascii="Times New Roman" w:hAnsi="Times New Roman" w:cs="Times New Roman"/>
          <w:bCs/>
          <w:color w:val="auto"/>
        </w:rPr>
        <w:t xml:space="preserve">and </w:t>
      </w:r>
      <w:r>
        <w:rPr>
          <w:rFonts w:ascii="Times New Roman" w:hAnsi="Times New Roman" w:cs="Times New Roman"/>
          <w:bCs/>
          <w:color w:val="auto"/>
        </w:rPr>
        <w:t>Smoke exhaust fan</w:t>
      </w:r>
    </w:p>
    <w:p>
      <w:pPr>
        <w:pStyle w:val="22"/>
        <w:snapToGrid w:val="0"/>
        <w:spacing w:after="156" w:afterLines="50" w:line="300" w:lineRule="auto"/>
        <w:ind w:firstLine="480" w:firstLineChars="200"/>
        <w:rPr>
          <w:rFonts w:ascii="Times New Roman" w:hAnsi="Times New Roman" w:cs="Times New Roman"/>
          <w:color w:val="auto"/>
        </w:rPr>
      </w:pPr>
      <w:r>
        <w:rPr>
          <w:rFonts w:hint="eastAsia" w:ascii="Times New Roman" w:hAnsi="Times New Roman" w:cs="Times New Roman"/>
          <w:color w:val="auto"/>
        </w:rPr>
        <w:t>建筑消防系统的关键通风设备，主要用于控制火灾时烟气的弥漫与扩散，确保人员安全疏散和消防救援的顺利进行。其主要作用包括防烟与排烟，维持疏散通道与关键区域的能见度，降低火场温度并及时排除火灾时产生的有害气体。</w:t>
      </w:r>
    </w:p>
    <w:p>
      <w:pPr>
        <w:pStyle w:val="22"/>
        <w:snapToGrid w:val="0"/>
        <w:spacing w:after="156" w:afterLines="50" w:line="300" w:lineRule="auto"/>
        <w:rPr>
          <w:rFonts w:ascii="Times New Roman" w:hAnsi="Times New Roman" w:cs="Times New Roman"/>
          <w:color w:val="auto"/>
          <w:sz w:val="21"/>
          <w:szCs w:val="21"/>
        </w:rPr>
      </w:pPr>
      <w:r>
        <w:rPr>
          <w:rFonts w:ascii="Times New Roman" w:hAnsi="Times New Roman" w:cs="Times New Roman"/>
          <w:b/>
          <w:color w:val="auto"/>
          <w:kern w:val="2"/>
        </w:rPr>
        <w:t>2.0.</w:t>
      </w:r>
      <w:r>
        <w:rPr>
          <w:rFonts w:hint="eastAsia" w:ascii="Times New Roman" w:hAnsi="Times New Roman" w:cs="Times New Roman"/>
          <w:b/>
          <w:color w:val="auto"/>
          <w:kern w:val="2"/>
        </w:rPr>
        <w:t>2</w:t>
      </w:r>
      <w:r>
        <w:rPr>
          <w:rFonts w:ascii="Times New Roman" w:hAnsi="Times New Roman" w:cs="Times New Roman"/>
          <w:b/>
          <w:color w:val="auto"/>
          <w:sz w:val="21"/>
          <w:szCs w:val="21"/>
        </w:rPr>
        <w:t xml:space="preserve"> </w:t>
      </w:r>
      <w:r>
        <w:rPr>
          <w:rFonts w:cs="Times New Roman" w:asciiTheme="minorEastAsia" w:hAnsiTheme="minorEastAsia" w:eastAsiaTheme="minorEastAsia"/>
          <w:bCs/>
          <w:color w:val="auto"/>
        </w:rPr>
        <w:t>防烟排烟自动监控系统</w:t>
      </w:r>
      <w:r>
        <w:rPr>
          <w:rFonts w:hint="eastAsia" w:ascii="Times New Roman" w:hAnsi="Times New Roman" w:cs="Times New Roman"/>
          <w:b/>
          <w:color w:val="auto"/>
          <w:sz w:val="21"/>
          <w:szCs w:val="21"/>
        </w:rPr>
        <w:t xml:space="preserve"> </w:t>
      </w:r>
      <w:r>
        <w:rPr>
          <w:rFonts w:ascii="Times New Roman" w:hAnsi="Times New Roman" w:cs="Times New Roman"/>
          <w:bCs/>
          <w:color w:val="auto"/>
        </w:rPr>
        <w:t>Smoke control and exhaust automatic monitoring system</w:t>
      </w:r>
    </w:p>
    <w:p>
      <w:pPr>
        <w:pStyle w:val="22"/>
        <w:snapToGrid w:val="0"/>
        <w:spacing w:after="156" w:afterLines="50" w:line="300" w:lineRule="auto"/>
        <w:ind w:firstLine="480" w:firstLineChars="200"/>
        <w:rPr>
          <w:rFonts w:ascii="Times New Roman" w:hAnsi="Times New Roman" w:cs="Times New Roman"/>
          <w:color w:val="auto"/>
        </w:rPr>
      </w:pPr>
      <w:r>
        <w:rPr>
          <w:rFonts w:hint="eastAsia" w:ascii="Times New Roman" w:hAnsi="Times New Roman" w:cs="Times New Roman"/>
          <w:color w:val="auto"/>
        </w:rPr>
        <w:t>用于监测和控制建筑物内防烟排烟设施的自动化系统，其主要由探测器、控制器、执行机构、监控中心组成，在火灾发生前后，对整个系统进行集中的探测与监控，实现远程操作、数据记录和报表生成等功能。</w:t>
      </w:r>
    </w:p>
    <w:p>
      <w:pPr>
        <w:pStyle w:val="22"/>
        <w:snapToGrid w:val="0"/>
        <w:spacing w:after="156" w:afterLines="50" w:line="300" w:lineRule="auto"/>
        <w:rPr>
          <w:rFonts w:ascii="Times New Roman" w:hAnsi="Times New Roman" w:cs="Times New Roman"/>
          <w:b/>
          <w:color w:val="auto"/>
          <w:sz w:val="21"/>
          <w:szCs w:val="21"/>
        </w:rPr>
      </w:pPr>
      <w:bookmarkStart w:id="6" w:name="OLE_LINK1"/>
      <w:r>
        <w:rPr>
          <w:rFonts w:ascii="Times New Roman" w:hAnsi="Times New Roman" w:cs="Times New Roman"/>
          <w:b/>
          <w:color w:val="auto"/>
          <w:kern w:val="2"/>
        </w:rPr>
        <w:t>2.0.</w:t>
      </w:r>
      <w:r>
        <w:rPr>
          <w:rFonts w:hint="eastAsia" w:ascii="Times New Roman" w:hAnsi="Times New Roman" w:cs="Times New Roman"/>
          <w:b/>
          <w:color w:val="auto"/>
          <w:kern w:val="2"/>
        </w:rPr>
        <w:t>3</w:t>
      </w:r>
      <w:r>
        <w:rPr>
          <w:rFonts w:cs="Times New Roman" w:asciiTheme="minorEastAsia" w:hAnsiTheme="minorEastAsia" w:eastAsiaTheme="minorEastAsia"/>
          <w:bCs/>
          <w:color w:val="auto"/>
        </w:rPr>
        <w:t xml:space="preserve"> </w:t>
      </w:r>
      <w:r>
        <w:rPr>
          <w:rFonts w:hint="eastAsia" w:cs="Times New Roman" w:asciiTheme="minorEastAsia" w:hAnsiTheme="minorEastAsia" w:eastAsiaTheme="minorEastAsia"/>
          <w:bCs/>
          <w:color w:val="auto"/>
        </w:rPr>
        <w:t xml:space="preserve">飞行检查 </w:t>
      </w:r>
      <w:r>
        <w:rPr>
          <w:rFonts w:hint="eastAsia" w:ascii="Times New Roman" w:hAnsi="Times New Roman" w:cs="Times New Roman"/>
          <w:bCs/>
          <w:color w:val="auto"/>
        </w:rPr>
        <w:t>Unannounced inspection</w:t>
      </w:r>
    </w:p>
    <w:bookmarkEnd w:id="6"/>
    <w:p>
      <w:pPr>
        <w:pStyle w:val="22"/>
        <w:snapToGrid w:val="0"/>
        <w:spacing w:after="156" w:afterLines="50" w:line="300" w:lineRule="auto"/>
        <w:ind w:firstLine="480" w:firstLineChars="200"/>
        <w:rPr>
          <w:rFonts w:ascii="Times New Roman" w:hAnsi="Times New Roman" w:cs="Times New Roman"/>
          <w:color w:val="auto"/>
        </w:rPr>
      </w:pPr>
      <w:r>
        <w:rPr>
          <w:rFonts w:hint="eastAsia" w:ascii="Times New Roman" w:hAnsi="Times New Roman" w:cs="Times New Roman"/>
          <w:color w:val="auto"/>
        </w:rPr>
        <w:t>企业产品的飞行检查（简称“飞检”）是指监管部门或认证机构在不提前通知企业的情况下，突然到访企业生产现场或经营场所，对其产品、生产流程、质量管理体系等进行突击检查的一种监管手段。这种检查方式具有随机性、突击性和真实性的特点，目的是确保企业日常运营符合法规和标准，而非“应对检查”的临时状态。</w:t>
      </w:r>
    </w:p>
    <w:p>
      <w:pPr>
        <w:pStyle w:val="22"/>
        <w:snapToGrid w:val="0"/>
        <w:spacing w:after="156" w:afterLines="50" w:line="300" w:lineRule="auto"/>
        <w:rPr>
          <w:rFonts w:ascii="Times New Roman" w:hAnsi="Times New Roman" w:cs="Times New Roman"/>
          <w:b/>
          <w:color w:val="auto"/>
          <w:sz w:val="21"/>
          <w:szCs w:val="21"/>
        </w:rPr>
      </w:pPr>
      <w:r>
        <w:rPr>
          <w:rFonts w:ascii="Times New Roman" w:hAnsi="Times New Roman" w:cs="Times New Roman"/>
          <w:b/>
          <w:color w:val="auto"/>
          <w:kern w:val="2"/>
        </w:rPr>
        <w:t>2.0.</w:t>
      </w:r>
      <w:r>
        <w:rPr>
          <w:rFonts w:hint="eastAsia" w:ascii="Times New Roman" w:hAnsi="Times New Roman" w:cs="Times New Roman"/>
          <w:b/>
          <w:color w:val="auto"/>
          <w:kern w:val="2"/>
        </w:rPr>
        <w:t>4</w:t>
      </w:r>
      <w:r>
        <w:rPr>
          <w:rFonts w:ascii="Times New Roman" w:hAnsi="Times New Roman" w:cs="Times New Roman"/>
          <w:bCs/>
          <w:color w:val="auto"/>
        </w:rPr>
        <w:t xml:space="preserve"> </w:t>
      </w:r>
      <w:r>
        <w:rPr>
          <w:rFonts w:hint="eastAsia" w:cs="Times New Roman" w:asciiTheme="minorEastAsia" w:hAnsiTheme="minorEastAsia" w:eastAsiaTheme="minorEastAsia"/>
          <w:bCs/>
          <w:color w:val="auto"/>
        </w:rPr>
        <w:t xml:space="preserve">见证检验 </w:t>
      </w:r>
      <w:r>
        <w:rPr>
          <w:rFonts w:hint="eastAsia" w:ascii="Times New Roman" w:hAnsi="Times New Roman" w:cs="Times New Roman"/>
          <w:bCs/>
          <w:color w:val="auto"/>
        </w:rPr>
        <w:t>Witness inspection</w:t>
      </w:r>
    </w:p>
    <w:p>
      <w:pPr>
        <w:pStyle w:val="22"/>
        <w:snapToGrid w:val="0"/>
        <w:spacing w:after="156" w:afterLines="50" w:line="300" w:lineRule="auto"/>
        <w:ind w:firstLine="480" w:firstLineChars="200"/>
        <w:rPr>
          <w:rFonts w:ascii="Times New Roman" w:hAnsi="Times New Roman" w:cs="Times New Roman"/>
          <w:color w:val="auto"/>
        </w:rPr>
      </w:pPr>
      <w:r>
        <w:rPr>
          <w:rFonts w:hint="eastAsia" w:ascii="Times New Roman" w:hAnsi="Times New Roman" w:cs="Times New Roman"/>
          <w:color w:val="auto"/>
        </w:rPr>
        <w:t>见证检验是指由客户、第三方机构或监管方在产品生产、测试或验收的关键环节进行现场监督和验证，确保产品符合合同、标准或法规要求的一种质量控制方式。其核心在于“见证”过程，即通过直接观察、记录或确认关键步骤，保障结果的真实性和可靠性。</w:t>
      </w:r>
    </w:p>
    <w:p>
      <w:pPr>
        <w:pStyle w:val="22"/>
        <w:snapToGrid w:val="0"/>
        <w:spacing w:after="156" w:afterLines="50" w:line="300" w:lineRule="auto"/>
        <w:rPr>
          <w:rFonts w:ascii="Times New Roman" w:hAnsi="Times New Roman" w:cs="Times New Roman"/>
          <w:b/>
          <w:color w:val="auto"/>
          <w:sz w:val="21"/>
          <w:szCs w:val="21"/>
        </w:rPr>
      </w:pPr>
      <w:r>
        <w:rPr>
          <w:rFonts w:ascii="Times New Roman" w:hAnsi="Times New Roman" w:cs="Times New Roman"/>
          <w:b/>
          <w:color w:val="auto"/>
          <w:kern w:val="2"/>
        </w:rPr>
        <w:t>2.0.</w:t>
      </w:r>
      <w:r>
        <w:rPr>
          <w:rFonts w:hint="eastAsia" w:ascii="Times New Roman" w:hAnsi="Times New Roman" w:cs="Times New Roman"/>
          <w:b/>
          <w:color w:val="auto"/>
          <w:kern w:val="2"/>
        </w:rPr>
        <w:t>5</w:t>
      </w:r>
      <w:r>
        <w:rPr>
          <w:rFonts w:hint="eastAsia" w:ascii="Times New Roman" w:hAnsi="Times New Roman" w:cs="Times New Roman"/>
          <w:bCs/>
          <w:color w:val="auto"/>
        </w:rPr>
        <w:t xml:space="preserve"> 防烟排烟系统</w:t>
      </w:r>
      <w:r>
        <w:rPr>
          <w:rFonts w:hint="eastAsia" w:cs="Times New Roman" w:asciiTheme="minorEastAsia" w:hAnsiTheme="minorEastAsia" w:eastAsiaTheme="minorEastAsia"/>
          <w:bCs/>
          <w:color w:val="auto"/>
        </w:rPr>
        <w:t xml:space="preserve">可靠性  </w:t>
      </w:r>
      <w:r>
        <w:rPr>
          <w:rFonts w:hint="eastAsia" w:ascii="Times New Roman" w:hAnsi="Times New Roman" w:cs="Times New Roman" w:eastAsiaTheme="minorEastAsia"/>
          <w:bCs/>
          <w:color w:val="auto"/>
        </w:rPr>
        <w:t xml:space="preserve">The </w:t>
      </w:r>
      <w:r>
        <w:rPr>
          <w:rFonts w:ascii="Times New Roman" w:hAnsi="Times New Roman" w:cs="Times New Roman"/>
          <w:bCs/>
          <w:color w:val="auto"/>
        </w:rPr>
        <w:t xml:space="preserve">reliability of </w:t>
      </w:r>
      <w:r>
        <w:rPr>
          <w:rFonts w:hint="eastAsia" w:ascii="Times New Roman" w:hAnsi="Times New Roman" w:cs="Times New Roman"/>
        </w:rPr>
        <w:t>smoke control and exhaust system</w:t>
      </w:r>
    </w:p>
    <w:p>
      <w:pPr>
        <w:pStyle w:val="22"/>
        <w:snapToGrid w:val="0"/>
        <w:spacing w:after="156" w:afterLines="50" w:line="300" w:lineRule="auto"/>
        <w:ind w:firstLine="480" w:firstLineChars="200"/>
        <w:rPr>
          <w:rFonts w:ascii="Times New Roman" w:hAnsi="Times New Roman" w:cs="Times New Roman"/>
          <w:color w:val="auto"/>
        </w:rPr>
      </w:pPr>
      <w:r>
        <w:rPr>
          <w:rFonts w:hint="eastAsia" w:ascii="Times New Roman" w:hAnsi="Times New Roman" w:cs="Times New Roman"/>
          <w:color w:val="auto"/>
        </w:rPr>
        <w:t>在规定的条件下，防烟排烟系统完成和保持规定功能的能力。</w:t>
      </w:r>
    </w:p>
    <w:p>
      <w:pPr>
        <w:widowControl/>
        <w:jc w:val="left"/>
        <w:rPr>
          <w:rFonts w:cs="Times New Roman"/>
          <w:i/>
          <w:szCs w:val="21"/>
        </w:rPr>
      </w:pPr>
      <w:r>
        <w:rPr>
          <w:rFonts w:cs="Times New Roman"/>
          <w:i/>
          <w:szCs w:val="21"/>
        </w:rPr>
        <w:br w:type="page"/>
      </w:r>
    </w:p>
    <w:p>
      <w:pPr>
        <w:pStyle w:val="2"/>
        <w:jc w:val="center"/>
        <w:rPr>
          <w:kern w:val="2"/>
          <w:sz w:val="32"/>
          <w:szCs w:val="32"/>
        </w:rPr>
      </w:pPr>
      <w:bookmarkStart w:id="7" w:name="_Toc533783431"/>
      <w:bookmarkStart w:id="8" w:name="_Toc533506224"/>
      <w:bookmarkStart w:id="9" w:name="_Toc349912314"/>
      <w:bookmarkStart w:id="10" w:name="_Toc378354191"/>
      <w:bookmarkStart w:id="11" w:name="_Toc206760184"/>
      <w:bookmarkStart w:id="12" w:name="_Toc44926320"/>
      <w:bookmarkStart w:id="13" w:name="_Toc533441652"/>
      <w:bookmarkStart w:id="14" w:name="_Toc520364031"/>
      <w:bookmarkStart w:id="15" w:name="_Toc206757994"/>
      <w:bookmarkStart w:id="16" w:name="_Toc54613510"/>
      <w:bookmarkStart w:id="17" w:name="_Toc44926321"/>
      <w:bookmarkStart w:id="18" w:name="_Toc324770969"/>
      <w:bookmarkStart w:id="19" w:name="_Toc533441653"/>
      <w:bookmarkStart w:id="20" w:name="_Toc533506225"/>
      <w:bookmarkStart w:id="21" w:name="_Toc533783432"/>
      <w:bookmarkStart w:id="22" w:name="_Toc349912315"/>
      <w:bookmarkStart w:id="23" w:name="_Toc378354192"/>
      <w:bookmarkStart w:id="24" w:name="_Toc54613511"/>
      <w:bookmarkStart w:id="25" w:name="_Toc520364032"/>
      <w:r>
        <w:rPr>
          <w:kern w:val="2"/>
          <w:sz w:val="32"/>
          <w:szCs w:val="32"/>
        </w:rPr>
        <w:t>3　基本规定</w:t>
      </w:r>
      <w:bookmarkEnd w:id="7"/>
      <w:bookmarkEnd w:id="8"/>
      <w:bookmarkEnd w:id="9"/>
      <w:bookmarkEnd w:id="10"/>
      <w:bookmarkEnd w:id="11"/>
      <w:bookmarkEnd w:id="12"/>
      <w:bookmarkEnd w:id="13"/>
      <w:bookmarkEnd w:id="14"/>
      <w:bookmarkEnd w:id="15"/>
      <w:bookmarkEnd w:id="16"/>
    </w:p>
    <w:p>
      <w:pPr>
        <w:pStyle w:val="3"/>
        <w:spacing w:line="415" w:lineRule="auto"/>
        <w:rPr>
          <w:rFonts w:cs="Times New Roman"/>
          <w:bCs w:val="0"/>
          <w:kern w:val="0"/>
          <w:sz w:val="24"/>
          <w:szCs w:val="24"/>
        </w:rPr>
      </w:pPr>
      <w:bookmarkStart w:id="26" w:name="_Toc206760185"/>
      <w:bookmarkStart w:id="27" w:name="_Toc206757995"/>
      <w:r>
        <w:rPr>
          <w:rFonts w:cs="Times New Roman"/>
          <w:bCs w:val="0"/>
          <w:kern w:val="0"/>
          <w:sz w:val="24"/>
          <w:szCs w:val="24"/>
        </w:rPr>
        <w:t>3.1　一般规定</w:t>
      </w:r>
      <w:bookmarkEnd w:id="17"/>
      <w:bookmarkEnd w:id="18"/>
      <w:bookmarkEnd w:id="19"/>
      <w:bookmarkEnd w:id="20"/>
      <w:bookmarkEnd w:id="21"/>
      <w:bookmarkEnd w:id="22"/>
      <w:bookmarkEnd w:id="23"/>
      <w:bookmarkEnd w:id="24"/>
      <w:bookmarkEnd w:id="25"/>
      <w:bookmarkEnd w:id="26"/>
      <w:bookmarkEnd w:id="27"/>
    </w:p>
    <w:p>
      <w:pPr>
        <w:pStyle w:val="22"/>
        <w:snapToGrid w:val="0"/>
        <w:spacing w:after="156" w:afterLines="50" w:line="360" w:lineRule="auto"/>
        <w:rPr>
          <w:rFonts w:ascii="Times New Roman" w:hAnsi="Times New Roman" w:cs="Times New Roman"/>
          <w:color w:val="auto"/>
        </w:rPr>
      </w:pPr>
      <w:r>
        <w:rPr>
          <w:rFonts w:ascii="Times New Roman" w:hAnsi="Times New Roman" w:cs="Times New Roman"/>
          <w:b/>
          <w:bCs/>
          <w:color w:val="auto"/>
        </w:rPr>
        <w:t>3.1.1</w:t>
      </w:r>
      <w:r>
        <w:rPr>
          <w:rFonts w:ascii="Times New Roman" w:hAnsi="Times New Roman" w:cs="Times New Roman"/>
          <w:color w:val="auto"/>
        </w:rPr>
        <w:t xml:space="preserve"> 防烟排烟系统的可靠性</w:t>
      </w:r>
      <w:r>
        <w:rPr>
          <w:rFonts w:hint="eastAsia" w:ascii="Times New Roman" w:hAnsi="Times New Roman" w:cs="Times New Roman"/>
          <w:color w:val="auto"/>
        </w:rPr>
        <w:t>评定</w:t>
      </w:r>
      <w:r>
        <w:rPr>
          <w:rFonts w:ascii="Times New Roman" w:hAnsi="Times New Roman" w:cs="Times New Roman"/>
          <w:color w:val="auto"/>
        </w:rPr>
        <w:t>，包括对系统各相关组件关键指标的综合</w:t>
      </w:r>
      <w:r>
        <w:rPr>
          <w:rFonts w:hint="eastAsia" w:ascii="Times New Roman" w:hAnsi="Times New Roman" w:cs="Times New Roman"/>
          <w:color w:val="auto"/>
        </w:rPr>
        <w:t>评分</w:t>
      </w:r>
      <w:r>
        <w:rPr>
          <w:rFonts w:ascii="Times New Roman" w:hAnsi="Times New Roman" w:cs="Times New Roman"/>
          <w:color w:val="auto"/>
        </w:rPr>
        <w:t>，系统有关设计图纸及对应的施工安装质量各组成内容的综合</w:t>
      </w:r>
      <w:r>
        <w:rPr>
          <w:rFonts w:hint="eastAsia" w:ascii="Times New Roman" w:hAnsi="Times New Roman" w:cs="Times New Roman"/>
          <w:color w:val="auto"/>
        </w:rPr>
        <w:t>评分</w:t>
      </w:r>
      <w:r>
        <w:rPr>
          <w:rFonts w:ascii="Times New Roman" w:hAnsi="Times New Roman" w:cs="Times New Roman"/>
          <w:color w:val="auto"/>
        </w:rPr>
        <w:t>。</w:t>
      </w:r>
    </w:p>
    <w:p>
      <w:pPr>
        <w:rPr>
          <w:rFonts w:eastAsia="宋体" w:cs="Times New Roman"/>
          <w:szCs w:val="24"/>
        </w:rPr>
      </w:pPr>
      <w:r>
        <w:rPr>
          <w:rFonts w:eastAsia="宋体" w:cs="Times New Roman"/>
          <w:b/>
          <w:bCs/>
          <w:kern w:val="0"/>
          <w:szCs w:val="24"/>
        </w:rPr>
        <w:t>3.1.2</w:t>
      </w:r>
      <w:r>
        <w:t>，建设项目</w:t>
      </w:r>
      <w:r>
        <w:rPr>
          <w:rFonts w:hint="eastAsia"/>
        </w:rPr>
        <w:t>应</w:t>
      </w:r>
      <w:r>
        <w:t>在不同建设阶段进行防烟排烟系统的可靠性</w:t>
      </w:r>
      <w:r>
        <w:rPr>
          <w:rFonts w:hint="eastAsia"/>
        </w:rPr>
        <w:t>评定；防烟排烟</w:t>
      </w:r>
      <w:r>
        <w:rPr>
          <w:rFonts w:eastAsia="宋体" w:cs="Times New Roman"/>
          <w:szCs w:val="24"/>
        </w:rPr>
        <w:t>系统的某一类产品</w:t>
      </w:r>
      <w:r>
        <w:rPr>
          <w:rFonts w:hint="eastAsia" w:eastAsia="宋体" w:cs="Times New Roman"/>
          <w:szCs w:val="24"/>
        </w:rPr>
        <w:t>应</w:t>
      </w:r>
      <w:r>
        <w:rPr>
          <w:rFonts w:eastAsia="宋体" w:cs="Times New Roman"/>
          <w:szCs w:val="24"/>
        </w:rPr>
        <w:t>不定期进行</w:t>
      </w:r>
      <w:r>
        <w:rPr>
          <w:rFonts w:hint="eastAsia" w:cs="Times New Roman"/>
          <w:szCs w:val="24"/>
        </w:rPr>
        <w:t>可靠性评定。</w:t>
      </w:r>
    </w:p>
    <w:p>
      <w:pPr>
        <w:rPr>
          <w:rFonts w:eastAsia="宋体" w:cs="Times New Roman"/>
          <w:szCs w:val="24"/>
        </w:rPr>
      </w:pPr>
      <w:r>
        <w:rPr>
          <w:rFonts w:eastAsia="宋体" w:cs="Times New Roman"/>
          <w:b/>
          <w:bCs/>
          <w:kern w:val="0"/>
          <w:szCs w:val="24"/>
        </w:rPr>
        <w:t>3.1.3</w:t>
      </w:r>
      <w:r>
        <w:rPr>
          <w:rFonts w:hint="eastAsia" w:eastAsia="宋体" w:cs="Times New Roman"/>
          <w:szCs w:val="24"/>
        </w:rPr>
        <w:t>评定</w:t>
      </w:r>
      <w:r>
        <w:rPr>
          <w:rFonts w:eastAsia="宋体" w:cs="Times New Roman"/>
          <w:szCs w:val="24"/>
        </w:rPr>
        <w:t>防烟排烟系统可靠性</w:t>
      </w:r>
      <w:r>
        <w:rPr>
          <w:rFonts w:hint="eastAsia" w:eastAsia="宋体" w:cs="Times New Roman"/>
          <w:szCs w:val="24"/>
        </w:rPr>
        <w:t>的</w:t>
      </w:r>
      <w:r>
        <w:rPr>
          <w:rFonts w:eastAsia="宋体" w:cs="Times New Roman"/>
          <w:szCs w:val="24"/>
        </w:rPr>
        <w:t>单位，应具备相应的工程设计、施工、检测等资质，并由行业相关管理部门予以授权和管理监督。</w:t>
      </w:r>
    </w:p>
    <w:p>
      <w:pPr>
        <w:rPr>
          <w:rFonts w:eastAsia="宋体" w:cs="Times New Roman"/>
          <w:szCs w:val="24"/>
        </w:rPr>
      </w:pPr>
      <w:r>
        <w:rPr>
          <w:rFonts w:eastAsia="宋体" w:cs="Times New Roman"/>
          <w:b/>
          <w:bCs/>
          <w:kern w:val="0"/>
          <w:szCs w:val="24"/>
        </w:rPr>
        <w:t>3.1.4</w:t>
      </w:r>
      <w:r>
        <w:rPr>
          <w:rFonts w:eastAsia="宋体" w:cs="Times New Roman"/>
          <w:szCs w:val="24"/>
        </w:rPr>
        <w:t>进行可靠性</w:t>
      </w:r>
      <w:r>
        <w:rPr>
          <w:rFonts w:hint="eastAsia" w:eastAsia="宋体" w:cs="Times New Roman"/>
          <w:szCs w:val="24"/>
        </w:rPr>
        <w:t>评定</w:t>
      </w:r>
      <w:r>
        <w:rPr>
          <w:rFonts w:eastAsia="宋体" w:cs="Times New Roman"/>
          <w:szCs w:val="24"/>
        </w:rPr>
        <w:t>的系统产品、设计与施工成果，应由委托单位提出申请或管理监督单位组织协调，获得授权的第三方独立开展科学公正的</w:t>
      </w:r>
      <w:r>
        <w:rPr>
          <w:rFonts w:hint="eastAsia" w:eastAsia="宋体" w:cs="Times New Roman"/>
          <w:szCs w:val="24"/>
        </w:rPr>
        <w:t>评定</w:t>
      </w:r>
      <w:r>
        <w:rPr>
          <w:rFonts w:eastAsia="宋体" w:cs="Times New Roman"/>
          <w:szCs w:val="24"/>
        </w:rPr>
        <w:t>工作。</w:t>
      </w:r>
    </w:p>
    <w:p>
      <w:pPr>
        <w:rPr>
          <w:rFonts w:eastAsia="宋体" w:cs="Times New Roman"/>
          <w:b/>
          <w:bCs/>
          <w:szCs w:val="21"/>
        </w:rPr>
      </w:pPr>
    </w:p>
    <w:p>
      <w:pPr>
        <w:pStyle w:val="3"/>
        <w:spacing w:line="415" w:lineRule="auto"/>
        <w:rPr>
          <w:rFonts w:cs="Times New Roman"/>
          <w:bCs w:val="0"/>
          <w:kern w:val="0"/>
          <w:sz w:val="24"/>
          <w:szCs w:val="24"/>
        </w:rPr>
      </w:pPr>
      <w:bookmarkStart w:id="28" w:name="_Toc206757996"/>
      <w:bookmarkStart w:id="29" w:name="_Toc206760186"/>
      <w:r>
        <w:rPr>
          <w:rFonts w:cs="Times New Roman"/>
          <w:bCs w:val="0"/>
          <w:kern w:val="0"/>
          <w:sz w:val="24"/>
          <w:szCs w:val="24"/>
        </w:rPr>
        <w:t>3.2　评定规则</w:t>
      </w:r>
      <w:bookmarkEnd w:id="28"/>
      <w:bookmarkEnd w:id="29"/>
    </w:p>
    <w:p>
      <w:pPr>
        <w:pStyle w:val="22"/>
        <w:snapToGrid w:val="0"/>
        <w:spacing w:after="156" w:afterLines="50" w:line="360" w:lineRule="auto"/>
        <w:rPr>
          <w:rFonts w:ascii="Times New Roman" w:hAnsi="Times New Roman" w:cs="Times New Roman"/>
          <w:color w:val="auto"/>
        </w:rPr>
      </w:pPr>
      <w:r>
        <w:rPr>
          <w:rFonts w:ascii="Times New Roman" w:hAnsi="Times New Roman" w:cs="Times New Roman"/>
          <w:b/>
          <w:bCs/>
          <w:color w:val="auto"/>
        </w:rPr>
        <w:t>3.2.1</w:t>
      </w:r>
      <w:r>
        <w:rPr>
          <w:rFonts w:hint="eastAsia" w:ascii="Times New Roman" w:hAnsi="Times New Roman" w:cs="Times New Roman"/>
          <w:color w:val="auto"/>
        </w:rPr>
        <w:t xml:space="preserve"> </w:t>
      </w:r>
      <w:r>
        <w:rPr>
          <w:rFonts w:ascii="Times New Roman" w:hAnsi="Times New Roman" w:cs="Times New Roman"/>
          <w:color w:val="auto"/>
        </w:rPr>
        <w:t>防烟排烟系统各类产品，设计以及施工成果，在由</w:t>
      </w:r>
      <w:r>
        <w:rPr>
          <w:rFonts w:hint="eastAsia" w:ascii="Times New Roman" w:hAnsi="Times New Roman" w:cs="Times New Roman"/>
          <w:color w:val="auto"/>
        </w:rPr>
        <w:t>独立的</w:t>
      </w:r>
      <w:r>
        <w:rPr>
          <w:rFonts w:ascii="Times New Roman" w:hAnsi="Times New Roman" w:cs="Times New Roman"/>
          <w:color w:val="auto"/>
        </w:rPr>
        <w:t>第三方评定机构进行综合</w:t>
      </w:r>
      <w:r>
        <w:rPr>
          <w:rFonts w:hint="eastAsia" w:ascii="Times New Roman" w:hAnsi="Times New Roman" w:cs="Times New Roman"/>
          <w:color w:val="auto"/>
        </w:rPr>
        <w:t>评定</w:t>
      </w:r>
      <w:r>
        <w:rPr>
          <w:rFonts w:ascii="Times New Roman" w:hAnsi="Times New Roman" w:cs="Times New Roman"/>
          <w:color w:val="auto"/>
        </w:rPr>
        <w:t>后，</w:t>
      </w:r>
      <w:r>
        <w:rPr>
          <w:rFonts w:hint="eastAsia" w:ascii="Times New Roman" w:hAnsi="Times New Roman" w:cs="Times New Roman"/>
          <w:color w:val="auto"/>
        </w:rPr>
        <w:t>评定</w:t>
      </w:r>
      <w:r>
        <w:rPr>
          <w:rFonts w:ascii="Times New Roman" w:hAnsi="Times New Roman" w:cs="Times New Roman"/>
          <w:color w:val="auto"/>
        </w:rPr>
        <w:t>结果按照以下标准来进行分级：</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3"/>
        <w:gridCol w:w="1417"/>
        <w:gridCol w:w="1418"/>
        <w:gridCol w:w="1701"/>
        <w:gridCol w:w="23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jc w:val="center"/>
        </w:trPr>
        <w:tc>
          <w:tcPr>
            <w:tcW w:w="1413" w:type="dxa"/>
            <w:vAlign w:val="center"/>
          </w:tcPr>
          <w:p>
            <w:pPr>
              <w:pStyle w:val="22"/>
              <w:snapToGrid w:val="0"/>
              <w:spacing w:after="156" w:afterLines="50" w:line="360" w:lineRule="auto"/>
              <w:jc w:val="center"/>
              <w:rPr>
                <w:rFonts w:ascii="Times New Roman" w:hAnsi="Times New Roman" w:cs="Times New Roman"/>
                <w:color w:val="auto"/>
              </w:rPr>
            </w:pPr>
            <w:r>
              <w:rPr>
                <w:rFonts w:ascii="Times New Roman" w:hAnsi="Times New Roman" w:cs="Times New Roman"/>
                <w:color w:val="auto"/>
              </w:rPr>
              <w:t>A级</w:t>
            </w:r>
          </w:p>
        </w:tc>
        <w:tc>
          <w:tcPr>
            <w:tcW w:w="1417" w:type="dxa"/>
            <w:vAlign w:val="center"/>
          </w:tcPr>
          <w:p>
            <w:pPr>
              <w:pStyle w:val="22"/>
              <w:snapToGrid w:val="0"/>
              <w:spacing w:after="156" w:afterLines="50" w:line="360" w:lineRule="auto"/>
              <w:jc w:val="center"/>
              <w:rPr>
                <w:rFonts w:ascii="Times New Roman" w:hAnsi="Times New Roman" w:cs="Times New Roman"/>
                <w:color w:val="auto"/>
              </w:rPr>
            </w:pPr>
            <w:r>
              <w:rPr>
                <w:rFonts w:ascii="Times New Roman" w:hAnsi="Times New Roman" w:cs="Times New Roman"/>
                <w:color w:val="auto"/>
              </w:rPr>
              <w:t>B级</w:t>
            </w:r>
          </w:p>
        </w:tc>
        <w:tc>
          <w:tcPr>
            <w:tcW w:w="1418" w:type="dxa"/>
            <w:vAlign w:val="center"/>
          </w:tcPr>
          <w:p>
            <w:pPr>
              <w:pStyle w:val="22"/>
              <w:snapToGrid w:val="0"/>
              <w:spacing w:after="156" w:afterLines="50" w:line="360" w:lineRule="auto"/>
              <w:jc w:val="center"/>
              <w:rPr>
                <w:rFonts w:ascii="Times New Roman" w:hAnsi="Times New Roman" w:cs="Times New Roman"/>
                <w:color w:val="auto"/>
              </w:rPr>
            </w:pPr>
            <w:r>
              <w:rPr>
                <w:rFonts w:hint="eastAsia" w:ascii="Times New Roman" w:hAnsi="Times New Roman" w:cs="Times New Roman"/>
                <w:color w:val="auto"/>
              </w:rPr>
              <w:t>C</w:t>
            </w:r>
            <w:r>
              <w:rPr>
                <w:rFonts w:ascii="Times New Roman" w:hAnsi="Times New Roman" w:cs="Times New Roman"/>
                <w:color w:val="auto"/>
              </w:rPr>
              <w:t>级</w:t>
            </w:r>
          </w:p>
        </w:tc>
        <w:tc>
          <w:tcPr>
            <w:tcW w:w="1701" w:type="dxa"/>
            <w:vAlign w:val="center"/>
          </w:tcPr>
          <w:p>
            <w:pPr>
              <w:pStyle w:val="22"/>
              <w:snapToGrid w:val="0"/>
              <w:spacing w:after="156" w:afterLines="50" w:line="360" w:lineRule="auto"/>
              <w:jc w:val="center"/>
              <w:rPr>
                <w:rFonts w:ascii="Times New Roman" w:hAnsi="Times New Roman" w:cs="Times New Roman"/>
                <w:color w:val="auto"/>
              </w:rPr>
            </w:pPr>
            <w:r>
              <w:rPr>
                <w:rFonts w:ascii="Times New Roman" w:hAnsi="Times New Roman" w:cs="Times New Roman"/>
                <w:color w:val="auto"/>
              </w:rPr>
              <w:t>D级</w:t>
            </w:r>
          </w:p>
        </w:tc>
        <w:tc>
          <w:tcPr>
            <w:tcW w:w="2353" w:type="dxa"/>
            <w:vAlign w:val="center"/>
          </w:tcPr>
          <w:p>
            <w:pPr>
              <w:pStyle w:val="22"/>
              <w:snapToGrid w:val="0"/>
              <w:spacing w:after="156" w:afterLines="50" w:line="360" w:lineRule="auto"/>
              <w:jc w:val="center"/>
              <w:rPr>
                <w:rFonts w:ascii="Times New Roman" w:hAnsi="Times New Roman" w:cs="Times New Roman"/>
                <w:color w:val="auto"/>
              </w:rPr>
            </w:pPr>
            <w:r>
              <w:rPr>
                <w:rFonts w:hint="eastAsia" w:ascii="Times New Roman" w:hAnsi="Times New Roman" w:cs="Times New Roman"/>
                <w:color w:val="auto"/>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1413" w:type="dxa"/>
            <w:vAlign w:val="center"/>
          </w:tcPr>
          <w:p>
            <w:pPr>
              <w:pStyle w:val="22"/>
              <w:snapToGrid w:val="0"/>
              <w:spacing w:after="156" w:afterLines="50" w:line="360" w:lineRule="auto"/>
              <w:jc w:val="center"/>
              <w:rPr>
                <w:rFonts w:ascii="Times New Roman" w:hAnsi="Times New Roman" w:cs="Times New Roman"/>
                <w:color w:val="auto"/>
              </w:rPr>
            </w:pPr>
            <w:r>
              <w:rPr>
                <w:rFonts w:ascii="Times New Roman" w:hAnsi="Times New Roman" w:cs="Times New Roman"/>
                <w:color w:val="auto"/>
              </w:rPr>
              <w:t>≥90分</w:t>
            </w:r>
          </w:p>
        </w:tc>
        <w:tc>
          <w:tcPr>
            <w:tcW w:w="1417" w:type="dxa"/>
            <w:vAlign w:val="center"/>
          </w:tcPr>
          <w:p>
            <w:pPr>
              <w:pStyle w:val="22"/>
              <w:snapToGrid w:val="0"/>
              <w:spacing w:after="156" w:afterLines="50" w:line="360" w:lineRule="auto"/>
              <w:jc w:val="center"/>
              <w:rPr>
                <w:rFonts w:ascii="Times New Roman" w:hAnsi="Times New Roman" w:cs="Times New Roman"/>
                <w:color w:val="auto"/>
              </w:rPr>
            </w:pPr>
            <w:r>
              <w:rPr>
                <w:rFonts w:ascii="Times New Roman" w:hAnsi="Times New Roman" w:cs="Times New Roman"/>
                <w:color w:val="auto"/>
              </w:rPr>
              <w:t>[</w:t>
            </w:r>
            <w:r>
              <w:rPr>
                <w:rFonts w:hint="eastAsia" w:ascii="Times New Roman" w:hAnsi="Times New Roman" w:cs="Times New Roman"/>
                <w:color w:val="auto"/>
              </w:rPr>
              <w:t>75 ,90</w:t>
            </w:r>
            <w:r>
              <w:rPr>
                <w:rFonts w:ascii="Times New Roman" w:hAnsi="Times New Roman" w:cs="Times New Roman"/>
                <w:color w:val="auto"/>
              </w:rPr>
              <w:t>)</w:t>
            </w:r>
          </w:p>
        </w:tc>
        <w:tc>
          <w:tcPr>
            <w:tcW w:w="1418" w:type="dxa"/>
            <w:vAlign w:val="center"/>
          </w:tcPr>
          <w:p>
            <w:pPr>
              <w:pStyle w:val="22"/>
              <w:snapToGrid w:val="0"/>
              <w:spacing w:after="156" w:afterLines="50" w:line="360" w:lineRule="auto"/>
              <w:jc w:val="center"/>
              <w:rPr>
                <w:rFonts w:ascii="Times New Roman" w:hAnsi="Times New Roman" w:cs="Times New Roman"/>
                <w:color w:val="auto"/>
              </w:rPr>
            </w:pPr>
            <w:r>
              <w:rPr>
                <w:rFonts w:ascii="Times New Roman" w:hAnsi="Times New Roman" w:cs="Times New Roman"/>
                <w:color w:val="auto"/>
              </w:rPr>
              <w:t>[</w:t>
            </w:r>
            <w:r>
              <w:rPr>
                <w:rFonts w:hint="eastAsia" w:ascii="Times New Roman" w:hAnsi="Times New Roman" w:cs="Times New Roman"/>
                <w:color w:val="auto"/>
              </w:rPr>
              <w:t>60 ,75</w:t>
            </w:r>
            <w:r>
              <w:rPr>
                <w:rFonts w:ascii="Times New Roman" w:hAnsi="Times New Roman" w:cs="Times New Roman"/>
                <w:color w:val="auto"/>
              </w:rPr>
              <w:t>)</w:t>
            </w:r>
          </w:p>
        </w:tc>
        <w:tc>
          <w:tcPr>
            <w:tcW w:w="1701" w:type="dxa"/>
            <w:vAlign w:val="center"/>
          </w:tcPr>
          <w:p>
            <w:pPr>
              <w:pStyle w:val="22"/>
              <w:snapToGrid w:val="0"/>
              <w:spacing w:after="156" w:afterLines="50" w:line="360" w:lineRule="auto"/>
              <w:jc w:val="center"/>
              <w:rPr>
                <w:rFonts w:ascii="Times New Roman" w:hAnsi="Times New Roman" w:cs="Times New Roman"/>
                <w:color w:val="auto"/>
              </w:rPr>
            </w:pPr>
            <w:r>
              <w:rPr>
                <w:rFonts w:ascii="Times New Roman" w:hAnsi="Times New Roman" w:cs="Times New Roman"/>
                <w:color w:val="auto"/>
              </w:rPr>
              <w:t>＜60分</w:t>
            </w:r>
          </w:p>
        </w:tc>
        <w:tc>
          <w:tcPr>
            <w:tcW w:w="2353" w:type="dxa"/>
            <w:vAlign w:val="center"/>
          </w:tcPr>
          <w:p>
            <w:pPr>
              <w:pStyle w:val="22"/>
              <w:snapToGrid w:val="0"/>
              <w:spacing w:after="156" w:afterLines="50" w:line="360" w:lineRule="auto"/>
              <w:jc w:val="center"/>
              <w:rPr>
                <w:rFonts w:ascii="Times New Roman" w:hAnsi="Times New Roman" w:cs="Times New Roman"/>
                <w:color w:val="auto"/>
              </w:rPr>
            </w:pPr>
            <w:r>
              <w:rPr>
                <w:rFonts w:ascii="Times New Roman" w:hAnsi="Times New Roman" w:cs="Times New Roman"/>
                <w:color w:val="auto"/>
              </w:rPr>
              <w:t>C级为准入级别，D级为不合格</w:t>
            </w:r>
          </w:p>
        </w:tc>
      </w:tr>
    </w:tbl>
    <w:p>
      <w:pPr>
        <w:pStyle w:val="22"/>
        <w:snapToGrid w:val="0"/>
        <w:spacing w:after="156" w:afterLines="50" w:line="360" w:lineRule="auto"/>
        <w:rPr>
          <w:rFonts w:ascii="Times New Roman" w:hAnsi="Times New Roman" w:cs="Times New Roman"/>
          <w:color w:val="auto"/>
        </w:rPr>
      </w:pPr>
      <w:r>
        <w:rPr>
          <w:rFonts w:ascii="Times New Roman" w:hAnsi="Times New Roman" w:cs="Times New Roman"/>
          <w:b/>
          <w:bCs/>
          <w:color w:val="auto"/>
        </w:rPr>
        <w:t>3.2.2</w:t>
      </w:r>
      <w:r>
        <w:rPr>
          <w:rFonts w:ascii="Times New Roman" w:hAnsi="Times New Roman" w:cs="Times New Roman"/>
          <w:color w:val="auto"/>
        </w:rPr>
        <w:t xml:space="preserve"> 防烟排烟系统的可靠性</w:t>
      </w:r>
      <w:r>
        <w:rPr>
          <w:rFonts w:hint="eastAsia" w:ascii="Times New Roman" w:hAnsi="Times New Roman" w:cs="Times New Roman"/>
          <w:color w:val="auto"/>
        </w:rPr>
        <w:t>评定</w:t>
      </w:r>
      <w:r>
        <w:rPr>
          <w:rFonts w:ascii="Times New Roman" w:hAnsi="Times New Roman" w:cs="Times New Roman"/>
          <w:color w:val="auto"/>
        </w:rPr>
        <w:t>，按照组成系统或产品的</w:t>
      </w:r>
      <w:r>
        <w:rPr>
          <w:rFonts w:hint="eastAsia" w:ascii="Times New Roman" w:hAnsi="Times New Roman" w:cs="Times New Roman"/>
          <w:color w:val="auto"/>
        </w:rPr>
        <w:t>评定指标</w:t>
      </w:r>
      <w:r>
        <w:rPr>
          <w:rFonts w:ascii="Times New Roman" w:hAnsi="Times New Roman" w:cs="Times New Roman"/>
          <w:color w:val="auto"/>
        </w:rPr>
        <w:t>进行考核与</w:t>
      </w:r>
      <w:r>
        <w:rPr>
          <w:rFonts w:hint="eastAsia" w:ascii="Times New Roman" w:hAnsi="Times New Roman" w:cs="Times New Roman"/>
          <w:color w:val="auto"/>
        </w:rPr>
        <w:t>评</w:t>
      </w:r>
      <w:r>
        <w:rPr>
          <w:rFonts w:ascii="Times New Roman" w:hAnsi="Times New Roman" w:cs="Times New Roman"/>
          <w:color w:val="auto"/>
        </w:rPr>
        <w:t>分，分为控制项、评分项与优选项，不满足任意一款控制项的直接判定为D级不合格，根据评分项及所对应的加权因子，累加得到综合评分，</w:t>
      </w:r>
      <w:r>
        <w:rPr>
          <w:rFonts w:hint="eastAsia" w:ascii="Times New Roman" w:hAnsi="Times New Roman" w:cs="Times New Roman"/>
          <w:color w:val="auto"/>
        </w:rPr>
        <w:t>优选项得分</w:t>
      </w:r>
      <w:r>
        <w:rPr>
          <w:rFonts w:ascii="Times New Roman" w:hAnsi="Times New Roman" w:cs="Times New Roman"/>
          <w:color w:val="auto"/>
        </w:rPr>
        <w:t>累计计入总分进行评定。</w:t>
      </w:r>
    </w:p>
    <w:p>
      <w:pPr>
        <w:pStyle w:val="22"/>
        <w:snapToGrid w:val="0"/>
        <w:spacing w:after="156" w:afterLines="50" w:line="360" w:lineRule="auto"/>
        <w:rPr>
          <w:rFonts w:ascii="Times New Roman" w:hAnsi="Times New Roman" w:cs="Times New Roman"/>
          <w:color w:val="auto"/>
        </w:rPr>
      </w:pPr>
      <w:r>
        <w:rPr>
          <w:rFonts w:ascii="Times New Roman" w:hAnsi="Times New Roman" w:cs="Times New Roman"/>
          <w:b/>
          <w:bCs/>
          <w:color w:val="auto"/>
        </w:rPr>
        <w:t>3.2.3</w:t>
      </w:r>
      <w:r>
        <w:rPr>
          <w:rFonts w:hint="eastAsia" w:ascii="Times New Roman" w:hAnsi="Times New Roman" w:cs="Times New Roman"/>
          <w:b/>
          <w:bCs/>
          <w:color w:val="auto"/>
        </w:rPr>
        <w:t xml:space="preserve"> </w:t>
      </w:r>
      <w:r>
        <w:rPr>
          <w:rFonts w:ascii="Times New Roman" w:hAnsi="Times New Roman" w:cs="Times New Roman"/>
          <w:color w:val="auto"/>
        </w:rPr>
        <w:t>防烟排烟系统的产品、设计图纸及施工调试成果的综合评定，应按照下列步骤进行评分：</w:t>
      </w:r>
    </w:p>
    <w:p>
      <w:pPr>
        <w:pStyle w:val="22"/>
        <w:snapToGrid w:val="0"/>
        <w:spacing w:after="156" w:afterLines="50" w:line="360" w:lineRule="auto"/>
        <w:ind w:firstLine="480" w:firstLineChars="200"/>
        <w:rPr>
          <w:rFonts w:ascii="Times New Roman" w:hAnsi="Times New Roman" w:cs="Times New Roman"/>
          <w:color w:val="auto"/>
        </w:rPr>
      </w:pPr>
      <w:r>
        <w:rPr>
          <w:rFonts w:ascii="Times New Roman" w:hAnsi="Times New Roman" w:cs="Times New Roman"/>
          <w:color w:val="auto"/>
        </w:rPr>
        <w:t>1</w:t>
      </w:r>
      <w:r>
        <w:rPr>
          <w:rFonts w:hint="eastAsia" w:ascii="Times New Roman" w:hAnsi="Times New Roman" w:cs="Times New Roman"/>
          <w:color w:val="auto"/>
        </w:rPr>
        <w:t xml:space="preserve"> </w:t>
      </w:r>
      <w:r>
        <w:rPr>
          <w:rFonts w:ascii="Times New Roman" w:hAnsi="Times New Roman" w:cs="Times New Roman"/>
          <w:color w:val="auto"/>
        </w:rPr>
        <w:t>评分项的得</w:t>
      </w:r>
      <w:r>
        <w:rPr>
          <w:rFonts w:hint="eastAsia" w:ascii="Times New Roman" w:hAnsi="Times New Roman" w:cs="Times New Roman"/>
          <w:color w:val="auto"/>
        </w:rPr>
        <w:t>分，</w:t>
      </w:r>
      <w:r>
        <w:rPr>
          <w:rFonts w:ascii="Times New Roman" w:hAnsi="Times New Roman" w:cs="Times New Roman"/>
          <w:color w:val="auto"/>
        </w:rPr>
        <w:t>按照下式进行计算</w:t>
      </w:r>
    </w:p>
    <w:p>
      <w:pPr>
        <w:jc w:val="center"/>
        <w:rPr>
          <w:rFonts w:eastAsia="宋体" w:cs="Times New Roman"/>
          <w:szCs w:val="24"/>
        </w:rPr>
      </w:pPr>
      <m:oMath>
        <m:sSub>
          <m:sSubPr>
            <m:ctrlPr>
              <w:rPr>
                <w:rFonts w:ascii="Cambria Math" w:hAnsi="Cambria Math" w:eastAsia="宋体" w:cs="Times New Roman"/>
                <w:i/>
                <w:szCs w:val="24"/>
              </w:rPr>
            </m:ctrlPr>
          </m:sSubPr>
          <m:e>
            <m:r>
              <m:rPr/>
              <w:rPr>
                <w:rFonts w:ascii="Cambria Math" w:hAnsi="Cambria Math" w:eastAsia="宋体" w:cs="Times New Roman"/>
                <w:szCs w:val="24"/>
              </w:rPr>
              <m:t>A</m:t>
            </m:r>
            <m:ctrlPr>
              <w:rPr>
                <w:rFonts w:ascii="Cambria Math" w:hAnsi="Cambria Math" w:eastAsia="宋体" w:cs="Times New Roman"/>
                <w:i/>
                <w:szCs w:val="24"/>
              </w:rPr>
            </m:ctrlPr>
          </m:e>
          <m:sub>
            <m:r>
              <m:rPr/>
              <w:rPr>
                <w:rFonts w:ascii="Cambria Math" w:hAnsi="Cambria Math" w:eastAsia="宋体" w:cs="Times New Roman"/>
                <w:szCs w:val="24"/>
              </w:rPr>
              <m:t>始</m:t>
            </m:r>
            <m:ctrlPr>
              <w:rPr>
                <w:rFonts w:ascii="Cambria Math" w:hAnsi="Cambria Math" w:eastAsia="宋体" w:cs="Times New Roman"/>
                <w:i/>
                <w:szCs w:val="24"/>
              </w:rPr>
            </m:ctrlPr>
          </m:sub>
        </m:sSub>
        <m:r>
          <m:rPr/>
          <w:rPr>
            <w:rFonts w:ascii="Cambria Math" w:hAnsi="Cambria Math" w:eastAsia="宋体" w:cs="Times New Roman"/>
            <w:szCs w:val="24"/>
          </w:rPr>
          <m:t>=</m:t>
        </m:r>
        <m:nary>
          <m:naryPr>
            <m:chr m:val="∑"/>
            <m:grow m:val="1"/>
            <m:limLoc m:val="subSup"/>
            <m:ctrlPr>
              <w:rPr>
                <w:rFonts w:ascii="Cambria Math" w:hAnsi="Cambria Math" w:eastAsia="宋体" w:cs="Times New Roman"/>
                <w:szCs w:val="24"/>
              </w:rPr>
            </m:ctrlPr>
          </m:naryPr>
          <m:sub>
            <m:r>
              <m:rPr/>
              <w:rPr>
                <w:rFonts w:ascii="Cambria Math" w:hAnsi="Cambria Math" w:eastAsia="宋体" w:cs="Times New Roman"/>
                <w:szCs w:val="24"/>
              </w:rPr>
              <m:t>i=1</m:t>
            </m:r>
            <m:ctrlPr>
              <w:rPr>
                <w:rFonts w:ascii="Cambria Math" w:hAnsi="Cambria Math" w:eastAsia="宋体" w:cs="Times New Roman"/>
                <w:szCs w:val="24"/>
              </w:rPr>
            </m:ctrlPr>
          </m:sub>
          <m:sup>
            <m:r>
              <m:rPr/>
              <w:rPr>
                <w:rFonts w:ascii="Cambria Math" w:hAnsi="Cambria Math" w:eastAsia="宋体" w:cs="Times New Roman"/>
                <w:szCs w:val="24"/>
              </w:rPr>
              <m:t>n</m:t>
            </m:r>
            <m:ctrlPr>
              <w:rPr>
                <w:rFonts w:ascii="Cambria Math" w:hAnsi="Cambria Math" w:eastAsia="宋体" w:cs="Times New Roman"/>
                <w:szCs w:val="24"/>
              </w:rPr>
            </m:ctrlPr>
          </m:sup>
          <m:e>
            <m:sSub>
              <m:sSubPr>
                <m:ctrlPr>
                  <w:rPr>
                    <w:rFonts w:ascii="Cambria Math" w:hAnsi="Cambria Math" w:eastAsia="宋体" w:cs="Times New Roman"/>
                    <w:i/>
                    <w:szCs w:val="24"/>
                  </w:rPr>
                </m:ctrlPr>
              </m:sSubPr>
              <m:e>
                <m:r>
                  <m:rPr/>
                  <w:rPr>
                    <w:rFonts w:ascii="Cambria Math" w:hAnsi="Cambria Math" w:eastAsia="宋体" w:cs="Times New Roman"/>
                    <w:szCs w:val="24"/>
                  </w:rPr>
                  <m:t>T</m:t>
                </m:r>
                <m:ctrlPr>
                  <w:rPr>
                    <w:rFonts w:ascii="Cambria Math" w:hAnsi="Cambria Math" w:eastAsia="宋体" w:cs="Times New Roman"/>
                    <w:i/>
                    <w:szCs w:val="24"/>
                  </w:rPr>
                </m:ctrlPr>
              </m:e>
              <m:sub>
                <m:r>
                  <m:rPr/>
                  <w:rPr>
                    <w:rFonts w:ascii="Cambria Math" w:hAnsi="Cambria Math" w:eastAsia="宋体" w:cs="Times New Roman"/>
                    <w:szCs w:val="24"/>
                  </w:rPr>
                  <m:t>i</m:t>
                </m:r>
                <m:ctrlPr>
                  <w:rPr>
                    <w:rFonts w:ascii="Cambria Math" w:hAnsi="Cambria Math" w:eastAsia="宋体" w:cs="Times New Roman"/>
                    <w:i/>
                    <w:szCs w:val="24"/>
                  </w:rPr>
                </m:ctrlPr>
              </m:sub>
            </m:sSub>
            <m:r>
              <m:rPr/>
              <w:rPr>
                <w:rFonts w:hint="eastAsia" w:ascii="Cambria Math" w:hAnsi="Cambria Math" w:eastAsia="宋体" w:cs="Times New Roman"/>
                <w:szCs w:val="24"/>
              </w:rPr>
              <m:t>×</m:t>
            </m:r>
            <m:sSub>
              <m:sSubPr>
                <m:ctrlPr>
                  <w:rPr>
                    <w:rFonts w:ascii="Cambria Math" w:hAnsi="Cambria Math" w:eastAsia="宋体" w:cs="Times New Roman"/>
                    <w:i/>
                    <w:szCs w:val="24"/>
                  </w:rPr>
                </m:ctrlPr>
              </m:sSubPr>
              <m:e>
                <m:r>
                  <m:rPr/>
                  <w:rPr>
                    <w:rFonts w:ascii="Cambria Math" w:hAnsi="Cambria Math" w:eastAsia="宋体" w:cs="Times New Roman"/>
                    <w:szCs w:val="24"/>
                  </w:rPr>
                  <m:t>R</m:t>
                </m:r>
                <m:ctrlPr>
                  <w:rPr>
                    <w:rFonts w:ascii="Cambria Math" w:hAnsi="Cambria Math" w:eastAsia="宋体" w:cs="Times New Roman"/>
                    <w:i/>
                    <w:szCs w:val="24"/>
                  </w:rPr>
                </m:ctrlPr>
              </m:e>
              <m:sub>
                <m:r>
                  <m:rPr/>
                  <w:rPr>
                    <w:rFonts w:ascii="Cambria Math" w:hAnsi="Cambria Math" w:eastAsia="宋体" w:cs="Times New Roman"/>
                    <w:szCs w:val="24"/>
                  </w:rPr>
                  <m:t>i</m:t>
                </m:r>
                <m:ctrlPr>
                  <w:rPr>
                    <w:rFonts w:ascii="Cambria Math" w:hAnsi="Cambria Math" w:eastAsia="宋体" w:cs="Times New Roman"/>
                    <w:i/>
                    <w:szCs w:val="24"/>
                  </w:rPr>
                </m:ctrlPr>
              </m:sub>
            </m:sSub>
            <m:ctrlPr>
              <w:rPr>
                <w:rFonts w:ascii="Cambria Math" w:hAnsi="Cambria Math" w:eastAsia="宋体" w:cs="Times New Roman"/>
                <w:szCs w:val="24"/>
              </w:rPr>
            </m:ctrlPr>
          </m:e>
        </m:nary>
      </m:oMath>
      <w:r>
        <w:rPr>
          <w:rFonts w:hint="eastAsia" w:eastAsia="宋体" w:cs="Times New Roman"/>
          <w:szCs w:val="24"/>
        </w:rPr>
        <w:t xml:space="preserve">       （3.2.3-1）</w:t>
      </w:r>
    </w:p>
    <w:p>
      <w:pPr>
        <w:rPr>
          <w:rFonts w:eastAsia="宋体" w:cs="Times New Roman"/>
          <w:szCs w:val="24"/>
        </w:rPr>
      </w:pPr>
      <m:oMath>
        <m:sSub>
          <m:sSubPr>
            <m:ctrlPr>
              <w:rPr>
                <w:rFonts w:ascii="Cambria Math" w:hAnsi="Cambria Math" w:eastAsia="宋体" w:cs="Times New Roman"/>
                <w:i/>
                <w:szCs w:val="24"/>
              </w:rPr>
            </m:ctrlPr>
          </m:sSubPr>
          <m:e>
            <m:r>
              <m:rPr/>
              <w:rPr>
                <w:rFonts w:ascii="Cambria Math" w:hAnsi="Cambria Math" w:eastAsia="宋体" w:cs="Times New Roman"/>
                <w:szCs w:val="24"/>
              </w:rPr>
              <m:t>A</m:t>
            </m:r>
            <m:ctrlPr>
              <w:rPr>
                <w:rFonts w:ascii="Cambria Math" w:hAnsi="Cambria Math" w:eastAsia="宋体" w:cs="Times New Roman"/>
                <w:i/>
                <w:szCs w:val="24"/>
              </w:rPr>
            </m:ctrlPr>
          </m:e>
          <m:sub>
            <m:r>
              <m:rPr/>
              <w:rPr>
                <w:rFonts w:ascii="Cambria Math" w:hAnsi="Cambria Math" w:eastAsia="宋体" w:cs="Times New Roman"/>
                <w:szCs w:val="24"/>
              </w:rPr>
              <m:t>始</m:t>
            </m:r>
            <m:ctrlPr>
              <w:rPr>
                <w:rFonts w:ascii="Cambria Math" w:hAnsi="Cambria Math" w:eastAsia="宋体" w:cs="Times New Roman"/>
                <w:i/>
                <w:szCs w:val="24"/>
              </w:rPr>
            </m:ctrlPr>
          </m:sub>
        </m:sSub>
      </m:oMath>
      <w:r>
        <w:rPr>
          <w:rFonts w:eastAsia="宋体" w:cs="Times New Roman"/>
          <w:szCs w:val="24"/>
        </w:rPr>
        <w:t xml:space="preserve">  初始计算累计得</w:t>
      </w:r>
      <w:r>
        <w:rPr>
          <w:rFonts w:hint="eastAsia" w:eastAsia="宋体" w:cs="Times New Roman"/>
          <w:szCs w:val="24"/>
        </w:rPr>
        <w:t>分</w:t>
      </w:r>
      <w:r>
        <w:rPr>
          <w:rFonts w:eastAsia="宋体" w:cs="Times New Roman"/>
          <w:szCs w:val="24"/>
        </w:rPr>
        <w:t>；</w:t>
      </w:r>
    </w:p>
    <w:p>
      <w:pPr>
        <w:rPr>
          <w:rFonts w:eastAsia="宋体" w:cs="Times New Roman"/>
          <w:szCs w:val="24"/>
        </w:rPr>
      </w:pPr>
      <m:oMath>
        <m:sSub>
          <m:sSubPr>
            <m:ctrlPr>
              <w:rPr>
                <w:rFonts w:ascii="Cambria Math" w:hAnsi="Cambria Math" w:eastAsia="宋体" w:cs="Times New Roman"/>
                <w:i/>
                <w:szCs w:val="24"/>
              </w:rPr>
            </m:ctrlPr>
          </m:sSubPr>
          <m:e>
            <m:r>
              <m:rPr/>
              <w:rPr>
                <w:rFonts w:ascii="Cambria Math" w:hAnsi="Cambria Math" w:eastAsia="宋体" w:cs="Times New Roman"/>
                <w:szCs w:val="24"/>
              </w:rPr>
              <m:t>T</m:t>
            </m:r>
            <m:ctrlPr>
              <w:rPr>
                <w:rFonts w:ascii="Cambria Math" w:hAnsi="Cambria Math" w:eastAsia="宋体" w:cs="Times New Roman"/>
                <w:i/>
                <w:szCs w:val="24"/>
              </w:rPr>
            </m:ctrlPr>
          </m:e>
          <m:sub>
            <m:r>
              <m:rPr/>
              <w:rPr>
                <w:rFonts w:ascii="Cambria Math" w:hAnsi="Cambria Math" w:eastAsia="宋体" w:cs="Times New Roman"/>
                <w:szCs w:val="24"/>
              </w:rPr>
              <m:t>i</m:t>
            </m:r>
            <m:ctrlPr>
              <w:rPr>
                <w:rFonts w:ascii="Cambria Math" w:hAnsi="Cambria Math" w:eastAsia="宋体" w:cs="Times New Roman"/>
                <w:i/>
                <w:szCs w:val="24"/>
              </w:rPr>
            </m:ctrlPr>
          </m:sub>
        </m:sSub>
      </m:oMath>
      <w:r>
        <w:rPr>
          <w:rFonts w:eastAsia="宋体" w:cs="Times New Roman"/>
          <w:szCs w:val="24"/>
        </w:rPr>
        <w:t xml:space="preserve"> 单项得</w:t>
      </w:r>
      <w:r>
        <w:rPr>
          <w:rFonts w:hint="eastAsia" w:eastAsia="宋体" w:cs="Times New Roman"/>
          <w:szCs w:val="24"/>
        </w:rPr>
        <w:t>分</w:t>
      </w:r>
      <w:r>
        <w:rPr>
          <w:rFonts w:eastAsia="宋体" w:cs="Times New Roman"/>
          <w:szCs w:val="24"/>
        </w:rPr>
        <w:t>值，从第1项开始到最后一项n为止；</w:t>
      </w:r>
    </w:p>
    <w:p>
      <w:pPr>
        <w:rPr>
          <w:rFonts w:eastAsia="宋体" w:cs="Times New Roman"/>
          <w:szCs w:val="24"/>
        </w:rPr>
      </w:pPr>
      <m:oMath>
        <m:sSub>
          <m:sSubPr>
            <m:ctrlPr>
              <w:rPr>
                <w:rFonts w:ascii="Cambria Math" w:hAnsi="Cambria Math" w:eastAsia="宋体" w:cs="Times New Roman"/>
                <w:i/>
                <w:szCs w:val="24"/>
              </w:rPr>
            </m:ctrlPr>
          </m:sSubPr>
          <m:e>
            <m:r>
              <m:rPr/>
              <w:rPr>
                <w:rFonts w:ascii="Cambria Math" w:hAnsi="Cambria Math" w:eastAsia="宋体" w:cs="Times New Roman"/>
                <w:szCs w:val="24"/>
              </w:rPr>
              <m:t>R</m:t>
            </m:r>
            <m:ctrlPr>
              <w:rPr>
                <w:rFonts w:ascii="Cambria Math" w:hAnsi="Cambria Math" w:eastAsia="宋体" w:cs="Times New Roman"/>
                <w:i/>
                <w:szCs w:val="24"/>
              </w:rPr>
            </m:ctrlPr>
          </m:e>
          <m:sub>
            <m:r>
              <m:rPr/>
              <w:rPr>
                <w:rFonts w:ascii="Cambria Math" w:hAnsi="Cambria Math" w:eastAsia="宋体" w:cs="Times New Roman"/>
                <w:szCs w:val="24"/>
              </w:rPr>
              <m:t>i</m:t>
            </m:r>
            <m:ctrlPr>
              <w:rPr>
                <w:rFonts w:ascii="Cambria Math" w:hAnsi="Cambria Math" w:eastAsia="宋体" w:cs="Times New Roman"/>
                <w:i/>
                <w:szCs w:val="24"/>
              </w:rPr>
            </m:ctrlPr>
          </m:sub>
        </m:sSub>
      </m:oMath>
      <w:r>
        <w:rPr>
          <w:rFonts w:eastAsia="宋体" w:cs="Times New Roman"/>
          <w:szCs w:val="24"/>
        </w:rPr>
        <w:t xml:space="preserve"> 该项的权重因子，0～1.0之间。</w:t>
      </w:r>
    </w:p>
    <w:p>
      <w:pPr>
        <w:ind w:firstLine="480" w:firstLineChars="200"/>
        <w:rPr>
          <w:rFonts w:eastAsia="宋体" w:cs="Times New Roman"/>
          <w:szCs w:val="24"/>
        </w:rPr>
      </w:pPr>
      <w:r>
        <w:rPr>
          <w:rFonts w:eastAsia="宋体" w:cs="Times New Roman"/>
          <w:szCs w:val="24"/>
        </w:rPr>
        <w:t>2</w:t>
      </w:r>
      <w:r>
        <w:rPr>
          <w:rFonts w:hint="eastAsia" w:eastAsia="宋体" w:cs="Times New Roman"/>
          <w:szCs w:val="24"/>
        </w:rPr>
        <w:t xml:space="preserve"> </w:t>
      </w:r>
      <w:r>
        <w:rPr>
          <w:rFonts w:eastAsia="宋体" w:cs="Times New Roman"/>
          <w:szCs w:val="24"/>
        </w:rPr>
        <w:t>在初始计算累计得</w:t>
      </w:r>
      <w:r>
        <w:rPr>
          <w:rFonts w:hint="eastAsia" w:eastAsia="宋体" w:cs="Times New Roman"/>
          <w:szCs w:val="24"/>
        </w:rPr>
        <w:t>分</w:t>
      </w:r>
      <w:r>
        <w:rPr>
          <w:rFonts w:eastAsia="宋体" w:cs="Times New Roman"/>
          <w:szCs w:val="24"/>
        </w:rPr>
        <w:t>基础上，如果还有优选项的评定得</w:t>
      </w:r>
      <w:r>
        <w:rPr>
          <w:rFonts w:hint="eastAsia" w:eastAsia="宋体" w:cs="Times New Roman"/>
          <w:szCs w:val="24"/>
        </w:rPr>
        <w:t>分</w:t>
      </w:r>
      <w:r>
        <w:rPr>
          <w:rFonts w:eastAsia="宋体" w:cs="Times New Roman"/>
          <w:szCs w:val="24"/>
        </w:rPr>
        <w:t>，则直接在其得</w:t>
      </w:r>
      <w:r>
        <w:rPr>
          <w:rFonts w:hint="eastAsia" w:eastAsia="宋体" w:cs="Times New Roman"/>
          <w:szCs w:val="24"/>
        </w:rPr>
        <w:t>分</w:t>
      </w:r>
      <w:r>
        <w:rPr>
          <w:rFonts w:eastAsia="宋体" w:cs="Times New Roman"/>
          <w:szCs w:val="24"/>
        </w:rPr>
        <w:t>基础值上加分，得到最终的分值</w:t>
      </w:r>
      <m:oMath>
        <m:sSub>
          <m:sSubPr>
            <m:ctrlPr>
              <w:rPr>
                <w:rFonts w:ascii="Cambria Math" w:hAnsi="Cambria Math" w:eastAsia="宋体" w:cs="Times New Roman"/>
                <w:i/>
                <w:szCs w:val="24"/>
              </w:rPr>
            </m:ctrlPr>
          </m:sSubPr>
          <m:e>
            <m:r>
              <m:rPr/>
              <w:rPr>
                <w:rFonts w:ascii="Cambria Math" w:hAnsi="Cambria Math" w:eastAsia="宋体" w:cs="Times New Roman"/>
                <w:szCs w:val="24"/>
              </w:rPr>
              <m:t>A</m:t>
            </m:r>
            <m:ctrlPr>
              <w:rPr>
                <w:rFonts w:ascii="Cambria Math" w:hAnsi="Cambria Math" w:eastAsia="宋体" w:cs="Times New Roman"/>
                <w:i/>
                <w:szCs w:val="24"/>
              </w:rPr>
            </m:ctrlPr>
          </m:e>
          <m:sub>
            <m:r>
              <m:rPr/>
              <w:rPr>
                <w:rFonts w:ascii="Cambria Math" w:hAnsi="Cambria Math" w:eastAsia="宋体" w:cs="Times New Roman"/>
                <w:szCs w:val="24"/>
              </w:rPr>
              <m:t>终</m:t>
            </m:r>
            <m:ctrlPr>
              <w:rPr>
                <w:rFonts w:ascii="Cambria Math" w:hAnsi="Cambria Math" w:eastAsia="宋体" w:cs="Times New Roman"/>
                <w:i/>
                <w:szCs w:val="24"/>
              </w:rPr>
            </m:ctrlPr>
          </m:sub>
        </m:sSub>
      </m:oMath>
      <w:r>
        <w:rPr>
          <w:rFonts w:eastAsia="宋体" w:cs="Times New Roman"/>
          <w:szCs w:val="24"/>
        </w:rPr>
        <w:t>，以此进行综合评定的依据。</w:t>
      </w:r>
    </w:p>
    <w:p>
      <w:pPr>
        <w:jc w:val="center"/>
        <w:rPr>
          <w:rFonts w:eastAsia="宋体" w:cs="Times New Roman"/>
          <w:szCs w:val="24"/>
        </w:rPr>
      </w:pPr>
      <m:oMath>
        <m:sSub>
          <m:sSubPr>
            <m:ctrlPr>
              <w:rPr>
                <w:rFonts w:ascii="Cambria Math" w:hAnsi="Cambria Math" w:eastAsia="宋体" w:cs="Times New Roman"/>
                <w:i/>
                <w:szCs w:val="24"/>
              </w:rPr>
            </m:ctrlPr>
          </m:sSubPr>
          <m:e>
            <m:r>
              <m:rPr/>
              <w:rPr>
                <w:rFonts w:ascii="Cambria Math" w:hAnsi="Cambria Math" w:eastAsia="宋体" w:cs="Times New Roman"/>
                <w:szCs w:val="24"/>
              </w:rPr>
              <m:t>A</m:t>
            </m:r>
            <m:ctrlPr>
              <w:rPr>
                <w:rFonts w:ascii="Cambria Math" w:hAnsi="Cambria Math" w:eastAsia="宋体" w:cs="Times New Roman"/>
                <w:i/>
                <w:szCs w:val="24"/>
              </w:rPr>
            </m:ctrlPr>
          </m:e>
          <m:sub>
            <m:r>
              <m:rPr/>
              <w:rPr>
                <w:rFonts w:ascii="Cambria Math" w:hAnsi="Cambria Math" w:eastAsia="宋体" w:cs="Times New Roman"/>
                <w:szCs w:val="24"/>
              </w:rPr>
              <m:t>终</m:t>
            </m:r>
            <m:ctrlPr>
              <w:rPr>
                <w:rFonts w:ascii="Cambria Math" w:hAnsi="Cambria Math" w:eastAsia="宋体" w:cs="Times New Roman"/>
                <w:i/>
                <w:szCs w:val="24"/>
              </w:rPr>
            </m:ctrlPr>
          </m:sub>
        </m:sSub>
      </m:oMath>
      <w:r>
        <w:rPr>
          <w:rFonts w:eastAsia="宋体" w:cs="Times New Roman"/>
          <w:szCs w:val="24"/>
        </w:rPr>
        <w:t xml:space="preserve">  ＝ </w:t>
      </w:r>
      <m:oMath>
        <m:sSub>
          <m:sSubPr>
            <m:ctrlPr>
              <w:rPr>
                <w:rFonts w:ascii="Cambria Math" w:hAnsi="Cambria Math" w:eastAsia="宋体" w:cs="Times New Roman"/>
                <w:i/>
                <w:szCs w:val="24"/>
              </w:rPr>
            </m:ctrlPr>
          </m:sSubPr>
          <m:e>
            <m:r>
              <m:rPr/>
              <w:rPr>
                <w:rFonts w:ascii="Cambria Math" w:hAnsi="Cambria Math" w:eastAsia="宋体" w:cs="Times New Roman"/>
                <w:szCs w:val="24"/>
              </w:rPr>
              <m:t>A</m:t>
            </m:r>
            <m:ctrlPr>
              <w:rPr>
                <w:rFonts w:ascii="Cambria Math" w:hAnsi="Cambria Math" w:eastAsia="宋体" w:cs="Times New Roman"/>
                <w:i/>
                <w:szCs w:val="24"/>
              </w:rPr>
            </m:ctrlPr>
          </m:e>
          <m:sub>
            <m:r>
              <m:rPr/>
              <w:rPr>
                <w:rFonts w:ascii="Cambria Math" w:hAnsi="Cambria Math" w:eastAsia="宋体" w:cs="Times New Roman"/>
                <w:szCs w:val="24"/>
              </w:rPr>
              <m:t>始</m:t>
            </m:r>
            <m:ctrlPr>
              <w:rPr>
                <w:rFonts w:ascii="Cambria Math" w:hAnsi="Cambria Math" w:eastAsia="宋体" w:cs="Times New Roman"/>
                <w:i/>
                <w:szCs w:val="24"/>
              </w:rPr>
            </m:ctrlPr>
          </m:sub>
        </m:sSub>
      </m:oMath>
      <w:r>
        <w:rPr>
          <w:rFonts w:eastAsia="宋体" w:cs="Times New Roman"/>
          <w:szCs w:val="24"/>
        </w:rPr>
        <w:t xml:space="preserve">  ＋ </w:t>
      </w:r>
      <m:oMath>
        <m:sSub>
          <m:sSubPr>
            <m:ctrlPr>
              <w:rPr>
                <w:rFonts w:ascii="Cambria Math" w:hAnsi="Cambria Math" w:eastAsia="宋体" w:cs="Times New Roman"/>
                <w:i/>
                <w:szCs w:val="24"/>
              </w:rPr>
            </m:ctrlPr>
          </m:sSubPr>
          <m:e>
            <m:r>
              <m:rPr/>
              <w:rPr>
                <w:rFonts w:ascii="Cambria Math" w:hAnsi="Cambria Math" w:eastAsia="宋体" w:cs="Times New Roman"/>
                <w:szCs w:val="24"/>
              </w:rPr>
              <m:t>A</m:t>
            </m:r>
            <m:ctrlPr>
              <w:rPr>
                <w:rFonts w:ascii="Cambria Math" w:hAnsi="Cambria Math" w:eastAsia="宋体" w:cs="Times New Roman"/>
                <w:i/>
                <w:szCs w:val="24"/>
              </w:rPr>
            </m:ctrlPr>
          </m:e>
          <m:sub>
            <m:r>
              <m:rPr/>
              <w:rPr>
                <w:rFonts w:ascii="Cambria Math" w:hAnsi="Cambria Math" w:eastAsia="宋体" w:cs="Times New Roman"/>
                <w:szCs w:val="24"/>
              </w:rPr>
              <m:t>加</m:t>
            </m:r>
            <m:ctrlPr>
              <w:rPr>
                <w:rFonts w:ascii="Cambria Math" w:hAnsi="Cambria Math" w:eastAsia="宋体" w:cs="Times New Roman"/>
                <w:i/>
                <w:szCs w:val="24"/>
              </w:rPr>
            </m:ctrlPr>
          </m:sub>
        </m:sSub>
      </m:oMath>
      <w:r>
        <w:rPr>
          <w:rFonts w:hint="eastAsia" w:eastAsia="宋体" w:cs="Times New Roman"/>
          <w:szCs w:val="24"/>
        </w:rPr>
        <w:t xml:space="preserve">    （3.2.3-2）</w:t>
      </w:r>
    </w:p>
    <w:p>
      <w:pPr>
        <w:jc w:val="left"/>
        <w:rPr>
          <w:rFonts w:eastAsia="宋体" w:cs="Times New Roman"/>
          <w:szCs w:val="24"/>
        </w:rPr>
      </w:pPr>
    </w:p>
    <w:p>
      <w:pPr>
        <w:widowControl/>
        <w:jc w:val="left"/>
        <w:rPr>
          <w:rFonts w:eastAsia="宋体" w:cs="Times New Roman"/>
          <w:szCs w:val="24"/>
        </w:rPr>
      </w:pPr>
      <w:r>
        <w:rPr>
          <w:rFonts w:eastAsia="宋体" w:cs="Times New Roman"/>
          <w:szCs w:val="24"/>
        </w:rPr>
        <w:br w:type="page"/>
      </w:r>
    </w:p>
    <w:p>
      <w:pPr>
        <w:pStyle w:val="2"/>
        <w:jc w:val="center"/>
        <w:rPr>
          <w:kern w:val="2"/>
          <w:sz w:val="32"/>
          <w:szCs w:val="32"/>
        </w:rPr>
      </w:pPr>
      <w:bookmarkStart w:id="30" w:name="_Toc206760187"/>
      <w:bookmarkStart w:id="31" w:name="_Toc206757997"/>
      <w:r>
        <w:rPr>
          <w:kern w:val="2"/>
          <w:sz w:val="32"/>
          <w:szCs w:val="32"/>
        </w:rPr>
        <w:t>4</w:t>
      </w:r>
      <w:r>
        <w:rPr>
          <w:rFonts w:hint="eastAsia"/>
          <w:kern w:val="2"/>
          <w:sz w:val="32"/>
          <w:szCs w:val="32"/>
        </w:rPr>
        <w:t xml:space="preserve">  </w:t>
      </w:r>
      <w:r>
        <w:rPr>
          <w:kern w:val="2"/>
          <w:sz w:val="32"/>
          <w:szCs w:val="32"/>
        </w:rPr>
        <w:t>评定方法</w:t>
      </w:r>
      <w:bookmarkEnd w:id="30"/>
      <w:bookmarkEnd w:id="31"/>
    </w:p>
    <w:p>
      <w:pPr>
        <w:pStyle w:val="3"/>
        <w:spacing w:line="415" w:lineRule="auto"/>
        <w:rPr>
          <w:rFonts w:cs="Times New Roman"/>
          <w:bCs w:val="0"/>
          <w:kern w:val="0"/>
          <w:sz w:val="24"/>
          <w:szCs w:val="24"/>
        </w:rPr>
      </w:pPr>
      <w:bookmarkStart w:id="32" w:name="_Toc206757998"/>
      <w:bookmarkStart w:id="33" w:name="_Toc206760188"/>
      <w:r>
        <w:rPr>
          <w:rFonts w:cs="Times New Roman"/>
          <w:bCs w:val="0"/>
          <w:kern w:val="0"/>
          <w:sz w:val="24"/>
          <w:szCs w:val="24"/>
        </w:rPr>
        <w:t>4.1 一般规定</w:t>
      </w:r>
      <w:bookmarkEnd w:id="32"/>
      <w:bookmarkEnd w:id="33"/>
    </w:p>
    <w:p>
      <w:pPr>
        <w:rPr>
          <w:rFonts w:eastAsia="宋体" w:cs="Times New Roman"/>
          <w:szCs w:val="24"/>
        </w:rPr>
      </w:pPr>
      <w:r>
        <w:rPr>
          <w:rFonts w:hint="eastAsia" w:eastAsia="宋体" w:cs="Times New Roman"/>
          <w:b/>
          <w:bCs/>
          <w:szCs w:val="24"/>
        </w:rPr>
        <w:t>4.1.1</w:t>
      </w:r>
      <w:r>
        <w:rPr>
          <w:rFonts w:hint="eastAsia" w:eastAsia="宋体" w:cs="Times New Roman"/>
          <w:szCs w:val="24"/>
        </w:rPr>
        <w:t>防烟排烟系统构成的组件产品应进行可靠性评定，采用企业产品见证检验的方式，并取相同规格参数的产品进行抽样检测，最终评分取各项综合后所得的加权平均值。</w:t>
      </w:r>
    </w:p>
    <w:p>
      <w:pPr>
        <w:rPr>
          <w:rFonts w:eastAsia="宋体" w:cs="Times New Roman"/>
          <w:szCs w:val="24"/>
        </w:rPr>
      </w:pPr>
      <w:r>
        <w:rPr>
          <w:rFonts w:hint="eastAsia" w:eastAsia="宋体" w:cs="Times New Roman"/>
          <w:b/>
          <w:bCs/>
          <w:szCs w:val="24"/>
        </w:rPr>
        <w:t xml:space="preserve">4.1.2 </w:t>
      </w:r>
      <w:r>
        <w:rPr>
          <w:rFonts w:hint="eastAsia" w:eastAsia="宋体" w:cs="Times New Roman"/>
          <w:szCs w:val="24"/>
        </w:rPr>
        <w:t>防烟排烟系统的设计企业资质可靠性评定，主要考察参评企业的设计资质、企业质量管理体系、从业人员的技术职称与工作经历、项目送审施工图有关防排烟领域的设计质量。</w:t>
      </w:r>
    </w:p>
    <w:p>
      <w:pPr>
        <w:rPr>
          <w:rFonts w:eastAsia="宋体" w:cs="Times New Roman"/>
          <w:szCs w:val="24"/>
        </w:rPr>
      </w:pPr>
      <w:r>
        <w:rPr>
          <w:rFonts w:hint="eastAsia" w:eastAsia="宋体" w:cs="Times New Roman"/>
          <w:b/>
          <w:bCs/>
          <w:szCs w:val="24"/>
        </w:rPr>
        <w:t>4.1.3</w:t>
      </w:r>
      <w:r>
        <w:rPr>
          <w:rFonts w:hint="eastAsia" w:eastAsia="宋体" w:cs="Times New Roman"/>
          <w:szCs w:val="24"/>
        </w:rPr>
        <w:t xml:space="preserve"> 防烟排烟系统的施工企业资质可靠性评定，主要考察参评企业的施工资质、企业质量管理体系、从业人员的技术职称与工作经历、项目施工有关防排烟领域安装与调试的工程质量。</w:t>
      </w:r>
    </w:p>
    <w:p>
      <w:pPr>
        <w:rPr>
          <w:rFonts w:eastAsia="宋体" w:cs="Times New Roman"/>
          <w:szCs w:val="24"/>
        </w:rPr>
      </w:pPr>
      <w:r>
        <w:rPr>
          <w:rFonts w:hint="eastAsia" w:eastAsia="宋体" w:cs="Times New Roman"/>
          <w:b/>
          <w:bCs/>
          <w:szCs w:val="24"/>
        </w:rPr>
        <w:t xml:space="preserve">4.1.4 </w:t>
      </w:r>
      <w:r>
        <w:rPr>
          <w:rFonts w:hint="eastAsia" w:eastAsia="宋体" w:cs="Times New Roman"/>
          <w:szCs w:val="24"/>
        </w:rPr>
        <w:t>防烟排烟系统的可靠性评定应有一致性评定，宜包含有以下内容：</w:t>
      </w:r>
    </w:p>
    <w:p>
      <w:pPr>
        <w:ind w:firstLine="424" w:firstLineChars="177"/>
        <w:rPr>
          <w:rFonts w:eastAsia="宋体" w:cs="Times New Roman"/>
          <w:szCs w:val="24"/>
        </w:rPr>
      </w:pPr>
      <w:r>
        <w:rPr>
          <w:rFonts w:hint="eastAsia" w:eastAsia="宋体" w:cs="Times New Roman"/>
          <w:szCs w:val="24"/>
        </w:rPr>
        <w:t>1 相关设备、组件性能的一致性：批量生产的产品与认证形式检验合格样品的符合程度；</w:t>
      </w:r>
    </w:p>
    <w:p>
      <w:pPr>
        <w:ind w:firstLine="424" w:firstLineChars="177"/>
        <w:rPr>
          <w:rFonts w:eastAsia="宋体" w:cs="Times New Roman"/>
          <w:szCs w:val="24"/>
        </w:rPr>
      </w:pPr>
      <w:r>
        <w:rPr>
          <w:rFonts w:hint="eastAsia" w:eastAsia="宋体" w:cs="Times New Roman"/>
          <w:szCs w:val="24"/>
        </w:rPr>
        <w:t>2 设计的一致性：系统的排烟量、风压、管道布局、设备选型等是否符合设计文件的要求；</w:t>
      </w:r>
    </w:p>
    <w:p>
      <w:pPr>
        <w:ind w:firstLine="424" w:firstLineChars="177"/>
        <w:rPr>
          <w:rFonts w:eastAsia="宋体" w:cs="Times New Roman"/>
          <w:szCs w:val="24"/>
        </w:rPr>
      </w:pPr>
      <w:r>
        <w:rPr>
          <w:rFonts w:hint="eastAsia" w:eastAsia="宋体" w:cs="Times New Roman"/>
          <w:szCs w:val="24"/>
        </w:rPr>
        <w:t>3 施工安装的一致性：管道材质、连接方式、安装位置、保温措施等是否与设计图纸一致，有无偷工减料或违规改动；</w:t>
      </w:r>
    </w:p>
    <w:p>
      <w:pPr>
        <w:ind w:firstLine="424" w:firstLineChars="177"/>
        <w:rPr>
          <w:rFonts w:eastAsia="宋体" w:cs="Times New Roman"/>
          <w:szCs w:val="24"/>
        </w:rPr>
      </w:pPr>
      <w:r>
        <w:rPr>
          <w:rFonts w:hint="eastAsia" w:eastAsia="宋体" w:cs="Times New Roman"/>
          <w:szCs w:val="24"/>
        </w:rPr>
        <w:t>4 功能测试的一致性：系统联动调试时，排烟、补风、防火阀关闭等功能是否与设计预期一致，能否在火灾中有效运行。</w:t>
      </w:r>
    </w:p>
    <w:p>
      <w:pPr>
        <w:rPr>
          <w:rFonts w:eastAsia="宋体" w:cs="Times New Roman"/>
          <w:szCs w:val="24"/>
        </w:rPr>
      </w:pPr>
    </w:p>
    <w:p>
      <w:pPr>
        <w:widowControl/>
        <w:jc w:val="left"/>
        <w:rPr>
          <w:rFonts w:eastAsia="宋体" w:cs="Times New Roman"/>
          <w:szCs w:val="21"/>
        </w:rPr>
      </w:pPr>
      <w:r>
        <w:rPr>
          <w:rFonts w:eastAsia="宋体" w:cs="Times New Roman"/>
          <w:szCs w:val="21"/>
        </w:rPr>
        <w:br w:type="page"/>
      </w:r>
    </w:p>
    <w:p>
      <w:pPr>
        <w:rPr>
          <w:rFonts w:eastAsia="宋体" w:cs="Times New Roman"/>
          <w:szCs w:val="24"/>
        </w:rPr>
        <w:sectPr>
          <w:headerReference r:id="rId6" w:type="default"/>
          <w:footerReference r:id="rId7" w:type="default"/>
          <w:pgSz w:w="11906" w:h="16838"/>
          <w:pgMar w:top="1440" w:right="1797" w:bottom="1440" w:left="1797" w:header="851" w:footer="992" w:gutter="0"/>
          <w:pgNumType w:start="1"/>
          <w:cols w:space="425" w:num="1"/>
          <w:docGrid w:type="lines" w:linePitch="312" w:charSpace="0"/>
        </w:sectPr>
      </w:pPr>
    </w:p>
    <w:p>
      <w:pPr>
        <w:pStyle w:val="3"/>
        <w:spacing w:line="415" w:lineRule="auto"/>
        <w:rPr>
          <w:rFonts w:cs="Times New Roman"/>
          <w:bCs w:val="0"/>
          <w:kern w:val="0"/>
          <w:sz w:val="24"/>
          <w:szCs w:val="24"/>
        </w:rPr>
      </w:pPr>
      <w:bookmarkStart w:id="34" w:name="_Toc206760189"/>
      <w:bookmarkStart w:id="35" w:name="_Toc206757999"/>
      <w:r>
        <w:rPr>
          <w:rFonts w:cs="Times New Roman"/>
          <w:bCs w:val="0"/>
          <w:kern w:val="0"/>
          <w:sz w:val="24"/>
          <w:szCs w:val="24"/>
        </w:rPr>
        <w:t>4.2</w:t>
      </w:r>
      <w:r>
        <w:rPr>
          <w:rFonts w:hint="eastAsia" w:cs="Times New Roman"/>
          <w:bCs w:val="0"/>
          <w:kern w:val="0"/>
          <w:sz w:val="24"/>
          <w:szCs w:val="24"/>
        </w:rPr>
        <w:t xml:space="preserve"> </w:t>
      </w:r>
      <w:r>
        <w:rPr>
          <w:rFonts w:cs="Times New Roman"/>
          <w:bCs w:val="0"/>
          <w:kern w:val="0"/>
          <w:sz w:val="24"/>
          <w:szCs w:val="24"/>
        </w:rPr>
        <w:t xml:space="preserve"> 评定内容</w:t>
      </w:r>
      <w:r>
        <w:rPr>
          <w:rFonts w:hint="eastAsia" w:cs="Times New Roman"/>
          <w:bCs w:val="0"/>
          <w:kern w:val="0"/>
          <w:sz w:val="24"/>
          <w:szCs w:val="24"/>
        </w:rPr>
        <w:t>与评分标准</w:t>
      </w:r>
      <w:bookmarkEnd w:id="34"/>
      <w:bookmarkEnd w:id="35"/>
    </w:p>
    <w:p>
      <w:pPr>
        <w:rPr>
          <w:rFonts w:hint="eastAsia" w:asciiTheme="minorEastAsia" w:hAnsiTheme="minorEastAsia"/>
          <w:szCs w:val="24"/>
        </w:rPr>
      </w:pPr>
      <w:bookmarkStart w:id="36" w:name="_Toc206760190"/>
      <w:bookmarkStart w:id="37" w:name="_Toc206758000"/>
      <w:r>
        <w:rPr>
          <w:rFonts w:asciiTheme="minorEastAsia" w:hAnsiTheme="minorEastAsia"/>
          <w:szCs w:val="24"/>
        </w:rPr>
        <w:t xml:space="preserve">4.2.1 </w:t>
      </w:r>
      <w:bookmarkStart w:id="38" w:name="OLE_LINK2"/>
      <w:r>
        <w:rPr>
          <w:rFonts w:asciiTheme="minorEastAsia" w:hAnsiTheme="minorEastAsia"/>
          <w:szCs w:val="24"/>
        </w:rPr>
        <w:t>防火阀</w:t>
      </w:r>
      <w:r>
        <w:rPr>
          <w:rFonts w:hint="eastAsia" w:asciiTheme="minorEastAsia" w:hAnsiTheme="minorEastAsia"/>
          <w:szCs w:val="24"/>
        </w:rPr>
        <w:t>、排烟防火阀</w:t>
      </w:r>
      <w:bookmarkEnd w:id="36"/>
      <w:bookmarkEnd w:id="37"/>
      <w:bookmarkEnd w:id="38"/>
      <w:r>
        <w:rPr>
          <w:rFonts w:hint="eastAsia" w:asciiTheme="minorEastAsia" w:hAnsiTheme="minorEastAsia"/>
          <w:szCs w:val="24"/>
        </w:rPr>
        <w:t>的控制项评定、评分项评定、优选项评定，应分别符合表</w:t>
      </w:r>
      <w:r>
        <w:rPr>
          <w:rFonts w:cs="Times New Roman" w:asciiTheme="minorEastAsia" w:hAnsiTheme="minorEastAsia"/>
          <w:szCs w:val="24"/>
        </w:rPr>
        <w:t>4.2.1</w:t>
      </w:r>
      <w:r>
        <w:rPr>
          <w:rFonts w:hint="eastAsia" w:cs="Times New Roman" w:asciiTheme="minorEastAsia" w:hAnsiTheme="minorEastAsia"/>
          <w:szCs w:val="24"/>
        </w:rPr>
        <w:t>-</w:t>
      </w:r>
      <w:r>
        <w:rPr>
          <w:rFonts w:cs="Times New Roman" w:asciiTheme="minorEastAsia" w:hAnsiTheme="minorEastAsia"/>
          <w:szCs w:val="24"/>
        </w:rPr>
        <w:t>1</w:t>
      </w:r>
      <w:r>
        <w:rPr>
          <w:rFonts w:hint="eastAsia" w:asciiTheme="minorEastAsia" w:hAnsiTheme="minorEastAsia"/>
          <w:szCs w:val="24"/>
        </w:rPr>
        <w:t>、表</w:t>
      </w:r>
      <w:r>
        <w:rPr>
          <w:rFonts w:cs="Times New Roman" w:asciiTheme="minorEastAsia" w:hAnsiTheme="minorEastAsia"/>
          <w:szCs w:val="24"/>
        </w:rPr>
        <w:t>4.2.1</w:t>
      </w:r>
      <w:r>
        <w:rPr>
          <w:rFonts w:hint="eastAsia" w:cs="Times New Roman" w:asciiTheme="minorEastAsia" w:hAnsiTheme="minorEastAsia"/>
          <w:szCs w:val="24"/>
        </w:rPr>
        <w:t>-</w:t>
      </w:r>
      <w:r>
        <w:rPr>
          <w:rFonts w:cs="Times New Roman" w:asciiTheme="minorEastAsia" w:hAnsiTheme="minorEastAsia"/>
          <w:szCs w:val="24"/>
        </w:rPr>
        <w:t>2</w:t>
      </w:r>
      <w:r>
        <w:rPr>
          <w:rFonts w:hint="eastAsia" w:asciiTheme="minorEastAsia" w:hAnsiTheme="minorEastAsia"/>
          <w:szCs w:val="24"/>
        </w:rPr>
        <w:t>、表</w:t>
      </w:r>
      <w:r>
        <w:rPr>
          <w:rFonts w:cs="Times New Roman" w:asciiTheme="minorEastAsia" w:hAnsiTheme="minorEastAsia"/>
          <w:szCs w:val="24"/>
        </w:rPr>
        <w:t>4.2.1</w:t>
      </w:r>
      <w:r>
        <w:rPr>
          <w:rFonts w:hint="eastAsia" w:cs="Times New Roman" w:asciiTheme="minorEastAsia" w:hAnsiTheme="minorEastAsia"/>
          <w:szCs w:val="24"/>
        </w:rPr>
        <w:t>-</w:t>
      </w:r>
      <w:r>
        <w:rPr>
          <w:rFonts w:cs="Times New Roman" w:asciiTheme="minorEastAsia" w:hAnsiTheme="minorEastAsia"/>
          <w:szCs w:val="24"/>
        </w:rPr>
        <w:t>3</w:t>
      </w:r>
      <w:r>
        <w:rPr>
          <w:rFonts w:hint="eastAsia" w:cs="Times New Roman" w:asciiTheme="minorEastAsia" w:hAnsiTheme="minorEastAsia"/>
          <w:szCs w:val="24"/>
        </w:rPr>
        <w:t>的规定</w:t>
      </w:r>
      <w:r>
        <w:rPr>
          <w:rFonts w:hint="eastAsia" w:asciiTheme="minorEastAsia" w:hAnsiTheme="minorEastAsia"/>
          <w:szCs w:val="24"/>
        </w:rPr>
        <w:t>。</w:t>
      </w:r>
    </w:p>
    <w:p>
      <w:pPr>
        <w:jc w:val="center"/>
      </w:pPr>
      <w:bookmarkStart w:id="39" w:name="OLE_LINK8"/>
      <w:r>
        <w:rPr>
          <w:rFonts w:hint="eastAsia" w:ascii="宋体" w:hAnsi="宋体" w:eastAsia="宋体"/>
        </w:rPr>
        <w:t>表</w:t>
      </w:r>
      <w:r>
        <w:t xml:space="preserve">4.2.1-1 </w:t>
      </w:r>
      <w:r>
        <w:rPr>
          <w:rFonts w:hint="eastAsia" w:ascii="宋体" w:hAnsi="宋体" w:eastAsia="宋体"/>
        </w:rPr>
        <w:t>防火阀、排烟防火阀控制项评定表</w:t>
      </w:r>
    </w:p>
    <w:bookmarkEnd w:id="39"/>
    <w:tbl>
      <w:tblPr>
        <w:tblStyle w:val="17"/>
        <w:tblW w:w="13178" w:type="dxa"/>
        <w:jc w:val="center"/>
        <w:tblLayout w:type="fixed"/>
        <w:tblCellMar>
          <w:top w:w="0" w:type="dxa"/>
          <w:left w:w="108" w:type="dxa"/>
          <w:bottom w:w="0" w:type="dxa"/>
          <w:right w:w="108" w:type="dxa"/>
        </w:tblCellMar>
      </w:tblPr>
      <w:tblGrid>
        <w:gridCol w:w="704"/>
        <w:gridCol w:w="1985"/>
        <w:gridCol w:w="2976"/>
        <w:gridCol w:w="2268"/>
        <w:gridCol w:w="5245"/>
      </w:tblGrid>
      <w:tr>
        <w:tblPrEx>
          <w:tblCellMar>
            <w:top w:w="0" w:type="dxa"/>
            <w:left w:w="108" w:type="dxa"/>
            <w:bottom w:w="0" w:type="dxa"/>
            <w:right w:w="108" w:type="dxa"/>
          </w:tblCellMar>
        </w:tblPrEx>
        <w:trPr>
          <w:trHeight w:val="285" w:hRule="atLeast"/>
          <w:tblHeader/>
          <w:jc w:val="center"/>
        </w:trPr>
        <w:tc>
          <w:tcPr>
            <w:tcW w:w="704"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top"/>
              <w:rPr>
                <w:rFonts w:eastAsia="宋体" w:cs="Times New Roman"/>
                <w:b/>
                <w:bCs/>
                <w:szCs w:val="21"/>
              </w:rPr>
            </w:pPr>
            <w:r>
              <w:rPr>
                <w:rFonts w:eastAsia="宋体" w:cs="Times New Roman"/>
                <w:b/>
                <w:bCs/>
                <w:kern w:val="0"/>
                <w:szCs w:val="21"/>
                <w:lang w:bidi="ar"/>
              </w:rPr>
              <w:t>序号</w:t>
            </w:r>
          </w:p>
        </w:tc>
        <w:tc>
          <w:tcPr>
            <w:tcW w:w="1985" w:type="dxa"/>
            <w:tcBorders>
              <w:top w:val="single" w:color="auto" w:sz="4" w:space="0"/>
              <w:left w:val="nil"/>
              <w:bottom w:val="single" w:color="auto" w:sz="4" w:space="0"/>
              <w:right w:val="single" w:color="auto" w:sz="4" w:space="0"/>
            </w:tcBorders>
            <w:noWrap/>
          </w:tcPr>
          <w:p>
            <w:pPr>
              <w:widowControl/>
              <w:jc w:val="center"/>
              <w:textAlignment w:val="top"/>
              <w:rPr>
                <w:rFonts w:eastAsia="宋体" w:cs="Times New Roman"/>
                <w:b/>
                <w:bCs/>
                <w:szCs w:val="21"/>
              </w:rPr>
            </w:pPr>
            <w:r>
              <w:rPr>
                <w:rFonts w:hint="eastAsia" w:eastAsia="宋体" w:cs="Times New Roman"/>
                <w:b/>
                <w:bCs/>
                <w:kern w:val="0"/>
                <w:szCs w:val="21"/>
                <w:lang w:bidi="ar"/>
              </w:rPr>
              <w:t>评定指标</w:t>
            </w:r>
          </w:p>
        </w:tc>
        <w:tc>
          <w:tcPr>
            <w:tcW w:w="2976" w:type="dxa"/>
            <w:tcBorders>
              <w:top w:val="single" w:color="auto" w:sz="4" w:space="0"/>
              <w:left w:val="nil"/>
              <w:bottom w:val="single" w:color="auto" w:sz="4" w:space="0"/>
              <w:right w:val="single" w:color="auto" w:sz="4" w:space="0"/>
            </w:tcBorders>
          </w:tcPr>
          <w:p>
            <w:pPr>
              <w:widowControl/>
              <w:jc w:val="center"/>
              <w:textAlignment w:val="top"/>
              <w:rPr>
                <w:rFonts w:eastAsia="宋体" w:cs="Times New Roman"/>
                <w:b/>
                <w:bCs/>
                <w:szCs w:val="21"/>
              </w:rPr>
            </w:pPr>
            <w:r>
              <w:rPr>
                <w:rFonts w:eastAsia="宋体" w:cs="Times New Roman"/>
                <w:b/>
                <w:bCs/>
                <w:kern w:val="0"/>
                <w:szCs w:val="21"/>
                <w:lang w:bidi="ar"/>
              </w:rPr>
              <w:t>控制项</w:t>
            </w:r>
          </w:p>
        </w:tc>
        <w:tc>
          <w:tcPr>
            <w:tcW w:w="2268" w:type="dxa"/>
            <w:tcBorders>
              <w:top w:val="single" w:color="auto" w:sz="4" w:space="0"/>
              <w:left w:val="nil"/>
              <w:bottom w:val="single" w:color="auto" w:sz="4" w:space="0"/>
              <w:right w:val="single" w:color="auto" w:sz="4" w:space="0"/>
            </w:tcBorders>
          </w:tcPr>
          <w:p>
            <w:pPr>
              <w:widowControl/>
              <w:jc w:val="center"/>
              <w:textAlignment w:val="top"/>
              <w:rPr>
                <w:rFonts w:eastAsia="宋体" w:cs="Times New Roman"/>
                <w:b/>
                <w:bCs/>
                <w:kern w:val="0"/>
                <w:szCs w:val="21"/>
                <w:lang w:bidi="ar"/>
              </w:rPr>
            </w:pPr>
            <w:r>
              <w:rPr>
                <w:rFonts w:eastAsia="宋体" w:cs="Times New Roman"/>
                <w:b/>
                <w:bCs/>
                <w:kern w:val="0"/>
                <w:szCs w:val="21"/>
                <w:lang w:bidi="ar"/>
              </w:rPr>
              <w:t>评定方法</w:t>
            </w:r>
          </w:p>
        </w:tc>
        <w:tc>
          <w:tcPr>
            <w:tcW w:w="5245" w:type="dxa"/>
            <w:tcBorders>
              <w:top w:val="single" w:color="auto" w:sz="4" w:space="0"/>
              <w:left w:val="single" w:color="auto" w:sz="4" w:space="0"/>
              <w:bottom w:val="single" w:color="auto" w:sz="4" w:space="0"/>
              <w:right w:val="single" w:color="auto" w:sz="4" w:space="0"/>
            </w:tcBorders>
          </w:tcPr>
          <w:p>
            <w:pPr>
              <w:widowControl/>
              <w:jc w:val="center"/>
              <w:textAlignment w:val="top"/>
              <w:rPr>
                <w:rFonts w:eastAsia="宋体" w:cs="Times New Roman"/>
                <w:b/>
                <w:bCs/>
                <w:kern w:val="0"/>
                <w:szCs w:val="21"/>
                <w:lang w:bidi="ar"/>
              </w:rPr>
            </w:pPr>
            <w:r>
              <w:rPr>
                <w:rFonts w:eastAsia="宋体" w:cs="Times New Roman"/>
                <w:b/>
                <w:bCs/>
                <w:kern w:val="0"/>
                <w:szCs w:val="21"/>
                <w:lang w:bidi="ar"/>
              </w:rPr>
              <w:t>说明</w:t>
            </w:r>
          </w:p>
        </w:tc>
      </w:tr>
      <w:tr>
        <w:tblPrEx>
          <w:tblCellMar>
            <w:top w:w="0" w:type="dxa"/>
            <w:left w:w="108" w:type="dxa"/>
            <w:bottom w:w="0" w:type="dxa"/>
            <w:right w:w="108" w:type="dxa"/>
          </w:tblCellMar>
        </w:tblPrEx>
        <w:trPr>
          <w:trHeight w:val="855" w:hRule="atLeast"/>
          <w:jc w:val="center"/>
        </w:trPr>
        <w:tc>
          <w:tcPr>
            <w:tcW w:w="704"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top"/>
              <w:rPr>
                <w:rFonts w:hint="eastAsia" w:ascii="宋体" w:hAnsi="宋体" w:eastAsia="宋体" w:cs="Times New Roman"/>
                <w:szCs w:val="21"/>
              </w:rPr>
            </w:pPr>
            <w:r>
              <w:rPr>
                <w:rFonts w:hint="eastAsia" w:ascii="宋体" w:hAnsi="宋体" w:eastAsia="宋体" w:cs="Times New Roman"/>
                <w:szCs w:val="21"/>
              </w:rPr>
              <w:t>1</w:t>
            </w:r>
          </w:p>
        </w:tc>
        <w:tc>
          <w:tcPr>
            <w:tcW w:w="1985" w:type="dxa"/>
            <w:tcBorders>
              <w:top w:val="single" w:color="auto" w:sz="4" w:space="0"/>
              <w:left w:val="nil"/>
              <w:bottom w:val="single" w:color="auto" w:sz="4" w:space="0"/>
              <w:right w:val="single" w:color="auto" w:sz="4" w:space="0"/>
            </w:tcBorders>
            <w:noWrap/>
            <w:vAlign w:val="center"/>
          </w:tcPr>
          <w:p>
            <w:pPr>
              <w:widowControl/>
              <w:jc w:val="center"/>
              <w:textAlignment w:val="top"/>
              <w:rPr>
                <w:rFonts w:hint="eastAsia" w:ascii="宋体" w:hAnsi="宋体" w:eastAsia="宋体" w:cs="Times New Roman"/>
                <w:szCs w:val="21"/>
              </w:rPr>
            </w:pPr>
            <w:r>
              <w:rPr>
                <w:rFonts w:hint="eastAsia" w:ascii="宋体" w:hAnsi="宋体" w:eastAsia="宋体" w:cs="Times New Roman"/>
                <w:szCs w:val="21"/>
              </w:rPr>
              <w:t>温感器性能</w:t>
            </w:r>
          </w:p>
        </w:tc>
        <w:tc>
          <w:tcPr>
            <w:tcW w:w="2976" w:type="dxa"/>
            <w:tcBorders>
              <w:top w:val="single" w:color="auto" w:sz="4" w:space="0"/>
              <w:left w:val="nil"/>
              <w:bottom w:val="single" w:color="auto" w:sz="4" w:space="0"/>
              <w:right w:val="single" w:color="auto" w:sz="4" w:space="0"/>
            </w:tcBorders>
            <w:vAlign w:val="center"/>
          </w:tcPr>
          <w:p>
            <w:pPr>
              <w:widowControl/>
              <w:jc w:val="center"/>
              <w:textAlignment w:val="top"/>
              <w:rPr>
                <w:rFonts w:hint="eastAsia" w:ascii="宋体" w:hAnsi="宋体" w:eastAsia="宋体" w:cs="Times New Roman"/>
                <w:szCs w:val="21"/>
              </w:rPr>
            </w:pPr>
            <w:r>
              <w:rPr>
                <w:rFonts w:hint="eastAsia" w:ascii="宋体" w:hAnsi="宋体" w:eastAsia="宋体" w:cs="Times New Roman"/>
                <w:szCs w:val="21"/>
              </w:rPr>
              <w:t>满足</w:t>
            </w:r>
            <w:bookmarkStart w:id="40" w:name="OLE_LINK3"/>
            <w:r>
              <w:rPr>
                <w:rFonts w:hint="eastAsia" w:ascii="宋体" w:hAnsi="宋体" w:eastAsia="宋体" w:cs="Times New Roman"/>
                <w:szCs w:val="21"/>
              </w:rPr>
              <w:t>《建筑通风和排烟系统用防火阀门》</w:t>
            </w:r>
            <w:bookmarkEnd w:id="40"/>
            <w:r>
              <w:rPr>
                <w:rFonts w:hint="eastAsia" w:ascii="宋体" w:hAnsi="宋体" w:eastAsia="宋体" w:cs="Times New Roman"/>
                <w:szCs w:val="21"/>
              </w:rPr>
              <w:t>GB 15930 温感器控制相关条款的要求。</w:t>
            </w:r>
          </w:p>
        </w:tc>
        <w:tc>
          <w:tcPr>
            <w:tcW w:w="2268" w:type="dxa"/>
            <w:tcBorders>
              <w:top w:val="single" w:color="auto" w:sz="4" w:space="0"/>
              <w:left w:val="nil"/>
              <w:bottom w:val="single" w:color="auto" w:sz="4" w:space="0"/>
              <w:right w:val="single" w:color="auto" w:sz="4" w:space="0"/>
            </w:tcBorders>
            <w:vAlign w:val="center"/>
          </w:tcPr>
          <w:p>
            <w:pPr>
              <w:widowControl/>
              <w:jc w:val="center"/>
              <w:textAlignment w:val="top"/>
              <w:rPr>
                <w:rFonts w:hint="eastAsia" w:ascii="宋体" w:hAnsi="宋体" w:eastAsia="宋体" w:cs="Times New Roman"/>
                <w:kern w:val="0"/>
                <w:szCs w:val="21"/>
                <w:lang w:bidi="ar"/>
              </w:rPr>
            </w:pPr>
            <w:r>
              <w:rPr>
                <w:rFonts w:hint="eastAsia" w:ascii="宋体" w:hAnsi="宋体" w:eastAsia="宋体" w:cs="Times New Roman"/>
                <w:szCs w:val="21"/>
              </w:rPr>
              <w:t>不满足直接判定为</w:t>
            </w:r>
            <w:r>
              <w:rPr>
                <w:rFonts w:hint="eastAsia" w:ascii="宋体" w:hAnsi="宋体" w:eastAsia="宋体" w:cs="Times New Roman"/>
                <w:b/>
                <w:bCs/>
                <w:szCs w:val="21"/>
              </w:rPr>
              <w:t>D级</w:t>
            </w:r>
          </w:p>
        </w:tc>
        <w:tc>
          <w:tcPr>
            <w:tcW w:w="5245" w:type="dxa"/>
            <w:tcBorders>
              <w:top w:val="single" w:color="auto" w:sz="4" w:space="0"/>
              <w:left w:val="nil"/>
              <w:bottom w:val="single" w:color="auto" w:sz="4" w:space="0"/>
              <w:right w:val="single" w:color="auto" w:sz="4" w:space="0"/>
            </w:tcBorders>
            <w:vAlign w:val="center"/>
          </w:tcPr>
          <w:p>
            <w:pPr>
              <w:widowControl/>
              <w:textAlignment w:val="top"/>
              <w:rPr>
                <w:rFonts w:hint="eastAsia" w:ascii="宋体" w:hAnsi="宋体" w:eastAsia="宋体" w:cs="Times New Roman"/>
                <w:szCs w:val="21"/>
              </w:rPr>
            </w:pPr>
            <w:r>
              <w:rPr>
                <w:rFonts w:hint="eastAsia" w:ascii="宋体" w:hAnsi="宋体" w:eastAsia="宋体" w:cs="Times New Roman"/>
                <w:szCs w:val="21"/>
              </w:rPr>
              <w:t>1. 额定动作温度为70℃的防火阀中的温控释放装置在65±0.5℃的恒温水中5min内应不动作。</w:t>
            </w:r>
          </w:p>
          <w:p>
            <w:pPr>
              <w:widowControl/>
              <w:textAlignment w:val="top"/>
              <w:rPr>
                <w:rFonts w:hint="eastAsia" w:ascii="宋体" w:hAnsi="宋体" w:eastAsia="宋体" w:cs="Times New Roman"/>
                <w:szCs w:val="21"/>
              </w:rPr>
            </w:pPr>
            <w:r>
              <w:rPr>
                <w:rFonts w:hint="eastAsia" w:ascii="宋体" w:hAnsi="宋体" w:eastAsia="宋体" w:cs="Times New Roman"/>
                <w:szCs w:val="21"/>
              </w:rPr>
              <w:t>2. 额定动作温度为150℃的防火阀中的温控释放装置在140±2℃的恒温油中5min内应不动作。</w:t>
            </w:r>
          </w:p>
          <w:p>
            <w:pPr>
              <w:widowControl/>
              <w:textAlignment w:val="top"/>
              <w:rPr>
                <w:rFonts w:hint="eastAsia" w:ascii="宋体" w:hAnsi="宋体" w:eastAsia="宋体" w:cs="Times New Roman"/>
                <w:szCs w:val="21"/>
              </w:rPr>
            </w:pPr>
            <w:r>
              <w:rPr>
                <w:rFonts w:hint="eastAsia" w:ascii="宋体" w:hAnsi="宋体" w:eastAsia="宋体" w:cs="Times New Roman"/>
                <w:szCs w:val="21"/>
              </w:rPr>
              <w:t>3. 排烟防火阀中的温控释放装置在250±2℃的恒温油中5min内应不动作。</w:t>
            </w:r>
          </w:p>
          <w:p>
            <w:pPr>
              <w:widowControl/>
              <w:textAlignment w:val="top"/>
              <w:rPr>
                <w:rFonts w:hint="eastAsia" w:ascii="宋体" w:hAnsi="宋体" w:eastAsia="宋体" w:cs="Times New Roman"/>
                <w:szCs w:val="21"/>
              </w:rPr>
            </w:pPr>
            <w:r>
              <w:rPr>
                <w:rFonts w:hint="eastAsia" w:ascii="宋体" w:hAnsi="宋体" w:eastAsia="宋体" w:cs="Times New Roman"/>
                <w:szCs w:val="21"/>
              </w:rPr>
              <w:t>4. 额定动作温度为70℃的防火阀中的温控释放装置在73±0.5℃的恒温水中1min内应动作。</w:t>
            </w:r>
          </w:p>
          <w:p>
            <w:pPr>
              <w:widowControl/>
              <w:textAlignment w:val="top"/>
              <w:rPr>
                <w:rFonts w:hint="eastAsia" w:ascii="宋体" w:hAnsi="宋体" w:eastAsia="宋体" w:cs="Times New Roman"/>
                <w:szCs w:val="21"/>
              </w:rPr>
            </w:pPr>
            <w:r>
              <w:rPr>
                <w:rFonts w:hint="eastAsia" w:ascii="宋体" w:hAnsi="宋体" w:eastAsia="宋体" w:cs="Times New Roman"/>
                <w:szCs w:val="21"/>
              </w:rPr>
              <w:t>5. 额定动作温度为150℃的防火阀中的温控释放装置在156±2℃的恒温油中1min内应动作。</w:t>
            </w:r>
          </w:p>
          <w:p>
            <w:pPr>
              <w:widowControl/>
              <w:textAlignment w:val="top"/>
              <w:rPr>
                <w:rFonts w:hint="eastAsia" w:ascii="宋体" w:hAnsi="宋体" w:eastAsia="宋体" w:cs="Times New Roman"/>
                <w:kern w:val="0"/>
                <w:szCs w:val="21"/>
                <w:lang w:bidi="ar"/>
              </w:rPr>
            </w:pPr>
            <w:r>
              <w:rPr>
                <w:rFonts w:hint="eastAsia" w:ascii="宋体" w:hAnsi="宋体" w:eastAsia="宋体" w:cs="Times New Roman"/>
                <w:szCs w:val="21"/>
              </w:rPr>
              <w:t>6. 排烟防火阀中的温控释放装置在285±2℃的恒温油中2min内应动作。</w:t>
            </w:r>
          </w:p>
        </w:tc>
      </w:tr>
      <w:tr>
        <w:tblPrEx>
          <w:tblCellMar>
            <w:top w:w="0" w:type="dxa"/>
            <w:left w:w="108" w:type="dxa"/>
            <w:bottom w:w="0" w:type="dxa"/>
            <w:right w:w="108" w:type="dxa"/>
          </w:tblCellMar>
        </w:tblPrEx>
        <w:trPr>
          <w:trHeight w:val="855" w:hRule="atLeast"/>
          <w:jc w:val="center"/>
        </w:trPr>
        <w:tc>
          <w:tcPr>
            <w:tcW w:w="704" w:type="dxa"/>
            <w:tcBorders>
              <w:top w:val="nil"/>
              <w:left w:val="single" w:color="auto" w:sz="4" w:space="0"/>
              <w:bottom w:val="single" w:color="auto" w:sz="4" w:space="0"/>
              <w:right w:val="single" w:color="auto" w:sz="4" w:space="0"/>
            </w:tcBorders>
            <w:noWrap/>
            <w:vAlign w:val="center"/>
          </w:tcPr>
          <w:p>
            <w:pPr>
              <w:widowControl/>
              <w:jc w:val="center"/>
              <w:textAlignment w:val="top"/>
              <w:rPr>
                <w:rFonts w:hint="eastAsia" w:ascii="宋体" w:hAnsi="宋体" w:eastAsia="宋体" w:cs="Times New Roman"/>
                <w:szCs w:val="21"/>
              </w:rPr>
            </w:pPr>
            <w:r>
              <w:rPr>
                <w:rFonts w:hint="eastAsia" w:ascii="宋体" w:hAnsi="宋体" w:eastAsia="宋体" w:cs="Times New Roman"/>
                <w:szCs w:val="21"/>
              </w:rPr>
              <w:t>2</w:t>
            </w:r>
          </w:p>
        </w:tc>
        <w:tc>
          <w:tcPr>
            <w:tcW w:w="1985" w:type="dxa"/>
            <w:tcBorders>
              <w:top w:val="nil"/>
              <w:left w:val="nil"/>
              <w:bottom w:val="single" w:color="auto" w:sz="4" w:space="0"/>
              <w:right w:val="single" w:color="auto" w:sz="4" w:space="0"/>
            </w:tcBorders>
            <w:noWrap/>
            <w:vAlign w:val="center"/>
          </w:tcPr>
          <w:p>
            <w:pPr>
              <w:widowControl/>
              <w:jc w:val="center"/>
              <w:textAlignment w:val="top"/>
              <w:rPr>
                <w:rFonts w:hint="eastAsia" w:ascii="宋体" w:hAnsi="宋体" w:eastAsia="宋体" w:cs="Times New Roman"/>
                <w:szCs w:val="21"/>
              </w:rPr>
            </w:pPr>
            <w:r>
              <w:rPr>
                <w:rFonts w:hint="eastAsia" w:ascii="宋体" w:hAnsi="宋体" w:eastAsia="宋体" w:cs="Times New Roman"/>
                <w:szCs w:val="21"/>
              </w:rPr>
              <w:t>响应延迟</w:t>
            </w:r>
          </w:p>
          <w:p>
            <w:pPr>
              <w:widowControl/>
              <w:jc w:val="center"/>
              <w:textAlignment w:val="top"/>
              <w:rPr>
                <w:rFonts w:hint="eastAsia" w:ascii="宋体" w:hAnsi="宋体" w:eastAsia="宋体" w:cs="Times New Roman"/>
                <w:szCs w:val="21"/>
              </w:rPr>
            </w:pPr>
            <w:r>
              <w:rPr>
                <w:rFonts w:hint="eastAsia" w:ascii="宋体" w:hAnsi="宋体" w:eastAsia="宋体" w:cs="Times New Roman"/>
                <w:szCs w:val="21"/>
              </w:rPr>
              <w:t>（关闭时间）</w:t>
            </w:r>
          </w:p>
        </w:tc>
        <w:tc>
          <w:tcPr>
            <w:tcW w:w="2976" w:type="dxa"/>
            <w:tcBorders>
              <w:top w:val="nil"/>
              <w:left w:val="nil"/>
              <w:bottom w:val="single" w:color="auto" w:sz="4" w:space="0"/>
              <w:right w:val="single" w:color="auto" w:sz="4" w:space="0"/>
            </w:tcBorders>
            <w:vAlign w:val="center"/>
          </w:tcPr>
          <w:p>
            <w:pPr>
              <w:widowControl/>
              <w:jc w:val="center"/>
              <w:textAlignment w:val="top"/>
              <w:rPr>
                <w:rFonts w:hint="eastAsia" w:ascii="宋体" w:hAnsi="宋体" w:eastAsia="宋体" w:cs="Times New Roman"/>
                <w:szCs w:val="21"/>
              </w:rPr>
            </w:pPr>
            <w:r>
              <w:rPr>
                <w:rFonts w:hint="eastAsia" w:ascii="宋体" w:hAnsi="宋体" w:eastAsia="宋体" w:cs="Times New Roman"/>
                <w:szCs w:val="21"/>
              </w:rPr>
              <w:t>满足《建筑通风和排烟系统用防火阀门》GB 15930 耐火性能试验相关要求</w:t>
            </w:r>
          </w:p>
        </w:tc>
        <w:tc>
          <w:tcPr>
            <w:tcW w:w="2268" w:type="dxa"/>
            <w:tcBorders>
              <w:top w:val="nil"/>
              <w:left w:val="nil"/>
              <w:bottom w:val="single" w:color="auto" w:sz="4" w:space="0"/>
              <w:right w:val="single" w:color="auto" w:sz="4" w:space="0"/>
            </w:tcBorders>
            <w:vAlign w:val="center"/>
          </w:tcPr>
          <w:p>
            <w:pPr>
              <w:widowControl/>
              <w:jc w:val="center"/>
              <w:textAlignment w:val="top"/>
              <w:rPr>
                <w:rFonts w:hint="eastAsia" w:ascii="宋体" w:hAnsi="宋体" w:eastAsia="宋体" w:cs="Times New Roman"/>
                <w:kern w:val="0"/>
                <w:szCs w:val="21"/>
                <w:lang w:bidi="ar"/>
              </w:rPr>
            </w:pPr>
            <w:r>
              <w:rPr>
                <w:rFonts w:hint="eastAsia" w:ascii="宋体" w:hAnsi="宋体" w:eastAsia="宋体" w:cs="Times New Roman"/>
                <w:szCs w:val="21"/>
              </w:rPr>
              <w:t>不满足直接判定为</w:t>
            </w:r>
            <w:r>
              <w:rPr>
                <w:rFonts w:hint="eastAsia" w:ascii="宋体" w:hAnsi="宋体" w:eastAsia="宋体" w:cs="Times New Roman"/>
                <w:b/>
                <w:bCs/>
                <w:szCs w:val="21"/>
              </w:rPr>
              <w:t>D级</w:t>
            </w:r>
          </w:p>
        </w:tc>
        <w:tc>
          <w:tcPr>
            <w:tcW w:w="5245" w:type="dxa"/>
            <w:tcBorders>
              <w:top w:val="nil"/>
              <w:left w:val="nil"/>
              <w:bottom w:val="single" w:color="auto" w:sz="4" w:space="0"/>
              <w:right w:val="single" w:color="auto" w:sz="4" w:space="0"/>
            </w:tcBorders>
            <w:vAlign w:val="center"/>
          </w:tcPr>
          <w:p>
            <w:pPr>
              <w:widowControl/>
              <w:textAlignment w:val="top"/>
              <w:rPr>
                <w:rFonts w:hint="eastAsia" w:ascii="宋体" w:hAnsi="宋体" w:eastAsia="宋体" w:cs="Times New Roman"/>
                <w:szCs w:val="21"/>
              </w:rPr>
            </w:pPr>
            <w:r>
              <w:rPr>
                <w:rFonts w:hint="eastAsia" w:ascii="宋体" w:hAnsi="宋体" w:eastAsia="宋体" w:cs="Times New Roman"/>
                <w:szCs w:val="21"/>
              </w:rPr>
              <w:t>1.额定动作温度为70℃的防火阀应在耐火试验开始后1min内，温控释放装置动作，阀门关闭。</w:t>
            </w:r>
          </w:p>
          <w:p>
            <w:pPr>
              <w:widowControl/>
              <w:textAlignment w:val="top"/>
              <w:rPr>
                <w:rFonts w:hint="eastAsia" w:ascii="宋体" w:hAnsi="宋体" w:eastAsia="宋体" w:cs="Times New Roman"/>
                <w:szCs w:val="21"/>
              </w:rPr>
            </w:pPr>
            <w:r>
              <w:rPr>
                <w:rFonts w:hint="eastAsia" w:ascii="宋体" w:hAnsi="宋体" w:eastAsia="宋体" w:cs="Times New Roman"/>
                <w:szCs w:val="21"/>
              </w:rPr>
              <w:t>2.额定动作温度为150℃防火阀应在耐火试验开始后2min内，温控释放装置动作，阀门关闭。</w:t>
            </w:r>
          </w:p>
          <w:p>
            <w:pPr>
              <w:widowControl/>
              <w:textAlignment w:val="top"/>
              <w:rPr>
                <w:rFonts w:hint="eastAsia" w:ascii="宋体" w:hAnsi="宋体" w:eastAsia="宋体" w:cs="Times New Roman"/>
                <w:kern w:val="0"/>
                <w:szCs w:val="21"/>
                <w:lang w:bidi="ar"/>
              </w:rPr>
            </w:pPr>
            <w:r>
              <w:rPr>
                <w:rFonts w:hint="eastAsia" w:ascii="宋体" w:hAnsi="宋体" w:eastAsia="宋体" w:cs="Times New Roman"/>
                <w:szCs w:val="21"/>
              </w:rPr>
              <w:t>3.额定动作温度为280℃的排烟防火阀应在耐火试验开始后3min内，温控释放装置动作，阀门关闭。</w:t>
            </w:r>
          </w:p>
        </w:tc>
      </w:tr>
      <w:tr>
        <w:tblPrEx>
          <w:tblCellMar>
            <w:top w:w="0" w:type="dxa"/>
            <w:left w:w="108" w:type="dxa"/>
            <w:bottom w:w="0" w:type="dxa"/>
            <w:right w:w="108" w:type="dxa"/>
          </w:tblCellMar>
        </w:tblPrEx>
        <w:trPr>
          <w:trHeight w:val="855" w:hRule="atLeast"/>
          <w:jc w:val="center"/>
        </w:trPr>
        <w:tc>
          <w:tcPr>
            <w:tcW w:w="704" w:type="dxa"/>
            <w:tcBorders>
              <w:top w:val="nil"/>
              <w:left w:val="single" w:color="auto" w:sz="4" w:space="0"/>
              <w:bottom w:val="single" w:color="auto" w:sz="4" w:space="0"/>
              <w:right w:val="single" w:color="auto" w:sz="4" w:space="0"/>
            </w:tcBorders>
            <w:noWrap/>
            <w:vAlign w:val="center"/>
          </w:tcPr>
          <w:p>
            <w:pPr>
              <w:widowControl/>
              <w:jc w:val="center"/>
              <w:textAlignment w:val="top"/>
              <w:rPr>
                <w:rFonts w:hint="eastAsia" w:ascii="宋体" w:hAnsi="宋体" w:eastAsia="宋体" w:cs="Times New Roman"/>
                <w:szCs w:val="21"/>
              </w:rPr>
            </w:pPr>
            <w:r>
              <w:rPr>
                <w:rFonts w:hint="eastAsia" w:ascii="宋体" w:hAnsi="宋体" w:eastAsia="宋体" w:cs="Times New Roman"/>
                <w:szCs w:val="21"/>
              </w:rPr>
              <w:t>3</w:t>
            </w:r>
          </w:p>
        </w:tc>
        <w:tc>
          <w:tcPr>
            <w:tcW w:w="1985" w:type="dxa"/>
            <w:tcBorders>
              <w:top w:val="nil"/>
              <w:left w:val="nil"/>
              <w:bottom w:val="single" w:color="auto" w:sz="4" w:space="0"/>
              <w:right w:val="single" w:color="auto" w:sz="4" w:space="0"/>
            </w:tcBorders>
            <w:noWrap/>
            <w:vAlign w:val="center"/>
          </w:tcPr>
          <w:p>
            <w:pPr>
              <w:widowControl/>
              <w:jc w:val="center"/>
              <w:textAlignment w:val="top"/>
              <w:rPr>
                <w:rFonts w:hint="eastAsia" w:ascii="宋体" w:hAnsi="宋体" w:eastAsia="宋体" w:cs="Times New Roman"/>
                <w:szCs w:val="21"/>
              </w:rPr>
            </w:pPr>
            <w:r>
              <w:rPr>
                <w:rFonts w:hint="eastAsia" w:ascii="宋体" w:hAnsi="宋体" w:eastAsia="宋体" w:cs="Times New Roman"/>
                <w:szCs w:val="21"/>
              </w:rPr>
              <w:t>耐火完整性</w:t>
            </w:r>
          </w:p>
        </w:tc>
        <w:tc>
          <w:tcPr>
            <w:tcW w:w="2976" w:type="dxa"/>
            <w:tcBorders>
              <w:top w:val="nil"/>
              <w:left w:val="nil"/>
              <w:bottom w:val="single" w:color="auto" w:sz="4" w:space="0"/>
              <w:right w:val="single" w:color="auto" w:sz="4" w:space="0"/>
            </w:tcBorders>
            <w:vAlign w:val="center"/>
          </w:tcPr>
          <w:p>
            <w:pPr>
              <w:widowControl/>
              <w:jc w:val="center"/>
              <w:textAlignment w:val="top"/>
              <w:rPr>
                <w:rFonts w:hint="eastAsia" w:ascii="宋体" w:hAnsi="宋体" w:eastAsia="宋体" w:cs="Times New Roman"/>
                <w:szCs w:val="21"/>
              </w:rPr>
            </w:pPr>
            <w:r>
              <w:rPr>
                <w:rFonts w:hint="eastAsia" w:ascii="宋体" w:hAnsi="宋体" w:eastAsia="宋体" w:cs="Times New Roman"/>
                <w:szCs w:val="21"/>
              </w:rPr>
              <w:t>满足《建筑通风和排烟系统用防火阀门》GB 15930 耐火完整性试验相关要求</w:t>
            </w:r>
          </w:p>
        </w:tc>
        <w:tc>
          <w:tcPr>
            <w:tcW w:w="2268" w:type="dxa"/>
            <w:tcBorders>
              <w:top w:val="nil"/>
              <w:left w:val="nil"/>
              <w:bottom w:val="single" w:color="auto" w:sz="4" w:space="0"/>
              <w:right w:val="single" w:color="auto" w:sz="4" w:space="0"/>
            </w:tcBorders>
            <w:vAlign w:val="center"/>
          </w:tcPr>
          <w:p>
            <w:pPr>
              <w:widowControl/>
              <w:jc w:val="center"/>
              <w:textAlignment w:val="top"/>
              <w:rPr>
                <w:rFonts w:hint="eastAsia" w:ascii="宋体" w:hAnsi="宋体" w:eastAsia="宋体" w:cs="Times New Roman"/>
                <w:kern w:val="0"/>
                <w:szCs w:val="21"/>
                <w:lang w:bidi="ar"/>
              </w:rPr>
            </w:pPr>
            <w:r>
              <w:rPr>
                <w:rFonts w:hint="eastAsia" w:ascii="宋体" w:hAnsi="宋体" w:eastAsia="宋体" w:cs="Times New Roman"/>
                <w:szCs w:val="21"/>
              </w:rPr>
              <w:t>不满足直接判定为</w:t>
            </w:r>
            <w:r>
              <w:rPr>
                <w:rFonts w:hint="eastAsia" w:ascii="宋体" w:hAnsi="宋体" w:eastAsia="宋体" w:cs="Times New Roman"/>
                <w:b/>
                <w:bCs/>
                <w:szCs w:val="21"/>
              </w:rPr>
              <w:t>D级</w:t>
            </w:r>
          </w:p>
        </w:tc>
        <w:tc>
          <w:tcPr>
            <w:tcW w:w="5245" w:type="dxa"/>
            <w:tcBorders>
              <w:top w:val="nil"/>
              <w:left w:val="nil"/>
              <w:bottom w:val="single" w:color="auto" w:sz="4" w:space="0"/>
              <w:right w:val="single" w:color="auto" w:sz="4" w:space="0"/>
            </w:tcBorders>
            <w:vAlign w:val="center"/>
          </w:tcPr>
          <w:p>
            <w:pPr>
              <w:widowControl/>
              <w:textAlignment w:val="top"/>
              <w:rPr>
                <w:rFonts w:hint="eastAsia" w:ascii="宋体" w:hAnsi="宋体" w:eastAsia="宋体" w:cs="Times New Roman"/>
                <w:szCs w:val="21"/>
              </w:rPr>
            </w:pPr>
            <w:r>
              <w:rPr>
                <w:rFonts w:hint="eastAsia" w:ascii="宋体" w:hAnsi="宋体" w:eastAsia="宋体" w:cs="Times New Roman"/>
                <w:szCs w:val="21"/>
              </w:rPr>
              <w:t>在规定的耐火时间内，耐火完整性应符合下列要求：</w:t>
            </w:r>
          </w:p>
          <w:p>
            <w:pPr>
              <w:widowControl/>
              <w:textAlignment w:val="top"/>
              <w:rPr>
                <w:rFonts w:hint="eastAsia" w:ascii="宋体" w:hAnsi="宋体" w:eastAsia="宋体" w:cs="Times New Roman"/>
                <w:szCs w:val="21"/>
              </w:rPr>
            </w:pPr>
            <w:r>
              <w:rPr>
                <w:rFonts w:hint="eastAsia" w:ascii="宋体" w:hAnsi="宋体" w:eastAsia="宋体" w:cs="Times New Roman"/>
                <w:szCs w:val="21"/>
              </w:rPr>
              <w:t>1.阀体外表面不应出现连续10s以上的火焰，不应出现孔洞或缝隙。</w:t>
            </w:r>
          </w:p>
          <w:p>
            <w:pPr>
              <w:widowControl/>
              <w:textAlignment w:val="top"/>
              <w:rPr>
                <w:rFonts w:hint="eastAsia" w:ascii="宋体" w:hAnsi="宋体" w:eastAsia="宋体" w:cs="Times New Roman"/>
                <w:szCs w:val="21"/>
              </w:rPr>
            </w:pPr>
            <w:r>
              <w:rPr>
                <w:rFonts w:hint="eastAsia" w:ascii="宋体" w:hAnsi="宋体" w:eastAsia="宋体" w:cs="Times New Roman"/>
                <w:szCs w:val="21"/>
              </w:rPr>
              <w:t>2.阀门关闭后，使叶片两侧保持300±15Pa的气体静压差，其单位面积的漏烟量(标准状态)应不大于500m</w:t>
            </w:r>
            <w:r>
              <w:rPr>
                <w:rFonts w:hint="eastAsia" w:ascii="宋体" w:hAnsi="宋体" w:eastAsia="宋体" w:cs="Times New Roman"/>
                <w:szCs w:val="21"/>
                <w:vertAlign w:val="superscript"/>
              </w:rPr>
              <w:t>3</w:t>
            </w:r>
            <w:r>
              <w:rPr>
                <w:rFonts w:hint="eastAsia" w:ascii="宋体" w:hAnsi="宋体" w:eastAsia="宋体" w:cs="Times New Roman"/>
                <w:szCs w:val="21"/>
              </w:rPr>
              <w:t>/(m</w:t>
            </w:r>
            <w:r>
              <w:rPr>
                <w:rFonts w:hint="eastAsia" w:ascii="宋体" w:hAnsi="宋体" w:eastAsia="宋体" w:cs="Times New Roman"/>
                <w:szCs w:val="21"/>
                <w:vertAlign w:val="superscript"/>
              </w:rPr>
              <w:t>2</w:t>
            </w:r>
            <w:r>
              <w:rPr>
                <w:rFonts w:hint="eastAsia" w:ascii="宋体" w:hAnsi="宋体" w:eastAsia="宋体" w:cs="Times New Roman"/>
                <w:szCs w:val="21"/>
              </w:rPr>
              <w:t>.h)。</w:t>
            </w:r>
          </w:p>
          <w:p>
            <w:pPr>
              <w:widowControl/>
              <w:textAlignment w:val="top"/>
              <w:rPr>
                <w:rFonts w:hint="eastAsia" w:ascii="宋体" w:hAnsi="宋体" w:eastAsia="宋体" w:cs="Times New Roman"/>
                <w:kern w:val="0"/>
                <w:szCs w:val="21"/>
                <w:lang w:bidi="ar"/>
              </w:rPr>
            </w:pPr>
            <w:r>
              <w:rPr>
                <w:rFonts w:hint="eastAsia" w:ascii="宋体" w:hAnsi="宋体" w:eastAsia="宋体" w:cs="Times New Roman"/>
                <w:szCs w:val="21"/>
              </w:rPr>
              <w:t>注：提供的检测报告要与实际供货单体阀最大尺寸相同。</w:t>
            </w:r>
          </w:p>
        </w:tc>
      </w:tr>
      <w:tr>
        <w:tblPrEx>
          <w:tblCellMar>
            <w:top w:w="0" w:type="dxa"/>
            <w:left w:w="108" w:type="dxa"/>
            <w:bottom w:w="0" w:type="dxa"/>
            <w:right w:w="108" w:type="dxa"/>
          </w:tblCellMar>
        </w:tblPrEx>
        <w:trPr>
          <w:trHeight w:val="855" w:hRule="atLeast"/>
          <w:jc w:val="center"/>
        </w:trPr>
        <w:tc>
          <w:tcPr>
            <w:tcW w:w="704" w:type="dxa"/>
            <w:tcBorders>
              <w:top w:val="nil"/>
              <w:left w:val="single" w:color="auto" w:sz="4" w:space="0"/>
              <w:bottom w:val="single" w:color="auto" w:sz="4" w:space="0"/>
              <w:right w:val="single" w:color="auto" w:sz="4" w:space="0"/>
            </w:tcBorders>
            <w:noWrap/>
            <w:vAlign w:val="center"/>
          </w:tcPr>
          <w:p>
            <w:pPr>
              <w:widowControl/>
              <w:jc w:val="center"/>
              <w:textAlignment w:val="top"/>
              <w:rPr>
                <w:rFonts w:hint="eastAsia" w:ascii="宋体" w:hAnsi="宋体" w:eastAsia="宋体" w:cs="Times New Roman"/>
                <w:szCs w:val="21"/>
              </w:rPr>
            </w:pPr>
            <w:r>
              <w:rPr>
                <w:rFonts w:hint="eastAsia" w:ascii="宋体" w:hAnsi="宋体" w:eastAsia="宋体" w:cs="Times New Roman"/>
                <w:szCs w:val="21"/>
              </w:rPr>
              <w:t>4</w:t>
            </w:r>
          </w:p>
        </w:tc>
        <w:tc>
          <w:tcPr>
            <w:tcW w:w="1985" w:type="dxa"/>
            <w:tcBorders>
              <w:top w:val="nil"/>
              <w:left w:val="nil"/>
              <w:bottom w:val="single" w:color="auto" w:sz="4" w:space="0"/>
              <w:right w:val="single" w:color="auto" w:sz="4" w:space="0"/>
            </w:tcBorders>
            <w:noWrap/>
            <w:vAlign w:val="center"/>
          </w:tcPr>
          <w:p>
            <w:pPr>
              <w:widowControl/>
              <w:jc w:val="center"/>
              <w:textAlignment w:val="top"/>
              <w:rPr>
                <w:rFonts w:hint="eastAsia" w:ascii="宋体" w:hAnsi="宋体" w:eastAsia="宋体" w:cs="Times New Roman"/>
                <w:szCs w:val="21"/>
              </w:rPr>
            </w:pPr>
            <w:r>
              <w:rPr>
                <w:rFonts w:hint="eastAsia" w:ascii="宋体" w:hAnsi="宋体" w:eastAsia="宋体" w:cs="Times New Roman"/>
                <w:szCs w:val="21"/>
              </w:rPr>
              <w:t>漏烟量</w:t>
            </w:r>
          </w:p>
        </w:tc>
        <w:tc>
          <w:tcPr>
            <w:tcW w:w="2976" w:type="dxa"/>
            <w:tcBorders>
              <w:top w:val="nil"/>
              <w:left w:val="nil"/>
              <w:bottom w:val="single" w:color="auto" w:sz="4" w:space="0"/>
              <w:right w:val="single" w:color="auto" w:sz="4" w:space="0"/>
            </w:tcBorders>
            <w:vAlign w:val="center"/>
          </w:tcPr>
          <w:p>
            <w:pPr>
              <w:widowControl/>
              <w:jc w:val="center"/>
              <w:textAlignment w:val="top"/>
              <w:rPr>
                <w:rFonts w:hint="eastAsia" w:ascii="宋体" w:hAnsi="宋体" w:eastAsia="宋体" w:cs="Times New Roman"/>
                <w:szCs w:val="21"/>
              </w:rPr>
            </w:pPr>
            <w:r>
              <w:rPr>
                <w:rFonts w:hint="eastAsia" w:ascii="宋体" w:hAnsi="宋体" w:eastAsia="宋体" w:cs="Times New Roman"/>
                <w:szCs w:val="21"/>
              </w:rPr>
              <w:t>满足《建筑通风和排烟系统用防火阀门》GB 15930 漏烟量试验相关要求</w:t>
            </w:r>
          </w:p>
        </w:tc>
        <w:tc>
          <w:tcPr>
            <w:tcW w:w="2268" w:type="dxa"/>
            <w:tcBorders>
              <w:top w:val="nil"/>
              <w:left w:val="nil"/>
              <w:bottom w:val="single" w:color="auto" w:sz="4" w:space="0"/>
              <w:right w:val="single" w:color="auto" w:sz="4" w:space="0"/>
            </w:tcBorders>
            <w:vAlign w:val="center"/>
          </w:tcPr>
          <w:p>
            <w:pPr>
              <w:widowControl/>
              <w:jc w:val="center"/>
              <w:textAlignment w:val="top"/>
              <w:rPr>
                <w:rFonts w:hint="eastAsia" w:ascii="宋体" w:hAnsi="宋体" w:eastAsia="宋体" w:cs="Times New Roman"/>
                <w:kern w:val="0"/>
                <w:szCs w:val="21"/>
                <w:lang w:bidi="ar"/>
              </w:rPr>
            </w:pPr>
            <w:r>
              <w:rPr>
                <w:rFonts w:hint="eastAsia" w:ascii="宋体" w:hAnsi="宋体" w:eastAsia="宋体" w:cs="Times New Roman"/>
                <w:szCs w:val="21"/>
              </w:rPr>
              <w:t>不满足直接判定为</w:t>
            </w:r>
            <w:r>
              <w:rPr>
                <w:rFonts w:hint="eastAsia" w:ascii="宋体" w:hAnsi="宋体" w:eastAsia="宋体" w:cs="Times New Roman"/>
                <w:b/>
                <w:bCs/>
                <w:szCs w:val="21"/>
              </w:rPr>
              <w:t>D级</w:t>
            </w:r>
          </w:p>
        </w:tc>
        <w:tc>
          <w:tcPr>
            <w:tcW w:w="5245" w:type="dxa"/>
            <w:tcBorders>
              <w:top w:val="nil"/>
              <w:left w:val="nil"/>
              <w:bottom w:val="single" w:color="auto" w:sz="4" w:space="0"/>
              <w:right w:val="single" w:color="auto" w:sz="4" w:space="0"/>
            </w:tcBorders>
            <w:vAlign w:val="center"/>
          </w:tcPr>
          <w:p>
            <w:pPr>
              <w:widowControl/>
              <w:textAlignment w:val="top"/>
              <w:rPr>
                <w:rFonts w:hint="eastAsia" w:ascii="宋体" w:hAnsi="宋体" w:eastAsia="宋体" w:cs="Times New Roman"/>
                <w:szCs w:val="21"/>
              </w:rPr>
            </w:pPr>
            <w:r>
              <w:rPr>
                <w:rFonts w:hint="eastAsia" w:ascii="宋体" w:hAnsi="宋体" w:eastAsia="宋体" w:cs="Times New Roman"/>
                <w:szCs w:val="21"/>
              </w:rPr>
              <w:t>1.在环境温度下，阀门关闭后，使叶片两侧保持300±15Pa的气体静压差，其单位面积的漏烟量(标准状态)应不大于300m</w:t>
            </w:r>
            <w:r>
              <w:rPr>
                <w:rFonts w:hint="eastAsia" w:ascii="宋体" w:hAnsi="宋体" w:eastAsia="宋体" w:cs="Times New Roman"/>
                <w:szCs w:val="21"/>
                <w:vertAlign w:val="superscript"/>
              </w:rPr>
              <w:t>3</w:t>
            </w:r>
            <w:r>
              <w:rPr>
                <w:rFonts w:hint="eastAsia" w:ascii="宋体" w:hAnsi="宋体" w:eastAsia="宋体" w:cs="Times New Roman"/>
                <w:szCs w:val="21"/>
              </w:rPr>
              <w:t>/(m</w:t>
            </w:r>
            <w:r>
              <w:rPr>
                <w:rFonts w:hint="eastAsia" w:ascii="宋体" w:hAnsi="宋体" w:eastAsia="宋体" w:cs="Times New Roman"/>
                <w:szCs w:val="21"/>
                <w:vertAlign w:val="superscript"/>
              </w:rPr>
              <w:t>2</w:t>
            </w:r>
            <w:r>
              <w:rPr>
                <w:rFonts w:hint="eastAsia" w:ascii="宋体" w:hAnsi="宋体" w:eastAsia="宋体" w:cs="Times New Roman"/>
                <w:szCs w:val="21"/>
              </w:rPr>
              <w:t>.h)。</w:t>
            </w:r>
          </w:p>
          <w:p>
            <w:pPr>
              <w:widowControl/>
              <w:textAlignment w:val="top"/>
              <w:rPr>
                <w:rFonts w:hint="eastAsia" w:ascii="宋体" w:hAnsi="宋体" w:eastAsia="宋体" w:cs="Times New Roman"/>
                <w:szCs w:val="21"/>
              </w:rPr>
            </w:pPr>
            <w:r>
              <w:rPr>
                <w:rFonts w:hint="eastAsia" w:ascii="宋体" w:hAnsi="宋体" w:eastAsia="宋体" w:cs="Times New Roman"/>
                <w:szCs w:val="21"/>
              </w:rPr>
              <w:t>2.在规定的耐火时间内，阀门关闭后，使叶片两侧保持300±15Pa的气体静压差，其单位面积的漏烟量(标准状态)应不大于500m</w:t>
            </w:r>
            <w:r>
              <w:rPr>
                <w:rFonts w:hint="eastAsia" w:ascii="宋体" w:hAnsi="宋体" w:eastAsia="宋体" w:cs="Times New Roman"/>
                <w:szCs w:val="21"/>
                <w:vertAlign w:val="superscript"/>
              </w:rPr>
              <w:t>3</w:t>
            </w:r>
            <w:r>
              <w:rPr>
                <w:rFonts w:hint="eastAsia" w:ascii="宋体" w:hAnsi="宋体" w:eastAsia="宋体" w:cs="Times New Roman"/>
                <w:szCs w:val="21"/>
              </w:rPr>
              <w:t>/(m</w:t>
            </w:r>
            <w:r>
              <w:rPr>
                <w:rFonts w:hint="eastAsia" w:ascii="宋体" w:hAnsi="宋体" w:eastAsia="宋体" w:cs="Times New Roman"/>
                <w:szCs w:val="21"/>
                <w:vertAlign w:val="superscript"/>
              </w:rPr>
              <w:t>2</w:t>
            </w:r>
            <w:r>
              <w:rPr>
                <w:rFonts w:hint="eastAsia" w:ascii="宋体" w:hAnsi="宋体" w:eastAsia="宋体" w:cs="Times New Roman"/>
                <w:szCs w:val="21"/>
              </w:rPr>
              <w:t>.h)。</w:t>
            </w:r>
          </w:p>
          <w:p>
            <w:pPr>
              <w:widowControl/>
              <w:textAlignment w:val="top"/>
              <w:rPr>
                <w:rFonts w:hint="eastAsia" w:ascii="宋体" w:hAnsi="宋体" w:eastAsia="宋体" w:cs="Times New Roman"/>
                <w:kern w:val="0"/>
                <w:szCs w:val="21"/>
                <w:lang w:bidi="ar"/>
              </w:rPr>
            </w:pPr>
            <w:r>
              <w:rPr>
                <w:rFonts w:hint="eastAsia" w:ascii="宋体" w:hAnsi="宋体" w:eastAsia="宋体" w:cs="Times New Roman"/>
                <w:b/>
                <w:bCs/>
                <w:szCs w:val="21"/>
              </w:rPr>
              <w:t>注：提供的检测报告要与实际供货单体阀的最大尺寸相同。</w:t>
            </w:r>
          </w:p>
        </w:tc>
      </w:tr>
      <w:tr>
        <w:tblPrEx>
          <w:tblCellMar>
            <w:top w:w="0" w:type="dxa"/>
            <w:left w:w="108" w:type="dxa"/>
            <w:bottom w:w="0" w:type="dxa"/>
            <w:right w:w="108" w:type="dxa"/>
          </w:tblCellMar>
        </w:tblPrEx>
        <w:trPr>
          <w:trHeight w:val="855" w:hRule="atLeast"/>
          <w:jc w:val="center"/>
        </w:trPr>
        <w:tc>
          <w:tcPr>
            <w:tcW w:w="704" w:type="dxa"/>
            <w:tcBorders>
              <w:top w:val="nil"/>
              <w:left w:val="single" w:color="auto" w:sz="4" w:space="0"/>
              <w:bottom w:val="single" w:color="000000" w:sz="4" w:space="0"/>
              <w:right w:val="single" w:color="auto" w:sz="4" w:space="0"/>
            </w:tcBorders>
            <w:noWrap/>
            <w:vAlign w:val="center"/>
          </w:tcPr>
          <w:p>
            <w:pPr>
              <w:widowControl/>
              <w:jc w:val="center"/>
              <w:textAlignment w:val="top"/>
              <w:rPr>
                <w:rFonts w:hint="eastAsia" w:ascii="宋体" w:hAnsi="宋体" w:eastAsia="宋体" w:cs="Times New Roman"/>
                <w:szCs w:val="21"/>
              </w:rPr>
            </w:pPr>
            <w:r>
              <w:rPr>
                <w:rFonts w:hint="eastAsia" w:ascii="宋体" w:hAnsi="宋体" w:eastAsia="宋体" w:cs="Times New Roman"/>
                <w:szCs w:val="21"/>
              </w:rPr>
              <w:t>5</w:t>
            </w:r>
          </w:p>
        </w:tc>
        <w:tc>
          <w:tcPr>
            <w:tcW w:w="1985" w:type="dxa"/>
            <w:tcBorders>
              <w:top w:val="nil"/>
              <w:left w:val="nil"/>
              <w:bottom w:val="single" w:color="auto" w:sz="4" w:space="0"/>
              <w:right w:val="single" w:color="auto" w:sz="4" w:space="0"/>
            </w:tcBorders>
            <w:noWrap/>
            <w:vAlign w:val="center"/>
          </w:tcPr>
          <w:p>
            <w:pPr>
              <w:widowControl/>
              <w:jc w:val="center"/>
              <w:textAlignment w:val="top"/>
              <w:rPr>
                <w:rFonts w:hint="eastAsia" w:ascii="宋体" w:hAnsi="宋体" w:eastAsia="宋体" w:cs="Times New Roman"/>
                <w:szCs w:val="21"/>
              </w:rPr>
            </w:pPr>
            <w:r>
              <w:rPr>
                <w:rFonts w:hint="eastAsia" w:ascii="宋体" w:hAnsi="宋体" w:eastAsia="宋体" w:cs="Times New Roman"/>
                <w:szCs w:val="21"/>
              </w:rPr>
              <w:t>位置反馈</w:t>
            </w:r>
          </w:p>
        </w:tc>
        <w:tc>
          <w:tcPr>
            <w:tcW w:w="2976" w:type="dxa"/>
            <w:tcBorders>
              <w:top w:val="nil"/>
              <w:left w:val="nil"/>
              <w:bottom w:val="single" w:color="auto" w:sz="4" w:space="0"/>
              <w:right w:val="single" w:color="auto" w:sz="4" w:space="0"/>
            </w:tcBorders>
            <w:vAlign w:val="center"/>
          </w:tcPr>
          <w:p>
            <w:pPr>
              <w:widowControl/>
              <w:jc w:val="center"/>
              <w:textAlignment w:val="top"/>
              <w:rPr>
                <w:rFonts w:hint="eastAsia" w:ascii="宋体" w:hAnsi="宋体" w:eastAsia="宋体" w:cs="Times New Roman"/>
                <w:szCs w:val="21"/>
              </w:rPr>
            </w:pPr>
            <w:r>
              <w:rPr>
                <w:rFonts w:hint="eastAsia" w:ascii="宋体" w:hAnsi="宋体" w:eastAsia="宋体" w:cs="Times New Roman"/>
                <w:szCs w:val="21"/>
              </w:rPr>
              <w:t>满足《建筑通风和排烟系统用防火阀门》GB 15930 位置反馈的相关要求</w:t>
            </w:r>
          </w:p>
        </w:tc>
        <w:tc>
          <w:tcPr>
            <w:tcW w:w="2268" w:type="dxa"/>
            <w:tcBorders>
              <w:top w:val="nil"/>
              <w:left w:val="nil"/>
              <w:bottom w:val="single" w:color="auto" w:sz="4" w:space="0"/>
              <w:right w:val="single" w:color="auto" w:sz="4" w:space="0"/>
            </w:tcBorders>
            <w:vAlign w:val="center"/>
          </w:tcPr>
          <w:p>
            <w:pPr>
              <w:widowControl/>
              <w:jc w:val="center"/>
              <w:textAlignment w:val="top"/>
              <w:rPr>
                <w:rFonts w:hint="eastAsia" w:ascii="宋体" w:hAnsi="宋体" w:eastAsia="宋体" w:cs="Times New Roman"/>
                <w:kern w:val="0"/>
                <w:szCs w:val="21"/>
                <w:lang w:bidi="ar"/>
              </w:rPr>
            </w:pPr>
            <w:r>
              <w:rPr>
                <w:rFonts w:hint="eastAsia" w:ascii="宋体" w:hAnsi="宋体" w:eastAsia="宋体" w:cs="Times New Roman"/>
                <w:szCs w:val="21"/>
              </w:rPr>
              <w:t>不满足直接判定为</w:t>
            </w:r>
            <w:r>
              <w:rPr>
                <w:rFonts w:hint="eastAsia" w:ascii="宋体" w:hAnsi="宋体" w:eastAsia="宋体" w:cs="Times New Roman"/>
                <w:b/>
                <w:bCs/>
                <w:szCs w:val="21"/>
              </w:rPr>
              <w:t>D级</w:t>
            </w:r>
          </w:p>
        </w:tc>
        <w:tc>
          <w:tcPr>
            <w:tcW w:w="5245" w:type="dxa"/>
            <w:tcBorders>
              <w:top w:val="nil"/>
              <w:left w:val="nil"/>
              <w:bottom w:val="single" w:color="auto" w:sz="4" w:space="0"/>
              <w:right w:val="single" w:color="auto" w:sz="4" w:space="0"/>
            </w:tcBorders>
            <w:vAlign w:val="center"/>
          </w:tcPr>
          <w:p>
            <w:pPr>
              <w:widowControl/>
              <w:textAlignment w:val="top"/>
              <w:rPr>
                <w:rFonts w:hint="eastAsia" w:ascii="宋体" w:hAnsi="宋体" w:eastAsia="宋体" w:cs="Times New Roman"/>
                <w:szCs w:val="21"/>
              </w:rPr>
            </w:pPr>
            <w:r>
              <w:rPr>
                <w:rFonts w:hint="eastAsia" w:ascii="宋体" w:hAnsi="宋体" w:eastAsia="宋体" w:cs="Times New Roman"/>
                <w:szCs w:val="21"/>
              </w:rPr>
              <w:t>1.处于正常工作状态下的阀门，当叶片关闭时，应有显示叶片位置的反馈信号输出。</w:t>
            </w:r>
          </w:p>
          <w:p>
            <w:pPr>
              <w:widowControl/>
              <w:textAlignment w:val="top"/>
              <w:rPr>
                <w:rFonts w:hint="eastAsia" w:ascii="宋体" w:hAnsi="宋体" w:eastAsia="宋体" w:cs="Times New Roman"/>
                <w:kern w:val="0"/>
                <w:szCs w:val="21"/>
                <w:lang w:bidi="ar"/>
              </w:rPr>
            </w:pPr>
            <w:r>
              <w:rPr>
                <w:rFonts w:hint="eastAsia" w:ascii="宋体" w:hAnsi="宋体" w:eastAsia="宋体" w:cs="Times New Roman"/>
                <w:szCs w:val="21"/>
              </w:rPr>
              <w:t>2.阀门使用具备电动远程复位功能的启闭装置时，当通电复位开启动作后，应具有体现叶片位置的反馈信号输出。</w:t>
            </w:r>
          </w:p>
        </w:tc>
      </w:tr>
      <w:tr>
        <w:tblPrEx>
          <w:tblCellMar>
            <w:top w:w="0" w:type="dxa"/>
            <w:left w:w="108" w:type="dxa"/>
            <w:bottom w:w="0" w:type="dxa"/>
            <w:right w:w="108" w:type="dxa"/>
          </w:tblCellMar>
        </w:tblPrEx>
        <w:trPr>
          <w:trHeight w:val="855" w:hRule="atLeast"/>
          <w:jc w:val="center"/>
        </w:trPr>
        <w:tc>
          <w:tcPr>
            <w:tcW w:w="704" w:type="dxa"/>
            <w:tcBorders>
              <w:top w:val="nil"/>
              <w:left w:val="single" w:color="auto" w:sz="4" w:space="0"/>
              <w:bottom w:val="single" w:color="auto" w:sz="4" w:space="0"/>
              <w:right w:val="single" w:color="auto" w:sz="4" w:space="0"/>
            </w:tcBorders>
            <w:noWrap/>
            <w:vAlign w:val="center"/>
          </w:tcPr>
          <w:p>
            <w:pPr>
              <w:widowControl/>
              <w:jc w:val="center"/>
              <w:textAlignment w:val="top"/>
              <w:rPr>
                <w:rFonts w:hint="eastAsia" w:ascii="宋体" w:hAnsi="宋体" w:eastAsia="宋体" w:cs="Times New Roman"/>
                <w:szCs w:val="21"/>
              </w:rPr>
            </w:pPr>
            <w:r>
              <w:rPr>
                <w:rFonts w:hint="eastAsia" w:ascii="宋体" w:hAnsi="宋体" w:eastAsia="宋体" w:cs="Times New Roman"/>
                <w:szCs w:val="21"/>
              </w:rPr>
              <w:t>6</w:t>
            </w:r>
          </w:p>
        </w:tc>
        <w:tc>
          <w:tcPr>
            <w:tcW w:w="1985" w:type="dxa"/>
            <w:tcBorders>
              <w:top w:val="nil"/>
              <w:left w:val="nil"/>
              <w:bottom w:val="single" w:color="auto" w:sz="4" w:space="0"/>
              <w:right w:val="single" w:color="auto" w:sz="4" w:space="0"/>
            </w:tcBorders>
            <w:noWrap/>
            <w:vAlign w:val="center"/>
          </w:tcPr>
          <w:p>
            <w:pPr>
              <w:widowControl/>
              <w:jc w:val="center"/>
              <w:textAlignment w:val="top"/>
              <w:rPr>
                <w:rFonts w:hint="eastAsia" w:ascii="宋体" w:hAnsi="宋体" w:eastAsia="宋体" w:cs="Times New Roman"/>
                <w:szCs w:val="21"/>
              </w:rPr>
            </w:pPr>
            <w:r>
              <w:rPr>
                <w:rFonts w:hint="eastAsia" w:ascii="宋体" w:hAnsi="宋体" w:eastAsia="宋体" w:cs="Times New Roman"/>
                <w:szCs w:val="21"/>
              </w:rPr>
              <w:t>动作可靠性</w:t>
            </w:r>
          </w:p>
        </w:tc>
        <w:tc>
          <w:tcPr>
            <w:tcW w:w="2976" w:type="dxa"/>
            <w:tcBorders>
              <w:top w:val="nil"/>
              <w:left w:val="nil"/>
              <w:bottom w:val="single" w:color="auto" w:sz="4" w:space="0"/>
              <w:right w:val="single" w:color="auto" w:sz="4" w:space="0"/>
            </w:tcBorders>
            <w:vAlign w:val="center"/>
          </w:tcPr>
          <w:p>
            <w:pPr>
              <w:widowControl/>
              <w:jc w:val="center"/>
              <w:textAlignment w:val="top"/>
              <w:rPr>
                <w:rFonts w:hint="eastAsia" w:ascii="宋体" w:hAnsi="宋体" w:eastAsia="宋体" w:cs="Times New Roman"/>
                <w:szCs w:val="21"/>
              </w:rPr>
            </w:pPr>
            <w:r>
              <w:rPr>
                <w:rFonts w:hint="eastAsia" w:ascii="宋体" w:hAnsi="宋体" w:eastAsia="宋体" w:cs="Times New Roman"/>
                <w:szCs w:val="21"/>
              </w:rPr>
              <w:t>满足《建筑通风和排烟系统用防火阀门》GB 15930开关可靠性相关要求。</w:t>
            </w:r>
          </w:p>
        </w:tc>
        <w:tc>
          <w:tcPr>
            <w:tcW w:w="2268" w:type="dxa"/>
            <w:tcBorders>
              <w:top w:val="nil"/>
              <w:left w:val="nil"/>
              <w:bottom w:val="single" w:color="auto" w:sz="4" w:space="0"/>
              <w:right w:val="single" w:color="auto" w:sz="4" w:space="0"/>
            </w:tcBorders>
            <w:vAlign w:val="center"/>
          </w:tcPr>
          <w:p>
            <w:pPr>
              <w:widowControl/>
              <w:jc w:val="center"/>
              <w:textAlignment w:val="top"/>
              <w:rPr>
                <w:rFonts w:hint="eastAsia" w:ascii="宋体" w:hAnsi="宋体" w:eastAsia="宋体" w:cs="Times New Roman"/>
                <w:kern w:val="0"/>
                <w:szCs w:val="21"/>
                <w:lang w:bidi="ar"/>
              </w:rPr>
            </w:pPr>
            <w:r>
              <w:rPr>
                <w:rFonts w:hint="eastAsia" w:ascii="宋体" w:hAnsi="宋体" w:eastAsia="宋体" w:cs="Times New Roman"/>
                <w:szCs w:val="21"/>
              </w:rPr>
              <w:t>不满足直接判定为</w:t>
            </w:r>
            <w:r>
              <w:rPr>
                <w:rFonts w:hint="eastAsia" w:ascii="宋体" w:hAnsi="宋体" w:eastAsia="宋体" w:cs="Times New Roman"/>
                <w:b/>
                <w:bCs/>
                <w:szCs w:val="21"/>
              </w:rPr>
              <w:t>D级</w:t>
            </w:r>
          </w:p>
        </w:tc>
        <w:tc>
          <w:tcPr>
            <w:tcW w:w="5245" w:type="dxa"/>
            <w:tcBorders>
              <w:top w:val="nil"/>
              <w:left w:val="nil"/>
              <w:bottom w:val="single" w:color="auto" w:sz="4" w:space="0"/>
              <w:right w:val="single" w:color="auto" w:sz="4" w:space="0"/>
            </w:tcBorders>
          </w:tcPr>
          <w:p>
            <w:pPr>
              <w:widowControl/>
              <w:textAlignment w:val="top"/>
              <w:rPr>
                <w:rFonts w:hint="eastAsia" w:ascii="宋体" w:hAnsi="宋体" w:eastAsia="宋体" w:cs="Times New Roman"/>
                <w:kern w:val="0"/>
                <w:szCs w:val="21"/>
                <w:lang w:bidi="ar"/>
              </w:rPr>
            </w:pPr>
            <w:r>
              <w:rPr>
                <w:rFonts w:hint="eastAsia" w:ascii="宋体" w:hAnsi="宋体" w:eastAsia="宋体" w:cs="Times New Roman"/>
                <w:szCs w:val="21"/>
              </w:rPr>
              <w:t>阀门经过</w:t>
            </w:r>
            <w:r>
              <w:rPr>
                <w:rFonts w:hint="eastAsia" w:ascii="宋体" w:hAnsi="宋体" w:eastAsia="宋体" w:cs="Times New Roman"/>
                <w:b/>
                <w:bCs/>
                <w:szCs w:val="21"/>
              </w:rPr>
              <w:t>200</w:t>
            </w:r>
            <w:r>
              <w:rPr>
                <w:rFonts w:hint="eastAsia" w:ascii="宋体" w:hAnsi="宋体" w:eastAsia="宋体" w:cs="Times New Roman"/>
                <w:szCs w:val="21"/>
              </w:rPr>
              <w:t>次关、开试验后，各零部件应无明显变形、磨损及其他影响其密封性的损伤，叶片仍能从打开位置灵活可靠地关闭。</w:t>
            </w:r>
          </w:p>
        </w:tc>
      </w:tr>
      <w:tr>
        <w:tblPrEx>
          <w:tblCellMar>
            <w:top w:w="0" w:type="dxa"/>
            <w:left w:w="108" w:type="dxa"/>
            <w:bottom w:w="0" w:type="dxa"/>
            <w:right w:w="108" w:type="dxa"/>
          </w:tblCellMar>
        </w:tblPrEx>
        <w:trPr>
          <w:trHeight w:val="855" w:hRule="atLeast"/>
          <w:jc w:val="center"/>
        </w:trPr>
        <w:tc>
          <w:tcPr>
            <w:tcW w:w="704"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top"/>
              <w:rPr>
                <w:rFonts w:hint="eastAsia" w:ascii="宋体" w:hAnsi="宋体" w:eastAsia="宋体" w:cs="Times New Roman"/>
                <w:szCs w:val="21"/>
              </w:rPr>
            </w:pPr>
            <w:r>
              <w:rPr>
                <w:rFonts w:hint="eastAsia" w:ascii="宋体" w:hAnsi="宋体" w:eastAsia="宋体" w:cs="Times New Roman"/>
                <w:szCs w:val="21"/>
              </w:rPr>
              <w:t>7</w:t>
            </w:r>
          </w:p>
        </w:tc>
        <w:tc>
          <w:tcPr>
            <w:tcW w:w="1985"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top"/>
              <w:rPr>
                <w:rFonts w:hint="eastAsia" w:ascii="宋体" w:hAnsi="宋体" w:eastAsia="宋体" w:cs="Times New Roman"/>
                <w:szCs w:val="21"/>
              </w:rPr>
            </w:pPr>
            <w:r>
              <w:rPr>
                <w:rFonts w:hint="eastAsia" w:ascii="宋体" w:hAnsi="宋体" w:eastAsia="宋体" w:cs="Times New Roman"/>
                <w:szCs w:val="21"/>
              </w:rPr>
              <w:t>环境性能试验：绝缘性能</w:t>
            </w:r>
            <w:r>
              <w:rPr>
                <w:rFonts w:ascii="宋体" w:hAnsi="宋体" w:eastAsia="宋体" w:cs="Times New Roman"/>
                <w:szCs w:val="21"/>
              </w:rPr>
              <w:t xml:space="preserve"> </w:t>
            </w:r>
          </w:p>
        </w:tc>
        <w:tc>
          <w:tcPr>
            <w:tcW w:w="2976" w:type="dxa"/>
            <w:tcBorders>
              <w:top w:val="single" w:color="auto" w:sz="4" w:space="0"/>
              <w:left w:val="nil"/>
              <w:bottom w:val="single" w:color="auto" w:sz="4" w:space="0"/>
              <w:right w:val="single" w:color="auto" w:sz="4" w:space="0"/>
            </w:tcBorders>
            <w:vAlign w:val="center"/>
          </w:tcPr>
          <w:p>
            <w:pPr>
              <w:widowControl/>
              <w:jc w:val="center"/>
              <w:textAlignment w:val="top"/>
              <w:rPr>
                <w:rFonts w:hint="eastAsia" w:ascii="宋体" w:hAnsi="宋体" w:eastAsia="宋体" w:cs="Times New Roman"/>
                <w:szCs w:val="21"/>
              </w:rPr>
            </w:pPr>
            <w:r>
              <w:rPr>
                <w:rFonts w:hint="eastAsia" w:ascii="宋体" w:hAnsi="宋体" w:eastAsia="宋体" w:cs="Times New Roman"/>
                <w:szCs w:val="21"/>
              </w:rPr>
              <w:t>满足《建筑通风和排烟系统用防火阀门》GB 15930绝缘性能的相关要求。</w:t>
            </w:r>
          </w:p>
        </w:tc>
        <w:tc>
          <w:tcPr>
            <w:tcW w:w="2268" w:type="dxa"/>
            <w:tcBorders>
              <w:top w:val="single" w:color="auto" w:sz="4" w:space="0"/>
              <w:left w:val="nil"/>
              <w:bottom w:val="single" w:color="auto" w:sz="4" w:space="0"/>
              <w:right w:val="single" w:color="auto" w:sz="4" w:space="0"/>
            </w:tcBorders>
            <w:vAlign w:val="center"/>
          </w:tcPr>
          <w:p>
            <w:pPr>
              <w:widowControl/>
              <w:jc w:val="center"/>
              <w:textAlignment w:val="top"/>
              <w:rPr>
                <w:rFonts w:hint="eastAsia" w:ascii="宋体" w:hAnsi="宋体" w:eastAsia="宋体" w:cs="Times New Roman"/>
                <w:kern w:val="0"/>
                <w:szCs w:val="21"/>
                <w:lang w:bidi="ar"/>
              </w:rPr>
            </w:pPr>
            <w:r>
              <w:rPr>
                <w:rFonts w:hint="eastAsia" w:ascii="宋体" w:hAnsi="宋体" w:eastAsia="宋体" w:cs="Times New Roman"/>
                <w:szCs w:val="21"/>
              </w:rPr>
              <w:t>不满足直接判定为</w:t>
            </w:r>
            <w:r>
              <w:rPr>
                <w:rFonts w:hint="eastAsia" w:ascii="宋体" w:hAnsi="宋体" w:eastAsia="宋体" w:cs="Times New Roman"/>
                <w:b/>
                <w:bCs/>
                <w:szCs w:val="21"/>
              </w:rPr>
              <w:t>D级</w:t>
            </w:r>
          </w:p>
        </w:tc>
        <w:tc>
          <w:tcPr>
            <w:tcW w:w="5245" w:type="dxa"/>
            <w:tcBorders>
              <w:top w:val="single" w:color="auto" w:sz="4" w:space="0"/>
              <w:left w:val="nil"/>
              <w:bottom w:val="single" w:color="auto" w:sz="4" w:space="0"/>
              <w:right w:val="single" w:color="auto" w:sz="4" w:space="0"/>
            </w:tcBorders>
            <w:vAlign w:val="center"/>
          </w:tcPr>
          <w:p>
            <w:pPr>
              <w:widowControl/>
              <w:textAlignment w:val="top"/>
              <w:rPr>
                <w:rFonts w:hint="eastAsia" w:ascii="宋体" w:hAnsi="宋体" w:eastAsia="宋体" w:cs="Times New Roman"/>
                <w:szCs w:val="21"/>
              </w:rPr>
            </w:pPr>
            <w:r>
              <w:rPr>
                <w:rFonts w:hint="eastAsia" w:ascii="宋体" w:hAnsi="宋体" w:eastAsia="宋体" w:cs="Times New Roman"/>
                <w:szCs w:val="21"/>
              </w:rPr>
              <w:t>阀门使用的启闭装置有绝缘要求的外部带电端子与阀体之间的绝缘电阻在常温下应大于20MΩ。</w:t>
            </w:r>
          </w:p>
        </w:tc>
      </w:tr>
      <w:tr>
        <w:tblPrEx>
          <w:tblCellMar>
            <w:top w:w="0" w:type="dxa"/>
            <w:left w:w="108" w:type="dxa"/>
            <w:bottom w:w="0" w:type="dxa"/>
            <w:right w:w="108" w:type="dxa"/>
          </w:tblCellMar>
        </w:tblPrEx>
        <w:trPr>
          <w:trHeight w:val="855" w:hRule="atLeast"/>
          <w:jc w:val="center"/>
        </w:trPr>
        <w:tc>
          <w:tcPr>
            <w:tcW w:w="704"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jc w:val="center"/>
              <w:textAlignment w:val="top"/>
              <w:rPr>
                <w:rFonts w:hint="eastAsia" w:ascii="宋体" w:hAnsi="宋体" w:eastAsia="宋体" w:cs="Times New Roman"/>
                <w:szCs w:val="21"/>
              </w:rPr>
            </w:pPr>
            <w:r>
              <w:rPr>
                <w:rFonts w:hint="eastAsia" w:ascii="宋体" w:hAnsi="宋体" w:eastAsia="宋体" w:cs="Times New Roman"/>
                <w:szCs w:val="21"/>
              </w:rPr>
              <w:t>8</w:t>
            </w:r>
          </w:p>
        </w:tc>
        <w:tc>
          <w:tcPr>
            <w:tcW w:w="1985"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widowControl/>
              <w:jc w:val="center"/>
              <w:textAlignment w:val="top"/>
              <w:rPr>
                <w:rFonts w:hint="eastAsia" w:ascii="宋体" w:hAnsi="宋体" w:eastAsia="宋体" w:cs="Times New Roman"/>
                <w:szCs w:val="21"/>
              </w:rPr>
            </w:pPr>
            <w:r>
              <w:rPr>
                <w:rFonts w:hint="eastAsia" w:ascii="宋体" w:hAnsi="宋体" w:eastAsia="宋体" w:cs="Times New Roman"/>
                <w:szCs w:val="21"/>
              </w:rPr>
              <w:t>防腐性能</w:t>
            </w:r>
          </w:p>
        </w:tc>
        <w:tc>
          <w:tcPr>
            <w:tcW w:w="2976" w:type="dxa"/>
            <w:tcBorders>
              <w:top w:val="single" w:color="auto" w:sz="4" w:space="0"/>
              <w:left w:val="nil"/>
              <w:bottom w:val="single" w:color="auto" w:sz="4" w:space="0"/>
              <w:right w:val="single" w:color="auto" w:sz="4" w:space="0"/>
            </w:tcBorders>
            <w:shd w:val="clear" w:color="auto" w:fill="FFFFFF" w:themeFill="background1"/>
            <w:vAlign w:val="center"/>
          </w:tcPr>
          <w:p>
            <w:pPr>
              <w:widowControl/>
              <w:jc w:val="center"/>
              <w:textAlignment w:val="top"/>
              <w:rPr>
                <w:rFonts w:hint="eastAsia" w:ascii="宋体" w:hAnsi="宋体" w:eastAsia="宋体" w:cs="Times New Roman"/>
                <w:szCs w:val="21"/>
              </w:rPr>
            </w:pPr>
            <w:r>
              <w:rPr>
                <w:rFonts w:hint="eastAsia" w:ascii="宋体" w:hAnsi="宋体" w:eastAsia="宋体" w:cs="Times New Roman"/>
                <w:szCs w:val="21"/>
              </w:rPr>
              <w:t>满足</w:t>
            </w:r>
            <w:bookmarkStart w:id="41" w:name="OLE_LINK4"/>
            <w:r>
              <w:rPr>
                <w:rFonts w:hint="eastAsia" w:ascii="宋体" w:hAnsi="宋体" w:eastAsia="宋体" w:cs="Times New Roman"/>
                <w:szCs w:val="21"/>
              </w:rPr>
              <w:t>《建筑通风和排烟系统用防火阀门》</w:t>
            </w:r>
            <w:bookmarkEnd w:id="41"/>
            <w:r>
              <w:rPr>
                <w:rFonts w:hint="eastAsia" w:ascii="宋体" w:hAnsi="宋体" w:eastAsia="宋体" w:cs="Times New Roman"/>
                <w:szCs w:val="21"/>
              </w:rPr>
              <w:t>GB 15930 防腐性能的相关要求。</w:t>
            </w:r>
          </w:p>
        </w:tc>
        <w:tc>
          <w:tcPr>
            <w:tcW w:w="2268" w:type="dxa"/>
            <w:tcBorders>
              <w:top w:val="single" w:color="auto" w:sz="4" w:space="0"/>
              <w:left w:val="nil"/>
              <w:bottom w:val="single" w:color="auto" w:sz="4" w:space="0"/>
              <w:right w:val="single" w:color="auto" w:sz="4" w:space="0"/>
            </w:tcBorders>
            <w:shd w:val="clear" w:color="auto" w:fill="FFFFFF" w:themeFill="background1"/>
            <w:vAlign w:val="center"/>
          </w:tcPr>
          <w:p>
            <w:pPr>
              <w:widowControl/>
              <w:jc w:val="center"/>
              <w:textAlignment w:val="top"/>
              <w:rPr>
                <w:rFonts w:hint="eastAsia" w:ascii="宋体" w:hAnsi="宋体" w:eastAsia="宋体" w:cs="Times New Roman"/>
                <w:szCs w:val="21"/>
              </w:rPr>
            </w:pPr>
            <w:r>
              <w:rPr>
                <w:rFonts w:hint="eastAsia" w:ascii="宋体" w:hAnsi="宋体" w:eastAsia="宋体" w:cs="Times New Roman"/>
                <w:szCs w:val="21"/>
              </w:rPr>
              <w:t>不满足直接判定为</w:t>
            </w:r>
            <w:r>
              <w:rPr>
                <w:rFonts w:hint="eastAsia" w:ascii="宋体" w:hAnsi="宋体" w:eastAsia="宋体" w:cs="Times New Roman"/>
                <w:b/>
                <w:bCs/>
                <w:szCs w:val="21"/>
              </w:rPr>
              <w:t>D级</w:t>
            </w:r>
          </w:p>
        </w:tc>
        <w:tc>
          <w:tcPr>
            <w:tcW w:w="5245" w:type="dxa"/>
            <w:tcBorders>
              <w:top w:val="single" w:color="auto" w:sz="4" w:space="0"/>
              <w:left w:val="nil"/>
              <w:bottom w:val="single" w:color="auto" w:sz="4" w:space="0"/>
              <w:right w:val="single" w:color="auto" w:sz="4" w:space="0"/>
            </w:tcBorders>
            <w:shd w:val="clear" w:color="auto" w:fill="FFFFFF" w:themeFill="background1"/>
            <w:vAlign w:val="center"/>
          </w:tcPr>
          <w:p>
            <w:pPr>
              <w:widowControl/>
              <w:textAlignment w:val="top"/>
              <w:rPr>
                <w:rFonts w:hint="eastAsia" w:ascii="宋体" w:hAnsi="宋体" w:eastAsia="宋体" w:cs="Times New Roman"/>
                <w:szCs w:val="21"/>
              </w:rPr>
            </w:pPr>
            <w:r>
              <w:rPr>
                <w:rFonts w:hint="eastAsia" w:ascii="宋体" w:hAnsi="宋体" w:eastAsia="宋体" w:cs="Times New Roman"/>
                <w:szCs w:val="21"/>
              </w:rPr>
              <w:t>经过5个周期，共120h的盐雾腐蚀试验后，阀门应能正常启闭，铭牌牢固，标识仍能清晰可见。</w:t>
            </w:r>
          </w:p>
        </w:tc>
      </w:tr>
    </w:tbl>
    <w:p>
      <w:pPr>
        <w:rPr>
          <w:rFonts w:eastAsia="宋体" w:cs="Times New Roman"/>
          <w:szCs w:val="24"/>
        </w:rPr>
      </w:pPr>
    </w:p>
    <w:p>
      <w:pPr>
        <w:rPr>
          <w:rFonts w:eastAsia="宋体" w:cs="Times New Roman"/>
          <w:szCs w:val="24"/>
        </w:rPr>
      </w:pPr>
    </w:p>
    <w:p>
      <w:pPr>
        <w:rPr>
          <w:rFonts w:eastAsia="宋体" w:cs="Times New Roman"/>
          <w:szCs w:val="24"/>
        </w:rPr>
      </w:pPr>
    </w:p>
    <w:p>
      <w:pPr>
        <w:rPr>
          <w:rFonts w:eastAsia="宋体" w:cs="Times New Roman"/>
          <w:szCs w:val="24"/>
        </w:rPr>
      </w:pPr>
    </w:p>
    <w:p>
      <w:pPr>
        <w:jc w:val="center"/>
        <w:rPr>
          <w:rFonts w:eastAsia="宋体" w:cs="Times New Roman"/>
          <w:szCs w:val="24"/>
        </w:rPr>
      </w:pPr>
      <w:bookmarkStart w:id="42" w:name="OLE_LINK10"/>
      <w:r>
        <w:rPr>
          <w:rFonts w:hint="eastAsia"/>
          <w:b/>
          <w:bCs/>
        </w:rPr>
        <w:t xml:space="preserve">表4.2.1-2 </w:t>
      </w:r>
      <w:r>
        <w:rPr>
          <w:b/>
          <w:bCs/>
        </w:rPr>
        <w:t>防火阀</w:t>
      </w:r>
      <w:r>
        <w:rPr>
          <w:rFonts w:hint="eastAsia"/>
          <w:b/>
          <w:bCs/>
        </w:rPr>
        <w:t>、排烟防火阀评分项评定表</w:t>
      </w:r>
      <w:bookmarkEnd w:id="42"/>
    </w:p>
    <w:tbl>
      <w:tblPr>
        <w:tblStyle w:val="17"/>
        <w:tblW w:w="14029" w:type="dxa"/>
        <w:jc w:val="center"/>
        <w:tblLayout w:type="fixed"/>
        <w:tblCellMar>
          <w:top w:w="0" w:type="dxa"/>
          <w:left w:w="108" w:type="dxa"/>
          <w:bottom w:w="0" w:type="dxa"/>
          <w:right w:w="108" w:type="dxa"/>
        </w:tblCellMar>
      </w:tblPr>
      <w:tblGrid>
        <w:gridCol w:w="704"/>
        <w:gridCol w:w="1985"/>
        <w:gridCol w:w="1842"/>
        <w:gridCol w:w="3544"/>
        <w:gridCol w:w="709"/>
        <w:gridCol w:w="5245"/>
      </w:tblGrid>
      <w:tr>
        <w:tblPrEx>
          <w:tblCellMar>
            <w:top w:w="0" w:type="dxa"/>
            <w:left w:w="108" w:type="dxa"/>
            <w:bottom w:w="0" w:type="dxa"/>
            <w:right w:w="108" w:type="dxa"/>
          </w:tblCellMar>
        </w:tblPrEx>
        <w:trPr>
          <w:trHeight w:val="285" w:hRule="atLeast"/>
          <w:tblHeader/>
          <w:jc w:val="center"/>
        </w:trPr>
        <w:tc>
          <w:tcPr>
            <w:tcW w:w="704"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top"/>
              <w:rPr>
                <w:rFonts w:eastAsia="宋体" w:cs="Times New Roman"/>
                <w:b/>
                <w:bCs/>
                <w:szCs w:val="21"/>
              </w:rPr>
            </w:pPr>
            <w:r>
              <w:rPr>
                <w:rFonts w:eastAsia="宋体" w:cs="Times New Roman"/>
                <w:szCs w:val="21"/>
              </w:rPr>
              <w:br w:type="page"/>
            </w:r>
            <w:r>
              <w:rPr>
                <w:rFonts w:eastAsia="宋体" w:cs="Times New Roman"/>
                <w:b/>
                <w:bCs/>
                <w:kern w:val="0"/>
                <w:szCs w:val="21"/>
                <w:lang w:bidi="ar"/>
              </w:rPr>
              <w:t>序号</w:t>
            </w:r>
          </w:p>
        </w:tc>
        <w:tc>
          <w:tcPr>
            <w:tcW w:w="1985" w:type="dxa"/>
            <w:tcBorders>
              <w:top w:val="single" w:color="auto" w:sz="4" w:space="0"/>
              <w:left w:val="nil"/>
              <w:bottom w:val="single" w:color="auto" w:sz="4" w:space="0"/>
              <w:right w:val="single" w:color="auto" w:sz="4" w:space="0"/>
            </w:tcBorders>
            <w:noWrap/>
            <w:vAlign w:val="center"/>
          </w:tcPr>
          <w:p>
            <w:pPr>
              <w:widowControl/>
              <w:jc w:val="center"/>
              <w:textAlignment w:val="top"/>
              <w:rPr>
                <w:rFonts w:eastAsia="宋体" w:cs="Times New Roman"/>
                <w:b/>
                <w:bCs/>
                <w:szCs w:val="21"/>
              </w:rPr>
            </w:pPr>
            <w:r>
              <w:rPr>
                <w:rFonts w:eastAsia="宋体" w:cs="Times New Roman"/>
                <w:b/>
                <w:bCs/>
                <w:kern w:val="0"/>
                <w:szCs w:val="21"/>
                <w:lang w:bidi="ar"/>
              </w:rPr>
              <w:t>评定指标</w:t>
            </w:r>
          </w:p>
        </w:tc>
        <w:tc>
          <w:tcPr>
            <w:tcW w:w="1842" w:type="dxa"/>
            <w:tcBorders>
              <w:top w:val="single" w:color="auto" w:sz="4" w:space="0"/>
              <w:left w:val="nil"/>
              <w:bottom w:val="single" w:color="auto" w:sz="4" w:space="0"/>
              <w:right w:val="single" w:color="auto" w:sz="4" w:space="0"/>
            </w:tcBorders>
            <w:vAlign w:val="center"/>
          </w:tcPr>
          <w:p>
            <w:pPr>
              <w:widowControl/>
              <w:jc w:val="center"/>
              <w:textAlignment w:val="top"/>
              <w:rPr>
                <w:rFonts w:eastAsia="宋体" w:cs="Times New Roman"/>
                <w:b/>
                <w:bCs/>
                <w:szCs w:val="21"/>
              </w:rPr>
            </w:pPr>
            <w:r>
              <w:rPr>
                <w:rFonts w:eastAsia="宋体" w:cs="Times New Roman"/>
                <w:b/>
                <w:bCs/>
                <w:kern w:val="0"/>
                <w:szCs w:val="21"/>
                <w:lang w:bidi="ar"/>
              </w:rPr>
              <w:t>评分项</w:t>
            </w:r>
          </w:p>
        </w:tc>
        <w:tc>
          <w:tcPr>
            <w:tcW w:w="3544" w:type="dxa"/>
            <w:tcBorders>
              <w:top w:val="single" w:color="auto" w:sz="4" w:space="0"/>
              <w:left w:val="nil"/>
              <w:bottom w:val="single" w:color="auto" w:sz="4" w:space="0"/>
              <w:right w:val="single" w:color="auto" w:sz="4" w:space="0"/>
            </w:tcBorders>
            <w:vAlign w:val="center"/>
          </w:tcPr>
          <w:p>
            <w:pPr>
              <w:widowControl/>
              <w:jc w:val="center"/>
              <w:textAlignment w:val="top"/>
              <w:rPr>
                <w:rFonts w:eastAsia="宋体" w:cs="Times New Roman"/>
                <w:b/>
                <w:bCs/>
                <w:kern w:val="0"/>
                <w:szCs w:val="21"/>
                <w:lang w:bidi="ar"/>
              </w:rPr>
            </w:pPr>
            <w:r>
              <w:rPr>
                <w:rFonts w:eastAsia="宋体" w:cs="Times New Roman"/>
                <w:b/>
                <w:bCs/>
                <w:kern w:val="0"/>
                <w:szCs w:val="21"/>
                <w:lang w:bidi="ar"/>
              </w:rPr>
              <w:t>评定方法</w:t>
            </w:r>
          </w:p>
        </w:tc>
        <w:tc>
          <w:tcPr>
            <w:tcW w:w="709"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top"/>
              <w:rPr>
                <w:rFonts w:eastAsia="宋体" w:cs="Times New Roman"/>
                <w:b/>
                <w:bCs/>
                <w:szCs w:val="21"/>
              </w:rPr>
            </w:pPr>
            <w:r>
              <w:rPr>
                <w:rFonts w:eastAsia="宋体" w:cs="Times New Roman"/>
                <w:b/>
                <w:bCs/>
                <w:kern w:val="0"/>
                <w:szCs w:val="21"/>
                <w:lang w:bidi="ar"/>
              </w:rPr>
              <w:t>权重</w:t>
            </w:r>
            <w:r>
              <w:rPr>
                <w:rFonts w:hint="eastAsia" w:eastAsia="宋体" w:cs="Times New Roman"/>
                <w:b/>
                <w:bCs/>
                <w:kern w:val="0"/>
                <w:szCs w:val="21"/>
                <w:lang w:bidi="ar"/>
              </w:rPr>
              <w:t>因子</w:t>
            </w:r>
          </w:p>
        </w:tc>
        <w:tc>
          <w:tcPr>
            <w:tcW w:w="524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top"/>
              <w:rPr>
                <w:rFonts w:eastAsia="宋体" w:cs="Times New Roman"/>
                <w:b/>
                <w:bCs/>
                <w:kern w:val="0"/>
                <w:szCs w:val="21"/>
                <w:lang w:bidi="ar"/>
              </w:rPr>
            </w:pPr>
            <w:r>
              <w:rPr>
                <w:rFonts w:eastAsia="宋体" w:cs="Times New Roman"/>
                <w:b/>
                <w:bCs/>
                <w:kern w:val="0"/>
                <w:szCs w:val="21"/>
                <w:lang w:bidi="ar"/>
              </w:rPr>
              <w:t>说明</w:t>
            </w:r>
          </w:p>
        </w:tc>
      </w:tr>
      <w:tr>
        <w:tblPrEx>
          <w:tblCellMar>
            <w:top w:w="0" w:type="dxa"/>
            <w:left w:w="108" w:type="dxa"/>
            <w:bottom w:w="0" w:type="dxa"/>
            <w:right w:w="108" w:type="dxa"/>
          </w:tblCellMar>
        </w:tblPrEx>
        <w:trPr>
          <w:trHeight w:val="855" w:hRule="atLeast"/>
          <w:jc w:val="center"/>
        </w:trPr>
        <w:tc>
          <w:tcPr>
            <w:tcW w:w="704" w:type="dxa"/>
            <w:vMerge w:val="restart"/>
            <w:tcBorders>
              <w:top w:val="single" w:color="auto" w:sz="4" w:space="0"/>
              <w:left w:val="single" w:color="auto" w:sz="4" w:space="0"/>
              <w:bottom w:val="single" w:color="auto" w:sz="4" w:space="0"/>
              <w:right w:val="single" w:color="auto" w:sz="4" w:space="0"/>
            </w:tcBorders>
            <w:noWrap/>
            <w:vAlign w:val="center"/>
          </w:tcPr>
          <w:p>
            <w:pPr>
              <w:widowControl/>
              <w:jc w:val="center"/>
              <w:textAlignment w:val="top"/>
              <w:rPr>
                <w:rFonts w:hint="eastAsia" w:ascii="宋体" w:hAnsi="宋体" w:eastAsia="宋体" w:cs="Times New Roman"/>
                <w:szCs w:val="21"/>
              </w:rPr>
            </w:pPr>
            <w:r>
              <w:rPr>
                <w:rFonts w:hint="eastAsia" w:ascii="宋体" w:hAnsi="宋体" w:eastAsia="宋体" w:cs="Times New Roman"/>
                <w:szCs w:val="21"/>
              </w:rPr>
              <w:t>1</w:t>
            </w:r>
          </w:p>
        </w:tc>
        <w:tc>
          <w:tcPr>
            <w:tcW w:w="1985" w:type="dxa"/>
            <w:vMerge w:val="restart"/>
            <w:tcBorders>
              <w:top w:val="single" w:color="auto" w:sz="4" w:space="0"/>
              <w:left w:val="single" w:color="auto" w:sz="4" w:space="0"/>
              <w:bottom w:val="single" w:color="auto" w:sz="4" w:space="0"/>
              <w:right w:val="single" w:color="auto" w:sz="4" w:space="0"/>
            </w:tcBorders>
            <w:noWrap/>
            <w:vAlign w:val="center"/>
          </w:tcPr>
          <w:p>
            <w:pPr>
              <w:widowControl/>
              <w:jc w:val="center"/>
              <w:textAlignment w:val="top"/>
              <w:rPr>
                <w:rFonts w:hint="eastAsia" w:ascii="宋体" w:hAnsi="宋体" w:eastAsia="宋体" w:cs="Times New Roman"/>
                <w:szCs w:val="21"/>
              </w:rPr>
            </w:pPr>
            <w:r>
              <w:rPr>
                <w:rFonts w:hint="eastAsia" w:ascii="宋体" w:hAnsi="宋体" w:eastAsia="宋体" w:cs="Times New Roman"/>
                <w:szCs w:val="21"/>
              </w:rPr>
              <w:t>阀门操作的可靠性、执行器动作可靠性</w:t>
            </w:r>
          </w:p>
        </w:tc>
        <w:tc>
          <w:tcPr>
            <w:tcW w:w="1842" w:type="dxa"/>
            <w:tcBorders>
              <w:top w:val="single" w:color="auto" w:sz="4" w:space="0"/>
              <w:left w:val="nil"/>
              <w:bottom w:val="single" w:color="auto" w:sz="4" w:space="0"/>
              <w:right w:val="single" w:color="auto" w:sz="4" w:space="0"/>
            </w:tcBorders>
            <w:vAlign w:val="center"/>
          </w:tcPr>
          <w:p>
            <w:pPr>
              <w:widowControl/>
              <w:jc w:val="center"/>
              <w:textAlignment w:val="top"/>
              <w:rPr>
                <w:rFonts w:hint="eastAsia" w:ascii="宋体" w:hAnsi="宋体" w:eastAsia="宋体" w:cs="Times New Roman"/>
                <w:szCs w:val="21"/>
              </w:rPr>
            </w:pPr>
            <w:r>
              <w:rPr>
                <w:rFonts w:hint="eastAsia" w:ascii="宋体" w:hAnsi="宋体" w:eastAsia="宋体" w:cs="Times New Roman"/>
                <w:szCs w:val="21"/>
              </w:rPr>
              <w:t>阀门开关循环次数</w:t>
            </w:r>
          </w:p>
        </w:tc>
        <w:tc>
          <w:tcPr>
            <w:tcW w:w="3544" w:type="dxa"/>
            <w:tcBorders>
              <w:top w:val="single" w:color="auto" w:sz="4" w:space="0"/>
              <w:left w:val="nil"/>
              <w:bottom w:val="single" w:color="auto" w:sz="4" w:space="0"/>
              <w:right w:val="single" w:color="auto" w:sz="4" w:space="0"/>
            </w:tcBorders>
            <w:vAlign w:val="center"/>
          </w:tcPr>
          <w:p>
            <w:pPr>
              <w:widowControl/>
              <w:jc w:val="left"/>
              <w:textAlignment w:val="top"/>
              <w:rPr>
                <w:rFonts w:hint="eastAsia" w:ascii="宋体" w:hAnsi="宋体" w:eastAsia="宋体" w:cs="Times New Roman"/>
                <w:szCs w:val="21"/>
              </w:rPr>
            </w:pPr>
            <w:r>
              <w:rPr>
                <w:rFonts w:hint="eastAsia" w:ascii="宋体" w:hAnsi="宋体" w:eastAsia="宋体" w:cs="Times New Roman"/>
                <w:szCs w:val="21"/>
              </w:rPr>
              <w:t>1.开关循环次数达到200次，评为合格，得60分；</w:t>
            </w:r>
          </w:p>
          <w:p>
            <w:pPr>
              <w:widowControl/>
              <w:jc w:val="left"/>
              <w:textAlignment w:val="top"/>
              <w:rPr>
                <w:rFonts w:hint="eastAsia" w:ascii="宋体" w:hAnsi="宋体" w:eastAsia="宋体" w:cs="Times New Roman"/>
                <w:szCs w:val="21"/>
              </w:rPr>
            </w:pPr>
            <w:r>
              <w:rPr>
                <w:rFonts w:hint="eastAsia" w:ascii="宋体" w:hAnsi="宋体" w:eastAsia="宋体" w:cs="Times New Roman"/>
                <w:szCs w:val="21"/>
              </w:rPr>
              <w:t>2.开关循环次数达到2,000次，评为良好，得80分；</w:t>
            </w:r>
          </w:p>
          <w:p>
            <w:pPr>
              <w:widowControl/>
              <w:jc w:val="left"/>
              <w:textAlignment w:val="top"/>
              <w:rPr>
                <w:rFonts w:hint="eastAsia" w:ascii="宋体" w:hAnsi="宋体" w:eastAsia="宋体" w:cs="Times New Roman"/>
                <w:kern w:val="0"/>
                <w:szCs w:val="21"/>
                <w:lang w:bidi="ar"/>
              </w:rPr>
            </w:pPr>
            <w:r>
              <w:rPr>
                <w:rFonts w:hint="eastAsia" w:ascii="宋体" w:hAnsi="宋体" w:eastAsia="宋体" w:cs="Times New Roman"/>
                <w:szCs w:val="21"/>
              </w:rPr>
              <w:t>3.开关循环次数达到10,000次，评为优秀，得100分。</w:t>
            </w:r>
          </w:p>
        </w:tc>
        <w:tc>
          <w:tcPr>
            <w:tcW w:w="709" w:type="dxa"/>
            <w:tcBorders>
              <w:top w:val="single" w:color="auto" w:sz="4" w:space="0"/>
              <w:left w:val="nil"/>
              <w:bottom w:val="single" w:color="auto" w:sz="4" w:space="0"/>
              <w:right w:val="single" w:color="auto" w:sz="4" w:space="0"/>
            </w:tcBorders>
            <w:noWrap/>
            <w:vAlign w:val="center"/>
          </w:tcPr>
          <w:p>
            <w:pPr>
              <w:widowControl/>
              <w:jc w:val="center"/>
              <w:textAlignment w:val="top"/>
              <w:rPr>
                <w:rFonts w:hint="eastAsia" w:ascii="宋体" w:hAnsi="宋体" w:eastAsia="宋体" w:cs="Times New Roman"/>
                <w:szCs w:val="21"/>
              </w:rPr>
            </w:pPr>
            <w:r>
              <w:rPr>
                <w:rFonts w:hint="eastAsia" w:ascii="宋体" w:hAnsi="宋体" w:eastAsia="宋体" w:cs="Times New Roman"/>
                <w:szCs w:val="21"/>
              </w:rPr>
              <w:t>0.1</w:t>
            </w:r>
          </w:p>
        </w:tc>
        <w:tc>
          <w:tcPr>
            <w:tcW w:w="5245" w:type="dxa"/>
            <w:tcBorders>
              <w:top w:val="single" w:color="auto" w:sz="4" w:space="0"/>
              <w:left w:val="nil"/>
              <w:bottom w:val="single" w:color="auto" w:sz="4" w:space="0"/>
              <w:right w:val="single" w:color="auto" w:sz="4" w:space="0"/>
            </w:tcBorders>
            <w:vAlign w:val="center"/>
          </w:tcPr>
          <w:p>
            <w:pPr>
              <w:widowControl/>
              <w:jc w:val="left"/>
              <w:textAlignment w:val="top"/>
              <w:rPr>
                <w:rFonts w:hint="eastAsia" w:ascii="宋体" w:hAnsi="宋体" w:eastAsia="宋体" w:cs="Times New Roman"/>
                <w:szCs w:val="21"/>
              </w:rPr>
            </w:pPr>
            <w:r>
              <w:rPr>
                <w:rFonts w:hint="eastAsia" w:ascii="宋体" w:hAnsi="宋体" w:eastAsia="宋体" w:cs="Times New Roman"/>
                <w:szCs w:val="21"/>
              </w:rPr>
              <w:t>具备电动关闭方式启闭装置的阀门：</w:t>
            </w:r>
          </w:p>
          <w:p>
            <w:pPr>
              <w:widowControl/>
              <w:jc w:val="left"/>
              <w:textAlignment w:val="top"/>
              <w:rPr>
                <w:rFonts w:hint="eastAsia" w:ascii="宋体" w:hAnsi="宋体" w:eastAsia="宋体" w:cs="Times New Roman"/>
                <w:szCs w:val="21"/>
              </w:rPr>
            </w:pPr>
            <w:r>
              <w:rPr>
                <w:rFonts w:hint="eastAsia" w:ascii="宋体" w:hAnsi="宋体" w:eastAsia="宋体" w:cs="Times New Roman"/>
                <w:szCs w:val="21"/>
              </w:rPr>
              <w:t>1.在实际电源电压低于额定工作电压15%时，阀门能正常进行电控操作100次；</w:t>
            </w:r>
          </w:p>
          <w:p>
            <w:pPr>
              <w:widowControl/>
              <w:jc w:val="left"/>
              <w:textAlignment w:val="top"/>
              <w:rPr>
                <w:rFonts w:hint="eastAsia" w:ascii="宋体" w:hAnsi="宋体" w:eastAsia="宋体" w:cs="Times New Roman"/>
                <w:szCs w:val="21"/>
              </w:rPr>
            </w:pPr>
            <w:r>
              <w:rPr>
                <w:rFonts w:hint="eastAsia" w:ascii="宋体" w:hAnsi="宋体" w:eastAsia="宋体" w:cs="Times New Roman"/>
                <w:szCs w:val="21"/>
              </w:rPr>
              <w:t>2.在实际电源电压高于额定工作电压10%时，阀门能正常进行电控操作100次；</w:t>
            </w:r>
          </w:p>
          <w:p>
            <w:pPr>
              <w:widowControl/>
              <w:jc w:val="left"/>
              <w:textAlignment w:val="top"/>
              <w:rPr>
                <w:rFonts w:hint="eastAsia" w:ascii="宋体" w:hAnsi="宋体" w:eastAsia="宋体" w:cs="Times New Roman"/>
                <w:szCs w:val="21"/>
              </w:rPr>
            </w:pPr>
            <w:r>
              <w:rPr>
                <w:rFonts w:hint="eastAsia" w:ascii="宋体" w:hAnsi="宋体" w:eastAsia="宋体" w:cs="Times New Roman"/>
                <w:szCs w:val="21"/>
              </w:rPr>
              <w:t>3.针对于开关循环次数达到2，000次的阀门，在实际电源电压等于或接近额定工作电压时，阀门在完成200次试验后，仍正常进行电控操作不少于1,800次。</w:t>
            </w:r>
          </w:p>
          <w:p>
            <w:pPr>
              <w:widowControl/>
              <w:jc w:val="left"/>
              <w:textAlignment w:val="top"/>
              <w:rPr>
                <w:rFonts w:hint="eastAsia" w:ascii="宋体" w:hAnsi="宋体" w:eastAsia="宋体" w:cs="Times New Roman"/>
                <w:szCs w:val="21"/>
              </w:rPr>
            </w:pPr>
            <w:r>
              <w:rPr>
                <w:rFonts w:hint="eastAsia" w:ascii="宋体" w:hAnsi="宋体" w:eastAsia="宋体" w:cs="Times New Roman"/>
                <w:szCs w:val="21"/>
              </w:rPr>
              <w:t>4. 针对于开关循环次数达到10，000次的阀门，在实际电源电压等于或接近额定工作电压时，阀门在完成200次试验后，仍正常进行电控操作不少于9,800次。</w:t>
            </w:r>
          </w:p>
          <w:p>
            <w:pPr>
              <w:widowControl/>
              <w:jc w:val="left"/>
              <w:textAlignment w:val="top"/>
              <w:rPr>
                <w:rFonts w:hint="eastAsia" w:ascii="宋体" w:hAnsi="宋体" w:eastAsia="宋体" w:cs="Times New Roman"/>
                <w:kern w:val="0"/>
                <w:szCs w:val="21"/>
                <w:lang w:bidi="ar"/>
              </w:rPr>
            </w:pPr>
            <w:r>
              <w:rPr>
                <w:rFonts w:hint="eastAsia" w:ascii="宋体" w:hAnsi="宋体" w:eastAsia="宋体" w:cs="Times New Roman"/>
                <w:szCs w:val="21"/>
              </w:rPr>
              <w:t>5.在开关循环次数达到200次、2,000次、10,000次的测试后，不会出现零件松动或移位或其他严重缺陷，且位置反馈信号正确。</w:t>
            </w:r>
          </w:p>
        </w:tc>
      </w:tr>
      <w:tr>
        <w:tblPrEx>
          <w:tblCellMar>
            <w:top w:w="0" w:type="dxa"/>
            <w:left w:w="108" w:type="dxa"/>
            <w:bottom w:w="0" w:type="dxa"/>
            <w:right w:w="108" w:type="dxa"/>
          </w:tblCellMar>
        </w:tblPrEx>
        <w:trPr>
          <w:trHeight w:val="855" w:hRule="atLeast"/>
          <w:jc w:val="center"/>
        </w:trPr>
        <w:tc>
          <w:tcPr>
            <w:tcW w:w="704" w:type="dxa"/>
            <w:vMerge w:val="continue"/>
            <w:tcBorders>
              <w:top w:val="single" w:color="auto" w:sz="4" w:space="0"/>
              <w:left w:val="single" w:color="auto" w:sz="4" w:space="0"/>
              <w:bottom w:val="single" w:color="auto" w:sz="4" w:space="0"/>
              <w:right w:val="single" w:color="auto" w:sz="4" w:space="0"/>
            </w:tcBorders>
            <w:noWrap/>
            <w:vAlign w:val="center"/>
          </w:tcPr>
          <w:p>
            <w:pPr>
              <w:widowControl/>
              <w:jc w:val="center"/>
              <w:textAlignment w:val="top"/>
              <w:rPr>
                <w:rFonts w:hint="eastAsia" w:ascii="宋体" w:hAnsi="宋体" w:eastAsia="宋体" w:cs="Times New Roman"/>
                <w:szCs w:val="21"/>
              </w:rPr>
            </w:pPr>
          </w:p>
        </w:tc>
        <w:tc>
          <w:tcPr>
            <w:tcW w:w="1985" w:type="dxa"/>
            <w:vMerge w:val="continue"/>
            <w:tcBorders>
              <w:top w:val="single" w:color="auto" w:sz="4" w:space="0"/>
              <w:left w:val="single" w:color="auto" w:sz="4" w:space="0"/>
              <w:bottom w:val="single" w:color="auto" w:sz="4" w:space="0"/>
              <w:right w:val="single" w:color="auto" w:sz="4" w:space="0"/>
            </w:tcBorders>
            <w:noWrap/>
            <w:vAlign w:val="center"/>
          </w:tcPr>
          <w:p>
            <w:pPr>
              <w:widowControl/>
              <w:jc w:val="center"/>
              <w:textAlignment w:val="top"/>
              <w:rPr>
                <w:rFonts w:hint="eastAsia" w:ascii="宋体" w:hAnsi="宋体" w:eastAsia="宋体" w:cs="Times New Roman"/>
                <w:szCs w:val="21"/>
              </w:rPr>
            </w:pPr>
          </w:p>
        </w:tc>
        <w:tc>
          <w:tcPr>
            <w:tcW w:w="1842" w:type="dxa"/>
            <w:tcBorders>
              <w:top w:val="nil"/>
              <w:left w:val="nil"/>
              <w:bottom w:val="single" w:color="auto" w:sz="4" w:space="0"/>
              <w:right w:val="single" w:color="auto" w:sz="4" w:space="0"/>
            </w:tcBorders>
            <w:vAlign w:val="center"/>
          </w:tcPr>
          <w:p>
            <w:pPr>
              <w:widowControl/>
              <w:jc w:val="center"/>
              <w:textAlignment w:val="top"/>
              <w:rPr>
                <w:rFonts w:hint="eastAsia" w:ascii="宋体" w:hAnsi="宋体" w:eastAsia="宋体" w:cs="Times New Roman"/>
                <w:szCs w:val="21"/>
              </w:rPr>
            </w:pPr>
            <w:r>
              <w:rPr>
                <w:rFonts w:hint="eastAsia" w:ascii="宋体" w:hAnsi="宋体" w:eastAsia="宋体" w:cs="Times New Roman"/>
                <w:szCs w:val="21"/>
              </w:rPr>
              <w:t>执行器加持方式</w:t>
            </w:r>
          </w:p>
        </w:tc>
        <w:tc>
          <w:tcPr>
            <w:tcW w:w="3544" w:type="dxa"/>
            <w:tcBorders>
              <w:top w:val="nil"/>
              <w:left w:val="nil"/>
              <w:bottom w:val="single" w:color="auto" w:sz="4" w:space="0"/>
              <w:right w:val="single" w:color="auto" w:sz="4" w:space="0"/>
            </w:tcBorders>
            <w:vAlign w:val="center"/>
          </w:tcPr>
          <w:p>
            <w:pPr>
              <w:widowControl/>
              <w:jc w:val="left"/>
              <w:textAlignment w:val="top"/>
              <w:rPr>
                <w:rFonts w:hint="eastAsia" w:ascii="宋体" w:hAnsi="宋体" w:eastAsia="宋体" w:cs="Times New Roman"/>
                <w:szCs w:val="21"/>
              </w:rPr>
            </w:pPr>
            <w:r>
              <w:rPr>
                <w:rFonts w:hint="eastAsia" w:ascii="宋体" w:hAnsi="宋体" w:eastAsia="宋体" w:cs="Times New Roman"/>
                <w:szCs w:val="21"/>
              </w:rPr>
              <w:t>1."顶针"式加持装置，得60分；</w:t>
            </w:r>
            <w:r>
              <w:rPr>
                <w:rFonts w:ascii="宋体" w:hAnsi="宋体" w:eastAsia="宋体" w:cs="Times New Roman"/>
                <w:szCs w:val="21"/>
              </w:rPr>
              <w:t xml:space="preserve"> </w:t>
            </w:r>
          </w:p>
          <w:p>
            <w:pPr>
              <w:widowControl/>
              <w:jc w:val="left"/>
              <w:textAlignment w:val="top"/>
              <w:rPr>
                <w:rFonts w:hint="eastAsia" w:ascii="宋体" w:hAnsi="宋体" w:eastAsia="宋体" w:cs="Times New Roman"/>
                <w:szCs w:val="21"/>
              </w:rPr>
            </w:pPr>
            <w:r>
              <w:rPr>
                <w:rFonts w:hint="eastAsia" w:ascii="宋体" w:hAnsi="宋体" w:eastAsia="宋体" w:cs="Times New Roman"/>
                <w:szCs w:val="21"/>
              </w:rPr>
              <w:t>2."V"形夹持器，得80分；</w:t>
            </w:r>
          </w:p>
          <w:p>
            <w:pPr>
              <w:widowControl/>
              <w:jc w:val="left"/>
              <w:textAlignment w:val="top"/>
              <w:rPr>
                <w:rFonts w:hint="eastAsia" w:ascii="宋体" w:hAnsi="宋体" w:eastAsia="宋体" w:cs="Times New Roman"/>
                <w:kern w:val="0"/>
                <w:szCs w:val="21"/>
                <w:lang w:bidi="ar"/>
              </w:rPr>
            </w:pPr>
            <w:r>
              <w:rPr>
                <w:rFonts w:hint="eastAsia" w:ascii="宋体" w:hAnsi="宋体" w:eastAsia="宋体" w:cs="Times New Roman"/>
                <w:szCs w:val="21"/>
              </w:rPr>
              <w:t>3.嵌套方形轴孔，得100分。</w:t>
            </w:r>
          </w:p>
        </w:tc>
        <w:tc>
          <w:tcPr>
            <w:tcW w:w="709" w:type="dxa"/>
            <w:tcBorders>
              <w:top w:val="nil"/>
              <w:left w:val="nil"/>
              <w:bottom w:val="single" w:color="auto" w:sz="4" w:space="0"/>
              <w:right w:val="single" w:color="auto" w:sz="4" w:space="0"/>
            </w:tcBorders>
            <w:noWrap/>
            <w:vAlign w:val="center"/>
          </w:tcPr>
          <w:p>
            <w:pPr>
              <w:widowControl/>
              <w:jc w:val="center"/>
              <w:textAlignment w:val="top"/>
              <w:rPr>
                <w:rFonts w:hint="eastAsia" w:ascii="宋体" w:hAnsi="宋体" w:eastAsia="宋体" w:cs="Times New Roman"/>
                <w:szCs w:val="21"/>
              </w:rPr>
            </w:pPr>
            <w:r>
              <w:rPr>
                <w:rFonts w:hint="eastAsia" w:ascii="宋体" w:hAnsi="宋体" w:eastAsia="宋体" w:cs="Times New Roman"/>
                <w:szCs w:val="21"/>
              </w:rPr>
              <w:t>0.1</w:t>
            </w:r>
          </w:p>
        </w:tc>
        <w:tc>
          <w:tcPr>
            <w:tcW w:w="5245" w:type="dxa"/>
            <w:tcBorders>
              <w:top w:val="nil"/>
              <w:left w:val="nil"/>
              <w:bottom w:val="single" w:color="auto" w:sz="4" w:space="0"/>
              <w:right w:val="single" w:color="auto" w:sz="4" w:space="0"/>
            </w:tcBorders>
            <w:vAlign w:val="center"/>
          </w:tcPr>
          <w:p>
            <w:pPr>
              <w:widowControl/>
              <w:jc w:val="left"/>
              <w:textAlignment w:val="top"/>
              <w:rPr>
                <w:rFonts w:hint="eastAsia" w:ascii="宋体" w:hAnsi="宋体" w:eastAsia="宋体" w:cs="Times New Roman"/>
                <w:kern w:val="0"/>
                <w:szCs w:val="21"/>
                <w:lang w:bidi="ar"/>
              </w:rPr>
            </w:pPr>
          </w:p>
        </w:tc>
      </w:tr>
      <w:tr>
        <w:tblPrEx>
          <w:tblCellMar>
            <w:top w:w="0" w:type="dxa"/>
            <w:left w:w="108" w:type="dxa"/>
            <w:bottom w:w="0" w:type="dxa"/>
            <w:right w:w="108" w:type="dxa"/>
          </w:tblCellMar>
        </w:tblPrEx>
        <w:trPr>
          <w:trHeight w:val="855" w:hRule="atLeast"/>
          <w:jc w:val="center"/>
        </w:trPr>
        <w:tc>
          <w:tcPr>
            <w:tcW w:w="704" w:type="dxa"/>
            <w:vMerge w:val="continue"/>
            <w:tcBorders>
              <w:top w:val="single" w:color="auto" w:sz="4" w:space="0"/>
              <w:left w:val="single" w:color="auto" w:sz="4" w:space="0"/>
              <w:bottom w:val="single" w:color="auto" w:sz="4" w:space="0"/>
              <w:right w:val="single" w:color="auto" w:sz="4" w:space="0"/>
            </w:tcBorders>
            <w:noWrap/>
            <w:vAlign w:val="center"/>
          </w:tcPr>
          <w:p>
            <w:pPr>
              <w:widowControl/>
              <w:jc w:val="center"/>
              <w:textAlignment w:val="top"/>
              <w:rPr>
                <w:rFonts w:hint="eastAsia" w:ascii="宋体" w:hAnsi="宋体" w:eastAsia="宋体" w:cs="Times New Roman"/>
                <w:szCs w:val="21"/>
              </w:rPr>
            </w:pPr>
          </w:p>
        </w:tc>
        <w:tc>
          <w:tcPr>
            <w:tcW w:w="1985" w:type="dxa"/>
            <w:vMerge w:val="continue"/>
            <w:tcBorders>
              <w:top w:val="single" w:color="auto" w:sz="4" w:space="0"/>
              <w:left w:val="single" w:color="auto" w:sz="4" w:space="0"/>
              <w:bottom w:val="single" w:color="auto" w:sz="4" w:space="0"/>
              <w:right w:val="single" w:color="auto" w:sz="4" w:space="0"/>
            </w:tcBorders>
            <w:noWrap/>
            <w:vAlign w:val="center"/>
          </w:tcPr>
          <w:p>
            <w:pPr>
              <w:widowControl/>
              <w:jc w:val="center"/>
              <w:textAlignment w:val="top"/>
              <w:rPr>
                <w:rFonts w:hint="eastAsia" w:ascii="宋体" w:hAnsi="宋体" w:eastAsia="宋体" w:cs="Times New Roman"/>
                <w:szCs w:val="21"/>
              </w:rPr>
            </w:pPr>
          </w:p>
        </w:tc>
        <w:tc>
          <w:tcPr>
            <w:tcW w:w="1842" w:type="dxa"/>
            <w:tcBorders>
              <w:top w:val="nil"/>
              <w:left w:val="nil"/>
              <w:bottom w:val="single" w:color="auto" w:sz="4" w:space="0"/>
              <w:right w:val="single" w:color="auto" w:sz="4" w:space="0"/>
            </w:tcBorders>
            <w:vAlign w:val="center"/>
          </w:tcPr>
          <w:p>
            <w:pPr>
              <w:widowControl/>
              <w:jc w:val="left"/>
              <w:textAlignment w:val="top"/>
              <w:rPr>
                <w:rFonts w:hint="eastAsia" w:ascii="宋体" w:hAnsi="宋体" w:eastAsia="宋体" w:cs="Times New Roman"/>
                <w:szCs w:val="21"/>
              </w:rPr>
            </w:pPr>
            <w:r>
              <w:rPr>
                <w:rFonts w:hint="eastAsia" w:ascii="宋体" w:hAnsi="宋体" w:eastAsia="宋体" w:cs="Times New Roman"/>
                <w:szCs w:val="21"/>
              </w:rPr>
              <w:t>执行器动作可靠性</w:t>
            </w:r>
          </w:p>
        </w:tc>
        <w:tc>
          <w:tcPr>
            <w:tcW w:w="3544" w:type="dxa"/>
            <w:tcBorders>
              <w:top w:val="nil"/>
              <w:left w:val="nil"/>
              <w:bottom w:val="single" w:color="auto" w:sz="4" w:space="0"/>
              <w:right w:val="single" w:color="auto" w:sz="4" w:space="0"/>
            </w:tcBorders>
          </w:tcPr>
          <w:p>
            <w:pPr>
              <w:widowControl/>
              <w:jc w:val="left"/>
              <w:textAlignment w:val="top"/>
              <w:rPr>
                <w:rFonts w:hint="eastAsia" w:ascii="宋体" w:hAnsi="宋体" w:eastAsia="宋体" w:cs="Times New Roman"/>
                <w:szCs w:val="21"/>
              </w:rPr>
            </w:pPr>
            <w:r>
              <w:rPr>
                <w:rFonts w:hint="eastAsia" w:ascii="宋体" w:hAnsi="宋体" w:eastAsia="宋体" w:cs="Times New Roman"/>
                <w:szCs w:val="21"/>
              </w:rPr>
              <w:t>1.等于500次，得60分；</w:t>
            </w:r>
          </w:p>
          <w:p>
            <w:pPr>
              <w:widowControl/>
              <w:jc w:val="left"/>
              <w:textAlignment w:val="top"/>
              <w:rPr>
                <w:rFonts w:hint="eastAsia" w:ascii="宋体" w:hAnsi="宋体" w:eastAsia="宋体" w:cs="Times New Roman"/>
                <w:szCs w:val="21"/>
              </w:rPr>
            </w:pPr>
            <w:r>
              <w:rPr>
                <w:rFonts w:hint="eastAsia" w:ascii="宋体" w:hAnsi="宋体" w:eastAsia="宋体" w:cs="Times New Roman"/>
                <w:szCs w:val="21"/>
              </w:rPr>
              <w:t>2.≥10,000次，得80分；</w:t>
            </w:r>
          </w:p>
          <w:p>
            <w:pPr>
              <w:widowControl/>
              <w:jc w:val="left"/>
              <w:textAlignment w:val="top"/>
              <w:rPr>
                <w:rFonts w:hint="eastAsia" w:ascii="宋体" w:hAnsi="宋体" w:eastAsia="宋体" w:cs="Times New Roman"/>
                <w:kern w:val="0"/>
                <w:szCs w:val="21"/>
                <w:lang w:bidi="ar"/>
              </w:rPr>
            </w:pPr>
            <w:r>
              <w:rPr>
                <w:rFonts w:hint="eastAsia" w:ascii="宋体" w:hAnsi="宋体" w:eastAsia="宋体" w:cs="Times New Roman"/>
                <w:szCs w:val="21"/>
              </w:rPr>
              <w:t>3.≥50,000次以上（不含），得100分。</w:t>
            </w:r>
          </w:p>
        </w:tc>
        <w:tc>
          <w:tcPr>
            <w:tcW w:w="709" w:type="dxa"/>
            <w:tcBorders>
              <w:top w:val="nil"/>
              <w:left w:val="nil"/>
              <w:bottom w:val="single" w:color="auto" w:sz="4" w:space="0"/>
              <w:right w:val="single" w:color="auto" w:sz="4" w:space="0"/>
            </w:tcBorders>
            <w:noWrap/>
            <w:vAlign w:val="center"/>
          </w:tcPr>
          <w:p>
            <w:pPr>
              <w:widowControl/>
              <w:jc w:val="center"/>
              <w:textAlignment w:val="top"/>
              <w:rPr>
                <w:rFonts w:hint="eastAsia" w:ascii="宋体" w:hAnsi="宋体" w:eastAsia="宋体" w:cs="Times New Roman"/>
                <w:szCs w:val="21"/>
              </w:rPr>
            </w:pPr>
            <w:r>
              <w:rPr>
                <w:rFonts w:hint="eastAsia" w:ascii="宋体" w:hAnsi="宋体" w:eastAsia="宋体" w:cs="Times New Roman"/>
                <w:szCs w:val="21"/>
              </w:rPr>
              <w:t>0.1</w:t>
            </w:r>
          </w:p>
        </w:tc>
        <w:tc>
          <w:tcPr>
            <w:tcW w:w="5245" w:type="dxa"/>
            <w:tcBorders>
              <w:top w:val="nil"/>
              <w:left w:val="nil"/>
              <w:bottom w:val="single" w:color="auto" w:sz="4" w:space="0"/>
              <w:right w:val="single" w:color="auto" w:sz="4" w:space="0"/>
            </w:tcBorders>
          </w:tcPr>
          <w:p>
            <w:pPr>
              <w:widowControl/>
              <w:jc w:val="left"/>
              <w:textAlignment w:val="top"/>
              <w:rPr>
                <w:rFonts w:hint="eastAsia" w:ascii="宋体" w:hAnsi="宋体" w:eastAsia="宋体" w:cs="Times New Roman"/>
                <w:kern w:val="0"/>
                <w:szCs w:val="21"/>
                <w:lang w:bidi="ar"/>
              </w:rPr>
            </w:pPr>
          </w:p>
        </w:tc>
      </w:tr>
      <w:tr>
        <w:tblPrEx>
          <w:tblCellMar>
            <w:top w:w="0" w:type="dxa"/>
            <w:left w:w="108" w:type="dxa"/>
            <w:bottom w:w="0" w:type="dxa"/>
            <w:right w:w="108" w:type="dxa"/>
          </w:tblCellMar>
        </w:tblPrEx>
        <w:trPr>
          <w:trHeight w:val="855" w:hRule="atLeast"/>
          <w:jc w:val="center"/>
        </w:trPr>
        <w:tc>
          <w:tcPr>
            <w:tcW w:w="704"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top"/>
              <w:rPr>
                <w:rFonts w:hint="eastAsia" w:ascii="宋体" w:hAnsi="宋体" w:eastAsia="宋体" w:cs="Times New Roman"/>
                <w:szCs w:val="21"/>
              </w:rPr>
            </w:pPr>
            <w:r>
              <w:rPr>
                <w:rFonts w:hint="eastAsia" w:ascii="宋体" w:hAnsi="宋体" w:eastAsia="宋体" w:cs="Times New Roman"/>
                <w:szCs w:val="21"/>
              </w:rPr>
              <w:t>2</w:t>
            </w:r>
          </w:p>
        </w:tc>
        <w:tc>
          <w:tcPr>
            <w:tcW w:w="1985" w:type="dxa"/>
            <w:tcBorders>
              <w:top w:val="single" w:color="auto" w:sz="4" w:space="0"/>
              <w:left w:val="nil"/>
              <w:bottom w:val="single" w:color="auto" w:sz="4" w:space="0"/>
              <w:right w:val="single" w:color="auto" w:sz="4" w:space="0"/>
            </w:tcBorders>
            <w:noWrap/>
            <w:vAlign w:val="center"/>
          </w:tcPr>
          <w:p>
            <w:pPr>
              <w:widowControl/>
              <w:jc w:val="center"/>
              <w:textAlignment w:val="top"/>
              <w:rPr>
                <w:rFonts w:hint="eastAsia" w:ascii="宋体" w:hAnsi="宋体" w:eastAsia="宋体" w:cs="Times New Roman"/>
                <w:szCs w:val="21"/>
              </w:rPr>
            </w:pPr>
            <w:r>
              <w:rPr>
                <w:rFonts w:hint="eastAsia" w:ascii="宋体" w:hAnsi="宋体" w:eastAsia="宋体" w:cs="Times New Roman"/>
                <w:szCs w:val="21"/>
              </w:rPr>
              <w:t>阀门耐火完整性</w:t>
            </w:r>
          </w:p>
        </w:tc>
        <w:tc>
          <w:tcPr>
            <w:tcW w:w="1842" w:type="dxa"/>
            <w:tcBorders>
              <w:top w:val="nil"/>
              <w:left w:val="nil"/>
              <w:bottom w:val="single" w:color="auto" w:sz="4" w:space="0"/>
              <w:right w:val="single" w:color="auto" w:sz="4" w:space="0"/>
            </w:tcBorders>
            <w:vAlign w:val="center"/>
          </w:tcPr>
          <w:p>
            <w:pPr>
              <w:widowControl/>
              <w:jc w:val="center"/>
              <w:textAlignment w:val="top"/>
              <w:rPr>
                <w:rFonts w:hint="eastAsia" w:ascii="宋体" w:hAnsi="宋体" w:eastAsia="宋体" w:cs="Times New Roman"/>
                <w:szCs w:val="21"/>
              </w:rPr>
            </w:pPr>
            <w:r>
              <w:rPr>
                <w:rFonts w:hint="eastAsia" w:ascii="宋体" w:hAnsi="宋体" w:eastAsia="宋体" w:cs="Times New Roman"/>
                <w:szCs w:val="21"/>
              </w:rPr>
              <w:t>耐火极限</w:t>
            </w:r>
          </w:p>
        </w:tc>
        <w:tc>
          <w:tcPr>
            <w:tcW w:w="3544" w:type="dxa"/>
            <w:tcBorders>
              <w:top w:val="nil"/>
              <w:left w:val="nil"/>
              <w:bottom w:val="single" w:color="auto" w:sz="4" w:space="0"/>
              <w:right w:val="single" w:color="auto" w:sz="4" w:space="0"/>
            </w:tcBorders>
            <w:vAlign w:val="center"/>
          </w:tcPr>
          <w:p>
            <w:pPr>
              <w:widowControl/>
              <w:jc w:val="left"/>
              <w:textAlignment w:val="top"/>
              <w:rPr>
                <w:rFonts w:hint="eastAsia" w:ascii="宋体" w:hAnsi="宋体" w:eastAsia="宋体" w:cs="Times New Roman"/>
                <w:szCs w:val="21"/>
              </w:rPr>
            </w:pPr>
            <w:r>
              <w:rPr>
                <w:rFonts w:hint="eastAsia" w:ascii="宋体" w:hAnsi="宋体" w:eastAsia="宋体" w:cs="Times New Roman"/>
                <w:szCs w:val="21"/>
              </w:rPr>
              <w:t>1.耐火极限达到1h，得60分；</w:t>
            </w:r>
          </w:p>
          <w:p>
            <w:pPr>
              <w:widowControl/>
              <w:jc w:val="left"/>
              <w:textAlignment w:val="top"/>
              <w:rPr>
                <w:rFonts w:hint="eastAsia" w:ascii="宋体" w:hAnsi="宋体" w:eastAsia="宋体" w:cs="Times New Roman"/>
                <w:szCs w:val="21"/>
              </w:rPr>
            </w:pPr>
            <w:r>
              <w:rPr>
                <w:rFonts w:hint="eastAsia" w:ascii="宋体" w:hAnsi="宋体" w:eastAsia="宋体" w:cs="Times New Roman"/>
                <w:szCs w:val="21"/>
              </w:rPr>
              <w:t>2.耐火极限达到1.5h，得75分；</w:t>
            </w:r>
          </w:p>
          <w:p>
            <w:pPr>
              <w:widowControl/>
              <w:jc w:val="left"/>
              <w:textAlignment w:val="top"/>
              <w:rPr>
                <w:rFonts w:hint="eastAsia" w:ascii="宋体" w:hAnsi="宋体" w:eastAsia="宋体" w:cs="Times New Roman"/>
                <w:szCs w:val="21"/>
              </w:rPr>
            </w:pPr>
            <w:r>
              <w:rPr>
                <w:rFonts w:hint="eastAsia" w:ascii="宋体" w:hAnsi="宋体" w:eastAsia="宋体" w:cs="Times New Roman"/>
                <w:szCs w:val="21"/>
              </w:rPr>
              <w:t>3.耐火极限达到2h，得90分；</w:t>
            </w:r>
          </w:p>
          <w:p>
            <w:pPr>
              <w:widowControl/>
              <w:jc w:val="left"/>
              <w:textAlignment w:val="top"/>
              <w:rPr>
                <w:rFonts w:hint="eastAsia" w:ascii="宋体" w:hAnsi="宋体" w:eastAsia="宋体" w:cs="Times New Roman"/>
                <w:kern w:val="0"/>
                <w:szCs w:val="21"/>
                <w:lang w:bidi="ar"/>
              </w:rPr>
            </w:pPr>
            <w:r>
              <w:rPr>
                <w:rFonts w:hint="eastAsia" w:ascii="宋体" w:hAnsi="宋体" w:eastAsia="宋体" w:cs="Times New Roman"/>
                <w:szCs w:val="21"/>
              </w:rPr>
              <w:t>4.耐火极限达到3h，得100分。</w:t>
            </w:r>
          </w:p>
        </w:tc>
        <w:tc>
          <w:tcPr>
            <w:tcW w:w="709" w:type="dxa"/>
            <w:tcBorders>
              <w:top w:val="nil"/>
              <w:left w:val="nil"/>
              <w:bottom w:val="single" w:color="auto" w:sz="4" w:space="0"/>
              <w:right w:val="single" w:color="auto" w:sz="4" w:space="0"/>
            </w:tcBorders>
            <w:noWrap/>
            <w:vAlign w:val="center"/>
          </w:tcPr>
          <w:p>
            <w:pPr>
              <w:widowControl/>
              <w:jc w:val="center"/>
              <w:textAlignment w:val="top"/>
              <w:rPr>
                <w:rFonts w:hint="eastAsia" w:ascii="宋体" w:hAnsi="宋体" w:eastAsia="宋体" w:cs="Times New Roman"/>
                <w:szCs w:val="21"/>
              </w:rPr>
            </w:pPr>
            <w:r>
              <w:rPr>
                <w:rFonts w:hint="eastAsia" w:ascii="宋体" w:hAnsi="宋体" w:eastAsia="宋体" w:cs="Times New Roman"/>
                <w:szCs w:val="21"/>
              </w:rPr>
              <w:t>0.2</w:t>
            </w:r>
          </w:p>
        </w:tc>
        <w:tc>
          <w:tcPr>
            <w:tcW w:w="5245" w:type="dxa"/>
            <w:tcBorders>
              <w:top w:val="nil"/>
              <w:left w:val="nil"/>
              <w:bottom w:val="single" w:color="auto" w:sz="4" w:space="0"/>
              <w:right w:val="single" w:color="auto" w:sz="4" w:space="0"/>
            </w:tcBorders>
            <w:vAlign w:val="center"/>
          </w:tcPr>
          <w:p>
            <w:pPr>
              <w:widowControl/>
              <w:jc w:val="left"/>
              <w:textAlignment w:val="top"/>
              <w:rPr>
                <w:rFonts w:hint="eastAsia" w:ascii="宋体" w:hAnsi="宋体" w:eastAsia="宋体" w:cs="Times New Roman"/>
                <w:szCs w:val="21"/>
              </w:rPr>
            </w:pPr>
            <w:r>
              <w:rPr>
                <w:rFonts w:hint="eastAsia" w:ascii="宋体" w:hAnsi="宋体" w:eastAsia="宋体" w:cs="Times New Roman"/>
                <w:szCs w:val="21"/>
              </w:rPr>
              <w:t>在规定的耐火时间内，耐火完整性应符合下列要求：</w:t>
            </w:r>
          </w:p>
          <w:p>
            <w:pPr>
              <w:widowControl/>
              <w:jc w:val="left"/>
              <w:textAlignment w:val="top"/>
              <w:rPr>
                <w:rFonts w:hint="eastAsia" w:ascii="宋体" w:hAnsi="宋体" w:eastAsia="宋体" w:cs="Times New Roman"/>
                <w:szCs w:val="21"/>
              </w:rPr>
            </w:pPr>
            <w:r>
              <w:rPr>
                <w:rFonts w:hint="eastAsia" w:ascii="宋体" w:hAnsi="宋体" w:eastAsia="宋体" w:cs="Times New Roman"/>
                <w:szCs w:val="21"/>
              </w:rPr>
              <w:t>1.阀体外表面不应出现连续10s以上的火焰，不应出现孔洞或缝隙。</w:t>
            </w:r>
          </w:p>
          <w:p>
            <w:pPr>
              <w:widowControl/>
              <w:jc w:val="left"/>
              <w:textAlignment w:val="top"/>
              <w:rPr>
                <w:rFonts w:hint="eastAsia" w:ascii="宋体" w:hAnsi="宋体" w:eastAsia="宋体" w:cs="Times New Roman"/>
                <w:szCs w:val="21"/>
              </w:rPr>
            </w:pPr>
            <w:r>
              <w:rPr>
                <w:rFonts w:hint="eastAsia" w:ascii="宋体" w:hAnsi="宋体" w:eastAsia="宋体" w:cs="Times New Roman"/>
                <w:szCs w:val="21"/>
              </w:rPr>
              <w:t>2.阀门关闭后，使叶片两侧保持300±15Pa的气体静压差，其单位面积的漏烟量(标准状态)应不大于500m</w:t>
            </w:r>
            <w:r>
              <w:rPr>
                <w:rFonts w:hint="eastAsia" w:ascii="宋体" w:hAnsi="宋体" w:eastAsia="宋体" w:cs="Times New Roman"/>
                <w:szCs w:val="21"/>
                <w:vertAlign w:val="superscript"/>
              </w:rPr>
              <w:t>3</w:t>
            </w:r>
            <w:r>
              <w:rPr>
                <w:rFonts w:hint="eastAsia" w:ascii="宋体" w:hAnsi="宋体" w:eastAsia="宋体" w:cs="Times New Roman"/>
                <w:szCs w:val="21"/>
              </w:rPr>
              <w:t>/(m</w:t>
            </w:r>
            <w:r>
              <w:rPr>
                <w:rFonts w:hint="eastAsia" w:ascii="宋体" w:hAnsi="宋体" w:eastAsia="宋体" w:cs="Times New Roman"/>
                <w:szCs w:val="21"/>
                <w:vertAlign w:val="superscript"/>
              </w:rPr>
              <w:t>2</w:t>
            </w:r>
            <w:r>
              <w:rPr>
                <w:rFonts w:hint="eastAsia" w:ascii="宋体" w:hAnsi="宋体" w:eastAsia="宋体" w:cs="Times New Roman"/>
                <w:szCs w:val="21"/>
              </w:rPr>
              <w:t>.h)。</w:t>
            </w:r>
          </w:p>
          <w:p>
            <w:pPr>
              <w:widowControl/>
              <w:jc w:val="left"/>
              <w:textAlignment w:val="top"/>
              <w:rPr>
                <w:rFonts w:hint="eastAsia" w:ascii="宋体" w:hAnsi="宋体" w:eastAsia="宋体" w:cs="Times New Roman"/>
                <w:kern w:val="0"/>
                <w:szCs w:val="21"/>
                <w:lang w:bidi="ar"/>
              </w:rPr>
            </w:pPr>
            <w:r>
              <w:rPr>
                <w:rFonts w:hint="eastAsia" w:ascii="宋体" w:hAnsi="宋体" w:eastAsia="宋体" w:cs="Times New Roman"/>
                <w:szCs w:val="21"/>
              </w:rPr>
              <w:t>注：提供的检测报告要与实际供货单体阀最大尺寸相同。</w:t>
            </w:r>
          </w:p>
        </w:tc>
      </w:tr>
      <w:tr>
        <w:tblPrEx>
          <w:tblCellMar>
            <w:top w:w="0" w:type="dxa"/>
            <w:left w:w="108" w:type="dxa"/>
            <w:bottom w:w="0" w:type="dxa"/>
            <w:right w:w="108" w:type="dxa"/>
          </w:tblCellMar>
        </w:tblPrEx>
        <w:trPr>
          <w:trHeight w:val="855" w:hRule="atLeast"/>
          <w:jc w:val="center"/>
        </w:trPr>
        <w:tc>
          <w:tcPr>
            <w:tcW w:w="704" w:type="dxa"/>
            <w:tcBorders>
              <w:top w:val="nil"/>
              <w:left w:val="single" w:color="auto" w:sz="4" w:space="0"/>
              <w:bottom w:val="single" w:color="auto" w:sz="4" w:space="0"/>
              <w:right w:val="single" w:color="auto" w:sz="4" w:space="0"/>
            </w:tcBorders>
            <w:noWrap/>
            <w:vAlign w:val="center"/>
          </w:tcPr>
          <w:p>
            <w:pPr>
              <w:widowControl/>
              <w:jc w:val="center"/>
              <w:textAlignment w:val="top"/>
              <w:rPr>
                <w:rFonts w:hint="eastAsia" w:ascii="宋体" w:hAnsi="宋体" w:eastAsia="宋体" w:cs="Times New Roman"/>
                <w:szCs w:val="21"/>
              </w:rPr>
            </w:pPr>
            <w:r>
              <w:rPr>
                <w:rFonts w:hint="eastAsia" w:ascii="宋体" w:hAnsi="宋体" w:eastAsia="宋体" w:cs="Times New Roman"/>
                <w:szCs w:val="21"/>
              </w:rPr>
              <w:t>3</w:t>
            </w:r>
          </w:p>
        </w:tc>
        <w:tc>
          <w:tcPr>
            <w:tcW w:w="1985" w:type="dxa"/>
            <w:tcBorders>
              <w:top w:val="nil"/>
              <w:left w:val="nil"/>
              <w:bottom w:val="single" w:color="auto" w:sz="4" w:space="0"/>
              <w:right w:val="single" w:color="auto" w:sz="4" w:space="0"/>
            </w:tcBorders>
            <w:noWrap/>
            <w:vAlign w:val="center"/>
          </w:tcPr>
          <w:p>
            <w:pPr>
              <w:widowControl/>
              <w:jc w:val="center"/>
              <w:textAlignment w:val="top"/>
              <w:rPr>
                <w:rFonts w:hint="eastAsia" w:ascii="宋体" w:hAnsi="宋体" w:eastAsia="宋体" w:cs="Times New Roman"/>
                <w:szCs w:val="21"/>
              </w:rPr>
            </w:pPr>
            <w:r>
              <w:rPr>
                <w:rFonts w:hint="eastAsia" w:ascii="宋体" w:hAnsi="宋体" w:eastAsia="宋体" w:cs="Times New Roman"/>
                <w:szCs w:val="21"/>
              </w:rPr>
              <w:t>阀片漏风量</w:t>
            </w:r>
          </w:p>
        </w:tc>
        <w:tc>
          <w:tcPr>
            <w:tcW w:w="1842" w:type="dxa"/>
            <w:tcBorders>
              <w:top w:val="nil"/>
              <w:left w:val="nil"/>
              <w:bottom w:val="single" w:color="auto" w:sz="4" w:space="0"/>
              <w:right w:val="single" w:color="auto" w:sz="4" w:space="0"/>
            </w:tcBorders>
            <w:vAlign w:val="center"/>
          </w:tcPr>
          <w:p>
            <w:pPr>
              <w:widowControl/>
              <w:jc w:val="left"/>
              <w:textAlignment w:val="top"/>
              <w:rPr>
                <w:rFonts w:hint="eastAsia" w:ascii="宋体" w:hAnsi="宋体" w:eastAsia="宋体" w:cs="Times New Roman"/>
                <w:szCs w:val="21"/>
              </w:rPr>
            </w:pPr>
            <w:r>
              <w:rPr>
                <w:rFonts w:hint="eastAsia" w:ascii="宋体" w:hAnsi="宋体" w:eastAsia="宋体" w:cs="Times New Roman"/>
                <w:szCs w:val="21"/>
              </w:rPr>
              <w:t>环境温度下的阀片漏风量</w:t>
            </w:r>
          </w:p>
        </w:tc>
        <w:tc>
          <w:tcPr>
            <w:tcW w:w="3544" w:type="dxa"/>
            <w:tcBorders>
              <w:top w:val="nil"/>
              <w:left w:val="nil"/>
              <w:bottom w:val="single" w:color="auto" w:sz="4" w:space="0"/>
              <w:right w:val="single" w:color="auto" w:sz="4" w:space="0"/>
            </w:tcBorders>
            <w:vAlign w:val="center"/>
          </w:tcPr>
          <w:p>
            <w:pPr>
              <w:widowControl/>
              <w:jc w:val="left"/>
              <w:textAlignment w:val="top"/>
              <w:rPr>
                <w:rFonts w:hint="eastAsia" w:ascii="宋体" w:hAnsi="宋体" w:eastAsia="宋体" w:cs="Times New Roman"/>
                <w:szCs w:val="21"/>
              </w:rPr>
            </w:pPr>
            <w:r>
              <w:rPr>
                <w:rFonts w:hint="eastAsia" w:ascii="宋体" w:hAnsi="宋体" w:eastAsia="宋体" w:cs="Times New Roman"/>
                <w:szCs w:val="21"/>
              </w:rPr>
              <w:t>1.环境温度下,阀片漏风量均满足300m</w:t>
            </w:r>
            <w:r>
              <w:rPr>
                <w:rFonts w:hint="eastAsia" w:ascii="宋体" w:hAnsi="宋体" w:eastAsia="宋体" w:cs="Times New Roman"/>
                <w:szCs w:val="21"/>
                <w:vertAlign w:val="superscript"/>
              </w:rPr>
              <w:t>3</w:t>
            </w:r>
            <w:r>
              <w:rPr>
                <w:rFonts w:hint="eastAsia" w:ascii="宋体" w:hAnsi="宋体" w:eastAsia="宋体" w:cs="Times New Roman"/>
                <w:szCs w:val="21"/>
              </w:rPr>
              <w:t>/h.m</w:t>
            </w:r>
            <w:r>
              <w:rPr>
                <w:rFonts w:hint="eastAsia" w:ascii="宋体" w:hAnsi="宋体" w:eastAsia="宋体" w:cs="Times New Roman"/>
                <w:szCs w:val="21"/>
                <w:vertAlign w:val="superscript"/>
              </w:rPr>
              <w:t>2</w:t>
            </w:r>
            <w:r>
              <w:rPr>
                <w:rFonts w:hint="eastAsia" w:ascii="宋体" w:hAnsi="宋体" w:eastAsia="宋体" w:cs="Times New Roman"/>
                <w:szCs w:val="21"/>
              </w:rPr>
              <w:t>@300Pa，得60分；</w:t>
            </w:r>
          </w:p>
          <w:p>
            <w:pPr>
              <w:widowControl/>
              <w:jc w:val="left"/>
              <w:textAlignment w:val="top"/>
              <w:rPr>
                <w:rFonts w:hint="eastAsia" w:ascii="宋体" w:hAnsi="宋体" w:eastAsia="宋体" w:cs="Times New Roman"/>
                <w:szCs w:val="21"/>
              </w:rPr>
            </w:pPr>
            <w:r>
              <w:rPr>
                <w:rFonts w:hint="eastAsia" w:ascii="宋体" w:hAnsi="宋体" w:eastAsia="宋体" w:cs="Times New Roman"/>
                <w:szCs w:val="21"/>
              </w:rPr>
              <w:t>2.环境温度下,阀片漏风量均满足200m</w:t>
            </w:r>
            <w:r>
              <w:rPr>
                <w:rFonts w:hint="eastAsia" w:ascii="宋体" w:hAnsi="宋体" w:eastAsia="宋体" w:cs="Times New Roman"/>
                <w:szCs w:val="21"/>
                <w:vertAlign w:val="superscript"/>
              </w:rPr>
              <w:t>3</w:t>
            </w:r>
            <w:r>
              <w:rPr>
                <w:rFonts w:hint="eastAsia" w:ascii="宋体" w:hAnsi="宋体" w:eastAsia="宋体" w:cs="Times New Roman"/>
                <w:szCs w:val="21"/>
              </w:rPr>
              <w:t>/h.m</w:t>
            </w:r>
            <w:r>
              <w:rPr>
                <w:rFonts w:hint="eastAsia" w:ascii="宋体" w:hAnsi="宋体" w:eastAsia="宋体" w:cs="Times New Roman"/>
                <w:szCs w:val="21"/>
                <w:vertAlign w:val="superscript"/>
              </w:rPr>
              <w:t>2</w:t>
            </w:r>
            <w:r>
              <w:rPr>
                <w:rFonts w:hint="eastAsia" w:ascii="宋体" w:hAnsi="宋体" w:eastAsia="宋体" w:cs="Times New Roman"/>
                <w:szCs w:val="21"/>
              </w:rPr>
              <w:t>@300Pa，得80分；</w:t>
            </w:r>
          </w:p>
          <w:p>
            <w:pPr>
              <w:widowControl/>
              <w:jc w:val="left"/>
              <w:textAlignment w:val="top"/>
              <w:rPr>
                <w:rFonts w:hint="eastAsia" w:ascii="宋体" w:hAnsi="宋体" w:eastAsia="宋体" w:cs="Times New Roman"/>
                <w:kern w:val="0"/>
                <w:szCs w:val="21"/>
                <w:lang w:bidi="ar"/>
              </w:rPr>
            </w:pPr>
            <w:r>
              <w:rPr>
                <w:rFonts w:hint="eastAsia" w:ascii="宋体" w:hAnsi="宋体" w:eastAsia="宋体" w:cs="Times New Roman"/>
                <w:szCs w:val="21"/>
              </w:rPr>
              <w:t>3.环境温度下,阀片漏风量均满足144m</w:t>
            </w:r>
            <w:r>
              <w:rPr>
                <w:rFonts w:hint="eastAsia" w:ascii="宋体" w:hAnsi="宋体" w:eastAsia="宋体" w:cs="Times New Roman"/>
                <w:szCs w:val="21"/>
                <w:vertAlign w:val="superscript"/>
              </w:rPr>
              <w:t>3</w:t>
            </w:r>
            <w:r>
              <w:rPr>
                <w:rFonts w:hint="eastAsia" w:ascii="宋体" w:hAnsi="宋体" w:eastAsia="宋体" w:cs="Times New Roman"/>
                <w:szCs w:val="21"/>
              </w:rPr>
              <w:t>/h.m</w:t>
            </w:r>
            <w:r>
              <w:rPr>
                <w:rFonts w:hint="eastAsia" w:ascii="宋体" w:hAnsi="宋体" w:eastAsia="宋体" w:cs="Times New Roman"/>
                <w:szCs w:val="21"/>
                <w:vertAlign w:val="superscript"/>
              </w:rPr>
              <w:t>2</w:t>
            </w:r>
            <w:r>
              <w:rPr>
                <w:rFonts w:hint="eastAsia" w:ascii="宋体" w:hAnsi="宋体" w:eastAsia="宋体" w:cs="Times New Roman"/>
                <w:szCs w:val="21"/>
              </w:rPr>
              <w:t>@1000Pa，得100分。</w:t>
            </w:r>
          </w:p>
        </w:tc>
        <w:tc>
          <w:tcPr>
            <w:tcW w:w="709" w:type="dxa"/>
            <w:tcBorders>
              <w:top w:val="nil"/>
              <w:left w:val="nil"/>
              <w:bottom w:val="single" w:color="auto" w:sz="4" w:space="0"/>
              <w:right w:val="single" w:color="auto" w:sz="4" w:space="0"/>
            </w:tcBorders>
            <w:noWrap/>
            <w:vAlign w:val="center"/>
          </w:tcPr>
          <w:p>
            <w:pPr>
              <w:widowControl/>
              <w:jc w:val="center"/>
              <w:textAlignment w:val="top"/>
              <w:rPr>
                <w:rFonts w:hint="eastAsia" w:ascii="宋体" w:hAnsi="宋体" w:eastAsia="宋体" w:cs="Times New Roman"/>
                <w:szCs w:val="21"/>
              </w:rPr>
            </w:pPr>
            <w:r>
              <w:rPr>
                <w:rFonts w:hint="eastAsia" w:ascii="宋体" w:hAnsi="宋体" w:eastAsia="宋体" w:cs="Times New Roman"/>
                <w:szCs w:val="21"/>
              </w:rPr>
              <w:t>0.2</w:t>
            </w:r>
          </w:p>
        </w:tc>
        <w:tc>
          <w:tcPr>
            <w:tcW w:w="5245" w:type="dxa"/>
            <w:tcBorders>
              <w:top w:val="nil"/>
              <w:left w:val="nil"/>
              <w:bottom w:val="single" w:color="auto" w:sz="4" w:space="0"/>
              <w:right w:val="single" w:color="auto" w:sz="4" w:space="0"/>
            </w:tcBorders>
            <w:vAlign w:val="center"/>
          </w:tcPr>
          <w:p>
            <w:pPr>
              <w:widowControl/>
              <w:jc w:val="left"/>
              <w:textAlignment w:val="top"/>
              <w:rPr>
                <w:rFonts w:hint="eastAsia" w:ascii="宋体" w:hAnsi="宋体" w:eastAsia="宋体" w:cs="Times New Roman"/>
                <w:szCs w:val="21"/>
              </w:rPr>
            </w:pPr>
            <w:r>
              <w:rPr>
                <w:rFonts w:hint="eastAsia" w:ascii="宋体" w:hAnsi="宋体" w:eastAsia="宋体" w:cs="Times New Roman"/>
                <w:szCs w:val="21"/>
              </w:rPr>
              <w:t>1.在环境温度下，阀门关闭后，使叶片两侧保持300±15Pa的气体静压差，其单位面积的漏烟量(标准状态)应不大于300m</w:t>
            </w:r>
            <w:r>
              <w:rPr>
                <w:rFonts w:hint="eastAsia" w:ascii="宋体" w:hAnsi="宋体" w:eastAsia="宋体" w:cs="Times New Roman"/>
                <w:szCs w:val="21"/>
                <w:vertAlign w:val="superscript"/>
              </w:rPr>
              <w:t>3</w:t>
            </w:r>
            <w:r>
              <w:rPr>
                <w:rFonts w:hint="eastAsia" w:ascii="宋体" w:hAnsi="宋体" w:eastAsia="宋体" w:cs="Times New Roman"/>
                <w:szCs w:val="21"/>
              </w:rPr>
              <w:t>/(m</w:t>
            </w:r>
            <w:r>
              <w:rPr>
                <w:rFonts w:hint="eastAsia" w:ascii="宋体" w:hAnsi="宋体" w:eastAsia="宋体" w:cs="Times New Roman"/>
                <w:szCs w:val="21"/>
                <w:vertAlign w:val="superscript"/>
              </w:rPr>
              <w:t>2</w:t>
            </w:r>
            <w:r>
              <w:rPr>
                <w:rFonts w:hint="eastAsia" w:ascii="宋体" w:hAnsi="宋体" w:eastAsia="宋体" w:cs="Times New Roman"/>
                <w:szCs w:val="21"/>
              </w:rPr>
              <w:t>.h)。</w:t>
            </w:r>
          </w:p>
          <w:p>
            <w:pPr>
              <w:widowControl/>
              <w:jc w:val="left"/>
              <w:textAlignment w:val="top"/>
              <w:rPr>
                <w:rFonts w:hint="eastAsia" w:ascii="宋体" w:hAnsi="宋体" w:eastAsia="宋体" w:cs="Times New Roman"/>
                <w:szCs w:val="21"/>
              </w:rPr>
            </w:pPr>
            <w:r>
              <w:rPr>
                <w:rFonts w:hint="eastAsia" w:ascii="宋体" w:hAnsi="宋体" w:eastAsia="宋体" w:cs="Times New Roman"/>
                <w:szCs w:val="21"/>
              </w:rPr>
              <w:t>2.在环境温度下，阀门关闭后，使叶片两侧保持300±15Pa的气体静压差，其单位面积的漏烟量(标准状态)应不大于200m</w:t>
            </w:r>
            <w:r>
              <w:rPr>
                <w:rFonts w:hint="eastAsia" w:ascii="宋体" w:hAnsi="宋体" w:eastAsia="宋体" w:cs="Times New Roman"/>
                <w:szCs w:val="21"/>
                <w:vertAlign w:val="superscript"/>
              </w:rPr>
              <w:t>3</w:t>
            </w:r>
            <w:r>
              <w:rPr>
                <w:rFonts w:hint="eastAsia" w:ascii="宋体" w:hAnsi="宋体" w:eastAsia="宋体" w:cs="Times New Roman"/>
                <w:szCs w:val="21"/>
              </w:rPr>
              <w:t>/(m</w:t>
            </w:r>
            <w:r>
              <w:rPr>
                <w:rFonts w:hint="eastAsia" w:ascii="宋体" w:hAnsi="宋体" w:eastAsia="宋体" w:cs="Times New Roman"/>
                <w:szCs w:val="21"/>
                <w:vertAlign w:val="superscript"/>
              </w:rPr>
              <w:t>2</w:t>
            </w:r>
            <w:r>
              <w:rPr>
                <w:rFonts w:hint="eastAsia" w:ascii="宋体" w:hAnsi="宋体" w:eastAsia="宋体" w:cs="Times New Roman"/>
                <w:szCs w:val="21"/>
              </w:rPr>
              <w:t>.h)。</w:t>
            </w:r>
          </w:p>
          <w:p>
            <w:pPr>
              <w:widowControl/>
              <w:jc w:val="left"/>
              <w:textAlignment w:val="top"/>
              <w:rPr>
                <w:rFonts w:hint="eastAsia" w:ascii="宋体" w:hAnsi="宋体" w:eastAsia="宋体" w:cs="Times New Roman"/>
                <w:szCs w:val="21"/>
              </w:rPr>
            </w:pPr>
            <w:r>
              <w:rPr>
                <w:rFonts w:hint="eastAsia" w:ascii="宋体" w:hAnsi="宋体" w:eastAsia="宋体" w:cs="Times New Roman"/>
                <w:szCs w:val="21"/>
              </w:rPr>
              <w:t>3.在环境温度下，阀门关闭后，使叶片两侧保持1000±15Pa的气体静压差，其单位面积的漏烟量(标准状态)应不大于144m</w:t>
            </w:r>
            <w:r>
              <w:rPr>
                <w:rFonts w:hint="eastAsia" w:ascii="宋体" w:hAnsi="宋体" w:eastAsia="宋体" w:cs="Times New Roman"/>
                <w:szCs w:val="21"/>
                <w:vertAlign w:val="superscript"/>
              </w:rPr>
              <w:t>3</w:t>
            </w:r>
            <w:r>
              <w:rPr>
                <w:rFonts w:hint="eastAsia" w:ascii="宋体" w:hAnsi="宋体" w:eastAsia="宋体" w:cs="Times New Roman"/>
                <w:szCs w:val="21"/>
              </w:rPr>
              <w:t>/(m</w:t>
            </w:r>
            <w:r>
              <w:rPr>
                <w:rFonts w:hint="eastAsia" w:ascii="宋体" w:hAnsi="宋体" w:eastAsia="宋体" w:cs="Times New Roman"/>
                <w:szCs w:val="21"/>
                <w:vertAlign w:val="superscript"/>
              </w:rPr>
              <w:t>2</w:t>
            </w:r>
            <w:r>
              <w:rPr>
                <w:rFonts w:hint="eastAsia" w:ascii="宋体" w:hAnsi="宋体" w:eastAsia="宋体" w:cs="Times New Roman"/>
                <w:szCs w:val="21"/>
              </w:rPr>
              <w:t>.h)。</w:t>
            </w:r>
          </w:p>
          <w:p>
            <w:pPr>
              <w:widowControl/>
              <w:jc w:val="left"/>
              <w:textAlignment w:val="top"/>
              <w:rPr>
                <w:rFonts w:hint="eastAsia" w:ascii="宋体" w:hAnsi="宋体" w:eastAsia="宋体" w:cs="Times New Roman"/>
                <w:kern w:val="0"/>
                <w:szCs w:val="21"/>
                <w:lang w:bidi="ar"/>
              </w:rPr>
            </w:pPr>
            <w:r>
              <w:rPr>
                <w:rFonts w:hint="eastAsia" w:ascii="宋体" w:hAnsi="宋体" w:eastAsia="宋体" w:cs="Times New Roman"/>
                <w:szCs w:val="21"/>
              </w:rPr>
              <w:t>注：提供的检测报告需包含该公司能生产的最小单体尺寸和最大单体尺寸两种规格尺寸的阀。</w:t>
            </w:r>
          </w:p>
        </w:tc>
      </w:tr>
      <w:tr>
        <w:tblPrEx>
          <w:tblCellMar>
            <w:top w:w="0" w:type="dxa"/>
            <w:left w:w="108" w:type="dxa"/>
            <w:bottom w:w="0" w:type="dxa"/>
            <w:right w:w="108" w:type="dxa"/>
          </w:tblCellMar>
        </w:tblPrEx>
        <w:trPr>
          <w:trHeight w:val="855" w:hRule="atLeast"/>
          <w:jc w:val="center"/>
        </w:trPr>
        <w:tc>
          <w:tcPr>
            <w:tcW w:w="704" w:type="dxa"/>
            <w:tcBorders>
              <w:top w:val="nil"/>
              <w:left w:val="single" w:color="auto" w:sz="4" w:space="0"/>
              <w:bottom w:val="single" w:color="auto" w:sz="4" w:space="0"/>
              <w:right w:val="single" w:color="auto" w:sz="4" w:space="0"/>
            </w:tcBorders>
            <w:noWrap/>
            <w:vAlign w:val="center"/>
          </w:tcPr>
          <w:p>
            <w:pPr>
              <w:widowControl/>
              <w:jc w:val="center"/>
              <w:textAlignment w:val="top"/>
              <w:rPr>
                <w:rFonts w:hint="eastAsia" w:ascii="宋体" w:hAnsi="宋体" w:eastAsia="宋体" w:cs="Times New Roman"/>
                <w:szCs w:val="21"/>
              </w:rPr>
            </w:pPr>
            <w:r>
              <w:rPr>
                <w:rFonts w:hint="eastAsia" w:ascii="宋体" w:hAnsi="宋体" w:eastAsia="宋体" w:cs="Times New Roman"/>
                <w:szCs w:val="21"/>
              </w:rPr>
              <w:t>4</w:t>
            </w:r>
          </w:p>
        </w:tc>
        <w:tc>
          <w:tcPr>
            <w:tcW w:w="1985" w:type="dxa"/>
            <w:tcBorders>
              <w:top w:val="nil"/>
              <w:left w:val="nil"/>
              <w:bottom w:val="single" w:color="auto" w:sz="4" w:space="0"/>
              <w:right w:val="single" w:color="auto" w:sz="4" w:space="0"/>
            </w:tcBorders>
            <w:noWrap/>
            <w:vAlign w:val="center"/>
          </w:tcPr>
          <w:p>
            <w:pPr>
              <w:widowControl/>
              <w:jc w:val="center"/>
              <w:textAlignment w:val="top"/>
              <w:rPr>
                <w:rFonts w:hint="eastAsia" w:ascii="宋体" w:hAnsi="宋体" w:eastAsia="宋体" w:cs="Times New Roman"/>
                <w:szCs w:val="21"/>
              </w:rPr>
            </w:pPr>
            <w:r>
              <w:rPr>
                <w:rFonts w:hint="eastAsia" w:ascii="宋体" w:hAnsi="宋体" w:eastAsia="宋体" w:cs="Times New Roman"/>
                <w:szCs w:val="21"/>
              </w:rPr>
              <w:t>温感器元件</w:t>
            </w:r>
          </w:p>
        </w:tc>
        <w:tc>
          <w:tcPr>
            <w:tcW w:w="1842" w:type="dxa"/>
            <w:tcBorders>
              <w:top w:val="nil"/>
              <w:left w:val="nil"/>
              <w:bottom w:val="single" w:color="auto" w:sz="4" w:space="0"/>
              <w:right w:val="single" w:color="auto" w:sz="4" w:space="0"/>
            </w:tcBorders>
            <w:vAlign w:val="center"/>
          </w:tcPr>
          <w:p>
            <w:pPr>
              <w:widowControl/>
              <w:jc w:val="left"/>
              <w:textAlignment w:val="top"/>
              <w:rPr>
                <w:rFonts w:hint="eastAsia" w:ascii="宋体" w:hAnsi="宋体" w:eastAsia="宋体" w:cs="Times New Roman"/>
                <w:szCs w:val="21"/>
              </w:rPr>
            </w:pPr>
            <w:r>
              <w:rPr>
                <w:rFonts w:hint="eastAsia" w:ascii="宋体" w:hAnsi="宋体" w:eastAsia="宋体" w:cs="Times New Roman"/>
                <w:szCs w:val="21"/>
              </w:rPr>
              <w:t>温感器构造型式</w:t>
            </w:r>
          </w:p>
        </w:tc>
        <w:tc>
          <w:tcPr>
            <w:tcW w:w="3544" w:type="dxa"/>
            <w:tcBorders>
              <w:top w:val="nil"/>
              <w:left w:val="nil"/>
              <w:bottom w:val="single" w:color="auto" w:sz="4" w:space="0"/>
              <w:right w:val="single" w:color="auto" w:sz="4" w:space="0"/>
            </w:tcBorders>
          </w:tcPr>
          <w:p>
            <w:pPr>
              <w:widowControl/>
              <w:jc w:val="left"/>
              <w:textAlignment w:val="top"/>
              <w:rPr>
                <w:rFonts w:hint="eastAsia" w:ascii="宋体" w:hAnsi="宋体" w:eastAsia="宋体" w:cs="Times New Roman"/>
                <w:szCs w:val="21"/>
              </w:rPr>
            </w:pPr>
            <w:r>
              <w:rPr>
                <w:rFonts w:hint="eastAsia" w:ascii="宋体" w:hAnsi="宋体" w:eastAsia="宋体" w:cs="Times New Roman"/>
                <w:szCs w:val="21"/>
              </w:rPr>
              <w:t>温感元件采用：</w:t>
            </w:r>
          </w:p>
          <w:p>
            <w:pPr>
              <w:widowControl/>
              <w:jc w:val="left"/>
              <w:textAlignment w:val="top"/>
              <w:rPr>
                <w:rFonts w:hint="eastAsia" w:ascii="宋体" w:hAnsi="宋体" w:eastAsia="宋体" w:cs="Times New Roman"/>
                <w:szCs w:val="21"/>
              </w:rPr>
            </w:pPr>
            <w:r>
              <w:rPr>
                <w:rFonts w:hint="eastAsia" w:ascii="宋体" w:hAnsi="宋体" w:eastAsia="宋体" w:cs="Times New Roman"/>
                <w:szCs w:val="21"/>
              </w:rPr>
              <w:t>1.金属易熔片，得60分；</w:t>
            </w:r>
          </w:p>
          <w:p>
            <w:pPr>
              <w:widowControl/>
              <w:jc w:val="left"/>
              <w:textAlignment w:val="top"/>
              <w:rPr>
                <w:rFonts w:hint="eastAsia" w:ascii="宋体" w:hAnsi="宋体" w:eastAsia="宋体" w:cs="Times New Roman"/>
                <w:kern w:val="0"/>
                <w:szCs w:val="21"/>
                <w:lang w:bidi="ar"/>
              </w:rPr>
            </w:pPr>
            <w:r>
              <w:rPr>
                <w:rFonts w:hint="eastAsia" w:ascii="宋体" w:hAnsi="宋体" w:eastAsia="宋体" w:cs="Times New Roman"/>
                <w:szCs w:val="21"/>
              </w:rPr>
              <w:t>2.电子传感器，得100分。</w:t>
            </w:r>
            <w:r>
              <w:rPr>
                <w:rFonts w:hint="eastAsia" w:ascii="宋体" w:hAnsi="宋体" w:eastAsia="宋体" w:cs="Times New Roman"/>
                <w:kern w:val="0"/>
                <w:szCs w:val="21"/>
                <w:lang w:bidi="ar"/>
              </w:rPr>
              <w:t xml:space="preserve"> </w:t>
            </w:r>
          </w:p>
        </w:tc>
        <w:tc>
          <w:tcPr>
            <w:tcW w:w="709" w:type="dxa"/>
            <w:tcBorders>
              <w:top w:val="nil"/>
              <w:left w:val="nil"/>
              <w:bottom w:val="single" w:color="auto" w:sz="4" w:space="0"/>
              <w:right w:val="single" w:color="auto" w:sz="4" w:space="0"/>
            </w:tcBorders>
            <w:noWrap/>
            <w:vAlign w:val="center"/>
          </w:tcPr>
          <w:p>
            <w:pPr>
              <w:widowControl/>
              <w:jc w:val="center"/>
              <w:textAlignment w:val="top"/>
              <w:rPr>
                <w:rFonts w:hint="eastAsia" w:ascii="宋体" w:hAnsi="宋体" w:eastAsia="宋体" w:cs="Times New Roman"/>
                <w:szCs w:val="21"/>
              </w:rPr>
            </w:pPr>
            <w:r>
              <w:rPr>
                <w:rFonts w:hint="eastAsia" w:ascii="宋体" w:hAnsi="宋体" w:eastAsia="宋体" w:cs="Times New Roman"/>
                <w:szCs w:val="21"/>
              </w:rPr>
              <w:t>0.1</w:t>
            </w:r>
          </w:p>
        </w:tc>
        <w:tc>
          <w:tcPr>
            <w:tcW w:w="5245" w:type="dxa"/>
            <w:tcBorders>
              <w:top w:val="nil"/>
              <w:left w:val="nil"/>
              <w:bottom w:val="single" w:color="auto" w:sz="4" w:space="0"/>
              <w:right w:val="single" w:color="auto" w:sz="4" w:space="0"/>
            </w:tcBorders>
          </w:tcPr>
          <w:p>
            <w:pPr>
              <w:widowControl/>
              <w:jc w:val="left"/>
              <w:textAlignment w:val="top"/>
              <w:rPr>
                <w:rFonts w:hint="eastAsia" w:ascii="宋体" w:hAnsi="宋体" w:eastAsia="宋体" w:cs="Times New Roman"/>
                <w:kern w:val="0"/>
                <w:szCs w:val="21"/>
                <w:lang w:bidi="ar"/>
              </w:rPr>
            </w:pPr>
          </w:p>
        </w:tc>
      </w:tr>
      <w:tr>
        <w:tblPrEx>
          <w:tblCellMar>
            <w:top w:w="0" w:type="dxa"/>
            <w:left w:w="108" w:type="dxa"/>
            <w:bottom w:w="0" w:type="dxa"/>
            <w:right w:w="108" w:type="dxa"/>
          </w:tblCellMar>
        </w:tblPrEx>
        <w:trPr>
          <w:trHeight w:val="1090" w:hRule="atLeast"/>
          <w:jc w:val="center"/>
        </w:trPr>
        <w:tc>
          <w:tcPr>
            <w:tcW w:w="704" w:type="dxa"/>
            <w:tcBorders>
              <w:top w:val="nil"/>
              <w:left w:val="single" w:color="auto" w:sz="4" w:space="0"/>
              <w:bottom w:val="single" w:color="auto" w:sz="4" w:space="0"/>
              <w:right w:val="single" w:color="auto" w:sz="4" w:space="0"/>
            </w:tcBorders>
            <w:noWrap/>
            <w:vAlign w:val="center"/>
          </w:tcPr>
          <w:p>
            <w:pPr>
              <w:widowControl/>
              <w:jc w:val="center"/>
              <w:textAlignment w:val="top"/>
              <w:rPr>
                <w:rFonts w:hint="eastAsia" w:ascii="宋体" w:hAnsi="宋体" w:eastAsia="宋体" w:cs="Times New Roman"/>
                <w:szCs w:val="21"/>
              </w:rPr>
            </w:pPr>
            <w:r>
              <w:rPr>
                <w:rFonts w:hint="eastAsia" w:ascii="宋体" w:hAnsi="宋体" w:eastAsia="宋体" w:cs="Times New Roman"/>
                <w:szCs w:val="21"/>
              </w:rPr>
              <w:t>5</w:t>
            </w:r>
          </w:p>
        </w:tc>
        <w:tc>
          <w:tcPr>
            <w:tcW w:w="1985" w:type="dxa"/>
            <w:tcBorders>
              <w:top w:val="nil"/>
              <w:left w:val="nil"/>
              <w:bottom w:val="single" w:color="auto" w:sz="4" w:space="0"/>
              <w:right w:val="single" w:color="auto" w:sz="4" w:space="0"/>
            </w:tcBorders>
            <w:noWrap/>
            <w:vAlign w:val="center"/>
          </w:tcPr>
          <w:p>
            <w:pPr>
              <w:widowControl/>
              <w:jc w:val="center"/>
              <w:textAlignment w:val="top"/>
              <w:rPr>
                <w:rFonts w:hint="eastAsia" w:ascii="宋体" w:hAnsi="宋体" w:eastAsia="宋体" w:cs="Times New Roman"/>
                <w:szCs w:val="21"/>
              </w:rPr>
            </w:pPr>
            <w:r>
              <w:rPr>
                <w:rFonts w:hint="eastAsia" w:ascii="宋体" w:hAnsi="宋体" w:eastAsia="宋体" w:cs="Times New Roman"/>
                <w:szCs w:val="21"/>
              </w:rPr>
              <w:t>执行器控制安全</w:t>
            </w:r>
          </w:p>
        </w:tc>
        <w:tc>
          <w:tcPr>
            <w:tcW w:w="1842" w:type="dxa"/>
            <w:tcBorders>
              <w:top w:val="nil"/>
              <w:left w:val="nil"/>
              <w:bottom w:val="single" w:color="auto" w:sz="4" w:space="0"/>
              <w:right w:val="single" w:color="auto" w:sz="4" w:space="0"/>
            </w:tcBorders>
            <w:vAlign w:val="center"/>
          </w:tcPr>
          <w:p>
            <w:pPr>
              <w:widowControl/>
              <w:jc w:val="left"/>
              <w:textAlignment w:val="top"/>
              <w:rPr>
                <w:rFonts w:hint="eastAsia" w:ascii="宋体" w:hAnsi="宋体" w:eastAsia="宋体" w:cs="Times New Roman"/>
                <w:szCs w:val="21"/>
              </w:rPr>
            </w:pPr>
            <w:r>
              <w:rPr>
                <w:rFonts w:hint="eastAsia" w:ascii="宋体" w:hAnsi="宋体" w:eastAsia="宋体" w:cs="Times New Roman"/>
                <w:szCs w:val="21"/>
              </w:rPr>
              <w:t>防火阀门对应关闭方式</w:t>
            </w:r>
          </w:p>
        </w:tc>
        <w:tc>
          <w:tcPr>
            <w:tcW w:w="3544" w:type="dxa"/>
            <w:tcBorders>
              <w:top w:val="nil"/>
              <w:left w:val="nil"/>
              <w:bottom w:val="single" w:color="auto" w:sz="4" w:space="0"/>
              <w:right w:val="single" w:color="auto" w:sz="4" w:space="0"/>
            </w:tcBorders>
          </w:tcPr>
          <w:p>
            <w:pPr>
              <w:widowControl/>
              <w:jc w:val="left"/>
              <w:textAlignment w:val="top"/>
              <w:rPr>
                <w:rFonts w:hint="eastAsia" w:ascii="宋体" w:hAnsi="宋体" w:eastAsia="宋体" w:cs="Times New Roman"/>
                <w:szCs w:val="21"/>
              </w:rPr>
            </w:pPr>
            <w:r>
              <w:rPr>
                <w:rFonts w:hint="eastAsia" w:ascii="宋体" w:hAnsi="宋体" w:eastAsia="宋体" w:cs="Times New Roman"/>
                <w:szCs w:val="21"/>
              </w:rPr>
              <w:t xml:space="preserve">1.自复位, 仅温感器自熔断弹簧关闭，得60分； </w:t>
            </w:r>
          </w:p>
          <w:p>
            <w:pPr>
              <w:widowControl/>
              <w:jc w:val="left"/>
              <w:textAlignment w:val="top"/>
              <w:rPr>
                <w:rFonts w:hint="eastAsia" w:ascii="宋体" w:hAnsi="宋体" w:eastAsia="宋体" w:cs="Times New Roman"/>
                <w:szCs w:val="21"/>
              </w:rPr>
            </w:pPr>
            <w:r>
              <w:rPr>
                <w:rFonts w:hint="eastAsia" w:ascii="宋体" w:hAnsi="宋体" w:eastAsia="宋体" w:cs="Times New Roman"/>
                <w:szCs w:val="21"/>
              </w:rPr>
              <w:t>2.自复位，电磁铁弹簧关闭+温感器自熔断关闭，得80分；</w:t>
            </w:r>
          </w:p>
          <w:p>
            <w:pPr>
              <w:widowControl/>
              <w:jc w:val="left"/>
              <w:textAlignment w:val="top"/>
              <w:rPr>
                <w:rFonts w:hint="eastAsia" w:ascii="宋体" w:hAnsi="宋体" w:eastAsia="宋体" w:cs="Times New Roman"/>
                <w:kern w:val="0"/>
                <w:szCs w:val="21"/>
                <w:lang w:bidi="ar"/>
              </w:rPr>
            </w:pPr>
            <w:r>
              <w:rPr>
                <w:rFonts w:hint="eastAsia" w:ascii="宋体" w:hAnsi="宋体" w:eastAsia="宋体" w:cs="Times New Roman"/>
                <w:szCs w:val="21"/>
              </w:rPr>
              <w:t>3.自复位，Fail safe, 电机断电关阀+温感器自熔断关闭，得100分。</w:t>
            </w:r>
            <w:r>
              <w:rPr>
                <w:rFonts w:hint="eastAsia" w:ascii="宋体" w:hAnsi="宋体" w:eastAsia="宋体" w:cs="Times New Roman"/>
                <w:kern w:val="0"/>
                <w:szCs w:val="21"/>
                <w:lang w:bidi="ar"/>
              </w:rPr>
              <w:t xml:space="preserve"> </w:t>
            </w:r>
          </w:p>
        </w:tc>
        <w:tc>
          <w:tcPr>
            <w:tcW w:w="709" w:type="dxa"/>
            <w:tcBorders>
              <w:top w:val="nil"/>
              <w:left w:val="nil"/>
              <w:bottom w:val="single" w:color="auto" w:sz="4" w:space="0"/>
              <w:right w:val="single" w:color="auto" w:sz="4" w:space="0"/>
            </w:tcBorders>
            <w:noWrap/>
            <w:vAlign w:val="center"/>
          </w:tcPr>
          <w:p>
            <w:pPr>
              <w:widowControl/>
              <w:jc w:val="center"/>
              <w:textAlignment w:val="top"/>
              <w:rPr>
                <w:rFonts w:hint="eastAsia" w:ascii="宋体" w:hAnsi="宋体" w:eastAsia="宋体" w:cs="Times New Roman"/>
                <w:szCs w:val="21"/>
              </w:rPr>
            </w:pPr>
            <w:r>
              <w:rPr>
                <w:rFonts w:hint="eastAsia" w:ascii="宋体" w:hAnsi="宋体" w:eastAsia="宋体" w:cs="Times New Roman"/>
                <w:szCs w:val="21"/>
              </w:rPr>
              <w:t>0.1</w:t>
            </w:r>
          </w:p>
        </w:tc>
        <w:tc>
          <w:tcPr>
            <w:tcW w:w="5245" w:type="dxa"/>
            <w:tcBorders>
              <w:top w:val="nil"/>
              <w:left w:val="nil"/>
              <w:bottom w:val="single" w:color="auto" w:sz="4" w:space="0"/>
              <w:right w:val="single" w:color="auto" w:sz="4" w:space="0"/>
            </w:tcBorders>
          </w:tcPr>
          <w:p>
            <w:pPr>
              <w:widowControl/>
              <w:jc w:val="left"/>
              <w:textAlignment w:val="top"/>
              <w:rPr>
                <w:rFonts w:hint="eastAsia" w:ascii="宋体" w:hAnsi="宋体" w:eastAsia="宋体" w:cs="Times New Roman"/>
                <w:kern w:val="0"/>
                <w:szCs w:val="21"/>
                <w:lang w:bidi="ar"/>
              </w:rPr>
            </w:pPr>
          </w:p>
        </w:tc>
      </w:tr>
      <w:tr>
        <w:tblPrEx>
          <w:tblCellMar>
            <w:top w:w="0" w:type="dxa"/>
            <w:left w:w="108" w:type="dxa"/>
            <w:bottom w:w="0" w:type="dxa"/>
            <w:right w:w="108" w:type="dxa"/>
          </w:tblCellMar>
        </w:tblPrEx>
        <w:trPr>
          <w:trHeight w:val="1374" w:hRule="atLeast"/>
          <w:jc w:val="center"/>
        </w:trPr>
        <w:tc>
          <w:tcPr>
            <w:tcW w:w="704"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top"/>
              <w:rPr>
                <w:rFonts w:hint="eastAsia" w:ascii="宋体" w:hAnsi="宋体" w:eastAsia="宋体" w:cs="Times New Roman"/>
                <w:szCs w:val="21"/>
              </w:rPr>
            </w:pPr>
            <w:r>
              <w:rPr>
                <w:rFonts w:hint="eastAsia" w:ascii="宋体" w:hAnsi="宋体" w:eastAsia="宋体" w:cs="Times New Roman"/>
                <w:szCs w:val="21"/>
              </w:rPr>
              <w:t>6</w:t>
            </w:r>
          </w:p>
        </w:tc>
        <w:tc>
          <w:tcPr>
            <w:tcW w:w="1985"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top"/>
              <w:rPr>
                <w:rFonts w:hint="eastAsia" w:ascii="宋体" w:hAnsi="宋体" w:eastAsia="宋体" w:cs="Times New Roman"/>
                <w:szCs w:val="21"/>
              </w:rPr>
            </w:pPr>
            <w:r>
              <w:rPr>
                <w:rFonts w:hint="eastAsia" w:ascii="宋体" w:hAnsi="宋体" w:eastAsia="宋体" w:cs="Times New Roman"/>
                <w:szCs w:val="21"/>
              </w:rPr>
              <w:t>执行器防护等级</w:t>
            </w:r>
          </w:p>
        </w:tc>
        <w:tc>
          <w:tcPr>
            <w:tcW w:w="1842" w:type="dxa"/>
            <w:tcBorders>
              <w:top w:val="single" w:color="auto" w:sz="4" w:space="0"/>
              <w:left w:val="nil"/>
              <w:bottom w:val="single" w:color="auto" w:sz="4" w:space="0"/>
              <w:right w:val="single" w:color="auto" w:sz="4" w:space="0"/>
            </w:tcBorders>
            <w:vAlign w:val="center"/>
          </w:tcPr>
          <w:p>
            <w:pPr>
              <w:widowControl/>
              <w:jc w:val="left"/>
              <w:textAlignment w:val="top"/>
              <w:rPr>
                <w:rFonts w:hint="eastAsia" w:ascii="宋体" w:hAnsi="宋体" w:eastAsia="宋体" w:cs="Times New Roman"/>
                <w:szCs w:val="21"/>
              </w:rPr>
            </w:pPr>
            <w:r>
              <w:rPr>
                <w:rFonts w:hint="eastAsia" w:ascii="宋体" w:hAnsi="宋体" w:eastAsia="宋体" w:cs="Times New Roman"/>
                <w:szCs w:val="21"/>
              </w:rPr>
              <w:t>IP</w:t>
            </w:r>
            <w:r>
              <w:rPr>
                <w:rFonts w:ascii="宋体" w:hAnsi="宋体" w:eastAsia="宋体" w:cs="Times New Roman"/>
                <w:szCs w:val="21"/>
              </w:rPr>
              <w:t>防护等级</w:t>
            </w:r>
          </w:p>
        </w:tc>
        <w:tc>
          <w:tcPr>
            <w:tcW w:w="3544" w:type="dxa"/>
            <w:tcBorders>
              <w:top w:val="single" w:color="auto" w:sz="4" w:space="0"/>
              <w:left w:val="nil"/>
              <w:bottom w:val="single" w:color="auto" w:sz="4" w:space="0"/>
              <w:right w:val="single" w:color="auto" w:sz="4" w:space="0"/>
            </w:tcBorders>
          </w:tcPr>
          <w:p>
            <w:pPr>
              <w:widowControl/>
              <w:jc w:val="left"/>
              <w:textAlignment w:val="top"/>
              <w:rPr>
                <w:rFonts w:hint="eastAsia" w:ascii="宋体" w:hAnsi="宋体" w:eastAsia="宋体" w:cs="Times New Roman"/>
                <w:szCs w:val="21"/>
              </w:rPr>
            </w:pPr>
            <w:r>
              <w:rPr>
                <w:rFonts w:hint="eastAsia" w:ascii="宋体" w:hAnsi="宋体" w:eastAsia="宋体" w:cs="Times New Roman"/>
                <w:szCs w:val="21"/>
              </w:rPr>
              <w:t>防火阀的执行器及温感器，应具备一定的IP防护等级：</w:t>
            </w:r>
          </w:p>
          <w:p>
            <w:pPr>
              <w:widowControl/>
              <w:jc w:val="left"/>
              <w:textAlignment w:val="top"/>
              <w:rPr>
                <w:rFonts w:hint="eastAsia" w:ascii="宋体" w:hAnsi="宋体" w:eastAsia="宋体" w:cs="Times New Roman"/>
                <w:szCs w:val="21"/>
              </w:rPr>
            </w:pPr>
            <w:r>
              <w:rPr>
                <w:rFonts w:hint="eastAsia" w:ascii="宋体" w:hAnsi="宋体" w:eastAsia="宋体" w:cs="Times New Roman"/>
                <w:szCs w:val="21"/>
              </w:rPr>
              <w:t>1.IP20≤IP等级＜IP42，得60分；</w:t>
            </w:r>
          </w:p>
          <w:p>
            <w:pPr>
              <w:widowControl/>
              <w:jc w:val="left"/>
              <w:textAlignment w:val="top"/>
              <w:rPr>
                <w:rFonts w:hint="eastAsia" w:ascii="宋体" w:hAnsi="宋体" w:eastAsia="宋体" w:cs="Times New Roman"/>
                <w:szCs w:val="21"/>
              </w:rPr>
            </w:pPr>
            <w:r>
              <w:rPr>
                <w:rFonts w:hint="eastAsia" w:ascii="宋体" w:hAnsi="宋体" w:eastAsia="宋体" w:cs="Times New Roman"/>
                <w:szCs w:val="21"/>
              </w:rPr>
              <w:t>2.IP42≤IP等级＜IP54，得80分；</w:t>
            </w:r>
          </w:p>
          <w:p>
            <w:pPr>
              <w:widowControl/>
              <w:jc w:val="left"/>
              <w:textAlignment w:val="top"/>
              <w:rPr>
                <w:rFonts w:hint="eastAsia" w:ascii="宋体" w:hAnsi="宋体" w:eastAsia="宋体" w:cs="Times New Roman"/>
                <w:szCs w:val="21"/>
              </w:rPr>
            </w:pPr>
            <w:r>
              <w:rPr>
                <w:rFonts w:hint="eastAsia" w:ascii="宋体" w:hAnsi="宋体" w:eastAsia="宋体" w:cs="Times New Roman"/>
                <w:szCs w:val="21"/>
              </w:rPr>
              <w:t>3.IP54及以上，得100分。</w:t>
            </w:r>
          </w:p>
        </w:tc>
        <w:tc>
          <w:tcPr>
            <w:tcW w:w="709" w:type="dxa"/>
            <w:tcBorders>
              <w:top w:val="single" w:color="auto" w:sz="4" w:space="0"/>
              <w:left w:val="nil"/>
              <w:bottom w:val="single" w:color="auto" w:sz="4" w:space="0"/>
              <w:right w:val="single" w:color="auto" w:sz="4" w:space="0"/>
            </w:tcBorders>
            <w:noWrap/>
            <w:vAlign w:val="center"/>
          </w:tcPr>
          <w:p>
            <w:pPr>
              <w:widowControl/>
              <w:jc w:val="center"/>
              <w:textAlignment w:val="top"/>
              <w:rPr>
                <w:rFonts w:hint="eastAsia" w:ascii="宋体" w:hAnsi="宋体" w:eastAsia="宋体" w:cs="Times New Roman"/>
                <w:szCs w:val="21"/>
              </w:rPr>
            </w:pPr>
            <w:r>
              <w:rPr>
                <w:rFonts w:hint="eastAsia" w:ascii="宋体" w:hAnsi="宋体" w:eastAsia="宋体" w:cs="Times New Roman"/>
                <w:szCs w:val="21"/>
              </w:rPr>
              <w:t>0.1</w:t>
            </w:r>
          </w:p>
        </w:tc>
        <w:tc>
          <w:tcPr>
            <w:tcW w:w="5245" w:type="dxa"/>
            <w:tcBorders>
              <w:top w:val="single" w:color="auto" w:sz="4" w:space="0"/>
              <w:left w:val="nil"/>
              <w:bottom w:val="single" w:color="auto" w:sz="4" w:space="0"/>
              <w:right w:val="single" w:color="auto" w:sz="4" w:space="0"/>
            </w:tcBorders>
          </w:tcPr>
          <w:p>
            <w:pPr>
              <w:widowControl/>
              <w:jc w:val="left"/>
              <w:textAlignment w:val="top"/>
              <w:rPr>
                <w:rFonts w:hint="eastAsia" w:ascii="宋体" w:hAnsi="宋体" w:eastAsia="宋体" w:cs="Times New Roman"/>
                <w:szCs w:val="21"/>
              </w:rPr>
            </w:pPr>
          </w:p>
        </w:tc>
      </w:tr>
    </w:tbl>
    <w:p>
      <w:pPr>
        <w:widowControl/>
        <w:jc w:val="left"/>
        <w:rPr>
          <w:rFonts w:eastAsia="宋体" w:cs="Times New Roman"/>
          <w:b/>
          <w:bCs/>
          <w:szCs w:val="28"/>
        </w:rPr>
      </w:pPr>
    </w:p>
    <w:p>
      <w:pPr>
        <w:widowControl/>
        <w:jc w:val="left"/>
        <w:rPr>
          <w:rFonts w:eastAsia="宋体" w:cs="Times New Roman"/>
          <w:b/>
          <w:bCs/>
          <w:szCs w:val="28"/>
        </w:rPr>
      </w:pPr>
      <w:r>
        <w:rPr>
          <w:rFonts w:eastAsia="宋体" w:cs="Times New Roman"/>
          <w:b/>
          <w:bCs/>
          <w:szCs w:val="28"/>
        </w:rPr>
        <w:br w:type="page"/>
      </w:r>
    </w:p>
    <w:p>
      <w:pPr>
        <w:jc w:val="center"/>
        <w:rPr>
          <w:rFonts w:eastAsia="宋体" w:cs="Times New Roman"/>
          <w:b/>
          <w:bCs/>
          <w:szCs w:val="28"/>
        </w:rPr>
      </w:pPr>
      <w:bookmarkStart w:id="43" w:name="OLE_LINK11"/>
      <w:r>
        <w:rPr>
          <w:rFonts w:hint="eastAsia"/>
          <w:b/>
          <w:bCs/>
        </w:rPr>
        <w:t>表4.2.1-3</w:t>
      </w:r>
      <w:r>
        <w:rPr>
          <w:b/>
          <w:bCs/>
        </w:rPr>
        <w:t>防火阀</w:t>
      </w:r>
      <w:r>
        <w:rPr>
          <w:rFonts w:hint="eastAsia"/>
          <w:b/>
          <w:bCs/>
        </w:rPr>
        <w:t>、排烟防火阀优选项评定表</w:t>
      </w:r>
    </w:p>
    <w:bookmarkEnd w:id="43"/>
    <w:tbl>
      <w:tblPr>
        <w:tblStyle w:val="17"/>
        <w:tblW w:w="14029" w:type="dxa"/>
        <w:jc w:val="center"/>
        <w:tblLayout w:type="fixed"/>
        <w:tblCellMar>
          <w:top w:w="0" w:type="dxa"/>
          <w:left w:w="108" w:type="dxa"/>
          <w:bottom w:w="0" w:type="dxa"/>
          <w:right w:w="108" w:type="dxa"/>
        </w:tblCellMar>
      </w:tblPr>
      <w:tblGrid>
        <w:gridCol w:w="704"/>
        <w:gridCol w:w="1985"/>
        <w:gridCol w:w="2409"/>
        <w:gridCol w:w="3119"/>
        <w:gridCol w:w="709"/>
        <w:gridCol w:w="5103"/>
      </w:tblGrid>
      <w:tr>
        <w:tblPrEx>
          <w:tblCellMar>
            <w:top w:w="0" w:type="dxa"/>
            <w:left w:w="108" w:type="dxa"/>
            <w:bottom w:w="0" w:type="dxa"/>
            <w:right w:w="108" w:type="dxa"/>
          </w:tblCellMar>
        </w:tblPrEx>
        <w:trPr>
          <w:trHeight w:val="285" w:hRule="atLeast"/>
          <w:tblHeader/>
          <w:jc w:val="center"/>
        </w:trPr>
        <w:tc>
          <w:tcPr>
            <w:tcW w:w="704"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top"/>
              <w:rPr>
                <w:rFonts w:eastAsia="宋体" w:cs="Times New Roman"/>
                <w:b/>
                <w:bCs/>
                <w:szCs w:val="21"/>
              </w:rPr>
            </w:pPr>
            <w:r>
              <w:rPr>
                <w:rFonts w:eastAsia="宋体" w:cs="Times New Roman"/>
                <w:b/>
                <w:bCs/>
                <w:kern w:val="0"/>
                <w:szCs w:val="21"/>
                <w:lang w:bidi="ar"/>
              </w:rPr>
              <w:t>序号</w:t>
            </w:r>
          </w:p>
        </w:tc>
        <w:tc>
          <w:tcPr>
            <w:tcW w:w="1985" w:type="dxa"/>
            <w:tcBorders>
              <w:top w:val="single" w:color="auto" w:sz="4" w:space="0"/>
              <w:left w:val="nil"/>
              <w:bottom w:val="single" w:color="auto" w:sz="4" w:space="0"/>
              <w:right w:val="single" w:color="auto" w:sz="4" w:space="0"/>
            </w:tcBorders>
            <w:noWrap/>
            <w:vAlign w:val="center"/>
          </w:tcPr>
          <w:p>
            <w:pPr>
              <w:widowControl/>
              <w:jc w:val="center"/>
              <w:textAlignment w:val="top"/>
              <w:rPr>
                <w:rFonts w:eastAsia="宋体" w:cs="Times New Roman"/>
                <w:b/>
                <w:bCs/>
                <w:szCs w:val="21"/>
              </w:rPr>
            </w:pPr>
            <w:r>
              <w:rPr>
                <w:rFonts w:eastAsia="宋体" w:cs="Times New Roman"/>
                <w:b/>
                <w:bCs/>
                <w:kern w:val="0"/>
                <w:szCs w:val="21"/>
                <w:lang w:bidi="ar"/>
              </w:rPr>
              <w:t>评定指标</w:t>
            </w:r>
          </w:p>
        </w:tc>
        <w:tc>
          <w:tcPr>
            <w:tcW w:w="2409" w:type="dxa"/>
            <w:tcBorders>
              <w:top w:val="single" w:color="auto" w:sz="4" w:space="0"/>
              <w:left w:val="nil"/>
              <w:bottom w:val="single" w:color="auto" w:sz="4" w:space="0"/>
              <w:right w:val="single" w:color="auto" w:sz="4" w:space="0"/>
            </w:tcBorders>
            <w:vAlign w:val="center"/>
          </w:tcPr>
          <w:p>
            <w:pPr>
              <w:widowControl/>
              <w:jc w:val="center"/>
              <w:textAlignment w:val="top"/>
              <w:rPr>
                <w:rFonts w:eastAsia="宋体" w:cs="Times New Roman"/>
                <w:b/>
                <w:bCs/>
                <w:szCs w:val="21"/>
              </w:rPr>
            </w:pPr>
            <w:r>
              <w:rPr>
                <w:rFonts w:hint="eastAsia" w:eastAsia="宋体" w:cs="Times New Roman"/>
                <w:b/>
                <w:bCs/>
                <w:kern w:val="0"/>
                <w:szCs w:val="21"/>
                <w:lang w:bidi="ar"/>
              </w:rPr>
              <w:t>优选</w:t>
            </w:r>
            <w:r>
              <w:rPr>
                <w:rFonts w:eastAsia="宋体" w:cs="Times New Roman"/>
                <w:b/>
                <w:bCs/>
                <w:kern w:val="0"/>
                <w:szCs w:val="21"/>
                <w:lang w:bidi="ar"/>
              </w:rPr>
              <w:t>项</w:t>
            </w:r>
          </w:p>
        </w:tc>
        <w:tc>
          <w:tcPr>
            <w:tcW w:w="3119" w:type="dxa"/>
            <w:tcBorders>
              <w:top w:val="single" w:color="auto" w:sz="4" w:space="0"/>
              <w:left w:val="nil"/>
              <w:bottom w:val="single" w:color="auto" w:sz="4" w:space="0"/>
              <w:right w:val="single" w:color="auto" w:sz="4" w:space="0"/>
            </w:tcBorders>
            <w:vAlign w:val="center"/>
          </w:tcPr>
          <w:p>
            <w:pPr>
              <w:widowControl/>
              <w:jc w:val="center"/>
              <w:textAlignment w:val="top"/>
              <w:rPr>
                <w:rFonts w:eastAsia="宋体" w:cs="Times New Roman"/>
                <w:b/>
                <w:bCs/>
                <w:kern w:val="0"/>
                <w:szCs w:val="21"/>
                <w:lang w:bidi="ar"/>
              </w:rPr>
            </w:pPr>
            <w:r>
              <w:rPr>
                <w:rFonts w:eastAsia="宋体" w:cs="Times New Roman"/>
                <w:b/>
                <w:bCs/>
                <w:kern w:val="0"/>
                <w:szCs w:val="21"/>
                <w:lang w:bidi="ar"/>
              </w:rPr>
              <w:t>评定方法</w:t>
            </w:r>
          </w:p>
        </w:tc>
        <w:tc>
          <w:tcPr>
            <w:tcW w:w="709"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top"/>
              <w:rPr>
                <w:rFonts w:eastAsia="宋体" w:cs="Times New Roman"/>
                <w:b/>
                <w:bCs/>
                <w:szCs w:val="21"/>
              </w:rPr>
            </w:pPr>
            <w:r>
              <w:rPr>
                <w:rFonts w:eastAsia="宋体" w:cs="Times New Roman"/>
                <w:b/>
                <w:bCs/>
                <w:kern w:val="0"/>
                <w:szCs w:val="21"/>
                <w:lang w:bidi="ar"/>
              </w:rPr>
              <w:t>权重</w:t>
            </w:r>
            <w:r>
              <w:rPr>
                <w:rFonts w:hint="eastAsia" w:eastAsia="宋体" w:cs="Times New Roman"/>
                <w:b/>
                <w:bCs/>
                <w:kern w:val="0"/>
                <w:szCs w:val="21"/>
                <w:lang w:bidi="ar"/>
              </w:rPr>
              <w:t>因子</w:t>
            </w:r>
          </w:p>
        </w:tc>
        <w:tc>
          <w:tcPr>
            <w:tcW w:w="510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top"/>
              <w:rPr>
                <w:rFonts w:eastAsia="宋体" w:cs="Times New Roman"/>
                <w:b/>
                <w:bCs/>
                <w:kern w:val="0"/>
                <w:szCs w:val="21"/>
                <w:lang w:bidi="ar"/>
              </w:rPr>
            </w:pPr>
            <w:r>
              <w:rPr>
                <w:rFonts w:eastAsia="宋体" w:cs="Times New Roman"/>
                <w:b/>
                <w:bCs/>
                <w:kern w:val="0"/>
                <w:szCs w:val="21"/>
                <w:lang w:bidi="ar"/>
              </w:rPr>
              <w:t>说明</w:t>
            </w:r>
          </w:p>
        </w:tc>
      </w:tr>
      <w:tr>
        <w:tblPrEx>
          <w:tblCellMar>
            <w:top w:w="0" w:type="dxa"/>
            <w:left w:w="108" w:type="dxa"/>
            <w:bottom w:w="0" w:type="dxa"/>
            <w:right w:w="108" w:type="dxa"/>
          </w:tblCellMar>
        </w:tblPrEx>
        <w:trPr>
          <w:trHeight w:val="855" w:hRule="atLeast"/>
          <w:jc w:val="center"/>
        </w:trPr>
        <w:tc>
          <w:tcPr>
            <w:tcW w:w="704"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top"/>
              <w:rPr>
                <w:rFonts w:hint="eastAsia" w:ascii="宋体" w:hAnsi="宋体" w:eastAsia="宋体" w:cs="Times New Roman"/>
                <w:szCs w:val="21"/>
              </w:rPr>
            </w:pPr>
            <w:r>
              <w:rPr>
                <w:rFonts w:hint="eastAsia" w:ascii="宋体" w:hAnsi="宋体" w:eastAsia="宋体" w:cs="Times New Roman"/>
                <w:szCs w:val="21"/>
              </w:rPr>
              <w:t>1</w:t>
            </w:r>
          </w:p>
        </w:tc>
        <w:tc>
          <w:tcPr>
            <w:tcW w:w="1985" w:type="dxa"/>
            <w:tcBorders>
              <w:top w:val="single" w:color="auto" w:sz="4" w:space="0"/>
              <w:left w:val="nil"/>
              <w:bottom w:val="single" w:color="auto" w:sz="4" w:space="0"/>
              <w:right w:val="single" w:color="auto" w:sz="4" w:space="0"/>
            </w:tcBorders>
            <w:noWrap/>
            <w:vAlign w:val="center"/>
          </w:tcPr>
          <w:p>
            <w:pPr>
              <w:widowControl/>
              <w:jc w:val="center"/>
              <w:textAlignment w:val="top"/>
              <w:rPr>
                <w:rFonts w:hint="eastAsia" w:ascii="宋体" w:hAnsi="宋体" w:eastAsia="宋体" w:cs="Times New Roman"/>
                <w:szCs w:val="21"/>
              </w:rPr>
            </w:pPr>
            <w:r>
              <w:rPr>
                <w:rFonts w:hint="eastAsia" w:ascii="宋体" w:hAnsi="宋体" w:eastAsia="宋体" w:cs="Times New Roman"/>
                <w:szCs w:val="21"/>
              </w:rPr>
              <w:t>执行器安全性</w:t>
            </w:r>
          </w:p>
        </w:tc>
        <w:tc>
          <w:tcPr>
            <w:tcW w:w="2409" w:type="dxa"/>
            <w:tcBorders>
              <w:top w:val="single" w:color="auto" w:sz="4" w:space="0"/>
              <w:left w:val="nil"/>
              <w:bottom w:val="single" w:color="auto" w:sz="4" w:space="0"/>
              <w:right w:val="single" w:color="auto" w:sz="4" w:space="0"/>
            </w:tcBorders>
            <w:vAlign w:val="center"/>
          </w:tcPr>
          <w:p>
            <w:pPr>
              <w:widowControl/>
              <w:jc w:val="left"/>
              <w:textAlignment w:val="top"/>
              <w:rPr>
                <w:rFonts w:hint="eastAsia" w:ascii="宋体" w:hAnsi="宋体" w:eastAsia="宋体" w:cs="Times New Roman"/>
                <w:szCs w:val="21"/>
              </w:rPr>
            </w:pPr>
            <w:r>
              <w:rPr>
                <w:rFonts w:hint="eastAsia" w:ascii="宋体" w:hAnsi="宋体" w:eastAsia="宋体" w:cs="Times New Roman"/>
                <w:szCs w:val="21"/>
              </w:rPr>
              <w:t>执行器有阀门锁止装置</w:t>
            </w:r>
          </w:p>
        </w:tc>
        <w:tc>
          <w:tcPr>
            <w:tcW w:w="3119" w:type="dxa"/>
            <w:tcBorders>
              <w:top w:val="single" w:color="auto" w:sz="4" w:space="0"/>
              <w:left w:val="nil"/>
              <w:bottom w:val="single" w:color="auto" w:sz="4" w:space="0"/>
              <w:right w:val="single" w:color="auto" w:sz="4" w:space="0"/>
            </w:tcBorders>
            <w:vAlign w:val="center"/>
          </w:tcPr>
          <w:p>
            <w:pPr>
              <w:widowControl/>
              <w:jc w:val="left"/>
              <w:textAlignment w:val="top"/>
              <w:rPr>
                <w:rFonts w:hint="eastAsia" w:ascii="宋体" w:hAnsi="宋体" w:eastAsia="宋体" w:cs="Times New Roman"/>
                <w:kern w:val="0"/>
                <w:szCs w:val="21"/>
                <w:lang w:bidi="ar"/>
              </w:rPr>
            </w:pPr>
            <w:r>
              <w:rPr>
                <w:rFonts w:hint="eastAsia" w:ascii="宋体" w:hAnsi="宋体" w:eastAsia="宋体" w:cs="Times New Roman"/>
                <w:szCs w:val="21"/>
              </w:rPr>
              <w:t>当执行器受到高温侵袭驱动阀门关闭后，执行器有防止阀门受高温气体膨胀再次打开的锁止装置，有此装置得2分。</w:t>
            </w:r>
          </w:p>
        </w:tc>
        <w:tc>
          <w:tcPr>
            <w:tcW w:w="709" w:type="dxa"/>
            <w:tcBorders>
              <w:top w:val="single" w:color="auto" w:sz="4" w:space="0"/>
              <w:left w:val="nil"/>
              <w:bottom w:val="single" w:color="auto" w:sz="4" w:space="0"/>
              <w:right w:val="single" w:color="auto" w:sz="4" w:space="0"/>
            </w:tcBorders>
            <w:noWrap/>
            <w:vAlign w:val="center"/>
          </w:tcPr>
          <w:p>
            <w:pPr>
              <w:widowControl/>
              <w:jc w:val="center"/>
              <w:textAlignment w:val="top"/>
              <w:rPr>
                <w:rFonts w:hint="eastAsia" w:ascii="宋体" w:hAnsi="宋体" w:eastAsia="宋体" w:cs="Times New Roman"/>
                <w:szCs w:val="21"/>
              </w:rPr>
            </w:pPr>
            <w:r>
              <w:rPr>
                <w:rFonts w:hint="eastAsia" w:ascii="宋体" w:hAnsi="宋体" w:eastAsia="宋体" w:cs="Times New Roman"/>
                <w:szCs w:val="21"/>
              </w:rPr>
              <w:t>1.0</w:t>
            </w:r>
          </w:p>
        </w:tc>
        <w:tc>
          <w:tcPr>
            <w:tcW w:w="5103" w:type="dxa"/>
            <w:tcBorders>
              <w:top w:val="single" w:color="auto" w:sz="4" w:space="0"/>
              <w:left w:val="nil"/>
              <w:bottom w:val="single" w:color="auto" w:sz="4" w:space="0"/>
              <w:right w:val="single" w:color="auto" w:sz="4" w:space="0"/>
            </w:tcBorders>
            <w:vAlign w:val="center"/>
          </w:tcPr>
          <w:p>
            <w:pPr>
              <w:widowControl/>
              <w:jc w:val="left"/>
              <w:textAlignment w:val="top"/>
              <w:rPr>
                <w:rFonts w:hint="eastAsia" w:ascii="宋体" w:hAnsi="宋体" w:eastAsia="宋体" w:cs="Times New Roman"/>
                <w:kern w:val="0"/>
                <w:szCs w:val="21"/>
                <w:lang w:bidi="ar"/>
              </w:rPr>
            </w:pPr>
          </w:p>
        </w:tc>
      </w:tr>
      <w:tr>
        <w:tblPrEx>
          <w:tblCellMar>
            <w:top w:w="0" w:type="dxa"/>
            <w:left w:w="108" w:type="dxa"/>
            <w:bottom w:w="0" w:type="dxa"/>
            <w:right w:w="108" w:type="dxa"/>
          </w:tblCellMar>
        </w:tblPrEx>
        <w:trPr>
          <w:trHeight w:val="1737" w:hRule="atLeast"/>
          <w:jc w:val="center"/>
        </w:trPr>
        <w:tc>
          <w:tcPr>
            <w:tcW w:w="704" w:type="dxa"/>
            <w:tcBorders>
              <w:top w:val="nil"/>
              <w:left w:val="single" w:color="auto" w:sz="4" w:space="0"/>
              <w:bottom w:val="single" w:color="auto" w:sz="4" w:space="0"/>
              <w:right w:val="single" w:color="auto" w:sz="4" w:space="0"/>
            </w:tcBorders>
            <w:noWrap/>
            <w:vAlign w:val="center"/>
          </w:tcPr>
          <w:p>
            <w:pPr>
              <w:widowControl/>
              <w:jc w:val="center"/>
              <w:textAlignment w:val="top"/>
              <w:rPr>
                <w:rFonts w:hint="eastAsia" w:ascii="宋体" w:hAnsi="宋体" w:eastAsia="宋体" w:cs="Times New Roman"/>
                <w:szCs w:val="21"/>
              </w:rPr>
            </w:pPr>
            <w:r>
              <w:rPr>
                <w:rFonts w:hint="eastAsia" w:ascii="宋体" w:hAnsi="宋体" w:eastAsia="宋体" w:cs="Times New Roman"/>
                <w:szCs w:val="21"/>
              </w:rPr>
              <w:t>2</w:t>
            </w:r>
          </w:p>
        </w:tc>
        <w:tc>
          <w:tcPr>
            <w:tcW w:w="1985" w:type="dxa"/>
            <w:tcBorders>
              <w:top w:val="nil"/>
              <w:left w:val="nil"/>
              <w:bottom w:val="single" w:color="auto" w:sz="4" w:space="0"/>
              <w:right w:val="single" w:color="auto" w:sz="4" w:space="0"/>
            </w:tcBorders>
            <w:noWrap/>
            <w:vAlign w:val="center"/>
          </w:tcPr>
          <w:p>
            <w:pPr>
              <w:widowControl/>
              <w:jc w:val="center"/>
              <w:textAlignment w:val="top"/>
              <w:rPr>
                <w:rFonts w:hint="eastAsia" w:ascii="宋体" w:hAnsi="宋体" w:eastAsia="宋体" w:cs="Times New Roman"/>
                <w:szCs w:val="21"/>
              </w:rPr>
            </w:pPr>
            <w:r>
              <w:rPr>
                <w:rFonts w:hint="eastAsia" w:ascii="宋体" w:hAnsi="宋体" w:eastAsia="宋体" w:cs="Times New Roman"/>
                <w:szCs w:val="21"/>
              </w:rPr>
              <w:t>执行器物联网功能</w:t>
            </w:r>
          </w:p>
        </w:tc>
        <w:tc>
          <w:tcPr>
            <w:tcW w:w="2409" w:type="dxa"/>
            <w:tcBorders>
              <w:top w:val="nil"/>
              <w:left w:val="nil"/>
              <w:bottom w:val="single" w:color="auto" w:sz="4" w:space="0"/>
              <w:right w:val="single" w:color="auto" w:sz="4" w:space="0"/>
            </w:tcBorders>
            <w:vAlign w:val="center"/>
          </w:tcPr>
          <w:p>
            <w:pPr>
              <w:widowControl/>
              <w:jc w:val="left"/>
              <w:textAlignment w:val="top"/>
              <w:rPr>
                <w:rFonts w:hint="eastAsia" w:ascii="宋体" w:hAnsi="宋体" w:eastAsia="宋体" w:cs="Times New Roman"/>
                <w:szCs w:val="21"/>
              </w:rPr>
            </w:pPr>
            <w:r>
              <w:rPr>
                <w:rFonts w:hint="eastAsia" w:ascii="宋体" w:hAnsi="宋体" w:eastAsia="宋体" w:cs="Times New Roman"/>
                <w:szCs w:val="21"/>
              </w:rPr>
              <w:t>执行器有物联网功能</w:t>
            </w:r>
          </w:p>
        </w:tc>
        <w:tc>
          <w:tcPr>
            <w:tcW w:w="3119" w:type="dxa"/>
            <w:tcBorders>
              <w:top w:val="nil"/>
              <w:left w:val="nil"/>
              <w:bottom w:val="single" w:color="auto" w:sz="4" w:space="0"/>
              <w:right w:val="single" w:color="auto" w:sz="4" w:space="0"/>
            </w:tcBorders>
            <w:vAlign w:val="center"/>
          </w:tcPr>
          <w:p>
            <w:pPr>
              <w:widowControl/>
              <w:jc w:val="left"/>
              <w:textAlignment w:val="top"/>
              <w:rPr>
                <w:rFonts w:hint="eastAsia" w:ascii="宋体" w:hAnsi="宋体" w:eastAsia="宋体" w:cs="Times New Roman"/>
                <w:szCs w:val="21"/>
              </w:rPr>
            </w:pPr>
            <w:r>
              <w:rPr>
                <w:rFonts w:hint="eastAsia" w:ascii="宋体" w:hAnsi="宋体" w:eastAsia="宋体" w:cs="Times New Roman"/>
                <w:szCs w:val="21"/>
              </w:rPr>
              <w:t>具有NBIOT，4G/5G/6G, LORA，Wifi，NFC，Bluetooth等互联功能：</w:t>
            </w:r>
          </w:p>
          <w:p>
            <w:pPr>
              <w:widowControl/>
              <w:jc w:val="left"/>
              <w:textAlignment w:val="top"/>
              <w:rPr>
                <w:rFonts w:hint="eastAsia" w:ascii="宋体" w:hAnsi="宋体" w:eastAsia="宋体" w:cs="Times New Roman"/>
                <w:szCs w:val="21"/>
              </w:rPr>
            </w:pPr>
            <w:r>
              <w:rPr>
                <w:rFonts w:hint="eastAsia" w:ascii="宋体" w:hAnsi="宋体" w:eastAsia="宋体" w:cs="Times New Roman"/>
                <w:szCs w:val="21"/>
              </w:rPr>
              <w:t>1.传输阀门位置状态，阀门状态等</w:t>
            </w:r>
          </w:p>
          <w:p>
            <w:pPr>
              <w:widowControl/>
              <w:jc w:val="left"/>
              <w:textAlignment w:val="top"/>
              <w:rPr>
                <w:rFonts w:hint="eastAsia" w:ascii="宋体" w:hAnsi="宋体" w:eastAsia="宋体" w:cs="Times New Roman"/>
                <w:szCs w:val="21"/>
              </w:rPr>
            </w:pPr>
            <w:r>
              <w:rPr>
                <w:rFonts w:hint="eastAsia" w:ascii="宋体" w:hAnsi="宋体" w:eastAsia="宋体" w:cs="Times New Roman"/>
                <w:szCs w:val="21"/>
              </w:rPr>
              <w:t>2.传输阀门及执行器的使用寿命信息</w:t>
            </w:r>
          </w:p>
          <w:p>
            <w:pPr>
              <w:widowControl/>
              <w:jc w:val="left"/>
              <w:textAlignment w:val="top"/>
              <w:rPr>
                <w:rFonts w:hint="eastAsia" w:ascii="宋体" w:hAnsi="宋体" w:eastAsia="宋体" w:cs="Times New Roman"/>
                <w:szCs w:val="21"/>
              </w:rPr>
            </w:pPr>
            <w:r>
              <w:rPr>
                <w:rFonts w:hint="eastAsia" w:ascii="宋体" w:hAnsi="宋体" w:eastAsia="宋体" w:cs="Times New Roman"/>
                <w:szCs w:val="21"/>
              </w:rPr>
              <w:t>3.给维保单位传输阀门状态（执行器工作状态，执行器扭矩状态等）</w:t>
            </w:r>
          </w:p>
          <w:p>
            <w:pPr>
              <w:widowControl/>
              <w:jc w:val="left"/>
              <w:textAlignment w:val="top"/>
              <w:rPr>
                <w:rFonts w:hint="eastAsia" w:ascii="宋体" w:hAnsi="宋体" w:eastAsia="宋体" w:cs="Times New Roman"/>
                <w:kern w:val="0"/>
                <w:szCs w:val="21"/>
                <w:lang w:bidi="ar"/>
              </w:rPr>
            </w:pPr>
            <w:r>
              <w:rPr>
                <w:rFonts w:hint="eastAsia" w:ascii="宋体" w:hAnsi="宋体" w:eastAsia="宋体" w:cs="Times New Roman"/>
                <w:szCs w:val="21"/>
              </w:rPr>
              <w:t>有此功能得2分。</w:t>
            </w:r>
          </w:p>
        </w:tc>
        <w:tc>
          <w:tcPr>
            <w:tcW w:w="709" w:type="dxa"/>
            <w:tcBorders>
              <w:top w:val="nil"/>
              <w:left w:val="nil"/>
              <w:bottom w:val="single" w:color="auto" w:sz="4" w:space="0"/>
              <w:right w:val="single" w:color="auto" w:sz="4" w:space="0"/>
            </w:tcBorders>
            <w:noWrap/>
            <w:vAlign w:val="center"/>
          </w:tcPr>
          <w:p>
            <w:pPr>
              <w:widowControl/>
              <w:jc w:val="center"/>
              <w:textAlignment w:val="top"/>
              <w:rPr>
                <w:rFonts w:hint="eastAsia" w:ascii="宋体" w:hAnsi="宋体" w:eastAsia="宋体" w:cs="Times New Roman"/>
                <w:szCs w:val="21"/>
              </w:rPr>
            </w:pPr>
            <w:r>
              <w:rPr>
                <w:rFonts w:hint="eastAsia" w:ascii="宋体" w:hAnsi="宋体" w:eastAsia="宋体" w:cs="Times New Roman"/>
                <w:szCs w:val="21"/>
              </w:rPr>
              <w:t>1.0</w:t>
            </w:r>
          </w:p>
        </w:tc>
        <w:tc>
          <w:tcPr>
            <w:tcW w:w="5103" w:type="dxa"/>
            <w:tcBorders>
              <w:top w:val="nil"/>
              <w:left w:val="nil"/>
              <w:bottom w:val="single" w:color="auto" w:sz="4" w:space="0"/>
              <w:right w:val="single" w:color="auto" w:sz="4" w:space="0"/>
            </w:tcBorders>
            <w:vAlign w:val="center"/>
          </w:tcPr>
          <w:p>
            <w:pPr>
              <w:widowControl/>
              <w:jc w:val="left"/>
              <w:textAlignment w:val="top"/>
              <w:rPr>
                <w:rFonts w:hint="eastAsia" w:ascii="宋体" w:hAnsi="宋体" w:eastAsia="宋体" w:cs="Times New Roman"/>
                <w:kern w:val="0"/>
                <w:szCs w:val="21"/>
                <w:lang w:bidi="ar"/>
              </w:rPr>
            </w:pPr>
            <w:r>
              <w:rPr>
                <w:rFonts w:hint="eastAsia" w:ascii="宋体" w:hAnsi="宋体" w:eastAsia="宋体" w:cs="Times New Roman"/>
                <w:szCs w:val="21"/>
              </w:rPr>
              <w:t>具备该功能应该有抗干扰功能及合理的寿命</w:t>
            </w:r>
          </w:p>
        </w:tc>
      </w:tr>
      <w:tr>
        <w:tblPrEx>
          <w:tblCellMar>
            <w:top w:w="0" w:type="dxa"/>
            <w:left w:w="108" w:type="dxa"/>
            <w:bottom w:w="0" w:type="dxa"/>
            <w:right w:w="108" w:type="dxa"/>
          </w:tblCellMar>
        </w:tblPrEx>
        <w:trPr>
          <w:trHeight w:val="782" w:hRule="atLeast"/>
          <w:jc w:val="center"/>
        </w:trPr>
        <w:tc>
          <w:tcPr>
            <w:tcW w:w="704" w:type="dxa"/>
            <w:tcBorders>
              <w:top w:val="nil"/>
              <w:left w:val="single" w:color="auto" w:sz="4" w:space="0"/>
              <w:bottom w:val="single" w:color="auto" w:sz="4" w:space="0"/>
              <w:right w:val="single" w:color="auto" w:sz="4" w:space="0"/>
            </w:tcBorders>
            <w:noWrap/>
            <w:vAlign w:val="center"/>
          </w:tcPr>
          <w:p>
            <w:pPr>
              <w:widowControl/>
              <w:jc w:val="center"/>
              <w:textAlignment w:val="top"/>
              <w:rPr>
                <w:rFonts w:hint="eastAsia" w:ascii="宋体" w:hAnsi="宋体" w:eastAsia="宋体" w:cs="Times New Roman"/>
                <w:szCs w:val="21"/>
              </w:rPr>
            </w:pPr>
            <w:r>
              <w:rPr>
                <w:rFonts w:hint="eastAsia" w:ascii="宋体" w:hAnsi="宋体" w:eastAsia="宋体" w:cs="Times New Roman"/>
                <w:szCs w:val="21"/>
              </w:rPr>
              <w:t>3</w:t>
            </w:r>
          </w:p>
        </w:tc>
        <w:tc>
          <w:tcPr>
            <w:tcW w:w="1985" w:type="dxa"/>
            <w:tcBorders>
              <w:top w:val="nil"/>
              <w:left w:val="nil"/>
              <w:bottom w:val="single" w:color="auto" w:sz="4" w:space="0"/>
              <w:right w:val="single" w:color="auto" w:sz="4" w:space="0"/>
            </w:tcBorders>
            <w:noWrap/>
            <w:vAlign w:val="center"/>
          </w:tcPr>
          <w:p>
            <w:pPr>
              <w:widowControl/>
              <w:jc w:val="center"/>
              <w:textAlignment w:val="top"/>
              <w:rPr>
                <w:rFonts w:hint="eastAsia" w:ascii="宋体" w:hAnsi="宋体" w:eastAsia="宋体" w:cs="Times New Roman"/>
                <w:szCs w:val="21"/>
              </w:rPr>
            </w:pPr>
            <w:r>
              <w:rPr>
                <w:rFonts w:hint="eastAsia" w:ascii="宋体" w:hAnsi="宋体" w:eastAsia="宋体" w:cs="Times New Roman"/>
                <w:szCs w:val="21"/>
              </w:rPr>
              <w:t>阀门隔热性能</w:t>
            </w:r>
          </w:p>
        </w:tc>
        <w:tc>
          <w:tcPr>
            <w:tcW w:w="2409" w:type="dxa"/>
            <w:tcBorders>
              <w:top w:val="nil"/>
              <w:left w:val="nil"/>
              <w:bottom w:val="single" w:color="auto" w:sz="4" w:space="0"/>
              <w:right w:val="single" w:color="auto" w:sz="4" w:space="0"/>
            </w:tcBorders>
            <w:vAlign w:val="center"/>
          </w:tcPr>
          <w:p>
            <w:pPr>
              <w:widowControl/>
              <w:jc w:val="left"/>
              <w:textAlignment w:val="top"/>
              <w:rPr>
                <w:rFonts w:hint="eastAsia" w:ascii="宋体" w:hAnsi="宋体" w:eastAsia="宋体" w:cs="Times New Roman"/>
                <w:szCs w:val="21"/>
              </w:rPr>
            </w:pPr>
            <w:r>
              <w:rPr>
                <w:rFonts w:hint="eastAsia" w:ascii="宋体" w:hAnsi="宋体" w:eastAsia="宋体" w:cs="Times New Roman"/>
                <w:szCs w:val="21"/>
              </w:rPr>
              <w:t>阀门关闭后其背火面平均温升≤140℃，最大温升≤180℃。</w:t>
            </w:r>
          </w:p>
        </w:tc>
        <w:tc>
          <w:tcPr>
            <w:tcW w:w="3119" w:type="dxa"/>
            <w:tcBorders>
              <w:top w:val="nil"/>
              <w:left w:val="nil"/>
              <w:bottom w:val="single" w:color="auto" w:sz="4" w:space="0"/>
              <w:right w:val="single" w:color="auto" w:sz="4" w:space="0"/>
            </w:tcBorders>
            <w:vAlign w:val="center"/>
          </w:tcPr>
          <w:p>
            <w:pPr>
              <w:widowControl/>
              <w:jc w:val="left"/>
              <w:textAlignment w:val="top"/>
              <w:rPr>
                <w:rFonts w:hint="eastAsia" w:ascii="宋体" w:hAnsi="宋体" w:eastAsia="宋体" w:cs="Times New Roman"/>
                <w:szCs w:val="21"/>
              </w:rPr>
            </w:pPr>
            <w:r>
              <w:rPr>
                <w:rFonts w:hint="eastAsia" w:ascii="宋体" w:hAnsi="宋体" w:eastAsia="宋体" w:cs="Times New Roman"/>
                <w:szCs w:val="21"/>
              </w:rPr>
              <w:t>1.在远离测试炉侧的风阀法兰上至少布置4个温度测点，在阀片关闭后的背火面至少布置3个温度测点；</w:t>
            </w:r>
          </w:p>
          <w:p>
            <w:pPr>
              <w:widowControl/>
              <w:jc w:val="left"/>
              <w:textAlignment w:val="top"/>
              <w:rPr>
                <w:rFonts w:hint="eastAsia" w:ascii="宋体" w:hAnsi="宋体" w:eastAsia="宋体" w:cs="Times New Roman"/>
                <w:kern w:val="0"/>
                <w:szCs w:val="21"/>
                <w:lang w:bidi="ar"/>
              </w:rPr>
            </w:pPr>
            <w:r>
              <w:rPr>
                <w:rFonts w:hint="eastAsia" w:ascii="宋体" w:hAnsi="宋体" w:eastAsia="宋体" w:cs="Times New Roman"/>
                <w:szCs w:val="21"/>
              </w:rPr>
              <w:t>2.在耐火测试过程中，所有测点的平均温升不超过140℃,任何测点的最大温升不超过180℃；满足以上要求，得2</w:t>
            </w:r>
            <w:r>
              <w:rPr>
                <w:rFonts w:ascii="宋体" w:hAnsi="宋体" w:eastAsia="宋体" w:cs="Times New Roman"/>
                <w:szCs w:val="21"/>
              </w:rPr>
              <w:t>分。</w:t>
            </w:r>
          </w:p>
        </w:tc>
        <w:tc>
          <w:tcPr>
            <w:tcW w:w="709" w:type="dxa"/>
            <w:tcBorders>
              <w:top w:val="nil"/>
              <w:left w:val="nil"/>
              <w:bottom w:val="single" w:color="auto" w:sz="4" w:space="0"/>
              <w:right w:val="single" w:color="auto" w:sz="4" w:space="0"/>
            </w:tcBorders>
            <w:noWrap/>
            <w:vAlign w:val="center"/>
          </w:tcPr>
          <w:p>
            <w:pPr>
              <w:widowControl/>
              <w:jc w:val="center"/>
              <w:textAlignment w:val="top"/>
              <w:rPr>
                <w:rFonts w:hint="eastAsia" w:ascii="宋体" w:hAnsi="宋体" w:eastAsia="宋体" w:cs="Times New Roman"/>
                <w:szCs w:val="21"/>
              </w:rPr>
            </w:pPr>
            <w:r>
              <w:rPr>
                <w:rFonts w:hint="eastAsia" w:ascii="宋体" w:hAnsi="宋体" w:eastAsia="宋体" w:cs="Times New Roman"/>
                <w:szCs w:val="21"/>
              </w:rPr>
              <w:t>1.0</w:t>
            </w:r>
          </w:p>
        </w:tc>
        <w:tc>
          <w:tcPr>
            <w:tcW w:w="5103" w:type="dxa"/>
            <w:tcBorders>
              <w:top w:val="nil"/>
              <w:left w:val="nil"/>
              <w:bottom w:val="single" w:color="auto" w:sz="4" w:space="0"/>
              <w:right w:val="single" w:color="auto" w:sz="4" w:space="0"/>
            </w:tcBorders>
            <w:vAlign w:val="center"/>
          </w:tcPr>
          <w:p>
            <w:pPr>
              <w:widowControl/>
              <w:jc w:val="left"/>
              <w:textAlignment w:val="top"/>
              <w:rPr>
                <w:rFonts w:hint="eastAsia" w:ascii="宋体" w:hAnsi="宋体" w:eastAsia="宋体" w:cs="Times New Roman"/>
                <w:kern w:val="0"/>
                <w:szCs w:val="21"/>
                <w:lang w:bidi="ar"/>
              </w:rPr>
            </w:pPr>
          </w:p>
        </w:tc>
      </w:tr>
      <w:tr>
        <w:tblPrEx>
          <w:tblCellMar>
            <w:top w:w="0" w:type="dxa"/>
            <w:left w:w="108" w:type="dxa"/>
            <w:bottom w:w="0" w:type="dxa"/>
            <w:right w:w="108" w:type="dxa"/>
          </w:tblCellMar>
        </w:tblPrEx>
        <w:trPr>
          <w:trHeight w:val="1090" w:hRule="atLeast"/>
          <w:jc w:val="center"/>
        </w:trPr>
        <w:tc>
          <w:tcPr>
            <w:tcW w:w="704" w:type="dxa"/>
            <w:tcBorders>
              <w:top w:val="nil"/>
              <w:left w:val="single" w:color="auto" w:sz="4" w:space="0"/>
              <w:bottom w:val="single" w:color="auto" w:sz="4" w:space="0"/>
              <w:right w:val="single" w:color="auto" w:sz="4" w:space="0"/>
            </w:tcBorders>
            <w:noWrap/>
            <w:vAlign w:val="center"/>
          </w:tcPr>
          <w:p>
            <w:pPr>
              <w:widowControl/>
              <w:jc w:val="center"/>
              <w:textAlignment w:val="top"/>
              <w:rPr>
                <w:rFonts w:hint="eastAsia" w:ascii="宋体" w:hAnsi="宋体" w:eastAsia="宋体" w:cs="Times New Roman"/>
                <w:szCs w:val="21"/>
              </w:rPr>
            </w:pPr>
            <w:r>
              <w:rPr>
                <w:rFonts w:hint="eastAsia" w:ascii="宋体" w:hAnsi="宋体" w:eastAsia="宋体" w:cs="Times New Roman"/>
                <w:szCs w:val="21"/>
              </w:rPr>
              <w:t>4</w:t>
            </w:r>
          </w:p>
        </w:tc>
        <w:tc>
          <w:tcPr>
            <w:tcW w:w="1985" w:type="dxa"/>
            <w:tcBorders>
              <w:top w:val="nil"/>
              <w:left w:val="nil"/>
              <w:bottom w:val="single" w:color="auto" w:sz="4" w:space="0"/>
              <w:right w:val="single" w:color="auto" w:sz="4" w:space="0"/>
            </w:tcBorders>
            <w:noWrap/>
            <w:vAlign w:val="center"/>
          </w:tcPr>
          <w:p>
            <w:pPr>
              <w:widowControl/>
              <w:jc w:val="center"/>
              <w:textAlignment w:val="top"/>
              <w:rPr>
                <w:rFonts w:hint="eastAsia" w:ascii="宋体" w:hAnsi="宋体" w:eastAsia="宋体" w:cs="Times New Roman"/>
                <w:szCs w:val="21"/>
              </w:rPr>
            </w:pPr>
            <w:r>
              <w:rPr>
                <w:rFonts w:hint="eastAsia" w:ascii="宋体" w:hAnsi="宋体" w:eastAsia="宋体" w:cs="Times New Roman"/>
                <w:szCs w:val="21"/>
              </w:rPr>
              <w:t>阀体泄漏量</w:t>
            </w:r>
          </w:p>
        </w:tc>
        <w:tc>
          <w:tcPr>
            <w:tcW w:w="2409" w:type="dxa"/>
            <w:tcBorders>
              <w:top w:val="nil"/>
              <w:left w:val="nil"/>
              <w:bottom w:val="single" w:color="auto" w:sz="4" w:space="0"/>
              <w:right w:val="single" w:color="auto" w:sz="4" w:space="0"/>
            </w:tcBorders>
            <w:vAlign w:val="center"/>
          </w:tcPr>
          <w:p>
            <w:pPr>
              <w:widowControl/>
              <w:jc w:val="left"/>
              <w:textAlignment w:val="top"/>
              <w:rPr>
                <w:rFonts w:hint="eastAsia" w:ascii="宋体" w:hAnsi="宋体" w:eastAsia="宋体" w:cs="Times New Roman"/>
                <w:szCs w:val="21"/>
              </w:rPr>
            </w:pPr>
            <w:r>
              <w:rPr>
                <w:rFonts w:hint="eastAsia" w:ascii="宋体" w:hAnsi="宋体" w:eastAsia="宋体" w:cs="Times New Roman"/>
                <w:szCs w:val="21"/>
              </w:rPr>
              <w:t>在环境温度下的阀体泄漏量</w:t>
            </w:r>
          </w:p>
        </w:tc>
        <w:tc>
          <w:tcPr>
            <w:tcW w:w="3119" w:type="dxa"/>
            <w:tcBorders>
              <w:top w:val="nil"/>
              <w:left w:val="nil"/>
              <w:bottom w:val="single" w:color="auto" w:sz="4" w:space="0"/>
              <w:right w:val="single" w:color="auto" w:sz="4" w:space="0"/>
            </w:tcBorders>
            <w:vAlign w:val="center"/>
          </w:tcPr>
          <w:p>
            <w:pPr>
              <w:widowControl/>
              <w:jc w:val="left"/>
              <w:textAlignment w:val="top"/>
              <w:rPr>
                <w:rFonts w:hint="eastAsia" w:ascii="宋体" w:hAnsi="宋体" w:eastAsia="宋体" w:cs="Times New Roman"/>
                <w:kern w:val="0"/>
                <w:szCs w:val="21"/>
                <w:lang w:bidi="ar"/>
              </w:rPr>
            </w:pPr>
            <w:r>
              <w:rPr>
                <w:rFonts w:hint="eastAsia" w:ascii="宋体" w:hAnsi="宋体" w:eastAsia="宋体" w:cs="Times New Roman"/>
                <w:szCs w:val="21"/>
              </w:rPr>
              <w:t>拟制造的最大阀门环境温度下阀体漏风量，均满足JG/T 436-2014中C级阀体泄漏量要求，满足得1</w:t>
            </w:r>
            <w:r>
              <w:rPr>
                <w:rFonts w:ascii="宋体" w:hAnsi="宋体" w:eastAsia="宋体" w:cs="Times New Roman"/>
                <w:szCs w:val="21"/>
              </w:rPr>
              <w:t>分。</w:t>
            </w:r>
          </w:p>
        </w:tc>
        <w:tc>
          <w:tcPr>
            <w:tcW w:w="709" w:type="dxa"/>
            <w:tcBorders>
              <w:top w:val="nil"/>
              <w:left w:val="nil"/>
              <w:bottom w:val="single" w:color="auto" w:sz="4" w:space="0"/>
              <w:right w:val="single" w:color="auto" w:sz="4" w:space="0"/>
            </w:tcBorders>
            <w:noWrap/>
            <w:vAlign w:val="center"/>
          </w:tcPr>
          <w:p>
            <w:pPr>
              <w:widowControl/>
              <w:jc w:val="center"/>
              <w:textAlignment w:val="top"/>
              <w:rPr>
                <w:rFonts w:hint="eastAsia" w:ascii="宋体" w:hAnsi="宋体" w:eastAsia="宋体" w:cs="Times New Roman"/>
                <w:szCs w:val="21"/>
              </w:rPr>
            </w:pPr>
            <w:r>
              <w:rPr>
                <w:rFonts w:hint="eastAsia" w:ascii="宋体" w:hAnsi="宋体" w:eastAsia="宋体" w:cs="Times New Roman"/>
                <w:szCs w:val="21"/>
              </w:rPr>
              <w:t>1.0</w:t>
            </w:r>
          </w:p>
        </w:tc>
        <w:tc>
          <w:tcPr>
            <w:tcW w:w="5103" w:type="dxa"/>
            <w:tcBorders>
              <w:top w:val="nil"/>
              <w:left w:val="nil"/>
              <w:bottom w:val="single" w:color="auto" w:sz="4" w:space="0"/>
              <w:right w:val="single" w:color="auto" w:sz="4" w:space="0"/>
            </w:tcBorders>
            <w:vAlign w:val="center"/>
          </w:tcPr>
          <w:p>
            <w:pPr>
              <w:widowControl/>
              <w:jc w:val="left"/>
              <w:textAlignment w:val="top"/>
              <w:rPr>
                <w:rFonts w:hint="eastAsia" w:ascii="宋体" w:hAnsi="宋体" w:eastAsia="宋体" w:cs="Times New Roman"/>
                <w:kern w:val="0"/>
                <w:szCs w:val="21"/>
                <w:lang w:bidi="ar"/>
              </w:rPr>
            </w:pPr>
          </w:p>
        </w:tc>
      </w:tr>
      <w:tr>
        <w:tblPrEx>
          <w:tblCellMar>
            <w:top w:w="0" w:type="dxa"/>
            <w:left w:w="108" w:type="dxa"/>
            <w:bottom w:w="0" w:type="dxa"/>
            <w:right w:w="108" w:type="dxa"/>
          </w:tblCellMar>
        </w:tblPrEx>
        <w:trPr>
          <w:trHeight w:val="1374" w:hRule="atLeast"/>
          <w:jc w:val="center"/>
        </w:trPr>
        <w:tc>
          <w:tcPr>
            <w:tcW w:w="704" w:type="dxa"/>
            <w:tcBorders>
              <w:top w:val="nil"/>
              <w:left w:val="single" w:color="auto" w:sz="4" w:space="0"/>
              <w:bottom w:val="single" w:color="auto" w:sz="4" w:space="0"/>
              <w:right w:val="single" w:color="auto" w:sz="4" w:space="0"/>
            </w:tcBorders>
            <w:noWrap/>
            <w:vAlign w:val="center"/>
          </w:tcPr>
          <w:p>
            <w:pPr>
              <w:widowControl/>
              <w:jc w:val="center"/>
              <w:textAlignment w:val="top"/>
              <w:rPr>
                <w:rFonts w:hint="eastAsia" w:ascii="宋体" w:hAnsi="宋体" w:eastAsia="宋体" w:cs="Times New Roman"/>
                <w:szCs w:val="21"/>
              </w:rPr>
            </w:pPr>
            <w:r>
              <w:rPr>
                <w:rFonts w:hint="eastAsia" w:ascii="宋体" w:hAnsi="宋体" w:eastAsia="宋体" w:cs="Times New Roman"/>
                <w:szCs w:val="21"/>
              </w:rPr>
              <w:t>5</w:t>
            </w:r>
          </w:p>
        </w:tc>
        <w:tc>
          <w:tcPr>
            <w:tcW w:w="1985" w:type="dxa"/>
            <w:tcBorders>
              <w:top w:val="nil"/>
              <w:left w:val="nil"/>
              <w:bottom w:val="single" w:color="auto" w:sz="4" w:space="0"/>
              <w:right w:val="single" w:color="auto" w:sz="4" w:space="0"/>
            </w:tcBorders>
            <w:noWrap/>
            <w:vAlign w:val="center"/>
          </w:tcPr>
          <w:p>
            <w:pPr>
              <w:widowControl/>
              <w:jc w:val="center"/>
              <w:textAlignment w:val="top"/>
              <w:rPr>
                <w:rFonts w:hint="eastAsia" w:ascii="宋体" w:hAnsi="宋体" w:eastAsia="宋体" w:cs="Times New Roman"/>
                <w:szCs w:val="21"/>
              </w:rPr>
            </w:pPr>
            <w:r>
              <w:rPr>
                <w:rFonts w:hint="eastAsia" w:ascii="宋体" w:hAnsi="宋体" w:eastAsia="宋体" w:cs="Times New Roman"/>
                <w:szCs w:val="21"/>
              </w:rPr>
              <w:t>电子温感器控制</w:t>
            </w:r>
          </w:p>
        </w:tc>
        <w:tc>
          <w:tcPr>
            <w:tcW w:w="2409" w:type="dxa"/>
            <w:tcBorders>
              <w:top w:val="nil"/>
              <w:left w:val="nil"/>
              <w:bottom w:val="single" w:color="auto" w:sz="4" w:space="0"/>
              <w:right w:val="single" w:color="auto" w:sz="4" w:space="0"/>
            </w:tcBorders>
            <w:vAlign w:val="center"/>
          </w:tcPr>
          <w:p>
            <w:pPr>
              <w:widowControl/>
              <w:jc w:val="left"/>
              <w:textAlignment w:val="top"/>
              <w:rPr>
                <w:rFonts w:hint="eastAsia" w:ascii="宋体" w:hAnsi="宋体" w:eastAsia="宋体" w:cs="Times New Roman"/>
                <w:szCs w:val="21"/>
              </w:rPr>
            </w:pPr>
            <w:r>
              <w:rPr>
                <w:rFonts w:hint="eastAsia" w:ascii="宋体" w:hAnsi="宋体" w:eastAsia="宋体" w:cs="Times New Roman"/>
                <w:szCs w:val="21"/>
              </w:rPr>
              <w:t>电子式温感器为高性能</w:t>
            </w:r>
          </w:p>
        </w:tc>
        <w:tc>
          <w:tcPr>
            <w:tcW w:w="3119" w:type="dxa"/>
            <w:tcBorders>
              <w:top w:val="nil"/>
              <w:left w:val="nil"/>
              <w:bottom w:val="single" w:color="auto" w:sz="4" w:space="0"/>
              <w:right w:val="single" w:color="auto" w:sz="4" w:space="0"/>
            </w:tcBorders>
          </w:tcPr>
          <w:p>
            <w:pPr>
              <w:widowControl/>
              <w:jc w:val="left"/>
              <w:textAlignment w:val="top"/>
              <w:rPr>
                <w:rFonts w:hint="eastAsia" w:ascii="宋体" w:hAnsi="宋体" w:eastAsia="宋体" w:cs="Times New Roman"/>
                <w:szCs w:val="21"/>
              </w:rPr>
            </w:pPr>
            <w:r>
              <w:rPr>
                <w:rFonts w:hint="eastAsia" w:ascii="宋体" w:hAnsi="宋体" w:eastAsia="宋体" w:cs="Times New Roman"/>
                <w:szCs w:val="21"/>
              </w:rPr>
              <w:t>1.电子式温感器可分别测管道内外温度的双温感器；</w:t>
            </w:r>
          </w:p>
          <w:p>
            <w:pPr>
              <w:widowControl/>
              <w:jc w:val="left"/>
              <w:textAlignment w:val="top"/>
              <w:rPr>
                <w:rFonts w:hint="eastAsia" w:ascii="宋体" w:hAnsi="宋体" w:eastAsia="宋体" w:cs="Times New Roman"/>
                <w:szCs w:val="21"/>
              </w:rPr>
            </w:pPr>
            <w:r>
              <w:rPr>
                <w:rFonts w:hint="eastAsia" w:ascii="宋体" w:hAnsi="宋体" w:eastAsia="宋体" w:cs="Times New Roman"/>
                <w:szCs w:val="21"/>
              </w:rPr>
              <w:t>2.电子式温感器可手动复位且多次使用的；</w:t>
            </w:r>
          </w:p>
          <w:p>
            <w:pPr>
              <w:widowControl/>
              <w:jc w:val="left"/>
              <w:textAlignment w:val="top"/>
              <w:rPr>
                <w:rFonts w:hint="eastAsia" w:ascii="宋体" w:hAnsi="宋体" w:eastAsia="宋体" w:cs="Times New Roman"/>
                <w:szCs w:val="21"/>
              </w:rPr>
            </w:pPr>
            <w:r>
              <w:rPr>
                <w:rFonts w:hint="eastAsia" w:ascii="宋体" w:hAnsi="宋体" w:eastAsia="宋体" w:cs="Times New Roman"/>
                <w:szCs w:val="21"/>
              </w:rPr>
              <w:t>3.电子式温感器带有"测试"功能的；</w:t>
            </w:r>
          </w:p>
          <w:p>
            <w:pPr>
              <w:widowControl/>
              <w:jc w:val="left"/>
              <w:textAlignment w:val="top"/>
              <w:rPr>
                <w:rFonts w:hint="eastAsia" w:ascii="宋体" w:hAnsi="宋体" w:eastAsia="宋体" w:cs="Times New Roman"/>
                <w:szCs w:val="21"/>
              </w:rPr>
            </w:pPr>
            <w:r>
              <w:rPr>
                <w:rFonts w:hint="eastAsia" w:ascii="宋体" w:hAnsi="宋体" w:eastAsia="宋体" w:cs="Times New Roman"/>
                <w:szCs w:val="21"/>
              </w:rPr>
              <w:t>能满足以上不低于两个功能的得2</w:t>
            </w:r>
            <w:r>
              <w:rPr>
                <w:rFonts w:ascii="宋体" w:hAnsi="宋体" w:eastAsia="宋体" w:cs="Times New Roman"/>
                <w:szCs w:val="21"/>
              </w:rPr>
              <w:t>分，仅有</w:t>
            </w:r>
            <w:r>
              <w:rPr>
                <w:rFonts w:hint="eastAsia" w:ascii="宋体" w:hAnsi="宋体" w:eastAsia="宋体" w:cs="Times New Roman"/>
                <w:szCs w:val="21"/>
              </w:rPr>
              <w:t>一项满足得1</w:t>
            </w:r>
            <w:r>
              <w:rPr>
                <w:rFonts w:ascii="宋体" w:hAnsi="宋体" w:eastAsia="宋体" w:cs="Times New Roman"/>
                <w:szCs w:val="21"/>
              </w:rPr>
              <w:t>分。</w:t>
            </w:r>
          </w:p>
        </w:tc>
        <w:tc>
          <w:tcPr>
            <w:tcW w:w="709" w:type="dxa"/>
            <w:tcBorders>
              <w:top w:val="nil"/>
              <w:left w:val="nil"/>
              <w:bottom w:val="single" w:color="auto" w:sz="4" w:space="0"/>
              <w:right w:val="single" w:color="auto" w:sz="4" w:space="0"/>
            </w:tcBorders>
            <w:noWrap/>
            <w:vAlign w:val="center"/>
          </w:tcPr>
          <w:p>
            <w:pPr>
              <w:widowControl/>
              <w:jc w:val="center"/>
              <w:textAlignment w:val="top"/>
              <w:rPr>
                <w:rFonts w:hint="eastAsia" w:ascii="宋体" w:hAnsi="宋体" w:eastAsia="宋体" w:cs="Times New Roman"/>
                <w:szCs w:val="21"/>
              </w:rPr>
            </w:pPr>
            <w:r>
              <w:rPr>
                <w:rFonts w:hint="eastAsia" w:ascii="宋体" w:hAnsi="宋体" w:eastAsia="宋体" w:cs="Times New Roman"/>
                <w:szCs w:val="21"/>
              </w:rPr>
              <w:t>1.0</w:t>
            </w:r>
          </w:p>
        </w:tc>
        <w:tc>
          <w:tcPr>
            <w:tcW w:w="5103" w:type="dxa"/>
            <w:tcBorders>
              <w:top w:val="nil"/>
              <w:left w:val="nil"/>
              <w:bottom w:val="single" w:color="auto" w:sz="4" w:space="0"/>
              <w:right w:val="single" w:color="auto" w:sz="4" w:space="0"/>
            </w:tcBorders>
            <w:vAlign w:val="center"/>
          </w:tcPr>
          <w:p>
            <w:pPr>
              <w:widowControl/>
              <w:jc w:val="left"/>
              <w:textAlignment w:val="top"/>
              <w:rPr>
                <w:rFonts w:hint="eastAsia" w:ascii="宋体" w:hAnsi="宋体" w:eastAsia="宋体" w:cs="Times New Roman"/>
                <w:szCs w:val="21"/>
              </w:rPr>
            </w:pPr>
          </w:p>
        </w:tc>
      </w:tr>
    </w:tbl>
    <w:p>
      <w:pPr>
        <w:widowControl/>
        <w:jc w:val="left"/>
        <w:rPr>
          <w:rFonts w:eastAsia="宋体" w:cs="Times New Roman"/>
          <w:b/>
          <w:bCs/>
          <w:szCs w:val="28"/>
        </w:rPr>
      </w:pPr>
      <w:r>
        <w:rPr>
          <w:rFonts w:eastAsia="宋体" w:cs="Times New Roman"/>
          <w:b/>
          <w:bCs/>
          <w:szCs w:val="28"/>
        </w:rPr>
        <w:br w:type="page"/>
      </w:r>
    </w:p>
    <w:p>
      <w:pPr>
        <w:rPr>
          <w:rFonts w:hint="eastAsia" w:asciiTheme="minorEastAsia" w:hAnsiTheme="minorEastAsia"/>
        </w:rPr>
      </w:pPr>
      <w:bookmarkStart w:id="44" w:name="_Toc206758001"/>
      <w:bookmarkStart w:id="45" w:name="_Toc206760191"/>
      <w:r>
        <w:t>4.2.</w:t>
      </w:r>
      <w:r>
        <w:rPr>
          <w:rFonts w:hint="eastAsia"/>
        </w:rPr>
        <w:t>2</w:t>
      </w:r>
      <w:r>
        <w:t xml:space="preserve"> </w:t>
      </w:r>
      <w:r>
        <w:rPr>
          <w:rFonts w:hint="eastAsia"/>
        </w:rPr>
        <w:t>排烟</w:t>
      </w:r>
      <w:r>
        <w:t>阀</w:t>
      </w:r>
      <w:r>
        <w:rPr>
          <w:rFonts w:hint="eastAsia"/>
        </w:rPr>
        <w:t>、正压送风阀</w:t>
      </w:r>
      <w:bookmarkEnd w:id="44"/>
      <w:bookmarkEnd w:id="45"/>
      <w:r>
        <w:rPr>
          <w:rFonts w:hint="eastAsia"/>
        </w:rPr>
        <w:t>的</w:t>
      </w:r>
      <w:r>
        <w:rPr>
          <w:rFonts w:hint="eastAsia" w:asciiTheme="minorEastAsia" w:hAnsiTheme="minorEastAsia"/>
        </w:rPr>
        <w:t>控制项评定、评分项评定、优选项评定，应分别符合表</w:t>
      </w:r>
      <w:r>
        <w:rPr>
          <w:rFonts w:cs="Times New Roman"/>
        </w:rPr>
        <w:t>4.2.</w:t>
      </w:r>
      <w:r>
        <w:rPr>
          <w:rFonts w:hint="eastAsia" w:cs="Times New Roman"/>
        </w:rPr>
        <w:t>2-</w:t>
      </w:r>
      <w:r>
        <w:rPr>
          <w:rFonts w:cs="Times New Roman"/>
        </w:rPr>
        <w:t>1</w:t>
      </w:r>
      <w:r>
        <w:rPr>
          <w:rFonts w:hint="eastAsia" w:asciiTheme="minorEastAsia" w:hAnsiTheme="minorEastAsia"/>
        </w:rPr>
        <w:t>、表</w:t>
      </w:r>
      <w:r>
        <w:rPr>
          <w:rFonts w:cs="Times New Roman"/>
        </w:rPr>
        <w:t>4.2.</w:t>
      </w:r>
      <w:r>
        <w:rPr>
          <w:rFonts w:hint="eastAsia" w:cs="Times New Roman"/>
        </w:rPr>
        <w:t>2-</w:t>
      </w:r>
      <w:r>
        <w:rPr>
          <w:rFonts w:cs="Times New Roman"/>
        </w:rPr>
        <w:t>2</w:t>
      </w:r>
      <w:r>
        <w:rPr>
          <w:rFonts w:hint="eastAsia" w:asciiTheme="minorEastAsia" w:hAnsiTheme="minorEastAsia"/>
        </w:rPr>
        <w:t>、表</w:t>
      </w:r>
      <w:r>
        <w:rPr>
          <w:rFonts w:cs="Times New Roman"/>
        </w:rPr>
        <w:t>4.2.</w:t>
      </w:r>
      <w:r>
        <w:rPr>
          <w:rFonts w:hint="eastAsia" w:cs="Times New Roman"/>
        </w:rPr>
        <w:t>2-</w:t>
      </w:r>
      <w:r>
        <w:rPr>
          <w:rFonts w:cs="Times New Roman"/>
        </w:rPr>
        <w:t>3</w:t>
      </w:r>
      <w:r>
        <w:rPr>
          <w:rFonts w:hint="eastAsia" w:cs="Times New Roman"/>
        </w:rPr>
        <w:t>的规定</w:t>
      </w:r>
      <w:r>
        <w:rPr>
          <w:rFonts w:hint="eastAsia" w:asciiTheme="minorEastAsia" w:hAnsiTheme="minorEastAsia"/>
        </w:rPr>
        <w:t>。</w:t>
      </w:r>
    </w:p>
    <w:p>
      <w:pPr>
        <w:jc w:val="center"/>
      </w:pPr>
      <w:bookmarkStart w:id="46" w:name="OLE_LINK12"/>
      <w:r>
        <w:rPr>
          <w:rFonts w:hint="eastAsia"/>
          <w:b/>
          <w:bCs/>
        </w:rPr>
        <w:t>表4.2.2-1排烟</w:t>
      </w:r>
      <w:r>
        <w:rPr>
          <w:b/>
          <w:bCs/>
        </w:rPr>
        <w:t>阀</w:t>
      </w:r>
      <w:r>
        <w:rPr>
          <w:rFonts w:hint="eastAsia"/>
          <w:b/>
          <w:bCs/>
        </w:rPr>
        <w:t>、正压送风控制项评定表</w:t>
      </w:r>
    </w:p>
    <w:bookmarkEnd w:id="46"/>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1984"/>
        <w:gridCol w:w="2694"/>
        <w:gridCol w:w="2268"/>
        <w:gridCol w:w="60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blHeader/>
        </w:trPr>
        <w:tc>
          <w:tcPr>
            <w:tcW w:w="704" w:type="dxa"/>
            <w:noWrap/>
            <w:vAlign w:val="center"/>
          </w:tcPr>
          <w:p>
            <w:pPr>
              <w:jc w:val="center"/>
              <w:rPr>
                <w:rFonts w:ascii="Calibri" w:hAnsi="Calibri"/>
                <w:b/>
                <w:bCs/>
              </w:rPr>
            </w:pPr>
            <w:r>
              <w:rPr>
                <w:rFonts w:hint="eastAsia" w:ascii="Calibri" w:hAnsi="Calibri"/>
                <w:b/>
                <w:bCs/>
              </w:rPr>
              <w:t>序号</w:t>
            </w:r>
          </w:p>
        </w:tc>
        <w:tc>
          <w:tcPr>
            <w:tcW w:w="1984" w:type="dxa"/>
            <w:noWrap/>
            <w:vAlign w:val="center"/>
          </w:tcPr>
          <w:p>
            <w:pPr>
              <w:jc w:val="center"/>
              <w:rPr>
                <w:rFonts w:ascii="Calibri" w:hAnsi="Calibri"/>
                <w:b/>
                <w:bCs/>
              </w:rPr>
            </w:pPr>
            <w:r>
              <w:rPr>
                <w:rFonts w:hint="eastAsia" w:ascii="Calibri" w:hAnsi="Calibri"/>
                <w:b/>
                <w:bCs/>
              </w:rPr>
              <w:t>评定指标</w:t>
            </w:r>
          </w:p>
        </w:tc>
        <w:tc>
          <w:tcPr>
            <w:tcW w:w="2694" w:type="dxa"/>
            <w:noWrap/>
            <w:vAlign w:val="center"/>
          </w:tcPr>
          <w:p>
            <w:pPr>
              <w:jc w:val="center"/>
              <w:rPr>
                <w:rFonts w:ascii="Calibri" w:hAnsi="Calibri"/>
                <w:b/>
                <w:bCs/>
              </w:rPr>
            </w:pPr>
            <w:r>
              <w:rPr>
                <w:rFonts w:hint="eastAsia" w:ascii="Calibri" w:hAnsi="Calibri"/>
                <w:b/>
                <w:bCs/>
              </w:rPr>
              <w:t>控制项</w:t>
            </w:r>
          </w:p>
        </w:tc>
        <w:tc>
          <w:tcPr>
            <w:tcW w:w="2268" w:type="dxa"/>
            <w:noWrap/>
            <w:vAlign w:val="center"/>
          </w:tcPr>
          <w:p>
            <w:pPr>
              <w:jc w:val="center"/>
              <w:rPr>
                <w:rFonts w:ascii="Calibri" w:hAnsi="Calibri"/>
                <w:b/>
                <w:bCs/>
              </w:rPr>
            </w:pPr>
            <w:r>
              <w:rPr>
                <w:rFonts w:hint="eastAsia" w:ascii="Calibri" w:hAnsi="Calibri"/>
                <w:b/>
                <w:bCs/>
              </w:rPr>
              <w:t>评定方法</w:t>
            </w:r>
          </w:p>
        </w:tc>
        <w:tc>
          <w:tcPr>
            <w:tcW w:w="6095" w:type="dxa"/>
            <w:vAlign w:val="center"/>
          </w:tcPr>
          <w:p>
            <w:pPr>
              <w:jc w:val="center"/>
              <w:rPr>
                <w:rFonts w:ascii="Calibri" w:hAnsi="Calibri"/>
                <w:b/>
                <w:bCs/>
              </w:rPr>
            </w:pPr>
            <w:r>
              <w:rPr>
                <w:rFonts w:hint="eastAsia" w:ascii="Calibri" w:hAnsi="Calibri"/>
                <w:b/>
                <w:bCs/>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0" w:hRule="atLeast"/>
        </w:trPr>
        <w:tc>
          <w:tcPr>
            <w:tcW w:w="704" w:type="dxa"/>
            <w:noWrap/>
            <w:vAlign w:val="center"/>
          </w:tcPr>
          <w:p>
            <w:pPr>
              <w:jc w:val="center"/>
              <w:rPr>
                <w:rFonts w:ascii="Calibri" w:hAnsi="Calibri"/>
              </w:rPr>
            </w:pPr>
            <w:r>
              <w:rPr>
                <w:rFonts w:hint="eastAsia" w:ascii="Calibri" w:hAnsi="Calibri"/>
              </w:rPr>
              <w:t>1</w:t>
            </w:r>
          </w:p>
        </w:tc>
        <w:tc>
          <w:tcPr>
            <w:tcW w:w="1984" w:type="dxa"/>
            <w:vAlign w:val="center"/>
          </w:tcPr>
          <w:p>
            <w:pPr>
              <w:jc w:val="center"/>
              <w:rPr>
                <w:rFonts w:ascii="Calibri" w:hAnsi="Calibri"/>
              </w:rPr>
            </w:pPr>
            <w:r>
              <w:rPr>
                <w:rFonts w:hint="eastAsia" w:ascii="Calibri" w:hAnsi="Calibri"/>
              </w:rPr>
              <w:t>漏风量</w:t>
            </w:r>
          </w:p>
        </w:tc>
        <w:tc>
          <w:tcPr>
            <w:tcW w:w="2694" w:type="dxa"/>
            <w:vAlign w:val="center"/>
          </w:tcPr>
          <w:p>
            <w:pPr>
              <w:rPr>
                <w:rFonts w:ascii="Calibri" w:hAnsi="Calibri"/>
              </w:rPr>
            </w:pPr>
            <w:r>
              <w:rPr>
                <w:rFonts w:hint="eastAsia" w:ascii="Calibri" w:hAnsi="Calibri"/>
              </w:rPr>
              <w:t>满足</w:t>
            </w:r>
            <w:r>
              <w:rPr>
                <w:rFonts w:hint="eastAsia" w:ascii="宋体" w:hAnsi="宋体" w:eastAsia="宋体" w:cs="Times New Roman"/>
                <w:szCs w:val="21"/>
              </w:rPr>
              <w:t>《建筑通风和排烟系统用防火阀门》</w:t>
            </w:r>
            <w:r>
              <w:rPr>
                <w:rFonts w:hint="eastAsia" w:ascii="Calibri" w:hAnsi="Calibri"/>
              </w:rPr>
              <w:t>GB 15930 漏风量试验相关要求。</w:t>
            </w:r>
          </w:p>
        </w:tc>
        <w:tc>
          <w:tcPr>
            <w:tcW w:w="2268" w:type="dxa"/>
            <w:vAlign w:val="center"/>
          </w:tcPr>
          <w:p>
            <w:pPr>
              <w:jc w:val="center"/>
              <w:rPr>
                <w:rFonts w:ascii="Calibri" w:hAnsi="Calibri"/>
              </w:rPr>
            </w:pPr>
            <w:r>
              <w:rPr>
                <w:rFonts w:hint="eastAsia" w:ascii="宋体" w:hAnsi="宋体"/>
                <w:szCs w:val="21"/>
              </w:rPr>
              <w:t>不满足直接判定为</w:t>
            </w:r>
            <w:r>
              <w:rPr>
                <w:rFonts w:hint="eastAsia" w:ascii="宋体" w:hAnsi="宋体"/>
                <w:b/>
                <w:bCs/>
                <w:szCs w:val="21"/>
              </w:rPr>
              <w:t>D级</w:t>
            </w:r>
          </w:p>
        </w:tc>
        <w:tc>
          <w:tcPr>
            <w:tcW w:w="6095" w:type="dxa"/>
            <w:vAlign w:val="center"/>
          </w:tcPr>
          <w:p>
            <w:pPr>
              <w:rPr>
                <w:rFonts w:ascii="Calibri" w:hAnsi="Calibri"/>
              </w:rPr>
            </w:pPr>
            <w:r>
              <w:rPr>
                <w:rFonts w:hint="eastAsia" w:ascii="Calibri" w:hAnsi="Calibri"/>
              </w:rPr>
              <w:t>在环境温度下，使排烟阀两侧保持1000±15Pa的气体静压差，其单位面积的漏风量（标准状态）应不大于500m</w:t>
            </w:r>
            <w:r>
              <w:rPr>
                <w:rFonts w:hint="eastAsia" w:ascii="Calibri" w:hAnsi="Calibri"/>
                <w:vertAlign w:val="superscript"/>
              </w:rPr>
              <w:t>3</w:t>
            </w:r>
            <w:r>
              <w:rPr>
                <w:rFonts w:hint="eastAsia" w:ascii="Calibri" w:hAnsi="Calibri"/>
              </w:rPr>
              <w:t>/(m</w:t>
            </w:r>
            <w:r>
              <w:rPr>
                <w:rFonts w:hint="eastAsia" w:ascii="Calibri" w:hAnsi="Calibri"/>
                <w:vertAlign w:val="superscript"/>
              </w:rPr>
              <w:t>2</w:t>
            </w:r>
            <w:r>
              <w:rPr>
                <w:rFonts w:hint="eastAsia" w:ascii="Calibri" w:hAnsi="Calibri"/>
              </w:rPr>
              <w:t>.h)。</w:t>
            </w:r>
          </w:p>
          <w:p>
            <w:pPr>
              <w:rPr>
                <w:rFonts w:ascii="Calibri" w:hAnsi="Calibri"/>
              </w:rPr>
            </w:pPr>
            <w:r>
              <w:rPr>
                <w:rFonts w:hint="eastAsia" w:ascii="Calibri" w:hAnsi="Calibri"/>
              </w:rPr>
              <w:t>注：提供的检测报告要与实际供货单体阀最大尺寸及最小尺寸相同。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8" w:hRule="atLeast"/>
        </w:trPr>
        <w:tc>
          <w:tcPr>
            <w:tcW w:w="704" w:type="dxa"/>
            <w:noWrap/>
            <w:vAlign w:val="center"/>
          </w:tcPr>
          <w:p>
            <w:pPr>
              <w:jc w:val="center"/>
              <w:rPr>
                <w:rFonts w:ascii="Calibri" w:hAnsi="Calibri"/>
              </w:rPr>
            </w:pPr>
            <w:r>
              <w:rPr>
                <w:rFonts w:hint="eastAsia" w:ascii="Calibri" w:hAnsi="Calibri"/>
              </w:rPr>
              <w:t>2</w:t>
            </w:r>
          </w:p>
        </w:tc>
        <w:tc>
          <w:tcPr>
            <w:tcW w:w="1984" w:type="dxa"/>
            <w:vAlign w:val="center"/>
          </w:tcPr>
          <w:p>
            <w:pPr>
              <w:jc w:val="center"/>
              <w:rPr>
                <w:rFonts w:ascii="Calibri" w:hAnsi="Calibri"/>
              </w:rPr>
            </w:pPr>
            <w:r>
              <w:rPr>
                <w:rFonts w:hint="eastAsia" w:ascii="Calibri" w:hAnsi="Calibri"/>
              </w:rPr>
              <w:t>执行器的控制功能</w:t>
            </w:r>
          </w:p>
        </w:tc>
        <w:tc>
          <w:tcPr>
            <w:tcW w:w="2694" w:type="dxa"/>
            <w:vAlign w:val="center"/>
          </w:tcPr>
          <w:p>
            <w:pPr>
              <w:rPr>
                <w:rFonts w:ascii="Calibri" w:hAnsi="Calibri"/>
              </w:rPr>
            </w:pPr>
            <w:r>
              <w:rPr>
                <w:rFonts w:hint="eastAsia" w:ascii="Calibri" w:hAnsi="Calibri"/>
              </w:rPr>
              <w:t>满足《建筑通风和排烟系统用防火阀门》GB 15930复位功能试验相关的要求。</w:t>
            </w:r>
          </w:p>
        </w:tc>
        <w:tc>
          <w:tcPr>
            <w:tcW w:w="2268" w:type="dxa"/>
            <w:vAlign w:val="center"/>
          </w:tcPr>
          <w:p>
            <w:pPr>
              <w:jc w:val="center"/>
              <w:rPr>
                <w:rFonts w:ascii="Calibri" w:hAnsi="Calibri"/>
              </w:rPr>
            </w:pPr>
            <w:r>
              <w:rPr>
                <w:rFonts w:hint="eastAsia" w:ascii="宋体" w:hAnsi="宋体"/>
                <w:szCs w:val="21"/>
              </w:rPr>
              <w:t>不满足直接判定为</w:t>
            </w:r>
            <w:r>
              <w:rPr>
                <w:rFonts w:hint="eastAsia" w:ascii="宋体" w:hAnsi="宋体"/>
                <w:b/>
                <w:bCs/>
                <w:szCs w:val="21"/>
              </w:rPr>
              <w:t>D级</w:t>
            </w:r>
          </w:p>
        </w:tc>
        <w:tc>
          <w:tcPr>
            <w:tcW w:w="6095" w:type="dxa"/>
            <w:vAlign w:val="center"/>
          </w:tcPr>
          <w:p>
            <w:pPr>
              <w:rPr>
                <w:rFonts w:ascii="Calibri" w:hAnsi="Calibri"/>
              </w:rPr>
            </w:pPr>
            <w:r>
              <w:rPr>
                <w:rFonts w:hint="eastAsia" w:ascii="Calibri" w:hAnsi="Calibri"/>
              </w:rPr>
              <w:t>1.阀门应使用具备现场或远程复位功能的启闭装置，操作启闭装置使阀门复位应方便、灵活、可靠；</w:t>
            </w:r>
          </w:p>
          <w:p>
            <w:pPr>
              <w:rPr>
                <w:rFonts w:ascii="Calibri" w:hAnsi="Calibri"/>
              </w:rPr>
            </w:pPr>
            <w:r>
              <w:rPr>
                <w:rFonts w:hint="eastAsia" w:ascii="Calibri" w:hAnsi="Calibri"/>
              </w:rPr>
              <w:t>2.阀门应使用具备手动关闭的启闭装置，手动操作启闭装置关闭阀门应方便、灵活、可靠，手动操作力应小于70N；</w:t>
            </w:r>
          </w:p>
          <w:p>
            <w:pPr>
              <w:rPr>
                <w:rFonts w:ascii="Calibri" w:hAnsi="Calibri"/>
              </w:rPr>
            </w:pPr>
            <w:r>
              <w:rPr>
                <w:rFonts w:hint="eastAsia" w:ascii="Calibri" w:hAnsi="Calibri"/>
              </w:rPr>
              <w:t>3.使用具备电动关闭方式启闭装置的阀门，在实际电源电压不低于额定工作电压15%或不高于10%时，阀门均能正常进行电控操作。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0" w:hRule="atLeast"/>
        </w:trPr>
        <w:tc>
          <w:tcPr>
            <w:tcW w:w="704" w:type="dxa"/>
            <w:noWrap/>
            <w:vAlign w:val="center"/>
          </w:tcPr>
          <w:p>
            <w:pPr>
              <w:jc w:val="center"/>
              <w:rPr>
                <w:rFonts w:ascii="Calibri" w:hAnsi="Calibri"/>
              </w:rPr>
            </w:pPr>
            <w:r>
              <w:rPr>
                <w:rFonts w:hint="eastAsia" w:ascii="Calibri" w:hAnsi="Calibri"/>
              </w:rPr>
              <w:t>3</w:t>
            </w:r>
          </w:p>
        </w:tc>
        <w:tc>
          <w:tcPr>
            <w:tcW w:w="1984" w:type="dxa"/>
            <w:vAlign w:val="center"/>
          </w:tcPr>
          <w:p>
            <w:pPr>
              <w:rPr>
                <w:rFonts w:ascii="Calibri" w:hAnsi="Calibri"/>
              </w:rPr>
            </w:pPr>
            <w:r>
              <w:rPr>
                <w:rFonts w:hint="eastAsia" w:ascii="Calibri" w:hAnsi="Calibri"/>
              </w:rPr>
              <w:t>信号输出性能</w:t>
            </w:r>
          </w:p>
        </w:tc>
        <w:tc>
          <w:tcPr>
            <w:tcW w:w="2694" w:type="dxa"/>
            <w:vAlign w:val="center"/>
          </w:tcPr>
          <w:p>
            <w:pPr>
              <w:rPr>
                <w:rFonts w:ascii="Calibri" w:hAnsi="Calibri"/>
              </w:rPr>
            </w:pPr>
            <w:r>
              <w:rPr>
                <w:rFonts w:hint="eastAsia" w:ascii="Calibri" w:hAnsi="Calibri"/>
              </w:rPr>
              <w:t>满足《建筑通风和排烟系统用防火阀门》GB 15930信号输出相关要求。</w:t>
            </w:r>
          </w:p>
        </w:tc>
        <w:tc>
          <w:tcPr>
            <w:tcW w:w="2268" w:type="dxa"/>
            <w:vAlign w:val="center"/>
          </w:tcPr>
          <w:p>
            <w:pPr>
              <w:jc w:val="center"/>
              <w:rPr>
                <w:rFonts w:ascii="Calibri" w:hAnsi="Calibri"/>
              </w:rPr>
            </w:pPr>
            <w:r>
              <w:rPr>
                <w:rFonts w:hint="eastAsia" w:ascii="宋体" w:hAnsi="宋体"/>
                <w:szCs w:val="21"/>
              </w:rPr>
              <w:t>不满足直接判定为</w:t>
            </w:r>
            <w:r>
              <w:rPr>
                <w:rFonts w:hint="eastAsia" w:ascii="宋体" w:hAnsi="宋体"/>
                <w:b/>
                <w:bCs/>
                <w:szCs w:val="21"/>
              </w:rPr>
              <w:t>D级</w:t>
            </w:r>
          </w:p>
        </w:tc>
        <w:tc>
          <w:tcPr>
            <w:tcW w:w="6095" w:type="dxa"/>
            <w:vAlign w:val="center"/>
          </w:tcPr>
          <w:p>
            <w:pPr>
              <w:rPr>
                <w:rFonts w:ascii="Calibri" w:hAnsi="Calibri"/>
              </w:rPr>
            </w:pPr>
            <w:r>
              <w:rPr>
                <w:rFonts w:hint="eastAsia" w:ascii="Calibri" w:hAnsi="Calibri"/>
              </w:rPr>
              <w:t>1.处于正常工作状态下的阀门，当叶片关闭时，应有显示叶片位置的反馈信号输出；</w:t>
            </w:r>
          </w:p>
          <w:p>
            <w:pPr>
              <w:rPr>
                <w:rFonts w:ascii="Calibri" w:hAnsi="Calibri"/>
              </w:rPr>
            </w:pPr>
            <w:r>
              <w:rPr>
                <w:rFonts w:hint="eastAsia" w:ascii="Calibri" w:hAnsi="Calibri"/>
              </w:rPr>
              <w:t>2.阀门使用具备电动远程复位功能的启闭装置时，当通电复位开启动作后，应具有体现叶片位置的反馈信号输出。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704" w:type="dxa"/>
            <w:noWrap/>
            <w:vAlign w:val="center"/>
          </w:tcPr>
          <w:p>
            <w:pPr>
              <w:jc w:val="center"/>
              <w:rPr>
                <w:rFonts w:ascii="Calibri" w:hAnsi="Calibri"/>
              </w:rPr>
            </w:pPr>
            <w:r>
              <w:rPr>
                <w:rFonts w:hint="eastAsia" w:ascii="Calibri" w:hAnsi="Calibri"/>
              </w:rPr>
              <w:t>4</w:t>
            </w:r>
          </w:p>
        </w:tc>
        <w:tc>
          <w:tcPr>
            <w:tcW w:w="1984" w:type="dxa"/>
            <w:vAlign w:val="center"/>
          </w:tcPr>
          <w:p>
            <w:pPr>
              <w:rPr>
                <w:rFonts w:ascii="Calibri" w:hAnsi="Calibri"/>
              </w:rPr>
            </w:pPr>
            <w:r>
              <w:rPr>
                <w:rFonts w:hint="eastAsia" w:ascii="Calibri" w:hAnsi="Calibri"/>
              </w:rPr>
              <w:t>可靠性</w:t>
            </w:r>
          </w:p>
        </w:tc>
        <w:tc>
          <w:tcPr>
            <w:tcW w:w="2694" w:type="dxa"/>
            <w:vAlign w:val="center"/>
          </w:tcPr>
          <w:p>
            <w:pPr>
              <w:rPr>
                <w:rFonts w:ascii="Calibri" w:hAnsi="Calibri"/>
              </w:rPr>
            </w:pPr>
            <w:r>
              <w:rPr>
                <w:rFonts w:hint="eastAsia" w:ascii="Calibri" w:hAnsi="Calibri"/>
              </w:rPr>
              <w:t>满足《建筑通风和排烟系统用防火阀门》GB 15930的可靠性相关要求。</w:t>
            </w:r>
          </w:p>
        </w:tc>
        <w:tc>
          <w:tcPr>
            <w:tcW w:w="2268" w:type="dxa"/>
            <w:vAlign w:val="center"/>
          </w:tcPr>
          <w:p>
            <w:pPr>
              <w:jc w:val="center"/>
              <w:rPr>
                <w:rFonts w:ascii="Calibri" w:hAnsi="Calibri"/>
              </w:rPr>
            </w:pPr>
            <w:r>
              <w:rPr>
                <w:rFonts w:hint="eastAsia" w:ascii="宋体" w:hAnsi="宋体"/>
                <w:szCs w:val="21"/>
              </w:rPr>
              <w:t>不满足直接判定为</w:t>
            </w:r>
            <w:r>
              <w:rPr>
                <w:rFonts w:hint="eastAsia" w:ascii="宋体" w:hAnsi="宋体"/>
                <w:b/>
                <w:bCs/>
                <w:szCs w:val="21"/>
              </w:rPr>
              <w:t>D级</w:t>
            </w:r>
          </w:p>
        </w:tc>
        <w:tc>
          <w:tcPr>
            <w:tcW w:w="6095" w:type="dxa"/>
            <w:vAlign w:val="center"/>
          </w:tcPr>
          <w:p>
            <w:pPr>
              <w:rPr>
                <w:rFonts w:ascii="Calibri" w:hAnsi="Calibri"/>
              </w:rPr>
            </w:pPr>
            <w:r>
              <w:rPr>
                <w:rFonts w:hint="eastAsia" w:ascii="Calibri" w:hAnsi="Calibri"/>
              </w:rPr>
              <w:t>阀门经过200次关、开试验后，各零部件应无明显变形、磨损及其他影响其密封性的损伤，叶片仍能从打开位置灵活可靠地关闭。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5" w:hRule="atLeast"/>
        </w:trPr>
        <w:tc>
          <w:tcPr>
            <w:tcW w:w="704" w:type="dxa"/>
            <w:noWrap/>
            <w:vAlign w:val="center"/>
          </w:tcPr>
          <w:p>
            <w:pPr>
              <w:jc w:val="center"/>
              <w:rPr>
                <w:rFonts w:ascii="Calibri" w:hAnsi="Calibri"/>
              </w:rPr>
            </w:pPr>
            <w:r>
              <w:rPr>
                <w:rFonts w:hint="eastAsia" w:ascii="Calibri" w:hAnsi="Calibri"/>
              </w:rPr>
              <w:t>5</w:t>
            </w:r>
          </w:p>
        </w:tc>
        <w:tc>
          <w:tcPr>
            <w:tcW w:w="1984" w:type="dxa"/>
            <w:vAlign w:val="center"/>
          </w:tcPr>
          <w:p>
            <w:pPr>
              <w:rPr>
                <w:rFonts w:ascii="Calibri" w:hAnsi="Calibri"/>
              </w:rPr>
            </w:pPr>
            <w:r>
              <w:rPr>
                <w:rFonts w:hint="eastAsia" w:ascii="Calibri" w:hAnsi="Calibri"/>
              </w:rPr>
              <w:t>风量调节功能</w:t>
            </w:r>
          </w:p>
        </w:tc>
        <w:tc>
          <w:tcPr>
            <w:tcW w:w="2694" w:type="dxa"/>
            <w:vAlign w:val="center"/>
          </w:tcPr>
          <w:p>
            <w:pPr>
              <w:rPr>
                <w:rFonts w:ascii="Calibri" w:hAnsi="Calibri"/>
              </w:rPr>
            </w:pPr>
            <w:r>
              <w:rPr>
                <w:rFonts w:hint="eastAsia" w:ascii="Calibri" w:hAnsi="Calibri"/>
              </w:rPr>
              <w:t>满足《建筑通风和排烟系统用防火阀门》GB 15930风量调节功能相关要求。</w:t>
            </w:r>
          </w:p>
        </w:tc>
        <w:tc>
          <w:tcPr>
            <w:tcW w:w="2268" w:type="dxa"/>
            <w:vAlign w:val="center"/>
          </w:tcPr>
          <w:p>
            <w:pPr>
              <w:jc w:val="center"/>
              <w:rPr>
                <w:rFonts w:ascii="Calibri" w:hAnsi="Calibri"/>
              </w:rPr>
            </w:pPr>
            <w:r>
              <w:rPr>
                <w:rFonts w:hint="eastAsia" w:ascii="宋体" w:hAnsi="宋体"/>
                <w:szCs w:val="21"/>
              </w:rPr>
              <w:t>不满足直接判定为</w:t>
            </w:r>
            <w:r>
              <w:rPr>
                <w:rFonts w:hint="eastAsia" w:ascii="宋体" w:hAnsi="宋体"/>
                <w:b/>
                <w:bCs/>
                <w:szCs w:val="21"/>
              </w:rPr>
              <w:t>D级</w:t>
            </w:r>
          </w:p>
        </w:tc>
        <w:tc>
          <w:tcPr>
            <w:tcW w:w="6095" w:type="dxa"/>
            <w:vAlign w:val="center"/>
          </w:tcPr>
          <w:p>
            <w:pPr>
              <w:rPr>
                <w:rFonts w:ascii="Calibri" w:hAnsi="Calibri"/>
              </w:rPr>
            </w:pPr>
            <w:r>
              <w:rPr>
                <w:rFonts w:hint="eastAsia" w:ascii="Calibri" w:hAnsi="Calibri"/>
              </w:rPr>
              <w:t>1.执行器最大开启角度为90°；</w:t>
            </w:r>
          </w:p>
          <w:p>
            <w:pPr>
              <w:rPr>
                <w:rFonts w:ascii="Calibri" w:hAnsi="Calibri"/>
              </w:rPr>
            </w:pPr>
            <w:r>
              <w:rPr>
                <w:rFonts w:hint="eastAsia" w:ascii="Calibri" w:hAnsi="Calibri"/>
              </w:rPr>
              <w:t>2.通过手柄操作执行机构，可在设定的任何开启角度均能可靠固定。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704" w:type="dxa"/>
            <w:tcBorders>
              <w:bottom w:val="single" w:color="auto" w:sz="4" w:space="0"/>
            </w:tcBorders>
            <w:noWrap/>
            <w:vAlign w:val="center"/>
          </w:tcPr>
          <w:p>
            <w:pPr>
              <w:jc w:val="center"/>
              <w:rPr>
                <w:rFonts w:ascii="Calibri" w:hAnsi="Calibri"/>
              </w:rPr>
            </w:pPr>
            <w:r>
              <w:rPr>
                <w:rFonts w:hint="eastAsia" w:ascii="Calibri" w:hAnsi="Calibri"/>
              </w:rPr>
              <w:t>6</w:t>
            </w:r>
          </w:p>
        </w:tc>
        <w:tc>
          <w:tcPr>
            <w:tcW w:w="1984" w:type="dxa"/>
            <w:tcBorders>
              <w:bottom w:val="single" w:color="auto" w:sz="4" w:space="0"/>
            </w:tcBorders>
            <w:vAlign w:val="center"/>
          </w:tcPr>
          <w:p>
            <w:pPr>
              <w:rPr>
                <w:rFonts w:ascii="Calibri" w:hAnsi="Calibri"/>
              </w:rPr>
            </w:pPr>
            <w:r>
              <w:rPr>
                <w:rFonts w:hint="eastAsia" w:ascii="Calibri" w:hAnsi="Calibri"/>
              </w:rPr>
              <w:t>环境性能试验：绝缘性能</w:t>
            </w:r>
          </w:p>
        </w:tc>
        <w:tc>
          <w:tcPr>
            <w:tcW w:w="2694" w:type="dxa"/>
            <w:tcBorders>
              <w:bottom w:val="single" w:color="auto" w:sz="4" w:space="0"/>
            </w:tcBorders>
            <w:vAlign w:val="center"/>
          </w:tcPr>
          <w:p>
            <w:pPr>
              <w:rPr>
                <w:rFonts w:ascii="Calibri" w:hAnsi="Calibri"/>
              </w:rPr>
            </w:pPr>
            <w:r>
              <w:rPr>
                <w:rFonts w:hint="eastAsia" w:ascii="Calibri" w:hAnsi="Calibri"/>
              </w:rPr>
              <w:t>满足《建筑通风和排烟系统用防火阀门》GB 15930对于绝缘性能、耐腐蚀性能的相关要求</w:t>
            </w:r>
          </w:p>
        </w:tc>
        <w:tc>
          <w:tcPr>
            <w:tcW w:w="2268" w:type="dxa"/>
            <w:tcBorders>
              <w:bottom w:val="single" w:color="auto" w:sz="4" w:space="0"/>
            </w:tcBorders>
            <w:vAlign w:val="center"/>
          </w:tcPr>
          <w:p>
            <w:pPr>
              <w:jc w:val="center"/>
              <w:rPr>
                <w:rFonts w:ascii="Calibri" w:hAnsi="Calibri"/>
              </w:rPr>
            </w:pPr>
            <w:r>
              <w:rPr>
                <w:rFonts w:hint="eastAsia" w:ascii="宋体" w:hAnsi="宋体"/>
                <w:szCs w:val="21"/>
              </w:rPr>
              <w:t>不满足直接判定为</w:t>
            </w:r>
            <w:r>
              <w:rPr>
                <w:rFonts w:hint="eastAsia" w:ascii="宋体" w:hAnsi="宋体"/>
                <w:b/>
                <w:bCs/>
                <w:szCs w:val="21"/>
              </w:rPr>
              <w:t>D级</w:t>
            </w:r>
          </w:p>
        </w:tc>
        <w:tc>
          <w:tcPr>
            <w:tcW w:w="6095" w:type="dxa"/>
            <w:tcBorders>
              <w:bottom w:val="single" w:color="auto" w:sz="4" w:space="0"/>
            </w:tcBorders>
            <w:vAlign w:val="center"/>
          </w:tcPr>
          <w:p>
            <w:pPr>
              <w:rPr>
                <w:rFonts w:ascii="Calibri" w:hAnsi="Calibri"/>
              </w:rPr>
            </w:pPr>
            <w:r>
              <w:rPr>
                <w:rFonts w:hint="eastAsia" w:ascii="Calibri" w:hAnsi="Calibri"/>
              </w:rPr>
              <w:t>阀门使用的启闭装置有绝缘要求的外部带电端子与阀体之间的绝缘电阻在常温下应大于20MΩ；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704" w:type="dxa"/>
            <w:shd w:val="clear" w:color="auto" w:fill="FFFFFF" w:themeFill="background1"/>
            <w:noWrap/>
            <w:vAlign w:val="center"/>
          </w:tcPr>
          <w:p>
            <w:pPr>
              <w:jc w:val="center"/>
              <w:rPr>
                <w:rFonts w:ascii="Calibri" w:hAnsi="Calibri"/>
              </w:rPr>
            </w:pPr>
            <w:r>
              <w:rPr>
                <w:rFonts w:hint="eastAsia" w:ascii="Calibri" w:hAnsi="Calibri"/>
              </w:rPr>
              <w:t>7</w:t>
            </w:r>
          </w:p>
        </w:tc>
        <w:tc>
          <w:tcPr>
            <w:tcW w:w="1984" w:type="dxa"/>
            <w:shd w:val="clear" w:color="auto" w:fill="FFFFFF" w:themeFill="background1"/>
            <w:vAlign w:val="center"/>
          </w:tcPr>
          <w:p>
            <w:pPr>
              <w:ind w:firstLine="240" w:firstLineChars="100"/>
              <w:rPr>
                <w:rFonts w:ascii="Calibri" w:hAnsi="Calibri"/>
              </w:rPr>
            </w:pPr>
            <w:r>
              <w:rPr>
                <w:rFonts w:hint="eastAsia" w:ascii="Calibri" w:hAnsi="Calibri"/>
              </w:rPr>
              <w:t>防腐性能</w:t>
            </w:r>
          </w:p>
        </w:tc>
        <w:tc>
          <w:tcPr>
            <w:tcW w:w="2694" w:type="dxa"/>
            <w:shd w:val="clear" w:color="auto" w:fill="FFFFFF" w:themeFill="background1"/>
            <w:vAlign w:val="center"/>
          </w:tcPr>
          <w:p>
            <w:pPr>
              <w:rPr>
                <w:rFonts w:ascii="Calibri" w:hAnsi="Calibri"/>
              </w:rPr>
            </w:pPr>
            <w:r>
              <w:rPr>
                <w:rFonts w:hint="eastAsia" w:ascii="宋体" w:hAnsi="宋体"/>
                <w:szCs w:val="21"/>
              </w:rPr>
              <w:t>满足《建筑通风和排烟系统用防火阀门》GB 15930 防腐性能的相关要求。</w:t>
            </w:r>
          </w:p>
        </w:tc>
        <w:tc>
          <w:tcPr>
            <w:tcW w:w="2268" w:type="dxa"/>
            <w:shd w:val="clear" w:color="auto" w:fill="FFFFFF" w:themeFill="background1"/>
            <w:vAlign w:val="center"/>
          </w:tcPr>
          <w:p>
            <w:pPr>
              <w:jc w:val="center"/>
              <w:rPr>
                <w:rFonts w:hint="eastAsia" w:ascii="宋体" w:hAnsi="宋体"/>
                <w:szCs w:val="21"/>
              </w:rPr>
            </w:pPr>
            <w:r>
              <w:rPr>
                <w:rFonts w:hint="eastAsia" w:ascii="宋体" w:hAnsi="宋体"/>
                <w:szCs w:val="21"/>
              </w:rPr>
              <w:t>不满足直接判定为</w:t>
            </w:r>
            <w:r>
              <w:rPr>
                <w:rFonts w:hint="eastAsia" w:ascii="宋体" w:hAnsi="宋体"/>
                <w:b/>
                <w:bCs/>
                <w:szCs w:val="21"/>
              </w:rPr>
              <w:t>D级</w:t>
            </w:r>
          </w:p>
        </w:tc>
        <w:tc>
          <w:tcPr>
            <w:tcW w:w="6095" w:type="dxa"/>
            <w:shd w:val="clear" w:color="auto" w:fill="FFFFFF" w:themeFill="background1"/>
            <w:vAlign w:val="center"/>
          </w:tcPr>
          <w:p>
            <w:pPr>
              <w:rPr>
                <w:rFonts w:ascii="Calibri" w:hAnsi="Calibri"/>
              </w:rPr>
            </w:pPr>
            <w:r>
              <w:rPr>
                <w:rFonts w:hint="eastAsia" w:ascii="Calibri" w:hAnsi="Calibri"/>
              </w:rPr>
              <w:t>经过5个周期，共120h的盐雾腐蚀试验后，阀门应能正常启闭，铭牌牢固，标识仍能清晰可见。</w:t>
            </w:r>
          </w:p>
        </w:tc>
      </w:tr>
    </w:tbl>
    <w:p>
      <w:pPr>
        <w:jc w:val="center"/>
        <w:rPr>
          <w:rFonts w:ascii="Calibri" w:hAnsi="Calibri" w:eastAsia="宋体" w:cs="Times New Roman"/>
        </w:rPr>
      </w:pPr>
      <w:r>
        <w:rPr>
          <w:rFonts w:hint="eastAsia"/>
          <w:b/>
          <w:bCs/>
        </w:rPr>
        <w:t>表4.2.2-2排烟</w:t>
      </w:r>
      <w:r>
        <w:rPr>
          <w:b/>
          <w:bCs/>
        </w:rPr>
        <w:t>阀</w:t>
      </w:r>
      <w:r>
        <w:rPr>
          <w:rFonts w:hint="eastAsia"/>
          <w:b/>
          <w:bCs/>
        </w:rPr>
        <w:t>、正压送风评分项评定表</w:t>
      </w:r>
    </w:p>
    <w:tbl>
      <w:tblPr>
        <w:tblStyle w:val="18"/>
        <w:tblW w:w="138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9"/>
        <w:gridCol w:w="2035"/>
        <w:gridCol w:w="2223"/>
        <w:gridCol w:w="3402"/>
        <w:gridCol w:w="710"/>
        <w:gridCol w:w="48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blHeader/>
        </w:trPr>
        <w:tc>
          <w:tcPr>
            <w:tcW w:w="699" w:type="dxa"/>
            <w:noWrap/>
            <w:vAlign w:val="center"/>
          </w:tcPr>
          <w:p>
            <w:pPr>
              <w:jc w:val="center"/>
              <w:rPr>
                <w:b/>
                <w:bCs/>
                <w:szCs w:val="21"/>
              </w:rPr>
            </w:pPr>
            <w:r>
              <w:rPr>
                <w:rFonts w:ascii="Calibri" w:hAnsi="Calibri"/>
              </w:rPr>
              <w:br w:type="page"/>
            </w:r>
            <w:r>
              <w:rPr>
                <w:rFonts w:hint="eastAsia"/>
                <w:b/>
                <w:bCs/>
                <w:szCs w:val="21"/>
              </w:rPr>
              <w:t>序号</w:t>
            </w:r>
          </w:p>
        </w:tc>
        <w:tc>
          <w:tcPr>
            <w:tcW w:w="2035" w:type="dxa"/>
            <w:noWrap/>
            <w:vAlign w:val="center"/>
          </w:tcPr>
          <w:p>
            <w:pPr>
              <w:jc w:val="center"/>
              <w:rPr>
                <w:b/>
                <w:bCs/>
                <w:szCs w:val="21"/>
              </w:rPr>
            </w:pPr>
            <w:r>
              <w:rPr>
                <w:rFonts w:hint="eastAsia"/>
                <w:b/>
                <w:bCs/>
                <w:szCs w:val="21"/>
              </w:rPr>
              <w:t>评定指标</w:t>
            </w:r>
          </w:p>
        </w:tc>
        <w:tc>
          <w:tcPr>
            <w:tcW w:w="2223" w:type="dxa"/>
            <w:noWrap/>
            <w:vAlign w:val="center"/>
          </w:tcPr>
          <w:p>
            <w:pPr>
              <w:jc w:val="center"/>
              <w:rPr>
                <w:b/>
                <w:bCs/>
                <w:szCs w:val="21"/>
              </w:rPr>
            </w:pPr>
            <w:r>
              <w:rPr>
                <w:rFonts w:hint="eastAsia"/>
                <w:b/>
                <w:bCs/>
                <w:szCs w:val="21"/>
              </w:rPr>
              <w:t>评分项</w:t>
            </w:r>
          </w:p>
        </w:tc>
        <w:tc>
          <w:tcPr>
            <w:tcW w:w="3402" w:type="dxa"/>
            <w:noWrap/>
            <w:vAlign w:val="center"/>
          </w:tcPr>
          <w:p>
            <w:pPr>
              <w:jc w:val="center"/>
              <w:rPr>
                <w:b/>
                <w:bCs/>
                <w:szCs w:val="21"/>
              </w:rPr>
            </w:pPr>
            <w:r>
              <w:rPr>
                <w:rFonts w:hint="eastAsia"/>
                <w:b/>
                <w:bCs/>
                <w:szCs w:val="21"/>
              </w:rPr>
              <w:t>评定方法</w:t>
            </w:r>
          </w:p>
        </w:tc>
        <w:tc>
          <w:tcPr>
            <w:tcW w:w="710" w:type="dxa"/>
            <w:noWrap/>
            <w:vAlign w:val="center"/>
          </w:tcPr>
          <w:p>
            <w:pPr>
              <w:jc w:val="center"/>
              <w:rPr>
                <w:b/>
                <w:bCs/>
                <w:szCs w:val="21"/>
              </w:rPr>
            </w:pPr>
            <w:r>
              <w:rPr>
                <w:rFonts w:hint="eastAsia"/>
                <w:b/>
                <w:bCs/>
                <w:szCs w:val="21"/>
              </w:rPr>
              <w:t>权重因子</w:t>
            </w:r>
          </w:p>
        </w:tc>
        <w:tc>
          <w:tcPr>
            <w:tcW w:w="4818" w:type="dxa"/>
            <w:vAlign w:val="center"/>
          </w:tcPr>
          <w:p>
            <w:pPr>
              <w:jc w:val="center"/>
              <w:rPr>
                <w:b/>
                <w:bCs/>
                <w:szCs w:val="21"/>
              </w:rPr>
            </w:pPr>
            <w:r>
              <w:rPr>
                <w:rFonts w:hint="eastAsia"/>
                <w:b/>
                <w:bCs/>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6" w:hRule="atLeast"/>
        </w:trPr>
        <w:tc>
          <w:tcPr>
            <w:tcW w:w="699" w:type="dxa"/>
            <w:vMerge w:val="restart"/>
            <w:noWrap/>
            <w:vAlign w:val="center"/>
          </w:tcPr>
          <w:p>
            <w:pPr>
              <w:jc w:val="center"/>
              <w:rPr>
                <w:rFonts w:hint="eastAsia" w:ascii="宋体" w:hAnsi="宋体"/>
                <w:szCs w:val="21"/>
              </w:rPr>
            </w:pPr>
            <w:r>
              <w:rPr>
                <w:rFonts w:hint="eastAsia" w:ascii="宋体" w:hAnsi="宋体"/>
                <w:szCs w:val="21"/>
              </w:rPr>
              <w:t>1</w:t>
            </w:r>
          </w:p>
        </w:tc>
        <w:tc>
          <w:tcPr>
            <w:tcW w:w="2035" w:type="dxa"/>
            <w:vMerge w:val="restart"/>
            <w:vAlign w:val="center"/>
          </w:tcPr>
          <w:p>
            <w:pPr>
              <w:rPr>
                <w:rFonts w:hint="eastAsia" w:ascii="宋体" w:hAnsi="宋体"/>
                <w:szCs w:val="21"/>
              </w:rPr>
            </w:pPr>
            <w:r>
              <w:rPr>
                <w:rFonts w:hint="eastAsia" w:ascii="宋体" w:hAnsi="宋体"/>
                <w:szCs w:val="21"/>
              </w:rPr>
              <w:t>阀门操作的可靠性、执行器动作可靠性</w:t>
            </w:r>
          </w:p>
        </w:tc>
        <w:tc>
          <w:tcPr>
            <w:tcW w:w="2223" w:type="dxa"/>
            <w:vAlign w:val="center"/>
          </w:tcPr>
          <w:p>
            <w:pPr>
              <w:jc w:val="center"/>
              <w:rPr>
                <w:rFonts w:hint="eastAsia" w:ascii="宋体" w:hAnsi="宋体"/>
                <w:szCs w:val="21"/>
              </w:rPr>
            </w:pPr>
            <w:r>
              <w:rPr>
                <w:rFonts w:hint="eastAsia" w:ascii="宋体" w:hAnsi="宋体"/>
                <w:szCs w:val="21"/>
              </w:rPr>
              <w:t>阀门开关循环次数</w:t>
            </w:r>
          </w:p>
        </w:tc>
        <w:tc>
          <w:tcPr>
            <w:tcW w:w="3402" w:type="dxa"/>
            <w:vAlign w:val="center"/>
          </w:tcPr>
          <w:p>
            <w:pPr>
              <w:rPr>
                <w:rFonts w:hint="eastAsia" w:ascii="宋体" w:hAnsi="宋体"/>
                <w:szCs w:val="21"/>
              </w:rPr>
            </w:pPr>
            <w:r>
              <w:rPr>
                <w:rFonts w:hint="eastAsia" w:ascii="宋体" w:hAnsi="宋体"/>
                <w:szCs w:val="21"/>
              </w:rPr>
              <w:t>1.开关循环次数达到200次，得60分；</w:t>
            </w:r>
          </w:p>
          <w:p>
            <w:pPr>
              <w:rPr>
                <w:rFonts w:hint="eastAsia" w:ascii="宋体" w:hAnsi="宋体"/>
                <w:szCs w:val="21"/>
              </w:rPr>
            </w:pPr>
            <w:r>
              <w:rPr>
                <w:rFonts w:hint="eastAsia" w:ascii="宋体" w:hAnsi="宋体"/>
                <w:szCs w:val="21"/>
              </w:rPr>
              <w:t>2.开关循环次数达到2,000次，得80分；</w:t>
            </w:r>
          </w:p>
          <w:p>
            <w:pPr>
              <w:rPr>
                <w:rFonts w:hint="eastAsia" w:ascii="宋体" w:hAnsi="宋体"/>
                <w:szCs w:val="21"/>
              </w:rPr>
            </w:pPr>
            <w:r>
              <w:rPr>
                <w:rFonts w:hint="eastAsia" w:ascii="宋体" w:hAnsi="宋体"/>
                <w:szCs w:val="21"/>
              </w:rPr>
              <w:t>3.开关循环次数达到10,000次，得100分。</w:t>
            </w:r>
          </w:p>
        </w:tc>
        <w:tc>
          <w:tcPr>
            <w:tcW w:w="710" w:type="dxa"/>
            <w:noWrap/>
            <w:vAlign w:val="center"/>
          </w:tcPr>
          <w:p>
            <w:pPr>
              <w:jc w:val="center"/>
              <w:rPr>
                <w:rFonts w:hint="eastAsia" w:ascii="宋体" w:hAnsi="宋体"/>
                <w:szCs w:val="21"/>
              </w:rPr>
            </w:pPr>
            <w:r>
              <w:rPr>
                <w:rFonts w:hint="eastAsia" w:ascii="宋体" w:hAnsi="宋体"/>
                <w:szCs w:val="21"/>
              </w:rPr>
              <w:t>0.1</w:t>
            </w:r>
          </w:p>
        </w:tc>
        <w:tc>
          <w:tcPr>
            <w:tcW w:w="4818" w:type="dxa"/>
            <w:vAlign w:val="center"/>
          </w:tcPr>
          <w:p>
            <w:pPr>
              <w:widowControl/>
              <w:jc w:val="left"/>
              <w:textAlignment w:val="top"/>
              <w:rPr>
                <w:rFonts w:hint="eastAsia" w:ascii="宋体" w:hAnsi="宋体"/>
                <w:szCs w:val="21"/>
              </w:rPr>
            </w:pPr>
            <w:r>
              <w:rPr>
                <w:rFonts w:hint="eastAsia" w:ascii="宋体" w:hAnsi="宋体"/>
                <w:szCs w:val="21"/>
              </w:rPr>
              <w:t>具备电动关闭方式启闭装置的阀门：</w:t>
            </w:r>
          </w:p>
          <w:p>
            <w:pPr>
              <w:widowControl/>
              <w:jc w:val="left"/>
              <w:textAlignment w:val="top"/>
              <w:rPr>
                <w:rFonts w:hint="eastAsia" w:ascii="宋体" w:hAnsi="宋体"/>
                <w:szCs w:val="21"/>
              </w:rPr>
            </w:pPr>
            <w:r>
              <w:rPr>
                <w:rFonts w:hint="eastAsia" w:ascii="宋体" w:hAnsi="宋体"/>
                <w:szCs w:val="21"/>
              </w:rPr>
              <w:t>1.在实际电源电压低于额定工作电压15%时，阀门能正常进行电控操作100次；</w:t>
            </w:r>
          </w:p>
          <w:p>
            <w:pPr>
              <w:widowControl/>
              <w:jc w:val="left"/>
              <w:textAlignment w:val="top"/>
              <w:rPr>
                <w:rFonts w:hint="eastAsia" w:ascii="宋体" w:hAnsi="宋体"/>
                <w:szCs w:val="21"/>
              </w:rPr>
            </w:pPr>
            <w:r>
              <w:rPr>
                <w:rFonts w:hint="eastAsia" w:ascii="宋体" w:hAnsi="宋体"/>
                <w:szCs w:val="21"/>
              </w:rPr>
              <w:t>2.在实际电源电压高于额定工作电压10%时，阀门能正常进行电控操作100次；</w:t>
            </w:r>
          </w:p>
          <w:p>
            <w:pPr>
              <w:widowControl/>
              <w:jc w:val="left"/>
              <w:textAlignment w:val="top"/>
              <w:rPr>
                <w:rFonts w:hint="eastAsia" w:ascii="宋体" w:hAnsi="宋体"/>
                <w:szCs w:val="21"/>
              </w:rPr>
            </w:pPr>
            <w:r>
              <w:rPr>
                <w:rFonts w:hint="eastAsia" w:ascii="宋体" w:hAnsi="宋体"/>
                <w:szCs w:val="21"/>
              </w:rPr>
              <w:t>3.针对于开关循环次数达到2，000次的阀门，在实际电源电压等于或接近额定工作电压时，阀门在完成200次试验后，仍正常进行电控操作不少于1,800次。</w:t>
            </w:r>
          </w:p>
          <w:p>
            <w:pPr>
              <w:rPr>
                <w:rFonts w:hint="eastAsia" w:ascii="宋体" w:hAnsi="宋体"/>
                <w:szCs w:val="21"/>
              </w:rPr>
            </w:pPr>
            <w:r>
              <w:rPr>
                <w:rFonts w:hint="eastAsia" w:ascii="宋体" w:hAnsi="宋体"/>
                <w:szCs w:val="21"/>
              </w:rPr>
              <w:t>4. 针对于开关循环次数达到10，000次的阀门，在实际电源电压等于或接近额定工作电压时，阀门在完成200次试验后，仍正常进行电控操作不少于9,800次。</w:t>
            </w:r>
          </w:p>
          <w:p>
            <w:pPr>
              <w:rPr>
                <w:rFonts w:hint="eastAsia" w:ascii="宋体" w:hAnsi="宋体"/>
                <w:szCs w:val="21"/>
              </w:rPr>
            </w:pPr>
            <w:r>
              <w:rPr>
                <w:rFonts w:hint="eastAsia" w:ascii="宋体" w:hAnsi="宋体"/>
                <w:szCs w:val="21"/>
              </w:rPr>
              <w:t>5.在开关循环次数达到200次、2,000次、10,000次的测试后，不会出现零件松动或移位或其他严重缺陷，且位置反馈信号正确。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0" w:hRule="atLeast"/>
        </w:trPr>
        <w:tc>
          <w:tcPr>
            <w:tcW w:w="699" w:type="dxa"/>
            <w:vMerge w:val="continue"/>
            <w:vAlign w:val="center"/>
          </w:tcPr>
          <w:p>
            <w:pPr>
              <w:jc w:val="center"/>
              <w:rPr>
                <w:rFonts w:hint="eastAsia" w:ascii="宋体" w:hAnsi="宋体"/>
                <w:szCs w:val="21"/>
              </w:rPr>
            </w:pPr>
          </w:p>
        </w:tc>
        <w:tc>
          <w:tcPr>
            <w:tcW w:w="2035" w:type="dxa"/>
            <w:vMerge w:val="continue"/>
            <w:vAlign w:val="center"/>
          </w:tcPr>
          <w:p>
            <w:pPr>
              <w:rPr>
                <w:rFonts w:hint="eastAsia" w:ascii="宋体" w:hAnsi="宋体"/>
                <w:szCs w:val="21"/>
              </w:rPr>
            </w:pPr>
          </w:p>
        </w:tc>
        <w:tc>
          <w:tcPr>
            <w:tcW w:w="2223" w:type="dxa"/>
            <w:tcBorders>
              <w:top w:val="nil"/>
              <w:left w:val="nil"/>
              <w:bottom w:val="single" w:color="auto" w:sz="4" w:space="0"/>
              <w:right w:val="single" w:color="auto" w:sz="4" w:space="0"/>
            </w:tcBorders>
            <w:vAlign w:val="center"/>
          </w:tcPr>
          <w:p>
            <w:pPr>
              <w:rPr>
                <w:rFonts w:hint="eastAsia" w:ascii="宋体" w:hAnsi="宋体"/>
                <w:szCs w:val="21"/>
              </w:rPr>
            </w:pPr>
            <w:r>
              <w:rPr>
                <w:rFonts w:hint="eastAsia" w:ascii="宋体" w:hAnsi="宋体"/>
                <w:szCs w:val="21"/>
              </w:rPr>
              <w:t>执行器加持方式</w:t>
            </w:r>
          </w:p>
        </w:tc>
        <w:tc>
          <w:tcPr>
            <w:tcW w:w="3402" w:type="dxa"/>
            <w:tcBorders>
              <w:top w:val="nil"/>
              <w:left w:val="nil"/>
              <w:bottom w:val="single" w:color="auto" w:sz="4" w:space="0"/>
              <w:right w:val="single" w:color="auto" w:sz="4" w:space="0"/>
            </w:tcBorders>
            <w:vAlign w:val="center"/>
          </w:tcPr>
          <w:p>
            <w:pPr>
              <w:widowControl/>
              <w:jc w:val="left"/>
              <w:textAlignment w:val="top"/>
              <w:rPr>
                <w:rFonts w:hint="eastAsia" w:ascii="宋体" w:hAnsi="宋体"/>
                <w:szCs w:val="21"/>
              </w:rPr>
            </w:pPr>
            <w:r>
              <w:rPr>
                <w:rFonts w:hint="eastAsia" w:ascii="宋体" w:hAnsi="宋体"/>
                <w:szCs w:val="21"/>
              </w:rPr>
              <w:t>1."顶针"式加持装置，得60分；</w:t>
            </w:r>
            <w:r>
              <w:rPr>
                <w:rFonts w:ascii="宋体" w:hAnsi="宋体"/>
                <w:szCs w:val="21"/>
              </w:rPr>
              <w:t xml:space="preserve"> </w:t>
            </w:r>
          </w:p>
          <w:p>
            <w:pPr>
              <w:widowControl/>
              <w:jc w:val="left"/>
              <w:textAlignment w:val="top"/>
              <w:rPr>
                <w:rFonts w:hint="eastAsia" w:ascii="宋体" w:hAnsi="宋体"/>
                <w:szCs w:val="21"/>
              </w:rPr>
            </w:pPr>
            <w:r>
              <w:rPr>
                <w:rFonts w:hint="eastAsia" w:ascii="宋体" w:hAnsi="宋体"/>
                <w:szCs w:val="21"/>
              </w:rPr>
              <w:t>2."V"形夹持器，得80分；</w:t>
            </w:r>
          </w:p>
          <w:p>
            <w:pPr>
              <w:rPr>
                <w:rFonts w:hint="eastAsia" w:ascii="宋体" w:hAnsi="宋体"/>
                <w:szCs w:val="21"/>
              </w:rPr>
            </w:pPr>
            <w:r>
              <w:rPr>
                <w:rFonts w:hint="eastAsia" w:ascii="宋体" w:hAnsi="宋体"/>
                <w:szCs w:val="21"/>
              </w:rPr>
              <w:t>3.嵌套方形轴孔，得100分。</w:t>
            </w:r>
          </w:p>
        </w:tc>
        <w:tc>
          <w:tcPr>
            <w:tcW w:w="710" w:type="dxa"/>
            <w:noWrap/>
            <w:vAlign w:val="center"/>
          </w:tcPr>
          <w:p>
            <w:pPr>
              <w:jc w:val="center"/>
              <w:rPr>
                <w:rFonts w:hint="eastAsia" w:ascii="宋体" w:hAnsi="宋体"/>
                <w:szCs w:val="21"/>
              </w:rPr>
            </w:pPr>
            <w:r>
              <w:rPr>
                <w:rFonts w:hint="eastAsia" w:ascii="宋体" w:hAnsi="宋体"/>
                <w:szCs w:val="21"/>
              </w:rPr>
              <w:t>0.1</w:t>
            </w:r>
          </w:p>
        </w:tc>
        <w:tc>
          <w:tcPr>
            <w:tcW w:w="4818" w:type="dxa"/>
            <w:vAlign w:val="center"/>
          </w:tcPr>
          <w:p>
            <w:pP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699" w:type="dxa"/>
            <w:vMerge w:val="continue"/>
            <w:vAlign w:val="center"/>
          </w:tcPr>
          <w:p>
            <w:pPr>
              <w:jc w:val="center"/>
              <w:rPr>
                <w:rFonts w:hint="eastAsia" w:ascii="宋体" w:hAnsi="宋体"/>
                <w:szCs w:val="21"/>
              </w:rPr>
            </w:pPr>
          </w:p>
        </w:tc>
        <w:tc>
          <w:tcPr>
            <w:tcW w:w="2035" w:type="dxa"/>
            <w:vMerge w:val="continue"/>
            <w:vAlign w:val="center"/>
          </w:tcPr>
          <w:p>
            <w:pPr>
              <w:rPr>
                <w:rFonts w:hint="eastAsia" w:ascii="宋体" w:hAnsi="宋体"/>
                <w:szCs w:val="21"/>
              </w:rPr>
            </w:pPr>
          </w:p>
        </w:tc>
        <w:tc>
          <w:tcPr>
            <w:tcW w:w="2223" w:type="dxa"/>
            <w:tcBorders>
              <w:top w:val="nil"/>
              <w:left w:val="nil"/>
              <w:bottom w:val="single" w:color="auto" w:sz="4" w:space="0"/>
              <w:right w:val="single" w:color="auto" w:sz="4" w:space="0"/>
            </w:tcBorders>
            <w:vAlign w:val="center"/>
          </w:tcPr>
          <w:p>
            <w:pPr>
              <w:rPr>
                <w:rFonts w:hint="eastAsia" w:ascii="宋体" w:hAnsi="宋体"/>
                <w:szCs w:val="21"/>
              </w:rPr>
            </w:pPr>
            <w:r>
              <w:rPr>
                <w:rFonts w:hint="eastAsia" w:ascii="宋体" w:hAnsi="宋体"/>
                <w:szCs w:val="21"/>
              </w:rPr>
              <w:t>执行器动作可靠性</w:t>
            </w:r>
          </w:p>
        </w:tc>
        <w:tc>
          <w:tcPr>
            <w:tcW w:w="3402" w:type="dxa"/>
            <w:tcBorders>
              <w:top w:val="nil"/>
              <w:left w:val="nil"/>
              <w:bottom w:val="single" w:color="auto" w:sz="4" w:space="0"/>
              <w:right w:val="single" w:color="auto" w:sz="4" w:space="0"/>
            </w:tcBorders>
          </w:tcPr>
          <w:p>
            <w:pPr>
              <w:rPr>
                <w:rFonts w:hint="eastAsia" w:ascii="宋体" w:hAnsi="宋体"/>
                <w:szCs w:val="21"/>
              </w:rPr>
            </w:pPr>
            <w:r>
              <w:rPr>
                <w:rFonts w:hint="eastAsia" w:ascii="宋体" w:hAnsi="宋体"/>
                <w:szCs w:val="21"/>
              </w:rPr>
              <w:t>1.等于500次，得60分；</w:t>
            </w:r>
          </w:p>
          <w:p>
            <w:pPr>
              <w:rPr>
                <w:rFonts w:hint="eastAsia" w:ascii="宋体" w:hAnsi="宋体"/>
                <w:szCs w:val="21"/>
              </w:rPr>
            </w:pPr>
            <w:r>
              <w:rPr>
                <w:rFonts w:hint="eastAsia" w:ascii="宋体" w:hAnsi="宋体"/>
                <w:szCs w:val="21"/>
              </w:rPr>
              <w:t>2.≥10,000次，得80分；</w:t>
            </w:r>
          </w:p>
          <w:p>
            <w:pPr>
              <w:rPr>
                <w:rFonts w:hint="eastAsia" w:ascii="宋体" w:hAnsi="宋体"/>
                <w:szCs w:val="21"/>
              </w:rPr>
            </w:pPr>
            <w:r>
              <w:rPr>
                <w:rFonts w:hint="eastAsia" w:ascii="宋体" w:hAnsi="宋体"/>
                <w:szCs w:val="21"/>
              </w:rPr>
              <w:t>3.≥50,000次以上（不含），得100分。</w:t>
            </w:r>
          </w:p>
        </w:tc>
        <w:tc>
          <w:tcPr>
            <w:tcW w:w="710" w:type="dxa"/>
            <w:noWrap/>
            <w:vAlign w:val="center"/>
          </w:tcPr>
          <w:p>
            <w:pPr>
              <w:jc w:val="center"/>
              <w:rPr>
                <w:rFonts w:hint="eastAsia" w:ascii="宋体" w:hAnsi="宋体"/>
                <w:szCs w:val="21"/>
              </w:rPr>
            </w:pPr>
            <w:r>
              <w:rPr>
                <w:rFonts w:hint="eastAsia" w:ascii="宋体" w:hAnsi="宋体"/>
                <w:szCs w:val="21"/>
              </w:rPr>
              <w:t>0.1</w:t>
            </w:r>
          </w:p>
        </w:tc>
        <w:tc>
          <w:tcPr>
            <w:tcW w:w="4818" w:type="dxa"/>
            <w:vAlign w:val="center"/>
          </w:tcPr>
          <w:p>
            <w:pP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699" w:type="dxa"/>
            <w:noWrap/>
            <w:vAlign w:val="center"/>
          </w:tcPr>
          <w:p>
            <w:pPr>
              <w:jc w:val="center"/>
              <w:rPr>
                <w:rFonts w:hint="eastAsia" w:ascii="宋体" w:hAnsi="宋体"/>
                <w:szCs w:val="21"/>
              </w:rPr>
            </w:pPr>
            <w:r>
              <w:rPr>
                <w:rFonts w:hint="eastAsia" w:ascii="宋体" w:hAnsi="宋体"/>
                <w:szCs w:val="21"/>
              </w:rPr>
              <w:t>2</w:t>
            </w:r>
          </w:p>
        </w:tc>
        <w:tc>
          <w:tcPr>
            <w:tcW w:w="2035" w:type="dxa"/>
            <w:noWrap/>
            <w:vAlign w:val="center"/>
          </w:tcPr>
          <w:p>
            <w:pPr>
              <w:rPr>
                <w:rFonts w:hint="eastAsia" w:ascii="宋体" w:hAnsi="宋体"/>
                <w:szCs w:val="21"/>
              </w:rPr>
            </w:pPr>
            <w:r>
              <w:rPr>
                <w:rFonts w:hint="eastAsia" w:ascii="宋体" w:hAnsi="宋体"/>
                <w:szCs w:val="21"/>
              </w:rPr>
              <w:t>阀片漏风量</w:t>
            </w:r>
          </w:p>
        </w:tc>
        <w:tc>
          <w:tcPr>
            <w:tcW w:w="2223" w:type="dxa"/>
            <w:vAlign w:val="center"/>
          </w:tcPr>
          <w:p>
            <w:pPr>
              <w:rPr>
                <w:rFonts w:hint="eastAsia" w:ascii="宋体" w:hAnsi="宋体"/>
                <w:szCs w:val="21"/>
              </w:rPr>
            </w:pPr>
            <w:r>
              <w:rPr>
                <w:rFonts w:hint="eastAsia" w:ascii="宋体" w:hAnsi="宋体"/>
                <w:szCs w:val="21"/>
              </w:rPr>
              <w:t>环境温度下的阀片漏风量</w:t>
            </w:r>
          </w:p>
        </w:tc>
        <w:tc>
          <w:tcPr>
            <w:tcW w:w="3402" w:type="dxa"/>
            <w:vAlign w:val="center"/>
          </w:tcPr>
          <w:p>
            <w:pPr>
              <w:rPr>
                <w:rFonts w:hint="eastAsia" w:ascii="宋体" w:hAnsi="宋体"/>
                <w:szCs w:val="21"/>
              </w:rPr>
            </w:pPr>
            <w:r>
              <w:rPr>
                <w:rFonts w:hint="eastAsia" w:ascii="宋体" w:hAnsi="宋体"/>
                <w:szCs w:val="21"/>
              </w:rPr>
              <w:t>1.环境温度下,阀片漏风量均满足500m</w:t>
            </w:r>
            <w:r>
              <w:rPr>
                <w:rFonts w:hint="eastAsia" w:ascii="宋体" w:hAnsi="宋体"/>
                <w:szCs w:val="21"/>
                <w:vertAlign w:val="superscript"/>
              </w:rPr>
              <w:t>3</w:t>
            </w:r>
            <w:r>
              <w:rPr>
                <w:rFonts w:hint="eastAsia" w:ascii="宋体" w:hAnsi="宋体"/>
                <w:szCs w:val="21"/>
              </w:rPr>
              <w:t>/h.m</w:t>
            </w:r>
            <w:r>
              <w:rPr>
                <w:rFonts w:hint="eastAsia" w:ascii="宋体" w:hAnsi="宋体"/>
                <w:szCs w:val="21"/>
                <w:vertAlign w:val="superscript"/>
              </w:rPr>
              <w:t>2</w:t>
            </w:r>
            <w:r>
              <w:rPr>
                <w:rFonts w:hint="eastAsia" w:ascii="宋体" w:hAnsi="宋体"/>
                <w:szCs w:val="21"/>
              </w:rPr>
              <w:t>@1000Pa，得60分；</w:t>
            </w:r>
          </w:p>
          <w:p>
            <w:pPr>
              <w:rPr>
                <w:rFonts w:hint="eastAsia" w:ascii="宋体" w:hAnsi="宋体"/>
                <w:szCs w:val="21"/>
              </w:rPr>
            </w:pPr>
            <w:r>
              <w:rPr>
                <w:rFonts w:hint="eastAsia" w:ascii="宋体" w:hAnsi="宋体"/>
                <w:szCs w:val="21"/>
              </w:rPr>
              <w:t>2.环境温度下,阀片漏风量均满足360m</w:t>
            </w:r>
            <w:r>
              <w:rPr>
                <w:rFonts w:hint="eastAsia" w:ascii="宋体" w:hAnsi="宋体"/>
                <w:szCs w:val="21"/>
                <w:vertAlign w:val="superscript"/>
              </w:rPr>
              <w:t>3</w:t>
            </w:r>
            <w:r>
              <w:rPr>
                <w:rFonts w:hint="eastAsia" w:ascii="宋体" w:hAnsi="宋体"/>
                <w:szCs w:val="21"/>
              </w:rPr>
              <w:t>/h.m</w:t>
            </w:r>
            <w:r>
              <w:rPr>
                <w:rFonts w:hint="eastAsia" w:ascii="宋体" w:hAnsi="宋体"/>
                <w:szCs w:val="21"/>
                <w:vertAlign w:val="superscript"/>
              </w:rPr>
              <w:t>2</w:t>
            </w:r>
            <w:r>
              <w:rPr>
                <w:rFonts w:hint="eastAsia" w:ascii="宋体" w:hAnsi="宋体"/>
                <w:szCs w:val="21"/>
              </w:rPr>
              <w:t>@1000Pa，得80分；</w:t>
            </w:r>
          </w:p>
          <w:p>
            <w:pPr>
              <w:rPr>
                <w:rFonts w:hint="eastAsia" w:ascii="宋体" w:hAnsi="宋体"/>
                <w:szCs w:val="21"/>
              </w:rPr>
            </w:pPr>
            <w:r>
              <w:rPr>
                <w:rFonts w:hint="eastAsia" w:ascii="宋体" w:hAnsi="宋体"/>
                <w:szCs w:val="21"/>
              </w:rPr>
              <w:t>3.环境温度下,阀片漏风量均满足144m</w:t>
            </w:r>
            <w:r>
              <w:rPr>
                <w:rFonts w:hint="eastAsia" w:ascii="宋体" w:hAnsi="宋体"/>
                <w:szCs w:val="21"/>
                <w:vertAlign w:val="superscript"/>
              </w:rPr>
              <w:t>3</w:t>
            </w:r>
            <w:r>
              <w:rPr>
                <w:rFonts w:hint="eastAsia" w:ascii="宋体" w:hAnsi="宋体"/>
                <w:szCs w:val="21"/>
              </w:rPr>
              <w:t>/h.m</w:t>
            </w:r>
            <w:r>
              <w:rPr>
                <w:rFonts w:hint="eastAsia" w:ascii="宋体" w:hAnsi="宋体"/>
                <w:szCs w:val="21"/>
                <w:vertAlign w:val="superscript"/>
              </w:rPr>
              <w:t>2</w:t>
            </w:r>
            <w:r>
              <w:rPr>
                <w:rFonts w:hint="eastAsia" w:ascii="宋体" w:hAnsi="宋体"/>
                <w:szCs w:val="21"/>
              </w:rPr>
              <w:t>@1000Pa，评为优秀，得100分。</w:t>
            </w:r>
          </w:p>
        </w:tc>
        <w:tc>
          <w:tcPr>
            <w:tcW w:w="710" w:type="dxa"/>
            <w:noWrap/>
            <w:vAlign w:val="center"/>
          </w:tcPr>
          <w:p>
            <w:pPr>
              <w:jc w:val="center"/>
              <w:rPr>
                <w:rFonts w:hint="eastAsia" w:ascii="宋体" w:hAnsi="宋体"/>
                <w:szCs w:val="21"/>
              </w:rPr>
            </w:pPr>
            <w:r>
              <w:rPr>
                <w:rFonts w:hint="eastAsia" w:ascii="宋体" w:hAnsi="宋体"/>
                <w:szCs w:val="21"/>
              </w:rPr>
              <w:t>0.2</w:t>
            </w:r>
          </w:p>
        </w:tc>
        <w:tc>
          <w:tcPr>
            <w:tcW w:w="4818" w:type="dxa"/>
            <w:vAlign w:val="center"/>
          </w:tcPr>
          <w:p>
            <w:pPr>
              <w:rPr>
                <w:rFonts w:hint="eastAsia" w:ascii="宋体" w:hAnsi="宋体"/>
                <w:szCs w:val="21"/>
              </w:rPr>
            </w:pPr>
            <w:r>
              <w:rPr>
                <w:rFonts w:hint="eastAsia" w:ascii="宋体" w:hAnsi="宋体"/>
                <w:szCs w:val="21"/>
              </w:rPr>
              <w:t>1.在环境温度下，阀门关闭后，使叶片两侧保持1000±15Pa的气体静压差，其单位面积的漏烟量(标准状态)应不大于500m</w:t>
            </w:r>
            <w:r>
              <w:rPr>
                <w:rFonts w:hint="eastAsia" w:ascii="宋体" w:hAnsi="宋体"/>
                <w:szCs w:val="21"/>
                <w:vertAlign w:val="superscript"/>
              </w:rPr>
              <w:t>3</w:t>
            </w:r>
            <w:r>
              <w:rPr>
                <w:rFonts w:hint="eastAsia" w:ascii="宋体" w:hAnsi="宋体"/>
                <w:szCs w:val="21"/>
              </w:rPr>
              <w:t>/(m</w:t>
            </w:r>
            <w:r>
              <w:rPr>
                <w:rFonts w:hint="eastAsia" w:ascii="宋体" w:hAnsi="宋体"/>
                <w:szCs w:val="21"/>
                <w:vertAlign w:val="superscript"/>
              </w:rPr>
              <w:t>2</w:t>
            </w:r>
            <w:r>
              <w:rPr>
                <w:rFonts w:hint="eastAsia" w:ascii="宋体" w:hAnsi="宋体"/>
                <w:szCs w:val="21"/>
              </w:rPr>
              <w:t>.h)。</w:t>
            </w:r>
          </w:p>
          <w:p>
            <w:pPr>
              <w:rPr>
                <w:rFonts w:hint="eastAsia" w:ascii="宋体" w:hAnsi="宋体"/>
                <w:szCs w:val="21"/>
              </w:rPr>
            </w:pPr>
            <w:r>
              <w:rPr>
                <w:rFonts w:hint="eastAsia" w:ascii="宋体" w:hAnsi="宋体"/>
                <w:szCs w:val="21"/>
              </w:rPr>
              <w:t>2.在环境温度下，阀门关闭后，使叶片两侧保持1000±15Pa的气体静压差，其单位面积的漏烟量(标准状态)应不大于360m</w:t>
            </w:r>
            <w:r>
              <w:rPr>
                <w:rFonts w:hint="eastAsia" w:ascii="宋体" w:hAnsi="宋体"/>
                <w:szCs w:val="21"/>
                <w:vertAlign w:val="superscript"/>
              </w:rPr>
              <w:t>3</w:t>
            </w:r>
            <w:r>
              <w:rPr>
                <w:rFonts w:hint="eastAsia" w:ascii="宋体" w:hAnsi="宋体"/>
                <w:szCs w:val="21"/>
              </w:rPr>
              <w:t>/(m</w:t>
            </w:r>
            <w:r>
              <w:rPr>
                <w:rFonts w:hint="eastAsia" w:ascii="宋体" w:hAnsi="宋体"/>
                <w:szCs w:val="21"/>
                <w:vertAlign w:val="superscript"/>
              </w:rPr>
              <w:t>2</w:t>
            </w:r>
            <w:r>
              <w:rPr>
                <w:rFonts w:hint="eastAsia" w:ascii="宋体" w:hAnsi="宋体"/>
                <w:szCs w:val="21"/>
              </w:rPr>
              <w:t>.h)。</w:t>
            </w:r>
          </w:p>
          <w:p>
            <w:pPr>
              <w:rPr>
                <w:rFonts w:hint="eastAsia" w:ascii="宋体" w:hAnsi="宋体"/>
                <w:szCs w:val="21"/>
              </w:rPr>
            </w:pPr>
            <w:r>
              <w:rPr>
                <w:rFonts w:hint="eastAsia" w:ascii="宋体" w:hAnsi="宋体"/>
                <w:szCs w:val="21"/>
              </w:rPr>
              <w:t>3.在环境温度下，阀门关闭后，使叶片两侧保持1000±15Pa的气体静压差，其单位面积的漏烟量(标准状态)应不大于144m</w:t>
            </w:r>
            <w:r>
              <w:rPr>
                <w:rFonts w:hint="eastAsia" w:ascii="宋体" w:hAnsi="宋体"/>
                <w:szCs w:val="21"/>
                <w:vertAlign w:val="superscript"/>
              </w:rPr>
              <w:t>3</w:t>
            </w:r>
            <w:r>
              <w:rPr>
                <w:rFonts w:hint="eastAsia" w:ascii="宋体" w:hAnsi="宋体"/>
                <w:szCs w:val="21"/>
              </w:rPr>
              <w:t>/(m</w:t>
            </w:r>
            <w:r>
              <w:rPr>
                <w:rFonts w:hint="eastAsia" w:ascii="宋体" w:hAnsi="宋体"/>
                <w:szCs w:val="21"/>
                <w:vertAlign w:val="superscript"/>
              </w:rPr>
              <w:t>2</w:t>
            </w:r>
            <w:r>
              <w:rPr>
                <w:rFonts w:hint="eastAsia" w:ascii="宋体" w:hAnsi="宋体"/>
                <w:szCs w:val="21"/>
              </w:rPr>
              <w:t>.h)。</w:t>
            </w:r>
          </w:p>
          <w:p>
            <w:pPr>
              <w:rPr>
                <w:rFonts w:hint="eastAsia" w:ascii="宋体" w:hAnsi="宋体"/>
                <w:szCs w:val="21"/>
              </w:rPr>
            </w:pPr>
            <w:r>
              <w:rPr>
                <w:rFonts w:hint="eastAsia" w:ascii="宋体" w:hAnsi="宋体"/>
                <w:szCs w:val="21"/>
              </w:rPr>
              <w:t>注：提供的检测报告需包含该公司能生产的最小单体尺寸和最大单体尺寸两种规格尺寸的阀。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5" w:hRule="atLeast"/>
        </w:trPr>
        <w:tc>
          <w:tcPr>
            <w:tcW w:w="699" w:type="dxa"/>
            <w:noWrap/>
            <w:vAlign w:val="center"/>
          </w:tcPr>
          <w:p>
            <w:pPr>
              <w:jc w:val="center"/>
              <w:rPr>
                <w:rFonts w:hint="eastAsia" w:ascii="宋体" w:hAnsi="宋体"/>
                <w:szCs w:val="21"/>
              </w:rPr>
            </w:pPr>
            <w:r>
              <w:rPr>
                <w:rFonts w:hint="eastAsia" w:ascii="宋体" w:hAnsi="宋体"/>
                <w:szCs w:val="21"/>
              </w:rPr>
              <w:t>3</w:t>
            </w:r>
          </w:p>
        </w:tc>
        <w:tc>
          <w:tcPr>
            <w:tcW w:w="2035" w:type="dxa"/>
            <w:noWrap/>
            <w:vAlign w:val="center"/>
          </w:tcPr>
          <w:p>
            <w:pPr>
              <w:jc w:val="center"/>
              <w:rPr>
                <w:rFonts w:hint="eastAsia" w:ascii="宋体" w:hAnsi="宋体"/>
                <w:szCs w:val="21"/>
              </w:rPr>
            </w:pPr>
            <w:r>
              <w:rPr>
                <w:rFonts w:hint="eastAsia" w:ascii="宋体" w:hAnsi="宋体"/>
                <w:szCs w:val="21"/>
              </w:rPr>
              <w:t>耐高温性能</w:t>
            </w:r>
          </w:p>
        </w:tc>
        <w:tc>
          <w:tcPr>
            <w:tcW w:w="2223" w:type="dxa"/>
            <w:vAlign w:val="center"/>
          </w:tcPr>
          <w:p>
            <w:pPr>
              <w:rPr>
                <w:rFonts w:hint="eastAsia" w:ascii="宋体" w:hAnsi="宋体"/>
                <w:szCs w:val="21"/>
              </w:rPr>
            </w:pPr>
            <w:r>
              <w:rPr>
                <w:rFonts w:hint="eastAsia" w:ascii="宋体" w:hAnsi="宋体"/>
                <w:szCs w:val="21"/>
              </w:rPr>
              <w:t>高温环境中阀门可以正常启闭的次数</w:t>
            </w:r>
          </w:p>
        </w:tc>
        <w:tc>
          <w:tcPr>
            <w:tcW w:w="3402" w:type="dxa"/>
            <w:vAlign w:val="center"/>
          </w:tcPr>
          <w:p>
            <w:pPr>
              <w:rPr>
                <w:rFonts w:hint="eastAsia" w:ascii="宋体" w:hAnsi="宋体"/>
                <w:szCs w:val="21"/>
              </w:rPr>
            </w:pPr>
            <w:r>
              <w:rPr>
                <w:rFonts w:hint="eastAsia" w:ascii="宋体" w:hAnsi="宋体"/>
                <w:szCs w:val="21"/>
              </w:rPr>
              <w:t>1.在280℃高温环境中，1h内风阀能每隔15min正常开启和关闭1次，共计4次，合格得60</w:t>
            </w:r>
            <w:r>
              <w:rPr>
                <w:rFonts w:ascii="宋体" w:hAnsi="宋体"/>
                <w:szCs w:val="21"/>
              </w:rPr>
              <w:t>分</w:t>
            </w:r>
            <w:r>
              <w:rPr>
                <w:rFonts w:hint="eastAsia" w:ascii="宋体" w:hAnsi="宋体"/>
                <w:szCs w:val="21"/>
              </w:rPr>
              <w:t>；</w:t>
            </w:r>
          </w:p>
          <w:p>
            <w:pPr>
              <w:rPr>
                <w:rFonts w:hint="eastAsia" w:ascii="宋体" w:hAnsi="宋体"/>
                <w:szCs w:val="21"/>
              </w:rPr>
            </w:pPr>
            <w:r>
              <w:rPr>
                <w:rFonts w:hint="eastAsia" w:ascii="宋体" w:hAnsi="宋体"/>
                <w:szCs w:val="21"/>
              </w:rPr>
              <w:t>2.</w:t>
            </w:r>
            <w:r>
              <w:rPr>
                <w:rFonts w:ascii="宋体" w:hAnsi="宋体"/>
                <w:szCs w:val="21"/>
              </w:rPr>
              <w:t>在280℃高温环境中，2h内风阀能每隔15min正常开启和关闭1次，共计8次，合格得80分；</w:t>
            </w:r>
          </w:p>
          <w:p>
            <w:pPr>
              <w:rPr>
                <w:rFonts w:hint="eastAsia" w:ascii="宋体" w:hAnsi="宋体"/>
                <w:szCs w:val="21"/>
              </w:rPr>
            </w:pPr>
            <w:r>
              <w:rPr>
                <w:rFonts w:hint="eastAsia" w:ascii="宋体" w:hAnsi="宋体"/>
                <w:szCs w:val="21"/>
              </w:rPr>
              <w:t>3.在400℃高温环境中，1h内风阀能每隔15min正常开启和关闭1次，共计4次，合格得100</w:t>
            </w:r>
            <w:r>
              <w:rPr>
                <w:rFonts w:ascii="宋体" w:hAnsi="宋体"/>
                <w:szCs w:val="21"/>
              </w:rPr>
              <w:t>分</w:t>
            </w:r>
            <w:r>
              <w:rPr>
                <w:rFonts w:hint="eastAsia" w:ascii="宋体" w:hAnsi="宋体"/>
                <w:szCs w:val="21"/>
              </w:rPr>
              <w:t>。</w:t>
            </w:r>
          </w:p>
        </w:tc>
        <w:tc>
          <w:tcPr>
            <w:tcW w:w="710" w:type="dxa"/>
            <w:noWrap/>
            <w:vAlign w:val="center"/>
          </w:tcPr>
          <w:p>
            <w:pPr>
              <w:jc w:val="center"/>
              <w:rPr>
                <w:rFonts w:hint="eastAsia" w:ascii="宋体" w:hAnsi="宋体"/>
                <w:szCs w:val="21"/>
              </w:rPr>
            </w:pPr>
            <w:r>
              <w:rPr>
                <w:rFonts w:hint="eastAsia" w:ascii="宋体" w:hAnsi="宋体"/>
                <w:szCs w:val="21"/>
              </w:rPr>
              <w:t>0.2</w:t>
            </w:r>
          </w:p>
        </w:tc>
        <w:tc>
          <w:tcPr>
            <w:tcW w:w="4818" w:type="dxa"/>
            <w:vAlign w:val="center"/>
          </w:tcPr>
          <w:p>
            <w:pP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0" w:hRule="atLeast"/>
        </w:trPr>
        <w:tc>
          <w:tcPr>
            <w:tcW w:w="699" w:type="dxa"/>
            <w:noWrap/>
            <w:vAlign w:val="center"/>
          </w:tcPr>
          <w:p>
            <w:pPr>
              <w:jc w:val="center"/>
              <w:rPr>
                <w:rFonts w:hint="eastAsia" w:ascii="宋体" w:hAnsi="宋体"/>
                <w:szCs w:val="21"/>
              </w:rPr>
            </w:pPr>
            <w:r>
              <w:rPr>
                <w:rFonts w:hint="eastAsia" w:ascii="宋体" w:hAnsi="宋体"/>
                <w:szCs w:val="21"/>
              </w:rPr>
              <w:t>4</w:t>
            </w:r>
          </w:p>
        </w:tc>
        <w:tc>
          <w:tcPr>
            <w:tcW w:w="2035" w:type="dxa"/>
            <w:noWrap/>
            <w:vAlign w:val="center"/>
          </w:tcPr>
          <w:p>
            <w:pPr>
              <w:jc w:val="center"/>
              <w:rPr>
                <w:rFonts w:hint="eastAsia" w:ascii="宋体" w:hAnsi="宋体"/>
                <w:szCs w:val="21"/>
              </w:rPr>
            </w:pPr>
            <w:r>
              <w:rPr>
                <w:rFonts w:hint="eastAsia" w:ascii="宋体" w:hAnsi="宋体"/>
                <w:szCs w:val="21"/>
              </w:rPr>
              <w:t>执行器控制安全</w:t>
            </w:r>
          </w:p>
        </w:tc>
        <w:tc>
          <w:tcPr>
            <w:tcW w:w="2223" w:type="dxa"/>
            <w:tcBorders>
              <w:top w:val="nil"/>
              <w:left w:val="nil"/>
              <w:bottom w:val="single" w:color="auto" w:sz="4" w:space="0"/>
              <w:right w:val="single" w:color="auto" w:sz="4" w:space="0"/>
            </w:tcBorders>
            <w:vAlign w:val="center"/>
          </w:tcPr>
          <w:p>
            <w:pPr>
              <w:rPr>
                <w:rFonts w:hint="eastAsia" w:ascii="宋体" w:hAnsi="宋体"/>
                <w:szCs w:val="21"/>
              </w:rPr>
            </w:pPr>
            <w:r>
              <w:rPr>
                <w:rFonts w:hint="eastAsia" w:ascii="宋体" w:hAnsi="宋体"/>
                <w:szCs w:val="21"/>
              </w:rPr>
              <w:t>防火阀门对应关闭方式</w:t>
            </w:r>
          </w:p>
        </w:tc>
        <w:tc>
          <w:tcPr>
            <w:tcW w:w="3402" w:type="dxa"/>
            <w:vAlign w:val="center"/>
          </w:tcPr>
          <w:p>
            <w:pPr>
              <w:rPr>
                <w:rFonts w:hint="eastAsia" w:ascii="宋体" w:hAnsi="宋体"/>
                <w:szCs w:val="21"/>
              </w:rPr>
            </w:pPr>
            <w:r>
              <w:rPr>
                <w:rFonts w:hint="eastAsia" w:ascii="宋体" w:hAnsi="宋体"/>
                <w:szCs w:val="21"/>
              </w:rPr>
              <w:t>1.自复位，电磁铁弹簧开启，得60</w:t>
            </w:r>
            <w:r>
              <w:rPr>
                <w:rFonts w:ascii="宋体" w:hAnsi="宋体"/>
                <w:szCs w:val="21"/>
              </w:rPr>
              <w:t>分</w:t>
            </w:r>
            <w:r>
              <w:rPr>
                <w:rFonts w:hint="eastAsia" w:ascii="宋体" w:hAnsi="宋体"/>
                <w:szCs w:val="21"/>
              </w:rPr>
              <w:t xml:space="preserve">； </w:t>
            </w:r>
          </w:p>
          <w:p>
            <w:pPr>
              <w:rPr>
                <w:rFonts w:hint="eastAsia" w:ascii="宋体" w:hAnsi="宋体"/>
                <w:szCs w:val="21"/>
              </w:rPr>
            </w:pPr>
            <w:r>
              <w:rPr>
                <w:rFonts w:hint="eastAsia" w:ascii="宋体" w:hAnsi="宋体"/>
                <w:szCs w:val="21"/>
              </w:rPr>
              <w:t>2.自复位, Fail safe, 电机断电开启，得80</w:t>
            </w:r>
            <w:r>
              <w:rPr>
                <w:rFonts w:ascii="宋体" w:hAnsi="宋体"/>
                <w:szCs w:val="21"/>
              </w:rPr>
              <w:t>分</w:t>
            </w:r>
            <w:r>
              <w:rPr>
                <w:rFonts w:hint="eastAsia" w:ascii="宋体" w:hAnsi="宋体"/>
                <w:szCs w:val="21"/>
              </w:rPr>
              <w:t>；</w:t>
            </w:r>
          </w:p>
          <w:p>
            <w:pPr>
              <w:rPr>
                <w:rFonts w:hint="eastAsia" w:ascii="宋体" w:hAnsi="宋体"/>
                <w:szCs w:val="21"/>
              </w:rPr>
            </w:pPr>
            <w:r>
              <w:rPr>
                <w:rFonts w:hint="eastAsia" w:ascii="宋体" w:hAnsi="宋体"/>
                <w:szCs w:val="21"/>
              </w:rPr>
              <w:t>3.电机控制开启，得100</w:t>
            </w:r>
            <w:r>
              <w:rPr>
                <w:rFonts w:ascii="宋体" w:hAnsi="宋体"/>
                <w:szCs w:val="21"/>
              </w:rPr>
              <w:t>分</w:t>
            </w:r>
            <w:r>
              <w:rPr>
                <w:rFonts w:hint="eastAsia" w:ascii="宋体" w:hAnsi="宋体"/>
                <w:szCs w:val="21"/>
              </w:rPr>
              <w:t>；</w:t>
            </w:r>
          </w:p>
        </w:tc>
        <w:tc>
          <w:tcPr>
            <w:tcW w:w="710" w:type="dxa"/>
            <w:noWrap/>
            <w:vAlign w:val="center"/>
          </w:tcPr>
          <w:p>
            <w:pPr>
              <w:jc w:val="center"/>
              <w:rPr>
                <w:rFonts w:hint="eastAsia" w:ascii="宋体" w:hAnsi="宋体"/>
                <w:szCs w:val="21"/>
              </w:rPr>
            </w:pPr>
            <w:r>
              <w:rPr>
                <w:rFonts w:hint="eastAsia" w:ascii="宋体" w:hAnsi="宋体"/>
                <w:szCs w:val="21"/>
              </w:rPr>
              <w:t>0.1</w:t>
            </w:r>
          </w:p>
        </w:tc>
        <w:tc>
          <w:tcPr>
            <w:tcW w:w="4818" w:type="dxa"/>
            <w:vAlign w:val="center"/>
          </w:tcPr>
          <w:p>
            <w:pP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trPr>
        <w:tc>
          <w:tcPr>
            <w:tcW w:w="699" w:type="dxa"/>
            <w:noWrap/>
            <w:vAlign w:val="center"/>
          </w:tcPr>
          <w:p>
            <w:pPr>
              <w:jc w:val="center"/>
              <w:rPr>
                <w:rFonts w:hint="eastAsia" w:ascii="宋体" w:hAnsi="宋体"/>
                <w:szCs w:val="21"/>
              </w:rPr>
            </w:pPr>
            <w:r>
              <w:rPr>
                <w:rFonts w:hint="eastAsia" w:ascii="宋体" w:hAnsi="宋体"/>
                <w:szCs w:val="21"/>
              </w:rPr>
              <w:t>5</w:t>
            </w:r>
          </w:p>
        </w:tc>
        <w:tc>
          <w:tcPr>
            <w:tcW w:w="2035" w:type="dxa"/>
            <w:noWrap/>
            <w:vAlign w:val="center"/>
          </w:tcPr>
          <w:p>
            <w:pPr>
              <w:jc w:val="center"/>
              <w:rPr>
                <w:rFonts w:hint="eastAsia" w:ascii="宋体" w:hAnsi="宋体"/>
                <w:szCs w:val="21"/>
              </w:rPr>
            </w:pPr>
            <w:r>
              <w:rPr>
                <w:rFonts w:hint="eastAsia" w:ascii="宋体" w:hAnsi="宋体"/>
                <w:szCs w:val="21"/>
              </w:rPr>
              <w:t>执行器防护等级</w:t>
            </w:r>
          </w:p>
        </w:tc>
        <w:tc>
          <w:tcPr>
            <w:tcW w:w="2223" w:type="dxa"/>
            <w:tcBorders>
              <w:top w:val="single" w:color="auto" w:sz="4" w:space="0"/>
              <w:left w:val="nil"/>
              <w:bottom w:val="single" w:color="auto" w:sz="4" w:space="0"/>
              <w:right w:val="single" w:color="auto" w:sz="4" w:space="0"/>
            </w:tcBorders>
            <w:vAlign w:val="center"/>
          </w:tcPr>
          <w:p>
            <w:pPr>
              <w:rPr>
                <w:rFonts w:hint="eastAsia" w:ascii="宋体" w:hAnsi="宋体"/>
                <w:szCs w:val="21"/>
              </w:rPr>
            </w:pPr>
            <w:r>
              <w:rPr>
                <w:rFonts w:hint="eastAsia" w:ascii="宋体" w:hAnsi="宋体"/>
                <w:szCs w:val="21"/>
              </w:rPr>
              <w:t>IP</w:t>
            </w:r>
            <w:r>
              <w:rPr>
                <w:rFonts w:ascii="宋体" w:hAnsi="宋体"/>
                <w:szCs w:val="21"/>
              </w:rPr>
              <w:t>防护等级</w:t>
            </w:r>
          </w:p>
        </w:tc>
        <w:tc>
          <w:tcPr>
            <w:tcW w:w="3402" w:type="dxa"/>
            <w:vAlign w:val="center"/>
          </w:tcPr>
          <w:p>
            <w:pPr>
              <w:widowControl/>
              <w:jc w:val="left"/>
              <w:textAlignment w:val="top"/>
              <w:rPr>
                <w:rFonts w:hint="eastAsia" w:ascii="宋体" w:hAnsi="宋体"/>
                <w:szCs w:val="21"/>
              </w:rPr>
            </w:pPr>
            <w:r>
              <w:rPr>
                <w:rFonts w:hint="eastAsia" w:ascii="宋体" w:hAnsi="宋体"/>
                <w:szCs w:val="21"/>
              </w:rPr>
              <w:t>防火阀的执行器及温感器，应具备一定的IP防护等级：</w:t>
            </w:r>
          </w:p>
          <w:p>
            <w:pPr>
              <w:widowControl/>
              <w:jc w:val="left"/>
              <w:textAlignment w:val="top"/>
              <w:rPr>
                <w:rFonts w:hint="eastAsia" w:ascii="宋体" w:hAnsi="宋体"/>
                <w:szCs w:val="21"/>
              </w:rPr>
            </w:pPr>
            <w:r>
              <w:rPr>
                <w:rFonts w:hint="eastAsia" w:ascii="宋体" w:hAnsi="宋体"/>
                <w:szCs w:val="21"/>
              </w:rPr>
              <w:t>1.IP20≤IP等级＜IP42，得60分；</w:t>
            </w:r>
          </w:p>
          <w:p>
            <w:pPr>
              <w:widowControl/>
              <w:jc w:val="left"/>
              <w:textAlignment w:val="top"/>
              <w:rPr>
                <w:rFonts w:hint="eastAsia" w:ascii="宋体" w:hAnsi="宋体"/>
                <w:szCs w:val="21"/>
              </w:rPr>
            </w:pPr>
            <w:r>
              <w:rPr>
                <w:rFonts w:hint="eastAsia" w:ascii="宋体" w:hAnsi="宋体"/>
                <w:szCs w:val="21"/>
              </w:rPr>
              <w:t>2.IP42≤IP等级＜IP54，得80分；</w:t>
            </w:r>
          </w:p>
          <w:p>
            <w:pPr>
              <w:widowControl/>
              <w:jc w:val="left"/>
              <w:textAlignment w:val="top"/>
              <w:rPr>
                <w:rFonts w:hint="eastAsia" w:ascii="宋体" w:hAnsi="宋体"/>
                <w:szCs w:val="21"/>
              </w:rPr>
            </w:pPr>
            <w:r>
              <w:rPr>
                <w:rFonts w:hint="eastAsia" w:ascii="宋体" w:hAnsi="宋体"/>
                <w:szCs w:val="21"/>
              </w:rPr>
              <w:t>3.IP54及以上，得100分；</w:t>
            </w:r>
          </w:p>
        </w:tc>
        <w:tc>
          <w:tcPr>
            <w:tcW w:w="710" w:type="dxa"/>
            <w:noWrap/>
            <w:vAlign w:val="center"/>
          </w:tcPr>
          <w:p>
            <w:pPr>
              <w:jc w:val="center"/>
              <w:rPr>
                <w:rFonts w:hint="eastAsia" w:ascii="宋体" w:hAnsi="宋体"/>
                <w:szCs w:val="21"/>
              </w:rPr>
            </w:pPr>
            <w:r>
              <w:rPr>
                <w:rFonts w:hint="eastAsia" w:ascii="宋体" w:hAnsi="宋体"/>
                <w:szCs w:val="21"/>
              </w:rPr>
              <w:t>0.1</w:t>
            </w:r>
          </w:p>
        </w:tc>
        <w:tc>
          <w:tcPr>
            <w:tcW w:w="4818" w:type="dxa"/>
            <w:vAlign w:val="center"/>
          </w:tcPr>
          <w:p>
            <w:pP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8" w:hRule="atLeast"/>
        </w:trPr>
        <w:tc>
          <w:tcPr>
            <w:tcW w:w="699" w:type="dxa"/>
            <w:noWrap/>
            <w:vAlign w:val="center"/>
          </w:tcPr>
          <w:p>
            <w:pPr>
              <w:jc w:val="center"/>
              <w:rPr>
                <w:rFonts w:hint="eastAsia" w:ascii="宋体" w:hAnsi="宋体"/>
                <w:szCs w:val="21"/>
              </w:rPr>
            </w:pPr>
            <w:r>
              <w:rPr>
                <w:rFonts w:hint="eastAsia" w:ascii="宋体" w:hAnsi="宋体"/>
                <w:szCs w:val="21"/>
              </w:rPr>
              <w:t>6</w:t>
            </w:r>
          </w:p>
        </w:tc>
        <w:tc>
          <w:tcPr>
            <w:tcW w:w="2035" w:type="dxa"/>
            <w:noWrap/>
            <w:vAlign w:val="center"/>
          </w:tcPr>
          <w:p>
            <w:pPr>
              <w:jc w:val="center"/>
              <w:rPr>
                <w:rFonts w:hint="eastAsia" w:ascii="宋体" w:hAnsi="宋体"/>
                <w:szCs w:val="21"/>
              </w:rPr>
            </w:pPr>
            <w:r>
              <w:rPr>
                <w:rFonts w:hint="eastAsia" w:ascii="宋体" w:hAnsi="宋体"/>
                <w:szCs w:val="21"/>
              </w:rPr>
              <w:t>执行器的调节性能</w:t>
            </w:r>
          </w:p>
        </w:tc>
        <w:tc>
          <w:tcPr>
            <w:tcW w:w="2223" w:type="dxa"/>
            <w:vAlign w:val="center"/>
          </w:tcPr>
          <w:p>
            <w:pPr>
              <w:rPr>
                <w:rFonts w:hint="eastAsia" w:ascii="宋体" w:hAnsi="宋体"/>
                <w:szCs w:val="21"/>
              </w:rPr>
            </w:pPr>
            <w:r>
              <w:rPr>
                <w:rFonts w:hint="eastAsia" w:ascii="宋体" w:hAnsi="宋体"/>
                <w:szCs w:val="21"/>
              </w:rPr>
              <w:t>风量调节的方式</w:t>
            </w:r>
          </w:p>
        </w:tc>
        <w:tc>
          <w:tcPr>
            <w:tcW w:w="3402" w:type="dxa"/>
            <w:vAlign w:val="center"/>
          </w:tcPr>
          <w:p>
            <w:pPr>
              <w:rPr>
                <w:rFonts w:hint="eastAsia" w:ascii="宋体" w:hAnsi="宋体"/>
                <w:szCs w:val="21"/>
              </w:rPr>
            </w:pPr>
            <w:r>
              <w:rPr>
                <w:rFonts w:hint="eastAsia" w:ascii="宋体" w:hAnsi="宋体"/>
                <w:szCs w:val="21"/>
              </w:rPr>
              <w:t>风量调节性能：</w:t>
            </w:r>
          </w:p>
          <w:p>
            <w:pPr>
              <w:rPr>
                <w:rFonts w:hint="eastAsia" w:ascii="宋体" w:hAnsi="宋体"/>
                <w:szCs w:val="21"/>
              </w:rPr>
            </w:pPr>
            <w:r>
              <w:rPr>
                <w:rFonts w:hint="eastAsia" w:ascii="宋体" w:hAnsi="宋体"/>
                <w:szCs w:val="21"/>
              </w:rPr>
              <w:t>1.手动调节，得60分；</w:t>
            </w:r>
          </w:p>
          <w:p>
            <w:pPr>
              <w:rPr>
                <w:rFonts w:hint="eastAsia" w:ascii="宋体" w:hAnsi="宋体"/>
                <w:szCs w:val="21"/>
              </w:rPr>
            </w:pPr>
            <w:r>
              <w:rPr>
                <w:rFonts w:hint="eastAsia" w:ascii="宋体" w:hAnsi="宋体"/>
                <w:szCs w:val="21"/>
              </w:rPr>
              <w:t>2.电动调节（一体），得100分。</w:t>
            </w:r>
          </w:p>
        </w:tc>
        <w:tc>
          <w:tcPr>
            <w:tcW w:w="710" w:type="dxa"/>
            <w:noWrap/>
            <w:vAlign w:val="center"/>
          </w:tcPr>
          <w:p>
            <w:pPr>
              <w:jc w:val="center"/>
              <w:rPr>
                <w:rFonts w:hint="eastAsia" w:ascii="宋体" w:hAnsi="宋体"/>
                <w:szCs w:val="21"/>
              </w:rPr>
            </w:pPr>
            <w:r>
              <w:rPr>
                <w:rFonts w:hint="eastAsia" w:ascii="宋体" w:hAnsi="宋体"/>
                <w:szCs w:val="21"/>
              </w:rPr>
              <w:t>0.1</w:t>
            </w:r>
          </w:p>
        </w:tc>
        <w:tc>
          <w:tcPr>
            <w:tcW w:w="4818" w:type="dxa"/>
            <w:vAlign w:val="center"/>
          </w:tcPr>
          <w:p>
            <w:pPr>
              <w:rPr>
                <w:rFonts w:hint="eastAsia" w:ascii="宋体" w:hAnsi="宋体"/>
                <w:szCs w:val="21"/>
              </w:rPr>
            </w:pPr>
            <w:r>
              <w:rPr>
                <w:rFonts w:hint="eastAsia" w:ascii="宋体" w:hAnsi="宋体"/>
                <w:szCs w:val="21"/>
              </w:rPr>
              <w:t>“一体”的意思是，既可以电动调节（分级），又可以手动调节（无级）。</w:t>
            </w:r>
          </w:p>
        </w:tc>
      </w:tr>
    </w:tbl>
    <w:p>
      <w:pPr>
        <w:widowControl/>
        <w:jc w:val="center"/>
        <w:rPr>
          <w:rFonts w:hint="eastAsia" w:ascii="宋体" w:hAnsi="宋体" w:eastAsia="宋体" w:cs="Times New Roman"/>
          <w:szCs w:val="21"/>
        </w:rPr>
      </w:pPr>
      <w:bookmarkStart w:id="47" w:name="OLE_LINK16"/>
      <w:r>
        <w:rPr>
          <w:rFonts w:hint="eastAsia" w:ascii="宋体" w:hAnsi="宋体" w:eastAsia="宋体" w:cs="Times New Roman"/>
          <w:b/>
          <w:bCs/>
          <w:szCs w:val="21"/>
        </w:rPr>
        <w:t>表</w:t>
      </w:r>
      <w:r>
        <w:rPr>
          <w:rFonts w:ascii="宋体" w:hAnsi="宋体" w:eastAsia="宋体" w:cs="Times New Roman"/>
          <w:b/>
          <w:bCs/>
          <w:szCs w:val="21"/>
        </w:rPr>
        <w:t>4.2.2-</w:t>
      </w:r>
      <w:r>
        <w:rPr>
          <w:rFonts w:hint="eastAsia" w:ascii="宋体" w:hAnsi="宋体" w:eastAsia="宋体" w:cs="Times New Roman"/>
          <w:b/>
          <w:bCs/>
          <w:szCs w:val="21"/>
        </w:rPr>
        <w:t>3排烟阀、正压送风优选项评定表</w:t>
      </w:r>
    </w:p>
    <w:bookmarkEnd w:id="47"/>
    <w:tbl>
      <w:tblPr>
        <w:tblStyle w:val="18"/>
        <w:tblW w:w="138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8"/>
        <w:gridCol w:w="1981"/>
        <w:gridCol w:w="2268"/>
        <w:gridCol w:w="3685"/>
        <w:gridCol w:w="709"/>
        <w:gridCol w:w="45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0" w:hRule="atLeast"/>
          <w:tblHeader/>
        </w:trPr>
        <w:tc>
          <w:tcPr>
            <w:tcW w:w="708" w:type="dxa"/>
            <w:noWrap/>
            <w:vAlign w:val="center"/>
          </w:tcPr>
          <w:p>
            <w:pPr>
              <w:jc w:val="center"/>
              <w:rPr>
                <w:b/>
                <w:bCs/>
                <w:szCs w:val="21"/>
              </w:rPr>
            </w:pPr>
            <w:r>
              <w:rPr>
                <w:rFonts w:hint="eastAsia"/>
                <w:b/>
                <w:bCs/>
                <w:szCs w:val="21"/>
              </w:rPr>
              <w:t>序号</w:t>
            </w:r>
          </w:p>
        </w:tc>
        <w:tc>
          <w:tcPr>
            <w:tcW w:w="1981" w:type="dxa"/>
            <w:noWrap/>
            <w:vAlign w:val="center"/>
          </w:tcPr>
          <w:p>
            <w:pPr>
              <w:jc w:val="center"/>
              <w:rPr>
                <w:b/>
                <w:bCs/>
                <w:szCs w:val="21"/>
              </w:rPr>
            </w:pPr>
            <w:r>
              <w:rPr>
                <w:rFonts w:hint="eastAsia"/>
                <w:b/>
                <w:bCs/>
                <w:szCs w:val="21"/>
              </w:rPr>
              <w:t>评定指标</w:t>
            </w:r>
          </w:p>
        </w:tc>
        <w:tc>
          <w:tcPr>
            <w:tcW w:w="2268" w:type="dxa"/>
            <w:noWrap/>
            <w:vAlign w:val="center"/>
          </w:tcPr>
          <w:p>
            <w:pPr>
              <w:jc w:val="center"/>
              <w:rPr>
                <w:b/>
                <w:bCs/>
                <w:szCs w:val="21"/>
              </w:rPr>
            </w:pPr>
            <w:r>
              <w:rPr>
                <w:rFonts w:hint="eastAsia"/>
                <w:b/>
                <w:bCs/>
                <w:szCs w:val="21"/>
              </w:rPr>
              <w:t>优选项</w:t>
            </w:r>
          </w:p>
        </w:tc>
        <w:tc>
          <w:tcPr>
            <w:tcW w:w="3685" w:type="dxa"/>
            <w:noWrap/>
            <w:vAlign w:val="center"/>
          </w:tcPr>
          <w:p>
            <w:pPr>
              <w:jc w:val="center"/>
              <w:rPr>
                <w:b/>
                <w:bCs/>
                <w:szCs w:val="21"/>
              </w:rPr>
            </w:pPr>
            <w:r>
              <w:rPr>
                <w:rFonts w:hint="eastAsia"/>
                <w:b/>
                <w:bCs/>
                <w:szCs w:val="21"/>
              </w:rPr>
              <w:t>评定方法</w:t>
            </w:r>
          </w:p>
        </w:tc>
        <w:tc>
          <w:tcPr>
            <w:tcW w:w="709" w:type="dxa"/>
            <w:vAlign w:val="center"/>
          </w:tcPr>
          <w:p>
            <w:pPr>
              <w:jc w:val="center"/>
              <w:rPr>
                <w:b/>
                <w:bCs/>
                <w:szCs w:val="21"/>
              </w:rPr>
            </w:pPr>
            <w:r>
              <w:rPr>
                <w:rFonts w:hint="eastAsia"/>
                <w:b/>
                <w:bCs/>
                <w:szCs w:val="21"/>
              </w:rPr>
              <w:t>权重因子</w:t>
            </w:r>
          </w:p>
        </w:tc>
        <w:tc>
          <w:tcPr>
            <w:tcW w:w="4536" w:type="dxa"/>
            <w:noWrap/>
            <w:vAlign w:val="center"/>
          </w:tcPr>
          <w:p>
            <w:pPr>
              <w:jc w:val="center"/>
              <w:rPr>
                <w:b/>
                <w:bCs/>
                <w:szCs w:val="21"/>
              </w:rPr>
            </w:pPr>
            <w:r>
              <w:rPr>
                <w:rFonts w:hint="eastAsia"/>
                <w:b/>
                <w:bCs/>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5" w:hRule="atLeast"/>
        </w:trPr>
        <w:tc>
          <w:tcPr>
            <w:tcW w:w="708" w:type="dxa"/>
            <w:noWrap/>
            <w:vAlign w:val="center"/>
          </w:tcPr>
          <w:p>
            <w:pPr>
              <w:jc w:val="center"/>
              <w:rPr>
                <w:rFonts w:hint="eastAsia" w:ascii="宋体" w:hAnsi="宋体"/>
                <w:szCs w:val="21"/>
              </w:rPr>
            </w:pPr>
            <w:r>
              <w:rPr>
                <w:rFonts w:hint="eastAsia" w:ascii="宋体" w:hAnsi="宋体"/>
                <w:szCs w:val="21"/>
              </w:rPr>
              <w:t>1</w:t>
            </w:r>
          </w:p>
        </w:tc>
        <w:tc>
          <w:tcPr>
            <w:tcW w:w="1981" w:type="dxa"/>
            <w:tcBorders>
              <w:top w:val="single" w:color="auto" w:sz="4" w:space="0"/>
              <w:left w:val="nil"/>
              <w:bottom w:val="single" w:color="auto" w:sz="4" w:space="0"/>
              <w:right w:val="single" w:color="auto" w:sz="4" w:space="0"/>
            </w:tcBorders>
            <w:noWrap/>
            <w:vAlign w:val="center"/>
          </w:tcPr>
          <w:p>
            <w:pPr>
              <w:jc w:val="center"/>
              <w:rPr>
                <w:rFonts w:hint="eastAsia" w:ascii="宋体" w:hAnsi="宋体"/>
                <w:szCs w:val="21"/>
              </w:rPr>
            </w:pPr>
            <w:r>
              <w:rPr>
                <w:rFonts w:hint="eastAsia" w:ascii="宋体" w:hAnsi="宋体"/>
                <w:szCs w:val="21"/>
              </w:rPr>
              <w:t>执行器安全性</w:t>
            </w:r>
          </w:p>
        </w:tc>
        <w:tc>
          <w:tcPr>
            <w:tcW w:w="2268" w:type="dxa"/>
            <w:tcBorders>
              <w:top w:val="single" w:color="auto" w:sz="4" w:space="0"/>
              <w:left w:val="nil"/>
              <w:bottom w:val="single" w:color="auto" w:sz="4" w:space="0"/>
              <w:right w:val="single" w:color="auto" w:sz="4" w:space="0"/>
            </w:tcBorders>
            <w:vAlign w:val="center"/>
          </w:tcPr>
          <w:p>
            <w:pPr>
              <w:jc w:val="left"/>
              <w:rPr>
                <w:rFonts w:hint="eastAsia" w:ascii="宋体" w:hAnsi="宋体"/>
                <w:szCs w:val="21"/>
              </w:rPr>
            </w:pPr>
            <w:r>
              <w:rPr>
                <w:rFonts w:hint="eastAsia" w:ascii="宋体" w:hAnsi="宋体"/>
                <w:szCs w:val="21"/>
              </w:rPr>
              <w:t>执行器有阀门锁止装置</w:t>
            </w:r>
          </w:p>
        </w:tc>
        <w:tc>
          <w:tcPr>
            <w:tcW w:w="3685" w:type="dxa"/>
            <w:tcBorders>
              <w:top w:val="single" w:color="auto" w:sz="4" w:space="0"/>
              <w:left w:val="nil"/>
              <w:bottom w:val="single" w:color="auto" w:sz="4" w:space="0"/>
              <w:right w:val="single" w:color="auto" w:sz="4" w:space="0"/>
            </w:tcBorders>
            <w:vAlign w:val="center"/>
          </w:tcPr>
          <w:p>
            <w:pPr>
              <w:jc w:val="left"/>
              <w:rPr>
                <w:rFonts w:hint="eastAsia" w:ascii="宋体" w:hAnsi="宋体"/>
                <w:szCs w:val="21"/>
              </w:rPr>
            </w:pPr>
            <w:r>
              <w:rPr>
                <w:rFonts w:hint="eastAsia" w:ascii="宋体" w:hAnsi="宋体"/>
                <w:szCs w:val="21"/>
              </w:rPr>
              <w:t>当执行器受到高温侵袭驱动阀门关闭后，执行器有防止阀门受高温气体膨胀再次打开的锁止装置，有此装置得2分。</w:t>
            </w:r>
          </w:p>
        </w:tc>
        <w:tc>
          <w:tcPr>
            <w:tcW w:w="709" w:type="dxa"/>
            <w:tcBorders>
              <w:top w:val="single" w:color="auto" w:sz="4" w:space="0"/>
              <w:left w:val="nil"/>
              <w:bottom w:val="single" w:color="auto" w:sz="4" w:space="0"/>
              <w:right w:val="single" w:color="auto" w:sz="4" w:space="0"/>
            </w:tcBorders>
            <w:noWrap/>
            <w:vAlign w:val="center"/>
          </w:tcPr>
          <w:p>
            <w:pPr>
              <w:jc w:val="center"/>
              <w:rPr>
                <w:rFonts w:hint="eastAsia" w:ascii="宋体" w:hAnsi="宋体"/>
                <w:szCs w:val="21"/>
              </w:rPr>
            </w:pPr>
            <w:r>
              <w:rPr>
                <w:rFonts w:hint="eastAsia" w:ascii="宋体" w:hAnsi="宋体"/>
                <w:szCs w:val="21"/>
              </w:rPr>
              <w:t>1.0</w:t>
            </w:r>
          </w:p>
        </w:tc>
        <w:tc>
          <w:tcPr>
            <w:tcW w:w="4536" w:type="dxa"/>
            <w:tcBorders>
              <w:top w:val="single" w:color="auto" w:sz="4" w:space="0"/>
              <w:left w:val="nil"/>
              <w:bottom w:val="single" w:color="auto" w:sz="4" w:space="0"/>
              <w:right w:val="single" w:color="auto" w:sz="4" w:space="0"/>
            </w:tcBorders>
            <w:vAlign w:val="center"/>
          </w:tcPr>
          <w:p>
            <w:pPr>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708" w:type="dxa"/>
            <w:noWrap/>
            <w:vAlign w:val="center"/>
          </w:tcPr>
          <w:p>
            <w:pPr>
              <w:jc w:val="center"/>
              <w:rPr>
                <w:rFonts w:hint="eastAsia" w:ascii="宋体" w:hAnsi="宋体"/>
                <w:szCs w:val="21"/>
              </w:rPr>
            </w:pPr>
            <w:r>
              <w:rPr>
                <w:rFonts w:hint="eastAsia" w:ascii="宋体" w:hAnsi="宋体"/>
                <w:szCs w:val="21"/>
              </w:rPr>
              <w:t>2</w:t>
            </w:r>
          </w:p>
        </w:tc>
        <w:tc>
          <w:tcPr>
            <w:tcW w:w="1981" w:type="dxa"/>
            <w:tcBorders>
              <w:top w:val="nil"/>
              <w:left w:val="nil"/>
              <w:bottom w:val="single" w:color="auto" w:sz="4" w:space="0"/>
              <w:right w:val="single" w:color="auto" w:sz="4" w:space="0"/>
            </w:tcBorders>
            <w:noWrap/>
            <w:vAlign w:val="center"/>
          </w:tcPr>
          <w:p>
            <w:pPr>
              <w:jc w:val="center"/>
              <w:rPr>
                <w:rFonts w:hint="eastAsia" w:ascii="宋体" w:hAnsi="宋体"/>
                <w:szCs w:val="21"/>
              </w:rPr>
            </w:pPr>
            <w:r>
              <w:rPr>
                <w:rFonts w:hint="eastAsia" w:ascii="宋体" w:hAnsi="宋体"/>
                <w:szCs w:val="21"/>
              </w:rPr>
              <w:t>执行器物联网功能</w:t>
            </w:r>
          </w:p>
        </w:tc>
        <w:tc>
          <w:tcPr>
            <w:tcW w:w="2268" w:type="dxa"/>
            <w:tcBorders>
              <w:top w:val="nil"/>
              <w:left w:val="nil"/>
              <w:bottom w:val="single" w:color="auto" w:sz="4" w:space="0"/>
              <w:right w:val="single" w:color="auto" w:sz="4" w:space="0"/>
            </w:tcBorders>
            <w:vAlign w:val="center"/>
          </w:tcPr>
          <w:p>
            <w:pPr>
              <w:jc w:val="left"/>
              <w:rPr>
                <w:rFonts w:hint="eastAsia" w:ascii="宋体" w:hAnsi="宋体"/>
                <w:szCs w:val="21"/>
              </w:rPr>
            </w:pPr>
            <w:r>
              <w:rPr>
                <w:rFonts w:hint="eastAsia" w:ascii="宋体" w:hAnsi="宋体"/>
                <w:szCs w:val="21"/>
              </w:rPr>
              <w:t>执行器有物联网功能</w:t>
            </w:r>
          </w:p>
        </w:tc>
        <w:tc>
          <w:tcPr>
            <w:tcW w:w="3685" w:type="dxa"/>
            <w:tcBorders>
              <w:top w:val="nil"/>
              <w:left w:val="nil"/>
              <w:bottom w:val="single" w:color="auto" w:sz="4" w:space="0"/>
              <w:right w:val="single" w:color="auto" w:sz="4" w:space="0"/>
            </w:tcBorders>
            <w:vAlign w:val="center"/>
          </w:tcPr>
          <w:p>
            <w:pPr>
              <w:widowControl/>
              <w:jc w:val="left"/>
              <w:textAlignment w:val="top"/>
              <w:rPr>
                <w:rFonts w:hint="eastAsia" w:ascii="宋体" w:hAnsi="宋体"/>
                <w:szCs w:val="21"/>
              </w:rPr>
            </w:pPr>
            <w:r>
              <w:rPr>
                <w:rFonts w:hint="eastAsia" w:ascii="宋体" w:hAnsi="宋体"/>
                <w:szCs w:val="21"/>
              </w:rPr>
              <w:t>具有NBIOT，4G/5G/6G, LORA，Wifi，NFC，Bluetooth等互联功能：</w:t>
            </w:r>
          </w:p>
          <w:p>
            <w:pPr>
              <w:widowControl/>
              <w:jc w:val="left"/>
              <w:textAlignment w:val="top"/>
              <w:rPr>
                <w:rFonts w:hint="eastAsia" w:ascii="宋体" w:hAnsi="宋体"/>
                <w:szCs w:val="21"/>
              </w:rPr>
            </w:pPr>
            <w:r>
              <w:rPr>
                <w:rFonts w:hint="eastAsia" w:ascii="宋体" w:hAnsi="宋体"/>
                <w:szCs w:val="21"/>
              </w:rPr>
              <w:t>1</w:t>
            </w:r>
            <w:r>
              <w:rPr>
                <w:rFonts w:ascii="宋体" w:hAnsi="宋体"/>
                <w:szCs w:val="21"/>
              </w:rPr>
              <w:t>）</w:t>
            </w:r>
            <w:r>
              <w:rPr>
                <w:rFonts w:hint="eastAsia" w:ascii="宋体" w:hAnsi="宋体"/>
                <w:szCs w:val="21"/>
              </w:rPr>
              <w:t>传输阀门位置状态，阀门状态等</w:t>
            </w:r>
          </w:p>
          <w:p>
            <w:pPr>
              <w:widowControl/>
              <w:jc w:val="left"/>
              <w:textAlignment w:val="top"/>
              <w:rPr>
                <w:rFonts w:hint="eastAsia" w:ascii="宋体" w:hAnsi="宋体"/>
                <w:szCs w:val="21"/>
              </w:rPr>
            </w:pPr>
            <w:r>
              <w:rPr>
                <w:rFonts w:hint="eastAsia" w:ascii="宋体" w:hAnsi="宋体"/>
                <w:szCs w:val="21"/>
              </w:rPr>
              <w:t>2</w:t>
            </w:r>
            <w:r>
              <w:rPr>
                <w:rFonts w:ascii="宋体" w:hAnsi="宋体"/>
                <w:szCs w:val="21"/>
              </w:rPr>
              <w:t>）</w:t>
            </w:r>
            <w:r>
              <w:rPr>
                <w:rFonts w:hint="eastAsia" w:ascii="宋体" w:hAnsi="宋体"/>
                <w:szCs w:val="21"/>
              </w:rPr>
              <w:t>传输阀门及执行器的使用寿命信息…</w:t>
            </w:r>
          </w:p>
          <w:p>
            <w:pPr>
              <w:widowControl/>
              <w:jc w:val="left"/>
              <w:textAlignment w:val="top"/>
              <w:rPr>
                <w:rFonts w:hint="eastAsia" w:ascii="宋体" w:hAnsi="宋体"/>
                <w:szCs w:val="21"/>
              </w:rPr>
            </w:pPr>
            <w:r>
              <w:rPr>
                <w:rFonts w:hint="eastAsia" w:ascii="宋体" w:hAnsi="宋体"/>
                <w:szCs w:val="21"/>
              </w:rPr>
              <w:t>3</w:t>
            </w:r>
            <w:r>
              <w:rPr>
                <w:rFonts w:ascii="宋体" w:hAnsi="宋体"/>
                <w:szCs w:val="21"/>
              </w:rPr>
              <w:t>）</w:t>
            </w:r>
            <w:r>
              <w:rPr>
                <w:rFonts w:hint="eastAsia" w:ascii="宋体" w:hAnsi="宋体"/>
                <w:szCs w:val="21"/>
              </w:rPr>
              <w:t>传输阀门状态</w:t>
            </w:r>
          </w:p>
          <w:p>
            <w:pPr>
              <w:jc w:val="left"/>
              <w:rPr>
                <w:rFonts w:hint="eastAsia" w:ascii="宋体" w:hAnsi="宋体"/>
                <w:szCs w:val="21"/>
              </w:rPr>
            </w:pPr>
            <w:r>
              <w:rPr>
                <w:rFonts w:hint="eastAsia" w:ascii="宋体" w:hAnsi="宋体"/>
                <w:szCs w:val="21"/>
              </w:rPr>
              <w:t>有此功能得2分。</w:t>
            </w:r>
          </w:p>
        </w:tc>
        <w:tc>
          <w:tcPr>
            <w:tcW w:w="709" w:type="dxa"/>
            <w:tcBorders>
              <w:top w:val="nil"/>
              <w:left w:val="nil"/>
              <w:bottom w:val="single" w:color="auto" w:sz="4" w:space="0"/>
              <w:right w:val="single" w:color="auto" w:sz="4" w:space="0"/>
            </w:tcBorders>
            <w:noWrap/>
            <w:vAlign w:val="center"/>
          </w:tcPr>
          <w:p>
            <w:pPr>
              <w:jc w:val="center"/>
              <w:rPr>
                <w:rFonts w:hint="eastAsia" w:ascii="宋体" w:hAnsi="宋体"/>
                <w:szCs w:val="21"/>
              </w:rPr>
            </w:pPr>
            <w:r>
              <w:rPr>
                <w:rFonts w:hint="eastAsia" w:ascii="宋体" w:hAnsi="宋体"/>
                <w:szCs w:val="21"/>
              </w:rPr>
              <w:t>1.0</w:t>
            </w:r>
          </w:p>
        </w:tc>
        <w:tc>
          <w:tcPr>
            <w:tcW w:w="4536" w:type="dxa"/>
            <w:tcBorders>
              <w:top w:val="nil"/>
              <w:left w:val="nil"/>
              <w:bottom w:val="single" w:color="auto" w:sz="4" w:space="0"/>
              <w:right w:val="single" w:color="auto" w:sz="4" w:space="0"/>
            </w:tcBorders>
            <w:vAlign w:val="center"/>
          </w:tcPr>
          <w:p>
            <w:pPr>
              <w:jc w:val="center"/>
              <w:rPr>
                <w:rFonts w:hint="eastAsia" w:ascii="宋体" w:hAnsi="宋体"/>
                <w:szCs w:val="21"/>
              </w:rPr>
            </w:pPr>
            <w:r>
              <w:rPr>
                <w:rFonts w:hint="eastAsia" w:ascii="宋体" w:hAnsi="宋体"/>
                <w:szCs w:val="21"/>
              </w:rPr>
              <w:t>具备该功能应该有抗干扰功能及合理的寿命，传输阀门状态主要是指执行器工作状态，执行器扭矩状态等。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5" w:hRule="atLeast"/>
        </w:trPr>
        <w:tc>
          <w:tcPr>
            <w:tcW w:w="708" w:type="dxa"/>
            <w:noWrap/>
            <w:vAlign w:val="center"/>
          </w:tcPr>
          <w:p>
            <w:pPr>
              <w:jc w:val="center"/>
              <w:rPr>
                <w:rFonts w:hint="eastAsia" w:ascii="宋体" w:hAnsi="宋体"/>
                <w:szCs w:val="21"/>
              </w:rPr>
            </w:pPr>
            <w:r>
              <w:rPr>
                <w:rFonts w:hint="eastAsia" w:ascii="宋体" w:hAnsi="宋体"/>
                <w:szCs w:val="21"/>
              </w:rPr>
              <w:t>3</w:t>
            </w:r>
          </w:p>
        </w:tc>
        <w:tc>
          <w:tcPr>
            <w:tcW w:w="1981" w:type="dxa"/>
            <w:tcBorders>
              <w:top w:val="nil"/>
              <w:left w:val="nil"/>
              <w:bottom w:val="single" w:color="auto" w:sz="4" w:space="0"/>
              <w:right w:val="single" w:color="auto" w:sz="4" w:space="0"/>
            </w:tcBorders>
            <w:noWrap/>
            <w:vAlign w:val="center"/>
          </w:tcPr>
          <w:p>
            <w:pPr>
              <w:jc w:val="center"/>
              <w:rPr>
                <w:rFonts w:hint="eastAsia" w:ascii="宋体" w:hAnsi="宋体"/>
                <w:szCs w:val="21"/>
              </w:rPr>
            </w:pPr>
            <w:r>
              <w:rPr>
                <w:rFonts w:hint="eastAsia" w:ascii="宋体" w:hAnsi="宋体"/>
                <w:szCs w:val="21"/>
              </w:rPr>
              <w:t>阀门隔热性能</w:t>
            </w:r>
          </w:p>
        </w:tc>
        <w:tc>
          <w:tcPr>
            <w:tcW w:w="2268" w:type="dxa"/>
            <w:tcBorders>
              <w:top w:val="nil"/>
              <w:left w:val="nil"/>
              <w:bottom w:val="single" w:color="auto" w:sz="4" w:space="0"/>
              <w:right w:val="single" w:color="auto" w:sz="4" w:space="0"/>
            </w:tcBorders>
            <w:vAlign w:val="center"/>
          </w:tcPr>
          <w:p>
            <w:pPr>
              <w:jc w:val="left"/>
              <w:rPr>
                <w:rFonts w:hint="eastAsia" w:ascii="宋体" w:hAnsi="宋体"/>
                <w:szCs w:val="21"/>
              </w:rPr>
            </w:pPr>
            <w:r>
              <w:rPr>
                <w:rFonts w:hint="eastAsia" w:ascii="宋体" w:hAnsi="宋体"/>
                <w:szCs w:val="21"/>
              </w:rPr>
              <w:t>阀门关闭后其背火面平均温升≤140℃，最大温升≤180℃。</w:t>
            </w:r>
          </w:p>
        </w:tc>
        <w:tc>
          <w:tcPr>
            <w:tcW w:w="3685" w:type="dxa"/>
            <w:tcBorders>
              <w:top w:val="nil"/>
              <w:left w:val="nil"/>
              <w:bottom w:val="single" w:color="auto" w:sz="4" w:space="0"/>
              <w:right w:val="single" w:color="auto" w:sz="4" w:space="0"/>
            </w:tcBorders>
            <w:vAlign w:val="center"/>
          </w:tcPr>
          <w:p>
            <w:pPr>
              <w:jc w:val="left"/>
              <w:rPr>
                <w:rFonts w:hint="eastAsia" w:ascii="宋体" w:hAnsi="宋体"/>
                <w:szCs w:val="21"/>
              </w:rPr>
            </w:pPr>
            <w:r>
              <w:rPr>
                <w:rFonts w:hint="eastAsia" w:ascii="宋体" w:hAnsi="宋体"/>
                <w:szCs w:val="21"/>
              </w:rPr>
              <w:t>1</w:t>
            </w:r>
            <w:r>
              <w:rPr>
                <w:rFonts w:ascii="宋体" w:hAnsi="宋体"/>
                <w:szCs w:val="21"/>
              </w:rPr>
              <w:t>）</w:t>
            </w:r>
            <w:r>
              <w:rPr>
                <w:rFonts w:hint="eastAsia" w:ascii="宋体" w:hAnsi="宋体"/>
                <w:szCs w:val="21"/>
              </w:rPr>
              <w:t>在远离测试炉侧的风阀法兰上至少布置4个温度测点，在阀片关闭后的背火面至少布置3个温度测点；</w:t>
            </w:r>
          </w:p>
          <w:p>
            <w:pPr>
              <w:jc w:val="left"/>
              <w:rPr>
                <w:rFonts w:hint="eastAsia" w:ascii="宋体" w:hAnsi="宋体"/>
                <w:szCs w:val="21"/>
              </w:rPr>
            </w:pPr>
            <w:r>
              <w:rPr>
                <w:rFonts w:hint="eastAsia" w:ascii="宋体" w:hAnsi="宋体"/>
                <w:szCs w:val="21"/>
              </w:rPr>
              <w:t>2）在耐火测试过程中，所有测点的平均温升不超过140℃,任何测点的最大温升不超过180℃；满足以上要求，得2</w:t>
            </w:r>
            <w:r>
              <w:rPr>
                <w:rFonts w:ascii="宋体" w:hAnsi="宋体"/>
                <w:szCs w:val="21"/>
              </w:rPr>
              <w:t>分。</w:t>
            </w:r>
          </w:p>
        </w:tc>
        <w:tc>
          <w:tcPr>
            <w:tcW w:w="709" w:type="dxa"/>
            <w:tcBorders>
              <w:top w:val="nil"/>
              <w:left w:val="nil"/>
              <w:bottom w:val="single" w:color="auto" w:sz="4" w:space="0"/>
              <w:right w:val="single" w:color="auto" w:sz="4" w:space="0"/>
            </w:tcBorders>
            <w:noWrap/>
            <w:vAlign w:val="center"/>
          </w:tcPr>
          <w:p>
            <w:pPr>
              <w:jc w:val="center"/>
              <w:rPr>
                <w:rFonts w:hint="eastAsia" w:ascii="宋体" w:hAnsi="宋体"/>
                <w:szCs w:val="21"/>
              </w:rPr>
            </w:pPr>
            <w:r>
              <w:rPr>
                <w:rFonts w:hint="eastAsia" w:ascii="宋体" w:hAnsi="宋体"/>
                <w:szCs w:val="21"/>
              </w:rPr>
              <w:t>1.0</w:t>
            </w:r>
          </w:p>
        </w:tc>
        <w:tc>
          <w:tcPr>
            <w:tcW w:w="4536" w:type="dxa"/>
            <w:tcBorders>
              <w:top w:val="nil"/>
              <w:left w:val="nil"/>
              <w:bottom w:val="single" w:color="auto" w:sz="4" w:space="0"/>
              <w:right w:val="single" w:color="auto" w:sz="4" w:space="0"/>
            </w:tcBorders>
            <w:vAlign w:val="center"/>
          </w:tcPr>
          <w:p>
            <w:pPr>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576" w:hRule="atLeast"/>
        </w:trPr>
        <w:tc>
          <w:tcPr>
            <w:tcW w:w="708" w:type="dxa"/>
            <w:noWrap/>
            <w:vAlign w:val="center"/>
          </w:tcPr>
          <w:p>
            <w:pPr>
              <w:jc w:val="center"/>
              <w:rPr>
                <w:rFonts w:hint="eastAsia" w:ascii="宋体" w:hAnsi="宋体"/>
                <w:szCs w:val="21"/>
              </w:rPr>
            </w:pPr>
            <w:r>
              <w:rPr>
                <w:rFonts w:hint="eastAsia" w:ascii="宋体" w:hAnsi="宋体"/>
                <w:szCs w:val="21"/>
              </w:rPr>
              <w:t>4</w:t>
            </w:r>
          </w:p>
        </w:tc>
        <w:tc>
          <w:tcPr>
            <w:tcW w:w="1981" w:type="dxa"/>
            <w:tcBorders>
              <w:top w:val="nil"/>
              <w:left w:val="nil"/>
              <w:bottom w:val="single" w:color="auto" w:sz="4" w:space="0"/>
              <w:right w:val="single" w:color="auto" w:sz="4" w:space="0"/>
            </w:tcBorders>
            <w:noWrap/>
            <w:vAlign w:val="center"/>
          </w:tcPr>
          <w:p>
            <w:pPr>
              <w:jc w:val="center"/>
              <w:rPr>
                <w:rFonts w:hint="eastAsia" w:ascii="宋体" w:hAnsi="宋体"/>
                <w:szCs w:val="21"/>
              </w:rPr>
            </w:pPr>
            <w:r>
              <w:rPr>
                <w:rFonts w:hint="eastAsia" w:ascii="宋体" w:hAnsi="宋体"/>
                <w:szCs w:val="21"/>
              </w:rPr>
              <w:t>阀体泄漏量</w:t>
            </w:r>
          </w:p>
        </w:tc>
        <w:tc>
          <w:tcPr>
            <w:tcW w:w="2268" w:type="dxa"/>
            <w:tcBorders>
              <w:top w:val="nil"/>
              <w:left w:val="nil"/>
              <w:bottom w:val="single" w:color="auto" w:sz="4" w:space="0"/>
              <w:right w:val="single" w:color="auto" w:sz="4" w:space="0"/>
            </w:tcBorders>
            <w:vAlign w:val="center"/>
          </w:tcPr>
          <w:p>
            <w:pPr>
              <w:jc w:val="left"/>
              <w:rPr>
                <w:rFonts w:hint="eastAsia" w:ascii="宋体" w:hAnsi="宋体"/>
                <w:szCs w:val="21"/>
              </w:rPr>
            </w:pPr>
            <w:r>
              <w:rPr>
                <w:rFonts w:hint="eastAsia" w:ascii="宋体" w:hAnsi="宋体"/>
                <w:szCs w:val="21"/>
              </w:rPr>
              <w:t>在环境温度下的阀体泄漏量</w:t>
            </w:r>
          </w:p>
        </w:tc>
        <w:tc>
          <w:tcPr>
            <w:tcW w:w="3685" w:type="dxa"/>
            <w:tcBorders>
              <w:top w:val="nil"/>
              <w:left w:val="nil"/>
              <w:bottom w:val="single" w:color="auto" w:sz="4" w:space="0"/>
              <w:right w:val="single" w:color="auto" w:sz="4" w:space="0"/>
            </w:tcBorders>
            <w:vAlign w:val="center"/>
          </w:tcPr>
          <w:p>
            <w:pPr>
              <w:jc w:val="left"/>
              <w:rPr>
                <w:rFonts w:hint="eastAsia" w:ascii="宋体" w:hAnsi="宋体"/>
                <w:szCs w:val="21"/>
              </w:rPr>
            </w:pPr>
            <w:r>
              <w:rPr>
                <w:rFonts w:hint="eastAsia" w:ascii="宋体" w:hAnsi="宋体"/>
                <w:szCs w:val="21"/>
              </w:rPr>
              <w:t>拟制造的最大阀门环境温度下阀体漏风量，均满足JG/T 436-2014中C级阀体漏风量要求，满足得1</w:t>
            </w:r>
            <w:r>
              <w:rPr>
                <w:rFonts w:ascii="宋体" w:hAnsi="宋体"/>
                <w:szCs w:val="21"/>
              </w:rPr>
              <w:t>分。</w:t>
            </w:r>
          </w:p>
        </w:tc>
        <w:tc>
          <w:tcPr>
            <w:tcW w:w="709" w:type="dxa"/>
            <w:tcBorders>
              <w:top w:val="nil"/>
              <w:left w:val="nil"/>
              <w:bottom w:val="single" w:color="auto" w:sz="4" w:space="0"/>
              <w:right w:val="single" w:color="auto" w:sz="4" w:space="0"/>
            </w:tcBorders>
            <w:noWrap/>
            <w:vAlign w:val="center"/>
          </w:tcPr>
          <w:p>
            <w:pPr>
              <w:jc w:val="center"/>
              <w:rPr>
                <w:rFonts w:hint="eastAsia" w:ascii="宋体" w:hAnsi="宋体"/>
                <w:szCs w:val="21"/>
              </w:rPr>
            </w:pPr>
            <w:r>
              <w:rPr>
                <w:rFonts w:hint="eastAsia" w:ascii="宋体" w:hAnsi="宋体"/>
                <w:szCs w:val="21"/>
              </w:rPr>
              <w:t>1.0</w:t>
            </w:r>
          </w:p>
        </w:tc>
        <w:tc>
          <w:tcPr>
            <w:tcW w:w="4536" w:type="dxa"/>
            <w:tcBorders>
              <w:top w:val="nil"/>
              <w:left w:val="nil"/>
              <w:bottom w:val="single" w:color="auto" w:sz="4" w:space="0"/>
              <w:right w:val="single" w:color="auto" w:sz="4" w:space="0"/>
            </w:tcBorders>
            <w:vAlign w:val="center"/>
          </w:tcPr>
          <w:p>
            <w:pPr>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708" w:type="dxa"/>
            <w:noWrap/>
            <w:vAlign w:val="center"/>
          </w:tcPr>
          <w:p>
            <w:pPr>
              <w:jc w:val="center"/>
              <w:rPr>
                <w:rFonts w:hint="eastAsia" w:ascii="宋体" w:hAnsi="宋体"/>
                <w:szCs w:val="21"/>
              </w:rPr>
            </w:pPr>
            <w:r>
              <w:rPr>
                <w:rFonts w:hint="eastAsia" w:ascii="宋体" w:hAnsi="宋体"/>
                <w:szCs w:val="21"/>
              </w:rPr>
              <w:t>5</w:t>
            </w:r>
          </w:p>
        </w:tc>
        <w:tc>
          <w:tcPr>
            <w:tcW w:w="1981" w:type="dxa"/>
            <w:noWrap/>
            <w:vAlign w:val="center"/>
          </w:tcPr>
          <w:p>
            <w:pPr>
              <w:jc w:val="center"/>
              <w:rPr>
                <w:rFonts w:hint="eastAsia" w:ascii="宋体" w:hAnsi="宋体"/>
                <w:szCs w:val="21"/>
              </w:rPr>
            </w:pPr>
            <w:r>
              <w:rPr>
                <w:rFonts w:hint="eastAsia" w:ascii="宋体" w:hAnsi="宋体"/>
                <w:szCs w:val="21"/>
              </w:rPr>
              <w:t>就地控制便捷性</w:t>
            </w:r>
          </w:p>
        </w:tc>
        <w:tc>
          <w:tcPr>
            <w:tcW w:w="2268" w:type="dxa"/>
            <w:vAlign w:val="center"/>
          </w:tcPr>
          <w:p>
            <w:pPr>
              <w:jc w:val="left"/>
              <w:rPr>
                <w:rFonts w:hint="eastAsia" w:ascii="宋体" w:hAnsi="宋体"/>
                <w:szCs w:val="21"/>
              </w:rPr>
            </w:pPr>
            <w:r>
              <w:rPr>
                <w:rFonts w:hint="eastAsia" w:ascii="宋体" w:hAnsi="宋体"/>
                <w:szCs w:val="21"/>
              </w:rPr>
              <w:t>执行机构的复位方式</w:t>
            </w:r>
          </w:p>
        </w:tc>
        <w:tc>
          <w:tcPr>
            <w:tcW w:w="3685" w:type="dxa"/>
            <w:vAlign w:val="center"/>
          </w:tcPr>
          <w:p>
            <w:pPr>
              <w:jc w:val="left"/>
              <w:rPr>
                <w:rFonts w:hint="eastAsia" w:ascii="宋体" w:hAnsi="宋体"/>
                <w:szCs w:val="21"/>
              </w:rPr>
            </w:pPr>
            <w:r>
              <w:rPr>
                <w:rFonts w:hint="eastAsia" w:ascii="宋体" w:hAnsi="宋体"/>
                <w:szCs w:val="21"/>
              </w:rPr>
              <w:t>1</w:t>
            </w:r>
            <w:r>
              <w:rPr>
                <w:rFonts w:ascii="宋体" w:hAnsi="宋体"/>
                <w:szCs w:val="21"/>
              </w:rPr>
              <w:t>）</w:t>
            </w:r>
            <w:r>
              <w:rPr>
                <w:rFonts w:hint="eastAsia" w:ascii="宋体" w:hAnsi="宋体"/>
                <w:szCs w:val="21"/>
              </w:rPr>
              <w:t>电信号通断就地复位，得2</w:t>
            </w:r>
            <w:r>
              <w:rPr>
                <w:rFonts w:ascii="宋体" w:hAnsi="宋体"/>
                <w:szCs w:val="21"/>
              </w:rPr>
              <w:t>分</w:t>
            </w:r>
            <w:r>
              <w:rPr>
                <w:rFonts w:hint="eastAsia" w:ascii="宋体" w:hAnsi="宋体"/>
                <w:szCs w:val="21"/>
              </w:rPr>
              <w:t>；</w:t>
            </w:r>
          </w:p>
          <w:p>
            <w:pPr>
              <w:jc w:val="left"/>
              <w:rPr>
                <w:rFonts w:hint="eastAsia" w:ascii="宋体" w:hAnsi="宋体"/>
                <w:szCs w:val="21"/>
              </w:rPr>
            </w:pPr>
            <w:r>
              <w:rPr>
                <w:rFonts w:hint="eastAsia" w:ascii="宋体" w:hAnsi="宋体"/>
                <w:szCs w:val="21"/>
              </w:rPr>
              <w:t>2</w:t>
            </w:r>
            <w:r>
              <w:rPr>
                <w:rFonts w:ascii="宋体" w:hAnsi="宋体"/>
                <w:szCs w:val="21"/>
              </w:rPr>
              <w:t>）</w:t>
            </w:r>
            <w:r>
              <w:rPr>
                <w:rFonts w:hint="eastAsia" w:ascii="宋体" w:hAnsi="宋体"/>
                <w:szCs w:val="21"/>
              </w:rPr>
              <w:t>钢丝绳就地复位，得1</w:t>
            </w:r>
            <w:r>
              <w:rPr>
                <w:rFonts w:ascii="宋体" w:hAnsi="宋体"/>
                <w:szCs w:val="21"/>
              </w:rPr>
              <w:t>分</w:t>
            </w:r>
            <w:r>
              <w:rPr>
                <w:rFonts w:hint="eastAsia" w:ascii="宋体" w:hAnsi="宋体"/>
                <w:szCs w:val="21"/>
              </w:rPr>
              <w:t>。</w:t>
            </w:r>
          </w:p>
        </w:tc>
        <w:tc>
          <w:tcPr>
            <w:tcW w:w="709" w:type="dxa"/>
            <w:noWrap/>
            <w:vAlign w:val="center"/>
          </w:tcPr>
          <w:p>
            <w:pPr>
              <w:jc w:val="center"/>
              <w:rPr>
                <w:rFonts w:hint="eastAsia" w:ascii="宋体" w:hAnsi="宋体"/>
                <w:szCs w:val="21"/>
              </w:rPr>
            </w:pPr>
            <w:r>
              <w:rPr>
                <w:rFonts w:hint="eastAsia" w:ascii="宋体" w:hAnsi="宋体"/>
                <w:szCs w:val="21"/>
              </w:rPr>
              <w:t>1.0</w:t>
            </w:r>
          </w:p>
        </w:tc>
        <w:tc>
          <w:tcPr>
            <w:tcW w:w="4536" w:type="dxa"/>
            <w:vAlign w:val="center"/>
          </w:tcPr>
          <w:p>
            <w:pPr>
              <w:jc w:val="center"/>
              <w:rPr>
                <w:rFonts w:hint="eastAsia" w:ascii="宋体" w:hAnsi="宋体"/>
                <w:szCs w:val="21"/>
              </w:rPr>
            </w:pPr>
            <w:r>
              <w:rPr>
                <w:rFonts w:hint="eastAsia" w:ascii="宋体" w:hAnsi="宋体"/>
                <w:szCs w:val="21"/>
              </w:rPr>
              <w:t>钢丝绳就地控制，总长度不得超过6m，不可有超过3个的90°弯头。</w:t>
            </w:r>
          </w:p>
        </w:tc>
      </w:tr>
    </w:tbl>
    <w:p>
      <w:pPr>
        <w:rPr>
          <w:rFonts w:cs="Times New Roman"/>
        </w:rPr>
      </w:pPr>
      <w:bookmarkStart w:id="48" w:name="_Toc206758002"/>
      <w:bookmarkStart w:id="49" w:name="_Toc206760192"/>
      <w:r>
        <w:t>4.2.</w:t>
      </w:r>
      <w:r>
        <w:rPr>
          <w:rFonts w:hint="eastAsia"/>
        </w:rPr>
        <w:t>3</w:t>
      </w:r>
      <w:r>
        <w:t xml:space="preserve"> </w:t>
      </w:r>
      <w:r>
        <w:rPr>
          <w:rFonts w:hint="eastAsia"/>
        </w:rPr>
        <w:t>防火</w:t>
      </w:r>
      <w:r>
        <w:t>风管</w:t>
      </w:r>
      <w:bookmarkEnd w:id="48"/>
      <w:bookmarkEnd w:id="49"/>
      <w:bookmarkStart w:id="50" w:name="OLE_LINK19"/>
      <w:bookmarkStart w:id="51" w:name="OLE_LINK20"/>
      <w:r>
        <w:rPr>
          <w:rFonts w:hint="eastAsia"/>
        </w:rPr>
        <w:t>的</w:t>
      </w:r>
      <w:r>
        <w:rPr>
          <w:rFonts w:hint="eastAsia" w:asciiTheme="minorEastAsia" w:hAnsiTheme="minorEastAsia"/>
        </w:rPr>
        <w:t>控制项评定、评分项评定、优选项评定，应分别符合表</w:t>
      </w:r>
      <w:r>
        <w:rPr>
          <w:rFonts w:cs="Times New Roman"/>
        </w:rPr>
        <w:t>4.2.</w:t>
      </w:r>
      <w:r>
        <w:rPr>
          <w:rFonts w:hint="eastAsia" w:cs="Times New Roman"/>
        </w:rPr>
        <w:t>3-</w:t>
      </w:r>
      <w:r>
        <w:rPr>
          <w:rFonts w:cs="Times New Roman"/>
        </w:rPr>
        <w:t>1</w:t>
      </w:r>
      <w:r>
        <w:rPr>
          <w:rFonts w:hint="eastAsia" w:asciiTheme="minorEastAsia" w:hAnsiTheme="minorEastAsia"/>
        </w:rPr>
        <w:t>、表</w:t>
      </w:r>
      <w:r>
        <w:rPr>
          <w:rFonts w:cs="Times New Roman"/>
        </w:rPr>
        <w:t>4.2.</w:t>
      </w:r>
      <w:r>
        <w:rPr>
          <w:rFonts w:hint="eastAsia" w:cs="Times New Roman"/>
        </w:rPr>
        <w:t>3-</w:t>
      </w:r>
      <w:r>
        <w:rPr>
          <w:rFonts w:cs="Times New Roman"/>
        </w:rPr>
        <w:t>2</w:t>
      </w:r>
      <w:r>
        <w:rPr>
          <w:rFonts w:hint="eastAsia" w:asciiTheme="minorEastAsia" w:hAnsiTheme="minorEastAsia"/>
        </w:rPr>
        <w:t>、表</w:t>
      </w:r>
      <w:r>
        <w:rPr>
          <w:rFonts w:cs="Times New Roman"/>
        </w:rPr>
        <w:t>4.2.</w:t>
      </w:r>
      <w:r>
        <w:rPr>
          <w:rFonts w:hint="eastAsia" w:cs="Times New Roman"/>
        </w:rPr>
        <w:t>3-</w:t>
      </w:r>
      <w:r>
        <w:rPr>
          <w:rFonts w:cs="Times New Roman"/>
        </w:rPr>
        <w:t>3</w:t>
      </w:r>
      <w:r>
        <w:rPr>
          <w:rFonts w:hint="eastAsia" w:cs="Times New Roman"/>
        </w:rPr>
        <w:t>的规定</w:t>
      </w:r>
      <w:bookmarkEnd w:id="50"/>
      <w:r>
        <w:rPr>
          <w:rFonts w:hint="eastAsia" w:cs="Times New Roman"/>
        </w:rPr>
        <w:t>。</w:t>
      </w:r>
      <w:bookmarkEnd w:id="51"/>
    </w:p>
    <w:p>
      <w:pPr>
        <w:widowControl/>
        <w:jc w:val="center"/>
      </w:pPr>
      <w:bookmarkStart w:id="52" w:name="OLE_LINK17"/>
      <w:r>
        <w:rPr>
          <w:rFonts w:hint="eastAsia" w:ascii="宋体" w:hAnsi="宋体" w:eastAsia="宋体" w:cs="Times New Roman"/>
          <w:b/>
          <w:bCs/>
          <w:szCs w:val="21"/>
        </w:rPr>
        <w:t>表</w:t>
      </w:r>
      <w:r>
        <w:rPr>
          <w:rFonts w:ascii="宋体" w:hAnsi="宋体" w:eastAsia="宋体" w:cs="Times New Roman"/>
          <w:b/>
          <w:bCs/>
          <w:szCs w:val="21"/>
        </w:rPr>
        <w:t>4.2.</w:t>
      </w:r>
      <w:r>
        <w:rPr>
          <w:rFonts w:hint="eastAsia" w:ascii="宋体" w:hAnsi="宋体" w:eastAsia="宋体" w:cs="Times New Roman"/>
          <w:b/>
          <w:bCs/>
          <w:szCs w:val="21"/>
        </w:rPr>
        <w:t>3</w:t>
      </w:r>
      <w:r>
        <w:rPr>
          <w:rFonts w:ascii="宋体" w:hAnsi="宋体" w:eastAsia="宋体" w:cs="Times New Roman"/>
          <w:b/>
          <w:bCs/>
          <w:szCs w:val="21"/>
        </w:rPr>
        <w:t>-</w:t>
      </w:r>
      <w:r>
        <w:rPr>
          <w:rFonts w:hint="eastAsia" w:ascii="宋体" w:hAnsi="宋体" w:eastAsia="宋体" w:cs="Times New Roman"/>
          <w:b/>
          <w:bCs/>
          <w:szCs w:val="21"/>
        </w:rPr>
        <w:t>1防火风管控制项评定表</w:t>
      </w:r>
    </w:p>
    <w:bookmarkEnd w:id="52"/>
    <w:tbl>
      <w:tblPr>
        <w:tblStyle w:val="17"/>
        <w:tblW w:w="13886" w:type="dxa"/>
        <w:jc w:val="center"/>
        <w:tblLayout w:type="fixed"/>
        <w:tblCellMar>
          <w:top w:w="0" w:type="dxa"/>
          <w:left w:w="108" w:type="dxa"/>
          <w:bottom w:w="0" w:type="dxa"/>
          <w:right w:w="108" w:type="dxa"/>
        </w:tblCellMar>
      </w:tblPr>
      <w:tblGrid>
        <w:gridCol w:w="709"/>
        <w:gridCol w:w="1843"/>
        <w:gridCol w:w="2263"/>
        <w:gridCol w:w="2126"/>
        <w:gridCol w:w="6945"/>
      </w:tblGrid>
      <w:tr>
        <w:tblPrEx>
          <w:tblCellMar>
            <w:top w:w="0" w:type="dxa"/>
            <w:left w:w="108" w:type="dxa"/>
            <w:bottom w:w="0" w:type="dxa"/>
            <w:right w:w="108" w:type="dxa"/>
          </w:tblCellMar>
        </w:tblPrEx>
        <w:trPr>
          <w:trHeight w:val="285" w:hRule="atLeast"/>
          <w:tblHeader/>
          <w:jc w:val="center"/>
        </w:trPr>
        <w:tc>
          <w:tcPr>
            <w:tcW w:w="709"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top"/>
              <w:rPr>
                <w:rFonts w:eastAsia="宋体" w:cs="Times New Roman"/>
                <w:b/>
                <w:bCs/>
                <w:kern w:val="0"/>
                <w:szCs w:val="21"/>
                <w:lang w:bidi="ar"/>
              </w:rPr>
            </w:pPr>
            <w:r>
              <w:rPr>
                <w:rFonts w:eastAsia="宋体" w:cs="Times New Roman"/>
                <w:b/>
                <w:bCs/>
                <w:kern w:val="0"/>
                <w:szCs w:val="21"/>
                <w:lang w:bidi="ar"/>
              </w:rPr>
              <w:t>序号</w:t>
            </w:r>
          </w:p>
        </w:tc>
        <w:tc>
          <w:tcPr>
            <w:tcW w:w="1843" w:type="dxa"/>
            <w:tcBorders>
              <w:top w:val="single" w:color="auto" w:sz="4" w:space="0"/>
              <w:left w:val="nil"/>
              <w:bottom w:val="single" w:color="auto" w:sz="4" w:space="0"/>
              <w:right w:val="single" w:color="auto" w:sz="4" w:space="0"/>
            </w:tcBorders>
            <w:noWrap/>
            <w:vAlign w:val="center"/>
          </w:tcPr>
          <w:p>
            <w:pPr>
              <w:widowControl/>
              <w:jc w:val="center"/>
              <w:textAlignment w:val="top"/>
              <w:rPr>
                <w:rFonts w:eastAsia="宋体" w:cs="Times New Roman"/>
                <w:b/>
                <w:bCs/>
                <w:kern w:val="0"/>
                <w:szCs w:val="21"/>
                <w:lang w:bidi="ar"/>
              </w:rPr>
            </w:pPr>
            <w:r>
              <w:rPr>
                <w:rFonts w:eastAsia="宋体" w:cs="Times New Roman"/>
                <w:b/>
                <w:bCs/>
                <w:kern w:val="0"/>
                <w:szCs w:val="21"/>
                <w:lang w:bidi="ar"/>
              </w:rPr>
              <w:t>评定指标</w:t>
            </w:r>
          </w:p>
        </w:tc>
        <w:tc>
          <w:tcPr>
            <w:tcW w:w="2263" w:type="dxa"/>
            <w:tcBorders>
              <w:top w:val="single" w:color="auto" w:sz="4" w:space="0"/>
              <w:left w:val="nil"/>
              <w:bottom w:val="single" w:color="auto" w:sz="4" w:space="0"/>
              <w:right w:val="single" w:color="auto" w:sz="4" w:space="0"/>
            </w:tcBorders>
            <w:vAlign w:val="center"/>
          </w:tcPr>
          <w:p>
            <w:pPr>
              <w:widowControl/>
              <w:jc w:val="center"/>
              <w:textAlignment w:val="top"/>
              <w:rPr>
                <w:rFonts w:eastAsia="宋体" w:cs="Times New Roman"/>
                <w:b/>
                <w:bCs/>
                <w:kern w:val="0"/>
                <w:szCs w:val="21"/>
                <w:lang w:bidi="ar"/>
              </w:rPr>
            </w:pPr>
            <w:r>
              <w:rPr>
                <w:rFonts w:eastAsia="宋体" w:cs="Times New Roman"/>
                <w:b/>
                <w:bCs/>
                <w:kern w:val="0"/>
                <w:szCs w:val="21"/>
                <w:lang w:bidi="ar"/>
              </w:rPr>
              <w:t>控制项</w:t>
            </w:r>
          </w:p>
        </w:tc>
        <w:tc>
          <w:tcPr>
            <w:tcW w:w="2126"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top"/>
              <w:rPr>
                <w:rFonts w:eastAsia="宋体" w:cs="Times New Roman"/>
                <w:b/>
                <w:bCs/>
                <w:kern w:val="0"/>
                <w:szCs w:val="21"/>
                <w:lang w:bidi="ar"/>
              </w:rPr>
            </w:pPr>
            <w:r>
              <w:rPr>
                <w:rFonts w:eastAsia="宋体" w:cs="Times New Roman"/>
                <w:b/>
                <w:bCs/>
                <w:kern w:val="0"/>
                <w:szCs w:val="21"/>
                <w:lang w:bidi="ar"/>
              </w:rPr>
              <w:t>评定方法</w:t>
            </w:r>
          </w:p>
        </w:tc>
        <w:tc>
          <w:tcPr>
            <w:tcW w:w="694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top"/>
              <w:rPr>
                <w:rFonts w:eastAsia="宋体" w:cs="Times New Roman"/>
                <w:b/>
                <w:bCs/>
                <w:kern w:val="0"/>
                <w:szCs w:val="21"/>
                <w:lang w:bidi="ar"/>
              </w:rPr>
            </w:pPr>
            <w:r>
              <w:rPr>
                <w:rFonts w:eastAsia="宋体" w:cs="Times New Roman"/>
                <w:b/>
                <w:bCs/>
                <w:kern w:val="0"/>
                <w:szCs w:val="21"/>
                <w:lang w:bidi="ar"/>
              </w:rPr>
              <w:t>说明</w:t>
            </w:r>
          </w:p>
        </w:tc>
      </w:tr>
      <w:tr>
        <w:tblPrEx>
          <w:tblCellMar>
            <w:top w:w="0" w:type="dxa"/>
            <w:left w:w="108" w:type="dxa"/>
            <w:bottom w:w="0" w:type="dxa"/>
            <w:right w:w="108" w:type="dxa"/>
          </w:tblCellMar>
        </w:tblPrEx>
        <w:trPr>
          <w:trHeight w:val="704" w:hRule="atLeast"/>
          <w:jc w:val="center"/>
        </w:trPr>
        <w:tc>
          <w:tcPr>
            <w:tcW w:w="709" w:type="dxa"/>
            <w:tcBorders>
              <w:top w:val="nil"/>
              <w:left w:val="single" w:color="auto" w:sz="4" w:space="0"/>
              <w:bottom w:val="single" w:color="auto" w:sz="4" w:space="0"/>
              <w:right w:val="single" w:color="auto" w:sz="4" w:space="0"/>
            </w:tcBorders>
            <w:noWrap/>
            <w:vAlign w:val="center"/>
          </w:tcPr>
          <w:p>
            <w:pPr>
              <w:widowControl/>
              <w:jc w:val="center"/>
              <w:textAlignment w:val="top"/>
              <w:rPr>
                <w:rFonts w:hint="eastAsia" w:cs="Times New Roman" w:asciiTheme="minorEastAsia" w:hAnsiTheme="minorEastAsia"/>
                <w:szCs w:val="21"/>
              </w:rPr>
            </w:pPr>
            <w:r>
              <w:rPr>
                <w:rFonts w:cs="Times New Roman" w:asciiTheme="minorEastAsia" w:hAnsiTheme="minorEastAsia"/>
                <w:szCs w:val="21"/>
              </w:rPr>
              <w:t>1</w:t>
            </w:r>
          </w:p>
        </w:tc>
        <w:tc>
          <w:tcPr>
            <w:tcW w:w="1843"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top"/>
              <w:rPr>
                <w:rFonts w:hint="eastAsia" w:cs="Times New Roman" w:asciiTheme="minorEastAsia" w:hAnsiTheme="minorEastAsia"/>
                <w:szCs w:val="21"/>
              </w:rPr>
            </w:pPr>
            <w:r>
              <w:rPr>
                <w:rFonts w:hint="eastAsia" w:cs="Times New Roman" w:asciiTheme="minorEastAsia" w:hAnsiTheme="minorEastAsia"/>
                <w:szCs w:val="21"/>
              </w:rPr>
              <w:t>耐火极限性能</w:t>
            </w:r>
          </w:p>
        </w:tc>
        <w:tc>
          <w:tcPr>
            <w:tcW w:w="2263" w:type="dxa"/>
            <w:tcBorders>
              <w:top w:val="nil"/>
              <w:left w:val="nil"/>
              <w:bottom w:val="single" w:color="auto" w:sz="4" w:space="0"/>
              <w:right w:val="single" w:color="auto" w:sz="4" w:space="0"/>
            </w:tcBorders>
            <w:vAlign w:val="center"/>
          </w:tcPr>
          <w:p>
            <w:pPr>
              <w:widowControl/>
              <w:jc w:val="center"/>
              <w:textAlignment w:val="top"/>
              <w:rPr>
                <w:rFonts w:hint="eastAsia" w:cs="Times New Roman" w:asciiTheme="minorEastAsia" w:hAnsiTheme="minorEastAsia"/>
                <w:szCs w:val="21"/>
              </w:rPr>
            </w:pPr>
            <w:r>
              <w:rPr>
                <w:rFonts w:hint="eastAsia" w:cs="Times New Roman" w:asciiTheme="minorEastAsia" w:hAnsiTheme="minorEastAsia"/>
                <w:szCs w:val="21"/>
              </w:rPr>
              <w:t>满足国标GB 51251 风管耐火极限相关条款的要求。</w:t>
            </w:r>
          </w:p>
        </w:tc>
        <w:tc>
          <w:tcPr>
            <w:tcW w:w="2126" w:type="dxa"/>
            <w:tcBorders>
              <w:top w:val="nil"/>
              <w:left w:val="single" w:color="auto" w:sz="4" w:space="0"/>
              <w:bottom w:val="single" w:color="auto" w:sz="4" w:space="0"/>
              <w:right w:val="single" w:color="auto" w:sz="4" w:space="0"/>
            </w:tcBorders>
            <w:noWrap/>
            <w:vAlign w:val="center"/>
          </w:tcPr>
          <w:p>
            <w:pPr>
              <w:widowControl/>
              <w:jc w:val="center"/>
              <w:textAlignment w:val="top"/>
              <w:rPr>
                <w:rFonts w:hint="eastAsia" w:cs="Times New Roman" w:asciiTheme="minorEastAsia" w:hAnsiTheme="minorEastAsia"/>
                <w:szCs w:val="21"/>
              </w:rPr>
            </w:pPr>
            <w:r>
              <w:rPr>
                <w:rFonts w:hint="eastAsia" w:asciiTheme="minorEastAsia" w:hAnsiTheme="minorEastAsia"/>
                <w:szCs w:val="21"/>
              </w:rPr>
              <w:t>不满足直接判定为</w:t>
            </w:r>
            <w:r>
              <w:rPr>
                <w:rFonts w:hint="eastAsia" w:asciiTheme="minorEastAsia" w:hAnsiTheme="minorEastAsia"/>
                <w:b/>
                <w:bCs/>
                <w:szCs w:val="21"/>
              </w:rPr>
              <w:t>D级</w:t>
            </w:r>
          </w:p>
        </w:tc>
        <w:tc>
          <w:tcPr>
            <w:tcW w:w="6945" w:type="dxa"/>
            <w:tcBorders>
              <w:top w:val="nil"/>
              <w:left w:val="single" w:color="auto" w:sz="4" w:space="0"/>
              <w:bottom w:val="single" w:color="auto" w:sz="4" w:space="0"/>
              <w:right w:val="single" w:color="auto" w:sz="4" w:space="0"/>
            </w:tcBorders>
            <w:vAlign w:val="center"/>
          </w:tcPr>
          <w:p>
            <w:pPr>
              <w:widowControl/>
              <w:jc w:val="left"/>
              <w:textAlignment w:val="top"/>
              <w:rPr>
                <w:rFonts w:hint="eastAsia" w:cs="Times New Roman" w:asciiTheme="minorEastAsia" w:hAnsiTheme="minorEastAsia"/>
                <w:szCs w:val="21"/>
              </w:rPr>
            </w:pPr>
            <w:r>
              <w:rPr>
                <w:rFonts w:hint="eastAsia" w:cs="Times New Roman" w:asciiTheme="minorEastAsia" w:hAnsiTheme="minorEastAsia"/>
                <w:szCs w:val="21"/>
              </w:rPr>
              <w:t>GB 51251 《建筑防烟排烟系统技术标准》</w:t>
            </w:r>
          </w:p>
          <w:p>
            <w:pPr>
              <w:widowControl/>
              <w:jc w:val="left"/>
              <w:textAlignment w:val="top"/>
              <w:rPr>
                <w:rFonts w:hint="eastAsia" w:cs="Times New Roman" w:asciiTheme="minorEastAsia" w:hAnsiTheme="minorEastAsia"/>
                <w:szCs w:val="21"/>
              </w:rPr>
            </w:pPr>
            <w:r>
              <w:rPr>
                <w:rFonts w:hint="eastAsia" w:cs="Times New Roman" w:asciiTheme="minorEastAsia" w:hAnsiTheme="minorEastAsia"/>
                <w:szCs w:val="21"/>
              </w:rPr>
              <w:t>3.3.8  机械加压送风管道的设置和耐火极限应符合下列要求：</w:t>
            </w:r>
          </w:p>
          <w:p>
            <w:pPr>
              <w:widowControl/>
              <w:jc w:val="left"/>
              <w:textAlignment w:val="top"/>
              <w:rPr>
                <w:rFonts w:hint="eastAsia" w:cs="Times New Roman" w:asciiTheme="minorEastAsia" w:hAnsiTheme="minorEastAsia"/>
                <w:szCs w:val="21"/>
              </w:rPr>
            </w:pPr>
            <w:r>
              <w:rPr>
                <w:rFonts w:hint="eastAsia" w:cs="Times New Roman" w:asciiTheme="minorEastAsia" w:hAnsiTheme="minorEastAsia"/>
                <w:szCs w:val="21"/>
              </w:rPr>
              <w:t>1  竖向设置的送风管道应独立设置在管道井内，当确有困难时，未设置在管道井内或与其它管</w:t>
            </w:r>
          </w:p>
          <w:p>
            <w:pPr>
              <w:widowControl/>
              <w:jc w:val="left"/>
              <w:textAlignment w:val="top"/>
              <w:rPr>
                <w:rFonts w:hint="eastAsia" w:cs="Times New Roman" w:asciiTheme="minorEastAsia" w:hAnsiTheme="minorEastAsia"/>
                <w:szCs w:val="21"/>
              </w:rPr>
            </w:pPr>
            <w:r>
              <w:rPr>
                <w:rFonts w:hint="eastAsia" w:cs="Times New Roman" w:asciiTheme="minorEastAsia" w:hAnsiTheme="minorEastAsia"/>
                <w:szCs w:val="21"/>
              </w:rPr>
              <w:t>道合用管道井的送风管道，其耐火极限不应低于1.0h；</w:t>
            </w:r>
          </w:p>
          <w:p>
            <w:pPr>
              <w:widowControl/>
              <w:jc w:val="left"/>
              <w:textAlignment w:val="top"/>
              <w:rPr>
                <w:rFonts w:hint="eastAsia" w:cs="Times New Roman" w:asciiTheme="minorEastAsia" w:hAnsiTheme="minorEastAsia"/>
                <w:szCs w:val="21"/>
              </w:rPr>
            </w:pPr>
            <w:r>
              <w:rPr>
                <w:rFonts w:hint="eastAsia" w:cs="Times New Roman" w:asciiTheme="minorEastAsia" w:hAnsiTheme="minorEastAsia"/>
                <w:szCs w:val="21"/>
              </w:rPr>
              <w:t>2  水平设置的送风管道，当设置在吊顶内时，其耐火极限不应低于 0.5h；当未设置在吊顶内时，其耐火极限不应低于1.0h。</w:t>
            </w:r>
          </w:p>
          <w:p>
            <w:pPr>
              <w:widowControl/>
              <w:jc w:val="left"/>
              <w:textAlignment w:val="top"/>
              <w:rPr>
                <w:rFonts w:hint="eastAsia" w:cs="Times New Roman" w:asciiTheme="minorEastAsia" w:hAnsiTheme="minorEastAsia"/>
                <w:kern w:val="0"/>
                <w:szCs w:val="21"/>
                <w:lang w:bidi="ar"/>
              </w:rPr>
            </w:pPr>
            <w:r>
              <w:rPr>
                <w:rFonts w:hint="eastAsia" w:cs="Times New Roman" w:asciiTheme="minorEastAsia" w:hAnsiTheme="minorEastAsia"/>
                <w:kern w:val="0"/>
                <w:szCs w:val="21"/>
                <w:lang w:bidi="ar"/>
              </w:rPr>
              <w:t>4.4.8  排烟管道的设置和耐火极限应符合下列要求：</w:t>
            </w:r>
          </w:p>
          <w:p>
            <w:pPr>
              <w:widowControl/>
              <w:jc w:val="left"/>
              <w:textAlignment w:val="top"/>
              <w:rPr>
                <w:rFonts w:hint="eastAsia" w:cs="Times New Roman" w:asciiTheme="minorEastAsia" w:hAnsiTheme="minorEastAsia"/>
                <w:kern w:val="0"/>
                <w:szCs w:val="21"/>
                <w:lang w:bidi="ar"/>
              </w:rPr>
            </w:pPr>
            <w:r>
              <w:rPr>
                <w:rFonts w:hint="eastAsia" w:cs="Times New Roman" w:asciiTheme="minorEastAsia" w:hAnsiTheme="minorEastAsia"/>
                <w:kern w:val="0"/>
                <w:szCs w:val="21"/>
                <w:lang w:bidi="ar"/>
              </w:rPr>
              <w:t>1  竖向设置的排烟管道应设置在独立的管道井内，排烟管道的耐火极限不应低于0.5h；</w:t>
            </w:r>
          </w:p>
          <w:p>
            <w:pPr>
              <w:widowControl/>
              <w:jc w:val="left"/>
              <w:textAlignment w:val="top"/>
              <w:rPr>
                <w:rFonts w:hint="eastAsia" w:cs="Times New Roman" w:asciiTheme="minorEastAsia" w:hAnsiTheme="minorEastAsia"/>
                <w:kern w:val="0"/>
                <w:szCs w:val="21"/>
                <w:lang w:bidi="ar"/>
              </w:rPr>
            </w:pPr>
            <w:r>
              <w:rPr>
                <w:rFonts w:hint="eastAsia" w:cs="Times New Roman" w:asciiTheme="minorEastAsia" w:hAnsiTheme="minorEastAsia"/>
                <w:kern w:val="0"/>
                <w:szCs w:val="21"/>
                <w:lang w:bidi="ar"/>
              </w:rPr>
              <w:t>2  水平设置的排烟管道应设置在吊顶内，其耐火极限不应低于 0.5h；当确有困难时，可直接设置在室内，但管道的耐火极限不应小于1.0h；</w:t>
            </w:r>
          </w:p>
          <w:p>
            <w:pPr>
              <w:widowControl/>
              <w:jc w:val="left"/>
              <w:textAlignment w:val="top"/>
              <w:rPr>
                <w:rFonts w:hint="eastAsia" w:cs="Times New Roman" w:asciiTheme="minorEastAsia" w:hAnsiTheme="minorEastAsia"/>
                <w:kern w:val="0"/>
                <w:szCs w:val="21"/>
                <w:lang w:bidi="ar"/>
              </w:rPr>
            </w:pPr>
            <w:r>
              <w:rPr>
                <w:rFonts w:hint="eastAsia" w:cs="Times New Roman" w:asciiTheme="minorEastAsia" w:hAnsiTheme="minorEastAsia"/>
                <w:kern w:val="0"/>
                <w:szCs w:val="21"/>
                <w:lang w:bidi="ar"/>
              </w:rPr>
              <w:t>3  设置在走道部位吊顶内的排烟管道，以及穿越防火分区的排烟管道，其管道的耐火极限不应小于1.0h，但设备用房和汽车库的排烟管道耐火极限可不低于0.5h。</w:t>
            </w:r>
          </w:p>
          <w:p>
            <w:pPr>
              <w:widowControl/>
              <w:jc w:val="left"/>
              <w:textAlignment w:val="top"/>
              <w:rPr>
                <w:rFonts w:hint="eastAsia" w:cs="Times New Roman" w:asciiTheme="minorEastAsia" w:hAnsiTheme="minorEastAsia"/>
                <w:kern w:val="0"/>
                <w:szCs w:val="21"/>
                <w:lang w:bidi="ar"/>
              </w:rPr>
            </w:pPr>
            <w:r>
              <w:rPr>
                <w:rFonts w:hint="eastAsia" w:cs="Times New Roman" w:asciiTheme="minorEastAsia" w:hAnsiTheme="minorEastAsia"/>
                <w:kern w:val="0"/>
                <w:szCs w:val="21"/>
                <w:lang w:bidi="ar"/>
              </w:rPr>
              <w:t>4.5.7  补风管道耐火极限不应低于 0.5h，当补风管道跨越防火分区时，管道的耐火极限不应小于1.5h。</w:t>
            </w:r>
          </w:p>
        </w:tc>
      </w:tr>
      <w:tr>
        <w:tblPrEx>
          <w:tblCellMar>
            <w:top w:w="0" w:type="dxa"/>
            <w:left w:w="108" w:type="dxa"/>
            <w:bottom w:w="0" w:type="dxa"/>
            <w:right w:w="108" w:type="dxa"/>
          </w:tblCellMar>
        </w:tblPrEx>
        <w:trPr>
          <w:trHeight w:val="855" w:hRule="atLeast"/>
          <w:jc w:val="center"/>
        </w:trPr>
        <w:tc>
          <w:tcPr>
            <w:tcW w:w="709" w:type="dxa"/>
            <w:tcBorders>
              <w:top w:val="nil"/>
              <w:left w:val="single" w:color="auto" w:sz="4" w:space="0"/>
              <w:bottom w:val="single" w:color="auto" w:sz="4" w:space="0"/>
              <w:right w:val="single" w:color="auto" w:sz="4" w:space="0"/>
            </w:tcBorders>
            <w:noWrap/>
            <w:vAlign w:val="center"/>
          </w:tcPr>
          <w:p>
            <w:pPr>
              <w:widowControl/>
              <w:jc w:val="center"/>
              <w:textAlignment w:val="top"/>
              <w:rPr>
                <w:rFonts w:hint="eastAsia" w:cs="Times New Roman" w:asciiTheme="minorEastAsia" w:hAnsiTheme="minorEastAsia"/>
                <w:szCs w:val="21"/>
              </w:rPr>
            </w:pPr>
            <w:r>
              <w:rPr>
                <w:rFonts w:cs="Times New Roman" w:asciiTheme="minorEastAsia" w:hAnsiTheme="minorEastAsia"/>
                <w:szCs w:val="21"/>
              </w:rPr>
              <w:t>2</w:t>
            </w:r>
          </w:p>
        </w:tc>
        <w:tc>
          <w:tcPr>
            <w:tcW w:w="1843" w:type="dxa"/>
            <w:tcBorders>
              <w:top w:val="nil"/>
              <w:left w:val="single" w:color="auto" w:sz="4" w:space="0"/>
              <w:bottom w:val="single" w:color="auto" w:sz="4" w:space="0"/>
              <w:right w:val="single" w:color="auto" w:sz="4" w:space="0"/>
            </w:tcBorders>
            <w:noWrap/>
            <w:vAlign w:val="center"/>
          </w:tcPr>
          <w:p>
            <w:pPr>
              <w:widowControl/>
              <w:jc w:val="center"/>
              <w:textAlignment w:val="top"/>
              <w:rPr>
                <w:rFonts w:hint="eastAsia" w:cs="Times New Roman" w:asciiTheme="minorEastAsia" w:hAnsiTheme="minorEastAsia"/>
                <w:szCs w:val="21"/>
              </w:rPr>
            </w:pPr>
            <w:r>
              <w:rPr>
                <w:rFonts w:hint="eastAsia" w:cs="Times New Roman" w:asciiTheme="minorEastAsia" w:hAnsiTheme="minorEastAsia"/>
                <w:szCs w:val="21"/>
              </w:rPr>
              <w:t>综合物理性能</w:t>
            </w:r>
          </w:p>
        </w:tc>
        <w:tc>
          <w:tcPr>
            <w:tcW w:w="2263" w:type="dxa"/>
            <w:tcBorders>
              <w:top w:val="nil"/>
              <w:left w:val="nil"/>
              <w:bottom w:val="single" w:color="auto" w:sz="4" w:space="0"/>
              <w:right w:val="single" w:color="auto" w:sz="4" w:space="0"/>
            </w:tcBorders>
            <w:vAlign w:val="center"/>
          </w:tcPr>
          <w:p>
            <w:pPr>
              <w:widowControl/>
              <w:jc w:val="left"/>
              <w:textAlignment w:val="top"/>
              <w:rPr>
                <w:rFonts w:hint="eastAsia" w:cs="Times New Roman" w:asciiTheme="minorEastAsia" w:hAnsiTheme="minorEastAsia"/>
                <w:szCs w:val="21"/>
              </w:rPr>
            </w:pPr>
            <w:r>
              <w:rPr>
                <w:rFonts w:hint="eastAsia" w:cs="Times New Roman" w:asciiTheme="minorEastAsia" w:hAnsiTheme="minorEastAsia"/>
                <w:szCs w:val="21"/>
              </w:rPr>
              <w:t>满足国标GB 50243、JG/T258 风管抗风压、漏风量、比摩阻等物理性能的要求。</w:t>
            </w:r>
          </w:p>
        </w:tc>
        <w:tc>
          <w:tcPr>
            <w:tcW w:w="2126" w:type="dxa"/>
            <w:tcBorders>
              <w:top w:val="nil"/>
              <w:left w:val="single" w:color="auto" w:sz="4" w:space="0"/>
              <w:bottom w:val="single" w:color="auto" w:sz="4" w:space="0"/>
              <w:right w:val="single" w:color="auto" w:sz="4" w:space="0"/>
            </w:tcBorders>
            <w:noWrap/>
            <w:vAlign w:val="center"/>
          </w:tcPr>
          <w:p>
            <w:pPr>
              <w:widowControl/>
              <w:jc w:val="center"/>
              <w:textAlignment w:val="top"/>
              <w:rPr>
                <w:rFonts w:hint="eastAsia" w:cs="Times New Roman" w:asciiTheme="minorEastAsia" w:hAnsiTheme="minorEastAsia"/>
                <w:szCs w:val="21"/>
              </w:rPr>
            </w:pPr>
            <w:r>
              <w:rPr>
                <w:rFonts w:hint="eastAsia" w:asciiTheme="minorEastAsia" w:hAnsiTheme="minorEastAsia"/>
                <w:szCs w:val="21"/>
              </w:rPr>
              <w:t>不满足直接判定为</w:t>
            </w:r>
            <w:r>
              <w:rPr>
                <w:rFonts w:hint="eastAsia" w:asciiTheme="minorEastAsia" w:hAnsiTheme="minorEastAsia"/>
                <w:b/>
                <w:bCs/>
                <w:szCs w:val="21"/>
              </w:rPr>
              <w:t>D级</w:t>
            </w:r>
          </w:p>
        </w:tc>
        <w:tc>
          <w:tcPr>
            <w:tcW w:w="6945" w:type="dxa"/>
            <w:tcBorders>
              <w:top w:val="nil"/>
              <w:left w:val="single" w:color="auto" w:sz="4" w:space="0"/>
              <w:bottom w:val="single" w:color="auto" w:sz="4" w:space="0"/>
              <w:right w:val="single" w:color="auto" w:sz="4" w:space="0"/>
            </w:tcBorders>
            <w:vAlign w:val="center"/>
          </w:tcPr>
          <w:p>
            <w:pPr>
              <w:widowControl/>
              <w:jc w:val="left"/>
              <w:textAlignment w:val="top"/>
              <w:rPr>
                <w:rFonts w:hint="eastAsia" w:cs="Times New Roman" w:asciiTheme="minorEastAsia" w:hAnsiTheme="minorEastAsia"/>
                <w:szCs w:val="21"/>
              </w:rPr>
            </w:pPr>
            <w:r>
              <w:rPr>
                <w:rFonts w:hint="eastAsia" w:cs="Times New Roman" w:asciiTheme="minorEastAsia" w:hAnsiTheme="minorEastAsia"/>
                <w:szCs w:val="21"/>
              </w:rPr>
              <w:t>JG/T258《非金属及复合风管》</w:t>
            </w:r>
          </w:p>
          <w:p>
            <w:pPr>
              <w:widowControl/>
              <w:jc w:val="left"/>
              <w:textAlignment w:val="top"/>
              <w:rPr>
                <w:rFonts w:hint="eastAsia" w:cs="Times New Roman" w:asciiTheme="minorEastAsia" w:hAnsiTheme="minorEastAsia"/>
                <w:szCs w:val="21"/>
              </w:rPr>
            </w:pPr>
            <w:r>
              <w:rPr>
                <w:rFonts w:hint="eastAsia" w:cs="Times New Roman" w:asciiTheme="minorEastAsia" w:hAnsiTheme="minorEastAsia"/>
                <w:szCs w:val="21"/>
              </w:rPr>
              <w:t>按此标准进行物理性能全项检测，其包括：</w:t>
            </w:r>
          </w:p>
          <w:p>
            <w:pPr>
              <w:widowControl/>
              <w:jc w:val="left"/>
              <w:textAlignment w:val="top"/>
              <w:rPr>
                <w:rFonts w:hint="eastAsia" w:cs="Times New Roman" w:asciiTheme="minorEastAsia" w:hAnsiTheme="minorEastAsia"/>
                <w:szCs w:val="21"/>
              </w:rPr>
            </w:pPr>
            <w:r>
              <w:rPr>
                <w:rFonts w:hint="eastAsia" w:cs="Times New Roman" w:asciiTheme="minorEastAsia" w:hAnsiTheme="minorEastAsia"/>
                <w:szCs w:val="21"/>
              </w:rPr>
              <w:t>外观、尺寸偏差、比摩阻、单位面积漏风量、耐久性能、抗凝露性能、管壁变形量、抗冲击性能、风管释放有害气体浓度、风管强度、抗霉菌性能等11项。</w:t>
            </w:r>
          </w:p>
          <w:p>
            <w:pPr>
              <w:widowControl/>
              <w:jc w:val="left"/>
              <w:textAlignment w:val="top"/>
              <w:rPr>
                <w:rFonts w:hint="eastAsia" w:cs="Times New Roman" w:asciiTheme="minorEastAsia" w:hAnsiTheme="minorEastAsia"/>
                <w:szCs w:val="21"/>
              </w:rPr>
            </w:pPr>
            <w:r>
              <w:rPr>
                <w:rFonts w:hint="eastAsia" w:cs="Times New Roman" w:asciiTheme="minorEastAsia" w:hAnsiTheme="minorEastAsia"/>
                <w:szCs w:val="21"/>
              </w:rPr>
              <w:t>并且，根据8.3条款需进行型式检验。</w:t>
            </w:r>
          </w:p>
          <w:p>
            <w:pPr>
              <w:widowControl/>
              <w:jc w:val="left"/>
              <w:textAlignment w:val="top"/>
              <w:rPr>
                <w:rFonts w:hint="eastAsia" w:cs="Times New Roman" w:asciiTheme="minorEastAsia" w:hAnsiTheme="minorEastAsia"/>
                <w:szCs w:val="21"/>
              </w:rPr>
            </w:pPr>
            <w:r>
              <w:rPr>
                <w:rFonts w:hint="eastAsia" w:cs="Times New Roman" w:asciiTheme="minorEastAsia" w:hAnsiTheme="minorEastAsia"/>
                <w:szCs w:val="21"/>
              </w:rPr>
              <w:t>8.3 型式检验</w:t>
            </w:r>
          </w:p>
          <w:p>
            <w:pPr>
              <w:widowControl/>
              <w:jc w:val="left"/>
              <w:textAlignment w:val="top"/>
              <w:rPr>
                <w:rFonts w:hint="eastAsia" w:cs="Times New Roman" w:asciiTheme="minorEastAsia" w:hAnsiTheme="minorEastAsia"/>
                <w:szCs w:val="21"/>
              </w:rPr>
            </w:pPr>
            <w:r>
              <w:rPr>
                <w:rFonts w:hint="eastAsia" w:cs="Times New Roman" w:asciiTheme="minorEastAsia" w:hAnsiTheme="minorEastAsia"/>
                <w:szCs w:val="21"/>
              </w:rPr>
              <w:t>8.3.1 有下列情况之一时,应进行型式检验:</w:t>
            </w:r>
          </w:p>
          <w:p>
            <w:pPr>
              <w:widowControl/>
              <w:ind w:firstLine="360" w:firstLineChars="150"/>
              <w:jc w:val="left"/>
              <w:textAlignment w:val="top"/>
              <w:rPr>
                <w:rFonts w:hint="eastAsia" w:cs="Times New Roman" w:asciiTheme="minorEastAsia" w:hAnsiTheme="minorEastAsia"/>
                <w:szCs w:val="21"/>
              </w:rPr>
            </w:pPr>
            <w:r>
              <w:rPr>
                <w:rFonts w:hint="eastAsia" w:cs="Times New Roman" w:asciiTheme="minorEastAsia" w:hAnsiTheme="minorEastAsia"/>
                <w:szCs w:val="21"/>
              </w:rPr>
              <w:t>a) 在风管制作工艺设计完成正式投产前；</w:t>
            </w:r>
          </w:p>
          <w:p>
            <w:pPr>
              <w:widowControl/>
              <w:ind w:firstLine="360" w:firstLineChars="150"/>
              <w:jc w:val="left"/>
              <w:textAlignment w:val="top"/>
              <w:rPr>
                <w:rFonts w:hint="eastAsia" w:cs="Times New Roman" w:asciiTheme="minorEastAsia" w:hAnsiTheme="minorEastAsia"/>
                <w:szCs w:val="21"/>
              </w:rPr>
            </w:pPr>
            <w:r>
              <w:rPr>
                <w:rFonts w:hint="eastAsia" w:cs="Times New Roman" w:asciiTheme="minorEastAsia" w:hAnsiTheme="minorEastAsia"/>
                <w:szCs w:val="21"/>
              </w:rPr>
              <w:t>b) 产品、工艺或材料有较大改变,可能影响产品性能时；</w:t>
            </w:r>
          </w:p>
          <w:p>
            <w:pPr>
              <w:widowControl/>
              <w:ind w:firstLine="360" w:firstLineChars="150"/>
              <w:jc w:val="left"/>
              <w:textAlignment w:val="top"/>
              <w:rPr>
                <w:rFonts w:hint="eastAsia" w:cs="Times New Roman" w:asciiTheme="minorEastAsia" w:hAnsiTheme="minorEastAsia"/>
                <w:szCs w:val="21"/>
              </w:rPr>
            </w:pPr>
            <w:r>
              <w:rPr>
                <w:rFonts w:hint="eastAsia" w:cs="Times New Roman" w:asciiTheme="minorEastAsia" w:hAnsiTheme="minorEastAsia"/>
                <w:szCs w:val="21"/>
              </w:rPr>
              <w:t>c) 产品停产1年以上恢复生产时。</w:t>
            </w:r>
          </w:p>
          <w:p>
            <w:pPr>
              <w:widowControl/>
              <w:jc w:val="left"/>
              <w:textAlignment w:val="top"/>
              <w:rPr>
                <w:rFonts w:hint="eastAsia" w:cs="Times New Roman" w:asciiTheme="minorEastAsia" w:hAnsiTheme="minorEastAsia"/>
                <w:szCs w:val="21"/>
              </w:rPr>
            </w:pPr>
            <w:r>
              <w:rPr>
                <w:rFonts w:hint="eastAsia" w:cs="Times New Roman" w:asciiTheme="minorEastAsia" w:hAnsiTheme="minorEastAsia"/>
                <w:szCs w:val="21"/>
              </w:rPr>
              <w:t>8.3.2 型式检验项目应符合表 11的规定。</w:t>
            </w:r>
          </w:p>
          <w:p>
            <w:pPr>
              <w:widowControl/>
              <w:jc w:val="left"/>
              <w:textAlignment w:val="top"/>
              <w:rPr>
                <w:rFonts w:hint="eastAsia" w:cs="Times New Roman" w:asciiTheme="minorEastAsia" w:hAnsiTheme="minorEastAsia"/>
                <w:szCs w:val="21"/>
              </w:rPr>
            </w:pPr>
            <w:r>
              <w:rPr>
                <w:rFonts w:hint="eastAsia" w:cs="Times New Roman" w:asciiTheme="minorEastAsia" w:hAnsiTheme="minorEastAsia"/>
                <w:szCs w:val="21"/>
              </w:rPr>
              <w:t>8.3.3 型式检验应在出厂检验合格品中抽取,抽样数量每批应抽检10%,但不应少于3个。</w:t>
            </w:r>
          </w:p>
        </w:tc>
      </w:tr>
      <w:tr>
        <w:tblPrEx>
          <w:tblCellMar>
            <w:top w:w="0" w:type="dxa"/>
            <w:left w:w="108" w:type="dxa"/>
            <w:bottom w:w="0" w:type="dxa"/>
            <w:right w:w="108" w:type="dxa"/>
          </w:tblCellMar>
        </w:tblPrEx>
        <w:trPr>
          <w:trHeight w:val="697" w:hRule="atLeast"/>
          <w:jc w:val="center"/>
        </w:trPr>
        <w:tc>
          <w:tcPr>
            <w:tcW w:w="709" w:type="dxa"/>
            <w:tcBorders>
              <w:top w:val="nil"/>
              <w:left w:val="single" w:color="auto" w:sz="4" w:space="0"/>
              <w:bottom w:val="single" w:color="auto" w:sz="4" w:space="0"/>
              <w:right w:val="single" w:color="auto" w:sz="4" w:space="0"/>
            </w:tcBorders>
            <w:noWrap/>
            <w:vAlign w:val="center"/>
          </w:tcPr>
          <w:p>
            <w:pPr>
              <w:widowControl/>
              <w:jc w:val="center"/>
              <w:textAlignment w:val="top"/>
              <w:rPr>
                <w:rFonts w:hint="eastAsia" w:cs="Times New Roman" w:asciiTheme="minorEastAsia" w:hAnsiTheme="minorEastAsia"/>
                <w:szCs w:val="21"/>
              </w:rPr>
            </w:pPr>
            <w:r>
              <w:rPr>
                <w:rFonts w:cs="Times New Roman" w:asciiTheme="minorEastAsia" w:hAnsiTheme="minorEastAsia"/>
                <w:szCs w:val="21"/>
              </w:rPr>
              <w:t>3</w:t>
            </w:r>
          </w:p>
        </w:tc>
        <w:tc>
          <w:tcPr>
            <w:tcW w:w="1843" w:type="dxa"/>
            <w:tcBorders>
              <w:top w:val="nil"/>
              <w:left w:val="single" w:color="auto" w:sz="4" w:space="0"/>
              <w:bottom w:val="single" w:color="auto" w:sz="4" w:space="0"/>
              <w:right w:val="single" w:color="auto" w:sz="4" w:space="0"/>
            </w:tcBorders>
            <w:noWrap/>
            <w:vAlign w:val="center"/>
          </w:tcPr>
          <w:p>
            <w:pPr>
              <w:widowControl/>
              <w:jc w:val="center"/>
              <w:textAlignment w:val="top"/>
              <w:rPr>
                <w:rFonts w:hint="eastAsia" w:cs="Times New Roman" w:asciiTheme="minorEastAsia" w:hAnsiTheme="minorEastAsia"/>
                <w:szCs w:val="21"/>
              </w:rPr>
            </w:pPr>
            <w:r>
              <w:rPr>
                <w:rFonts w:hint="eastAsia" w:cs="Times New Roman" w:asciiTheme="minorEastAsia" w:hAnsiTheme="minorEastAsia"/>
                <w:szCs w:val="21"/>
              </w:rPr>
              <w:t>耐火隔热材料、配件等的防火等级</w:t>
            </w:r>
          </w:p>
        </w:tc>
        <w:tc>
          <w:tcPr>
            <w:tcW w:w="2263" w:type="dxa"/>
            <w:tcBorders>
              <w:top w:val="nil"/>
              <w:left w:val="nil"/>
              <w:bottom w:val="single" w:color="auto" w:sz="4" w:space="0"/>
              <w:right w:val="single" w:color="auto" w:sz="4" w:space="0"/>
            </w:tcBorders>
            <w:vAlign w:val="center"/>
          </w:tcPr>
          <w:p>
            <w:pPr>
              <w:widowControl/>
              <w:jc w:val="left"/>
              <w:textAlignment w:val="top"/>
              <w:rPr>
                <w:rFonts w:hint="eastAsia" w:cs="Times New Roman" w:asciiTheme="minorEastAsia" w:hAnsiTheme="minorEastAsia"/>
                <w:szCs w:val="21"/>
              </w:rPr>
            </w:pPr>
            <w:r>
              <w:rPr>
                <w:rFonts w:hint="eastAsia" w:cs="Times New Roman" w:asciiTheme="minorEastAsia" w:hAnsiTheme="minorEastAsia"/>
                <w:szCs w:val="21"/>
              </w:rPr>
              <w:t>满足GB 51251耐火隔热材料的防火等级为A级不燃材料的要求。</w:t>
            </w:r>
          </w:p>
        </w:tc>
        <w:tc>
          <w:tcPr>
            <w:tcW w:w="2126" w:type="dxa"/>
            <w:tcBorders>
              <w:top w:val="nil"/>
              <w:left w:val="single" w:color="auto" w:sz="4" w:space="0"/>
              <w:bottom w:val="single" w:color="auto" w:sz="4" w:space="0"/>
              <w:right w:val="single" w:color="auto" w:sz="4" w:space="0"/>
            </w:tcBorders>
            <w:noWrap/>
            <w:vAlign w:val="center"/>
          </w:tcPr>
          <w:p>
            <w:pPr>
              <w:widowControl/>
              <w:ind w:leftChars="-49" w:hanging="117" w:hangingChars="49"/>
              <w:jc w:val="center"/>
              <w:textAlignment w:val="top"/>
              <w:rPr>
                <w:rFonts w:hint="eastAsia" w:cs="Times New Roman" w:asciiTheme="minorEastAsia" w:hAnsiTheme="minorEastAsia"/>
                <w:szCs w:val="21"/>
              </w:rPr>
            </w:pPr>
            <w:r>
              <w:rPr>
                <w:rFonts w:hint="eastAsia" w:asciiTheme="minorEastAsia" w:hAnsiTheme="minorEastAsia"/>
                <w:szCs w:val="21"/>
              </w:rPr>
              <w:t>不满足直接判定为</w:t>
            </w:r>
            <w:r>
              <w:rPr>
                <w:rFonts w:hint="eastAsia" w:asciiTheme="minorEastAsia" w:hAnsiTheme="minorEastAsia"/>
                <w:b/>
                <w:bCs/>
                <w:szCs w:val="21"/>
              </w:rPr>
              <w:t>D级</w:t>
            </w:r>
          </w:p>
        </w:tc>
        <w:tc>
          <w:tcPr>
            <w:tcW w:w="6945" w:type="dxa"/>
            <w:tcBorders>
              <w:top w:val="nil"/>
              <w:left w:val="single" w:color="auto" w:sz="4" w:space="0"/>
              <w:bottom w:val="single" w:color="auto" w:sz="4" w:space="0"/>
              <w:right w:val="single" w:color="auto" w:sz="4" w:space="0"/>
            </w:tcBorders>
            <w:vAlign w:val="center"/>
          </w:tcPr>
          <w:p>
            <w:pPr>
              <w:widowControl/>
              <w:jc w:val="left"/>
              <w:textAlignment w:val="top"/>
              <w:rPr>
                <w:rFonts w:hint="eastAsia" w:cs="Times New Roman" w:asciiTheme="minorEastAsia" w:hAnsiTheme="minorEastAsia"/>
                <w:szCs w:val="21"/>
              </w:rPr>
            </w:pPr>
            <w:r>
              <w:rPr>
                <w:rFonts w:hint="eastAsia" w:cs="Times New Roman" w:asciiTheme="minorEastAsia" w:hAnsiTheme="minorEastAsia"/>
                <w:szCs w:val="21"/>
              </w:rPr>
              <w:t>GB 51251 《建筑防烟排烟系统技术标准》</w:t>
            </w:r>
          </w:p>
          <w:p>
            <w:pPr>
              <w:widowControl/>
              <w:jc w:val="left"/>
              <w:textAlignment w:val="top"/>
              <w:rPr>
                <w:rFonts w:hint="eastAsia" w:cs="Times New Roman" w:asciiTheme="minorEastAsia" w:hAnsiTheme="minorEastAsia"/>
                <w:szCs w:val="21"/>
              </w:rPr>
            </w:pPr>
            <w:r>
              <w:rPr>
                <w:rFonts w:hint="eastAsia" w:cs="Times New Roman" w:asciiTheme="minorEastAsia" w:hAnsiTheme="minorEastAsia"/>
                <w:szCs w:val="21"/>
              </w:rPr>
              <w:t>6.2.1  有耐火极限要求的风管的本体、框架与固定材料、密封垫料等必须为不燃材料，材料品种、规格、厚度及耐火极限等应符合设计要求和国家现行标准的规定。</w:t>
            </w:r>
          </w:p>
        </w:tc>
      </w:tr>
      <w:tr>
        <w:tblPrEx>
          <w:tblCellMar>
            <w:top w:w="0" w:type="dxa"/>
            <w:left w:w="108" w:type="dxa"/>
            <w:bottom w:w="0" w:type="dxa"/>
            <w:right w:w="108" w:type="dxa"/>
          </w:tblCellMar>
        </w:tblPrEx>
        <w:trPr>
          <w:trHeight w:val="693" w:hRule="atLeast"/>
          <w:jc w:val="center"/>
        </w:trPr>
        <w:tc>
          <w:tcPr>
            <w:tcW w:w="709" w:type="dxa"/>
            <w:tcBorders>
              <w:top w:val="nil"/>
              <w:left w:val="single" w:color="auto" w:sz="4" w:space="0"/>
              <w:bottom w:val="single" w:color="auto" w:sz="4" w:space="0"/>
              <w:right w:val="single" w:color="auto" w:sz="4" w:space="0"/>
            </w:tcBorders>
            <w:noWrap/>
            <w:vAlign w:val="center"/>
          </w:tcPr>
          <w:p>
            <w:pPr>
              <w:widowControl/>
              <w:jc w:val="center"/>
              <w:textAlignment w:val="top"/>
              <w:rPr>
                <w:rFonts w:hint="eastAsia" w:cs="Times New Roman" w:asciiTheme="minorEastAsia" w:hAnsiTheme="minorEastAsia"/>
                <w:szCs w:val="21"/>
              </w:rPr>
            </w:pPr>
            <w:r>
              <w:rPr>
                <w:rFonts w:hint="eastAsia" w:cs="Times New Roman" w:asciiTheme="minorEastAsia" w:hAnsiTheme="minorEastAsia"/>
                <w:szCs w:val="21"/>
              </w:rPr>
              <w:t>4</w:t>
            </w:r>
          </w:p>
        </w:tc>
        <w:tc>
          <w:tcPr>
            <w:tcW w:w="1843" w:type="dxa"/>
            <w:tcBorders>
              <w:top w:val="nil"/>
              <w:left w:val="single" w:color="auto" w:sz="4" w:space="0"/>
              <w:bottom w:val="single" w:color="auto" w:sz="4" w:space="0"/>
              <w:right w:val="single" w:color="auto" w:sz="4" w:space="0"/>
            </w:tcBorders>
            <w:noWrap/>
            <w:vAlign w:val="center"/>
          </w:tcPr>
          <w:p>
            <w:pPr>
              <w:widowControl/>
              <w:jc w:val="center"/>
              <w:textAlignment w:val="top"/>
              <w:rPr>
                <w:rFonts w:hint="eastAsia" w:cs="Times New Roman" w:asciiTheme="minorEastAsia" w:hAnsiTheme="minorEastAsia"/>
                <w:szCs w:val="21"/>
              </w:rPr>
            </w:pPr>
            <w:r>
              <w:rPr>
                <w:rFonts w:hint="eastAsia" w:cs="Times New Roman" w:asciiTheme="minorEastAsia" w:hAnsiTheme="minorEastAsia"/>
                <w:szCs w:val="21"/>
              </w:rPr>
              <w:t>耐火隔热材料的</w:t>
            </w:r>
          </w:p>
          <w:p>
            <w:pPr>
              <w:widowControl/>
              <w:jc w:val="center"/>
              <w:textAlignment w:val="top"/>
              <w:rPr>
                <w:rFonts w:hint="eastAsia" w:cs="Times New Roman" w:asciiTheme="minorEastAsia" w:hAnsiTheme="minorEastAsia"/>
                <w:szCs w:val="21"/>
              </w:rPr>
            </w:pPr>
            <w:r>
              <w:rPr>
                <w:rFonts w:hint="eastAsia" w:cs="Times New Roman" w:asciiTheme="minorEastAsia" w:hAnsiTheme="minorEastAsia"/>
                <w:szCs w:val="21"/>
              </w:rPr>
              <w:t>最高耐火温度</w:t>
            </w:r>
          </w:p>
        </w:tc>
        <w:tc>
          <w:tcPr>
            <w:tcW w:w="2263" w:type="dxa"/>
            <w:tcBorders>
              <w:top w:val="nil"/>
              <w:left w:val="nil"/>
              <w:bottom w:val="single" w:color="auto" w:sz="4" w:space="0"/>
              <w:right w:val="single" w:color="auto" w:sz="4" w:space="0"/>
            </w:tcBorders>
            <w:vAlign w:val="center"/>
          </w:tcPr>
          <w:p>
            <w:pPr>
              <w:widowControl/>
              <w:jc w:val="left"/>
              <w:textAlignment w:val="top"/>
              <w:rPr>
                <w:rFonts w:hint="eastAsia" w:cs="Times New Roman" w:asciiTheme="minorEastAsia" w:hAnsiTheme="minorEastAsia"/>
                <w:szCs w:val="21"/>
              </w:rPr>
            </w:pPr>
            <w:r>
              <w:rPr>
                <w:rFonts w:hint="eastAsia" w:cs="Times New Roman" w:asciiTheme="minorEastAsia" w:hAnsiTheme="minorEastAsia"/>
                <w:szCs w:val="21"/>
              </w:rPr>
              <w:t>满足GB/T17428、GB/T 9978.1耐火隔热材料的最高耐火温度不低于实验炉温升曲线对应的环境温度。</w:t>
            </w:r>
          </w:p>
        </w:tc>
        <w:tc>
          <w:tcPr>
            <w:tcW w:w="2126" w:type="dxa"/>
            <w:tcBorders>
              <w:top w:val="nil"/>
              <w:left w:val="single" w:color="auto" w:sz="4" w:space="0"/>
              <w:bottom w:val="single" w:color="auto" w:sz="4" w:space="0"/>
              <w:right w:val="single" w:color="auto" w:sz="4" w:space="0"/>
            </w:tcBorders>
            <w:noWrap/>
            <w:vAlign w:val="center"/>
          </w:tcPr>
          <w:p>
            <w:pPr>
              <w:widowControl/>
              <w:ind w:leftChars="-49" w:hanging="117" w:hangingChars="49"/>
              <w:jc w:val="center"/>
              <w:textAlignment w:val="top"/>
              <w:rPr>
                <w:rFonts w:hint="eastAsia" w:cs="Times New Roman" w:asciiTheme="minorEastAsia" w:hAnsiTheme="minorEastAsia"/>
                <w:szCs w:val="21"/>
              </w:rPr>
            </w:pPr>
            <w:r>
              <w:rPr>
                <w:rFonts w:hint="eastAsia" w:asciiTheme="minorEastAsia" w:hAnsiTheme="minorEastAsia"/>
                <w:szCs w:val="21"/>
              </w:rPr>
              <w:t>不满足直接判定为</w:t>
            </w:r>
            <w:r>
              <w:rPr>
                <w:rFonts w:hint="eastAsia" w:asciiTheme="minorEastAsia" w:hAnsiTheme="minorEastAsia"/>
                <w:b/>
                <w:bCs/>
                <w:szCs w:val="21"/>
              </w:rPr>
              <w:t>D级</w:t>
            </w:r>
          </w:p>
        </w:tc>
        <w:tc>
          <w:tcPr>
            <w:tcW w:w="6945" w:type="dxa"/>
            <w:tcBorders>
              <w:top w:val="nil"/>
              <w:left w:val="single" w:color="auto" w:sz="4" w:space="0"/>
              <w:bottom w:val="single" w:color="auto" w:sz="4" w:space="0"/>
              <w:right w:val="single" w:color="auto" w:sz="4" w:space="0"/>
            </w:tcBorders>
            <w:vAlign w:val="center"/>
          </w:tcPr>
          <w:p>
            <w:pPr>
              <w:widowControl/>
              <w:jc w:val="left"/>
              <w:textAlignment w:val="top"/>
              <w:rPr>
                <w:rFonts w:hint="eastAsia" w:cs="Times New Roman" w:asciiTheme="minorEastAsia" w:hAnsiTheme="minorEastAsia"/>
                <w:szCs w:val="21"/>
              </w:rPr>
            </w:pPr>
            <w:r>
              <w:rPr>
                <w:rFonts w:hint="eastAsia" w:cs="Times New Roman" w:asciiTheme="minorEastAsia" w:hAnsiTheme="minorEastAsia"/>
                <w:szCs w:val="21"/>
              </w:rPr>
              <w:t>GB/T17428 《通风管道试验方法》</w:t>
            </w:r>
          </w:p>
          <w:p>
            <w:pPr>
              <w:widowControl/>
              <w:jc w:val="left"/>
              <w:textAlignment w:val="top"/>
              <w:rPr>
                <w:rFonts w:hint="eastAsia" w:cs="Times New Roman" w:asciiTheme="minorEastAsia" w:hAnsiTheme="minorEastAsia"/>
                <w:szCs w:val="21"/>
              </w:rPr>
            </w:pPr>
            <w:r>
              <w:rPr>
                <w:rFonts w:hint="eastAsia" w:cs="Times New Roman" w:asciiTheme="minorEastAsia" w:hAnsiTheme="minorEastAsia"/>
                <w:szCs w:val="21"/>
              </w:rPr>
              <w:t>5 试验条件</w:t>
            </w:r>
          </w:p>
          <w:p>
            <w:pPr>
              <w:widowControl/>
              <w:jc w:val="left"/>
              <w:textAlignment w:val="top"/>
              <w:rPr>
                <w:rFonts w:hint="eastAsia" w:cs="Times New Roman" w:asciiTheme="minorEastAsia" w:hAnsiTheme="minorEastAsia"/>
                <w:szCs w:val="21"/>
              </w:rPr>
            </w:pPr>
            <w:r>
              <w:rPr>
                <w:rFonts w:hint="eastAsia" w:cs="Times New Roman" w:asciiTheme="minorEastAsia" w:hAnsiTheme="minorEastAsia"/>
                <w:szCs w:val="21"/>
              </w:rPr>
              <w:t>试验炉内加热条件和压力条件应满足GB/T9978.1的规定。</w:t>
            </w:r>
          </w:p>
          <w:p>
            <w:pPr>
              <w:widowControl/>
              <w:jc w:val="left"/>
              <w:textAlignment w:val="top"/>
              <w:rPr>
                <w:rFonts w:hint="eastAsia" w:cs="Times New Roman" w:asciiTheme="minorEastAsia" w:hAnsiTheme="minorEastAsia"/>
                <w:szCs w:val="21"/>
              </w:rPr>
            </w:pPr>
            <w:r>
              <w:rPr>
                <w:rFonts w:hint="eastAsia" w:cs="Times New Roman" w:asciiTheme="minorEastAsia" w:hAnsiTheme="minorEastAsia"/>
                <w:szCs w:val="21"/>
              </w:rPr>
              <w:t>试验过程中,管道承受的试验条件应满足10.2的规定。</w:t>
            </w:r>
          </w:p>
          <w:p>
            <w:pPr>
              <w:widowControl/>
              <w:jc w:val="left"/>
              <w:textAlignment w:val="top"/>
              <w:rPr>
                <w:rFonts w:hint="eastAsia" w:cs="Times New Roman" w:asciiTheme="minorEastAsia" w:hAnsiTheme="minorEastAsia"/>
                <w:kern w:val="0"/>
                <w:szCs w:val="21"/>
                <w:lang w:bidi="ar"/>
              </w:rPr>
            </w:pPr>
          </w:p>
          <w:p>
            <w:pPr>
              <w:widowControl/>
              <w:jc w:val="left"/>
              <w:textAlignment w:val="top"/>
              <w:rPr>
                <w:rFonts w:hint="eastAsia" w:cs="Times New Roman" w:asciiTheme="minorEastAsia" w:hAnsiTheme="minorEastAsia"/>
                <w:kern w:val="0"/>
                <w:szCs w:val="21"/>
                <w:lang w:bidi="ar"/>
              </w:rPr>
            </w:pPr>
            <w:r>
              <w:rPr>
                <w:rFonts w:hint="eastAsia" w:cs="Times New Roman" w:asciiTheme="minorEastAsia" w:hAnsiTheme="minorEastAsia"/>
                <w:kern w:val="0"/>
                <w:szCs w:val="21"/>
                <w:lang w:bidi="ar"/>
              </w:rPr>
              <w:t>GBT 9978.1《建筑构件耐火试验方法》</w:t>
            </w:r>
          </w:p>
          <w:p>
            <w:pPr>
              <w:widowControl/>
              <w:jc w:val="left"/>
              <w:textAlignment w:val="top"/>
              <w:rPr>
                <w:rFonts w:hint="eastAsia" w:cs="Times New Roman" w:asciiTheme="minorEastAsia" w:hAnsiTheme="minorEastAsia"/>
                <w:kern w:val="0"/>
                <w:szCs w:val="21"/>
                <w:lang w:bidi="ar"/>
              </w:rPr>
            </w:pPr>
            <w:r>
              <w:rPr>
                <w:rFonts w:hint="eastAsia" w:cs="Times New Roman" w:asciiTheme="minorEastAsia" w:hAnsiTheme="minorEastAsia"/>
                <w:kern w:val="0"/>
                <w:szCs w:val="21"/>
                <w:lang w:bidi="ar"/>
              </w:rPr>
              <w:t>第１部分：通用要求建筑耐火构件试验炉环境，如下图：</w:t>
            </w:r>
          </w:p>
          <w:p>
            <w:pPr>
              <w:widowControl/>
              <w:jc w:val="left"/>
              <w:textAlignment w:val="top"/>
              <w:rPr>
                <w:rFonts w:hint="eastAsia" w:cs="Times New Roman" w:asciiTheme="minorEastAsia" w:hAnsiTheme="minorEastAsia"/>
                <w:kern w:val="0"/>
                <w:szCs w:val="21"/>
                <w:lang w:bidi="ar"/>
              </w:rPr>
            </w:pPr>
            <w:r>
              <w:rPr>
                <w14:ligatures w14:val="standardContextual"/>
              </w:rPr>
              <w:drawing>
                <wp:inline distT="0" distB="0" distL="0" distR="0">
                  <wp:extent cx="4071620" cy="3607435"/>
                  <wp:effectExtent l="0" t="0" r="5080" b="0"/>
                  <wp:docPr id="102630699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306991" name="图片 1"/>
                          <pic:cNvPicPr>
                            <a:picLocks noChangeAspect="1"/>
                          </pic:cNvPicPr>
                        </pic:nvPicPr>
                        <pic:blipFill>
                          <a:blip r:embed="rId10"/>
                          <a:stretch>
                            <a:fillRect/>
                          </a:stretch>
                        </pic:blipFill>
                        <pic:spPr>
                          <a:xfrm>
                            <a:off x="0" y="0"/>
                            <a:ext cx="4104507" cy="3636637"/>
                          </a:xfrm>
                          <a:prstGeom prst="rect">
                            <a:avLst/>
                          </a:prstGeom>
                        </pic:spPr>
                      </pic:pic>
                    </a:graphicData>
                  </a:graphic>
                </wp:inline>
              </w:drawing>
            </w:r>
          </w:p>
          <w:p>
            <w:pPr>
              <w:widowControl/>
              <w:jc w:val="left"/>
              <w:textAlignment w:val="top"/>
              <w:rPr>
                <w:rFonts w:hint="eastAsia" w:cs="Times New Roman" w:asciiTheme="minorEastAsia" w:hAnsiTheme="minorEastAsia"/>
                <w:kern w:val="0"/>
                <w:szCs w:val="21"/>
                <w:lang w:bidi="ar"/>
              </w:rPr>
            </w:pPr>
            <w:r>
              <w:rPr>
                <w:rFonts w:hint="eastAsia" w:cs="Times New Roman" w:asciiTheme="minorEastAsia" w:hAnsiTheme="minorEastAsia"/>
                <w:kern w:val="0"/>
                <w:szCs w:val="21"/>
                <w:lang w:bidi="ar"/>
              </w:rPr>
              <w:t>总结：模拟火灾温升曲线情况如下：1h（约950℃），2h（约1050℃），3h（约1100℃），如风管耐火隔热材料的最高耐火温度低于上述条件，则无法确保风管耐火性能达标。</w:t>
            </w:r>
          </w:p>
        </w:tc>
      </w:tr>
    </w:tbl>
    <w:p>
      <w:pPr>
        <w:jc w:val="center"/>
        <w:rPr>
          <w:rFonts w:eastAsia="宋体" w:cs="Times New Roman"/>
          <w:szCs w:val="24"/>
        </w:rPr>
      </w:pPr>
    </w:p>
    <w:p>
      <w:pPr>
        <w:widowControl/>
        <w:jc w:val="center"/>
        <w:rPr>
          <w:rFonts w:eastAsia="宋体" w:cs="Times New Roman"/>
          <w:szCs w:val="24"/>
        </w:rPr>
      </w:pPr>
      <w:r>
        <w:rPr>
          <w:rFonts w:hint="eastAsia" w:ascii="宋体" w:hAnsi="宋体" w:eastAsia="宋体" w:cs="Times New Roman"/>
          <w:b/>
          <w:bCs/>
          <w:szCs w:val="21"/>
        </w:rPr>
        <w:t>表</w:t>
      </w:r>
      <w:r>
        <w:rPr>
          <w:rFonts w:ascii="宋体" w:hAnsi="宋体" w:eastAsia="宋体" w:cs="Times New Roman"/>
          <w:b/>
          <w:bCs/>
          <w:szCs w:val="21"/>
        </w:rPr>
        <w:t>4.2.</w:t>
      </w:r>
      <w:r>
        <w:rPr>
          <w:rFonts w:hint="eastAsia" w:ascii="宋体" w:hAnsi="宋体" w:eastAsia="宋体" w:cs="Times New Roman"/>
          <w:b/>
          <w:bCs/>
          <w:szCs w:val="21"/>
        </w:rPr>
        <w:t>3</w:t>
      </w:r>
      <w:r>
        <w:rPr>
          <w:rFonts w:ascii="宋体" w:hAnsi="宋体" w:eastAsia="宋体" w:cs="Times New Roman"/>
          <w:b/>
          <w:bCs/>
          <w:szCs w:val="21"/>
        </w:rPr>
        <w:t>-</w:t>
      </w:r>
      <w:r>
        <w:rPr>
          <w:rFonts w:hint="eastAsia" w:ascii="宋体" w:hAnsi="宋体" w:eastAsia="宋体" w:cs="Times New Roman"/>
          <w:b/>
          <w:bCs/>
          <w:szCs w:val="21"/>
        </w:rPr>
        <w:t>2防火风管评分项评定表</w:t>
      </w:r>
    </w:p>
    <w:tbl>
      <w:tblPr>
        <w:tblStyle w:val="17"/>
        <w:tblW w:w="137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1843"/>
        <w:gridCol w:w="2126"/>
        <w:gridCol w:w="3260"/>
        <w:gridCol w:w="709"/>
        <w:gridCol w:w="49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blHeader/>
          <w:jc w:val="center"/>
        </w:trPr>
        <w:tc>
          <w:tcPr>
            <w:tcW w:w="846" w:type="dxa"/>
            <w:noWrap/>
            <w:vAlign w:val="center"/>
          </w:tcPr>
          <w:p>
            <w:pPr>
              <w:widowControl/>
              <w:jc w:val="center"/>
              <w:textAlignment w:val="top"/>
              <w:rPr>
                <w:rFonts w:eastAsia="宋体" w:cs="Times New Roman"/>
                <w:b/>
                <w:bCs/>
                <w:szCs w:val="21"/>
              </w:rPr>
            </w:pPr>
            <w:r>
              <w:rPr>
                <w:rFonts w:eastAsia="宋体" w:cs="Times New Roman"/>
                <w:b/>
                <w:bCs/>
                <w:szCs w:val="21"/>
              </w:rPr>
              <w:t>序号</w:t>
            </w:r>
          </w:p>
        </w:tc>
        <w:tc>
          <w:tcPr>
            <w:tcW w:w="1843" w:type="dxa"/>
            <w:noWrap/>
            <w:vAlign w:val="center"/>
          </w:tcPr>
          <w:p>
            <w:pPr>
              <w:widowControl/>
              <w:jc w:val="center"/>
              <w:textAlignment w:val="top"/>
              <w:rPr>
                <w:rFonts w:eastAsia="宋体" w:cs="Times New Roman"/>
                <w:b/>
                <w:bCs/>
                <w:szCs w:val="21"/>
              </w:rPr>
            </w:pPr>
            <w:r>
              <w:rPr>
                <w:rFonts w:eastAsia="宋体" w:cs="Times New Roman"/>
                <w:b/>
                <w:bCs/>
                <w:szCs w:val="21"/>
              </w:rPr>
              <w:t>评定指标</w:t>
            </w:r>
          </w:p>
        </w:tc>
        <w:tc>
          <w:tcPr>
            <w:tcW w:w="2126" w:type="dxa"/>
            <w:vAlign w:val="center"/>
          </w:tcPr>
          <w:p>
            <w:pPr>
              <w:widowControl/>
              <w:jc w:val="center"/>
              <w:textAlignment w:val="top"/>
              <w:rPr>
                <w:rFonts w:eastAsia="宋体" w:cs="Times New Roman"/>
                <w:b/>
                <w:bCs/>
                <w:szCs w:val="21"/>
              </w:rPr>
            </w:pPr>
            <w:r>
              <w:rPr>
                <w:rFonts w:eastAsia="宋体" w:cs="Times New Roman"/>
                <w:b/>
                <w:bCs/>
                <w:szCs w:val="21"/>
              </w:rPr>
              <w:t>评分项</w:t>
            </w:r>
          </w:p>
        </w:tc>
        <w:tc>
          <w:tcPr>
            <w:tcW w:w="3260" w:type="dxa"/>
            <w:noWrap/>
            <w:vAlign w:val="center"/>
          </w:tcPr>
          <w:p>
            <w:pPr>
              <w:widowControl/>
              <w:jc w:val="center"/>
              <w:textAlignment w:val="top"/>
              <w:rPr>
                <w:rFonts w:eastAsia="宋体" w:cs="Times New Roman"/>
                <w:b/>
                <w:bCs/>
                <w:szCs w:val="21"/>
              </w:rPr>
            </w:pPr>
            <w:r>
              <w:rPr>
                <w:rFonts w:eastAsia="宋体" w:cs="Times New Roman"/>
                <w:b/>
                <w:bCs/>
                <w:szCs w:val="21"/>
              </w:rPr>
              <w:t>评定方法</w:t>
            </w:r>
          </w:p>
        </w:tc>
        <w:tc>
          <w:tcPr>
            <w:tcW w:w="709" w:type="dxa"/>
            <w:vAlign w:val="center"/>
          </w:tcPr>
          <w:p>
            <w:pPr>
              <w:widowControl/>
              <w:jc w:val="center"/>
              <w:textAlignment w:val="top"/>
              <w:rPr>
                <w:rFonts w:eastAsia="宋体" w:cs="Times New Roman"/>
                <w:b/>
                <w:bCs/>
                <w:szCs w:val="21"/>
              </w:rPr>
            </w:pPr>
            <w:r>
              <w:rPr>
                <w:rFonts w:eastAsia="宋体" w:cs="Times New Roman"/>
                <w:b/>
                <w:bCs/>
                <w:szCs w:val="21"/>
              </w:rPr>
              <w:t>权重因子</w:t>
            </w:r>
          </w:p>
        </w:tc>
        <w:tc>
          <w:tcPr>
            <w:tcW w:w="4961" w:type="dxa"/>
            <w:vAlign w:val="center"/>
          </w:tcPr>
          <w:p>
            <w:pPr>
              <w:widowControl/>
              <w:jc w:val="center"/>
              <w:textAlignment w:val="top"/>
              <w:rPr>
                <w:rFonts w:eastAsia="宋体" w:cs="Times New Roman"/>
                <w:b/>
                <w:bCs/>
                <w:kern w:val="0"/>
                <w:szCs w:val="21"/>
                <w:lang w:bidi="ar"/>
              </w:rPr>
            </w:pPr>
            <w:r>
              <w:rPr>
                <w:rFonts w:eastAsia="宋体" w:cs="Times New Roman"/>
                <w:b/>
                <w:bCs/>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jc w:val="center"/>
        </w:trPr>
        <w:tc>
          <w:tcPr>
            <w:tcW w:w="846" w:type="dxa"/>
            <w:vMerge w:val="restart"/>
            <w:noWrap/>
            <w:vAlign w:val="center"/>
          </w:tcPr>
          <w:p>
            <w:pPr>
              <w:jc w:val="center"/>
              <w:textAlignment w:val="top"/>
              <w:rPr>
                <w:rFonts w:hint="eastAsia" w:cs="Times New Roman" w:asciiTheme="minorEastAsia" w:hAnsiTheme="minorEastAsia"/>
                <w:szCs w:val="21"/>
              </w:rPr>
            </w:pPr>
            <w:r>
              <w:rPr>
                <w:rFonts w:hint="eastAsia" w:cs="Times New Roman" w:asciiTheme="minorEastAsia" w:hAnsiTheme="minorEastAsia"/>
                <w:szCs w:val="21"/>
              </w:rPr>
              <w:t>1</w:t>
            </w:r>
          </w:p>
        </w:tc>
        <w:tc>
          <w:tcPr>
            <w:tcW w:w="1843" w:type="dxa"/>
            <w:vMerge w:val="restart"/>
            <w:noWrap/>
            <w:vAlign w:val="center"/>
          </w:tcPr>
          <w:p>
            <w:pPr>
              <w:jc w:val="center"/>
              <w:textAlignment w:val="top"/>
              <w:rPr>
                <w:rFonts w:hint="eastAsia" w:cs="Times New Roman" w:asciiTheme="minorEastAsia" w:hAnsiTheme="minorEastAsia"/>
                <w:szCs w:val="21"/>
              </w:rPr>
            </w:pPr>
            <w:r>
              <w:rPr>
                <w:rFonts w:hint="eastAsia" w:cs="Times New Roman" w:asciiTheme="minorEastAsia" w:hAnsiTheme="minorEastAsia"/>
                <w:szCs w:val="21"/>
              </w:rPr>
              <w:t>风管耐火隔热材料的可靠性</w:t>
            </w:r>
          </w:p>
        </w:tc>
        <w:tc>
          <w:tcPr>
            <w:tcW w:w="2126" w:type="dxa"/>
            <w:vAlign w:val="center"/>
          </w:tcPr>
          <w:p>
            <w:pPr>
              <w:widowControl/>
              <w:jc w:val="center"/>
              <w:textAlignment w:val="top"/>
              <w:rPr>
                <w:rFonts w:hint="eastAsia" w:cs="Times New Roman" w:asciiTheme="minorEastAsia" w:hAnsiTheme="minorEastAsia"/>
                <w:szCs w:val="21"/>
              </w:rPr>
            </w:pPr>
            <w:r>
              <w:rPr>
                <w:rFonts w:hint="eastAsia" w:cs="Times New Roman" w:asciiTheme="minorEastAsia" w:hAnsiTheme="minorEastAsia"/>
                <w:szCs w:val="21"/>
              </w:rPr>
              <w:t>耐火隔热材料的高温（1000℃）</w:t>
            </w:r>
          </w:p>
          <w:p>
            <w:pPr>
              <w:widowControl/>
              <w:jc w:val="center"/>
              <w:textAlignment w:val="top"/>
              <w:rPr>
                <w:rFonts w:hint="eastAsia" w:cs="Times New Roman" w:asciiTheme="minorEastAsia" w:hAnsiTheme="minorEastAsia"/>
                <w:szCs w:val="21"/>
              </w:rPr>
            </w:pPr>
            <w:r>
              <w:rPr>
                <w:rFonts w:hint="eastAsia" w:cs="Times New Roman" w:asciiTheme="minorEastAsia" w:hAnsiTheme="minorEastAsia"/>
                <w:szCs w:val="21"/>
              </w:rPr>
              <w:t>导热系数λ</w:t>
            </w:r>
          </w:p>
        </w:tc>
        <w:tc>
          <w:tcPr>
            <w:tcW w:w="3260" w:type="dxa"/>
            <w:noWrap/>
            <w:vAlign w:val="center"/>
          </w:tcPr>
          <w:p>
            <w:pPr>
              <w:widowControl/>
              <w:jc w:val="left"/>
              <w:textAlignment w:val="top"/>
              <w:rPr>
                <w:rFonts w:hint="eastAsia" w:asciiTheme="minorEastAsia" w:hAnsiTheme="minorEastAsia"/>
                <w:szCs w:val="21"/>
              </w:rPr>
            </w:pPr>
            <w:r>
              <w:rPr>
                <w:rFonts w:hint="eastAsia" w:asciiTheme="minorEastAsia" w:hAnsiTheme="minorEastAsia"/>
                <w:szCs w:val="21"/>
              </w:rPr>
              <w:t>1、λ＞0.15w/(m.k)，得60分；</w:t>
            </w:r>
          </w:p>
          <w:p>
            <w:pPr>
              <w:widowControl/>
              <w:jc w:val="left"/>
              <w:textAlignment w:val="top"/>
              <w:rPr>
                <w:rFonts w:hint="eastAsia" w:asciiTheme="minorEastAsia" w:hAnsiTheme="minorEastAsia"/>
                <w:szCs w:val="21"/>
              </w:rPr>
            </w:pPr>
            <w:r>
              <w:rPr>
                <w:rFonts w:hint="eastAsia" w:asciiTheme="minorEastAsia" w:hAnsiTheme="minorEastAsia"/>
                <w:szCs w:val="21"/>
              </w:rPr>
              <w:t>2、0.1w/(m.k) ≤λ≤0.15w/(m.k)，得80分；</w:t>
            </w:r>
          </w:p>
          <w:p>
            <w:pPr>
              <w:widowControl/>
              <w:jc w:val="left"/>
              <w:textAlignment w:val="top"/>
              <w:rPr>
                <w:rFonts w:hint="eastAsia" w:cs="Times New Roman" w:asciiTheme="minorEastAsia" w:hAnsiTheme="minorEastAsia"/>
                <w:szCs w:val="21"/>
              </w:rPr>
            </w:pPr>
            <w:r>
              <w:rPr>
                <w:rFonts w:hint="eastAsia" w:asciiTheme="minorEastAsia" w:hAnsiTheme="minorEastAsia"/>
                <w:szCs w:val="21"/>
              </w:rPr>
              <w:t>3、λ≤0.1w/(m.k)，得100分。</w:t>
            </w:r>
          </w:p>
        </w:tc>
        <w:tc>
          <w:tcPr>
            <w:tcW w:w="709" w:type="dxa"/>
            <w:vAlign w:val="center"/>
          </w:tcPr>
          <w:p>
            <w:pPr>
              <w:widowControl/>
              <w:jc w:val="center"/>
              <w:textAlignment w:val="top"/>
              <w:rPr>
                <w:rFonts w:hint="eastAsia" w:cs="Times New Roman" w:asciiTheme="minorEastAsia" w:hAnsiTheme="minorEastAsia"/>
                <w:szCs w:val="21"/>
              </w:rPr>
            </w:pPr>
            <w:r>
              <w:rPr>
                <w:rFonts w:hint="eastAsia" w:asciiTheme="minorEastAsia" w:hAnsiTheme="minorEastAsia"/>
                <w:szCs w:val="21"/>
              </w:rPr>
              <w:t>0.25</w:t>
            </w:r>
          </w:p>
        </w:tc>
        <w:tc>
          <w:tcPr>
            <w:tcW w:w="4961" w:type="dxa"/>
            <w:vAlign w:val="center"/>
          </w:tcPr>
          <w:p>
            <w:pPr>
              <w:widowControl/>
              <w:jc w:val="left"/>
              <w:textAlignment w:val="top"/>
              <w:rPr>
                <w:rFonts w:hint="eastAsia" w:cs="Times New Roman" w:asciiTheme="minorEastAsia" w:hAnsiTheme="minorEastAsia"/>
                <w:szCs w:val="21"/>
              </w:rPr>
            </w:pPr>
            <w:r>
              <w:rPr>
                <w:rFonts w:hint="eastAsia" w:cs="Times New Roman" w:asciiTheme="minorEastAsia" w:hAnsiTheme="minorEastAsia"/>
                <w:szCs w:val="21"/>
              </w:rPr>
              <w:t>根据51251烟规要求对于通风管道的耐火极限的判定必须按照《通风管道耐火试验方法》（GB/T 17428）的测试方法，当耐火完整性和隔热性同时达到时，方能视作符合要求。</w:t>
            </w:r>
          </w:p>
          <w:p>
            <w:pPr>
              <w:widowControl/>
              <w:jc w:val="left"/>
              <w:textAlignment w:val="top"/>
              <w:rPr>
                <w:rFonts w:hint="eastAsia" w:cs="Times New Roman" w:asciiTheme="minorEastAsia" w:hAnsiTheme="minorEastAsia"/>
                <w:szCs w:val="21"/>
              </w:rPr>
            </w:pPr>
            <w:r>
              <w:rPr>
                <w:rFonts w:hint="eastAsia" w:cs="Times New Roman" w:asciiTheme="minorEastAsia" w:hAnsiTheme="minorEastAsia"/>
                <w:szCs w:val="21"/>
              </w:rPr>
              <w:t>为保证耐火风管的隔热性，必须充分考察其耐火隔热材料的高温（1000℃）隔热性能，具有良好高温隔热性能的可作为高评分选材。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jc w:val="center"/>
        </w:trPr>
        <w:tc>
          <w:tcPr>
            <w:tcW w:w="846" w:type="dxa"/>
            <w:vMerge w:val="continue"/>
            <w:noWrap/>
            <w:vAlign w:val="center"/>
          </w:tcPr>
          <w:p>
            <w:pPr>
              <w:jc w:val="center"/>
              <w:textAlignment w:val="top"/>
              <w:rPr>
                <w:rFonts w:hint="eastAsia" w:cs="Times New Roman" w:asciiTheme="minorEastAsia" w:hAnsiTheme="minorEastAsia"/>
                <w:szCs w:val="21"/>
              </w:rPr>
            </w:pPr>
          </w:p>
        </w:tc>
        <w:tc>
          <w:tcPr>
            <w:tcW w:w="1843" w:type="dxa"/>
            <w:vMerge w:val="continue"/>
            <w:noWrap/>
            <w:vAlign w:val="center"/>
          </w:tcPr>
          <w:p>
            <w:pPr>
              <w:jc w:val="center"/>
              <w:textAlignment w:val="top"/>
              <w:rPr>
                <w:rFonts w:hint="eastAsia" w:cs="Times New Roman" w:asciiTheme="minorEastAsia" w:hAnsiTheme="minorEastAsia"/>
                <w:szCs w:val="21"/>
              </w:rPr>
            </w:pPr>
          </w:p>
        </w:tc>
        <w:tc>
          <w:tcPr>
            <w:tcW w:w="2126" w:type="dxa"/>
            <w:vAlign w:val="center"/>
          </w:tcPr>
          <w:p>
            <w:pPr>
              <w:widowControl/>
              <w:jc w:val="center"/>
              <w:textAlignment w:val="top"/>
              <w:rPr>
                <w:rFonts w:hint="eastAsia" w:cs="Times New Roman" w:asciiTheme="minorEastAsia" w:hAnsiTheme="minorEastAsia"/>
                <w:szCs w:val="21"/>
              </w:rPr>
            </w:pPr>
            <w:r>
              <w:rPr>
                <w:rFonts w:hint="eastAsia" w:cs="Times New Roman" w:asciiTheme="minorEastAsia" w:hAnsiTheme="minorEastAsia"/>
                <w:szCs w:val="21"/>
              </w:rPr>
              <w:t>耐火隔热材料的憎水率</w:t>
            </w:r>
          </w:p>
        </w:tc>
        <w:tc>
          <w:tcPr>
            <w:tcW w:w="3260" w:type="dxa"/>
            <w:noWrap/>
            <w:vAlign w:val="center"/>
          </w:tcPr>
          <w:p>
            <w:pPr>
              <w:widowControl/>
              <w:jc w:val="left"/>
              <w:textAlignment w:val="top"/>
              <w:rPr>
                <w:rFonts w:hint="eastAsia" w:asciiTheme="minorEastAsia" w:hAnsiTheme="minorEastAsia"/>
                <w:szCs w:val="21"/>
              </w:rPr>
            </w:pPr>
            <w:r>
              <w:rPr>
                <w:rFonts w:hint="eastAsia" w:cs="Times New Roman" w:asciiTheme="minorEastAsia" w:hAnsiTheme="minorEastAsia"/>
                <w:szCs w:val="21"/>
              </w:rPr>
              <w:t>1）憎水率</w:t>
            </w:r>
            <w:r>
              <w:rPr>
                <w:rFonts w:hint="eastAsia" w:asciiTheme="minorEastAsia" w:hAnsiTheme="minorEastAsia"/>
                <w:szCs w:val="21"/>
              </w:rPr>
              <w:t>＜90%，得60分；</w:t>
            </w:r>
          </w:p>
          <w:p>
            <w:pPr>
              <w:widowControl/>
              <w:jc w:val="left"/>
              <w:textAlignment w:val="top"/>
              <w:rPr>
                <w:rFonts w:hint="eastAsia" w:asciiTheme="minorEastAsia" w:hAnsiTheme="minorEastAsia"/>
                <w:szCs w:val="21"/>
              </w:rPr>
            </w:pPr>
            <w:r>
              <w:rPr>
                <w:rFonts w:hint="eastAsia" w:cs="Times New Roman" w:asciiTheme="minorEastAsia" w:hAnsiTheme="minorEastAsia"/>
                <w:szCs w:val="21"/>
              </w:rPr>
              <w:t>2）90%</w:t>
            </w:r>
            <w:r>
              <w:rPr>
                <w:rFonts w:hint="eastAsia" w:asciiTheme="minorEastAsia" w:hAnsiTheme="minorEastAsia"/>
                <w:szCs w:val="21"/>
              </w:rPr>
              <w:t>＜</w:t>
            </w:r>
            <w:r>
              <w:rPr>
                <w:rFonts w:hint="eastAsia" w:cs="Times New Roman" w:asciiTheme="minorEastAsia" w:hAnsiTheme="minorEastAsia"/>
                <w:szCs w:val="21"/>
              </w:rPr>
              <w:t>憎水率</w:t>
            </w:r>
            <w:r>
              <w:rPr>
                <w:rFonts w:hint="eastAsia" w:asciiTheme="minorEastAsia" w:hAnsiTheme="minorEastAsia"/>
                <w:szCs w:val="21"/>
              </w:rPr>
              <w:t>＜99%，得80分；</w:t>
            </w:r>
          </w:p>
          <w:p>
            <w:pPr>
              <w:widowControl/>
              <w:jc w:val="left"/>
              <w:textAlignment w:val="top"/>
              <w:rPr>
                <w:rFonts w:hint="eastAsia" w:cs="Times New Roman" w:asciiTheme="minorEastAsia" w:hAnsiTheme="minorEastAsia"/>
                <w:szCs w:val="21"/>
              </w:rPr>
            </w:pPr>
            <w:r>
              <w:rPr>
                <w:rFonts w:hint="eastAsia" w:asciiTheme="minorEastAsia" w:hAnsiTheme="minorEastAsia"/>
                <w:szCs w:val="21"/>
              </w:rPr>
              <w:t>3）</w:t>
            </w:r>
            <w:r>
              <w:rPr>
                <w:rFonts w:hint="eastAsia" w:cs="Times New Roman" w:asciiTheme="minorEastAsia" w:hAnsiTheme="minorEastAsia"/>
                <w:szCs w:val="21"/>
              </w:rPr>
              <w:t>憎水率</w:t>
            </w:r>
            <w:r>
              <w:rPr>
                <w:rFonts w:hint="eastAsia" w:asciiTheme="minorEastAsia" w:hAnsiTheme="minorEastAsia"/>
                <w:szCs w:val="21"/>
              </w:rPr>
              <w:t>≥99%，得100分；</w:t>
            </w:r>
          </w:p>
        </w:tc>
        <w:tc>
          <w:tcPr>
            <w:tcW w:w="709" w:type="dxa"/>
            <w:vAlign w:val="center"/>
          </w:tcPr>
          <w:p>
            <w:pPr>
              <w:widowControl/>
              <w:jc w:val="center"/>
              <w:textAlignment w:val="top"/>
              <w:rPr>
                <w:rFonts w:hint="eastAsia" w:cs="Times New Roman" w:asciiTheme="minorEastAsia" w:hAnsiTheme="minorEastAsia"/>
                <w:szCs w:val="21"/>
              </w:rPr>
            </w:pPr>
            <w:r>
              <w:rPr>
                <w:rFonts w:hint="eastAsia" w:asciiTheme="minorEastAsia" w:hAnsiTheme="minorEastAsia"/>
                <w:szCs w:val="21"/>
              </w:rPr>
              <w:t>0.10</w:t>
            </w:r>
          </w:p>
        </w:tc>
        <w:tc>
          <w:tcPr>
            <w:tcW w:w="4961" w:type="dxa"/>
            <w:vAlign w:val="center"/>
          </w:tcPr>
          <w:p>
            <w:pPr>
              <w:widowControl/>
              <w:jc w:val="left"/>
              <w:textAlignment w:val="top"/>
              <w:rPr>
                <w:rFonts w:hint="eastAsia" w:cs="Times New Roman" w:asciiTheme="minorEastAsia" w:hAnsiTheme="minorEastAsia"/>
                <w:szCs w:val="21"/>
              </w:rPr>
            </w:pPr>
            <w:r>
              <w:rPr>
                <w:rFonts w:hint="eastAsia" w:cs="Times New Roman" w:asciiTheme="minorEastAsia" w:hAnsiTheme="minorEastAsia"/>
                <w:szCs w:val="21"/>
              </w:rPr>
              <w:t>考虑风管在地下汽车库应用较多，固对于其耐火隔热材料的防水防潮性能要充分考虑，其将直接影响材料的使用寿命，憎水率高的材料可作为高评分选材。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jc w:val="center"/>
        </w:trPr>
        <w:tc>
          <w:tcPr>
            <w:tcW w:w="846" w:type="dxa"/>
            <w:vMerge w:val="continue"/>
            <w:noWrap/>
            <w:vAlign w:val="center"/>
          </w:tcPr>
          <w:p>
            <w:pPr>
              <w:jc w:val="center"/>
              <w:textAlignment w:val="top"/>
              <w:rPr>
                <w:rFonts w:hint="eastAsia" w:cs="Times New Roman" w:asciiTheme="minorEastAsia" w:hAnsiTheme="minorEastAsia"/>
                <w:szCs w:val="21"/>
              </w:rPr>
            </w:pPr>
          </w:p>
        </w:tc>
        <w:tc>
          <w:tcPr>
            <w:tcW w:w="1843" w:type="dxa"/>
            <w:vMerge w:val="continue"/>
            <w:noWrap/>
            <w:vAlign w:val="center"/>
          </w:tcPr>
          <w:p>
            <w:pPr>
              <w:jc w:val="center"/>
              <w:textAlignment w:val="top"/>
              <w:rPr>
                <w:rFonts w:hint="eastAsia" w:cs="Times New Roman" w:asciiTheme="minorEastAsia" w:hAnsiTheme="minorEastAsia"/>
                <w:szCs w:val="21"/>
              </w:rPr>
            </w:pPr>
          </w:p>
        </w:tc>
        <w:tc>
          <w:tcPr>
            <w:tcW w:w="2126" w:type="dxa"/>
            <w:vAlign w:val="center"/>
          </w:tcPr>
          <w:p>
            <w:pPr>
              <w:widowControl/>
              <w:jc w:val="center"/>
              <w:textAlignment w:val="top"/>
              <w:rPr>
                <w:rFonts w:hint="eastAsia" w:cs="Times New Roman" w:asciiTheme="minorEastAsia" w:hAnsiTheme="minorEastAsia"/>
                <w:szCs w:val="21"/>
              </w:rPr>
            </w:pPr>
            <w:r>
              <w:rPr>
                <w:rFonts w:hint="eastAsia" w:cs="Times New Roman" w:asciiTheme="minorEastAsia" w:hAnsiTheme="minorEastAsia"/>
                <w:szCs w:val="21"/>
              </w:rPr>
              <w:t>耐火隔热材料的烟毒性</w:t>
            </w:r>
          </w:p>
        </w:tc>
        <w:tc>
          <w:tcPr>
            <w:tcW w:w="3260" w:type="dxa"/>
            <w:noWrap/>
            <w:vAlign w:val="center"/>
          </w:tcPr>
          <w:p>
            <w:pPr>
              <w:widowControl/>
              <w:jc w:val="left"/>
              <w:textAlignment w:val="top"/>
              <w:rPr>
                <w:rFonts w:hint="eastAsia" w:asciiTheme="minorEastAsia" w:hAnsiTheme="minorEastAsia"/>
                <w:szCs w:val="21"/>
              </w:rPr>
            </w:pPr>
            <w:r>
              <w:rPr>
                <w:rFonts w:hint="eastAsia" w:cs="Times New Roman" w:asciiTheme="minorEastAsia" w:hAnsiTheme="minorEastAsia"/>
                <w:szCs w:val="21"/>
              </w:rPr>
              <w:t>1）</w:t>
            </w:r>
            <w:r>
              <w:rPr>
                <w:rFonts w:hint="eastAsia" w:asciiTheme="minorEastAsia" w:hAnsiTheme="minorEastAsia"/>
                <w:szCs w:val="21"/>
              </w:rPr>
              <w:t>烟毒性WZ，得60分；</w:t>
            </w:r>
          </w:p>
          <w:p>
            <w:pPr>
              <w:widowControl/>
              <w:jc w:val="left"/>
              <w:textAlignment w:val="top"/>
              <w:rPr>
                <w:rFonts w:hint="eastAsia" w:asciiTheme="minorEastAsia" w:hAnsiTheme="minorEastAsia"/>
                <w:szCs w:val="21"/>
              </w:rPr>
            </w:pPr>
            <w:r>
              <w:rPr>
                <w:rFonts w:hint="eastAsia" w:cs="Times New Roman" w:asciiTheme="minorEastAsia" w:hAnsiTheme="minorEastAsia"/>
                <w:szCs w:val="21"/>
              </w:rPr>
              <w:t>2）</w:t>
            </w:r>
            <w:r>
              <w:rPr>
                <w:rFonts w:hint="eastAsia" w:asciiTheme="minorEastAsia" w:hAnsiTheme="minorEastAsia"/>
                <w:szCs w:val="21"/>
              </w:rPr>
              <w:t>烟毒性ZQ1级，得80分；</w:t>
            </w:r>
          </w:p>
          <w:p>
            <w:pPr>
              <w:widowControl/>
              <w:jc w:val="left"/>
              <w:textAlignment w:val="top"/>
              <w:rPr>
                <w:rFonts w:hint="eastAsia" w:cs="Times New Roman" w:asciiTheme="minorEastAsia" w:hAnsiTheme="minorEastAsia"/>
                <w:szCs w:val="21"/>
              </w:rPr>
            </w:pPr>
            <w:r>
              <w:rPr>
                <w:rFonts w:hint="eastAsia" w:asciiTheme="minorEastAsia" w:hAnsiTheme="minorEastAsia"/>
                <w:szCs w:val="21"/>
              </w:rPr>
              <w:t>3）烟毒性AQ1级，得100分；</w:t>
            </w:r>
          </w:p>
        </w:tc>
        <w:tc>
          <w:tcPr>
            <w:tcW w:w="709" w:type="dxa"/>
            <w:vAlign w:val="center"/>
          </w:tcPr>
          <w:p>
            <w:pPr>
              <w:widowControl/>
              <w:jc w:val="center"/>
              <w:textAlignment w:val="top"/>
              <w:rPr>
                <w:rFonts w:hint="eastAsia" w:cs="Times New Roman" w:asciiTheme="minorEastAsia" w:hAnsiTheme="minorEastAsia"/>
                <w:szCs w:val="21"/>
              </w:rPr>
            </w:pPr>
            <w:r>
              <w:rPr>
                <w:rFonts w:hint="eastAsia" w:asciiTheme="minorEastAsia" w:hAnsiTheme="minorEastAsia"/>
                <w:szCs w:val="21"/>
              </w:rPr>
              <w:t>0.15</w:t>
            </w:r>
          </w:p>
        </w:tc>
        <w:tc>
          <w:tcPr>
            <w:tcW w:w="4961" w:type="dxa"/>
            <w:vAlign w:val="center"/>
          </w:tcPr>
          <w:p>
            <w:pPr>
              <w:widowControl/>
              <w:jc w:val="left"/>
              <w:textAlignment w:val="top"/>
              <w:rPr>
                <w:rFonts w:hint="eastAsia" w:cs="Times New Roman" w:asciiTheme="minorEastAsia" w:hAnsiTheme="minorEastAsia"/>
                <w:szCs w:val="21"/>
              </w:rPr>
            </w:pPr>
            <w:r>
              <w:rPr>
                <w:rFonts w:hint="eastAsia" w:cs="Times New Roman" w:asciiTheme="minorEastAsia" w:hAnsiTheme="minorEastAsia"/>
                <w:szCs w:val="21"/>
              </w:rPr>
              <w:t>耐火风管承担事故过程中建筑物内火灾产生的毒气、烟气排出的功能，所以其所用的耐火隔热材料在火灾情况下自身是否会产生毒气、烟气也非常重要，无烟毒性气体释放的材料可作为高评分选材。</w:t>
            </w:r>
          </w:p>
          <w:p>
            <w:pPr>
              <w:widowControl/>
              <w:jc w:val="left"/>
              <w:textAlignment w:val="top"/>
              <w:rPr>
                <w:rFonts w:hint="eastAsia" w:cs="Times New Roman" w:asciiTheme="minorEastAsia" w:hAnsiTheme="minorEastAsia"/>
                <w:szCs w:val="21"/>
              </w:rPr>
            </w:pPr>
            <w:r>
              <w:rPr>
                <w:rFonts w:hint="eastAsia" w:cs="Times New Roman" w:asciiTheme="minorEastAsia" w:hAnsiTheme="minorEastAsia"/>
                <w:szCs w:val="21"/>
              </w:rPr>
              <w:t>根据</w:t>
            </w:r>
            <w:r>
              <w:rPr>
                <w:rFonts w:cs="Times New Roman" w:asciiTheme="minorEastAsia" w:hAnsiTheme="minorEastAsia"/>
                <w:szCs w:val="21"/>
              </w:rPr>
              <w:t> GB/T 20285-2006《材料产烟毒性危险分级》</w:t>
            </w:r>
            <w:r>
              <w:rPr>
                <w:rFonts w:hint="eastAsia" w:cs="Times New Roman" w:asciiTheme="minorEastAsia" w:hAnsiTheme="minorEastAsia"/>
                <w:szCs w:val="21"/>
              </w:rPr>
              <w:t>烟毒性分类如下：</w:t>
            </w:r>
          </w:p>
          <w:p>
            <w:pPr>
              <w:widowControl/>
              <w:jc w:val="left"/>
              <w:textAlignment w:val="top"/>
              <w:rPr>
                <w:rFonts w:hint="eastAsia" w:cs="Times New Roman" w:asciiTheme="minorEastAsia" w:hAnsiTheme="minorEastAsia"/>
                <w:szCs w:val="21"/>
              </w:rPr>
            </w:pPr>
            <w:r>
              <w:rPr>
                <w14:ligatures w14:val="standardContextual"/>
              </w:rPr>
              <w:drawing>
                <wp:inline distT="0" distB="0" distL="0" distR="0">
                  <wp:extent cx="3008630" cy="1558925"/>
                  <wp:effectExtent l="0" t="0" r="1270" b="3175"/>
                  <wp:docPr id="106158539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1585397" name="图片 1"/>
                          <pic:cNvPicPr>
                            <a:picLocks noChangeAspect="1"/>
                          </pic:cNvPicPr>
                        </pic:nvPicPr>
                        <pic:blipFill>
                          <a:blip r:embed="rId11"/>
                          <a:stretch>
                            <a:fillRect/>
                          </a:stretch>
                        </pic:blipFill>
                        <pic:spPr>
                          <a:xfrm>
                            <a:off x="0" y="0"/>
                            <a:ext cx="3027995" cy="156937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jc w:val="center"/>
        </w:trPr>
        <w:tc>
          <w:tcPr>
            <w:tcW w:w="846" w:type="dxa"/>
            <w:vMerge w:val="continue"/>
            <w:noWrap/>
            <w:vAlign w:val="center"/>
          </w:tcPr>
          <w:p>
            <w:pPr>
              <w:jc w:val="center"/>
              <w:textAlignment w:val="top"/>
              <w:rPr>
                <w:rFonts w:hint="eastAsia" w:cs="Times New Roman" w:asciiTheme="minorEastAsia" w:hAnsiTheme="minorEastAsia"/>
                <w:szCs w:val="21"/>
              </w:rPr>
            </w:pPr>
          </w:p>
        </w:tc>
        <w:tc>
          <w:tcPr>
            <w:tcW w:w="1843" w:type="dxa"/>
            <w:vMerge w:val="continue"/>
            <w:noWrap/>
            <w:vAlign w:val="center"/>
          </w:tcPr>
          <w:p>
            <w:pPr>
              <w:jc w:val="center"/>
              <w:textAlignment w:val="top"/>
              <w:rPr>
                <w:rFonts w:hint="eastAsia" w:cs="Times New Roman" w:asciiTheme="minorEastAsia" w:hAnsiTheme="minorEastAsia"/>
                <w:szCs w:val="21"/>
              </w:rPr>
            </w:pPr>
          </w:p>
        </w:tc>
        <w:tc>
          <w:tcPr>
            <w:tcW w:w="2126" w:type="dxa"/>
            <w:vAlign w:val="center"/>
          </w:tcPr>
          <w:p>
            <w:pPr>
              <w:widowControl/>
              <w:jc w:val="center"/>
              <w:textAlignment w:val="top"/>
              <w:rPr>
                <w:rFonts w:hint="eastAsia" w:cs="Times New Roman" w:asciiTheme="minorEastAsia" w:hAnsiTheme="minorEastAsia"/>
                <w:szCs w:val="21"/>
              </w:rPr>
            </w:pPr>
            <w:r>
              <w:rPr>
                <w:rFonts w:hint="eastAsia" w:cs="Times New Roman" w:asciiTheme="minorEastAsia" w:hAnsiTheme="minorEastAsia"/>
                <w:szCs w:val="21"/>
              </w:rPr>
              <w:t>耐火隔热材料的密度质量ρ</w:t>
            </w:r>
          </w:p>
        </w:tc>
        <w:tc>
          <w:tcPr>
            <w:tcW w:w="3260" w:type="dxa"/>
            <w:noWrap/>
            <w:vAlign w:val="center"/>
          </w:tcPr>
          <w:p>
            <w:pPr>
              <w:widowControl/>
              <w:jc w:val="left"/>
              <w:textAlignment w:val="top"/>
              <w:rPr>
                <w:rFonts w:hint="eastAsia" w:asciiTheme="minorEastAsia" w:hAnsiTheme="minorEastAsia"/>
                <w:szCs w:val="21"/>
              </w:rPr>
            </w:pPr>
            <w:r>
              <w:rPr>
                <w:rFonts w:hint="eastAsia" w:asciiTheme="minorEastAsia" w:hAnsiTheme="minorEastAsia"/>
                <w:szCs w:val="21"/>
              </w:rPr>
              <w:t>1）</w:t>
            </w:r>
            <w:r>
              <w:rPr>
                <w:rFonts w:hint="eastAsia" w:cs="Times New Roman" w:asciiTheme="minorEastAsia" w:hAnsiTheme="minorEastAsia"/>
                <w:szCs w:val="21"/>
              </w:rPr>
              <w:t>ρ</w:t>
            </w:r>
            <w:r>
              <w:rPr>
                <w:rFonts w:hint="eastAsia" w:asciiTheme="minorEastAsia" w:hAnsiTheme="minorEastAsia"/>
                <w:szCs w:val="21"/>
              </w:rPr>
              <w:t>≥600kg/m³，得60分。</w:t>
            </w:r>
          </w:p>
          <w:p>
            <w:pPr>
              <w:widowControl/>
              <w:jc w:val="left"/>
              <w:textAlignment w:val="top"/>
              <w:rPr>
                <w:rFonts w:hint="eastAsia" w:asciiTheme="minorEastAsia" w:hAnsiTheme="minorEastAsia"/>
                <w:szCs w:val="21"/>
              </w:rPr>
            </w:pPr>
            <w:r>
              <w:rPr>
                <w:rFonts w:hint="eastAsia" w:asciiTheme="minorEastAsia" w:hAnsiTheme="minorEastAsia"/>
                <w:szCs w:val="21"/>
              </w:rPr>
              <w:t>2）300kg/m³＜</w:t>
            </w:r>
            <w:r>
              <w:rPr>
                <w:rFonts w:hint="eastAsia" w:cs="Times New Roman" w:asciiTheme="minorEastAsia" w:hAnsiTheme="minorEastAsia"/>
                <w:szCs w:val="21"/>
              </w:rPr>
              <w:t>ρ≤</w:t>
            </w:r>
            <w:r>
              <w:rPr>
                <w:rFonts w:hint="eastAsia" w:asciiTheme="minorEastAsia" w:hAnsiTheme="minorEastAsia"/>
                <w:szCs w:val="21"/>
              </w:rPr>
              <w:t>600kg/m³，得80分；</w:t>
            </w:r>
          </w:p>
          <w:p>
            <w:pPr>
              <w:widowControl/>
              <w:jc w:val="left"/>
              <w:textAlignment w:val="top"/>
              <w:rPr>
                <w:rFonts w:hint="eastAsia" w:asciiTheme="minorEastAsia" w:hAnsiTheme="minorEastAsia"/>
                <w:szCs w:val="21"/>
              </w:rPr>
            </w:pPr>
            <w:r>
              <w:rPr>
                <w:rFonts w:hint="eastAsia" w:asciiTheme="minorEastAsia" w:hAnsiTheme="minorEastAsia"/>
                <w:szCs w:val="21"/>
              </w:rPr>
              <w:t>3）</w:t>
            </w:r>
            <w:r>
              <w:rPr>
                <w:rFonts w:hint="eastAsia" w:cs="Times New Roman" w:asciiTheme="minorEastAsia" w:hAnsiTheme="minorEastAsia"/>
                <w:szCs w:val="21"/>
              </w:rPr>
              <w:t>ρ</w:t>
            </w:r>
            <w:r>
              <w:rPr>
                <w:rFonts w:hint="eastAsia" w:asciiTheme="minorEastAsia" w:hAnsiTheme="minorEastAsia"/>
                <w:szCs w:val="21"/>
              </w:rPr>
              <w:t>≤300kg/m³，得100分；</w:t>
            </w:r>
          </w:p>
        </w:tc>
        <w:tc>
          <w:tcPr>
            <w:tcW w:w="709" w:type="dxa"/>
            <w:vAlign w:val="center"/>
          </w:tcPr>
          <w:p>
            <w:pPr>
              <w:widowControl/>
              <w:jc w:val="center"/>
              <w:textAlignment w:val="top"/>
              <w:rPr>
                <w:rFonts w:hint="eastAsia" w:ascii="宋体" w:hAnsi="宋体" w:eastAsia="宋体"/>
                <w:szCs w:val="21"/>
              </w:rPr>
            </w:pPr>
            <w:r>
              <w:rPr>
                <w:rFonts w:hint="eastAsia" w:ascii="宋体" w:hAnsi="宋体" w:eastAsia="宋体"/>
                <w:szCs w:val="21"/>
              </w:rPr>
              <w:t>0.15</w:t>
            </w:r>
          </w:p>
        </w:tc>
        <w:tc>
          <w:tcPr>
            <w:tcW w:w="4961" w:type="dxa"/>
            <w:vAlign w:val="center"/>
          </w:tcPr>
          <w:p>
            <w:pPr>
              <w:widowControl/>
              <w:jc w:val="left"/>
              <w:textAlignment w:val="top"/>
              <w:rPr>
                <w:rFonts w:hint="eastAsia" w:cs="Times New Roman" w:asciiTheme="minorEastAsia" w:hAnsiTheme="minorEastAsia"/>
                <w:szCs w:val="21"/>
              </w:rPr>
            </w:pPr>
            <w:r>
              <w:rPr>
                <w:rFonts w:hint="eastAsia" w:cs="Times New Roman" w:asciiTheme="minorEastAsia" w:hAnsiTheme="minorEastAsia"/>
                <w:szCs w:val="21"/>
              </w:rPr>
              <w:t>为降低建筑物承重，节能减排，固在满足基本性能的情况下，耐火隔热材料的密度高低直接影响风管的自重，较低密度的耐火隔热材料可作为高评分选材。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jc w:val="center"/>
        </w:trPr>
        <w:tc>
          <w:tcPr>
            <w:tcW w:w="846" w:type="dxa"/>
            <w:vMerge w:val="continue"/>
            <w:noWrap/>
            <w:vAlign w:val="center"/>
          </w:tcPr>
          <w:p>
            <w:pPr>
              <w:widowControl/>
              <w:jc w:val="center"/>
              <w:textAlignment w:val="top"/>
              <w:rPr>
                <w:rFonts w:hint="eastAsia" w:cs="Times New Roman" w:asciiTheme="minorEastAsia" w:hAnsiTheme="minorEastAsia"/>
                <w:szCs w:val="21"/>
              </w:rPr>
            </w:pPr>
          </w:p>
        </w:tc>
        <w:tc>
          <w:tcPr>
            <w:tcW w:w="1843" w:type="dxa"/>
            <w:vMerge w:val="continue"/>
            <w:noWrap/>
            <w:vAlign w:val="center"/>
          </w:tcPr>
          <w:p>
            <w:pPr>
              <w:widowControl/>
              <w:jc w:val="center"/>
              <w:textAlignment w:val="top"/>
              <w:rPr>
                <w:rFonts w:hint="eastAsia" w:cs="Times New Roman" w:asciiTheme="minorEastAsia" w:hAnsiTheme="minorEastAsia"/>
                <w:szCs w:val="21"/>
              </w:rPr>
            </w:pPr>
          </w:p>
        </w:tc>
        <w:tc>
          <w:tcPr>
            <w:tcW w:w="2126" w:type="dxa"/>
            <w:vAlign w:val="center"/>
          </w:tcPr>
          <w:p>
            <w:pPr>
              <w:widowControl/>
              <w:jc w:val="center"/>
              <w:textAlignment w:val="top"/>
              <w:rPr>
                <w:rFonts w:hint="eastAsia" w:cs="Times New Roman" w:asciiTheme="minorEastAsia" w:hAnsiTheme="minorEastAsia"/>
                <w:szCs w:val="21"/>
              </w:rPr>
            </w:pPr>
            <w:r>
              <w:rPr>
                <w:rFonts w:hint="eastAsia" w:cs="Times New Roman" w:asciiTheme="minorEastAsia" w:hAnsiTheme="minorEastAsia"/>
                <w:szCs w:val="21"/>
              </w:rPr>
              <w:t>耐火隔热材料的抗折强度</w:t>
            </w:r>
          </w:p>
        </w:tc>
        <w:tc>
          <w:tcPr>
            <w:tcW w:w="3260" w:type="dxa"/>
            <w:noWrap/>
            <w:vAlign w:val="center"/>
          </w:tcPr>
          <w:p>
            <w:pPr>
              <w:widowControl/>
              <w:jc w:val="left"/>
              <w:textAlignment w:val="top"/>
              <w:rPr>
                <w:rFonts w:hint="eastAsia" w:asciiTheme="minorEastAsia" w:hAnsiTheme="minorEastAsia"/>
                <w:szCs w:val="21"/>
              </w:rPr>
            </w:pPr>
            <w:r>
              <w:rPr>
                <w:rFonts w:hint="eastAsia" w:cs="Times New Roman" w:asciiTheme="minorEastAsia" w:hAnsiTheme="minorEastAsia"/>
                <w:szCs w:val="21"/>
              </w:rPr>
              <w:t>1）抗折强度</w:t>
            </w:r>
            <w:r>
              <w:rPr>
                <w:rFonts w:hint="eastAsia" w:asciiTheme="minorEastAsia" w:hAnsiTheme="minorEastAsia"/>
                <w:szCs w:val="21"/>
              </w:rPr>
              <w:t>＜1.0Mpa，得60分；</w:t>
            </w:r>
          </w:p>
          <w:p>
            <w:pPr>
              <w:widowControl/>
              <w:jc w:val="left"/>
              <w:textAlignment w:val="top"/>
              <w:rPr>
                <w:rFonts w:hint="eastAsia" w:asciiTheme="minorEastAsia" w:hAnsiTheme="minorEastAsia"/>
                <w:szCs w:val="21"/>
              </w:rPr>
            </w:pPr>
            <w:r>
              <w:rPr>
                <w:rFonts w:hint="eastAsia" w:cs="Times New Roman" w:asciiTheme="minorEastAsia" w:hAnsiTheme="minorEastAsia"/>
                <w:szCs w:val="21"/>
              </w:rPr>
              <w:t>2）</w:t>
            </w:r>
            <w:r>
              <w:rPr>
                <w:rFonts w:hint="eastAsia" w:asciiTheme="minorEastAsia" w:hAnsiTheme="minorEastAsia"/>
                <w:szCs w:val="21"/>
              </w:rPr>
              <w:t>1.0Mpa＜</w:t>
            </w:r>
            <w:r>
              <w:rPr>
                <w:rFonts w:hint="eastAsia" w:cs="Times New Roman" w:asciiTheme="minorEastAsia" w:hAnsiTheme="minorEastAsia"/>
                <w:szCs w:val="21"/>
              </w:rPr>
              <w:t>抗折强度</w:t>
            </w:r>
            <w:r>
              <w:rPr>
                <w:rFonts w:hint="eastAsia" w:asciiTheme="minorEastAsia" w:hAnsiTheme="minorEastAsia"/>
                <w:szCs w:val="21"/>
              </w:rPr>
              <w:t>＜1.5Mpa，得80分；</w:t>
            </w:r>
          </w:p>
          <w:p>
            <w:pPr>
              <w:widowControl/>
              <w:jc w:val="left"/>
              <w:textAlignment w:val="top"/>
              <w:rPr>
                <w:rFonts w:hint="eastAsia" w:cs="Times New Roman" w:asciiTheme="minorEastAsia" w:hAnsiTheme="minorEastAsia"/>
                <w:szCs w:val="21"/>
              </w:rPr>
            </w:pPr>
            <w:r>
              <w:rPr>
                <w:rFonts w:hint="eastAsia" w:asciiTheme="minorEastAsia" w:hAnsiTheme="minorEastAsia"/>
                <w:szCs w:val="21"/>
              </w:rPr>
              <w:t>3）</w:t>
            </w:r>
            <w:r>
              <w:rPr>
                <w:rFonts w:hint="eastAsia" w:cs="Times New Roman" w:asciiTheme="minorEastAsia" w:hAnsiTheme="minorEastAsia"/>
                <w:szCs w:val="21"/>
              </w:rPr>
              <w:t>抗折强度</w:t>
            </w:r>
            <w:r>
              <w:rPr>
                <w:rFonts w:hint="eastAsia" w:asciiTheme="minorEastAsia" w:hAnsiTheme="minorEastAsia"/>
                <w:szCs w:val="21"/>
              </w:rPr>
              <w:t>≥1.5Mpa，得100分；</w:t>
            </w:r>
          </w:p>
        </w:tc>
        <w:tc>
          <w:tcPr>
            <w:tcW w:w="709" w:type="dxa"/>
            <w:vAlign w:val="center"/>
          </w:tcPr>
          <w:p>
            <w:pPr>
              <w:widowControl/>
              <w:jc w:val="center"/>
              <w:textAlignment w:val="top"/>
              <w:rPr>
                <w:rFonts w:hint="eastAsia" w:ascii="宋体" w:hAnsi="宋体" w:eastAsia="宋体" w:cs="Times New Roman"/>
                <w:szCs w:val="21"/>
              </w:rPr>
            </w:pPr>
            <w:r>
              <w:rPr>
                <w:rFonts w:hint="eastAsia" w:ascii="宋体" w:hAnsi="宋体" w:eastAsia="宋体"/>
                <w:szCs w:val="21"/>
              </w:rPr>
              <w:t>0.10</w:t>
            </w:r>
          </w:p>
        </w:tc>
        <w:tc>
          <w:tcPr>
            <w:tcW w:w="4961" w:type="dxa"/>
            <w:vAlign w:val="center"/>
          </w:tcPr>
          <w:p>
            <w:pPr>
              <w:widowControl/>
              <w:jc w:val="left"/>
              <w:textAlignment w:val="top"/>
              <w:rPr>
                <w:rFonts w:hint="eastAsia" w:cs="Times New Roman" w:asciiTheme="minorEastAsia" w:hAnsiTheme="minorEastAsia"/>
                <w:szCs w:val="21"/>
              </w:rPr>
            </w:pPr>
            <w:r>
              <w:rPr>
                <w:rFonts w:hint="eastAsia" w:asciiTheme="minorEastAsia" w:hAnsiTheme="minorEastAsia"/>
                <w:szCs w:val="21"/>
              </w:rPr>
              <w:t>耐火隔热材料的抗折强度可直接或者间接影响风管强度及安装使用效果和寿命，</w:t>
            </w:r>
            <w:r>
              <w:rPr>
                <w:rFonts w:hint="eastAsia" w:cs="Times New Roman" w:asciiTheme="minorEastAsia" w:hAnsiTheme="minorEastAsia"/>
                <w:szCs w:val="21"/>
              </w:rPr>
              <w:t>较高强度的耐火隔热材料可作为高评分选材。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jc w:val="center"/>
        </w:trPr>
        <w:tc>
          <w:tcPr>
            <w:tcW w:w="846" w:type="dxa"/>
            <w:vMerge w:val="restart"/>
            <w:noWrap/>
            <w:vAlign w:val="center"/>
          </w:tcPr>
          <w:p>
            <w:pPr>
              <w:jc w:val="center"/>
              <w:textAlignment w:val="top"/>
              <w:rPr>
                <w:rFonts w:hint="eastAsia" w:cs="Times New Roman" w:asciiTheme="minorEastAsia" w:hAnsiTheme="minorEastAsia"/>
                <w:szCs w:val="21"/>
              </w:rPr>
            </w:pPr>
            <w:r>
              <w:rPr>
                <w:rFonts w:hint="eastAsia" w:cs="Times New Roman" w:asciiTheme="minorEastAsia" w:hAnsiTheme="minorEastAsia"/>
                <w:szCs w:val="21"/>
              </w:rPr>
              <w:t>2</w:t>
            </w:r>
          </w:p>
        </w:tc>
        <w:tc>
          <w:tcPr>
            <w:tcW w:w="1843" w:type="dxa"/>
            <w:vMerge w:val="restart"/>
            <w:noWrap/>
            <w:vAlign w:val="center"/>
          </w:tcPr>
          <w:p>
            <w:pPr>
              <w:jc w:val="center"/>
              <w:textAlignment w:val="top"/>
              <w:rPr>
                <w:rFonts w:hint="eastAsia" w:cs="Times New Roman" w:asciiTheme="minorEastAsia" w:hAnsiTheme="minorEastAsia"/>
                <w:szCs w:val="21"/>
              </w:rPr>
            </w:pPr>
            <w:r>
              <w:rPr>
                <w:rFonts w:hint="eastAsia" w:cs="Times New Roman" w:asciiTheme="minorEastAsia" w:hAnsiTheme="minorEastAsia"/>
                <w:szCs w:val="21"/>
              </w:rPr>
              <w:t>风管金属内外壁的可靠性</w:t>
            </w:r>
          </w:p>
          <w:p>
            <w:pPr>
              <w:widowControl/>
              <w:jc w:val="center"/>
              <w:textAlignment w:val="top"/>
              <w:rPr>
                <w:rFonts w:hint="eastAsia" w:cs="Times New Roman" w:asciiTheme="minorEastAsia" w:hAnsiTheme="minorEastAsia"/>
                <w:szCs w:val="21"/>
              </w:rPr>
            </w:pPr>
            <w:r>
              <w:rPr>
                <w:rFonts w:hint="eastAsia" w:cs="Times New Roman" w:asciiTheme="minorEastAsia" w:hAnsiTheme="minorEastAsia"/>
                <w:szCs w:val="21"/>
              </w:rPr>
              <w:t>备注：复合风管和镀锌风管外包裹是两种不同类型的产品，在进行评定时不会同时存在，只能二选一。</w:t>
            </w:r>
          </w:p>
        </w:tc>
        <w:tc>
          <w:tcPr>
            <w:tcW w:w="2126" w:type="dxa"/>
            <w:vAlign w:val="center"/>
          </w:tcPr>
          <w:p>
            <w:pPr>
              <w:widowControl/>
              <w:jc w:val="center"/>
              <w:textAlignment w:val="top"/>
              <w:rPr>
                <w:rFonts w:hint="eastAsia" w:cs="Times New Roman" w:asciiTheme="minorEastAsia" w:hAnsiTheme="minorEastAsia"/>
                <w:szCs w:val="21"/>
              </w:rPr>
            </w:pPr>
            <w:r>
              <w:rPr>
                <w:rFonts w:hint="eastAsia" w:cs="Times New Roman" w:asciiTheme="minorEastAsia" w:hAnsiTheme="minorEastAsia"/>
                <w:szCs w:val="21"/>
              </w:rPr>
              <w:t>复合风管</w:t>
            </w:r>
          </w:p>
          <w:p>
            <w:pPr>
              <w:widowControl/>
              <w:jc w:val="center"/>
              <w:textAlignment w:val="top"/>
              <w:rPr>
                <w:rFonts w:hint="eastAsia" w:cs="Times New Roman" w:asciiTheme="minorEastAsia" w:hAnsiTheme="minorEastAsia"/>
                <w:szCs w:val="21"/>
              </w:rPr>
            </w:pPr>
            <w:r>
              <w:rPr>
                <w:rFonts w:hint="eastAsia" w:cs="Times New Roman" w:asciiTheme="minorEastAsia" w:hAnsiTheme="minorEastAsia"/>
                <w:szCs w:val="21"/>
              </w:rPr>
              <w:t>内外壁钢板相加的</w:t>
            </w:r>
          </w:p>
          <w:p>
            <w:pPr>
              <w:widowControl/>
              <w:jc w:val="center"/>
              <w:textAlignment w:val="top"/>
              <w:rPr>
                <w:rFonts w:hint="eastAsia" w:cs="Times New Roman" w:asciiTheme="minorEastAsia" w:hAnsiTheme="minorEastAsia"/>
                <w:szCs w:val="21"/>
              </w:rPr>
            </w:pPr>
            <w:r>
              <w:rPr>
                <w:rFonts w:hint="eastAsia" w:cs="Times New Roman" w:asciiTheme="minorEastAsia" w:hAnsiTheme="minorEastAsia"/>
                <w:szCs w:val="21"/>
              </w:rPr>
              <w:t>总厚度</w:t>
            </w:r>
          </w:p>
        </w:tc>
        <w:tc>
          <w:tcPr>
            <w:tcW w:w="3260" w:type="dxa"/>
            <w:noWrap/>
            <w:vAlign w:val="center"/>
          </w:tcPr>
          <w:p>
            <w:pPr>
              <w:widowControl/>
              <w:jc w:val="left"/>
              <w:textAlignment w:val="top"/>
              <w:rPr>
                <w:rFonts w:hint="eastAsia" w:cs="Times New Roman" w:asciiTheme="minorEastAsia" w:hAnsiTheme="minorEastAsia"/>
                <w:szCs w:val="21"/>
              </w:rPr>
            </w:pPr>
            <w:r>
              <w:rPr>
                <w:rFonts w:hint="eastAsia" w:cs="Times New Roman" w:asciiTheme="minorEastAsia" w:hAnsiTheme="minorEastAsia"/>
                <w:szCs w:val="21"/>
              </w:rPr>
              <w:t>1、硬质复合风管：</w:t>
            </w:r>
          </w:p>
          <w:p>
            <w:pPr>
              <w:widowControl/>
              <w:jc w:val="left"/>
              <w:textAlignment w:val="top"/>
              <w:rPr>
                <w:rFonts w:hint="eastAsia" w:asciiTheme="minorEastAsia" w:hAnsiTheme="minorEastAsia"/>
                <w:szCs w:val="21"/>
              </w:rPr>
            </w:pPr>
            <w:r>
              <w:rPr>
                <w:rFonts w:hint="eastAsia" w:asciiTheme="minorEastAsia" w:hAnsiTheme="minorEastAsia"/>
                <w:szCs w:val="21"/>
              </w:rPr>
              <w:t>1）双面总壁厚＜0.5mm，得60分；</w:t>
            </w:r>
          </w:p>
          <w:p>
            <w:pPr>
              <w:widowControl/>
              <w:jc w:val="left"/>
              <w:textAlignment w:val="top"/>
              <w:rPr>
                <w:rFonts w:hint="eastAsia" w:asciiTheme="minorEastAsia" w:hAnsiTheme="minorEastAsia"/>
                <w:szCs w:val="21"/>
              </w:rPr>
            </w:pPr>
            <w:r>
              <w:rPr>
                <w:rFonts w:hint="eastAsia" w:asciiTheme="minorEastAsia" w:hAnsiTheme="minorEastAsia"/>
                <w:szCs w:val="21"/>
              </w:rPr>
              <w:t>2）0.5mm≤双面总壁厚＜0.75mm，得80分；</w:t>
            </w:r>
          </w:p>
          <w:p>
            <w:pPr>
              <w:widowControl/>
              <w:jc w:val="left"/>
              <w:textAlignment w:val="top"/>
              <w:rPr>
                <w:rFonts w:hint="eastAsia" w:cs="Times New Roman" w:asciiTheme="minorEastAsia" w:hAnsiTheme="minorEastAsia"/>
                <w:szCs w:val="21"/>
              </w:rPr>
            </w:pPr>
            <w:r>
              <w:rPr>
                <w:rFonts w:hint="eastAsia" w:asciiTheme="minorEastAsia" w:hAnsiTheme="minorEastAsia"/>
                <w:szCs w:val="21"/>
              </w:rPr>
              <w:t>3）双面总壁厚≥0.75mm，得100分。</w:t>
            </w:r>
          </w:p>
          <w:p>
            <w:pPr>
              <w:widowControl/>
              <w:jc w:val="left"/>
              <w:textAlignment w:val="top"/>
              <w:rPr>
                <w:rFonts w:hint="eastAsia" w:cs="Times New Roman" w:asciiTheme="minorEastAsia" w:hAnsiTheme="minorEastAsia"/>
                <w:szCs w:val="21"/>
              </w:rPr>
            </w:pPr>
            <w:r>
              <w:rPr>
                <w:rFonts w:hint="eastAsia" w:cs="Times New Roman" w:asciiTheme="minorEastAsia" w:hAnsiTheme="minorEastAsia"/>
                <w:szCs w:val="21"/>
              </w:rPr>
              <w:t>2、柔性复合风管：</w:t>
            </w:r>
          </w:p>
          <w:p>
            <w:pPr>
              <w:widowControl/>
              <w:jc w:val="left"/>
              <w:textAlignment w:val="top"/>
              <w:rPr>
                <w:rFonts w:hint="eastAsia" w:asciiTheme="minorEastAsia" w:hAnsiTheme="minorEastAsia"/>
                <w:szCs w:val="21"/>
              </w:rPr>
            </w:pPr>
            <w:r>
              <w:rPr>
                <w:rFonts w:hint="eastAsia" w:asciiTheme="minorEastAsia" w:hAnsiTheme="minorEastAsia"/>
                <w:szCs w:val="21"/>
              </w:rPr>
              <w:t>1）双面总壁厚＜1.5mm，得60分；</w:t>
            </w:r>
          </w:p>
          <w:p>
            <w:pPr>
              <w:widowControl/>
              <w:jc w:val="left"/>
              <w:textAlignment w:val="top"/>
              <w:rPr>
                <w:rFonts w:hint="eastAsia" w:asciiTheme="minorEastAsia" w:hAnsiTheme="minorEastAsia"/>
                <w:szCs w:val="21"/>
              </w:rPr>
            </w:pPr>
            <w:r>
              <w:rPr>
                <w:rFonts w:hint="eastAsia" w:asciiTheme="minorEastAsia" w:hAnsiTheme="minorEastAsia"/>
                <w:szCs w:val="21"/>
              </w:rPr>
              <w:t>2）1.5mm≤双面总壁厚＜2.0mm，得80分；</w:t>
            </w:r>
          </w:p>
          <w:p>
            <w:pPr>
              <w:widowControl/>
              <w:jc w:val="left"/>
              <w:textAlignment w:val="top"/>
              <w:rPr>
                <w:rFonts w:hint="eastAsia" w:cs="Times New Roman" w:asciiTheme="minorEastAsia" w:hAnsiTheme="minorEastAsia"/>
                <w:szCs w:val="21"/>
              </w:rPr>
            </w:pPr>
            <w:r>
              <w:rPr>
                <w:rFonts w:hint="eastAsia" w:asciiTheme="minorEastAsia" w:hAnsiTheme="minorEastAsia"/>
                <w:szCs w:val="21"/>
              </w:rPr>
              <w:t>3）双面总壁厚≥2.0mm，得100分。</w:t>
            </w:r>
          </w:p>
        </w:tc>
        <w:tc>
          <w:tcPr>
            <w:tcW w:w="709" w:type="dxa"/>
            <w:vAlign w:val="center"/>
          </w:tcPr>
          <w:p>
            <w:pPr>
              <w:widowControl/>
              <w:jc w:val="center"/>
              <w:textAlignment w:val="top"/>
              <w:rPr>
                <w:rFonts w:hint="eastAsia" w:ascii="宋体" w:hAnsi="宋体" w:eastAsia="宋体" w:cs="Times New Roman"/>
                <w:szCs w:val="21"/>
              </w:rPr>
            </w:pPr>
            <w:r>
              <w:rPr>
                <w:rFonts w:hint="eastAsia" w:ascii="宋体" w:hAnsi="宋体" w:eastAsia="宋体"/>
                <w:szCs w:val="21"/>
              </w:rPr>
              <w:t>0.25</w:t>
            </w:r>
          </w:p>
        </w:tc>
        <w:tc>
          <w:tcPr>
            <w:tcW w:w="4961" w:type="dxa"/>
            <w:vAlign w:val="center"/>
          </w:tcPr>
          <w:p>
            <w:pPr>
              <w:widowControl/>
              <w:jc w:val="left"/>
              <w:textAlignment w:val="top"/>
              <w:rPr>
                <w:rFonts w:hint="eastAsia" w:cs="Times New Roman" w:asciiTheme="minorEastAsia" w:hAnsiTheme="minorEastAsia"/>
                <w:szCs w:val="21"/>
              </w:rPr>
            </w:pPr>
            <w:r>
              <w:rPr>
                <w:rFonts w:hint="eastAsia" w:cs="Times New Roman" w:asciiTheme="minorEastAsia" w:hAnsiTheme="minorEastAsia"/>
                <w:szCs w:val="21"/>
              </w:rPr>
              <w:t>1）本条适合复合风管，复合风管根据耐火隔热芯材的强度分为硬质和柔性两种；</w:t>
            </w:r>
          </w:p>
          <w:p>
            <w:pPr>
              <w:widowControl/>
              <w:jc w:val="left"/>
              <w:textAlignment w:val="top"/>
              <w:rPr>
                <w:rFonts w:hint="eastAsia" w:cs="Times New Roman" w:asciiTheme="minorEastAsia" w:hAnsiTheme="minorEastAsia"/>
                <w:szCs w:val="21"/>
              </w:rPr>
            </w:pPr>
            <w:r>
              <w:rPr>
                <w:rFonts w:hint="eastAsia" w:cs="Times New Roman" w:asciiTheme="minorEastAsia" w:hAnsiTheme="minorEastAsia"/>
                <w:szCs w:val="21"/>
              </w:rPr>
              <w:t>2）芯材抗折强度≥1.0Mpa，判定为硬质复合风管。</w:t>
            </w:r>
          </w:p>
          <w:p>
            <w:pPr>
              <w:widowControl/>
              <w:jc w:val="left"/>
              <w:textAlignment w:val="top"/>
              <w:rPr>
                <w:rFonts w:hint="eastAsia" w:cs="Times New Roman" w:asciiTheme="minorEastAsia" w:hAnsiTheme="minorEastAsia"/>
                <w:szCs w:val="21"/>
              </w:rPr>
            </w:pPr>
            <w:r>
              <w:rPr>
                <w:rFonts w:hint="eastAsia" w:cs="Times New Roman" w:asciiTheme="minorEastAsia" w:hAnsiTheme="minorEastAsia"/>
                <w:szCs w:val="21"/>
              </w:rPr>
              <w:t>3）芯材抗折强度＜1.0Mpa，判定为柔性复合风管。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jc w:val="center"/>
        </w:trPr>
        <w:tc>
          <w:tcPr>
            <w:tcW w:w="846" w:type="dxa"/>
            <w:vMerge w:val="continue"/>
            <w:noWrap/>
            <w:vAlign w:val="center"/>
          </w:tcPr>
          <w:p>
            <w:pPr>
              <w:widowControl/>
              <w:jc w:val="center"/>
              <w:textAlignment w:val="top"/>
              <w:rPr>
                <w:rFonts w:hint="eastAsia" w:cs="Times New Roman" w:asciiTheme="minorEastAsia" w:hAnsiTheme="minorEastAsia"/>
                <w:szCs w:val="21"/>
              </w:rPr>
            </w:pPr>
          </w:p>
        </w:tc>
        <w:tc>
          <w:tcPr>
            <w:tcW w:w="1843" w:type="dxa"/>
            <w:vMerge w:val="continue"/>
            <w:noWrap/>
            <w:vAlign w:val="center"/>
          </w:tcPr>
          <w:p>
            <w:pPr>
              <w:widowControl/>
              <w:jc w:val="center"/>
              <w:textAlignment w:val="top"/>
              <w:rPr>
                <w:rFonts w:hint="eastAsia" w:cs="Times New Roman" w:asciiTheme="minorEastAsia" w:hAnsiTheme="minorEastAsia"/>
                <w:szCs w:val="21"/>
              </w:rPr>
            </w:pPr>
          </w:p>
        </w:tc>
        <w:tc>
          <w:tcPr>
            <w:tcW w:w="2126" w:type="dxa"/>
            <w:vAlign w:val="center"/>
          </w:tcPr>
          <w:p>
            <w:pPr>
              <w:widowControl/>
              <w:jc w:val="center"/>
              <w:textAlignment w:val="top"/>
              <w:rPr>
                <w:rFonts w:hint="eastAsia" w:cs="Times New Roman" w:asciiTheme="minorEastAsia" w:hAnsiTheme="minorEastAsia"/>
                <w:szCs w:val="21"/>
              </w:rPr>
            </w:pPr>
            <w:r>
              <w:rPr>
                <w:rFonts w:hint="eastAsia" w:cs="Times New Roman" w:asciiTheme="minorEastAsia" w:hAnsiTheme="minorEastAsia"/>
                <w:szCs w:val="21"/>
              </w:rPr>
              <w:t>镀锌风管外包裹</w:t>
            </w:r>
          </w:p>
          <w:p>
            <w:pPr>
              <w:widowControl/>
              <w:jc w:val="center"/>
              <w:textAlignment w:val="top"/>
              <w:rPr>
                <w:rFonts w:hint="eastAsia" w:cs="Times New Roman" w:asciiTheme="minorEastAsia" w:hAnsiTheme="minorEastAsia"/>
                <w:szCs w:val="21"/>
              </w:rPr>
            </w:pPr>
            <w:r>
              <w:rPr>
                <w:rFonts w:hint="eastAsia" w:cs="Times New Roman" w:asciiTheme="minorEastAsia" w:hAnsiTheme="minorEastAsia"/>
                <w:szCs w:val="21"/>
              </w:rPr>
              <w:t>面层材质及厚度</w:t>
            </w:r>
          </w:p>
        </w:tc>
        <w:tc>
          <w:tcPr>
            <w:tcW w:w="3260" w:type="dxa"/>
            <w:noWrap/>
            <w:vAlign w:val="center"/>
          </w:tcPr>
          <w:p>
            <w:pPr>
              <w:widowControl/>
              <w:jc w:val="left"/>
              <w:textAlignment w:val="top"/>
              <w:rPr>
                <w:rFonts w:hint="eastAsia" w:asciiTheme="minorEastAsia" w:hAnsiTheme="minorEastAsia"/>
                <w:szCs w:val="21"/>
              </w:rPr>
            </w:pPr>
            <w:r>
              <w:rPr>
                <w:rFonts w:hint="eastAsia" w:asciiTheme="minorEastAsia" w:hAnsiTheme="minorEastAsia"/>
                <w:szCs w:val="21"/>
              </w:rPr>
              <w:t>1）外包裹面层为铝箔或其它柔性材料时，得60分；</w:t>
            </w:r>
          </w:p>
          <w:p>
            <w:pPr>
              <w:widowControl/>
              <w:jc w:val="left"/>
              <w:textAlignment w:val="top"/>
              <w:rPr>
                <w:rFonts w:hint="eastAsia" w:asciiTheme="minorEastAsia" w:hAnsiTheme="minorEastAsia"/>
                <w:szCs w:val="21"/>
              </w:rPr>
            </w:pPr>
            <w:r>
              <w:rPr>
                <w:rFonts w:hint="eastAsia" w:asciiTheme="minorEastAsia" w:hAnsiTheme="minorEastAsia"/>
                <w:szCs w:val="21"/>
              </w:rPr>
              <w:t>2）外包裹面层采用≥0.3mm的金属板时，得80分；</w:t>
            </w:r>
          </w:p>
          <w:p>
            <w:pPr>
              <w:widowControl/>
              <w:jc w:val="left"/>
              <w:textAlignment w:val="top"/>
              <w:rPr>
                <w:rFonts w:hint="eastAsia" w:cs="Times New Roman" w:asciiTheme="minorEastAsia" w:hAnsiTheme="minorEastAsia"/>
                <w:szCs w:val="21"/>
              </w:rPr>
            </w:pPr>
            <w:r>
              <w:rPr>
                <w:rFonts w:hint="eastAsia" w:asciiTheme="minorEastAsia" w:hAnsiTheme="minorEastAsia"/>
                <w:szCs w:val="21"/>
              </w:rPr>
              <w:t>3）外包裹面层采用硅酸盐防火板时，得100分。</w:t>
            </w:r>
          </w:p>
        </w:tc>
        <w:tc>
          <w:tcPr>
            <w:tcW w:w="709" w:type="dxa"/>
            <w:vAlign w:val="center"/>
          </w:tcPr>
          <w:p>
            <w:pPr>
              <w:widowControl/>
              <w:jc w:val="center"/>
              <w:textAlignment w:val="top"/>
              <w:rPr>
                <w:rFonts w:hint="eastAsia" w:cs="Times New Roman" w:asciiTheme="minorEastAsia" w:hAnsiTheme="minorEastAsia"/>
                <w:szCs w:val="21"/>
              </w:rPr>
            </w:pPr>
            <w:r>
              <w:rPr>
                <w:rFonts w:hint="eastAsia" w:asciiTheme="minorEastAsia" w:hAnsiTheme="minorEastAsia"/>
                <w:szCs w:val="21"/>
              </w:rPr>
              <w:t>0.25</w:t>
            </w:r>
          </w:p>
        </w:tc>
        <w:tc>
          <w:tcPr>
            <w:tcW w:w="4961" w:type="dxa"/>
            <w:vAlign w:val="center"/>
          </w:tcPr>
          <w:p>
            <w:pPr>
              <w:widowControl/>
              <w:jc w:val="left"/>
              <w:textAlignment w:val="top"/>
              <w:rPr>
                <w:rFonts w:hint="eastAsia" w:cs="Times New Roman" w:asciiTheme="minorEastAsia" w:hAnsiTheme="minorEastAsia"/>
                <w:szCs w:val="21"/>
              </w:rPr>
            </w:pPr>
            <w:r>
              <w:rPr>
                <w:rFonts w:hint="eastAsia" w:cs="Times New Roman" w:asciiTheme="minorEastAsia" w:hAnsiTheme="minorEastAsia"/>
                <w:szCs w:val="21"/>
              </w:rPr>
              <w:t>1）本条适合镀锌风管外包裹；</w:t>
            </w:r>
          </w:p>
        </w:tc>
      </w:tr>
    </w:tbl>
    <w:p>
      <w:pPr>
        <w:widowControl/>
        <w:jc w:val="center"/>
        <w:rPr>
          <w:rFonts w:hint="eastAsia" w:cs="Times New Roman" w:asciiTheme="minorEastAsia" w:hAnsiTheme="minorEastAsia"/>
          <w:szCs w:val="21"/>
        </w:rPr>
      </w:pPr>
      <w:bookmarkStart w:id="53" w:name="OLE_LINK21"/>
      <w:r>
        <w:rPr>
          <w:rFonts w:hint="eastAsia" w:ascii="宋体" w:hAnsi="宋体" w:eastAsia="宋体" w:cs="Times New Roman"/>
          <w:b/>
          <w:bCs/>
          <w:szCs w:val="21"/>
        </w:rPr>
        <w:t>表</w:t>
      </w:r>
      <w:r>
        <w:rPr>
          <w:rFonts w:ascii="宋体" w:hAnsi="宋体" w:eastAsia="宋体" w:cs="Times New Roman"/>
          <w:b/>
          <w:bCs/>
          <w:szCs w:val="21"/>
        </w:rPr>
        <w:t>4.2.</w:t>
      </w:r>
      <w:r>
        <w:rPr>
          <w:rFonts w:hint="eastAsia" w:ascii="宋体" w:hAnsi="宋体" w:eastAsia="宋体" w:cs="Times New Roman"/>
          <w:b/>
          <w:bCs/>
          <w:szCs w:val="21"/>
        </w:rPr>
        <w:t>3</w:t>
      </w:r>
      <w:r>
        <w:rPr>
          <w:rFonts w:ascii="宋体" w:hAnsi="宋体" w:eastAsia="宋体" w:cs="Times New Roman"/>
          <w:b/>
          <w:bCs/>
          <w:szCs w:val="21"/>
        </w:rPr>
        <w:t>-</w:t>
      </w:r>
      <w:r>
        <w:rPr>
          <w:rFonts w:hint="eastAsia" w:ascii="宋体" w:hAnsi="宋体" w:eastAsia="宋体" w:cs="Times New Roman"/>
          <w:b/>
          <w:bCs/>
          <w:szCs w:val="21"/>
        </w:rPr>
        <w:t>3防火风管优选项评定表</w:t>
      </w:r>
    </w:p>
    <w:bookmarkEnd w:id="53"/>
    <w:tbl>
      <w:tblPr>
        <w:tblStyle w:val="17"/>
        <w:tblW w:w="13604" w:type="dxa"/>
        <w:jc w:val="center"/>
        <w:tblLayout w:type="fixed"/>
        <w:tblCellMar>
          <w:top w:w="0" w:type="dxa"/>
          <w:left w:w="108" w:type="dxa"/>
          <w:bottom w:w="0" w:type="dxa"/>
          <w:right w:w="108" w:type="dxa"/>
        </w:tblCellMar>
      </w:tblPr>
      <w:tblGrid>
        <w:gridCol w:w="708"/>
        <w:gridCol w:w="1843"/>
        <w:gridCol w:w="3965"/>
        <w:gridCol w:w="2835"/>
        <w:gridCol w:w="709"/>
        <w:gridCol w:w="3544"/>
      </w:tblGrid>
      <w:tr>
        <w:tblPrEx>
          <w:tblCellMar>
            <w:top w:w="0" w:type="dxa"/>
            <w:left w:w="108" w:type="dxa"/>
            <w:bottom w:w="0" w:type="dxa"/>
            <w:right w:w="108" w:type="dxa"/>
          </w:tblCellMar>
        </w:tblPrEx>
        <w:trPr>
          <w:trHeight w:val="285" w:hRule="atLeast"/>
          <w:tblHeader/>
          <w:jc w:val="center"/>
        </w:trPr>
        <w:tc>
          <w:tcPr>
            <w:tcW w:w="708"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top"/>
              <w:rPr>
                <w:rFonts w:eastAsia="宋体" w:cs="Times New Roman"/>
                <w:b/>
                <w:bCs/>
                <w:szCs w:val="21"/>
              </w:rPr>
            </w:pPr>
            <w:r>
              <w:rPr>
                <w:rFonts w:eastAsia="宋体" w:cs="Times New Roman"/>
                <w:b/>
                <w:bCs/>
                <w:szCs w:val="21"/>
              </w:rPr>
              <w:t>序号</w:t>
            </w:r>
          </w:p>
        </w:tc>
        <w:tc>
          <w:tcPr>
            <w:tcW w:w="1843" w:type="dxa"/>
            <w:tcBorders>
              <w:top w:val="single" w:color="auto" w:sz="4" w:space="0"/>
              <w:left w:val="nil"/>
              <w:bottom w:val="single" w:color="auto" w:sz="4" w:space="0"/>
              <w:right w:val="single" w:color="auto" w:sz="4" w:space="0"/>
            </w:tcBorders>
            <w:noWrap/>
            <w:vAlign w:val="center"/>
          </w:tcPr>
          <w:p>
            <w:pPr>
              <w:widowControl/>
              <w:jc w:val="center"/>
              <w:textAlignment w:val="top"/>
              <w:rPr>
                <w:rFonts w:eastAsia="宋体" w:cs="Times New Roman"/>
                <w:b/>
                <w:bCs/>
                <w:szCs w:val="21"/>
              </w:rPr>
            </w:pPr>
            <w:r>
              <w:rPr>
                <w:rFonts w:eastAsia="宋体" w:cs="Times New Roman"/>
                <w:b/>
                <w:bCs/>
                <w:szCs w:val="21"/>
              </w:rPr>
              <w:t>评定指标</w:t>
            </w:r>
          </w:p>
        </w:tc>
        <w:tc>
          <w:tcPr>
            <w:tcW w:w="3965" w:type="dxa"/>
            <w:tcBorders>
              <w:top w:val="single" w:color="auto" w:sz="4" w:space="0"/>
              <w:left w:val="nil"/>
              <w:bottom w:val="single" w:color="auto" w:sz="4" w:space="0"/>
              <w:right w:val="single" w:color="auto" w:sz="4" w:space="0"/>
            </w:tcBorders>
            <w:vAlign w:val="center"/>
          </w:tcPr>
          <w:p>
            <w:pPr>
              <w:widowControl/>
              <w:jc w:val="center"/>
              <w:textAlignment w:val="top"/>
              <w:rPr>
                <w:rFonts w:eastAsia="宋体" w:cs="Times New Roman"/>
                <w:b/>
                <w:bCs/>
                <w:szCs w:val="21"/>
              </w:rPr>
            </w:pPr>
            <w:r>
              <w:rPr>
                <w:rFonts w:hint="eastAsia" w:eastAsia="宋体" w:cs="Times New Roman"/>
                <w:b/>
                <w:bCs/>
                <w:szCs w:val="21"/>
              </w:rPr>
              <w:t>优选项</w:t>
            </w:r>
          </w:p>
        </w:tc>
        <w:tc>
          <w:tcPr>
            <w:tcW w:w="2835"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top"/>
              <w:rPr>
                <w:rFonts w:eastAsia="宋体" w:cs="Times New Roman"/>
                <w:b/>
                <w:bCs/>
                <w:szCs w:val="21"/>
              </w:rPr>
            </w:pPr>
            <w:r>
              <w:rPr>
                <w:rFonts w:eastAsia="宋体" w:cs="Times New Roman"/>
                <w:b/>
                <w:bCs/>
                <w:szCs w:val="21"/>
              </w:rPr>
              <w:t>评定方法</w:t>
            </w:r>
          </w:p>
        </w:tc>
        <w:tc>
          <w:tcPr>
            <w:tcW w:w="709" w:type="dxa"/>
            <w:tcBorders>
              <w:top w:val="single" w:color="auto" w:sz="4" w:space="0"/>
              <w:left w:val="single" w:color="auto" w:sz="4" w:space="0"/>
              <w:bottom w:val="single" w:color="auto" w:sz="4" w:space="0"/>
              <w:right w:val="single" w:color="auto" w:sz="4" w:space="0"/>
            </w:tcBorders>
          </w:tcPr>
          <w:p>
            <w:pPr>
              <w:widowControl/>
              <w:jc w:val="center"/>
              <w:textAlignment w:val="top"/>
              <w:rPr>
                <w:rFonts w:eastAsia="宋体" w:cs="Times New Roman"/>
                <w:b/>
                <w:bCs/>
                <w:szCs w:val="21"/>
              </w:rPr>
            </w:pPr>
            <w:r>
              <w:rPr>
                <w:rFonts w:eastAsia="宋体" w:cs="Times New Roman"/>
                <w:b/>
                <w:bCs/>
                <w:szCs w:val="21"/>
              </w:rPr>
              <w:t>权重因子</w:t>
            </w:r>
          </w:p>
        </w:tc>
        <w:tc>
          <w:tcPr>
            <w:tcW w:w="3544" w:type="dxa"/>
            <w:tcBorders>
              <w:top w:val="single" w:color="auto" w:sz="4" w:space="0"/>
              <w:left w:val="single" w:color="auto" w:sz="4" w:space="0"/>
              <w:bottom w:val="single" w:color="auto" w:sz="4" w:space="0"/>
              <w:right w:val="single" w:color="auto" w:sz="4" w:space="0"/>
            </w:tcBorders>
            <w:vAlign w:val="center"/>
          </w:tcPr>
          <w:p>
            <w:pPr>
              <w:widowControl/>
              <w:jc w:val="center"/>
              <w:textAlignment w:val="top"/>
              <w:rPr>
                <w:rFonts w:eastAsia="宋体" w:cs="Times New Roman"/>
                <w:b/>
                <w:bCs/>
                <w:kern w:val="0"/>
                <w:szCs w:val="21"/>
                <w:lang w:bidi="ar"/>
              </w:rPr>
            </w:pPr>
            <w:r>
              <w:rPr>
                <w:rFonts w:eastAsia="宋体" w:cs="Times New Roman"/>
                <w:b/>
                <w:bCs/>
                <w:szCs w:val="21"/>
              </w:rPr>
              <w:t>说明</w:t>
            </w:r>
          </w:p>
        </w:tc>
      </w:tr>
      <w:tr>
        <w:tblPrEx>
          <w:tblCellMar>
            <w:top w:w="0" w:type="dxa"/>
            <w:left w:w="108" w:type="dxa"/>
            <w:bottom w:w="0" w:type="dxa"/>
            <w:right w:w="108" w:type="dxa"/>
          </w:tblCellMar>
        </w:tblPrEx>
        <w:trPr>
          <w:trHeight w:val="855" w:hRule="atLeast"/>
          <w:jc w:val="center"/>
        </w:trPr>
        <w:tc>
          <w:tcPr>
            <w:tcW w:w="708" w:type="dxa"/>
            <w:tcBorders>
              <w:top w:val="nil"/>
              <w:left w:val="single" w:color="auto" w:sz="4" w:space="0"/>
              <w:bottom w:val="single" w:color="auto" w:sz="4" w:space="0"/>
              <w:right w:val="single" w:color="auto" w:sz="4" w:space="0"/>
            </w:tcBorders>
            <w:noWrap/>
            <w:vAlign w:val="center"/>
          </w:tcPr>
          <w:p>
            <w:pPr>
              <w:widowControl/>
              <w:jc w:val="center"/>
              <w:textAlignment w:val="top"/>
              <w:rPr>
                <w:rFonts w:hint="eastAsia" w:cs="Times New Roman" w:asciiTheme="minorEastAsia" w:hAnsiTheme="minorEastAsia"/>
                <w:szCs w:val="21"/>
              </w:rPr>
            </w:pPr>
            <w:r>
              <w:rPr>
                <w:rFonts w:cs="Times New Roman" w:asciiTheme="minorEastAsia" w:hAnsiTheme="minorEastAsia"/>
                <w:szCs w:val="21"/>
              </w:rPr>
              <w:t>1</w:t>
            </w:r>
          </w:p>
        </w:tc>
        <w:tc>
          <w:tcPr>
            <w:tcW w:w="1843"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top"/>
              <w:rPr>
                <w:rFonts w:hint="eastAsia" w:cs="Times New Roman" w:asciiTheme="minorEastAsia" w:hAnsiTheme="minorEastAsia"/>
                <w:szCs w:val="21"/>
              </w:rPr>
            </w:pPr>
            <w:r>
              <w:rPr>
                <w:rFonts w:hint="eastAsia" w:cs="Times New Roman" w:asciiTheme="minorEastAsia" w:hAnsiTheme="minorEastAsia"/>
                <w:szCs w:val="21"/>
              </w:rPr>
              <w:t>风管洁净度</w:t>
            </w:r>
          </w:p>
        </w:tc>
        <w:tc>
          <w:tcPr>
            <w:tcW w:w="3965" w:type="dxa"/>
            <w:tcBorders>
              <w:top w:val="single" w:color="auto" w:sz="4" w:space="0"/>
              <w:left w:val="single" w:color="auto" w:sz="4" w:space="0"/>
              <w:bottom w:val="single" w:color="auto" w:sz="4" w:space="0"/>
              <w:right w:val="single" w:color="auto" w:sz="4" w:space="0"/>
            </w:tcBorders>
            <w:vAlign w:val="center"/>
          </w:tcPr>
          <w:p>
            <w:pPr>
              <w:widowControl/>
              <w:jc w:val="left"/>
              <w:textAlignment w:val="top"/>
              <w:rPr>
                <w:rFonts w:hint="eastAsia" w:cs="Times New Roman" w:asciiTheme="minorEastAsia" w:hAnsiTheme="minorEastAsia"/>
                <w:szCs w:val="21"/>
              </w:rPr>
            </w:pPr>
            <w:r>
              <w:rPr>
                <w:rFonts w:hint="eastAsia" w:cs="Times New Roman" w:asciiTheme="minorEastAsia" w:hAnsiTheme="minorEastAsia"/>
                <w:szCs w:val="21"/>
              </w:rPr>
              <w:t>风管制作过程中及安装完成后，是否对于能有效的防止悬浮颗粒物和有机挥发物外溢污染环境。</w:t>
            </w:r>
          </w:p>
        </w:tc>
        <w:tc>
          <w:tcPr>
            <w:tcW w:w="2835" w:type="dxa"/>
            <w:tcBorders>
              <w:top w:val="single" w:color="auto" w:sz="4" w:space="0"/>
              <w:left w:val="single" w:color="auto" w:sz="4" w:space="0"/>
              <w:bottom w:val="single" w:color="auto" w:sz="4" w:space="0"/>
              <w:right w:val="single" w:color="auto" w:sz="4" w:space="0"/>
            </w:tcBorders>
            <w:noWrap/>
            <w:vAlign w:val="center"/>
          </w:tcPr>
          <w:p>
            <w:pPr>
              <w:pStyle w:val="23"/>
              <w:widowControl/>
              <w:numPr>
                <w:ilvl w:val="0"/>
                <w:numId w:val="2"/>
              </w:numPr>
              <w:ind w:firstLineChars="0"/>
              <w:contextualSpacing/>
              <w:jc w:val="left"/>
              <w:textAlignment w:val="top"/>
              <w:rPr>
                <w:rFonts w:hint="eastAsia" w:cs="Times New Roman" w:asciiTheme="minorEastAsia" w:hAnsiTheme="minorEastAsia"/>
                <w:szCs w:val="21"/>
              </w:rPr>
            </w:pPr>
            <w:r>
              <w:rPr>
                <w:rFonts w:hint="eastAsia" w:cs="Times New Roman" w:asciiTheme="minorEastAsia" w:hAnsiTheme="minorEastAsia"/>
                <w:szCs w:val="21"/>
              </w:rPr>
              <w:t>获得相关检测认证。</w:t>
            </w:r>
          </w:p>
          <w:p>
            <w:pPr>
              <w:pStyle w:val="23"/>
              <w:widowControl/>
              <w:numPr>
                <w:ilvl w:val="0"/>
                <w:numId w:val="2"/>
              </w:numPr>
              <w:ind w:firstLineChars="0"/>
              <w:contextualSpacing/>
              <w:jc w:val="left"/>
              <w:textAlignment w:val="top"/>
              <w:rPr>
                <w:rFonts w:hint="eastAsia" w:cs="Times New Roman" w:asciiTheme="minorEastAsia" w:hAnsiTheme="minorEastAsia"/>
                <w:szCs w:val="21"/>
              </w:rPr>
            </w:pPr>
            <w:r>
              <w:rPr>
                <w:rFonts w:hint="eastAsia" w:cs="Times New Roman" w:asciiTheme="minorEastAsia" w:hAnsiTheme="minorEastAsia"/>
                <w:szCs w:val="21"/>
              </w:rPr>
              <w:t>具有洁净领域的相关成功项目案例。</w:t>
            </w:r>
          </w:p>
          <w:p>
            <w:pPr>
              <w:widowControl/>
              <w:jc w:val="left"/>
              <w:textAlignment w:val="top"/>
              <w:rPr>
                <w:rFonts w:hint="eastAsia" w:cs="Times New Roman" w:asciiTheme="minorEastAsia" w:hAnsiTheme="minorEastAsia"/>
                <w:szCs w:val="21"/>
              </w:rPr>
            </w:pPr>
            <w:r>
              <w:rPr>
                <w:rFonts w:hint="eastAsia" w:cs="Times New Roman" w:asciiTheme="minorEastAsia" w:hAnsiTheme="minorEastAsia"/>
                <w:szCs w:val="21"/>
              </w:rPr>
              <w:t>3、得2分</w:t>
            </w:r>
          </w:p>
        </w:tc>
        <w:tc>
          <w:tcPr>
            <w:tcW w:w="70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top"/>
              <w:rPr>
                <w:rFonts w:hint="eastAsia" w:ascii="宋体" w:hAnsi="宋体" w:eastAsia="宋体" w:cs="Times New Roman"/>
                <w:szCs w:val="21"/>
              </w:rPr>
            </w:pPr>
            <w:r>
              <w:rPr>
                <w:rFonts w:hint="eastAsia" w:ascii="宋体" w:hAnsi="宋体" w:eastAsia="宋体"/>
                <w:szCs w:val="21"/>
              </w:rPr>
              <w:t>1.0</w:t>
            </w:r>
          </w:p>
        </w:tc>
        <w:tc>
          <w:tcPr>
            <w:tcW w:w="3544" w:type="dxa"/>
            <w:tcBorders>
              <w:top w:val="single" w:color="auto" w:sz="4" w:space="0"/>
              <w:left w:val="single" w:color="auto" w:sz="4" w:space="0"/>
              <w:bottom w:val="single" w:color="auto" w:sz="4" w:space="0"/>
              <w:right w:val="single" w:color="auto" w:sz="4" w:space="0"/>
            </w:tcBorders>
          </w:tcPr>
          <w:p>
            <w:pPr>
              <w:widowControl/>
              <w:jc w:val="left"/>
              <w:textAlignment w:val="top"/>
              <w:rPr>
                <w:rFonts w:hint="eastAsia" w:cs="Times New Roman" w:asciiTheme="minorEastAsia" w:hAnsiTheme="minorEastAsia"/>
                <w:szCs w:val="21"/>
              </w:rPr>
            </w:pPr>
            <w:r>
              <w:rPr>
                <w:rFonts w:hint="eastAsia" w:cs="Times New Roman" w:asciiTheme="minorEastAsia" w:hAnsiTheme="minorEastAsia"/>
                <w:szCs w:val="21"/>
              </w:rPr>
              <w:t>不论半导体、汽车、锂电等高科技工业领域，还是医疗、公共交通等国家重点项目，风管的洁净无粉尘直接影响建筑物内部环境优劣，故而洁净度高的材料可作为优选加分材料。</w:t>
            </w:r>
          </w:p>
        </w:tc>
      </w:tr>
      <w:tr>
        <w:tblPrEx>
          <w:tblCellMar>
            <w:top w:w="0" w:type="dxa"/>
            <w:left w:w="108" w:type="dxa"/>
            <w:bottom w:w="0" w:type="dxa"/>
            <w:right w:w="108" w:type="dxa"/>
          </w:tblCellMar>
        </w:tblPrEx>
        <w:trPr>
          <w:trHeight w:val="855" w:hRule="atLeast"/>
          <w:jc w:val="center"/>
        </w:trPr>
        <w:tc>
          <w:tcPr>
            <w:tcW w:w="708" w:type="dxa"/>
            <w:tcBorders>
              <w:top w:val="nil"/>
              <w:left w:val="single" w:color="auto" w:sz="4" w:space="0"/>
              <w:bottom w:val="single" w:color="auto" w:sz="4" w:space="0"/>
              <w:right w:val="single" w:color="auto" w:sz="4" w:space="0"/>
            </w:tcBorders>
            <w:noWrap/>
            <w:vAlign w:val="center"/>
          </w:tcPr>
          <w:p>
            <w:pPr>
              <w:widowControl/>
              <w:jc w:val="center"/>
              <w:textAlignment w:val="top"/>
              <w:rPr>
                <w:rFonts w:hint="eastAsia" w:cs="Times New Roman" w:asciiTheme="minorEastAsia" w:hAnsiTheme="minorEastAsia"/>
                <w:szCs w:val="21"/>
              </w:rPr>
            </w:pPr>
            <w:r>
              <w:rPr>
                <w:rFonts w:cs="Times New Roman" w:asciiTheme="minorEastAsia" w:hAnsiTheme="minorEastAsia"/>
                <w:szCs w:val="21"/>
              </w:rPr>
              <w:t>2</w:t>
            </w:r>
          </w:p>
        </w:tc>
        <w:tc>
          <w:tcPr>
            <w:tcW w:w="1843" w:type="dxa"/>
            <w:tcBorders>
              <w:top w:val="nil"/>
              <w:left w:val="single" w:color="auto" w:sz="4" w:space="0"/>
              <w:bottom w:val="single" w:color="auto" w:sz="4" w:space="0"/>
              <w:right w:val="single" w:color="auto" w:sz="4" w:space="0"/>
            </w:tcBorders>
            <w:noWrap/>
            <w:vAlign w:val="center"/>
          </w:tcPr>
          <w:p>
            <w:pPr>
              <w:widowControl/>
              <w:jc w:val="center"/>
              <w:textAlignment w:val="top"/>
              <w:rPr>
                <w:rFonts w:hint="eastAsia" w:cs="Times New Roman" w:asciiTheme="minorEastAsia" w:hAnsiTheme="minorEastAsia"/>
                <w:szCs w:val="21"/>
              </w:rPr>
            </w:pPr>
            <w:r>
              <w:rPr>
                <w:rFonts w:hint="eastAsia" w:cs="Times New Roman" w:asciiTheme="minorEastAsia" w:hAnsiTheme="minorEastAsia"/>
                <w:szCs w:val="21"/>
              </w:rPr>
              <w:t>风管装配式</w:t>
            </w:r>
          </w:p>
        </w:tc>
        <w:tc>
          <w:tcPr>
            <w:tcW w:w="3965" w:type="dxa"/>
            <w:tcBorders>
              <w:top w:val="nil"/>
              <w:left w:val="single" w:color="auto" w:sz="4" w:space="0"/>
              <w:bottom w:val="single" w:color="auto" w:sz="4" w:space="0"/>
              <w:right w:val="single" w:color="auto" w:sz="4" w:space="0"/>
            </w:tcBorders>
            <w:vAlign w:val="center"/>
          </w:tcPr>
          <w:p>
            <w:pPr>
              <w:widowControl/>
              <w:jc w:val="left"/>
              <w:textAlignment w:val="top"/>
              <w:rPr>
                <w:rFonts w:hint="eastAsia" w:cs="Times New Roman" w:asciiTheme="minorEastAsia" w:hAnsiTheme="minorEastAsia"/>
                <w:szCs w:val="21"/>
              </w:rPr>
            </w:pPr>
            <w:r>
              <w:rPr>
                <w:rFonts w:hint="eastAsia" w:cs="Times New Roman" w:asciiTheme="minorEastAsia" w:hAnsiTheme="minorEastAsia"/>
                <w:szCs w:val="21"/>
              </w:rPr>
              <w:t>将一个系统通过专业的BIM优化分解为多个独立的装配模块，在工厂预制后再去现场安装，以提高建筑施工效率、节能减排。</w:t>
            </w:r>
          </w:p>
        </w:tc>
        <w:tc>
          <w:tcPr>
            <w:tcW w:w="2835" w:type="dxa"/>
            <w:tcBorders>
              <w:top w:val="nil"/>
              <w:left w:val="single" w:color="auto" w:sz="4" w:space="0"/>
              <w:bottom w:val="single" w:color="auto" w:sz="4" w:space="0"/>
              <w:right w:val="single" w:color="auto" w:sz="4" w:space="0"/>
            </w:tcBorders>
            <w:noWrap/>
            <w:vAlign w:val="center"/>
          </w:tcPr>
          <w:p>
            <w:pPr>
              <w:widowControl/>
              <w:jc w:val="left"/>
              <w:textAlignment w:val="top"/>
              <w:rPr>
                <w:rFonts w:hint="eastAsia" w:cs="Times New Roman" w:asciiTheme="minorEastAsia" w:hAnsiTheme="minorEastAsia"/>
                <w:szCs w:val="21"/>
              </w:rPr>
            </w:pPr>
            <w:r>
              <w:rPr>
                <w:rFonts w:hint="eastAsia" w:cs="Times New Roman" w:asciiTheme="minorEastAsia" w:hAnsiTheme="minorEastAsia"/>
                <w:szCs w:val="21"/>
              </w:rPr>
              <w:t>1、工厂模块化预制、现场模块化安装</w:t>
            </w:r>
          </w:p>
          <w:p>
            <w:pPr>
              <w:widowControl/>
              <w:jc w:val="left"/>
              <w:textAlignment w:val="top"/>
              <w:rPr>
                <w:rFonts w:hint="eastAsia" w:cs="Times New Roman" w:asciiTheme="minorEastAsia" w:hAnsiTheme="minorEastAsia"/>
                <w:szCs w:val="21"/>
              </w:rPr>
            </w:pPr>
            <w:r>
              <w:rPr>
                <w:rFonts w:hint="eastAsia" w:cs="Times New Roman" w:asciiTheme="minorEastAsia" w:hAnsiTheme="minorEastAsia"/>
                <w:szCs w:val="21"/>
              </w:rPr>
              <w:t>2、满足得3分。</w:t>
            </w:r>
          </w:p>
        </w:tc>
        <w:tc>
          <w:tcPr>
            <w:tcW w:w="70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top"/>
              <w:rPr>
                <w:rFonts w:hint="eastAsia" w:ascii="宋体" w:hAnsi="宋体" w:eastAsia="宋体" w:cs="Times New Roman"/>
                <w:szCs w:val="21"/>
              </w:rPr>
            </w:pPr>
            <w:r>
              <w:rPr>
                <w:rFonts w:hint="eastAsia" w:ascii="宋体" w:hAnsi="宋体" w:eastAsia="宋体"/>
                <w:szCs w:val="21"/>
              </w:rPr>
              <w:t>1.0</w:t>
            </w:r>
          </w:p>
        </w:tc>
        <w:tc>
          <w:tcPr>
            <w:tcW w:w="3544" w:type="dxa"/>
            <w:tcBorders>
              <w:top w:val="single" w:color="auto" w:sz="4" w:space="0"/>
              <w:left w:val="single" w:color="auto" w:sz="4" w:space="0"/>
              <w:bottom w:val="single" w:color="auto" w:sz="4" w:space="0"/>
              <w:right w:val="single" w:color="auto" w:sz="4" w:space="0"/>
            </w:tcBorders>
          </w:tcPr>
          <w:p>
            <w:pPr>
              <w:widowControl/>
              <w:jc w:val="left"/>
              <w:textAlignment w:val="top"/>
              <w:rPr>
                <w:rFonts w:hint="eastAsia" w:cs="Times New Roman" w:asciiTheme="minorEastAsia" w:hAnsiTheme="minorEastAsia"/>
                <w:szCs w:val="21"/>
              </w:rPr>
            </w:pPr>
            <w:r>
              <w:rPr>
                <w:rFonts w:hint="eastAsia" w:cs="Times New Roman" w:asciiTheme="minorEastAsia" w:hAnsiTheme="minorEastAsia"/>
                <w:szCs w:val="21"/>
              </w:rPr>
              <w:t>装配式作为现阶段建筑领域节能降耗的有效方法，可极大提高建设效率，降低建设成本。</w:t>
            </w:r>
          </w:p>
        </w:tc>
      </w:tr>
    </w:tbl>
    <w:p>
      <w:pPr>
        <w:widowControl/>
        <w:jc w:val="left"/>
        <w:rPr>
          <w:rFonts w:eastAsia="宋体" w:cs="Times New Roman"/>
          <w:b/>
          <w:bCs/>
          <w:szCs w:val="28"/>
        </w:rPr>
      </w:pPr>
      <w:r>
        <w:rPr>
          <w:rFonts w:eastAsia="宋体" w:cs="Times New Roman"/>
          <w:b/>
          <w:bCs/>
          <w:szCs w:val="28"/>
        </w:rPr>
        <w:br w:type="page"/>
      </w:r>
    </w:p>
    <w:p>
      <w:pPr>
        <w:rPr>
          <w:rFonts w:cs="Times New Roman"/>
        </w:rPr>
      </w:pPr>
      <w:bookmarkStart w:id="54" w:name="_Toc206760193"/>
      <w:bookmarkStart w:id="55" w:name="_Toc206758003"/>
      <w:r>
        <w:t>4.2.</w:t>
      </w:r>
      <w:r>
        <w:rPr>
          <w:rFonts w:hint="eastAsia"/>
        </w:rPr>
        <w:t>4</w:t>
      </w:r>
      <w:r>
        <w:t xml:space="preserve"> </w:t>
      </w:r>
      <w:r>
        <w:rPr>
          <w:rFonts w:hint="eastAsia"/>
        </w:rPr>
        <w:t>防排烟风机</w:t>
      </w:r>
      <w:bookmarkEnd w:id="54"/>
      <w:bookmarkEnd w:id="55"/>
      <w:bookmarkStart w:id="56" w:name="OLE_LINK23"/>
      <w:bookmarkStart w:id="57" w:name="_Hlk203578857"/>
      <w:r>
        <w:rPr>
          <w:rFonts w:hint="eastAsia"/>
        </w:rPr>
        <w:t>的</w:t>
      </w:r>
      <w:r>
        <w:rPr>
          <w:rFonts w:hint="eastAsia" w:asciiTheme="minorEastAsia" w:hAnsiTheme="minorEastAsia"/>
        </w:rPr>
        <w:t>控制项评定、评分项评定、优选项评定，应分别符合表</w:t>
      </w:r>
      <w:r>
        <w:rPr>
          <w:rFonts w:cs="Times New Roman"/>
        </w:rPr>
        <w:t>4.2.</w:t>
      </w:r>
      <w:r>
        <w:rPr>
          <w:rFonts w:hint="eastAsia" w:cs="Times New Roman"/>
        </w:rPr>
        <w:t>4-</w:t>
      </w:r>
      <w:r>
        <w:rPr>
          <w:rFonts w:cs="Times New Roman"/>
        </w:rPr>
        <w:t>1</w:t>
      </w:r>
      <w:r>
        <w:rPr>
          <w:rFonts w:hint="eastAsia" w:asciiTheme="minorEastAsia" w:hAnsiTheme="minorEastAsia"/>
        </w:rPr>
        <w:t>、表</w:t>
      </w:r>
      <w:r>
        <w:rPr>
          <w:rFonts w:cs="Times New Roman"/>
        </w:rPr>
        <w:t>4.2.</w:t>
      </w:r>
      <w:r>
        <w:rPr>
          <w:rFonts w:hint="eastAsia" w:cs="Times New Roman"/>
        </w:rPr>
        <w:t>4-</w:t>
      </w:r>
      <w:r>
        <w:rPr>
          <w:rFonts w:cs="Times New Roman"/>
        </w:rPr>
        <w:t>2</w:t>
      </w:r>
      <w:r>
        <w:rPr>
          <w:rFonts w:hint="eastAsia" w:asciiTheme="minorEastAsia" w:hAnsiTheme="minorEastAsia"/>
        </w:rPr>
        <w:t>、表</w:t>
      </w:r>
      <w:r>
        <w:rPr>
          <w:rFonts w:cs="Times New Roman"/>
        </w:rPr>
        <w:t>4.2.</w:t>
      </w:r>
      <w:r>
        <w:rPr>
          <w:rFonts w:hint="eastAsia" w:cs="Times New Roman"/>
        </w:rPr>
        <w:t>4-</w:t>
      </w:r>
      <w:r>
        <w:rPr>
          <w:rFonts w:cs="Times New Roman"/>
        </w:rPr>
        <w:t>3</w:t>
      </w:r>
      <w:r>
        <w:rPr>
          <w:rFonts w:hint="eastAsia" w:cs="Times New Roman"/>
        </w:rPr>
        <w:t>的规定。</w:t>
      </w:r>
      <w:bookmarkEnd w:id="56"/>
    </w:p>
    <w:p>
      <w:pPr>
        <w:widowControl/>
        <w:jc w:val="center"/>
      </w:pPr>
      <w:bookmarkStart w:id="58" w:name="OLE_LINK22"/>
      <w:r>
        <w:rPr>
          <w:rFonts w:hint="eastAsia" w:ascii="宋体" w:hAnsi="宋体" w:eastAsia="宋体" w:cs="Times New Roman"/>
          <w:b/>
          <w:bCs/>
          <w:szCs w:val="21"/>
        </w:rPr>
        <w:t>表</w:t>
      </w:r>
      <w:r>
        <w:rPr>
          <w:rFonts w:ascii="宋体" w:hAnsi="宋体" w:eastAsia="宋体" w:cs="Times New Roman"/>
          <w:b/>
          <w:bCs/>
          <w:szCs w:val="21"/>
        </w:rPr>
        <w:t>4.2.</w:t>
      </w:r>
      <w:r>
        <w:rPr>
          <w:rFonts w:hint="eastAsia" w:ascii="宋体" w:hAnsi="宋体" w:eastAsia="宋体" w:cs="Times New Roman"/>
          <w:b/>
          <w:bCs/>
          <w:szCs w:val="21"/>
        </w:rPr>
        <w:t>4</w:t>
      </w:r>
      <w:r>
        <w:rPr>
          <w:rFonts w:ascii="宋体" w:hAnsi="宋体" w:eastAsia="宋体" w:cs="Times New Roman"/>
          <w:b/>
          <w:bCs/>
          <w:szCs w:val="21"/>
        </w:rPr>
        <w:t>-</w:t>
      </w:r>
      <w:r>
        <w:rPr>
          <w:rFonts w:hint="eastAsia" w:ascii="宋体" w:hAnsi="宋体" w:eastAsia="宋体" w:cs="Times New Roman"/>
          <w:b/>
          <w:bCs/>
          <w:szCs w:val="21"/>
        </w:rPr>
        <w:t>1排烟风机控制项评定表</w:t>
      </w:r>
    </w:p>
    <w:bookmarkEnd w:id="58"/>
    <w:tbl>
      <w:tblPr>
        <w:tblStyle w:val="17"/>
        <w:tblW w:w="13886" w:type="dxa"/>
        <w:jc w:val="center"/>
        <w:tblLayout w:type="fixed"/>
        <w:tblCellMar>
          <w:top w:w="0" w:type="dxa"/>
          <w:left w:w="108" w:type="dxa"/>
          <w:bottom w:w="0" w:type="dxa"/>
          <w:right w:w="108" w:type="dxa"/>
        </w:tblCellMar>
      </w:tblPr>
      <w:tblGrid>
        <w:gridCol w:w="704"/>
        <w:gridCol w:w="1985"/>
        <w:gridCol w:w="4677"/>
        <w:gridCol w:w="1984"/>
        <w:gridCol w:w="4536"/>
      </w:tblGrid>
      <w:tr>
        <w:tblPrEx>
          <w:tblCellMar>
            <w:top w:w="0" w:type="dxa"/>
            <w:left w:w="108" w:type="dxa"/>
            <w:bottom w:w="0" w:type="dxa"/>
            <w:right w:w="108" w:type="dxa"/>
          </w:tblCellMar>
        </w:tblPrEx>
        <w:trPr>
          <w:trHeight w:val="473" w:hRule="atLeast"/>
          <w:tblHeader/>
          <w:jc w:val="center"/>
        </w:trPr>
        <w:tc>
          <w:tcPr>
            <w:tcW w:w="704"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top"/>
              <w:rPr>
                <w:rFonts w:eastAsia="宋体" w:cs="Times New Roman"/>
                <w:b/>
                <w:bCs/>
                <w:szCs w:val="21"/>
              </w:rPr>
            </w:pPr>
            <w:r>
              <w:rPr>
                <w:rFonts w:eastAsia="宋体" w:cs="Times New Roman"/>
                <w:b/>
                <w:bCs/>
                <w:kern w:val="0"/>
                <w:szCs w:val="21"/>
                <w:lang w:bidi="ar"/>
              </w:rPr>
              <w:t>序号</w:t>
            </w:r>
          </w:p>
        </w:tc>
        <w:tc>
          <w:tcPr>
            <w:tcW w:w="1985" w:type="dxa"/>
            <w:tcBorders>
              <w:top w:val="single" w:color="auto" w:sz="4" w:space="0"/>
              <w:left w:val="nil"/>
              <w:bottom w:val="single" w:color="auto" w:sz="4" w:space="0"/>
              <w:right w:val="single" w:color="auto" w:sz="4" w:space="0"/>
            </w:tcBorders>
            <w:noWrap/>
            <w:vAlign w:val="center"/>
          </w:tcPr>
          <w:p>
            <w:pPr>
              <w:widowControl/>
              <w:jc w:val="center"/>
              <w:textAlignment w:val="top"/>
              <w:rPr>
                <w:rFonts w:eastAsia="宋体" w:cs="Times New Roman"/>
                <w:b/>
                <w:bCs/>
                <w:szCs w:val="21"/>
              </w:rPr>
            </w:pPr>
            <w:r>
              <w:rPr>
                <w:rFonts w:eastAsia="宋体" w:cs="Times New Roman"/>
                <w:b/>
                <w:bCs/>
                <w:kern w:val="0"/>
                <w:szCs w:val="21"/>
                <w:lang w:bidi="ar"/>
              </w:rPr>
              <w:t>评定指标</w:t>
            </w:r>
          </w:p>
        </w:tc>
        <w:tc>
          <w:tcPr>
            <w:tcW w:w="4677" w:type="dxa"/>
            <w:tcBorders>
              <w:top w:val="single" w:color="auto" w:sz="4" w:space="0"/>
              <w:left w:val="nil"/>
              <w:bottom w:val="single" w:color="auto" w:sz="4" w:space="0"/>
              <w:right w:val="single" w:color="auto" w:sz="4" w:space="0"/>
            </w:tcBorders>
            <w:vAlign w:val="center"/>
          </w:tcPr>
          <w:p>
            <w:pPr>
              <w:widowControl/>
              <w:jc w:val="center"/>
              <w:textAlignment w:val="top"/>
              <w:rPr>
                <w:rFonts w:eastAsia="宋体" w:cs="Times New Roman"/>
                <w:b/>
                <w:bCs/>
                <w:szCs w:val="21"/>
              </w:rPr>
            </w:pPr>
            <w:r>
              <w:rPr>
                <w:rFonts w:eastAsia="宋体" w:cs="Times New Roman"/>
                <w:b/>
                <w:bCs/>
                <w:kern w:val="0"/>
                <w:szCs w:val="21"/>
                <w:lang w:bidi="ar"/>
              </w:rPr>
              <w:t>控制项</w:t>
            </w:r>
          </w:p>
        </w:tc>
        <w:tc>
          <w:tcPr>
            <w:tcW w:w="1984"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top"/>
              <w:rPr>
                <w:rFonts w:eastAsia="宋体" w:cs="Times New Roman"/>
                <w:b/>
                <w:bCs/>
                <w:szCs w:val="21"/>
              </w:rPr>
            </w:pPr>
            <w:r>
              <w:rPr>
                <w:rFonts w:eastAsia="宋体" w:cs="Times New Roman"/>
                <w:b/>
                <w:bCs/>
                <w:kern w:val="0"/>
                <w:szCs w:val="21"/>
                <w:lang w:bidi="ar"/>
              </w:rPr>
              <w:t>评定方法</w:t>
            </w:r>
          </w:p>
        </w:tc>
        <w:tc>
          <w:tcPr>
            <w:tcW w:w="4536" w:type="dxa"/>
            <w:tcBorders>
              <w:top w:val="single" w:color="auto" w:sz="4" w:space="0"/>
              <w:left w:val="single" w:color="auto" w:sz="4" w:space="0"/>
              <w:bottom w:val="single" w:color="auto" w:sz="4" w:space="0"/>
              <w:right w:val="single" w:color="auto" w:sz="4" w:space="0"/>
            </w:tcBorders>
            <w:vAlign w:val="center"/>
          </w:tcPr>
          <w:p>
            <w:pPr>
              <w:widowControl/>
              <w:jc w:val="center"/>
              <w:textAlignment w:val="top"/>
              <w:rPr>
                <w:rFonts w:eastAsia="宋体" w:cs="Times New Roman"/>
                <w:b/>
                <w:bCs/>
                <w:kern w:val="0"/>
                <w:szCs w:val="21"/>
                <w:lang w:bidi="ar"/>
              </w:rPr>
            </w:pPr>
            <w:r>
              <w:rPr>
                <w:rFonts w:eastAsia="宋体" w:cs="Times New Roman"/>
                <w:b/>
                <w:bCs/>
                <w:kern w:val="0"/>
                <w:szCs w:val="21"/>
                <w:lang w:bidi="ar"/>
              </w:rPr>
              <w:t>说明</w:t>
            </w:r>
          </w:p>
        </w:tc>
      </w:tr>
      <w:tr>
        <w:tblPrEx>
          <w:tblCellMar>
            <w:top w:w="0" w:type="dxa"/>
            <w:left w:w="108" w:type="dxa"/>
            <w:bottom w:w="0" w:type="dxa"/>
            <w:right w:w="108" w:type="dxa"/>
          </w:tblCellMar>
        </w:tblPrEx>
        <w:trPr>
          <w:trHeight w:val="922" w:hRule="atLeast"/>
          <w:jc w:val="center"/>
        </w:trPr>
        <w:tc>
          <w:tcPr>
            <w:tcW w:w="704"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top"/>
              <w:rPr>
                <w:rFonts w:hint="eastAsia" w:cs="Times New Roman" w:asciiTheme="minorEastAsia" w:hAnsiTheme="minorEastAsia"/>
                <w:kern w:val="0"/>
                <w:szCs w:val="21"/>
                <w:lang w:bidi="ar"/>
              </w:rPr>
            </w:pPr>
            <w:r>
              <w:rPr>
                <w:rFonts w:hint="eastAsia" w:cs="Times New Roman" w:asciiTheme="minorEastAsia" w:hAnsiTheme="minorEastAsia"/>
                <w:kern w:val="0"/>
                <w:szCs w:val="21"/>
                <w:lang w:bidi="ar"/>
              </w:rPr>
              <w:t>1</w:t>
            </w:r>
          </w:p>
        </w:tc>
        <w:tc>
          <w:tcPr>
            <w:tcW w:w="1985" w:type="dxa"/>
            <w:tcBorders>
              <w:top w:val="single" w:color="auto" w:sz="4" w:space="0"/>
              <w:left w:val="single" w:color="auto" w:sz="4" w:space="0"/>
              <w:bottom w:val="single" w:color="auto" w:sz="4" w:space="0"/>
              <w:right w:val="single" w:color="auto" w:sz="4" w:space="0"/>
            </w:tcBorders>
            <w:noWrap/>
            <w:vAlign w:val="center"/>
          </w:tcPr>
          <w:p>
            <w:pPr>
              <w:widowControl/>
              <w:jc w:val="left"/>
              <w:textAlignment w:val="top"/>
              <w:rPr>
                <w:rFonts w:hint="eastAsia" w:cs="Times New Roman" w:asciiTheme="minorEastAsia" w:hAnsiTheme="minorEastAsia"/>
                <w:kern w:val="0"/>
                <w:szCs w:val="21"/>
                <w:lang w:bidi="ar"/>
              </w:rPr>
            </w:pPr>
            <w:r>
              <w:rPr>
                <w:rFonts w:hint="eastAsia" w:asciiTheme="minorEastAsia" w:hAnsiTheme="minorEastAsia"/>
                <w:szCs w:val="21"/>
              </w:rPr>
              <w:t>排烟风机的耐高温性能</w:t>
            </w:r>
          </w:p>
        </w:tc>
        <w:tc>
          <w:tcPr>
            <w:tcW w:w="4677" w:type="dxa"/>
            <w:tcBorders>
              <w:top w:val="single" w:color="auto" w:sz="4" w:space="0"/>
              <w:left w:val="nil"/>
              <w:bottom w:val="single" w:color="auto" w:sz="4" w:space="0"/>
              <w:right w:val="single" w:color="auto" w:sz="4" w:space="0"/>
            </w:tcBorders>
            <w:vAlign w:val="center"/>
          </w:tcPr>
          <w:p>
            <w:pPr>
              <w:widowControl/>
              <w:jc w:val="left"/>
              <w:textAlignment w:val="top"/>
              <w:rPr>
                <w:rFonts w:hint="eastAsia" w:asciiTheme="minorEastAsia" w:hAnsiTheme="minorEastAsia"/>
                <w:szCs w:val="21"/>
              </w:rPr>
            </w:pPr>
            <w:r>
              <w:rPr>
                <w:rFonts w:hint="eastAsia" w:asciiTheme="minorEastAsia" w:hAnsiTheme="minorEastAsia"/>
                <w:szCs w:val="21"/>
              </w:rPr>
              <w:t>1 耐高温性能需满足国标 GB 51251以及 XF 211 《消防风机通用技术要求》；</w:t>
            </w:r>
          </w:p>
          <w:p>
            <w:pPr>
              <w:widowControl/>
              <w:jc w:val="left"/>
              <w:textAlignment w:val="top"/>
              <w:rPr>
                <w:rFonts w:hint="eastAsia" w:asciiTheme="minorEastAsia" w:hAnsiTheme="minorEastAsia"/>
                <w:szCs w:val="21"/>
              </w:rPr>
            </w:pPr>
            <w:r>
              <w:rPr>
                <w:rFonts w:hint="eastAsia" w:asciiTheme="minorEastAsia" w:hAnsiTheme="minorEastAsia"/>
                <w:szCs w:val="21"/>
              </w:rPr>
              <w:t>2 排烟风机在介质温度达到280℃时能够连续工作30分钟，并在介质温度冷却至环境温度时仍然可以正常运转；</w:t>
            </w:r>
          </w:p>
          <w:p>
            <w:pPr>
              <w:widowControl/>
              <w:jc w:val="left"/>
              <w:textAlignment w:val="top"/>
              <w:rPr>
                <w:rFonts w:hint="eastAsia" w:cs="Times New Roman" w:asciiTheme="minorEastAsia" w:hAnsiTheme="minorEastAsia"/>
                <w:kern w:val="0"/>
                <w:szCs w:val="21"/>
                <w:lang w:bidi="ar"/>
              </w:rPr>
            </w:pPr>
            <w:r>
              <w:rPr>
                <w:rFonts w:hint="eastAsia" w:asciiTheme="minorEastAsia" w:hAnsiTheme="minorEastAsia"/>
                <w:szCs w:val="21"/>
              </w:rPr>
              <w:t>3 第三方检测机构出具的测试报告原件查验及进场抽样送检。</w:t>
            </w:r>
          </w:p>
        </w:tc>
        <w:tc>
          <w:tcPr>
            <w:tcW w:w="1984"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top"/>
              <w:rPr>
                <w:rFonts w:hint="eastAsia" w:cs="Times New Roman" w:asciiTheme="minorEastAsia" w:hAnsiTheme="minorEastAsia"/>
                <w:kern w:val="0"/>
                <w:szCs w:val="21"/>
                <w:lang w:bidi="ar"/>
              </w:rPr>
            </w:pPr>
            <w:r>
              <w:rPr>
                <w:rFonts w:hint="eastAsia" w:asciiTheme="minorEastAsia" w:hAnsiTheme="minorEastAsia"/>
                <w:szCs w:val="21"/>
              </w:rPr>
              <w:t>不满足直接判定为</w:t>
            </w:r>
            <w:r>
              <w:rPr>
                <w:rFonts w:hint="eastAsia" w:asciiTheme="minorEastAsia" w:hAnsiTheme="minorEastAsia"/>
                <w:b/>
                <w:bCs/>
                <w:szCs w:val="21"/>
              </w:rPr>
              <w:t>D级</w:t>
            </w:r>
          </w:p>
        </w:tc>
        <w:tc>
          <w:tcPr>
            <w:tcW w:w="4536" w:type="dxa"/>
            <w:tcBorders>
              <w:top w:val="single" w:color="auto" w:sz="4" w:space="0"/>
              <w:left w:val="single" w:color="auto" w:sz="4" w:space="0"/>
              <w:bottom w:val="single" w:color="auto" w:sz="4" w:space="0"/>
              <w:right w:val="single" w:color="auto" w:sz="4" w:space="0"/>
            </w:tcBorders>
            <w:vAlign w:val="center"/>
          </w:tcPr>
          <w:p>
            <w:pPr>
              <w:widowControl/>
              <w:jc w:val="left"/>
              <w:textAlignment w:val="top"/>
              <w:rPr>
                <w:rFonts w:hint="eastAsia" w:asciiTheme="minorEastAsia" w:hAnsiTheme="minorEastAsia"/>
                <w:szCs w:val="21"/>
              </w:rPr>
            </w:pPr>
            <w:r>
              <w:rPr>
                <w:rFonts w:hint="eastAsia" w:asciiTheme="minorEastAsia" w:hAnsiTheme="minorEastAsia"/>
                <w:szCs w:val="21"/>
              </w:rPr>
              <w:t>XF 211 《消防风机通用技术要求》对消防风机外壳与叶轮的材质及厚度都作了相关规定，产品不应低于其规定。</w:t>
            </w:r>
          </w:p>
          <w:p>
            <w:pPr>
              <w:widowControl/>
              <w:jc w:val="left"/>
              <w:textAlignment w:val="top"/>
              <w:rPr>
                <w:rFonts w:hint="eastAsia" w:asciiTheme="minorEastAsia" w:hAnsiTheme="minorEastAsia"/>
                <w:szCs w:val="21"/>
              </w:rPr>
            </w:pPr>
            <w:r>
              <w:rPr>
                <w:rFonts w:hint="eastAsia" w:asciiTheme="minorEastAsia" w:hAnsiTheme="minorEastAsia"/>
                <w:szCs w:val="21"/>
              </w:rPr>
              <w:t>《建筑防烟排烟系统技术标准》GB 5125 -2017中4.4.5条第3项：排烟风机与排烟管道的连接部件应能在280℃时连续运行30min保证其结构完整性（隧道排烟风机除外）。</w:t>
            </w:r>
          </w:p>
          <w:p>
            <w:pPr>
              <w:widowControl/>
              <w:jc w:val="left"/>
              <w:textAlignment w:val="top"/>
              <w:rPr>
                <w:rFonts w:hint="eastAsia" w:cs="Times New Roman" w:asciiTheme="minorEastAsia" w:hAnsiTheme="minorEastAsia"/>
                <w:kern w:val="0"/>
                <w:szCs w:val="21"/>
                <w:lang w:bidi="ar"/>
              </w:rPr>
            </w:pPr>
            <w:r>
              <w:rPr>
                <w:rFonts w:hint="eastAsia" w:asciiTheme="minorEastAsia" w:hAnsiTheme="minorEastAsia"/>
                <w:szCs w:val="21"/>
              </w:rPr>
              <w:t>隧道区间隧道内用消防排烟风机，应在不低于250℃气流通过时连续运行60分钟无异常现象；地铁区间隧道内用的消防排烟风机，应在不低于150℃气流通过时连续运行60分钟无异常现象；</w:t>
            </w:r>
          </w:p>
        </w:tc>
      </w:tr>
      <w:tr>
        <w:tblPrEx>
          <w:tblCellMar>
            <w:top w:w="0" w:type="dxa"/>
            <w:left w:w="108" w:type="dxa"/>
            <w:bottom w:w="0" w:type="dxa"/>
            <w:right w:w="108" w:type="dxa"/>
          </w:tblCellMar>
        </w:tblPrEx>
        <w:trPr>
          <w:trHeight w:val="2678" w:hRule="atLeast"/>
          <w:jc w:val="center"/>
        </w:trPr>
        <w:tc>
          <w:tcPr>
            <w:tcW w:w="704"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top"/>
              <w:rPr>
                <w:rFonts w:hint="eastAsia" w:cs="Times New Roman" w:asciiTheme="minorEastAsia" w:hAnsiTheme="minorEastAsia"/>
                <w:kern w:val="0"/>
                <w:szCs w:val="21"/>
                <w:lang w:bidi="ar"/>
              </w:rPr>
            </w:pPr>
            <w:r>
              <w:rPr>
                <w:rFonts w:hint="eastAsia" w:cs="Times New Roman" w:asciiTheme="minorEastAsia" w:hAnsiTheme="minorEastAsia"/>
                <w:kern w:val="0"/>
                <w:szCs w:val="21"/>
                <w:lang w:bidi="ar"/>
              </w:rPr>
              <w:t>2</w:t>
            </w:r>
          </w:p>
        </w:tc>
        <w:tc>
          <w:tcPr>
            <w:tcW w:w="1985" w:type="dxa"/>
            <w:tcBorders>
              <w:top w:val="nil"/>
              <w:left w:val="single" w:color="auto" w:sz="4" w:space="0"/>
              <w:bottom w:val="single" w:color="auto" w:sz="4" w:space="0"/>
              <w:right w:val="single" w:color="auto" w:sz="4" w:space="0"/>
            </w:tcBorders>
            <w:noWrap/>
            <w:vAlign w:val="center"/>
          </w:tcPr>
          <w:p>
            <w:pPr>
              <w:widowControl/>
              <w:jc w:val="left"/>
              <w:textAlignment w:val="top"/>
              <w:rPr>
                <w:rFonts w:hint="eastAsia" w:cs="Times New Roman" w:asciiTheme="minorEastAsia" w:hAnsiTheme="minorEastAsia"/>
                <w:kern w:val="0"/>
                <w:szCs w:val="21"/>
                <w:lang w:bidi="ar"/>
              </w:rPr>
            </w:pPr>
            <w:r>
              <w:rPr>
                <w:rFonts w:hint="eastAsia" w:asciiTheme="minorEastAsia" w:hAnsiTheme="minorEastAsia"/>
                <w:szCs w:val="21"/>
              </w:rPr>
              <w:t>消防风机的电气安全</w:t>
            </w:r>
          </w:p>
        </w:tc>
        <w:tc>
          <w:tcPr>
            <w:tcW w:w="4677" w:type="dxa"/>
            <w:tcBorders>
              <w:top w:val="nil"/>
              <w:left w:val="nil"/>
              <w:bottom w:val="single" w:color="auto" w:sz="4" w:space="0"/>
              <w:right w:val="single" w:color="auto" w:sz="4" w:space="0"/>
            </w:tcBorders>
            <w:vAlign w:val="center"/>
          </w:tcPr>
          <w:p>
            <w:pPr>
              <w:widowControl/>
              <w:jc w:val="left"/>
              <w:textAlignment w:val="top"/>
              <w:rPr>
                <w:rFonts w:hint="eastAsia" w:asciiTheme="minorEastAsia" w:hAnsiTheme="minorEastAsia"/>
                <w:szCs w:val="21"/>
              </w:rPr>
            </w:pPr>
            <w:r>
              <w:rPr>
                <w:rFonts w:hint="eastAsia" w:asciiTheme="minorEastAsia" w:hAnsiTheme="minorEastAsia"/>
                <w:szCs w:val="21"/>
              </w:rPr>
              <w:t>1 消防风机的电气相关设施及性能应符合安全要求并满足国标 GB 51251-2017 ；</w:t>
            </w:r>
          </w:p>
          <w:p>
            <w:pPr>
              <w:widowControl/>
              <w:jc w:val="left"/>
              <w:textAlignment w:val="top"/>
              <w:rPr>
                <w:rFonts w:hint="eastAsia" w:asciiTheme="minorEastAsia" w:hAnsiTheme="minorEastAsia"/>
                <w:szCs w:val="21"/>
              </w:rPr>
            </w:pPr>
            <w:r>
              <w:rPr>
                <w:rFonts w:hint="eastAsia" w:asciiTheme="minorEastAsia" w:hAnsiTheme="minorEastAsia"/>
                <w:szCs w:val="21"/>
              </w:rPr>
              <w:t>2 消防风机的电机绝缘等级不低于F级，并且应有冷却系统，应在不高于85℃的环境条件下长期正常运行；</w:t>
            </w:r>
          </w:p>
          <w:p>
            <w:pPr>
              <w:widowControl/>
              <w:jc w:val="left"/>
              <w:textAlignment w:val="top"/>
              <w:rPr>
                <w:rFonts w:hint="eastAsia" w:cs="Times New Roman" w:asciiTheme="minorEastAsia" w:hAnsiTheme="minorEastAsia"/>
                <w:kern w:val="0"/>
                <w:szCs w:val="21"/>
                <w:lang w:bidi="ar"/>
              </w:rPr>
            </w:pPr>
            <w:r>
              <w:rPr>
                <w:rFonts w:hint="eastAsia" w:asciiTheme="minorEastAsia" w:hAnsiTheme="minorEastAsia"/>
                <w:szCs w:val="21"/>
              </w:rPr>
              <w:t>3 消防风机应有防雷击保护装置，电机有过载、过热报警装置。</w:t>
            </w:r>
          </w:p>
        </w:tc>
        <w:tc>
          <w:tcPr>
            <w:tcW w:w="1984" w:type="dxa"/>
            <w:tcBorders>
              <w:top w:val="nil"/>
              <w:left w:val="single" w:color="auto" w:sz="4" w:space="0"/>
              <w:bottom w:val="single" w:color="auto" w:sz="4" w:space="0"/>
              <w:right w:val="single" w:color="auto" w:sz="4" w:space="0"/>
            </w:tcBorders>
            <w:noWrap/>
            <w:vAlign w:val="center"/>
          </w:tcPr>
          <w:p>
            <w:pPr>
              <w:widowControl/>
              <w:jc w:val="center"/>
              <w:textAlignment w:val="top"/>
              <w:rPr>
                <w:rFonts w:hint="eastAsia" w:cs="Times New Roman" w:asciiTheme="minorEastAsia" w:hAnsiTheme="minorEastAsia"/>
                <w:kern w:val="0"/>
                <w:szCs w:val="21"/>
                <w:lang w:bidi="ar"/>
              </w:rPr>
            </w:pPr>
            <w:r>
              <w:rPr>
                <w:rFonts w:hint="eastAsia" w:asciiTheme="minorEastAsia" w:hAnsiTheme="minorEastAsia"/>
                <w:szCs w:val="21"/>
              </w:rPr>
              <w:t>不满足直接判定为</w:t>
            </w:r>
            <w:r>
              <w:rPr>
                <w:rFonts w:hint="eastAsia" w:asciiTheme="minorEastAsia" w:hAnsiTheme="minorEastAsia"/>
                <w:b/>
                <w:bCs/>
                <w:szCs w:val="21"/>
              </w:rPr>
              <w:t>D级</w:t>
            </w:r>
          </w:p>
        </w:tc>
        <w:tc>
          <w:tcPr>
            <w:tcW w:w="4536" w:type="dxa"/>
            <w:tcBorders>
              <w:top w:val="nil"/>
              <w:left w:val="single" w:color="auto" w:sz="4" w:space="0"/>
              <w:bottom w:val="single" w:color="auto" w:sz="4" w:space="0"/>
              <w:right w:val="single" w:color="auto" w:sz="4" w:space="0"/>
            </w:tcBorders>
            <w:vAlign w:val="center"/>
          </w:tcPr>
          <w:p>
            <w:pPr>
              <w:widowControl/>
              <w:jc w:val="left"/>
              <w:textAlignment w:val="top"/>
              <w:rPr>
                <w:rFonts w:hint="eastAsia" w:cs="Times New Roman" w:asciiTheme="minorEastAsia" w:hAnsiTheme="minorEastAsia"/>
                <w:kern w:val="0"/>
                <w:szCs w:val="21"/>
                <w:lang w:bidi="ar"/>
              </w:rPr>
            </w:pPr>
            <w:r>
              <w:rPr>
                <w:rFonts w:hint="eastAsia" w:asciiTheme="minorEastAsia" w:hAnsiTheme="minorEastAsia"/>
                <w:szCs w:val="21"/>
              </w:rPr>
              <w:t>防排烟风机在介质温度不高于85℃的条件下，应能长期正常运行。</w:t>
            </w:r>
          </w:p>
        </w:tc>
      </w:tr>
      <w:tr>
        <w:tblPrEx>
          <w:tblCellMar>
            <w:top w:w="0" w:type="dxa"/>
            <w:left w:w="108" w:type="dxa"/>
            <w:bottom w:w="0" w:type="dxa"/>
            <w:right w:w="108" w:type="dxa"/>
          </w:tblCellMar>
        </w:tblPrEx>
        <w:trPr>
          <w:trHeight w:val="285" w:hRule="atLeast"/>
          <w:jc w:val="center"/>
        </w:trPr>
        <w:tc>
          <w:tcPr>
            <w:tcW w:w="704"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top"/>
              <w:rPr>
                <w:rFonts w:hint="eastAsia" w:cs="Times New Roman" w:asciiTheme="minorEastAsia" w:hAnsiTheme="minorEastAsia"/>
                <w:kern w:val="0"/>
                <w:szCs w:val="21"/>
                <w:lang w:bidi="ar"/>
              </w:rPr>
            </w:pPr>
            <w:r>
              <w:rPr>
                <w:rFonts w:hint="eastAsia" w:cs="Times New Roman" w:asciiTheme="minorEastAsia" w:hAnsiTheme="minorEastAsia"/>
                <w:kern w:val="0"/>
                <w:szCs w:val="21"/>
                <w:lang w:bidi="ar"/>
              </w:rPr>
              <w:t>3</w:t>
            </w:r>
          </w:p>
        </w:tc>
        <w:tc>
          <w:tcPr>
            <w:tcW w:w="1985" w:type="dxa"/>
            <w:tcBorders>
              <w:top w:val="single" w:color="auto" w:sz="4" w:space="0"/>
              <w:left w:val="single" w:color="auto" w:sz="4" w:space="0"/>
              <w:bottom w:val="single" w:color="auto" w:sz="4" w:space="0"/>
              <w:right w:val="single" w:color="auto" w:sz="4" w:space="0"/>
            </w:tcBorders>
            <w:noWrap/>
            <w:vAlign w:val="center"/>
          </w:tcPr>
          <w:p>
            <w:pPr>
              <w:widowControl/>
              <w:jc w:val="left"/>
              <w:textAlignment w:val="top"/>
              <w:rPr>
                <w:rFonts w:hint="eastAsia" w:cs="Times New Roman" w:asciiTheme="minorEastAsia" w:hAnsiTheme="minorEastAsia"/>
                <w:kern w:val="0"/>
                <w:szCs w:val="21"/>
                <w:lang w:bidi="ar"/>
              </w:rPr>
            </w:pPr>
            <w:r>
              <w:rPr>
                <w:rFonts w:hint="eastAsia" w:asciiTheme="minorEastAsia" w:hAnsiTheme="minorEastAsia"/>
                <w:szCs w:val="21"/>
              </w:rPr>
              <w:t>消防风机的耐久性性能</w:t>
            </w:r>
          </w:p>
        </w:tc>
        <w:tc>
          <w:tcPr>
            <w:tcW w:w="4677" w:type="dxa"/>
            <w:tcBorders>
              <w:top w:val="single" w:color="auto" w:sz="4" w:space="0"/>
              <w:left w:val="nil"/>
              <w:bottom w:val="single" w:color="auto" w:sz="4" w:space="0"/>
              <w:right w:val="single" w:color="auto" w:sz="4" w:space="0"/>
            </w:tcBorders>
            <w:vAlign w:val="center"/>
          </w:tcPr>
          <w:p>
            <w:pPr>
              <w:widowControl/>
              <w:jc w:val="left"/>
              <w:textAlignment w:val="top"/>
              <w:rPr>
                <w:rFonts w:hint="eastAsia" w:asciiTheme="minorEastAsia" w:hAnsiTheme="minorEastAsia"/>
                <w:szCs w:val="21"/>
              </w:rPr>
            </w:pPr>
            <w:r>
              <w:rPr>
                <w:rFonts w:hint="eastAsia" w:asciiTheme="minorEastAsia" w:hAnsiTheme="minorEastAsia"/>
                <w:szCs w:val="21"/>
              </w:rPr>
              <w:t>1 相关耐久性的型式检验检测报告需满足国标 GB 51251-2017；</w:t>
            </w:r>
          </w:p>
          <w:p>
            <w:pPr>
              <w:widowControl/>
              <w:jc w:val="left"/>
              <w:textAlignment w:val="top"/>
              <w:rPr>
                <w:rFonts w:hint="eastAsia" w:asciiTheme="minorEastAsia" w:hAnsiTheme="minorEastAsia"/>
                <w:szCs w:val="21"/>
              </w:rPr>
            </w:pPr>
            <w:r>
              <w:rPr>
                <w:rFonts w:hint="eastAsia" w:asciiTheme="minorEastAsia" w:hAnsiTheme="minorEastAsia"/>
                <w:szCs w:val="21"/>
              </w:rPr>
              <w:t>2 兼用平时通风的消防风机开/关次数不低于10000次、正常运行寿命不低于120个月；专用防排烟风机的开/关次数不低于300次、正常运行寿命不低于120个月。</w:t>
            </w:r>
          </w:p>
          <w:p>
            <w:pPr>
              <w:widowControl/>
              <w:jc w:val="left"/>
              <w:textAlignment w:val="top"/>
              <w:rPr>
                <w:rFonts w:hint="eastAsia" w:cs="Times New Roman" w:asciiTheme="minorEastAsia" w:hAnsiTheme="minorEastAsia"/>
                <w:kern w:val="0"/>
                <w:szCs w:val="21"/>
                <w:lang w:bidi="ar"/>
              </w:rPr>
            </w:pPr>
            <w:r>
              <w:rPr>
                <w:rFonts w:hint="eastAsia" w:asciiTheme="minorEastAsia" w:hAnsiTheme="minorEastAsia"/>
                <w:szCs w:val="21"/>
              </w:rPr>
              <w:t>3 第三方检测机构出具的测试报告原件查验及进场抽样送检。</w:t>
            </w:r>
          </w:p>
        </w:tc>
        <w:tc>
          <w:tcPr>
            <w:tcW w:w="1984"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top"/>
              <w:rPr>
                <w:rFonts w:hint="eastAsia" w:cs="Times New Roman" w:asciiTheme="minorEastAsia" w:hAnsiTheme="minorEastAsia"/>
                <w:kern w:val="0"/>
                <w:szCs w:val="21"/>
                <w:lang w:bidi="ar"/>
              </w:rPr>
            </w:pPr>
            <w:r>
              <w:rPr>
                <w:rFonts w:hint="eastAsia" w:asciiTheme="minorEastAsia" w:hAnsiTheme="minorEastAsia"/>
                <w:szCs w:val="21"/>
              </w:rPr>
              <w:t>不满足直接判定为</w:t>
            </w:r>
            <w:r>
              <w:rPr>
                <w:rFonts w:hint="eastAsia" w:asciiTheme="minorEastAsia" w:hAnsiTheme="minorEastAsia"/>
                <w:b/>
                <w:bCs/>
                <w:szCs w:val="21"/>
              </w:rPr>
              <w:t>D级</w:t>
            </w:r>
          </w:p>
        </w:tc>
        <w:tc>
          <w:tcPr>
            <w:tcW w:w="4536" w:type="dxa"/>
            <w:tcBorders>
              <w:top w:val="single" w:color="auto" w:sz="4" w:space="0"/>
              <w:left w:val="single" w:color="auto" w:sz="4" w:space="0"/>
              <w:bottom w:val="single" w:color="auto" w:sz="4" w:space="0"/>
              <w:right w:val="single" w:color="auto" w:sz="4" w:space="0"/>
            </w:tcBorders>
            <w:vAlign w:val="center"/>
          </w:tcPr>
          <w:p>
            <w:pPr>
              <w:widowControl/>
              <w:jc w:val="left"/>
              <w:textAlignment w:val="top"/>
              <w:rPr>
                <w:rFonts w:hint="eastAsia" w:asciiTheme="minorEastAsia" w:hAnsiTheme="minorEastAsia"/>
                <w:szCs w:val="21"/>
              </w:rPr>
            </w:pPr>
            <w:r>
              <w:rPr>
                <w:rFonts w:hint="eastAsia" w:asciiTheme="minorEastAsia" w:hAnsiTheme="minorEastAsia"/>
                <w:szCs w:val="21"/>
              </w:rPr>
              <w:t>《建筑消防设施的维护管理》GB 25201 中规定了消防设施的维护管理要求，对于消防风机等设备的维护、检查周期等有明确规定。</w:t>
            </w:r>
          </w:p>
          <w:p>
            <w:pPr>
              <w:widowControl/>
              <w:jc w:val="left"/>
              <w:textAlignment w:val="top"/>
              <w:rPr>
                <w:rFonts w:hint="eastAsia" w:cs="Times New Roman" w:asciiTheme="minorEastAsia" w:hAnsiTheme="minorEastAsia"/>
                <w:kern w:val="0"/>
                <w:szCs w:val="21"/>
                <w:lang w:bidi="ar"/>
              </w:rPr>
            </w:pPr>
            <w:r>
              <w:rPr>
                <w:rFonts w:hint="eastAsia" w:asciiTheme="minorEastAsia" w:hAnsiTheme="minorEastAsia"/>
                <w:szCs w:val="21"/>
              </w:rPr>
              <w:t>《建筑防烟排烟系统技术标准》GB 5125 -2017对防排烟系统的设计、施工、验收等方面做了详细规定，要求防排烟风机应能在规定的工况下可靠运行，满足相应的性能要求。</w:t>
            </w:r>
          </w:p>
        </w:tc>
      </w:tr>
      <w:tr>
        <w:tblPrEx>
          <w:tblCellMar>
            <w:top w:w="0" w:type="dxa"/>
            <w:left w:w="108" w:type="dxa"/>
            <w:bottom w:w="0" w:type="dxa"/>
            <w:right w:w="108" w:type="dxa"/>
          </w:tblCellMar>
        </w:tblPrEx>
        <w:trPr>
          <w:trHeight w:val="285" w:hRule="atLeast"/>
          <w:jc w:val="center"/>
        </w:trPr>
        <w:tc>
          <w:tcPr>
            <w:tcW w:w="704"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top"/>
              <w:rPr>
                <w:rFonts w:hint="eastAsia" w:cs="Times New Roman" w:asciiTheme="minorEastAsia" w:hAnsiTheme="minorEastAsia"/>
                <w:kern w:val="0"/>
                <w:szCs w:val="21"/>
                <w:lang w:bidi="ar"/>
              </w:rPr>
            </w:pPr>
            <w:r>
              <w:rPr>
                <w:rFonts w:hint="eastAsia" w:cs="Times New Roman" w:asciiTheme="minorEastAsia" w:hAnsiTheme="minorEastAsia"/>
                <w:kern w:val="0"/>
                <w:szCs w:val="21"/>
                <w:lang w:bidi="ar"/>
              </w:rPr>
              <w:t>4</w:t>
            </w:r>
          </w:p>
        </w:tc>
        <w:tc>
          <w:tcPr>
            <w:tcW w:w="1985" w:type="dxa"/>
            <w:tcBorders>
              <w:top w:val="single" w:color="auto" w:sz="4" w:space="0"/>
              <w:left w:val="single" w:color="auto" w:sz="4" w:space="0"/>
              <w:bottom w:val="single" w:color="auto" w:sz="4" w:space="0"/>
              <w:right w:val="single" w:color="auto" w:sz="4" w:space="0"/>
            </w:tcBorders>
            <w:noWrap/>
            <w:vAlign w:val="center"/>
          </w:tcPr>
          <w:p>
            <w:pPr>
              <w:widowControl/>
              <w:jc w:val="left"/>
              <w:textAlignment w:val="top"/>
              <w:rPr>
                <w:rFonts w:hint="eastAsia" w:asciiTheme="minorEastAsia" w:hAnsiTheme="minorEastAsia"/>
                <w:szCs w:val="21"/>
              </w:rPr>
            </w:pPr>
            <w:r>
              <w:rPr>
                <w:rFonts w:hint="eastAsia" w:asciiTheme="minorEastAsia" w:hAnsiTheme="minorEastAsia"/>
                <w:szCs w:val="21"/>
              </w:rPr>
              <w:t>消防风机常温下的空气动力学性能</w:t>
            </w:r>
          </w:p>
        </w:tc>
        <w:tc>
          <w:tcPr>
            <w:tcW w:w="4677" w:type="dxa"/>
            <w:tcBorders>
              <w:top w:val="single" w:color="auto" w:sz="4" w:space="0"/>
              <w:left w:val="nil"/>
              <w:bottom w:val="single" w:color="auto" w:sz="4" w:space="0"/>
              <w:right w:val="single" w:color="auto" w:sz="4" w:space="0"/>
            </w:tcBorders>
            <w:vAlign w:val="center"/>
          </w:tcPr>
          <w:p>
            <w:pPr>
              <w:widowControl/>
              <w:jc w:val="left"/>
              <w:textAlignment w:val="top"/>
              <w:rPr>
                <w:rFonts w:hint="eastAsia" w:asciiTheme="minorEastAsia" w:hAnsiTheme="minorEastAsia"/>
                <w:szCs w:val="21"/>
              </w:rPr>
            </w:pPr>
            <w:r>
              <w:rPr>
                <w:rFonts w:hint="eastAsia" w:asciiTheme="minorEastAsia" w:hAnsiTheme="minorEastAsia"/>
                <w:szCs w:val="21"/>
              </w:rPr>
              <w:t>额定转速下，实测消防风机空气动力性能曲线与典型性能曲线的偏差应满足以下要求：</w:t>
            </w:r>
          </w:p>
          <w:p>
            <w:pPr>
              <w:widowControl/>
              <w:jc w:val="left"/>
              <w:textAlignment w:val="top"/>
              <w:rPr>
                <w:rFonts w:hint="eastAsia" w:asciiTheme="minorEastAsia" w:hAnsiTheme="minorEastAsia"/>
                <w:szCs w:val="21"/>
              </w:rPr>
            </w:pPr>
            <w:r>
              <w:rPr>
                <w:rFonts w:hint="eastAsia" w:asciiTheme="minorEastAsia" w:hAnsiTheme="minorEastAsia"/>
                <w:szCs w:val="21"/>
              </w:rPr>
              <w:t>1 在规定的通风机压力或静压下，所对应的流量偏差不大于5%；或在规定的流量下，所对应的通风机压力或静压偏差不大于5%。</w:t>
            </w:r>
          </w:p>
          <w:p>
            <w:pPr>
              <w:widowControl/>
              <w:jc w:val="left"/>
              <w:textAlignment w:val="top"/>
              <w:rPr>
                <w:rFonts w:hint="eastAsia" w:asciiTheme="minorEastAsia" w:hAnsiTheme="minorEastAsia"/>
                <w:szCs w:val="21"/>
              </w:rPr>
            </w:pPr>
            <w:r>
              <w:rPr>
                <w:rFonts w:hint="eastAsia" w:asciiTheme="minorEastAsia" w:hAnsiTheme="minorEastAsia"/>
                <w:szCs w:val="21"/>
              </w:rPr>
              <w:t>2 轴流式通风机叶轮效率不应低于对应点效率的97%。</w:t>
            </w:r>
          </w:p>
          <w:p>
            <w:pPr>
              <w:widowControl/>
              <w:jc w:val="left"/>
              <w:textAlignment w:val="top"/>
              <w:rPr>
                <w:rFonts w:hint="eastAsia" w:asciiTheme="minorEastAsia" w:hAnsiTheme="minorEastAsia"/>
                <w:szCs w:val="21"/>
              </w:rPr>
            </w:pPr>
            <w:r>
              <w:rPr>
                <w:rFonts w:hint="eastAsia" w:asciiTheme="minorEastAsia" w:hAnsiTheme="minorEastAsia"/>
                <w:szCs w:val="21"/>
              </w:rPr>
              <w:t>3 离心式通风机叶轮效率不应低于对应点效率的95%。</w:t>
            </w:r>
          </w:p>
        </w:tc>
        <w:tc>
          <w:tcPr>
            <w:tcW w:w="1984"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top"/>
              <w:rPr>
                <w:rFonts w:hint="eastAsia" w:asciiTheme="minorEastAsia" w:hAnsiTheme="minorEastAsia"/>
                <w:szCs w:val="21"/>
              </w:rPr>
            </w:pPr>
            <w:r>
              <w:rPr>
                <w:rFonts w:hint="eastAsia" w:asciiTheme="minorEastAsia" w:hAnsiTheme="minorEastAsia"/>
                <w:szCs w:val="21"/>
              </w:rPr>
              <w:t>不满足直接判定为</w:t>
            </w:r>
            <w:r>
              <w:rPr>
                <w:rFonts w:hint="eastAsia" w:asciiTheme="minorEastAsia" w:hAnsiTheme="minorEastAsia"/>
                <w:b/>
                <w:bCs/>
                <w:szCs w:val="21"/>
              </w:rPr>
              <w:t>D级</w:t>
            </w:r>
          </w:p>
        </w:tc>
        <w:tc>
          <w:tcPr>
            <w:tcW w:w="4536" w:type="dxa"/>
            <w:tcBorders>
              <w:top w:val="single" w:color="auto" w:sz="4" w:space="0"/>
              <w:left w:val="single" w:color="auto" w:sz="4" w:space="0"/>
              <w:bottom w:val="single" w:color="auto" w:sz="4" w:space="0"/>
              <w:right w:val="single" w:color="auto" w:sz="4" w:space="0"/>
            </w:tcBorders>
            <w:vAlign w:val="center"/>
          </w:tcPr>
          <w:p>
            <w:pPr>
              <w:widowControl/>
              <w:jc w:val="left"/>
              <w:textAlignment w:val="top"/>
              <w:rPr>
                <w:rFonts w:hint="eastAsia" w:asciiTheme="minorEastAsia" w:hAnsiTheme="minorEastAsia"/>
                <w:szCs w:val="21"/>
              </w:rPr>
            </w:pPr>
            <w:r>
              <w:rPr>
                <w:rFonts w:hint="eastAsia" w:asciiTheme="minorEastAsia" w:hAnsiTheme="minorEastAsia"/>
                <w:szCs w:val="21"/>
              </w:rPr>
              <w:t>根据XF 211 《消防风机通用技术要求》对消防风机常温下的空气动力学性能要求：</w:t>
            </w:r>
          </w:p>
          <w:p>
            <w:pPr>
              <w:widowControl/>
              <w:jc w:val="left"/>
              <w:textAlignment w:val="top"/>
              <w:rPr>
                <w:rFonts w:hint="eastAsia" w:asciiTheme="minorEastAsia" w:hAnsiTheme="minorEastAsia"/>
                <w:szCs w:val="21"/>
              </w:rPr>
            </w:pPr>
            <w:r>
              <w:rPr>
                <w:rFonts w:hint="eastAsia" w:asciiTheme="minorEastAsia" w:hAnsiTheme="minorEastAsia"/>
                <w:szCs w:val="21"/>
              </w:rPr>
              <w:t>1 典型性能曲线指新产品鉴定时所确认的性能曲线或企业在说明书中给出的性能曲线；</w:t>
            </w:r>
          </w:p>
          <w:p>
            <w:pPr>
              <w:widowControl/>
              <w:jc w:val="left"/>
              <w:textAlignment w:val="top"/>
              <w:rPr>
                <w:rFonts w:hint="eastAsia" w:asciiTheme="minorEastAsia" w:hAnsiTheme="minorEastAsia"/>
                <w:szCs w:val="21"/>
              </w:rPr>
            </w:pPr>
            <w:r>
              <w:rPr>
                <w:rFonts w:hint="eastAsia" w:asciiTheme="minorEastAsia" w:hAnsiTheme="minorEastAsia"/>
                <w:szCs w:val="21"/>
              </w:rPr>
              <w:t>2 偏差=（实测值-典型性能曲线值）/典型性能曲线值×100%。</w:t>
            </w:r>
          </w:p>
        </w:tc>
      </w:tr>
      <w:tr>
        <w:tblPrEx>
          <w:tblCellMar>
            <w:top w:w="0" w:type="dxa"/>
            <w:left w:w="108" w:type="dxa"/>
            <w:bottom w:w="0" w:type="dxa"/>
            <w:right w:w="108" w:type="dxa"/>
          </w:tblCellMar>
        </w:tblPrEx>
        <w:trPr>
          <w:trHeight w:val="285" w:hRule="atLeast"/>
          <w:jc w:val="center"/>
        </w:trPr>
        <w:tc>
          <w:tcPr>
            <w:tcW w:w="704"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top"/>
              <w:rPr>
                <w:rFonts w:hint="eastAsia" w:cs="Times New Roman" w:asciiTheme="minorEastAsia" w:hAnsiTheme="minorEastAsia"/>
                <w:kern w:val="0"/>
                <w:szCs w:val="21"/>
                <w:lang w:bidi="ar"/>
              </w:rPr>
            </w:pPr>
            <w:r>
              <w:rPr>
                <w:rFonts w:hint="eastAsia" w:cs="Times New Roman" w:asciiTheme="minorEastAsia" w:hAnsiTheme="minorEastAsia"/>
                <w:kern w:val="0"/>
                <w:szCs w:val="21"/>
                <w:lang w:bidi="ar"/>
              </w:rPr>
              <w:t>5</w:t>
            </w:r>
          </w:p>
        </w:tc>
        <w:tc>
          <w:tcPr>
            <w:tcW w:w="1985" w:type="dxa"/>
            <w:tcBorders>
              <w:top w:val="single" w:color="auto" w:sz="4" w:space="0"/>
              <w:left w:val="single" w:color="auto" w:sz="4" w:space="0"/>
              <w:bottom w:val="single" w:color="auto" w:sz="4" w:space="0"/>
              <w:right w:val="single" w:color="auto" w:sz="4" w:space="0"/>
            </w:tcBorders>
            <w:noWrap/>
            <w:vAlign w:val="center"/>
          </w:tcPr>
          <w:p>
            <w:pPr>
              <w:widowControl/>
              <w:jc w:val="left"/>
              <w:textAlignment w:val="top"/>
              <w:rPr>
                <w:rFonts w:hint="eastAsia" w:asciiTheme="minorEastAsia" w:hAnsiTheme="minorEastAsia"/>
                <w:szCs w:val="21"/>
              </w:rPr>
            </w:pPr>
            <w:r>
              <w:rPr>
                <w:rFonts w:hint="eastAsia" w:asciiTheme="minorEastAsia" w:hAnsiTheme="minorEastAsia"/>
                <w:szCs w:val="21"/>
              </w:rPr>
              <w:t>消防风机的运转性能</w:t>
            </w:r>
          </w:p>
        </w:tc>
        <w:tc>
          <w:tcPr>
            <w:tcW w:w="4677" w:type="dxa"/>
            <w:tcBorders>
              <w:top w:val="single" w:color="auto" w:sz="4" w:space="0"/>
              <w:left w:val="nil"/>
              <w:bottom w:val="single" w:color="auto" w:sz="4" w:space="0"/>
              <w:right w:val="single" w:color="auto" w:sz="4" w:space="0"/>
            </w:tcBorders>
            <w:vAlign w:val="center"/>
          </w:tcPr>
          <w:p>
            <w:pPr>
              <w:pStyle w:val="23"/>
              <w:widowControl/>
              <w:numPr>
                <w:ilvl w:val="0"/>
                <w:numId w:val="3"/>
              </w:numPr>
              <w:ind w:firstLineChars="0"/>
              <w:jc w:val="left"/>
              <w:textAlignment w:val="top"/>
              <w:rPr>
                <w:rFonts w:hint="eastAsia" w:asciiTheme="minorEastAsia" w:hAnsiTheme="minorEastAsia"/>
                <w:szCs w:val="21"/>
              </w:rPr>
            </w:pPr>
            <w:r>
              <w:rPr>
                <w:rFonts w:hint="eastAsia" w:asciiTheme="minorEastAsia" w:hAnsiTheme="minorEastAsia"/>
                <w:szCs w:val="21"/>
              </w:rPr>
              <w:t>轴承表面温升不应超过环境温度40℃；</w:t>
            </w:r>
          </w:p>
          <w:p>
            <w:pPr>
              <w:pStyle w:val="23"/>
              <w:widowControl/>
              <w:numPr>
                <w:ilvl w:val="0"/>
                <w:numId w:val="3"/>
              </w:numPr>
              <w:ind w:firstLineChars="0"/>
              <w:jc w:val="left"/>
              <w:textAlignment w:val="top"/>
              <w:rPr>
                <w:rFonts w:hint="eastAsia" w:asciiTheme="minorEastAsia" w:hAnsiTheme="minorEastAsia"/>
                <w:szCs w:val="21"/>
              </w:rPr>
            </w:pPr>
            <w:r>
              <w:rPr>
                <w:rFonts w:hint="eastAsia" w:asciiTheme="minorEastAsia" w:hAnsiTheme="minorEastAsia"/>
                <w:szCs w:val="21"/>
              </w:rPr>
              <w:t>振动速度方均根值(Vrms)不应大于4.6mm/s。</w:t>
            </w:r>
          </w:p>
        </w:tc>
        <w:tc>
          <w:tcPr>
            <w:tcW w:w="1984"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top"/>
              <w:rPr>
                <w:rFonts w:hint="eastAsia" w:asciiTheme="minorEastAsia" w:hAnsiTheme="minorEastAsia"/>
                <w:szCs w:val="21"/>
              </w:rPr>
            </w:pPr>
            <w:r>
              <w:rPr>
                <w:rFonts w:hint="eastAsia" w:asciiTheme="minorEastAsia" w:hAnsiTheme="minorEastAsia"/>
                <w:szCs w:val="21"/>
              </w:rPr>
              <w:t>不满足直接判定为</w:t>
            </w:r>
            <w:r>
              <w:rPr>
                <w:rFonts w:hint="eastAsia" w:asciiTheme="minorEastAsia" w:hAnsiTheme="minorEastAsia"/>
                <w:b/>
                <w:bCs/>
                <w:szCs w:val="21"/>
              </w:rPr>
              <w:t>D级</w:t>
            </w:r>
          </w:p>
        </w:tc>
        <w:tc>
          <w:tcPr>
            <w:tcW w:w="4536" w:type="dxa"/>
            <w:tcBorders>
              <w:top w:val="single" w:color="auto" w:sz="4" w:space="0"/>
              <w:left w:val="single" w:color="auto" w:sz="4" w:space="0"/>
              <w:bottom w:val="single" w:color="auto" w:sz="4" w:space="0"/>
              <w:right w:val="single" w:color="auto" w:sz="4" w:space="0"/>
            </w:tcBorders>
            <w:vAlign w:val="center"/>
          </w:tcPr>
          <w:p>
            <w:pPr>
              <w:widowControl/>
              <w:jc w:val="left"/>
              <w:textAlignment w:val="top"/>
              <w:rPr>
                <w:rFonts w:hint="eastAsia" w:asciiTheme="minorEastAsia" w:hAnsiTheme="minorEastAsia"/>
                <w:szCs w:val="21"/>
              </w:rPr>
            </w:pPr>
            <w:r>
              <w:rPr>
                <w:rFonts w:hint="eastAsia" w:asciiTheme="minorEastAsia" w:hAnsiTheme="minorEastAsia"/>
                <w:szCs w:val="21"/>
              </w:rPr>
              <w:t>XF 211 《消防风机通用技术要求》对消防风机运转性能的要求</w:t>
            </w:r>
          </w:p>
        </w:tc>
      </w:tr>
    </w:tbl>
    <w:p>
      <w:pPr>
        <w:widowControl/>
        <w:jc w:val="left"/>
        <w:rPr>
          <w:rFonts w:hint="eastAsia" w:cs="Times New Roman" w:asciiTheme="minorEastAsia" w:hAnsiTheme="minorEastAsia"/>
          <w:b/>
          <w:bCs/>
          <w:szCs w:val="21"/>
        </w:rPr>
      </w:pPr>
      <w:r>
        <w:rPr>
          <w:rFonts w:hint="eastAsia" w:cs="Times New Roman" w:asciiTheme="minorEastAsia" w:hAnsiTheme="minorEastAsia"/>
          <w:b/>
          <w:bCs/>
          <w:szCs w:val="21"/>
        </w:rPr>
        <w:br w:type="page"/>
      </w:r>
    </w:p>
    <w:p>
      <w:pPr>
        <w:widowControl/>
        <w:jc w:val="center"/>
        <w:rPr>
          <w:rFonts w:hint="eastAsia" w:cs="Times New Roman" w:asciiTheme="minorEastAsia" w:hAnsiTheme="minorEastAsia"/>
          <w:b/>
          <w:bCs/>
          <w:szCs w:val="21"/>
        </w:rPr>
      </w:pPr>
      <w:r>
        <w:rPr>
          <w:rFonts w:hint="eastAsia" w:ascii="宋体" w:hAnsi="宋体" w:eastAsia="宋体" w:cs="Times New Roman"/>
          <w:b/>
          <w:bCs/>
          <w:szCs w:val="21"/>
        </w:rPr>
        <w:t>表</w:t>
      </w:r>
      <w:r>
        <w:rPr>
          <w:rFonts w:ascii="宋体" w:hAnsi="宋体" w:eastAsia="宋体" w:cs="Times New Roman"/>
          <w:b/>
          <w:bCs/>
          <w:szCs w:val="21"/>
        </w:rPr>
        <w:t>4.2.</w:t>
      </w:r>
      <w:r>
        <w:rPr>
          <w:rFonts w:hint="eastAsia" w:ascii="宋体" w:hAnsi="宋体" w:eastAsia="宋体" w:cs="Times New Roman"/>
          <w:b/>
          <w:bCs/>
          <w:szCs w:val="21"/>
        </w:rPr>
        <w:t>4</w:t>
      </w:r>
      <w:r>
        <w:rPr>
          <w:rFonts w:ascii="宋体" w:hAnsi="宋体" w:eastAsia="宋体" w:cs="Times New Roman"/>
          <w:b/>
          <w:bCs/>
          <w:szCs w:val="21"/>
        </w:rPr>
        <w:t>-</w:t>
      </w:r>
      <w:r>
        <w:rPr>
          <w:rFonts w:hint="eastAsia" w:ascii="宋体" w:hAnsi="宋体" w:eastAsia="宋体" w:cs="Times New Roman"/>
          <w:b/>
          <w:bCs/>
          <w:szCs w:val="21"/>
        </w:rPr>
        <w:t>2排烟风机评分项评定表</w:t>
      </w:r>
    </w:p>
    <w:tbl>
      <w:tblPr>
        <w:tblStyle w:val="17"/>
        <w:tblW w:w="13887" w:type="dxa"/>
        <w:tblInd w:w="0" w:type="dxa"/>
        <w:tblLayout w:type="autofit"/>
        <w:tblCellMar>
          <w:top w:w="0" w:type="dxa"/>
          <w:left w:w="108" w:type="dxa"/>
          <w:bottom w:w="0" w:type="dxa"/>
          <w:right w:w="108" w:type="dxa"/>
        </w:tblCellMar>
      </w:tblPr>
      <w:tblGrid>
        <w:gridCol w:w="704"/>
        <w:gridCol w:w="1896"/>
        <w:gridCol w:w="3774"/>
        <w:gridCol w:w="3827"/>
        <w:gridCol w:w="709"/>
        <w:gridCol w:w="2977"/>
      </w:tblGrid>
      <w:tr>
        <w:tblPrEx>
          <w:tblCellMar>
            <w:top w:w="0" w:type="dxa"/>
            <w:left w:w="108" w:type="dxa"/>
            <w:bottom w:w="0" w:type="dxa"/>
            <w:right w:w="108" w:type="dxa"/>
          </w:tblCellMar>
        </w:tblPrEx>
        <w:trPr>
          <w:trHeight w:val="280" w:hRule="atLeast"/>
          <w:tblHeader/>
        </w:trPr>
        <w:tc>
          <w:tcPr>
            <w:tcW w:w="704"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b/>
                <w:bCs/>
                <w:kern w:val="0"/>
                <w:szCs w:val="21"/>
              </w:rPr>
            </w:pPr>
            <w:r>
              <w:rPr>
                <w:rFonts w:hint="eastAsia" w:ascii="宋体" w:hAnsi="宋体" w:eastAsia="宋体" w:cs="宋体"/>
                <w:b/>
                <w:bCs/>
                <w:kern w:val="0"/>
                <w:szCs w:val="21"/>
              </w:rPr>
              <w:t>序号</w:t>
            </w:r>
          </w:p>
        </w:tc>
        <w:tc>
          <w:tcPr>
            <w:tcW w:w="1896"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eastAsia="宋体" w:cs="宋体"/>
                <w:b/>
                <w:bCs/>
                <w:kern w:val="0"/>
                <w:szCs w:val="21"/>
              </w:rPr>
            </w:pPr>
            <w:r>
              <w:rPr>
                <w:rFonts w:hint="eastAsia" w:ascii="宋体" w:hAnsi="宋体" w:eastAsia="宋体" w:cs="宋体"/>
                <w:b/>
                <w:bCs/>
                <w:kern w:val="0"/>
                <w:szCs w:val="21"/>
              </w:rPr>
              <w:t>评定特性指标</w:t>
            </w:r>
          </w:p>
        </w:tc>
        <w:tc>
          <w:tcPr>
            <w:tcW w:w="3774"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宋体"/>
                <w:b/>
                <w:bCs/>
                <w:kern w:val="0"/>
                <w:szCs w:val="21"/>
              </w:rPr>
            </w:pPr>
            <w:r>
              <w:rPr>
                <w:rFonts w:hint="eastAsia" w:ascii="宋体" w:hAnsi="宋体" w:eastAsia="宋体" w:cs="宋体"/>
                <w:b/>
                <w:bCs/>
                <w:kern w:val="0"/>
                <w:szCs w:val="21"/>
              </w:rPr>
              <w:t>评分项</w:t>
            </w:r>
          </w:p>
        </w:tc>
        <w:tc>
          <w:tcPr>
            <w:tcW w:w="3827"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eastAsia="宋体" w:cs="宋体"/>
                <w:b/>
                <w:bCs/>
                <w:kern w:val="0"/>
                <w:szCs w:val="21"/>
              </w:rPr>
            </w:pPr>
            <w:r>
              <w:rPr>
                <w:rFonts w:hint="eastAsia" w:ascii="宋体" w:hAnsi="宋体" w:eastAsia="宋体" w:cs="宋体"/>
                <w:b/>
                <w:bCs/>
                <w:kern w:val="0"/>
                <w:szCs w:val="21"/>
              </w:rPr>
              <w:t>评定方法</w:t>
            </w:r>
          </w:p>
        </w:tc>
        <w:tc>
          <w:tcPr>
            <w:tcW w:w="709"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宋体"/>
                <w:b/>
                <w:bCs/>
                <w:kern w:val="0"/>
                <w:szCs w:val="21"/>
              </w:rPr>
            </w:pPr>
            <w:r>
              <w:rPr>
                <w:rFonts w:hint="eastAsia" w:ascii="宋体" w:hAnsi="宋体" w:eastAsia="宋体" w:cs="宋体"/>
                <w:b/>
                <w:bCs/>
                <w:kern w:val="0"/>
                <w:szCs w:val="21"/>
              </w:rPr>
              <w:t>权重因子</w:t>
            </w:r>
          </w:p>
        </w:tc>
        <w:tc>
          <w:tcPr>
            <w:tcW w:w="2977"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b/>
                <w:bCs/>
                <w:kern w:val="0"/>
                <w:szCs w:val="21"/>
              </w:rPr>
            </w:pPr>
            <w:r>
              <w:rPr>
                <w:rFonts w:hint="eastAsia" w:ascii="宋体" w:hAnsi="宋体" w:eastAsia="宋体" w:cs="宋体"/>
                <w:b/>
                <w:bCs/>
                <w:kern w:val="0"/>
                <w:szCs w:val="21"/>
              </w:rPr>
              <w:t>说明</w:t>
            </w:r>
          </w:p>
        </w:tc>
      </w:tr>
      <w:tr>
        <w:tblPrEx>
          <w:tblCellMar>
            <w:top w:w="0" w:type="dxa"/>
            <w:left w:w="108" w:type="dxa"/>
            <w:bottom w:w="0" w:type="dxa"/>
            <w:right w:w="108" w:type="dxa"/>
          </w:tblCellMar>
        </w:tblPrEx>
        <w:trPr>
          <w:trHeight w:val="1193" w:hRule="atLeast"/>
        </w:trPr>
        <w:tc>
          <w:tcPr>
            <w:tcW w:w="704" w:type="dxa"/>
            <w:tcBorders>
              <w:top w:val="nil"/>
              <w:left w:val="single" w:color="auto" w:sz="4" w:space="0"/>
              <w:bottom w:val="single" w:color="auto" w:sz="4" w:space="0"/>
              <w:right w:val="single" w:color="auto" w:sz="4" w:space="0"/>
            </w:tcBorders>
            <w:noWrap/>
            <w:vAlign w:val="center"/>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1</w:t>
            </w:r>
          </w:p>
        </w:tc>
        <w:tc>
          <w:tcPr>
            <w:tcW w:w="1896"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宋体" w:asciiTheme="minorEastAsia" w:hAnsiTheme="minorEastAsia"/>
                <w:kern w:val="0"/>
                <w:szCs w:val="21"/>
              </w:rPr>
            </w:pPr>
            <w:r>
              <w:rPr>
                <w:rFonts w:hint="eastAsia" w:asciiTheme="minorEastAsia" w:hAnsiTheme="minorEastAsia"/>
                <w:szCs w:val="21"/>
              </w:rPr>
              <w:t>防排烟风机的主要部件技术</w:t>
            </w:r>
          </w:p>
        </w:tc>
        <w:tc>
          <w:tcPr>
            <w:tcW w:w="377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heme="minorEastAsia" w:hAnsiTheme="minorEastAsia"/>
                <w:szCs w:val="21"/>
              </w:rPr>
            </w:pPr>
            <w:r>
              <w:rPr>
                <w:rFonts w:hint="eastAsia" w:asciiTheme="minorEastAsia" w:hAnsiTheme="minorEastAsia"/>
                <w:szCs w:val="21"/>
              </w:rPr>
              <w:t>1 需满足国标、美标AMCA、欧标CE、或者…的生产标准需求 。</w:t>
            </w:r>
          </w:p>
          <w:p>
            <w:pPr>
              <w:widowControl/>
              <w:jc w:val="center"/>
              <w:rPr>
                <w:rFonts w:hint="eastAsia" w:asciiTheme="minorEastAsia" w:hAnsiTheme="minorEastAsia"/>
                <w:szCs w:val="21"/>
              </w:rPr>
            </w:pPr>
            <w:r>
              <w:rPr>
                <w:rFonts w:hint="eastAsia" w:asciiTheme="minorEastAsia" w:hAnsiTheme="minorEastAsia"/>
                <w:szCs w:val="21"/>
              </w:rPr>
              <w:t>2 第三方检测机构出具的测试报告原件查验及进场抽样送检。</w:t>
            </w:r>
          </w:p>
          <w:p>
            <w:pPr>
              <w:widowControl/>
              <w:jc w:val="center"/>
              <w:rPr>
                <w:rFonts w:hint="eastAsia" w:cs="宋体" w:asciiTheme="minorEastAsia" w:hAnsiTheme="minorEastAsia"/>
                <w:kern w:val="0"/>
                <w:szCs w:val="21"/>
              </w:rPr>
            </w:pPr>
            <w:r>
              <w:rPr>
                <w:rFonts w:hint="eastAsia" w:asciiTheme="minorEastAsia" w:hAnsiTheme="minorEastAsia"/>
                <w:szCs w:val="21"/>
              </w:rPr>
              <w:t>3 结合项目现场测试结果，可现场选择防排烟管道测试。</w:t>
            </w:r>
          </w:p>
        </w:tc>
        <w:tc>
          <w:tcPr>
            <w:tcW w:w="3827"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Theme="minorEastAsia" w:hAnsiTheme="minorEastAsia"/>
                <w:szCs w:val="21"/>
              </w:rPr>
            </w:pPr>
            <w:r>
              <w:rPr>
                <w:rFonts w:hint="eastAsia" w:asciiTheme="minorEastAsia" w:hAnsiTheme="minorEastAsia"/>
                <w:szCs w:val="21"/>
              </w:rPr>
              <w:t>1 叶轮动平衡精度达到ISO G2.5级及以上；电机防护等级达到IP55，绝缘等级在F级以上，排烟风机的电机在整机排除280℃烟气过程中正常运行60分钟，100分。</w:t>
            </w:r>
          </w:p>
          <w:p>
            <w:pPr>
              <w:widowControl/>
              <w:jc w:val="left"/>
              <w:rPr>
                <w:rFonts w:hint="eastAsia" w:asciiTheme="minorEastAsia" w:hAnsiTheme="minorEastAsia"/>
                <w:szCs w:val="21"/>
              </w:rPr>
            </w:pPr>
            <w:r>
              <w:rPr>
                <w:rFonts w:hint="eastAsia" w:asciiTheme="minorEastAsia" w:hAnsiTheme="minorEastAsia"/>
                <w:szCs w:val="21"/>
              </w:rPr>
              <w:t>2 叶轮动平衡精度在ISO G2.5级和ISO G6.3级之间；电机防护等级达到IP54，绝缘等级为F级，排烟风机的电机在整机排除280℃烟气过程中正常运行45分钟，80分。</w:t>
            </w:r>
          </w:p>
          <w:p>
            <w:pPr>
              <w:widowControl/>
              <w:jc w:val="left"/>
              <w:rPr>
                <w:rFonts w:hint="eastAsia" w:cs="宋体" w:asciiTheme="minorEastAsia" w:hAnsiTheme="minorEastAsia"/>
                <w:kern w:val="0"/>
                <w:szCs w:val="21"/>
              </w:rPr>
            </w:pPr>
            <w:r>
              <w:rPr>
                <w:rFonts w:hint="eastAsia" w:asciiTheme="minorEastAsia" w:hAnsiTheme="minorEastAsia"/>
                <w:szCs w:val="21"/>
              </w:rPr>
              <w:t>3 叶轮动平衡精度在ISO G6.3级和ISO G5.6级之间；防护等级为IP44，绝缘等级为F级，排烟风机的电机在整机排除280℃烟气过程中能正常运行30分钟，60分。</w:t>
            </w:r>
          </w:p>
        </w:tc>
        <w:tc>
          <w:tcPr>
            <w:tcW w:w="709"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heme="minorEastAsia" w:hAnsiTheme="minorEastAsia"/>
                <w:szCs w:val="21"/>
              </w:rPr>
            </w:pPr>
            <w:r>
              <w:rPr>
                <w:rFonts w:hint="eastAsia" w:asciiTheme="minorEastAsia" w:hAnsiTheme="minorEastAsia"/>
                <w:szCs w:val="21"/>
              </w:rPr>
              <w:t>0.4</w:t>
            </w:r>
          </w:p>
        </w:tc>
        <w:tc>
          <w:tcPr>
            <w:tcW w:w="2977"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hint="eastAsia" w:asciiTheme="minorEastAsia" w:hAnsiTheme="minorEastAsia"/>
                <w:szCs w:val="21"/>
              </w:rPr>
            </w:pPr>
            <w:r>
              <w:rPr>
                <w:rFonts w:hint="eastAsia" w:asciiTheme="minorEastAsia" w:hAnsiTheme="minorEastAsia"/>
                <w:szCs w:val="21"/>
              </w:rPr>
              <w:t>1.消防排烟通风机,叶轮应进行静、动平衡校正。平衡品质等级不低于G5.6级。</w:t>
            </w:r>
          </w:p>
          <w:p>
            <w:pPr>
              <w:widowControl/>
              <w:jc w:val="left"/>
              <w:rPr>
                <w:rFonts w:hint="eastAsia" w:asciiTheme="minorEastAsia" w:hAnsiTheme="minorEastAsia"/>
                <w:szCs w:val="21"/>
              </w:rPr>
            </w:pPr>
            <w:r>
              <w:rPr>
                <w:rFonts w:hint="eastAsia" w:asciiTheme="minorEastAsia" w:hAnsiTheme="minorEastAsia"/>
                <w:szCs w:val="21"/>
              </w:rPr>
              <w:t>2.轴流式消防排烟风机应在风机内设置电动机隔热保护与空气冷却系统(使用H级绝缘等级电动机的通风机可不设置强制空气冷却系统)。电动机绝缘等级应不低于F级。</w:t>
            </w:r>
          </w:p>
          <w:p>
            <w:pPr>
              <w:widowControl/>
              <w:jc w:val="left"/>
              <w:rPr>
                <w:rFonts w:hint="eastAsia" w:cs="宋体" w:asciiTheme="minorEastAsia" w:hAnsiTheme="minorEastAsia"/>
                <w:kern w:val="0"/>
                <w:szCs w:val="21"/>
              </w:rPr>
            </w:pPr>
            <w:r>
              <w:rPr>
                <w:rFonts w:hint="eastAsia" w:asciiTheme="minorEastAsia" w:hAnsiTheme="minorEastAsia"/>
                <w:szCs w:val="21"/>
              </w:rPr>
              <w:t>3.排烟风机的电机应满足整机在排除280℃烟气0.5h过程中正常运行。</w:t>
            </w:r>
          </w:p>
        </w:tc>
      </w:tr>
      <w:tr>
        <w:tblPrEx>
          <w:tblCellMar>
            <w:top w:w="0" w:type="dxa"/>
            <w:left w:w="108" w:type="dxa"/>
            <w:bottom w:w="0" w:type="dxa"/>
            <w:right w:w="108" w:type="dxa"/>
          </w:tblCellMar>
        </w:tblPrEx>
        <w:trPr>
          <w:trHeight w:val="1680" w:hRule="atLeast"/>
        </w:trPr>
        <w:tc>
          <w:tcPr>
            <w:tcW w:w="704" w:type="dxa"/>
            <w:tcBorders>
              <w:top w:val="nil"/>
              <w:left w:val="single" w:color="auto" w:sz="4" w:space="0"/>
              <w:bottom w:val="single" w:color="auto" w:sz="4" w:space="0"/>
              <w:right w:val="single" w:color="auto" w:sz="4" w:space="0"/>
            </w:tcBorders>
            <w:noWrap/>
            <w:vAlign w:val="center"/>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2</w:t>
            </w:r>
          </w:p>
        </w:tc>
        <w:tc>
          <w:tcPr>
            <w:tcW w:w="1896" w:type="dxa"/>
            <w:tcBorders>
              <w:top w:val="nil"/>
              <w:left w:val="single" w:color="auto" w:sz="4" w:space="0"/>
              <w:bottom w:val="single" w:color="auto" w:sz="4" w:space="0"/>
              <w:right w:val="single" w:color="auto" w:sz="4" w:space="0"/>
            </w:tcBorders>
            <w:vAlign w:val="center"/>
          </w:tcPr>
          <w:p>
            <w:pPr>
              <w:widowControl/>
              <w:jc w:val="center"/>
              <w:rPr>
                <w:rFonts w:hint="eastAsia" w:cs="宋体" w:asciiTheme="minorEastAsia" w:hAnsiTheme="minorEastAsia"/>
                <w:kern w:val="0"/>
                <w:szCs w:val="21"/>
              </w:rPr>
            </w:pPr>
            <w:r>
              <w:rPr>
                <w:rFonts w:hint="eastAsia" w:asciiTheme="minorEastAsia" w:hAnsiTheme="minorEastAsia"/>
                <w:szCs w:val="21"/>
              </w:rPr>
              <w:t>防排烟风机风量与风压的偏差范围</w:t>
            </w:r>
          </w:p>
        </w:tc>
        <w:tc>
          <w:tcPr>
            <w:tcW w:w="3774" w:type="dxa"/>
            <w:tcBorders>
              <w:top w:val="nil"/>
              <w:left w:val="single" w:color="auto" w:sz="4" w:space="0"/>
              <w:bottom w:val="single" w:color="auto" w:sz="4" w:space="0"/>
              <w:right w:val="single" w:color="auto" w:sz="4" w:space="0"/>
            </w:tcBorders>
            <w:vAlign w:val="center"/>
          </w:tcPr>
          <w:p>
            <w:pPr>
              <w:widowControl/>
              <w:jc w:val="center"/>
              <w:rPr>
                <w:rFonts w:hint="eastAsia" w:asciiTheme="minorEastAsia" w:hAnsiTheme="minorEastAsia"/>
                <w:szCs w:val="21"/>
              </w:rPr>
            </w:pPr>
            <w:r>
              <w:rPr>
                <w:rFonts w:hint="eastAsia" w:asciiTheme="minorEastAsia" w:hAnsiTheme="minorEastAsia"/>
                <w:szCs w:val="21"/>
              </w:rPr>
              <w:t>1 需满足《消防排烟风机技术要求》中要求</w:t>
            </w:r>
          </w:p>
          <w:p>
            <w:pPr>
              <w:widowControl/>
              <w:jc w:val="center"/>
              <w:rPr>
                <w:rFonts w:hint="eastAsia" w:asciiTheme="minorEastAsia" w:hAnsiTheme="minorEastAsia"/>
                <w:szCs w:val="21"/>
              </w:rPr>
            </w:pPr>
            <w:r>
              <w:rPr>
                <w:rFonts w:hint="eastAsia" w:asciiTheme="minorEastAsia" w:hAnsiTheme="minorEastAsia"/>
                <w:szCs w:val="21"/>
              </w:rPr>
              <w:t>2 消防风机必须满足在一定的静压下可以输出所需的风量</w:t>
            </w:r>
          </w:p>
          <w:p>
            <w:pPr>
              <w:widowControl/>
              <w:jc w:val="center"/>
              <w:rPr>
                <w:rFonts w:hint="eastAsia" w:cs="宋体" w:asciiTheme="minorEastAsia" w:hAnsiTheme="minorEastAsia"/>
                <w:kern w:val="0"/>
                <w:szCs w:val="21"/>
              </w:rPr>
            </w:pPr>
            <w:r>
              <w:rPr>
                <w:rFonts w:hint="eastAsia" w:asciiTheme="minorEastAsia" w:hAnsiTheme="minorEastAsia"/>
                <w:szCs w:val="21"/>
              </w:rPr>
              <w:t>3 第三方检测机构出具的测试报告原件查验及进场抽样送检</w:t>
            </w:r>
          </w:p>
        </w:tc>
        <w:tc>
          <w:tcPr>
            <w:tcW w:w="3827" w:type="dxa"/>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szCs w:val="21"/>
              </w:rPr>
            </w:pPr>
            <w:r>
              <w:rPr>
                <w:rFonts w:hint="eastAsia" w:asciiTheme="minorEastAsia" w:hAnsiTheme="minorEastAsia"/>
                <w:szCs w:val="21"/>
              </w:rPr>
              <w:t>1 消防风机在额定工况下的压力/流量偏差值不高于±5%，100分；</w:t>
            </w:r>
          </w:p>
          <w:p>
            <w:pPr>
              <w:widowControl/>
              <w:jc w:val="left"/>
              <w:rPr>
                <w:rFonts w:hint="eastAsia" w:asciiTheme="minorEastAsia" w:hAnsiTheme="minorEastAsia"/>
                <w:szCs w:val="21"/>
              </w:rPr>
            </w:pPr>
            <w:r>
              <w:rPr>
                <w:rFonts w:hint="eastAsia" w:asciiTheme="minorEastAsia" w:hAnsiTheme="minorEastAsia"/>
                <w:szCs w:val="21"/>
              </w:rPr>
              <w:t>2 消防风机在额定工况下的压力/流量偏差值高于±5%（或单项），但不高于10%，80分；</w:t>
            </w:r>
          </w:p>
          <w:p>
            <w:pPr>
              <w:widowControl/>
              <w:jc w:val="left"/>
              <w:rPr>
                <w:rFonts w:hint="eastAsia" w:cs="宋体" w:asciiTheme="minorEastAsia" w:hAnsiTheme="minorEastAsia"/>
                <w:kern w:val="0"/>
                <w:szCs w:val="21"/>
              </w:rPr>
            </w:pPr>
            <w:r>
              <w:rPr>
                <w:rFonts w:hint="eastAsia" w:asciiTheme="minorEastAsia" w:hAnsiTheme="minorEastAsia"/>
                <w:szCs w:val="21"/>
              </w:rPr>
              <w:t>3 消防风机在额定工况下的压力/流量偏差值高于±10%（或单项），但不高于15%，60分。</w:t>
            </w:r>
          </w:p>
        </w:tc>
        <w:tc>
          <w:tcPr>
            <w:tcW w:w="709"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heme="minorEastAsia" w:hAnsiTheme="minorEastAsia"/>
                <w:szCs w:val="21"/>
              </w:rPr>
            </w:pPr>
            <w:r>
              <w:rPr>
                <w:rFonts w:hint="eastAsia" w:asciiTheme="minorEastAsia" w:hAnsiTheme="minorEastAsia"/>
                <w:szCs w:val="21"/>
              </w:rPr>
              <w:t>0.4</w:t>
            </w:r>
          </w:p>
        </w:tc>
        <w:tc>
          <w:tcPr>
            <w:tcW w:w="2977" w:type="dxa"/>
            <w:tcBorders>
              <w:top w:val="nil"/>
              <w:left w:val="single" w:color="auto" w:sz="4" w:space="0"/>
              <w:bottom w:val="single" w:color="auto" w:sz="4" w:space="0"/>
              <w:right w:val="single" w:color="auto" w:sz="4" w:space="0"/>
            </w:tcBorders>
            <w:noWrap/>
            <w:vAlign w:val="center"/>
          </w:tcPr>
          <w:p>
            <w:pPr>
              <w:widowControl/>
              <w:jc w:val="left"/>
              <w:rPr>
                <w:rFonts w:hint="eastAsia" w:asciiTheme="minorEastAsia" w:hAnsiTheme="minorEastAsia"/>
                <w:szCs w:val="21"/>
              </w:rPr>
            </w:pPr>
            <w:r>
              <w:rPr>
                <w:rFonts w:hint="eastAsia" w:asciiTheme="minorEastAsia" w:hAnsiTheme="minorEastAsia"/>
                <w:szCs w:val="21"/>
              </w:rPr>
              <w:t>在额定转速下，在工作区域内，通风机的实测压力曲线与说明书中给定的曲线应满足下列规定:</w:t>
            </w:r>
          </w:p>
          <w:p>
            <w:pPr>
              <w:widowControl/>
              <w:jc w:val="left"/>
              <w:rPr>
                <w:rFonts w:hint="eastAsia" w:asciiTheme="minorEastAsia" w:hAnsiTheme="minorEastAsia"/>
                <w:szCs w:val="21"/>
              </w:rPr>
            </w:pPr>
            <w:r>
              <w:rPr>
                <w:rFonts w:hint="eastAsia" w:asciiTheme="minorEastAsia" w:hAnsiTheme="minorEastAsia"/>
                <w:szCs w:val="21"/>
              </w:rPr>
              <w:t>a)轴流式消防排烟通风机在规定的流量下，所对应的压力值偏差为±5%。</w:t>
            </w:r>
          </w:p>
          <w:p>
            <w:pPr>
              <w:widowControl/>
              <w:jc w:val="left"/>
              <w:rPr>
                <w:rFonts w:hint="eastAsia" w:cs="宋体" w:asciiTheme="minorEastAsia" w:hAnsiTheme="minorEastAsia"/>
                <w:kern w:val="0"/>
                <w:szCs w:val="21"/>
              </w:rPr>
            </w:pPr>
            <w:r>
              <w:rPr>
                <w:rFonts w:hint="eastAsia" w:asciiTheme="minorEastAsia" w:hAnsiTheme="minorEastAsia"/>
                <w:szCs w:val="21"/>
              </w:rPr>
              <w:t>b)离心式排烟通风机在规定的流量下，所对应的压力值差为±5%。</w:t>
            </w:r>
          </w:p>
        </w:tc>
      </w:tr>
      <w:tr>
        <w:tblPrEx>
          <w:tblCellMar>
            <w:top w:w="0" w:type="dxa"/>
            <w:left w:w="108" w:type="dxa"/>
            <w:bottom w:w="0" w:type="dxa"/>
            <w:right w:w="108" w:type="dxa"/>
          </w:tblCellMar>
        </w:tblPrEx>
        <w:trPr>
          <w:trHeight w:val="1400" w:hRule="atLeast"/>
        </w:trPr>
        <w:tc>
          <w:tcPr>
            <w:tcW w:w="704" w:type="dxa"/>
            <w:tcBorders>
              <w:top w:val="nil"/>
              <w:left w:val="single" w:color="auto" w:sz="4" w:space="0"/>
              <w:bottom w:val="single" w:color="auto" w:sz="4" w:space="0"/>
              <w:right w:val="single" w:color="auto" w:sz="4" w:space="0"/>
            </w:tcBorders>
            <w:noWrap/>
            <w:vAlign w:val="center"/>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3</w:t>
            </w:r>
          </w:p>
        </w:tc>
        <w:tc>
          <w:tcPr>
            <w:tcW w:w="1896" w:type="dxa"/>
            <w:tcBorders>
              <w:top w:val="nil"/>
              <w:left w:val="single" w:color="auto" w:sz="4" w:space="0"/>
              <w:bottom w:val="single" w:color="auto" w:sz="4" w:space="0"/>
              <w:right w:val="single" w:color="auto" w:sz="4" w:space="0"/>
            </w:tcBorders>
            <w:vAlign w:val="center"/>
          </w:tcPr>
          <w:p>
            <w:pPr>
              <w:widowControl/>
              <w:jc w:val="center"/>
              <w:rPr>
                <w:rFonts w:hint="eastAsia" w:cs="宋体" w:asciiTheme="minorEastAsia" w:hAnsiTheme="minorEastAsia"/>
                <w:kern w:val="0"/>
                <w:szCs w:val="21"/>
              </w:rPr>
            </w:pPr>
            <w:r>
              <w:rPr>
                <w:rFonts w:hint="eastAsia" w:asciiTheme="minorEastAsia" w:hAnsiTheme="minorEastAsia"/>
                <w:szCs w:val="21"/>
              </w:rPr>
              <w:t>防排烟风机的装配质量</w:t>
            </w:r>
          </w:p>
        </w:tc>
        <w:tc>
          <w:tcPr>
            <w:tcW w:w="3774" w:type="dxa"/>
            <w:tcBorders>
              <w:top w:val="nil"/>
              <w:left w:val="single" w:color="auto" w:sz="4" w:space="0"/>
              <w:bottom w:val="single" w:color="auto" w:sz="4" w:space="0"/>
              <w:right w:val="single" w:color="auto" w:sz="4" w:space="0"/>
            </w:tcBorders>
            <w:vAlign w:val="center"/>
          </w:tcPr>
          <w:p>
            <w:pPr>
              <w:widowControl/>
              <w:jc w:val="center"/>
              <w:rPr>
                <w:rFonts w:hint="eastAsia" w:cs="宋体" w:asciiTheme="minorEastAsia" w:hAnsiTheme="minorEastAsia"/>
                <w:kern w:val="0"/>
                <w:szCs w:val="21"/>
              </w:rPr>
            </w:pPr>
            <w:r>
              <w:rPr>
                <w:rFonts w:hint="eastAsia" w:asciiTheme="minorEastAsia" w:hAnsiTheme="minorEastAsia"/>
                <w:szCs w:val="21"/>
              </w:rPr>
              <w:t>需满足《消防排烟风机技术要求》中对轴流式或离心式排烟风机装配要求</w:t>
            </w:r>
          </w:p>
        </w:tc>
        <w:tc>
          <w:tcPr>
            <w:tcW w:w="3827" w:type="dxa"/>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szCs w:val="21"/>
              </w:rPr>
            </w:pPr>
            <w:r>
              <w:rPr>
                <w:rFonts w:hint="eastAsia" w:asciiTheme="minorEastAsia" w:hAnsiTheme="minorEastAsia"/>
                <w:szCs w:val="21"/>
              </w:rPr>
              <w:t>1 设计径向单侧间隙值满足条文要求，实际间隙值偏差不超过设计值的±5%，100分。</w:t>
            </w:r>
          </w:p>
          <w:p>
            <w:pPr>
              <w:widowControl/>
              <w:jc w:val="left"/>
              <w:rPr>
                <w:rFonts w:hint="eastAsia" w:asciiTheme="minorEastAsia" w:hAnsiTheme="minorEastAsia"/>
                <w:szCs w:val="21"/>
              </w:rPr>
            </w:pPr>
            <w:r>
              <w:rPr>
                <w:rFonts w:hint="eastAsia" w:asciiTheme="minorEastAsia" w:hAnsiTheme="minorEastAsia"/>
                <w:szCs w:val="21"/>
              </w:rPr>
              <w:t>2 设计径向单侧间隙值满足条文要求，实际间隙值偏差高于±5%，但不高于10%，80分。</w:t>
            </w:r>
          </w:p>
          <w:p>
            <w:pPr>
              <w:widowControl/>
              <w:jc w:val="left"/>
              <w:rPr>
                <w:rFonts w:hint="eastAsia" w:cs="宋体" w:asciiTheme="minorEastAsia" w:hAnsiTheme="minorEastAsia"/>
                <w:kern w:val="0"/>
                <w:szCs w:val="21"/>
              </w:rPr>
            </w:pPr>
            <w:r>
              <w:rPr>
                <w:rFonts w:hint="eastAsia" w:asciiTheme="minorEastAsia" w:hAnsiTheme="minorEastAsia"/>
                <w:szCs w:val="21"/>
              </w:rPr>
              <w:t>3 设计径向单侧间隙值满足条文要求，实际间隙值偏差高于±10%，但不高于15%，60分。</w:t>
            </w:r>
          </w:p>
        </w:tc>
        <w:tc>
          <w:tcPr>
            <w:tcW w:w="709"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heme="minorEastAsia" w:hAnsiTheme="minorEastAsia"/>
                <w:szCs w:val="21"/>
              </w:rPr>
            </w:pPr>
            <w:r>
              <w:rPr>
                <w:rFonts w:hint="eastAsia" w:asciiTheme="minorEastAsia" w:hAnsiTheme="minorEastAsia"/>
                <w:szCs w:val="21"/>
              </w:rPr>
              <w:t>0.2</w:t>
            </w:r>
          </w:p>
        </w:tc>
        <w:tc>
          <w:tcPr>
            <w:tcW w:w="2977" w:type="dxa"/>
            <w:tcBorders>
              <w:top w:val="nil"/>
              <w:left w:val="single" w:color="auto" w:sz="4" w:space="0"/>
              <w:bottom w:val="single" w:color="auto" w:sz="4" w:space="0"/>
              <w:right w:val="single" w:color="auto" w:sz="4" w:space="0"/>
            </w:tcBorders>
            <w:noWrap/>
            <w:vAlign w:val="center"/>
          </w:tcPr>
          <w:p>
            <w:pPr>
              <w:widowControl/>
              <w:jc w:val="left"/>
              <w:rPr>
                <w:rFonts w:hint="eastAsia" w:asciiTheme="minorEastAsia" w:hAnsiTheme="minorEastAsia"/>
                <w:szCs w:val="21"/>
              </w:rPr>
            </w:pPr>
            <w:r>
              <w:rPr>
                <w:rFonts w:hint="eastAsia" w:asciiTheme="minorEastAsia" w:hAnsiTheme="minorEastAsia"/>
                <w:szCs w:val="21"/>
              </w:rPr>
              <w:t>1.轴流式消防排烟通风机壳与叶轮的径向间隙值应均匀，径向单侧间隙值:</w:t>
            </w:r>
          </w:p>
          <w:p>
            <w:pPr>
              <w:widowControl/>
              <w:jc w:val="left"/>
              <w:rPr>
                <w:rFonts w:hint="eastAsia" w:asciiTheme="minorEastAsia" w:hAnsiTheme="minorEastAsia"/>
                <w:szCs w:val="21"/>
              </w:rPr>
            </w:pPr>
            <w:r>
              <w:rPr>
                <w:rFonts w:hint="eastAsia" w:asciiTheme="minorEastAsia" w:hAnsiTheme="minorEastAsia"/>
                <w:szCs w:val="21"/>
              </w:rPr>
              <w:t>当机号≤No.10 时，间隙值≥3.5mm；</w:t>
            </w:r>
          </w:p>
          <w:p>
            <w:pPr>
              <w:widowControl/>
              <w:jc w:val="left"/>
              <w:rPr>
                <w:rFonts w:hint="eastAsia" w:asciiTheme="minorEastAsia" w:hAnsiTheme="minorEastAsia"/>
                <w:szCs w:val="21"/>
              </w:rPr>
            </w:pPr>
            <w:r>
              <w:rPr>
                <w:rFonts w:hint="eastAsia" w:asciiTheme="minorEastAsia" w:hAnsiTheme="minorEastAsia"/>
                <w:szCs w:val="21"/>
              </w:rPr>
              <w:t>机号＞No.10 时，间隙值≥4.5mm。</w:t>
            </w:r>
          </w:p>
          <w:p>
            <w:pPr>
              <w:widowControl/>
              <w:jc w:val="left"/>
              <w:rPr>
                <w:rFonts w:hint="eastAsia" w:cs="宋体" w:asciiTheme="minorEastAsia" w:hAnsiTheme="minorEastAsia"/>
                <w:kern w:val="0"/>
                <w:szCs w:val="21"/>
              </w:rPr>
            </w:pPr>
            <w:r>
              <w:rPr>
                <w:rFonts w:hint="eastAsia" w:asciiTheme="minorEastAsia" w:hAnsiTheme="minorEastAsia"/>
                <w:szCs w:val="21"/>
              </w:rPr>
              <w:t>2.离心式消防排烟通风机进风口与叶轮轮盖进口的径向单侧间隙应均匀，径向单侧间隙值应在叶轮直径的0.15%～0.4%范围内。</w:t>
            </w:r>
          </w:p>
        </w:tc>
      </w:tr>
    </w:tbl>
    <w:p>
      <w:pPr>
        <w:rPr>
          <w:rFonts w:eastAsia="宋体" w:cs="Times New Roman"/>
          <w:b/>
          <w:bCs/>
          <w:szCs w:val="28"/>
        </w:rPr>
      </w:pPr>
    </w:p>
    <w:p>
      <w:pPr>
        <w:widowControl/>
        <w:jc w:val="left"/>
        <w:rPr>
          <w:rFonts w:eastAsia="宋体" w:cs="Times New Roman"/>
          <w:b/>
          <w:bCs/>
          <w:szCs w:val="28"/>
        </w:rPr>
      </w:pPr>
      <w:r>
        <w:rPr>
          <w:rFonts w:eastAsia="宋体" w:cs="Times New Roman"/>
          <w:b/>
          <w:bCs/>
          <w:szCs w:val="28"/>
        </w:rPr>
        <w:br w:type="page"/>
      </w:r>
    </w:p>
    <w:p>
      <w:pPr>
        <w:widowControl/>
        <w:jc w:val="center"/>
        <w:rPr>
          <w:rFonts w:eastAsia="宋体" w:cs="Times New Roman"/>
          <w:b/>
          <w:bCs/>
          <w:szCs w:val="28"/>
        </w:rPr>
      </w:pPr>
      <w:r>
        <w:rPr>
          <w:rFonts w:hint="eastAsia" w:ascii="宋体" w:hAnsi="宋体" w:eastAsia="宋体" w:cs="Times New Roman"/>
          <w:b/>
          <w:bCs/>
          <w:szCs w:val="21"/>
        </w:rPr>
        <w:t>表</w:t>
      </w:r>
      <w:r>
        <w:rPr>
          <w:rFonts w:ascii="宋体" w:hAnsi="宋体" w:eastAsia="宋体" w:cs="Times New Roman"/>
          <w:b/>
          <w:bCs/>
          <w:szCs w:val="21"/>
        </w:rPr>
        <w:t>4.2.</w:t>
      </w:r>
      <w:r>
        <w:rPr>
          <w:rFonts w:hint="eastAsia" w:ascii="宋体" w:hAnsi="宋体" w:eastAsia="宋体" w:cs="Times New Roman"/>
          <w:b/>
          <w:bCs/>
          <w:szCs w:val="21"/>
        </w:rPr>
        <w:t>4</w:t>
      </w:r>
      <w:r>
        <w:rPr>
          <w:rFonts w:ascii="宋体" w:hAnsi="宋体" w:eastAsia="宋体" w:cs="Times New Roman"/>
          <w:b/>
          <w:bCs/>
          <w:szCs w:val="21"/>
        </w:rPr>
        <w:t>-</w:t>
      </w:r>
      <w:r>
        <w:rPr>
          <w:rFonts w:hint="eastAsia" w:ascii="宋体" w:hAnsi="宋体" w:eastAsia="宋体" w:cs="Times New Roman"/>
          <w:b/>
          <w:bCs/>
          <w:szCs w:val="21"/>
        </w:rPr>
        <w:t>3排烟风机优选项评定表</w:t>
      </w:r>
    </w:p>
    <w:tbl>
      <w:tblPr>
        <w:tblStyle w:val="17"/>
        <w:tblW w:w="14029" w:type="dxa"/>
        <w:jc w:val="center"/>
        <w:tblLayout w:type="autofit"/>
        <w:tblCellMar>
          <w:top w:w="0" w:type="dxa"/>
          <w:left w:w="108" w:type="dxa"/>
          <w:bottom w:w="0" w:type="dxa"/>
          <w:right w:w="108" w:type="dxa"/>
        </w:tblCellMar>
      </w:tblPr>
      <w:tblGrid>
        <w:gridCol w:w="704"/>
        <w:gridCol w:w="1896"/>
        <w:gridCol w:w="3774"/>
        <w:gridCol w:w="4394"/>
        <w:gridCol w:w="709"/>
        <w:gridCol w:w="2552"/>
      </w:tblGrid>
      <w:tr>
        <w:tblPrEx>
          <w:tblCellMar>
            <w:top w:w="0" w:type="dxa"/>
            <w:left w:w="108" w:type="dxa"/>
            <w:bottom w:w="0" w:type="dxa"/>
            <w:right w:w="108" w:type="dxa"/>
          </w:tblCellMar>
        </w:tblPrEx>
        <w:trPr>
          <w:trHeight w:val="280" w:hRule="atLeast"/>
          <w:tblHeader/>
          <w:jc w:val="center"/>
        </w:trPr>
        <w:tc>
          <w:tcPr>
            <w:tcW w:w="704"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b/>
                <w:bCs/>
                <w:kern w:val="0"/>
                <w:szCs w:val="21"/>
              </w:rPr>
            </w:pPr>
            <w:r>
              <w:rPr>
                <w:rFonts w:hint="eastAsia" w:ascii="宋体" w:hAnsi="宋体" w:eastAsia="宋体" w:cs="宋体"/>
                <w:b/>
                <w:bCs/>
                <w:kern w:val="0"/>
                <w:szCs w:val="21"/>
              </w:rPr>
              <w:t>序号</w:t>
            </w:r>
          </w:p>
        </w:tc>
        <w:tc>
          <w:tcPr>
            <w:tcW w:w="1896"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eastAsia="宋体" w:cs="宋体"/>
                <w:b/>
                <w:bCs/>
                <w:kern w:val="0"/>
                <w:szCs w:val="21"/>
              </w:rPr>
            </w:pPr>
            <w:r>
              <w:rPr>
                <w:rFonts w:hint="eastAsia" w:ascii="宋体" w:hAnsi="宋体" w:eastAsia="宋体" w:cs="宋体"/>
                <w:b/>
                <w:bCs/>
                <w:kern w:val="0"/>
                <w:szCs w:val="21"/>
              </w:rPr>
              <w:t>评定特性指标</w:t>
            </w:r>
          </w:p>
        </w:tc>
        <w:tc>
          <w:tcPr>
            <w:tcW w:w="3774"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宋体"/>
                <w:b/>
                <w:bCs/>
                <w:kern w:val="0"/>
                <w:szCs w:val="21"/>
              </w:rPr>
            </w:pPr>
            <w:r>
              <w:rPr>
                <w:rFonts w:hint="eastAsia" w:ascii="宋体" w:hAnsi="宋体" w:eastAsia="宋体" w:cs="宋体"/>
                <w:b/>
                <w:bCs/>
                <w:kern w:val="0"/>
                <w:szCs w:val="21"/>
              </w:rPr>
              <w:t>优选项</w:t>
            </w:r>
          </w:p>
        </w:tc>
        <w:tc>
          <w:tcPr>
            <w:tcW w:w="4394"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eastAsia="宋体" w:cs="宋体"/>
                <w:b/>
                <w:bCs/>
                <w:kern w:val="0"/>
                <w:szCs w:val="21"/>
              </w:rPr>
            </w:pPr>
            <w:r>
              <w:rPr>
                <w:rFonts w:hint="eastAsia" w:ascii="宋体" w:hAnsi="宋体" w:eastAsia="宋体" w:cs="宋体"/>
                <w:b/>
                <w:bCs/>
                <w:kern w:val="0"/>
                <w:szCs w:val="21"/>
              </w:rPr>
              <w:t>评定方法</w:t>
            </w:r>
          </w:p>
        </w:tc>
        <w:tc>
          <w:tcPr>
            <w:tcW w:w="709"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宋体"/>
                <w:b/>
                <w:bCs/>
                <w:kern w:val="0"/>
                <w:szCs w:val="21"/>
              </w:rPr>
            </w:pPr>
            <w:r>
              <w:rPr>
                <w:rFonts w:hint="eastAsia" w:ascii="宋体" w:hAnsi="宋体" w:eastAsia="宋体" w:cs="宋体"/>
                <w:b/>
                <w:bCs/>
                <w:kern w:val="0"/>
                <w:szCs w:val="21"/>
              </w:rPr>
              <w:t>权重因子</w:t>
            </w:r>
          </w:p>
        </w:tc>
        <w:tc>
          <w:tcPr>
            <w:tcW w:w="2552"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b/>
                <w:bCs/>
                <w:kern w:val="0"/>
                <w:szCs w:val="21"/>
              </w:rPr>
            </w:pPr>
            <w:r>
              <w:rPr>
                <w:rFonts w:hint="eastAsia" w:ascii="宋体" w:hAnsi="宋体" w:eastAsia="宋体" w:cs="宋体"/>
                <w:b/>
                <w:bCs/>
                <w:kern w:val="0"/>
                <w:szCs w:val="21"/>
              </w:rPr>
              <w:t>说明</w:t>
            </w:r>
          </w:p>
        </w:tc>
      </w:tr>
      <w:tr>
        <w:tblPrEx>
          <w:tblCellMar>
            <w:top w:w="0" w:type="dxa"/>
            <w:left w:w="108" w:type="dxa"/>
            <w:bottom w:w="0" w:type="dxa"/>
            <w:right w:w="108" w:type="dxa"/>
          </w:tblCellMar>
        </w:tblPrEx>
        <w:trPr>
          <w:trHeight w:val="890" w:hRule="atLeast"/>
          <w:jc w:val="center"/>
        </w:trPr>
        <w:tc>
          <w:tcPr>
            <w:tcW w:w="704" w:type="dxa"/>
            <w:tcBorders>
              <w:top w:val="nil"/>
              <w:left w:val="single" w:color="auto" w:sz="4" w:space="0"/>
              <w:bottom w:val="single" w:color="auto" w:sz="4" w:space="0"/>
              <w:right w:val="single" w:color="auto" w:sz="4" w:space="0"/>
            </w:tcBorders>
            <w:noWrap/>
            <w:vAlign w:val="center"/>
          </w:tcPr>
          <w:p>
            <w:pPr>
              <w:widowControl/>
              <w:rPr>
                <w:rFonts w:hint="eastAsia" w:cs="宋体" w:asciiTheme="minorEastAsia" w:hAnsiTheme="minorEastAsia"/>
                <w:kern w:val="0"/>
                <w:szCs w:val="21"/>
              </w:rPr>
            </w:pPr>
            <w:r>
              <w:rPr>
                <w:rFonts w:hint="eastAsia" w:cs="宋体" w:asciiTheme="minorEastAsia" w:hAnsiTheme="minorEastAsia"/>
                <w:kern w:val="0"/>
                <w:szCs w:val="21"/>
              </w:rPr>
              <w:t>　1</w:t>
            </w:r>
          </w:p>
        </w:tc>
        <w:tc>
          <w:tcPr>
            <w:tcW w:w="1896" w:type="dxa"/>
            <w:tcBorders>
              <w:top w:val="nil"/>
              <w:left w:val="nil"/>
              <w:bottom w:val="single" w:color="auto" w:sz="4" w:space="0"/>
              <w:right w:val="single" w:color="auto" w:sz="4" w:space="0"/>
            </w:tcBorders>
            <w:vAlign w:val="center"/>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消防风机的</w:t>
            </w:r>
          </w:p>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重要部件配置</w:t>
            </w:r>
          </w:p>
        </w:tc>
        <w:tc>
          <w:tcPr>
            <w:tcW w:w="3774"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Theme="minorEastAsia" w:hAnsiTheme="minorEastAsia"/>
                <w:szCs w:val="21"/>
              </w:rPr>
            </w:pPr>
            <w:r>
              <w:rPr>
                <w:rFonts w:hint="eastAsia" w:asciiTheme="minorEastAsia" w:hAnsiTheme="minorEastAsia"/>
                <w:szCs w:val="21"/>
              </w:rPr>
              <w:t>1 电机使用高效节能技术，提高风机运行的稳定性和可靠性。</w:t>
            </w:r>
          </w:p>
          <w:p>
            <w:pPr>
              <w:widowControl/>
              <w:jc w:val="left"/>
              <w:rPr>
                <w:rFonts w:hint="eastAsia" w:asciiTheme="minorEastAsia" w:hAnsiTheme="minorEastAsia"/>
                <w:szCs w:val="21"/>
              </w:rPr>
            </w:pPr>
            <w:r>
              <w:rPr>
                <w:rFonts w:hint="eastAsia" w:asciiTheme="minorEastAsia" w:hAnsiTheme="minorEastAsia"/>
                <w:szCs w:val="21"/>
              </w:rPr>
              <w:t>2 轴承配备完善的润滑系统，具有良好的散热措施，轴承精度等级高。</w:t>
            </w:r>
          </w:p>
          <w:p>
            <w:pPr>
              <w:widowControl/>
              <w:jc w:val="left"/>
              <w:rPr>
                <w:rFonts w:hint="eastAsia" w:cs="宋体" w:asciiTheme="minorEastAsia" w:hAnsiTheme="minorEastAsia"/>
                <w:kern w:val="0"/>
                <w:szCs w:val="21"/>
              </w:rPr>
            </w:pPr>
            <w:r>
              <w:rPr>
                <w:rFonts w:hint="eastAsia" w:asciiTheme="minorEastAsia" w:hAnsiTheme="minorEastAsia"/>
                <w:szCs w:val="21"/>
              </w:rPr>
              <w:t>3 叶轮材料具有良好的耐高温性能和耐腐蚀性，制造工艺水平高。</w:t>
            </w:r>
          </w:p>
        </w:tc>
        <w:tc>
          <w:tcPr>
            <w:tcW w:w="4394"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Theme="minorEastAsia" w:hAnsiTheme="minorEastAsia"/>
                <w:szCs w:val="21"/>
              </w:rPr>
            </w:pPr>
            <w:r>
              <w:rPr>
                <w:rFonts w:hint="eastAsia" w:asciiTheme="minorEastAsia" w:hAnsiTheme="minorEastAsia"/>
                <w:szCs w:val="21"/>
              </w:rPr>
              <w:t>1 电机效率达到国家一级能效标准（如IE4及以上），负载效率变化在±3%以内，加2分。</w:t>
            </w:r>
          </w:p>
          <w:p>
            <w:pPr>
              <w:widowControl/>
              <w:jc w:val="left"/>
              <w:rPr>
                <w:rFonts w:hint="eastAsia" w:asciiTheme="minorEastAsia" w:hAnsiTheme="minorEastAsia"/>
                <w:szCs w:val="21"/>
              </w:rPr>
            </w:pPr>
            <w:r>
              <w:rPr>
                <w:rFonts w:hint="eastAsia" w:asciiTheme="minorEastAsia" w:hAnsiTheme="minorEastAsia"/>
                <w:szCs w:val="21"/>
              </w:rPr>
              <w:t>2 电机的转速稳定性高，在额定负载下转速波动小于±1%，并且能在一定范围内（如±10%额定转速）实现平滑调速，加2分。</w:t>
            </w:r>
          </w:p>
          <w:p>
            <w:pPr>
              <w:widowControl/>
              <w:jc w:val="left"/>
              <w:rPr>
                <w:rFonts w:hint="eastAsia" w:asciiTheme="minorEastAsia" w:hAnsiTheme="minorEastAsia"/>
                <w:szCs w:val="21"/>
              </w:rPr>
            </w:pPr>
            <w:r>
              <w:rPr>
                <w:rFonts w:hint="eastAsia" w:asciiTheme="minorEastAsia" w:hAnsiTheme="minorEastAsia"/>
                <w:szCs w:val="21"/>
              </w:rPr>
              <w:t>3 轴承采用自动注油装置，并采用高性能的润滑脂或润滑油，润滑间隔时间长大于1000小时，加2分。</w:t>
            </w:r>
          </w:p>
          <w:p>
            <w:pPr>
              <w:widowControl/>
              <w:jc w:val="left"/>
              <w:rPr>
                <w:rFonts w:hint="eastAsia" w:asciiTheme="minorEastAsia" w:hAnsiTheme="minorEastAsia"/>
                <w:szCs w:val="21"/>
              </w:rPr>
            </w:pPr>
            <w:r>
              <w:rPr>
                <w:rFonts w:hint="eastAsia" w:asciiTheme="minorEastAsia" w:hAnsiTheme="minorEastAsia"/>
                <w:szCs w:val="21"/>
              </w:rPr>
              <w:t>4 材料能在1000℃以上的高温环境下保持良好性能，如采用陶瓷基复合材料等特殊材料，加2分。</w:t>
            </w:r>
          </w:p>
          <w:p>
            <w:pPr>
              <w:widowControl/>
              <w:jc w:val="left"/>
              <w:rPr>
                <w:rFonts w:hint="eastAsia" w:cs="宋体" w:asciiTheme="minorEastAsia" w:hAnsiTheme="minorEastAsia"/>
                <w:kern w:val="0"/>
                <w:szCs w:val="21"/>
              </w:rPr>
            </w:pPr>
            <w:r>
              <w:rPr>
                <w:rFonts w:hint="eastAsia" w:asciiTheme="minorEastAsia" w:hAnsiTheme="minorEastAsia"/>
                <w:szCs w:val="21"/>
              </w:rPr>
              <w:t>5 在恶劣化学环境（如含有酸碱气体的环境）下，经过长时间测试（如1000小时以上）无明显腐蚀，加2分。</w:t>
            </w:r>
          </w:p>
        </w:tc>
        <w:tc>
          <w:tcPr>
            <w:tcW w:w="709" w:type="dxa"/>
            <w:tcBorders>
              <w:top w:val="single" w:color="auto" w:sz="4" w:space="0"/>
              <w:left w:val="nil"/>
              <w:bottom w:val="single" w:color="auto" w:sz="4" w:space="0"/>
              <w:right w:val="single" w:color="auto" w:sz="4" w:space="0"/>
            </w:tcBorders>
            <w:vAlign w:val="center"/>
          </w:tcPr>
          <w:p>
            <w:pPr>
              <w:widowControl/>
              <w:jc w:val="center"/>
              <w:rPr>
                <w:rFonts w:hint="eastAsia" w:asciiTheme="minorEastAsia" w:hAnsiTheme="minorEastAsia"/>
                <w:szCs w:val="21"/>
              </w:rPr>
            </w:pPr>
            <w:r>
              <w:rPr>
                <w:rFonts w:hint="eastAsia" w:cs="宋体" w:asciiTheme="minorEastAsia" w:hAnsiTheme="minorEastAsia"/>
                <w:kern w:val="0"/>
                <w:szCs w:val="21"/>
              </w:rPr>
              <w:t>1.0</w:t>
            </w:r>
          </w:p>
        </w:tc>
        <w:tc>
          <w:tcPr>
            <w:tcW w:w="2552"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hint="eastAsia" w:cs="宋体" w:asciiTheme="minorEastAsia" w:hAnsiTheme="minorEastAsia"/>
                <w:kern w:val="0"/>
                <w:szCs w:val="21"/>
              </w:rPr>
            </w:pPr>
            <w:r>
              <w:rPr>
                <w:rFonts w:hint="eastAsia" w:asciiTheme="minorEastAsia" w:hAnsiTheme="minorEastAsia"/>
                <w:szCs w:val="21"/>
              </w:rPr>
              <w:t>该项评定如有一项满足则给予对应加分，但最多不超过6分</w:t>
            </w:r>
          </w:p>
        </w:tc>
      </w:tr>
      <w:tr>
        <w:tblPrEx>
          <w:tblCellMar>
            <w:top w:w="0" w:type="dxa"/>
            <w:left w:w="108" w:type="dxa"/>
            <w:bottom w:w="0" w:type="dxa"/>
            <w:right w:w="108" w:type="dxa"/>
          </w:tblCellMar>
        </w:tblPrEx>
        <w:trPr>
          <w:trHeight w:val="1180" w:hRule="atLeast"/>
          <w:jc w:val="center"/>
        </w:trPr>
        <w:tc>
          <w:tcPr>
            <w:tcW w:w="704" w:type="dxa"/>
            <w:tcBorders>
              <w:top w:val="single" w:color="auto" w:sz="4" w:space="0"/>
              <w:left w:val="single" w:color="auto" w:sz="4" w:space="0"/>
              <w:bottom w:val="single" w:color="auto" w:sz="4" w:space="0"/>
              <w:right w:val="single" w:color="auto" w:sz="4" w:space="0"/>
            </w:tcBorders>
            <w:noWrap/>
            <w:vAlign w:val="center"/>
          </w:tcPr>
          <w:p>
            <w:pPr>
              <w:widowControl/>
              <w:rPr>
                <w:rFonts w:hint="eastAsia" w:cs="宋体" w:asciiTheme="minorEastAsia" w:hAnsiTheme="minorEastAsia"/>
                <w:kern w:val="0"/>
                <w:szCs w:val="21"/>
              </w:rPr>
            </w:pPr>
            <w:r>
              <w:rPr>
                <w:rFonts w:hint="eastAsia" w:cs="宋体" w:asciiTheme="minorEastAsia" w:hAnsiTheme="minorEastAsia"/>
                <w:kern w:val="0"/>
                <w:szCs w:val="21"/>
              </w:rPr>
              <w:t>　2</w:t>
            </w:r>
          </w:p>
        </w:tc>
        <w:tc>
          <w:tcPr>
            <w:tcW w:w="1896"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防腐蚀性能</w:t>
            </w:r>
          </w:p>
        </w:tc>
        <w:tc>
          <w:tcPr>
            <w:tcW w:w="3774"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hint="eastAsia" w:cs="宋体" w:asciiTheme="minorEastAsia" w:hAnsiTheme="minorEastAsia"/>
                <w:kern w:val="0"/>
                <w:szCs w:val="21"/>
              </w:rPr>
            </w:pPr>
            <w:r>
              <w:rPr>
                <w:rFonts w:hint="eastAsia" w:asciiTheme="minorEastAsia" w:hAnsiTheme="minorEastAsia"/>
                <w:szCs w:val="21"/>
              </w:rPr>
              <w:t>风机的外表面与风机叶片应进行防腐处理，具有良好的耐腐蚀性与装饰性。</w:t>
            </w:r>
          </w:p>
        </w:tc>
        <w:tc>
          <w:tcPr>
            <w:tcW w:w="4394"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Theme="minorEastAsia" w:hAnsiTheme="minorEastAsia"/>
                <w:szCs w:val="21"/>
              </w:rPr>
            </w:pPr>
            <w:r>
              <w:rPr>
                <w:rFonts w:hint="eastAsia" w:asciiTheme="minorEastAsia" w:hAnsiTheme="minorEastAsia"/>
                <w:szCs w:val="21"/>
              </w:rPr>
              <w:t>1 风机外表面采用先进的表面处理工艺，如静电喷涂、热浸镀锌等，涂层的使用寿命可达10年以上，加3分。</w:t>
            </w:r>
          </w:p>
          <w:p>
            <w:pPr>
              <w:widowControl/>
              <w:jc w:val="left"/>
              <w:rPr>
                <w:rFonts w:hint="eastAsia" w:cs="宋体" w:asciiTheme="minorEastAsia" w:hAnsiTheme="minorEastAsia"/>
                <w:kern w:val="0"/>
                <w:szCs w:val="21"/>
              </w:rPr>
            </w:pPr>
            <w:r>
              <w:rPr>
                <w:rFonts w:hint="eastAsia" w:asciiTheme="minorEastAsia" w:hAnsiTheme="minorEastAsia"/>
                <w:szCs w:val="21"/>
              </w:rPr>
              <w:t>2 风机外表面采用普通的表面处理工艺，如手工喷漆、冷镀锌等，涂层的使用寿命在5年-10年之间，加2分。</w:t>
            </w:r>
          </w:p>
        </w:tc>
        <w:tc>
          <w:tcPr>
            <w:tcW w:w="709"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1.0</w:t>
            </w:r>
          </w:p>
        </w:tc>
        <w:tc>
          <w:tcPr>
            <w:tcW w:w="2552"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hint="eastAsia" w:cs="宋体" w:asciiTheme="minorEastAsia" w:hAnsiTheme="minorEastAsia"/>
                <w:kern w:val="0"/>
                <w:szCs w:val="21"/>
              </w:rPr>
            </w:pPr>
          </w:p>
        </w:tc>
      </w:tr>
      <w:tr>
        <w:tblPrEx>
          <w:tblCellMar>
            <w:top w:w="0" w:type="dxa"/>
            <w:left w:w="108" w:type="dxa"/>
            <w:bottom w:w="0" w:type="dxa"/>
            <w:right w:w="108" w:type="dxa"/>
          </w:tblCellMar>
        </w:tblPrEx>
        <w:trPr>
          <w:trHeight w:val="1180" w:hRule="atLeast"/>
          <w:jc w:val="center"/>
        </w:trPr>
        <w:tc>
          <w:tcPr>
            <w:tcW w:w="704"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cs="宋体" w:asciiTheme="minorEastAsia" w:hAnsiTheme="minorEastAsia"/>
                <w:kern w:val="0"/>
                <w:szCs w:val="21"/>
              </w:rPr>
            </w:pPr>
            <w:bookmarkStart w:id="59" w:name="_Hlk203581193"/>
            <w:r>
              <w:rPr>
                <w:rFonts w:hint="eastAsia" w:cs="宋体" w:asciiTheme="minorEastAsia" w:hAnsiTheme="minorEastAsia"/>
                <w:kern w:val="0"/>
                <w:szCs w:val="21"/>
              </w:rPr>
              <w:t>3</w:t>
            </w:r>
          </w:p>
        </w:tc>
        <w:tc>
          <w:tcPr>
            <w:tcW w:w="1896"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消防风机质量认证</w:t>
            </w:r>
          </w:p>
        </w:tc>
        <w:tc>
          <w:tcPr>
            <w:tcW w:w="3774"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Theme="minorEastAsia" w:hAnsiTheme="minorEastAsia"/>
                <w:szCs w:val="21"/>
              </w:rPr>
            </w:pPr>
            <w:r>
              <w:rPr>
                <w:rFonts w:hint="eastAsia" w:cs="宋体" w:asciiTheme="minorEastAsia" w:hAnsiTheme="minorEastAsia"/>
                <w:kern w:val="0"/>
                <w:szCs w:val="21"/>
              </w:rPr>
              <w:t>消防风机是否有第三方独立机构的权威认证</w:t>
            </w:r>
          </w:p>
        </w:tc>
        <w:tc>
          <w:tcPr>
            <w:tcW w:w="4394" w:type="dxa"/>
            <w:tcBorders>
              <w:top w:val="single" w:color="auto" w:sz="4" w:space="0"/>
              <w:left w:val="single" w:color="auto" w:sz="4" w:space="0"/>
              <w:bottom w:val="single" w:color="auto" w:sz="4" w:space="0"/>
              <w:right w:val="single" w:color="auto" w:sz="4" w:space="0"/>
            </w:tcBorders>
            <w:vAlign w:val="center"/>
          </w:tcPr>
          <w:p>
            <w:pPr>
              <w:pStyle w:val="23"/>
              <w:widowControl/>
              <w:numPr>
                <w:ilvl w:val="0"/>
                <w:numId w:val="4"/>
              </w:numPr>
              <w:ind w:firstLineChars="0"/>
              <w:contextualSpacing/>
              <w:jc w:val="left"/>
              <w:rPr>
                <w:rFonts w:hint="eastAsia" w:asciiTheme="minorEastAsia" w:hAnsiTheme="minorEastAsia"/>
                <w:szCs w:val="21"/>
              </w:rPr>
            </w:pPr>
            <w:r>
              <w:rPr>
                <w:rFonts w:hint="eastAsia" w:asciiTheme="minorEastAsia" w:hAnsiTheme="minorEastAsia"/>
                <w:szCs w:val="21"/>
              </w:rPr>
              <w:t>有获得AMCA、CE或者CNAS认证的，加1.0分；</w:t>
            </w:r>
          </w:p>
          <w:p>
            <w:pPr>
              <w:pStyle w:val="23"/>
              <w:widowControl/>
              <w:numPr>
                <w:ilvl w:val="0"/>
                <w:numId w:val="4"/>
              </w:numPr>
              <w:ind w:firstLineChars="0"/>
              <w:contextualSpacing/>
              <w:jc w:val="left"/>
              <w:rPr>
                <w:rFonts w:hint="eastAsia" w:asciiTheme="minorEastAsia" w:hAnsiTheme="minorEastAsia"/>
                <w:szCs w:val="21"/>
              </w:rPr>
            </w:pPr>
            <w:r>
              <w:rPr>
                <w:rFonts w:hint="eastAsia" w:asciiTheme="minorEastAsia" w:hAnsiTheme="minorEastAsia"/>
                <w:szCs w:val="21"/>
              </w:rPr>
              <w:t>同时拥有AMCA、CE与CNAS认证的，加3.0分；</w:t>
            </w:r>
          </w:p>
        </w:tc>
        <w:tc>
          <w:tcPr>
            <w:tcW w:w="709"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1.0</w:t>
            </w:r>
          </w:p>
        </w:tc>
        <w:tc>
          <w:tcPr>
            <w:tcW w:w="2552"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cs="宋体" w:asciiTheme="minorEastAsia" w:hAnsiTheme="minorEastAsia"/>
                <w:kern w:val="0"/>
                <w:szCs w:val="21"/>
              </w:rPr>
            </w:pPr>
          </w:p>
        </w:tc>
      </w:tr>
      <w:bookmarkEnd w:id="59"/>
    </w:tbl>
    <w:p/>
    <w:p>
      <w:pPr>
        <w:rPr>
          <w:rFonts w:hint="eastAsia" w:cs="Times New Roman" w:asciiTheme="minorEastAsia" w:hAnsiTheme="minorEastAsia"/>
          <w:b/>
          <w:bCs/>
          <w:szCs w:val="21"/>
        </w:rPr>
      </w:pPr>
    </w:p>
    <w:bookmarkEnd w:id="57"/>
    <w:p>
      <w:pPr>
        <w:rPr>
          <w:rFonts w:cs="Times New Roman"/>
        </w:rPr>
      </w:pPr>
      <w:bookmarkStart w:id="60" w:name="_Toc206758004"/>
      <w:bookmarkStart w:id="61" w:name="_Toc206760194"/>
      <w:r>
        <w:t>4.2.</w:t>
      </w:r>
      <w:r>
        <w:rPr>
          <w:rFonts w:hint="eastAsia"/>
        </w:rPr>
        <w:t>5</w:t>
      </w:r>
      <w:r>
        <w:t xml:space="preserve"> </w:t>
      </w:r>
      <w:bookmarkStart w:id="62" w:name="OLE_LINK25"/>
      <w:r>
        <w:rPr>
          <w:rFonts w:hint="eastAsia"/>
        </w:rPr>
        <w:t>自动卷帘式</w:t>
      </w:r>
      <w:r>
        <w:t>挡烟垂壁</w:t>
      </w:r>
      <w:bookmarkEnd w:id="60"/>
      <w:bookmarkEnd w:id="61"/>
      <w:bookmarkEnd w:id="62"/>
      <w:bookmarkStart w:id="63" w:name="OLE_LINK27"/>
      <w:r>
        <w:rPr>
          <w:rFonts w:hint="eastAsia"/>
        </w:rPr>
        <w:t>的</w:t>
      </w:r>
      <w:r>
        <w:rPr>
          <w:rFonts w:hint="eastAsia" w:asciiTheme="minorEastAsia" w:hAnsiTheme="minorEastAsia"/>
        </w:rPr>
        <w:t>控制项评定、评分项评定、优选项评定，应分别符合表</w:t>
      </w:r>
      <w:r>
        <w:rPr>
          <w:rFonts w:cs="Times New Roman"/>
        </w:rPr>
        <w:t>4.2.</w:t>
      </w:r>
      <w:r>
        <w:rPr>
          <w:rFonts w:hint="eastAsia" w:cs="Times New Roman"/>
        </w:rPr>
        <w:t>5-</w:t>
      </w:r>
      <w:r>
        <w:rPr>
          <w:rFonts w:cs="Times New Roman"/>
        </w:rPr>
        <w:t>1</w:t>
      </w:r>
      <w:r>
        <w:rPr>
          <w:rFonts w:hint="eastAsia" w:asciiTheme="minorEastAsia" w:hAnsiTheme="minorEastAsia"/>
        </w:rPr>
        <w:t>、表</w:t>
      </w:r>
      <w:r>
        <w:rPr>
          <w:rFonts w:cs="Times New Roman"/>
        </w:rPr>
        <w:t>4.2.</w:t>
      </w:r>
      <w:r>
        <w:rPr>
          <w:rFonts w:hint="eastAsia" w:cs="Times New Roman"/>
        </w:rPr>
        <w:t>5-</w:t>
      </w:r>
      <w:r>
        <w:rPr>
          <w:rFonts w:cs="Times New Roman"/>
        </w:rPr>
        <w:t>2</w:t>
      </w:r>
      <w:r>
        <w:rPr>
          <w:rFonts w:hint="eastAsia" w:asciiTheme="minorEastAsia" w:hAnsiTheme="minorEastAsia"/>
        </w:rPr>
        <w:t>、表</w:t>
      </w:r>
      <w:r>
        <w:rPr>
          <w:rFonts w:cs="Times New Roman"/>
        </w:rPr>
        <w:t>4.2.</w:t>
      </w:r>
      <w:r>
        <w:rPr>
          <w:rFonts w:hint="eastAsia" w:cs="Times New Roman"/>
        </w:rPr>
        <w:t>5-</w:t>
      </w:r>
      <w:r>
        <w:rPr>
          <w:rFonts w:cs="Times New Roman"/>
        </w:rPr>
        <w:t>3</w:t>
      </w:r>
      <w:r>
        <w:rPr>
          <w:rFonts w:hint="eastAsia" w:cs="Times New Roman"/>
        </w:rPr>
        <w:t>的规定。</w:t>
      </w:r>
      <w:bookmarkEnd w:id="63"/>
    </w:p>
    <w:p>
      <w:pPr>
        <w:widowControl/>
        <w:jc w:val="center"/>
      </w:pPr>
      <w:bookmarkStart w:id="64" w:name="OLE_LINK26"/>
      <w:r>
        <w:rPr>
          <w:rFonts w:hint="eastAsia" w:ascii="宋体" w:hAnsi="宋体" w:eastAsia="宋体" w:cs="Times New Roman"/>
          <w:b/>
          <w:bCs/>
          <w:szCs w:val="21"/>
        </w:rPr>
        <w:t>表</w:t>
      </w:r>
      <w:r>
        <w:rPr>
          <w:rFonts w:ascii="宋体" w:hAnsi="宋体" w:eastAsia="宋体" w:cs="Times New Roman"/>
          <w:b/>
          <w:bCs/>
          <w:szCs w:val="21"/>
        </w:rPr>
        <w:t>4.2.</w:t>
      </w:r>
      <w:r>
        <w:rPr>
          <w:rFonts w:hint="eastAsia" w:ascii="宋体" w:hAnsi="宋体" w:eastAsia="宋体" w:cs="Times New Roman"/>
          <w:b/>
          <w:bCs/>
          <w:szCs w:val="21"/>
        </w:rPr>
        <w:t>5</w:t>
      </w:r>
      <w:r>
        <w:rPr>
          <w:rFonts w:ascii="宋体" w:hAnsi="宋体" w:eastAsia="宋体" w:cs="Times New Roman"/>
          <w:b/>
          <w:bCs/>
          <w:szCs w:val="21"/>
        </w:rPr>
        <w:t>-</w:t>
      </w:r>
      <w:r>
        <w:rPr>
          <w:rFonts w:hint="eastAsia" w:ascii="宋体" w:hAnsi="宋体" w:eastAsia="宋体" w:cs="Times New Roman"/>
          <w:b/>
          <w:bCs/>
          <w:szCs w:val="21"/>
        </w:rPr>
        <w:t>1</w:t>
      </w:r>
      <w:r>
        <w:rPr>
          <w:rFonts w:hint="eastAsia"/>
          <w:b/>
          <w:bCs/>
        </w:rPr>
        <w:t>自动卷帘式</w:t>
      </w:r>
      <w:r>
        <w:rPr>
          <w:b/>
          <w:bCs/>
        </w:rPr>
        <w:t>挡烟垂壁</w:t>
      </w:r>
      <w:r>
        <w:rPr>
          <w:rFonts w:hint="eastAsia" w:ascii="宋体" w:hAnsi="宋体" w:eastAsia="宋体" w:cs="Times New Roman"/>
          <w:b/>
          <w:bCs/>
          <w:szCs w:val="21"/>
        </w:rPr>
        <w:t>控制项评定表</w:t>
      </w:r>
    </w:p>
    <w:bookmarkEnd w:id="64"/>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1701"/>
        <w:gridCol w:w="4820"/>
        <w:gridCol w:w="2126"/>
        <w:gridCol w:w="45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704" w:type="dxa"/>
            <w:noWrap/>
            <w:vAlign w:val="center"/>
          </w:tcPr>
          <w:p>
            <w:pPr>
              <w:jc w:val="center"/>
              <w:rPr>
                <w:rFonts w:ascii="Calibri" w:hAnsi="Calibri" w:eastAsia="宋体" w:cs="Times New Roman"/>
                <w:b/>
                <w:bCs/>
                <w:kern w:val="0"/>
                <w:szCs w:val="21"/>
              </w:rPr>
            </w:pPr>
            <w:r>
              <w:rPr>
                <w:rFonts w:hint="eastAsia" w:ascii="Calibri" w:hAnsi="Calibri" w:eastAsia="宋体" w:cs="Times New Roman"/>
                <w:b/>
                <w:bCs/>
                <w:kern w:val="0"/>
                <w:szCs w:val="21"/>
              </w:rPr>
              <w:t>序号</w:t>
            </w:r>
          </w:p>
        </w:tc>
        <w:tc>
          <w:tcPr>
            <w:tcW w:w="1701" w:type="dxa"/>
            <w:noWrap/>
            <w:vAlign w:val="center"/>
          </w:tcPr>
          <w:p>
            <w:pPr>
              <w:jc w:val="center"/>
              <w:rPr>
                <w:rFonts w:ascii="Calibri" w:hAnsi="Calibri" w:eastAsia="宋体" w:cs="Times New Roman"/>
                <w:b/>
                <w:bCs/>
                <w:kern w:val="0"/>
                <w:szCs w:val="21"/>
              </w:rPr>
            </w:pPr>
            <w:r>
              <w:rPr>
                <w:rFonts w:hint="eastAsia" w:ascii="Calibri" w:hAnsi="Calibri" w:eastAsia="宋体" w:cs="Times New Roman"/>
                <w:b/>
                <w:bCs/>
                <w:kern w:val="0"/>
                <w:szCs w:val="21"/>
              </w:rPr>
              <w:t>评定指标</w:t>
            </w:r>
          </w:p>
        </w:tc>
        <w:tc>
          <w:tcPr>
            <w:tcW w:w="4820" w:type="dxa"/>
            <w:noWrap/>
            <w:vAlign w:val="center"/>
          </w:tcPr>
          <w:p>
            <w:pPr>
              <w:jc w:val="center"/>
              <w:rPr>
                <w:rFonts w:ascii="Calibri" w:hAnsi="Calibri" w:eastAsia="宋体" w:cs="Times New Roman"/>
                <w:b/>
                <w:bCs/>
                <w:kern w:val="0"/>
                <w:szCs w:val="21"/>
              </w:rPr>
            </w:pPr>
            <w:r>
              <w:rPr>
                <w:rFonts w:hint="eastAsia" w:ascii="Calibri" w:hAnsi="Calibri" w:eastAsia="宋体" w:cs="Times New Roman"/>
                <w:b/>
                <w:bCs/>
                <w:kern w:val="0"/>
                <w:szCs w:val="21"/>
              </w:rPr>
              <w:t>控制项</w:t>
            </w:r>
          </w:p>
        </w:tc>
        <w:tc>
          <w:tcPr>
            <w:tcW w:w="2126" w:type="dxa"/>
            <w:noWrap/>
            <w:vAlign w:val="center"/>
          </w:tcPr>
          <w:p>
            <w:pPr>
              <w:jc w:val="center"/>
              <w:rPr>
                <w:rFonts w:ascii="Calibri" w:hAnsi="Calibri" w:eastAsia="宋体" w:cs="Times New Roman"/>
                <w:b/>
                <w:bCs/>
                <w:kern w:val="0"/>
                <w:szCs w:val="21"/>
              </w:rPr>
            </w:pPr>
            <w:r>
              <w:rPr>
                <w:rFonts w:hint="eastAsia" w:ascii="Calibri" w:hAnsi="Calibri" w:eastAsia="宋体" w:cs="Times New Roman"/>
                <w:b/>
                <w:bCs/>
                <w:kern w:val="0"/>
                <w:szCs w:val="21"/>
              </w:rPr>
              <w:t>评定方法</w:t>
            </w:r>
          </w:p>
        </w:tc>
        <w:tc>
          <w:tcPr>
            <w:tcW w:w="4536" w:type="dxa"/>
            <w:vAlign w:val="center"/>
          </w:tcPr>
          <w:p>
            <w:pPr>
              <w:jc w:val="center"/>
              <w:rPr>
                <w:rFonts w:ascii="Calibri" w:hAnsi="Calibri" w:eastAsia="宋体" w:cs="Times New Roman"/>
                <w:b/>
                <w:bCs/>
                <w:kern w:val="0"/>
                <w:szCs w:val="21"/>
              </w:rPr>
            </w:pPr>
            <w:r>
              <w:rPr>
                <w:rFonts w:hint="eastAsia" w:ascii="Calibri" w:hAnsi="Calibri" w:eastAsia="宋体" w:cs="Times New Roman"/>
                <w:b/>
                <w:bCs/>
                <w:kern w:val="0"/>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704" w:type="dxa"/>
            <w:noWrap/>
            <w:vAlign w:val="center"/>
          </w:tcPr>
          <w:p>
            <w:pPr>
              <w:jc w:val="center"/>
              <w:rPr>
                <w:rFonts w:hint="eastAsia" w:ascii="宋体" w:hAnsi="宋体" w:eastAsia="宋体" w:cs="Times New Roman"/>
                <w:kern w:val="0"/>
                <w:szCs w:val="21"/>
              </w:rPr>
            </w:pPr>
            <w:r>
              <w:rPr>
                <w:rFonts w:hint="eastAsia" w:ascii="宋体" w:hAnsi="宋体" w:eastAsia="宋体" w:cs="Times New Roman"/>
                <w:kern w:val="0"/>
                <w:szCs w:val="21"/>
              </w:rPr>
              <w:t>1</w:t>
            </w:r>
          </w:p>
        </w:tc>
        <w:tc>
          <w:tcPr>
            <w:tcW w:w="1701" w:type="dxa"/>
            <w:noWrap/>
            <w:vAlign w:val="center"/>
          </w:tcPr>
          <w:p>
            <w:pPr>
              <w:jc w:val="center"/>
              <w:rPr>
                <w:rFonts w:hint="eastAsia" w:ascii="宋体" w:hAnsi="宋体" w:eastAsia="宋体" w:cs="Times New Roman"/>
                <w:kern w:val="0"/>
                <w:szCs w:val="21"/>
              </w:rPr>
            </w:pPr>
            <w:r>
              <w:rPr>
                <w:rFonts w:hint="eastAsia" w:ascii="宋体" w:hAnsi="宋体" w:eastAsia="宋体" w:cs="Times New Roman"/>
                <w:kern w:val="0"/>
                <w:szCs w:val="21"/>
              </w:rPr>
              <w:t>开启方式</w:t>
            </w:r>
          </w:p>
        </w:tc>
        <w:tc>
          <w:tcPr>
            <w:tcW w:w="4820" w:type="dxa"/>
            <w:noWrap/>
            <w:vAlign w:val="center"/>
          </w:tcPr>
          <w:p>
            <w:pPr>
              <w:rPr>
                <w:rFonts w:hint="eastAsia" w:ascii="宋体" w:hAnsi="宋体" w:eastAsia="宋体" w:cs="Times New Roman"/>
                <w:kern w:val="0"/>
                <w:szCs w:val="21"/>
              </w:rPr>
            </w:pPr>
            <w:r>
              <w:rPr>
                <w:rFonts w:hint="eastAsia" w:ascii="宋体" w:hAnsi="宋体" w:eastAsia="宋体" w:cs="Times New Roman"/>
                <w:kern w:val="0"/>
                <w:szCs w:val="21"/>
              </w:rPr>
              <w:t>1采用与火灾自动报警系统联动的控制方式。</w:t>
            </w:r>
          </w:p>
          <w:p>
            <w:pPr>
              <w:rPr>
                <w:rFonts w:hint="eastAsia" w:ascii="宋体" w:hAnsi="宋体" w:eastAsia="宋体" w:cs="Times New Roman"/>
                <w:kern w:val="0"/>
                <w:szCs w:val="21"/>
              </w:rPr>
            </w:pPr>
            <w:r>
              <w:rPr>
                <w:rFonts w:hint="eastAsia" w:ascii="宋体" w:hAnsi="宋体" w:eastAsia="宋体" w:cs="Times New Roman"/>
                <w:kern w:val="0"/>
                <w:szCs w:val="21"/>
              </w:rPr>
              <w:t>2.应具备远程控制开启，现场手动开启等功能。</w:t>
            </w:r>
          </w:p>
        </w:tc>
        <w:tc>
          <w:tcPr>
            <w:tcW w:w="2126" w:type="dxa"/>
            <w:noWrap/>
            <w:vAlign w:val="center"/>
          </w:tcPr>
          <w:p>
            <w:pPr>
              <w:jc w:val="center"/>
              <w:rPr>
                <w:rFonts w:hint="eastAsia" w:ascii="宋体" w:hAnsi="宋体" w:eastAsia="宋体" w:cs="Times New Roman"/>
                <w:kern w:val="0"/>
                <w:szCs w:val="21"/>
              </w:rPr>
            </w:pPr>
            <w:r>
              <w:rPr>
                <w:rFonts w:hint="eastAsia" w:ascii="宋体" w:hAnsi="宋体" w:eastAsia="宋体" w:cs="Times New Roman"/>
                <w:szCs w:val="21"/>
              </w:rPr>
              <w:t>不满足直接判定为</w:t>
            </w:r>
            <w:r>
              <w:rPr>
                <w:rFonts w:hint="eastAsia" w:ascii="宋体" w:hAnsi="宋体" w:eastAsia="宋体" w:cs="Times New Roman"/>
                <w:b/>
                <w:bCs/>
                <w:szCs w:val="21"/>
              </w:rPr>
              <w:t>D级</w:t>
            </w:r>
          </w:p>
        </w:tc>
        <w:tc>
          <w:tcPr>
            <w:tcW w:w="4536" w:type="dxa"/>
            <w:vAlign w:val="center"/>
          </w:tcPr>
          <w:p>
            <w:pPr>
              <w:rPr>
                <w:rFonts w:hint="eastAsia" w:ascii="宋体" w:hAnsi="宋体" w:eastAsia="宋体" w:cs="Times New Roman"/>
                <w:kern w:val="0"/>
                <w:szCs w:val="21"/>
              </w:rPr>
            </w:pPr>
            <w:r>
              <w:rPr>
                <w:rFonts w:hint="eastAsia" w:ascii="宋体" w:hAnsi="宋体" w:eastAsia="宋体" w:cs="Times New Roman"/>
                <w:kern w:val="0"/>
                <w:szCs w:val="21"/>
              </w:rPr>
              <w:t>参考《建筑防烟排烟系统技术标准》GB 51251-2017 第5.2.5条规定。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704" w:type="dxa"/>
            <w:noWrap/>
            <w:vAlign w:val="center"/>
          </w:tcPr>
          <w:p>
            <w:pPr>
              <w:jc w:val="center"/>
              <w:rPr>
                <w:rFonts w:hint="eastAsia" w:ascii="宋体" w:hAnsi="宋体" w:eastAsia="宋体" w:cs="Times New Roman"/>
                <w:kern w:val="0"/>
                <w:szCs w:val="21"/>
              </w:rPr>
            </w:pPr>
            <w:r>
              <w:rPr>
                <w:rFonts w:hint="eastAsia" w:ascii="宋体" w:hAnsi="宋体" w:eastAsia="宋体" w:cs="Times New Roman"/>
                <w:kern w:val="0"/>
                <w:szCs w:val="21"/>
              </w:rPr>
              <w:t>2</w:t>
            </w:r>
          </w:p>
        </w:tc>
        <w:tc>
          <w:tcPr>
            <w:tcW w:w="1701" w:type="dxa"/>
            <w:noWrap/>
            <w:vAlign w:val="center"/>
          </w:tcPr>
          <w:p>
            <w:pPr>
              <w:jc w:val="center"/>
              <w:rPr>
                <w:rFonts w:hint="eastAsia" w:ascii="宋体" w:hAnsi="宋体" w:eastAsia="宋体" w:cs="Times New Roman"/>
                <w:kern w:val="0"/>
                <w:szCs w:val="21"/>
              </w:rPr>
            </w:pPr>
            <w:r>
              <w:rPr>
                <w:rFonts w:hint="eastAsia" w:ascii="宋体" w:hAnsi="宋体" w:eastAsia="宋体" w:cs="Times New Roman"/>
                <w:kern w:val="0"/>
                <w:szCs w:val="21"/>
              </w:rPr>
              <w:t>状态反馈</w:t>
            </w:r>
          </w:p>
        </w:tc>
        <w:tc>
          <w:tcPr>
            <w:tcW w:w="4820" w:type="dxa"/>
            <w:noWrap/>
            <w:vAlign w:val="center"/>
          </w:tcPr>
          <w:p>
            <w:pPr>
              <w:rPr>
                <w:rFonts w:hint="eastAsia" w:ascii="宋体" w:hAnsi="宋体" w:eastAsia="宋体" w:cs="Times New Roman"/>
                <w:kern w:val="0"/>
                <w:szCs w:val="21"/>
              </w:rPr>
            </w:pPr>
            <w:r>
              <w:rPr>
                <w:rFonts w:hint="eastAsia" w:ascii="宋体" w:hAnsi="宋体" w:eastAsia="宋体" w:cs="Times New Roman"/>
                <w:kern w:val="0"/>
                <w:szCs w:val="21"/>
              </w:rPr>
              <w:t>动作状态信号应反馈到消防控制室。</w:t>
            </w:r>
          </w:p>
        </w:tc>
        <w:tc>
          <w:tcPr>
            <w:tcW w:w="2126" w:type="dxa"/>
            <w:noWrap/>
            <w:vAlign w:val="center"/>
          </w:tcPr>
          <w:p>
            <w:pPr>
              <w:jc w:val="center"/>
              <w:rPr>
                <w:rFonts w:hint="eastAsia" w:ascii="宋体" w:hAnsi="宋体" w:eastAsia="宋体" w:cs="Times New Roman"/>
                <w:kern w:val="0"/>
                <w:szCs w:val="21"/>
              </w:rPr>
            </w:pPr>
            <w:r>
              <w:rPr>
                <w:rFonts w:hint="eastAsia" w:ascii="宋体" w:hAnsi="宋体" w:eastAsia="宋体" w:cs="Times New Roman"/>
                <w:szCs w:val="21"/>
              </w:rPr>
              <w:t>不满足直接判定为</w:t>
            </w:r>
            <w:r>
              <w:rPr>
                <w:rFonts w:hint="eastAsia" w:ascii="宋体" w:hAnsi="宋体" w:eastAsia="宋体" w:cs="Times New Roman"/>
                <w:b/>
                <w:bCs/>
                <w:szCs w:val="21"/>
              </w:rPr>
              <w:t>D级</w:t>
            </w:r>
          </w:p>
        </w:tc>
        <w:tc>
          <w:tcPr>
            <w:tcW w:w="4536" w:type="dxa"/>
            <w:vAlign w:val="center"/>
          </w:tcPr>
          <w:p>
            <w:pPr>
              <w:rPr>
                <w:rFonts w:hint="eastAsia" w:ascii="宋体" w:hAnsi="宋体" w:eastAsia="宋体" w:cs="Times New Roman"/>
                <w:kern w:val="0"/>
                <w:szCs w:val="21"/>
              </w:rPr>
            </w:pPr>
            <w:r>
              <w:rPr>
                <w:rFonts w:hint="eastAsia" w:ascii="宋体" w:hAnsi="宋体" w:eastAsia="宋体" w:cs="Times New Roman"/>
                <w:kern w:val="0"/>
                <w:szCs w:val="21"/>
              </w:rPr>
              <w:t>参考《建筑防烟排烟系统技术标准》GB 51251-2017 第7.2.3条规定：动作状态信号应反馈到消防控制室。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704" w:type="dxa"/>
            <w:noWrap/>
            <w:vAlign w:val="center"/>
          </w:tcPr>
          <w:p>
            <w:pPr>
              <w:jc w:val="center"/>
              <w:rPr>
                <w:rFonts w:hint="eastAsia" w:ascii="宋体" w:hAnsi="宋体" w:eastAsia="宋体" w:cs="Times New Roman"/>
                <w:kern w:val="0"/>
                <w:szCs w:val="21"/>
              </w:rPr>
            </w:pPr>
            <w:r>
              <w:rPr>
                <w:rFonts w:hint="eastAsia" w:ascii="宋体" w:hAnsi="宋体" w:eastAsia="宋体" w:cs="Times New Roman"/>
                <w:kern w:val="0"/>
                <w:szCs w:val="21"/>
              </w:rPr>
              <w:t>3</w:t>
            </w:r>
          </w:p>
        </w:tc>
        <w:tc>
          <w:tcPr>
            <w:tcW w:w="1701" w:type="dxa"/>
            <w:vAlign w:val="center"/>
          </w:tcPr>
          <w:p>
            <w:pPr>
              <w:jc w:val="center"/>
              <w:rPr>
                <w:rFonts w:hint="eastAsia" w:ascii="宋体" w:hAnsi="宋体" w:eastAsia="宋体" w:cs="Times New Roman"/>
                <w:kern w:val="0"/>
                <w:szCs w:val="21"/>
              </w:rPr>
            </w:pPr>
            <w:r>
              <w:rPr>
                <w:rFonts w:hint="eastAsia" w:ascii="宋体" w:hAnsi="宋体" w:eastAsia="宋体" w:cs="Times New Roman"/>
                <w:kern w:val="0"/>
                <w:szCs w:val="21"/>
              </w:rPr>
              <w:t>单位面积漏烟量</w:t>
            </w:r>
          </w:p>
        </w:tc>
        <w:tc>
          <w:tcPr>
            <w:tcW w:w="4820" w:type="dxa"/>
            <w:vAlign w:val="center"/>
          </w:tcPr>
          <w:p>
            <w:pPr>
              <w:rPr>
                <w:rFonts w:hint="eastAsia" w:ascii="宋体" w:hAnsi="宋体" w:eastAsia="宋体" w:cs="Times New Roman"/>
                <w:kern w:val="0"/>
                <w:szCs w:val="21"/>
              </w:rPr>
            </w:pPr>
            <w:r>
              <w:rPr>
                <w:rFonts w:hint="eastAsia" w:ascii="宋体" w:hAnsi="宋体" w:eastAsia="宋体" w:cs="Times New Roman"/>
                <w:kern w:val="0"/>
                <w:szCs w:val="21"/>
              </w:rPr>
              <w:t>在(200±15)℃的温度下，挡烟部件前后保持 (25±5)Pa的气体静压差时，其单位面积漏烟量(标准状态)应≤25m</w:t>
            </w:r>
            <w:r>
              <w:rPr>
                <w:rFonts w:hint="eastAsia" w:ascii="宋体" w:hAnsi="宋体" w:eastAsia="宋体" w:cs="Times New Roman"/>
                <w:kern w:val="0"/>
                <w:szCs w:val="21"/>
                <w:vertAlign w:val="superscript"/>
              </w:rPr>
              <w:t>3</w:t>
            </w:r>
            <w:r>
              <w:rPr>
                <w:rFonts w:hint="eastAsia" w:ascii="宋体" w:hAnsi="宋体" w:eastAsia="宋体" w:cs="Times New Roman"/>
                <w:kern w:val="0"/>
                <w:szCs w:val="21"/>
              </w:rPr>
              <w:t>/（m</w:t>
            </w:r>
            <w:r>
              <w:rPr>
                <w:rFonts w:hint="eastAsia" w:ascii="宋体" w:hAnsi="宋体" w:eastAsia="宋体" w:cs="Times New Roman"/>
                <w:kern w:val="0"/>
                <w:szCs w:val="21"/>
                <w:vertAlign w:val="superscript"/>
              </w:rPr>
              <w:t>2</w:t>
            </w:r>
            <w:r>
              <w:rPr>
                <w:rFonts w:hint="eastAsia" w:ascii="宋体" w:hAnsi="宋体" w:eastAsia="宋体" w:cs="Times New Roman"/>
                <w:kern w:val="0"/>
                <w:szCs w:val="21"/>
              </w:rPr>
              <w:t>·h)。</w:t>
            </w:r>
          </w:p>
        </w:tc>
        <w:tc>
          <w:tcPr>
            <w:tcW w:w="2126" w:type="dxa"/>
            <w:vAlign w:val="center"/>
          </w:tcPr>
          <w:p>
            <w:pPr>
              <w:jc w:val="center"/>
              <w:rPr>
                <w:rFonts w:hint="eastAsia" w:ascii="宋体" w:hAnsi="宋体" w:eastAsia="宋体" w:cs="Times New Roman"/>
                <w:kern w:val="0"/>
                <w:szCs w:val="21"/>
              </w:rPr>
            </w:pPr>
            <w:r>
              <w:rPr>
                <w:rFonts w:hint="eastAsia" w:ascii="宋体" w:hAnsi="宋体" w:eastAsia="宋体" w:cs="Times New Roman"/>
                <w:szCs w:val="21"/>
              </w:rPr>
              <w:t>不满足直接判定为</w:t>
            </w:r>
            <w:r>
              <w:rPr>
                <w:rFonts w:hint="eastAsia" w:ascii="宋体" w:hAnsi="宋体" w:eastAsia="宋体" w:cs="Times New Roman"/>
                <w:b/>
                <w:bCs/>
                <w:szCs w:val="21"/>
              </w:rPr>
              <w:t>D级</w:t>
            </w:r>
          </w:p>
        </w:tc>
        <w:tc>
          <w:tcPr>
            <w:tcW w:w="4536" w:type="dxa"/>
            <w:vAlign w:val="center"/>
          </w:tcPr>
          <w:p>
            <w:pPr>
              <w:rPr>
                <w:rFonts w:hint="eastAsia" w:ascii="宋体" w:hAnsi="宋体" w:eastAsia="宋体" w:cs="Times New Roman"/>
                <w:kern w:val="0"/>
                <w:szCs w:val="21"/>
              </w:rPr>
            </w:pPr>
            <w:r>
              <w:rPr>
                <w:rFonts w:hint="eastAsia" w:ascii="宋体" w:hAnsi="宋体" w:eastAsia="宋体" w:cs="Times New Roman"/>
                <w:kern w:val="0"/>
                <w:szCs w:val="21"/>
              </w:rPr>
              <w:t>参考《挡烟垂壁》XF 533-2012 第5.1.4条规定。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5" w:hRule="atLeast"/>
        </w:trPr>
        <w:tc>
          <w:tcPr>
            <w:tcW w:w="704" w:type="dxa"/>
            <w:noWrap/>
            <w:vAlign w:val="center"/>
          </w:tcPr>
          <w:p>
            <w:pPr>
              <w:jc w:val="center"/>
              <w:rPr>
                <w:rFonts w:hint="eastAsia" w:ascii="宋体" w:hAnsi="宋体" w:eastAsia="宋体" w:cs="Times New Roman"/>
                <w:kern w:val="0"/>
                <w:szCs w:val="21"/>
              </w:rPr>
            </w:pPr>
            <w:r>
              <w:rPr>
                <w:rFonts w:hint="eastAsia" w:ascii="宋体" w:hAnsi="宋体" w:eastAsia="宋体" w:cs="Times New Roman"/>
                <w:kern w:val="0"/>
                <w:szCs w:val="21"/>
              </w:rPr>
              <w:t>4</w:t>
            </w:r>
          </w:p>
        </w:tc>
        <w:tc>
          <w:tcPr>
            <w:tcW w:w="1701" w:type="dxa"/>
            <w:vAlign w:val="center"/>
          </w:tcPr>
          <w:p>
            <w:pPr>
              <w:jc w:val="center"/>
              <w:rPr>
                <w:rFonts w:hint="eastAsia" w:ascii="宋体" w:hAnsi="宋体" w:eastAsia="宋体" w:cs="Times New Roman"/>
                <w:kern w:val="0"/>
                <w:szCs w:val="21"/>
              </w:rPr>
            </w:pPr>
            <w:r>
              <w:rPr>
                <w:rFonts w:hint="eastAsia" w:ascii="宋体" w:hAnsi="宋体" w:eastAsia="宋体" w:cs="Times New Roman"/>
                <w:kern w:val="0"/>
                <w:szCs w:val="21"/>
              </w:rPr>
              <w:t>耐火完整性</w:t>
            </w:r>
          </w:p>
        </w:tc>
        <w:tc>
          <w:tcPr>
            <w:tcW w:w="4820" w:type="dxa"/>
            <w:vAlign w:val="center"/>
          </w:tcPr>
          <w:p>
            <w:pPr>
              <w:rPr>
                <w:rFonts w:hint="eastAsia" w:ascii="宋体" w:hAnsi="宋体" w:eastAsia="宋体" w:cs="Times New Roman"/>
                <w:kern w:val="0"/>
                <w:szCs w:val="21"/>
              </w:rPr>
            </w:pPr>
            <w:r>
              <w:rPr>
                <w:rFonts w:hint="eastAsia" w:ascii="宋体" w:hAnsi="宋体" w:eastAsia="宋体" w:cs="Times New Roman"/>
                <w:kern w:val="0"/>
                <w:szCs w:val="21"/>
              </w:rPr>
              <w:t>在(620±20)℃的高温作用下，保持完整性的时间应≥30min。</w:t>
            </w:r>
          </w:p>
        </w:tc>
        <w:tc>
          <w:tcPr>
            <w:tcW w:w="2126" w:type="dxa"/>
            <w:vAlign w:val="center"/>
          </w:tcPr>
          <w:p>
            <w:pPr>
              <w:jc w:val="center"/>
              <w:rPr>
                <w:rFonts w:hint="eastAsia" w:ascii="宋体" w:hAnsi="宋体" w:eastAsia="宋体" w:cs="Times New Roman"/>
                <w:kern w:val="0"/>
                <w:szCs w:val="21"/>
              </w:rPr>
            </w:pPr>
            <w:r>
              <w:rPr>
                <w:rFonts w:hint="eastAsia" w:ascii="宋体" w:hAnsi="宋体" w:eastAsia="宋体" w:cs="Times New Roman"/>
                <w:szCs w:val="21"/>
              </w:rPr>
              <w:t>不满足直接判定为</w:t>
            </w:r>
            <w:r>
              <w:rPr>
                <w:rFonts w:hint="eastAsia" w:ascii="宋体" w:hAnsi="宋体" w:eastAsia="宋体" w:cs="Times New Roman"/>
                <w:b/>
                <w:bCs/>
                <w:szCs w:val="21"/>
              </w:rPr>
              <w:t>D级</w:t>
            </w:r>
          </w:p>
        </w:tc>
        <w:tc>
          <w:tcPr>
            <w:tcW w:w="4536" w:type="dxa"/>
            <w:vAlign w:val="center"/>
          </w:tcPr>
          <w:p>
            <w:pPr>
              <w:rPr>
                <w:rFonts w:hint="eastAsia" w:ascii="宋体" w:hAnsi="宋体" w:eastAsia="宋体" w:cs="Times New Roman"/>
                <w:kern w:val="0"/>
                <w:szCs w:val="21"/>
              </w:rPr>
            </w:pPr>
            <w:r>
              <w:rPr>
                <w:rFonts w:hint="eastAsia" w:ascii="宋体" w:hAnsi="宋体" w:eastAsia="宋体" w:cs="Times New Roman"/>
                <w:kern w:val="0"/>
                <w:szCs w:val="21"/>
              </w:rPr>
              <w:t>参考《挡烟垂壁》XF 533-2012 第5.1.5条规定。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1" w:hRule="atLeast"/>
        </w:trPr>
        <w:tc>
          <w:tcPr>
            <w:tcW w:w="704" w:type="dxa"/>
            <w:noWrap/>
            <w:vAlign w:val="center"/>
          </w:tcPr>
          <w:p>
            <w:pPr>
              <w:jc w:val="center"/>
              <w:rPr>
                <w:rFonts w:hint="eastAsia" w:ascii="宋体" w:hAnsi="宋体" w:eastAsia="宋体" w:cs="Times New Roman"/>
                <w:kern w:val="0"/>
                <w:szCs w:val="21"/>
              </w:rPr>
            </w:pPr>
            <w:r>
              <w:rPr>
                <w:rFonts w:hint="eastAsia" w:ascii="宋体" w:hAnsi="宋体" w:eastAsia="宋体" w:cs="Times New Roman"/>
                <w:kern w:val="0"/>
                <w:szCs w:val="21"/>
              </w:rPr>
              <w:t>5</w:t>
            </w:r>
          </w:p>
        </w:tc>
        <w:tc>
          <w:tcPr>
            <w:tcW w:w="1701" w:type="dxa"/>
            <w:vAlign w:val="center"/>
          </w:tcPr>
          <w:p>
            <w:pPr>
              <w:jc w:val="center"/>
              <w:rPr>
                <w:rFonts w:hint="eastAsia" w:ascii="宋体" w:hAnsi="宋体" w:eastAsia="宋体" w:cs="Times New Roman"/>
                <w:kern w:val="0"/>
                <w:szCs w:val="21"/>
              </w:rPr>
            </w:pPr>
            <w:r>
              <w:rPr>
                <w:rFonts w:hint="eastAsia" w:ascii="宋体" w:hAnsi="宋体" w:eastAsia="宋体" w:cs="Times New Roman"/>
                <w:kern w:val="0"/>
                <w:szCs w:val="21"/>
              </w:rPr>
              <w:t>运行可靠性</w:t>
            </w:r>
          </w:p>
        </w:tc>
        <w:tc>
          <w:tcPr>
            <w:tcW w:w="4820" w:type="dxa"/>
            <w:vAlign w:val="center"/>
          </w:tcPr>
          <w:p>
            <w:pPr>
              <w:rPr>
                <w:rFonts w:hint="eastAsia" w:ascii="宋体" w:hAnsi="宋体" w:eastAsia="宋体" w:cs="Times New Roman"/>
                <w:kern w:val="0"/>
                <w:szCs w:val="21"/>
              </w:rPr>
            </w:pPr>
            <w:r>
              <w:rPr>
                <w:rFonts w:hint="eastAsia" w:ascii="宋体" w:hAnsi="宋体" w:eastAsia="宋体" w:cs="Times New Roman"/>
                <w:kern w:val="0"/>
                <w:szCs w:val="21"/>
              </w:rPr>
              <w:t>应能经受至少1000次循环启闭运行试验后，仍然能够正常工作。</w:t>
            </w:r>
          </w:p>
        </w:tc>
        <w:tc>
          <w:tcPr>
            <w:tcW w:w="2126" w:type="dxa"/>
            <w:vAlign w:val="center"/>
          </w:tcPr>
          <w:p>
            <w:pPr>
              <w:jc w:val="center"/>
              <w:rPr>
                <w:rFonts w:hint="eastAsia" w:ascii="宋体" w:hAnsi="宋体" w:eastAsia="宋体" w:cs="Times New Roman"/>
                <w:kern w:val="0"/>
                <w:szCs w:val="21"/>
              </w:rPr>
            </w:pPr>
            <w:r>
              <w:rPr>
                <w:rFonts w:hint="eastAsia" w:ascii="宋体" w:hAnsi="宋体" w:eastAsia="宋体" w:cs="Times New Roman"/>
                <w:szCs w:val="21"/>
              </w:rPr>
              <w:t>不满足直接判定为</w:t>
            </w:r>
            <w:r>
              <w:rPr>
                <w:rFonts w:hint="eastAsia" w:ascii="宋体" w:hAnsi="宋体" w:eastAsia="宋体" w:cs="Times New Roman"/>
                <w:b/>
                <w:bCs/>
                <w:szCs w:val="21"/>
              </w:rPr>
              <w:t>D级</w:t>
            </w:r>
          </w:p>
        </w:tc>
        <w:tc>
          <w:tcPr>
            <w:tcW w:w="4536" w:type="dxa"/>
            <w:vAlign w:val="center"/>
          </w:tcPr>
          <w:p>
            <w:pPr>
              <w:rPr>
                <w:rFonts w:hint="eastAsia" w:ascii="宋体" w:hAnsi="宋体" w:eastAsia="宋体" w:cs="Times New Roman"/>
                <w:kern w:val="0"/>
                <w:szCs w:val="21"/>
              </w:rPr>
            </w:pPr>
            <w:r>
              <w:rPr>
                <w:rFonts w:hint="eastAsia" w:ascii="宋体" w:hAnsi="宋体" w:eastAsia="宋体" w:cs="Times New Roman"/>
                <w:kern w:val="0"/>
                <w:szCs w:val="21"/>
              </w:rPr>
              <w:t>参考《挡烟垂壁》XF 533-2012 第5.2.4条规定。</w:t>
            </w:r>
          </w:p>
        </w:tc>
      </w:tr>
    </w:tbl>
    <w:p/>
    <w:p>
      <w:pPr>
        <w:widowControl/>
        <w:jc w:val="center"/>
      </w:pPr>
      <w:r>
        <w:rPr>
          <w:rFonts w:hint="eastAsia" w:ascii="宋体" w:hAnsi="宋体" w:eastAsia="宋体" w:cs="Times New Roman"/>
          <w:b/>
          <w:bCs/>
          <w:szCs w:val="21"/>
        </w:rPr>
        <w:t>表</w:t>
      </w:r>
      <w:r>
        <w:rPr>
          <w:rFonts w:ascii="宋体" w:hAnsi="宋体" w:eastAsia="宋体" w:cs="Times New Roman"/>
          <w:b/>
          <w:bCs/>
          <w:szCs w:val="21"/>
        </w:rPr>
        <w:t>4.2.</w:t>
      </w:r>
      <w:r>
        <w:rPr>
          <w:rFonts w:hint="eastAsia" w:ascii="宋体" w:hAnsi="宋体" w:eastAsia="宋体" w:cs="Times New Roman"/>
          <w:b/>
          <w:bCs/>
          <w:szCs w:val="21"/>
        </w:rPr>
        <w:t>5</w:t>
      </w:r>
      <w:r>
        <w:rPr>
          <w:rFonts w:ascii="宋体" w:hAnsi="宋体" w:eastAsia="宋体" w:cs="Times New Roman"/>
          <w:b/>
          <w:bCs/>
          <w:szCs w:val="21"/>
        </w:rPr>
        <w:t>-</w:t>
      </w:r>
      <w:r>
        <w:rPr>
          <w:rFonts w:hint="eastAsia" w:ascii="宋体" w:hAnsi="宋体" w:eastAsia="宋体" w:cs="Times New Roman"/>
          <w:b/>
          <w:bCs/>
          <w:szCs w:val="21"/>
        </w:rPr>
        <w:t>2</w:t>
      </w:r>
      <w:r>
        <w:rPr>
          <w:rFonts w:hint="eastAsia"/>
          <w:b/>
          <w:bCs/>
        </w:rPr>
        <w:t>自动卷帘式</w:t>
      </w:r>
      <w:r>
        <w:rPr>
          <w:b/>
          <w:bCs/>
        </w:rPr>
        <w:t>挡烟垂壁</w:t>
      </w:r>
      <w:r>
        <w:rPr>
          <w:rFonts w:hint="eastAsia" w:ascii="宋体" w:hAnsi="宋体" w:eastAsia="宋体" w:cs="Times New Roman"/>
          <w:b/>
          <w:bCs/>
          <w:szCs w:val="21"/>
        </w:rPr>
        <w:t>评分项评定表</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1843"/>
        <w:gridCol w:w="2977"/>
        <w:gridCol w:w="4536"/>
        <w:gridCol w:w="709"/>
        <w:gridCol w:w="31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704" w:type="dxa"/>
            <w:noWrap/>
            <w:vAlign w:val="center"/>
          </w:tcPr>
          <w:p>
            <w:pPr>
              <w:jc w:val="center"/>
              <w:rPr>
                <w:rFonts w:ascii="Calibri" w:hAnsi="Calibri" w:eastAsia="宋体" w:cs="Times New Roman"/>
                <w:b/>
                <w:bCs/>
                <w:kern w:val="0"/>
                <w:szCs w:val="21"/>
              </w:rPr>
            </w:pPr>
            <w:r>
              <w:rPr>
                <w:rFonts w:hint="eastAsia" w:ascii="Calibri" w:hAnsi="Calibri" w:eastAsia="宋体" w:cs="Times New Roman"/>
                <w:b/>
                <w:bCs/>
                <w:kern w:val="0"/>
                <w:szCs w:val="21"/>
              </w:rPr>
              <w:t>序号</w:t>
            </w:r>
          </w:p>
        </w:tc>
        <w:tc>
          <w:tcPr>
            <w:tcW w:w="1843" w:type="dxa"/>
            <w:noWrap/>
            <w:vAlign w:val="center"/>
          </w:tcPr>
          <w:p>
            <w:pPr>
              <w:jc w:val="center"/>
              <w:rPr>
                <w:rFonts w:ascii="Calibri" w:hAnsi="Calibri" w:eastAsia="宋体" w:cs="Times New Roman"/>
                <w:b/>
                <w:bCs/>
                <w:kern w:val="0"/>
                <w:szCs w:val="21"/>
              </w:rPr>
            </w:pPr>
            <w:r>
              <w:rPr>
                <w:rFonts w:hint="eastAsia" w:ascii="Calibri" w:hAnsi="Calibri" w:eastAsia="宋体" w:cs="Times New Roman"/>
                <w:b/>
                <w:bCs/>
                <w:kern w:val="0"/>
                <w:szCs w:val="21"/>
              </w:rPr>
              <w:t>评定指标</w:t>
            </w:r>
          </w:p>
        </w:tc>
        <w:tc>
          <w:tcPr>
            <w:tcW w:w="2977" w:type="dxa"/>
            <w:noWrap/>
            <w:vAlign w:val="center"/>
          </w:tcPr>
          <w:p>
            <w:pPr>
              <w:jc w:val="center"/>
              <w:rPr>
                <w:rFonts w:ascii="Calibri" w:hAnsi="Calibri" w:eastAsia="宋体" w:cs="Times New Roman"/>
                <w:b/>
                <w:bCs/>
                <w:kern w:val="0"/>
                <w:szCs w:val="21"/>
              </w:rPr>
            </w:pPr>
            <w:r>
              <w:rPr>
                <w:rFonts w:hint="eastAsia" w:ascii="Calibri" w:hAnsi="Calibri" w:eastAsia="宋体" w:cs="Times New Roman"/>
                <w:b/>
                <w:bCs/>
                <w:kern w:val="0"/>
                <w:szCs w:val="21"/>
              </w:rPr>
              <w:t>评分项</w:t>
            </w:r>
          </w:p>
        </w:tc>
        <w:tc>
          <w:tcPr>
            <w:tcW w:w="4536" w:type="dxa"/>
            <w:noWrap/>
            <w:vAlign w:val="center"/>
          </w:tcPr>
          <w:p>
            <w:pPr>
              <w:jc w:val="center"/>
              <w:rPr>
                <w:rFonts w:ascii="Calibri" w:hAnsi="Calibri" w:eastAsia="宋体" w:cs="Times New Roman"/>
                <w:b/>
                <w:bCs/>
                <w:kern w:val="0"/>
                <w:szCs w:val="21"/>
              </w:rPr>
            </w:pPr>
            <w:r>
              <w:rPr>
                <w:rFonts w:hint="eastAsia" w:ascii="Calibri" w:hAnsi="Calibri" w:eastAsia="宋体" w:cs="Times New Roman"/>
                <w:b/>
                <w:bCs/>
                <w:kern w:val="0"/>
                <w:szCs w:val="21"/>
              </w:rPr>
              <w:t>评定方法</w:t>
            </w:r>
          </w:p>
        </w:tc>
        <w:tc>
          <w:tcPr>
            <w:tcW w:w="709" w:type="dxa"/>
            <w:noWrap/>
            <w:vAlign w:val="center"/>
          </w:tcPr>
          <w:p>
            <w:pPr>
              <w:jc w:val="center"/>
              <w:rPr>
                <w:rFonts w:ascii="Calibri" w:hAnsi="Calibri" w:eastAsia="宋体" w:cs="Times New Roman"/>
                <w:b/>
                <w:bCs/>
                <w:kern w:val="0"/>
                <w:szCs w:val="21"/>
              </w:rPr>
            </w:pPr>
            <w:r>
              <w:rPr>
                <w:rFonts w:hint="eastAsia" w:ascii="Calibri" w:hAnsi="Calibri" w:eastAsia="宋体" w:cs="Times New Roman"/>
                <w:b/>
                <w:bCs/>
                <w:kern w:val="0"/>
                <w:szCs w:val="21"/>
              </w:rPr>
              <w:t>权重因子</w:t>
            </w:r>
          </w:p>
        </w:tc>
        <w:tc>
          <w:tcPr>
            <w:tcW w:w="3118" w:type="dxa"/>
            <w:vAlign w:val="center"/>
          </w:tcPr>
          <w:p>
            <w:pPr>
              <w:jc w:val="center"/>
              <w:rPr>
                <w:rFonts w:ascii="Calibri" w:hAnsi="Calibri" w:eastAsia="宋体" w:cs="Times New Roman"/>
                <w:b/>
                <w:bCs/>
                <w:kern w:val="0"/>
                <w:szCs w:val="21"/>
              </w:rPr>
            </w:pPr>
            <w:r>
              <w:rPr>
                <w:rFonts w:hint="eastAsia" w:ascii="Calibri" w:hAnsi="Calibri" w:eastAsia="宋体" w:cs="Times New Roman"/>
                <w:b/>
                <w:bCs/>
                <w:kern w:val="0"/>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0" w:hRule="atLeast"/>
        </w:trPr>
        <w:tc>
          <w:tcPr>
            <w:tcW w:w="704" w:type="dxa"/>
            <w:noWrap/>
            <w:vAlign w:val="center"/>
          </w:tcPr>
          <w:p>
            <w:pPr>
              <w:jc w:val="center"/>
              <w:rPr>
                <w:rFonts w:hint="eastAsia" w:ascii="宋体" w:hAnsi="宋体" w:eastAsia="宋体" w:cs="Times New Roman"/>
                <w:kern w:val="0"/>
                <w:szCs w:val="21"/>
              </w:rPr>
            </w:pPr>
            <w:r>
              <w:rPr>
                <w:rFonts w:hint="eastAsia" w:ascii="宋体" w:hAnsi="宋体" w:eastAsia="宋体" w:cs="Times New Roman"/>
                <w:kern w:val="0"/>
                <w:szCs w:val="21"/>
              </w:rPr>
              <w:t>1</w:t>
            </w:r>
          </w:p>
        </w:tc>
        <w:tc>
          <w:tcPr>
            <w:tcW w:w="1843" w:type="dxa"/>
            <w:noWrap/>
            <w:vAlign w:val="center"/>
          </w:tcPr>
          <w:p>
            <w:pPr>
              <w:jc w:val="center"/>
              <w:rPr>
                <w:rFonts w:hint="eastAsia" w:ascii="宋体" w:hAnsi="宋体" w:eastAsia="宋体" w:cs="Times New Roman"/>
                <w:kern w:val="0"/>
                <w:szCs w:val="21"/>
              </w:rPr>
            </w:pPr>
            <w:r>
              <w:rPr>
                <w:rFonts w:hint="eastAsia" w:ascii="宋体" w:hAnsi="宋体" w:eastAsia="宋体" w:cs="Times New Roman"/>
                <w:kern w:val="0"/>
                <w:szCs w:val="21"/>
              </w:rPr>
              <w:t>控制系统</w:t>
            </w:r>
          </w:p>
        </w:tc>
        <w:tc>
          <w:tcPr>
            <w:tcW w:w="2977" w:type="dxa"/>
            <w:noWrap/>
            <w:vAlign w:val="center"/>
          </w:tcPr>
          <w:p>
            <w:pPr>
              <w:jc w:val="left"/>
              <w:rPr>
                <w:rFonts w:hint="eastAsia" w:ascii="宋体" w:hAnsi="宋体" w:eastAsia="宋体" w:cs="Times New Roman"/>
                <w:kern w:val="0"/>
                <w:szCs w:val="21"/>
              </w:rPr>
            </w:pPr>
            <w:r>
              <w:rPr>
                <w:rFonts w:hint="eastAsia" w:ascii="宋体" w:hAnsi="宋体" w:eastAsia="宋体" w:cs="Times New Roman"/>
                <w:kern w:val="0"/>
                <w:szCs w:val="21"/>
              </w:rPr>
              <w:t>挡烟垂壁可采用CAN总线技术，具有可视化查看、故障巡检、实时监控等功能，方便日常管理。</w:t>
            </w:r>
          </w:p>
        </w:tc>
        <w:tc>
          <w:tcPr>
            <w:tcW w:w="4536" w:type="dxa"/>
            <w:vAlign w:val="center"/>
          </w:tcPr>
          <w:p>
            <w:pPr>
              <w:numPr>
                <w:ilvl w:val="0"/>
                <w:numId w:val="5"/>
              </w:numPr>
              <w:jc w:val="left"/>
              <w:rPr>
                <w:rFonts w:hint="eastAsia" w:ascii="宋体" w:hAnsi="宋体" w:eastAsia="宋体" w:cs="Times New Roman"/>
                <w:kern w:val="0"/>
                <w:szCs w:val="21"/>
              </w:rPr>
            </w:pPr>
            <w:r>
              <w:rPr>
                <w:rFonts w:hint="eastAsia" w:ascii="宋体" w:hAnsi="宋体" w:eastAsia="宋体" w:cs="Times New Roman"/>
                <w:kern w:val="0"/>
                <w:szCs w:val="21"/>
              </w:rPr>
              <w:t>采用CAN总线技术，可视化查看、故障巡检、实时监控等功能，得100分。</w:t>
            </w:r>
          </w:p>
          <w:p>
            <w:pPr>
              <w:numPr>
                <w:ilvl w:val="0"/>
                <w:numId w:val="5"/>
              </w:numPr>
              <w:jc w:val="left"/>
              <w:rPr>
                <w:rFonts w:hint="eastAsia" w:ascii="宋体" w:hAnsi="宋体" w:eastAsia="宋体" w:cs="Times New Roman"/>
                <w:kern w:val="0"/>
                <w:szCs w:val="21"/>
              </w:rPr>
            </w:pPr>
            <w:r>
              <w:rPr>
                <w:rFonts w:hint="eastAsia" w:ascii="宋体" w:hAnsi="宋体" w:eastAsia="宋体" w:cs="Times New Roman"/>
                <w:kern w:val="0"/>
                <w:szCs w:val="21"/>
              </w:rPr>
              <w:t>可视化查看，故障巡检，得80分。</w:t>
            </w:r>
          </w:p>
          <w:p>
            <w:pPr>
              <w:numPr>
                <w:ilvl w:val="0"/>
                <w:numId w:val="5"/>
              </w:numPr>
              <w:jc w:val="left"/>
              <w:rPr>
                <w:rFonts w:hint="eastAsia" w:ascii="宋体" w:hAnsi="宋体" w:eastAsia="宋体" w:cs="Times New Roman"/>
                <w:kern w:val="0"/>
                <w:szCs w:val="21"/>
              </w:rPr>
            </w:pPr>
            <w:r>
              <w:rPr>
                <w:rFonts w:hint="eastAsia" w:ascii="宋体" w:hAnsi="宋体" w:eastAsia="宋体" w:cs="Times New Roman"/>
                <w:kern w:val="0"/>
                <w:szCs w:val="21"/>
              </w:rPr>
              <w:t>故障巡检，得60分。</w:t>
            </w:r>
          </w:p>
        </w:tc>
        <w:tc>
          <w:tcPr>
            <w:tcW w:w="709" w:type="dxa"/>
            <w:noWrap/>
            <w:vAlign w:val="center"/>
          </w:tcPr>
          <w:p>
            <w:pPr>
              <w:jc w:val="center"/>
              <w:rPr>
                <w:rFonts w:hint="eastAsia" w:ascii="宋体" w:hAnsi="宋体" w:eastAsia="宋体" w:cs="Times New Roman"/>
                <w:kern w:val="0"/>
                <w:szCs w:val="21"/>
              </w:rPr>
            </w:pPr>
            <w:r>
              <w:rPr>
                <w:rFonts w:hint="eastAsia" w:ascii="宋体" w:hAnsi="宋体" w:eastAsia="宋体" w:cs="Times New Roman"/>
                <w:kern w:val="0"/>
                <w:szCs w:val="21"/>
              </w:rPr>
              <w:t>0.4</w:t>
            </w:r>
          </w:p>
        </w:tc>
        <w:tc>
          <w:tcPr>
            <w:tcW w:w="3118" w:type="dxa"/>
            <w:vAlign w:val="center"/>
          </w:tcPr>
          <w:p>
            <w:pPr>
              <w:jc w:val="center"/>
              <w:rPr>
                <w:rFonts w:hint="eastAsia" w:ascii="宋体" w:hAnsi="宋体" w:eastAsia="宋体" w:cs="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trPr>
        <w:tc>
          <w:tcPr>
            <w:tcW w:w="704" w:type="dxa"/>
            <w:noWrap/>
            <w:vAlign w:val="center"/>
          </w:tcPr>
          <w:p>
            <w:pPr>
              <w:jc w:val="center"/>
              <w:rPr>
                <w:rFonts w:hint="eastAsia" w:ascii="宋体" w:hAnsi="宋体" w:eastAsia="宋体" w:cs="Times New Roman"/>
                <w:kern w:val="0"/>
                <w:szCs w:val="21"/>
              </w:rPr>
            </w:pPr>
            <w:r>
              <w:rPr>
                <w:rFonts w:hint="eastAsia" w:ascii="宋体" w:hAnsi="宋体" w:eastAsia="宋体" w:cs="Times New Roman"/>
                <w:kern w:val="0"/>
                <w:szCs w:val="21"/>
              </w:rPr>
              <w:t>2</w:t>
            </w:r>
          </w:p>
        </w:tc>
        <w:tc>
          <w:tcPr>
            <w:tcW w:w="1843" w:type="dxa"/>
            <w:vAlign w:val="center"/>
          </w:tcPr>
          <w:p>
            <w:pPr>
              <w:jc w:val="center"/>
              <w:rPr>
                <w:rFonts w:hint="eastAsia" w:ascii="宋体" w:hAnsi="宋体" w:eastAsia="宋体" w:cs="Times New Roman"/>
                <w:kern w:val="0"/>
                <w:szCs w:val="21"/>
              </w:rPr>
            </w:pPr>
            <w:r>
              <w:rPr>
                <w:rFonts w:hint="eastAsia" w:ascii="宋体" w:hAnsi="宋体" w:eastAsia="宋体" w:cs="Times New Roman"/>
                <w:kern w:val="0"/>
                <w:szCs w:val="21"/>
              </w:rPr>
              <w:t>运行速度</w:t>
            </w:r>
          </w:p>
        </w:tc>
        <w:tc>
          <w:tcPr>
            <w:tcW w:w="2977" w:type="dxa"/>
            <w:vAlign w:val="center"/>
          </w:tcPr>
          <w:p>
            <w:pPr>
              <w:jc w:val="left"/>
              <w:rPr>
                <w:rFonts w:hint="eastAsia" w:ascii="宋体" w:hAnsi="宋体" w:eastAsia="宋体" w:cs="Times New Roman"/>
                <w:kern w:val="0"/>
                <w:szCs w:val="21"/>
              </w:rPr>
            </w:pPr>
            <w:r>
              <w:rPr>
                <w:rFonts w:hint="eastAsia" w:ascii="宋体" w:hAnsi="宋体" w:eastAsia="宋体" w:cs="Times New Roman"/>
                <w:kern w:val="0"/>
                <w:szCs w:val="21"/>
              </w:rPr>
              <w:t>挡烟垂帘应具备一定的运行速度，在接收到启动指令的60s内或小于烟气充满储烟仓时间下落到位。</w:t>
            </w:r>
          </w:p>
        </w:tc>
        <w:tc>
          <w:tcPr>
            <w:tcW w:w="4536" w:type="dxa"/>
            <w:vAlign w:val="center"/>
          </w:tcPr>
          <w:p>
            <w:pPr>
              <w:numPr>
                <w:ilvl w:val="0"/>
                <w:numId w:val="6"/>
              </w:numPr>
              <w:jc w:val="left"/>
              <w:rPr>
                <w:rFonts w:hint="eastAsia" w:ascii="宋体" w:hAnsi="宋体" w:eastAsia="宋体" w:cs="Times New Roman"/>
                <w:kern w:val="0"/>
                <w:szCs w:val="21"/>
              </w:rPr>
            </w:pPr>
            <w:r>
              <w:rPr>
                <w:rFonts w:hint="eastAsia" w:ascii="宋体" w:hAnsi="宋体" w:eastAsia="宋体" w:cs="Times New Roman"/>
                <w:kern w:val="0"/>
                <w:szCs w:val="21"/>
              </w:rPr>
              <w:t>运行速度≥0.12m/s，得100分。</w:t>
            </w:r>
          </w:p>
          <w:p>
            <w:pPr>
              <w:numPr>
                <w:ilvl w:val="0"/>
                <w:numId w:val="6"/>
              </w:numPr>
              <w:jc w:val="left"/>
              <w:rPr>
                <w:rFonts w:hint="eastAsia" w:ascii="宋体" w:hAnsi="宋体" w:eastAsia="宋体" w:cs="Times New Roman"/>
                <w:kern w:val="0"/>
                <w:szCs w:val="21"/>
              </w:rPr>
            </w:pPr>
            <w:r>
              <w:rPr>
                <w:rFonts w:hint="eastAsia" w:ascii="宋体" w:hAnsi="宋体" w:eastAsia="宋体" w:cs="Times New Roman"/>
                <w:kern w:val="0"/>
                <w:szCs w:val="21"/>
              </w:rPr>
              <w:t>运行速度0.09～0.12m/s，得80分；</w:t>
            </w:r>
          </w:p>
          <w:p>
            <w:pPr>
              <w:numPr>
                <w:ilvl w:val="0"/>
                <w:numId w:val="6"/>
              </w:numPr>
              <w:jc w:val="left"/>
              <w:rPr>
                <w:rFonts w:hint="eastAsia" w:ascii="宋体" w:hAnsi="宋体" w:eastAsia="宋体" w:cs="Times New Roman"/>
                <w:kern w:val="0"/>
                <w:szCs w:val="21"/>
              </w:rPr>
            </w:pPr>
            <w:r>
              <w:rPr>
                <w:rFonts w:hint="eastAsia" w:ascii="宋体" w:hAnsi="宋体" w:eastAsia="宋体" w:cs="Times New Roman"/>
                <w:kern w:val="0"/>
                <w:szCs w:val="21"/>
              </w:rPr>
              <w:t>运行速度≥0.07m/s得60分。</w:t>
            </w:r>
          </w:p>
        </w:tc>
        <w:tc>
          <w:tcPr>
            <w:tcW w:w="709" w:type="dxa"/>
            <w:noWrap/>
            <w:vAlign w:val="center"/>
          </w:tcPr>
          <w:p>
            <w:pPr>
              <w:jc w:val="center"/>
              <w:rPr>
                <w:rFonts w:hint="eastAsia" w:ascii="宋体" w:hAnsi="宋体" w:eastAsia="宋体" w:cs="Times New Roman"/>
                <w:kern w:val="0"/>
                <w:szCs w:val="21"/>
              </w:rPr>
            </w:pPr>
            <w:r>
              <w:rPr>
                <w:rFonts w:hint="eastAsia" w:ascii="宋体" w:hAnsi="宋体" w:eastAsia="宋体" w:cs="Times New Roman"/>
                <w:kern w:val="0"/>
                <w:szCs w:val="21"/>
              </w:rPr>
              <w:t>0.3</w:t>
            </w:r>
          </w:p>
        </w:tc>
        <w:tc>
          <w:tcPr>
            <w:tcW w:w="3118" w:type="dxa"/>
            <w:vAlign w:val="center"/>
          </w:tcPr>
          <w:p>
            <w:pPr>
              <w:jc w:val="left"/>
              <w:rPr>
                <w:rFonts w:hint="eastAsia" w:ascii="宋体" w:hAnsi="宋体" w:eastAsia="宋体" w:cs="Times New Roman"/>
                <w:kern w:val="0"/>
                <w:szCs w:val="21"/>
              </w:rPr>
            </w:pPr>
            <w:r>
              <w:rPr>
                <w:rFonts w:hint="eastAsia" w:ascii="宋体" w:hAnsi="宋体" w:eastAsia="宋体" w:cs="Times New Roman"/>
                <w:kern w:val="0"/>
                <w:szCs w:val="21"/>
              </w:rPr>
              <w:t>参考《建筑防烟排烟系统技术标准》GB 51251—2017 第 5.2.5 条规定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8" w:hRule="atLeast"/>
        </w:trPr>
        <w:tc>
          <w:tcPr>
            <w:tcW w:w="704" w:type="dxa"/>
            <w:noWrap/>
            <w:vAlign w:val="center"/>
          </w:tcPr>
          <w:p>
            <w:pPr>
              <w:jc w:val="center"/>
              <w:rPr>
                <w:rFonts w:hint="eastAsia" w:ascii="宋体" w:hAnsi="宋体" w:eastAsia="宋体" w:cs="Times New Roman"/>
                <w:kern w:val="0"/>
                <w:szCs w:val="21"/>
              </w:rPr>
            </w:pPr>
            <w:r>
              <w:rPr>
                <w:rFonts w:hint="eastAsia" w:ascii="宋体" w:hAnsi="宋体" w:eastAsia="宋体" w:cs="Times New Roman"/>
                <w:kern w:val="0"/>
                <w:szCs w:val="21"/>
              </w:rPr>
              <w:t>3</w:t>
            </w:r>
          </w:p>
        </w:tc>
        <w:tc>
          <w:tcPr>
            <w:tcW w:w="1843" w:type="dxa"/>
            <w:noWrap/>
            <w:vAlign w:val="center"/>
          </w:tcPr>
          <w:p>
            <w:pPr>
              <w:jc w:val="center"/>
              <w:rPr>
                <w:rFonts w:hint="eastAsia" w:ascii="宋体" w:hAnsi="宋体" w:eastAsia="宋体" w:cs="Times New Roman"/>
                <w:kern w:val="0"/>
                <w:szCs w:val="21"/>
              </w:rPr>
            </w:pPr>
            <w:r>
              <w:rPr>
                <w:rFonts w:hint="eastAsia" w:ascii="宋体" w:hAnsi="宋体" w:eastAsia="宋体" w:cs="Times New Roman"/>
                <w:kern w:val="0"/>
                <w:szCs w:val="21"/>
              </w:rPr>
              <w:t>抗风摆性能</w:t>
            </w:r>
          </w:p>
        </w:tc>
        <w:tc>
          <w:tcPr>
            <w:tcW w:w="2977" w:type="dxa"/>
            <w:vAlign w:val="center"/>
          </w:tcPr>
          <w:p>
            <w:pPr>
              <w:jc w:val="left"/>
              <w:rPr>
                <w:rFonts w:hint="eastAsia" w:ascii="宋体" w:hAnsi="宋体" w:eastAsia="宋体" w:cs="Times New Roman"/>
                <w:kern w:val="0"/>
                <w:szCs w:val="21"/>
              </w:rPr>
            </w:pPr>
            <w:r>
              <w:rPr>
                <w:rFonts w:hint="eastAsia" w:ascii="宋体" w:hAnsi="宋体" w:eastAsia="宋体" w:cs="Times New Roman"/>
                <w:kern w:val="0"/>
                <w:szCs w:val="21"/>
              </w:rPr>
              <w:t>挡烟垂帘在表面垂直方向承受一定风压作用时，垂直偏角不应大于15°。</w:t>
            </w:r>
          </w:p>
        </w:tc>
        <w:tc>
          <w:tcPr>
            <w:tcW w:w="4536" w:type="dxa"/>
            <w:vAlign w:val="center"/>
          </w:tcPr>
          <w:p>
            <w:pPr>
              <w:numPr>
                <w:ilvl w:val="0"/>
                <w:numId w:val="7"/>
              </w:numPr>
              <w:jc w:val="left"/>
              <w:rPr>
                <w:rFonts w:hint="eastAsia" w:ascii="宋体" w:hAnsi="宋体" w:eastAsia="宋体" w:cs="Times New Roman"/>
                <w:kern w:val="0"/>
                <w:szCs w:val="21"/>
              </w:rPr>
            </w:pPr>
            <w:r>
              <w:rPr>
                <w:rFonts w:hint="eastAsia" w:ascii="宋体" w:hAnsi="宋体" w:eastAsia="宋体" w:cs="Times New Roman"/>
                <w:kern w:val="0"/>
                <w:szCs w:val="21"/>
              </w:rPr>
              <w:t>以(7±1)m/s风速测试时，其垂直偏角≤15°，得100分：</w:t>
            </w:r>
          </w:p>
          <w:p>
            <w:pPr>
              <w:numPr>
                <w:ilvl w:val="0"/>
                <w:numId w:val="7"/>
              </w:numPr>
              <w:jc w:val="left"/>
              <w:rPr>
                <w:rFonts w:hint="eastAsia" w:ascii="宋体" w:hAnsi="宋体" w:eastAsia="宋体" w:cs="Times New Roman"/>
                <w:kern w:val="0"/>
                <w:szCs w:val="21"/>
              </w:rPr>
            </w:pPr>
            <w:r>
              <w:rPr>
                <w:rFonts w:hint="eastAsia" w:ascii="宋体" w:hAnsi="宋体" w:eastAsia="宋体" w:cs="Times New Roman"/>
                <w:kern w:val="0"/>
                <w:szCs w:val="21"/>
              </w:rPr>
              <w:t>以(6±1)m/s风速测试时，其垂直偏角≤15°，得80分；</w:t>
            </w:r>
          </w:p>
          <w:p>
            <w:pPr>
              <w:numPr>
                <w:ilvl w:val="0"/>
                <w:numId w:val="7"/>
              </w:numPr>
              <w:jc w:val="left"/>
              <w:rPr>
                <w:rFonts w:hint="eastAsia" w:ascii="宋体" w:hAnsi="宋体" w:eastAsia="宋体" w:cs="Times New Roman"/>
                <w:kern w:val="0"/>
                <w:szCs w:val="21"/>
              </w:rPr>
            </w:pPr>
            <w:r>
              <w:rPr>
                <w:rFonts w:hint="eastAsia" w:ascii="宋体" w:hAnsi="宋体" w:eastAsia="宋体" w:cs="Times New Roman"/>
                <w:kern w:val="0"/>
                <w:szCs w:val="21"/>
              </w:rPr>
              <w:t>以(5±1)m/s风速测试时，其垂直偏角≤15°，得60分。</w:t>
            </w:r>
          </w:p>
        </w:tc>
        <w:tc>
          <w:tcPr>
            <w:tcW w:w="709" w:type="dxa"/>
            <w:noWrap/>
            <w:vAlign w:val="center"/>
          </w:tcPr>
          <w:p>
            <w:pPr>
              <w:jc w:val="center"/>
              <w:rPr>
                <w:rFonts w:hint="eastAsia" w:ascii="宋体" w:hAnsi="宋体" w:eastAsia="宋体" w:cs="Times New Roman"/>
                <w:kern w:val="0"/>
                <w:szCs w:val="21"/>
              </w:rPr>
            </w:pPr>
            <w:r>
              <w:rPr>
                <w:rFonts w:hint="eastAsia" w:ascii="宋体" w:hAnsi="宋体" w:eastAsia="宋体" w:cs="Times New Roman"/>
                <w:kern w:val="0"/>
                <w:szCs w:val="21"/>
              </w:rPr>
              <w:t>0.3</w:t>
            </w:r>
          </w:p>
        </w:tc>
        <w:tc>
          <w:tcPr>
            <w:tcW w:w="3118" w:type="dxa"/>
            <w:vAlign w:val="center"/>
          </w:tcPr>
          <w:p>
            <w:pPr>
              <w:jc w:val="left"/>
              <w:rPr>
                <w:rFonts w:hint="eastAsia" w:ascii="宋体" w:hAnsi="宋体" w:eastAsia="宋体" w:cs="Times New Roman"/>
                <w:kern w:val="0"/>
                <w:szCs w:val="21"/>
              </w:rPr>
            </w:pPr>
            <w:r>
              <w:rPr>
                <w:rFonts w:hint="eastAsia" w:ascii="宋体" w:hAnsi="宋体" w:eastAsia="宋体" w:cs="Times New Roman"/>
                <w:kern w:val="0"/>
                <w:szCs w:val="21"/>
              </w:rPr>
              <w:t>参考《挡烟垂壁》XF 533-2012 中的 第5.2.5 条规定</w:t>
            </w:r>
          </w:p>
        </w:tc>
      </w:tr>
    </w:tbl>
    <w:p>
      <w:pPr>
        <w:widowControl/>
        <w:jc w:val="center"/>
      </w:pPr>
      <w:r>
        <w:rPr>
          <w:rFonts w:hint="eastAsia" w:ascii="宋体" w:hAnsi="宋体" w:eastAsia="宋体" w:cs="Times New Roman"/>
          <w:b/>
          <w:bCs/>
          <w:szCs w:val="21"/>
        </w:rPr>
        <w:t>表</w:t>
      </w:r>
      <w:r>
        <w:rPr>
          <w:rFonts w:ascii="宋体" w:hAnsi="宋体" w:eastAsia="宋体" w:cs="Times New Roman"/>
          <w:b/>
          <w:bCs/>
          <w:szCs w:val="21"/>
        </w:rPr>
        <w:t>4.2.</w:t>
      </w:r>
      <w:r>
        <w:rPr>
          <w:rFonts w:hint="eastAsia" w:ascii="宋体" w:hAnsi="宋体" w:eastAsia="宋体" w:cs="Times New Roman"/>
          <w:b/>
          <w:bCs/>
          <w:szCs w:val="21"/>
        </w:rPr>
        <w:t>5</w:t>
      </w:r>
      <w:r>
        <w:rPr>
          <w:rFonts w:ascii="宋体" w:hAnsi="宋体" w:eastAsia="宋体" w:cs="Times New Roman"/>
          <w:b/>
          <w:bCs/>
          <w:szCs w:val="21"/>
        </w:rPr>
        <w:t>-</w:t>
      </w:r>
      <w:r>
        <w:rPr>
          <w:rFonts w:hint="eastAsia" w:ascii="宋体" w:hAnsi="宋体" w:eastAsia="宋体" w:cs="Times New Roman"/>
          <w:b/>
          <w:bCs/>
          <w:szCs w:val="21"/>
        </w:rPr>
        <w:t>3</w:t>
      </w:r>
      <w:r>
        <w:rPr>
          <w:rFonts w:hint="eastAsia"/>
          <w:b/>
          <w:bCs/>
        </w:rPr>
        <w:t>自动卷帘式</w:t>
      </w:r>
      <w:r>
        <w:rPr>
          <w:b/>
          <w:bCs/>
        </w:rPr>
        <w:t>挡烟垂壁</w:t>
      </w:r>
      <w:r>
        <w:rPr>
          <w:rFonts w:hint="eastAsia" w:ascii="宋体" w:hAnsi="宋体" w:eastAsia="宋体" w:cs="Times New Roman"/>
          <w:b/>
          <w:bCs/>
          <w:szCs w:val="21"/>
        </w:rPr>
        <w:t>优选项评定表</w:t>
      </w:r>
    </w:p>
    <w:tbl>
      <w:tblPr>
        <w:tblStyle w:val="17"/>
        <w:tblW w:w="13887" w:type="dxa"/>
        <w:tblInd w:w="0" w:type="dxa"/>
        <w:tblLayout w:type="autofit"/>
        <w:tblCellMar>
          <w:top w:w="0" w:type="dxa"/>
          <w:left w:w="108" w:type="dxa"/>
          <w:bottom w:w="0" w:type="dxa"/>
          <w:right w:w="108" w:type="dxa"/>
        </w:tblCellMar>
      </w:tblPr>
      <w:tblGrid>
        <w:gridCol w:w="704"/>
        <w:gridCol w:w="1896"/>
        <w:gridCol w:w="4058"/>
        <w:gridCol w:w="2835"/>
        <w:gridCol w:w="709"/>
        <w:gridCol w:w="3685"/>
      </w:tblGrid>
      <w:tr>
        <w:tblPrEx>
          <w:tblCellMar>
            <w:top w:w="0" w:type="dxa"/>
            <w:left w:w="108" w:type="dxa"/>
            <w:bottom w:w="0" w:type="dxa"/>
            <w:right w:w="108" w:type="dxa"/>
          </w:tblCellMar>
        </w:tblPrEx>
        <w:trPr>
          <w:trHeight w:val="280" w:hRule="atLeast"/>
        </w:trPr>
        <w:tc>
          <w:tcPr>
            <w:tcW w:w="704"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b/>
                <w:bCs/>
                <w:kern w:val="0"/>
                <w:szCs w:val="21"/>
              </w:rPr>
            </w:pPr>
            <w:r>
              <w:br w:type="page"/>
            </w:r>
            <w:r>
              <w:rPr>
                <w:rFonts w:hint="eastAsia" w:ascii="宋体" w:hAnsi="宋体" w:eastAsia="宋体" w:cs="宋体"/>
                <w:b/>
                <w:bCs/>
                <w:kern w:val="0"/>
                <w:szCs w:val="21"/>
              </w:rPr>
              <w:t>序号</w:t>
            </w:r>
          </w:p>
        </w:tc>
        <w:tc>
          <w:tcPr>
            <w:tcW w:w="1896"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eastAsia="宋体" w:cs="宋体"/>
                <w:b/>
                <w:bCs/>
                <w:kern w:val="0"/>
                <w:szCs w:val="21"/>
              </w:rPr>
            </w:pPr>
            <w:r>
              <w:rPr>
                <w:rFonts w:hint="eastAsia" w:ascii="宋体" w:hAnsi="宋体" w:eastAsia="宋体" w:cs="宋体"/>
                <w:b/>
                <w:bCs/>
                <w:kern w:val="0"/>
                <w:szCs w:val="21"/>
              </w:rPr>
              <w:t>评定指标</w:t>
            </w:r>
          </w:p>
        </w:tc>
        <w:tc>
          <w:tcPr>
            <w:tcW w:w="4058"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宋体"/>
                <w:b/>
                <w:bCs/>
                <w:kern w:val="0"/>
                <w:szCs w:val="21"/>
              </w:rPr>
            </w:pPr>
            <w:r>
              <w:rPr>
                <w:rFonts w:hint="eastAsia" w:ascii="宋体" w:hAnsi="宋体" w:eastAsia="宋体" w:cs="宋体"/>
                <w:b/>
                <w:bCs/>
                <w:kern w:val="0"/>
                <w:szCs w:val="21"/>
              </w:rPr>
              <w:t>优选项</w:t>
            </w:r>
          </w:p>
        </w:tc>
        <w:tc>
          <w:tcPr>
            <w:tcW w:w="2835"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eastAsia="宋体" w:cs="宋体"/>
                <w:b/>
                <w:bCs/>
                <w:kern w:val="0"/>
                <w:szCs w:val="21"/>
              </w:rPr>
            </w:pPr>
            <w:r>
              <w:rPr>
                <w:rFonts w:hint="eastAsia" w:ascii="宋体" w:hAnsi="宋体" w:eastAsia="宋体" w:cs="宋体"/>
                <w:b/>
                <w:bCs/>
                <w:kern w:val="0"/>
                <w:szCs w:val="21"/>
              </w:rPr>
              <w:t>评定方法</w:t>
            </w:r>
          </w:p>
        </w:tc>
        <w:tc>
          <w:tcPr>
            <w:tcW w:w="709" w:type="dxa"/>
            <w:tcBorders>
              <w:top w:val="single" w:color="auto" w:sz="4" w:space="0"/>
              <w:left w:val="nil"/>
              <w:bottom w:val="single" w:color="auto" w:sz="4" w:space="0"/>
              <w:right w:val="single" w:color="auto" w:sz="4" w:space="0"/>
            </w:tcBorders>
          </w:tcPr>
          <w:p>
            <w:pPr>
              <w:widowControl/>
              <w:jc w:val="center"/>
              <w:rPr>
                <w:rFonts w:hint="eastAsia" w:ascii="宋体" w:hAnsi="宋体" w:eastAsia="宋体" w:cs="宋体"/>
                <w:b/>
                <w:bCs/>
                <w:kern w:val="0"/>
                <w:szCs w:val="21"/>
              </w:rPr>
            </w:pPr>
            <w:r>
              <w:rPr>
                <w:rFonts w:hint="eastAsia" w:ascii="宋体" w:hAnsi="宋体" w:eastAsia="宋体" w:cs="宋体"/>
                <w:b/>
                <w:bCs/>
                <w:kern w:val="0"/>
                <w:szCs w:val="21"/>
              </w:rPr>
              <w:t>权重因子</w:t>
            </w:r>
          </w:p>
        </w:tc>
        <w:tc>
          <w:tcPr>
            <w:tcW w:w="3685"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b/>
                <w:bCs/>
                <w:kern w:val="0"/>
                <w:szCs w:val="21"/>
              </w:rPr>
            </w:pPr>
            <w:r>
              <w:rPr>
                <w:rFonts w:hint="eastAsia" w:ascii="宋体" w:hAnsi="宋体" w:eastAsia="宋体" w:cs="宋体"/>
                <w:b/>
                <w:bCs/>
                <w:kern w:val="0"/>
                <w:szCs w:val="21"/>
              </w:rPr>
              <w:t>说明</w:t>
            </w:r>
          </w:p>
        </w:tc>
      </w:tr>
      <w:tr>
        <w:tblPrEx>
          <w:tblCellMar>
            <w:top w:w="0" w:type="dxa"/>
            <w:left w:w="108" w:type="dxa"/>
            <w:bottom w:w="0" w:type="dxa"/>
            <w:right w:w="108" w:type="dxa"/>
          </w:tblCellMar>
        </w:tblPrEx>
        <w:trPr>
          <w:trHeight w:val="890" w:hRule="atLeast"/>
        </w:trPr>
        <w:tc>
          <w:tcPr>
            <w:tcW w:w="704" w:type="dxa"/>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kern w:val="0"/>
                <w:szCs w:val="21"/>
              </w:rPr>
            </w:pPr>
            <w:r>
              <w:rPr>
                <w:rFonts w:hint="eastAsia" w:ascii="宋体" w:hAnsi="宋体" w:eastAsia="宋体" w:cs="宋体"/>
                <w:kern w:val="0"/>
                <w:szCs w:val="21"/>
              </w:rPr>
              <w:t>1</w:t>
            </w:r>
          </w:p>
        </w:tc>
        <w:tc>
          <w:tcPr>
            <w:tcW w:w="1896"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szCs w:val="21"/>
              </w:rPr>
            </w:pPr>
            <w:r>
              <w:rPr>
                <w:rFonts w:hint="eastAsia" w:ascii="宋体" w:hAnsi="宋体" w:eastAsia="宋体" w:cs="宋体"/>
                <w:kern w:val="0"/>
                <w:szCs w:val="21"/>
              </w:rPr>
              <w:t>失效保护</w:t>
            </w:r>
          </w:p>
        </w:tc>
        <w:tc>
          <w:tcPr>
            <w:tcW w:w="4058" w:type="dxa"/>
            <w:tcBorders>
              <w:top w:val="nil"/>
              <w:left w:val="nil"/>
              <w:bottom w:val="single" w:color="auto" w:sz="4" w:space="0"/>
              <w:right w:val="single" w:color="auto" w:sz="4" w:space="0"/>
            </w:tcBorders>
            <w:vAlign w:val="center"/>
          </w:tcPr>
          <w:p>
            <w:pPr>
              <w:widowControl/>
              <w:rPr>
                <w:rFonts w:hint="eastAsia" w:ascii="宋体" w:hAnsi="宋体" w:eastAsia="宋体" w:cs="宋体"/>
                <w:kern w:val="0"/>
                <w:szCs w:val="21"/>
              </w:rPr>
            </w:pPr>
            <w:r>
              <w:rPr>
                <w:rFonts w:hint="eastAsia" w:ascii="宋体" w:hAnsi="宋体" w:eastAsia="宋体" w:cs="宋体"/>
                <w:kern w:val="0"/>
                <w:szCs w:val="21"/>
              </w:rPr>
              <w:t>当系统断电或出现故障时，挡烟垂帘能自动下垂至挡烟工作位置，并向消防中心反馈异常信号。</w:t>
            </w:r>
          </w:p>
        </w:tc>
        <w:tc>
          <w:tcPr>
            <w:tcW w:w="2835"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szCs w:val="21"/>
              </w:rPr>
            </w:pPr>
            <w:r>
              <w:rPr>
                <w:rFonts w:hint="eastAsia" w:ascii="宋体" w:hAnsi="宋体" w:eastAsia="宋体" w:cs="宋体"/>
                <w:kern w:val="0"/>
                <w:szCs w:val="21"/>
              </w:rPr>
              <w:t>满足此项功能，得2分</w:t>
            </w:r>
          </w:p>
        </w:tc>
        <w:tc>
          <w:tcPr>
            <w:tcW w:w="709"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Times New Roman"/>
                <w:szCs w:val="21"/>
              </w:rPr>
            </w:pPr>
            <w:r>
              <w:rPr>
                <w:rFonts w:hint="eastAsia" w:ascii="宋体" w:hAnsi="宋体" w:eastAsia="宋体" w:cs="Times New Roman"/>
                <w:szCs w:val="21"/>
              </w:rPr>
              <w:t>1.0</w:t>
            </w:r>
          </w:p>
        </w:tc>
        <w:tc>
          <w:tcPr>
            <w:tcW w:w="3685" w:type="dxa"/>
            <w:tcBorders>
              <w:top w:val="nil"/>
              <w:left w:val="single" w:color="auto" w:sz="4" w:space="0"/>
              <w:bottom w:val="single" w:color="auto" w:sz="4" w:space="0"/>
              <w:right w:val="single" w:color="auto" w:sz="4" w:space="0"/>
            </w:tcBorders>
            <w:noWrap/>
            <w:vAlign w:val="center"/>
          </w:tcPr>
          <w:p>
            <w:pPr>
              <w:widowControl/>
              <w:jc w:val="left"/>
              <w:rPr>
                <w:rFonts w:hint="eastAsia" w:ascii="宋体" w:hAnsi="宋体" w:eastAsia="宋体" w:cs="宋体"/>
                <w:kern w:val="0"/>
                <w:szCs w:val="21"/>
              </w:rPr>
            </w:pPr>
            <w:r>
              <w:rPr>
                <w:rFonts w:hint="eastAsia" w:ascii="宋体" w:hAnsi="宋体" w:eastAsia="宋体" w:cs="宋体"/>
                <w:kern w:val="0"/>
                <w:szCs w:val="21"/>
              </w:rPr>
              <w:t>参考《建筑防烟排烟系统技术标准》GB 51251—2017 第 7.2.3 条。</w:t>
            </w:r>
          </w:p>
        </w:tc>
      </w:tr>
    </w:tbl>
    <w:p>
      <w:pPr>
        <w:widowControl/>
        <w:jc w:val="left"/>
      </w:pPr>
    </w:p>
    <w:p>
      <w:pPr>
        <w:widowControl/>
        <w:spacing w:line="240" w:lineRule="auto"/>
        <w:jc w:val="left"/>
      </w:pPr>
      <w:r>
        <w:br w:type="page"/>
      </w:r>
    </w:p>
    <w:p>
      <w:pPr>
        <w:rPr>
          <w:rFonts w:cs="Times New Roman"/>
        </w:rPr>
      </w:pPr>
      <w:bookmarkStart w:id="65" w:name="_Toc206758005"/>
      <w:bookmarkStart w:id="66" w:name="_Toc206760195"/>
      <w:r>
        <w:t>4.2.</w:t>
      </w:r>
      <w:r>
        <w:rPr>
          <w:rFonts w:hint="eastAsia"/>
        </w:rPr>
        <w:t>6</w:t>
      </w:r>
      <w:bookmarkStart w:id="67" w:name="OLE_LINK28"/>
      <w:r>
        <w:rPr>
          <w:rFonts w:hint="eastAsia"/>
        </w:rPr>
        <w:t>自动排烟窗</w:t>
      </w:r>
      <w:bookmarkEnd w:id="65"/>
      <w:bookmarkEnd w:id="66"/>
      <w:bookmarkEnd w:id="67"/>
      <w:bookmarkStart w:id="68" w:name="OLE_LINK31"/>
      <w:r>
        <w:rPr>
          <w:rFonts w:hint="eastAsia"/>
        </w:rPr>
        <w:t>的</w:t>
      </w:r>
      <w:r>
        <w:rPr>
          <w:rFonts w:hint="eastAsia" w:asciiTheme="minorEastAsia" w:hAnsiTheme="minorEastAsia"/>
        </w:rPr>
        <w:t>控制项评定、评分项评定、优选项评定，应分别符合表</w:t>
      </w:r>
      <w:r>
        <w:rPr>
          <w:rFonts w:cs="Times New Roman"/>
        </w:rPr>
        <w:t>4.2.</w:t>
      </w:r>
      <w:r>
        <w:rPr>
          <w:rFonts w:hint="eastAsia" w:cs="Times New Roman"/>
        </w:rPr>
        <w:t>6-</w:t>
      </w:r>
      <w:r>
        <w:rPr>
          <w:rFonts w:cs="Times New Roman"/>
        </w:rPr>
        <w:t>1</w:t>
      </w:r>
      <w:r>
        <w:rPr>
          <w:rFonts w:hint="eastAsia" w:asciiTheme="minorEastAsia" w:hAnsiTheme="minorEastAsia"/>
        </w:rPr>
        <w:t>、表</w:t>
      </w:r>
      <w:r>
        <w:rPr>
          <w:rFonts w:cs="Times New Roman"/>
        </w:rPr>
        <w:t>4.2.</w:t>
      </w:r>
      <w:r>
        <w:rPr>
          <w:rFonts w:hint="eastAsia" w:cs="Times New Roman"/>
        </w:rPr>
        <w:t>6-</w:t>
      </w:r>
      <w:r>
        <w:rPr>
          <w:rFonts w:cs="Times New Roman"/>
        </w:rPr>
        <w:t>2</w:t>
      </w:r>
      <w:r>
        <w:rPr>
          <w:rFonts w:hint="eastAsia" w:asciiTheme="minorEastAsia" w:hAnsiTheme="minorEastAsia"/>
        </w:rPr>
        <w:t>、表</w:t>
      </w:r>
      <w:r>
        <w:rPr>
          <w:rFonts w:cs="Times New Roman"/>
        </w:rPr>
        <w:t>4.2.</w:t>
      </w:r>
      <w:r>
        <w:rPr>
          <w:rFonts w:hint="eastAsia" w:cs="Times New Roman"/>
        </w:rPr>
        <w:t>6-</w:t>
      </w:r>
      <w:r>
        <w:rPr>
          <w:rFonts w:cs="Times New Roman"/>
        </w:rPr>
        <w:t>3</w:t>
      </w:r>
      <w:r>
        <w:rPr>
          <w:rFonts w:hint="eastAsia" w:cs="Times New Roman"/>
        </w:rPr>
        <w:t>的规定。</w:t>
      </w:r>
      <w:bookmarkEnd w:id="68"/>
    </w:p>
    <w:p>
      <w:pPr>
        <w:widowControl/>
        <w:jc w:val="center"/>
      </w:pPr>
      <w:bookmarkStart w:id="69" w:name="OLE_LINK29"/>
      <w:r>
        <w:rPr>
          <w:rFonts w:hint="eastAsia" w:ascii="宋体" w:hAnsi="宋体" w:eastAsia="宋体" w:cs="Times New Roman"/>
          <w:b/>
          <w:bCs/>
          <w:szCs w:val="21"/>
        </w:rPr>
        <w:t>表</w:t>
      </w:r>
      <w:r>
        <w:rPr>
          <w:rFonts w:ascii="宋体" w:hAnsi="宋体" w:eastAsia="宋体" w:cs="Times New Roman"/>
          <w:b/>
          <w:bCs/>
          <w:szCs w:val="21"/>
        </w:rPr>
        <w:t>4.2.</w:t>
      </w:r>
      <w:r>
        <w:rPr>
          <w:rFonts w:hint="eastAsia" w:ascii="宋体" w:hAnsi="宋体" w:eastAsia="宋体" w:cs="Times New Roman"/>
          <w:b/>
          <w:bCs/>
          <w:szCs w:val="21"/>
        </w:rPr>
        <w:t>6</w:t>
      </w:r>
      <w:r>
        <w:rPr>
          <w:rFonts w:ascii="宋体" w:hAnsi="宋体" w:eastAsia="宋体" w:cs="Times New Roman"/>
          <w:b/>
          <w:bCs/>
          <w:szCs w:val="21"/>
        </w:rPr>
        <w:t>-</w:t>
      </w:r>
      <w:r>
        <w:rPr>
          <w:rFonts w:hint="eastAsia" w:ascii="宋体" w:hAnsi="宋体" w:eastAsia="宋体" w:cs="Times New Roman"/>
          <w:b/>
          <w:bCs/>
          <w:szCs w:val="21"/>
        </w:rPr>
        <w:t>1</w:t>
      </w:r>
      <w:r>
        <w:rPr>
          <w:rFonts w:hint="eastAsia"/>
          <w:b/>
          <w:bCs/>
        </w:rPr>
        <w:t>自动排烟窗</w:t>
      </w:r>
      <w:r>
        <w:rPr>
          <w:rFonts w:hint="eastAsia" w:ascii="宋体" w:hAnsi="宋体" w:eastAsia="宋体" w:cs="Times New Roman"/>
          <w:b/>
          <w:bCs/>
          <w:szCs w:val="21"/>
        </w:rPr>
        <w:t>控制项评定表</w:t>
      </w:r>
    </w:p>
    <w:bookmarkEnd w:id="69"/>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1843"/>
        <w:gridCol w:w="4111"/>
        <w:gridCol w:w="2268"/>
        <w:gridCol w:w="49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blHeader/>
        </w:trPr>
        <w:tc>
          <w:tcPr>
            <w:tcW w:w="704" w:type="dxa"/>
            <w:noWrap/>
            <w:vAlign w:val="center"/>
          </w:tcPr>
          <w:p>
            <w:pPr>
              <w:jc w:val="center"/>
              <w:rPr>
                <w:rFonts w:ascii="Calibri" w:hAnsi="Calibri" w:eastAsia="宋体" w:cs="Times New Roman"/>
                <w:b/>
                <w:bCs/>
                <w:kern w:val="0"/>
                <w:szCs w:val="21"/>
              </w:rPr>
            </w:pPr>
            <w:r>
              <w:rPr>
                <w:rFonts w:hint="eastAsia" w:ascii="Calibri" w:hAnsi="Calibri" w:eastAsia="宋体" w:cs="Times New Roman"/>
                <w:b/>
                <w:bCs/>
                <w:kern w:val="0"/>
                <w:szCs w:val="21"/>
              </w:rPr>
              <w:t>序号</w:t>
            </w:r>
          </w:p>
        </w:tc>
        <w:tc>
          <w:tcPr>
            <w:tcW w:w="1843" w:type="dxa"/>
            <w:noWrap/>
            <w:vAlign w:val="center"/>
          </w:tcPr>
          <w:p>
            <w:pPr>
              <w:jc w:val="center"/>
              <w:rPr>
                <w:rFonts w:ascii="Calibri" w:hAnsi="Calibri" w:eastAsia="宋体" w:cs="Times New Roman"/>
                <w:b/>
                <w:bCs/>
                <w:kern w:val="0"/>
                <w:szCs w:val="21"/>
              </w:rPr>
            </w:pPr>
            <w:r>
              <w:rPr>
                <w:rFonts w:hint="eastAsia" w:ascii="Calibri" w:hAnsi="Calibri" w:eastAsia="宋体" w:cs="Times New Roman"/>
                <w:b/>
                <w:bCs/>
                <w:kern w:val="0"/>
                <w:szCs w:val="21"/>
              </w:rPr>
              <w:t>评定指标</w:t>
            </w:r>
          </w:p>
        </w:tc>
        <w:tc>
          <w:tcPr>
            <w:tcW w:w="4111" w:type="dxa"/>
            <w:noWrap/>
            <w:vAlign w:val="center"/>
          </w:tcPr>
          <w:p>
            <w:pPr>
              <w:jc w:val="center"/>
              <w:rPr>
                <w:rFonts w:ascii="Calibri" w:hAnsi="Calibri" w:eastAsia="宋体" w:cs="Times New Roman"/>
                <w:b/>
                <w:bCs/>
                <w:kern w:val="0"/>
                <w:szCs w:val="21"/>
              </w:rPr>
            </w:pPr>
            <w:r>
              <w:rPr>
                <w:rFonts w:hint="eastAsia" w:ascii="Calibri" w:hAnsi="Calibri" w:eastAsia="宋体" w:cs="Times New Roman"/>
                <w:b/>
                <w:bCs/>
                <w:kern w:val="0"/>
                <w:szCs w:val="21"/>
              </w:rPr>
              <w:t>控制项</w:t>
            </w:r>
          </w:p>
        </w:tc>
        <w:tc>
          <w:tcPr>
            <w:tcW w:w="2268" w:type="dxa"/>
            <w:noWrap/>
            <w:vAlign w:val="center"/>
          </w:tcPr>
          <w:p>
            <w:pPr>
              <w:jc w:val="center"/>
              <w:rPr>
                <w:rFonts w:ascii="Calibri" w:hAnsi="Calibri" w:eastAsia="宋体" w:cs="Times New Roman"/>
                <w:b/>
                <w:bCs/>
                <w:kern w:val="0"/>
                <w:szCs w:val="21"/>
              </w:rPr>
            </w:pPr>
            <w:r>
              <w:rPr>
                <w:rFonts w:hint="eastAsia" w:ascii="Calibri" w:hAnsi="Calibri" w:eastAsia="宋体" w:cs="Times New Roman"/>
                <w:b/>
                <w:bCs/>
                <w:kern w:val="0"/>
                <w:szCs w:val="21"/>
              </w:rPr>
              <w:t>评定方法</w:t>
            </w:r>
          </w:p>
        </w:tc>
        <w:tc>
          <w:tcPr>
            <w:tcW w:w="4961" w:type="dxa"/>
            <w:vAlign w:val="center"/>
          </w:tcPr>
          <w:p>
            <w:pPr>
              <w:jc w:val="center"/>
              <w:rPr>
                <w:rFonts w:ascii="Calibri" w:hAnsi="Calibri" w:eastAsia="宋体" w:cs="Times New Roman"/>
                <w:b/>
                <w:bCs/>
                <w:kern w:val="0"/>
                <w:szCs w:val="21"/>
              </w:rPr>
            </w:pPr>
            <w:r>
              <w:rPr>
                <w:rFonts w:hint="eastAsia" w:ascii="Calibri" w:hAnsi="Calibri" w:eastAsia="宋体" w:cs="Times New Roman"/>
                <w:b/>
                <w:bCs/>
                <w:kern w:val="0"/>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704" w:type="dxa"/>
            <w:noWrap/>
            <w:vAlign w:val="center"/>
          </w:tcPr>
          <w:p>
            <w:pPr>
              <w:jc w:val="center"/>
              <w:rPr>
                <w:rFonts w:hint="eastAsia" w:ascii="宋体" w:hAnsi="宋体" w:eastAsia="宋体" w:cs="Times New Roman"/>
                <w:kern w:val="0"/>
                <w:szCs w:val="21"/>
              </w:rPr>
            </w:pPr>
            <w:r>
              <w:rPr>
                <w:rFonts w:hint="eastAsia" w:ascii="宋体" w:hAnsi="宋体" w:eastAsia="宋体" w:cs="Times New Roman"/>
                <w:kern w:val="0"/>
                <w:szCs w:val="21"/>
              </w:rPr>
              <w:t>1</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Times New Roman"/>
                <w:kern w:val="0"/>
                <w:szCs w:val="21"/>
              </w:rPr>
            </w:pPr>
            <w:r>
              <w:rPr>
                <w:rFonts w:hint="eastAsia" w:ascii="宋体" w:hAnsi="宋体" w:eastAsia="宋体" w:cs="Times New Roman"/>
                <w:kern w:val="0"/>
                <w:szCs w:val="21"/>
              </w:rPr>
              <w:t>开启方式</w:t>
            </w:r>
          </w:p>
        </w:tc>
        <w:tc>
          <w:tcPr>
            <w:tcW w:w="4111" w:type="dxa"/>
            <w:tcBorders>
              <w:top w:val="single" w:color="auto" w:sz="4" w:space="0"/>
              <w:left w:val="nil"/>
              <w:bottom w:val="single" w:color="auto" w:sz="4" w:space="0"/>
              <w:right w:val="single" w:color="auto" w:sz="4" w:space="0"/>
            </w:tcBorders>
            <w:vAlign w:val="center"/>
          </w:tcPr>
          <w:p>
            <w:pPr>
              <w:rPr>
                <w:rFonts w:hint="eastAsia" w:ascii="宋体" w:hAnsi="宋体" w:eastAsia="宋体" w:cs="Times New Roman"/>
                <w:kern w:val="0"/>
                <w:szCs w:val="21"/>
              </w:rPr>
            </w:pPr>
            <w:r>
              <w:rPr>
                <w:rFonts w:hint="eastAsia" w:ascii="宋体" w:hAnsi="宋体" w:eastAsia="宋体" w:cs="Times New Roman"/>
                <w:kern w:val="0"/>
                <w:szCs w:val="21"/>
              </w:rPr>
              <w:t>1采用与火灾自动报警系统联动的控制方式</w:t>
            </w:r>
          </w:p>
          <w:p>
            <w:pPr>
              <w:rPr>
                <w:rFonts w:hint="eastAsia" w:ascii="宋体" w:hAnsi="宋体" w:eastAsia="宋体" w:cs="Times New Roman"/>
                <w:kern w:val="0"/>
                <w:szCs w:val="21"/>
              </w:rPr>
            </w:pPr>
            <w:r>
              <w:rPr>
                <w:rFonts w:hint="eastAsia" w:ascii="宋体" w:hAnsi="宋体" w:eastAsia="宋体" w:cs="Times New Roman"/>
                <w:kern w:val="0"/>
                <w:szCs w:val="21"/>
              </w:rPr>
              <w:t>2.应具备远程控制开启，现场手动开启，温控释放（可选）联动开启等功能。</w:t>
            </w:r>
          </w:p>
        </w:tc>
        <w:tc>
          <w:tcPr>
            <w:tcW w:w="2268" w:type="dxa"/>
            <w:tcBorders>
              <w:top w:val="single" w:color="auto" w:sz="4" w:space="0"/>
              <w:left w:val="nil"/>
              <w:bottom w:val="single" w:color="auto" w:sz="4" w:space="0"/>
              <w:right w:val="single" w:color="auto" w:sz="4" w:space="0"/>
            </w:tcBorders>
            <w:vAlign w:val="center"/>
          </w:tcPr>
          <w:p>
            <w:pPr>
              <w:jc w:val="center"/>
              <w:rPr>
                <w:rFonts w:hint="eastAsia" w:ascii="宋体" w:hAnsi="宋体" w:eastAsia="宋体" w:cs="Times New Roman"/>
                <w:kern w:val="0"/>
                <w:szCs w:val="21"/>
              </w:rPr>
            </w:pPr>
            <w:r>
              <w:rPr>
                <w:rFonts w:hint="eastAsia" w:ascii="宋体" w:hAnsi="宋体" w:eastAsia="宋体" w:cs="Times New Roman"/>
                <w:szCs w:val="21"/>
              </w:rPr>
              <w:t>不满足直接判定为</w:t>
            </w:r>
            <w:r>
              <w:rPr>
                <w:rFonts w:hint="eastAsia" w:ascii="宋体" w:hAnsi="宋体" w:eastAsia="宋体" w:cs="Times New Roman"/>
                <w:b/>
                <w:bCs/>
                <w:szCs w:val="21"/>
              </w:rPr>
              <w:t>D级</w:t>
            </w:r>
          </w:p>
        </w:tc>
        <w:tc>
          <w:tcPr>
            <w:tcW w:w="4961" w:type="dxa"/>
            <w:tcBorders>
              <w:top w:val="nil"/>
              <w:left w:val="single" w:color="auto" w:sz="4" w:space="0"/>
              <w:bottom w:val="single" w:color="auto" w:sz="4" w:space="0"/>
              <w:right w:val="single" w:color="auto" w:sz="4" w:space="0"/>
            </w:tcBorders>
            <w:vAlign w:val="center"/>
          </w:tcPr>
          <w:p>
            <w:pPr>
              <w:rPr>
                <w:rFonts w:hint="eastAsia" w:ascii="宋体" w:hAnsi="宋体" w:eastAsia="宋体" w:cs="Times New Roman"/>
                <w:kern w:val="0"/>
                <w:szCs w:val="21"/>
              </w:rPr>
            </w:pPr>
            <w:r>
              <w:rPr>
                <w:rFonts w:hint="eastAsia" w:ascii="宋体" w:hAnsi="宋体" w:eastAsia="宋体" w:cs="Times New Roman"/>
                <w:kern w:val="0"/>
                <w:szCs w:val="21"/>
              </w:rPr>
              <w:t>参考《建筑防烟排烟系统技术标准》GB 51251-2017 5.2.6条规定。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3" w:hRule="atLeast"/>
        </w:trPr>
        <w:tc>
          <w:tcPr>
            <w:tcW w:w="704" w:type="dxa"/>
            <w:noWrap/>
            <w:vAlign w:val="center"/>
          </w:tcPr>
          <w:p>
            <w:pPr>
              <w:jc w:val="center"/>
              <w:rPr>
                <w:rFonts w:hint="eastAsia" w:ascii="宋体" w:hAnsi="宋体" w:eastAsia="宋体" w:cs="Times New Roman"/>
                <w:kern w:val="0"/>
                <w:szCs w:val="21"/>
              </w:rPr>
            </w:pPr>
            <w:r>
              <w:rPr>
                <w:rFonts w:hint="eastAsia" w:ascii="宋体" w:hAnsi="宋体" w:eastAsia="宋体" w:cs="Times New Roman"/>
                <w:kern w:val="0"/>
                <w:szCs w:val="21"/>
              </w:rPr>
              <w:t>2</w:t>
            </w:r>
          </w:p>
        </w:tc>
        <w:tc>
          <w:tcPr>
            <w:tcW w:w="1843" w:type="dxa"/>
            <w:tcBorders>
              <w:top w:val="nil"/>
              <w:left w:val="single" w:color="auto" w:sz="4" w:space="0"/>
              <w:bottom w:val="single" w:color="auto" w:sz="4" w:space="0"/>
              <w:right w:val="single" w:color="auto" w:sz="4" w:space="0"/>
            </w:tcBorders>
            <w:vAlign w:val="center"/>
          </w:tcPr>
          <w:p>
            <w:pPr>
              <w:jc w:val="center"/>
              <w:rPr>
                <w:rFonts w:hint="eastAsia" w:ascii="宋体" w:hAnsi="宋体" w:eastAsia="宋体" w:cs="Times New Roman"/>
                <w:kern w:val="0"/>
                <w:szCs w:val="21"/>
              </w:rPr>
            </w:pPr>
            <w:r>
              <w:rPr>
                <w:rFonts w:hint="eastAsia" w:ascii="宋体" w:hAnsi="宋体" w:eastAsia="宋体" w:cs="Times New Roman"/>
                <w:kern w:val="0"/>
                <w:szCs w:val="21"/>
              </w:rPr>
              <w:t>状态反馈</w:t>
            </w:r>
          </w:p>
        </w:tc>
        <w:tc>
          <w:tcPr>
            <w:tcW w:w="4111" w:type="dxa"/>
            <w:tcBorders>
              <w:top w:val="nil"/>
              <w:left w:val="nil"/>
              <w:bottom w:val="single" w:color="auto" w:sz="4" w:space="0"/>
              <w:right w:val="single" w:color="auto" w:sz="4" w:space="0"/>
            </w:tcBorders>
            <w:vAlign w:val="center"/>
          </w:tcPr>
          <w:p>
            <w:pPr>
              <w:rPr>
                <w:rFonts w:hint="eastAsia" w:ascii="宋体" w:hAnsi="宋体" w:eastAsia="宋体" w:cs="Times New Roman"/>
                <w:kern w:val="0"/>
                <w:szCs w:val="21"/>
              </w:rPr>
            </w:pPr>
            <w:r>
              <w:rPr>
                <w:rFonts w:hint="eastAsia" w:ascii="宋体" w:hAnsi="宋体" w:eastAsia="宋体" w:cs="Times New Roman"/>
                <w:kern w:val="0"/>
                <w:szCs w:val="21"/>
              </w:rPr>
              <w:t>动作状态信号应反馈到消防控制室。</w:t>
            </w:r>
          </w:p>
        </w:tc>
        <w:tc>
          <w:tcPr>
            <w:tcW w:w="2268" w:type="dxa"/>
            <w:tcBorders>
              <w:top w:val="nil"/>
              <w:left w:val="nil"/>
              <w:bottom w:val="single" w:color="auto" w:sz="4" w:space="0"/>
              <w:right w:val="single" w:color="auto" w:sz="4" w:space="0"/>
            </w:tcBorders>
            <w:vAlign w:val="center"/>
          </w:tcPr>
          <w:p>
            <w:pPr>
              <w:jc w:val="center"/>
              <w:rPr>
                <w:rFonts w:hint="eastAsia" w:ascii="宋体" w:hAnsi="宋体" w:eastAsia="宋体" w:cs="Times New Roman"/>
                <w:kern w:val="0"/>
                <w:szCs w:val="21"/>
              </w:rPr>
            </w:pPr>
            <w:r>
              <w:rPr>
                <w:rFonts w:hint="eastAsia" w:ascii="宋体" w:hAnsi="宋体" w:eastAsia="宋体" w:cs="Times New Roman"/>
                <w:szCs w:val="21"/>
              </w:rPr>
              <w:t>不满足直接判定为</w:t>
            </w:r>
            <w:r>
              <w:rPr>
                <w:rFonts w:hint="eastAsia" w:ascii="宋体" w:hAnsi="宋体" w:eastAsia="宋体" w:cs="Times New Roman"/>
                <w:b/>
                <w:bCs/>
                <w:szCs w:val="21"/>
              </w:rPr>
              <w:t>D级</w:t>
            </w:r>
          </w:p>
        </w:tc>
        <w:tc>
          <w:tcPr>
            <w:tcW w:w="4961" w:type="dxa"/>
            <w:tcBorders>
              <w:top w:val="nil"/>
              <w:left w:val="single" w:color="auto" w:sz="4" w:space="0"/>
              <w:bottom w:val="single" w:color="auto" w:sz="4" w:space="0"/>
              <w:right w:val="single" w:color="auto" w:sz="4" w:space="0"/>
            </w:tcBorders>
            <w:vAlign w:val="center"/>
          </w:tcPr>
          <w:p>
            <w:pPr>
              <w:rPr>
                <w:rFonts w:hint="eastAsia" w:ascii="宋体" w:hAnsi="宋体" w:eastAsia="宋体" w:cs="Times New Roman"/>
                <w:kern w:val="0"/>
                <w:szCs w:val="21"/>
              </w:rPr>
            </w:pPr>
            <w:r>
              <w:rPr>
                <w:rFonts w:hint="eastAsia" w:ascii="宋体" w:hAnsi="宋体" w:eastAsia="宋体" w:cs="Times New Roman"/>
                <w:kern w:val="0"/>
                <w:szCs w:val="21"/>
              </w:rPr>
              <w:t>参考《建筑防烟排烟系统技术标准》GB 51251-2017 7.3.3条规定：动作状态信号应反馈到消防控制室。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704" w:type="dxa"/>
            <w:noWrap/>
            <w:vAlign w:val="center"/>
          </w:tcPr>
          <w:p>
            <w:pPr>
              <w:jc w:val="center"/>
              <w:rPr>
                <w:rFonts w:hint="eastAsia" w:ascii="宋体" w:hAnsi="宋体" w:eastAsia="宋体" w:cs="Times New Roman"/>
                <w:kern w:val="0"/>
                <w:szCs w:val="21"/>
              </w:rPr>
            </w:pPr>
            <w:r>
              <w:rPr>
                <w:rFonts w:hint="eastAsia" w:ascii="宋体" w:hAnsi="宋体" w:eastAsia="宋体" w:cs="Times New Roman"/>
                <w:kern w:val="0"/>
                <w:szCs w:val="21"/>
              </w:rPr>
              <w:t>3</w:t>
            </w:r>
          </w:p>
        </w:tc>
        <w:tc>
          <w:tcPr>
            <w:tcW w:w="1843" w:type="dxa"/>
            <w:tcBorders>
              <w:top w:val="nil"/>
              <w:left w:val="single" w:color="auto" w:sz="4" w:space="0"/>
              <w:bottom w:val="single" w:color="auto" w:sz="4" w:space="0"/>
              <w:right w:val="single" w:color="auto" w:sz="4" w:space="0"/>
            </w:tcBorders>
            <w:vAlign w:val="center"/>
          </w:tcPr>
          <w:p>
            <w:pPr>
              <w:jc w:val="center"/>
              <w:rPr>
                <w:rFonts w:hint="eastAsia" w:ascii="宋体" w:hAnsi="宋体" w:eastAsia="宋体" w:cs="Times New Roman"/>
                <w:kern w:val="0"/>
                <w:szCs w:val="21"/>
              </w:rPr>
            </w:pPr>
            <w:r>
              <w:rPr>
                <w:rFonts w:hint="eastAsia" w:ascii="宋体" w:hAnsi="宋体" w:eastAsia="宋体" w:cs="Times New Roman"/>
                <w:kern w:val="0"/>
                <w:szCs w:val="21"/>
              </w:rPr>
              <w:t>开启时间</w:t>
            </w:r>
          </w:p>
        </w:tc>
        <w:tc>
          <w:tcPr>
            <w:tcW w:w="4111" w:type="dxa"/>
            <w:tcBorders>
              <w:top w:val="nil"/>
              <w:left w:val="nil"/>
              <w:bottom w:val="single" w:color="auto" w:sz="4" w:space="0"/>
              <w:right w:val="single" w:color="auto" w:sz="4" w:space="0"/>
            </w:tcBorders>
            <w:vAlign w:val="center"/>
          </w:tcPr>
          <w:p>
            <w:pPr>
              <w:rPr>
                <w:rFonts w:hint="eastAsia" w:ascii="宋体" w:hAnsi="宋体" w:eastAsia="宋体" w:cs="Times New Roman"/>
                <w:kern w:val="0"/>
                <w:szCs w:val="21"/>
              </w:rPr>
            </w:pPr>
            <w:r>
              <w:rPr>
                <w:rFonts w:hint="eastAsia" w:ascii="宋体" w:hAnsi="宋体" w:eastAsia="宋体" w:cs="Times New Roman"/>
                <w:kern w:val="0"/>
                <w:szCs w:val="21"/>
              </w:rPr>
              <w:t>在接收到启动指令的60s内或小于烟气充满储烟仓时间内开启完毕。</w:t>
            </w:r>
          </w:p>
        </w:tc>
        <w:tc>
          <w:tcPr>
            <w:tcW w:w="2268" w:type="dxa"/>
            <w:tcBorders>
              <w:top w:val="nil"/>
              <w:left w:val="nil"/>
              <w:bottom w:val="single" w:color="auto" w:sz="4" w:space="0"/>
              <w:right w:val="single" w:color="auto" w:sz="4" w:space="0"/>
            </w:tcBorders>
            <w:vAlign w:val="center"/>
          </w:tcPr>
          <w:p>
            <w:pPr>
              <w:jc w:val="center"/>
              <w:rPr>
                <w:rFonts w:hint="eastAsia" w:ascii="宋体" w:hAnsi="宋体" w:eastAsia="宋体" w:cs="Times New Roman"/>
                <w:kern w:val="0"/>
                <w:szCs w:val="21"/>
              </w:rPr>
            </w:pPr>
            <w:r>
              <w:rPr>
                <w:rFonts w:hint="eastAsia" w:ascii="宋体" w:hAnsi="宋体" w:eastAsia="宋体" w:cs="Times New Roman"/>
                <w:szCs w:val="21"/>
              </w:rPr>
              <w:t>不满足直接判定为</w:t>
            </w:r>
            <w:r>
              <w:rPr>
                <w:rFonts w:hint="eastAsia" w:ascii="宋体" w:hAnsi="宋体" w:eastAsia="宋体" w:cs="Times New Roman"/>
                <w:b/>
                <w:bCs/>
                <w:szCs w:val="21"/>
              </w:rPr>
              <w:t>D级</w:t>
            </w:r>
          </w:p>
        </w:tc>
        <w:tc>
          <w:tcPr>
            <w:tcW w:w="4961" w:type="dxa"/>
            <w:tcBorders>
              <w:top w:val="nil"/>
              <w:left w:val="single" w:color="auto" w:sz="4" w:space="0"/>
              <w:bottom w:val="single" w:color="auto" w:sz="4" w:space="0"/>
              <w:right w:val="single" w:color="auto" w:sz="4" w:space="0"/>
            </w:tcBorders>
            <w:vAlign w:val="center"/>
          </w:tcPr>
          <w:p>
            <w:pPr>
              <w:rPr>
                <w:rFonts w:hint="eastAsia" w:ascii="宋体" w:hAnsi="宋体" w:eastAsia="宋体" w:cs="Times New Roman"/>
                <w:kern w:val="0"/>
                <w:szCs w:val="21"/>
              </w:rPr>
            </w:pPr>
            <w:r>
              <w:rPr>
                <w:rFonts w:hint="eastAsia" w:ascii="宋体" w:hAnsi="宋体" w:eastAsia="宋体" w:cs="Times New Roman"/>
                <w:kern w:val="0"/>
                <w:szCs w:val="21"/>
              </w:rPr>
              <w:t>参考《建筑防烟排烟系统技术标准》G B 51251-2017 第5.2.6条规定-自动排烟窗可采用与火灾自动报警系统联动和温度释放装置联动的控制方式。当采用与火灾自动报警系统自动启动时，自动排烟窗应在60s内或小于烟气充满储烟仓时间内开启完毕。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704" w:type="dxa"/>
            <w:tcBorders>
              <w:bottom w:val="single" w:color="auto" w:sz="4" w:space="0"/>
            </w:tcBorders>
            <w:noWrap/>
            <w:vAlign w:val="center"/>
          </w:tcPr>
          <w:p>
            <w:pPr>
              <w:jc w:val="center"/>
              <w:rPr>
                <w:rFonts w:hint="eastAsia" w:ascii="宋体" w:hAnsi="宋体" w:eastAsia="宋体" w:cs="Times New Roman"/>
                <w:kern w:val="0"/>
                <w:szCs w:val="21"/>
              </w:rPr>
            </w:pPr>
            <w:r>
              <w:rPr>
                <w:rFonts w:hint="eastAsia" w:ascii="宋体" w:hAnsi="宋体" w:eastAsia="宋体" w:cs="Times New Roman"/>
                <w:kern w:val="0"/>
                <w:szCs w:val="21"/>
              </w:rPr>
              <w:t>4</w:t>
            </w:r>
          </w:p>
        </w:tc>
        <w:tc>
          <w:tcPr>
            <w:tcW w:w="1843" w:type="dxa"/>
            <w:tcBorders>
              <w:top w:val="nil"/>
              <w:left w:val="single" w:color="auto" w:sz="4" w:space="0"/>
              <w:bottom w:val="single" w:color="auto" w:sz="4" w:space="0"/>
              <w:right w:val="single" w:color="auto" w:sz="4" w:space="0"/>
            </w:tcBorders>
            <w:vAlign w:val="center"/>
          </w:tcPr>
          <w:p>
            <w:pPr>
              <w:jc w:val="center"/>
              <w:rPr>
                <w:rFonts w:hint="eastAsia" w:ascii="宋体" w:hAnsi="宋体" w:eastAsia="宋体" w:cs="Times New Roman"/>
                <w:kern w:val="0"/>
                <w:szCs w:val="21"/>
              </w:rPr>
            </w:pPr>
            <w:r>
              <w:rPr>
                <w:rFonts w:hint="eastAsia" w:ascii="宋体" w:hAnsi="宋体" w:eastAsia="宋体" w:cs="Times New Roman"/>
                <w:kern w:val="0"/>
                <w:szCs w:val="21"/>
              </w:rPr>
              <w:t>气动管路/配电线路</w:t>
            </w:r>
          </w:p>
        </w:tc>
        <w:tc>
          <w:tcPr>
            <w:tcW w:w="4111" w:type="dxa"/>
            <w:tcBorders>
              <w:top w:val="nil"/>
              <w:left w:val="nil"/>
              <w:bottom w:val="single" w:color="auto" w:sz="4" w:space="0"/>
              <w:right w:val="single" w:color="auto" w:sz="4" w:space="0"/>
            </w:tcBorders>
            <w:vAlign w:val="center"/>
          </w:tcPr>
          <w:p>
            <w:pPr>
              <w:rPr>
                <w:rFonts w:hint="eastAsia" w:ascii="宋体" w:hAnsi="宋体" w:eastAsia="宋体" w:cs="Times New Roman"/>
                <w:kern w:val="0"/>
                <w:szCs w:val="21"/>
              </w:rPr>
            </w:pPr>
            <w:r>
              <w:rPr>
                <w:rFonts w:hint="eastAsia" w:ascii="宋体" w:hAnsi="宋体" w:eastAsia="宋体" w:cs="Times New Roman"/>
                <w:kern w:val="0"/>
                <w:szCs w:val="21"/>
              </w:rPr>
              <w:t>电动排烟窗配电线路应符合消防配电线路的规定，气动排烟窗的气体管路应采用金属管（主管路采用热镀锌钢管，支管路采用铜管）。</w:t>
            </w:r>
          </w:p>
        </w:tc>
        <w:tc>
          <w:tcPr>
            <w:tcW w:w="2268" w:type="dxa"/>
            <w:tcBorders>
              <w:top w:val="nil"/>
              <w:left w:val="nil"/>
              <w:bottom w:val="single" w:color="auto" w:sz="4" w:space="0"/>
              <w:right w:val="single" w:color="auto" w:sz="4" w:space="0"/>
            </w:tcBorders>
            <w:vAlign w:val="center"/>
          </w:tcPr>
          <w:p>
            <w:pPr>
              <w:jc w:val="center"/>
              <w:rPr>
                <w:rFonts w:hint="eastAsia" w:ascii="宋体" w:hAnsi="宋体" w:eastAsia="宋体" w:cs="Times New Roman"/>
                <w:kern w:val="0"/>
                <w:szCs w:val="21"/>
              </w:rPr>
            </w:pPr>
            <w:r>
              <w:rPr>
                <w:rFonts w:hint="eastAsia" w:ascii="宋体" w:hAnsi="宋体" w:eastAsia="宋体" w:cs="Times New Roman"/>
                <w:szCs w:val="21"/>
              </w:rPr>
              <w:t>不满足直接判定为</w:t>
            </w:r>
            <w:r>
              <w:rPr>
                <w:rFonts w:hint="eastAsia" w:ascii="宋体" w:hAnsi="宋体" w:eastAsia="宋体" w:cs="Times New Roman"/>
                <w:b/>
                <w:bCs/>
                <w:szCs w:val="21"/>
              </w:rPr>
              <w:t>D级</w:t>
            </w:r>
          </w:p>
        </w:tc>
        <w:tc>
          <w:tcPr>
            <w:tcW w:w="4961" w:type="dxa"/>
            <w:tcBorders>
              <w:top w:val="nil"/>
              <w:left w:val="single" w:color="auto" w:sz="4" w:space="0"/>
              <w:bottom w:val="single" w:color="auto" w:sz="4" w:space="0"/>
              <w:right w:val="single" w:color="auto" w:sz="4" w:space="0"/>
            </w:tcBorders>
            <w:vAlign w:val="center"/>
          </w:tcPr>
          <w:p>
            <w:pPr>
              <w:jc w:val="left"/>
              <w:rPr>
                <w:rFonts w:hint="eastAsia" w:ascii="宋体" w:hAnsi="宋体" w:eastAsia="宋体" w:cs="Times New Roman"/>
                <w:kern w:val="0"/>
                <w:szCs w:val="21"/>
              </w:rPr>
            </w:pPr>
            <w:r>
              <w:rPr>
                <w:rFonts w:hint="eastAsia" w:ascii="宋体" w:hAnsi="宋体" w:eastAsia="宋体" w:cs="Times New Roman"/>
                <w:kern w:val="0"/>
                <w:szCs w:val="21"/>
              </w:rPr>
              <w:t>参考《自然排烟窗技术规程》T/CECS 884-2021 第4.1.4/4.1.5规定。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4" w:hRule="atLeast"/>
        </w:trPr>
        <w:tc>
          <w:tcPr>
            <w:tcW w:w="704" w:type="dxa"/>
            <w:tcBorders>
              <w:top w:val="single" w:color="auto" w:sz="4" w:space="0"/>
              <w:bottom w:val="single" w:color="auto" w:sz="4" w:space="0"/>
            </w:tcBorders>
            <w:noWrap/>
            <w:vAlign w:val="center"/>
          </w:tcPr>
          <w:p>
            <w:pPr>
              <w:jc w:val="center"/>
              <w:rPr>
                <w:rFonts w:hint="eastAsia" w:ascii="宋体" w:hAnsi="宋体" w:eastAsia="宋体" w:cs="Times New Roman"/>
                <w:kern w:val="0"/>
                <w:szCs w:val="21"/>
              </w:rPr>
            </w:pPr>
            <w:r>
              <w:rPr>
                <w:rFonts w:hint="eastAsia" w:ascii="宋体" w:hAnsi="宋体" w:eastAsia="宋体" w:cs="Times New Roman"/>
                <w:kern w:val="0"/>
                <w:szCs w:val="21"/>
              </w:rPr>
              <w:t>5</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Times New Roman"/>
                <w:kern w:val="0"/>
                <w:szCs w:val="21"/>
              </w:rPr>
            </w:pPr>
            <w:r>
              <w:rPr>
                <w:rFonts w:hint="eastAsia" w:ascii="宋体" w:hAnsi="宋体" w:eastAsia="宋体" w:cs="Times New Roman"/>
                <w:kern w:val="0"/>
                <w:szCs w:val="21"/>
              </w:rPr>
              <w:t>耐高温性能</w:t>
            </w:r>
          </w:p>
        </w:tc>
        <w:tc>
          <w:tcPr>
            <w:tcW w:w="4111" w:type="dxa"/>
            <w:tcBorders>
              <w:top w:val="single" w:color="auto" w:sz="4" w:space="0"/>
              <w:left w:val="nil"/>
              <w:bottom w:val="single" w:color="auto" w:sz="4" w:space="0"/>
              <w:right w:val="single" w:color="auto" w:sz="4" w:space="0"/>
            </w:tcBorders>
            <w:vAlign w:val="center"/>
          </w:tcPr>
          <w:p>
            <w:pPr>
              <w:rPr>
                <w:rFonts w:hint="eastAsia" w:ascii="宋体" w:hAnsi="宋体" w:eastAsia="宋体" w:cs="Times New Roman"/>
                <w:kern w:val="0"/>
                <w:szCs w:val="21"/>
              </w:rPr>
            </w:pPr>
            <w:r>
              <w:rPr>
                <w:rFonts w:hint="eastAsia" w:ascii="宋体" w:hAnsi="宋体" w:eastAsia="宋体" w:cs="Times New Roman"/>
                <w:kern w:val="0"/>
                <w:szCs w:val="21"/>
              </w:rPr>
              <w:t>在300℃的环境条件下正常启闭,并保持设计开启位置不少于30min。,排烟窗扇的开启角度变化量不应大于10%</w:t>
            </w:r>
          </w:p>
        </w:tc>
        <w:tc>
          <w:tcPr>
            <w:tcW w:w="2268" w:type="dxa"/>
            <w:tcBorders>
              <w:top w:val="single" w:color="auto" w:sz="4" w:space="0"/>
              <w:left w:val="nil"/>
              <w:bottom w:val="single" w:color="auto" w:sz="4" w:space="0"/>
              <w:right w:val="single" w:color="auto" w:sz="4" w:space="0"/>
            </w:tcBorders>
            <w:vAlign w:val="center"/>
          </w:tcPr>
          <w:p>
            <w:pPr>
              <w:jc w:val="center"/>
              <w:rPr>
                <w:rFonts w:hint="eastAsia" w:ascii="宋体" w:hAnsi="宋体" w:eastAsia="宋体" w:cs="Times New Roman"/>
                <w:kern w:val="0"/>
                <w:szCs w:val="21"/>
              </w:rPr>
            </w:pPr>
            <w:r>
              <w:rPr>
                <w:rFonts w:hint="eastAsia" w:ascii="宋体" w:hAnsi="宋体" w:eastAsia="宋体" w:cs="Times New Roman"/>
                <w:szCs w:val="21"/>
              </w:rPr>
              <w:t>不满足直接判定为</w:t>
            </w:r>
            <w:r>
              <w:rPr>
                <w:rFonts w:hint="eastAsia" w:ascii="宋体" w:hAnsi="宋体" w:eastAsia="宋体" w:cs="Times New Roman"/>
                <w:b/>
                <w:bCs/>
                <w:szCs w:val="21"/>
              </w:rPr>
              <w:t>D级</w:t>
            </w:r>
          </w:p>
        </w:tc>
        <w:tc>
          <w:tcPr>
            <w:tcW w:w="4961"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4" w:hRule="atLeast"/>
        </w:trPr>
        <w:tc>
          <w:tcPr>
            <w:tcW w:w="704" w:type="dxa"/>
            <w:tcBorders>
              <w:top w:val="single" w:color="auto" w:sz="4" w:space="0"/>
            </w:tcBorders>
            <w:noWrap/>
            <w:vAlign w:val="center"/>
          </w:tcPr>
          <w:p>
            <w:pPr>
              <w:jc w:val="center"/>
              <w:rPr>
                <w:rFonts w:hint="eastAsia" w:ascii="宋体" w:hAnsi="宋体" w:eastAsia="宋体" w:cs="Times New Roman"/>
                <w:kern w:val="0"/>
                <w:szCs w:val="21"/>
              </w:rPr>
            </w:pPr>
            <w:r>
              <w:rPr>
                <w:rFonts w:hint="eastAsia" w:ascii="宋体" w:hAnsi="宋体" w:eastAsia="宋体" w:cs="Times New Roman"/>
                <w:kern w:val="0"/>
                <w:szCs w:val="21"/>
              </w:rPr>
              <w:t>6</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Times New Roman"/>
                <w:kern w:val="0"/>
                <w:szCs w:val="21"/>
              </w:rPr>
            </w:pPr>
            <w:r>
              <w:rPr>
                <w:rFonts w:hint="eastAsia" w:ascii="宋体" w:hAnsi="宋体" w:eastAsia="宋体" w:cs="Times New Roman"/>
                <w:szCs w:val="21"/>
              </w:rPr>
              <w:t>抗低温性能</w:t>
            </w:r>
          </w:p>
        </w:tc>
        <w:tc>
          <w:tcPr>
            <w:tcW w:w="4111" w:type="dxa"/>
            <w:tcBorders>
              <w:top w:val="single" w:color="auto" w:sz="4" w:space="0"/>
              <w:left w:val="nil"/>
              <w:bottom w:val="single" w:color="auto" w:sz="4" w:space="0"/>
              <w:right w:val="single" w:color="auto" w:sz="4" w:space="0"/>
            </w:tcBorders>
            <w:vAlign w:val="center"/>
          </w:tcPr>
          <w:p>
            <w:pPr>
              <w:rPr>
                <w:rFonts w:hint="eastAsia" w:ascii="宋体" w:hAnsi="宋体" w:eastAsia="宋体" w:cs="Times New Roman"/>
                <w:kern w:val="0"/>
                <w:szCs w:val="21"/>
              </w:rPr>
            </w:pPr>
            <w:r>
              <w:rPr>
                <w:rFonts w:hint="eastAsia" w:ascii="宋体" w:hAnsi="宋体" w:eastAsia="宋体" w:cs="Times New Roman"/>
                <w:szCs w:val="21"/>
              </w:rPr>
              <w:t>自动排烟窗在-25℃的低温环境中放置24h后应能正常执行开启动作</w:t>
            </w:r>
          </w:p>
        </w:tc>
        <w:tc>
          <w:tcPr>
            <w:tcW w:w="2268" w:type="dxa"/>
            <w:tcBorders>
              <w:top w:val="single" w:color="auto" w:sz="4" w:space="0"/>
              <w:left w:val="nil"/>
              <w:bottom w:val="single" w:color="auto" w:sz="4" w:space="0"/>
              <w:right w:val="single" w:color="auto" w:sz="4" w:space="0"/>
            </w:tcBorders>
            <w:vAlign w:val="center"/>
          </w:tcPr>
          <w:p>
            <w:pPr>
              <w:jc w:val="center"/>
              <w:rPr>
                <w:rFonts w:hint="eastAsia" w:ascii="宋体" w:hAnsi="宋体" w:eastAsia="宋体" w:cs="Times New Roman"/>
                <w:szCs w:val="21"/>
              </w:rPr>
            </w:pPr>
            <w:r>
              <w:rPr>
                <w:rFonts w:hint="eastAsia" w:ascii="宋体" w:hAnsi="宋体" w:eastAsia="宋体" w:cs="Times New Roman"/>
                <w:szCs w:val="21"/>
              </w:rPr>
              <w:t>不满足直接判定为</w:t>
            </w:r>
            <w:r>
              <w:rPr>
                <w:rFonts w:hint="eastAsia" w:ascii="宋体" w:hAnsi="宋体" w:eastAsia="宋体" w:cs="Times New Roman"/>
                <w:b/>
                <w:bCs/>
                <w:szCs w:val="21"/>
              </w:rPr>
              <w:t>D级</w:t>
            </w:r>
          </w:p>
        </w:tc>
        <w:tc>
          <w:tcPr>
            <w:tcW w:w="4961"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Times New Roman"/>
                <w:kern w:val="0"/>
                <w:szCs w:val="21"/>
              </w:rPr>
            </w:pPr>
            <w:r>
              <w:rPr>
                <w:rFonts w:hint="eastAsia" w:ascii="宋体" w:hAnsi="宋体" w:eastAsia="宋体" w:cs="Times New Roman"/>
                <w:szCs w:val="21"/>
              </w:rPr>
              <w:t>针对低温环境运行的排烟窗，排烟窗需具有一定的抗低温性能要求。</w:t>
            </w:r>
          </w:p>
        </w:tc>
      </w:tr>
    </w:tbl>
    <w:p/>
    <w:p/>
    <w:p/>
    <w:p/>
    <w:p/>
    <w:p/>
    <w:p/>
    <w:p>
      <w:pPr>
        <w:widowControl/>
        <w:jc w:val="center"/>
      </w:pPr>
      <w:bookmarkStart w:id="70" w:name="OLE_LINK30"/>
      <w:r>
        <w:rPr>
          <w:rFonts w:hint="eastAsia" w:ascii="宋体" w:hAnsi="宋体" w:eastAsia="宋体" w:cs="Times New Roman"/>
          <w:b/>
          <w:bCs/>
          <w:szCs w:val="21"/>
        </w:rPr>
        <w:t>表</w:t>
      </w:r>
      <w:r>
        <w:rPr>
          <w:rFonts w:ascii="宋体" w:hAnsi="宋体" w:eastAsia="宋体" w:cs="Times New Roman"/>
          <w:b/>
          <w:bCs/>
          <w:szCs w:val="21"/>
        </w:rPr>
        <w:t>4.2.</w:t>
      </w:r>
      <w:r>
        <w:rPr>
          <w:rFonts w:hint="eastAsia" w:ascii="宋体" w:hAnsi="宋体" w:eastAsia="宋体" w:cs="Times New Roman"/>
          <w:b/>
          <w:bCs/>
          <w:szCs w:val="21"/>
        </w:rPr>
        <w:t>6</w:t>
      </w:r>
      <w:r>
        <w:rPr>
          <w:rFonts w:ascii="宋体" w:hAnsi="宋体" w:eastAsia="宋体" w:cs="Times New Roman"/>
          <w:b/>
          <w:bCs/>
          <w:szCs w:val="21"/>
        </w:rPr>
        <w:t>-</w:t>
      </w:r>
      <w:r>
        <w:rPr>
          <w:rFonts w:hint="eastAsia" w:ascii="宋体" w:hAnsi="宋体" w:eastAsia="宋体" w:cs="Times New Roman"/>
          <w:b/>
          <w:bCs/>
          <w:szCs w:val="21"/>
        </w:rPr>
        <w:t>2</w:t>
      </w:r>
      <w:r>
        <w:rPr>
          <w:rFonts w:hint="eastAsia"/>
          <w:b/>
          <w:bCs/>
        </w:rPr>
        <w:t>自动排烟窗</w:t>
      </w:r>
      <w:r>
        <w:rPr>
          <w:rFonts w:hint="eastAsia" w:ascii="宋体" w:hAnsi="宋体" w:eastAsia="宋体" w:cs="Times New Roman"/>
          <w:b/>
          <w:bCs/>
          <w:szCs w:val="21"/>
        </w:rPr>
        <w:t>评分项评定表</w:t>
      </w:r>
    </w:p>
    <w:bookmarkEnd w:id="70"/>
    <w:tbl>
      <w:tblPr>
        <w:tblStyle w:val="18"/>
        <w:tblW w:w="138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9"/>
        <w:gridCol w:w="1706"/>
        <w:gridCol w:w="2977"/>
        <w:gridCol w:w="4961"/>
        <w:gridCol w:w="709"/>
        <w:gridCol w:w="2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blHeader/>
        </w:trPr>
        <w:tc>
          <w:tcPr>
            <w:tcW w:w="699" w:type="dxa"/>
            <w:noWrap/>
            <w:vAlign w:val="center"/>
          </w:tcPr>
          <w:p>
            <w:pPr>
              <w:jc w:val="center"/>
              <w:rPr>
                <w:rFonts w:eastAsia="宋体" w:cs="Times New Roman"/>
                <w:b/>
                <w:bCs/>
                <w:kern w:val="0"/>
                <w:szCs w:val="21"/>
              </w:rPr>
            </w:pPr>
            <w:r>
              <w:rPr>
                <w:rFonts w:hint="eastAsia" w:eastAsia="宋体" w:cs="Times New Roman"/>
                <w:b/>
                <w:bCs/>
                <w:kern w:val="0"/>
                <w:szCs w:val="21"/>
              </w:rPr>
              <w:t>序号</w:t>
            </w:r>
          </w:p>
        </w:tc>
        <w:tc>
          <w:tcPr>
            <w:tcW w:w="1706" w:type="dxa"/>
            <w:noWrap/>
            <w:vAlign w:val="center"/>
          </w:tcPr>
          <w:p>
            <w:pPr>
              <w:jc w:val="center"/>
              <w:rPr>
                <w:rFonts w:eastAsia="宋体" w:cs="Times New Roman"/>
                <w:b/>
                <w:bCs/>
                <w:kern w:val="0"/>
                <w:szCs w:val="21"/>
              </w:rPr>
            </w:pPr>
            <w:r>
              <w:rPr>
                <w:rFonts w:hint="eastAsia" w:eastAsia="宋体" w:cs="Times New Roman"/>
                <w:b/>
                <w:bCs/>
                <w:kern w:val="0"/>
                <w:szCs w:val="21"/>
              </w:rPr>
              <w:t>评定指标</w:t>
            </w:r>
          </w:p>
        </w:tc>
        <w:tc>
          <w:tcPr>
            <w:tcW w:w="2977" w:type="dxa"/>
            <w:noWrap/>
            <w:vAlign w:val="center"/>
          </w:tcPr>
          <w:p>
            <w:pPr>
              <w:jc w:val="center"/>
              <w:rPr>
                <w:rFonts w:eastAsia="宋体" w:cs="Times New Roman"/>
                <w:b/>
                <w:bCs/>
                <w:kern w:val="0"/>
                <w:szCs w:val="21"/>
              </w:rPr>
            </w:pPr>
            <w:r>
              <w:rPr>
                <w:rFonts w:hint="eastAsia" w:eastAsia="宋体" w:cs="Times New Roman"/>
                <w:b/>
                <w:bCs/>
                <w:kern w:val="0"/>
                <w:szCs w:val="21"/>
              </w:rPr>
              <w:t>评分项</w:t>
            </w:r>
          </w:p>
        </w:tc>
        <w:tc>
          <w:tcPr>
            <w:tcW w:w="4961" w:type="dxa"/>
            <w:noWrap/>
            <w:vAlign w:val="center"/>
          </w:tcPr>
          <w:p>
            <w:pPr>
              <w:jc w:val="center"/>
              <w:rPr>
                <w:rFonts w:eastAsia="宋体" w:cs="Times New Roman"/>
                <w:b/>
                <w:bCs/>
                <w:kern w:val="0"/>
                <w:szCs w:val="21"/>
              </w:rPr>
            </w:pPr>
            <w:r>
              <w:rPr>
                <w:rFonts w:hint="eastAsia" w:eastAsia="宋体" w:cs="Times New Roman"/>
                <w:b/>
                <w:bCs/>
                <w:kern w:val="0"/>
                <w:szCs w:val="21"/>
              </w:rPr>
              <w:t>评定方法</w:t>
            </w:r>
          </w:p>
        </w:tc>
        <w:tc>
          <w:tcPr>
            <w:tcW w:w="709" w:type="dxa"/>
            <w:noWrap/>
            <w:vAlign w:val="center"/>
          </w:tcPr>
          <w:p>
            <w:pPr>
              <w:jc w:val="center"/>
              <w:rPr>
                <w:rFonts w:eastAsia="宋体" w:cs="Times New Roman"/>
                <w:b/>
                <w:bCs/>
                <w:kern w:val="0"/>
                <w:szCs w:val="21"/>
              </w:rPr>
            </w:pPr>
            <w:r>
              <w:rPr>
                <w:rFonts w:hint="eastAsia" w:eastAsia="宋体" w:cs="Times New Roman"/>
                <w:b/>
                <w:bCs/>
                <w:kern w:val="0"/>
                <w:szCs w:val="21"/>
              </w:rPr>
              <w:t>权重因子</w:t>
            </w:r>
          </w:p>
        </w:tc>
        <w:tc>
          <w:tcPr>
            <w:tcW w:w="2835" w:type="dxa"/>
            <w:vAlign w:val="center"/>
          </w:tcPr>
          <w:p>
            <w:pPr>
              <w:jc w:val="center"/>
              <w:rPr>
                <w:rFonts w:eastAsia="宋体" w:cs="Times New Roman"/>
                <w:b/>
                <w:bCs/>
                <w:kern w:val="0"/>
                <w:szCs w:val="21"/>
              </w:rPr>
            </w:pPr>
            <w:r>
              <w:rPr>
                <w:rFonts w:hint="eastAsia" w:eastAsia="宋体" w:cs="Times New Roman"/>
                <w:b/>
                <w:bCs/>
                <w:kern w:val="0"/>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7" w:hRule="atLeast"/>
        </w:trPr>
        <w:tc>
          <w:tcPr>
            <w:tcW w:w="699" w:type="dxa"/>
            <w:noWrap/>
            <w:vAlign w:val="center"/>
          </w:tcPr>
          <w:p>
            <w:pPr>
              <w:jc w:val="center"/>
              <w:rPr>
                <w:rFonts w:hint="eastAsia" w:ascii="宋体" w:hAnsi="宋体" w:eastAsia="宋体" w:cs="Times New Roman"/>
                <w:kern w:val="0"/>
                <w:szCs w:val="21"/>
              </w:rPr>
            </w:pPr>
            <w:r>
              <w:rPr>
                <w:rFonts w:hint="eastAsia" w:ascii="宋体" w:hAnsi="宋体" w:eastAsia="宋体" w:cs="Times New Roman"/>
                <w:kern w:val="0"/>
                <w:szCs w:val="21"/>
              </w:rPr>
              <w:t>1</w:t>
            </w:r>
          </w:p>
        </w:tc>
        <w:tc>
          <w:tcPr>
            <w:tcW w:w="1706" w:type="dxa"/>
            <w:vAlign w:val="center"/>
          </w:tcPr>
          <w:p>
            <w:pPr>
              <w:jc w:val="center"/>
              <w:rPr>
                <w:rFonts w:hint="eastAsia" w:ascii="宋体" w:hAnsi="宋体" w:eastAsia="宋体" w:cs="Times New Roman"/>
                <w:kern w:val="0"/>
                <w:szCs w:val="21"/>
              </w:rPr>
            </w:pPr>
            <w:r>
              <w:rPr>
                <w:rFonts w:hint="eastAsia" w:ascii="宋体" w:hAnsi="宋体" w:eastAsia="宋体" w:cs="Times New Roman"/>
                <w:kern w:val="0"/>
                <w:szCs w:val="21"/>
              </w:rPr>
              <w:t>控制系统</w:t>
            </w:r>
          </w:p>
        </w:tc>
        <w:tc>
          <w:tcPr>
            <w:tcW w:w="2977" w:type="dxa"/>
            <w:vAlign w:val="center"/>
          </w:tcPr>
          <w:p>
            <w:pPr>
              <w:jc w:val="left"/>
              <w:rPr>
                <w:rFonts w:hint="eastAsia" w:ascii="宋体" w:hAnsi="宋体" w:eastAsia="宋体" w:cs="Times New Roman"/>
                <w:kern w:val="0"/>
                <w:szCs w:val="21"/>
              </w:rPr>
            </w:pPr>
            <w:r>
              <w:rPr>
                <w:rFonts w:hint="eastAsia" w:ascii="宋体" w:hAnsi="宋体" w:eastAsia="宋体" w:cs="Times New Roman"/>
                <w:kern w:val="0"/>
                <w:szCs w:val="21"/>
              </w:rPr>
              <w:t>自动排烟窗的控制方式需要具备一定的监控反馈功能，方便消防日常管理。</w:t>
            </w:r>
          </w:p>
        </w:tc>
        <w:tc>
          <w:tcPr>
            <w:tcW w:w="4961" w:type="dxa"/>
            <w:vAlign w:val="center"/>
          </w:tcPr>
          <w:p>
            <w:pPr>
              <w:rPr>
                <w:rFonts w:hint="eastAsia" w:ascii="宋体" w:hAnsi="宋体" w:eastAsia="宋体" w:cs="Times New Roman"/>
                <w:kern w:val="0"/>
                <w:szCs w:val="21"/>
              </w:rPr>
            </w:pPr>
            <w:r>
              <w:rPr>
                <w:rFonts w:hint="eastAsia" w:ascii="宋体" w:hAnsi="宋体" w:eastAsia="宋体" w:cs="Times New Roman"/>
                <w:kern w:val="0"/>
                <w:szCs w:val="21"/>
              </w:rPr>
              <w:t>1）采用CAN总线技术，具备实现多个角度控制，具有可视化查看、故障巡检、实时监控、开启角度检测、实时反馈备用电源电量等功能，满足业主平时用于通风的自行控制操作，方便日常管理。得100分；</w:t>
            </w:r>
          </w:p>
          <w:p>
            <w:pPr>
              <w:rPr>
                <w:rFonts w:hint="eastAsia" w:ascii="宋体" w:hAnsi="宋体" w:eastAsia="宋体" w:cs="Times New Roman"/>
                <w:kern w:val="0"/>
                <w:szCs w:val="21"/>
              </w:rPr>
            </w:pPr>
            <w:r>
              <w:rPr>
                <w:rFonts w:hint="eastAsia" w:ascii="宋体" w:hAnsi="宋体" w:eastAsia="宋体" w:cs="Times New Roman"/>
                <w:kern w:val="0"/>
                <w:szCs w:val="21"/>
              </w:rPr>
              <w:t>2）满足具有可视化查看、故障巡检、实时监控、开启角度检测，满足业主平时用于通风的自行控制操作，得80分；</w:t>
            </w:r>
          </w:p>
          <w:p>
            <w:pPr>
              <w:rPr>
                <w:rFonts w:hint="eastAsia" w:ascii="宋体" w:hAnsi="宋体" w:eastAsia="宋体" w:cs="Times New Roman"/>
                <w:kern w:val="0"/>
                <w:szCs w:val="21"/>
              </w:rPr>
            </w:pPr>
            <w:r>
              <w:rPr>
                <w:rFonts w:hint="eastAsia" w:ascii="宋体" w:hAnsi="宋体" w:eastAsia="宋体" w:cs="Times New Roman"/>
                <w:kern w:val="0"/>
                <w:szCs w:val="21"/>
              </w:rPr>
              <w:t>3）满足开启角度检测，得60分。</w:t>
            </w:r>
          </w:p>
        </w:tc>
        <w:tc>
          <w:tcPr>
            <w:tcW w:w="709" w:type="dxa"/>
            <w:noWrap/>
            <w:vAlign w:val="center"/>
          </w:tcPr>
          <w:p>
            <w:pPr>
              <w:jc w:val="center"/>
              <w:rPr>
                <w:rFonts w:hint="eastAsia" w:ascii="宋体" w:hAnsi="宋体" w:eastAsia="宋体" w:cs="Times New Roman"/>
                <w:kern w:val="0"/>
                <w:szCs w:val="21"/>
              </w:rPr>
            </w:pPr>
            <w:r>
              <w:rPr>
                <w:rFonts w:hint="eastAsia" w:ascii="宋体" w:hAnsi="宋体" w:eastAsia="宋体" w:cs="Times New Roman"/>
                <w:kern w:val="0"/>
                <w:szCs w:val="21"/>
              </w:rPr>
              <w:t>0.3</w:t>
            </w:r>
          </w:p>
        </w:tc>
        <w:tc>
          <w:tcPr>
            <w:tcW w:w="2835" w:type="dxa"/>
            <w:vAlign w:val="center"/>
          </w:tcPr>
          <w:p>
            <w:pPr>
              <w:rPr>
                <w:rFonts w:hint="eastAsia" w:ascii="宋体" w:hAnsi="宋体" w:eastAsia="宋体" w:cs="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6" w:hRule="atLeast"/>
        </w:trPr>
        <w:tc>
          <w:tcPr>
            <w:tcW w:w="699" w:type="dxa"/>
            <w:noWrap/>
            <w:vAlign w:val="center"/>
          </w:tcPr>
          <w:p>
            <w:pPr>
              <w:jc w:val="center"/>
              <w:rPr>
                <w:rFonts w:hint="eastAsia" w:ascii="宋体" w:hAnsi="宋体" w:eastAsia="宋体" w:cs="Times New Roman"/>
                <w:kern w:val="0"/>
                <w:szCs w:val="21"/>
              </w:rPr>
            </w:pPr>
            <w:r>
              <w:rPr>
                <w:rFonts w:hint="eastAsia" w:ascii="宋体" w:hAnsi="宋体" w:eastAsia="宋体" w:cs="Times New Roman"/>
                <w:kern w:val="0"/>
                <w:szCs w:val="21"/>
              </w:rPr>
              <w:t>2</w:t>
            </w:r>
          </w:p>
        </w:tc>
        <w:tc>
          <w:tcPr>
            <w:tcW w:w="1706" w:type="dxa"/>
            <w:vAlign w:val="center"/>
          </w:tcPr>
          <w:p>
            <w:pPr>
              <w:jc w:val="center"/>
              <w:rPr>
                <w:rFonts w:hint="eastAsia" w:ascii="宋体" w:hAnsi="宋体" w:eastAsia="宋体" w:cs="Times New Roman"/>
                <w:kern w:val="0"/>
                <w:szCs w:val="21"/>
              </w:rPr>
            </w:pPr>
            <w:r>
              <w:rPr>
                <w:rFonts w:hint="eastAsia" w:ascii="宋体" w:hAnsi="宋体" w:eastAsia="宋体" w:cs="Times New Roman"/>
                <w:kern w:val="0"/>
                <w:szCs w:val="21"/>
              </w:rPr>
              <w:t>可靠性</w:t>
            </w:r>
          </w:p>
        </w:tc>
        <w:tc>
          <w:tcPr>
            <w:tcW w:w="2977" w:type="dxa"/>
            <w:vAlign w:val="center"/>
          </w:tcPr>
          <w:p>
            <w:pPr>
              <w:jc w:val="left"/>
              <w:rPr>
                <w:rFonts w:hint="eastAsia" w:ascii="宋体" w:hAnsi="宋体" w:eastAsia="宋体" w:cs="Times New Roman"/>
                <w:kern w:val="0"/>
                <w:szCs w:val="21"/>
              </w:rPr>
            </w:pPr>
            <w:r>
              <w:rPr>
                <w:rFonts w:hint="eastAsia" w:ascii="宋体" w:hAnsi="宋体" w:eastAsia="宋体" w:cs="Times New Roman"/>
                <w:kern w:val="0"/>
                <w:szCs w:val="21"/>
              </w:rPr>
              <w:t>自动排烟窗需具有一定次数的开启可靠性能的要求</w:t>
            </w:r>
          </w:p>
        </w:tc>
        <w:tc>
          <w:tcPr>
            <w:tcW w:w="4961" w:type="dxa"/>
            <w:vAlign w:val="center"/>
          </w:tcPr>
          <w:p>
            <w:pPr>
              <w:numPr>
                <w:ilvl w:val="0"/>
                <w:numId w:val="8"/>
              </w:numPr>
              <w:rPr>
                <w:rFonts w:hint="eastAsia" w:ascii="宋体" w:hAnsi="宋体" w:eastAsia="宋体" w:cs="Times New Roman"/>
                <w:kern w:val="0"/>
                <w:szCs w:val="21"/>
              </w:rPr>
            </w:pPr>
            <w:r>
              <w:rPr>
                <w:rFonts w:hint="eastAsia" w:ascii="宋体" w:hAnsi="宋体" w:eastAsia="宋体" w:cs="Times New Roman"/>
                <w:kern w:val="0"/>
                <w:szCs w:val="21"/>
              </w:rPr>
              <w:t>满足11000次可靠性测试，得100分；</w:t>
            </w:r>
          </w:p>
          <w:p>
            <w:pPr>
              <w:numPr>
                <w:ilvl w:val="0"/>
                <w:numId w:val="8"/>
              </w:numPr>
              <w:rPr>
                <w:rFonts w:hint="eastAsia" w:ascii="宋体" w:hAnsi="宋体" w:eastAsia="宋体" w:cs="Times New Roman"/>
                <w:kern w:val="0"/>
                <w:szCs w:val="21"/>
              </w:rPr>
            </w:pPr>
            <w:r>
              <w:rPr>
                <w:rFonts w:hint="eastAsia" w:ascii="宋体" w:hAnsi="宋体" w:eastAsia="宋体" w:cs="Times New Roman"/>
                <w:kern w:val="0"/>
                <w:szCs w:val="21"/>
              </w:rPr>
              <w:t>满足5000次可靠性测试，得80分；</w:t>
            </w:r>
          </w:p>
          <w:p>
            <w:pPr>
              <w:numPr>
                <w:ilvl w:val="0"/>
                <w:numId w:val="8"/>
              </w:numPr>
              <w:rPr>
                <w:rFonts w:hint="eastAsia" w:ascii="宋体" w:hAnsi="宋体" w:eastAsia="宋体" w:cs="Times New Roman"/>
                <w:kern w:val="0"/>
                <w:szCs w:val="21"/>
              </w:rPr>
            </w:pPr>
            <w:r>
              <w:rPr>
                <w:rFonts w:hint="eastAsia" w:ascii="宋体" w:hAnsi="宋体" w:eastAsia="宋体" w:cs="Times New Roman"/>
                <w:kern w:val="0"/>
                <w:szCs w:val="21"/>
              </w:rPr>
              <w:t>满足1000次可靠性测试，得60分。</w:t>
            </w:r>
          </w:p>
        </w:tc>
        <w:tc>
          <w:tcPr>
            <w:tcW w:w="709" w:type="dxa"/>
            <w:noWrap/>
            <w:vAlign w:val="center"/>
          </w:tcPr>
          <w:p>
            <w:pPr>
              <w:jc w:val="center"/>
              <w:rPr>
                <w:rFonts w:hint="eastAsia" w:ascii="宋体" w:hAnsi="宋体" w:eastAsia="宋体" w:cs="Times New Roman"/>
                <w:kern w:val="0"/>
                <w:szCs w:val="21"/>
              </w:rPr>
            </w:pPr>
            <w:r>
              <w:rPr>
                <w:rFonts w:hint="eastAsia" w:ascii="宋体" w:hAnsi="宋体" w:eastAsia="宋体" w:cs="Times New Roman"/>
                <w:kern w:val="0"/>
                <w:szCs w:val="21"/>
              </w:rPr>
              <w:t>0.5</w:t>
            </w:r>
          </w:p>
        </w:tc>
        <w:tc>
          <w:tcPr>
            <w:tcW w:w="2835" w:type="dxa"/>
            <w:vAlign w:val="center"/>
          </w:tcPr>
          <w:p>
            <w:pPr>
              <w:rPr>
                <w:rFonts w:hint="eastAsia" w:ascii="宋体" w:hAnsi="宋体" w:eastAsia="宋体" w:cs="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0" w:hRule="atLeast"/>
        </w:trPr>
        <w:tc>
          <w:tcPr>
            <w:tcW w:w="699" w:type="dxa"/>
            <w:noWrap/>
            <w:vAlign w:val="center"/>
          </w:tcPr>
          <w:p>
            <w:pPr>
              <w:jc w:val="center"/>
              <w:rPr>
                <w:rFonts w:hint="eastAsia" w:ascii="宋体" w:hAnsi="宋体" w:eastAsia="宋体" w:cs="Times New Roman"/>
                <w:kern w:val="0"/>
                <w:szCs w:val="21"/>
              </w:rPr>
            </w:pPr>
            <w:r>
              <w:rPr>
                <w:rFonts w:hint="eastAsia" w:ascii="宋体" w:hAnsi="宋体" w:eastAsia="宋体" w:cs="Times New Roman"/>
                <w:kern w:val="0"/>
                <w:szCs w:val="21"/>
              </w:rPr>
              <w:t>3-1</w:t>
            </w:r>
          </w:p>
        </w:tc>
        <w:tc>
          <w:tcPr>
            <w:tcW w:w="1706" w:type="dxa"/>
            <w:vAlign w:val="center"/>
          </w:tcPr>
          <w:p>
            <w:pPr>
              <w:jc w:val="center"/>
              <w:rPr>
                <w:rFonts w:hint="eastAsia" w:ascii="宋体" w:hAnsi="宋体" w:eastAsia="宋体" w:cs="Times New Roman"/>
                <w:kern w:val="0"/>
                <w:szCs w:val="21"/>
              </w:rPr>
            </w:pPr>
            <w:r>
              <w:rPr>
                <w:rFonts w:hint="eastAsia" w:ascii="宋体" w:hAnsi="宋体" w:eastAsia="宋体" w:cs="Times New Roman"/>
                <w:kern w:val="0"/>
                <w:szCs w:val="21"/>
              </w:rPr>
              <w:t>气动排烟窗气源系统设置</w:t>
            </w:r>
          </w:p>
        </w:tc>
        <w:tc>
          <w:tcPr>
            <w:tcW w:w="2977" w:type="dxa"/>
            <w:vAlign w:val="center"/>
          </w:tcPr>
          <w:p>
            <w:pPr>
              <w:jc w:val="left"/>
              <w:rPr>
                <w:rFonts w:hint="eastAsia" w:ascii="宋体" w:hAnsi="宋体" w:eastAsia="宋体" w:cs="Times New Roman"/>
                <w:kern w:val="0"/>
                <w:szCs w:val="21"/>
              </w:rPr>
            </w:pPr>
            <w:r>
              <w:rPr>
                <w:rFonts w:hint="eastAsia" w:ascii="宋体" w:hAnsi="宋体" w:eastAsia="宋体" w:cs="Times New Roman"/>
                <w:kern w:val="0"/>
                <w:szCs w:val="21"/>
              </w:rPr>
              <w:t>气动排烟窗应采用独立集中供气系统，气体为压缩空气，储气量应满足所承担区域排烟窗一定次数的整体启闭，同时气源系统应设在耐火极限不低于2.00h的防火隔墙和1.5h的楼板与建筑部分隔开</w:t>
            </w:r>
          </w:p>
        </w:tc>
        <w:tc>
          <w:tcPr>
            <w:tcW w:w="4961" w:type="dxa"/>
            <w:vAlign w:val="center"/>
          </w:tcPr>
          <w:p>
            <w:pPr>
              <w:numPr>
                <w:ilvl w:val="0"/>
                <w:numId w:val="9"/>
              </w:numPr>
              <w:rPr>
                <w:rFonts w:hint="eastAsia" w:ascii="宋体" w:hAnsi="宋体" w:eastAsia="宋体" w:cs="Times New Roman"/>
                <w:kern w:val="0"/>
                <w:szCs w:val="21"/>
              </w:rPr>
            </w:pPr>
            <w:r>
              <w:rPr>
                <w:rFonts w:hint="eastAsia" w:ascii="宋体" w:hAnsi="宋体" w:eastAsia="宋体" w:cs="Times New Roman"/>
                <w:kern w:val="0"/>
                <w:szCs w:val="21"/>
              </w:rPr>
              <w:t>满足启闭3次，得100分；</w:t>
            </w:r>
          </w:p>
          <w:p>
            <w:pPr>
              <w:numPr>
                <w:ilvl w:val="0"/>
                <w:numId w:val="9"/>
              </w:numPr>
              <w:rPr>
                <w:rFonts w:hint="eastAsia" w:ascii="宋体" w:hAnsi="宋体" w:eastAsia="宋体" w:cs="Times New Roman"/>
                <w:kern w:val="0"/>
                <w:szCs w:val="21"/>
              </w:rPr>
            </w:pPr>
            <w:r>
              <w:rPr>
                <w:rFonts w:hint="eastAsia" w:ascii="宋体" w:hAnsi="宋体" w:eastAsia="宋体" w:cs="Times New Roman"/>
                <w:kern w:val="0"/>
                <w:szCs w:val="21"/>
              </w:rPr>
              <w:t>满足启闭2次，得80分；</w:t>
            </w:r>
          </w:p>
          <w:p>
            <w:pPr>
              <w:numPr>
                <w:ilvl w:val="0"/>
                <w:numId w:val="9"/>
              </w:numPr>
              <w:rPr>
                <w:rFonts w:hint="eastAsia" w:ascii="宋体" w:hAnsi="宋体" w:eastAsia="宋体" w:cs="Times New Roman"/>
                <w:kern w:val="0"/>
                <w:szCs w:val="21"/>
              </w:rPr>
            </w:pPr>
            <w:r>
              <w:rPr>
                <w:rFonts w:hint="eastAsia" w:ascii="宋体" w:hAnsi="宋体" w:eastAsia="宋体" w:cs="Times New Roman"/>
                <w:kern w:val="0"/>
                <w:szCs w:val="21"/>
              </w:rPr>
              <w:t>满足启闭1次，得60分。</w:t>
            </w:r>
          </w:p>
        </w:tc>
        <w:tc>
          <w:tcPr>
            <w:tcW w:w="709" w:type="dxa"/>
            <w:noWrap/>
            <w:vAlign w:val="center"/>
          </w:tcPr>
          <w:p>
            <w:pPr>
              <w:jc w:val="center"/>
              <w:rPr>
                <w:rFonts w:hint="eastAsia" w:ascii="宋体" w:hAnsi="宋体" w:eastAsia="宋体" w:cs="Times New Roman"/>
                <w:kern w:val="0"/>
                <w:szCs w:val="21"/>
              </w:rPr>
            </w:pPr>
            <w:r>
              <w:rPr>
                <w:rFonts w:hint="eastAsia" w:ascii="宋体" w:hAnsi="宋体" w:eastAsia="宋体" w:cs="Times New Roman"/>
                <w:kern w:val="0"/>
                <w:szCs w:val="21"/>
              </w:rPr>
              <w:t>0.2</w:t>
            </w:r>
          </w:p>
        </w:tc>
        <w:tc>
          <w:tcPr>
            <w:tcW w:w="2835" w:type="dxa"/>
            <w:vAlign w:val="center"/>
          </w:tcPr>
          <w:p>
            <w:pPr>
              <w:rPr>
                <w:rFonts w:hint="eastAsia" w:ascii="宋体" w:hAnsi="宋体" w:eastAsia="宋体" w:cs="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0" w:hRule="atLeast"/>
        </w:trPr>
        <w:tc>
          <w:tcPr>
            <w:tcW w:w="699" w:type="dxa"/>
            <w:noWrap/>
            <w:vAlign w:val="center"/>
          </w:tcPr>
          <w:p>
            <w:pPr>
              <w:jc w:val="center"/>
              <w:rPr>
                <w:rFonts w:hint="eastAsia" w:ascii="宋体" w:hAnsi="宋体" w:eastAsia="宋体" w:cs="Times New Roman"/>
                <w:kern w:val="0"/>
                <w:szCs w:val="21"/>
              </w:rPr>
            </w:pPr>
            <w:r>
              <w:rPr>
                <w:rFonts w:hint="eastAsia" w:ascii="宋体" w:hAnsi="宋体" w:eastAsia="宋体" w:cs="Times New Roman"/>
                <w:kern w:val="0"/>
                <w:szCs w:val="21"/>
              </w:rPr>
              <w:t>3-2</w:t>
            </w:r>
          </w:p>
        </w:tc>
        <w:tc>
          <w:tcPr>
            <w:tcW w:w="1706" w:type="dxa"/>
            <w:vAlign w:val="center"/>
          </w:tcPr>
          <w:p>
            <w:pPr>
              <w:jc w:val="center"/>
              <w:rPr>
                <w:rFonts w:hint="eastAsia" w:ascii="宋体" w:hAnsi="宋体" w:eastAsia="宋体" w:cs="Times New Roman"/>
                <w:kern w:val="0"/>
                <w:szCs w:val="21"/>
              </w:rPr>
            </w:pPr>
            <w:r>
              <w:rPr>
                <w:rFonts w:hint="eastAsia" w:ascii="宋体" w:hAnsi="宋体" w:eastAsia="宋体" w:cs="Times New Roman"/>
                <w:kern w:val="0"/>
                <w:szCs w:val="21"/>
              </w:rPr>
              <w:t>电动排烟窗控制箱电源设置</w:t>
            </w:r>
          </w:p>
        </w:tc>
        <w:tc>
          <w:tcPr>
            <w:tcW w:w="2977" w:type="dxa"/>
            <w:vAlign w:val="center"/>
          </w:tcPr>
          <w:p>
            <w:pPr>
              <w:jc w:val="left"/>
              <w:rPr>
                <w:rFonts w:hint="eastAsia" w:ascii="宋体" w:hAnsi="宋体" w:eastAsia="宋体" w:cs="Times New Roman"/>
                <w:kern w:val="0"/>
                <w:szCs w:val="21"/>
              </w:rPr>
            </w:pPr>
            <w:r>
              <w:rPr>
                <w:rFonts w:hint="eastAsia" w:ascii="宋体" w:hAnsi="宋体" w:eastAsia="宋体" w:cs="Times New Roman"/>
                <w:kern w:val="0"/>
                <w:szCs w:val="21"/>
              </w:rPr>
              <w:t>电动排烟窗控制箱外界消防电源作为动力源启闭排烟窗，控制箱内可设置备用电源供电，总控箱设置备用电源监控程序，排烟窗系统失电情况下保证排烟窗开启至少1次。</w:t>
            </w:r>
          </w:p>
        </w:tc>
        <w:tc>
          <w:tcPr>
            <w:tcW w:w="4961" w:type="dxa"/>
            <w:vAlign w:val="center"/>
          </w:tcPr>
          <w:p>
            <w:pPr>
              <w:rPr>
                <w:rFonts w:hint="eastAsia" w:ascii="宋体" w:hAnsi="宋体" w:eastAsia="宋体" w:cs="Times New Roman"/>
                <w:kern w:val="0"/>
                <w:szCs w:val="21"/>
              </w:rPr>
            </w:pPr>
            <w:r>
              <w:rPr>
                <w:rFonts w:hint="eastAsia" w:ascii="宋体" w:hAnsi="宋体" w:eastAsia="宋体" w:cs="Times New Roman"/>
                <w:kern w:val="0"/>
                <w:szCs w:val="21"/>
              </w:rPr>
              <w:t>1.采用消防电源，控制箱设置备用电源并设置电源电量监控系统，保证排烟窗失电情况下，正常启闭1次，得100分；</w:t>
            </w:r>
          </w:p>
          <w:p>
            <w:pPr>
              <w:rPr>
                <w:rFonts w:hint="eastAsia" w:ascii="宋体" w:hAnsi="宋体" w:eastAsia="宋体" w:cs="Times New Roman"/>
                <w:kern w:val="0"/>
                <w:szCs w:val="21"/>
              </w:rPr>
            </w:pPr>
            <w:r>
              <w:rPr>
                <w:rFonts w:hint="eastAsia" w:ascii="宋体" w:hAnsi="宋体" w:eastAsia="宋体" w:cs="Times New Roman"/>
                <w:kern w:val="0"/>
                <w:szCs w:val="21"/>
              </w:rPr>
              <w:t>2.采用消防电源，控制箱设置备用电源，保证排烟窗失电情况下，正常启闭1次，得80分；</w:t>
            </w:r>
          </w:p>
          <w:p>
            <w:pPr>
              <w:rPr>
                <w:rFonts w:hint="eastAsia" w:ascii="宋体" w:hAnsi="宋体" w:eastAsia="宋体" w:cs="Times New Roman"/>
                <w:kern w:val="0"/>
                <w:szCs w:val="21"/>
              </w:rPr>
            </w:pPr>
            <w:r>
              <w:rPr>
                <w:rFonts w:hint="eastAsia" w:ascii="宋体" w:hAnsi="宋体" w:eastAsia="宋体" w:cs="Times New Roman"/>
                <w:kern w:val="0"/>
                <w:szCs w:val="21"/>
              </w:rPr>
              <w:t>3.采用消防电源，控制箱设置无备用电源，得60分。</w:t>
            </w:r>
          </w:p>
        </w:tc>
        <w:tc>
          <w:tcPr>
            <w:tcW w:w="709" w:type="dxa"/>
            <w:noWrap/>
            <w:vAlign w:val="center"/>
          </w:tcPr>
          <w:p>
            <w:pPr>
              <w:jc w:val="center"/>
              <w:rPr>
                <w:rFonts w:hint="eastAsia" w:ascii="宋体" w:hAnsi="宋体" w:eastAsia="宋体" w:cs="Times New Roman"/>
                <w:kern w:val="0"/>
                <w:szCs w:val="21"/>
              </w:rPr>
            </w:pPr>
            <w:r>
              <w:rPr>
                <w:rFonts w:hint="eastAsia" w:ascii="宋体" w:hAnsi="宋体" w:eastAsia="宋体" w:cs="Times New Roman"/>
                <w:kern w:val="0"/>
                <w:szCs w:val="21"/>
              </w:rPr>
              <w:t>0.2</w:t>
            </w:r>
          </w:p>
        </w:tc>
        <w:tc>
          <w:tcPr>
            <w:tcW w:w="2835" w:type="dxa"/>
            <w:vAlign w:val="center"/>
          </w:tcPr>
          <w:p>
            <w:pPr>
              <w:rPr>
                <w:rFonts w:hint="eastAsia" w:ascii="宋体" w:hAnsi="宋体" w:eastAsia="宋体" w:cs="Times New Roman"/>
                <w:kern w:val="0"/>
                <w:szCs w:val="21"/>
              </w:rPr>
            </w:pPr>
          </w:p>
        </w:tc>
      </w:tr>
    </w:tbl>
    <w:p>
      <w:pPr>
        <w:widowControl/>
        <w:jc w:val="center"/>
      </w:pPr>
      <w:r>
        <w:rPr>
          <w:rFonts w:hint="eastAsia" w:ascii="宋体" w:hAnsi="宋体" w:eastAsia="宋体" w:cs="Times New Roman"/>
          <w:b/>
          <w:bCs/>
          <w:szCs w:val="21"/>
        </w:rPr>
        <w:t>表</w:t>
      </w:r>
      <w:r>
        <w:rPr>
          <w:rFonts w:ascii="宋体" w:hAnsi="宋体" w:eastAsia="宋体" w:cs="Times New Roman"/>
          <w:b/>
          <w:bCs/>
          <w:szCs w:val="21"/>
        </w:rPr>
        <w:t>4.2.</w:t>
      </w:r>
      <w:r>
        <w:rPr>
          <w:rFonts w:hint="eastAsia" w:ascii="宋体" w:hAnsi="宋体" w:eastAsia="宋体" w:cs="Times New Roman"/>
          <w:b/>
          <w:bCs/>
          <w:szCs w:val="21"/>
        </w:rPr>
        <w:t>6</w:t>
      </w:r>
      <w:r>
        <w:rPr>
          <w:rFonts w:ascii="宋体" w:hAnsi="宋体" w:eastAsia="宋体" w:cs="Times New Roman"/>
          <w:b/>
          <w:bCs/>
          <w:szCs w:val="21"/>
        </w:rPr>
        <w:t>-</w:t>
      </w:r>
      <w:r>
        <w:rPr>
          <w:rFonts w:hint="eastAsia" w:ascii="宋体" w:hAnsi="宋体" w:eastAsia="宋体" w:cs="Times New Roman"/>
          <w:b/>
          <w:bCs/>
          <w:szCs w:val="21"/>
        </w:rPr>
        <w:t>3</w:t>
      </w:r>
      <w:r>
        <w:rPr>
          <w:rFonts w:hint="eastAsia"/>
          <w:b/>
          <w:bCs/>
        </w:rPr>
        <w:t>自动排烟窗</w:t>
      </w:r>
      <w:r>
        <w:rPr>
          <w:rFonts w:hint="eastAsia" w:ascii="宋体" w:hAnsi="宋体" w:eastAsia="宋体" w:cs="Times New Roman"/>
          <w:b/>
          <w:bCs/>
          <w:szCs w:val="21"/>
        </w:rPr>
        <w:t>优选项评定表</w:t>
      </w:r>
    </w:p>
    <w:tbl>
      <w:tblPr>
        <w:tblStyle w:val="17"/>
        <w:tblW w:w="13887" w:type="dxa"/>
        <w:tblInd w:w="0" w:type="dxa"/>
        <w:tblLayout w:type="fixed"/>
        <w:tblCellMar>
          <w:top w:w="0" w:type="dxa"/>
          <w:left w:w="108" w:type="dxa"/>
          <w:bottom w:w="0" w:type="dxa"/>
          <w:right w:w="108" w:type="dxa"/>
        </w:tblCellMar>
      </w:tblPr>
      <w:tblGrid>
        <w:gridCol w:w="704"/>
        <w:gridCol w:w="1896"/>
        <w:gridCol w:w="2948"/>
        <w:gridCol w:w="4086"/>
        <w:gridCol w:w="851"/>
        <w:gridCol w:w="3402"/>
      </w:tblGrid>
      <w:tr>
        <w:tblPrEx>
          <w:tblCellMar>
            <w:top w:w="0" w:type="dxa"/>
            <w:left w:w="108" w:type="dxa"/>
            <w:bottom w:w="0" w:type="dxa"/>
            <w:right w:w="108" w:type="dxa"/>
          </w:tblCellMar>
        </w:tblPrEx>
        <w:trPr>
          <w:trHeight w:val="280" w:hRule="atLeast"/>
        </w:trPr>
        <w:tc>
          <w:tcPr>
            <w:tcW w:w="704"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b/>
                <w:bCs/>
                <w:kern w:val="0"/>
                <w:szCs w:val="21"/>
              </w:rPr>
            </w:pPr>
            <w:r>
              <w:rPr>
                <w:rFonts w:hint="eastAsia" w:ascii="宋体" w:hAnsi="宋体" w:eastAsia="宋体" w:cs="宋体"/>
                <w:b/>
                <w:bCs/>
                <w:kern w:val="0"/>
                <w:szCs w:val="21"/>
              </w:rPr>
              <w:t>序号</w:t>
            </w:r>
          </w:p>
        </w:tc>
        <w:tc>
          <w:tcPr>
            <w:tcW w:w="1896"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eastAsia="宋体" w:cs="宋体"/>
                <w:b/>
                <w:bCs/>
                <w:kern w:val="0"/>
                <w:szCs w:val="21"/>
              </w:rPr>
            </w:pPr>
            <w:r>
              <w:rPr>
                <w:rFonts w:hint="eastAsia" w:ascii="宋体" w:hAnsi="宋体" w:eastAsia="宋体" w:cs="宋体"/>
                <w:b/>
                <w:bCs/>
                <w:kern w:val="0"/>
                <w:szCs w:val="21"/>
              </w:rPr>
              <w:t>评定指标</w:t>
            </w:r>
          </w:p>
        </w:tc>
        <w:tc>
          <w:tcPr>
            <w:tcW w:w="2948"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宋体"/>
                <w:b/>
                <w:bCs/>
                <w:kern w:val="0"/>
                <w:szCs w:val="21"/>
              </w:rPr>
            </w:pPr>
            <w:r>
              <w:rPr>
                <w:rFonts w:hint="eastAsia" w:ascii="宋体" w:hAnsi="宋体" w:eastAsia="宋体" w:cs="宋体"/>
                <w:b/>
                <w:bCs/>
                <w:kern w:val="0"/>
                <w:szCs w:val="21"/>
              </w:rPr>
              <w:t>优选项</w:t>
            </w:r>
          </w:p>
        </w:tc>
        <w:tc>
          <w:tcPr>
            <w:tcW w:w="4086"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eastAsia="宋体" w:cs="宋体"/>
                <w:b/>
                <w:bCs/>
                <w:kern w:val="0"/>
                <w:szCs w:val="21"/>
              </w:rPr>
            </w:pPr>
            <w:r>
              <w:rPr>
                <w:rFonts w:hint="eastAsia" w:ascii="宋体" w:hAnsi="宋体" w:eastAsia="宋体" w:cs="宋体"/>
                <w:b/>
                <w:bCs/>
                <w:kern w:val="0"/>
                <w:szCs w:val="21"/>
              </w:rPr>
              <w:t>评定方法</w:t>
            </w:r>
          </w:p>
        </w:tc>
        <w:tc>
          <w:tcPr>
            <w:tcW w:w="851" w:type="dxa"/>
            <w:tcBorders>
              <w:top w:val="single" w:color="auto" w:sz="4" w:space="0"/>
              <w:left w:val="nil"/>
              <w:bottom w:val="single" w:color="auto" w:sz="4" w:space="0"/>
              <w:right w:val="single" w:color="auto" w:sz="4" w:space="0"/>
            </w:tcBorders>
          </w:tcPr>
          <w:p>
            <w:pPr>
              <w:widowControl/>
              <w:jc w:val="center"/>
              <w:rPr>
                <w:rFonts w:hint="eastAsia" w:ascii="宋体" w:hAnsi="宋体" w:eastAsia="宋体" w:cs="宋体"/>
                <w:b/>
                <w:bCs/>
                <w:kern w:val="0"/>
                <w:szCs w:val="21"/>
              </w:rPr>
            </w:pPr>
            <w:r>
              <w:rPr>
                <w:rFonts w:hint="eastAsia" w:ascii="宋体" w:hAnsi="宋体" w:eastAsia="宋体" w:cs="宋体"/>
                <w:b/>
                <w:bCs/>
                <w:kern w:val="0"/>
                <w:szCs w:val="21"/>
              </w:rPr>
              <w:t>权重因子</w:t>
            </w:r>
          </w:p>
        </w:tc>
        <w:tc>
          <w:tcPr>
            <w:tcW w:w="3402"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b/>
                <w:bCs/>
                <w:kern w:val="0"/>
                <w:szCs w:val="21"/>
              </w:rPr>
            </w:pPr>
            <w:r>
              <w:rPr>
                <w:rFonts w:hint="eastAsia" w:ascii="宋体" w:hAnsi="宋体" w:eastAsia="宋体" w:cs="宋体"/>
                <w:b/>
                <w:bCs/>
                <w:kern w:val="0"/>
                <w:szCs w:val="21"/>
              </w:rPr>
              <w:t>说明</w:t>
            </w:r>
          </w:p>
        </w:tc>
      </w:tr>
      <w:tr>
        <w:tblPrEx>
          <w:tblCellMar>
            <w:top w:w="0" w:type="dxa"/>
            <w:left w:w="108" w:type="dxa"/>
            <w:bottom w:w="0" w:type="dxa"/>
            <w:right w:w="108" w:type="dxa"/>
          </w:tblCellMar>
        </w:tblPrEx>
        <w:trPr>
          <w:trHeight w:val="890" w:hRule="atLeast"/>
        </w:trPr>
        <w:tc>
          <w:tcPr>
            <w:tcW w:w="704" w:type="dxa"/>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kern w:val="0"/>
                <w:szCs w:val="21"/>
              </w:rPr>
            </w:pPr>
            <w:r>
              <w:rPr>
                <w:rFonts w:hint="eastAsia" w:ascii="宋体" w:hAnsi="宋体" w:eastAsia="宋体" w:cs="宋体"/>
                <w:kern w:val="0"/>
                <w:szCs w:val="21"/>
              </w:rPr>
              <w:t>1</w:t>
            </w:r>
          </w:p>
        </w:tc>
        <w:tc>
          <w:tcPr>
            <w:tcW w:w="1896"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szCs w:val="21"/>
              </w:rPr>
            </w:pPr>
            <w:r>
              <w:rPr>
                <w:rFonts w:hint="eastAsia" w:ascii="宋体" w:hAnsi="宋体" w:eastAsia="宋体" w:cs="Times New Roman"/>
                <w:szCs w:val="21"/>
              </w:rPr>
              <w:t>排烟窗框材质</w:t>
            </w:r>
          </w:p>
        </w:tc>
        <w:tc>
          <w:tcPr>
            <w:tcW w:w="2948"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kern w:val="0"/>
                <w:szCs w:val="21"/>
              </w:rPr>
            </w:pPr>
            <w:r>
              <w:rPr>
                <w:rFonts w:hint="eastAsia" w:ascii="宋体" w:hAnsi="宋体" w:eastAsia="宋体" w:cs="Times New Roman"/>
                <w:szCs w:val="21"/>
              </w:rPr>
              <w:t>排烟窗窗框材质应采用轻质、耐腐、满足燃烧性能等级的材料。</w:t>
            </w:r>
          </w:p>
        </w:tc>
        <w:tc>
          <w:tcPr>
            <w:tcW w:w="4086" w:type="dxa"/>
            <w:tcBorders>
              <w:top w:val="nil"/>
              <w:left w:val="nil"/>
              <w:bottom w:val="single" w:color="auto" w:sz="4" w:space="0"/>
              <w:right w:val="single" w:color="auto" w:sz="4" w:space="0"/>
            </w:tcBorders>
            <w:vAlign w:val="center"/>
          </w:tcPr>
          <w:p>
            <w:pPr>
              <w:widowControl/>
              <w:jc w:val="left"/>
              <w:rPr>
                <w:rFonts w:hint="eastAsia" w:ascii="宋体" w:hAnsi="宋体" w:eastAsia="宋体" w:cs="Times New Roman"/>
                <w:szCs w:val="21"/>
              </w:rPr>
            </w:pPr>
            <w:r>
              <w:rPr>
                <w:rFonts w:hint="eastAsia" w:ascii="宋体" w:hAnsi="宋体" w:eastAsia="宋体" w:cs="Times New Roman"/>
                <w:szCs w:val="21"/>
              </w:rPr>
              <w:t>窗框采用的材料满足防火性能等级的要求，并且有效降低整窗重量，降低漏水隐患，得2分；</w:t>
            </w:r>
          </w:p>
        </w:tc>
        <w:tc>
          <w:tcPr>
            <w:tcW w:w="851"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Times New Roman"/>
                <w:szCs w:val="21"/>
              </w:rPr>
            </w:pPr>
            <w:r>
              <w:rPr>
                <w:rFonts w:hint="eastAsia" w:ascii="宋体" w:hAnsi="宋体" w:eastAsia="宋体" w:cs="宋体"/>
                <w:kern w:val="0"/>
                <w:szCs w:val="21"/>
              </w:rPr>
              <w:t>1.0</w:t>
            </w:r>
          </w:p>
        </w:tc>
        <w:tc>
          <w:tcPr>
            <w:tcW w:w="3402" w:type="dxa"/>
            <w:tcBorders>
              <w:top w:val="nil"/>
              <w:left w:val="single" w:color="auto" w:sz="4" w:space="0"/>
              <w:bottom w:val="single" w:color="auto" w:sz="4" w:space="0"/>
              <w:right w:val="single" w:color="auto" w:sz="4" w:space="0"/>
            </w:tcBorders>
            <w:noWrap/>
            <w:vAlign w:val="center"/>
          </w:tcPr>
          <w:p>
            <w:pPr>
              <w:widowControl/>
              <w:jc w:val="left"/>
              <w:rPr>
                <w:rFonts w:hint="eastAsia" w:ascii="宋体" w:hAnsi="宋体" w:eastAsia="宋体" w:cs="Times New Roman"/>
                <w:szCs w:val="21"/>
              </w:rPr>
            </w:pPr>
            <w:r>
              <w:rPr>
                <w:rFonts w:hint="eastAsia" w:ascii="宋体" w:hAnsi="宋体" w:eastAsia="宋体" w:cs="Times New Roman"/>
                <w:szCs w:val="21"/>
              </w:rPr>
              <w:t>非金属材料：高性能复合型材玻纤聚氨酯复合型材、塑料、木制等材料；</w:t>
            </w:r>
          </w:p>
          <w:p>
            <w:pPr>
              <w:widowControl/>
              <w:jc w:val="left"/>
              <w:rPr>
                <w:rFonts w:hint="eastAsia" w:ascii="宋体" w:hAnsi="宋体" w:eastAsia="宋体" w:cs="Times New Roman"/>
                <w:szCs w:val="21"/>
              </w:rPr>
            </w:pPr>
            <w:r>
              <w:rPr>
                <w:rFonts w:hint="eastAsia" w:ascii="宋体" w:hAnsi="宋体" w:eastAsia="宋体" w:cs="Times New Roman"/>
                <w:szCs w:val="21"/>
              </w:rPr>
              <w:t>金属材料：断桥铝合金、普通铝合金、镀铝锌板等；</w:t>
            </w:r>
          </w:p>
          <w:p>
            <w:pPr>
              <w:widowControl/>
              <w:jc w:val="left"/>
              <w:rPr>
                <w:rFonts w:hint="eastAsia" w:ascii="宋体" w:hAnsi="宋体" w:eastAsia="宋体" w:cs="Times New Roman"/>
                <w:szCs w:val="21"/>
              </w:rPr>
            </w:pPr>
            <w:r>
              <w:rPr>
                <w:rFonts w:hint="eastAsia" w:ascii="宋体" w:hAnsi="宋体" w:eastAsia="宋体" w:cs="Times New Roman"/>
                <w:szCs w:val="21"/>
              </w:rPr>
              <w:t>排烟天窗采用铝合金等防腐轻金属材质可以有效减轻整窗重量，同时避免生锈造成的漏水隐患。外窗参考民用建筑</w:t>
            </w:r>
          </w:p>
          <w:p>
            <w:pPr>
              <w:widowControl/>
              <w:jc w:val="left"/>
              <w:rPr>
                <w:rFonts w:hint="eastAsia" w:ascii="宋体" w:hAnsi="宋体" w:eastAsia="宋体" w:cs="Times New Roman"/>
                <w:szCs w:val="21"/>
              </w:rPr>
            </w:pPr>
            <w:r>
              <w:rPr>
                <w:rFonts w:hint="eastAsia" w:ascii="宋体" w:hAnsi="宋体" w:eastAsia="宋体" w:cs="Times New Roman"/>
                <w:szCs w:val="21"/>
              </w:rPr>
              <w:t>排烟天窗的燃烧性能等级应满足《</w:t>
            </w:r>
            <w:r>
              <w:rPr>
                <w:rFonts w:ascii="宋体" w:hAnsi="宋体" w:eastAsia="宋体" w:cs="Times New Roman"/>
                <w:szCs w:val="21"/>
              </w:rPr>
              <w:t>电动采光排烟天窗</w:t>
            </w:r>
            <w:r>
              <w:rPr>
                <w:rFonts w:hint="eastAsia" w:ascii="宋体" w:hAnsi="宋体" w:eastAsia="宋体" w:cs="Times New Roman"/>
                <w:szCs w:val="21"/>
              </w:rPr>
              <w:t>》</w:t>
            </w:r>
            <w:r>
              <w:rPr>
                <w:rFonts w:ascii="宋体" w:hAnsi="宋体" w:eastAsia="宋体" w:cs="Times New Roman"/>
                <w:szCs w:val="21"/>
              </w:rPr>
              <w:t>GB/T 28637-2012</w:t>
            </w:r>
            <w:r>
              <w:rPr>
                <w:rFonts w:hint="eastAsia" w:ascii="宋体" w:hAnsi="宋体" w:eastAsia="宋体" w:cs="Times New Roman"/>
                <w:szCs w:val="21"/>
              </w:rPr>
              <w:t>的要求。</w:t>
            </w:r>
          </w:p>
          <w:p>
            <w:pPr>
              <w:widowControl/>
              <w:jc w:val="left"/>
              <w:rPr>
                <w:rFonts w:hint="eastAsia" w:ascii="宋体" w:hAnsi="宋体" w:eastAsia="宋体" w:cs="宋体"/>
                <w:kern w:val="0"/>
                <w:szCs w:val="21"/>
              </w:rPr>
            </w:pPr>
            <w:r>
              <w:rPr>
                <w:rFonts w:hint="eastAsia" w:ascii="宋体" w:hAnsi="宋体" w:eastAsia="宋体" w:cs="宋体"/>
                <w:kern w:val="0"/>
                <w:szCs w:val="21"/>
              </w:rPr>
              <w:t>降低整窗重量的要求，适用于顶部天窗。</w:t>
            </w:r>
          </w:p>
        </w:tc>
      </w:tr>
      <w:tr>
        <w:tblPrEx>
          <w:tblCellMar>
            <w:top w:w="0" w:type="dxa"/>
            <w:left w:w="108" w:type="dxa"/>
            <w:bottom w:w="0" w:type="dxa"/>
            <w:right w:w="108" w:type="dxa"/>
          </w:tblCellMar>
        </w:tblPrEx>
        <w:trPr>
          <w:trHeight w:val="1180" w:hRule="atLeast"/>
        </w:trPr>
        <w:tc>
          <w:tcPr>
            <w:tcW w:w="704"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kern w:val="0"/>
                <w:szCs w:val="21"/>
              </w:rPr>
            </w:pPr>
            <w:r>
              <w:rPr>
                <w:rFonts w:hint="eastAsia" w:ascii="宋体" w:hAnsi="宋体" w:eastAsia="宋体" w:cs="宋体"/>
                <w:kern w:val="0"/>
                <w:szCs w:val="21"/>
              </w:rPr>
              <w:t>2</w:t>
            </w:r>
          </w:p>
        </w:tc>
        <w:tc>
          <w:tcPr>
            <w:tcW w:w="1896"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宋体"/>
                <w:kern w:val="0"/>
                <w:szCs w:val="21"/>
              </w:rPr>
            </w:pPr>
            <w:r>
              <w:rPr>
                <w:rFonts w:hint="eastAsia" w:ascii="宋体" w:hAnsi="宋体" w:eastAsia="宋体" w:cs="Times New Roman"/>
                <w:szCs w:val="21"/>
              </w:rPr>
              <w:t>抗雪荷载性能</w:t>
            </w:r>
          </w:p>
        </w:tc>
        <w:tc>
          <w:tcPr>
            <w:tcW w:w="2948" w:type="dxa"/>
            <w:tcBorders>
              <w:top w:val="single" w:color="auto" w:sz="4" w:space="0"/>
              <w:left w:val="nil"/>
              <w:bottom w:val="single" w:color="auto" w:sz="4" w:space="0"/>
              <w:right w:val="single" w:color="auto" w:sz="4" w:space="0"/>
            </w:tcBorders>
            <w:noWrap/>
            <w:vAlign w:val="center"/>
          </w:tcPr>
          <w:p>
            <w:pPr>
              <w:jc w:val="left"/>
              <w:rPr>
                <w:rFonts w:hint="eastAsia" w:ascii="宋体" w:hAnsi="宋体" w:eastAsia="宋体" w:cs="宋体"/>
                <w:kern w:val="0"/>
                <w:szCs w:val="21"/>
              </w:rPr>
            </w:pPr>
            <w:r>
              <w:rPr>
                <w:rFonts w:hint="eastAsia" w:ascii="宋体" w:hAnsi="宋体" w:eastAsia="宋体" w:cs="Times New Roman"/>
                <w:szCs w:val="21"/>
              </w:rPr>
              <w:t>考虑排烟窗雪荷载的建筑类型，排烟窗需具有一定的抗雪荷载性能要求。</w:t>
            </w:r>
          </w:p>
        </w:tc>
        <w:tc>
          <w:tcPr>
            <w:tcW w:w="4086" w:type="dxa"/>
            <w:tcBorders>
              <w:top w:val="single" w:color="auto" w:sz="4" w:space="0"/>
              <w:left w:val="nil"/>
              <w:bottom w:val="single" w:color="auto" w:sz="4" w:space="0"/>
              <w:right w:val="single" w:color="auto" w:sz="4" w:space="0"/>
            </w:tcBorders>
            <w:vAlign w:val="center"/>
          </w:tcPr>
          <w:p>
            <w:pPr>
              <w:widowControl/>
              <w:jc w:val="left"/>
              <w:rPr>
                <w:rFonts w:hint="eastAsia" w:ascii="宋体" w:hAnsi="宋体" w:eastAsia="宋体" w:cs="Times New Roman"/>
                <w:szCs w:val="21"/>
              </w:rPr>
            </w:pPr>
            <w:r>
              <w:rPr>
                <w:rFonts w:hint="eastAsia" w:ascii="宋体" w:hAnsi="宋体" w:eastAsia="宋体" w:cs="Times New Roman"/>
                <w:szCs w:val="21"/>
              </w:rPr>
              <w:t>1）自然排烟窗的抗雪荷载性能不低于SL1000，得2分；</w:t>
            </w:r>
          </w:p>
          <w:p>
            <w:pPr>
              <w:widowControl/>
              <w:jc w:val="left"/>
              <w:rPr>
                <w:rFonts w:hint="eastAsia" w:ascii="宋体" w:hAnsi="宋体" w:eastAsia="宋体" w:cs="宋体"/>
                <w:kern w:val="0"/>
                <w:szCs w:val="21"/>
              </w:rPr>
            </w:pPr>
            <w:r>
              <w:rPr>
                <w:rFonts w:hint="eastAsia" w:ascii="宋体" w:hAnsi="宋体" w:eastAsia="宋体" w:cs="Times New Roman"/>
                <w:szCs w:val="21"/>
              </w:rPr>
              <w:t>2）自然排烟窗的抗雪荷载性能不低于SL500，得1分；</w:t>
            </w:r>
          </w:p>
        </w:tc>
        <w:tc>
          <w:tcPr>
            <w:tcW w:w="851"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Times New Roman"/>
                <w:szCs w:val="21"/>
              </w:rPr>
            </w:pPr>
            <w:r>
              <w:rPr>
                <w:rFonts w:hint="eastAsia" w:ascii="宋体" w:hAnsi="宋体" w:eastAsia="宋体" w:cs="Times New Roman"/>
                <w:szCs w:val="21"/>
              </w:rPr>
              <w:t>1.0</w:t>
            </w:r>
          </w:p>
        </w:tc>
        <w:tc>
          <w:tcPr>
            <w:tcW w:w="3402"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hint="eastAsia" w:ascii="宋体" w:hAnsi="宋体" w:eastAsia="宋体" w:cs="宋体"/>
                <w:kern w:val="0"/>
                <w:szCs w:val="21"/>
              </w:rPr>
            </w:pPr>
            <w:r>
              <w:rPr>
                <w:rFonts w:hint="eastAsia" w:ascii="宋体" w:hAnsi="宋体" w:eastAsia="宋体" w:cs="宋体"/>
                <w:kern w:val="0"/>
                <w:szCs w:val="21"/>
              </w:rPr>
              <w:t>仅适用于顶部天窗</w:t>
            </w:r>
          </w:p>
        </w:tc>
      </w:tr>
      <w:tr>
        <w:tblPrEx>
          <w:tblCellMar>
            <w:top w:w="0" w:type="dxa"/>
            <w:left w:w="108" w:type="dxa"/>
            <w:bottom w:w="0" w:type="dxa"/>
            <w:right w:w="108" w:type="dxa"/>
          </w:tblCellMar>
        </w:tblPrEx>
        <w:trPr>
          <w:trHeight w:val="1180" w:hRule="atLeast"/>
        </w:trPr>
        <w:tc>
          <w:tcPr>
            <w:tcW w:w="704"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kern w:val="0"/>
                <w:szCs w:val="21"/>
              </w:rPr>
            </w:pPr>
            <w:r>
              <w:rPr>
                <w:rFonts w:hint="eastAsia" w:ascii="宋体" w:hAnsi="宋体" w:eastAsia="宋体" w:cs="宋体"/>
                <w:kern w:val="0"/>
                <w:szCs w:val="21"/>
              </w:rPr>
              <w:t>3</w:t>
            </w:r>
          </w:p>
        </w:tc>
        <w:tc>
          <w:tcPr>
            <w:tcW w:w="1896"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Times New Roman"/>
                <w:szCs w:val="21"/>
              </w:rPr>
            </w:pPr>
            <w:r>
              <w:rPr>
                <w:rFonts w:hint="eastAsia" w:ascii="宋体" w:hAnsi="宋体" w:eastAsia="宋体" w:cs="Times New Roman"/>
                <w:kern w:val="0"/>
                <w:szCs w:val="21"/>
              </w:rPr>
              <w:t>气密性能</w:t>
            </w:r>
          </w:p>
        </w:tc>
        <w:tc>
          <w:tcPr>
            <w:tcW w:w="2948" w:type="dxa"/>
            <w:tcBorders>
              <w:top w:val="single" w:color="auto" w:sz="4" w:space="0"/>
              <w:left w:val="nil"/>
              <w:bottom w:val="single" w:color="auto" w:sz="4" w:space="0"/>
              <w:right w:val="single" w:color="auto" w:sz="4" w:space="0"/>
            </w:tcBorders>
            <w:noWrap/>
            <w:vAlign w:val="center"/>
          </w:tcPr>
          <w:p>
            <w:pPr>
              <w:widowControl/>
              <w:jc w:val="left"/>
              <w:rPr>
                <w:rFonts w:hint="eastAsia" w:ascii="宋体" w:hAnsi="宋体" w:eastAsia="宋体" w:cs="Times New Roman"/>
                <w:szCs w:val="21"/>
              </w:rPr>
            </w:pPr>
            <w:r>
              <w:rPr>
                <w:rFonts w:hint="eastAsia" w:ascii="宋体" w:hAnsi="宋体" w:eastAsia="宋体" w:cs="Times New Roman"/>
                <w:kern w:val="0"/>
                <w:szCs w:val="21"/>
              </w:rPr>
              <w:t>自动排烟窗具有一定的气密性能，可采用在标准状态下，压力差为10Pa 时的单位开启缝长空气渗透量q1和单位面积空气渗透量q2作为分级指标。</w:t>
            </w:r>
          </w:p>
        </w:tc>
        <w:tc>
          <w:tcPr>
            <w:tcW w:w="4086" w:type="dxa"/>
            <w:tcBorders>
              <w:top w:val="single" w:color="auto" w:sz="4" w:space="0"/>
              <w:left w:val="nil"/>
              <w:bottom w:val="single" w:color="auto" w:sz="4" w:space="0"/>
              <w:right w:val="single" w:color="auto" w:sz="4" w:space="0"/>
            </w:tcBorders>
            <w:vAlign w:val="center"/>
          </w:tcPr>
          <w:p>
            <w:pPr>
              <w:widowControl/>
              <w:jc w:val="left"/>
              <w:rPr>
                <w:rFonts w:hint="eastAsia" w:ascii="宋体" w:hAnsi="宋体" w:eastAsia="宋体" w:cs="Times New Roman"/>
                <w:szCs w:val="21"/>
              </w:rPr>
            </w:pPr>
            <w:r>
              <w:rPr>
                <w:rFonts w:hint="eastAsia" w:ascii="宋体" w:hAnsi="宋体" w:eastAsia="宋体" w:cs="Times New Roman"/>
                <w:szCs w:val="21"/>
              </w:rPr>
              <w:t>满足节能设计相关要求的，得1分</w:t>
            </w:r>
          </w:p>
        </w:tc>
        <w:tc>
          <w:tcPr>
            <w:tcW w:w="851"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Times New Roman"/>
                <w:szCs w:val="21"/>
              </w:rPr>
            </w:pPr>
            <w:r>
              <w:rPr>
                <w:rFonts w:hint="eastAsia" w:ascii="宋体" w:hAnsi="宋体" w:eastAsia="宋体" w:cs="Times New Roman"/>
                <w:szCs w:val="21"/>
              </w:rPr>
              <w:t>1.0</w:t>
            </w:r>
          </w:p>
        </w:tc>
        <w:tc>
          <w:tcPr>
            <w:tcW w:w="3402"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hint="eastAsia" w:ascii="宋体" w:hAnsi="宋体" w:eastAsia="宋体" w:cs="Times New Roman"/>
                <w:szCs w:val="21"/>
              </w:rPr>
            </w:pPr>
            <w:r>
              <w:rPr>
                <w:rFonts w:hint="eastAsia" w:ascii="宋体" w:hAnsi="宋体" w:eastAsia="宋体" w:cs="Times New Roman"/>
                <w:kern w:val="0"/>
                <w:szCs w:val="21"/>
              </w:rPr>
              <w:t>《建筑外门窗气密、水密、抗风压性能检测方法》 GB/T 7016-2019及国家及地方相关节能规定</w:t>
            </w:r>
          </w:p>
        </w:tc>
      </w:tr>
      <w:tr>
        <w:tblPrEx>
          <w:tblCellMar>
            <w:top w:w="0" w:type="dxa"/>
            <w:left w:w="108" w:type="dxa"/>
            <w:bottom w:w="0" w:type="dxa"/>
            <w:right w:w="108" w:type="dxa"/>
          </w:tblCellMar>
        </w:tblPrEx>
        <w:trPr>
          <w:trHeight w:val="1180" w:hRule="atLeast"/>
        </w:trPr>
        <w:tc>
          <w:tcPr>
            <w:tcW w:w="704"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kern w:val="0"/>
                <w:szCs w:val="21"/>
              </w:rPr>
            </w:pPr>
            <w:r>
              <w:rPr>
                <w:rFonts w:hint="eastAsia" w:ascii="宋体" w:hAnsi="宋体" w:eastAsia="宋体" w:cs="宋体"/>
                <w:kern w:val="0"/>
                <w:szCs w:val="21"/>
              </w:rPr>
              <w:t>4</w:t>
            </w:r>
          </w:p>
        </w:tc>
        <w:tc>
          <w:tcPr>
            <w:tcW w:w="1896"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水密性能</w:t>
            </w:r>
          </w:p>
        </w:tc>
        <w:tc>
          <w:tcPr>
            <w:tcW w:w="2948" w:type="dxa"/>
            <w:tcBorders>
              <w:top w:val="single" w:color="auto" w:sz="4" w:space="0"/>
              <w:left w:val="nil"/>
              <w:bottom w:val="single" w:color="auto" w:sz="4" w:space="0"/>
              <w:right w:val="single" w:color="auto" w:sz="4" w:space="0"/>
            </w:tcBorders>
            <w:noWrap/>
            <w:vAlign w:val="center"/>
          </w:tcPr>
          <w:p>
            <w:pPr>
              <w:widowControl/>
              <w:jc w:val="left"/>
              <w:rPr>
                <w:rFonts w:hint="eastAsia" w:ascii="宋体" w:hAnsi="宋体" w:eastAsia="宋体" w:cs="Times New Roman"/>
                <w:kern w:val="0"/>
                <w:szCs w:val="21"/>
              </w:rPr>
            </w:pPr>
            <w:r>
              <w:rPr>
                <w:rFonts w:hint="eastAsia" w:ascii="宋体" w:hAnsi="宋体" w:eastAsia="宋体" w:cs="Times New Roman"/>
                <w:kern w:val="0"/>
                <w:szCs w:val="21"/>
              </w:rPr>
              <w:t>自动排烟窗具有一定的水密性能，可采用严重渗漏压力差值的前一级压力差值作为分级指标。</w:t>
            </w:r>
          </w:p>
        </w:tc>
        <w:tc>
          <w:tcPr>
            <w:tcW w:w="4086" w:type="dxa"/>
            <w:tcBorders>
              <w:top w:val="single" w:color="auto" w:sz="4" w:space="0"/>
              <w:left w:val="nil"/>
              <w:bottom w:val="single" w:color="auto" w:sz="4" w:space="0"/>
              <w:right w:val="single" w:color="auto" w:sz="4" w:space="0"/>
            </w:tcBorders>
            <w:vAlign w:val="center"/>
          </w:tcPr>
          <w:p>
            <w:pPr>
              <w:widowControl/>
              <w:jc w:val="left"/>
              <w:rPr>
                <w:rFonts w:hint="eastAsia" w:ascii="宋体" w:hAnsi="宋体" w:eastAsia="宋体" w:cs="Times New Roman"/>
                <w:szCs w:val="21"/>
              </w:rPr>
            </w:pPr>
            <w:r>
              <w:rPr>
                <w:rFonts w:hint="eastAsia" w:ascii="宋体" w:hAnsi="宋体" w:eastAsia="宋体" w:cs="Times New Roman"/>
                <w:szCs w:val="21"/>
              </w:rPr>
              <w:t>满足设计图纸要求及国家、地方相应规定的，得1分</w:t>
            </w:r>
          </w:p>
        </w:tc>
        <w:tc>
          <w:tcPr>
            <w:tcW w:w="851"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Times New Roman"/>
                <w:szCs w:val="21"/>
              </w:rPr>
            </w:pPr>
            <w:r>
              <w:rPr>
                <w:rFonts w:hint="eastAsia" w:ascii="宋体" w:hAnsi="宋体" w:eastAsia="宋体" w:cs="Times New Roman"/>
                <w:szCs w:val="21"/>
              </w:rPr>
              <w:t>1.0</w:t>
            </w:r>
          </w:p>
        </w:tc>
        <w:tc>
          <w:tcPr>
            <w:tcW w:w="3402"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hint="eastAsia" w:ascii="宋体" w:hAnsi="宋体" w:eastAsia="宋体" w:cs="Times New Roman"/>
                <w:kern w:val="0"/>
                <w:szCs w:val="21"/>
              </w:rPr>
            </w:pPr>
            <w:r>
              <w:rPr>
                <w:rFonts w:hint="eastAsia" w:ascii="宋体" w:hAnsi="宋体" w:eastAsia="宋体" w:cs="Times New Roman"/>
                <w:kern w:val="0"/>
                <w:szCs w:val="21"/>
              </w:rPr>
              <w:t>参考《建筑外门窗气密、水密、抗风压性能检测方法》 GB/T 7016-2019及相关规定</w:t>
            </w:r>
          </w:p>
        </w:tc>
      </w:tr>
      <w:tr>
        <w:tblPrEx>
          <w:tblCellMar>
            <w:top w:w="0" w:type="dxa"/>
            <w:left w:w="108" w:type="dxa"/>
            <w:bottom w:w="0" w:type="dxa"/>
            <w:right w:w="108" w:type="dxa"/>
          </w:tblCellMar>
        </w:tblPrEx>
        <w:trPr>
          <w:trHeight w:val="1180" w:hRule="atLeast"/>
        </w:trPr>
        <w:tc>
          <w:tcPr>
            <w:tcW w:w="704"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kern w:val="0"/>
                <w:szCs w:val="21"/>
              </w:rPr>
            </w:pPr>
            <w:r>
              <w:rPr>
                <w:rFonts w:hint="eastAsia" w:ascii="宋体" w:hAnsi="宋体" w:eastAsia="宋体" w:cs="宋体"/>
                <w:kern w:val="0"/>
                <w:szCs w:val="21"/>
              </w:rPr>
              <w:t>5</w:t>
            </w:r>
          </w:p>
        </w:tc>
        <w:tc>
          <w:tcPr>
            <w:tcW w:w="1896"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抗风压性能</w:t>
            </w:r>
          </w:p>
        </w:tc>
        <w:tc>
          <w:tcPr>
            <w:tcW w:w="2948" w:type="dxa"/>
            <w:tcBorders>
              <w:top w:val="single" w:color="auto" w:sz="4" w:space="0"/>
              <w:left w:val="nil"/>
              <w:bottom w:val="single" w:color="auto" w:sz="4" w:space="0"/>
              <w:right w:val="single" w:color="auto" w:sz="4" w:space="0"/>
            </w:tcBorders>
            <w:noWrap/>
            <w:vAlign w:val="center"/>
          </w:tcPr>
          <w:p>
            <w:pPr>
              <w:widowControl/>
              <w:jc w:val="left"/>
              <w:rPr>
                <w:rFonts w:hint="eastAsia" w:ascii="宋体" w:hAnsi="宋体" w:eastAsia="宋体" w:cs="Times New Roman"/>
                <w:kern w:val="0"/>
                <w:szCs w:val="21"/>
              </w:rPr>
            </w:pPr>
            <w:r>
              <w:rPr>
                <w:rFonts w:hint="eastAsia" w:ascii="宋体" w:hAnsi="宋体" w:eastAsia="宋体" w:cs="Times New Roman"/>
                <w:kern w:val="0"/>
                <w:szCs w:val="21"/>
              </w:rPr>
              <w:t>自动排烟窗具有一定的抗风压性能，可采用定级检测压力差值：P3为抗风压性能分级指标。</w:t>
            </w:r>
          </w:p>
        </w:tc>
        <w:tc>
          <w:tcPr>
            <w:tcW w:w="4086" w:type="dxa"/>
            <w:tcBorders>
              <w:top w:val="single" w:color="auto" w:sz="4" w:space="0"/>
              <w:left w:val="nil"/>
              <w:bottom w:val="single" w:color="auto" w:sz="4" w:space="0"/>
              <w:right w:val="single" w:color="auto" w:sz="4" w:space="0"/>
            </w:tcBorders>
            <w:vAlign w:val="center"/>
          </w:tcPr>
          <w:p>
            <w:pPr>
              <w:widowControl/>
              <w:jc w:val="left"/>
              <w:rPr>
                <w:rFonts w:hint="eastAsia" w:ascii="宋体" w:hAnsi="宋体" w:eastAsia="宋体" w:cs="Times New Roman"/>
                <w:szCs w:val="21"/>
              </w:rPr>
            </w:pPr>
            <w:r>
              <w:rPr>
                <w:rFonts w:hint="eastAsia" w:ascii="宋体" w:hAnsi="宋体" w:eastAsia="宋体" w:cs="Times New Roman"/>
                <w:szCs w:val="21"/>
              </w:rPr>
              <w:t>满足设计图纸要求及国家、地方相应规定的，得1分</w:t>
            </w:r>
          </w:p>
        </w:tc>
        <w:tc>
          <w:tcPr>
            <w:tcW w:w="851"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Times New Roman"/>
                <w:szCs w:val="21"/>
              </w:rPr>
            </w:pPr>
            <w:r>
              <w:rPr>
                <w:rFonts w:hint="eastAsia" w:ascii="宋体" w:hAnsi="宋体" w:eastAsia="宋体" w:cs="Times New Roman"/>
                <w:szCs w:val="21"/>
              </w:rPr>
              <w:t>1.0</w:t>
            </w:r>
          </w:p>
        </w:tc>
        <w:tc>
          <w:tcPr>
            <w:tcW w:w="3402"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hint="eastAsia" w:ascii="宋体" w:hAnsi="宋体" w:eastAsia="宋体" w:cs="Times New Roman"/>
                <w:kern w:val="0"/>
                <w:szCs w:val="21"/>
              </w:rPr>
            </w:pPr>
            <w:r>
              <w:rPr>
                <w:rFonts w:hint="eastAsia" w:ascii="宋体" w:hAnsi="宋体" w:eastAsia="宋体" w:cs="Times New Roman"/>
                <w:kern w:val="0"/>
                <w:szCs w:val="21"/>
              </w:rPr>
              <w:t>参考《建筑外门窗气密、水密、抗风压性能检测方法》 GB/T 7016-2019及相关规定</w:t>
            </w:r>
          </w:p>
        </w:tc>
      </w:tr>
      <w:tr>
        <w:tblPrEx>
          <w:tblCellMar>
            <w:top w:w="0" w:type="dxa"/>
            <w:left w:w="108" w:type="dxa"/>
            <w:bottom w:w="0" w:type="dxa"/>
            <w:right w:w="108" w:type="dxa"/>
          </w:tblCellMar>
        </w:tblPrEx>
        <w:trPr>
          <w:trHeight w:val="1180" w:hRule="atLeast"/>
        </w:trPr>
        <w:tc>
          <w:tcPr>
            <w:tcW w:w="704"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kern w:val="0"/>
                <w:szCs w:val="21"/>
              </w:rPr>
            </w:pPr>
            <w:r>
              <w:rPr>
                <w:rFonts w:hint="eastAsia" w:ascii="宋体" w:hAnsi="宋体" w:eastAsia="宋体" w:cs="宋体"/>
                <w:kern w:val="0"/>
                <w:szCs w:val="21"/>
              </w:rPr>
              <w:t>6</w:t>
            </w:r>
          </w:p>
        </w:tc>
        <w:tc>
          <w:tcPr>
            <w:tcW w:w="1896"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保温隔热性能</w:t>
            </w:r>
          </w:p>
        </w:tc>
        <w:tc>
          <w:tcPr>
            <w:tcW w:w="2948" w:type="dxa"/>
            <w:tcBorders>
              <w:top w:val="single" w:color="auto" w:sz="4" w:space="0"/>
              <w:left w:val="nil"/>
              <w:bottom w:val="single" w:color="auto" w:sz="4" w:space="0"/>
              <w:right w:val="single" w:color="auto" w:sz="4" w:space="0"/>
            </w:tcBorders>
            <w:noWrap/>
            <w:vAlign w:val="center"/>
          </w:tcPr>
          <w:p>
            <w:pPr>
              <w:widowControl/>
              <w:jc w:val="left"/>
              <w:rPr>
                <w:rFonts w:hint="eastAsia" w:ascii="宋体" w:hAnsi="宋体" w:eastAsia="宋体" w:cs="Times New Roman"/>
                <w:kern w:val="0"/>
                <w:szCs w:val="21"/>
              </w:rPr>
            </w:pPr>
            <w:r>
              <w:rPr>
                <w:rFonts w:hint="eastAsia" w:ascii="宋体" w:hAnsi="宋体" w:eastAsia="宋体" w:cs="Times New Roman"/>
                <w:kern w:val="0"/>
                <w:szCs w:val="21"/>
              </w:rPr>
              <w:t>民用建筑：</w:t>
            </w:r>
          </w:p>
          <w:p>
            <w:pPr>
              <w:widowControl/>
              <w:jc w:val="left"/>
              <w:rPr>
                <w:rFonts w:hint="eastAsia" w:ascii="宋体" w:hAnsi="宋体" w:eastAsia="宋体" w:cs="Times New Roman"/>
                <w:kern w:val="0"/>
                <w:szCs w:val="21"/>
              </w:rPr>
            </w:pPr>
            <w:r>
              <w:rPr>
                <w:rFonts w:hint="eastAsia" w:ascii="宋体" w:hAnsi="宋体" w:eastAsia="宋体" w:cs="Times New Roman"/>
                <w:kern w:val="0"/>
                <w:szCs w:val="21"/>
              </w:rPr>
              <w:t>自动排烟窗具有一定的保温性能满足建筑节能设计要求，K为分级指标</w:t>
            </w:r>
          </w:p>
        </w:tc>
        <w:tc>
          <w:tcPr>
            <w:tcW w:w="4086" w:type="dxa"/>
            <w:tcBorders>
              <w:top w:val="single" w:color="auto" w:sz="4" w:space="0"/>
              <w:left w:val="nil"/>
              <w:bottom w:val="single" w:color="auto" w:sz="4" w:space="0"/>
              <w:right w:val="single" w:color="auto" w:sz="4" w:space="0"/>
            </w:tcBorders>
            <w:vAlign w:val="center"/>
          </w:tcPr>
          <w:p>
            <w:pPr>
              <w:widowControl/>
              <w:jc w:val="left"/>
              <w:rPr>
                <w:rFonts w:hint="eastAsia" w:ascii="宋体" w:hAnsi="宋体" w:eastAsia="宋体" w:cs="Times New Roman"/>
                <w:szCs w:val="21"/>
              </w:rPr>
            </w:pPr>
            <w:bookmarkStart w:id="71" w:name="OLE_LINK44"/>
            <w:r>
              <w:rPr>
                <w:rFonts w:hint="eastAsia" w:ascii="宋体" w:hAnsi="宋体" w:eastAsia="宋体" w:cs="Times New Roman"/>
                <w:szCs w:val="21"/>
              </w:rPr>
              <w:t>同时满足节能设计相关要求的，得2分</w:t>
            </w:r>
            <w:bookmarkEnd w:id="71"/>
          </w:p>
        </w:tc>
        <w:tc>
          <w:tcPr>
            <w:tcW w:w="851"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Times New Roman"/>
                <w:szCs w:val="21"/>
              </w:rPr>
            </w:pPr>
            <w:r>
              <w:rPr>
                <w:rFonts w:hint="eastAsia" w:ascii="宋体" w:hAnsi="宋体" w:eastAsia="宋体" w:cs="Times New Roman"/>
                <w:szCs w:val="21"/>
              </w:rPr>
              <w:t>1.0</w:t>
            </w:r>
          </w:p>
        </w:tc>
        <w:tc>
          <w:tcPr>
            <w:tcW w:w="3402"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hint="eastAsia" w:ascii="宋体" w:hAnsi="宋体" w:eastAsia="宋体" w:cs="Times New Roman"/>
                <w:kern w:val="0"/>
                <w:szCs w:val="21"/>
              </w:rPr>
            </w:pPr>
            <w:r>
              <w:rPr>
                <w:rFonts w:hint="eastAsia" w:ascii="宋体" w:hAnsi="宋体" w:eastAsia="宋体" w:cs="Times New Roman"/>
                <w:kern w:val="0"/>
                <w:szCs w:val="21"/>
              </w:rPr>
              <w:t>1．一般适用于民用建筑，工业建筑视情况而定；</w:t>
            </w:r>
          </w:p>
          <w:p>
            <w:pPr>
              <w:widowControl/>
              <w:jc w:val="left"/>
              <w:rPr>
                <w:rFonts w:hint="eastAsia" w:ascii="宋体" w:hAnsi="宋体" w:eastAsia="宋体" w:cs="Times New Roman"/>
                <w:kern w:val="0"/>
                <w:szCs w:val="21"/>
              </w:rPr>
            </w:pPr>
            <w:r>
              <w:rPr>
                <w:rFonts w:hint="eastAsia" w:ascii="宋体" w:hAnsi="宋体" w:eastAsia="宋体" w:cs="Times New Roman"/>
                <w:kern w:val="0"/>
                <w:szCs w:val="21"/>
              </w:rPr>
              <w:t>2.根据</w:t>
            </w:r>
            <w:r>
              <w:rPr>
                <w:rFonts w:ascii="宋体" w:hAnsi="宋体" w:eastAsia="宋体" w:cs="Times New Roman"/>
                <w:kern w:val="0"/>
                <w:szCs w:val="21"/>
              </w:rPr>
              <w:t>《建筑节能与可再生能源利用通用规范》GB 55015-2021</w:t>
            </w:r>
            <w:r>
              <w:rPr>
                <w:rFonts w:hint="eastAsia" w:ascii="宋体" w:hAnsi="宋体" w:eastAsia="宋体" w:cs="Times New Roman"/>
                <w:kern w:val="0"/>
                <w:szCs w:val="21"/>
              </w:rPr>
              <w:t>及各地节能设计相关规定要求</w:t>
            </w:r>
          </w:p>
          <w:p>
            <w:pPr>
              <w:widowControl/>
              <w:jc w:val="left"/>
              <w:rPr>
                <w:rFonts w:hint="eastAsia" w:ascii="宋体" w:hAnsi="宋体" w:eastAsia="宋体" w:cs="Times New Roman"/>
                <w:kern w:val="0"/>
                <w:szCs w:val="21"/>
              </w:rPr>
            </w:pPr>
            <w:r>
              <w:rPr>
                <w:rFonts w:hint="eastAsia" w:ascii="宋体" w:hAnsi="宋体" w:eastAsia="宋体" w:cs="Times New Roman"/>
                <w:kern w:val="0"/>
                <w:szCs w:val="21"/>
              </w:rPr>
              <w:t>3.参照《建筑外门窗保温性能检测方法》GB/T 8484-2020；</w:t>
            </w:r>
          </w:p>
        </w:tc>
      </w:tr>
      <w:tr>
        <w:tblPrEx>
          <w:tblCellMar>
            <w:top w:w="0" w:type="dxa"/>
            <w:left w:w="108" w:type="dxa"/>
            <w:bottom w:w="0" w:type="dxa"/>
            <w:right w:w="108" w:type="dxa"/>
          </w:tblCellMar>
        </w:tblPrEx>
        <w:trPr>
          <w:trHeight w:val="1180" w:hRule="atLeast"/>
        </w:trPr>
        <w:tc>
          <w:tcPr>
            <w:tcW w:w="704"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kern w:val="0"/>
                <w:szCs w:val="21"/>
              </w:rPr>
            </w:pPr>
            <w:r>
              <w:rPr>
                <w:rFonts w:hint="eastAsia" w:ascii="宋体" w:hAnsi="宋体" w:eastAsia="宋体" w:cs="宋体"/>
                <w:kern w:val="0"/>
                <w:szCs w:val="21"/>
              </w:rPr>
              <w:t>7</w:t>
            </w:r>
          </w:p>
        </w:tc>
        <w:tc>
          <w:tcPr>
            <w:tcW w:w="1896"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隔声性能</w:t>
            </w:r>
          </w:p>
        </w:tc>
        <w:tc>
          <w:tcPr>
            <w:tcW w:w="2948" w:type="dxa"/>
            <w:tcBorders>
              <w:top w:val="single" w:color="auto" w:sz="4" w:space="0"/>
              <w:left w:val="nil"/>
              <w:bottom w:val="single" w:color="auto" w:sz="4" w:space="0"/>
              <w:right w:val="single" w:color="auto" w:sz="4" w:space="0"/>
            </w:tcBorders>
            <w:noWrap/>
            <w:vAlign w:val="center"/>
          </w:tcPr>
          <w:p>
            <w:pPr>
              <w:widowControl/>
              <w:jc w:val="left"/>
              <w:rPr>
                <w:rFonts w:hint="eastAsia" w:ascii="宋体" w:hAnsi="宋体" w:eastAsia="宋体" w:cs="Times New Roman"/>
                <w:kern w:val="0"/>
                <w:szCs w:val="21"/>
              </w:rPr>
            </w:pPr>
            <w:r>
              <w:rPr>
                <w:rFonts w:hint="eastAsia" w:ascii="宋体" w:hAnsi="宋体" w:eastAsia="宋体" w:cs="Times New Roman"/>
                <w:kern w:val="0"/>
                <w:szCs w:val="21"/>
              </w:rPr>
              <w:t>作为外窗，分级指标Rw +Ctr</w:t>
            </w:r>
          </w:p>
        </w:tc>
        <w:tc>
          <w:tcPr>
            <w:tcW w:w="4086" w:type="dxa"/>
            <w:tcBorders>
              <w:top w:val="single" w:color="auto" w:sz="4" w:space="0"/>
              <w:left w:val="nil"/>
              <w:bottom w:val="single" w:color="auto" w:sz="4" w:space="0"/>
              <w:right w:val="single" w:color="auto" w:sz="4" w:space="0"/>
            </w:tcBorders>
            <w:vAlign w:val="center"/>
          </w:tcPr>
          <w:p>
            <w:pPr>
              <w:widowControl/>
              <w:jc w:val="left"/>
              <w:rPr>
                <w:rFonts w:hint="eastAsia" w:ascii="宋体" w:hAnsi="宋体" w:eastAsia="宋体" w:cs="Times New Roman"/>
                <w:szCs w:val="21"/>
              </w:rPr>
            </w:pPr>
            <w:r>
              <w:rPr>
                <w:rFonts w:hint="eastAsia" w:ascii="宋体" w:hAnsi="宋体" w:eastAsia="宋体" w:cs="Times New Roman"/>
                <w:szCs w:val="21"/>
              </w:rPr>
              <w:t>根据不同建筑类型要求满足相关设计要求，得2分；</w:t>
            </w:r>
          </w:p>
          <w:p>
            <w:pPr>
              <w:widowControl/>
              <w:jc w:val="left"/>
              <w:rPr>
                <w:rFonts w:hint="eastAsia" w:ascii="宋体" w:hAnsi="宋体" w:eastAsia="宋体" w:cs="Times New Roman"/>
                <w:szCs w:val="21"/>
              </w:rPr>
            </w:pPr>
          </w:p>
        </w:tc>
        <w:tc>
          <w:tcPr>
            <w:tcW w:w="851"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Times New Roman"/>
                <w:szCs w:val="21"/>
              </w:rPr>
            </w:pPr>
            <w:r>
              <w:rPr>
                <w:rFonts w:hint="eastAsia" w:ascii="宋体" w:hAnsi="宋体" w:eastAsia="宋体" w:cs="Times New Roman"/>
                <w:szCs w:val="21"/>
              </w:rPr>
              <w:t>1.0</w:t>
            </w:r>
          </w:p>
        </w:tc>
        <w:tc>
          <w:tcPr>
            <w:tcW w:w="3402"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hint="eastAsia" w:ascii="宋体" w:hAnsi="宋体" w:eastAsia="宋体" w:cs="Times New Roman"/>
                <w:kern w:val="0"/>
                <w:szCs w:val="21"/>
              </w:rPr>
            </w:pPr>
            <w:r>
              <w:rPr>
                <w:rFonts w:hint="eastAsia" w:ascii="宋体" w:hAnsi="宋体" w:eastAsia="宋体" w:cs="Times New Roman"/>
                <w:kern w:val="0"/>
                <w:szCs w:val="21"/>
              </w:rPr>
              <w:t>1.一般适用于民用建筑，工业建筑视情况而定</w:t>
            </w:r>
          </w:p>
          <w:p>
            <w:pPr>
              <w:widowControl/>
              <w:jc w:val="left"/>
              <w:rPr>
                <w:rFonts w:hint="eastAsia" w:ascii="宋体" w:hAnsi="宋体" w:eastAsia="宋体" w:cs="Times New Roman"/>
                <w:kern w:val="0"/>
                <w:szCs w:val="21"/>
              </w:rPr>
            </w:pPr>
            <w:r>
              <w:rPr>
                <w:rFonts w:hint="eastAsia" w:ascii="宋体" w:hAnsi="宋体" w:eastAsia="宋体" w:cs="Times New Roman"/>
                <w:kern w:val="0"/>
                <w:szCs w:val="21"/>
              </w:rPr>
              <w:t>2.分级参照GB/T 8485《建筑门窗空气声隔声性能分级及检测方法》</w:t>
            </w:r>
          </w:p>
        </w:tc>
      </w:tr>
      <w:tr>
        <w:tblPrEx>
          <w:tblCellMar>
            <w:top w:w="0" w:type="dxa"/>
            <w:left w:w="108" w:type="dxa"/>
            <w:bottom w:w="0" w:type="dxa"/>
            <w:right w:w="108" w:type="dxa"/>
          </w:tblCellMar>
        </w:tblPrEx>
        <w:trPr>
          <w:trHeight w:val="1180" w:hRule="atLeast"/>
        </w:trPr>
        <w:tc>
          <w:tcPr>
            <w:tcW w:w="704"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kern w:val="0"/>
                <w:szCs w:val="21"/>
              </w:rPr>
            </w:pPr>
            <w:r>
              <w:rPr>
                <w:rFonts w:hint="eastAsia" w:ascii="宋体" w:hAnsi="宋体" w:eastAsia="宋体" w:cs="宋体"/>
                <w:kern w:val="0"/>
                <w:szCs w:val="21"/>
              </w:rPr>
              <w:t>8</w:t>
            </w:r>
          </w:p>
        </w:tc>
        <w:tc>
          <w:tcPr>
            <w:tcW w:w="1896"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智慧消防控制</w:t>
            </w:r>
          </w:p>
          <w:p>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系统</w:t>
            </w:r>
          </w:p>
        </w:tc>
        <w:tc>
          <w:tcPr>
            <w:tcW w:w="2948" w:type="dxa"/>
            <w:tcBorders>
              <w:top w:val="single" w:color="auto" w:sz="4" w:space="0"/>
              <w:left w:val="nil"/>
              <w:bottom w:val="single" w:color="auto" w:sz="4" w:space="0"/>
              <w:right w:val="single" w:color="auto" w:sz="4" w:space="0"/>
            </w:tcBorders>
            <w:noWrap/>
            <w:vAlign w:val="center"/>
          </w:tcPr>
          <w:p>
            <w:pPr>
              <w:widowControl/>
              <w:jc w:val="left"/>
              <w:rPr>
                <w:rFonts w:hint="eastAsia" w:ascii="宋体" w:hAnsi="宋体" w:eastAsia="宋体" w:cs="Times New Roman"/>
                <w:kern w:val="0"/>
                <w:szCs w:val="21"/>
              </w:rPr>
            </w:pPr>
            <w:r>
              <w:rPr>
                <w:rFonts w:hint="eastAsia" w:ascii="宋体" w:hAnsi="宋体" w:eastAsia="宋体" w:cs="Times New Roman"/>
                <w:kern w:val="0"/>
                <w:szCs w:val="21"/>
              </w:rPr>
              <w:t>自动排烟窗采用智慧控制系统实现“</w:t>
            </w:r>
            <w:r>
              <w:rPr>
                <w:rFonts w:ascii="宋体" w:hAnsi="宋体" w:eastAsia="宋体" w:cs="Times New Roman"/>
                <w:kern w:val="0"/>
                <w:szCs w:val="21"/>
              </w:rPr>
              <w:t>平急两用</w:t>
            </w:r>
            <w:r>
              <w:rPr>
                <w:rFonts w:hint="eastAsia" w:ascii="宋体" w:hAnsi="宋体" w:eastAsia="宋体" w:cs="Times New Roman"/>
                <w:kern w:val="0"/>
                <w:szCs w:val="21"/>
              </w:rPr>
              <w:t>”</w:t>
            </w:r>
          </w:p>
        </w:tc>
        <w:tc>
          <w:tcPr>
            <w:tcW w:w="4086" w:type="dxa"/>
            <w:tcBorders>
              <w:top w:val="single" w:color="auto" w:sz="4" w:space="0"/>
              <w:left w:val="nil"/>
              <w:bottom w:val="single" w:color="auto" w:sz="4" w:space="0"/>
              <w:right w:val="single" w:color="auto" w:sz="4" w:space="0"/>
            </w:tcBorders>
            <w:vAlign w:val="center"/>
          </w:tcPr>
          <w:p>
            <w:pPr>
              <w:widowControl/>
              <w:jc w:val="left"/>
              <w:rPr>
                <w:rFonts w:hint="eastAsia" w:ascii="宋体" w:hAnsi="宋体" w:eastAsia="宋体" w:cs="Times New Roman"/>
                <w:szCs w:val="21"/>
              </w:rPr>
            </w:pPr>
            <w:r>
              <w:rPr>
                <w:rFonts w:hint="eastAsia" w:ascii="宋体" w:hAnsi="宋体" w:eastAsia="宋体" w:cs="Times New Roman"/>
                <w:szCs w:val="21"/>
              </w:rPr>
              <w:t>平时排烟窗通过智能控制系统主动感知及智慧调节室内环境，提升室内舒适度；</w:t>
            </w:r>
          </w:p>
          <w:p>
            <w:pPr>
              <w:widowControl/>
              <w:jc w:val="left"/>
              <w:rPr>
                <w:rFonts w:hint="eastAsia" w:ascii="宋体" w:hAnsi="宋体" w:eastAsia="宋体" w:cs="Times New Roman"/>
                <w:szCs w:val="21"/>
              </w:rPr>
            </w:pPr>
            <w:r>
              <w:rPr>
                <w:rFonts w:hint="eastAsia" w:ascii="宋体" w:hAnsi="宋体" w:eastAsia="宋体" w:cs="Times New Roman"/>
                <w:szCs w:val="21"/>
              </w:rPr>
              <w:t>发生火灾时应自动切换到消防控制模式，自动排烟窗在60s内或小于烟气充满储烟仓时间内开启完毕，实现高效排烟； 得2分</w:t>
            </w:r>
          </w:p>
        </w:tc>
        <w:tc>
          <w:tcPr>
            <w:tcW w:w="851"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Times New Roman"/>
                <w:szCs w:val="21"/>
              </w:rPr>
            </w:pPr>
            <w:r>
              <w:rPr>
                <w:rFonts w:hint="eastAsia" w:ascii="宋体" w:hAnsi="宋体" w:eastAsia="宋体" w:cs="Times New Roman"/>
                <w:szCs w:val="21"/>
              </w:rPr>
              <w:t>1.0</w:t>
            </w:r>
          </w:p>
        </w:tc>
        <w:tc>
          <w:tcPr>
            <w:tcW w:w="3402"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hint="eastAsia" w:ascii="宋体" w:hAnsi="宋体" w:eastAsia="宋体" w:cs="Times New Roman"/>
                <w:kern w:val="0"/>
                <w:szCs w:val="21"/>
              </w:rPr>
            </w:pPr>
          </w:p>
        </w:tc>
      </w:tr>
    </w:tbl>
    <w:p/>
    <w:p/>
    <w:p>
      <w:pPr>
        <w:widowControl/>
        <w:jc w:val="left"/>
        <w:rPr>
          <w:rFonts w:eastAsia="宋体"/>
          <w:b/>
          <w:bCs/>
          <w:szCs w:val="32"/>
        </w:rPr>
      </w:pPr>
      <w:r>
        <w:br w:type="page"/>
      </w:r>
    </w:p>
    <w:p>
      <w:pPr>
        <w:rPr>
          <w:rFonts w:cs="Times New Roman"/>
        </w:rPr>
      </w:pPr>
      <w:bookmarkStart w:id="72" w:name="_Toc206760196"/>
      <w:bookmarkStart w:id="73" w:name="_Toc206758006"/>
      <w:r>
        <w:t>4.2.</w:t>
      </w:r>
      <w:r>
        <w:rPr>
          <w:rFonts w:hint="eastAsia"/>
        </w:rPr>
        <w:t>7</w:t>
      </w:r>
      <w:r>
        <w:t xml:space="preserve"> </w:t>
      </w:r>
      <w:bookmarkStart w:id="74" w:name="OLE_LINK32"/>
      <w:r>
        <w:t>防烟排烟自动监控系统</w:t>
      </w:r>
      <w:bookmarkEnd w:id="72"/>
      <w:bookmarkEnd w:id="73"/>
      <w:bookmarkEnd w:id="74"/>
      <w:r>
        <w:rPr>
          <w:rFonts w:hint="eastAsia"/>
        </w:rPr>
        <w:t>的</w:t>
      </w:r>
      <w:r>
        <w:rPr>
          <w:rFonts w:hint="eastAsia" w:asciiTheme="minorEastAsia" w:hAnsiTheme="minorEastAsia"/>
        </w:rPr>
        <w:t>控制项评定、评分项评定，应分别符合表</w:t>
      </w:r>
      <w:r>
        <w:rPr>
          <w:rFonts w:cs="Times New Roman"/>
        </w:rPr>
        <w:t>4.2.</w:t>
      </w:r>
      <w:r>
        <w:rPr>
          <w:rFonts w:hint="eastAsia" w:cs="Times New Roman"/>
        </w:rPr>
        <w:t>7-</w:t>
      </w:r>
      <w:r>
        <w:rPr>
          <w:rFonts w:cs="Times New Roman"/>
        </w:rPr>
        <w:t>1</w:t>
      </w:r>
      <w:r>
        <w:rPr>
          <w:rFonts w:hint="eastAsia" w:asciiTheme="minorEastAsia" w:hAnsiTheme="minorEastAsia"/>
        </w:rPr>
        <w:t>、表</w:t>
      </w:r>
      <w:r>
        <w:rPr>
          <w:rFonts w:cs="Times New Roman"/>
        </w:rPr>
        <w:t>4.2.</w:t>
      </w:r>
      <w:r>
        <w:rPr>
          <w:rFonts w:hint="eastAsia" w:cs="Times New Roman"/>
        </w:rPr>
        <w:t>7-</w:t>
      </w:r>
      <w:r>
        <w:rPr>
          <w:rFonts w:cs="Times New Roman"/>
        </w:rPr>
        <w:t>2</w:t>
      </w:r>
      <w:r>
        <w:rPr>
          <w:rFonts w:hint="eastAsia" w:cs="Times New Roman"/>
        </w:rPr>
        <w:t>的规定。</w:t>
      </w:r>
    </w:p>
    <w:p>
      <w:pPr>
        <w:widowControl/>
        <w:jc w:val="center"/>
      </w:pPr>
      <w:bookmarkStart w:id="75" w:name="OLE_LINK33"/>
      <w:r>
        <w:rPr>
          <w:rFonts w:hint="eastAsia" w:ascii="宋体" w:hAnsi="宋体" w:eastAsia="宋体" w:cs="Times New Roman"/>
          <w:b/>
          <w:bCs/>
          <w:szCs w:val="21"/>
        </w:rPr>
        <w:t>表</w:t>
      </w:r>
      <w:r>
        <w:rPr>
          <w:rFonts w:ascii="宋体" w:hAnsi="宋体" w:eastAsia="宋体" w:cs="Times New Roman"/>
          <w:b/>
          <w:bCs/>
          <w:szCs w:val="21"/>
        </w:rPr>
        <w:t>4.2.</w:t>
      </w:r>
      <w:r>
        <w:rPr>
          <w:rFonts w:hint="eastAsia" w:ascii="宋体" w:hAnsi="宋体" w:eastAsia="宋体" w:cs="Times New Roman"/>
          <w:b/>
          <w:bCs/>
          <w:szCs w:val="21"/>
        </w:rPr>
        <w:t>7</w:t>
      </w:r>
      <w:r>
        <w:rPr>
          <w:rFonts w:ascii="宋体" w:hAnsi="宋体" w:eastAsia="宋体" w:cs="Times New Roman"/>
          <w:b/>
          <w:bCs/>
          <w:szCs w:val="21"/>
        </w:rPr>
        <w:t>-</w:t>
      </w:r>
      <w:r>
        <w:rPr>
          <w:rFonts w:hint="eastAsia" w:ascii="宋体" w:hAnsi="宋体" w:eastAsia="宋体" w:cs="Times New Roman"/>
          <w:b/>
          <w:bCs/>
          <w:szCs w:val="21"/>
        </w:rPr>
        <w:t>1</w:t>
      </w:r>
      <w:r>
        <w:rPr>
          <w:b/>
          <w:bCs/>
        </w:rPr>
        <w:t>防烟排烟自动监控系统</w:t>
      </w:r>
      <w:r>
        <w:rPr>
          <w:rFonts w:hint="eastAsia" w:ascii="宋体" w:hAnsi="宋体" w:eastAsia="宋体" w:cs="Times New Roman"/>
          <w:b/>
          <w:bCs/>
          <w:szCs w:val="21"/>
        </w:rPr>
        <w:t>控制项评定表</w:t>
      </w:r>
    </w:p>
    <w:bookmarkEnd w:id="75"/>
    <w:tbl>
      <w:tblPr>
        <w:tblStyle w:val="18"/>
        <w:tblW w:w="138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1"/>
        <w:gridCol w:w="1845"/>
        <w:gridCol w:w="5671"/>
        <w:gridCol w:w="2268"/>
        <w:gridCol w:w="34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701" w:type="dxa"/>
            <w:noWrap/>
            <w:vAlign w:val="center"/>
          </w:tcPr>
          <w:p>
            <w:pPr>
              <w:jc w:val="center"/>
              <w:rPr>
                <w:rFonts w:eastAsia="宋体" w:cs="Times New Roman"/>
                <w:b/>
                <w:bCs/>
                <w:szCs w:val="21"/>
              </w:rPr>
            </w:pPr>
            <w:r>
              <w:rPr>
                <w:rFonts w:hint="eastAsia" w:eastAsia="宋体" w:cs="Times New Roman"/>
                <w:b/>
                <w:bCs/>
                <w:szCs w:val="21"/>
              </w:rPr>
              <w:t>序号</w:t>
            </w:r>
          </w:p>
        </w:tc>
        <w:tc>
          <w:tcPr>
            <w:tcW w:w="1845" w:type="dxa"/>
            <w:noWrap/>
            <w:vAlign w:val="center"/>
          </w:tcPr>
          <w:p>
            <w:pPr>
              <w:jc w:val="center"/>
              <w:rPr>
                <w:rFonts w:eastAsia="宋体" w:cs="Times New Roman"/>
                <w:b/>
                <w:bCs/>
                <w:szCs w:val="21"/>
              </w:rPr>
            </w:pPr>
            <w:r>
              <w:rPr>
                <w:rFonts w:hint="eastAsia" w:eastAsia="宋体" w:cs="Times New Roman"/>
                <w:b/>
                <w:bCs/>
                <w:szCs w:val="21"/>
              </w:rPr>
              <w:t>评定指标</w:t>
            </w:r>
          </w:p>
        </w:tc>
        <w:tc>
          <w:tcPr>
            <w:tcW w:w="5671" w:type="dxa"/>
            <w:noWrap/>
            <w:vAlign w:val="center"/>
          </w:tcPr>
          <w:p>
            <w:pPr>
              <w:jc w:val="center"/>
              <w:rPr>
                <w:rFonts w:eastAsia="宋体" w:cs="Times New Roman"/>
                <w:b/>
                <w:bCs/>
                <w:szCs w:val="21"/>
              </w:rPr>
            </w:pPr>
            <w:r>
              <w:rPr>
                <w:rFonts w:hint="eastAsia" w:eastAsia="宋体" w:cs="Times New Roman"/>
                <w:b/>
                <w:bCs/>
                <w:szCs w:val="21"/>
              </w:rPr>
              <w:t>控制项</w:t>
            </w:r>
          </w:p>
        </w:tc>
        <w:tc>
          <w:tcPr>
            <w:tcW w:w="2268" w:type="dxa"/>
            <w:noWrap/>
            <w:vAlign w:val="center"/>
          </w:tcPr>
          <w:p>
            <w:pPr>
              <w:jc w:val="center"/>
              <w:rPr>
                <w:rFonts w:eastAsia="宋体" w:cs="Times New Roman"/>
                <w:b/>
                <w:bCs/>
                <w:szCs w:val="21"/>
              </w:rPr>
            </w:pPr>
            <w:r>
              <w:rPr>
                <w:rFonts w:hint="eastAsia" w:eastAsia="宋体" w:cs="Times New Roman"/>
                <w:b/>
                <w:bCs/>
                <w:szCs w:val="21"/>
              </w:rPr>
              <w:t>评定方法</w:t>
            </w:r>
          </w:p>
        </w:tc>
        <w:tc>
          <w:tcPr>
            <w:tcW w:w="3401" w:type="dxa"/>
            <w:vAlign w:val="center"/>
          </w:tcPr>
          <w:p>
            <w:pPr>
              <w:jc w:val="center"/>
              <w:rPr>
                <w:rFonts w:eastAsia="宋体" w:cs="Times New Roman"/>
                <w:b/>
                <w:bCs/>
                <w:szCs w:val="21"/>
              </w:rPr>
            </w:pPr>
            <w:r>
              <w:rPr>
                <w:rFonts w:hint="eastAsia" w:eastAsia="宋体" w:cs="Times New Roman"/>
                <w:b/>
                <w:bCs/>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701" w:type="dxa"/>
            <w:noWrap/>
            <w:vAlign w:val="center"/>
          </w:tcPr>
          <w:p>
            <w:pPr>
              <w:jc w:val="center"/>
              <w:rPr>
                <w:rFonts w:hint="eastAsia" w:cs="Times New Roman" w:asciiTheme="minorEastAsia" w:hAnsiTheme="minorEastAsia"/>
                <w:szCs w:val="21"/>
              </w:rPr>
            </w:pPr>
            <w:r>
              <w:rPr>
                <w:rFonts w:hint="eastAsia" w:cs="Times New Roman" w:asciiTheme="minorEastAsia" w:hAnsiTheme="minorEastAsia"/>
                <w:szCs w:val="21"/>
              </w:rPr>
              <w:t>1</w:t>
            </w:r>
          </w:p>
        </w:tc>
        <w:tc>
          <w:tcPr>
            <w:tcW w:w="1845" w:type="dxa"/>
            <w:vAlign w:val="center"/>
          </w:tcPr>
          <w:p>
            <w:pPr>
              <w:jc w:val="center"/>
              <w:rPr>
                <w:rFonts w:hint="eastAsia" w:cs="Times New Roman" w:asciiTheme="minorEastAsia" w:hAnsiTheme="minorEastAsia"/>
                <w:szCs w:val="21"/>
              </w:rPr>
            </w:pPr>
            <w:r>
              <w:rPr>
                <w:rFonts w:hint="eastAsia" w:cs="Times New Roman" w:asciiTheme="minorEastAsia" w:hAnsiTheme="minorEastAsia"/>
                <w:szCs w:val="21"/>
              </w:rPr>
              <w:t>联动控制</w:t>
            </w:r>
          </w:p>
        </w:tc>
        <w:tc>
          <w:tcPr>
            <w:tcW w:w="5671"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满足《火灾自动报警系统设计规范》 GB 50116规定的联动要求。</w:t>
            </w:r>
          </w:p>
        </w:tc>
        <w:tc>
          <w:tcPr>
            <w:tcW w:w="2268" w:type="dxa"/>
            <w:vAlign w:val="center"/>
          </w:tcPr>
          <w:p>
            <w:pPr>
              <w:jc w:val="center"/>
              <w:rPr>
                <w:rFonts w:hint="eastAsia" w:cs="Times New Roman" w:asciiTheme="minorEastAsia" w:hAnsiTheme="minorEastAsia"/>
                <w:szCs w:val="21"/>
              </w:rPr>
            </w:pPr>
            <w:r>
              <w:rPr>
                <w:rFonts w:hint="eastAsia" w:ascii="宋体" w:hAnsi="宋体" w:eastAsia="宋体" w:cs="Times New Roman"/>
                <w:szCs w:val="21"/>
              </w:rPr>
              <w:t>不满足直接判定为</w:t>
            </w:r>
            <w:r>
              <w:rPr>
                <w:rFonts w:hint="eastAsia" w:ascii="宋体" w:hAnsi="宋体" w:eastAsia="宋体" w:cs="Times New Roman"/>
                <w:b/>
                <w:bCs/>
                <w:szCs w:val="21"/>
              </w:rPr>
              <w:t>D级</w:t>
            </w:r>
          </w:p>
        </w:tc>
        <w:tc>
          <w:tcPr>
            <w:tcW w:w="3401" w:type="dxa"/>
            <w:vAlign w:val="center"/>
          </w:tcPr>
          <w:p>
            <w:pPr>
              <w:rPr>
                <w:rFonts w:hint="eastAsia" w:cs="Times New Roman" w:asciiTheme="minorEastAsia" w:hAnsi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701" w:type="dxa"/>
            <w:noWrap/>
            <w:vAlign w:val="center"/>
          </w:tcPr>
          <w:p>
            <w:pPr>
              <w:jc w:val="center"/>
              <w:rPr>
                <w:rFonts w:hint="eastAsia" w:cs="Times New Roman" w:asciiTheme="minorEastAsia" w:hAnsiTheme="minorEastAsia"/>
                <w:szCs w:val="21"/>
              </w:rPr>
            </w:pPr>
            <w:r>
              <w:rPr>
                <w:rFonts w:hint="eastAsia" w:cs="Times New Roman" w:asciiTheme="minorEastAsia" w:hAnsiTheme="minorEastAsia"/>
                <w:szCs w:val="21"/>
              </w:rPr>
              <w:t>2</w:t>
            </w:r>
          </w:p>
        </w:tc>
        <w:tc>
          <w:tcPr>
            <w:tcW w:w="1845" w:type="dxa"/>
            <w:vAlign w:val="center"/>
          </w:tcPr>
          <w:p>
            <w:pPr>
              <w:jc w:val="center"/>
              <w:rPr>
                <w:rFonts w:hint="eastAsia" w:cs="Times New Roman" w:asciiTheme="minorEastAsia" w:hAnsiTheme="minorEastAsia"/>
                <w:szCs w:val="21"/>
              </w:rPr>
            </w:pPr>
            <w:r>
              <w:rPr>
                <w:rFonts w:hint="eastAsia" w:cs="Times New Roman" w:asciiTheme="minorEastAsia" w:hAnsiTheme="minorEastAsia"/>
                <w:szCs w:val="21"/>
              </w:rPr>
              <w:t>控制方式的合理准确性</w:t>
            </w:r>
          </w:p>
        </w:tc>
        <w:tc>
          <w:tcPr>
            <w:tcW w:w="5671" w:type="dxa"/>
            <w:vAlign w:val="center"/>
          </w:tcPr>
          <w:p>
            <w:pPr>
              <w:pStyle w:val="23"/>
              <w:ind w:firstLine="0" w:firstLineChars="0"/>
              <w:rPr>
                <w:rFonts w:hint="eastAsia" w:cs="Times New Roman" w:asciiTheme="minorEastAsia" w:hAnsiTheme="minorEastAsia"/>
                <w:szCs w:val="21"/>
              </w:rPr>
            </w:pPr>
            <w:r>
              <w:rPr>
                <w:rFonts w:hint="eastAsia" w:cs="Times New Roman" w:asciiTheme="minorEastAsia" w:hAnsiTheme="minorEastAsia"/>
                <w:szCs w:val="21"/>
              </w:rPr>
              <w:t>防排烟风机、风口、阀门、活动挡烟垂壁、自动排烟窗等启动方式满足《建筑防烟排烟系统技术标准》 GB 51251、《建筑通风和排烟系统用防火阀门》GB 15930的规定。</w:t>
            </w:r>
          </w:p>
        </w:tc>
        <w:tc>
          <w:tcPr>
            <w:tcW w:w="2268" w:type="dxa"/>
            <w:vAlign w:val="center"/>
          </w:tcPr>
          <w:p>
            <w:pPr>
              <w:jc w:val="center"/>
              <w:rPr>
                <w:rFonts w:hint="eastAsia" w:cs="Times New Roman" w:asciiTheme="minorEastAsia" w:hAnsiTheme="minorEastAsia"/>
                <w:szCs w:val="21"/>
              </w:rPr>
            </w:pPr>
            <w:r>
              <w:rPr>
                <w:rFonts w:hint="eastAsia" w:ascii="宋体" w:hAnsi="宋体" w:eastAsia="宋体" w:cs="Times New Roman"/>
                <w:szCs w:val="21"/>
              </w:rPr>
              <w:t>不满足直接判定为</w:t>
            </w:r>
            <w:r>
              <w:rPr>
                <w:rFonts w:hint="eastAsia" w:ascii="宋体" w:hAnsi="宋体" w:eastAsia="宋体" w:cs="Times New Roman"/>
                <w:b/>
                <w:bCs/>
                <w:szCs w:val="21"/>
              </w:rPr>
              <w:t>D级</w:t>
            </w:r>
          </w:p>
        </w:tc>
        <w:tc>
          <w:tcPr>
            <w:tcW w:w="3401" w:type="dxa"/>
            <w:vAlign w:val="center"/>
          </w:tcPr>
          <w:p>
            <w:pPr>
              <w:rPr>
                <w:rFonts w:hint="eastAsia" w:cs="Times New Roman" w:asciiTheme="minorEastAsia" w:hAnsi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701" w:type="dxa"/>
            <w:noWrap/>
            <w:vAlign w:val="center"/>
          </w:tcPr>
          <w:p>
            <w:pPr>
              <w:jc w:val="center"/>
              <w:rPr>
                <w:rFonts w:hint="eastAsia" w:cs="Times New Roman" w:asciiTheme="minorEastAsia" w:hAnsiTheme="minorEastAsia"/>
                <w:szCs w:val="21"/>
              </w:rPr>
            </w:pPr>
            <w:r>
              <w:rPr>
                <w:rFonts w:hint="eastAsia" w:cs="Times New Roman" w:asciiTheme="minorEastAsia" w:hAnsiTheme="minorEastAsia"/>
                <w:szCs w:val="21"/>
              </w:rPr>
              <w:t>3</w:t>
            </w:r>
          </w:p>
        </w:tc>
        <w:tc>
          <w:tcPr>
            <w:tcW w:w="1845" w:type="dxa"/>
            <w:vAlign w:val="center"/>
          </w:tcPr>
          <w:p>
            <w:pPr>
              <w:jc w:val="center"/>
              <w:rPr>
                <w:rFonts w:hint="eastAsia" w:cs="Times New Roman" w:asciiTheme="minorEastAsia" w:hAnsiTheme="minorEastAsia"/>
                <w:szCs w:val="21"/>
              </w:rPr>
            </w:pPr>
            <w:r>
              <w:rPr>
                <w:rFonts w:hint="eastAsia" w:cs="Times New Roman" w:asciiTheme="minorEastAsia" w:hAnsiTheme="minorEastAsia"/>
                <w:szCs w:val="21"/>
              </w:rPr>
              <w:t>动作时间</w:t>
            </w:r>
          </w:p>
        </w:tc>
        <w:tc>
          <w:tcPr>
            <w:tcW w:w="5671"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火灾确认后，应在15s内联动开启相应的防排烟风机、风口、风阀、补风设施及活动挡烟垂壁、自动排烟窗等；并应在30s内自动关闭与防排烟无关的通风、空调系统。</w:t>
            </w:r>
          </w:p>
          <w:p>
            <w:pPr>
              <w:pStyle w:val="23"/>
              <w:ind w:firstLine="0" w:firstLineChars="0"/>
              <w:rPr>
                <w:rFonts w:hint="eastAsia" w:cs="Times New Roman" w:asciiTheme="minorEastAsia" w:hAnsiTheme="minorEastAsia"/>
                <w:szCs w:val="21"/>
              </w:rPr>
            </w:pPr>
            <w:r>
              <w:rPr>
                <w:rFonts w:hint="eastAsia" w:cs="Times New Roman" w:asciiTheme="minorEastAsia" w:hAnsiTheme="minorEastAsia"/>
                <w:szCs w:val="21"/>
              </w:rPr>
              <w:t>活动挡烟垂壁及自动排烟窗应在60s内开启到位。</w:t>
            </w:r>
          </w:p>
        </w:tc>
        <w:tc>
          <w:tcPr>
            <w:tcW w:w="2268" w:type="dxa"/>
            <w:vAlign w:val="center"/>
          </w:tcPr>
          <w:p>
            <w:pPr>
              <w:jc w:val="center"/>
              <w:rPr>
                <w:rFonts w:hint="eastAsia" w:cs="Times New Roman" w:asciiTheme="minorEastAsia" w:hAnsiTheme="minorEastAsia"/>
                <w:szCs w:val="21"/>
              </w:rPr>
            </w:pPr>
            <w:r>
              <w:rPr>
                <w:rFonts w:hint="eastAsia" w:ascii="宋体" w:hAnsi="宋体" w:eastAsia="宋体" w:cs="Times New Roman"/>
                <w:szCs w:val="21"/>
              </w:rPr>
              <w:t>不满足直接判定为</w:t>
            </w:r>
            <w:r>
              <w:rPr>
                <w:rFonts w:hint="eastAsia" w:ascii="宋体" w:hAnsi="宋体" w:eastAsia="宋体" w:cs="Times New Roman"/>
                <w:b/>
                <w:bCs/>
                <w:szCs w:val="21"/>
              </w:rPr>
              <w:t>D级</w:t>
            </w:r>
          </w:p>
        </w:tc>
        <w:tc>
          <w:tcPr>
            <w:tcW w:w="3401" w:type="dxa"/>
            <w:vAlign w:val="center"/>
          </w:tcPr>
          <w:p>
            <w:pPr>
              <w:rPr>
                <w:rFonts w:hint="eastAsia" w:cs="Times New Roman" w:asciiTheme="minorEastAsia" w:hAnsi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701" w:type="dxa"/>
            <w:noWrap/>
            <w:vAlign w:val="center"/>
          </w:tcPr>
          <w:p>
            <w:pPr>
              <w:jc w:val="center"/>
              <w:rPr>
                <w:rFonts w:hint="eastAsia" w:cs="Times New Roman" w:asciiTheme="minorEastAsia" w:hAnsiTheme="minorEastAsia"/>
                <w:szCs w:val="21"/>
              </w:rPr>
            </w:pPr>
            <w:r>
              <w:rPr>
                <w:rFonts w:hint="eastAsia" w:cs="Times New Roman" w:asciiTheme="minorEastAsia" w:hAnsiTheme="minorEastAsia"/>
                <w:szCs w:val="21"/>
              </w:rPr>
              <w:t>4</w:t>
            </w:r>
          </w:p>
        </w:tc>
        <w:tc>
          <w:tcPr>
            <w:tcW w:w="1845" w:type="dxa"/>
            <w:vAlign w:val="center"/>
          </w:tcPr>
          <w:p>
            <w:pPr>
              <w:jc w:val="center"/>
              <w:rPr>
                <w:rFonts w:hint="eastAsia" w:cs="Times New Roman" w:asciiTheme="minorEastAsia" w:hAnsiTheme="minorEastAsia"/>
                <w:szCs w:val="21"/>
              </w:rPr>
            </w:pPr>
            <w:r>
              <w:rPr>
                <w:rFonts w:hint="eastAsia" w:cs="Times New Roman" w:asciiTheme="minorEastAsia" w:hAnsiTheme="minorEastAsia"/>
                <w:szCs w:val="21"/>
              </w:rPr>
              <w:t>运行状态反馈</w:t>
            </w:r>
          </w:p>
        </w:tc>
        <w:tc>
          <w:tcPr>
            <w:tcW w:w="5671" w:type="dxa"/>
            <w:vAlign w:val="center"/>
          </w:tcPr>
          <w:p>
            <w:pPr>
              <w:pStyle w:val="23"/>
              <w:ind w:firstLine="0" w:firstLineChars="0"/>
              <w:rPr>
                <w:rFonts w:hint="eastAsia" w:cs="Times New Roman" w:asciiTheme="minorEastAsia" w:hAnsiTheme="minorEastAsia"/>
                <w:szCs w:val="21"/>
              </w:rPr>
            </w:pPr>
            <w:r>
              <w:rPr>
                <w:rFonts w:hint="eastAsia" w:cs="Times New Roman" w:asciiTheme="minorEastAsia" w:hAnsiTheme="minorEastAsia"/>
                <w:szCs w:val="21"/>
              </w:rPr>
              <w:t>消防控制设备应显示防排烟风机、风口、风阀、补风设施及活动挡烟垂壁、自动排烟窗等启闭状态；</w:t>
            </w:r>
          </w:p>
        </w:tc>
        <w:tc>
          <w:tcPr>
            <w:tcW w:w="2268" w:type="dxa"/>
            <w:vAlign w:val="center"/>
          </w:tcPr>
          <w:p>
            <w:pPr>
              <w:jc w:val="center"/>
              <w:rPr>
                <w:rFonts w:hint="eastAsia" w:cs="Times New Roman" w:asciiTheme="minorEastAsia" w:hAnsiTheme="minorEastAsia"/>
                <w:szCs w:val="21"/>
              </w:rPr>
            </w:pPr>
            <w:r>
              <w:rPr>
                <w:rFonts w:hint="eastAsia" w:ascii="宋体" w:hAnsi="宋体" w:eastAsia="宋体" w:cs="Times New Roman"/>
                <w:szCs w:val="21"/>
              </w:rPr>
              <w:t>不满足直接判定为</w:t>
            </w:r>
            <w:r>
              <w:rPr>
                <w:rFonts w:hint="eastAsia" w:ascii="宋体" w:hAnsi="宋体" w:eastAsia="宋体" w:cs="Times New Roman"/>
                <w:b/>
                <w:bCs/>
                <w:szCs w:val="21"/>
              </w:rPr>
              <w:t>D级</w:t>
            </w:r>
          </w:p>
        </w:tc>
        <w:tc>
          <w:tcPr>
            <w:tcW w:w="3401" w:type="dxa"/>
            <w:vAlign w:val="center"/>
          </w:tcPr>
          <w:p>
            <w:pPr>
              <w:rPr>
                <w:rFonts w:hint="eastAsia" w:cs="Times New Roman" w:asciiTheme="minorEastAsia" w:hAnsiTheme="minorEastAsia"/>
                <w:szCs w:val="21"/>
              </w:rPr>
            </w:pPr>
          </w:p>
        </w:tc>
      </w:tr>
    </w:tbl>
    <w:p>
      <w:pPr>
        <w:widowControl/>
        <w:jc w:val="left"/>
        <w:rPr>
          <w:rFonts w:eastAsia="宋体" w:cs="Times New Roman"/>
          <w:b/>
          <w:bCs/>
          <w:szCs w:val="28"/>
        </w:rPr>
      </w:pPr>
    </w:p>
    <w:p>
      <w:pPr>
        <w:widowControl/>
        <w:jc w:val="center"/>
        <w:rPr>
          <w:rFonts w:eastAsia="宋体" w:cs="Times New Roman"/>
          <w:b/>
          <w:bCs/>
          <w:szCs w:val="28"/>
        </w:rPr>
      </w:pPr>
      <w:r>
        <w:rPr>
          <w:rFonts w:hint="eastAsia" w:ascii="宋体" w:hAnsi="宋体" w:eastAsia="宋体" w:cs="Times New Roman"/>
          <w:b/>
          <w:bCs/>
          <w:szCs w:val="21"/>
        </w:rPr>
        <w:t>表</w:t>
      </w:r>
      <w:r>
        <w:rPr>
          <w:rFonts w:ascii="宋体" w:hAnsi="宋体" w:eastAsia="宋体" w:cs="Times New Roman"/>
          <w:b/>
          <w:bCs/>
          <w:szCs w:val="21"/>
        </w:rPr>
        <w:t>4.2.</w:t>
      </w:r>
      <w:r>
        <w:rPr>
          <w:rFonts w:hint="eastAsia" w:ascii="宋体" w:hAnsi="宋体" w:eastAsia="宋体" w:cs="Times New Roman"/>
          <w:b/>
          <w:bCs/>
          <w:szCs w:val="21"/>
        </w:rPr>
        <w:t>7</w:t>
      </w:r>
      <w:r>
        <w:rPr>
          <w:rFonts w:ascii="宋体" w:hAnsi="宋体" w:eastAsia="宋体" w:cs="Times New Roman"/>
          <w:b/>
          <w:bCs/>
          <w:szCs w:val="21"/>
        </w:rPr>
        <w:t>-</w:t>
      </w:r>
      <w:r>
        <w:rPr>
          <w:rFonts w:hint="eastAsia" w:ascii="宋体" w:hAnsi="宋体" w:eastAsia="宋体" w:cs="Times New Roman"/>
          <w:b/>
          <w:bCs/>
          <w:szCs w:val="21"/>
        </w:rPr>
        <w:t>2</w:t>
      </w:r>
      <w:r>
        <w:rPr>
          <w:b/>
          <w:bCs/>
        </w:rPr>
        <w:t>防烟排烟自动监控系统</w:t>
      </w:r>
      <w:r>
        <w:rPr>
          <w:rFonts w:hint="eastAsia" w:ascii="宋体" w:hAnsi="宋体" w:eastAsia="宋体" w:cs="Times New Roman"/>
          <w:b/>
          <w:bCs/>
          <w:szCs w:val="21"/>
        </w:rPr>
        <w:t>评分项评定表</w:t>
      </w:r>
    </w:p>
    <w:tbl>
      <w:tblPr>
        <w:tblStyle w:val="18"/>
        <w:tblW w:w="138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8"/>
        <w:gridCol w:w="1847"/>
        <w:gridCol w:w="2979"/>
        <w:gridCol w:w="4536"/>
        <w:gridCol w:w="709"/>
        <w:gridCol w:w="31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698" w:type="dxa"/>
            <w:noWrap/>
            <w:vAlign w:val="center"/>
          </w:tcPr>
          <w:p>
            <w:pPr>
              <w:jc w:val="center"/>
              <w:rPr>
                <w:rFonts w:eastAsia="宋体" w:cs="Times New Roman"/>
                <w:b/>
                <w:bCs/>
                <w:szCs w:val="21"/>
              </w:rPr>
            </w:pPr>
            <w:r>
              <w:rPr>
                <w:rFonts w:hint="eastAsia" w:eastAsia="宋体" w:cs="Times New Roman"/>
                <w:b/>
                <w:bCs/>
                <w:szCs w:val="21"/>
              </w:rPr>
              <w:t>序号</w:t>
            </w:r>
          </w:p>
        </w:tc>
        <w:tc>
          <w:tcPr>
            <w:tcW w:w="1847" w:type="dxa"/>
            <w:noWrap/>
            <w:vAlign w:val="center"/>
          </w:tcPr>
          <w:p>
            <w:pPr>
              <w:jc w:val="center"/>
              <w:rPr>
                <w:rFonts w:eastAsia="宋体" w:cs="Times New Roman"/>
                <w:b/>
                <w:bCs/>
                <w:szCs w:val="21"/>
              </w:rPr>
            </w:pPr>
            <w:r>
              <w:rPr>
                <w:rFonts w:hint="eastAsia" w:eastAsia="宋体" w:cs="Times New Roman"/>
                <w:b/>
                <w:bCs/>
                <w:szCs w:val="21"/>
              </w:rPr>
              <w:t>评定指标</w:t>
            </w:r>
          </w:p>
        </w:tc>
        <w:tc>
          <w:tcPr>
            <w:tcW w:w="2979" w:type="dxa"/>
            <w:noWrap/>
            <w:vAlign w:val="center"/>
          </w:tcPr>
          <w:p>
            <w:pPr>
              <w:jc w:val="center"/>
              <w:rPr>
                <w:rFonts w:eastAsia="宋体" w:cs="Times New Roman"/>
                <w:b/>
                <w:bCs/>
                <w:szCs w:val="21"/>
              </w:rPr>
            </w:pPr>
            <w:r>
              <w:rPr>
                <w:rFonts w:hint="eastAsia" w:eastAsia="宋体" w:cs="Times New Roman"/>
                <w:b/>
                <w:bCs/>
                <w:szCs w:val="21"/>
              </w:rPr>
              <w:t>评分项</w:t>
            </w:r>
          </w:p>
        </w:tc>
        <w:tc>
          <w:tcPr>
            <w:tcW w:w="4536" w:type="dxa"/>
            <w:noWrap/>
            <w:vAlign w:val="center"/>
          </w:tcPr>
          <w:p>
            <w:pPr>
              <w:jc w:val="center"/>
              <w:rPr>
                <w:rFonts w:eastAsia="宋体" w:cs="Times New Roman"/>
                <w:b/>
                <w:bCs/>
                <w:szCs w:val="21"/>
              </w:rPr>
            </w:pPr>
            <w:r>
              <w:rPr>
                <w:rFonts w:hint="eastAsia" w:eastAsia="宋体" w:cs="Times New Roman"/>
                <w:b/>
                <w:bCs/>
                <w:szCs w:val="21"/>
              </w:rPr>
              <w:t>评定方法</w:t>
            </w:r>
          </w:p>
        </w:tc>
        <w:tc>
          <w:tcPr>
            <w:tcW w:w="709" w:type="dxa"/>
            <w:noWrap/>
            <w:vAlign w:val="center"/>
          </w:tcPr>
          <w:p>
            <w:pPr>
              <w:jc w:val="center"/>
              <w:rPr>
                <w:rFonts w:eastAsia="宋体" w:cs="Times New Roman"/>
                <w:b/>
                <w:bCs/>
                <w:szCs w:val="21"/>
              </w:rPr>
            </w:pPr>
            <w:r>
              <w:rPr>
                <w:rFonts w:hint="eastAsia" w:eastAsia="宋体" w:cs="Times New Roman"/>
                <w:b/>
                <w:bCs/>
                <w:szCs w:val="21"/>
              </w:rPr>
              <w:t>权重因子</w:t>
            </w:r>
          </w:p>
        </w:tc>
        <w:tc>
          <w:tcPr>
            <w:tcW w:w="3118" w:type="dxa"/>
            <w:vAlign w:val="center"/>
          </w:tcPr>
          <w:p>
            <w:pPr>
              <w:jc w:val="center"/>
              <w:rPr>
                <w:rFonts w:eastAsia="宋体" w:cs="Times New Roman"/>
                <w:b/>
                <w:bCs/>
                <w:szCs w:val="21"/>
              </w:rPr>
            </w:pPr>
            <w:r>
              <w:rPr>
                <w:rFonts w:hint="eastAsia" w:eastAsia="宋体" w:cs="Times New Roman"/>
                <w:b/>
                <w:bCs/>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698" w:type="dxa"/>
            <w:noWrap/>
            <w:vAlign w:val="center"/>
          </w:tcPr>
          <w:p>
            <w:pPr>
              <w:jc w:val="center"/>
              <w:rPr>
                <w:rFonts w:eastAsia="宋体" w:cs="Times New Roman"/>
                <w:szCs w:val="21"/>
              </w:rPr>
            </w:pPr>
            <w:r>
              <w:rPr>
                <w:rFonts w:hint="eastAsia" w:eastAsia="宋体" w:cs="Times New Roman"/>
                <w:szCs w:val="21"/>
              </w:rPr>
              <w:t>1</w:t>
            </w:r>
          </w:p>
        </w:tc>
        <w:tc>
          <w:tcPr>
            <w:tcW w:w="1847" w:type="dxa"/>
            <w:noWrap/>
            <w:vAlign w:val="center"/>
          </w:tcPr>
          <w:p>
            <w:pPr>
              <w:jc w:val="center"/>
              <w:rPr>
                <w:rFonts w:eastAsia="宋体" w:cs="Times New Roman"/>
                <w:szCs w:val="21"/>
              </w:rPr>
            </w:pPr>
            <w:r>
              <w:rPr>
                <w:rFonts w:hint="eastAsia" w:eastAsia="宋体" w:cs="Times New Roman"/>
                <w:szCs w:val="21"/>
              </w:rPr>
              <w:t>防排烟系统有无设置体系完善的实时监控设施</w:t>
            </w:r>
          </w:p>
        </w:tc>
        <w:tc>
          <w:tcPr>
            <w:tcW w:w="2979" w:type="dxa"/>
            <w:noWrap/>
            <w:vAlign w:val="center"/>
          </w:tcPr>
          <w:p>
            <w:pPr>
              <w:jc w:val="left"/>
              <w:rPr>
                <w:rFonts w:eastAsia="宋体" w:cs="Times New Roman"/>
                <w:szCs w:val="21"/>
              </w:rPr>
            </w:pPr>
            <w:r>
              <w:rPr>
                <w:rFonts w:hint="eastAsia" w:eastAsia="宋体" w:cs="Times New Roman"/>
                <w:szCs w:val="21"/>
              </w:rPr>
              <w:t>防烟排烟系统设置实时监控系统，提高运行可靠性</w:t>
            </w:r>
          </w:p>
        </w:tc>
        <w:tc>
          <w:tcPr>
            <w:tcW w:w="4536" w:type="dxa"/>
            <w:noWrap/>
            <w:vAlign w:val="center"/>
          </w:tcPr>
          <w:p>
            <w:pPr>
              <w:pStyle w:val="23"/>
              <w:numPr>
                <w:ilvl w:val="0"/>
                <w:numId w:val="10"/>
              </w:numPr>
              <w:ind w:left="2" w:hanging="2" w:firstLineChars="0"/>
              <w:rPr>
                <w:rFonts w:eastAsia="宋体" w:cs="Times New Roman"/>
                <w:szCs w:val="21"/>
              </w:rPr>
            </w:pPr>
            <w:r>
              <w:rPr>
                <w:rFonts w:hint="eastAsia" w:eastAsia="宋体" w:cs="Times New Roman"/>
                <w:szCs w:val="21"/>
              </w:rPr>
              <w:t>设置一体化监控系统，得100分；</w:t>
            </w:r>
          </w:p>
          <w:p>
            <w:pPr>
              <w:pStyle w:val="23"/>
              <w:numPr>
                <w:ilvl w:val="0"/>
                <w:numId w:val="10"/>
              </w:numPr>
              <w:ind w:left="0" w:hanging="2" w:firstLineChars="0"/>
              <w:rPr>
                <w:rFonts w:eastAsia="宋体" w:cs="Times New Roman"/>
                <w:szCs w:val="21"/>
              </w:rPr>
            </w:pPr>
            <w:r>
              <w:rPr>
                <w:rFonts w:hint="eastAsia" w:eastAsia="宋体" w:cs="Times New Roman"/>
                <w:szCs w:val="21"/>
              </w:rPr>
              <w:t>设置余压监测及自动调压装置和防排烟系统有关风量、风压的有效监测装置，得80分；</w:t>
            </w:r>
          </w:p>
          <w:p>
            <w:pPr>
              <w:pStyle w:val="23"/>
              <w:numPr>
                <w:ilvl w:val="0"/>
                <w:numId w:val="10"/>
              </w:numPr>
              <w:ind w:left="0" w:hanging="2" w:firstLineChars="0"/>
              <w:rPr>
                <w:rFonts w:eastAsia="宋体" w:cs="Times New Roman"/>
                <w:szCs w:val="21"/>
              </w:rPr>
            </w:pPr>
            <w:r>
              <w:rPr>
                <w:rFonts w:hint="eastAsia" w:eastAsia="宋体" w:cs="Times New Roman"/>
                <w:szCs w:val="21"/>
              </w:rPr>
              <w:t>只设置余压监测及自动调压装置，得60分。</w:t>
            </w:r>
          </w:p>
        </w:tc>
        <w:tc>
          <w:tcPr>
            <w:tcW w:w="709" w:type="dxa"/>
            <w:noWrap/>
            <w:vAlign w:val="center"/>
          </w:tcPr>
          <w:p>
            <w:pPr>
              <w:jc w:val="center"/>
              <w:rPr>
                <w:rFonts w:eastAsia="宋体" w:cs="Times New Roman"/>
                <w:szCs w:val="21"/>
              </w:rPr>
            </w:pPr>
            <w:r>
              <w:rPr>
                <w:rFonts w:hint="eastAsia" w:eastAsia="宋体" w:cs="Times New Roman"/>
                <w:szCs w:val="21"/>
              </w:rPr>
              <w:t>0.6</w:t>
            </w:r>
          </w:p>
        </w:tc>
        <w:tc>
          <w:tcPr>
            <w:tcW w:w="3118" w:type="dxa"/>
            <w:vAlign w:val="center"/>
          </w:tcPr>
          <w:p>
            <w:pPr>
              <w:jc w:val="center"/>
              <w:rPr>
                <w:rFonts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698" w:type="dxa"/>
            <w:noWrap/>
            <w:vAlign w:val="center"/>
          </w:tcPr>
          <w:p>
            <w:pPr>
              <w:jc w:val="center"/>
              <w:rPr>
                <w:rFonts w:eastAsia="宋体" w:cs="Times New Roman"/>
                <w:szCs w:val="21"/>
              </w:rPr>
            </w:pPr>
            <w:r>
              <w:rPr>
                <w:rFonts w:hint="eastAsia" w:eastAsia="宋体" w:cs="Times New Roman"/>
                <w:szCs w:val="21"/>
              </w:rPr>
              <w:t>2</w:t>
            </w:r>
          </w:p>
        </w:tc>
        <w:tc>
          <w:tcPr>
            <w:tcW w:w="1847" w:type="dxa"/>
            <w:noWrap/>
            <w:vAlign w:val="center"/>
          </w:tcPr>
          <w:p>
            <w:pPr>
              <w:jc w:val="center"/>
              <w:rPr>
                <w:rFonts w:eastAsia="宋体" w:cs="Times New Roman"/>
                <w:szCs w:val="21"/>
              </w:rPr>
            </w:pPr>
            <w:r>
              <w:rPr>
                <w:rFonts w:hint="eastAsia" w:eastAsia="宋体" w:cs="Times New Roman"/>
                <w:szCs w:val="21"/>
              </w:rPr>
              <w:t>自动排烟窗运行方式</w:t>
            </w:r>
          </w:p>
        </w:tc>
        <w:tc>
          <w:tcPr>
            <w:tcW w:w="2979" w:type="dxa"/>
            <w:noWrap/>
            <w:vAlign w:val="center"/>
          </w:tcPr>
          <w:p>
            <w:pPr>
              <w:jc w:val="left"/>
              <w:rPr>
                <w:rFonts w:eastAsia="宋体" w:cs="Times New Roman"/>
                <w:szCs w:val="21"/>
              </w:rPr>
            </w:pPr>
            <w:r>
              <w:rPr>
                <w:rFonts w:hint="eastAsia" w:eastAsia="宋体" w:cs="Times New Roman"/>
                <w:szCs w:val="21"/>
              </w:rPr>
              <w:t>能满足平时通风和火灾排烟运行的安全自动转换以及对平时运行状态的监控</w:t>
            </w:r>
          </w:p>
        </w:tc>
        <w:tc>
          <w:tcPr>
            <w:tcW w:w="4536" w:type="dxa"/>
            <w:noWrap/>
            <w:vAlign w:val="center"/>
          </w:tcPr>
          <w:p>
            <w:pPr>
              <w:pStyle w:val="23"/>
              <w:numPr>
                <w:ilvl w:val="0"/>
                <w:numId w:val="11"/>
              </w:numPr>
              <w:ind w:left="0" w:firstLine="0" w:firstLineChars="0"/>
              <w:rPr>
                <w:rFonts w:eastAsia="宋体" w:cs="Times New Roman"/>
                <w:szCs w:val="21"/>
              </w:rPr>
            </w:pPr>
            <w:r>
              <w:rPr>
                <w:rFonts w:hint="eastAsia" w:eastAsia="宋体" w:cs="Times New Roman"/>
                <w:szCs w:val="21"/>
              </w:rPr>
              <w:t>具有主动感知及智慧调节功能，得100分；</w:t>
            </w:r>
          </w:p>
          <w:p>
            <w:pPr>
              <w:pStyle w:val="23"/>
              <w:ind w:firstLine="0" w:firstLineChars="0"/>
              <w:rPr>
                <w:rFonts w:eastAsia="宋体" w:cs="Times New Roman"/>
                <w:szCs w:val="21"/>
              </w:rPr>
            </w:pPr>
            <w:r>
              <w:rPr>
                <w:rFonts w:hint="eastAsia" w:eastAsia="宋体" w:cs="Times New Roman"/>
                <w:szCs w:val="21"/>
              </w:rPr>
              <w:t>2. 满足该项基本要求，得80分；</w:t>
            </w:r>
          </w:p>
        </w:tc>
        <w:tc>
          <w:tcPr>
            <w:tcW w:w="709" w:type="dxa"/>
            <w:noWrap/>
            <w:vAlign w:val="center"/>
          </w:tcPr>
          <w:p>
            <w:pPr>
              <w:jc w:val="center"/>
              <w:rPr>
                <w:rFonts w:eastAsia="宋体" w:cs="Times New Roman"/>
                <w:szCs w:val="21"/>
              </w:rPr>
            </w:pPr>
            <w:r>
              <w:rPr>
                <w:rFonts w:hint="eastAsia" w:eastAsia="宋体" w:cs="Times New Roman"/>
                <w:szCs w:val="21"/>
              </w:rPr>
              <w:t>0.2</w:t>
            </w:r>
          </w:p>
        </w:tc>
        <w:tc>
          <w:tcPr>
            <w:tcW w:w="3118" w:type="dxa"/>
            <w:vAlign w:val="center"/>
          </w:tcPr>
          <w:p>
            <w:pPr>
              <w:jc w:val="left"/>
              <w:rPr>
                <w:rFonts w:eastAsia="宋体" w:cs="Times New Roman"/>
                <w:szCs w:val="21"/>
              </w:rPr>
            </w:pPr>
            <w:r>
              <w:rPr>
                <w:rFonts w:hint="eastAsia" w:cs="Times New Roman" w:asciiTheme="minorEastAsia" w:hAnsiTheme="minorEastAsia"/>
                <w:szCs w:val="21"/>
              </w:rPr>
              <w:t>排烟设备子系统具备故障巡检、实时监控等功能，满足平时用于通风的自行控制操作。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698" w:type="dxa"/>
            <w:noWrap/>
            <w:vAlign w:val="center"/>
          </w:tcPr>
          <w:p>
            <w:pPr>
              <w:jc w:val="center"/>
              <w:rPr>
                <w:rFonts w:eastAsia="宋体" w:cs="Times New Roman"/>
                <w:szCs w:val="21"/>
              </w:rPr>
            </w:pPr>
            <w:r>
              <w:rPr>
                <w:rFonts w:hint="eastAsia" w:eastAsia="宋体" w:cs="Times New Roman"/>
                <w:szCs w:val="21"/>
              </w:rPr>
              <w:t>2</w:t>
            </w:r>
          </w:p>
        </w:tc>
        <w:tc>
          <w:tcPr>
            <w:tcW w:w="1847" w:type="dxa"/>
            <w:noWrap/>
            <w:vAlign w:val="center"/>
          </w:tcPr>
          <w:p>
            <w:pPr>
              <w:jc w:val="center"/>
              <w:rPr>
                <w:rFonts w:eastAsia="宋体" w:cs="Times New Roman"/>
                <w:szCs w:val="21"/>
              </w:rPr>
            </w:pPr>
            <w:r>
              <w:rPr>
                <w:rFonts w:hint="eastAsia" w:eastAsia="宋体" w:cs="Times New Roman"/>
                <w:szCs w:val="21"/>
              </w:rPr>
              <w:t>消防联动表</w:t>
            </w:r>
          </w:p>
        </w:tc>
        <w:tc>
          <w:tcPr>
            <w:tcW w:w="2979" w:type="dxa"/>
            <w:noWrap/>
            <w:vAlign w:val="center"/>
          </w:tcPr>
          <w:p>
            <w:pPr>
              <w:jc w:val="left"/>
              <w:rPr>
                <w:rFonts w:eastAsia="宋体" w:cs="Times New Roman"/>
                <w:szCs w:val="21"/>
              </w:rPr>
            </w:pPr>
            <w:r>
              <w:rPr>
                <w:rFonts w:hint="eastAsia" w:eastAsia="宋体" w:cs="Times New Roman"/>
                <w:szCs w:val="21"/>
              </w:rPr>
              <w:t>编制防排烟系统的消防联动表</w:t>
            </w:r>
          </w:p>
        </w:tc>
        <w:tc>
          <w:tcPr>
            <w:tcW w:w="4536" w:type="dxa"/>
            <w:noWrap/>
            <w:vAlign w:val="center"/>
          </w:tcPr>
          <w:p>
            <w:pPr>
              <w:pStyle w:val="23"/>
              <w:numPr>
                <w:ilvl w:val="0"/>
                <w:numId w:val="12"/>
              </w:numPr>
              <w:ind w:left="0" w:firstLine="0" w:firstLineChars="0"/>
              <w:rPr>
                <w:rFonts w:eastAsia="宋体" w:cs="Times New Roman"/>
                <w:szCs w:val="21"/>
              </w:rPr>
            </w:pPr>
            <w:r>
              <w:rPr>
                <w:rFonts w:hint="eastAsia" w:eastAsia="宋体" w:cs="Times New Roman"/>
                <w:szCs w:val="21"/>
              </w:rPr>
              <w:t>有防排烟系统联动表，并且表达完全准确，得100分；</w:t>
            </w:r>
          </w:p>
          <w:p>
            <w:pPr>
              <w:pStyle w:val="23"/>
              <w:numPr>
                <w:ilvl w:val="0"/>
                <w:numId w:val="12"/>
              </w:numPr>
              <w:ind w:left="0" w:firstLine="0" w:firstLineChars="0"/>
              <w:rPr>
                <w:rFonts w:eastAsia="宋体" w:cs="Times New Roman"/>
                <w:szCs w:val="21"/>
              </w:rPr>
            </w:pPr>
            <w:r>
              <w:rPr>
                <w:rFonts w:hint="eastAsia" w:eastAsia="宋体" w:cs="Times New Roman"/>
                <w:szCs w:val="21"/>
              </w:rPr>
              <w:t>有防排烟系统联动表，并且表达准确率80%以上，得80分；</w:t>
            </w:r>
          </w:p>
          <w:p>
            <w:pPr>
              <w:pStyle w:val="23"/>
              <w:numPr>
                <w:ilvl w:val="0"/>
                <w:numId w:val="12"/>
              </w:numPr>
              <w:ind w:left="0" w:firstLine="0" w:firstLineChars="0"/>
              <w:rPr>
                <w:rFonts w:eastAsia="宋体" w:cs="Times New Roman"/>
                <w:szCs w:val="21"/>
              </w:rPr>
            </w:pPr>
            <w:r>
              <w:rPr>
                <w:rFonts w:hint="eastAsia" w:eastAsia="宋体" w:cs="Times New Roman"/>
                <w:szCs w:val="21"/>
              </w:rPr>
              <w:t>有防排烟系统联动表，并且表达准确率60%以上，得60分。</w:t>
            </w:r>
          </w:p>
        </w:tc>
        <w:tc>
          <w:tcPr>
            <w:tcW w:w="709" w:type="dxa"/>
            <w:noWrap/>
            <w:vAlign w:val="center"/>
          </w:tcPr>
          <w:p>
            <w:pPr>
              <w:jc w:val="center"/>
              <w:rPr>
                <w:rFonts w:eastAsia="宋体" w:cs="Times New Roman"/>
                <w:szCs w:val="21"/>
              </w:rPr>
            </w:pPr>
            <w:r>
              <w:rPr>
                <w:rFonts w:hint="eastAsia" w:eastAsia="宋体" w:cs="Times New Roman"/>
                <w:szCs w:val="21"/>
              </w:rPr>
              <w:t>0.2</w:t>
            </w:r>
          </w:p>
        </w:tc>
        <w:tc>
          <w:tcPr>
            <w:tcW w:w="3118" w:type="dxa"/>
            <w:vAlign w:val="center"/>
          </w:tcPr>
          <w:p>
            <w:pPr>
              <w:jc w:val="left"/>
              <w:rPr>
                <w:rFonts w:eastAsia="宋体" w:cs="Times New Roman"/>
                <w:szCs w:val="21"/>
              </w:rPr>
            </w:pPr>
            <w:r>
              <w:rPr>
                <w:rFonts w:hint="eastAsia" w:eastAsia="宋体" w:cs="Times New Roman"/>
                <w:szCs w:val="21"/>
              </w:rPr>
              <w:t>火灾时防排烟系统需开启的风机、风阀、风口较多，且正压送风系统、排烟系统、补风系统、空调通风系统需要联合动作，风机开启错误不但不会有效防排烟，还可能会使火灾蔓延。联动表也是消防联动编制程序的前置条件。</w:t>
            </w:r>
          </w:p>
        </w:tc>
      </w:tr>
    </w:tbl>
    <w:p>
      <w:pPr>
        <w:widowControl/>
        <w:jc w:val="left"/>
      </w:pPr>
      <w:r>
        <w:rPr>
          <w:rFonts w:eastAsia="宋体" w:cs="Times New Roman"/>
          <w:b/>
          <w:bCs/>
          <w:szCs w:val="28"/>
        </w:rPr>
        <w:br w:type="page"/>
      </w:r>
      <w:bookmarkStart w:id="76" w:name="_Toc206760197"/>
      <w:bookmarkStart w:id="77" w:name="_Toc206758007"/>
      <w:r>
        <w:t>4.2.</w:t>
      </w:r>
      <w:r>
        <w:rPr>
          <w:rFonts w:hint="eastAsia"/>
        </w:rPr>
        <w:t>8</w:t>
      </w:r>
      <w:r>
        <w:t xml:space="preserve"> </w:t>
      </w:r>
      <w:bookmarkStart w:id="78" w:name="OLE_LINK34"/>
      <w:bookmarkStart w:id="79" w:name="OLE_LINK43"/>
      <w:r>
        <w:t>防烟排烟系统设计</w:t>
      </w:r>
      <w:bookmarkEnd w:id="76"/>
      <w:bookmarkEnd w:id="77"/>
      <w:bookmarkEnd w:id="78"/>
      <w:r>
        <w:rPr>
          <w:rFonts w:hint="eastAsia"/>
        </w:rPr>
        <w:t>分为机械加压送风、</w:t>
      </w:r>
      <w:r>
        <w:rPr>
          <w:rFonts w:hint="eastAsia" w:eastAsia="宋体"/>
        </w:rPr>
        <w:t>自然通风防烟</w:t>
      </w:r>
      <w:r>
        <w:rPr>
          <w:rFonts w:hint="eastAsia"/>
        </w:rPr>
        <w:t>、</w:t>
      </w:r>
      <w:r>
        <w:rPr>
          <w:rFonts w:hint="eastAsia" w:eastAsia="宋体"/>
        </w:rPr>
        <w:t>机械排烟</w:t>
      </w:r>
      <w:r>
        <w:rPr>
          <w:rFonts w:hint="eastAsia"/>
        </w:rPr>
        <w:t>、</w:t>
      </w:r>
      <w:r>
        <w:rPr>
          <w:rFonts w:hint="eastAsia" w:eastAsia="宋体"/>
        </w:rPr>
        <w:t>自然通风排烟</w:t>
      </w:r>
      <w:r>
        <w:rPr>
          <w:rFonts w:hint="eastAsia"/>
        </w:rPr>
        <w:t>四大类，该部分内容的</w:t>
      </w:r>
      <w:r>
        <w:rPr>
          <w:rFonts w:hint="eastAsia" w:asciiTheme="minorEastAsia" w:hAnsiTheme="minorEastAsia"/>
        </w:rPr>
        <w:t>控制项评定、评分项评定、优选项评定，应分别符合表</w:t>
      </w:r>
      <w:r>
        <w:t>4.2.</w:t>
      </w:r>
      <w:r>
        <w:rPr>
          <w:rFonts w:hint="eastAsia"/>
        </w:rPr>
        <w:t>8-</w:t>
      </w:r>
      <w:r>
        <w:t>1</w:t>
      </w:r>
      <w:r>
        <w:rPr>
          <w:rFonts w:hint="eastAsia" w:asciiTheme="minorEastAsia" w:hAnsiTheme="minorEastAsia"/>
        </w:rPr>
        <w:t>、</w:t>
      </w:r>
      <w:bookmarkStart w:id="80" w:name="OLE_LINK36"/>
      <w:r>
        <w:rPr>
          <w:rFonts w:hint="eastAsia" w:asciiTheme="minorEastAsia" w:hAnsiTheme="minorEastAsia"/>
        </w:rPr>
        <w:t>表</w:t>
      </w:r>
      <w:r>
        <w:t>4.2.</w:t>
      </w:r>
      <w:r>
        <w:rPr>
          <w:rFonts w:hint="eastAsia"/>
        </w:rPr>
        <w:t>8-</w:t>
      </w:r>
      <w:r>
        <w:t>2</w:t>
      </w:r>
      <w:r>
        <w:rPr>
          <w:rFonts w:hint="eastAsia" w:asciiTheme="minorEastAsia" w:hAnsiTheme="minorEastAsia"/>
        </w:rPr>
        <w:t>、</w:t>
      </w:r>
      <w:bookmarkEnd w:id="80"/>
      <w:r>
        <w:rPr>
          <w:rFonts w:hint="eastAsia" w:asciiTheme="minorEastAsia" w:hAnsiTheme="minorEastAsia"/>
        </w:rPr>
        <w:t>表</w:t>
      </w:r>
      <w:r>
        <w:t>4.2.</w:t>
      </w:r>
      <w:r>
        <w:rPr>
          <w:rFonts w:hint="eastAsia"/>
        </w:rPr>
        <w:t>8-</w:t>
      </w:r>
      <w:r>
        <w:t>3</w:t>
      </w:r>
      <w:r>
        <w:rPr>
          <w:rFonts w:hint="eastAsia"/>
        </w:rPr>
        <w:t>、</w:t>
      </w:r>
      <w:r>
        <w:rPr>
          <w:rFonts w:hint="eastAsia" w:asciiTheme="minorEastAsia" w:hAnsiTheme="minorEastAsia"/>
        </w:rPr>
        <w:t>表</w:t>
      </w:r>
      <w:r>
        <w:t>4.2.</w:t>
      </w:r>
      <w:r>
        <w:rPr>
          <w:rFonts w:hint="eastAsia"/>
        </w:rPr>
        <w:t>8-4</w:t>
      </w:r>
      <w:r>
        <w:rPr>
          <w:rFonts w:hint="eastAsia" w:asciiTheme="minorEastAsia" w:hAnsiTheme="minorEastAsia"/>
        </w:rPr>
        <w:t>、表</w:t>
      </w:r>
      <w:r>
        <w:t>4.2.</w:t>
      </w:r>
      <w:r>
        <w:rPr>
          <w:rFonts w:hint="eastAsia"/>
        </w:rPr>
        <w:t>8-5</w:t>
      </w:r>
      <w:r>
        <w:rPr>
          <w:rFonts w:hint="eastAsia" w:asciiTheme="minorEastAsia" w:hAnsiTheme="minorEastAsia"/>
        </w:rPr>
        <w:t>、表</w:t>
      </w:r>
      <w:r>
        <w:t>4.2.</w:t>
      </w:r>
      <w:r>
        <w:rPr>
          <w:rFonts w:hint="eastAsia"/>
        </w:rPr>
        <w:t>8-6的规定。</w:t>
      </w:r>
      <w:bookmarkEnd w:id="79"/>
    </w:p>
    <w:p>
      <w:pPr>
        <w:widowControl/>
        <w:jc w:val="center"/>
      </w:pPr>
      <w:bookmarkStart w:id="81" w:name="OLE_LINK42"/>
      <w:bookmarkStart w:id="82" w:name="OLE_LINK37"/>
      <w:r>
        <w:rPr>
          <w:rFonts w:hint="eastAsia" w:ascii="宋体" w:hAnsi="宋体" w:eastAsia="宋体" w:cs="Times New Roman"/>
          <w:b/>
          <w:bCs/>
          <w:szCs w:val="21"/>
        </w:rPr>
        <w:t>表</w:t>
      </w:r>
      <w:r>
        <w:rPr>
          <w:rFonts w:ascii="宋体" w:hAnsi="宋体" w:eastAsia="宋体" w:cs="Times New Roman"/>
          <w:b/>
          <w:bCs/>
          <w:szCs w:val="21"/>
        </w:rPr>
        <w:t>4.2.</w:t>
      </w:r>
      <w:r>
        <w:rPr>
          <w:rFonts w:hint="eastAsia" w:ascii="宋体" w:hAnsi="宋体" w:eastAsia="宋体" w:cs="Times New Roman"/>
          <w:b/>
          <w:bCs/>
          <w:szCs w:val="21"/>
        </w:rPr>
        <w:t>8</w:t>
      </w:r>
      <w:r>
        <w:rPr>
          <w:rFonts w:ascii="宋体" w:hAnsi="宋体" w:eastAsia="宋体" w:cs="Times New Roman"/>
          <w:b/>
          <w:bCs/>
          <w:szCs w:val="21"/>
        </w:rPr>
        <w:t>-</w:t>
      </w:r>
      <w:r>
        <w:rPr>
          <w:rFonts w:hint="eastAsia" w:ascii="宋体" w:hAnsi="宋体" w:eastAsia="宋体" w:cs="Times New Roman"/>
          <w:b/>
          <w:bCs/>
          <w:szCs w:val="21"/>
        </w:rPr>
        <w:t>1</w:t>
      </w:r>
      <w:r>
        <w:rPr>
          <w:b/>
          <w:bCs/>
        </w:rPr>
        <w:t>防烟排烟系统设计</w:t>
      </w:r>
      <w:r>
        <w:rPr>
          <w:rFonts w:hint="eastAsia" w:ascii="宋体" w:hAnsi="宋体" w:eastAsia="宋体" w:cs="Times New Roman"/>
          <w:b/>
          <w:bCs/>
          <w:szCs w:val="21"/>
        </w:rPr>
        <w:t>控制项评定表</w:t>
      </w:r>
      <w:bookmarkEnd w:id="81"/>
    </w:p>
    <w:bookmarkEnd w:id="82"/>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2512"/>
        <w:gridCol w:w="4150"/>
        <w:gridCol w:w="3702"/>
        <w:gridCol w:w="25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704" w:type="dxa"/>
            <w:noWrap/>
            <w:vAlign w:val="center"/>
          </w:tcPr>
          <w:p>
            <w:pPr>
              <w:jc w:val="center"/>
              <w:rPr>
                <w:rFonts w:eastAsia="宋体" w:cs="Times New Roman"/>
                <w:b/>
                <w:bCs/>
                <w:szCs w:val="21"/>
              </w:rPr>
            </w:pPr>
            <w:r>
              <w:rPr>
                <w:rFonts w:hint="eastAsia" w:eastAsia="宋体" w:cs="Times New Roman"/>
                <w:b/>
                <w:bCs/>
                <w:szCs w:val="21"/>
              </w:rPr>
              <w:t>序号</w:t>
            </w:r>
          </w:p>
        </w:tc>
        <w:tc>
          <w:tcPr>
            <w:tcW w:w="2512" w:type="dxa"/>
            <w:noWrap/>
            <w:vAlign w:val="center"/>
          </w:tcPr>
          <w:p>
            <w:pPr>
              <w:jc w:val="center"/>
              <w:rPr>
                <w:rFonts w:eastAsia="宋体" w:cs="Times New Roman"/>
                <w:b/>
                <w:bCs/>
                <w:szCs w:val="21"/>
              </w:rPr>
            </w:pPr>
            <w:r>
              <w:rPr>
                <w:rFonts w:hint="eastAsia" w:eastAsia="宋体" w:cs="Times New Roman"/>
                <w:b/>
                <w:bCs/>
                <w:szCs w:val="21"/>
              </w:rPr>
              <w:t>评定指标</w:t>
            </w:r>
          </w:p>
        </w:tc>
        <w:tc>
          <w:tcPr>
            <w:tcW w:w="4150" w:type="dxa"/>
            <w:vAlign w:val="center"/>
          </w:tcPr>
          <w:p>
            <w:pPr>
              <w:jc w:val="center"/>
              <w:rPr>
                <w:rFonts w:eastAsia="宋体" w:cs="Times New Roman"/>
                <w:b/>
                <w:bCs/>
                <w:szCs w:val="21"/>
              </w:rPr>
            </w:pPr>
            <w:r>
              <w:rPr>
                <w:rFonts w:hint="eastAsia" w:eastAsia="宋体" w:cs="Times New Roman"/>
                <w:b/>
                <w:bCs/>
                <w:szCs w:val="21"/>
              </w:rPr>
              <w:t>控制项</w:t>
            </w:r>
          </w:p>
        </w:tc>
        <w:tc>
          <w:tcPr>
            <w:tcW w:w="3702" w:type="dxa"/>
            <w:noWrap/>
            <w:vAlign w:val="center"/>
          </w:tcPr>
          <w:p>
            <w:pPr>
              <w:jc w:val="center"/>
              <w:rPr>
                <w:rFonts w:eastAsia="宋体" w:cs="Times New Roman"/>
                <w:b/>
                <w:bCs/>
                <w:szCs w:val="21"/>
              </w:rPr>
            </w:pPr>
            <w:r>
              <w:rPr>
                <w:rFonts w:hint="eastAsia" w:eastAsia="宋体" w:cs="Times New Roman"/>
                <w:b/>
                <w:bCs/>
                <w:szCs w:val="21"/>
              </w:rPr>
              <w:t>评定方法</w:t>
            </w:r>
          </w:p>
        </w:tc>
        <w:tc>
          <w:tcPr>
            <w:tcW w:w="2596" w:type="dxa"/>
            <w:noWrap/>
            <w:vAlign w:val="center"/>
          </w:tcPr>
          <w:p>
            <w:pPr>
              <w:jc w:val="center"/>
              <w:rPr>
                <w:rFonts w:eastAsia="宋体" w:cs="Times New Roman"/>
                <w:b/>
                <w:bCs/>
                <w:szCs w:val="21"/>
              </w:rPr>
            </w:pPr>
            <w:r>
              <w:rPr>
                <w:rFonts w:hint="eastAsia" w:eastAsia="宋体" w:cs="Times New Roman"/>
                <w:b/>
                <w:bCs/>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704" w:type="dxa"/>
            <w:noWrap/>
            <w:vAlign w:val="center"/>
          </w:tcPr>
          <w:p>
            <w:pPr>
              <w:jc w:val="center"/>
              <w:rPr>
                <w:rFonts w:hint="eastAsia" w:cs="Times New Roman" w:asciiTheme="minorEastAsia" w:hAnsiTheme="minorEastAsia"/>
                <w:szCs w:val="21"/>
              </w:rPr>
            </w:pPr>
            <w:r>
              <w:rPr>
                <w:rFonts w:hint="eastAsia" w:cs="Times New Roman" w:asciiTheme="minorEastAsia" w:hAnsiTheme="minorEastAsia"/>
                <w:szCs w:val="21"/>
              </w:rPr>
              <w:t>1</w:t>
            </w:r>
          </w:p>
        </w:tc>
        <w:tc>
          <w:tcPr>
            <w:tcW w:w="2512"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设计单位资质与人员从业资格</w:t>
            </w:r>
          </w:p>
        </w:tc>
        <w:tc>
          <w:tcPr>
            <w:tcW w:w="4150"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设计单位应具有乙级或以上的资质，项目设计团队有三级设计审核制度，专业负责人与设计人都具备不低于该专业的中级技术职称或执业资格；</w:t>
            </w:r>
          </w:p>
        </w:tc>
        <w:tc>
          <w:tcPr>
            <w:tcW w:w="3702"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不满足设计资质、项目设计团队主要人员从业资格不达标的直接判定为D级</w:t>
            </w:r>
          </w:p>
        </w:tc>
        <w:tc>
          <w:tcPr>
            <w:tcW w:w="2596" w:type="dxa"/>
            <w:noWrap/>
            <w:vAlign w:val="center"/>
          </w:tcPr>
          <w:p>
            <w:pPr>
              <w:rPr>
                <w:rFonts w:hint="eastAsia" w:cs="Times New Roman" w:asciiTheme="minorEastAsia" w:hAnsiTheme="minorEastAsia"/>
                <w:szCs w:val="21"/>
              </w:rPr>
            </w:pPr>
            <w:r>
              <w:rPr>
                <w:rFonts w:hint="eastAsia" w:cs="Times New Roman" w:asciiTheme="minorEastAsia" w:hAnsiTheme="minorEastAsia"/>
                <w:szCs w:val="21"/>
              </w:rPr>
              <w:t>设计单位能提交相关资质证书以及ISO 9000等管理认证证书。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04" w:type="dxa"/>
            <w:noWrap/>
            <w:vAlign w:val="center"/>
          </w:tcPr>
          <w:p>
            <w:pPr>
              <w:jc w:val="center"/>
              <w:rPr>
                <w:rFonts w:hint="eastAsia" w:cs="Times New Roman" w:asciiTheme="minorEastAsia" w:hAnsiTheme="minorEastAsia"/>
                <w:szCs w:val="21"/>
              </w:rPr>
            </w:pPr>
            <w:r>
              <w:rPr>
                <w:rFonts w:hint="eastAsia" w:cs="Times New Roman" w:asciiTheme="minorEastAsia" w:hAnsiTheme="minorEastAsia"/>
                <w:szCs w:val="21"/>
              </w:rPr>
              <w:t>2</w:t>
            </w:r>
          </w:p>
        </w:tc>
        <w:tc>
          <w:tcPr>
            <w:tcW w:w="2512"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近三年是否出现防排烟设计责任事故</w:t>
            </w:r>
          </w:p>
        </w:tc>
        <w:tc>
          <w:tcPr>
            <w:tcW w:w="4150"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以申请评定时间计，设计单位在三年内防排烟相关工程设计没有因设计质量而出现人员伤亡与财产损失的责任事故；</w:t>
            </w:r>
          </w:p>
        </w:tc>
        <w:tc>
          <w:tcPr>
            <w:tcW w:w="3702"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如果在规定时间内防排烟设计存在以上不良记录，直接判定为D级</w:t>
            </w:r>
          </w:p>
        </w:tc>
        <w:tc>
          <w:tcPr>
            <w:tcW w:w="2596" w:type="dxa"/>
            <w:vAlign w:val="center"/>
          </w:tcPr>
          <w:p>
            <w:pPr>
              <w:rPr>
                <w:rFonts w:hint="eastAsia" w:cs="Times New Roman" w:asciiTheme="minorEastAsia" w:hAnsi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5" w:hRule="atLeast"/>
        </w:trPr>
        <w:tc>
          <w:tcPr>
            <w:tcW w:w="704" w:type="dxa"/>
            <w:noWrap/>
            <w:vAlign w:val="center"/>
          </w:tcPr>
          <w:p>
            <w:pPr>
              <w:jc w:val="center"/>
              <w:rPr>
                <w:rFonts w:hint="eastAsia" w:cs="Times New Roman" w:asciiTheme="minorEastAsia" w:hAnsiTheme="minorEastAsia"/>
                <w:szCs w:val="21"/>
              </w:rPr>
            </w:pPr>
            <w:r>
              <w:rPr>
                <w:rFonts w:hint="eastAsia" w:cs="Times New Roman" w:asciiTheme="minorEastAsia" w:hAnsiTheme="minorEastAsia"/>
                <w:szCs w:val="21"/>
              </w:rPr>
              <w:t>3</w:t>
            </w:r>
          </w:p>
        </w:tc>
        <w:tc>
          <w:tcPr>
            <w:tcW w:w="2512"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防排烟设计图纸中的技术要点</w:t>
            </w:r>
          </w:p>
        </w:tc>
        <w:tc>
          <w:tcPr>
            <w:tcW w:w="4150"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防排烟系统设计中，存在严重违反国家消防技术标准强制性条文规定，或者防排烟系统逻辑控制设计没有清晰正确的说明。</w:t>
            </w:r>
          </w:p>
        </w:tc>
        <w:tc>
          <w:tcPr>
            <w:tcW w:w="3702"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设计图纸资料明显违反消防技术标准强制性条文或者没有特殊消防设计专家论证结论技术支撑，消防设计逻辑混乱不清、表达严重错误，直接判定为D级</w:t>
            </w:r>
          </w:p>
        </w:tc>
        <w:tc>
          <w:tcPr>
            <w:tcW w:w="2596" w:type="dxa"/>
            <w:vAlign w:val="center"/>
          </w:tcPr>
          <w:p>
            <w:pPr>
              <w:rPr>
                <w:rFonts w:hint="eastAsia" w:cs="Times New Roman" w:asciiTheme="minorEastAsia" w:hAnsiTheme="minorEastAsia"/>
                <w:szCs w:val="21"/>
              </w:rPr>
            </w:pPr>
          </w:p>
        </w:tc>
      </w:tr>
    </w:tbl>
    <w:p>
      <w:pPr>
        <w:widowControl/>
        <w:jc w:val="center"/>
        <w:rPr>
          <w:rFonts w:hint="eastAsia" w:ascii="宋体" w:hAnsi="宋体" w:eastAsia="宋体" w:cs="Times New Roman"/>
          <w:b/>
          <w:bCs/>
          <w:szCs w:val="21"/>
        </w:rPr>
      </w:pPr>
      <w:bookmarkStart w:id="83" w:name="OLE_LINK38"/>
    </w:p>
    <w:p>
      <w:pPr>
        <w:widowControl/>
        <w:jc w:val="center"/>
      </w:pPr>
      <w:r>
        <w:rPr>
          <w:rFonts w:hint="eastAsia" w:ascii="宋体" w:hAnsi="宋体" w:eastAsia="宋体" w:cs="Times New Roman"/>
          <w:b/>
          <w:bCs/>
          <w:szCs w:val="21"/>
        </w:rPr>
        <w:t>表</w:t>
      </w:r>
      <w:r>
        <w:rPr>
          <w:rFonts w:ascii="宋体" w:hAnsi="宋体" w:eastAsia="宋体" w:cs="Times New Roman"/>
          <w:b/>
          <w:bCs/>
          <w:szCs w:val="21"/>
        </w:rPr>
        <w:t>4.2.</w:t>
      </w:r>
      <w:r>
        <w:rPr>
          <w:rFonts w:hint="eastAsia" w:ascii="宋体" w:hAnsi="宋体" w:eastAsia="宋体" w:cs="Times New Roman"/>
          <w:b/>
          <w:bCs/>
          <w:szCs w:val="21"/>
        </w:rPr>
        <w:t>8</w:t>
      </w:r>
      <w:r>
        <w:rPr>
          <w:rFonts w:ascii="宋体" w:hAnsi="宋体" w:eastAsia="宋体" w:cs="Times New Roman"/>
          <w:b/>
          <w:bCs/>
          <w:szCs w:val="21"/>
        </w:rPr>
        <w:t>-</w:t>
      </w:r>
      <w:r>
        <w:rPr>
          <w:rFonts w:hint="eastAsia" w:ascii="宋体" w:hAnsi="宋体" w:eastAsia="宋体" w:cs="Times New Roman"/>
          <w:b/>
          <w:bCs/>
          <w:szCs w:val="21"/>
        </w:rPr>
        <w:t>2</w:t>
      </w:r>
      <w:r>
        <w:rPr>
          <w:rFonts w:hint="eastAsia"/>
          <w:b/>
          <w:bCs/>
        </w:rPr>
        <w:t>机械加压送风系统</w:t>
      </w:r>
      <w:r>
        <w:rPr>
          <w:b/>
          <w:bCs/>
        </w:rPr>
        <w:t>设计</w:t>
      </w:r>
      <w:r>
        <w:rPr>
          <w:rFonts w:hint="eastAsia" w:ascii="宋体" w:hAnsi="宋体" w:eastAsia="宋体" w:cs="Times New Roman"/>
          <w:b/>
          <w:bCs/>
          <w:szCs w:val="21"/>
        </w:rPr>
        <w:t>评分项评定表</w:t>
      </w:r>
      <w:r>
        <w:rPr>
          <w:rFonts w:hint="eastAsia" w:eastAsia="宋体" w:cs="Times New Roman"/>
          <w:b/>
          <w:bCs/>
          <w:szCs w:val="24"/>
        </w:rPr>
        <w:t>（一级权重因子：X1）</w:t>
      </w:r>
    </w:p>
    <w:bookmarkEnd w:id="83"/>
    <w:tbl>
      <w:tblPr>
        <w:tblStyle w:val="18"/>
        <w:tblW w:w="138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1701"/>
        <w:gridCol w:w="1276"/>
        <w:gridCol w:w="5670"/>
        <w:gridCol w:w="791"/>
        <w:gridCol w:w="37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blHeader/>
          <w:jc w:val="center"/>
        </w:trPr>
        <w:tc>
          <w:tcPr>
            <w:tcW w:w="704" w:type="dxa"/>
            <w:noWrap/>
            <w:vAlign w:val="center"/>
          </w:tcPr>
          <w:p>
            <w:pPr>
              <w:spacing w:before="163" w:after="97"/>
              <w:jc w:val="center"/>
              <w:rPr>
                <w:rFonts w:eastAsia="宋体" w:cs="Times New Roman"/>
                <w:b/>
                <w:bCs/>
                <w:szCs w:val="21"/>
              </w:rPr>
            </w:pPr>
            <w:r>
              <w:rPr>
                <w:rFonts w:hint="eastAsia" w:eastAsia="宋体" w:cs="Times New Roman"/>
                <w:b/>
                <w:bCs/>
                <w:szCs w:val="21"/>
              </w:rPr>
              <w:t>序号</w:t>
            </w:r>
          </w:p>
        </w:tc>
        <w:tc>
          <w:tcPr>
            <w:tcW w:w="1701" w:type="dxa"/>
            <w:noWrap/>
            <w:vAlign w:val="center"/>
          </w:tcPr>
          <w:p>
            <w:pPr>
              <w:spacing w:before="163" w:after="97"/>
              <w:jc w:val="center"/>
              <w:rPr>
                <w:rFonts w:eastAsia="宋体" w:cs="Times New Roman"/>
                <w:b/>
                <w:bCs/>
                <w:szCs w:val="21"/>
              </w:rPr>
            </w:pPr>
            <w:r>
              <w:rPr>
                <w:rFonts w:hint="eastAsia" w:eastAsia="宋体" w:cs="Times New Roman"/>
                <w:b/>
                <w:bCs/>
                <w:szCs w:val="21"/>
              </w:rPr>
              <w:t>评定指标</w:t>
            </w:r>
          </w:p>
        </w:tc>
        <w:tc>
          <w:tcPr>
            <w:tcW w:w="1276" w:type="dxa"/>
            <w:vAlign w:val="center"/>
          </w:tcPr>
          <w:p>
            <w:pPr>
              <w:spacing w:before="163" w:after="97"/>
              <w:jc w:val="center"/>
              <w:rPr>
                <w:rFonts w:eastAsia="宋体" w:cs="Times New Roman"/>
                <w:b/>
                <w:bCs/>
                <w:szCs w:val="21"/>
              </w:rPr>
            </w:pPr>
            <w:r>
              <w:rPr>
                <w:rFonts w:hint="eastAsia" w:eastAsia="宋体" w:cs="Times New Roman"/>
                <w:b/>
                <w:bCs/>
                <w:szCs w:val="21"/>
              </w:rPr>
              <w:t>评分项</w:t>
            </w:r>
          </w:p>
        </w:tc>
        <w:tc>
          <w:tcPr>
            <w:tcW w:w="5670" w:type="dxa"/>
            <w:noWrap/>
            <w:vAlign w:val="center"/>
          </w:tcPr>
          <w:p>
            <w:pPr>
              <w:spacing w:before="163" w:after="97"/>
              <w:jc w:val="center"/>
              <w:rPr>
                <w:rFonts w:eastAsia="宋体" w:cs="Times New Roman"/>
                <w:b/>
                <w:bCs/>
                <w:szCs w:val="21"/>
              </w:rPr>
            </w:pPr>
            <w:r>
              <w:rPr>
                <w:rFonts w:hint="eastAsia" w:eastAsia="宋体" w:cs="Times New Roman"/>
                <w:b/>
                <w:bCs/>
                <w:szCs w:val="21"/>
              </w:rPr>
              <w:t>评定方法</w:t>
            </w:r>
          </w:p>
        </w:tc>
        <w:tc>
          <w:tcPr>
            <w:tcW w:w="791" w:type="dxa"/>
            <w:vAlign w:val="center"/>
          </w:tcPr>
          <w:p>
            <w:pPr>
              <w:spacing w:before="163" w:after="97"/>
              <w:jc w:val="center"/>
              <w:rPr>
                <w:rFonts w:eastAsia="宋体" w:cs="Times New Roman"/>
                <w:b/>
                <w:bCs/>
                <w:szCs w:val="21"/>
              </w:rPr>
            </w:pPr>
            <w:r>
              <w:rPr>
                <w:rFonts w:hint="eastAsia" w:eastAsia="宋体" w:cs="Times New Roman"/>
                <w:b/>
                <w:bCs/>
                <w:szCs w:val="21"/>
              </w:rPr>
              <w:t>权重因子</w:t>
            </w:r>
          </w:p>
        </w:tc>
        <w:tc>
          <w:tcPr>
            <w:tcW w:w="3745" w:type="dxa"/>
            <w:noWrap/>
            <w:vAlign w:val="center"/>
          </w:tcPr>
          <w:p>
            <w:pPr>
              <w:spacing w:before="163" w:after="97"/>
              <w:jc w:val="center"/>
              <w:rPr>
                <w:rFonts w:eastAsia="宋体" w:cs="Times New Roman"/>
                <w:b/>
                <w:bCs/>
                <w:szCs w:val="21"/>
              </w:rPr>
            </w:pPr>
            <w:r>
              <w:rPr>
                <w:rFonts w:hint="eastAsia" w:eastAsia="宋体" w:cs="Times New Roman"/>
                <w:b/>
                <w:bCs/>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2" w:hRule="atLeast"/>
          <w:jc w:val="center"/>
        </w:trPr>
        <w:tc>
          <w:tcPr>
            <w:tcW w:w="704" w:type="dxa"/>
            <w:noWrap/>
            <w:vAlign w:val="center"/>
          </w:tcPr>
          <w:p>
            <w:pPr>
              <w:widowControl/>
              <w:spacing w:before="163" w:after="97"/>
              <w:jc w:val="center"/>
              <w:rPr>
                <w:rFonts w:hint="eastAsia" w:cs="宋体" w:asciiTheme="minorEastAsia" w:hAnsiTheme="minorEastAsia"/>
                <w:b/>
                <w:bCs/>
                <w:szCs w:val="21"/>
              </w:rPr>
            </w:pPr>
            <w:r>
              <w:rPr>
                <w:rFonts w:hint="eastAsia" w:cs="宋体" w:asciiTheme="minorEastAsia" w:hAnsiTheme="minorEastAsia"/>
                <w:b/>
                <w:bCs/>
                <w:szCs w:val="21"/>
              </w:rPr>
              <w:t>1</w:t>
            </w:r>
          </w:p>
        </w:tc>
        <w:tc>
          <w:tcPr>
            <w:tcW w:w="1701" w:type="dxa"/>
            <w:vAlign w:val="center"/>
          </w:tcPr>
          <w:p>
            <w:pPr>
              <w:widowControl/>
              <w:spacing w:before="163" w:after="97"/>
              <w:jc w:val="center"/>
              <w:rPr>
                <w:rFonts w:hint="eastAsia" w:cs="宋体" w:asciiTheme="minorEastAsia" w:hAnsiTheme="minorEastAsia"/>
                <w:szCs w:val="21"/>
              </w:rPr>
            </w:pPr>
            <w:r>
              <w:rPr>
                <w:rFonts w:hint="eastAsia" w:cs="宋体" w:asciiTheme="minorEastAsia" w:hAnsiTheme="minorEastAsia"/>
                <w:szCs w:val="21"/>
              </w:rPr>
              <w:t>机械加压送风系统水力计算书</w:t>
            </w:r>
          </w:p>
        </w:tc>
        <w:tc>
          <w:tcPr>
            <w:tcW w:w="1276" w:type="dxa"/>
            <w:vAlign w:val="center"/>
          </w:tcPr>
          <w:p>
            <w:pPr>
              <w:pStyle w:val="23"/>
              <w:widowControl/>
              <w:spacing w:before="163" w:after="97"/>
              <w:ind w:firstLine="0" w:firstLineChars="0"/>
              <w:jc w:val="left"/>
              <w:rPr>
                <w:rFonts w:hint="eastAsia" w:cs="宋体" w:asciiTheme="minorEastAsia" w:hAnsiTheme="minorEastAsia"/>
                <w:szCs w:val="21"/>
              </w:rPr>
            </w:pPr>
            <w:r>
              <w:rPr>
                <w:rFonts w:hint="eastAsia" w:cs="宋体" w:asciiTheme="minorEastAsia" w:hAnsiTheme="minorEastAsia"/>
                <w:szCs w:val="21"/>
              </w:rPr>
              <w:t>系统水力计算书的准确率</w:t>
            </w:r>
          </w:p>
        </w:tc>
        <w:tc>
          <w:tcPr>
            <w:tcW w:w="5670" w:type="dxa"/>
            <w:vAlign w:val="center"/>
          </w:tcPr>
          <w:p>
            <w:pPr>
              <w:widowControl/>
              <w:spacing w:before="163" w:after="97"/>
              <w:jc w:val="left"/>
              <w:rPr>
                <w:rFonts w:hint="eastAsia" w:cs="宋体" w:asciiTheme="minorEastAsia" w:hAnsiTheme="minorEastAsia"/>
                <w:szCs w:val="21"/>
              </w:rPr>
            </w:pPr>
            <w:r>
              <w:rPr>
                <w:rFonts w:hint="eastAsia" w:cs="宋体" w:asciiTheme="minorEastAsia" w:hAnsiTheme="minorEastAsia"/>
                <w:szCs w:val="21"/>
              </w:rPr>
              <w:t>防烟系统水力计算书的准确率：</w:t>
            </w:r>
          </w:p>
          <w:p>
            <w:pPr>
              <w:widowControl/>
              <w:spacing w:before="163" w:after="97"/>
              <w:jc w:val="left"/>
              <w:rPr>
                <w:rFonts w:hint="eastAsia" w:cs="宋体" w:asciiTheme="minorEastAsia" w:hAnsiTheme="minorEastAsia"/>
                <w:szCs w:val="21"/>
              </w:rPr>
            </w:pPr>
            <w:r>
              <w:rPr>
                <w:rFonts w:hint="eastAsia" w:cs="宋体" w:asciiTheme="minorEastAsia" w:hAnsiTheme="minorEastAsia"/>
                <w:szCs w:val="21"/>
              </w:rPr>
              <w:t>1）准确率100%，得100分；</w:t>
            </w:r>
          </w:p>
          <w:p>
            <w:pPr>
              <w:widowControl/>
              <w:spacing w:before="163" w:after="97"/>
              <w:jc w:val="left"/>
              <w:rPr>
                <w:rFonts w:hint="eastAsia" w:cs="宋体" w:asciiTheme="minorEastAsia" w:hAnsiTheme="minorEastAsia"/>
                <w:szCs w:val="21"/>
              </w:rPr>
            </w:pPr>
            <w:r>
              <w:rPr>
                <w:rFonts w:hint="eastAsia" w:cs="宋体" w:asciiTheme="minorEastAsia" w:hAnsiTheme="minorEastAsia"/>
                <w:szCs w:val="21"/>
              </w:rPr>
              <w:t>2）90%≤准确率＜100%，得80分；</w:t>
            </w:r>
          </w:p>
          <w:p>
            <w:pPr>
              <w:widowControl/>
              <w:spacing w:before="163" w:after="97"/>
              <w:jc w:val="left"/>
              <w:rPr>
                <w:rFonts w:hint="eastAsia" w:cs="宋体" w:asciiTheme="minorEastAsia" w:hAnsiTheme="minorEastAsia"/>
                <w:szCs w:val="21"/>
              </w:rPr>
            </w:pPr>
            <w:r>
              <w:rPr>
                <w:rFonts w:hint="eastAsia" w:cs="宋体" w:asciiTheme="minorEastAsia" w:hAnsiTheme="minorEastAsia"/>
                <w:szCs w:val="21"/>
              </w:rPr>
              <w:t>3）80%≤准确率＜90%，得60分。</w:t>
            </w:r>
          </w:p>
        </w:tc>
        <w:tc>
          <w:tcPr>
            <w:tcW w:w="791" w:type="dxa"/>
            <w:vAlign w:val="center"/>
          </w:tcPr>
          <w:p>
            <w:pPr>
              <w:widowControl/>
              <w:spacing w:before="163" w:after="97"/>
              <w:jc w:val="center"/>
              <w:rPr>
                <w:rFonts w:hint="eastAsia" w:ascii="宋体" w:hAnsi="宋体" w:cs="宋体"/>
                <w:szCs w:val="21"/>
              </w:rPr>
            </w:pPr>
            <w:r>
              <w:rPr>
                <w:rFonts w:hint="eastAsia" w:cs="宋体" w:asciiTheme="minorEastAsia" w:hAnsiTheme="minorEastAsia"/>
                <w:szCs w:val="21"/>
              </w:rPr>
              <w:t>0.30</w:t>
            </w:r>
          </w:p>
        </w:tc>
        <w:tc>
          <w:tcPr>
            <w:tcW w:w="3745" w:type="dxa"/>
            <w:vAlign w:val="center"/>
          </w:tcPr>
          <w:p>
            <w:pPr>
              <w:widowControl/>
              <w:spacing w:before="163" w:after="97"/>
              <w:jc w:val="left"/>
              <w:rPr>
                <w:rFonts w:hint="eastAsia" w:ascii="宋体" w:hAnsi="宋体" w:cs="宋体"/>
                <w:szCs w:val="21"/>
              </w:rPr>
            </w:pPr>
            <w:r>
              <w:rPr>
                <w:rFonts w:hint="eastAsia" w:ascii="宋体" w:hAnsi="宋体" w:cs="宋体"/>
                <w:szCs w:val="21"/>
              </w:rPr>
              <w:t>防烟风机的出口到竖井的距离宜保留不小于3D当量直径的长度，避免距离过近带来较大的紊流阻力损失，并可能损坏风机叶片。</w:t>
            </w:r>
          </w:p>
          <w:p>
            <w:pPr>
              <w:widowControl/>
              <w:spacing w:before="163" w:after="97"/>
              <w:jc w:val="left"/>
              <w:rPr>
                <w:rFonts w:hint="eastAsia" w:cs="宋体" w:asciiTheme="minorEastAsia" w:hAnsiTheme="minorEastAsia"/>
                <w:szCs w:val="21"/>
              </w:rPr>
            </w:pPr>
            <w:r>
              <w:rPr>
                <w:rFonts w:hint="eastAsia" w:ascii="宋体" w:hAnsi="宋体" w:cs="宋体"/>
                <w:szCs w:val="21"/>
              </w:rPr>
              <w:t>计算书有严重错误的，设计单位应及时更改否则评定为不合格。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2" w:hRule="atLeast"/>
          <w:jc w:val="center"/>
        </w:trPr>
        <w:tc>
          <w:tcPr>
            <w:tcW w:w="704" w:type="dxa"/>
            <w:noWrap/>
            <w:vAlign w:val="center"/>
          </w:tcPr>
          <w:p>
            <w:pPr>
              <w:widowControl/>
              <w:spacing w:before="163" w:after="97"/>
              <w:jc w:val="center"/>
              <w:rPr>
                <w:rFonts w:hint="eastAsia" w:cs="宋体" w:asciiTheme="minorEastAsia" w:hAnsiTheme="minorEastAsia"/>
                <w:b/>
                <w:bCs/>
                <w:szCs w:val="21"/>
              </w:rPr>
            </w:pPr>
            <w:r>
              <w:rPr>
                <w:rFonts w:hint="eastAsia" w:cs="宋体" w:asciiTheme="minorEastAsia" w:hAnsiTheme="minorEastAsia"/>
                <w:b/>
                <w:bCs/>
                <w:szCs w:val="21"/>
              </w:rPr>
              <w:t>2</w:t>
            </w:r>
          </w:p>
        </w:tc>
        <w:tc>
          <w:tcPr>
            <w:tcW w:w="1701" w:type="dxa"/>
            <w:vAlign w:val="center"/>
          </w:tcPr>
          <w:p>
            <w:pPr>
              <w:widowControl/>
              <w:spacing w:before="163" w:after="97"/>
              <w:jc w:val="center"/>
              <w:rPr>
                <w:rFonts w:hint="eastAsia" w:cs="宋体" w:asciiTheme="minorEastAsia" w:hAnsiTheme="minorEastAsia"/>
                <w:szCs w:val="21"/>
              </w:rPr>
            </w:pPr>
            <w:r>
              <w:rPr>
                <w:rFonts w:hint="eastAsia" w:cs="宋体" w:asciiTheme="minorEastAsia" w:hAnsiTheme="minorEastAsia"/>
                <w:szCs w:val="21"/>
              </w:rPr>
              <w:t>机械加压送风口</w:t>
            </w:r>
          </w:p>
        </w:tc>
        <w:tc>
          <w:tcPr>
            <w:tcW w:w="1276" w:type="dxa"/>
            <w:vAlign w:val="center"/>
          </w:tcPr>
          <w:p>
            <w:pPr>
              <w:pStyle w:val="23"/>
              <w:widowControl/>
              <w:spacing w:before="163" w:after="97"/>
              <w:ind w:firstLine="0" w:firstLineChars="0"/>
              <w:jc w:val="left"/>
              <w:rPr>
                <w:rFonts w:hint="eastAsia" w:cs="宋体" w:asciiTheme="minorEastAsia" w:hAnsiTheme="minorEastAsia"/>
                <w:szCs w:val="21"/>
              </w:rPr>
            </w:pPr>
            <w:r>
              <w:rPr>
                <w:rFonts w:hint="eastAsia" w:cs="宋体" w:asciiTheme="minorEastAsia" w:hAnsiTheme="minorEastAsia"/>
                <w:szCs w:val="21"/>
              </w:rPr>
              <w:t>机械加压送风口的安装位置</w:t>
            </w:r>
          </w:p>
        </w:tc>
        <w:tc>
          <w:tcPr>
            <w:tcW w:w="5670" w:type="dxa"/>
            <w:vAlign w:val="center"/>
          </w:tcPr>
          <w:p>
            <w:pPr>
              <w:widowControl/>
              <w:spacing w:before="163" w:after="97"/>
              <w:jc w:val="left"/>
              <w:rPr>
                <w:rFonts w:hint="eastAsia" w:cs="宋体" w:asciiTheme="minorEastAsia" w:hAnsiTheme="minorEastAsia"/>
                <w:szCs w:val="21"/>
              </w:rPr>
            </w:pPr>
            <w:r>
              <w:rPr>
                <w:rFonts w:hint="eastAsia" w:cs="宋体" w:asciiTheme="minorEastAsia" w:hAnsiTheme="minorEastAsia"/>
                <w:szCs w:val="21"/>
              </w:rPr>
              <w:t>1）</w:t>
            </w:r>
            <w:bookmarkStart w:id="84" w:name="OLE_LINK6"/>
            <w:r>
              <w:rPr>
                <w:rFonts w:hint="eastAsia" w:cs="宋体" w:asciiTheme="minorEastAsia" w:hAnsiTheme="minorEastAsia"/>
                <w:szCs w:val="21"/>
              </w:rPr>
              <w:t>送风风口的安装位置</w:t>
            </w:r>
            <w:bookmarkEnd w:id="84"/>
            <w:r>
              <w:rPr>
                <w:rFonts w:hint="eastAsia" w:cs="宋体" w:asciiTheme="minorEastAsia" w:hAnsiTheme="minorEastAsia"/>
                <w:szCs w:val="21"/>
              </w:rPr>
              <w:t>，有利于阻挡烟气进入正压区，得100分；</w:t>
            </w:r>
          </w:p>
          <w:p>
            <w:pPr>
              <w:widowControl/>
              <w:spacing w:before="163" w:after="97"/>
              <w:jc w:val="left"/>
              <w:rPr>
                <w:rFonts w:hint="eastAsia" w:cs="宋体" w:asciiTheme="minorEastAsia" w:hAnsiTheme="minorEastAsia"/>
                <w:szCs w:val="21"/>
              </w:rPr>
            </w:pPr>
            <w:r>
              <w:rPr>
                <w:rFonts w:hint="eastAsia" w:cs="宋体" w:asciiTheme="minorEastAsia" w:hAnsiTheme="minorEastAsia"/>
                <w:szCs w:val="21"/>
              </w:rPr>
              <w:t>2）</w:t>
            </w:r>
            <w:bookmarkStart w:id="85" w:name="OLE_LINK9"/>
            <w:r>
              <w:rPr>
                <w:rFonts w:hint="eastAsia" w:cs="宋体" w:asciiTheme="minorEastAsia" w:hAnsiTheme="minorEastAsia"/>
                <w:szCs w:val="21"/>
              </w:rPr>
              <w:t>送风风口</w:t>
            </w:r>
            <w:bookmarkEnd w:id="85"/>
            <w:r>
              <w:rPr>
                <w:rFonts w:hint="eastAsia" w:cs="宋体" w:asciiTheme="minorEastAsia" w:hAnsiTheme="minorEastAsia"/>
                <w:szCs w:val="21"/>
              </w:rPr>
              <w:t>的安装位置不被遮挡，得80分；</w:t>
            </w:r>
          </w:p>
          <w:p>
            <w:pPr>
              <w:widowControl/>
              <w:spacing w:before="163" w:after="97"/>
              <w:jc w:val="left"/>
              <w:rPr>
                <w:rFonts w:hint="eastAsia" w:cs="宋体" w:asciiTheme="minorEastAsia" w:hAnsiTheme="minorEastAsia"/>
                <w:szCs w:val="21"/>
              </w:rPr>
            </w:pPr>
            <w:r>
              <w:rPr>
                <w:rFonts w:hint="eastAsia" w:cs="宋体" w:asciiTheme="minorEastAsia" w:hAnsiTheme="minorEastAsia"/>
                <w:szCs w:val="21"/>
              </w:rPr>
              <w:t>3）送风风口的安装位置有一定的遮挡，得60分。</w:t>
            </w:r>
          </w:p>
        </w:tc>
        <w:tc>
          <w:tcPr>
            <w:tcW w:w="791" w:type="dxa"/>
            <w:vAlign w:val="center"/>
          </w:tcPr>
          <w:p>
            <w:pPr>
              <w:widowControl/>
              <w:spacing w:before="163" w:after="97"/>
              <w:jc w:val="center"/>
              <w:rPr>
                <w:rFonts w:hint="eastAsia" w:cs="宋体" w:asciiTheme="minorEastAsia" w:hAnsiTheme="minorEastAsia"/>
                <w:szCs w:val="21"/>
              </w:rPr>
            </w:pPr>
            <w:r>
              <w:rPr>
                <w:rFonts w:hint="eastAsia" w:cs="宋体" w:asciiTheme="minorEastAsia" w:hAnsiTheme="minorEastAsia"/>
                <w:szCs w:val="21"/>
              </w:rPr>
              <w:t>0.10</w:t>
            </w:r>
          </w:p>
        </w:tc>
        <w:tc>
          <w:tcPr>
            <w:tcW w:w="3745" w:type="dxa"/>
            <w:vAlign w:val="center"/>
          </w:tcPr>
          <w:p>
            <w:pPr>
              <w:widowControl/>
              <w:spacing w:before="163" w:after="97"/>
              <w:jc w:val="left"/>
              <w:rPr>
                <w:rFonts w:hint="eastAsia" w:cs="宋体" w:asciiTheme="minorEastAsia" w:hAnsiTheme="minorEastAsia"/>
                <w:szCs w:val="21"/>
              </w:rPr>
            </w:pPr>
            <w:r>
              <w:rPr>
                <w:rFonts w:hint="eastAsia" w:cs="宋体" w:asciiTheme="minorEastAsia" w:hAnsiTheme="minorEastAsia"/>
                <w:szCs w:val="21"/>
              </w:rPr>
              <w:t>机械加压送风量符合相关规范和设计要求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2" w:hRule="atLeast"/>
          <w:jc w:val="center"/>
        </w:trPr>
        <w:tc>
          <w:tcPr>
            <w:tcW w:w="704" w:type="dxa"/>
            <w:noWrap/>
            <w:vAlign w:val="center"/>
          </w:tcPr>
          <w:p>
            <w:pPr>
              <w:widowControl/>
              <w:spacing w:before="163" w:after="97"/>
              <w:jc w:val="center"/>
              <w:rPr>
                <w:rFonts w:hint="eastAsia" w:cs="宋体" w:asciiTheme="minorEastAsia" w:hAnsiTheme="minorEastAsia"/>
                <w:b/>
                <w:bCs/>
                <w:szCs w:val="21"/>
              </w:rPr>
            </w:pPr>
            <w:r>
              <w:rPr>
                <w:rFonts w:hint="eastAsia" w:cs="宋体" w:asciiTheme="minorEastAsia" w:hAnsiTheme="minorEastAsia"/>
                <w:b/>
                <w:bCs/>
                <w:szCs w:val="21"/>
              </w:rPr>
              <w:t>3</w:t>
            </w:r>
          </w:p>
        </w:tc>
        <w:tc>
          <w:tcPr>
            <w:tcW w:w="1701" w:type="dxa"/>
            <w:vAlign w:val="center"/>
          </w:tcPr>
          <w:p>
            <w:pPr>
              <w:widowControl/>
              <w:spacing w:before="163" w:after="97"/>
              <w:jc w:val="center"/>
              <w:rPr>
                <w:rFonts w:hint="eastAsia" w:cs="宋体" w:asciiTheme="minorEastAsia" w:hAnsiTheme="minorEastAsia"/>
                <w:szCs w:val="21"/>
              </w:rPr>
            </w:pPr>
            <w:r>
              <w:rPr>
                <w:rFonts w:hint="eastAsia" w:cs="宋体" w:asciiTheme="minorEastAsia" w:hAnsiTheme="minorEastAsia"/>
                <w:szCs w:val="21"/>
              </w:rPr>
              <w:t>机械加压送风系统风管布置的平顺性</w:t>
            </w:r>
          </w:p>
        </w:tc>
        <w:tc>
          <w:tcPr>
            <w:tcW w:w="1276" w:type="dxa"/>
            <w:vAlign w:val="center"/>
          </w:tcPr>
          <w:p>
            <w:pPr>
              <w:pStyle w:val="23"/>
              <w:widowControl/>
              <w:spacing w:before="163" w:after="97"/>
              <w:ind w:firstLine="0" w:firstLineChars="0"/>
              <w:jc w:val="left"/>
              <w:rPr>
                <w:rFonts w:hint="eastAsia" w:cs="宋体" w:asciiTheme="minorEastAsia" w:hAnsiTheme="minorEastAsia"/>
                <w:szCs w:val="21"/>
              </w:rPr>
            </w:pPr>
            <w:r>
              <w:rPr>
                <w:rFonts w:hint="eastAsia" w:cs="宋体" w:asciiTheme="minorEastAsia" w:hAnsiTheme="minorEastAsia"/>
                <w:szCs w:val="21"/>
              </w:rPr>
              <w:t>每个机械加压送风系统主干管弯头与变径的数量之和</w:t>
            </w:r>
          </w:p>
        </w:tc>
        <w:tc>
          <w:tcPr>
            <w:tcW w:w="5670" w:type="dxa"/>
            <w:vAlign w:val="center"/>
          </w:tcPr>
          <w:p>
            <w:pPr>
              <w:widowControl/>
              <w:spacing w:before="163" w:after="97"/>
              <w:jc w:val="left"/>
              <w:rPr>
                <w:rFonts w:hint="eastAsia" w:cs="宋体" w:asciiTheme="minorEastAsia" w:hAnsiTheme="minorEastAsia"/>
                <w:szCs w:val="21"/>
              </w:rPr>
            </w:pPr>
            <w:r>
              <w:rPr>
                <w:rFonts w:hint="eastAsia" w:cs="宋体" w:asciiTheme="minorEastAsia" w:hAnsiTheme="minorEastAsia"/>
                <w:szCs w:val="21"/>
              </w:rPr>
              <w:t>单个独立机械加压送风系统的弯头与变径数量的总和：</w:t>
            </w:r>
          </w:p>
          <w:p>
            <w:pPr>
              <w:widowControl/>
              <w:spacing w:before="163" w:after="97"/>
              <w:jc w:val="left"/>
              <w:rPr>
                <w:rFonts w:hint="eastAsia" w:cs="宋体" w:asciiTheme="minorEastAsia" w:hAnsiTheme="minorEastAsia"/>
                <w:szCs w:val="21"/>
              </w:rPr>
            </w:pPr>
            <w:r>
              <w:rPr>
                <w:rFonts w:hint="eastAsia" w:cs="宋体" w:asciiTheme="minorEastAsia" w:hAnsiTheme="minorEastAsia"/>
                <w:szCs w:val="21"/>
              </w:rPr>
              <w:t>1）≤2个；得100分；</w:t>
            </w:r>
          </w:p>
          <w:p>
            <w:pPr>
              <w:widowControl/>
              <w:spacing w:before="163" w:after="97"/>
              <w:jc w:val="left"/>
              <w:rPr>
                <w:rFonts w:hint="eastAsia" w:cs="宋体" w:asciiTheme="minorEastAsia" w:hAnsiTheme="minorEastAsia"/>
                <w:szCs w:val="21"/>
              </w:rPr>
            </w:pPr>
            <w:r>
              <w:rPr>
                <w:rFonts w:hint="eastAsia" w:cs="宋体" w:asciiTheme="minorEastAsia" w:hAnsiTheme="minorEastAsia"/>
                <w:szCs w:val="21"/>
              </w:rPr>
              <w:t>2）3～6个；得80分；</w:t>
            </w:r>
          </w:p>
          <w:p>
            <w:pPr>
              <w:widowControl/>
              <w:spacing w:before="163" w:after="97"/>
              <w:jc w:val="left"/>
              <w:rPr>
                <w:rFonts w:hint="eastAsia" w:cs="宋体" w:asciiTheme="minorEastAsia" w:hAnsiTheme="minorEastAsia"/>
                <w:szCs w:val="21"/>
              </w:rPr>
            </w:pPr>
            <w:r>
              <w:rPr>
                <w:rFonts w:hint="eastAsia" w:cs="宋体" w:asciiTheme="minorEastAsia" w:hAnsiTheme="minorEastAsia"/>
                <w:szCs w:val="21"/>
              </w:rPr>
              <w:t>3）＞6个；得60分。</w:t>
            </w:r>
          </w:p>
        </w:tc>
        <w:tc>
          <w:tcPr>
            <w:tcW w:w="791" w:type="dxa"/>
            <w:vAlign w:val="center"/>
          </w:tcPr>
          <w:p>
            <w:pPr>
              <w:widowControl/>
              <w:spacing w:before="163" w:after="97"/>
              <w:jc w:val="center"/>
              <w:rPr>
                <w:rFonts w:hint="eastAsia" w:ascii="宋体" w:hAnsi="宋体" w:cs="宋体"/>
                <w:szCs w:val="21"/>
              </w:rPr>
            </w:pPr>
            <w:r>
              <w:rPr>
                <w:rFonts w:hint="eastAsia" w:cs="宋体" w:asciiTheme="minorEastAsia" w:hAnsiTheme="minorEastAsia"/>
                <w:szCs w:val="21"/>
              </w:rPr>
              <w:t>0.15</w:t>
            </w:r>
          </w:p>
        </w:tc>
        <w:tc>
          <w:tcPr>
            <w:tcW w:w="3745" w:type="dxa"/>
            <w:vAlign w:val="center"/>
          </w:tcPr>
          <w:p>
            <w:pPr>
              <w:widowControl/>
              <w:spacing w:before="163" w:after="97"/>
              <w:jc w:val="left"/>
              <w:rPr>
                <w:rFonts w:hint="eastAsia" w:cs="宋体" w:asciiTheme="minorEastAsia" w:hAnsiTheme="minorEastAsia"/>
                <w:szCs w:val="21"/>
              </w:rPr>
            </w:pPr>
            <w:r>
              <w:rPr>
                <w:rFonts w:hint="eastAsia" w:ascii="宋体" w:hAnsi="宋体" w:cs="宋体"/>
                <w:szCs w:val="21"/>
              </w:rPr>
              <w:t>加压风管的走向应简洁，尽量减少弯头和阻力，以提高系统效率。以上情况如果系统占比在20%以内，得不作修正，如果超出该比例，该项评分再乘以0.8的系数（得更低、更不可靠）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jc w:val="center"/>
        </w:trPr>
        <w:tc>
          <w:tcPr>
            <w:tcW w:w="704" w:type="dxa"/>
            <w:noWrap/>
            <w:vAlign w:val="center"/>
          </w:tcPr>
          <w:p>
            <w:pPr>
              <w:widowControl/>
              <w:spacing w:before="163" w:after="97"/>
              <w:jc w:val="center"/>
              <w:rPr>
                <w:rFonts w:hint="eastAsia" w:cs="宋体" w:asciiTheme="minorEastAsia" w:hAnsiTheme="minorEastAsia"/>
                <w:b/>
                <w:bCs/>
                <w:szCs w:val="21"/>
              </w:rPr>
            </w:pPr>
            <w:r>
              <w:rPr>
                <w:rFonts w:hint="eastAsia" w:cs="宋体" w:asciiTheme="minorEastAsia" w:hAnsiTheme="minorEastAsia"/>
                <w:b/>
                <w:bCs/>
                <w:szCs w:val="21"/>
              </w:rPr>
              <w:t>4</w:t>
            </w:r>
          </w:p>
        </w:tc>
        <w:tc>
          <w:tcPr>
            <w:tcW w:w="1701" w:type="dxa"/>
            <w:vAlign w:val="center"/>
          </w:tcPr>
          <w:p>
            <w:pPr>
              <w:widowControl/>
              <w:spacing w:before="163" w:after="97"/>
              <w:jc w:val="center"/>
              <w:rPr>
                <w:rFonts w:hint="eastAsia" w:cs="宋体" w:asciiTheme="minorEastAsia" w:hAnsiTheme="minorEastAsia"/>
                <w:szCs w:val="21"/>
              </w:rPr>
            </w:pPr>
            <w:r>
              <w:rPr>
                <w:rFonts w:hint="eastAsia" w:cs="宋体" w:asciiTheme="minorEastAsia" w:hAnsiTheme="minorEastAsia"/>
                <w:szCs w:val="21"/>
              </w:rPr>
              <w:t>机械加压送风机进风口</w:t>
            </w:r>
          </w:p>
        </w:tc>
        <w:tc>
          <w:tcPr>
            <w:tcW w:w="1276" w:type="dxa"/>
            <w:vAlign w:val="center"/>
          </w:tcPr>
          <w:p>
            <w:pPr>
              <w:pStyle w:val="23"/>
              <w:widowControl/>
              <w:spacing w:before="163" w:after="97"/>
              <w:ind w:firstLine="40" w:firstLineChars="17"/>
              <w:jc w:val="left"/>
              <w:rPr>
                <w:rFonts w:hint="eastAsia" w:cs="宋体" w:asciiTheme="minorEastAsia" w:hAnsiTheme="minorEastAsia"/>
                <w:szCs w:val="21"/>
              </w:rPr>
            </w:pPr>
            <w:r>
              <w:rPr>
                <w:rFonts w:hint="eastAsia" w:cs="宋体" w:asciiTheme="minorEastAsia" w:hAnsiTheme="minorEastAsia"/>
                <w:szCs w:val="21"/>
              </w:rPr>
              <w:t>加压送风机进风口设置位置</w:t>
            </w:r>
          </w:p>
        </w:tc>
        <w:tc>
          <w:tcPr>
            <w:tcW w:w="5670" w:type="dxa"/>
            <w:vAlign w:val="center"/>
          </w:tcPr>
          <w:p>
            <w:pPr>
              <w:widowControl/>
              <w:spacing w:before="163" w:after="97"/>
              <w:jc w:val="left"/>
              <w:rPr>
                <w:rFonts w:hint="eastAsia" w:cs="宋体" w:asciiTheme="minorEastAsia" w:hAnsiTheme="minorEastAsia"/>
                <w:szCs w:val="21"/>
              </w:rPr>
            </w:pPr>
            <w:r>
              <w:rPr>
                <w:rFonts w:hint="eastAsia" w:cs="宋体" w:asciiTheme="minorEastAsia" w:hAnsiTheme="minorEastAsia"/>
                <w:szCs w:val="21"/>
              </w:rPr>
              <w:t>加压送风机进风口应直通室外，且应采取防止烟气被吸入的措施：</w:t>
            </w:r>
          </w:p>
          <w:p>
            <w:pPr>
              <w:pStyle w:val="23"/>
              <w:widowControl/>
              <w:numPr>
                <w:ilvl w:val="0"/>
                <w:numId w:val="13"/>
              </w:numPr>
              <w:spacing w:before="163" w:after="97"/>
              <w:ind w:firstLineChars="0"/>
              <w:contextualSpacing/>
              <w:jc w:val="left"/>
              <w:rPr>
                <w:rFonts w:hint="eastAsia" w:cs="宋体" w:asciiTheme="minorEastAsia" w:hAnsiTheme="minorEastAsia"/>
                <w:szCs w:val="21"/>
              </w:rPr>
            </w:pPr>
            <w:r>
              <w:rPr>
                <w:rFonts w:hint="eastAsia" w:cs="宋体" w:asciiTheme="minorEastAsia" w:hAnsiTheme="minorEastAsia"/>
                <w:szCs w:val="21"/>
              </w:rPr>
              <w:t>发生火灾时，同时投入使用的防排烟系统，当正压送风机及其进风口设置在系统底部，排烟风机及出风口设置在系统最高处，得100分；</w:t>
            </w:r>
          </w:p>
          <w:p>
            <w:pPr>
              <w:pStyle w:val="23"/>
              <w:widowControl/>
              <w:numPr>
                <w:ilvl w:val="0"/>
                <w:numId w:val="13"/>
              </w:numPr>
              <w:spacing w:before="163" w:after="97"/>
              <w:ind w:firstLineChars="0"/>
              <w:contextualSpacing/>
              <w:jc w:val="left"/>
              <w:rPr>
                <w:rFonts w:hint="eastAsia" w:cs="宋体" w:asciiTheme="minorEastAsia" w:hAnsiTheme="minorEastAsia"/>
                <w:szCs w:val="21"/>
              </w:rPr>
            </w:pPr>
            <w:r>
              <w:rPr>
                <w:rFonts w:hint="eastAsia" w:cs="宋体" w:asciiTheme="minorEastAsia" w:hAnsiTheme="minorEastAsia"/>
                <w:szCs w:val="21"/>
              </w:rPr>
              <w:t>防烟系统进风口与排烟系统出风口设置在不同朝向的墙面上，且进风口与出风口边缘的水平折线距离不小于20m，得80分；</w:t>
            </w:r>
          </w:p>
          <w:p>
            <w:pPr>
              <w:pStyle w:val="23"/>
              <w:widowControl/>
              <w:numPr>
                <w:ilvl w:val="0"/>
                <w:numId w:val="13"/>
              </w:numPr>
              <w:spacing w:before="163" w:after="97"/>
              <w:ind w:firstLineChars="0"/>
              <w:contextualSpacing/>
              <w:jc w:val="left"/>
              <w:rPr>
                <w:rFonts w:hint="eastAsia" w:cs="宋体" w:asciiTheme="minorEastAsia" w:hAnsiTheme="minorEastAsia"/>
                <w:szCs w:val="21"/>
              </w:rPr>
            </w:pPr>
            <w:bookmarkStart w:id="86" w:name="OLE_LINK7"/>
            <w:r>
              <w:rPr>
                <w:rFonts w:hint="eastAsia" w:cs="宋体" w:asciiTheme="minorEastAsia" w:hAnsiTheme="minorEastAsia"/>
                <w:szCs w:val="21"/>
              </w:rPr>
              <w:t>防烟系统</w:t>
            </w:r>
            <w:bookmarkEnd w:id="86"/>
            <w:r>
              <w:rPr>
                <w:rFonts w:hint="eastAsia" w:cs="宋体" w:asciiTheme="minorEastAsia" w:hAnsiTheme="minorEastAsia"/>
                <w:szCs w:val="21"/>
              </w:rPr>
              <w:t>进风口位于排烟系统出风口下方，且两者边缘最小垂直距离不小于6m，或防烟系统进风口与排烟系统出风口在同一敞开平面水平布置时，两者边缘最小水平距离不小于20m时，得60分；</w:t>
            </w:r>
          </w:p>
        </w:tc>
        <w:tc>
          <w:tcPr>
            <w:tcW w:w="791" w:type="dxa"/>
            <w:vAlign w:val="center"/>
          </w:tcPr>
          <w:p>
            <w:pPr>
              <w:widowControl/>
              <w:spacing w:before="163" w:after="97"/>
              <w:jc w:val="center"/>
              <w:rPr>
                <w:rFonts w:hint="eastAsia" w:ascii="宋体" w:hAnsi="宋体" w:cs="宋体"/>
                <w:szCs w:val="21"/>
              </w:rPr>
            </w:pPr>
            <w:r>
              <w:rPr>
                <w:rFonts w:hint="eastAsia" w:cs="宋体" w:asciiTheme="minorEastAsia" w:hAnsiTheme="minorEastAsia"/>
                <w:szCs w:val="21"/>
              </w:rPr>
              <w:t>0.15</w:t>
            </w:r>
          </w:p>
        </w:tc>
        <w:tc>
          <w:tcPr>
            <w:tcW w:w="3745" w:type="dxa"/>
            <w:vAlign w:val="center"/>
          </w:tcPr>
          <w:p>
            <w:pPr>
              <w:widowControl/>
              <w:spacing w:before="163" w:after="97"/>
              <w:jc w:val="left"/>
              <w:rPr>
                <w:rFonts w:hint="eastAsia" w:ascii="宋体" w:hAnsi="宋体" w:cs="宋体"/>
                <w:szCs w:val="21"/>
              </w:rPr>
            </w:pPr>
            <w:r>
              <w:rPr>
                <w:rFonts w:hint="eastAsia" w:ascii="宋体" w:hAnsi="宋体" w:cs="宋体"/>
                <w:szCs w:val="21"/>
              </w:rPr>
              <w:t>由于烟气自然向上扩散的特性，为了避免从取风口吸入烟气宜将加压送风机的进风口布置在建筑下部。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2" w:hRule="atLeast"/>
          <w:jc w:val="center"/>
        </w:trPr>
        <w:tc>
          <w:tcPr>
            <w:tcW w:w="704" w:type="dxa"/>
            <w:noWrap/>
            <w:vAlign w:val="center"/>
          </w:tcPr>
          <w:p>
            <w:pPr>
              <w:widowControl/>
              <w:spacing w:before="163" w:after="97"/>
              <w:jc w:val="center"/>
              <w:rPr>
                <w:rFonts w:hint="eastAsia" w:cs="宋体" w:asciiTheme="minorEastAsia" w:hAnsiTheme="minorEastAsia"/>
                <w:b/>
                <w:bCs/>
                <w:szCs w:val="21"/>
              </w:rPr>
            </w:pPr>
            <w:r>
              <w:rPr>
                <w:rFonts w:hint="eastAsia" w:cs="宋体" w:asciiTheme="minorEastAsia" w:hAnsiTheme="minorEastAsia"/>
                <w:b/>
                <w:bCs/>
                <w:szCs w:val="21"/>
              </w:rPr>
              <w:t>5</w:t>
            </w:r>
          </w:p>
        </w:tc>
        <w:tc>
          <w:tcPr>
            <w:tcW w:w="1701" w:type="dxa"/>
            <w:vAlign w:val="center"/>
          </w:tcPr>
          <w:p>
            <w:pPr>
              <w:widowControl/>
              <w:spacing w:before="163" w:after="97"/>
              <w:jc w:val="center"/>
              <w:rPr>
                <w:rFonts w:hint="eastAsia" w:cs="宋体" w:asciiTheme="minorEastAsia" w:hAnsiTheme="minorEastAsia"/>
                <w:szCs w:val="21"/>
              </w:rPr>
            </w:pPr>
            <w:r>
              <w:rPr>
                <w:rFonts w:hint="eastAsia" w:cs="宋体" w:asciiTheme="minorEastAsia" w:hAnsiTheme="minorEastAsia"/>
                <w:szCs w:val="21"/>
              </w:rPr>
              <w:t>泄压措施</w:t>
            </w:r>
          </w:p>
        </w:tc>
        <w:tc>
          <w:tcPr>
            <w:tcW w:w="1276" w:type="dxa"/>
            <w:vAlign w:val="center"/>
          </w:tcPr>
          <w:p>
            <w:pPr>
              <w:pStyle w:val="23"/>
              <w:widowControl/>
              <w:spacing w:before="163" w:after="97"/>
              <w:ind w:firstLine="0" w:firstLineChars="0"/>
              <w:jc w:val="left"/>
              <w:rPr>
                <w:rFonts w:hint="eastAsia" w:cs="宋体" w:asciiTheme="minorEastAsia" w:hAnsiTheme="minorEastAsia"/>
                <w:szCs w:val="21"/>
              </w:rPr>
            </w:pPr>
            <w:r>
              <w:rPr>
                <w:rFonts w:hint="eastAsia" w:cs="宋体" w:asciiTheme="minorEastAsia" w:hAnsiTheme="minorEastAsia"/>
                <w:szCs w:val="21"/>
              </w:rPr>
              <w:t>余压检测与调节系统的设置</w:t>
            </w:r>
          </w:p>
        </w:tc>
        <w:tc>
          <w:tcPr>
            <w:tcW w:w="5670" w:type="dxa"/>
            <w:vAlign w:val="center"/>
          </w:tcPr>
          <w:p>
            <w:pPr>
              <w:widowControl/>
              <w:spacing w:before="163" w:after="97"/>
              <w:jc w:val="left"/>
              <w:rPr>
                <w:rFonts w:hint="eastAsia" w:cs="宋体" w:asciiTheme="minorEastAsia" w:hAnsiTheme="minorEastAsia"/>
                <w:szCs w:val="21"/>
              </w:rPr>
            </w:pPr>
            <w:r>
              <w:rPr>
                <w:rFonts w:hint="eastAsia" w:cs="宋体" w:asciiTheme="minorEastAsia" w:hAnsiTheme="minorEastAsia"/>
                <w:szCs w:val="21"/>
              </w:rPr>
              <w:t>1）楼梯间、前室合理设置余压监测系统，并能采取合理的逻辑控制调节楼梯间及前室的余压，</w:t>
            </w:r>
            <w:bookmarkStart w:id="87" w:name="OLE_LINK13"/>
            <w:r>
              <w:rPr>
                <w:rFonts w:hint="eastAsia" w:cs="宋体" w:asciiTheme="minorEastAsia" w:hAnsiTheme="minorEastAsia"/>
                <w:szCs w:val="21"/>
              </w:rPr>
              <w:t>得100分；</w:t>
            </w:r>
            <w:bookmarkEnd w:id="87"/>
          </w:p>
          <w:p>
            <w:pPr>
              <w:widowControl/>
              <w:spacing w:before="163" w:after="97"/>
              <w:jc w:val="left"/>
              <w:rPr>
                <w:rFonts w:hint="eastAsia" w:cs="宋体" w:asciiTheme="minorEastAsia" w:hAnsiTheme="minorEastAsia"/>
                <w:szCs w:val="21"/>
              </w:rPr>
            </w:pPr>
            <w:r>
              <w:rPr>
                <w:rFonts w:hint="eastAsia" w:cs="宋体" w:asciiTheme="minorEastAsia" w:hAnsiTheme="minorEastAsia"/>
                <w:szCs w:val="21"/>
              </w:rPr>
              <w:t>2）防烟楼梯间及前室每层均设置余压阀泄压，得80分；</w:t>
            </w:r>
          </w:p>
          <w:p>
            <w:pPr>
              <w:widowControl/>
              <w:spacing w:before="163" w:after="97"/>
              <w:jc w:val="left"/>
              <w:rPr>
                <w:rFonts w:hint="eastAsia" w:cs="宋体" w:asciiTheme="minorEastAsia" w:hAnsiTheme="minorEastAsia"/>
                <w:szCs w:val="21"/>
              </w:rPr>
            </w:pPr>
            <w:r>
              <w:rPr>
                <w:rFonts w:hint="eastAsia" w:cs="宋体" w:asciiTheme="minorEastAsia" w:hAnsiTheme="minorEastAsia"/>
                <w:szCs w:val="21"/>
              </w:rPr>
              <w:t>3）仅在机械加压送风机的送风主管设置旁通装置泄压，得60分。</w:t>
            </w:r>
          </w:p>
        </w:tc>
        <w:tc>
          <w:tcPr>
            <w:tcW w:w="791" w:type="dxa"/>
            <w:vAlign w:val="center"/>
          </w:tcPr>
          <w:p>
            <w:pPr>
              <w:widowControl/>
              <w:spacing w:before="163" w:after="97"/>
              <w:jc w:val="center"/>
              <w:rPr>
                <w:rFonts w:hint="eastAsia" w:ascii="宋体" w:hAnsi="宋体" w:cs="宋体"/>
                <w:szCs w:val="21"/>
              </w:rPr>
            </w:pPr>
            <w:r>
              <w:rPr>
                <w:rFonts w:hint="eastAsia" w:cs="宋体" w:asciiTheme="minorEastAsia" w:hAnsiTheme="minorEastAsia"/>
                <w:szCs w:val="21"/>
              </w:rPr>
              <w:t>0.15</w:t>
            </w:r>
          </w:p>
        </w:tc>
        <w:tc>
          <w:tcPr>
            <w:tcW w:w="3745" w:type="dxa"/>
            <w:vAlign w:val="center"/>
          </w:tcPr>
          <w:p>
            <w:pPr>
              <w:widowControl/>
              <w:spacing w:before="163" w:after="97"/>
              <w:jc w:val="left"/>
              <w:rPr>
                <w:rFonts w:hint="eastAsia" w:ascii="宋体" w:hAnsi="宋体" w:cs="宋体"/>
                <w:szCs w:val="21"/>
              </w:rPr>
            </w:pPr>
            <w:r>
              <w:rPr>
                <w:rFonts w:hint="eastAsia" w:ascii="宋体" w:hAnsi="宋体" w:cs="宋体"/>
                <w:szCs w:val="21"/>
              </w:rPr>
              <w:t>当系统设计的余压值超过最大允许压力差时，应采取泄压措施。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2" w:hRule="atLeast"/>
          <w:jc w:val="center"/>
        </w:trPr>
        <w:tc>
          <w:tcPr>
            <w:tcW w:w="704" w:type="dxa"/>
            <w:noWrap/>
            <w:vAlign w:val="center"/>
          </w:tcPr>
          <w:p>
            <w:pPr>
              <w:widowControl/>
              <w:spacing w:before="163" w:after="97"/>
              <w:jc w:val="center"/>
              <w:rPr>
                <w:rFonts w:hint="eastAsia" w:cs="宋体" w:asciiTheme="minorEastAsia" w:hAnsiTheme="minorEastAsia"/>
                <w:b/>
                <w:bCs/>
                <w:szCs w:val="21"/>
              </w:rPr>
            </w:pPr>
            <w:r>
              <w:rPr>
                <w:rFonts w:hint="eastAsia" w:cs="宋体" w:asciiTheme="minorEastAsia" w:hAnsiTheme="minorEastAsia"/>
                <w:b/>
                <w:bCs/>
                <w:szCs w:val="21"/>
              </w:rPr>
              <w:t>6</w:t>
            </w:r>
          </w:p>
        </w:tc>
        <w:tc>
          <w:tcPr>
            <w:tcW w:w="1701" w:type="dxa"/>
            <w:vAlign w:val="center"/>
          </w:tcPr>
          <w:p>
            <w:pPr>
              <w:widowControl/>
              <w:spacing w:before="163" w:after="97"/>
              <w:jc w:val="center"/>
              <w:rPr>
                <w:rFonts w:hint="eastAsia" w:cs="宋体" w:asciiTheme="minorEastAsia" w:hAnsiTheme="minorEastAsia"/>
                <w:szCs w:val="21"/>
              </w:rPr>
            </w:pPr>
            <w:bookmarkStart w:id="88" w:name="OLE_LINK15"/>
            <w:r>
              <w:rPr>
                <w:rFonts w:hint="eastAsia" w:cs="宋体" w:asciiTheme="minorEastAsia" w:hAnsiTheme="minorEastAsia"/>
                <w:szCs w:val="21"/>
              </w:rPr>
              <w:t>机械加压送风</w:t>
            </w:r>
            <w:bookmarkEnd w:id="88"/>
            <w:r>
              <w:rPr>
                <w:rFonts w:hint="eastAsia" w:cs="宋体" w:asciiTheme="minorEastAsia" w:hAnsiTheme="minorEastAsia"/>
                <w:szCs w:val="21"/>
              </w:rPr>
              <w:t>设备材料</w:t>
            </w:r>
          </w:p>
        </w:tc>
        <w:tc>
          <w:tcPr>
            <w:tcW w:w="1276" w:type="dxa"/>
            <w:vAlign w:val="center"/>
          </w:tcPr>
          <w:p>
            <w:pPr>
              <w:pStyle w:val="23"/>
              <w:widowControl/>
              <w:spacing w:before="163" w:after="97"/>
              <w:ind w:left="2" w:hanging="2" w:firstLineChars="0"/>
              <w:jc w:val="left"/>
              <w:rPr>
                <w:rFonts w:hint="eastAsia" w:cs="Times New Roman" w:asciiTheme="minorEastAsia" w:hAnsiTheme="minorEastAsia"/>
                <w:szCs w:val="21"/>
              </w:rPr>
            </w:pPr>
            <w:r>
              <w:rPr>
                <w:rFonts w:hint="eastAsia" w:cs="宋体" w:asciiTheme="minorEastAsia" w:hAnsiTheme="minorEastAsia"/>
                <w:szCs w:val="21"/>
              </w:rPr>
              <w:t>设计选用的产品级别占比</w:t>
            </w:r>
          </w:p>
        </w:tc>
        <w:tc>
          <w:tcPr>
            <w:tcW w:w="5670" w:type="dxa"/>
            <w:vAlign w:val="center"/>
          </w:tcPr>
          <w:p>
            <w:pPr>
              <w:pStyle w:val="23"/>
              <w:widowControl/>
              <w:spacing w:before="163" w:after="97"/>
              <w:ind w:left="2" w:firstLine="480"/>
              <w:jc w:val="left"/>
              <w:rPr>
                <w:rFonts w:hint="eastAsia" w:cs="宋体" w:asciiTheme="minorEastAsia" w:hAnsiTheme="minorEastAsia"/>
                <w:szCs w:val="21"/>
              </w:rPr>
            </w:pPr>
            <w:r>
              <w:rPr>
                <w:rFonts w:hint="eastAsia" w:cs="宋体" w:asciiTheme="minorEastAsia" w:hAnsiTheme="minorEastAsia"/>
                <w:szCs w:val="21"/>
              </w:rPr>
              <w:t>1、选择A级可靠性的</w:t>
            </w:r>
            <w:bookmarkStart w:id="89" w:name="OLE_LINK24"/>
            <w:r>
              <w:rPr>
                <w:rFonts w:hint="eastAsia" w:cs="宋体" w:asciiTheme="minorEastAsia" w:hAnsiTheme="minorEastAsia"/>
                <w:szCs w:val="21"/>
              </w:rPr>
              <w:t>机械加压送风风机、防火阀、正压送风阀及管道等占比80%以上</w:t>
            </w:r>
            <w:bookmarkEnd w:id="89"/>
            <w:bookmarkStart w:id="90" w:name="OLE_LINK14"/>
            <w:r>
              <w:rPr>
                <w:rFonts w:hint="eastAsia" w:cs="宋体" w:asciiTheme="minorEastAsia" w:hAnsiTheme="minorEastAsia"/>
                <w:szCs w:val="21"/>
              </w:rPr>
              <w:t>，得100分；</w:t>
            </w:r>
            <w:bookmarkEnd w:id="90"/>
          </w:p>
          <w:p>
            <w:pPr>
              <w:pStyle w:val="23"/>
              <w:widowControl/>
              <w:spacing w:before="163" w:after="97"/>
              <w:ind w:left="2" w:firstLine="480"/>
              <w:jc w:val="left"/>
              <w:rPr>
                <w:rFonts w:hint="eastAsia" w:cs="宋体" w:asciiTheme="minorEastAsia" w:hAnsiTheme="minorEastAsia"/>
                <w:szCs w:val="21"/>
              </w:rPr>
            </w:pPr>
            <w:r>
              <w:rPr>
                <w:rFonts w:hint="eastAsia" w:cs="宋体" w:asciiTheme="minorEastAsia" w:hAnsiTheme="minorEastAsia"/>
                <w:szCs w:val="21"/>
              </w:rPr>
              <w:t>2、选择B级可靠性的机械加压送风风机、防火阀、正压送风阀及管道等占比80%以上，得80分；</w:t>
            </w:r>
          </w:p>
          <w:p>
            <w:pPr>
              <w:widowControl/>
              <w:spacing w:before="163" w:after="97"/>
              <w:jc w:val="left"/>
              <w:rPr>
                <w:rFonts w:hint="eastAsia" w:cs="宋体" w:asciiTheme="minorEastAsia" w:hAnsiTheme="minorEastAsia"/>
                <w:szCs w:val="21"/>
              </w:rPr>
            </w:pPr>
            <w:r>
              <w:rPr>
                <w:rFonts w:hint="eastAsia" w:cs="宋体" w:asciiTheme="minorEastAsia" w:hAnsiTheme="minorEastAsia"/>
                <w:szCs w:val="21"/>
              </w:rPr>
              <w:t>3、选择C级可靠性的机械加压送风风机、防火阀、正压送风阀及管道等，得60分。</w:t>
            </w:r>
          </w:p>
        </w:tc>
        <w:tc>
          <w:tcPr>
            <w:tcW w:w="791" w:type="dxa"/>
            <w:vAlign w:val="center"/>
          </w:tcPr>
          <w:p>
            <w:pPr>
              <w:widowControl/>
              <w:spacing w:before="163" w:after="97"/>
              <w:jc w:val="center"/>
              <w:rPr>
                <w:rFonts w:hint="eastAsia" w:ascii="宋体" w:hAnsi="宋体" w:cs="宋体"/>
                <w:szCs w:val="21"/>
              </w:rPr>
            </w:pPr>
            <w:r>
              <w:rPr>
                <w:rFonts w:hint="eastAsia" w:cs="宋体" w:asciiTheme="minorEastAsia" w:hAnsiTheme="minorEastAsia"/>
                <w:szCs w:val="21"/>
              </w:rPr>
              <w:t>0.15</w:t>
            </w:r>
          </w:p>
        </w:tc>
        <w:tc>
          <w:tcPr>
            <w:tcW w:w="3745" w:type="dxa"/>
            <w:vAlign w:val="center"/>
          </w:tcPr>
          <w:p>
            <w:pPr>
              <w:widowControl/>
              <w:spacing w:before="163" w:after="97"/>
              <w:jc w:val="left"/>
              <w:rPr>
                <w:rFonts w:hint="eastAsia" w:ascii="宋体" w:hAnsi="宋体" w:cs="宋体"/>
                <w:szCs w:val="21"/>
              </w:rPr>
            </w:pPr>
            <w:r>
              <w:rPr>
                <w:rFonts w:hint="eastAsia" w:ascii="宋体" w:hAnsi="宋体" w:cs="宋体"/>
                <w:szCs w:val="21"/>
              </w:rPr>
              <w:t>设备材料的可靠性，会对防排烟系统的最终效果产生较大影响，建议从设计阶段根据项目自身特点选择不同产品可靠性级别的自动排烟窗。</w:t>
            </w:r>
          </w:p>
        </w:tc>
      </w:tr>
    </w:tbl>
    <w:p>
      <w:pPr>
        <w:widowControl/>
        <w:spacing w:before="163" w:after="97"/>
        <w:jc w:val="left"/>
        <w:rPr>
          <w:rFonts w:eastAsia="宋体" w:cs="Times New Roman"/>
          <w:szCs w:val="24"/>
        </w:rPr>
      </w:pPr>
    </w:p>
    <w:p>
      <w:pPr>
        <w:widowControl/>
        <w:jc w:val="left"/>
        <w:rPr>
          <w:rFonts w:eastAsia="宋体" w:cs="Times New Roman"/>
          <w:szCs w:val="24"/>
        </w:rPr>
      </w:pPr>
      <w:r>
        <w:rPr>
          <w:rFonts w:eastAsia="宋体" w:cs="Times New Roman"/>
          <w:szCs w:val="24"/>
        </w:rPr>
        <w:br w:type="page"/>
      </w:r>
    </w:p>
    <w:p>
      <w:pPr>
        <w:widowControl/>
        <w:jc w:val="center"/>
        <w:rPr>
          <w:rFonts w:eastAsia="宋体" w:cs="Times New Roman"/>
          <w:b/>
          <w:bCs/>
          <w:szCs w:val="24"/>
        </w:rPr>
      </w:pPr>
      <w:bookmarkStart w:id="91" w:name="OLE_LINK40"/>
      <w:r>
        <w:rPr>
          <w:rFonts w:hint="eastAsia" w:ascii="宋体" w:hAnsi="宋体" w:eastAsia="宋体" w:cs="Times New Roman"/>
          <w:b/>
          <w:bCs/>
          <w:szCs w:val="21"/>
        </w:rPr>
        <w:t>表</w:t>
      </w:r>
      <w:r>
        <w:rPr>
          <w:rFonts w:ascii="宋体" w:hAnsi="宋体" w:eastAsia="宋体" w:cs="Times New Roman"/>
          <w:b/>
          <w:bCs/>
          <w:szCs w:val="21"/>
        </w:rPr>
        <w:t>4.2.</w:t>
      </w:r>
      <w:r>
        <w:rPr>
          <w:rFonts w:hint="eastAsia" w:ascii="宋体" w:hAnsi="宋体" w:eastAsia="宋体" w:cs="Times New Roman"/>
          <w:b/>
          <w:bCs/>
          <w:szCs w:val="21"/>
        </w:rPr>
        <w:t>8</w:t>
      </w:r>
      <w:r>
        <w:rPr>
          <w:rFonts w:ascii="宋体" w:hAnsi="宋体" w:eastAsia="宋体" w:cs="Times New Roman"/>
          <w:b/>
          <w:bCs/>
          <w:szCs w:val="21"/>
        </w:rPr>
        <w:t>-</w:t>
      </w:r>
      <w:r>
        <w:rPr>
          <w:rFonts w:hint="eastAsia" w:ascii="宋体" w:hAnsi="宋体" w:eastAsia="宋体" w:cs="Times New Roman"/>
          <w:b/>
          <w:bCs/>
          <w:szCs w:val="21"/>
        </w:rPr>
        <w:t>3</w:t>
      </w:r>
      <w:r>
        <w:rPr>
          <w:rFonts w:hint="eastAsia"/>
          <w:b/>
          <w:bCs/>
        </w:rPr>
        <w:t>自然通风防烟系统</w:t>
      </w:r>
      <w:r>
        <w:rPr>
          <w:b/>
          <w:bCs/>
        </w:rPr>
        <w:t>设计</w:t>
      </w:r>
      <w:r>
        <w:rPr>
          <w:rFonts w:hint="eastAsia" w:ascii="宋体" w:hAnsi="宋体" w:eastAsia="宋体" w:cs="Times New Roman"/>
          <w:b/>
          <w:bCs/>
          <w:szCs w:val="21"/>
        </w:rPr>
        <w:t>评分项评定表</w:t>
      </w:r>
      <w:bookmarkEnd w:id="91"/>
      <w:bookmarkStart w:id="92" w:name="OLE_LINK39"/>
      <w:r>
        <w:rPr>
          <w:rFonts w:hint="eastAsia" w:eastAsia="宋体" w:cs="Times New Roman"/>
          <w:b/>
          <w:bCs/>
          <w:szCs w:val="24"/>
        </w:rPr>
        <w:t>（一级权重因子：X2）</w:t>
      </w:r>
      <w:bookmarkEnd w:id="92"/>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1559"/>
        <w:gridCol w:w="1843"/>
        <w:gridCol w:w="5135"/>
        <w:gridCol w:w="711"/>
        <w:gridCol w:w="38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blHeader/>
          <w:jc w:val="center"/>
        </w:trPr>
        <w:tc>
          <w:tcPr>
            <w:tcW w:w="704" w:type="dxa"/>
            <w:noWrap/>
            <w:vAlign w:val="center"/>
          </w:tcPr>
          <w:p>
            <w:pPr>
              <w:spacing w:before="163" w:after="97"/>
              <w:jc w:val="center"/>
              <w:rPr>
                <w:rFonts w:eastAsia="宋体" w:cs="Times New Roman"/>
                <w:b/>
                <w:bCs/>
                <w:szCs w:val="21"/>
              </w:rPr>
            </w:pPr>
            <w:r>
              <w:rPr>
                <w:rFonts w:hint="eastAsia" w:eastAsia="宋体" w:cs="Times New Roman"/>
                <w:b/>
                <w:bCs/>
                <w:szCs w:val="21"/>
              </w:rPr>
              <w:t>序号</w:t>
            </w:r>
          </w:p>
        </w:tc>
        <w:tc>
          <w:tcPr>
            <w:tcW w:w="1559" w:type="dxa"/>
            <w:noWrap/>
            <w:vAlign w:val="center"/>
          </w:tcPr>
          <w:p>
            <w:pPr>
              <w:spacing w:before="163" w:after="97"/>
              <w:jc w:val="center"/>
              <w:rPr>
                <w:rFonts w:eastAsia="宋体" w:cs="Times New Roman"/>
                <w:b/>
                <w:bCs/>
                <w:szCs w:val="21"/>
              </w:rPr>
            </w:pPr>
            <w:r>
              <w:rPr>
                <w:rFonts w:hint="eastAsia" w:eastAsia="宋体" w:cs="Times New Roman"/>
                <w:b/>
                <w:bCs/>
                <w:szCs w:val="21"/>
              </w:rPr>
              <w:t>评定指标</w:t>
            </w:r>
          </w:p>
        </w:tc>
        <w:tc>
          <w:tcPr>
            <w:tcW w:w="1843" w:type="dxa"/>
            <w:vAlign w:val="center"/>
          </w:tcPr>
          <w:p>
            <w:pPr>
              <w:spacing w:before="163" w:after="97"/>
              <w:jc w:val="center"/>
              <w:rPr>
                <w:rFonts w:eastAsia="宋体" w:cs="Times New Roman"/>
                <w:b/>
                <w:bCs/>
                <w:szCs w:val="21"/>
              </w:rPr>
            </w:pPr>
            <w:r>
              <w:rPr>
                <w:rFonts w:hint="eastAsia" w:eastAsia="宋体" w:cs="Times New Roman"/>
                <w:b/>
                <w:bCs/>
                <w:szCs w:val="21"/>
              </w:rPr>
              <w:t>评分项</w:t>
            </w:r>
          </w:p>
        </w:tc>
        <w:tc>
          <w:tcPr>
            <w:tcW w:w="5135" w:type="dxa"/>
            <w:noWrap/>
            <w:vAlign w:val="center"/>
          </w:tcPr>
          <w:p>
            <w:pPr>
              <w:spacing w:before="163" w:after="97"/>
              <w:jc w:val="center"/>
              <w:rPr>
                <w:rFonts w:eastAsia="宋体" w:cs="Times New Roman"/>
                <w:b/>
                <w:bCs/>
                <w:szCs w:val="21"/>
              </w:rPr>
            </w:pPr>
            <w:r>
              <w:rPr>
                <w:rFonts w:hint="eastAsia" w:eastAsia="宋体" w:cs="Times New Roman"/>
                <w:b/>
                <w:bCs/>
                <w:szCs w:val="21"/>
              </w:rPr>
              <w:t>评定方法</w:t>
            </w:r>
          </w:p>
        </w:tc>
        <w:tc>
          <w:tcPr>
            <w:tcW w:w="711" w:type="dxa"/>
            <w:vAlign w:val="center"/>
          </w:tcPr>
          <w:p>
            <w:pPr>
              <w:spacing w:before="163" w:after="97"/>
              <w:jc w:val="center"/>
              <w:rPr>
                <w:rFonts w:eastAsia="宋体" w:cs="Times New Roman"/>
                <w:b/>
                <w:bCs/>
                <w:szCs w:val="21"/>
              </w:rPr>
            </w:pPr>
            <w:r>
              <w:rPr>
                <w:rFonts w:hint="eastAsia" w:eastAsia="宋体" w:cs="Times New Roman"/>
                <w:b/>
                <w:bCs/>
                <w:szCs w:val="21"/>
              </w:rPr>
              <w:t>权重因子</w:t>
            </w:r>
          </w:p>
        </w:tc>
        <w:tc>
          <w:tcPr>
            <w:tcW w:w="3888" w:type="dxa"/>
            <w:noWrap/>
            <w:vAlign w:val="center"/>
          </w:tcPr>
          <w:p>
            <w:pPr>
              <w:spacing w:before="163" w:after="97"/>
              <w:jc w:val="center"/>
              <w:rPr>
                <w:rFonts w:eastAsia="宋体" w:cs="Times New Roman"/>
                <w:b/>
                <w:bCs/>
                <w:szCs w:val="21"/>
              </w:rPr>
            </w:pPr>
            <w:r>
              <w:rPr>
                <w:rFonts w:hint="eastAsia" w:eastAsia="宋体" w:cs="Times New Roman"/>
                <w:b/>
                <w:bCs/>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2" w:hRule="atLeast"/>
          <w:jc w:val="center"/>
        </w:trPr>
        <w:tc>
          <w:tcPr>
            <w:tcW w:w="704" w:type="dxa"/>
            <w:noWrap/>
            <w:vAlign w:val="center"/>
          </w:tcPr>
          <w:p>
            <w:pPr>
              <w:widowControl/>
              <w:spacing w:before="163" w:after="97"/>
              <w:jc w:val="center"/>
              <w:rPr>
                <w:rFonts w:hint="eastAsia" w:cs="宋体" w:asciiTheme="minorEastAsia" w:hAnsiTheme="minorEastAsia"/>
                <w:b/>
                <w:bCs/>
                <w:szCs w:val="21"/>
              </w:rPr>
            </w:pPr>
            <w:bookmarkStart w:id="93" w:name="_Hlk203731197"/>
            <w:r>
              <w:rPr>
                <w:rFonts w:hint="eastAsia" w:cs="宋体" w:asciiTheme="minorEastAsia" w:hAnsiTheme="minorEastAsia"/>
                <w:b/>
                <w:bCs/>
                <w:szCs w:val="21"/>
              </w:rPr>
              <w:t>1</w:t>
            </w:r>
          </w:p>
        </w:tc>
        <w:tc>
          <w:tcPr>
            <w:tcW w:w="1559" w:type="dxa"/>
            <w:vAlign w:val="center"/>
          </w:tcPr>
          <w:p>
            <w:pPr>
              <w:widowControl/>
              <w:spacing w:before="163" w:after="97"/>
              <w:jc w:val="left"/>
              <w:rPr>
                <w:rFonts w:hint="eastAsia" w:cs="宋体" w:asciiTheme="minorEastAsia" w:hAnsiTheme="minorEastAsia"/>
                <w:szCs w:val="21"/>
              </w:rPr>
            </w:pPr>
            <w:r>
              <w:rPr>
                <w:rFonts w:hint="eastAsia" w:cs="宋体" w:asciiTheme="minorEastAsia" w:hAnsiTheme="minorEastAsia"/>
                <w:szCs w:val="21"/>
              </w:rPr>
              <w:t>自然通风防烟系统计算书</w:t>
            </w:r>
          </w:p>
        </w:tc>
        <w:tc>
          <w:tcPr>
            <w:tcW w:w="1843" w:type="dxa"/>
            <w:vAlign w:val="center"/>
          </w:tcPr>
          <w:p>
            <w:pPr>
              <w:pStyle w:val="23"/>
              <w:widowControl/>
              <w:spacing w:before="163" w:after="97"/>
              <w:ind w:firstLine="480"/>
              <w:jc w:val="left"/>
              <w:rPr>
                <w:rFonts w:hint="eastAsia" w:cs="宋体" w:asciiTheme="minorEastAsia" w:hAnsiTheme="minorEastAsia"/>
                <w:szCs w:val="21"/>
              </w:rPr>
            </w:pPr>
            <w:r>
              <w:rPr>
                <w:rFonts w:hint="eastAsia" w:cs="宋体" w:asciiTheme="minorEastAsia" w:hAnsiTheme="minorEastAsia"/>
                <w:szCs w:val="21"/>
              </w:rPr>
              <w:t>可开启外窗或开口有效面积计算的准确率</w:t>
            </w:r>
          </w:p>
        </w:tc>
        <w:tc>
          <w:tcPr>
            <w:tcW w:w="5135" w:type="dxa"/>
            <w:vAlign w:val="center"/>
          </w:tcPr>
          <w:p>
            <w:pPr>
              <w:widowControl/>
              <w:spacing w:before="163" w:after="97"/>
              <w:jc w:val="left"/>
              <w:rPr>
                <w:rFonts w:hint="eastAsia" w:cs="宋体" w:asciiTheme="minorEastAsia" w:hAnsiTheme="minorEastAsia"/>
                <w:szCs w:val="21"/>
              </w:rPr>
            </w:pPr>
            <w:r>
              <w:rPr>
                <w:rFonts w:hint="eastAsia" w:cs="宋体" w:asciiTheme="minorEastAsia" w:hAnsiTheme="minorEastAsia"/>
                <w:szCs w:val="21"/>
              </w:rPr>
              <w:t>符合规范要求的可开启外窗或开口有效面积计算的准确率：</w:t>
            </w:r>
          </w:p>
          <w:p>
            <w:pPr>
              <w:widowControl/>
              <w:spacing w:before="163" w:after="97"/>
              <w:jc w:val="left"/>
              <w:rPr>
                <w:rFonts w:hint="eastAsia" w:cs="宋体" w:asciiTheme="minorEastAsia" w:hAnsiTheme="minorEastAsia"/>
                <w:szCs w:val="21"/>
              </w:rPr>
            </w:pPr>
            <w:r>
              <w:rPr>
                <w:rFonts w:hint="eastAsia" w:cs="宋体" w:asciiTheme="minorEastAsia" w:hAnsiTheme="minorEastAsia"/>
                <w:szCs w:val="21"/>
              </w:rPr>
              <w:t>1 准确率100%，得100分；</w:t>
            </w:r>
          </w:p>
          <w:p>
            <w:pPr>
              <w:widowControl/>
              <w:spacing w:before="163" w:after="97"/>
              <w:jc w:val="left"/>
              <w:rPr>
                <w:rFonts w:hint="eastAsia" w:cs="宋体" w:asciiTheme="minorEastAsia" w:hAnsiTheme="minorEastAsia"/>
                <w:szCs w:val="21"/>
              </w:rPr>
            </w:pPr>
            <w:r>
              <w:rPr>
                <w:rFonts w:hint="eastAsia" w:cs="宋体" w:asciiTheme="minorEastAsia" w:hAnsiTheme="minorEastAsia"/>
                <w:szCs w:val="21"/>
              </w:rPr>
              <w:t>2 90%≤准确率＜100%，得80分；</w:t>
            </w:r>
          </w:p>
          <w:p>
            <w:pPr>
              <w:widowControl/>
              <w:spacing w:before="163" w:after="97"/>
              <w:jc w:val="left"/>
              <w:rPr>
                <w:rFonts w:hint="eastAsia" w:cs="宋体" w:asciiTheme="minorEastAsia" w:hAnsiTheme="minorEastAsia"/>
                <w:szCs w:val="21"/>
              </w:rPr>
            </w:pPr>
            <w:r>
              <w:rPr>
                <w:rFonts w:hint="eastAsia" w:cs="宋体" w:asciiTheme="minorEastAsia" w:hAnsiTheme="minorEastAsia"/>
                <w:szCs w:val="21"/>
              </w:rPr>
              <w:t>3 80%≤准确率＜90%，得60分。</w:t>
            </w:r>
          </w:p>
        </w:tc>
        <w:tc>
          <w:tcPr>
            <w:tcW w:w="711" w:type="dxa"/>
            <w:vAlign w:val="center"/>
          </w:tcPr>
          <w:p>
            <w:pPr>
              <w:widowControl/>
              <w:spacing w:before="163" w:after="97"/>
              <w:jc w:val="center"/>
              <w:rPr>
                <w:rFonts w:hint="eastAsia" w:ascii="宋体" w:hAnsi="宋体" w:cs="宋体"/>
                <w:szCs w:val="21"/>
              </w:rPr>
            </w:pPr>
            <w:r>
              <w:rPr>
                <w:rFonts w:hint="eastAsia" w:cs="宋体" w:asciiTheme="minorEastAsia" w:hAnsiTheme="minorEastAsia"/>
                <w:szCs w:val="21"/>
              </w:rPr>
              <w:t>0.6</w:t>
            </w:r>
          </w:p>
        </w:tc>
        <w:tc>
          <w:tcPr>
            <w:tcW w:w="3888" w:type="dxa"/>
            <w:vAlign w:val="center"/>
          </w:tcPr>
          <w:p>
            <w:pPr>
              <w:widowControl/>
              <w:spacing w:before="163" w:after="97"/>
              <w:jc w:val="left"/>
              <w:rPr>
                <w:rFonts w:hint="eastAsia" w:ascii="宋体" w:hAnsi="宋体" w:cs="宋体"/>
                <w:szCs w:val="21"/>
              </w:rPr>
            </w:pPr>
            <w:r>
              <w:rPr>
                <w:rFonts w:hint="eastAsia" w:ascii="宋体" w:hAnsi="宋体" w:cs="宋体"/>
                <w:szCs w:val="21"/>
              </w:rPr>
              <w:t>为保证自然通风防烟的可靠性，设计计算可开启外窗或开口的面积时，应对其设置位置、开启方式、有效面积、空气对流效果等因素综合考虑，以保证计算的准确性。</w:t>
            </w:r>
          </w:p>
        </w:tc>
      </w:tr>
      <w:bookmarkEnd w:id="9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2" w:hRule="atLeast"/>
          <w:jc w:val="center"/>
        </w:trPr>
        <w:tc>
          <w:tcPr>
            <w:tcW w:w="704" w:type="dxa"/>
            <w:noWrap/>
            <w:vAlign w:val="center"/>
          </w:tcPr>
          <w:p>
            <w:pPr>
              <w:widowControl/>
              <w:spacing w:before="163" w:after="97"/>
              <w:jc w:val="center"/>
              <w:rPr>
                <w:rFonts w:hint="eastAsia" w:cs="宋体" w:asciiTheme="minorEastAsia" w:hAnsiTheme="minorEastAsia"/>
                <w:b/>
                <w:bCs/>
                <w:szCs w:val="21"/>
              </w:rPr>
            </w:pPr>
            <w:r>
              <w:rPr>
                <w:rFonts w:hint="eastAsia" w:cs="宋体" w:asciiTheme="minorEastAsia" w:hAnsiTheme="minorEastAsia"/>
                <w:b/>
                <w:bCs/>
                <w:szCs w:val="21"/>
              </w:rPr>
              <w:t>2</w:t>
            </w:r>
          </w:p>
        </w:tc>
        <w:tc>
          <w:tcPr>
            <w:tcW w:w="1559" w:type="dxa"/>
            <w:vAlign w:val="center"/>
          </w:tcPr>
          <w:p>
            <w:pPr>
              <w:widowControl/>
              <w:spacing w:before="163" w:after="97"/>
              <w:jc w:val="left"/>
              <w:rPr>
                <w:rFonts w:hint="eastAsia" w:cs="宋体" w:asciiTheme="minorEastAsia" w:hAnsiTheme="minorEastAsia"/>
                <w:szCs w:val="21"/>
              </w:rPr>
            </w:pPr>
            <w:r>
              <w:rPr>
                <w:rFonts w:hint="eastAsia" w:cs="宋体" w:asciiTheme="minorEastAsia" w:hAnsiTheme="minorEastAsia"/>
                <w:szCs w:val="21"/>
              </w:rPr>
              <w:t>自然通风防烟设计选用的产品级别</w:t>
            </w:r>
          </w:p>
        </w:tc>
        <w:tc>
          <w:tcPr>
            <w:tcW w:w="1843" w:type="dxa"/>
            <w:vAlign w:val="center"/>
          </w:tcPr>
          <w:p>
            <w:pPr>
              <w:pStyle w:val="23"/>
              <w:widowControl/>
              <w:spacing w:before="163" w:after="97"/>
              <w:ind w:firstLine="480"/>
              <w:jc w:val="left"/>
              <w:rPr>
                <w:rFonts w:hint="eastAsia" w:cs="Times New Roman" w:asciiTheme="minorEastAsia" w:hAnsiTheme="minorEastAsia"/>
                <w:szCs w:val="21"/>
              </w:rPr>
            </w:pPr>
            <w:r>
              <w:rPr>
                <w:rFonts w:hint="eastAsia" w:cs="宋体" w:asciiTheme="minorEastAsia" w:hAnsiTheme="minorEastAsia"/>
                <w:szCs w:val="21"/>
              </w:rPr>
              <w:t>设计选用的产品级别占比</w:t>
            </w:r>
          </w:p>
        </w:tc>
        <w:tc>
          <w:tcPr>
            <w:tcW w:w="5135" w:type="dxa"/>
            <w:vAlign w:val="center"/>
          </w:tcPr>
          <w:p>
            <w:pPr>
              <w:pStyle w:val="23"/>
              <w:widowControl/>
              <w:spacing w:before="163" w:after="97"/>
              <w:ind w:firstLine="0" w:firstLineChars="0"/>
              <w:rPr>
                <w:rFonts w:hint="eastAsia" w:cs="宋体" w:asciiTheme="minorEastAsia" w:hAnsiTheme="minorEastAsia"/>
                <w:szCs w:val="21"/>
              </w:rPr>
            </w:pPr>
            <w:r>
              <w:rPr>
                <w:rFonts w:hint="eastAsia" w:cs="宋体" w:asciiTheme="minorEastAsia" w:hAnsiTheme="minorEastAsia"/>
                <w:szCs w:val="21"/>
              </w:rPr>
              <w:t>1 自动排烟窗选择A级可靠性占比80%以上的，得100分；</w:t>
            </w:r>
          </w:p>
          <w:p>
            <w:pPr>
              <w:pStyle w:val="23"/>
              <w:widowControl/>
              <w:spacing w:before="163" w:after="97"/>
              <w:ind w:firstLine="0" w:firstLineChars="0"/>
              <w:rPr>
                <w:rFonts w:hint="eastAsia" w:cs="宋体" w:asciiTheme="minorEastAsia" w:hAnsiTheme="minorEastAsia"/>
                <w:szCs w:val="21"/>
              </w:rPr>
            </w:pPr>
            <w:r>
              <w:rPr>
                <w:rFonts w:hint="eastAsia" w:cs="宋体" w:asciiTheme="minorEastAsia" w:hAnsiTheme="minorEastAsia"/>
                <w:szCs w:val="21"/>
              </w:rPr>
              <w:t>2 自动排烟窗选择B级可靠性占比80%以上的，得80分；</w:t>
            </w:r>
          </w:p>
          <w:p>
            <w:pPr>
              <w:pStyle w:val="23"/>
              <w:widowControl/>
              <w:spacing w:before="163" w:after="97"/>
              <w:ind w:firstLine="0" w:firstLineChars="0"/>
              <w:rPr>
                <w:rFonts w:hint="eastAsia" w:cs="宋体" w:asciiTheme="minorEastAsia" w:hAnsiTheme="minorEastAsia"/>
                <w:szCs w:val="21"/>
              </w:rPr>
            </w:pPr>
            <w:r>
              <w:rPr>
                <w:rFonts w:hint="eastAsia" w:cs="宋体" w:asciiTheme="minorEastAsia" w:hAnsiTheme="minorEastAsia"/>
                <w:szCs w:val="21"/>
              </w:rPr>
              <w:t>3 自动排烟窗选择C级可靠性的或全部采用手动可开启外窗，得60分。</w:t>
            </w:r>
          </w:p>
        </w:tc>
        <w:tc>
          <w:tcPr>
            <w:tcW w:w="711" w:type="dxa"/>
            <w:vAlign w:val="center"/>
          </w:tcPr>
          <w:p>
            <w:pPr>
              <w:widowControl/>
              <w:spacing w:before="163" w:after="97"/>
              <w:jc w:val="center"/>
              <w:rPr>
                <w:rFonts w:hint="eastAsia" w:ascii="宋体" w:hAnsi="宋体" w:cs="宋体"/>
                <w:szCs w:val="21"/>
              </w:rPr>
            </w:pPr>
            <w:r>
              <w:rPr>
                <w:rFonts w:hint="eastAsia" w:cs="宋体" w:asciiTheme="minorEastAsia" w:hAnsiTheme="minorEastAsia"/>
                <w:szCs w:val="21"/>
              </w:rPr>
              <w:t>0.4</w:t>
            </w:r>
          </w:p>
        </w:tc>
        <w:tc>
          <w:tcPr>
            <w:tcW w:w="3888" w:type="dxa"/>
            <w:vAlign w:val="center"/>
          </w:tcPr>
          <w:p>
            <w:pPr>
              <w:widowControl/>
              <w:spacing w:before="163" w:after="97"/>
              <w:jc w:val="left"/>
              <w:rPr>
                <w:rFonts w:hint="eastAsia" w:ascii="宋体" w:hAnsi="宋体" w:cs="宋体"/>
                <w:szCs w:val="21"/>
              </w:rPr>
            </w:pPr>
            <w:r>
              <w:rPr>
                <w:rFonts w:hint="eastAsia" w:ascii="宋体" w:hAnsi="宋体" w:cs="宋体"/>
                <w:szCs w:val="21"/>
              </w:rPr>
              <w:t>设备材料的可靠性，会对防排烟系统的最终效果产生较大影响，建议从设计阶段根据项目自身特点选择不同产品可靠性级别的自动排烟窗。</w:t>
            </w:r>
          </w:p>
        </w:tc>
      </w:tr>
    </w:tbl>
    <w:p>
      <w:pPr>
        <w:widowControl/>
        <w:spacing w:before="163" w:after="97"/>
        <w:jc w:val="center"/>
        <w:rPr>
          <w:rFonts w:eastAsia="宋体" w:cs="Times New Roman"/>
          <w:b/>
          <w:bCs/>
          <w:szCs w:val="24"/>
        </w:rPr>
      </w:pPr>
      <w:bookmarkStart w:id="94" w:name="OLE_LINK41"/>
      <w:r>
        <w:rPr>
          <w:rFonts w:hint="eastAsia" w:eastAsia="宋体" w:cs="Times New Roman"/>
          <w:b/>
          <w:bCs/>
          <w:szCs w:val="24"/>
        </w:rPr>
        <w:t>表4.2.8-4机械排烟系统设计评分项评定表</w:t>
      </w:r>
      <w:bookmarkEnd w:id="94"/>
      <w:r>
        <w:rPr>
          <w:rFonts w:hint="eastAsia" w:eastAsia="宋体" w:cs="Times New Roman"/>
          <w:b/>
          <w:bCs/>
          <w:szCs w:val="24"/>
        </w:rPr>
        <w:t>（一级权重因子：X3）</w:t>
      </w:r>
    </w:p>
    <w:tbl>
      <w:tblPr>
        <w:tblStyle w:val="18"/>
        <w:tblW w:w="139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1418"/>
        <w:gridCol w:w="1984"/>
        <w:gridCol w:w="4961"/>
        <w:gridCol w:w="709"/>
        <w:gridCol w:w="42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blHeader/>
          <w:jc w:val="center"/>
        </w:trPr>
        <w:tc>
          <w:tcPr>
            <w:tcW w:w="704" w:type="dxa"/>
            <w:noWrap/>
            <w:vAlign w:val="center"/>
          </w:tcPr>
          <w:p>
            <w:pPr>
              <w:spacing w:before="163" w:after="97"/>
              <w:jc w:val="center"/>
              <w:rPr>
                <w:rFonts w:eastAsia="宋体" w:cs="Times New Roman"/>
                <w:b/>
                <w:bCs/>
                <w:szCs w:val="21"/>
              </w:rPr>
            </w:pPr>
            <w:r>
              <w:rPr>
                <w:rFonts w:hint="eastAsia" w:eastAsia="宋体" w:cs="Times New Roman"/>
                <w:b/>
                <w:bCs/>
                <w:szCs w:val="21"/>
              </w:rPr>
              <w:t>序号</w:t>
            </w:r>
          </w:p>
        </w:tc>
        <w:tc>
          <w:tcPr>
            <w:tcW w:w="1418" w:type="dxa"/>
            <w:noWrap/>
            <w:vAlign w:val="center"/>
          </w:tcPr>
          <w:p>
            <w:pPr>
              <w:spacing w:before="163" w:after="97"/>
              <w:jc w:val="center"/>
              <w:rPr>
                <w:rFonts w:eastAsia="宋体" w:cs="Times New Roman"/>
                <w:b/>
                <w:bCs/>
                <w:szCs w:val="21"/>
              </w:rPr>
            </w:pPr>
            <w:r>
              <w:rPr>
                <w:rFonts w:hint="eastAsia" w:eastAsia="宋体" w:cs="Times New Roman"/>
                <w:b/>
                <w:bCs/>
                <w:szCs w:val="21"/>
              </w:rPr>
              <w:t>评定指标</w:t>
            </w:r>
          </w:p>
        </w:tc>
        <w:tc>
          <w:tcPr>
            <w:tcW w:w="1984" w:type="dxa"/>
            <w:vAlign w:val="center"/>
          </w:tcPr>
          <w:p>
            <w:pPr>
              <w:spacing w:before="163" w:after="97"/>
              <w:jc w:val="center"/>
              <w:rPr>
                <w:rFonts w:eastAsia="宋体" w:cs="Times New Roman"/>
                <w:b/>
                <w:bCs/>
                <w:szCs w:val="21"/>
              </w:rPr>
            </w:pPr>
            <w:r>
              <w:rPr>
                <w:rFonts w:hint="eastAsia" w:eastAsia="宋体" w:cs="Times New Roman"/>
                <w:b/>
                <w:bCs/>
                <w:szCs w:val="21"/>
              </w:rPr>
              <w:t>评分项</w:t>
            </w:r>
          </w:p>
        </w:tc>
        <w:tc>
          <w:tcPr>
            <w:tcW w:w="4961" w:type="dxa"/>
            <w:noWrap/>
            <w:vAlign w:val="center"/>
          </w:tcPr>
          <w:p>
            <w:pPr>
              <w:spacing w:before="163" w:after="97"/>
              <w:jc w:val="center"/>
              <w:rPr>
                <w:rFonts w:eastAsia="宋体" w:cs="Times New Roman"/>
                <w:b/>
                <w:bCs/>
                <w:szCs w:val="21"/>
              </w:rPr>
            </w:pPr>
            <w:r>
              <w:rPr>
                <w:rFonts w:hint="eastAsia" w:eastAsia="宋体" w:cs="Times New Roman"/>
                <w:b/>
                <w:bCs/>
                <w:szCs w:val="21"/>
              </w:rPr>
              <w:t>评定方法</w:t>
            </w:r>
          </w:p>
        </w:tc>
        <w:tc>
          <w:tcPr>
            <w:tcW w:w="709" w:type="dxa"/>
          </w:tcPr>
          <w:p>
            <w:pPr>
              <w:spacing w:before="163" w:after="97"/>
              <w:jc w:val="center"/>
              <w:rPr>
                <w:rFonts w:eastAsia="宋体" w:cs="Times New Roman"/>
                <w:b/>
                <w:bCs/>
                <w:szCs w:val="21"/>
              </w:rPr>
            </w:pPr>
            <w:r>
              <w:rPr>
                <w:rFonts w:hint="eastAsia" w:eastAsia="宋体" w:cs="Times New Roman"/>
                <w:b/>
                <w:bCs/>
                <w:szCs w:val="21"/>
              </w:rPr>
              <w:t>权重因子</w:t>
            </w:r>
          </w:p>
        </w:tc>
        <w:tc>
          <w:tcPr>
            <w:tcW w:w="4204" w:type="dxa"/>
            <w:noWrap/>
            <w:vAlign w:val="center"/>
          </w:tcPr>
          <w:p>
            <w:pPr>
              <w:spacing w:before="163" w:after="97"/>
              <w:jc w:val="center"/>
              <w:rPr>
                <w:rFonts w:eastAsia="宋体" w:cs="Times New Roman"/>
                <w:b/>
                <w:bCs/>
                <w:szCs w:val="21"/>
              </w:rPr>
            </w:pPr>
            <w:r>
              <w:rPr>
                <w:rFonts w:hint="eastAsia" w:eastAsia="宋体" w:cs="Times New Roman"/>
                <w:b/>
                <w:bCs/>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2" w:hRule="atLeast"/>
          <w:jc w:val="center"/>
        </w:trPr>
        <w:tc>
          <w:tcPr>
            <w:tcW w:w="704" w:type="dxa"/>
            <w:noWrap/>
            <w:vAlign w:val="center"/>
          </w:tcPr>
          <w:p>
            <w:pPr>
              <w:widowControl/>
              <w:spacing w:before="163" w:after="97"/>
              <w:jc w:val="center"/>
              <w:rPr>
                <w:rFonts w:hint="eastAsia" w:cs="宋体" w:asciiTheme="minorEastAsia" w:hAnsiTheme="minorEastAsia"/>
                <w:b/>
                <w:bCs/>
                <w:szCs w:val="21"/>
              </w:rPr>
            </w:pPr>
            <w:bookmarkStart w:id="95" w:name="_Hlk203641008"/>
            <w:r>
              <w:rPr>
                <w:rFonts w:hint="eastAsia" w:cs="宋体" w:asciiTheme="minorEastAsia" w:hAnsiTheme="minorEastAsia"/>
                <w:b/>
                <w:bCs/>
                <w:szCs w:val="21"/>
              </w:rPr>
              <w:t>1</w:t>
            </w:r>
          </w:p>
        </w:tc>
        <w:tc>
          <w:tcPr>
            <w:tcW w:w="1418" w:type="dxa"/>
            <w:vAlign w:val="center"/>
          </w:tcPr>
          <w:p>
            <w:pPr>
              <w:widowControl/>
              <w:spacing w:before="163" w:after="97"/>
              <w:jc w:val="left"/>
              <w:rPr>
                <w:rFonts w:hint="eastAsia" w:cs="宋体" w:asciiTheme="minorEastAsia" w:hAnsiTheme="minorEastAsia"/>
                <w:szCs w:val="21"/>
              </w:rPr>
            </w:pPr>
            <w:r>
              <w:rPr>
                <w:rFonts w:hint="eastAsia" w:cs="宋体" w:asciiTheme="minorEastAsia" w:hAnsiTheme="minorEastAsia"/>
                <w:szCs w:val="21"/>
              </w:rPr>
              <w:t>机械排烟系统设计参数</w:t>
            </w:r>
          </w:p>
        </w:tc>
        <w:tc>
          <w:tcPr>
            <w:tcW w:w="1984" w:type="dxa"/>
            <w:vAlign w:val="center"/>
          </w:tcPr>
          <w:p>
            <w:pPr>
              <w:pStyle w:val="23"/>
              <w:widowControl/>
              <w:spacing w:before="163" w:after="97"/>
              <w:ind w:firstLine="480"/>
              <w:jc w:val="left"/>
              <w:rPr>
                <w:rFonts w:hint="eastAsia" w:cs="宋体" w:asciiTheme="minorEastAsia" w:hAnsiTheme="minorEastAsia"/>
                <w:szCs w:val="21"/>
              </w:rPr>
            </w:pPr>
            <w:r>
              <w:rPr>
                <w:rFonts w:hint="eastAsia" w:cs="宋体" w:asciiTheme="minorEastAsia" w:hAnsiTheme="minorEastAsia"/>
                <w:szCs w:val="21"/>
              </w:rPr>
              <w:t>排烟系统风管干管风速及排烟口设计的合理性</w:t>
            </w:r>
          </w:p>
        </w:tc>
        <w:tc>
          <w:tcPr>
            <w:tcW w:w="4961" w:type="dxa"/>
            <w:vAlign w:val="center"/>
          </w:tcPr>
          <w:p>
            <w:pPr>
              <w:widowControl/>
              <w:spacing w:before="163" w:after="97"/>
              <w:jc w:val="left"/>
              <w:rPr>
                <w:rFonts w:hint="eastAsia" w:cs="宋体" w:asciiTheme="minorEastAsia" w:hAnsiTheme="minorEastAsia"/>
                <w:szCs w:val="21"/>
              </w:rPr>
            </w:pPr>
            <w:r>
              <w:rPr>
                <w:rFonts w:hint="eastAsia" w:cs="宋体" w:asciiTheme="minorEastAsia" w:hAnsiTheme="minorEastAsia"/>
                <w:szCs w:val="21"/>
              </w:rPr>
              <w:t>1 排烟干管风速13～15m/s；排烟风口设计合理且排烟量可调节，得100分；</w:t>
            </w:r>
          </w:p>
          <w:p>
            <w:pPr>
              <w:widowControl/>
              <w:spacing w:before="163" w:after="97"/>
              <w:jc w:val="left"/>
              <w:rPr>
                <w:rFonts w:hint="eastAsia" w:cs="宋体" w:asciiTheme="minorEastAsia" w:hAnsiTheme="minorEastAsia"/>
                <w:szCs w:val="21"/>
              </w:rPr>
            </w:pPr>
            <w:r>
              <w:rPr>
                <w:rFonts w:hint="eastAsia" w:cs="宋体" w:asciiTheme="minorEastAsia" w:hAnsiTheme="minorEastAsia"/>
                <w:szCs w:val="21"/>
              </w:rPr>
              <w:t>2 排烟干管风速15～18m/s；排烟风口布置基本合理，风口风速均在规定设计临界风速内，安装位置不被遮挡，得80分；</w:t>
            </w:r>
          </w:p>
          <w:p>
            <w:pPr>
              <w:widowControl/>
              <w:spacing w:before="163" w:after="97"/>
              <w:jc w:val="left"/>
              <w:rPr>
                <w:rFonts w:hint="eastAsia" w:cs="宋体" w:asciiTheme="minorEastAsia" w:hAnsiTheme="minorEastAsia"/>
                <w:szCs w:val="21"/>
              </w:rPr>
            </w:pPr>
            <w:r>
              <w:rPr>
                <w:rFonts w:hint="eastAsia" w:cs="宋体" w:asciiTheme="minorEastAsia" w:hAnsiTheme="minorEastAsia"/>
                <w:szCs w:val="21"/>
              </w:rPr>
              <w:t>3 排烟干管风速接近20m/s；排烟风口未均匀布置，在只开一个防烟分区排烟口个别排烟口风速超过规定设计临界风速；安装位置有一定的遮挡，得60分。</w:t>
            </w:r>
          </w:p>
        </w:tc>
        <w:tc>
          <w:tcPr>
            <w:tcW w:w="709" w:type="dxa"/>
            <w:vAlign w:val="center"/>
          </w:tcPr>
          <w:p>
            <w:pPr>
              <w:widowControl/>
              <w:spacing w:before="163" w:after="97"/>
              <w:jc w:val="center"/>
              <w:rPr>
                <w:rFonts w:hint="eastAsia" w:cs="宋体" w:asciiTheme="minorEastAsia" w:hAnsiTheme="minorEastAsia"/>
                <w:szCs w:val="21"/>
              </w:rPr>
            </w:pPr>
            <w:r>
              <w:rPr>
                <w:rFonts w:hint="eastAsia" w:cs="宋体" w:asciiTheme="minorEastAsia" w:hAnsiTheme="minorEastAsia"/>
                <w:szCs w:val="21"/>
              </w:rPr>
              <w:t>0.10</w:t>
            </w:r>
          </w:p>
        </w:tc>
        <w:tc>
          <w:tcPr>
            <w:tcW w:w="4204" w:type="dxa"/>
            <w:vAlign w:val="center"/>
          </w:tcPr>
          <w:p>
            <w:pPr>
              <w:widowControl/>
              <w:spacing w:before="163" w:after="97"/>
              <w:jc w:val="left"/>
              <w:rPr>
                <w:rFonts w:hint="eastAsia" w:cs="宋体" w:asciiTheme="minorEastAsia" w:hAnsiTheme="minorEastAsia"/>
                <w:szCs w:val="21"/>
              </w:rPr>
            </w:pPr>
            <w:r>
              <w:rPr>
                <w:rFonts w:hint="eastAsia" w:cs="宋体" w:asciiTheme="minorEastAsia" w:hAnsiTheme="minorEastAsia"/>
                <w:szCs w:val="21"/>
              </w:rPr>
              <w:t>1）排烟系统风量的计算应严格依据相关规范和建筑物的实际使用情况。如果计算不准确，可能导致火灾时无法有效排除烟气，影响人员疏散和救援工作。合理布置排烟口的位置，使其能够有效地覆盖防烟分区。排烟口应远离安全出口和疏散通道，避免烟气对人员疏散造成影响。</w:t>
            </w:r>
          </w:p>
          <w:p>
            <w:pPr>
              <w:widowControl/>
              <w:spacing w:before="163" w:after="97"/>
              <w:jc w:val="left"/>
              <w:rPr>
                <w:rFonts w:hint="eastAsia" w:cs="宋体" w:asciiTheme="minorEastAsia" w:hAnsiTheme="minorEastAsia"/>
                <w:szCs w:val="21"/>
              </w:rPr>
            </w:pPr>
            <w:r>
              <w:rPr>
                <w:rFonts w:hint="eastAsia" w:cs="宋体" w:asciiTheme="minorEastAsia" w:hAnsiTheme="minorEastAsia"/>
                <w:szCs w:val="21"/>
              </w:rPr>
              <w:t>2）需考虑建筑物的面积、高度、用途、人员密度等因素，确保计算出的排烟量足以排除火灾产生的烟气。</w:t>
            </w:r>
          </w:p>
          <w:p>
            <w:pPr>
              <w:widowControl/>
              <w:spacing w:before="163" w:after="97"/>
              <w:jc w:val="left"/>
              <w:rPr>
                <w:rFonts w:hint="eastAsia" w:cs="宋体" w:asciiTheme="minorEastAsia" w:hAnsiTheme="minorEastAsia"/>
                <w:szCs w:val="21"/>
              </w:rPr>
            </w:pPr>
            <w:r>
              <w:rPr>
                <w:rFonts w:hint="eastAsia" w:cs="宋体" w:asciiTheme="minorEastAsia" w:hAnsiTheme="minorEastAsia"/>
                <w:szCs w:val="21"/>
              </w:rPr>
              <w:t>3）检查计算过程中所采用的参数和公式是否正确，有无遗漏或错误。</w:t>
            </w:r>
          </w:p>
        </w:tc>
      </w:tr>
      <w:bookmarkEnd w:id="9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2" w:hRule="atLeast"/>
          <w:jc w:val="center"/>
        </w:trPr>
        <w:tc>
          <w:tcPr>
            <w:tcW w:w="704" w:type="dxa"/>
            <w:noWrap/>
            <w:vAlign w:val="center"/>
          </w:tcPr>
          <w:p>
            <w:pPr>
              <w:widowControl/>
              <w:spacing w:before="163" w:after="97"/>
              <w:jc w:val="center"/>
              <w:rPr>
                <w:rFonts w:hint="eastAsia" w:cs="宋体" w:asciiTheme="minorEastAsia" w:hAnsiTheme="minorEastAsia"/>
                <w:b/>
                <w:bCs/>
                <w:szCs w:val="21"/>
              </w:rPr>
            </w:pPr>
            <w:r>
              <w:rPr>
                <w:rFonts w:hint="eastAsia" w:cs="宋体" w:asciiTheme="minorEastAsia" w:hAnsiTheme="minorEastAsia"/>
                <w:b/>
                <w:bCs/>
                <w:szCs w:val="21"/>
              </w:rPr>
              <w:t>2</w:t>
            </w:r>
          </w:p>
        </w:tc>
        <w:tc>
          <w:tcPr>
            <w:tcW w:w="1418" w:type="dxa"/>
            <w:vAlign w:val="center"/>
          </w:tcPr>
          <w:p>
            <w:pPr>
              <w:widowControl/>
              <w:spacing w:before="163" w:after="97"/>
              <w:jc w:val="center"/>
              <w:rPr>
                <w:rFonts w:hint="eastAsia" w:cs="宋体" w:asciiTheme="minorEastAsia" w:hAnsiTheme="minorEastAsia"/>
                <w:szCs w:val="21"/>
              </w:rPr>
            </w:pPr>
            <w:r>
              <w:rPr>
                <w:rFonts w:hint="eastAsia" w:cs="宋体" w:asciiTheme="minorEastAsia" w:hAnsiTheme="minorEastAsia"/>
                <w:szCs w:val="21"/>
              </w:rPr>
              <w:t>防烟分区</w:t>
            </w:r>
          </w:p>
          <w:p>
            <w:pPr>
              <w:widowControl/>
              <w:spacing w:before="163" w:after="97"/>
              <w:jc w:val="center"/>
              <w:rPr>
                <w:rFonts w:hint="eastAsia" w:cs="宋体" w:asciiTheme="minorEastAsia" w:hAnsiTheme="minorEastAsia"/>
                <w:szCs w:val="21"/>
              </w:rPr>
            </w:pPr>
            <w:r>
              <w:rPr>
                <w:rFonts w:hint="eastAsia" w:cs="宋体" w:asciiTheme="minorEastAsia" w:hAnsiTheme="minorEastAsia"/>
                <w:szCs w:val="21"/>
              </w:rPr>
              <w:t>划分</w:t>
            </w:r>
          </w:p>
        </w:tc>
        <w:tc>
          <w:tcPr>
            <w:tcW w:w="1984" w:type="dxa"/>
            <w:vAlign w:val="center"/>
          </w:tcPr>
          <w:p>
            <w:pPr>
              <w:widowControl/>
              <w:spacing w:before="163" w:after="97"/>
              <w:jc w:val="left"/>
              <w:rPr>
                <w:rFonts w:hint="eastAsia" w:cs="宋体" w:asciiTheme="minorEastAsia" w:hAnsiTheme="minorEastAsia"/>
                <w:szCs w:val="21"/>
              </w:rPr>
            </w:pPr>
            <w:r>
              <w:rPr>
                <w:rFonts w:hint="eastAsia" w:cs="宋体" w:asciiTheme="minorEastAsia" w:hAnsiTheme="minorEastAsia"/>
                <w:szCs w:val="21"/>
              </w:rPr>
              <w:t>防烟分区面积划分的合理性</w:t>
            </w:r>
          </w:p>
        </w:tc>
        <w:tc>
          <w:tcPr>
            <w:tcW w:w="4961" w:type="dxa"/>
            <w:vAlign w:val="center"/>
          </w:tcPr>
          <w:p>
            <w:pPr>
              <w:pStyle w:val="23"/>
              <w:widowControl/>
              <w:numPr>
                <w:ilvl w:val="0"/>
                <w:numId w:val="14"/>
              </w:numPr>
              <w:spacing w:before="163" w:after="97"/>
              <w:ind w:firstLineChars="0"/>
              <w:contextualSpacing/>
              <w:jc w:val="left"/>
              <w:rPr>
                <w:rFonts w:hint="eastAsia" w:cs="宋体" w:asciiTheme="minorEastAsia" w:hAnsiTheme="minorEastAsia"/>
                <w:szCs w:val="21"/>
              </w:rPr>
            </w:pPr>
            <w:r>
              <w:rPr>
                <w:rFonts w:hint="eastAsia" w:cs="宋体" w:asciiTheme="minorEastAsia" w:hAnsiTheme="minorEastAsia"/>
                <w:szCs w:val="21"/>
              </w:rPr>
              <w:t>同一防火分区共用同一台排烟风机的不同防烟分区划分面积有不超过10%的最大差异，得100分；</w:t>
            </w:r>
          </w:p>
          <w:p>
            <w:pPr>
              <w:pStyle w:val="23"/>
              <w:widowControl/>
              <w:numPr>
                <w:ilvl w:val="0"/>
                <w:numId w:val="14"/>
              </w:numPr>
              <w:spacing w:before="163" w:after="97"/>
              <w:ind w:firstLineChars="0"/>
              <w:contextualSpacing/>
              <w:jc w:val="left"/>
              <w:rPr>
                <w:rFonts w:hint="eastAsia" w:cs="宋体" w:asciiTheme="minorEastAsia" w:hAnsiTheme="minorEastAsia"/>
                <w:szCs w:val="21"/>
              </w:rPr>
            </w:pPr>
            <w:r>
              <w:rPr>
                <w:rFonts w:hint="eastAsia" w:cs="宋体" w:asciiTheme="minorEastAsia" w:hAnsiTheme="minorEastAsia"/>
                <w:szCs w:val="21"/>
              </w:rPr>
              <w:t>同一防火分区共用同一台排烟风机的不同防烟分区划分面积有不超过20%的最大差异，得80分；</w:t>
            </w:r>
          </w:p>
          <w:p>
            <w:pPr>
              <w:pStyle w:val="23"/>
              <w:widowControl/>
              <w:numPr>
                <w:ilvl w:val="0"/>
                <w:numId w:val="14"/>
              </w:numPr>
              <w:spacing w:before="163" w:after="97"/>
              <w:ind w:firstLineChars="0"/>
              <w:contextualSpacing/>
              <w:jc w:val="left"/>
              <w:rPr>
                <w:rFonts w:hint="eastAsia" w:cs="宋体" w:asciiTheme="minorEastAsia" w:hAnsiTheme="minorEastAsia"/>
                <w:szCs w:val="21"/>
              </w:rPr>
            </w:pPr>
            <w:r>
              <w:rPr>
                <w:rFonts w:hint="eastAsia" w:cs="宋体" w:asciiTheme="minorEastAsia" w:hAnsiTheme="minorEastAsia"/>
                <w:szCs w:val="21"/>
              </w:rPr>
              <w:t>同一防火分区共用同一台排烟风机的不同防烟分区划分面积有不超过30%的最大差异，得60分。</w:t>
            </w:r>
          </w:p>
        </w:tc>
        <w:tc>
          <w:tcPr>
            <w:tcW w:w="709" w:type="dxa"/>
            <w:vAlign w:val="center"/>
          </w:tcPr>
          <w:p>
            <w:pPr>
              <w:widowControl/>
              <w:spacing w:before="163" w:after="97"/>
              <w:jc w:val="center"/>
              <w:rPr>
                <w:rFonts w:hint="eastAsia" w:cs="宋体" w:asciiTheme="minorEastAsia" w:hAnsiTheme="minorEastAsia"/>
                <w:szCs w:val="21"/>
              </w:rPr>
            </w:pPr>
            <w:r>
              <w:rPr>
                <w:rFonts w:hint="eastAsia" w:cs="宋体" w:asciiTheme="minorEastAsia" w:hAnsiTheme="minorEastAsia"/>
                <w:szCs w:val="21"/>
              </w:rPr>
              <w:t>0.10</w:t>
            </w:r>
          </w:p>
        </w:tc>
        <w:tc>
          <w:tcPr>
            <w:tcW w:w="4204" w:type="dxa"/>
            <w:vAlign w:val="center"/>
          </w:tcPr>
          <w:p>
            <w:pPr>
              <w:widowControl/>
              <w:spacing w:before="163" w:after="97"/>
              <w:jc w:val="left"/>
              <w:rPr>
                <w:rFonts w:hint="eastAsia" w:ascii="宋体" w:hAnsi="宋体" w:cs="宋体"/>
                <w:szCs w:val="21"/>
              </w:rPr>
            </w:pPr>
            <w:r>
              <w:rPr>
                <w:rFonts w:hint="eastAsia" w:cs="宋体" w:asciiTheme="minorEastAsia" w:hAnsiTheme="minorEastAsia"/>
                <w:szCs w:val="21"/>
              </w:rPr>
              <w:t>同一防火分区共用同一台排烟风机的不同防烟分区，面积宜均匀划分，有助于控制同一排烟系统的风机最大排烟量和排烟干管的最大高度，减少各防烟分区排烟运行时的不协调。</w:t>
            </w:r>
            <w:r>
              <w:rPr>
                <w:rFonts w:hint="eastAsia" w:ascii="宋体" w:hAnsi="宋体" w:cs="宋体"/>
                <w:b/>
                <w:bCs/>
                <w:szCs w:val="21"/>
              </w:rPr>
              <w:t>防烟分区处挡烟垂壁下沿的净高不应阻挡火灾时人员的正常疏散</w:t>
            </w:r>
            <w:r>
              <w:rPr>
                <w:rFonts w:hint="eastAsia" w:ascii="宋体" w:hAnsi="宋体" w:cs="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9" w:hRule="atLeast"/>
          <w:jc w:val="center"/>
        </w:trPr>
        <w:tc>
          <w:tcPr>
            <w:tcW w:w="704" w:type="dxa"/>
            <w:noWrap/>
            <w:vAlign w:val="center"/>
          </w:tcPr>
          <w:p>
            <w:pPr>
              <w:widowControl/>
              <w:spacing w:before="163" w:after="97"/>
              <w:jc w:val="center"/>
              <w:rPr>
                <w:rFonts w:hint="eastAsia" w:cs="宋体" w:asciiTheme="minorEastAsia" w:hAnsiTheme="minorEastAsia"/>
                <w:b/>
                <w:bCs/>
                <w:szCs w:val="21"/>
              </w:rPr>
            </w:pPr>
            <w:bookmarkStart w:id="96" w:name="_Hlk203644041"/>
            <w:r>
              <w:rPr>
                <w:rFonts w:hint="eastAsia" w:cs="宋体" w:asciiTheme="minorEastAsia" w:hAnsiTheme="minorEastAsia"/>
                <w:b/>
                <w:bCs/>
                <w:szCs w:val="21"/>
              </w:rPr>
              <w:t>3</w:t>
            </w:r>
          </w:p>
        </w:tc>
        <w:tc>
          <w:tcPr>
            <w:tcW w:w="1418" w:type="dxa"/>
            <w:vAlign w:val="center"/>
          </w:tcPr>
          <w:p>
            <w:pPr>
              <w:widowControl/>
              <w:spacing w:before="163" w:after="97"/>
              <w:jc w:val="left"/>
              <w:rPr>
                <w:rFonts w:hint="eastAsia" w:cs="宋体" w:asciiTheme="minorEastAsia" w:hAnsiTheme="minorEastAsia"/>
                <w:szCs w:val="21"/>
              </w:rPr>
            </w:pPr>
            <w:r>
              <w:rPr>
                <w:rFonts w:hint="eastAsia" w:cs="宋体" w:asciiTheme="minorEastAsia" w:hAnsiTheme="minorEastAsia"/>
                <w:szCs w:val="21"/>
              </w:rPr>
              <w:t>排烟系统风管布置的平顺性</w:t>
            </w:r>
          </w:p>
        </w:tc>
        <w:tc>
          <w:tcPr>
            <w:tcW w:w="1984" w:type="dxa"/>
            <w:vAlign w:val="center"/>
          </w:tcPr>
          <w:p>
            <w:pPr>
              <w:pStyle w:val="23"/>
              <w:widowControl/>
              <w:spacing w:before="163" w:after="97"/>
              <w:ind w:firstLine="480"/>
              <w:jc w:val="left"/>
              <w:rPr>
                <w:rFonts w:hint="eastAsia" w:cs="宋体" w:asciiTheme="minorEastAsia" w:hAnsiTheme="minorEastAsia"/>
                <w:szCs w:val="21"/>
              </w:rPr>
            </w:pPr>
            <w:r>
              <w:rPr>
                <w:rFonts w:hint="eastAsia" w:cs="宋体" w:asciiTheme="minorEastAsia" w:hAnsiTheme="minorEastAsia"/>
                <w:szCs w:val="21"/>
              </w:rPr>
              <w:t>独立排烟系统弯头与变径的数量之和</w:t>
            </w:r>
          </w:p>
        </w:tc>
        <w:tc>
          <w:tcPr>
            <w:tcW w:w="4961" w:type="dxa"/>
            <w:vAlign w:val="center"/>
          </w:tcPr>
          <w:p>
            <w:pPr>
              <w:widowControl/>
              <w:spacing w:before="163" w:after="97"/>
              <w:jc w:val="left"/>
              <w:rPr>
                <w:rFonts w:hint="eastAsia" w:cs="宋体" w:asciiTheme="minorEastAsia" w:hAnsiTheme="minorEastAsia"/>
                <w:szCs w:val="21"/>
              </w:rPr>
            </w:pPr>
            <w:r>
              <w:rPr>
                <w:rFonts w:hint="eastAsia" w:cs="宋体" w:asciiTheme="minorEastAsia" w:hAnsiTheme="minorEastAsia"/>
                <w:szCs w:val="21"/>
              </w:rPr>
              <w:t>排烟单个独立系统的弯头与变径数量的总和：</w:t>
            </w:r>
          </w:p>
          <w:p>
            <w:pPr>
              <w:widowControl/>
              <w:spacing w:before="163" w:after="97"/>
              <w:jc w:val="left"/>
              <w:rPr>
                <w:rFonts w:hint="eastAsia" w:cs="宋体" w:asciiTheme="minorEastAsia" w:hAnsiTheme="minorEastAsia"/>
                <w:szCs w:val="21"/>
              </w:rPr>
            </w:pPr>
            <w:r>
              <w:rPr>
                <w:rFonts w:hint="eastAsia" w:cs="宋体" w:asciiTheme="minorEastAsia" w:hAnsiTheme="minorEastAsia"/>
                <w:szCs w:val="21"/>
              </w:rPr>
              <w:t>1）≤3个；排烟风管未跨越防火分区，得100分；</w:t>
            </w:r>
          </w:p>
          <w:p>
            <w:pPr>
              <w:widowControl/>
              <w:spacing w:before="163" w:after="97"/>
              <w:jc w:val="left"/>
              <w:rPr>
                <w:rFonts w:hint="eastAsia" w:cs="宋体" w:asciiTheme="minorEastAsia" w:hAnsiTheme="minorEastAsia"/>
                <w:szCs w:val="21"/>
              </w:rPr>
            </w:pPr>
            <w:r>
              <w:rPr>
                <w:rFonts w:hint="eastAsia" w:cs="宋体" w:asciiTheme="minorEastAsia" w:hAnsiTheme="minorEastAsia"/>
                <w:szCs w:val="21"/>
              </w:rPr>
              <w:t>2）3～6个；排烟风管未跨越防火分区，得80分；</w:t>
            </w:r>
          </w:p>
          <w:p>
            <w:pPr>
              <w:widowControl/>
              <w:spacing w:before="163" w:after="97"/>
              <w:jc w:val="left"/>
              <w:rPr>
                <w:rFonts w:hint="eastAsia" w:cs="宋体" w:asciiTheme="minorEastAsia" w:hAnsiTheme="minorEastAsia"/>
                <w:szCs w:val="21"/>
              </w:rPr>
            </w:pPr>
            <w:r>
              <w:rPr>
                <w:rFonts w:hint="eastAsia" w:cs="宋体" w:asciiTheme="minorEastAsia" w:hAnsiTheme="minorEastAsia"/>
                <w:szCs w:val="21"/>
              </w:rPr>
              <w:t>3）＞6个或者排烟风管跨越防火分区（在其它防火分区没有开口）并且有防火保护措施，得60分。</w:t>
            </w:r>
          </w:p>
        </w:tc>
        <w:tc>
          <w:tcPr>
            <w:tcW w:w="709" w:type="dxa"/>
            <w:vAlign w:val="center"/>
          </w:tcPr>
          <w:p>
            <w:pPr>
              <w:widowControl/>
              <w:spacing w:before="163" w:after="97"/>
              <w:jc w:val="center"/>
              <w:rPr>
                <w:rFonts w:hint="eastAsia" w:ascii="宋体" w:hAnsi="宋体" w:cs="宋体"/>
                <w:szCs w:val="21"/>
              </w:rPr>
            </w:pPr>
            <w:r>
              <w:rPr>
                <w:rFonts w:hint="eastAsia" w:cs="宋体" w:asciiTheme="minorEastAsia" w:hAnsiTheme="minorEastAsia"/>
                <w:szCs w:val="21"/>
              </w:rPr>
              <w:t>0,15</w:t>
            </w:r>
          </w:p>
        </w:tc>
        <w:tc>
          <w:tcPr>
            <w:tcW w:w="4204" w:type="dxa"/>
            <w:vAlign w:val="center"/>
          </w:tcPr>
          <w:p>
            <w:pPr>
              <w:widowControl/>
              <w:spacing w:before="163" w:after="97"/>
              <w:rPr>
                <w:rFonts w:hint="eastAsia" w:ascii="宋体" w:hAnsi="宋体" w:cs="宋体"/>
                <w:szCs w:val="21"/>
              </w:rPr>
            </w:pPr>
            <w:r>
              <w:rPr>
                <w:rFonts w:hint="eastAsia" w:ascii="宋体" w:hAnsi="宋体" w:cs="宋体"/>
                <w:szCs w:val="21"/>
              </w:rPr>
              <w:t>排烟风管的走向应简洁，尽量减少弯头和阻力，以提高排烟效率。以上情况如果系统占比在20%以内，得不作修正，如果超出该比例，该项评分再乘以0.8的系数（得更低、更不可靠）</w:t>
            </w:r>
          </w:p>
          <w:p>
            <w:pPr>
              <w:widowControl/>
              <w:spacing w:before="163" w:after="97"/>
              <w:rPr>
                <w:rFonts w:hint="eastAsia" w:ascii="宋体" w:hAnsi="宋体" w:cs="宋体"/>
                <w:szCs w:val="21"/>
              </w:rPr>
            </w:pPr>
            <w:r>
              <w:rPr>
                <w:rFonts w:hint="eastAsia" w:ascii="宋体" w:hAnsi="宋体" w:cs="宋体"/>
                <w:szCs w:val="21"/>
              </w:rPr>
              <w:t>排烟管跨越防火分区后应采取耐火风管等防护措施，杜绝在其它防火分区内开设支管与排烟口。</w:t>
            </w:r>
          </w:p>
        </w:tc>
      </w:tr>
      <w:bookmarkEnd w:id="9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2" w:hRule="atLeast"/>
          <w:jc w:val="center"/>
        </w:trPr>
        <w:tc>
          <w:tcPr>
            <w:tcW w:w="704" w:type="dxa"/>
            <w:noWrap/>
            <w:vAlign w:val="center"/>
          </w:tcPr>
          <w:p>
            <w:pPr>
              <w:widowControl/>
              <w:spacing w:before="163" w:after="97"/>
              <w:jc w:val="center"/>
              <w:rPr>
                <w:rFonts w:hint="eastAsia" w:cs="宋体" w:asciiTheme="minorEastAsia" w:hAnsiTheme="minorEastAsia"/>
                <w:b/>
                <w:bCs/>
                <w:szCs w:val="21"/>
              </w:rPr>
            </w:pPr>
            <w:r>
              <w:rPr>
                <w:rFonts w:hint="eastAsia" w:cs="宋体" w:asciiTheme="minorEastAsia" w:hAnsiTheme="minorEastAsia"/>
                <w:b/>
                <w:bCs/>
                <w:szCs w:val="21"/>
              </w:rPr>
              <w:t>4</w:t>
            </w:r>
          </w:p>
        </w:tc>
        <w:tc>
          <w:tcPr>
            <w:tcW w:w="1418" w:type="dxa"/>
            <w:vAlign w:val="center"/>
          </w:tcPr>
          <w:p>
            <w:pPr>
              <w:widowControl/>
              <w:spacing w:before="163" w:after="97"/>
              <w:jc w:val="left"/>
              <w:rPr>
                <w:rFonts w:hint="eastAsia" w:cs="宋体" w:asciiTheme="minorEastAsia" w:hAnsiTheme="minorEastAsia"/>
                <w:szCs w:val="21"/>
              </w:rPr>
            </w:pPr>
            <w:r>
              <w:rPr>
                <w:rFonts w:hint="eastAsia" w:cs="宋体" w:asciiTheme="minorEastAsia" w:hAnsiTheme="minorEastAsia"/>
                <w:szCs w:val="21"/>
              </w:rPr>
              <w:t>排烟系统风管最不利环路设置风阀的数量</w:t>
            </w:r>
          </w:p>
        </w:tc>
        <w:tc>
          <w:tcPr>
            <w:tcW w:w="1984" w:type="dxa"/>
            <w:vAlign w:val="center"/>
          </w:tcPr>
          <w:p>
            <w:pPr>
              <w:pStyle w:val="23"/>
              <w:widowControl/>
              <w:spacing w:before="163" w:after="97"/>
              <w:ind w:firstLine="480"/>
              <w:jc w:val="left"/>
              <w:rPr>
                <w:rFonts w:hint="eastAsia" w:cs="宋体" w:asciiTheme="minorEastAsia" w:hAnsiTheme="minorEastAsia"/>
                <w:szCs w:val="21"/>
              </w:rPr>
            </w:pPr>
            <w:r>
              <w:rPr>
                <w:rFonts w:hint="eastAsia" w:cs="宋体" w:asciiTheme="minorEastAsia" w:hAnsiTheme="minorEastAsia"/>
                <w:szCs w:val="21"/>
              </w:rPr>
              <w:t>最不利独立排烟系统支路上设置电动风阀的数量之和</w:t>
            </w:r>
          </w:p>
        </w:tc>
        <w:tc>
          <w:tcPr>
            <w:tcW w:w="4961" w:type="dxa"/>
            <w:vAlign w:val="center"/>
          </w:tcPr>
          <w:p>
            <w:pPr>
              <w:widowControl/>
              <w:spacing w:before="163" w:after="97"/>
              <w:jc w:val="left"/>
              <w:rPr>
                <w:rFonts w:hint="eastAsia" w:cs="宋体" w:asciiTheme="minorEastAsia" w:hAnsiTheme="minorEastAsia"/>
                <w:szCs w:val="21"/>
              </w:rPr>
            </w:pPr>
            <w:r>
              <w:rPr>
                <w:rFonts w:hint="eastAsia" w:cs="宋体" w:asciiTheme="minorEastAsia" w:hAnsiTheme="minorEastAsia"/>
                <w:szCs w:val="21"/>
              </w:rPr>
              <w:t>最不利独立排烟系统管路上设置的风阀数量之和：</w:t>
            </w:r>
          </w:p>
          <w:p>
            <w:pPr>
              <w:widowControl/>
              <w:spacing w:before="163" w:after="97"/>
              <w:jc w:val="left"/>
              <w:rPr>
                <w:rFonts w:hint="eastAsia" w:cs="宋体" w:asciiTheme="minorEastAsia" w:hAnsiTheme="minorEastAsia"/>
                <w:szCs w:val="21"/>
              </w:rPr>
            </w:pPr>
            <w:r>
              <w:rPr>
                <w:rFonts w:hint="eastAsia" w:cs="宋体" w:asciiTheme="minorEastAsia" w:hAnsiTheme="minorEastAsia"/>
                <w:szCs w:val="21"/>
              </w:rPr>
              <w:t>1）≤3个，得100分；</w:t>
            </w:r>
          </w:p>
          <w:p>
            <w:pPr>
              <w:widowControl/>
              <w:spacing w:before="163" w:after="97"/>
              <w:jc w:val="left"/>
              <w:rPr>
                <w:rFonts w:hint="eastAsia" w:cs="宋体" w:asciiTheme="minorEastAsia" w:hAnsiTheme="minorEastAsia"/>
                <w:szCs w:val="21"/>
              </w:rPr>
            </w:pPr>
            <w:r>
              <w:rPr>
                <w:rFonts w:hint="eastAsia" w:cs="宋体" w:asciiTheme="minorEastAsia" w:hAnsiTheme="minorEastAsia"/>
                <w:szCs w:val="21"/>
              </w:rPr>
              <w:t>2）3～5个，得80分；</w:t>
            </w:r>
          </w:p>
          <w:p>
            <w:pPr>
              <w:widowControl/>
              <w:spacing w:before="163" w:after="97"/>
              <w:jc w:val="left"/>
              <w:rPr>
                <w:rFonts w:hint="eastAsia" w:cs="宋体" w:asciiTheme="minorEastAsia" w:hAnsiTheme="minorEastAsia"/>
                <w:szCs w:val="21"/>
              </w:rPr>
            </w:pPr>
            <w:r>
              <w:rPr>
                <w:rFonts w:hint="eastAsia" w:cs="宋体" w:asciiTheme="minorEastAsia" w:hAnsiTheme="minorEastAsia"/>
                <w:szCs w:val="21"/>
              </w:rPr>
              <w:t>3）＞6个，得60分。</w:t>
            </w:r>
          </w:p>
        </w:tc>
        <w:tc>
          <w:tcPr>
            <w:tcW w:w="709" w:type="dxa"/>
            <w:vAlign w:val="center"/>
          </w:tcPr>
          <w:p>
            <w:pPr>
              <w:widowControl/>
              <w:spacing w:before="163" w:after="97"/>
              <w:jc w:val="center"/>
              <w:rPr>
                <w:rFonts w:hint="eastAsia" w:cs="宋体" w:asciiTheme="minorEastAsia" w:hAnsiTheme="minorEastAsia"/>
                <w:szCs w:val="21"/>
              </w:rPr>
            </w:pPr>
            <w:r>
              <w:rPr>
                <w:rFonts w:hint="eastAsia" w:cs="宋体" w:asciiTheme="minorEastAsia" w:hAnsiTheme="minorEastAsia"/>
                <w:szCs w:val="21"/>
              </w:rPr>
              <w:t>0.15</w:t>
            </w:r>
          </w:p>
        </w:tc>
        <w:tc>
          <w:tcPr>
            <w:tcW w:w="4204" w:type="dxa"/>
            <w:vAlign w:val="center"/>
          </w:tcPr>
          <w:p>
            <w:pPr>
              <w:widowControl/>
              <w:spacing w:before="163" w:after="97"/>
              <w:jc w:val="left"/>
              <w:rPr>
                <w:rFonts w:hint="eastAsia" w:ascii="宋体" w:hAnsi="宋体" w:cs="宋体"/>
                <w:szCs w:val="21"/>
              </w:rPr>
            </w:pPr>
            <w:r>
              <w:rPr>
                <w:rFonts w:hint="eastAsia" w:cs="宋体" w:asciiTheme="minorEastAsia" w:hAnsiTheme="minorEastAsia"/>
                <w:szCs w:val="21"/>
              </w:rPr>
              <w:t>防烟系统不宜设置过多机械/电动风阀，这容易导致系统的不可靠。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2" w:hRule="atLeast"/>
          <w:jc w:val="center"/>
        </w:trPr>
        <w:tc>
          <w:tcPr>
            <w:tcW w:w="704" w:type="dxa"/>
            <w:noWrap/>
            <w:vAlign w:val="center"/>
          </w:tcPr>
          <w:p>
            <w:pPr>
              <w:widowControl/>
              <w:spacing w:before="163" w:after="97"/>
              <w:jc w:val="center"/>
              <w:rPr>
                <w:rFonts w:hint="eastAsia" w:cs="宋体" w:asciiTheme="minorEastAsia" w:hAnsiTheme="minorEastAsia"/>
                <w:b/>
                <w:bCs/>
                <w:szCs w:val="21"/>
              </w:rPr>
            </w:pPr>
            <w:bookmarkStart w:id="97" w:name="_Hlk203648270"/>
            <w:r>
              <w:rPr>
                <w:rFonts w:hint="eastAsia" w:cs="宋体" w:asciiTheme="minorEastAsia" w:hAnsiTheme="minorEastAsia"/>
                <w:b/>
                <w:bCs/>
                <w:szCs w:val="21"/>
              </w:rPr>
              <w:t>5</w:t>
            </w:r>
          </w:p>
        </w:tc>
        <w:tc>
          <w:tcPr>
            <w:tcW w:w="1418" w:type="dxa"/>
            <w:vAlign w:val="center"/>
          </w:tcPr>
          <w:p>
            <w:pPr>
              <w:widowControl/>
              <w:spacing w:before="163" w:after="97"/>
              <w:jc w:val="left"/>
              <w:rPr>
                <w:rFonts w:hint="eastAsia" w:cs="宋体" w:asciiTheme="minorEastAsia" w:hAnsiTheme="minorEastAsia"/>
                <w:szCs w:val="21"/>
              </w:rPr>
            </w:pPr>
            <w:bookmarkStart w:id="98" w:name="OLE_LINK18"/>
            <w:r>
              <w:rPr>
                <w:rFonts w:hint="eastAsia" w:cs="宋体" w:asciiTheme="minorEastAsia" w:hAnsiTheme="minorEastAsia"/>
                <w:szCs w:val="21"/>
              </w:rPr>
              <w:t>排烟系统水力计算书</w:t>
            </w:r>
            <w:bookmarkEnd w:id="98"/>
          </w:p>
        </w:tc>
        <w:tc>
          <w:tcPr>
            <w:tcW w:w="1984" w:type="dxa"/>
            <w:vAlign w:val="center"/>
          </w:tcPr>
          <w:p>
            <w:pPr>
              <w:widowControl/>
              <w:spacing w:before="163" w:after="97"/>
              <w:jc w:val="left"/>
              <w:rPr>
                <w:rFonts w:hint="eastAsia" w:cs="宋体" w:asciiTheme="minorEastAsia" w:hAnsiTheme="minorEastAsia"/>
                <w:szCs w:val="21"/>
              </w:rPr>
            </w:pPr>
            <w:r>
              <w:rPr>
                <w:rFonts w:hint="eastAsia" w:cs="宋体" w:asciiTheme="minorEastAsia" w:hAnsiTheme="minorEastAsia"/>
                <w:szCs w:val="21"/>
              </w:rPr>
              <w:t>排烟系统水力计算书的准确率</w:t>
            </w:r>
          </w:p>
        </w:tc>
        <w:tc>
          <w:tcPr>
            <w:tcW w:w="4961" w:type="dxa"/>
            <w:vAlign w:val="center"/>
          </w:tcPr>
          <w:p>
            <w:pPr>
              <w:widowControl/>
              <w:spacing w:before="163" w:after="97"/>
              <w:jc w:val="left"/>
              <w:rPr>
                <w:rFonts w:hint="eastAsia" w:cs="宋体" w:asciiTheme="minorEastAsia" w:hAnsiTheme="minorEastAsia"/>
                <w:szCs w:val="21"/>
              </w:rPr>
            </w:pPr>
            <w:r>
              <w:rPr>
                <w:rFonts w:hint="eastAsia" w:cs="宋体" w:asciiTheme="minorEastAsia" w:hAnsiTheme="minorEastAsia"/>
                <w:szCs w:val="21"/>
              </w:rPr>
              <w:t>排烟系统水力计算书的准确率：</w:t>
            </w:r>
          </w:p>
          <w:p>
            <w:pPr>
              <w:widowControl/>
              <w:spacing w:before="163" w:after="97"/>
              <w:jc w:val="left"/>
              <w:rPr>
                <w:rFonts w:hint="eastAsia" w:cs="宋体" w:asciiTheme="minorEastAsia" w:hAnsiTheme="minorEastAsia"/>
                <w:szCs w:val="21"/>
              </w:rPr>
            </w:pPr>
            <w:r>
              <w:rPr>
                <w:rFonts w:hint="eastAsia" w:cs="宋体" w:asciiTheme="minorEastAsia" w:hAnsiTheme="minorEastAsia"/>
                <w:szCs w:val="21"/>
              </w:rPr>
              <w:t>1）准确率100%，得100分；</w:t>
            </w:r>
          </w:p>
          <w:p>
            <w:pPr>
              <w:widowControl/>
              <w:spacing w:before="163" w:after="97"/>
              <w:jc w:val="left"/>
              <w:rPr>
                <w:rFonts w:hint="eastAsia" w:cs="宋体" w:asciiTheme="minorEastAsia" w:hAnsiTheme="minorEastAsia"/>
                <w:szCs w:val="21"/>
              </w:rPr>
            </w:pPr>
            <w:r>
              <w:rPr>
                <w:rFonts w:hint="eastAsia" w:cs="宋体" w:asciiTheme="minorEastAsia" w:hAnsiTheme="minorEastAsia"/>
                <w:szCs w:val="21"/>
              </w:rPr>
              <w:t>2）90%≤准确率＜100%，得80分；</w:t>
            </w:r>
          </w:p>
          <w:p>
            <w:pPr>
              <w:widowControl/>
              <w:spacing w:before="163" w:after="97"/>
              <w:jc w:val="left"/>
              <w:rPr>
                <w:rFonts w:hint="eastAsia" w:cs="宋体" w:asciiTheme="minorEastAsia" w:hAnsiTheme="minorEastAsia"/>
                <w:szCs w:val="21"/>
              </w:rPr>
            </w:pPr>
            <w:r>
              <w:rPr>
                <w:rFonts w:hint="eastAsia" w:cs="宋体" w:asciiTheme="minorEastAsia" w:hAnsiTheme="minorEastAsia"/>
                <w:szCs w:val="21"/>
              </w:rPr>
              <w:t>3）80%≤准确率＜90%，得60分。</w:t>
            </w:r>
          </w:p>
        </w:tc>
        <w:tc>
          <w:tcPr>
            <w:tcW w:w="709" w:type="dxa"/>
            <w:vAlign w:val="center"/>
          </w:tcPr>
          <w:p>
            <w:pPr>
              <w:widowControl/>
              <w:spacing w:before="163" w:after="97"/>
              <w:jc w:val="center"/>
              <w:rPr>
                <w:rFonts w:hint="eastAsia" w:ascii="宋体" w:hAnsi="宋体" w:cs="宋体"/>
                <w:szCs w:val="21"/>
              </w:rPr>
            </w:pPr>
            <w:r>
              <w:rPr>
                <w:rFonts w:hint="eastAsia" w:cs="宋体" w:asciiTheme="minorEastAsia" w:hAnsiTheme="minorEastAsia"/>
                <w:szCs w:val="21"/>
              </w:rPr>
              <w:t>0.30</w:t>
            </w:r>
          </w:p>
        </w:tc>
        <w:tc>
          <w:tcPr>
            <w:tcW w:w="4204" w:type="dxa"/>
            <w:vAlign w:val="center"/>
          </w:tcPr>
          <w:p>
            <w:pPr>
              <w:widowControl/>
              <w:spacing w:before="163" w:after="97"/>
              <w:jc w:val="left"/>
              <w:rPr>
                <w:rFonts w:hint="eastAsia" w:ascii="宋体" w:hAnsi="宋体" w:cs="宋体"/>
                <w:szCs w:val="21"/>
              </w:rPr>
            </w:pPr>
            <w:r>
              <w:rPr>
                <w:rFonts w:hint="eastAsia" w:ascii="宋体" w:hAnsi="宋体" w:cs="宋体"/>
                <w:szCs w:val="21"/>
              </w:rPr>
              <w:t>排烟系统设计应根据防烟分区的划分、设备风管布置进行系统水力计算。</w:t>
            </w:r>
          </w:p>
          <w:p>
            <w:pPr>
              <w:widowControl/>
              <w:spacing w:before="163" w:after="97"/>
              <w:jc w:val="left"/>
              <w:rPr>
                <w:rFonts w:hint="eastAsia" w:ascii="宋体" w:hAnsi="宋体" w:cs="宋体"/>
                <w:szCs w:val="21"/>
              </w:rPr>
            </w:pPr>
            <w:r>
              <w:rPr>
                <w:rFonts w:hint="eastAsia" w:ascii="宋体" w:hAnsi="宋体" w:cs="宋体"/>
                <w:szCs w:val="21"/>
              </w:rPr>
              <w:t>计算书有严重或明显错误的，设计单位应及时更改。</w:t>
            </w:r>
          </w:p>
        </w:tc>
      </w:tr>
      <w:bookmarkEnd w:id="97"/>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2" w:hRule="atLeast"/>
          <w:jc w:val="center"/>
        </w:trPr>
        <w:tc>
          <w:tcPr>
            <w:tcW w:w="704" w:type="dxa"/>
            <w:noWrap/>
            <w:vAlign w:val="center"/>
          </w:tcPr>
          <w:p>
            <w:pPr>
              <w:widowControl/>
              <w:spacing w:before="163" w:after="97"/>
              <w:jc w:val="center"/>
              <w:rPr>
                <w:rFonts w:hint="eastAsia" w:cs="宋体" w:asciiTheme="minorEastAsia" w:hAnsiTheme="minorEastAsia"/>
                <w:b/>
                <w:bCs/>
                <w:szCs w:val="21"/>
              </w:rPr>
            </w:pPr>
            <w:r>
              <w:rPr>
                <w:rFonts w:hint="eastAsia" w:cs="宋体" w:asciiTheme="minorEastAsia" w:hAnsiTheme="minorEastAsia"/>
                <w:b/>
                <w:bCs/>
                <w:szCs w:val="21"/>
              </w:rPr>
              <w:t>6</w:t>
            </w:r>
          </w:p>
        </w:tc>
        <w:tc>
          <w:tcPr>
            <w:tcW w:w="1418" w:type="dxa"/>
            <w:vAlign w:val="center"/>
          </w:tcPr>
          <w:p>
            <w:pPr>
              <w:widowControl/>
              <w:spacing w:before="163" w:after="97"/>
              <w:jc w:val="left"/>
              <w:rPr>
                <w:rFonts w:hint="eastAsia" w:cs="宋体" w:asciiTheme="minorEastAsia" w:hAnsiTheme="minorEastAsia"/>
                <w:szCs w:val="21"/>
              </w:rPr>
            </w:pPr>
            <w:r>
              <w:rPr>
                <w:rFonts w:hint="eastAsia" w:cs="宋体" w:asciiTheme="minorEastAsia" w:hAnsiTheme="minorEastAsia"/>
                <w:szCs w:val="21"/>
              </w:rPr>
              <w:t>排烟系统设备材料设计选用的产品级别</w:t>
            </w:r>
          </w:p>
        </w:tc>
        <w:tc>
          <w:tcPr>
            <w:tcW w:w="1984" w:type="dxa"/>
            <w:vAlign w:val="center"/>
          </w:tcPr>
          <w:p>
            <w:pPr>
              <w:pStyle w:val="23"/>
              <w:widowControl/>
              <w:spacing w:before="163" w:after="97"/>
              <w:ind w:left="2" w:hanging="2" w:firstLineChars="0"/>
              <w:jc w:val="left"/>
              <w:rPr>
                <w:rFonts w:hint="eastAsia" w:cs="宋体" w:asciiTheme="minorEastAsia" w:hAnsiTheme="minorEastAsia"/>
                <w:szCs w:val="21"/>
              </w:rPr>
            </w:pPr>
            <w:r>
              <w:rPr>
                <w:rFonts w:hint="eastAsia" w:cs="宋体" w:asciiTheme="minorEastAsia" w:hAnsiTheme="minorEastAsia"/>
                <w:szCs w:val="21"/>
              </w:rPr>
              <w:t>设计选用的产品级别占比</w:t>
            </w:r>
          </w:p>
        </w:tc>
        <w:tc>
          <w:tcPr>
            <w:tcW w:w="4961" w:type="dxa"/>
            <w:vAlign w:val="center"/>
          </w:tcPr>
          <w:p>
            <w:pPr>
              <w:widowControl/>
              <w:spacing w:before="163" w:after="97"/>
              <w:jc w:val="left"/>
              <w:rPr>
                <w:rFonts w:hint="eastAsia" w:cs="宋体" w:asciiTheme="minorEastAsia" w:hAnsiTheme="minorEastAsia"/>
                <w:szCs w:val="21"/>
              </w:rPr>
            </w:pPr>
            <w:r>
              <w:rPr>
                <w:rFonts w:hint="eastAsia" w:cs="宋体" w:asciiTheme="minorEastAsia" w:hAnsiTheme="minorEastAsia"/>
                <w:szCs w:val="21"/>
              </w:rPr>
              <w:t>1）选择A级可靠性的排烟风机、补风风机、排烟管道、排烟防火阀与排烟阀、电动挡烟垂壁等，占比80%以上，得100分；</w:t>
            </w:r>
          </w:p>
          <w:p>
            <w:pPr>
              <w:widowControl/>
              <w:spacing w:before="163" w:after="97"/>
              <w:jc w:val="left"/>
              <w:rPr>
                <w:rFonts w:hint="eastAsia" w:cs="宋体" w:asciiTheme="minorEastAsia" w:hAnsiTheme="minorEastAsia"/>
                <w:szCs w:val="21"/>
              </w:rPr>
            </w:pPr>
            <w:r>
              <w:rPr>
                <w:rFonts w:hint="eastAsia" w:cs="宋体" w:asciiTheme="minorEastAsia" w:hAnsiTheme="minorEastAsia"/>
                <w:szCs w:val="21"/>
              </w:rPr>
              <w:t>2）选择B级可靠性的排烟风机、补风风机、排烟管道、排烟防火阀与排烟阀、电动挡烟垂壁等，占比80%以上，得80分；</w:t>
            </w:r>
          </w:p>
          <w:p>
            <w:pPr>
              <w:widowControl/>
              <w:spacing w:before="163" w:after="97"/>
              <w:jc w:val="left"/>
              <w:rPr>
                <w:rFonts w:hint="eastAsia" w:cs="宋体" w:asciiTheme="minorEastAsia" w:hAnsiTheme="minorEastAsia"/>
                <w:szCs w:val="21"/>
              </w:rPr>
            </w:pPr>
            <w:r>
              <w:rPr>
                <w:rFonts w:hint="eastAsia" w:cs="宋体" w:asciiTheme="minorEastAsia" w:hAnsiTheme="minorEastAsia"/>
                <w:szCs w:val="21"/>
              </w:rPr>
              <w:t>3）选择C级可靠性的排烟风机、补风风机、排烟管道、排烟防火阀与排烟阀、电动挡烟垂壁等或者全部采用手动可开启外窗，得60分。</w:t>
            </w:r>
          </w:p>
        </w:tc>
        <w:tc>
          <w:tcPr>
            <w:tcW w:w="709" w:type="dxa"/>
            <w:vAlign w:val="center"/>
          </w:tcPr>
          <w:p>
            <w:pPr>
              <w:widowControl/>
              <w:spacing w:before="163" w:after="97"/>
              <w:jc w:val="center"/>
              <w:rPr>
                <w:rFonts w:hint="eastAsia" w:ascii="宋体" w:hAnsi="宋体" w:cs="宋体"/>
                <w:szCs w:val="21"/>
              </w:rPr>
            </w:pPr>
            <w:r>
              <w:rPr>
                <w:rFonts w:hint="eastAsia" w:cs="宋体" w:asciiTheme="minorEastAsia" w:hAnsiTheme="minorEastAsia"/>
                <w:szCs w:val="21"/>
              </w:rPr>
              <w:t>0.20</w:t>
            </w:r>
          </w:p>
        </w:tc>
        <w:tc>
          <w:tcPr>
            <w:tcW w:w="4204" w:type="dxa"/>
            <w:vAlign w:val="center"/>
          </w:tcPr>
          <w:p>
            <w:pPr>
              <w:widowControl/>
              <w:spacing w:before="163" w:after="97"/>
              <w:jc w:val="left"/>
              <w:rPr>
                <w:rFonts w:hint="eastAsia" w:ascii="宋体" w:hAnsi="宋体" w:cs="宋体"/>
                <w:szCs w:val="21"/>
              </w:rPr>
            </w:pPr>
            <w:r>
              <w:rPr>
                <w:rFonts w:hint="eastAsia" w:ascii="宋体" w:hAnsi="宋体" w:cs="宋体"/>
                <w:szCs w:val="21"/>
              </w:rPr>
              <w:t>选择A级排烟风机，当在室外屋顶设置时，在其正常使用寿命内建议可放宽须安装于独立通风机房的设计要求。</w:t>
            </w:r>
          </w:p>
          <w:p>
            <w:pPr>
              <w:widowControl/>
              <w:spacing w:before="163" w:after="97"/>
              <w:jc w:val="left"/>
              <w:rPr>
                <w:rFonts w:hint="eastAsia" w:ascii="宋体" w:hAnsi="宋体" w:cs="宋体"/>
                <w:szCs w:val="21"/>
              </w:rPr>
            </w:pPr>
            <w:r>
              <w:rPr>
                <w:rFonts w:hint="eastAsia" w:ascii="宋体" w:hAnsi="宋体" w:cs="宋体"/>
                <w:szCs w:val="21"/>
              </w:rPr>
              <w:t>排烟风机的选型应合适，其风量和风压应满足系统的排烟要求。风机应设置在通风良好的位置，避免受到高温、潮湿等环境因素的不利影响。</w:t>
            </w:r>
          </w:p>
        </w:tc>
      </w:tr>
    </w:tbl>
    <w:p>
      <w:pPr>
        <w:spacing w:before="163" w:after="97"/>
      </w:pPr>
    </w:p>
    <w:p>
      <w:pPr>
        <w:widowControl/>
        <w:jc w:val="left"/>
      </w:pPr>
      <w:r>
        <w:rPr>
          <w:rFonts w:hint="eastAsia"/>
        </w:rPr>
        <w:br w:type="page"/>
      </w:r>
    </w:p>
    <w:p>
      <w:pPr>
        <w:widowControl/>
        <w:spacing w:before="163" w:after="97"/>
        <w:jc w:val="center"/>
        <w:rPr>
          <w:rFonts w:eastAsia="宋体" w:cs="Times New Roman"/>
          <w:b/>
          <w:bCs/>
          <w:szCs w:val="24"/>
        </w:rPr>
      </w:pPr>
      <w:bookmarkStart w:id="99" w:name="OLE_LINK35"/>
      <w:r>
        <w:rPr>
          <w:rFonts w:hint="eastAsia" w:eastAsia="宋体" w:cs="Times New Roman"/>
          <w:b/>
          <w:bCs/>
          <w:szCs w:val="24"/>
        </w:rPr>
        <w:t>表4.2.8-5自然通风排烟设计评分项评定表</w:t>
      </w:r>
      <w:bookmarkEnd w:id="99"/>
      <w:r>
        <w:rPr>
          <w:rFonts w:hint="eastAsia" w:eastAsia="宋体" w:cs="Times New Roman"/>
          <w:b/>
          <w:bCs/>
          <w:szCs w:val="24"/>
        </w:rPr>
        <w:t>（一级权重因子：X4）</w:t>
      </w:r>
    </w:p>
    <w:tbl>
      <w:tblPr>
        <w:tblStyle w:val="18"/>
        <w:tblW w:w="140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2268"/>
        <w:gridCol w:w="2410"/>
        <w:gridCol w:w="4679"/>
        <w:gridCol w:w="709"/>
        <w:gridCol w:w="32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blHeader/>
          <w:jc w:val="center"/>
        </w:trPr>
        <w:tc>
          <w:tcPr>
            <w:tcW w:w="704" w:type="dxa"/>
            <w:noWrap/>
            <w:vAlign w:val="center"/>
          </w:tcPr>
          <w:p>
            <w:pPr>
              <w:spacing w:before="163" w:after="97"/>
              <w:jc w:val="center"/>
              <w:rPr>
                <w:rFonts w:eastAsia="宋体" w:cs="Times New Roman"/>
                <w:b/>
                <w:bCs/>
                <w:szCs w:val="21"/>
              </w:rPr>
            </w:pPr>
            <w:r>
              <w:rPr>
                <w:rFonts w:hint="eastAsia" w:eastAsia="宋体" w:cs="Times New Roman"/>
                <w:b/>
                <w:bCs/>
                <w:szCs w:val="21"/>
              </w:rPr>
              <w:t>序号</w:t>
            </w:r>
          </w:p>
        </w:tc>
        <w:tc>
          <w:tcPr>
            <w:tcW w:w="2268" w:type="dxa"/>
            <w:noWrap/>
            <w:vAlign w:val="center"/>
          </w:tcPr>
          <w:p>
            <w:pPr>
              <w:spacing w:before="163" w:after="97"/>
              <w:jc w:val="center"/>
              <w:rPr>
                <w:rFonts w:eastAsia="宋体" w:cs="Times New Roman"/>
                <w:b/>
                <w:bCs/>
                <w:szCs w:val="21"/>
              </w:rPr>
            </w:pPr>
            <w:r>
              <w:rPr>
                <w:rFonts w:hint="eastAsia" w:eastAsia="宋体" w:cs="Times New Roman"/>
                <w:b/>
                <w:bCs/>
                <w:szCs w:val="21"/>
              </w:rPr>
              <w:t>评定指标</w:t>
            </w:r>
          </w:p>
        </w:tc>
        <w:tc>
          <w:tcPr>
            <w:tcW w:w="2410" w:type="dxa"/>
            <w:vAlign w:val="center"/>
          </w:tcPr>
          <w:p>
            <w:pPr>
              <w:spacing w:before="163" w:after="97"/>
              <w:jc w:val="center"/>
              <w:rPr>
                <w:rFonts w:eastAsia="宋体" w:cs="Times New Roman"/>
                <w:b/>
                <w:bCs/>
                <w:szCs w:val="21"/>
              </w:rPr>
            </w:pPr>
            <w:r>
              <w:rPr>
                <w:rFonts w:hint="eastAsia" w:eastAsia="宋体" w:cs="Times New Roman"/>
                <w:b/>
                <w:bCs/>
                <w:szCs w:val="21"/>
              </w:rPr>
              <w:t>评分项</w:t>
            </w:r>
          </w:p>
        </w:tc>
        <w:tc>
          <w:tcPr>
            <w:tcW w:w="4679" w:type="dxa"/>
            <w:noWrap/>
            <w:vAlign w:val="center"/>
          </w:tcPr>
          <w:p>
            <w:pPr>
              <w:spacing w:before="163" w:after="97"/>
              <w:jc w:val="center"/>
              <w:rPr>
                <w:rFonts w:eastAsia="宋体" w:cs="Times New Roman"/>
                <w:b/>
                <w:bCs/>
                <w:szCs w:val="21"/>
              </w:rPr>
            </w:pPr>
            <w:r>
              <w:rPr>
                <w:rFonts w:hint="eastAsia" w:eastAsia="宋体" w:cs="Times New Roman"/>
                <w:b/>
                <w:bCs/>
                <w:szCs w:val="21"/>
              </w:rPr>
              <w:t>评定方法</w:t>
            </w:r>
          </w:p>
        </w:tc>
        <w:tc>
          <w:tcPr>
            <w:tcW w:w="709" w:type="dxa"/>
          </w:tcPr>
          <w:p>
            <w:pPr>
              <w:spacing w:before="163" w:after="97"/>
              <w:jc w:val="center"/>
              <w:rPr>
                <w:rFonts w:eastAsia="宋体" w:cs="Times New Roman"/>
                <w:b/>
                <w:bCs/>
                <w:szCs w:val="21"/>
              </w:rPr>
            </w:pPr>
            <w:r>
              <w:rPr>
                <w:rFonts w:hint="eastAsia" w:eastAsia="宋体" w:cs="Times New Roman"/>
                <w:b/>
                <w:bCs/>
                <w:szCs w:val="21"/>
              </w:rPr>
              <w:t>权重因子</w:t>
            </w:r>
          </w:p>
        </w:tc>
        <w:tc>
          <w:tcPr>
            <w:tcW w:w="3259" w:type="dxa"/>
            <w:noWrap/>
            <w:vAlign w:val="center"/>
          </w:tcPr>
          <w:p>
            <w:pPr>
              <w:spacing w:before="163" w:after="97"/>
              <w:jc w:val="center"/>
              <w:rPr>
                <w:rFonts w:eastAsia="宋体" w:cs="Times New Roman"/>
                <w:b/>
                <w:bCs/>
                <w:szCs w:val="21"/>
              </w:rPr>
            </w:pPr>
            <w:r>
              <w:rPr>
                <w:rFonts w:hint="eastAsia" w:eastAsia="宋体" w:cs="Times New Roman"/>
                <w:b/>
                <w:bCs/>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2" w:hRule="atLeast"/>
          <w:jc w:val="center"/>
        </w:trPr>
        <w:tc>
          <w:tcPr>
            <w:tcW w:w="704" w:type="dxa"/>
            <w:noWrap/>
            <w:vAlign w:val="center"/>
          </w:tcPr>
          <w:p>
            <w:pPr>
              <w:widowControl/>
              <w:spacing w:before="163" w:after="97"/>
              <w:jc w:val="center"/>
              <w:rPr>
                <w:rFonts w:hint="eastAsia" w:cs="宋体" w:asciiTheme="minorEastAsia" w:hAnsiTheme="minorEastAsia"/>
                <w:szCs w:val="21"/>
              </w:rPr>
            </w:pPr>
            <w:r>
              <w:rPr>
                <w:rFonts w:hint="eastAsia" w:cs="宋体" w:asciiTheme="minorEastAsia" w:hAnsiTheme="minorEastAsia"/>
                <w:szCs w:val="21"/>
              </w:rPr>
              <w:t>1</w:t>
            </w:r>
          </w:p>
        </w:tc>
        <w:tc>
          <w:tcPr>
            <w:tcW w:w="2268" w:type="dxa"/>
            <w:vAlign w:val="center"/>
          </w:tcPr>
          <w:p>
            <w:pPr>
              <w:widowControl/>
              <w:spacing w:before="163" w:after="97"/>
              <w:jc w:val="center"/>
              <w:rPr>
                <w:rFonts w:hint="eastAsia" w:cs="宋体" w:asciiTheme="minorEastAsia" w:hAnsiTheme="minorEastAsia"/>
                <w:szCs w:val="21"/>
              </w:rPr>
            </w:pPr>
            <w:r>
              <w:rPr>
                <w:rFonts w:hint="eastAsia" w:cs="宋体" w:asciiTheme="minorEastAsia" w:hAnsiTheme="minorEastAsia"/>
                <w:szCs w:val="21"/>
              </w:rPr>
              <w:t>自然通风排烟</w:t>
            </w:r>
          </w:p>
          <w:p>
            <w:pPr>
              <w:widowControl/>
              <w:spacing w:before="163" w:after="97"/>
              <w:jc w:val="center"/>
              <w:rPr>
                <w:rFonts w:hint="eastAsia" w:cs="宋体" w:asciiTheme="minorEastAsia" w:hAnsiTheme="minorEastAsia"/>
                <w:szCs w:val="21"/>
              </w:rPr>
            </w:pPr>
            <w:r>
              <w:rPr>
                <w:rFonts w:hint="eastAsia" w:cs="宋体" w:asciiTheme="minorEastAsia" w:hAnsiTheme="minorEastAsia"/>
                <w:szCs w:val="21"/>
              </w:rPr>
              <w:t>系统计算书</w:t>
            </w:r>
          </w:p>
        </w:tc>
        <w:tc>
          <w:tcPr>
            <w:tcW w:w="2410" w:type="dxa"/>
            <w:vAlign w:val="center"/>
          </w:tcPr>
          <w:p>
            <w:pPr>
              <w:pStyle w:val="23"/>
              <w:widowControl/>
              <w:spacing w:before="163" w:after="97"/>
              <w:ind w:firstLine="0" w:firstLineChars="0"/>
              <w:jc w:val="left"/>
              <w:rPr>
                <w:rFonts w:hint="eastAsia" w:cs="宋体" w:asciiTheme="minorEastAsia" w:hAnsiTheme="minorEastAsia"/>
                <w:szCs w:val="21"/>
              </w:rPr>
            </w:pPr>
            <w:r>
              <w:rPr>
                <w:rFonts w:hint="eastAsia" w:cs="宋体" w:asciiTheme="minorEastAsia" w:hAnsiTheme="minorEastAsia"/>
                <w:szCs w:val="21"/>
              </w:rPr>
              <w:t>可开启外窗或开口有效面积计算的准确率</w:t>
            </w:r>
          </w:p>
        </w:tc>
        <w:tc>
          <w:tcPr>
            <w:tcW w:w="4679" w:type="dxa"/>
            <w:vAlign w:val="center"/>
          </w:tcPr>
          <w:p>
            <w:pPr>
              <w:widowControl/>
              <w:spacing w:before="163" w:after="97"/>
              <w:jc w:val="left"/>
              <w:rPr>
                <w:rFonts w:hint="eastAsia" w:cs="宋体" w:asciiTheme="minorEastAsia" w:hAnsiTheme="minorEastAsia"/>
                <w:szCs w:val="21"/>
              </w:rPr>
            </w:pPr>
            <w:r>
              <w:rPr>
                <w:rFonts w:hint="eastAsia" w:cs="宋体" w:asciiTheme="minorEastAsia" w:hAnsiTheme="minorEastAsia"/>
                <w:szCs w:val="21"/>
              </w:rPr>
              <w:t>符合规范要求的可开启外窗或开口有效面积计算的准确率：</w:t>
            </w:r>
          </w:p>
          <w:p>
            <w:pPr>
              <w:widowControl/>
              <w:spacing w:before="163" w:after="97"/>
              <w:jc w:val="left"/>
              <w:rPr>
                <w:rFonts w:hint="eastAsia" w:cs="宋体" w:asciiTheme="minorEastAsia" w:hAnsiTheme="minorEastAsia"/>
                <w:szCs w:val="21"/>
              </w:rPr>
            </w:pPr>
            <w:r>
              <w:rPr>
                <w:rFonts w:hint="eastAsia" w:cs="宋体" w:asciiTheme="minorEastAsia" w:hAnsiTheme="minorEastAsia"/>
                <w:szCs w:val="21"/>
              </w:rPr>
              <w:t>1 准确率100%，得100分；</w:t>
            </w:r>
          </w:p>
          <w:p>
            <w:pPr>
              <w:widowControl/>
              <w:spacing w:before="163" w:after="97"/>
              <w:jc w:val="left"/>
              <w:rPr>
                <w:rFonts w:hint="eastAsia" w:cs="宋体" w:asciiTheme="minorEastAsia" w:hAnsiTheme="minorEastAsia"/>
                <w:szCs w:val="21"/>
              </w:rPr>
            </w:pPr>
            <w:r>
              <w:rPr>
                <w:rFonts w:hint="eastAsia" w:cs="宋体" w:asciiTheme="minorEastAsia" w:hAnsiTheme="minorEastAsia"/>
                <w:szCs w:val="21"/>
              </w:rPr>
              <w:t>2 90%≤准确率＜100%，得80分；</w:t>
            </w:r>
          </w:p>
          <w:p>
            <w:pPr>
              <w:widowControl/>
              <w:spacing w:before="163" w:after="97"/>
              <w:jc w:val="left"/>
              <w:rPr>
                <w:rFonts w:hint="eastAsia" w:cs="宋体" w:asciiTheme="minorEastAsia" w:hAnsiTheme="minorEastAsia"/>
                <w:szCs w:val="21"/>
              </w:rPr>
            </w:pPr>
            <w:r>
              <w:rPr>
                <w:rFonts w:hint="eastAsia" w:cs="宋体" w:asciiTheme="minorEastAsia" w:hAnsiTheme="minorEastAsia"/>
                <w:szCs w:val="21"/>
              </w:rPr>
              <w:t>3 80%≤准确率＜90%，得60分。</w:t>
            </w:r>
          </w:p>
        </w:tc>
        <w:tc>
          <w:tcPr>
            <w:tcW w:w="709" w:type="dxa"/>
            <w:vAlign w:val="center"/>
          </w:tcPr>
          <w:p>
            <w:pPr>
              <w:widowControl/>
              <w:spacing w:before="163" w:after="97"/>
              <w:jc w:val="left"/>
              <w:rPr>
                <w:rFonts w:hint="eastAsia" w:ascii="宋体" w:hAnsi="宋体" w:cs="宋体"/>
                <w:szCs w:val="21"/>
              </w:rPr>
            </w:pPr>
            <w:r>
              <w:rPr>
                <w:rFonts w:hint="eastAsia" w:cs="宋体" w:asciiTheme="minorEastAsia" w:hAnsiTheme="minorEastAsia"/>
                <w:szCs w:val="21"/>
              </w:rPr>
              <w:t>0.50</w:t>
            </w:r>
          </w:p>
        </w:tc>
        <w:tc>
          <w:tcPr>
            <w:tcW w:w="3259" w:type="dxa"/>
            <w:vAlign w:val="center"/>
          </w:tcPr>
          <w:p>
            <w:pPr>
              <w:widowControl/>
              <w:spacing w:before="163" w:after="97"/>
              <w:jc w:val="left"/>
              <w:rPr>
                <w:rFonts w:hint="eastAsia" w:ascii="宋体" w:hAnsi="宋体" w:cs="宋体"/>
                <w:szCs w:val="21"/>
              </w:rPr>
            </w:pPr>
            <w:r>
              <w:rPr>
                <w:rFonts w:hint="eastAsia" w:ascii="宋体" w:hAnsi="宋体" w:cs="宋体"/>
                <w:szCs w:val="21"/>
              </w:rPr>
              <w:t>为保证自然通风排烟的可靠性，设计计算可开启外窗或开口的面积时，应对其设置位置、开启方式、有效面积、空气对流效果等因素综合考虑，以保证计算的准确性。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2" w:hRule="atLeast"/>
          <w:jc w:val="center"/>
        </w:trPr>
        <w:tc>
          <w:tcPr>
            <w:tcW w:w="704" w:type="dxa"/>
            <w:noWrap/>
            <w:vAlign w:val="center"/>
          </w:tcPr>
          <w:p>
            <w:pPr>
              <w:widowControl/>
              <w:spacing w:before="163" w:after="97"/>
              <w:jc w:val="center"/>
              <w:rPr>
                <w:rFonts w:hint="eastAsia" w:cs="宋体" w:asciiTheme="minorEastAsia" w:hAnsiTheme="minorEastAsia"/>
                <w:szCs w:val="21"/>
              </w:rPr>
            </w:pPr>
            <w:r>
              <w:rPr>
                <w:rFonts w:hint="eastAsia" w:cs="宋体" w:asciiTheme="minorEastAsia" w:hAnsiTheme="minorEastAsia"/>
                <w:szCs w:val="21"/>
              </w:rPr>
              <w:t>2</w:t>
            </w:r>
          </w:p>
        </w:tc>
        <w:tc>
          <w:tcPr>
            <w:tcW w:w="2268" w:type="dxa"/>
            <w:vAlign w:val="center"/>
          </w:tcPr>
          <w:p>
            <w:pPr>
              <w:widowControl/>
              <w:spacing w:before="163" w:after="97"/>
              <w:jc w:val="center"/>
              <w:rPr>
                <w:rFonts w:hint="eastAsia" w:cs="宋体" w:asciiTheme="minorEastAsia" w:hAnsiTheme="minorEastAsia"/>
                <w:szCs w:val="21"/>
              </w:rPr>
            </w:pPr>
            <w:r>
              <w:rPr>
                <w:rFonts w:hint="eastAsia" w:cs="宋体" w:asciiTheme="minorEastAsia" w:hAnsiTheme="minorEastAsia"/>
                <w:szCs w:val="21"/>
              </w:rPr>
              <w:t>自然通风排烟设计选用的产品级别</w:t>
            </w:r>
          </w:p>
        </w:tc>
        <w:tc>
          <w:tcPr>
            <w:tcW w:w="2410" w:type="dxa"/>
            <w:vAlign w:val="center"/>
          </w:tcPr>
          <w:p>
            <w:pPr>
              <w:pStyle w:val="23"/>
              <w:widowControl/>
              <w:spacing w:before="163" w:after="97"/>
              <w:ind w:firstLine="0" w:firstLineChars="0"/>
              <w:jc w:val="left"/>
              <w:rPr>
                <w:rFonts w:hint="eastAsia" w:cs="Times New Roman" w:asciiTheme="minorEastAsia" w:hAnsiTheme="minorEastAsia"/>
                <w:szCs w:val="21"/>
              </w:rPr>
            </w:pPr>
            <w:r>
              <w:rPr>
                <w:rFonts w:hint="eastAsia" w:cs="宋体" w:asciiTheme="minorEastAsia" w:hAnsiTheme="minorEastAsia"/>
                <w:szCs w:val="21"/>
              </w:rPr>
              <w:t>设计选用的产品级别占比</w:t>
            </w:r>
          </w:p>
        </w:tc>
        <w:tc>
          <w:tcPr>
            <w:tcW w:w="4679" w:type="dxa"/>
            <w:vAlign w:val="center"/>
          </w:tcPr>
          <w:p>
            <w:pPr>
              <w:pStyle w:val="23"/>
              <w:widowControl/>
              <w:spacing w:before="163" w:after="97"/>
              <w:ind w:firstLine="33" w:firstLineChars="14"/>
              <w:jc w:val="left"/>
              <w:rPr>
                <w:rFonts w:hint="eastAsia" w:cs="宋体" w:asciiTheme="minorEastAsia" w:hAnsiTheme="minorEastAsia"/>
                <w:szCs w:val="21"/>
              </w:rPr>
            </w:pPr>
            <w:r>
              <w:rPr>
                <w:rFonts w:hint="eastAsia" w:cs="宋体" w:asciiTheme="minorEastAsia" w:hAnsiTheme="minorEastAsia"/>
                <w:szCs w:val="21"/>
              </w:rPr>
              <w:t>1 自动排烟窗、自动卷帘式挡烟垂壁选择A级可靠性占比80%以上的，得100分；</w:t>
            </w:r>
          </w:p>
          <w:p>
            <w:pPr>
              <w:pStyle w:val="23"/>
              <w:widowControl/>
              <w:spacing w:before="163" w:after="97"/>
              <w:ind w:firstLine="0" w:firstLineChars="0"/>
              <w:jc w:val="left"/>
              <w:rPr>
                <w:rFonts w:hint="eastAsia" w:cs="宋体" w:asciiTheme="minorEastAsia" w:hAnsiTheme="minorEastAsia"/>
                <w:szCs w:val="21"/>
              </w:rPr>
            </w:pPr>
            <w:r>
              <w:rPr>
                <w:rFonts w:hint="eastAsia" w:cs="宋体" w:asciiTheme="minorEastAsia" w:hAnsiTheme="minorEastAsia"/>
                <w:szCs w:val="21"/>
              </w:rPr>
              <w:t>2 自动排烟窗、自动卷帘式挡烟垂壁选择B级可靠性占比80%以上的，得80分；</w:t>
            </w:r>
          </w:p>
          <w:p>
            <w:pPr>
              <w:widowControl/>
              <w:spacing w:before="163" w:after="97"/>
              <w:jc w:val="left"/>
              <w:rPr>
                <w:rFonts w:hint="eastAsia" w:cs="宋体" w:asciiTheme="minorEastAsia" w:hAnsiTheme="minorEastAsia"/>
                <w:szCs w:val="21"/>
              </w:rPr>
            </w:pPr>
            <w:r>
              <w:rPr>
                <w:rFonts w:hint="eastAsia" w:cs="宋体" w:asciiTheme="minorEastAsia" w:hAnsiTheme="minorEastAsia"/>
                <w:szCs w:val="21"/>
              </w:rPr>
              <w:t>3 自动排烟窗、自动卷帘式挡烟垂壁选择C级可靠性或全部采用手动开启自然排烟窗的，得60分。</w:t>
            </w:r>
          </w:p>
        </w:tc>
        <w:tc>
          <w:tcPr>
            <w:tcW w:w="709" w:type="dxa"/>
            <w:vAlign w:val="center"/>
          </w:tcPr>
          <w:p>
            <w:pPr>
              <w:widowControl/>
              <w:spacing w:before="163" w:after="97"/>
              <w:jc w:val="left"/>
              <w:rPr>
                <w:rFonts w:hint="eastAsia" w:ascii="宋体" w:hAnsi="宋体" w:cs="宋体"/>
                <w:szCs w:val="21"/>
              </w:rPr>
            </w:pPr>
            <w:r>
              <w:rPr>
                <w:rFonts w:hint="eastAsia" w:cs="宋体" w:asciiTheme="minorEastAsia" w:hAnsiTheme="minorEastAsia"/>
                <w:szCs w:val="21"/>
              </w:rPr>
              <w:t>0.30</w:t>
            </w:r>
          </w:p>
        </w:tc>
        <w:tc>
          <w:tcPr>
            <w:tcW w:w="3259" w:type="dxa"/>
            <w:vAlign w:val="center"/>
          </w:tcPr>
          <w:p>
            <w:pPr>
              <w:widowControl/>
              <w:spacing w:before="163" w:after="97"/>
              <w:jc w:val="left"/>
              <w:rPr>
                <w:rFonts w:hint="eastAsia" w:ascii="宋体" w:hAnsi="宋体" w:cs="宋体"/>
                <w:szCs w:val="21"/>
              </w:rPr>
            </w:pPr>
            <w:r>
              <w:rPr>
                <w:rFonts w:hint="eastAsia" w:ascii="宋体" w:hAnsi="宋体" w:cs="宋体"/>
                <w:szCs w:val="21"/>
              </w:rPr>
              <w:t>设备材料的可靠性，会对防排烟系统的最终效果产生较大影响，建议从设计阶段根据项目自身特点选择不同产品可靠性级别的自动排烟窗。</w:t>
            </w:r>
          </w:p>
        </w:tc>
      </w:tr>
    </w:tbl>
    <w:p>
      <w:pPr>
        <w:rPr>
          <w:rFonts w:eastAsia="宋体" w:cs="Times New Roman"/>
          <w:szCs w:val="24"/>
        </w:rPr>
      </w:pPr>
      <w:r>
        <w:rPr>
          <w:rFonts w:hint="eastAsia" w:eastAsia="宋体" w:cs="Times New Roman"/>
          <w:szCs w:val="24"/>
        </w:rPr>
        <w:t>备注：本项目的一级权重因子X1+X2+X3+X4=1.0，四者数值的分别确定，取决于这四类系统在评定项目中所占的工程量的百分比，其总和为100%（1.0）。</w:t>
      </w:r>
    </w:p>
    <w:p>
      <w:pPr>
        <w:widowControl/>
        <w:jc w:val="left"/>
      </w:pPr>
      <w:r>
        <w:rPr>
          <w:rFonts w:hint="eastAsia"/>
        </w:rPr>
        <w:br w:type="page"/>
      </w:r>
    </w:p>
    <w:p>
      <w:pPr>
        <w:widowControl/>
        <w:jc w:val="center"/>
      </w:pPr>
      <w:r>
        <w:rPr>
          <w:rFonts w:hint="eastAsia" w:ascii="宋体" w:hAnsi="宋体" w:eastAsia="宋体" w:cs="Times New Roman"/>
          <w:b/>
          <w:bCs/>
          <w:szCs w:val="21"/>
        </w:rPr>
        <w:t>表</w:t>
      </w:r>
      <w:r>
        <w:rPr>
          <w:rFonts w:ascii="宋体" w:hAnsi="宋体" w:eastAsia="宋体" w:cs="Times New Roman"/>
          <w:b/>
          <w:bCs/>
          <w:szCs w:val="21"/>
        </w:rPr>
        <w:t>4.2.</w:t>
      </w:r>
      <w:r>
        <w:rPr>
          <w:rFonts w:hint="eastAsia" w:ascii="宋体" w:hAnsi="宋体" w:eastAsia="宋体" w:cs="Times New Roman"/>
          <w:b/>
          <w:bCs/>
          <w:szCs w:val="21"/>
        </w:rPr>
        <w:t>8</w:t>
      </w:r>
      <w:r>
        <w:rPr>
          <w:rFonts w:ascii="宋体" w:hAnsi="宋体" w:eastAsia="宋体" w:cs="Times New Roman"/>
          <w:b/>
          <w:bCs/>
          <w:szCs w:val="21"/>
        </w:rPr>
        <w:t>-</w:t>
      </w:r>
      <w:r>
        <w:rPr>
          <w:rFonts w:hint="eastAsia" w:ascii="宋体" w:hAnsi="宋体" w:eastAsia="宋体" w:cs="Times New Roman"/>
          <w:b/>
          <w:bCs/>
          <w:szCs w:val="21"/>
        </w:rPr>
        <w:t>6</w:t>
      </w:r>
      <w:r>
        <w:rPr>
          <w:b/>
          <w:bCs/>
        </w:rPr>
        <w:t>防烟排烟系统设计</w:t>
      </w:r>
      <w:r>
        <w:rPr>
          <w:rFonts w:hint="eastAsia" w:ascii="宋体" w:hAnsi="宋体" w:eastAsia="宋体" w:cs="Times New Roman"/>
          <w:b/>
          <w:bCs/>
          <w:szCs w:val="21"/>
        </w:rPr>
        <w:t>优选项评定表</w:t>
      </w:r>
    </w:p>
    <w:tbl>
      <w:tblPr>
        <w:tblStyle w:val="17"/>
        <w:tblW w:w="13887" w:type="dxa"/>
        <w:tblInd w:w="0" w:type="dxa"/>
        <w:tblLayout w:type="fixed"/>
        <w:tblCellMar>
          <w:top w:w="0" w:type="dxa"/>
          <w:left w:w="108" w:type="dxa"/>
          <w:bottom w:w="0" w:type="dxa"/>
          <w:right w:w="108" w:type="dxa"/>
        </w:tblCellMar>
      </w:tblPr>
      <w:tblGrid>
        <w:gridCol w:w="704"/>
        <w:gridCol w:w="1896"/>
        <w:gridCol w:w="2948"/>
        <w:gridCol w:w="4228"/>
        <w:gridCol w:w="709"/>
        <w:gridCol w:w="3402"/>
      </w:tblGrid>
      <w:tr>
        <w:tblPrEx>
          <w:tblCellMar>
            <w:top w:w="0" w:type="dxa"/>
            <w:left w:w="108" w:type="dxa"/>
            <w:bottom w:w="0" w:type="dxa"/>
            <w:right w:w="108" w:type="dxa"/>
          </w:tblCellMar>
        </w:tblPrEx>
        <w:trPr>
          <w:trHeight w:val="280" w:hRule="atLeast"/>
        </w:trPr>
        <w:tc>
          <w:tcPr>
            <w:tcW w:w="704"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b/>
                <w:bCs/>
                <w:kern w:val="0"/>
                <w:szCs w:val="21"/>
              </w:rPr>
            </w:pPr>
            <w:r>
              <w:rPr>
                <w:rFonts w:hint="eastAsia" w:ascii="宋体" w:hAnsi="宋体" w:eastAsia="宋体" w:cs="宋体"/>
                <w:b/>
                <w:bCs/>
                <w:kern w:val="0"/>
                <w:szCs w:val="21"/>
              </w:rPr>
              <w:t>序号</w:t>
            </w:r>
          </w:p>
        </w:tc>
        <w:tc>
          <w:tcPr>
            <w:tcW w:w="1896"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eastAsia="宋体" w:cs="宋体"/>
                <w:b/>
                <w:bCs/>
                <w:kern w:val="0"/>
                <w:szCs w:val="21"/>
              </w:rPr>
            </w:pPr>
            <w:r>
              <w:rPr>
                <w:rFonts w:hint="eastAsia" w:ascii="宋体" w:hAnsi="宋体" w:eastAsia="宋体" w:cs="宋体"/>
                <w:b/>
                <w:bCs/>
                <w:kern w:val="0"/>
                <w:szCs w:val="21"/>
              </w:rPr>
              <w:t>评定指标</w:t>
            </w:r>
          </w:p>
        </w:tc>
        <w:tc>
          <w:tcPr>
            <w:tcW w:w="2948"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宋体"/>
                <w:b/>
                <w:bCs/>
                <w:kern w:val="0"/>
                <w:szCs w:val="21"/>
              </w:rPr>
            </w:pPr>
            <w:r>
              <w:rPr>
                <w:rFonts w:hint="eastAsia" w:ascii="宋体" w:hAnsi="宋体" w:eastAsia="宋体" w:cs="宋体"/>
                <w:b/>
                <w:bCs/>
                <w:kern w:val="0"/>
                <w:szCs w:val="21"/>
              </w:rPr>
              <w:t>优选项</w:t>
            </w:r>
          </w:p>
        </w:tc>
        <w:tc>
          <w:tcPr>
            <w:tcW w:w="4228"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eastAsia="宋体" w:cs="宋体"/>
                <w:b/>
                <w:bCs/>
                <w:kern w:val="0"/>
                <w:szCs w:val="21"/>
              </w:rPr>
            </w:pPr>
            <w:r>
              <w:rPr>
                <w:rFonts w:hint="eastAsia" w:ascii="宋体" w:hAnsi="宋体" w:eastAsia="宋体" w:cs="宋体"/>
                <w:b/>
                <w:bCs/>
                <w:kern w:val="0"/>
                <w:szCs w:val="21"/>
              </w:rPr>
              <w:t>评定方法</w:t>
            </w:r>
          </w:p>
        </w:tc>
        <w:tc>
          <w:tcPr>
            <w:tcW w:w="709" w:type="dxa"/>
            <w:tcBorders>
              <w:top w:val="single" w:color="auto" w:sz="4" w:space="0"/>
              <w:left w:val="nil"/>
              <w:bottom w:val="single" w:color="auto" w:sz="4" w:space="0"/>
              <w:right w:val="single" w:color="auto" w:sz="4" w:space="0"/>
            </w:tcBorders>
          </w:tcPr>
          <w:p>
            <w:pPr>
              <w:widowControl/>
              <w:jc w:val="center"/>
              <w:rPr>
                <w:rFonts w:hint="eastAsia" w:ascii="宋体" w:hAnsi="宋体" w:eastAsia="宋体" w:cs="宋体"/>
                <w:b/>
                <w:bCs/>
                <w:kern w:val="0"/>
                <w:szCs w:val="21"/>
              </w:rPr>
            </w:pPr>
            <w:r>
              <w:rPr>
                <w:rFonts w:hint="eastAsia" w:ascii="宋体" w:hAnsi="宋体" w:eastAsia="宋体" w:cs="宋体"/>
                <w:b/>
                <w:bCs/>
                <w:kern w:val="0"/>
                <w:szCs w:val="21"/>
              </w:rPr>
              <w:t>权重因子</w:t>
            </w:r>
          </w:p>
        </w:tc>
        <w:tc>
          <w:tcPr>
            <w:tcW w:w="3402"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b/>
                <w:bCs/>
                <w:kern w:val="0"/>
                <w:szCs w:val="21"/>
              </w:rPr>
            </w:pPr>
            <w:r>
              <w:rPr>
                <w:rFonts w:hint="eastAsia" w:ascii="宋体" w:hAnsi="宋体" w:eastAsia="宋体" w:cs="宋体"/>
                <w:b/>
                <w:bCs/>
                <w:kern w:val="0"/>
                <w:szCs w:val="21"/>
              </w:rPr>
              <w:t>说明</w:t>
            </w:r>
          </w:p>
        </w:tc>
      </w:tr>
      <w:tr>
        <w:tblPrEx>
          <w:tblCellMar>
            <w:top w:w="0" w:type="dxa"/>
            <w:left w:w="108" w:type="dxa"/>
            <w:bottom w:w="0" w:type="dxa"/>
            <w:right w:w="108" w:type="dxa"/>
          </w:tblCellMar>
        </w:tblPrEx>
        <w:trPr>
          <w:trHeight w:val="890" w:hRule="atLeast"/>
        </w:trPr>
        <w:tc>
          <w:tcPr>
            <w:tcW w:w="704"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kern w:val="0"/>
                <w:szCs w:val="21"/>
              </w:rPr>
            </w:pPr>
            <w:r>
              <w:rPr>
                <w:rFonts w:hint="eastAsia" w:ascii="宋体" w:hAnsi="宋体" w:eastAsia="宋体" w:cs="宋体"/>
                <w:kern w:val="0"/>
                <w:szCs w:val="21"/>
              </w:rPr>
              <w:t>1</w:t>
            </w:r>
          </w:p>
        </w:tc>
        <w:tc>
          <w:tcPr>
            <w:tcW w:w="1896"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Times New Roman"/>
                <w:szCs w:val="21"/>
              </w:rPr>
            </w:pPr>
            <w:r>
              <w:rPr>
                <w:rFonts w:hint="eastAsia" w:ascii="宋体" w:hAnsi="宋体" w:eastAsia="宋体" w:cs="Times New Roman"/>
                <w:szCs w:val="21"/>
              </w:rPr>
              <w:t>防排烟系统</w:t>
            </w:r>
          </w:p>
          <w:p>
            <w:pPr>
              <w:widowControl/>
              <w:jc w:val="center"/>
              <w:rPr>
                <w:rFonts w:hint="eastAsia" w:ascii="宋体" w:hAnsi="宋体" w:eastAsia="宋体" w:cs="宋体"/>
                <w:kern w:val="0"/>
                <w:szCs w:val="21"/>
              </w:rPr>
            </w:pPr>
            <w:r>
              <w:rPr>
                <w:rFonts w:hint="eastAsia" w:ascii="宋体" w:hAnsi="宋体" w:eastAsia="宋体" w:cs="Times New Roman"/>
                <w:szCs w:val="21"/>
              </w:rPr>
              <w:t>设计形式</w:t>
            </w:r>
          </w:p>
        </w:tc>
        <w:tc>
          <w:tcPr>
            <w:tcW w:w="2948" w:type="dxa"/>
            <w:tcBorders>
              <w:top w:val="single" w:color="auto" w:sz="4" w:space="0"/>
              <w:left w:val="nil"/>
              <w:bottom w:val="single" w:color="auto" w:sz="4" w:space="0"/>
              <w:right w:val="single" w:color="auto" w:sz="4" w:space="0"/>
            </w:tcBorders>
            <w:vAlign w:val="center"/>
          </w:tcPr>
          <w:p>
            <w:pPr>
              <w:widowControl/>
              <w:jc w:val="left"/>
              <w:rPr>
                <w:rFonts w:hint="eastAsia" w:ascii="宋体" w:hAnsi="宋体" w:eastAsia="宋体" w:cs="宋体"/>
                <w:kern w:val="0"/>
                <w:szCs w:val="21"/>
              </w:rPr>
            </w:pPr>
            <w:r>
              <w:rPr>
                <w:rFonts w:hint="eastAsia" w:ascii="宋体" w:hAnsi="宋体" w:eastAsia="宋体" w:cs="Times New Roman"/>
                <w:szCs w:val="21"/>
              </w:rPr>
              <w:t>防烟排烟需求优先采用自然通风系统</w:t>
            </w:r>
          </w:p>
        </w:tc>
        <w:tc>
          <w:tcPr>
            <w:tcW w:w="4228" w:type="dxa"/>
            <w:tcBorders>
              <w:top w:val="single" w:color="auto" w:sz="4" w:space="0"/>
              <w:left w:val="nil"/>
              <w:bottom w:val="single" w:color="auto" w:sz="4" w:space="0"/>
              <w:right w:val="single" w:color="auto" w:sz="4" w:space="0"/>
            </w:tcBorders>
            <w:vAlign w:val="center"/>
          </w:tcPr>
          <w:p>
            <w:pPr>
              <w:widowControl/>
              <w:jc w:val="left"/>
              <w:rPr>
                <w:rFonts w:hint="eastAsia" w:ascii="宋体" w:hAnsi="宋体" w:eastAsia="宋体" w:cs="Times New Roman"/>
                <w:szCs w:val="21"/>
              </w:rPr>
            </w:pPr>
            <w:r>
              <w:rPr>
                <w:rFonts w:hint="eastAsia" w:ascii="宋体" w:hAnsi="宋体" w:eastAsia="宋体" w:cs="Times New Roman"/>
                <w:szCs w:val="21"/>
              </w:rPr>
              <w:t>设置自然通风防烟排烟可以满足规范要求的，应优先采用自然通风系统，得1分；</w:t>
            </w:r>
          </w:p>
        </w:tc>
        <w:tc>
          <w:tcPr>
            <w:tcW w:w="709"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Times New Roman"/>
                <w:szCs w:val="21"/>
              </w:rPr>
            </w:pPr>
            <w:r>
              <w:rPr>
                <w:rFonts w:hint="eastAsia" w:ascii="宋体" w:hAnsi="宋体" w:eastAsia="宋体" w:cs="宋体"/>
                <w:kern w:val="0"/>
                <w:szCs w:val="21"/>
              </w:rPr>
              <w:t>1.0</w:t>
            </w:r>
          </w:p>
        </w:tc>
        <w:tc>
          <w:tcPr>
            <w:tcW w:w="3402"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hint="eastAsia" w:ascii="宋体" w:hAnsi="宋体" w:eastAsia="宋体" w:cs="宋体"/>
                <w:kern w:val="0"/>
                <w:szCs w:val="21"/>
              </w:rPr>
            </w:pPr>
            <w:r>
              <w:rPr>
                <w:rFonts w:hint="eastAsia" w:ascii="宋体" w:hAnsi="宋体" w:eastAsia="宋体" w:cs="宋体"/>
                <w:kern w:val="0"/>
                <w:szCs w:val="21"/>
              </w:rPr>
              <w:t>自然通风简单易行、维护方便，经济性、安全性更有保障。</w:t>
            </w:r>
          </w:p>
          <w:p>
            <w:pPr>
              <w:widowControl/>
              <w:jc w:val="left"/>
              <w:rPr>
                <w:rFonts w:hint="eastAsia" w:ascii="宋体" w:hAnsi="宋体" w:eastAsia="宋体" w:cs="宋体"/>
                <w:kern w:val="0"/>
                <w:szCs w:val="21"/>
              </w:rPr>
            </w:pPr>
            <w:r>
              <w:rPr>
                <w:rFonts w:hint="eastAsia" w:ascii="宋体" w:hAnsi="宋体" w:eastAsia="宋体" w:cs="宋体"/>
                <w:kern w:val="0"/>
                <w:szCs w:val="21"/>
              </w:rPr>
              <w:t>有些高层住宅靠外墙的楼梯间或超高层建筑，设置自然通风外窗可以有效进行防烟排烟的，就不宜设置机械防排烟设施。</w:t>
            </w:r>
          </w:p>
        </w:tc>
      </w:tr>
      <w:tr>
        <w:tblPrEx>
          <w:tblCellMar>
            <w:top w:w="0" w:type="dxa"/>
            <w:left w:w="108" w:type="dxa"/>
            <w:bottom w:w="0" w:type="dxa"/>
            <w:right w:w="108" w:type="dxa"/>
          </w:tblCellMar>
        </w:tblPrEx>
        <w:trPr>
          <w:trHeight w:val="890" w:hRule="atLeast"/>
        </w:trPr>
        <w:tc>
          <w:tcPr>
            <w:tcW w:w="704"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kern w:val="0"/>
                <w:szCs w:val="21"/>
              </w:rPr>
            </w:pPr>
            <w:r>
              <w:rPr>
                <w:rFonts w:hint="eastAsia" w:ascii="宋体" w:hAnsi="宋体" w:eastAsia="宋体" w:cs="宋体"/>
                <w:kern w:val="0"/>
                <w:szCs w:val="21"/>
              </w:rPr>
              <w:t>2</w:t>
            </w:r>
          </w:p>
        </w:tc>
        <w:tc>
          <w:tcPr>
            <w:tcW w:w="1896"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Times New Roman"/>
                <w:szCs w:val="21"/>
              </w:rPr>
            </w:pPr>
            <w:r>
              <w:rPr>
                <w:rFonts w:hint="eastAsia" w:ascii="宋体" w:hAnsi="宋体" w:eastAsia="宋体" w:cs="Times New Roman"/>
                <w:szCs w:val="21"/>
              </w:rPr>
              <w:t>防排烟系统</w:t>
            </w:r>
          </w:p>
          <w:p>
            <w:pPr>
              <w:widowControl/>
              <w:jc w:val="center"/>
              <w:rPr>
                <w:rFonts w:hint="eastAsia" w:ascii="宋体" w:hAnsi="宋体" w:eastAsia="宋体" w:cs="Times New Roman"/>
                <w:szCs w:val="21"/>
              </w:rPr>
            </w:pPr>
            <w:r>
              <w:rPr>
                <w:rFonts w:hint="eastAsia" w:ascii="宋体" w:hAnsi="宋体" w:eastAsia="宋体" w:cs="Times New Roman"/>
                <w:szCs w:val="21"/>
              </w:rPr>
              <w:t>通风计算与试验</w:t>
            </w:r>
          </w:p>
        </w:tc>
        <w:tc>
          <w:tcPr>
            <w:tcW w:w="2948" w:type="dxa"/>
            <w:tcBorders>
              <w:top w:val="single" w:color="auto" w:sz="4" w:space="0"/>
              <w:left w:val="nil"/>
              <w:bottom w:val="single" w:color="auto" w:sz="4" w:space="0"/>
              <w:right w:val="single" w:color="auto" w:sz="4" w:space="0"/>
            </w:tcBorders>
            <w:vAlign w:val="center"/>
          </w:tcPr>
          <w:p>
            <w:pPr>
              <w:widowControl/>
              <w:jc w:val="left"/>
              <w:rPr>
                <w:rFonts w:hint="eastAsia" w:ascii="宋体" w:hAnsi="宋体" w:eastAsia="宋体" w:cs="Times New Roman"/>
                <w:szCs w:val="21"/>
              </w:rPr>
            </w:pPr>
            <w:r>
              <w:rPr>
                <w:rFonts w:hint="eastAsia" w:ascii="宋体" w:hAnsi="宋体" w:eastAsia="宋体" w:cs="Times New Roman"/>
                <w:szCs w:val="21"/>
              </w:rPr>
              <w:t>CFD数值模拟计算及实体试验</w:t>
            </w:r>
          </w:p>
        </w:tc>
        <w:tc>
          <w:tcPr>
            <w:tcW w:w="4228" w:type="dxa"/>
            <w:tcBorders>
              <w:top w:val="single" w:color="auto" w:sz="4" w:space="0"/>
              <w:left w:val="nil"/>
              <w:bottom w:val="single" w:color="auto" w:sz="4" w:space="0"/>
              <w:right w:val="single" w:color="auto" w:sz="4" w:space="0"/>
            </w:tcBorders>
            <w:vAlign w:val="center"/>
          </w:tcPr>
          <w:p>
            <w:pPr>
              <w:widowControl/>
              <w:jc w:val="left"/>
              <w:rPr>
                <w:rFonts w:hint="eastAsia" w:ascii="宋体" w:hAnsi="宋体" w:eastAsia="宋体" w:cs="Times New Roman"/>
                <w:szCs w:val="21"/>
              </w:rPr>
            </w:pPr>
            <w:r>
              <w:rPr>
                <w:rFonts w:hint="eastAsia" w:ascii="宋体" w:hAnsi="宋体" w:eastAsia="宋体" w:cs="Times New Roman"/>
                <w:szCs w:val="21"/>
              </w:rPr>
              <w:t>防烟排烟设计对于某些难点区域进行了CFD数值模拟计算及实体试验，获得了科学合理的设计手段，得2分。</w:t>
            </w:r>
          </w:p>
        </w:tc>
        <w:tc>
          <w:tcPr>
            <w:tcW w:w="709"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宋体"/>
                <w:kern w:val="0"/>
                <w:szCs w:val="21"/>
              </w:rPr>
            </w:pPr>
            <w:r>
              <w:rPr>
                <w:rFonts w:hint="eastAsia" w:ascii="宋体" w:hAnsi="宋体" w:eastAsia="宋体" w:cs="宋体"/>
                <w:kern w:val="0"/>
                <w:szCs w:val="21"/>
              </w:rPr>
              <w:t>1.0</w:t>
            </w:r>
          </w:p>
        </w:tc>
        <w:tc>
          <w:tcPr>
            <w:tcW w:w="3402"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hint="eastAsia" w:ascii="宋体" w:hAnsi="宋体" w:eastAsia="宋体" w:cs="宋体"/>
                <w:kern w:val="0"/>
                <w:szCs w:val="21"/>
              </w:rPr>
            </w:pPr>
            <w:r>
              <w:rPr>
                <w:rFonts w:hint="eastAsia" w:ascii="宋体" w:hAnsi="宋体" w:eastAsia="宋体" w:cs="宋体"/>
                <w:kern w:val="0"/>
                <w:szCs w:val="21"/>
              </w:rPr>
              <w:t>对于复杂工程情形的防排烟设计，为提高可靠性推荐采用性能化设计的手段提高可靠性。</w:t>
            </w:r>
          </w:p>
        </w:tc>
      </w:tr>
    </w:tbl>
    <w:p>
      <w:pPr>
        <w:widowControl/>
        <w:jc w:val="left"/>
        <w:rPr>
          <w:rFonts w:eastAsia="宋体" w:cs="Times New Roman"/>
          <w:szCs w:val="24"/>
        </w:rPr>
      </w:pPr>
      <w:r>
        <w:rPr>
          <w:rFonts w:eastAsia="宋体" w:cs="Times New Roman"/>
          <w:szCs w:val="24"/>
        </w:rPr>
        <w:br w:type="page"/>
      </w:r>
    </w:p>
    <w:p>
      <w:pPr>
        <w:rPr>
          <w:rFonts w:cs="Times New Roman"/>
        </w:rPr>
      </w:pPr>
      <w:bookmarkStart w:id="100" w:name="_Toc206760198"/>
      <w:bookmarkStart w:id="101" w:name="_Toc206758008"/>
      <w:r>
        <w:t>4.2.</w:t>
      </w:r>
      <w:r>
        <w:rPr>
          <w:rFonts w:hint="eastAsia"/>
        </w:rPr>
        <w:t>9</w:t>
      </w:r>
      <w:bookmarkEnd w:id="100"/>
      <w:bookmarkEnd w:id="101"/>
      <w:bookmarkStart w:id="102" w:name="_Hlk192591542"/>
      <w:r>
        <w:t>防烟排烟系统</w:t>
      </w:r>
      <w:r>
        <w:rPr>
          <w:rFonts w:hint="eastAsia"/>
        </w:rPr>
        <w:t>施工与调试分为机械加压送风防烟系统、</w:t>
      </w:r>
      <w:r>
        <w:rPr>
          <w:rFonts w:hint="eastAsia" w:eastAsia="宋体" w:cs="Times New Roman"/>
        </w:rPr>
        <w:t>机械排烟</w:t>
      </w:r>
      <w:r>
        <w:rPr>
          <w:rFonts w:hint="eastAsia" w:cs="Times New Roman"/>
        </w:rPr>
        <w:t>、</w:t>
      </w:r>
      <w:r>
        <w:rPr>
          <w:rFonts w:hint="eastAsia"/>
        </w:rPr>
        <w:t>自然通风防烟/排烟系统</w:t>
      </w:r>
      <w:r>
        <w:rPr>
          <w:rFonts w:hint="eastAsia" w:cs="Times New Roman"/>
        </w:rPr>
        <w:t>三大类，</w:t>
      </w:r>
      <w:r>
        <w:rPr>
          <w:rFonts w:hint="eastAsia"/>
        </w:rPr>
        <w:t>该部分内容的</w:t>
      </w:r>
      <w:r>
        <w:rPr>
          <w:rFonts w:hint="eastAsia" w:asciiTheme="minorEastAsia" w:hAnsiTheme="minorEastAsia"/>
        </w:rPr>
        <w:t>控制项评定、评分项评定、优选项评定，应分别符合表</w:t>
      </w:r>
      <w:r>
        <w:rPr>
          <w:rFonts w:cs="Times New Roman"/>
        </w:rPr>
        <w:t>4.2.</w:t>
      </w:r>
      <w:r>
        <w:rPr>
          <w:rFonts w:hint="eastAsia" w:cs="Times New Roman"/>
        </w:rPr>
        <w:t>9-</w:t>
      </w:r>
      <w:r>
        <w:rPr>
          <w:rFonts w:cs="Times New Roman"/>
        </w:rPr>
        <w:t>1</w:t>
      </w:r>
      <w:r>
        <w:rPr>
          <w:rFonts w:hint="eastAsia" w:asciiTheme="minorEastAsia" w:hAnsiTheme="minorEastAsia"/>
        </w:rPr>
        <w:t>、表</w:t>
      </w:r>
      <w:r>
        <w:rPr>
          <w:rFonts w:cs="Times New Roman"/>
        </w:rPr>
        <w:t>4.2.</w:t>
      </w:r>
      <w:r>
        <w:rPr>
          <w:rFonts w:hint="eastAsia" w:cs="Times New Roman"/>
        </w:rPr>
        <w:t>9-</w:t>
      </w:r>
      <w:r>
        <w:rPr>
          <w:rFonts w:cs="Times New Roman"/>
        </w:rPr>
        <w:t>2</w:t>
      </w:r>
      <w:r>
        <w:rPr>
          <w:rFonts w:hint="eastAsia" w:asciiTheme="minorEastAsia" w:hAnsiTheme="minorEastAsia"/>
        </w:rPr>
        <w:t>、表</w:t>
      </w:r>
      <w:r>
        <w:rPr>
          <w:rFonts w:cs="Times New Roman"/>
        </w:rPr>
        <w:t>4.2.</w:t>
      </w:r>
      <w:r>
        <w:rPr>
          <w:rFonts w:hint="eastAsia" w:cs="Times New Roman"/>
        </w:rPr>
        <w:t>9-</w:t>
      </w:r>
      <w:r>
        <w:rPr>
          <w:rFonts w:cs="Times New Roman"/>
        </w:rPr>
        <w:t>3</w:t>
      </w:r>
      <w:r>
        <w:rPr>
          <w:rFonts w:hint="eastAsia" w:cs="Times New Roman"/>
        </w:rPr>
        <w:t>、</w:t>
      </w:r>
      <w:r>
        <w:rPr>
          <w:rFonts w:hint="eastAsia" w:asciiTheme="minorEastAsia" w:hAnsiTheme="minorEastAsia"/>
        </w:rPr>
        <w:t>表</w:t>
      </w:r>
      <w:r>
        <w:rPr>
          <w:rFonts w:cs="Times New Roman"/>
        </w:rPr>
        <w:t>4.2.</w:t>
      </w:r>
      <w:r>
        <w:rPr>
          <w:rFonts w:hint="eastAsia" w:cs="Times New Roman"/>
        </w:rPr>
        <w:t>9-4</w:t>
      </w:r>
      <w:r>
        <w:rPr>
          <w:rFonts w:hint="eastAsia" w:asciiTheme="minorEastAsia" w:hAnsiTheme="minorEastAsia"/>
        </w:rPr>
        <w:t>、表</w:t>
      </w:r>
      <w:r>
        <w:rPr>
          <w:rFonts w:cs="Times New Roman"/>
        </w:rPr>
        <w:t>4.2.</w:t>
      </w:r>
      <w:r>
        <w:rPr>
          <w:rFonts w:hint="eastAsia" w:cs="Times New Roman"/>
        </w:rPr>
        <w:t>9-5的规定。</w:t>
      </w:r>
    </w:p>
    <w:p>
      <w:pPr>
        <w:widowControl/>
        <w:jc w:val="center"/>
      </w:pPr>
      <w:bookmarkStart w:id="103" w:name="OLE_LINK46"/>
      <w:r>
        <w:rPr>
          <w:rFonts w:hint="eastAsia" w:ascii="宋体" w:hAnsi="宋体" w:eastAsia="宋体" w:cs="Times New Roman"/>
          <w:b/>
          <w:bCs/>
          <w:szCs w:val="21"/>
        </w:rPr>
        <w:t>表</w:t>
      </w:r>
      <w:r>
        <w:rPr>
          <w:rFonts w:ascii="宋体" w:hAnsi="宋体" w:eastAsia="宋体" w:cs="Times New Roman"/>
          <w:b/>
          <w:bCs/>
          <w:szCs w:val="21"/>
        </w:rPr>
        <w:t>4.2.</w:t>
      </w:r>
      <w:r>
        <w:rPr>
          <w:rFonts w:hint="eastAsia" w:ascii="宋体" w:hAnsi="宋体" w:eastAsia="宋体" w:cs="Times New Roman"/>
          <w:b/>
          <w:bCs/>
          <w:szCs w:val="21"/>
        </w:rPr>
        <w:t>9</w:t>
      </w:r>
      <w:r>
        <w:rPr>
          <w:rFonts w:ascii="宋体" w:hAnsi="宋体" w:eastAsia="宋体" w:cs="Times New Roman"/>
          <w:b/>
          <w:bCs/>
          <w:szCs w:val="21"/>
        </w:rPr>
        <w:t>-</w:t>
      </w:r>
      <w:r>
        <w:rPr>
          <w:rFonts w:hint="eastAsia" w:ascii="宋体" w:hAnsi="宋体" w:eastAsia="宋体" w:cs="Times New Roman"/>
          <w:b/>
          <w:bCs/>
          <w:szCs w:val="21"/>
        </w:rPr>
        <w:t>1</w:t>
      </w:r>
      <w:r>
        <w:rPr>
          <w:b/>
          <w:bCs/>
        </w:rPr>
        <w:t>防烟排烟系统</w:t>
      </w:r>
      <w:r>
        <w:rPr>
          <w:rFonts w:hint="eastAsia"/>
          <w:b/>
          <w:bCs/>
        </w:rPr>
        <w:t>施工与调试</w:t>
      </w:r>
      <w:r>
        <w:rPr>
          <w:rFonts w:hint="eastAsia" w:ascii="宋体" w:hAnsi="宋体" w:eastAsia="宋体" w:cs="Times New Roman"/>
          <w:b/>
          <w:bCs/>
          <w:szCs w:val="21"/>
        </w:rPr>
        <w:t>控制项评定表</w:t>
      </w:r>
    </w:p>
    <w:bookmarkEnd w:id="103"/>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2512"/>
        <w:gridCol w:w="3867"/>
        <w:gridCol w:w="3702"/>
        <w:gridCol w:w="25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704" w:type="dxa"/>
            <w:noWrap/>
            <w:vAlign w:val="center"/>
          </w:tcPr>
          <w:p>
            <w:pPr>
              <w:jc w:val="center"/>
              <w:rPr>
                <w:rFonts w:eastAsia="宋体" w:cs="Times New Roman"/>
                <w:b/>
                <w:bCs/>
                <w:szCs w:val="21"/>
              </w:rPr>
            </w:pPr>
            <w:r>
              <w:rPr>
                <w:rFonts w:hint="eastAsia" w:eastAsia="宋体" w:cs="Times New Roman"/>
                <w:b/>
                <w:bCs/>
                <w:szCs w:val="21"/>
              </w:rPr>
              <w:t>序号</w:t>
            </w:r>
          </w:p>
        </w:tc>
        <w:tc>
          <w:tcPr>
            <w:tcW w:w="2512" w:type="dxa"/>
            <w:noWrap/>
            <w:vAlign w:val="center"/>
          </w:tcPr>
          <w:p>
            <w:pPr>
              <w:jc w:val="center"/>
              <w:rPr>
                <w:rFonts w:eastAsia="宋体" w:cs="Times New Roman"/>
                <w:b/>
                <w:bCs/>
                <w:szCs w:val="21"/>
              </w:rPr>
            </w:pPr>
            <w:r>
              <w:rPr>
                <w:rFonts w:hint="eastAsia" w:eastAsia="宋体" w:cs="Times New Roman"/>
                <w:b/>
                <w:bCs/>
                <w:szCs w:val="21"/>
              </w:rPr>
              <w:t>评定指标</w:t>
            </w:r>
          </w:p>
        </w:tc>
        <w:tc>
          <w:tcPr>
            <w:tcW w:w="3867" w:type="dxa"/>
            <w:vAlign w:val="center"/>
          </w:tcPr>
          <w:p>
            <w:pPr>
              <w:jc w:val="center"/>
              <w:rPr>
                <w:rFonts w:eastAsia="宋体" w:cs="Times New Roman"/>
                <w:b/>
                <w:bCs/>
                <w:szCs w:val="21"/>
              </w:rPr>
            </w:pPr>
            <w:r>
              <w:rPr>
                <w:rFonts w:hint="eastAsia" w:eastAsia="宋体" w:cs="Times New Roman"/>
                <w:b/>
                <w:bCs/>
                <w:szCs w:val="21"/>
              </w:rPr>
              <w:t>控制项</w:t>
            </w:r>
          </w:p>
        </w:tc>
        <w:tc>
          <w:tcPr>
            <w:tcW w:w="3702" w:type="dxa"/>
            <w:noWrap/>
            <w:vAlign w:val="center"/>
          </w:tcPr>
          <w:p>
            <w:pPr>
              <w:jc w:val="center"/>
              <w:rPr>
                <w:rFonts w:eastAsia="宋体" w:cs="Times New Roman"/>
                <w:b/>
                <w:bCs/>
                <w:szCs w:val="21"/>
              </w:rPr>
            </w:pPr>
            <w:r>
              <w:rPr>
                <w:rFonts w:hint="eastAsia" w:eastAsia="宋体" w:cs="Times New Roman"/>
                <w:b/>
                <w:bCs/>
                <w:szCs w:val="21"/>
              </w:rPr>
              <w:t>评定方法</w:t>
            </w:r>
          </w:p>
        </w:tc>
        <w:tc>
          <w:tcPr>
            <w:tcW w:w="2596" w:type="dxa"/>
            <w:noWrap/>
            <w:vAlign w:val="center"/>
          </w:tcPr>
          <w:p>
            <w:pPr>
              <w:jc w:val="center"/>
              <w:rPr>
                <w:rFonts w:eastAsia="宋体" w:cs="Times New Roman"/>
                <w:b/>
                <w:bCs/>
                <w:szCs w:val="21"/>
              </w:rPr>
            </w:pPr>
            <w:r>
              <w:rPr>
                <w:rFonts w:hint="eastAsia" w:eastAsia="宋体" w:cs="Times New Roman"/>
                <w:b/>
                <w:bCs/>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704" w:type="dxa"/>
            <w:noWrap/>
            <w:vAlign w:val="center"/>
          </w:tcPr>
          <w:p>
            <w:pPr>
              <w:jc w:val="center"/>
              <w:rPr>
                <w:rFonts w:hint="eastAsia" w:cs="Times New Roman" w:asciiTheme="minorEastAsia" w:hAnsiTheme="minorEastAsia"/>
                <w:szCs w:val="21"/>
              </w:rPr>
            </w:pPr>
            <w:r>
              <w:rPr>
                <w:rFonts w:hint="eastAsia" w:cs="Times New Roman" w:asciiTheme="minorEastAsia" w:hAnsiTheme="minorEastAsia"/>
                <w:szCs w:val="21"/>
              </w:rPr>
              <w:t>1</w:t>
            </w:r>
          </w:p>
        </w:tc>
        <w:tc>
          <w:tcPr>
            <w:tcW w:w="2512"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施工单位资质与人员从业资格</w:t>
            </w:r>
          </w:p>
        </w:tc>
        <w:tc>
          <w:tcPr>
            <w:tcW w:w="3867"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施工单位应具有三级或以上的资质，施工团队项目经理具有中级职称或二级建造师以上执业资格、工长具备不低于该专业的初级技术职称；</w:t>
            </w:r>
          </w:p>
        </w:tc>
        <w:tc>
          <w:tcPr>
            <w:tcW w:w="3702"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不满足施工资质、项目施工团队主要人员从业资格不达标的直接判定为D级</w:t>
            </w:r>
          </w:p>
        </w:tc>
        <w:tc>
          <w:tcPr>
            <w:tcW w:w="2596" w:type="dxa"/>
            <w:noWrap/>
            <w:vAlign w:val="center"/>
          </w:tcPr>
          <w:p>
            <w:pPr>
              <w:rPr>
                <w:rFonts w:hint="eastAsia" w:cs="Times New Roman" w:asciiTheme="minorEastAsia" w:hAnsi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04" w:type="dxa"/>
            <w:noWrap/>
            <w:vAlign w:val="center"/>
          </w:tcPr>
          <w:p>
            <w:pPr>
              <w:jc w:val="center"/>
              <w:rPr>
                <w:rFonts w:hint="eastAsia" w:cs="Times New Roman" w:asciiTheme="minorEastAsia" w:hAnsiTheme="minorEastAsia"/>
                <w:szCs w:val="21"/>
              </w:rPr>
            </w:pPr>
            <w:r>
              <w:rPr>
                <w:rFonts w:hint="eastAsia" w:cs="Times New Roman" w:asciiTheme="minorEastAsia" w:hAnsiTheme="minorEastAsia"/>
                <w:szCs w:val="21"/>
              </w:rPr>
              <w:t>2</w:t>
            </w:r>
          </w:p>
        </w:tc>
        <w:tc>
          <w:tcPr>
            <w:tcW w:w="2512"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是否具备专业的施工设备与相关检测、调试仪器设施</w:t>
            </w:r>
          </w:p>
        </w:tc>
        <w:tc>
          <w:tcPr>
            <w:tcW w:w="3867"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防排烟系统施工中，应具备必要的现场施工设备、检测与调试设施。</w:t>
            </w:r>
          </w:p>
        </w:tc>
        <w:tc>
          <w:tcPr>
            <w:tcW w:w="3702"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检查施工企业与防排烟相关的施工及检测、调试设施，如果数量与质量不满足要求，则直接判定为D级</w:t>
            </w:r>
          </w:p>
        </w:tc>
        <w:tc>
          <w:tcPr>
            <w:tcW w:w="2596" w:type="dxa"/>
            <w:vAlign w:val="center"/>
          </w:tcPr>
          <w:p>
            <w:pPr>
              <w:rPr>
                <w:rFonts w:hint="eastAsia" w:cs="Times New Roman" w:asciiTheme="minorEastAsia" w:hAnsi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5" w:hRule="atLeast"/>
        </w:trPr>
        <w:tc>
          <w:tcPr>
            <w:tcW w:w="704" w:type="dxa"/>
            <w:noWrap/>
            <w:vAlign w:val="center"/>
          </w:tcPr>
          <w:p>
            <w:pPr>
              <w:jc w:val="center"/>
              <w:rPr>
                <w:rFonts w:hint="eastAsia" w:cs="Times New Roman" w:asciiTheme="minorEastAsia" w:hAnsiTheme="minorEastAsia"/>
                <w:szCs w:val="21"/>
              </w:rPr>
            </w:pPr>
            <w:r>
              <w:rPr>
                <w:rFonts w:hint="eastAsia" w:cs="Times New Roman" w:asciiTheme="minorEastAsia" w:hAnsiTheme="minorEastAsia"/>
                <w:szCs w:val="21"/>
              </w:rPr>
              <w:t>3</w:t>
            </w:r>
          </w:p>
        </w:tc>
        <w:tc>
          <w:tcPr>
            <w:tcW w:w="2512"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近三年是否出现防排烟施工责任事故</w:t>
            </w:r>
          </w:p>
        </w:tc>
        <w:tc>
          <w:tcPr>
            <w:tcW w:w="3867"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以申请评定时间计，施工单位在三年内防排烟相关工程施工中，没有因施工质量而出现人员伤亡与财产损失的责任事故；</w:t>
            </w:r>
          </w:p>
        </w:tc>
        <w:tc>
          <w:tcPr>
            <w:tcW w:w="3702"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如果在规定时间内防排烟施工存在以上所述的不良记录，申请评定直接判定为D级</w:t>
            </w:r>
          </w:p>
        </w:tc>
        <w:tc>
          <w:tcPr>
            <w:tcW w:w="2596" w:type="dxa"/>
            <w:vAlign w:val="center"/>
          </w:tcPr>
          <w:p>
            <w:pPr>
              <w:rPr>
                <w:rFonts w:hint="eastAsia" w:cs="Times New Roman" w:asciiTheme="minorEastAsia" w:hAnsiTheme="minorEastAsia"/>
                <w:szCs w:val="21"/>
              </w:rPr>
            </w:pPr>
          </w:p>
        </w:tc>
      </w:tr>
    </w:tbl>
    <w:p>
      <w:pPr>
        <w:widowControl/>
        <w:jc w:val="center"/>
        <w:rPr>
          <w:b/>
          <w:bCs/>
        </w:rPr>
      </w:pPr>
      <w:r>
        <w:rPr>
          <w:rFonts w:ascii="宋体" w:hAnsi="宋体" w:eastAsia="宋体" w:cs="Times New Roman"/>
          <w:b/>
          <w:bCs/>
          <w:szCs w:val="21"/>
        </w:rPr>
        <w:t>4.2.</w:t>
      </w:r>
      <w:r>
        <w:rPr>
          <w:rFonts w:hint="eastAsia" w:ascii="宋体" w:hAnsi="宋体" w:eastAsia="宋体" w:cs="Times New Roman"/>
          <w:b/>
          <w:bCs/>
          <w:szCs w:val="21"/>
        </w:rPr>
        <w:t>9</w:t>
      </w:r>
      <w:r>
        <w:rPr>
          <w:rFonts w:ascii="宋体" w:hAnsi="宋体" w:eastAsia="宋体" w:cs="Times New Roman"/>
          <w:b/>
          <w:bCs/>
          <w:szCs w:val="21"/>
        </w:rPr>
        <w:t>-</w:t>
      </w:r>
      <w:r>
        <w:rPr>
          <w:rFonts w:hint="eastAsia" w:ascii="宋体" w:hAnsi="宋体" w:eastAsia="宋体" w:cs="Times New Roman"/>
          <w:b/>
          <w:bCs/>
          <w:szCs w:val="21"/>
        </w:rPr>
        <w:t>2</w:t>
      </w:r>
      <w:r>
        <w:rPr>
          <w:rFonts w:hint="eastAsia"/>
          <w:b/>
          <w:bCs/>
        </w:rPr>
        <w:t>机械加压送风防烟</w:t>
      </w:r>
      <w:r>
        <w:rPr>
          <w:b/>
          <w:bCs/>
        </w:rPr>
        <w:t>系统</w:t>
      </w:r>
      <w:r>
        <w:rPr>
          <w:rFonts w:hint="eastAsia"/>
          <w:b/>
          <w:bCs/>
        </w:rPr>
        <w:t>施工与调试</w:t>
      </w:r>
      <w:r>
        <w:rPr>
          <w:rFonts w:hint="eastAsia" w:ascii="宋体" w:hAnsi="宋体" w:eastAsia="宋体" w:cs="Times New Roman"/>
          <w:b/>
          <w:bCs/>
          <w:szCs w:val="21"/>
        </w:rPr>
        <w:t>评分项评定表</w:t>
      </w:r>
      <w:bookmarkStart w:id="104" w:name="_Hlk203584994"/>
      <w:r>
        <w:rPr>
          <w:rFonts w:hint="eastAsia"/>
          <w:b/>
          <w:bCs/>
        </w:rPr>
        <w:t>（一级权重因子：X1）</w:t>
      </w:r>
      <w:bookmarkEnd w:id="104"/>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6"/>
        <w:gridCol w:w="1615"/>
        <w:gridCol w:w="2637"/>
        <w:gridCol w:w="851"/>
        <w:gridCol w:w="3685"/>
        <w:gridCol w:w="859"/>
        <w:gridCol w:w="28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blHeader/>
          <w:jc w:val="center"/>
        </w:trPr>
        <w:tc>
          <w:tcPr>
            <w:tcW w:w="846" w:type="dxa"/>
            <w:noWrap/>
            <w:vAlign w:val="center"/>
          </w:tcPr>
          <w:p>
            <w:pPr>
              <w:jc w:val="center"/>
              <w:rPr>
                <w:rFonts w:hint="eastAsia" w:cs="Times New Roman" w:asciiTheme="minorEastAsia" w:hAnsiTheme="minorEastAsia"/>
                <w:b/>
                <w:bCs/>
                <w:szCs w:val="21"/>
              </w:rPr>
            </w:pPr>
            <w:r>
              <w:rPr>
                <w:rFonts w:hint="eastAsia" w:cs="Times New Roman" w:asciiTheme="minorEastAsia" w:hAnsiTheme="minorEastAsia"/>
                <w:b/>
                <w:bCs/>
                <w:szCs w:val="21"/>
              </w:rPr>
              <w:t>序号</w:t>
            </w:r>
          </w:p>
        </w:tc>
        <w:tc>
          <w:tcPr>
            <w:tcW w:w="1615" w:type="dxa"/>
            <w:noWrap/>
            <w:vAlign w:val="center"/>
          </w:tcPr>
          <w:p>
            <w:pPr>
              <w:jc w:val="center"/>
              <w:rPr>
                <w:rFonts w:hint="eastAsia" w:cs="Times New Roman" w:asciiTheme="minorEastAsia" w:hAnsiTheme="minorEastAsia"/>
                <w:b/>
                <w:bCs/>
                <w:szCs w:val="21"/>
              </w:rPr>
            </w:pPr>
            <w:r>
              <w:rPr>
                <w:rFonts w:hint="eastAsia" w:cs="Times New Roman" w:asciiTheme="minorEastAsia" w:hAnsiTheme="minorEastAsia"/>
                <w:b/>
                <w:bCs/>
                <w:szCs w:val="21"/>
              </w:rPr>
              <w:t>评定指标</w:t>
            </w:r>
          </w:p>
        </w:tc>
        <w:tc>
          <w:tcPr>
            <w:tcW w:w="2637" w:type="dxa"/>
            <w:noWrap/>
            <w:vAlign w:val="center"/>
          </w:tcPr>
          <w:p>
            <w:pPr>
              <w:jc w:val="center"/>
              <w:rPr>
                <w:rFonts w:hint="eastAsia" w:cs="Times New Roman" w:asciiTheme="minorEastAsia" w:hAnsiTheme="minorEastAsia"/>
                <w:b/>
                <w:bCs/>
                <w:szCs w:val="21"/>
              </w:rPr>
            </w:pPr>
            <w:bookmarkStart w:id="105" w:name="OLE_LINK49"/>
            <w:r>
              <w:rPr>
                <w:rFonts w:hint="eastAsia" w:cs="宋体" w:asciiTheme="minorEastAsia" w:hAnsiTheme="minorEastAsia"/>
                <w:b/>
                <w:bCs/>
                <w:kern w:val="0"/>
                <w:szCs w:val="21"/>
              </w:rPr>
              <w:t>评分项</w:t>
            </w:r>
            <w:bookmarkEnd w:id="105"/>
          </w:p>
        </w:tc>
        <w:tc>
          <w:tcPr>
            <w:tcW w:w="851" w:type="dxa"/>
            <w:noWrap/>
            <w:vAlign w:val="center"/>
          </w:tcPr>
          <w:p>
            <w:pPr>
              <w:jc w:val="center"/>
              <w:rPr>
                <w:rFonts w:hint="eastAsia" w:cs="Times New Roman" w:asciiTheme="minorEastAsia" w:hAnsiTheme="minorEastAsia"/>
                <w:b/>
                <w:bCs/>
                <w:szCs w:val="21"/>
              </w:rPr>
            </w:pPr>
            <w:r>
              <w:rPr>
                <w:rFonts w:hint="eastAsia" w:cs="Times New Roman" w:asciiTheme="minorEastAsia" w:hAnsiTheme="minorEastAsia"/>
                <w:b/>
                <w:bCs/>
                <w:szCs w:val="21"/>
              </w:rPr>
              <w:t>二级权重因子</w:t>
            </w:r>
          </w:p>
        </w:tc>
        <w:tc>
          <w:tcPr>
            <w:tcW w:w="3685" w:type="dxa"/>
            <w:vAlign w:val="center"/>
          </w:tcPr>
          <w:p>
            <w:pPr>
              <w:jc w:val="center"/>
              <w:rPr>
                <w:rFonts w:hint="eastAsia" w:cs="Times New Roman" w:asciiTheme="minorEastAsia" w:hAnsiTheme="minorEastAsia"/>
                <w:b/>
                <w:bCs/>
                <w:szCs w:val="21"/>
              </w:rPr>
            </w:pPr>
            <w:r>
              <w:rPr>
                <w:rFonts w:hint="eastAsia" w:cs="Times New Roman" w:asciiTheme="minorEastAsia" w:hAnsiTheme="minorEastAsia"/>
                <w:b/>
                <w:bCs/>
                <w:szCs w:val="21"/>
              </w:rPr>
              <w:t>评分要求</w:t>
            </w:r>
          </w:p>
        </w:tc>
        <w:tc>
          <w:tcPr>
            <w:tcW w:w="859" w:type="dxa"/>
            <w:vAlign w:val="center"/>
          </w:tcPr>
          <w:p>
            <w:pPr>
              <w:jc w:val="center"/>
              <w:rPr>
                <w:rFonts w:hint="eastAsia" w:cs="Times New Roman" w:asciiTheme="minorEastAsia" w:hAnsiTheme="minorEastAsia"/>
                <w:b/>
                <w:bCs/>
                <w:szCs w:val="21"/>
              </w:rPr>
            </w:pPr>
            <w:r>
              <w:rPr>
                <w:rFonts w:hint="eastAsia" w:cs="Times New Roman" w:asciiTheme="minorEastAsia" w:hAnsiTheme="minorEastAsia"/>
                <w:b/>
                <w:bCs/>
                <w:szCs w:val="21"/>
              </w:rPr>
              <w:t>评分</w:t>
            </w:r>
          </w:p>
        </w:tc>
        <w:tc>
          <w:tcPr>
            <w:tcW w:w="2896" w:type="dxa"/>
            <w:vAlign w:val="center"/>
          </w:tcPr>
          <w:p>
            <w:pPr>
              <w:jc w:val="center"/>
              <w:rPr>
                <w:rFonts w:hint="eastAsia" w:cs="Times New Roman" w:asciiTheme="minorEastAsia" w:hAnsiTheme="minorEastAsia"/>
                <w:b/>
                <w:bCs/>
                <w:szCs w:val="21"/>
              </w:rPr>
            </w:pPr>
            <w:r>
              <w:rPr>
                <w:rFonts w:hint="eastAsia" w:cs="Times New Roman" w:asciiTheme="minorEastAsia" w:hAnsiTheme="minorEastAsia"/>
                <w:b/>
                <w:bCs/>
                <w:szCs w:val="21"/>
              </w:rPr>
              <w:t>评定方法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846" w:type="dxa"/>
            <w:vMerge w:val="restart"/>
            <w:noWrap/>
            <w:vAlign w:val="center"/>
          </w:tcPr>
          <w:p>
            <w:pPr>
              <w:jc w:val="center"/>
              <w:rPr>
                <w:rFonts w:hint="eastAsia" w:cs="Times New Roman" w:asciiTheme="minorEastAsia" w:hAnsiTheme="minorEastAsia"/>
                <w:szCs w:val="21"/>
              </w:rPr>
            </w:pPr>
            <w:r>
              <w:rPr>
                <w:rFonts w:hint="eastAsia" w:cs="Times New Roman" w:asciiTheme="minorEastAsia" w:hAnsiTheme="minorEastAsia"/>
                <w:szCs w:val="21"/>
              </w:rPr>
              <w:t>1</w:t>
            </w:r>
          </w:p>
        </w:tc>
        <w:tc>
          <w:tcPr>
            <w:tcW w:w="1615" w:type="dxa"/>
            <w:vMerge w:val="restart"/>
            <w:vAlign w:val="center"/>
          </w:tcPr>
          <w:p>
            <w:pPr>
              <w:rPr>
                <w:rFonts w:hint="eastAsia" w:cs="Times New Roman" w:asciiTheme="minorEastAsia" w:hAnsiTheme="minorEastAsia"/>
                <w:szCs w:val="21"/>
              </w:rPr>
            </w:pPr>
            <w:r>
              <w:rPr>
                <w:rFonts w:hint="eastAsia" w:cs="Times New Roman" w:asciiTheme="minorEastAsia" w:hAnsiTheme="minorEastAsia"/>
                <w:szCs w:val="21"/>
              </w:rPr>
              <w:t>A常闭式、常开式加压送风口</w:t>
            </w:r>
          </w:p>
        </w:tc>
        <w:tc>
          <w:tcPr>
            <w:tcW w:w="2637" w:type="dxa"/>
            <w:noWrap/>
            <w:vAlign w:val="center"/>
          </w:tcPr>
          <w:p>
            <w:pPr>
              <w:jc w:val="center"/>
              <w:rPr>
                <w:rFonts w:hint="eastAsia" w:cs="Times New Roman" w:asciiTheme="minorEastAsia" w:hAnsiTheme="minorEastAsia"/>
                <w:b/>
                <w:bCs/>
                <w:szCs w:val="21"/>
              </w:rPr>
            </w:pPr>
            <w:r>
              <w:rPr>
                <w:rFonts w:hint="eastAsia" w:cs="Times New Roman" w:asciiTheme="minorEastAsia" w:hAnsiTheme="minorEastAsia"/>
                <w:b/>
                <w:bCs/>
                <w:szCs w:val="21"/>
              </w:rPr>
              <w:t>主控项</w:t>
            </w:r>
          </w:p>
        </w:tc>
        <w:tc>
          <w:tcPr>
            <w:tcW w:w="851" w:type="dxa"/>
            <w:vMerge w:val="restart"/>
            <w:vAlign w:val="center"/>
          </w:tcPr>
          <w:p>
            <w:pPr>
              <w:jc w:val="center"/>
              <w:rPr>
                <w:rFonts w:hint="eastAsia" w:cs="Times New Roman" w:asciiTheme="minorEastAsia" w:hAnsiTheme="minorEastAsia"/>
                <w:szCs w:val="21"/>
              </w:rPr>
            </w:pPr>
            <w:r>
              <w:rPr>
                <w:rFonts w:hint="eastAsia" w:cs="Times New Roman" w:asciiTheme="minorEastAsia" w:hAnsiTheme="minorEastAsia"/>
                <w:szCs w:val="21"/>
              </w:rPr>
              <w:t>0.15</w:t>
            </w:r>
          </w:p>
        </w:tc>
        <w:tc>
          <w:tcPr>
            <w:tcW w:w="3685" w:type="dxa"/>
            <w:vAlign w:val="center"/>
          </w:tcPr>
          <w:p>
            <w:pPr>
              <w:jc w:val="center"/>
              <w:rPr>
                <w:rFonts w:hint="eastAsia" w:cs="Times New Roman" w:asciiTheme="minorEastAsia" w:hAnsiTheme="minorEastAsia"/>
                <w:b/>
                <w:bCs/>
                <w:szCs w:val="21"/>
              </w:rPr>
            </w:pPr>
            <w:r>
              <w:rPr>
                <w:rFonts w:hint="eastAsia" w:cs="Times New Roman" w:asciiTheme="minorEastAsia" w:hAnsiTheme="minorEastAsia"/>
                <w:b/>
                <w:bCs/>
                <w:szCs w:val="21"/>
              </w:rPr>
              <w:t>主控项评分要点</w:t>
            </w:r>
          </w:p>
        </w:tc>
        <w:tc>
          <w:tcPr>
            <w:tcW w:w="859" w:type="dxa"/>
            <w:vAlign w:val="center"/>
          </w:tcPr>
          <w:p>
            <w:pPr>
              <w:jc w:val="center"/>
              <w:rPr>
                <w:rFonts w:hint="eastAsia" w:cs="Times New Roman" w:asciiTheme="minorEastAsia" w:hAnsiTheme="minorEastAsia"/>
                <w:b/>
                <w:bCs/>
                <w:szCs w:val="21"/>
              </w:rPr>
            </w:pPr>
            <w:r>
              <w:rPr>
                <w:rFonts w:hint="eastAsia" w:cs="Times New Roman" w:asciiTheme="minorEastAsia" w:hAnsiTheme="minorEastAsia"/>
                <w:b/>
                <w:bCs/>
                <w:szCs w:val="21"/>
              </w:rPr>
              <w:t>评分</w:t>
            </w:r>
          </w:p>
        </w:tc>
        <w:tc>
          <w:tcPr>
            <w:tcW w:w="2896" w:type="dxa"/>
            <w:vAlign w:val="center"/>
          </w:tcPr>
          <w:p>
            <w:pPr>
              <w:jc w:val="center"/>
              <w:rPr>
                <w:rFonts w:hint="eastAsia" w:cs="Times New Roman" w:asciiTheme="minorEastAsia" w:hAnsiTheme="minorEastAsia"/>
                <w:b/>
                <w:bCs/>
                <w:szCs w:val="21"/>
              </w:rPr>
            </w:pPr>
            <w:r>
              <w:rPr>
                <w:rFonts w:hint="eastAsia" w:cs="Times New Roman" w:asciiTheme="minorEastAsia" w:hAnsiTheme="minorEastAsia"/>
                <w:b/>
                <w:bCs/>
                <w:szCs w:val="21"/>
              </w:rPr>
              <w:t>评定方法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846" w:type="dxa"/>
            <w:vMerge w:val="continue"/>
            <w:vAlign w:val="center"/>
          </w:tcPr>
          <w:p>
            <w:pPr>
              <w:jc w:val="center"/>
              <w:rPr>
                <w:rFonts w:hint="eastAsia" w:cs="Times New Roman" w:asciiTheme="minorEastAsia" w:hAnsiTheme="minorEastAsia"/>
                <w:szCs w:val="21"/>
              </w:rPr>
            </w:pPr>
          </w:p>
        </w:tc>
        <w:tc>
          <w:tcPr>
            <w:tcW w:w="1615" w:type="dxa"/>
            <w:vMerge w:val="continue"/>
            <w:vAlign w:val="center"/>
          </w:tcPr>
          <w:p>
            <w:pPr>
              <w:rPr>
                <w:rFonts w:hint="eastAsia" w:cs="Times New Roman" w:asciiTheme="minorEastAsia" w:hAnsiTheme="minorEastAsia"/>
                <w:szCs w:val="21"/>
              </w:rPr>
            </w:pPr>
          </w:p>
        </w:tc>
        <w:tc>
          <w:tcPr>
            <w:tcW w:w="2637" w:type="dxa"/>
            <w:noWrap/>
            <w:vAlign w:val="center"/>
          </w:tcPr>
          <w:p>
            <w:pPr>
              <w:rPr>
                <w:rFonts w:hint="eastAsia" w:cs="Times New Roman" w:asciiTheme="minorEastAsia" w:hAnsiTheme="minorEastAsia"/>
                <w:szCs w:val="21"/>
              </w:rPr>
            </w:pPr>
            <w:r>
              <w:rPr>
                <w:rFonts w:hint="eastAsia" w:cs="Times New Roman" w:asciiTheme="minorEastAsia" w:hAnsiTheme="minorEastAsia"/>
                <w:szCs w:val="21"/>
              </w:rPr>
              <w:t>标识</w:t>
            </w:r>
          </w:p>
        </w:tc>
        <w:tc>
          <w:tcPr>
            <w:tcW w:w="851" w:type="dxa"/>
            <w:vMerge w:val="continue"/>
            <w:vAlign w:val="center"/>
          </w:tcPr>
          <w:p>
            <w:pPr>
              <w:jc w:val="center"/>
              <w:rPr>
                <w:rFonts w:hint="eastAsia" w:cs="Times New Roman" w:asciiTheme="minorEastAsia" w:hAnsiTheme="minorEastAsia"/>
                <w:szCs w:val="21"/>
              </w:rPr>
            </w:pPr>
          </w:p>
        </w:tc>
        <w:tc>
          <w:tcPr>
            <w:tcW w:w="3685"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防排烟送风口应有明显永久标志。</w:t>
            </w:r>
          </w:p>
        </w:tc>
        <w:tc>
          <w:tcPr>
            <w:tcW w:w="859" w:type="dxa"/>
            <w:vAlign w:val="center"/>
          </w:tcPr>
          <w:p>
            <w:pPr>
              <w:jc w:val="center"/>
              <w:rPr>
                <w:rFonts w:hint="eastAsia" w:cs="Times New Roman" w:asciiTheme="minorEastAsia" w:hAnsiTheme="minorEastAsia"/>
                <w:szCs w:val="21"/>
              </w:rPr>
            </w:pPr>
            <w:r>
              <w:rPr>
                <w:rFonts w:hint="eastAsia" w:cs="Times New Roman" w:asciiTheme="minorEastAsia" w:hAnsiTheme="minorEastAsia"/>
                <w:szCs w:val="21"/>
              </w:rPr>
              <w:t>60</w:t>
            </w:r>
          </w:p>
        </w:tc>
        <w:tc>
          <w:tcPr>
            <w:tcW w:w="2896"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有判定合格，没有判定不合格。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846" w:type="dxa"/>
            <w:vMerge w:val="continue"/>
            <w:vAlign w:val="center"/>
          </w:tcPr>
          <w:p>
            <w:pPr>
              <w:jc w:val="center"/>
              <w:rPr>
                <w:rFonts w:hint="eastAsia" w:cs="Times New Roman" w:asciiTheme="minorEastAsia" w:hAnsiTheme="minorEastAsia"/>
                <w:szCs w:val="21"/>
              </w:rPr>
            </w:pPr>
          </w:p>
        </w:tc>
        <w:tc>
          <w:tcPr>
            <w:tcW w:w="1615" w:type="dxa"/>
            <w:vMerge w:val="continue"/>
            <w:vAlign w:val="center"/>
          </w:tcPr>
          <w:p>
            <w:pPr>
              <w:rPr>
                <w:rFonts w:hint="eastAsia" w:cs="Times New Roman" w:asciiTheme="minorEastAsia" w:hAnsiTheme="minorEastAsia"/>
                <w:szCs w:val="21"/>
              </w:rPr>
            </w:pPr>
          </w:p>
        </w:tc>
        <w:tc>
          <w:tcPr>
            <w:tcW w:w="2637" w:type="dxa"/>
            <w:noWrap/>
            <w:vAlign w:val="center"/>
          </w:tcPr>
          <w:p>
            <w:pPr>
              <w:rPr>
                <w:rFonts w:hint="eastAsia" w:cs="Times New Roman" w:asciiTheme="minorEastAsia" w:hAnsiTheme="minorEastAsia"/>
                <w:szCs w:val="21"/>
              </w:rPr>
            </w:pPr>
            <w:r>
              <w:rPr>
                <w:rFonts w:hint="eastAsia" w:cs="Times New Roman" w:asciiTheme="minorEastAsia" w:hAnsiTheme="minorEastAsia"/>
                <w:szCs w:val="21"/>
              </w:rPr>
              <w:t>参数</w:t>
            </w:r>
          </w:p>
        </w:tc>
        <w:tc>
          <w:tcPr>
            <w:tcW w:w="851" w:type="dxa"/>
            <w:vMerge w:val="continue"/>
            <w:vAlign w:val="center"/>
          </w:tcPr>
          <w:p>
            <w:pPr>
              <w:jc w:val="center"/>
              <w:rPr>
                <w:rFonts w:hint="eastAsia" w:cs="Times New Roman" w:asciiTheme="minorEastAsia" w:hAnsiTheme="minorEastAsia"/>
                <w:szCs w:val="21"/>
              </w:rPr>
            </w:pPr>
          </w:p>
        </w:tc>
        <w:tc>
          <w:tcPr>
            <w:tcW w:w="3685"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参数符合设计图纸要求。</w:t>
            </w:r>
          </w:p>
        </w:tc>
        <w:tc>
          <w:tcPr>
            <w:tcW w:w="859" w:type="dxa"/>
            <w:vAlign w:val="center"/>
          </w:tcPr>
          <w:p>
            <w:pPr>
              <w:jc w:val="center"/>
              <w:rPr>
                <w:rFonts w:hint="eastAsia" w:cs="Times New Roman" w:asciiTheme="minorEastAsia" w:hAnsiTheme="minorEastAsia"/>
                <w:szCs w:val="21"/>
              </w:rPr>
            </w:pPr>
            <w:r>
              <w:rPr>
                <w:rFonts w:hint="eastAsia" w:cs="Times New Roman" w:asciiTheme="minorEastAsia" w:hAnsiTheme="minorEastAsia"/>
                <w:szCs w:val="21"/>
              </w:rPr>
              <w:t>20</w:t>
            </w:r>
          </w:p>
        </w:tc>
        <w:tc>
          <w:tcPr>
            <w:tcW w:w="2896" w:type="dxa"/>
            <w:vAlign w:val="center"/>
          </w:tcPr>
          <w:p>
            <w:pPr>
              <w:rPr>
                <w:rFonts w:hint="eastAsia" w:cs="Times New Roman" w:asciiTheme="minorEastAsia" w:hAnsiTheme="minorEastAsia"/>
                <w:szCs w:val="21"/>
              </w:rPr>
            </w:pPr>
            <w:r>
              <w:rPr>
                <w:rFonts w:hint="eastAsia" w:ascii="宋体" w:hAnsi="宋体" w:eastAsia="宋体" w:cs="Times New Roman"/>
                <w:szCs w:val="21"/>
              </w:rPr>
              <w:t>查看对应资料数值是否符合图纸要求。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846" w:type="dxa"/>
            <w:vMerge w:val="continue"/>
            <w:vAlign w:val="center"/>
          </w:tcPr>
          <w:p>
            <w:pPr>
              <w:jc w:val="center"/>
              <w:rPr>
                <w:rFonts w:hint="eastAsia" w:cs="Times New Roman" w:asciiTheme="minorEastAsia" w:hAnsiTheme="minorEastAsia"/>
                <w:szCs w:val="21"/>
              </w:rPr>
            </w:pPr>
          </w:p>
        </w:tc>
        <w:tc>
          <w:tcPr>
            <w:tcW w:w="1615" w:type="dxa"/>
            <w:vMerge w:val="continue"/>
            <w:vAlign w:val="center"/>
          </w:tcPr>
          <w:p>
            <w:pPr>
              <w:rPr>
                <w:rFonts w:hint="eastAsia" w:cs="Times New Roman" w:asciiTheme="minorEastAsia" w:hAnsiTheme="minorEastAsia"/>
                <w:szCs w:val="21"/>
              </w:rPr>
            </w:pPr>
          </w:p>
        </w:tc>
        <w:tc>
          <w:tcPr>
            <w:tcW w:w="2637" w:type="dxa"/>
            <w:noWrap/>
            <w:vAlign w:val="center"/>
          </w:tcPr>
          <w:p>
            <w:pPr>
              <w:jc w:val="center"/>
              <w:rPr>
                <w:rFonts w:hint="eastAsia" w:cs="Times New Roman" w:asciiTheme="minorEastAsia" w:hAnsiTheme="minorEastAsia"/>
                <w:b/>
                <w:bCs/>
                <w:szCs w:val="21"/>
              </w:rPr>
            </w:pPr>
            <w:r>
              <w:rPr>
                <w:rFonts w:hint="eastAsia" w:cs="Times New Roman" w:asciiTheme="minorEastAsia" w:hAnsiTheme="minorEastAsia"/>
                <w:b/>
                <w:bCs/>
                <w:szCs w:val="21"/>
              </w:rPr>
              <w:t>一般项</w:t>
            </w:r>
          </w:p>
        </w:tc>
        <w:tc>
          <w:tcPr>
            <w:tcW w:w="851" w:type="dxa"/>
            <w:vMerge w:val="continue"/>
            <w:vAlign w:val="center"/>
          </w:tcPr>
          <w:p>
            <w:pPr>
              <w:jc w:val="center"/>
              <w:rPr>
                <w:rFonts w:hint="eastAsia" w:cs="Times New Roman" w:asciiTheme="minorEastAsia" w:hAnsiTheme="minorEastAsia"/>
                <w:szCs w:val="21"/>
              </w:rPr>
            </w:pPr>
          </w:p>
        </w:tc>
        <w:tc>
          <w:tcPr>
            <w:tcW w:w="3685" w:type="dxa"/>
            <w:vAlign w:val="center"/>
          </w:tcPr>
          <w:p>
            <w:pPr>
              <w:jc w:val="center"/>
              <w:rPr>
                <w:rFonts w:hint="eastAsia" w:cs="Times New Roman" w:asciiTheme="minorEastAsia" w:hAnsiTheme="minorEastAsia"/>
                <w:b/>
                <w:bCs/>
                <w:szCs w:val="21"/>
              </w:rPr>
            </w:pPr>
            <w:r>
              <w:rPr>
                <w:rFonts w:hint="eastAsia" w:cs="Times New Roman" w:asciiTheme="minorEastAsia" w:hAnsiTheme="minorEastAsia"/>
                <w:b/>
                <w:bCs/>
                <w:szCs w:val="21"/>
              </w:rPr>
              <w:t>一般项评分要点</w:t>
            </w:r>
          </w:p>
        </w:tc>
        <w:tc>
          <w:tcPr>
            <w:tcW w:w="859" w:type="dxa"/>
            <w:vAlign w:val="center"/>
          </w:tcPr>
          <w:p>
            <w:pPr>
              <w:jc w:val="center"/>
              <w:rPr>
                <w:rFonts w:hint="eastAsia" w:cs="Times New Roman" w:asciiTheme="minorEastAsia" w:hAnsiTheme="minorEastAsia"/>
                <w:b/>
                <w:bCs/>
                <w:szCs w:val="21"/>
              </w:rPr>
            </w:pPr>
            <w:r>
              <w:rPr>
                <w:rFonts w:hint="eastAsia" w:cs="Times New Roman" w:asciiTheme="minorEastAsia" w:hAnsiTheme="minorEastAsia"/>
                <w:b/>
                <w:bCs/>
                <w:szCs w:val="21"/>
              </w:rPr>
              <w:t>评分</w:t>
            </w:r>
          </w:p>
        </w:tc>
        <w:tc>
          <w:tcPr>
            <w:tcW w:w="2896" w:type="dxa"/>
            <w:vAlign w:val="center"/>
          </w:tcPr>
          <w:p>
            <w:pPr>
              <w:jc w:val="center"/>
              <w:rPr>
                <w:rFonts w:hint="eastAsia" w:cs="Times New Roman" w:asciiTheme="minorEastAsia" w:hAnsiTheme="minorEastAsia"/>
                <w:b/>
                <w:bCs/>
                <w:szCs w:val="21"/>
              </w:rPr>
            </w:pPr>
            <w:r>
              <w:rPr>
                <w:rFonts w:hint="eastAsia" w:cs="Times New Roman" w:asciiTheme="minorEastAsia" w:hAnsiTheme="minorEastAsia"/>
                <w:b/>
                <w:bCs/>
                <w:szCs w:val="21"/>
              </w:rPr>
              <w:t>评定方法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846" w:type="dxa"/>
            <w:vMerge w:val="continue"/>
            <w:vAlign w:val="center"/>
          </w:tcPr>
          <w:p>
            <w:pPr>
              <w:jc w:val="center"/>
              <w:rPr>
                <w:rFonts w:hint="eastAsia" w:cs="Times New Roman" w:asciiTheme="minorEastAsia" w:hAnsiTheme="minorEastAsia"/>
                <w:szCs w:val="21"/>
              </w:rPr>
            </w:pPr>
          </w:p>
        </w:tc>
        <w:tc>
          <w:tcPr>
            <w:tcW w:w="1615" w:type="dxa"/>
            <w:vMerge w:val="continue"/>
            <w:vAlign w:val="center"/>
          </w:tcPr>
          <w:p>
            <w:pPr>
              <w:rPr>
                <w:rFonts w:hint="eastAsia" w:cs="Times New Roman" w:asciiTheme="minorEastAsia" w:hAnsiTheme="minorEastAsia"/>
                <w:szCs w:val="21"/>
              </w:rPr>
            </w:pPr>
          </w:p>
        </w:tc>
        <w:tc>
          <w:tcPr>
            <w:tcW w:w="2637"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送风口阀门（止回阀、余压阀、电动/手动调节风阀）</w:t>
            </w:r>
          </w:p>
        </w:tc>
        <w:tc>
          <w:tcPr>
            <w:tcW w:w="851" w:type="dxa"/>
            <w:vMerge w:val="continue"/>
            <w:vAlign w:val="center"/>
          </w:tcPr>
          <w:p>
            <w:pPr>
              <w:jc w:val="center"/>
              <w:rPr>
                <w:rFonts w:hint="eastAsia" w:cs="Times New Roman" w:asciiTheme="minorEastAsia" w:hAnsiTheme="minorEastAsia"/>
                <w:szCs w:val="21"/>
              </w:rPr>
            </w:pPr>
          </w:p>
        </w:tc>
        <w:tc>
          <w:tcPr>
            <w:tcW w:w="3685"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手动开启灵活，关闭可靠严密。</w:t>
            </w:r>
          </w:p>
        </w:tc>
        <w:tc>
          <w:tcPr>
            <w:tcW w:w="859" w:type="dxa"/>
            <w:vAlign w:val="center"/>
          </w:tcPr>
          <w:p>
            <w:pPr>
              <w:jc w:val="center"/>
              <w:rPr>
                <w:rFonts w:hint="eastAsia" w:cs="Times New Roman" w:asciiTheme="minorEastAsia" w:hAnsiTheme="minorEastAsia"/>
                <w:szCs w:val="21"/>
              </w:rPr>
            </w:pPr>
            <w:r>
              <w:rPr>
                <w:rFonts w:hint="eastAsia" w:cs="Times New Roman" w:asciiTheme="minorEastAsia" w:hAnsiTheme="minorEastAsia"/>
                <w:szCs w:val="21"/>
              </w:rPr>
              <w:t>5</w:t>
            </w:r>
          </w:p>
        </w:tc>
        <w:tc>
          <w:tcPr>
            <w:tcW w:w="2896"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根据操作灵活程度打分，严密程度打分。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846" w:type="dxa"/>
            <w:vMerge w:val="continue"/>
            <w:vAlign w:val="center"/>
          </w:tcPr>
          <w:p>
            <w:pPr>
              <w:jc w:val="center"/>
              <w:rPr>
                <w:rFonts w:hint="eastAsia" w:cs="Times New Roman" w:asciiTheme="minorEastAsia" w:hAnsiTheme="minorEastAsia"/>
                <w:szCs w:val="21"/>
              </w:rPr>
            </w:pPr>
          </w:p>
        </w:tc>
        <w:tc>
          <w:tcPr>
            <w:tcW w:w="1615" w:type="dxa"/>
            <w:vMerge w:val="continue"/>
            <w:vAlign w:val="center"/>
          </w:tcPr>
          <w:p>
            <w:pPr>
              <w:rPr>
                <w:rFonts w:hint="eastAsia" w:cs="Times New Roman" w:asciiTheme="minorEastAsia" w:hAnsiTheme="minorEastAsia"/>
                <w:szCs w:val="21"/>
              </w:rPr>
            </w:pPr>
          </w:p>
        </w:tc>
        <w:tc>
          <w:tcPr>
            <w:tcW w:w="2637" w:type="dxa"/>
            <w:noWrap/>
            <w:vAlign w:val="center"/>
          </w:tcPr>
          <w:p>
            <w:pPr>
              <w:rPr>
                <w:rFonts w:hint="eastAsia" w:cs="Times New Roman" w:asciiTheme="minorEastAsia" w:hAnsiTheme="minorEastAsia"/>
                <w:szCs w:val="21"/>
              </w:rPr>
            </w:pPr>
            <w:r>
              <w:rPr>
                <w:rFonts w:hint="eastAsia" w:cs="Times New Roman" w:asciiTheme="minorEastAsia" w:hAnsiTheme="minorEastAsia"/>
                <w:szCs w:val="21"/>
              </w:rPr>
              <w:t>送风口位置</w:t>
            </w:r>
          </w:p>
        </w:tc>
        <w:tc>
          <w:tcPr>
            <w:tcW w:w="851" w:type="dxa"/>
            <w:vMerge w:val="continue"/>
            <w:vAlign w:val="center"/>
          </w:tcPr>
          <w:p>
            <w:pPr>
              <w:jc w:val="center"/>
              <w:rPr>
                <w:rFonts w:hint="eastAsia" w:cs="Times New Roman" w:asciiTheme="minorEastAsia" w:hAnsiTheme="minorEastAsia"/>
                <w:szCs w:val="21"/>
              </w:rPr>
            </w:pPr>
          </w:p>
        </w:tc>
        <w:tc>
          <w:tcPr>
            <w:tcW w:w="3685"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送风口安装位置应符合标准和设计要求</w:t>
            </w:r>
          </w:p>
        </w:tc>
        <w:tc>
          <w:tcPr>
            <w:tcW w:w="859" w:type="dxa"/>
            <w:vAlign w:val="center"/>
          </w:tcPr>
          <w:p>
            <w:pPr>
              <w:jc w:val="center"/>
              <w:rPr>
                <w:rFonts w:hint="eastAsia" w:cs="Times New Roman" w:asciiTheme="minorEastAsia" w:hAnsiTheme="minorEastAsia"/>
                <w:szCs w:val="21"/>
              </w:rPr>
            </w:pPr>
            <w:r>
              <w:rPr>
                <w:rFonts w:hint="eastAsia" w:cs="Times New Roman" w:asciiTheme="minorEastAsia" w:hAnsiTheme="minorEastAsia"/>
                <w:szCs w:val="21"/>
              </w:rPr>
              <w:t>5</w:t>
            </w:r>
          </w:p>
        </w:tc>
        <w:tc>
          <w:tcPr>
            <w:tcW w:w="2896"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现场实地观察，根据位置偏差打分。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846" w:type="dxa"/>
            <w:vMerge w:val="continue"/>
            <w:vAlign w:val="center"/>
          </w:tcPr>
          <w:p>
            <w:pPr>
              <w:jc w:val="center"/>
              <w:rPr>
                <w:rFonts w:hint="eastAsia" w:cs="Times New Roman" w:asciiTheme="minorEastAsia" w:hAnsiTheme="minorEastAsia"/>
                <w:szCs w:val="21"/>
              </w:rPr>
            </w:pPr>
          </w:p>
        </w:tc>
        <w:tc>
          <w:tcPr>
            <w:tcW w:w="1615" w:type="dxa"/>
            <w:vMerge w:val="continue"/>
            <w:vAlign w:val="center"/>
          </w:tcPr>
          <w:p>
            <w:pPr>
              <w:rPr>
                <w:rFonts w:hint="eastAsia" w:cs="Times New Roman" w:asciiTheme="minorEastAsia" w:hAnsiTheme="minorEastAsia"/>
                <w:szCs w:val="21"/>
              </w:rPr>
            </w:pPr>
          </w:p>
        </w:tc>
        <w:tc>
          <w:tcPr>
            <w:tcW w:w="2637" w:type="dxa"/>
            <w:noWrap/>
            <w:vAlign w:val="center"/>
          </w:tcPr>
          <w:p>
            <w:pPr>
              <w:rPr>
                <w:rFonts w:hint="eastAsia" w:cs="Times New Roman" w:asciiTheme="minorEastAsia" w:hAnsiTheme="minorEastAsia"/>
                <w:szCs w:val="21"/>
              </w:rPr>
            </w:pPr>
            <w:r>
              <w:rPr>
                <w:rFonts w:hint="eastAsia" w:cs="Times New Roman" w:asciiTheme="minorEastAsia" w:hAnsiTheme="minorEastAsia"/>
                <w:szCs w:val="21"/>
              </w:rPr>
              <w:t>送风口安装</w:t>
            </w:r>
          </w:p>
        </w:tc>
        <w:tc>
          <w:tcPr>
            <w:tcW w:w="851" w:type="dxa"/>
            <w:vMerge w:val="continue"/>
            <w:vAlign w:val="center"/>
          </w:tcPr>
          <w:p>
            <w:pPr>
              <w:jc w:val="center"/>
              <w:rPr>
                <w:rFonts w:hint="eastAsia" w:cs="Times New Roman" w:asciiTheme="minorEastAsia" w:hAnsiTheme="minorEastAsia"/>
                <w:szCs w:val="21"/>
              </w:rPr>
            </w:pPr>
          </w:p>
        </w:tc>
        <w:tc>
          <w:tcPr>
            <w:tcW w:w="3685"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并应固定牢靠，表面平整、不变形，调节灵活。</w:t>
            </w:r>
          </w:p>
        </w:tc>
        <w:tc>
          <w:tcPr>
            <w:tcW w:w="859" w:type="dxa"/>
            <w:vAlign w:val="center"/>
          </w:tcPr>
          <w:p>
            <w:pPr>
              <w:jc w:val="center"/>
              <w:rPr>
                <w:rFonts w:hint="eastAsia" w:cs="Times New Roman" w:asciiTheme="minorEastAsia" w:hAnsiTheme="minorEastAsia"/>
                <w:szCs w:val="21"/>
              </w:rPr>
            </w:pPr>
            <w:r>
              <w:rPr>
                <w:rFonts w:hint="eastAsia" w:cs="Times New Roman" w:asciiTheme="minorEastAsia" w:hAnsiTheme="minorEastAsia"/>
                <w:szCs w:val="21"/>
              </w:rPr>
              <w:t>5</w:t>
            </w:r>
          </w:p>
        </w:tc>
        <w:tc>
          <w:tcPr>
            <w:tcW w:w="2896"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现场实地观察，根据外观质量打分。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846" w:type="dxa"/>
            <w:vMerge w:val="continue"/>
            <w:vAlign w:val="center"/>
          </w:tcPr>
          <w:p>
            <w:pPr>
              <w:jc w:val="center"/>
              <w:rPr>
                <w:rFonts w:hint="eastAsia" w:cs="Times New Roman" w:asciiTheme="minorEastAsia" w:hAnsiTheme="minorEastAsia"/>
                <w:szCs w:val="21"/>
              </w:rPr>
            </w:pPr>
          </w:p>
        </w:tc>
        <w:tc>
          <w:tcPr>
            <w:tcW w:w="1615" w:type="dxa"/>
            <w:vMerge w:val="continue"/>
            <w:vAlign w:val="center"/>
          </w:tcPr>
          <w:p>
            <w:pPr>
              <w:rPr>
                <w:rFonts w:hint="eastAsia" w:cs="Times New Roman" w:asciiTheme="minorEastAsia" w:hAnsiTheme="minorEastAsia"/>
                <w:szCs w:val="21"/>
              </w:rPr>
            </w:pPr>
          </w:p>
        </w:tc>
        <w:tc>
          <w:tcPr>
            <w:tcW w:w="2637" w:type="dxa"/>
            <w:noWrap/>
            <w:vAlign w:val="center"/>
          </w:tcPr>
          <w:p>
            <w:pPr>
              <w:rPr>
                <w:rFonts w:hint="eastAsia" w:cs="Times New Roman" w:asciiTheme="minorEastAsia" w:hAnsiTheme="minorEastAsia"/>
                <w:szCs w:val="21"/>
              </w:rPr>
            </w:pPr>
            <w:r>
              <w:rPr>
                <w:rFonts w:hint="eastAsia" w:cs="Times New Roman" w:asciiTheme="minorEastAsia" w:hAnsiTheme="minorEastAsia"/>
                <w:szCs w:val="21"/>
              </w:rPr>
              <w:t>操作机构</w:t>
            </w:r>
          </w:p>
        </w:tc>
        <w:tc>
          <w:tcPr>
            <w:tcW w:w="851" w:type="dxa"/>
            <w:vMerge w:val="continue"/>
            <w:vAlign w:val="center"/>
          </w:tcPr>
          <w:p>
            <w:pPr>
              <w:jc w:val="center"/>
              <w:rPr>
                <w:rFonts w:hint="eastAsia" w:cs="Times New Roman" w:asciiTheme="minorEastAsia" w:hAnsiTheme="minorEastAsia"/>
                <w:szCs w:val="21"/>
              </w:rPr>
            </w:pPr>
          </w:p>
        </w:tc>
        <w:tc>
          <w:tcPr>
            <w:tcW w:w="3685"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驱动装置应安装在明显可见、距楼地面 1.3m～1.5m 之间便于操作的位置，操作应灵活。</w:t>
            </w:r>
          </w:p>
        </w:tc>
        <w:tc>
          <w:tcPr>
            <w:tcW w:w="859" w:type="dxa"/>
            <w:vAlign w:val="center"/>
          </w:tcPr>
          <w:p>
            <w:pPr>
              <w:jc w:val="center"/>
              <w:rPr>
                <w:rFonts w:hint="eastAsia" w:cs="Times New Roman" w:asciiTheme="minorEastAsia" w:hAnsiTheme="minorEastAsia"/>
                <w:szCs w:val="21"/>
              </w:rPr>
            </w:pPr>
            <w:r>
              <w:rPr>
                <w:rFonts w:hint="eastAsia" w:cs="Times New Roman" w:asciiTheme="minorEastAsia" w:hAnsiTheme="minorEastAsia"/>
                <w:szCs w:val="21"/>
              </w:rPr>
              <w:t>5</w:t>
            </w:r>
          </w:p>
        </w:tc>
        <w:tc>
          <w:tcPr>
            <w:tcW w:w="2896"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现场实地观察，根据外观质量打分。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846" w:type="dxa"/>
            <w:vMerge w:val="restart"/>
            <w:noWrap/>
            <w:vAlign w:val="center"/>
          </w:tcPr>
          <w:p>
            <w:pPr>
              <w:jc w:val="center"/>
              <w:rPr>
                <w:rFonts w:hint="eastAsia" w:cs="Times New Roman" w:asciiTheme="minorEastAsia" w:hAnsiTheme="minorEastAsia"/>
                <w:szCs w:val="21"/>
              </w:rPr>
            </w:pPr>
            <w:r>
              <w:rPr>
                <w:rFonts w:hint="eastAsia" w:cs="Times New Roman" w:asciiTheme="minorEastAsia" w:hAnsiTheme="minorEastAsia"/>
                <w:szCs w:val="21"/>
              </w:rPr>
              <w:t>2</w:t>
            </w:r>
          </w:p>
        </w:tc>
        <w:tc>
          <w:tcPr>
            <w:tcW w:w="1615" w:type="dxa"/>
            <w:vMerge w:val="restart"/>
            <w:vAlign w:val="center"/>
          </w:tcPr>
          <w:p>
            <w:pPr>
              <w:rPr>
                <w:rFonts w:hint="eastAsia" w:cs="Times New Roman" w:asciiTheme="minorEastAsia" w:hAnsiTheme="minorEastAsia"/>
                <w:szCs w:val="21"/>
              </w:rPr>
            </w:pPr>
            <w:r>
              <w:rPr>
                <w:rFonts w:hint="eastAsia" w:cs="Times New Roman" w:asciiTheme="minorEastAsia" w:hAnsiTheme="minorEastAsia"/>
                <w:szCs w:val="21"/>
              </w:rPr>
              <w:t>B风管</w:t>
            </w:r>
          </w:p>
        </w:tc>
        <w:tc>
          <w:tcPr>
            <w:tcW w:w="2637" w:type="dxa"/>
            <w:noWrap/>
            <w:vAlign w:val="center"/>
          </w:tcPr>
          <w:p>
            <w:pPr>
              <w:jc w:val="center"/>
              <w:rPr>
                <w:rFonts w:hint="eastAsia" w:cs="Times New Roman" w:asciiTheme="minorEastAsia" w:hAnsiTheme="minorEastAsia"/>
                <w:b/>
                <w:bCs/>
                <w:szCs w:val="21"/>
              </w:rPr>
            </w:pPr>
            <w:r>
              <w:rPr>
                <w:rFonts w:hint="eastAsia" w:cs="Times New Roman" w:asciiTheme="minorEastAsia" w:hAnsiTheme="minorEastAsia"/>
                <w:b/>
                <w:bCs/>
                <w:szCs w:val="21"/>
              </w:rPr>
              <w:t>主控项</w:t>
            </w:r>
          </w:p>
        </w:tc>
        <w:tc>
          <w:tcPr>
            <w:tcW w:w="851" w:type="dxa"/>
            <w:vMerge w:val="restart"/>
            <w:vAlign w:val="center"/>
          </w:tcPr>
          <w:p>
            <w:pPr>
              <w:jc w:val="center"/>
              <w:rPr>
                <w:rFonts w:hint="eastAsia" w:cs="Times New Roman" w:asciiTheme="minorEastAsia" w:hAnsiTheme="minorEastAsia"/>
                <w:szCs w:val="21"/>
              </w:rPr>
            </w:pPr>
            <w:r>
              <w:rPr>
                <w:rFonts w:hint="eastAsia" w:cs="Times New Roman" w:asciiTheme="minorEastAsia" w:hAnsiTheme="minorEastAsia"/>
                <w:szCs w:val="21"/>
              </w:rPr>
              <w:t>0.15</w:t>
            </w:r>
          </w:p>
        </w:tc>
        <w:tc>
          <w:tcPr>
            <w:tcW w:w="3685" w:type="dxa"/>
            <w:vAlign w:val="center"/>
          </w:tcPr>
          <w:p>
            <w:pPr>
              <w:jc w:val="center"/>
              <w:rPr>
                <w:rFonts w:hint="eastAsia" w:cs="Times New Roman" w:asciiTheme="minorEastAsia" w:hAnsiTheme="minorEastAsia"/>
                <w:b/>
                <w:bCs/>
                <w:szCs w:val="21"/>
              </w:rPr>
            </w:pPr>
            <w:r>
              <w:rPr>
                <w:rFonts w:hint="eastAsia" w:cs="Times New Roman" w:asciiTheme="minorEastAsia" w:hAnsiTheme="minorEastAsia"/>
                <w:b/>
                <w:bCs/>
                <w:szCs w:val="21"/>
              </w:rPr>
              <w:t>主控项评分要点</w:t>
            </w:r>
          </w:p>
        </w:tc>
        <w:tc>
          <w:tcPr>
            <w:tcW w:w="859" w:type="dxa"/>
            <w:vAlign w:val="center"/>
          </w:tcPr>
          <w:p>
            <w:pPr>
              <w:jc w:val="center"/>
              <w:rPr>
                <w:rFonts w:hint="eastAsia" w:cs="Times New Roman" w:asciiTheme="minorEastAsia" w:hAnsiTheme="minorEastAsia"/>
                <w:b/>
                <w:bCs/>
                <w:szCs w:val="21"/>
              </w:rPr>
            </w:pPr>
            <w:r>
              <w:rPr>
                <w:rFonts w:hint="eastAsia" w:cs="Times New Roman" w:asciiTheme="minorEastAsia" w:hAnsiTheme="minorEastAsia"/>
                <w:b/>
                <w:bCs/>
                <w:szCs w:val="21"/>
              </w:rPr>
              <w:t>评分</w:t>
            </w:r>
          </w:p>
        </w:tc>
        <w:tc>
          <w:tcPr>
            <w:tcW w:w="2896" w:type="dxa"/>
            <w:vAlign w:val="center"/>
          </w:tcPr>
          <w:p>
            <w:pPr>
              <w:jc w:val="center"/>
              <w:rPr>
                <w:rFonts w:hint="eastAsia" w:cs="Times New Roman" w:asciiTheme="minorEastAsia" w:hAnsiTheme="minorEastAsia"/>
                <w:b/>
                <w:bCs/>
                <w:szCs w:val="21"/>
              </w:rPr>
            </w:pPr>
            <w:r>
              <w:rPr>
                <w:rFonts w:hint="eastAsia" w:cs="Times New Roman" w:asciiTheme="minorEastAsia" w:hAnsiTheme="minorEastAsia"/>
                <w:b/>
                <w:bCs/>
                <w:szCs w:val="21"/>
              </w:rPr>
              <w:t>评定方法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846" w:type="dxa"/>
            <w:vMerge w:val="continue"/>
            <w:vAlign w:val="center"/>
          </w:tcPr>
          <w:p>
            <w:pPr>
              <w:jc w:val="center"/>
              <w:rPr>
                <w:rFonts w:hint="eastAsia" w:cs="Times New Roman" w:asciiTheme="minorEastAsia" w:hAnsiTheme="minorEastAsia"/>
                <w:szCs w:val="21"/>
              </w:rPr>
            </w:pPr>
          </w:p>
        </w:tc>
        <w:tc>
          <w:tcPr>
            <w:tcW w:w="1615" w:type="dxa"/>
            <w:vMerge w:val="continue"/>
            <w:vAlign w:val="center"/>
          </w:tcPr>
          <w:p>
            <w:pPr>
              <w:rPr>
                <w:rFonts w:hint="eastAsia" w:cs="Times New Roman" w:asciiTheme="minorEastAsia" w:hAnsiTheme="minorEastAsia"/>
                <w:szCs w:val="21"/>
              </w:rPr>
            </w:pPr>
          </w:p>
        </w:tc>
        <w:tc>
          <w:tcPr>
            <w:tcW w:w="2637" w:type="dxa"/>
            <w:noWrap/>
            <w:vAlign w:val="center"/>
          </w:tcPr>
          <w:p>
            <w:pPr>
              <w:rPr>
                <w:rFonts w:hint="eastAsia" w:cs="Times New Roman" w:asciiTheme="minorEastAsia" w:hAnsiTheme="minorEastAsia"/>
                <w:szCs w:val="21"/>
              </w:rPr>
            </w:pPr>
            <w:r>
              <w:rPr>
                <w:rFonts w:hint="eastAsia" w:cs="Times New Roman" w:asciiTheme="minorEastAsia" w:hAnsiTheme="minorEastAsia"/>
                <w:szCs w:val="21"/>
              </w:rPr>
              <w:t>标识</w:t>
            </w:r>
          </w:p>
        </w:tc>
        <w:tc>
          <w:tcPr>
            <w:tcW w:w="851" w:type="dxa"/>
            <w:vMerge w:val="continue"/>
            <w:vAlign w:val="center"/>
          </w:tcPr>
          <w:p>
            <w:pPr>
              <w:rPr>
                <w:rFonts w:hint="eastAsia" w:cs="Times New Roman" w:asciiTheme="minorEastAsia" w:hAnsiTheme="minorEastAsia"/>
                <w:szCs w:val="21"/>
              </w:rPr>
            </w:pPr>
          </w:p>
        </w:tc>
        <w:tc>
          <w:tcPr>
            <w:tcW w:w="3685"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风管标注风管用途、风向等永久标识。</w:t>
            </w:r>
          </w:p>
        </w:tc>
        <w:tc>
          <w:tcPr>
            <w:tcW w:w="859" w:type="dxa"/>
            <w:vAlign w:val="center"/>
          </w:tcPr>
          <w:p>
            <w:pPr>
              <w:jc w:val="center"/>
              <w:rPr>
                <w:rFonts w:hint="eastAsia" w:cs="Times New Roman" w:asciiTheme="minorEastAsia" w:hAnsiTheme="minorEastAsia"/>
                <w:szCs w:val="21"/>
              </w:rPr>
            </w:pPr>
            <w:r>
              <w:rPr>
                <w:rFonts w:hint="eastAsia" w:cs="Times New Roman" w:asciiTheme="minorEastAsia" w:hAnsiTheme="minorEastAsia"/>
                <w:szCs w:val="21"/>
              </w:rPr>
              <w:t>5</w:t>
            </w:r>
          </w:p>
        </w:tc>
        <w:tc>
          <w:tcPr>
            <w:tcW w:w="2896"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有标识合格，没标识不合格。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846" w:type="dxa"/>
            <w:vMerge w:val="continue"/>
            <w:vAlign w:val="center"/>
          </w:tcPr>
          <w:p>
            <w:pPr>
              <w:jc w:val="center"/>
              <w:rPr>
                <w:rFonts w:hint="eastAsia" w:cs="Times New Roman" w:asciiTheme="minorEastAsia" w:hAnsiTheme="minorEastAsia"/>
                <w:szCs w:val="24"/>
              </w:rPr>
            </w:pPr>
          </w:p>
        </w:tc>
        <w:tc>
          <w:tcPr>
            <w:tcW w:w="1615" w:type="dxa"/>
            <w:vMerge w:val="continue"/>
            <w:vAlign w:val="center"/>
          </w:tcPr>
          <w:p>
            <w:pPr>
              <w:rPr>
                <w:rFonts w:hint="eastAsia" w:cs="Times New Roman" w:asciiTheme="minorEastAsia" w:hAnsiTheme="minorEastAsia"/>
                <w:szCs w:val="24"/>
              </w:rPr>
            </w:pPr>
          </w:p>
        </w:tc>
        <w:tc>
          <w:tcPr>
            <w:tcW w:w="2637" w:type="dxa"/>
            <w:noWrap/>
            <w:vAlign w:val="center"/>
          </w:tcPr>
          <w:p>
            <w:pPr>
              <w:rPr>
                <w:rFonts w:hint="eastAsia" w:cs="Times New Roman" w:asciiTheme="minorEastAsia" w:hAnsiTheme="minorEastAsia"/>
                <w:szCs w:val="21"/>
              </w:rPr>
            </w:pPr>
            <w:r>
              <w:rPr>
                <w:rFonts w:hint="eastAsia" w:cs="Times New Roman" w:asciiTheme="minorEastAsia" w:hAnsiTheme="minorEastAsia"/>
                <w:szCs w:val="21"/>
              </w:rPr>
              <w:t>风管厚度</w:t>
            </w:r>
          </w:p>
        </w:tc>
        <w:tc>
          <w:tcPr>
            <w:tcW w:w="851" w:type="dxa"/>
            <w:vMerge w:val="continue"/>
            <w:vAlign w:val="center"/>
          </w:tcPr>
          <w:p>
            <w:pPr>
              <w:rPr>
                <w:rFonts w:hint="eastAsia" w:cs="Times New Roman" w:asciiTheme="minorEastAsia" w:hAnsiTheme="minorEastAsia"/>
                <w:szCs w:val="21"/>
              </w:rPr>
            </w:pPr>
          </w:p>
        </w:tc>
        <w:tc>
          <w:tcPr>
            <w:tcW w:w="3685"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符合设计、规范要求。</w:t>
            </w:r>
          </w:p>
        </w:tc>
        <w:tc>
          <w:tcPr>
            <w:tcW w:w="859" w:type="dxa"/>
            <w:vAlign w:val="center"/>
          </w:tcPr>
          <w:p>
            <w:pPr>
              <w:jc w:val="center"/>
              <w:rPr>
                <w:rFonts w:hint="eastAsia" w:cs="Times New Roman" w:asciiTheme="minorEastAsia" w:hAnsiTheme="minorEastAsia"/>
                <w:szCs w:val="21"/>
              </w:rPr>
            </w:pPr>
            <w:r>
              <w:rPr>
                <w:rFonts w:hint="eastAsia" w:cs="Times New Roman" w:asciiTheme="minorEastAsia" w:hAnsiTheme="minorEastAsia"/>
                <w:szCs w:val="21"/>
              </w:rPr>
              <w:t>10</w:t>
            </w:r>
          </w:p>
        </w:tc>
        <w:tc>
          <w:tcPr>
            <w:tcW w:w="2896"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查看风管检测报告，厚度值大于等于设计和规范值为合格，其它不合格。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846" w:type="dxa"/>
            <w:vMerge w:val="continue"/>
            <w:vAlign w:val="center"/>
          </w:tcPr>
          <w:p>
            <w:pPr>
              <w:jc w:val="center"/>
              <w:rPr>
                <w:rFonts w:hint="eastAsia" w:cs="Times New Roman" w:asciiTheme="minorEastAsia" w:hAnsiTheme="minorEastAsia"/>
                <w:szCs w:val="24"/>
              </w:rPr>
            </w:pPr>
          </w:p>
        </w:tc>
        <w:tc>
          <w:tcPr>
            <w:tcW w:w="1615" w:type="dxa"/>
            <w:vMerge w:val="continue"/>
            <w:vAlign w:val="center"/>
          </w:tcPr>
          <w:p>
            <w:pPr>
              <w:rPr>
                <w:rFonts w:hint="eastAsia" w:cs="Times New Roman" w:asciiTheme="minorEastAsia" w:hAnsiTheme="minorEastAsia"/>
                <w:szCs w:val="24"/>
              </w:rPr>
            </w:pPr>
          </w:p>
        </w:tc>
        <w:tc>
          <w:tcPr>
            <w:tcW w:w="2637" w:type="dxa"/>
            <w:noWrap/>
            <w:vAlign w:val="center"/>
          </w:tcPr>
          <w:p>
            <w:pPr>
              <w:rPr>
                <w:rFonts w:hint="eastAsia" w:cs="Times New Roman" w:asciiTheme="minorEastAsia" w:hAnsiTheme="minorEastAsia"/>
                <w:szCs w:val="21"/>
              </w:rPr>
            </w:pPr>
            <w:r>
              <w:rPr>
                <w:rFonts w:hint="eastAsia" w:cs="Times New Roman" w:asciiTheme="minorEastAsia" w:hAnsiTheme="minorEastAsia"/>
                <w:szCs w:val="21"/>
              </w:rPr>
              <w:t>防火封堵</w:t>
            </w:r>
          </w:p>
        </w:tc>
        <w:tc>
          <w:tcPr>
            <w:tcW w:w="851" w:type="dxa"/>
            <w:vMerge w:val="continue"/>
            <w:vAlign w:val="center"/>
          </w:tcPr>
          <w:p>
            <w:pPr>
              <w:rPr>
                <w:rFonts w:hint="eastAsia" w:cs="Times New Roman" w:asciiTheme="minorEastAsia" w:hAnsiTheme="minorEastAsia"/>
                <w:szCs w:val="21"/>
              </w:rPr>
            </w:pPr>
          </w:p>
        </w:tc>
        <w:tc>
          <w:tcPr>
            <w:tcW w:w="3685"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穿越防火分区用柔性不燃材料做防火封堵。</w:t>
            </w:r>
          </w:p>
        </w:tc>
        <w:tc>
          <w:tcPr>
            <w:tcW w:w="859" w:type="dxa"/>
            <w:vAlign w:val="center"/>
          </w:tcPr>
          <w:p>
            <w:pPr>
              <w:jc w:val="center"/>
              <w:rPr>
                <w:rFonts w:hint="eastAsia" w:cs="Times New Roman" w:asciiTheme="minorEastAsia" w:hAnsiTheme="minorEastAsia"/>
                <w:szCs w:val="21"/>
              </w:rPr>
            </w:pPr>
            <w:r>
              <w:rPr>
                <w:rFonts w:hint="eastAsia" w:cs="Times New Roman" w:asciiTheme="minorEastAsia" w:hAnsiTheme="minorEastAsia"/>
                <w:szCs w:val="21"/>
              </w:rPr>
              <w:t>15</w:t>
            </w:r>
          </w:p>
        </w:tc>
        <w:tc>
          <w:tcPr>
            <w:tcW w:w="2896"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现场查看做了合格，没做不合格。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846" w:type="dxa"/>
            <w:vMerge w:val="continue"/>
            <w:vAlign w:val="center"/>
          </w:tcPr>
          <w:p>
            <w:pPr>
              <w:jc w:val="center"/>
              <w:rPr>
                <w:rFonts w:hint="eastAsia" w:cs="Times New Roman" w:asciiTheme="minorEastAsia" w:hAnsiTheme="minorEastAsia"/>
                <w:szCs w:val="24"/>
              </w:rPr>
            </w:pPr>
          </w:p>
        </w:tc>
        <w:tc>
          <w:tcPr>
            <w:tcW w:w="1615" w:type="dxa"/>
            <w:vMerge w:val="continue"/>
            <w:vAlign w:val="center"/>
          </w:tcPr>
          <w:p>
            <w:pPr>
              <w:rPr>
                <w:rFonts w:hint="eastAsia" w:cs="Times New Roman" w:asciiTheme="minorEastAsia" w:hAnsiTheme="minorEastAsia"/>
                <w:szCs w:val="24"/>
              </w:rPr>
            </w:pPr>
          </w:p>
        </w:tc>
        <w:tc>
          <w:tcPr>
            <w:tcW w:w="2637" w:type="dxa"/>
            <w:noWrap/>
            <w:vAlign w:val="center"/>
          </w:tcPr>
          <w:p>
            <w:pPr>
              <w:rPr>
                <w:rFonts w:hint="eastAsia" w:cs="Times New Roman" w:asciiTheme="minorEastAsia" w:hAnsiTheme="minorEastAsia"/>
                <w:szCs w:val="21"/>
              </w:rPr>
            </w:pPr>
            <w:r>
              <w:rPr>
                <w:rFonts w:hint="eastAsia" w:cs="Times New Roman" w:asciiTheme="minorEastAsia" w:hAnsiTheme="minorEastAsia"/>
                <w:szCs w:val="21"/>
              </w:rPr>
              <w:t>穿墙套管</w:t>
            </w:r>
          </w:p>
        </w:tc>
        <w:tc>
          <w:tcPr>
            <w:tcW w:w="851" w:type="dxa"/>
            <w:vMerge w:val="continue"/>
            <w:vAlign w:val="center"/>
          </w:tcPr>
          <w:p>
            <w:pPr>
              <w:rPr>
                <w:rFonts w:hint="eastAsia" w:cs="Times New Roman" w:asciiTheme="minorEastAsia" w:hAnsiTheme="minorEastAsia"/>
                <w:szCs w:val="21"/>
              </w:rPr>
            </w:pPr>
          </w:p>
        </w:tc>
        <w:tc>
          <w:tcPr>
            <w:tcW w:w="3685"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风管穿越墙体、楼板需要做铁皮套管，铁皮厚度不小于1.6mm。</w:t>
            </w:r>
          </w:p>
        </w:tc>
        <w:tc>
          <w:tcPr>
            <w:tcW w:w="859" w:type="dxa"/>
            <w:vAlign w:val="center"/>
          </w:tcPr>
          <w:p>
            <w:pPr>
              <w:jc w:val="center"/>
              <w:rPr>
                <w:rFonts w:hint="eastAsia" w:cs="Times New Roman" w:asciiTheme="minorEastAsia" w:hAnsiTheme="minorEastAsia"/>
                <w:szCs w:val="21"/>
              </w:rPr>
            </w:pPr>
            <w:r>
              <w:rPr>
                <w:rFonts w:hint="eastAsia" w:cs="Times New Roman" w:asciiTheme="minorEastAsia" w:hAnsiTheme="minorEastAsia"/>
                <w:szCs w:val="21"/>
              </w:rPr>
              <w:t>10</w:t>
            </w:r>
          </w:p>
        </w:tc>
        <w:tc>
          <w:tcPr>
            <w:tcW w:w="2896"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有套管合格，没套管不合格。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846" w:type="dxa"/>
            <w:vMerge w:val="continue"/>
            <w:vAlign w:val="center"/>
          </w:tcPr>
          <w:p>
            <w:pPr>
              <w:jc w:val="center"/>
              <w:rPr>
                <w:rFonts w:hint="eastAsia" w:cs="Times New Roman" w:asciiTheme="minorEastAsia" w:hAnsiTheme="minorEastAsia"/>
                <w:szCs w:val="24"/>
              </w:rPr>
            </w:pPr>
          </w:p>
        </w:tc>
        <w:tc>
          <w:tcPr>
            <w:tcW w:w="1615" w:type="dxa"/>
            <w:vMerge w:val="continue"/>
            <w:vAlign w:val="center"/>
          </w:tcPr>
          <w:p>
            <w:pPr>
              <w:rPr>
                <w:rFonts w:hint="eastAsia" w:cs="Times New Roman" w:asciiTheme="minorEastAsia" w:hAnsiTheme="minorEastAsia"/>
                <w:szCs w:val="24"/>
              </w:rPr>
            </w:pPr>
          </w:p>
        </w:tc>
        <w:tc>
          <w:tcPr>
            <w:tcW w:w="2637" w:type="dxa"/>
            <w:noWrap/>
            <w:vAlign w:val="center"/>
          </w:tcPr>
          <w:p>
            <w:pPr>
              <w:rPr>
                <w:rFonts w:hint="eastAsia" w:cs="Times New Roman" w:asciiTheme="minorEastAsia" w:hAnsiTheme="minorEastAsia"/>
                <w:szCs w:val="21"/>
              </w:rPr>
            </w:pPr>
            <w:r>
              <w:rPr>
                <w:rFonts w:hint="eastAsia" w:cs="Times New Roman" w:asciiTheme="minorEastAsia" w:hAnsiTheme="minorEastAsia"/>
                <w:szCs w:val="21"/>
              </w:rPr>
              <w:t>风管耐火极限</w:t>
            </w:r>
          </w:p>
        </w:tc>
        <w:tc>
          <w:tcPr>
            <w:tcW w:w="851" w:type="dxa"/>
            <w:vMerge w:val="continue"/>
            <w:vAlign w:val="center"/>
          </w:tcPr>
          <w:p>
            <w:pPr>
              <w:rPr>
                <w:rFonts w:hint="eastAsia" w:cs="Times New Roman" w:asciiTheme="minorEastAsia" w:hAnsiTheme="minorEastAsia"/>
                <w:szCs w:val="21"/>
              </w:rPr>
            </w:pPr>
          </w:p>
        </w:tc>
        <w:tc>
          <w:tcPr>
            <w:tcW w:w="3685"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耐火极限符合设计及规范要求。</w:t>
            </w:r>
          </w:p>
        </w:tc>
        <w:tc>
          <w:tcPr>
            <w:tcW w:w="859" w:type="dxa"/>
            <w:vAlign w:val="center"/>
          </w:tcPr>
          <w:p>
            <w:pPr>
              <w:jc w:val="center"/>
              <w:rPr>
                <w:rFonts w:hint="eastAsia" w:cs="Times New Roman" w:asciiTheme="minorEastAsia" w:hAnsiTheme="minorEastAsia"/>
                <w:szCs w:val="21"/>
              </w:rPr>
            </w:pPr>
            <w:r>
              <w:rPr>
                <w:rFonts w:hint="eastAsia" w:cs="Times New Roman" w:asciiTheme="minorEastAsia" w:hAnsiTheme="minorEastAsia"/>
                <w:szCs w:val="21"/>
              </w:rPr>
              <w:t>20</w:t>
            </w:r>
          </w:p>
        </w:tc>
        <w:tc>
          <w:tcPr>
            <w:tcW w:w="2896"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查看设计防火包裹，按设计或图集施工符合要求，不按设计或图集要求施工不符合要求。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846" w:type="dxa"/>
            <w:vMerge w:val="continue"/>
            <w:vAlign w:val="center"/>
          </w:tcPr>
          <w:p>
            <w:pPr>
              <w:jc w:val="center"/>
              <w:rPr>
                <w:rFonts w:hint="eastAsia" w:cs="Times New Roman" w:asciiTheme="minorEastAsia" w:hAnsiTheme="minorEastAsia"/>
                <w:szCs w:val="24"/>
              </w:rPr>
            </w:pPr>
          </w:p>
        </w:tc>
        <w:tc>
          <w:tcPr>
            <w:tcW w:w="1615" w:type="dxa"/>
            <w:vMerge w:val="continue"/>
            <w:vAlign w:val="center"/>
          </w:tcPr>
          <w:p>
            <w:pPr>
              <w:rPr>
                <w:rFonts w:hint="eastAsia" w:cs="Times New Roman" w:asciiTheme="minorEastAsia" w:hAnsiTheme="minorEastAsia"/>
                <w:szCs w:val="24"/>
              </w:rPr>
            </w:pPr>
          </w:p>
        </w:tc>
        <w:tc>
          <w:tcPr>
            <w:tcW w:w="2637" w:type="dxa"/>
            <w:noWrap/>
            <w:vAlign w:val="center"/>
          </w:tcPr>
          <w:p>
            <w:pPr>
              <w:rPr>
                <w:rFonts w:hint="eastAsia" w:cs="Times New Roman" w:asciiTheme="minorEastAsia" w:hAnsiTheme="minorEastAsia"/>
                <w:szCs w:val="21"/>
              </w:rPr>
            </w:pPr>
            <w:r>
              <w:rPr>
                <w:rFonts w:hint="eastAsia" w:cs="Times New Roman" w:asciiTheme="minorEastAsia" w:hAnsiTheme="minorEastAsia"/>
                <w:szCs w:val="21"/>
              </w:rPr>
              <w:t>风管严密性</w:t>
            </w:r>
          </w:p>
        </w:tc>
        <w:tc>
          <w:tcPr>
            <w:tcW w:w="851" w:type="dxa"/>
            <w:vMerge w:val="continue"/>
            <w:vAlign w:val="center"/>
          </w:tcPr>
          <w:p>
            <w:pPr>
              <w:rPr>
                <w:rFonts w:hint="eastAsia" w:cs="Times New Roman" w:asciiTheme="minorEastAsia" w:hAnsiTheme="minorEastAsia"/>
                <w:szCs w:val="21"/>
              </w:rPr>
            </w:pPr>
          </w:p>
        </w:tc>
        <w:tc>
          <w:tcPr>
            <w:tcW w:w="3685"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风管漏风量符合设计及规范要求。</w:t>
            </w:r>
          </w:p>
        </w:tc>
        <w:tc>
          <w:tcPr>
            <w:tcW w:w="859" w:type="dxa"/>
            <w:vAlign w:val="center"/>
          </w:tcPr>
          <w:p>
            <w:pPr>
              <w:jc w:val="center"/>
              <w:rPr>
                <w:rFonts w:hint="eastAsia" w:cs="Times New Roman" w:asciiTheme="minorEastAsia" w:hAnsiTheme="minorEastAsia"/>
                <w:szCs w:val="21"/>
              </w:rPr>
            </w:pPr>
            <w:r>
              <w:rPr>
                <w:rFonts w:hint="eastAsia" w:cs="Times New Roman" w:asciiTheme="minorEastAsia" w:hAnsiTheme="minorEastAsia"/>
                <w:szCs w:val="21"/>
              </w:rPr>
              <w:t>10</w:t>
            </w:r>
          </w:p>
        </w:tc>
        <w:tc>
          <w:tcPr>
            <w:tcW w:w="2896"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检查漏风量测试报告，漏风量数值符合规范要求合格，不符合不合格。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846" w:type="dxa"/>
            <w:vMerge w:val="continue"/>
            <w:vAlign w:val="center"/>
          </w:tcPr>
          <w:p>
            <w:pPr>
              <w:jc w:val="center"/>
              <w:rPr>
                <w:rFonts w:hint="eastAsia" w:cs="Times New Roman" w:asciiTheme="minorEastAsia" w:hAnsiTheme="minorEastAsia"/>
                <w:szCs w:val="24"/>
              </w:rPr>
            </w:pPr>
          </w:p>
        </w:tc>
        <w:tc>
          <w:tcPr>
            <w:tcW w:w="1615" w:type="dxa"/>
            <w:vMerge w:val="continue"/>
            <w:vAlign w:val="center"/>
          </w:tcPr>
          <w:p>
            <w:pPr>
              <w:rPr>
                <w:rFonts w:hint="eastAsia" w:cs="Times New Roman" w:asciiTheme="minorEastAsia" w:hAnsiTheme="minorEastAsia"/>
                <w:szCs w:val="24"/>
              </w:rPr>
            </w:pPr>
          </w:p>
        </w:tc>
        <w:tc>
          <w:tcPr>
            <w:tcW w:w="2637" w:type="dxa"/>
            <w:noWrap/>
            <w:vAlign w:val="center"/>
          </w:tcPr>
          <w:p>
            <w:pPr>
              <w:jc w:val="center"/>
              <w:rPr>
                <w:rFonts w:hint="eastAsia" w:cs="Times New Roman" w:asciiTheme="minorEastAsia" w:hAnsiTheme="minorEastAsia"/>
                <w:b/>
                <w:bCs/>
                <w:szCs w:val="21"/>
              </w:rPr>
            </w:pPr>
            <w:r>
              <w:rPr>
                <w:rFonts w:hint="eastAsia" w:cs="Times New Roman" w:asciiTheme="minorEastAsia" w:hAnsiTheme="minorEastAsia"/>
                <w:b/>
                <w:bCs/>
                <w:szCs w:val="21"/>
              </w:rPr>
              <w:t>一般项</w:t>
            </w:r>
          </w:p>
        </w:tc>
        <w:tc>
          <w:tcPr>
            <w:tcW w:w="851" w:type="dxa"/>
            <w:vMerge w:val="continue"/>
            <w:vAlign w:val="center"/>
          </w:tcPr>
          <w:p>
            <w:pPr>
              <w:jc w:val="center"/>
              <w:rPr>
                <w:rFonts w:hint="eastAsia" w:cs="Times New Roman" w:asciiTheme="minorEastAsia" w:hAnsiTheme="minorEastAsia"/>
                <w:szCs w:val="21"/>
              </w:rPr>
            </w:pPr>
          </w:p>
        </w:tc>
        <w:tc>
          <w:tcPr>
            <w:tcW w:w="3685" w:type="dxa"/>
            <w:vAlign w:val="center"/>
          </w:tcPr>
          <w:p>
            <w:pPr>
              <w:jc w:val="center"/>
              <w:rPr>
                <w:rFonts w:hint="eastAsia" w:cs="Times New Roman" w:asciiTheme="minorEastAsia" w:hAnsiTheme="minorEastAsia"/>
                <w:b/>
                <w:bCs/>
                <w:szCs w:val="21"/>
              </w:rPr>
            </w:pPr>
            <w:r>
              <w:rPr>
                <w:rFonts w:hint="eastAsia" w:cs="Times New Roman" w:asciiTheme="minorEastAsia" w:hAnsiTheme="minorEastAsia"/>
                <w:b/>
                <w:bCs/>
                <w:szCs w:val="21"/>
              </w:rPr>
              <w:t>一般项评分要点</w:t>
            </w:r>
          </w:p>
        </w:tc>
        <w:tc>
          <w:tcPr>
            <w:tcW w:w="859" w:type="dxa"/>
            <w:vAlign w:val="center"/>
          </w:tcPr>
          <w:p>
            <w:pPr>
              <w:jc w:val="center"/>
              <w:rPr>
                <w:rFonts w:hint="eastAsia" w:cs="Times New Roman" w:asciiTheme="minorEastAsia" w:hAnsiTheme="minorEastAsia"/>
                <w:b/>
                <w:bCs/>
                <w:szCs w:val="21"/>
              </w:rPr>
            </w:pPr>
            <w:r>
              <w:rPr>
                <w:rFonts w:hint="eastAsia" w:cs="Times New Roman" w:asciiTheme="minorEastAsia" w:hAnsiTheme="minorEastAsia"/>
                <w:b/>
                <w:bCs/>
                <w:szCs w:val="21"/>
              </w:rPr>
              <w:t>评分</w:t>
            </w:r>
          </w:p>
        </w:tc>
        <w:tc>
          <w:tcPr>
            <w:tcW w:w="2896" w:type="dxa"/>
            <w:vAlign w:val="center"/>
          </w:tcPr>
          <w:p>
            <w:pPr>
              <w:jc w:val="center"/>
              <w:rPr>
                <w:rFonts w:hint="eastAsia" w:cs="Times New Roman" w:asciiTheme="minorEastAsia" w:hAnsiTheme="minorEastAsia"/>
                <w:b/>
                <w:bCs/>
                <w:szCs w:val="21"/>
              </w:rPr>
            </w:pPr>
            <w:r>
              <w:rPr>
                <w:rFonts w:hint="eastAsia" w:cs="Times New Roman" w:asciiTheme="minorEastAsia" w:hAnsiTheme="minorEastAsia"/>
                <w:b/>
                <w:bCs/>
                <w:szCs w:val="21"/>
              </w:rPr>
              <w:t>评定方法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846" w:type="dxa"/>
            <w:vMerge w:val="continue"/>
            <w:vAlign w:val="center"/>
          </w:tcPr>
          <w:p>
            <w:pPr>
              <w:jc w:val="center"/>
              <w:rPr>
                <w:rFonts w:hint="eastAsia" w:cs="Times New Roman" w:asciiTheme="minorEastAsia" w:hAnsiTheme="minorEastAsia"/>
                <w:szCs w:val="24"/>
              </w:rPr>
            </w:pPr>
          </w:p>
        </w:tc>
        <w:tc>
          <w:tcPr>
            <w:tcW w:w="1615" w:type="dxa"/>
            <w:vMerge w:val="continue"/>
            <w:vAlign w:val="center"/>
          </w:tcPr>
          <w:p>
            <w:pPr>
              <w:rPr>
                <w:rFonts w:hint="eastAsia" w:cs="Times New Roman" w:asciiTheme="minorEastAsia" w:hAnsiTheme="minorEastAsia"/>
                <w:szCs w:val="24"/>
              </w:rPr>
            </w:pPr>
          </w:p>
        </w:tc>
        <w:tc>
          <w:tcPr>
            <w:tcW w:w="2637" w:type="dxa"/>
            <w:noWrap/>
            <w:vAlign w:val="center"/>
          </w:tcPr>
          <w:p>
            <w:pPr>
              <w:rPr>
                <w:rFonts w:hint="eastAsia" w:cs="Times New Roman" w:asciiTheme="minorEastAsia" w:hAnsiTheme="minorEastAsia"/>
                <w:szCs w:val="21"/>
              </w:rPr>
            </w:pPr>
            <w:r>
              <w:rPr>
                <w:rFonts w:hint="eastAsia" w:cs="Times New Roman" w:asciiTheme="minorEastAsia" w:hAnsiTheme="minorEastAsia"/>
                <w:szCs w:val="21"/>
              </w:rPr>
              <w:t>风管支吊架</w:t>
            </w:r>
          </w:p>
        </w:tc>
        <w:tc>
          <w:tcPr>
            <w:tcW w:w="851" w:type="dxa"/>
            <w:vMerge w:val="continue"/>
            <w:vAlign w:val="center"/>
          </w:tcPr>
          <w:p>
            <w:pPr>
              <w:rPr>
                <w:rFonts w:hint="eastAsia" w:cs="Times New Roman" w:asciiTheme="minorEastAsia" w:hAnsiTheme="minorEastAsia"/>
                <w:szCs w:val="21"/>
              </w:rPr>
            </w:pPr>
          </w:p>
        </w:tc>
        <w:tc>
          <w:tcPr>
            <w:tcW w:w="3685"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风管支吊架型钢规格、支架间距、抗震支吊架设置符合规范要求</w:t>
            </w:r>
          </w:p>
        </w:tc>
        <w:tc>
          <w:tcPr>
            <w:tcW w:w="859" w:type="dxa"/>
            <w:vAlign w:val="center"/>
          </w:tcPr>
          <w:p>
            <w:pPr>
              <w:jc w:val="center"/>
              <w:rPr>
                <w:rFonts w:hint="eastAsia" w:cs="Times New Roman" w:asciiTheme="minorEastAsia" w:hAnsiTheme="minorEastAsia"/>
                <w:szCs w:val="21"/>
              </w:rPr>
            </w:pPr>
            <w:r>
              <w:rPr>
                <w:rFonts w:hint="eastAsia" w:cs="Times New Roman" w:asciiTheme="minorEastAsia" w:hAnsiTheme="minorEastAsia"/>
                <w:szCs w:val="21"/>
              </w:rPr>
              <w:t>5</w:t>
            </w:r>
          </w:p>
        </w:tc>
        <w:tc>
          <w:tcPr>
            <w:tcW w:w="2896"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现场查看支架间距、型钢规格、固定支架设置位置打分。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846" w:type="dxa"/>
            <w:vMerge w:val="continue"/>
            <w:vAlign w:val="center"/>
          </w:tcPr>
          <w:p>
            <w:pPr>
              <w:jc w:val="center"/>
              <w:rPr>
                <w:rFonts w:hint="eastAsia" w:cs="Times New Roman" w:asciiTheme="minorEastAsia" w:hAnsiTheme="minorEastAsia"/>
                <w:szCs w:val="24"/>
              </w:rPr>
            </w:pPr>
          </w:p>
        </w:tc>
        <w:tc>
          <w:tcPr>
            <w:tcW w:w="1615" w:type="dxa"/>
            <w:vMerge w:val="continue"/>
            <w:vAlign w:val="center"/>
          </w:tcPr>
          <w:p>
            <w:pPr>
              <w:rPr>
                <w:rFonts w:hint="eastAsia" w:cs="Times New Roman" w:asciiTheme="minorEastAsia" w:hAnsiTheme="minorEastAsia"/>
                <w:szCs w:val="24"/>
              </w:rPr>
            </w:pPr>
          </w:p>
        </w:tc>
        <w:tc>
          <w:tcPr>
            <w:tcW w:w="2637" w:type="dxa"/>
            <w:noWrap/>
            <w:vAlign w:val="center"/>
          </w:tcPr>
          <w:p>
            <w:pPr>
              <w:rPr>
                <w:rFonts w:hint="eastAsia" w:cs="Times New Roman" w:asciiTheme="minorEastAsia" w:hAnsiTheme="minorEastAsia"/>
                <w:szCs w:val="21"/>
              </w:rPr>
            </w:pPr>
            <w:r>
              <w:rPr>
                <w:rFonts w:hint="eastAsia" w:cs="Times New Roman" w:asciiTheme="minorEastAsia" w:hAnsiTheme="minorEastAsia"/>
                <w:szCs w:val="21"/>
              </w:rPr>
              <w:t>风管连接</w:t>
            </w:r>
          </w:p>
        </w:tc>
        <w:tc>
          <w:tcPr>
            <w:tcW w:w="851" w:type="dxa"/>
            <w:vMerge w:val="continue"/>
            <w:vAlign w:val="center"/>
          </w:tcPr>
          <w:p>
            <w:pPr>
              <w:rPr>
                <w:rFonts w:hint="eastAsia" w:cs="Times New Roman" w:asciiTheme="minorEastAsia" w:hAnsiTheme="minorEastAsia"/>
                <w:szCs w:val="21"/>
              </w:rPr>
            </w:pPr>
          </w:p>
        </w:tc>
        <w:tc>
          <w:tcPr>
            <w:tcW w:w="3685"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金属风管采用法兰连接时其螺栓孔的间距不得大于150mm，矩形风管法兰四角处应设有螺孔；非金属风管其螺栓孔的间距不得大于120mm，矩形风管法兰的四角处应设有螺孔。</w:t>
            </w:r>
          </w:p>
        </w:tc>
        <w:tc>
          <w:tcPr>
            <w:tcW w:w="859" w:type="dxa"/>
            <w:vAlign w:val="center"/>
          </w:tcPr>
          <w:p>
            <w:pPr>
              <w:jc w:val="center"/>
              <w:rPr>
                <w:rFonts w:hint="eastAsia" w:cs="Times New Roman" w:asciiTheme="minorEastAsia" w:hAnsiTheme="minorEastAsia"/>
                <w:szCs w:val="21"/>
              </w:rPr>
            </w:pPr>
            <w:r>
              <w:rPr>
                <w:rFonts w:hint="eastAsia" w:cs="Times New Roman" w:asciiTheme="minorEastAsia" w:hAnsiTheme="minorEastAsia"/>
                <w:szCs w:val="21"/>
              </w:rPr>
              <w:t>10</w:t>
            </w:r>
          </w:p>
        </w:tc>
        <w:tc>
          <w:tcPr>
            <w:tcW w:w="2896"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现场查看，根据现场质量打分。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846" w:type="dxa"/>
            <w:vMerge w:val="continue"/>
            <w:vAlign w:val="center"/>
          </w:tcPr>
          <w:p>
            <w:pPr>
              <w:jc w:val="center"/>
              <w:rPr>
                <w:rFonts w:hint="eastAsia" w:cs="Times New Roman" w:asciiTheme="minorEastAsia" w:hAnsiTheme="minorEastAsia"/>
                <w:szCs w:val="24"/>
              </w:rPr>
            </w:pPr>
          </w:p>
        </w:tc>
        <w:tc>
          <w:tcPr>
            <w:tcW w:w="1615" w:type="dxa"/>
            <w:vMerge w:val="continue"/>
            <w:vAlign w:val="center"/>
          </w:tcPr>
          <w:p>
            <w:pPr>
              <w:rPr>
                <w:rFonts w:hint="eastAsia" w:cs="Times New Roman" w:asciiTheme="minorEastAsia" w:hAnsiTheme="minorEastAsia"/>
                <w:szCs w:val="24"/>
              </w:rPr>
            </w:pPr>
          </w:p>
        </w:tc>
        <w:tc>
          <w:tcPr>
            <w:tcW w:w="2637" w:type="dxa"/>
            <w:noWrap/>
            <w:vAlign w:val="center"/>
          </w:tcPr>
          <w:p>
            <w:pPr>
              <w:rPr>
                <w:rFonts w:hint="eastAsia" w:cs="Times New Roman" w:asciiTheme="minorEastAsia" w:hAnsiTheme="minorEastAsia"/>
                <w:szCs w:val="21"/>
              </w:rPr>
            </w:pPr>
            <w:r>
              <w:rPr>
                <w:rFonts w:hint="eastAsia" w:cs="Times New Roman" w:asciiTheme="minorEastAsia" w:hAnsiTheme="minorEastAsia"/>
                <w:szCs w:val="21"/>
              </w:rPr>
              <w:t>风管尺寸</w:t>
            </w:r>
          </w:p>
        </w:tc>
        <w:tc>
          <w:tcPr>
            <w:tcW w:w="851" w:type="dxa"/>
            <w:vMerge w:val="continue"/>
            <w:vAlign w:val="center"/>
          </w:tcPr>
          <w:p>
            <w:pPr>
              <w:rPr>
                <w:rFonts w:hint="eastAsia" w:cs="Times New Roman" w:asciiTheme="minorEastAsia" w:hAnsiTheme="minorEastAsia"/>
                <w:szCs w:val="21"/>
              </w:rPr>
            </w:pPr>
          </w:p>
        </w:tc>
        <w:tc>
          <w:tcPr>
            <w:tcW w:w="3685"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风管规格符合设计要求。</w:t>
            </w:r>
          </w:p>
        </w:tc>
        <w:tc>
          <w:tcPr>
            <w:tcW w:w="859" w:type="dxa"/>
            <w:vAlign w:val="center"/>
          </w:tcPr>
          <w:p>
            <w:pPr>
              <w:jc w:val="center"/>
              <w:rPr>
                <w:rFonts w:hint="eastAsia" w:cs="Times New Roman" w:asciiTheme="minorEastAsia" w:hAnsiTheme="minorEastAsia"/>
                <w:szCs w:val="21"/>
              </w:rPr>
            </w:pPr>
            <w:r>
              <w:rPr>
                <w:rFonts w:hint="eastAsia" w:cs="Times New Roman" w:asciiTheme="minorEastAsia" w:hAnsiTheme="minorEastAsia"/>
                <w:szCs w:val="21"/>
              </w:rPr>
              <w:t>5</w:t>
            </w:r>
          </w:p>
        </w:tc>
        <w:tc>
          <w:tcPr>
            <w:tcW w:w="2896"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现场尺量打分。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846" w:type="dxa"/>
            <w:vMerge w:val="continue"/>
            <w:vAlign w:val="center"/>
          </w:tcPr>
          <w:p>
            <w:pPr>
              <w:jc w:val="center"/>
              <w:rPr>
                <w:rFonts w:hint="eastAsia" w:cs="Times New Roman" w:asciiTheme="minorEastAsia" w:hAnsiTheme="minorEastAsia"/>
                <w:szCs w:val="24"/>
              </w:rPr>
            </w:pPr>
          </w:p>
        </w:tc>
        <w:tc>
          <w:tcPr>
            <w:tcW w:w="1615" w:type="dxa"/>
            <w:vMerge w:val="continue"/>
            <w:vAlign w:val="center"/>
          </w:tcPr>
          <w:p>
            <w:pPr>
              <w:rPr>
                <w:rFonts w:hint="eastAsia" w:cs="Times New Roman" w:asciiTheme="minorEastAsia" w:hAnsiTheme="minorEastAsia"/>
                <w:szCs w:val="24"/>
              </w:rPr>
            </w:pPr>
          </w:p>
        </w:tc>
        <w:tc>
          <w:tcPr>
            <w:tcW w:w="2637" w:type="dxa"/>
            <w:noWrap/>
            <w:vAlign w:val="center"/>
          </w:tcPr>
          <w:p>
            <w:pPr>
              <w:rPr>
                <w:rFonts w:hint="eastAsia" w:cs="Times New Roman" w:asciiTheme="minorEastAsia" w:hAnsiTheme="minorEastAsia"/>
                <w:szCs w:val="21"/>
              </w:rPr>
            </w:pPr>
            <w:r>
              <w:rPr>
                <w:rFonts w:hint="eastAsia" w:cs="Times New Roman" w:asciiTheme="minorEastAsia" w:hAnsiTheme="minorEastAsia"/>
                <w:szCs w:val="21"/>
              </w:rPr>
              <w:t>导流叶片</w:t>
            </w:r>
          </w:p>
        </w:tc>
        <w:tc>
          <w:tcPr>
            <w:tcW w:w="851" w:type="dxa"/>
            <w:vMerge w:val="continue"/>
            <w:vAlign w:val="center"/>
          </w:tcPr>
          <w:p>
            <w:pPr>
              <w:rPr>
                <w:rFonts w:hint="eastAsia" w:cs="Times New Roman" w:asciiTheme="minorEastAsia" w:hAnsiTheme="minorEastAsia"/>
                <w:szCs w:val="21"/>
              </w:rPr>
            </w:pPr>
          </w:p>
        </w:tc>
        <w:tc>
          <w:tcPr>
            <w:tcW w:w="3685"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边长大于700mm的风管转弯处增加导流叶片，间距500mm。</w:t>
            </w:r>
          </w:p>
        </w:tc>
        <w:tc>
          <w:tcPr>
            <w:tcW w:w="859" w:type="dxa"/>
            <w:vAlign w:val="center"/>
          </w:tcPr>
          <w:p>
            <w:pPr>
              <w:jc w:val="center"/>
              <w:rPr>
                <w:rFonts w:hint="eastAsia" w:cs="Times New Roman" w:asciiTheme="minorEastAsia" w:hAnsiTheme="minorEastAsia"/>
                <w:szCs w:val="21"/>
              </w:rPr>
            </w:pPr>
            <w:r>
              <w:rPr>
                <w:rFonts w:hint="eastAsia" w:cs="Times New Roman" w:asciiTheme="minorEastAsia" w:hAnsiTheme="minorEastAsia"/>
                <w:szCs w:val="21"/>
              </w:rPr>
              <w:t>5</w:t>
            </w:r>
          </w:p>
        </w:tc>
        <w:tc>
          <w:tcPr>
            <w:tcW w:w="2896"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现场查看，根据现场质量打分。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846" w:type="dxa"/>
            <w:vMerge w:val="continue"/>
            <w:vAlign w:val="center"/>
          </w:tcPr>
          <w:p>
            <w:pPr>
              <w:jc w:val="center"/>
              <w:rPr>
                <w:rFonts w:hint="eastAsia" w:cs="Times New Roman" w:asciiTheme="minorEastAsia" w:hAnsiTheme="minorEastAsia"/>
                <w:szCs w:val="24"/>
              </w:rPr>
            </w:pPr>
          </w:p>
        </w:tc>
        <w:tc>
          <w:tcPr>
            <w:tcW w:w="1615" w:type="dxa"/>
            <w:vMerge w:val="continue"/>
            <w:vAlign w:val="center"/>
          </w:tcPr>
          <w:p>
            <w:pPr>
              <w:rPr>
                <w:rFonts w:hint="eastAsia" w:cs="Times New Roman" w:asciiTheme="minorEastAsia" w:hAnsiTheme="minorEastAsia"/>
                <w:szCs w:val="24"/>
              </w:rPr>
            </w:pPr>
          </w:p>
        </w:tc>
        <w:tc>
          <w:tcPr>
            <w:tcW w:w="2637" w:type="dxa"/>
            <w:noWrap/>
            <w:vAlign w:val="center"/>
          </w:tcPr>
          <w:p>
            <w:pPr>
              <w:rPr>
                <w:rFonts w:hint="eastAsia" w:cs="Times New Roman" w:asciiTheme="minorEastAsia" w:hAnsiTheme="minorEastAsia"/>
                <w:szCs w:val="21"/>
              </w:rPr>
            </w:pPr>
            <w:r>
              <w:rPr>
                <w:rFonts w:hint="eastAsia" w:cs="Times New Roman" w:asciiTheme="minorEastAsia" w:hAnsiTheme="minorEastAsia"/>
                <w:szCs w:val="21"/>
              </w:rPr>
              <w:t>柔性短管</w:t>
            </w:r>
          </w:p>
        </w:tc>
        <w:tc>
          <w:tcPr>
            <w:tcW w:w="851" w:type="dxa"/>
            <w:vMerge w:val="continue"/>
            <w:vAlign w:val="center"/>
          </w:tcPr>
          <w:p>
            <w:pPr>
              <w:rPr>
                <w:rFonts w:hint="eastAsia" w:cs="Times New Roman" w:asciiTheme="minorEastAsia" w:hAnsiTheme="minorEastAsia"/>
                <w:szCs w:val="21"/>
              </w:rPr>
            </w:pPr>
          </w:p>
        </w:tc>
        <w:tc>
          <w:tcPr>
            <w:tcW w:w="3685"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只用做防烟的风管，风管与风机连接采用硬连接；兼做送风的风管与风机连接采用柔性短管连接，柔性短管长度为250-300mm，且风机与风管应同心且不应变径，柔性短管松紧适度。</w:t>
            </w:r>
          </w:p>
        </w:tc>
        <w:tc>
          <w:tcPr>
            <w:tcW w:w="859" w:type="dxa"/>
            <w:vAlign w:val="center"/>
          </w:tcPr>
          <w:p>
            <w:pPr>
              <w:jc w:val="center"/>
              <w:rPr>
                <w:rFonts w:hint="eastAsia" w:cs="Times New Roman" w:asciiTheme="minorEastAsia" w:hAnsiTheme="minorEastAsia"/>
                <w:szCs w:val="21"/>
              </w:rPr>
            </w:pPr>
            <w:r>
              <w:rPr>
                <w:rFonts w:hint="eastAsia" w:cs="Times New Roman" w:asciiTheme="minorEastAsia" w:hAnsiTheme="minorEastAsia"/>
                <w:szCs w:val="21"/>
              </w:rPr>
              <w:t>5</w:t>
            </w:r>
          </w:p>
        </w:tc>
        <w:tc>
          <w:tcPr>
            <w:tcW w:w="2896"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现场查看，根据现场质量打分。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846" w:type="dxa"/>
            <w:vMerge w:val="restart"/>
            <w:noWrap/>
            <w:vAlign w:val="center"/>
          </w:tcPr>
          <w:p>
            <w:pPr>
              <w:jc w:val="center"/>
              <w:rPr>
                <w:rFonts w:hint="eastAsia" w:cs="Times New Roman" w:asciiTheme="minorEastAsia" w:hAnsiTheme="minorEastAsia"/>
                <w:szCs w:val="21"/>
              </w:rPr>
            </w:pPr>
            <w:r>
              <w:rPr>
                <w:rFonts w:hint="eastAsia" w:cs="Times New Roman" w:asciiTheme="minorEastAsia" w:hAnsiTheme="minorEastAsia"/>
                <w:szCs w:val="21"/>
              </w:rPr>
              <w:t>3</w:t>
            </w:r>
          </w:p>
        </w:tc>
        <w:tc>
          <w:tcPr>
            <w:tcW w:w="1615" w:type="dxa"/>
            <w:vMerge w:val="restart"/>
            <w:vAlign w:val="center"/>
          </w:tcPr>
          <w:p>
            <w:pPr>
              <w:rPr>
                <w:rFonts w:hint="eastAsia" w:cs="Times New Roman" w:asciiTheme="minorEastAsia" w:hAnsiTheme="minorEastAsia"/>
                <w:szCs w:val="21"/>
              </w:rPr>
            </w:pPr>
            <w:r>
              <w:rPr>
                <w:rFonts w:hint="eastAsia" w:cs="Times New Roman" w:asciiTheme="minorEastAsia" w:hAnsiTheme="minorEastAsia"/>
                <w:szCs w:val="21"/>
              </w:rPr>
              <w:t>C风机</w:t>
            </w:r>
          </w:p>
        </w:tc>
        <w:tc>
          <w:tcPr>
            <w:tcW w:w="2637" w:type="dxa"/>
            <w:noWrap/>
            <w:vAlign w:val="center"/>
          </w:tcPr>
          <w:p>
            <w:pPr>
              <w:jc w:val="center"/>
              <w:rPr>
                <w:rFonts w:hint="eastAsia" w:cs="Times New Roman" w:asciiTheme="minorEastAsia" w:hAnsiTheme="minorEastAsia"/>
                <w:b/>
                <w:bCs/>
                <w:szCs w:val="21"/>
              </w:rPr>
            </w:pPr>
            <w:r>
              <w:rPr>
                <w:rFonts w:hint="eastAsia" w:cs="Times New Roman" w:asciiTheme="minorEastAsia" w:hAnsiTheme="minorEastAsia"/>
                <w:b/>
                <w:bCs/>
                <w:szCs w:val="21"/>
              </w:rPr>
              <w:t>主控项</w:t>
            </w:r>
          </w:p>
        </w:tc>
        <w:tc>
          <w:tcPr>
            <w:tcW w:w="851" w:type="dxa"/>
            <w:vMerge w:val="restart"/>
            <w:vAlign w:val="center"/>
          </w:tcPr>
          <w:p>
            <w:pPr>
              <w:jc w:val="center"/>
              <w:rPr>
                <w:rFonts w:hint="eastAsia" w:cs="Times New Roman" w:asciiTheme="minorEastAsia" w:hAnsiTheme="minorEastAsia"/>
                <w:szCs w:val="21"/>
              </w:rPr>
            </w:pPr>
            <w:r>
              <w:rPr>
                <w:rFonts w:hint="eastAsia" w:cs="Times New Roman" w:asciiTheme="minorEastAsia" w:hAnsiTheme="minorEastAsia"/>
                <w:szCs w:val="21"/>
              </w:rPr>
              <w:t>0.20</w:t>
            </w:r>
          </w:p>
        </w:tc>
        <w:tc>
          <w:tcPr>
            <w:tcW w:w="3685" w:type="dxa"/>
            <w:vAlign w:val="center"/>
          </w:tcPr>
          <w:p>
            <w:pPr>
              <w:jc w:val="center"/>
              <w:rPr>
                <w:rFonts w:hint="eastAsia" w:cs="Times New Roman" w:asciiTheme="minorEastAsia" w:hAnsiTheme="minorEastAsia"/>
                <w:b/>
                <w:bCs/>
                <w:szCs w:val="21"/>
              </w:rPr>
            </w:pPr>
            <w:r>
              <w:rPr>
                <w:rFonts w:hint="eastAsia" w:cs="Times New Roman" w:asciiTheme="minorEastAsia" w:hAnsiTheme="minorEastAsia"/>
                <w:b/>
                <w:bCs/>
                <w:szCs w:val="21"/>
              </w:rPr>
              <w:t>主控项评分要点</w:t>
            </w:r>
          </w:p>
        </w:tc>
        <w:tc>
          <w:tcPr>
            <w:tcW w:w="859" w:type="dxa"/>
            <w:vAlign w:val="center"/>
          </w:tcPr>
          <w:p>
            <w:pPr>
              <w:jc w:val="center"/>
              <w:rPr>
                <w:rFonts w:hint="eastAsia" w:cs="Times New Roman" w:asciiTheme="minorEastAsia" w:hAnsiTheme="minorEastAsia"/>
                <w:b/>
                <w:bCs/>
                <w:szCs w:val="21"/>
              </w:rPr>
            </w:pPr>
            <w:r>
              <w:rPr>
                <w:rFonts w:hint="eastAsia" w:cs="Times New Roman" w:asciiTheme="minorEastAsia" w:hAnsiTheme="minorEastAsia"/>
                <w:b/>
                <w:bCs/>
                <w:szCs w:val="21"/>
              </w:rPr>
              <w:t>评分</w:t>
            </w:r>
          </w:p>
        </w:tc>
        <w:tc>
          <w:tcPr>
            <w:tcW w:w="2896" w:type="dxa"/>
            <w:vAlign w:val="center"/>
          </w:tcPr>
          <w:p>
            <w:pPr>
              <w:jc w:val="center"/>
              <w:rPr>
                <w:rFonts w:hint="eastAsia" w:cs="Times New Roman" w:asciiTheme="minorEastAsia" w:hAnsiTheme="minorEastAsia"/>
                <w:b/>
                <w:bCs/>
                <w:szCs w:val="21"/>
              </w:rPr>
            </w:pPr>
            <w:r>
              <w:rPr>
                <w:rFonts w:hint="eastAsia" w:cs="Times New Roman" w:asciiTheme="minorEastAsia" w:hAnsiTheme="minorEastAsia"/>
                <w:b/>
                <w:bCs/>
                <w:szCs w:val="21"/>
              </w:rPr>
              <w:t>评定方法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846" w:type="dxa"/>
            <w:vMerge w:val="continue"/>
            <w:vAlign w:val="center"/>
          </w:tcPr>
          <w:p>
            <w:pPr>
              <w:jc w:val="center"/>
              <w:rPr>
                <w:rFonts w:hint="eastAsia" w:cs="Times New Roman" w:asciiTheme="minorEastAsia" w:hAnsiTheme="minorEastAsia"/>
                <w:szCs w:val="21"/>
              </w:rPr>
            </w:pPr>
          </w:p>
        </w:tc>
        <w:tc>
          <w:tcPr>
            <w:tcW w:w="1615" w:type="dxa"/>
            <w:vMerge w:val="continue"/>
            <w:vAlign w:val="center"/>
          </w:tcPr>
          <w:p>
            <w:pPr>
              <w:rPr>
                <w:rFonts w:hint="eastAsia" w:cs="Times New Roman" w:asciiTheme="minorEastAsia" w:hAnsiTheme="minorEastAsia"/>
                <w:szCs w:val="21"/>
              </w:rPr>
            </w:pPr>
          </w:p>
        </w:tc>
        <w:tc>
          <w:tcPr>
            <w:tcW w:w="2637" w:type="dxa"/>
            <w:noWrap/>
            <w:vAlign w:val="center"/>
          </w:tcPr>
          <w:p>
            <w:pPr>
              <w:rPr>
                <w:rFonts w:hint="eastAsia" w:cs="Times New Roman" w:asciiTheme="minorEastAsia" w:hAnsiTheme="minorEastAsia"/>
                <w:szCs w:val="21"/>
              </w:rPr>
            </w:pPr>
            <w:r>
              <w:rPr>
                <w:rFonts w:hint="eastAsia" w:cs="Times New Roman" w:asciiTheme="minorEastAsia" w:hAnsiTheme="minorEastAsia"/>
                <w:szCs w:val="21"/>
              </w:rPr>
              <w:t>标识</w:t>
            </w:r>
          </w:p>
        </w:tc>
        <w:tc>
          <w:tcPr>
            <w:tcW w:w="851" w:type="dxa"/>
            <w:vMerge w:val="continue"/>
            <w:vAlign w:val="center"/>
          </w:tcPr>
          <w:p>
            <w:pPr>
              <w:rPr>
                <w:rFonts w:hint="eastAsia" w:cs="Times New Roman" w:asciiTheme="minorEastAsia" w:hAnsiTheme="minorEastAsia"/>
                <w:szCs w:val="21"/>
              </w:rPr>
            </w:pPr>
          </w:p>
        </w:tc>
        <w:tc>
          <w:tcPr>
            <w:tcW w:w="3685"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防烟风机应设置明显永久标志。</w:t>
            </w:r>
          </w:p>
        </w:tc>
        <w:tc>
          <w:tcPr>
            <w:tcW w:w="859" w:type="dxa"/>
            <w:vAlign w:val="center"/>
          </w:tcPr>
          <w:p>
            <w:pPr>
              <w:jc w:val="center"/>
              <w:rPr>
                <w:rFonts w:hint="eastAsia" w:cs="Times New Roman" w:asciiTheme="minorEastAsia" w:hAnsiTheme="minorEastAsia"/>
                <w:szCs w:val="21"/>
              </w:rPr>
            </w:pPr>
            <w:r>
              <w:rPr>
                <w:rFonts w:hint="eastAsia" w:cs="Times New Roman" w:asciiTheme="minorEastAsia" w:hAnsiTheme="minorEastAsia"/>
                <w:szCs w:val="21"/>
              </w:rPr>
              <w:t>5</w:t>
            </w:r>
          </w:p>
        </w:tc>
        <w:tc>
          <w:tcPr>
            <w:tcW w:w="2896"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有标识合格，没标识不合格。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846" w:type="dxa"/>
            <w:vMerge w:val="continue"/>
            <w:vAlign w:val="center"/>
          </w:tcPr>
          <w:p>
            <w:pPr>
              <w:jc w:val="center"/>
              <w:rPr>
                <w:rFonts w:hint="eastAsia" w:cs="Times New Roman" w:asciiTheme="minorEastAsia" w:hAnsiTheme="minorEastAsia"/>
                <w:szCs w:val="21"/>
              </w:rPr>
            </w:pPr>
          </w:p>
        </w:tc>
        <w:tc>
          <w:tcPr>
            <w:tcW w:w="1615" w:type="dxa"/>
            <w:vMerge w:val="continue"/>
            <w:vAlign w:val="center"/>
          </w:tcPr>
          <w:p>
            <w:pPr>
              <w:rPr>
                <w:rFonts w:hint="eastAsia" w:cs="Times New Roman" w:asciiTheme="minorEastAsia" w:hAnsiTheme="minorEastAsia"/>
                <w:szCs w:val="21"/>
              </w:rPr>
            </w:pPr>
          </w:p>
        </w:tc>
        <w:tc>
          <w:tcPr>
            <w:tcW w:w="2637" w:type="dxa"/>
            <w:noWrap/>
            <w:vAlign w:val="center"/>
          </w:tcPr>
          <w:p>
            <w:pPr>
              <w:rPr>
                <w:rFonts w:hint="eastAsia" w:cs="Times New Roman" w:asciiTheme="minorEastAsia" w:hAnsiTheme="minorEastAsia"/>
                <w:szCs w:val="21"/>
              </w:rPr>
            </w:pPr>
            <w:r>
              <w:rPr>
                <w:rFonts w:hint="eastAsia" w:cs="Times New Roman" w:asciiTheme="minorEastAsia" w:hAnsiTheme="minorEastAsia"/>
                <w:szCs w:val="21"/>
              </w:rPr>
              <w:t>风机参数</w:t>
            </w:r>
          </w:p>
        </w:tc>
        <w:tc>
          <w:tcPr>
            <w:tcW w:w="851" w:type="dxa"/>
            <w:vMerge w:val="continue"/>
            <w:vAlign w:val="center"/>
          </w:tcPr>
          <w:p>
            <w:pPr>
              <w:rPr>
                <w:rFonts w:hint="eastAsia" w:cs="Times New Roman" w:asciiTheme="minorEastAsia" w:hAnsiTheme="minorEastAsia"/>
                <w:szCs w:val="21"/>
              </w:rPr>
            </w:pPr>
          </w:p>
        </w:tc>
        <w:tc>
          <w:tcPr>
            <w:tcW w:w="3685"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风机的型号、规格应符合设计规定设计图纸要求。</w:t>
            </w:r>
          </w:p>
        </w:tc>
        <w:tc>
          <w:tcPr>
            <w:tcW w:w="859" w:type="dxa"/>
            <w:vAlign w:val="center"/>
          </w:tcPr>
          <w:p>
            <w:pPr>
              <w:jc w:val="center"/>
              <w:rPr>
                <w:rFonts w:hint="eastAsia" w:cs="Times New Roman" w:asciiTheme="minorEastAsia" w:hAnsiTheme="minorEastAsia"/>
                <w:szCs w:val="21"/>
              </w:rPr>
            </w:pPr>
            <w:r>
              <w:rPr>
                <w:rFonts w:hint="eastAsia" w:cs="Times New Roman" w:asciiTheme="minorEastAsia" w:hAnsiTheme="minorEastAsia"/>
                <w:szCs w:val="21"/>
              </w:rPr>
              <w:t>15</w:t>
            </w:r>
          </w:p>
        </w:tc>
        <w:tc>
          <w:tcPr>
            <w:tcW w:w="2896"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查看风机铭牌数值是否符合图纸要求。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846" w:type="dxa"/>
            <w:vMerge w:val="continue"/>
            <w:vAlign w:val="center"/>
          </w:tcPr>
          <w:p>
            <w:pPr>
              <w:jc w:val="center"/>
              <w:rPr>
                <w:rFonts w:hint="eastAsia" w:cs="Times New Roman" w:asciiTheme="minorEastAsia" w:hAnsiTheme="minorEastAsia"/>
                <w:szCs w:val="21"/>
              </w:rPr>
            </w:pPr>
          </w:p>
        </w:tc>
        <w:tc>
          <w:tcPr>
            <w:tcW w:w="1615" w:type="dxa"/>
            <w:vMerge w:val="continue"/>
            <w:vAlign w:val="center"/>
          </w:tcPr>
          <w:p>
            <w:pPr>
              <w:rPr>
                <w:rFonts w:hint="eastAsia" w:cs="Times New Roman" w:asciiTheme="minorEastAsia" w:hAnsiTheme="minorEastAsia"/>
                <w:szCs w:val="21"/>
              </w:rPr>
            </w:pPr>
          </w:p>
        </w:tc>
        <w:tc>
          <w:tcPr>
            <w:tcW w:w="2637" w:type="dxa"/>
            <w:noWrap/>
            <w:vAlign w:val="center"/>
          </w:tcPr>
          <w:p>
            <w:pPr>
              <w:rPr>
                <w:rFonts w:hint="eastAsia" w:cs="Times New Roman" w:asciiTheme="minorEastAsia" w:hAnsiTheme="minorEastAsia"/>
                <w:szCs w:val="21"/>
              </w:rPr>
            </w:pPr>
            <w:r>
              <w:rPr>
                <w:rFonts w:hint="eastAsia" w:cs="Times New Roman" w:asciiTheme="minorEastAsia" w:hAnsiTheme="minorEastAsia"/>
                <w:szCs w:val="21"/>
              </w:rPr>
              <w:t>进风口与排烟口距离</w:t>
            </w:r>
          </w:p>
        </w:tc>
        <w:tc>
          <w:tcPr>
            <w:tcW w:w="851" w:type="dxa"/>
            <w:vMerge w:val="continue"/>
            <w:vAlign w:val="center"/>
          </w:tcPr>
          <w:p>
            <w:pPr>
              <w:rPr>
                <w:rFonts w:hint="eastAsia" w:cs="Times New Roman" w:asciiTheme="minorEastAsia" w:hAnsiTheme="minorEastAsia"/>
                <w:szCs w:val="21"/>
              </w:rPr>
            </w:pPr>
          </w:p>
        </w:tc>
        <w:tc>
          <w:tcPr>
            <w:tcW w:w="3685"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排烟风机的出口与加压送风机的进口之间的距离，同一平面距离大于20米；垂直方向距离大于6米，且送风口在排烟风口下面。</w:t>
            </w:r>
          </w:p>
        </w:tc>
        <w:tc>
          <w:tcPr>
            <w:tcW w:w="859" w:type="dxa"/>
            <w:vAlign w:val="center"/>
          </w:tcPr>
          <w:p>
            <w:pPr>
              <w:jc w:val="center"/>
              <w:rPr>
                <w:rFonts w:hint="eastAsia" w:cs="Times New Roman" w:asciiTheme="minorEastAsia" w:hAnsiTheme="minorEastAsia"/>
                <w:szCs w:val="21"/>
              </w:rPr>
            </w:pPr>
            <w:r>
              <w:rPr>
                <w:rFonts w:hint="eastAsia" w:cs="Times New Roman" w:asciiTheme="minorEastAsia" w:hAnsiTheme="minorEastAsia"/>
                <w:szCs w:val="21"/>
              </w:rPr>
              <w:t>10</w:t>
            </w:r>
          </w:p>
        </w:tc>
        <w:tc>
          <w:tcPr>
            <w:tcW w:w="2896"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现场查看尺量，距离符合规范要求合格，不符合不合格。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846" w:type="dxa"/>
            <w:vMerge w:val="continue"/>
            <w:vAlign w:val="center"/>
          </w:tcPr>
          <w:p>
            <w:pPr>
              <w:jc w:val="center"/>
              <w:rPr>
                <w:rFonts w:hint="eastAsia" w:cs="Times New Roman" w:asciiTheme="minorEastAsia" w:hAnsiTheme="minorEastAsia"/>
                <w:szCs w:val="21"/>
              </w:rPr>
            </w:pPr>
          </w:p>
        </w:tc>
        <w:tc>
          <w:tcPr>
            <w:tcW w:w="1615" w:type="dxa"/>
            <w:vMerge w:val="continue"/>
            <w:vAlign w:val="center"/>
          </w:tcPr>
          <w:p>
            <w:pPr>
              <w:rPr>
                <w:rFonts w:hint="eastAsia" w:cs="Times New Roman" w:asciiTheme="minorEastAsia" w:hAnsiTheme="minorEastAsia"/>
                <w:szCs w:val="21"/>
              </w:rPr>
            </w:pPr>
          </w:p>
        </w:tc>
        <w:tc>
          <w:tcPr>
            <w:tcW w:w="2637" w:type="dxa"/>
            <w:noWrap/>
            <w:vAlign w:val="center"/>
          </w:tcPr>
          <w:p>
            <w:pPr>
              <w:rPr>
                <w:rFonts w:hint="eastAsia" w:cs="Times New Roman" w:asciiTheme="minorEastAsia" w:hAnsiTheme="minorEastAsia"/>
                <w:szCs w:val="21"/>
              </w:rPr>
            </w:pPr>
            <w:r>
              <w:rPr>
                <w:rFonts w:hint="eastAsia" w:cs="Times New Roman" w:asciiTheme="minorEastAsia" w:hAnsiTheme="minorEastAsia"/>
                <w:szCs w:val="21"/>
              </w:rPr>
              <w:t>风机产品</w:t>
            </w:r>
          </w:p>
        </w:tc>
        <w:tc>
          <w:tcPr>
            <w:tcW w:w="851" w:type="dxa"/>
            <w:vMerge w:val="continue"/>
            <w:vAlign w:val="center"/>
          </w:tcPr>
          <w:p>
            <w:pPr>
              <w:rPr>
                <w:rFonts w:hint="eastAsia" w:cs="Times New Roman" w:asciiTheme="minorEastAsia" w:hAnsiTheme="minorEastAsia"/>
                <w:szCs w:val="21"/>
              </w:rPr>
            </w:pPr>
          </w:p>
        </w:tc>
        <w:tc>
          <w:tcPr>
            <w:tcW w:w="3685"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风机采购应符合设计要求和有关消防产品标准的规定。</w:t>
            </w:r>
          </w:p>
        </w:tc>
        <w:tc>
          <w:tcPr>
            <w:tcW w:w="859" w:type="dxa"/>
            <w:vAlign w:val="center"/>
          </w:tcPr>
          <w:p>
            <w:pPr>
              <w:jc w:val="center"/>
              <w:rPr>
                <w:rFonts w:hint="eastAsia" w:cs="Times New Roman" w:asciiTheme="minorEastAsia" w:hAnsiTheme="minorEastAsia"/>
                <w:szCs w:val="21"/>
              </w:rPr>
            </w:pPr>
            <w:r>
              <w:rPr>
                <w:rFonts w:hint="eastAsia" w:cs="Times New Roman" w:asciiTheme="minorEastAsia" w:hAnsiTheme="minorEastAsia"/>
                <w:szCs w:val="21"/>
              </w:rPr>
              <w:t>10</w:t>
            </w:r>
          </w:p>
        </w:tc>
        <w:tc>
          <w:tcPr>
            <w:tcW w:w="2896"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查看消防身份证黄标，用手机微信扫码确定，符合要求合格，不符合要求不合格。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846" w:type="dxa"/>
            <w:vMerge w:val="continue"/>
            <w:vAlign w:val="center"/>
          </w:tcPr>
          <w:p>
            <w:pPr>
              <w:jc w:val="center"/>
              <w:rPr>
                <w:rFonts w:hint="eastAsia" w:cs="Times New Roman" w:asciiTheme="minorEastAsia" w:hAnsiTheme="minorEastAsia"/>
                <w:szCs w:val="21"/>
              </w:rPr>
            </w:pPr>
          </w:p>
        </w:tc>
        <w:tc>
          <w:tcPr>
            <w:tcW w:w="1615" w:type="dxa"/>
            <w:vMerge w:val="continue"/>
            <w:vAlign w:val="center"/>
          </w:tcPr>
          <w:p>
            <w:pPr>
              <w:rPr>
                <w:rFonts w:hint="eastAsia" w:cs="Times New Roman" w:asciiTheme="minorEastAsia" w:hAnsiTheme="minorEastAsia"/>
                <w:szCs w:val="21"/>
              </w:rPr>
            </w:pPr>
          </w:p>
        </w:tc>
        <w:tc>
          <w:tcPr>
            <w:tcW w:w="2637" w:type="dxa"/>
            <w:noWrap/>
            <w:vAlign w:val="center"/>
          </w:tcPr>
          <w:p>
            <w:pPr>
              <w:rPr>
                <w:rFonts w:hint="eastAsia" w:cs="Times New Roman" w:asciiTheme="minorEastAsia" w:hAnsiTheme="minorEastAsia"/>
                <w:szCs w:val="21"/>
              </w:rPr>
            </w:pPr>
            <w:r>
              <w:rPr>
                <w:rFonts w:hint="eastAsia" w:cs="Times New Roman" w:asciiTheme="minorEastAsia" w:hAnsiTheme="minorEastAsia"/>
                <w:szCs w:val="21"/>
              </w:rPr>
              <w:t>风机安装</w:t>
            </w:r>
          </w:p>
        </w:tc>
        <w:tc>
          <w:tcPr>
            <w:tcW w:w="851" w:type="dxa"/>
            <w:vMerge w:val="continue"/>
            <w:vAlign w:val="center"/>
          </w:tcPr>
          <w:p>
            <w:pPr>
              <w:rPr>
                <w:rFonts w:hint="eastAsia" w:cs="Times New Roman" w:asciiTheme="minorEastAsia" w:hAnsiTheme="minorEastAsia"/>
                <w:szCs w:val="21"/>
              </w:rPr>
            </w:pPr>
          </w:p>
        </w:tc>
        <w:tc>
          <w:tcPr>
            <w:tcW w:w="3685"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风机应设在混凝土或钢架基础上，不应设置减震装置。</w:t>
            </w:r>
          </w:p>
        </w:tc>
        <w:tc>
          <w:tcPr>
            <w:tcW w:w="859" w:type="dxa"/>
            <w:vAlign w:val="center"/>
          </w:tcPr>
          <w:p>
            <w:pPr>
              <w:jc w:val="center"/>
              <w:rPr>
                <w:rFonts w:hint="eastAsia" w:cs="Times New Roman" w:asciiTheme="minorEastAsia" w:hAnsiTheme="minorEastAsia"/>
                <w:szCs w:val="21"/>
              </w:rPr>
            </w:pPr>
            <w:r>
              <w:rPr>
                <w:rFonts w:hint="eastAsia" w:cs="Times New Roman" w:asciiTheme="minorEastAsia" w:hAnsiTheme="minorEastAsia"/>
                <w:szCs w:val="21"/>
              </w:rPr>
              <w:t>10</w:t>
            </w:r>
          </w:p>
        </w:tc>
        <w:tc>
          <w:tcPr>
            <w:tcW w:w="2896"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现场查看，符合要求合格，不符合要求不合格。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846" w:type="dxa"/>
            <w:vMerge w:val="continue"/>
            <w:vAlign w:val="center"/>
          </w:tcPr>
          <w:p>
            <w:pPr>
              <w:jc w:val="center"/>
              <w:rPr>
                <w:rFonts w:hint="eastAsia" w:cs="Times New Roman" w:asciiTheme="minorEastAsia" w:hAnsiTheme="minorEastAsia"/>
                <w:szCs w:val="21"/>
              </w:rPr>
            </w:pPr>
          </w:p>
        </w:tc>
        <w:tc>
          <w:tcPr>
            <w:tcW w:w="1615" w:type="dxa"/>
            <w:vMerge w:val="continue"/>
            <w:vAlign w:val="center"/>
          </w:tcPr>
          <w:p>
            <w:pPr>
              <w:rPr>
                <w:rFonts w:hint="eastAsia" w:cs="Times New Roman" w:asciiTheme="minorEastAsia" w:hAnsiTheme="minorEastAsia"/>
                <w:szCs w:val="21"/>
              </w:rPr>
            </w:pPr>
          </w:p>
        </w:tc>
        <w:tc>
          <w:tcPr>
            <w:tcW w:w="2637" w:type="dxa"/>
            <w:noWrap/>
            <w:vAlign w:val="center"/>
          </w:tcPr>
          <w:p>
            <w:pPr>
              <w:rPr>
                <w:rFonts w:hint="eastAsia" w:cs="Times New Roman" w:asciiTheme="minorEastAsia" w:hAnsiTheme="minorEastAsia"/>
                <w:szCs w:val="21"/>
              </w:rPr>
            </w:pPr>
            <w:r>
              <w:rPr>
                <w:rFonts w:hint="eastAsia" w:cs="Times New Roman" w:asciiTheme="minorEastAsia" w:hAnsiTheme="minorEastAsia"/>
                <w:szCs w:val="21"/>
              </w:rPr>
              <w:t>风机运行安全</w:t>
            </w:r>
          </w:p>
        </w:tc>
        <w:tc>
          <w:tcPr>
            <w:tcW w:w="851" w:type="dxa"/>
            <w:vMerge w:val="continue"/>
            <w:vAlign w:val="center"/>
          </w:tcPr>
          <w:p>
            <w:pPr>
              <w:rPr>
                <w:rFonts w:hint="eastAsia" w:cs="Times New Roman" w:asciiTheme="minorEastAsia" w:hAnsiTheme="minorEastAsia"/>
                <w:szCs w:val="21"/>
              </w:rPr>
            </w:pPr>
          </w:p>
        </w:tc>
        <w:tc>
          <w:tcPr>
            <w:tcW w:w="3685"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风机驱动装置及叶片的外露部位应装设防护罩。</w:t>
            </w:r>
          </w:p>
        </w:tc>
        <w:tc>
          <w:tcPr>
            <w:tcW w:w="859" w:type="dxa"/>
            <w:vAlign w:val="center"/>
          </w:tcPr>
          <w:p>
            <w:pPr>
              <w:jc w:val="center"/>
              <w:rPr>
                <w:rFonts w:hint="eastAsia" w:cs="Times New Roman" w:asciiTheme="minorEastAsia" w:hAnsiTheme="minorEastAsia"/>
                <w:szCs w:val="21"/>
              </w:rPr>
            </w:pPr>
            <w:r>
              <w:rPr>
                <w:rFonts w:hint="eastAsia" w:cs="Times New Roman" w:asciiTheme="minorEastAsia" w:hAnsiTheme="minorEastAsia"/>
                <w:szCs w:val="21"/>
              </w:rPr>
              <w:t>20</w:t>
            </w:r>
          </w:p>
        </w:tc>
        <w:tc>
          <w:tcPr>
            <w:tcW w:w="2896"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现场查看，有合格，没有不合格。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846" w:type="dxa"/>
            <w:vMerge w:val="continue"/>
            <w:vAlign w:val="center"/>
          </w:tcPr>
          <w:p>
            <w:pPr>
              <w:jc w:val="center"/>
              <w:rPr>
                <w:rFonts w:hint="eastAsia" w:cs="Times New Roman" w:asciiTheme="minorEastAsia" w:hAnsiTheme="minorEastAsia"/>
                <w:szCs w:val="21"/>
              </w:rPr>
            </w:pPr>
          </w:p>
        </w:tc>
        <w:tc>
          <w:tcPr>
            <w:tcW w:w="1615" w:type="dxa"/>
            <w:vMerge w:val="continue"/>
            <w:vAlign w:val="center"/>
          </w:tcPr>
          <w:p>
            <w:pPr>
              <w:rPr>
                <w:rFonts w:hint="eastAsia" w:cs="Times New Roman" w:asciiTheme="minorEastAsia" w:hAnsiTheme="minorEastAsia"/>
                <w:szCs w:val="21"/>
              </w:rPr>
            </w:pPr>
          </w:p>
        </w:tc>
        <w:tc>
          <w:tcPr>
            <w:tcW w:w="2637" w:type="dxa"/>
            <w:noWrap/>
            <w:vAlign w:val="center"/>
          </w:tcPr>
          <w:p>
            <w:pPr>
              <w:jc w:val="center"/>
              <w:rPr>
                <w:rFonts w:hint="eastAsia" w:cs="Times New Roman" w:asciiTheme="minorEastAsia" w:hAnsiTheme="minorEastAsia"/>
                <w:b/>
                <w:bCs/>
                <w:szCs w:val="21"/>
              </w:rPr>
            </w:pPr>
            <w:r>
              <w:rPr>
                <w:rFonts w:hint="eastAsia" w:cs="Times New Roman" w:asciiTheme="minorEastAsia" w:hAnsiTheme="minorEastAsia"/>
                <w:b/>
                <w:bCs/>
                <w:szCs w:val="21"/>
              </w:rPr>
              <w:t>一般项</w:t>
            </w:r>
          </w:p>
        </w:tc>
        <w:tc>
          <w:tcPr>
            <w:tcW w:w="851" w:type="dxa"/>
            <w:vMerge w:val="continue"/>
            <w:vAlign w:val="center"/>
          </w:tcPr>
          <w:p>
            <w:pPr>
              <w:jc w:val="center"/>
              <w:rPr>
                <w:rFonts w:hint="eastAsia" w:cs="Times New Roman" w:asciiTheme="minorEastAsia" w:hAnsiTheme="minorEastAsia"/>
                <w:szCs w:val="21"/>
              </w:rPr>
            </w:pPr>
          </w:p>
        </w:tc>
        <w:tc>
          <w:tcPr>
            <w:tcW w:w="3685" w:type="dxa"/>
            <w:vAlign w:val="center"/>
          </w:tcPr>
          <w:p>
            <w:pPr>
              <w:jc w:val="center"/>
              <w:rPr>
                <w:rFonts w:hint="eastAsia" w:cs="Times New Roman" w:asciiTheme="minorEastAsia" w:hAnsiTheme="minorEastAsia"/>
                <w:b/>
                <w:bCs/>
                <w:szCs w:val="21"/>
              </w:rPr>
            </w:pPr>
            <w:r>
              <w:rPr>
                <w:rFonts w:hint="eastAsia" w:cs="Times New Roman" w:asciiTheme="minorEastAsia" w:hAnsiTheme="minorEastAsia"/>
                <w:b/>
                <w:bCs/>
                <w:szCs w:val="21"/>
              </w:rPr>
              <w:t>一般项评分要点</w:t>
            </w:r>
          </w:p>
        </w:tc>
        <w:tc>
          <w:tcPr>
            <w:tcW w:w="859" w:type="dxa"/>
            <w:vAlign w:val="center"/>
          </w:tcPr>
          <w:p>
            <w:pPr>
              <w:jc w:val="center"/>
              <w:rPr>
                <w:rFonts w:hint="eastAsia" w:cs="Times New Roman" w:asciiTheme="minorEastAsia" w:hAnsiTheme="minorEastAsia"/>
                <w:b/>
                <w:bCs/>
                <w:szCs w:val="21"/>
              </w:rPr>
            </w:pPr>
            <w:r>
              <w:rPr>
                <w:rFonts w:hint="eastAsia" w:cs="Times New Roman" w:asciiTheme="minorEastAsia" w:hAnsiTheme="minorEastAsia"/>
                <w:b/>
                <w:bCs/>
                <w:szCs w:val="21"/>
              </w:rPr>
              <w:t>评分</w:t>
            </w:r>
          </w:p>
        </w:tc>
        <w:tc>
          <w:tcPr>
            <w:tcW w:w="2896" w:type="dxa"/>
            <w:vAlign w:val="center"/>
          </w:tcPr>
          <w:p>
            <w:pPr>
              <w:jc w:val="center"/>
              <w:rPr>
                <w:rFonts w:hint="eastAsia" w:cs="Times New Roman" w:asciiTheme="minorEastAsia" w:hAnsiTheme="minorEastAsia"/>
                <w:b/>
                <w:bCs/>
                <w:szCs w:val="21"/>
              </w:rPr>
            </w:pPr>
            <w:r>
              <w:rPr>
                <w:rFonts w:hint="eastAsia" w:cs="Times New Roman" w:asciiTheme="minorEastAsia" w:hAnsiTheme="minorEastAsia"/>
                <w:b/>
                <w:bCs/>
                <w:szCs w:val="21"/>
              </w:rPr>
              <w:t>评定方法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846" w:type="dxa"/>
            <w:vMerge w:val="continue"/>
            <w:vAlign w:val="center"/>
          </w:tcPr>
          <w:p>
            <w:pPr>
              <w:jc w:val="center"/>
              <w:rPr>
                <w:rFonts w:hint="eastAsia" w:cs="Times New Roman" w:asciiTheme="minorEastAsia" w:hAnsiTheme="minorEastAsia"/>
                <w:szCs w:val="24"/>
              </w:rPr>
            </w:pPr>
          </w:p>
        </w:tc>
        <w:tc>
          <w:tcPr>
            <w:tcW w:w="1615" w:type="dxa"/>
            <w:vMerge w:val="continue"/>
            <w:vAlign w:val="center"/>
          </w:tcPr>
          <w:p>
            <w:pPr>
              <w:rPr>
                <w:rFonts w:hint="eastAsia" w:cs="Times New Roman" w:asciiTheme="minorEastAsia" w:hAnsiTheme="minorEastAsia"/>
                <w:szCs w:val="24"/>
              </w:rPr>
            </w:pPr>
          </w:p>
        </w:tc>
        <w:tc>
          <w:tcPr>
            <w:tcW w:w="2637" w:type="dxa"/>
            <w:noWrap/>
            <w:vAlign w:val="center"/>
          </w:tcPr>
          <w:p>
            <w:pPr>
              <w:rPr>
                <w:rFonts w:hint="eastAsia" w:cs="Times New Roman" w:asciiTheme="minorEastAsia" w:hAnsiTheme="minorEastAsia"/>
                <w:szCs w:val="21"/>
              </w:rPr>
            </w:pPr>
            <w:r>
              <w:rPr>
                <w:rFonts w:hint="eastAsia" w:cs="Times New Roman" w:asciiTheme="minorEastAsia" w:hAnsiTheme="minorEastAsia"/>
                <w:szCs w:val="21"/>
              </w:rPr>
              <w:t>风机检修通道</w:t>
            </w:r>
          </w:p>
        </w:tc>
        <w:tc>
          <w:tcPr>
            <w:tcW w:w="851" w:type="dxa"/>
            <w:vMerge w:val="continue"/>
            <w:vAlign w:val="center"/>
          </w:tcPr>
          <w:p>
            <w:pPr>
              <w:rPr>
                <w:rFonts w:hint="eastAsia" w:cs="Times New Roman" w:asciiTheme="minorEastAsia" w:hAnsiTheme="minorEastAsia"/>
                <w:szCs w:val="21"/>
              </w:rPr>
            </w:pPr>
          </w:p>
        </w:tc>
        <w:tc>
          <w:tcPr>
            <w:tcW w:w="3685"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风机外壳至墙壁或其它设备的距离不应小于600mm；或者有其它便于检修更换的措施。</w:t>
            </w:r>
          </w:p>
        </w:tc>
        <w:tc>
          <w:tcPr>
            <w:tcW w:w="859" w:type="dxa"/>
            <w:vAlign w:val="center"/>
          </w:tcPr>
          <w:p>
            <w:pPr>
              <w:jc w:val="center"/>
              <w:rPr>
                <w:rFonts w:hint="eastAsia" w:cs="Times New Roman" w:asciiTheme="minorEastAsia" w:hAnsiTheme="minorEastAsia"/>
                <w:szCs w:val="21"/>
              </w:rPr>
            </w:pPr>
            <w:r>
              <w:rPr>
                <w:rFonts w:hint="eastAsia" w:cs="Times New Roman" w:asciiTheme="minorEastAsia" w:hAnsiTheme="minorEastAsia"/>
                <w:szCs w:val="21"/>
              </w:rPr>
              <w:t>15</w:t>
            </w:r>
          </w:p>
        </w:tc>
        <w:tc>
          <w:tcPr>
            <w:tcW w:w="2896"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现场查看尺量，根据结果打分。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846" w:type="dxa"/>
            <w:vMerge w:val="continue"/>
            <w:vAlign w:val="center"/>
          </w:tcPr>
          <w:p>
            <w:pPr>
              <w:jc w:val="center"/>
              <w:rPr>
                <w:rFonts w:hint="eastAsia" w:cs="Times New Roman" w:asciiTheme="minorEastAsia" w:hAnsiTheme="minorEastAsia"/>
                <w:szCs w:val="24"/>
              </w:rPr>
            </w:pPr>
          </w:p>
        </w:tc>
        <w:tc>
          <w:tcPr>
            <w:tcW w:w="1615" w:type="dxa"/>
            <w:vMerge w:val="continue"/>
            <w:vAlign w:val="center"/>
          </w:tcPr>
          <w:p>
            <w:pPr>
              <w:rPr>
                <w:rFonts w:hint="eastAsia" w:cs="Times New Roman" w:asciiTheme="minorEastAsia" w:hAnsiTheme="minorEastAsia"/>
                <w:szCs w:val="24"/>
              </w:rPr>
            </w:pPr>
          </w:p>
        </w:tc>
        <w:tc>
          <w:tcPr>
            <w:tcW w:w="2637" w:type="dxa"/>
            <w:noWrap/>
            <w:vAlign w:val="center"/>
          </w:tcPr>
          <w:p>
            <w:pPr>
              <w:rPr>
                <w:rFonts w:hint="eastAsia" w:cs="Times New Roman" w:asciiTheme="minorEastAsia" w:hAnsiTheme="minorEastAsia"/>
                <w:szCs w:val="21"/>
              </w:rPr>
            </w:pPr>
            <w:r>
              <w:rPr>
                <w:rFonts w:hint="eastAsia" w:cs="Times New Roman" w:asciiTheme="minorEastAsia" w:hAnsiTheme="minorEastAsia"/>
                <w:szCs w:val="21"/>
              </w:rPr>
              <w:t>风机进风口</w:t>
            </w:r>
          </w:p>
        </w:tc>
        <w:tc>
          <w:tcPr>
            <w:tcW w:w="851" w:type="dxa"/>
            <w:vMerge w:val="continue"/>
            <w:vAlign w:val="center"/>
          </w:tcPr>
          <w:p>
            <w:pPr>
              <w:rPr>
                <w:rFonts w:hint="eastAsia" w:cs="Times New Roman" w:asciiTheme="minorEastAsia" w:hAnsiTheme="minorEastAsia"/>
                <w:szCs w:val="21"/>
              </w:rPr>
            </w:pPr>
          </w:p>
        </w:tc>
        <w:tc>
          <w:tcPr>
            <w:tcW w:w="3685"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直通大气的进出风口应装设防护网或采取其它安全设施，并应设防雨措施。</w:t>
            </w:r>
          </w:p>
        </w:tc>
        <w:tc>
          <w:tcPr>
            <w:tcW w:w="859" w:type="dxa"/>
            <w:vAlign w:val="center"/>
          </w:tcPr>
          <w:p>
            <w:pPr>
              <w:jc w:val="center"/>
              <w:rPr>
                <w:rFonts w:hint="eastAsia" w:cs="Times New Roman" w:asciiTheme="minorEastAsia" w:hAnsiTheme="minorEastAsia"/>
                <w:szCs w:val="21"/>
              </w:rPr>
            </w:pPr>
            <w:r>
              <w:rPr>
                <w:rFonts w:hint="eastAsia" w:cs="Times New Roman" w:asciiTheme="minorEastAsia" w:hAnsiTheme="minorEastAsia"/>
                <w:szCs w:val="21"/>
              </w:rPr>
              <w:t>15</w:t>
            </w:r>
          </w:p>
        </w:tc>
        <w:tc>
          <w:tcPr>
            <w:tcW w:w="2896"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现场查看，根据现场质量打分。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846" w:type="dxa"/>
            <w:vMerge w:val="restart"/>
            <w:noWrap/>
            <w:vAlign w:val="center"/>
          </w:tcPr>
          <w:p>
            <w:pPr>
              <w:jc w:val="center"/>
              <w:rPr>
                <w:rFonts w:hint="eastAsia" w:cs="Times New Roman" w:asciiTheme="minorEastAsia" w:hAnsiTheme="minorEastAsia"/>
                <w:szCs w:val="21"/>
              </w:rPr>
            </w:pPr>
            <w:r>
              <w:rPr>
                <w:rFonts w:hint="eastAsia" w:cs="Times New Roman" w:asciiTheme="minorEastAsia" w:hAnsiTheme="minorEastAsia"/>
                <w:szCs w:val="21"/>
              </w:rPr>
              <w:t>4</w:t>
            </w:r>
          </w:p>
        </w:tc>
        <w:tc>
          <w:tcPr>
            <w:tcW w:w="1615" w:type="dxa"/>
            <w:vMerge w:val="restart"/>
            <w:vAlign w:val="center"/>
          </w:tcPr>
          <w:p>
            <w:pPr>
              <w:rPr>
                <w:rFonts w:hint="eastAsia" w:cs="Times New Roman" w:asciiTheme="minorEastAsia" w:hAnsiTheme="minorEastAsia"/>
                <w:szCs w:val="21"/>
              </w:rPr>
            </w:pPr>
            <w:r>
              <w:rPr>
                <w:rFonts w:hint="eastAsia" w:cs="Times New Roman" w:asciiTheme="minorEastAsia" w:hAnsiTheme="minorEastAsia"/>
                <w:szCs w:val="21"/>
              </w:rPr>
              <w:t>D抗震支吊架</w:t>
            </w:r>
          </w:p>
        </w:tc>
        <w:tc>
          <w:tcPr>
            <w:tcW w:w="2637" w:type="dxa"/>
            <w:noWrap/>
            <w:vAlign w:val="center"/>
          </w:tcPr>
          <w:p>
            <w:pPr>
              <w:jc w:val="center"/>
              <w:rPr>
                <w:rFonts w:hint="eastAsia" w:cs="Times New Roman" w:asciiTheme="minorEastAsia" w:hAnsiTheme="minorEastAsia"/>
                <w:b/>
                <w:bCs/>
                <w:szCs w:val="21"/>
              </w:rPr>
            </w:pPr>
            <w:r>
              <w:rPr>
                <w:rFonts w:hint="eastAsia" w:cs="Times New Roman" w:asciiTheme="minorEastAsia" w:hAnsiTheme="minorEastAsia"/>
                <w:b/>
                <w:bCs/>
                <w:szCs w:val="21"/>
              </w:rPr>
              <w:t>主控项</w:t>
            </w:r>
          </w:p>
        </w:tc>
        <w:tc>
          <w:tcPr>
            <w:tcW w:w="851" w:type="dxa"/>
            <w:vMerge w:val="restart"/>
            <w:vAlign w:val="center"/>
          </w:tcPr>
          <w:p>
            <w:pPr>
              <w:jc w:val="center"/>
              <w:rPr>
                <w:rFonts w:hint="eastAsia" w:cs="Times New Roman" w:asciiTheme="minorEastAsia" w:hAnsiTheme="minorEastAsia"/>
                <w:szCs w:val="21"/>
              </w:rPr>
            </w:pPr>
            <w:r>
              <w:rPr>
                <w:rFonts w:hint="eastAsia" w:cs="Times New Roman" w:asciiTheme="minorEastAsia" w:hAnsiTheme="minorEastAsia"/>
                <w:szCs w:val="21"/>
              </w:rPr>
              <w:t>0.10</w:t>
            </w:r>
          </w:p>
        </w:tc>
        <w:tc>
          <w:tcPr>
            <w:tcW w:w="3685" w:type="dxa"/>
            <w:vAlign w:val="center"/>
          </w:tcPr>
          <w:p>
            <w:pPr>
              <w:jc w:val="center"/>
              <w:rPr>
                <w:rFonts w:hint="eastAsia" w:cs="Times New Roman" w:asciiTheme="minorEastAsia" w:hAnsiTheme="minorEastAsia"/>
                <w:b/>
                <w:bCs/>
                <w:szCs w:val="21"/>
              </w:rPr>
            </w:pPr>
            <w:r>
              <w:rPr>
                <w:rFonts w:hint="eastAsia" w:cs="Times New Roman" w:asciiTheme="minorEastAsia" w:hAnsiTheme="minorEastAsia"/>
                <w:b/>
                <w:bCs/>
                <w:szCs w:val="21"/>
              </w:rPr>
              <w:t>主控项评分要点</w:t>
            </w:r>
          </w:p>
        </w:tc>
        <w:tc>
          <w:tcPr>
            <w:tcW w:w="859" w:type="dxa"/>
            <w:vAlign w:val="center"/>
          </w:tcPr>
          <w:p>
            <w:pPr>
              <w:jc w:val="center"/>
              <w:rPr>
                <w:rFonts w:hint="eastAsia" w:cs="Times New Roman" w:asciiTheme="minorEastAsia" w:hAnsiTheme="minorEastAsia"/>
                <w:b/>
                <w:bCs/>
                <w:szCs w:val="21"/>
              </w:rPr>
            </w:pPr>
            <w:r>
              <w:rPr>
                <w:rFonts w:hint="eastAsia" w:cs="Times New Roman" w:asciiTheme="minorEastAsia" w:hAnsiTheme="minorEastAsia"/>
                <w:b/>
                <w:bCs/>
                <w:szCs w:val="21"/>
              </w:rPr>
              <w:t>评分</w:t>
            </w:r>
          </w:p>
        </w:tc>
        <w:tc>
          <w:tcPr>
            <w:tcW w:w="2896" w:type="dxa"/>
            <w:vAlign w:val="center"/>
          </w:tcPr>
          <w:p>
            <w:pPr>
              <w:jc w:val="center"/>
              <w:rPr>
                <w:rFonts w:hint="eastAsia" w:cs="Times New Roman" w:asciiTheme="minorEastAsia" w:hAnsiTheme="minorEastAsia"/>
                <w:b/>
                <w:bCs/>
                <w:szCs w:val="21"/>
              </w:rPr>
            </w:pPr>
            <w:r>
              <w:rPr>
                <w:rFonts w:hint="eastAsia" w:cs="Times New Roman" w:asciiTheme="minorEastAsia" w:hAnsiTheme="minorEastAsia"/>
                <w:b/>
                <w:bCs/>
                <w:szCs w:val="21"/>
              </w:rPr>
              <w:t>评定方法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846" w:type="dxa"/>
            <w:vMerge w:val="continue"/>
            <w:vAlign w:val="center"/>
          </w:tcPr>
          <w:p>
            <w:pPr>
              <w:jc w:val="center"/>
              <w:rPr>
                <w:rFonts w:hint="eastAsia" w:cs="Times New Roman" w:asciiTheme="minorEastAsia" w:hAnsiTheme="minorEastAsia"/>
                <w:szCs w:val="21"/>
              </w:rPr>
            </w:pPr>
          </w:p>
        </w:tc>
        <w:tc>
          <w:tcPr>
            <w:tcW w:w="1615" w:type="dxa"/>
            <w:vMerge w:val="continue"/>
            <w:vAlign w:val="center"/>
          </w:tcPr>
          <w:p>
            <w:pPr>
              <w:rPr>
                <w:rFonts w:hint="eastAsia" w:cs="Times New Roman" w:asciiTheme="minorEastAsia" w:hAnsiTheme="minorEastAsia"/>
                <w:szCs w:val="21"/>
              </w:rPr>
            </w:pPr>
          </w:p>
        </w:tc>
        <w:tc>
          <w:tcPr>
            <w:tcW w:w="2637" w:type="dxa"/>
            <w:noWrap/>
            <w:vAlign w:val="center"/>
          </w:tcPr>
          <w:p>
            <w:pPr>
              <w:rPr>
                <w:rFonts w:hint="eastAsia" w:cs="Times New Roman" w:asciiTheme="minorEastAsia" w:hAnsiTheme="minorEastAsia"/>
                <w:szCs w:val="21"/>
              </w:rPr>
            </w:pPr>
            <w:r>
              <w:rPr>
                <w:rFonts w:hint="eastAsia" w:cs="Times New Roman" w:asciiTheme="minorEastAsia" w:hAnsiTheme="minorEastAsia"/>
                <w:szCs w:val="21"/>
              </w:rPr>
              <w:t>数量</w:t>
            </w:r>
          </w:p>
        </w:tc>
        <w:tc>
          <w:tcPr>
            <w:tcW w:w="851" w:type="dxa"/>
            <w:vMerge w:val="continue"/>
            <w:vAlign w:val="center"/>
          </w:tcPr>
          <w:p>
            <w:pPr>
              <w:rPr>
                <w:rFonts w:hint="eastAsia" w:cs="Times New Roman" w:asciiTheme="minorEastAsia" w:hAnsiTheme="minorEastAsia"/>
                <w:szCs w:val="21"/>
              </w:rPr>
            </w:pPr>
          </w:p>
        </w:tc>
        <w:tc>
          <w:tcPr>
            <w:tcW w:w="3685"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数量符合设计文件规定；</w:t>
            </w:r>
          </w:p>
        </w:tc>
        <w:tc>
          <w:tcPr>
            <w:tcW w:w="859" w:type="dxa"/>
            <w:vAlign w:val="center"/>
          </w:tcPr>
          <w:p>
            <w:pPr>
              <w:jc w:val="center"/>
              <w:rPr>
                <w:rFonts w:hint="eastAsia" w:cs="Times New Roman" w:asciiTheme="minorEastAsia" w:hAnsiTheme="minorEastAsia"/>
                <w:szCs w:val="21"/>
              </w:rPr>
            </w:pPr>
            <w:r>
              <w:rPr>
                <w:rFonts w:hint="eastAsia" w:cs="Times New Roman" w:asciiTheme="minorEastAsia" w:hAnsiTheme="minorEastAsia"/>
                <w:szCs w:val="21"/>
              </w:rPr>
              <w:t>10</w:t>
            </w:r>
          </w:p>
        </w:tc>
        <w:tc>
          <w:tcPr>
            <w:tcW w:w="2896" w:type="dxa"/>
            <w:noWrap/>
            <w:vAlign w:val="center"/>
          </w:tcPr>
          <w:p>
            <w:pPr>
              <w:rPr>
                <w:rFonts w:hint="eastAsia" w:cs="Times New Roman" w:asciiTheme="minorEastAsia" w:hAnsiTheme="minorEastAsia"/>
                <w:szCs w:val="21"/>
              </w:rPr>
            </w:pPr>
            <w:r>
              <w:rPr>
                <w:rFonts w:hint="eastAsia" w:cs="Times New Roman" w:asciiTheme="minorEastAsia" w:hAnsiTheme="minorEastAsia"/>
                <w:szCs w:val="21"/>
              </w:rPr>
              <w:t>1.全数检查；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846" w:type="dxa"/>
            <w:vMerge w:val="continue"/>
            <w:vAlign w:val="center"/>
          </w:tcPr>
          <w:p>
            <w:pPr>
              <w:jc w:val="center"/>
              <w:rPr>
                <w:rFonts w:hint="eastAsia" w:cs="Times New Roman" w:asciiTheme="minorEastAsia" w:hAnsiTheme="minorEastAsia"/>
                <w:szCs w:val="21"/>
              </w:rPr>
            </w:pPr>
          </w:p>
        </w:tc>
        <w:tc>
          <w:tcPr>
            <w:tcW w:w="1615" w:type="dxa"/>
            <w:vMerge w:val="continue"/>
            <w:vAlign w:val="center"/>
          </w:tcPr>
          <w:p>
            <w:pPr>
              <w:rPr>
                <w:rFonts w:hint="eastAsia" w:cs="Times New Roman" w:asciiTheme="minorEastAsia" w:hAnsiTheme="minorEastAsia"/>
                <w:szCs w:val="21"/>
              </w:rPr>
            </w:pPr>
          </w:p>
        </w:tc>
        <w:tc>
          <w:tcPr>
            <w:tcW w:w="2637" w:type="dxa"/>
            <w:noWrap/>
            <w:vAlign w:val="center"/>
          </w:tcPr>
          <w:p>
            <w:pPr>
              <w:rPr>
                <w:rFonts w:hint="eastAsia" w:cs="Times New Roman" w:asciiTheme="minorEastAsia" w:hAnsiTheme="minorEastAsia"/>
                <w:szCs w:val="21"/>
              </w:rPr>
            </w:pPr>
            <w:r>
              <w:rPr>
                <w:rFonts w:hint="eastAsia" w:cs="Times New Roman" w:asciiTheme="minorEastAsia" w:hAnsiTheme="minorEastAsia"/>
                <w:szCs w:val="21"/>
              </w:rPr>
              <w:t>位置</w:t>
            </w:r>
          </w:p>
        </w:tc>
        <w:tc>
          <w:tcPr>
            <w:tcW w:w="851" w:type="dxa"/>
            <w:vMerge w:val="continue"/>
            <w:vAlign w:val="center"/>
          </w:tcPr>
          <w:p>
            <w:pPr>
              <w:rPr>
                <w:rFonts w:hint="eastAsia" w:cs="Times New Roman" w:asciiTheme="minorEastAsia" w:hAnsiTheme="minorEastAsia"/>
                <w:szCs w:val="21"/>
              </w:rPr>
            </w:pPr>
          </w:p>
        </w:tc>
        <w:tc>
          <w:tcPr>
            <w:tcW w:w="3685"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位置符合设计文件规定；</w:t>
            </w:r>
          </w:p>
        </w:tc>
        <w:tc>
          <w:tcPr>
            <w:tcW w:w="859" w:type="dxa"/>
            <w:vAlign w:val="center"/>
          </w:tcPr>
          <w:p>
            <w:pPr>
              <w:jc w:val="center"/>
              <w:rPr>
                <w:rFonts w:hint="eastAsia" w:cs="Times New Roman" w:asciiTheme="minorEastAsia" w:hAnsiTheme="minorEastAsia"/>
                <w:szCs w:val="21"/>
              </w:rPr>
            </w:pPr>
            <w:r>
              <w:rPr>
                <w:rFonts w:hint="eastAsia" w:cs="Times New Roman" w:asciiTheme="minorEastAsia" w:hAnsiTheme="minorEastAsia"/>
                <w:szCs w:val="21"/>
              </w:rPr>
              <w:t>10</w:t>
            </w:r>
          </w:p>
        </w:tc>
        <w:tc>
          <w:tcPr>
            <w:tcW w:w="2896" w:type="dxa"/>
            <w:noWrap/>
            <w:vAlign w:val="center"/>
          </w:tcPr>
          <w:p>
            <w:pPr>
              <w:rPr>
                <w:rFonts w:hint="eastAsia" w:cs="Times New Roman" w:asciiTheme="minorEastAsia" w:hAnsiTheme="minorEastAsia"/>
                <w:szCs w:val="21"/>
              </w:rPr>
            </w:pPr>
            <w:r>
              <w:rPr>
                <w:rFonts w:hint="eastAsia" w:cs="Times New Roman" w:asciiTheme="minorEastAsia" w:hAnsiTheme="minorEastAsia"/>
                <w:szCs w:val="21"/>
              </w:rPr>
              <w:t>2.每检验批总数量的10%，且不少于3套；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846" w:type="dxa"/>
            <w:vMerge w:val="continue"/>
            <w:vAlign w:val="center"/>
          </w:tcPr>
          <w:p>
            <w:pPr>
              <w:jc w:val="center"/>
              <w:rPr>
                <w:rFonts w:hint="eastAsia" w:cs="Times New Roman" w:asciiTheme="minorEastAsia" w:hAnsiTheme="minorEastAsia"/>
                <w:szCs w:val="21"/>
              </w:rPr>
            </w:pPr>
          </w:p>
        </w:tc>
        <w:tc>
          <w:tcPr>
            <w:tcW w:w="1615" w:type="dxa"/>
            <w:vMerge w:val="continue"/>
            <w:vAlign w:val="center"/>
          </w:tcPr>
          <w:p>
            <w:pPr>
              <w:rPr>
                <w:rFonts w:hint="eastAsia" w:cs="Times New Roman" w:asciiTheme="minorEastAsia" w:hAnsiTheme="minorEastAsia"/>
                <w:szCs w:val="21"/>
              </w:rPr>
            </w:pPr>
          </w:p>
        </w:tc>
        <w:tc>
          <w:tcPr>
            <w:tcW w:w="2637" w:type="dxa"/>
            <w:noWrap/>
            <w:vAlign w:val="center"/>
          </w:tcPr>
          <w:p>
            <w:pPr>
              <w:rPr>
                <w:rFonts w:hint="eastAsia" w:cs="Times New Roman" w:asciiTheme="minorEastAsia" w:hAnsiTheme="minorEastAsia"/>
                <w:szCs w:val="21"/>
              </w:rPr>
            </w:pPr>
            <w:r>
              <w:rPr>
                <w:rFonts w:hint="eastAsia" w:cs="Times New Roman" w:asciiTheme="minorEastAsia" w:hAnsiTheme="minorEastAsia"/>
                <w:szCs w:val="21"/>
              </w:rPr>
              <w:t>规格型号和配件选型</w:t>
            </w:r>
          </w:p>
        </w:tc>
        <w:tc>
          <w:tcPr>
            <w:tcW w:w="851" w:type="dxa"/>
            <w:vMerge w:val="continue"/>
            <w:vAlign w:val="center"/>
          </w:tcPr>
          <w:p>
            <w:pPr>
              <w:rPr>
                <w:rFonts w:hint="eastAsia" w:cs="Times New Roman" w:asciiTheme="minorEastAsia" w:hAnsiTheme="minorEastAsia"/>
                <w:szCs w:val="21"/>
              </w:rPr>
            </w:pPr>
          </w:p>
        </w:tc>
        <w:tc>
          <w:tcPr>
            <w:tcW w:w="3685"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1.规格型号符合图纸规定；2.配件选型应符合图纸的规定；</w:t>
            </w:r>
          </w:p>
        </w:tc>
        <w:tc>
          <w:tcPr>
            <w:tcW w:w="859" w:type="dxa"/>
            <w:vAlign w:val="center"/>
          </w:tcPr>
          <w:p>
            <w:pPr>
              <w:jc w:val="center"/>
              <w:rPr>
                <w:rFonts w:hint="eastAsia" w:cs="Times New Roman" w:asciiTheme="minorEastAsia" w:hAnsiTheme="minorEastAsia"/>
                <w:szCs w:val="21"/>
              </w:rPr>
            </w:pPr>
            <w:r>
              <w:rPr>
                <w:rFonts w:hint="eastAsia" w:cs="Times New Roman" w:asciiTheme="minorEastAsia" w:hAnsiTheme="minorEastAsia"/>
                <w:szCs w:val="21"/>
              </w:rPr>
              <w:t>10</w:t>
            </w:r>
          </w:p>
        </w:tc>
        <w:tc>
          <w:tcPr>
            <w:tcW w:w="2896" w:type="dxa"/>
            <w:noWrap/>
            <w:vAlign w:val="center"/>
          </w:tcPr>
          <w:p>
            <w:pPr>
              <w:rPr>
                <w:rFonts w:hint="eastAsia" w:cs="Times New Roman" w:asciiTheme="minorEastAsia" w:hAnsiTheme="minorEastAsia"/>
                <w:szCs w:val="21"/>
              </w:rPr>
            </w:pPr>
            <w:r>
              <w:rPr>
                <w:rFonts w:hint="eastAsia" w:cs="Times New Roman" w:asciiTheme="minorEastAsia" w:hAnsiTheme="minorEastAsia"/>
                <w:szCs w:val="21"/>
              </w:rPr>
              <w:t>3.全数检查；4.每检验批总数量的10%，且不少于3套；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846" w:type="dxa"/>
            <w:vMerge w:val="continue"/>
            <w:vAlign w:val="center"/>
          </w:tcPr>
          <w:p>
            <w:pPr>
              <w:jc w:val="center"/>
              <w:rPr>
                <w:rFonts w:hint="eastAsia" w:cs="Times New Roman" w:asciiTheme="minorEastAsia" w:hAnsiTheme="minorEastAsia"/>
                <w:szCs w:val="21"/>
              </w:rPr>
            </w:pPr>
          </w:p>
        </w:tc>
        <w:tc>
          <w:tcPr>
            <w:tcW w:w="1615" w:type="dxa"/>
            <w:vMerge w:val="continue"/>
            <w:vAlign w:val="center"/>
          </w:tcPr>
          <w:p>
            <w:pPr>
              <w:rPr>
                <w:rFonts w:hint="eastAsia" w:cs="Times New Roman" w:asciiTheme="minorEastAsia" w:hAnsiTheme="minorEastAsia"/>
                <w:szCs w:val="21"/>
              </w:rPr>
            </w:pPr>
          </w:p>
        </w:tc>
        <w:tc>
          <w:tcPr>
            <w:tcW w:w="2637" w:type="dxa"/>
            <w:noWrap/>
            <w:vAlign w:val="center"/>
          </w:tcPr>
          <w:p>
            <w:pPr>
              <w:rPr>
                <w:rFonts w:hint="eastAsia" w:cs="Times New Roman" w:asciiTheme="minorEastAsia" w:hAnsiTheme="minorEastAsia"/>
                <w:szCs w:val="21"/>
              </w:rPr>
            </w:pPr>
            <w:r>
              <w:rPr>
                <w:rFonts w:hint="eastAsia" w:cs="Times New Roman" w:asciiTheme="minorEastAsia" w:hAnsiTheme="minorEastAsia"/>
                <w:szCs w:val="21"/>
              </w:rPr>
              <w:t>安装距离和角度</w:t>
            </w:r>
          </w:p>
        </w:tc>
        <w:tc>
          <w:tcPr>
            <w:tcW w:w="851" w:type="dxa"/>
            <w:vMerge w:val="continue"/>
            <w:vAlign w:val="center"/>
          </w:tcPr>
          <w:p>
            <w:pPr>
              <w:rPr>
                <w:rFonts w:hint="eastAsia" w:cs="Times New Roman" w:asciiTheme="minorEastAsia" w:hAnsiTheme="minorEastAsia"/>
                <w:szCs w:val="21"/>
              </w:rPr>
            </w:pPr>
          </w:p>
        </w:tc>
        <w:tc>
          <w:tcPr>
            <w:tcW w:w="3685"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1.抗震斜撑与吊架安装距离符合设计文件规定；2.抗震斜撑竖向安装角度应符合设计文件的规定，且不得小于30°；</w:t>
            </w:r>
          </w:p>
        </w:tc>
        <w:tc>
          <w:tcPr>
            <w:tcW w:w="859" w:type="dxa"/>
            <w:vAlign w:val="center"/>
          </w:tcPr>
          <w:p>
            <w:pPr>
              <w:jc w:val="center"/>
              <w:rPr>
                <w:rFonts w:hint="eastAsia" w:cs="Times New Roman" w:asciiTheme="minorEastAsia" w:hAnsiTheme="minorEastAsia"/>
                <w:szCs w:val="21"/>
              </w:rPr>
            </w:pPr>
            <w:r>
              <w:rPr>
                <w:rFonts w:hint="eastAsia" w:cs="Times New Roman" w:asciiTheme="minorEastAsia" w:hAnsiTheme="minorEastAsia"/>
                <w:szCs w:val="21"/>
              </w:rPr>
              <w:t>10</w:t>
            </w:r>
          </w:p>
        </w:tc>
        <w:tc>
          <w:tcPr>
            <w:tcW w:w="2896"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5.每检验批总数量的10%，且不少于3套；6.每检验批总数量的10%，且不少于3套；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846" w:type="dxa"/>
            <w:vMerge w:val="continue"/>
            <w:vAlign w:val="center"/>
          </w:tcPr>
          <w:p>
            <w:pPr>
              <w:jc w:val="center"/>
              <w:rPr>
                <w:rFonts w:hint="eastAsia" w:cs="Times New Roman" w:asciiTheme="minorEastAsia" w:hAnsiTheme="minorEastAsia"/>
                <w:szCs w:val="21"/>
              </w:rPr>
            </w:pPr>
          </w:p>
        </w:tc>
        <w:tc>
          <w:tcPr>
            <w:tcW w:w="1615" w:type="dxa"/>
            <w:vMerge w:val="continue"/>
            <w:vAlign w:val="center"/>
          </w:tcPr>
          <w:p>
            <w:pPr>
              <w:rPr>
                <w:rFonts w:hint="eastAsia" w:cs="Times New Roman" w:asciiTheme="minorEastAsia" w:hAnsiTheme="minorEastAsia"/>
                <w:szCs w:val="21"/>
              </w:rPr>
            </w:pPr>
          </w:p>
        </w:tc>
        <w:tc>
          <w:tcPr>
            <w:tcW w:w="2637" w:type="dxa"/>
            <w:noWrap/>
            <w:vAlign w:val="center"/>
          </w:tcPr>
          <w:p>
            <w:pPr>
              <w:rPr>
                <w:rFonts w:hint="eastAsia" w:cs="Times New Roman" w:asciiTheme="minorEastAsia" w:hAnsiTheme="minorEastAsia"/>
                <w:szCs w:val="21"/>
              </w:rPr>
            </w:pPr>
            <w:r>
              <w:rPr>
                <w:rFonts w:hint="eastAsia" w:cs="Times New Roman" w:asciiTheme="minorEastAsia" w:hAnsiTheme="minorEastAsia"/>
                <w:szCs w:val="21"/>
              </w:rPr>
              <w:t>连接</w:t>
            </w:r>
          </w:p>
        </w:tc>
        <w:tc>
          <w:tcPr>
            <w:tcW w:w="851" w:type="dxa"/>
            <w:vMerge w:val="continue"/>
            <w:vAlign w:val="center"/>
          </w:tcPr>
          <w:p>
            <w:pPr>
              <w:rPr>
                <w:rFonts w:hint="eastAsia" w:cs="Times New Roman" w:asciiTheme="minorEastAsia" w:hAnsiTheme="minorEastAsia"/>
                <w:szCs w:val="21"/>
              </w:rPr>
            </w:pPr>
          </w:p>
        </w:tc>
        <w:tc>
          <w:tcPr>
            <w:tcW w:w="3685"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抗震支吊架与结构的连接，吊杆与槽钢的连接，螺栓螺母与连接件的扭矩应符合设计文件的规定，安装应牢固。</w:t>
            </w:r>
          </w:p>
        </w:tc>
        <w:tc>
          <w:tcPr>
            <w:tcW w:w="859" w:type="dxa"/>
            <w:vAlign w:val="center"/>
          </w:tcPr>
          <w:p>
            <w:pPr>
              <w:jc w:val="center"/>
              <w:rPr>
                <w:rFonts w:hint="eastAsia" w:cs="Times New Roman" w:asciiTheme="minorEastAsia" w:hAnsiTheme="minorEastAsia"/>
                <w:szCs w:val="21"/>
              </w:rPr>
            </w:pPr>
            <w:r>
              <w:rPr>
                <w:rFonts w:hint="eastAsia" w:cs="Times New Roman" w:asciiTheme="minorEastAsia" w:hAnsiTheme="minorEastAsia"/>
                <w:szCs w:val="21"/>
              </w:rPr>
              <w:t>10</w:t>
            </w:r>
          </w:p>
        </w:tc>
        <w:tc>
          <w:tcPr>
            <w:tcW w:w="2896" w:type="dxa"/>
            <w:noWrap/>
            <w:vAlign w:val="center"/>
          </w:tcPr>
          <w:p>
            <w:pPr>
              <w:rPr>
                <w:rFonts w:hint="eastAsia" w:cs="Times New Roman" w:asciiTheme="minorEastAsia" w:hAnsiTheme="minorEastAsia"/>
                <w:szCs w:val="21"/>
              </w:rPr>
            </w:pPr>
            <w:r>
              <w:rPr>
                <w:rFonts w:hint="eastAsia" w:cs="Times New Roman" w:asciiTheme="minorEastAsia" w:hAnsiTheme="minorEastAsia"/>
                <w:szCs w:val="21"/>
              </w:rPr>
              <w:t>7.每检验批总数量的10%，且不少于3套；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846" w:type="dxa"/>
            <w:vMerge w:val="continue"/>
            <w:vAlign w:val="center"/>
          </w:tcPr>
          <w:p>
            <w:pPr>
              <w:jc w:val="center"/>
              <w:rPr>
                <w:rFonts w:hint="eastAsia" w:cs="Times New Roman" w:asciiTheme="minorEastAsia" w:hAnsiTheme="minorEastAsia"/>
                <w:szCs w:val="24"/>
              </w:rPr>
            </w:pPr>
          </w:p>
        </w:tc>
        <w:tc>
          <w:tcPr>
            <w:tcW w:w="1615" w:type="dxa"/>
            <w:vMerge w:val="continue"/>
            <w:vAlign w:val="center"/>
          </w:tcPr>
          <w:p>
            <w:pPr>
              <w:rPr>
                <w:rFonts w:hint="eastAsia" w:cs="Times New Roman" w:asciiTheme="minorEastAsia" w:hAnsiTheme="minorEastAsia"/>
                <w:szCs w:val="24"/>
              </w:rPr>
            </w:pPr>
          </w:p>
        </w:tc>
        <w:tc>
          <w:tcPr>
            <w:tcW w:w="2637" w:type="dxa"/>
            <w:noWrap/>
            <w:vAlign w:val="center"/>
          </w:tcPr>
          <w:p>
            <w:pPr>
              <w:rPr>
                <w:rFonts w:hint="eastAsia" w:cs="Times New Roman" w:asciiTheme="minorEastAsia" w:hAnsiTheme="minorEastAsia"/>
                <w:szCs w:val="21"/>
              </w:rPr>
            </w:pPr>
            <w:r>
              <w:rPr>
                <w:rFonts w:hint="eastAsia" w:cs="Times New Roman" w:asciiTheme="minorEastAsia" w:hAnsiTheme="minorEastAsia"/>
                <w:szCs w:val="21"/>
              </w:rPr>
              <w:t>锚栓安装</w:t>
            </w:r>
          </w:p>
        </w:tc>
        <w:tc>
          <w:tcPr>
            <w:tcW w:w="851" w:type="dxa"/>
            <w:vMerge w:val="continue"/>
            <w:vAlign w:val="center"/>
          </w:tcPr>
          <w:p>
            <w:pPr>
              <w:rPr>
                <w:rFonts w:hint="eastAsia" w:cs="Times New Roman" w:asciiTheme="minorEastAsia" w:hAnsiTheme="minorEastAsia"/>
                <w:szCs w:val="21"/>
              </w:rPr>
            </w:pPr>
          </w:p>
        </w:tc>
        <w:tc>
          <w:tcPr>
            <w:tcW w:w="3685"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抗震支吊架锚栓的安装应符合设计文件的规定，锚栓套管不能超出混凝土安装平面；</w:t>
            </w:r>
          </w:p>
        </w:tc>
        <w:tc>
          <w:tcPr>
            <w:tcW w:w="859" w:type="dxa"/>
            <w:vAlign w:val="center"/>
          </w:tcPr>
          <w:p>
            <w:pPr>
              <w:jc w:val="center"/>
              <w:rPr>
                <w:rFonts w:hint="eastAsia" w:cs="Times New Roman" w:asciiTheme="minorEastAsia" w:hAnsiTheme="minorEastAsia"/>
                <w:szCs w:val="21"/>
              </w:rPr>
            </w:pPr>
            <w:r>
              <w:rPr>
                <w:rFonts w:hint="eastAsia" w:cs="Times New Roman" w:asciiTheme="minorEastAsia" w:hAnsiTheme="minorEastAsia"/>
                <w:szCs w:val="21"/>
              </w:rPr>
              <w:t>20</w:t>
            </w:r>
          </w:p>
        </w:tc>
        <w:tc>
          <w:tcPr>
            <w:tcW w:w="2896" w:type="dxa"/>
            <w:noWrap/>
            <w:vAlign w:val="center"/>
          </w:tcPr>
          <w:p>
            <w:pPr>
              <w:rPr>
                <w:rFonts w:hint="eastAsia" w:cs="Times New Roman" w:asciiTheme="minorEastAsia" w:hAnsiTheme="minorEastAsia"/>
                <w:szCs w:val="21"/>
              </w:rPr>
            </w:pPr>
            <w:r>
              <w:rPr>
                <w:rFonts w:hint="eastAsia" w:cs="Times New Roman" w:asciiTheme="minorEastAsia" w:hAnsiTheme="minorEastAsia"/>
                <w:szCs w:val="21"/>
              </w:rPr>
              <w:t>8.每检验批总数量的10%，且不少于3套；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846" w:type="dxa"/>
            <w:vMerge w:val="continue"/>
            <w:vAlign w:val="center"/>
          </w:tcPr>
          <w:p>
            <w:pPr>
              <w:jc w:val="center"/>
              <w:rPr>
                <w:rFonts w:hint="eastAsia" w:cs="Times New Roman" w:asciiTheme="minorEastAsia" w:hAnsiTheme="minorEastAsia"/>
                <w:szCs w:val="24"/>
              </w:rPr>
            </w:pPr>
          </w:p>
        </w:tc>
        <w:tc>
          <w:tcPr>
            <w:tcW w:w="1615" w:type="dxa"/>
            <w:vMerge w:val="continue"/>
            <w:vAlign w:val="center"/>
          </w:tcPr>
          <w:p>
            <w:pPr>
              <w:rPr>
                <w:rFonts w:hint="eastAsia" w:cs="Times New Roman" w:asciiTheme="minorEastAsia" w:hAnsiTheme="minorEastAsia"/>
                <w:szCs w:val="24"/>
              </w:rPr>
            </w:pPr>
          </w:p>
        </w:tc>
        <w:tc>
          <w:tcPr>
            <w:tcW w:w="2637" w:type="dxa"/>
            <w:noWrap/>
            <w:vAlign w:val="center"/>
          </w:tcPr>
          <w:p>
            <w:pPr>
              <w:rPr>
                <w:rFonts w:hint="eastAsia" w:cs="Times New Roman" w:asciiTheme="minorEastAsia" w:hAnsiTheme="minorEastAsia"/>
                <w:szCs w:val="21"/>
              </w:rPr>
            </w:pPr>
            <w:r>
              <w:rPr>
                <w:rFonts w:hint="eastAsia" w:cs="Times New Roman" w:asciiTheme="minorEastAsia" w:hAnsiTheme="minorEastAsia"/>
                <w:szCs w:val="21"/>
              </w:rPr>
              <w:t>承载力</w:t>
            </w:r>
          </w:p>
        </w:tc>
        <w:tc>
          <w:tcPr>
            <w:tcW w:w="851" w:type="dxa"/>
            <w:vMerge w:val="continue"/>
            <w:vAlign w:val="center"/>
          </w:tcPr>
          <w:p>
            <w:pPr>
              <w:rPr>
                <w:rFonts w:hint="eastAsia" w:cs="Times New Roman" w:asciiTheme="minorEastAsia" w:hAnsiTheme="minorEastAsia"/>
                <w:szCs w:val="21"/>
              </w:rPr>
            </w:pPr>
          </w:p>
        </w:tc>
        <w:tc>
          <w:tcPr>
            <w:tcW w:w="3685"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抗震支吊架锚栓的承载力应符合设计文件的规定；</w:t>
            </w:r>
          </w:p>
        </w:tc>
        <w:tc>
          <w:tcPr>
            <w:tcW w:w="859" w:type="dxa"/>
            <w:vAlign w:val="center"/>
          </w:tcPr>
          <w:p>
            <w:pPr>
              <w:jc w:val="center"/>
              <w:rPr>
                <w:rFonts w:hint="eastAsia" w:cs="Times New Roman" w:asciiTheme="minorEastAsia" w:hAnsiTheme="minorEastAsia"/>
                <w:szCs w:val="21"/>
              </w:rPr>
            </w:pPr>
            <w:r>
              <w:rPr>
                <w:rFonts w:hint="eastAsia" w:cs="Times New Roman" w:asciiTheme="minorEastAsia" w:hAnsiTheme="minorEastAsia"/>
                <w:szCs w:val="21"/>
              </w:rPr>
              <w:t>20</w:t>
            </w:r>
          </w:p>
        </w:tc>
        <w:tc>
          <w:tcPr>
            <w:tcW w:w="2896" w:type="dxa"/>
            <w:noWrap/>
            <w:vAlign w:val="center"/>
          </w:tcPr>
          <w:p>
            <w:pPr>
              <w:rPr>
                <w:rFonts w:hint="eastAsia" w:cs="Times New Roman" w:asciiTheme="minorEastAsia" w:hAnsiTheme="minorEastAsia"/>
                <w:szCs w:val="21"/>
              </w:rPr>
            </w:pPr>
            <w:r>
              <w:rPr>
                <w:rFonts w:hint="eastAsia" w:cs="Times New Roman" w:asciiTheme="minorEastAsia" w:hAnsiTheme="minorEastAsia"/>
                <w:szCs w:val="21"/>
              </w:rPr>
              <w:t>9.每检验批总数量的1%，且不少于5个；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846" w:type="dxa"/>
            <w:vMerge w:val="continue"/>
            <w:vAlign w:val="center"/>
          </w:tcPr>
          <w:p>
            <w:pPr>
              <w:jc w:val="center"/>
              <w:rPr>
                <w:rFonts w:hint="eastAsia" w:cs="Times New Roman" w:asciiTheme="minorEastAsia" w:hAnsiTheme="minorEastAsia"/>
                <w:szCs w:val="24"/>
              </w:rPr>
            </w:pPr>
          </w:p>
        </w:tc>
        <w:tc>
          <w:tcPr>
            <w:tcW w:w="1615" w:type="dxa"/>
            <w:vMerge w:val="continue"/>
            <w:vAlign w:val="center"/>
          </w:tcPr>
          <w:p>
            <w:pPr>
              <w:rPr>
                <w:rFonts w:hint="eastAsia" w:cs="Times New Roman" w:asciiTheme="minorEastAsia" w:hAnsiTheme="minorEastAsia"/>
                <w:szCs w:val="24"/>
              </w:rPr>
            </w:pPr>
          </w:p>
        </w:tc>
        <w:tc>
          <w:tcPr>
            <w:tcW w:w="2637" w:type="dxa"/>
            <w:noWrap/>
            <w:vAlign w:val="center"/>
          </w:tcPr>
          <w:p>
            <w:pPr>
              <w:jc w:val="center"/>
              <w:rPr>
                <w:rFonts w:hint="eastAsia" w:cs="Times New Roman" w:asciiTheme="minorEastAsia" w:hAnsiTheme="minorEastAsia"/>
                <w:b/>
                <w:bCs/>
                <w:szCs w:val="21"/>
              </w:rPr>
            </w:pPr>
            <w:r>
              <w:rPr>
                <w:rFonts w:hint="eastAsia" w:cs="Times New Roman" w:asciiTheme="minorEastAsia" w:hAnsiTheme="minorEastAsia"/>
                <w:b/>
                <w:bCs/>
                <w:szCs w:val="21"/>
              </w:rPr>
              <w:t>一般项</w:t>
            </w:r>
          </w:p>
        </w:tc>
        <w:tc>
          <w:tcPr>
            <w:tcW w:w="851" w:type="dxa"/>
            <w:vMerge w:val="continue"/>
            <w:vAlign w:val="center"/>
          </w:tcPr>
          <w:p>
            <w:pPr>
              <w:jc w:val="center"/>
              <w:rPr>
                <w:rFonts w:hint="eastAsia" w:cs="Times New Roman" w:asciiTheme="minorEastAsia" w:hAnsiTheme="minorEastAsia"/>
                <w:szCs w:val="21"/>
              </w:rPr>
            </w:pPr>
          </w:p>
        </w:tc>
        <w:tc>
          <w:tcPr>
            <w:tcW w:w="3685" w:type="dxa"/>
            <w:vAlign w:val="center"/>
          </w:tcPr>
          <w:p>
            <w:pPr>
              <w:jc w:val="center"/>
              <w:rPr>
                <w:rFonts w:hint="eastAsia" w:cs="Times New Roman" w:asciiTheme="minorEastAsia" w:hAnsiTheme="minorEastAsia"/>
                <w:b/>
                <w:bCs/>
                <w:szCs w:val="21"/>
              </w:rPr>
            </w:pPr>
            <w:r>
              <w:rPr>
                <w:rFonts w:hint="eastAsia" w:cs="Times New Roman" w:asciiTheme="minorEastAsia" w:hAnsiTheme="minorEastAsia"/>
                <w:b/>
                <w:bCs/>
                <w:szCs w:val="21"/>
              </w:rPr>
              <w:t>一般项评分要点</w:t>
            </w:r>
          </w:p>
        </w:tc>
        <w:tc>
          <w:tcPr>
            <w:tcW w:w="859" w:type="dxa"/>
            <w:vAlign w:val="center"/>
          </w:tcPr>
          <w:p>
            <w:pPr>
              <w:jc w:val="center"/>
              <w:rPr>
                <w:rFonts w:hint="eastAsia" w:cs="Times New Roman" w:asciiTheme="minorEastAsia" w:hAnsiTheme="minorEastAsia"/>
                <w:b/>
                <w:bCs/>
                <w:szCs w:val="21"/>
              </w:rPr>
            </w:pPr>
            <w:r>
              <w:rPr>
                <w:rFonts w:hint="eastAsia" w:cs="Times New Roman" w:asciiTheme="minorEastAsia" w:hAnsiTheme="minorEastAsia"/>
                <w:b/>
                <w:bCs/>
                <w:szCs w:val="21"/>
              </w:rPr>
              <w:t>评分</w:t>
            </w:r>
          </w:p>
        </w:tc>
        <w:tc>
          <w:tcPr>
            <w:tcW w:w="2896" w:type="dxa"/>
            <w:vAlign w:val="center"/>
          </w:tcPr>
          <w:p>
            <w:pPr>
              <w:jc w:val="center"/>
              <w:rPr>
                <w:rFonts w:hint="eastAsia" w:cs="Times New Roman" w:asciiTheme="minorEastAsia" w:hAnsiTheme="minorEastAsia"/>
                <w:b/>
                <w:bCs/>
                <w:szCs w:val="21"/>
              </w:rPr>
            </w:pPr>
            <w:r>
              <w:rPr>
                <w:rFonts w:hint="eastAsia" w:cs="Times New Roman" w:asciiTheme="minorEastAsia" w:hAnsiTheme="minorEastAsia"/>
                <w:b/>
                <w:bCs/>
                <w:szCs w:val="21"/>
              </w:rPr>
              <w:t>评定方法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846" w:type="dxa"/>
            <w:vMerge w:val="continue"/>
            <w:vAlign w:val="center"/>
          </w:tcPr>
          <w:p>
            <w:pPr>
              <w:jc w:val="center"/>
              <w:rPr>
                <w:rFonts w:hint="eastAsia" w:cs="Times New Roman" w:asciiTheme="minorEastAsia" w:hAnsiTheme="minorEastAsia"/>
                <w:szCs w:val="24"/>
              </w:rPr>
            </w:pPr>
          </w:p>
        </w:tc>
        <w:tc>
          <w:tcPr>
            <w:tcW w:w="1615" w:type="dxa"/>
            <w:vMerge w:val="continue"/>
            <w:vAlign w:val="center"/>
          </w:tcPr>
          <w:p>
            <w:pPr>
              <w:rPr>
                <w:rFonts w:hint="eastAsia" w:cs="Times New Roman" w:asciiTheme="minorEastAsia" w:hAnsiTheme="minorEastAsia"/>
                <w:szCs w:val="24"/>
              </w:rPr>
            </w:pPr>
          </w:p>
        </w:tc>
        <w:tc>
          <w:tcPr>
            <w:tcW w:w="2637" w:type="dxa"/>
            <w:noWrap/>
            <w:vAlign w:val="center"/>
          </w:tcPr>
          <w:p>
            <w:pPr>
              <w:rPr>
                <w:rFonts w:hint="eastAsia" w:cs="Times New Roman" w:asciiTheme="minorEastAsia" w:hAnsiTheme="minorEastAsia"/>
                <w:szCs w:val="21"/>
              </w:rPr>
            </w:pPr>
            <w:r>
              <w:rPr>
                <w:rFonts w:hint="eastAsia" w:cs="Times New Roman" w:asciiTheme="minorEastAsia" w:hAnsiTheme="minorEastAsia"/>
                <w:szCs w:val="21"/>
              </w:rPr>
              <w:t>位置</w:t>
            </w:r>
          </w:p>
        </w:tc>
        <w:tc>
          <w:tcPr>
            <w:tcW w:w="851" w:type="dxa"/>
            <w:vMerge w:val="continue"/>
            <w:vAlign w:val="center"/>
          </w:tcPr>
          <w:p>
            <w:pPr>
              <w:rPr>
                <w:rFonts w:hint="eastAsia" w:cs="Times New Roman" w:asciiTheme="minorEastAsia" w:hAnsiTheme="minorEastAsia"/>
                <w:szCs w:val="21"/>
              </w:rPr>
            </w:pPr>
          </w:p>
        </w:tc>
        <w:tc>
          <w:tcPr>
            <w:tcW w:w="3685"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1.抗震支吊架安装后应横平竖直，不应出现扭曲变形；2.抗震支吊架构件表面应平整、洁净、无起泡、分层现象；3.扭剪螺栓不得与带背孔槽钢连接；</w:t>
            </w:r>
          </w:p>
        </w:tc>
        <w:tc>
          <w:tcPr>
            <w:tcW w:w="859" w:type="dxa"/>
            <w:vAlign w:val="center"/>
          </w:tcPr>
          <w:p>
            <w:pPr>
              <w:jc w:val="center"/>
              <w:rPr>
                <w:rFonts w:hint="eastAsia" w:cs="Times New Roman" w:asciiTheme="minorEastAsia" w:hAnsiTheme="minorEastAsia"/>
                <w:szCs w:val="21"/>
              </w:rPr>
            </w:pPr>
            <w:r>
              <w:rPr>
                <w:rFonts w:hint="eastAsia" w:cs="Times New Roman" w:asciiTheme="minorEastAsia" w:hAnsiTheme="minorEastAsia"/>
                <w:szCs w:val="21"/>
              </w:rPr>
              <w:t>5</w:t>
            </w:r>
          </w:p>
        </w:tc>
        <w:tc>
          <w:tcPr>
            <w:tcW w:w="2896" w:type="dxa"/>
            <w:noWrap/>
            <w:vAlign w:val="center"/>
          </w:tcPr>
          <w:p>
            <w:pPr>
              <w:rPr>
                <w:rFonts w:hint="eastAsia" w:cs="Times New Roman" w:asciiTheme="minorEastAsia" w:hAnsiTheme="minorEastAsia"/>
                <w:szCs w:val="21"/>
              </w:rPr>
            </w:pPr>
            <w:r>
              <w:rPr>
                <w:rFonts w:hint="eastAsia" w:cs="Times New Roman" w:asciiTheme="minorEastAsia" w:hAnsiTheme="minorEastAsia"/>
                <w:szCs w:val="21"/>
              </w:rPr>
              <w:t>全数检查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846" w:type="dxa"/>
            <w:vMerge w:val="continue"/>
            <w:vAlign w:val="center"/>
          </w:tcPr>
          <w:p>
            <w:pPr>
              <w:jc w:val="center"/>
              <w:rPr>
                <w:rFonts w:hint="eastAsia" w:cs="Times New Roman" w:asciiTheme="minorEastAsia" w:hAnsiTheme="minorEastAsia"/>
                <w:szCs w:val="24"/>
              </w:rPr>
            </w:pPr>
          </w:p>
        </w:tc>
        <w:tc>
          <w:tcPr>
            <w:tcW w:w="1615" w:type="dxa"/>
            <w:vMerge w:val="continue"/>
            <w:vAlign w:val="center"/>
          </w:tcPr>
          <w:p>
            <w:pPr>
              <w:rPr>
                <w:rFonts w:hint="eastAsia" w:cs="Times New Roman" w:asciiTheme="minorEastAsia" w:hAnsiTheme="minorEastAsia"/>
                <w:szCs w:val="24"/>
              </w:rPr>
            </w:pPr>
          </w:p>
        </w:tc>
        <w:tc>
          <w:tcPr>
            <w:tcW w:w="2637" w:type="dxa"/>
            <w:noWrap/>
            <w:vAlign w:val="center"/>
          </w:tcPr>
          <w:p>
            <w:pPr>
              <w:rPr>
                <w:rFonts w:hint="eastAsia" w:cs="Times New Roman" w:asciiTheme="minorEastAsia" w:hAnsiTheme="minorEastAsia"/>
                <w:szCs w:val="21"/>
              </w:rPr>
            </w:pPr>
            <w:r>
              <w:rPr>
                <w:rFonts w:hint="eastAsia" w:cs="Times New Roman" w:asciiTheme="minorEastAsia" w:hAnsiTheme="minorEastAsia"/>
                <w:szCs w:val="21"/>
              </w:rPr>
              <w:t>外观</w:t>
            </w:r>
          </w:p>
        </w:tc>
        <w:tc>
          <w:tcPr>
            <w:tcW w:w="851" w:type="dxa"/>
            <w:vMerge w:val="continue"/>
            <w:vAlign w:val="center"/>
          </w:tcPr>
          <w:p>
            <w:pPr>
              <w:rPr>
                <w:rFonts w:hint="eastAsia" w:cs="Times New Roman" w:asciiTheme="minorEastAsia" w:hAnsiTheme="minorEastAsia"/>
                <w:szCs w:val="21"/>
              </w:rPr>
            </w:pPr>
          </w:p>
        </w:tc>
        <w:tc>
          <w:tcPr>
            <w:tcW w:w="3685"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4.抗震支吊架整体表面、侧面应平整，无明显压扁或局部变形等缺陷；</w:t>
            </w:r>
          </w:p>
        </w:tc>
        <w:tc>
          <w:tcPr>
            <w:tcW w:w="859" w:type="dxa"/>
            <w:vAlign w:val="center"/>
          </w:tcPr>
          <w:p>
            <w:pPr>
              <w:jc w:val="center"/>
              <w:rPr>
                <w:rFonts w:hint="eastAsia" w:cs="Times New Roman" w:asciiTheme="minorEastAsia" w:hAnsiTheme="minorEastAsia"/>
                <w:szCs w:val="21"/>
              </w:rPr>
            </w:pPr>
            <w:r>
              <w:rPr>
                <w:rFonts w:hint="eastAsia" w:cs="Times New Roman" w:asciiTheme="minorEastAsia" w:hAnsiTheme="minorEastAsia"/>
                <w:szCs w:val="21"/>
              </w:rPr>
              <w:t>5</w:t>
            </w:r>
          </w:p>
        </w:tc>
        <w:tc>
          <w:tcPr>
            <w:tcW w:w="2896" w:type="dxa"/>
            <w:noWrap/>
            <w:vAlign w:val="center"/>
          </w:tcPr>
          <w:p>
            <w:pPr>
              <w:rPr>
                <w:rFonts w:hint="eastAsia" w:cs="Times New Roman" w:asciiTheme="minorEastAsia" w:hAnsiTheme="minorEastAsia"/>
                <w:szCs w:val="21"/>
              </w:rPr>
            </w:pPr>
            <w:r>
              <w:rPr>
                <w:rFonts w:hint="eastAsia" w:cs="Times New Roman" w:asciiTheme="minorEastAsia" w:hAnsiTheme="minorEastAsia"/>
                <w:szCs w:val="21"/>
              </w:rPr>
              <w:t>全数检查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846" w:type="dxa"/>
            <w:vMerge w:val="restart"/>
            <w:noWrap/>
            <w:vAlign w:val="center"/>
          </w:tcPr>
          <w:p>
            <w:pPr>
              <w:jc w:val="center"/>
              <w:rPr>
                <w:rFonts w:hint="eastAsia" w:cs="Times New Roman" w:asciiTheme="minorEastAsia" w:hAnsiTheme="minorEastAsia"/>
                <w:szCs w:val="21"/>
              </w:rPr>
            </w:pPr>
            <w:r>
              <w:rPr>
                <w:rFonts w:hint="eastAsia" w:cs="Times New Roman" w:asciiTheme="minorEastAsia" w:hAnsiTheme="minorEastAsia"/>
                <w:szCs w:val="21"/>
              </w:rPr>
              <w:t>5</w:t>
            </w:r>
          </w:p>
        </w:tc>
        <w:tc>
          <w:tcPr>
            <w:tcW w:w="1615" w:type="dxa"/>
            <w:vMerge w:val="restart"/>
            <w:vAlign w:val="center"/>
          </w:tcPr>
          <w:p>
            <w:pPr>
              <w:rPr>
                <w:rFonts w:hint="eastAsia" w:cs="Times New Roman" w:asciiTheme="minorEastAsia" w:hAnsiTheme="minorEastAsia"/>
                <w:szCs w:val="21"/>
              </w:rPr>
            </w:pPr>
            <w:r>
              <w:rPr>
                <w:rFonts w:hint="eastAsia" w:cs="Times New Roman" w:asciiTheme="minorEastAsia" w:hAnsiTheme="minorEastAsia"/>
                <w:szCs w:val="21"/>
              </w:rPr>
              <w:t>E自控系统</w:t>
            </w:r>
          </w:p>
        </w:tc>
        <w:tc>
          <w:tcPr>
            <w:tcW w:w="2637" w:type="dxa"/>
            <w:noWrap/>
            <w:vAlign w:val="center"/>
          </w:tcPr>
          <w:p>
            <w:pPr>
              <w:jc w:val="center"/>
              <w:rPr>
                <w:rFonts w:hint="eastAsia" w:cs="Times New Roman" w:asciiTheme="minorEastAsia" w:hAnsiTheme="minorEastAsia"/>
                <w:b/>
                <w:bCs/>
                <w:szCs w:val="21"/>
              </w:rPr>
            </w:pPr>
            <w:r>
              <w:rPr>
                <w:rFonts w:hint="eastAsia" w:cs="Times New Roman" w:asciiTheme="minorEastAsia" w:hAnsiTheme="minorEastAsia"/>
                <w:b/>
                <w:bCs/>
                <w:szCs w:val="21"/>
              </w:rPr>
              <w:t>主控项</w:t>
            </w:r>
          </w:p>
        </w:tc>
        <w:tc>
          <w:tcPr>
            <w:tcW w:w="851" w:type="dxa"/>
            <w:vMerge w:val="restart"/>
            <w:noWrap/>
            <w:vAlign w:val="center"/>
          </w:tcPr>
          <w:p>
            <w:pPr>
              <w:jc w:val="center"/>
              <w:rPr>
                <w:rFonts w:hint="eastAsia" w:cs="Times New Roman" w:asciiTheme="minorEastAsia" w:hAnsiTheme="minorEastAsia"/>
                <w:szCs w:val="21"/>
              </w:rPr>
            </w:pPr>
            <w:r>
              <w:rPr>
                <w:rFonts w:hint="eastAsia" w:cs="Times New Roman" w:asciiTheme="minorEastAsia" w:hAnsiTheme="minorEastAsia"/>
                <w:szCs w:val="21"/>
              </w:rPr>
              <w:t>0.15</w:t>
            </w:r>
          </w:p>
        </w:tc>
        <w:tc>
          <w:tcPr>
            <w:tcW w:w="3685" w:type="dxa"/>
            <w:vAlign w:val="center"/>
          </w:tcPr>
          <w:p>
            <w:pPr>
              <w:jc w:val="center"/>
              <w:rPr>
                <w:rFonts w:hint="eastAsia" w:cs="Times New Roman" w:asciiTheme="minorEastAsia" w:hAnsiTheme="minorEastAsia"/>
                <w:b/>
                <w:bCs/>
                <w:szCs w:val="21"/>
              </w:rPr>
            </w:pPr>
            <w:r>
              <w:rPr>
                <w:rFonts w:hint="eastAsia" w:cs="Times New Roman" w:asciiTheme="minorEastAsia" w:hAnsiTheme="minorEastAsia"/>
                <w:b/>
                <w:bCs/>
                <w:szCs w:val="21"/>
              </w:rPr>
              <w:t>主控项评分要点</w:t>
            </w:r>
          </w:p>
        </w:tc>
        <w:tc>
          <w:tcPr>
            <w:tcW w:w="859" w:type="dxa"/>
            <w:vAlign w:val="center"/>
          </w:tcPr>
          <w:p>
            <w:pPr>
              <w:jc w:val="center"/>
              <w:rPr>
                <w:rFonts w:hint="eastAsia" w:cs="Times New Roman" w:asciiTheme="minorEastAsia" w:hAnsiTheme="minorEastAsia"/>
                <w:b/>
                <w:bCs/>
                <w:szCs w:val="21"/>
              </w:rPr>
            </w:pPr>
            <w:r>
              <w:rPr>
                <w:rFonts w:hint="eastAsia" w:cs="Times New Roman" w:asciiTheme="minorEastAsia" w:hAnsiTheme="minorEastAsia"/>
                <w:b/>
                <w:bCs/>
                <w:szCs w:val="21"/>
              </w:rPr>
              <w:t>评分</w:t>
            </w:r>
          </w:p>
        </w:tc>
        <w:tc>
          <w:tcPr>
            <w:tcW w:w="2896" w:type="dxa"/>
            <w:vAlign w:val="center"/>
          </w:tcPr>
          <w:p>
            <w:pPr>
              <w:jc w:val="center"/>
              <w:rPr>
                <w:rFonts w:hint="eastAsia" w:cs="Times New Roman" w:asciiTheme="minorEastAsia" w:hAnsiTheme="minorEastAsia"/>
                <w:b/>
                <w:bCs/>
                <w:szCs w:val="21"/>
              </w:rPr>
            </w:pPr>
            <w:r>
              <w:rPr>
                <w:rFonts w:hint="eastAsia" w:cs="Times New Roman" w:asciiTheme="minorEastAsia" w:hAnsiTheme="minorEastAsia"/>
                <w:b/>
                <w:bCs/>
                <w:szCs w:val="21"/>
              </w:rPr>
              <w:t>评定方法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846" w:type="dxa"/>
            <w:vMerge w:val="continue"/>
            <w:vAlign w:val="center"/>
          </w:tcPr>
          <w:p>
            <w:pPr>
              <w:jc w:val="center"/>
              <w:rPr>
                <w:rFonts w:hint="eastAsia" w:cs="Times New Roman" w:asciiTheme="minorEastAsia" w:hAnsiTheme="minorEastAsia"/>
                <w:szCs w:val="21"/>
              </w:rPr>
            </w:pPr>
          </w:p>
        </w:tc>
        <w:tc>
          <w:tcPr>
            <w:tcW w:w="1615" w:type="dxa"/>
            <w:vMerge w:val="continue"/>
            <w:vAlign w:val="center"/>
          </w:tcPr>
          <w:p>
            <w:pPr>
              <w:rPr>
                <w:rFonts w:hint="eastAsia" w:cs="Times New Roman" w:asciiTheme="minorEastAsia" w:hAnsiTheme="minorEastAsia"/>
                <w:szCs w:val="21"/>
              </w:rPr>
            </w:pPr>
          </w:p>
        </w:tc>
        <w:tc>
          <w:tcPr>
            <w:tcW w:w="2637" w:type="dxa"/>
            <w:noWrap/>
            <w:vAlign w:val="center"/>
          </w:tcPr>
          <w:p>
            <w:pPr>
              <w:rPr>
                <w:rFonts w:hint="eastAsia" w:cs="Times New Roman" w:asciiTheme="minorEastAsia" w:hAnsiTheme="minorEastAsia"/>
                <w:szCs w:val="21"/>
              </w:rPr>
            </w:pPr>
            <w:r>
              <w:rPr>
                <w:rFonts w:hint="eastAsia" w:cs="Times New Roman" w:asciiTheme="minorEastAsia" w:hAnsiTheme="minorEastAsia"/>
                <w:szCs w:val="21"/>
              </w:rPr>
              <w:t>控制功能</w:t>
            </w:r>
          </w:p>
        </w:tc>
        <w:tc>
          <w:tcPr>
            <w:tcW w:w="851" w:type="dxa"/>
            <w:vMerge w:val="continue"/>
            <w:vAlign w:val="center"/>
          </w:tcPr>
          <w:p>
            <w:pPr>
              <w:rPr>
                <w:rFonts w:hint="eastAsia" w:cs="Times New Roman" w:asciiTheme="minorEastAsia" w:hAnsiTheme="minorEastAsia"/>
                <w:szCs w:val="21"/>
              </w:rPr>
            </w:pPr>
          </w:p>
        </w:tc>
        <w:tc>
          <w:tcPr>
            <w:tcW w:w="3685"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能本地手动及远程自动控制风机的启停</w:t>
            </w:r>
          </w:p>
        </w:tc>
        <w:tc>
          <w:tcPr>
            <w:tcW w:w="859" w:type="dxa"/>
            <w:vAlign w:val="center"/>
          </w:tcPr>
          <w:p>
            <w:pPr>
              <w:jc w:val="center"/>
              <w:rPr>
                <w:rFonts w:hint="eastAsia" w:cs="Times New Roman" w:asciiTheme="minorEastAsia" w:hAnsiTheme="minorEastAsia"/>
                <w:szCs w:val="21"/>
              </w:rPr>
            </w:pPr>
            <w:r>
              <w:rPr>
                <w:rFonts w:hint="eastAsia" w:cs="Times New Roman" w:asciiTheme="minorEastAsia" w:hAnsiTheme="minorEastAsia"/>
                <w:szCs w:val="21"/>
              </w:rPr>
              <w:t>50</w:t>
            </w:r>
          </w:p>
        </w:tc>
        <w:tc>
          <w:tcPr>
            <w:tcW w:w="2896"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全数实地检查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846" w:type="dxa"/>
            <w:vMerge w:val="continue"/>
            <w:vAlign w:val="center"/>
          </w:tcPr>
          <w:p>
            <w:pPr>
              <w:jc w:val="center"/>
              <w:rPr>
                <w:rFonts w:hint="eastAsia" w:cs="Times New Roman" w:asciiTheme="minorEastAsia" w:hAnsiTheme="minorEastAsia"/>
                <w:szCs w:val="21"/>
              </w:rPr>
            </w:pPr>
          </w:p>
        </w:tc>
        <w:tc>
          <w:tcPr>
            <w:tcW w:w="1615" w:type="dxa"/>
            <w:vMerge w:val="continue"/>
            <w:vAlign w:val="center"/>
          </w:tcPr>
          <w:p>
            <w:pPr>
              <w:rPr>
                <w:rFonts w:hint="eastAsia" w:cs="Times New Roman" w:asciiTheme="minorEastAsia" w:hAnsiTheme="minorEastAsia"/>
                <w:szCs w:val="21"/>
              </w:rPr>
            </w:pPr>
          </w:p>
        </w:tc>
        <w:tc>
          <w:tcPr>
            <w:tcW w:w="2637" w:type="dxa"/>
            <w:noWrap/>
            <w:vAlign w:val="center"/>
          </w:tcPr>
          <w:p>
            <w:pPr>
              <w:rPr>
                <w:rFonts w:hint="eastAsia" w:cs="Times New Roman" w:asciiTheme="minorEastAsia" w:hAnsiTheme="minorEastAsia"/>
                <w:szCs w:val="21"/>
              </w:rPr>
            </w:pPr>
            <w:r>
              <w:rPr>
                <w:rFonts w:hint="eastAsia" w:cs="Times New Roman" w:asciiTheme="minorEastAsia" w:hAnsiTheme="minorEastAsia"/>
                <w:szCs w:val="21"/>
              </w:rPr>
              <w:t>防水、防爆功能</w:t>
            </w:r>
          </w:p>
        </w:tc>
        <w:tc>
          <w:tcPr>
            <w:tcW w:w="851" w:type="dxa"/>
            <w:vMerge w:val="continue"/>
            <w:vAlign w:val="center"/>
          </w:tcPr>
          <w:p>
            <w:pPr>
              <w:rPr>
                <w:rFonts w:hint="eastAsia" w:cs="Times New Roman" w:asciiTheme="minorEastAsia" w:hAnsiTheme="minorEastAsia"/>
                <w:szCs w:val="21"/>
              </w:rPr>
            </w:pPr>
          </w:p>
        </w:tc>
        <w:tc>
          <w:tcPr>
            <w:tcW w:w="3685"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当控制箱安装于室外时，须采用防水控制箱；对于有防爆要求的场所，控制箱需有防爆功能</w:t>
            </w:r>
          </w:p>
        </w:tc>
        <w:tc>
          <w:tcPr>
            <w:tcW w:w="859" w:type="dxa"/>
            <w:vAlign w:val="center"/>
          </w:tcPr>
          <w:p>
            <w:pPr>
              <w:jc w:val="center"/>
              <w:rPr>
                <w:rFonts w:hint="eastAsia" w:cs="Times New Roman" w:asciiTheme="minorEastAsia" w:hAnsiTheme="minorEastAsia"/>
                <w:szCs w:val="21"/>
              </w:rPr>
            </w:pPr>
            <w:r>
              <w:rPr>
                <w:rFonts w:hint="eastAsia" w:cs="Times New Roman" w:asciiTheme="minorEastAsia" w:hAnsiTheme="minorEastAsia"/>
                <w:szCs w:val="21"/>
              </w:rPr>
              <w:t>20</w:t>
            </w:r>
          </w:p>
        </w:tc>
        <w:tc>
          <w:tcPr>
            <w:tcW w:w="2896"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全数实地检查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846" w:type="dxa"/>
            <w:vMerge w:val="continue"/>
            <w:vAlign w:val="center"/>
          </w:tcPr>
          <w:p>
            <w:pPr>
              <w:jc w:val="center"/>
              <w:rPr>
                <w:rFonts w:hint="eastAsia" w:cs="Times New Roman" w:asciiTheme="minorEastAsia" w:hAnsiTheme="minorEastAsia"/>
                <w:szCs w:val="21"/>
              </w:rPr>
            </w:pPr>
          </w:p>
        </w:tc>
        <w:tc>
          <w:tcPr>
            <w:tcW w:w="1615" w:type="dxa"/>
            <w:vMerge w:val="continue"/>
            <w:vAlign w:val="center"/>
          </w:tcPr>
          <w:p>
            <w:pPr>
              <w:rPr>
                <w:rFonts w:hint="eastAsia" w:cs="Times New Roman" w:asciiTheme="minorEastAsia" w:hAnsiTheme="minorEastAsia"/>
                <w:szCs w:val="21"/>
              </w:rPr>
            </w:pPr>
          </w:p>
        </w:tc>
        <w:tc>
          <w:tcPr>
            <w:tcW w:w="2637" w:type="dxa"/>
            <w:noWrap/>
            <w:vAlign w:val="center"/>
          </w:tcPr>
          <w:p>
            <w:pPr>
              <w:jc w:val="center"/>
              <w:rPr>
                <w:rFonts w:hint="eastAsia" w:cs="Times New Roman" w:asciiTheme="minorEastAsia" w:hAnsiTheme="minorEastAsia"/>
                <w:b/>
                <w:bCs/>
                <w:szCs w:val="21"/>
              </w:rPr>
            </w:pPr>
            <w:r>
              <w:rPr>
                <w:rFonts w:hint="eastAsia" w:cs="Times New Roman" w:asciiTheme="minorEastAsia" w:hAnsiTheme="minorEastAsia"/>
                <w:b/>
                <w:bCs/>
                <w:szCs w:val="21"/>
              </w:rPr>
              <w:t>一般项</w:t>
            </w:r>
          </w:p>
        </w:tc>
        <w:tc>
          <w:tcPr>
            <w:tcW w:w="851" w:type="dxa"/>
            <w:vMerge w:val="continue"/>
            <w:vAlign w:val="center"/>
          </w:tcPr>
          <w:p>
            <w:pPr>
              <w:jc w:val="center"/>
              <w:rPr>
                <w:rFonts w:hint="eastAsia" w:cs="Times New Roman" w:asciiTheme="minorEastAsia" w:hAnsiTheme="minorEastAsia"/>
                <w:szCs w:val="21"/>
              </w:rPr>
            </w:pPr>
          </w:p>
        </w:tc>
        <w:tc>
          <w:tcPr>
            <w:tcW w:w="3685" w:type="dxa"/>
            <w:vAlign w:val="center"/>
          </w:tcPr>
          <w:p>
            <w:pPr>
              <w:jc w:val="center"/>
              <w:rPr>
                <w:rFonts w:hint="eastAsia" w:cs="Times New Roman" w:asciiTheme="minorEastAsia" w:hAnsiTheme="minorEastAsia"/>
                <w:b/>
                <w:bCs/>
                <w:szCs w:val="21"/>
              </w:rPr>
            </w:pPr>
            <w:r>
              <w:rPr>
                <w:rFonts w:hint="eastAsia" w:cs="Times New Roman" w:asciiTheme="minorEastAsia" w:hAnsiTheme="minorEastAsia"/>
                <w:b/>
                <w:bCs/>
                <w:szCs w:val="21"/>
              </w:rPr>
              <w:t>一般项评分要点</w:t>
            </w:r>
          </w:p>
        </w:tc>
        <w:tc>
          <w:tcPr>
            <w:tcW w:w="859" w:type="dxa"/>
            <w:vAlign w:val="center"/>
          </w:tcPr>
          <w:p>
            <w:pPr>
              <w:jc w:val="center"/>
              <w:rPr>
                <w:rFonts w:hint="eastAsia" w:cs="Times New Roman" w:asciiTheme="minorEastAsia" w:hAnsiTheme="minorEastAsia"/>
                <w:b/>
                <w:bCs/>
                <w:szCs w:val="21"/>
              </w:rPr>
            </w:pPr>
            <w:r>
              <w:rPr>
                <w:rFonts w:hint="eastAsia" w:cs="Times New Roman" w:asciiTheme="minorEastAsia" w:hAnsiTheme="minorEastAsia"/>
                <w:b/>
                <w:bCs/>
                <w:szCs w:val="21"/>
              </w:rPr>
              <w:t>评分</w:t>
            </w:r>
          </w:p>
        </w:tc>
        <w:tc>
          <w:tcPr>
            <w:tcW w:w="2896" w:type="dxa"/>
            <w:vAlign w:val="center"/>
          </w:tcPr>
          <w:p>
            <w:pPr>
              <w:jc w:val="center"/>
              <w:rPr>
                <w:rFonts w:hint="eastAsia" w:cs="Times New Roman" w:asciiTheme="minorEastAsia" w:hAnsiTheme="minorEastAsia"/>
                <w:b/>
                <w:bCs/>
                <w:szCs w:val="21"/>
              </w:rPr>
            </w:pPr>
            <w:r>
              <w:rPr>
                <w:rFonts w:hint="eastAsia" w:cs="Times New Roman" w:asciiTheme="minorEastAsia" w:hAnsiTheme="minorEastAsia"/>
                <w:b/>
                <w:bCs/>
                <w:szCs w:val="21"/>
              </w:rPr>
              <w:t>评定方法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846" w:type="dxa"/>
            <w:vMerge w:val="continue"/>
            <w:vAlign w:val="center"/>
          </w:tcPr>
          <w:p>
            <w:pPr>
              <w:jc w:val="center"/>
              <w:rPr>
                <w:rFonts w:hint="eastAsia" w:cs="Times New Roman" w:asciiTheme="minorEastAsia" w:hAnsiTheme="minorEastAsia"/>
                <w:szCs w:val="21"/>
              </w:rPr>
            </w:pPr>
          </w:p>
        </w:tc>
        <w:tc>
          <w:tcPr>
            <w:tcW w:w="1615" w:type="dxa"/>
            <w:vMerge w:val="continue"/>
            <w:vAlign w:val="center"/>
          </w:tcPr>
          <w:p>
            <w:pPr>
              <w:rPr>
                <w:rFonts w:hint="eastAsia" w:cs="Times New Roman" w:asciiTheme="minorEastAsia" w:hAnsiTheme="minorEastAsia"/>
                <w:szCs w:val="21"/>
              </w:rPr>
            </w:pPr>
          </w:p>
        </w:tc>
        <w:tc>
          <w:tcPr>
            <w:tcW w:w="2637" w:type="dxa"/>
            <w:noWrap/>
            <w:vAlign w:val="center"/>
          </w:tcPr>
          <w:p>
            <w:pPr>
              <w:rPr>
                <w:rFonts w:hint="eastAsia" w:cs="Times New Roman" w:asciiTheme="minorEastAsia" w:hAnsiTheme="minorEastAsia"/>
                <w:szCs w:val="21"/>
              </w:rPr>
            </w:pPr>
            <w:r>
              <w:rPr>
                <w:rFonts w:hint="eastAsia" w:cs="Times New Roman" w:asciiTheme="minorEastAsia" w:hAnsiTheme="minorEastAsia"/>
                <w:szCs w:val="21"/>
              </w:rPr>
              <w:t>位置</w:t>
            </w:r>
          </w:p>
        </w:tc>
        <w:tc>
          <w:tcPr>
            <w:tcW w:w="851" w:type="dxa"/>
            <w:vMerge w:val="continue"/>
            <w:vAlign w:val="center"/>
          </w:tcPr>
          <w:p>
            <w:pPr>
              <w:rPr>
                <w:rFonts w:hint="eastAsia" w:cs="Times New Roman" w:asciiTheme="minorEastAsia" w:hAnsiTheme="minorEastAsia"/>
                <w:szCs w:val="21"/>
              </w:rPr>
            </w:pPr>
          </w:p>
        </w:tc>
        <w:tc>
          <w:tcPr>
            <w:tcW w:w="3685"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控制箱应水平安装，顶部安装高度宜2米，便于操作控制</w:t>
            </w:r>
          </w:p>
        </w:tc>
        <w:tc>
          <w:tcPr>
            <w:tcW w:w="859" w:type="dxa"/>
            <w:vAlign w:val="center"/>
          </w:tcPr>
          <w:p>
            <w:pPr>
              <w:jc w:val="center"/>
              <w:rPr>
                <w:rFonts w:hint="eastAsia" w:cs="Times New Roman" w:asciiTheme="minorEastAsia" w:hAnsiTheme="minorEastAsia"/>
                <w:szCs w:val="21"/>
              </w:rPr>
            </w:pPr>
            <w:r>
              <w:rPr>
                <w:rFonts w:hint="eastAsia" w:cs="Times New Roman" w:asciiTheme="minorEastAsia" w:hAnsiTheme="minorEastAsia"/>
                <w:szCs w:val="21"/>
              </w:rPr>
              <w:t>15</w:t>
            </w:r>
          </w:p>
        </w:tc>
        <w:tc>
          <w:tcPr>
            <w:tcW w:w="2896"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全数实地检查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846" w:type="dxa"/>
            <w:vMerge w:val="continue"/>
            <w:vAlign w:val="center"/>
          </w:tcPr>
          <w:p>
            <w:pPr>
              <w:jc w:val="center"/>
              <w:rPr>
                <w:rFonts w:hint="eastAsia" w:cs="Times New Roman" w:asciiTheme="minorEastAsia" w:hAnsiTheme="minorEastAsia"/>
                <w:szCs w:val="21"/>
              </w:rPr>
            </w:pPr>
          </w:p>
        </w:tc>
        <w:tc>
          <w:tcPr>
            <w:tcW w:w="1615" w:type="dxa"/>
            <w:vMerge w:val="continue"/>
            <w:vAlign w:val="center"/>
          </w:tcPr>
          <w:p>
            <w:pPr>
              <w:rPr>
                <w:rFonts w:hint="eastAsia" w:cs="Times New Roman" w:asciiTheme="minorEastAsia" w:hAnsiTheme="minorEastAsia"/>
                <w:szCs w:val="21"/>
              </w:rPr>
            </w:pPr>
          </w:p>
        </w:tc>
        <w:tc>
          <w:tcPr>
            <w:tcW w:w="2637" w:type="dxa"/>
            <w:noWrap/>
            <w:vAlign w:val="center"/>
          </w:tcPr>
          <w:p>
            <w:pPr>
              <w:rPr>
                <w:rFonts w:hint="eastAsia" w:cs="Times New Roman" w:asciiTheme="minorEastAsia" w:hAnsiTheme="minorEastAsia"/>
                <w:szCs w:val="21"/>
              </w:rPr>
            </w:pPr>
            <w:r>
              <w:rPr>
                <w:rFonts w:hint="eastAsia" w:cs="Times New Roman" w:asciiTheme="minorEastAsia" w:hAnsiTheme="minorEastAsia"/>
                <w:szCs w:val="21"/>
              </w:rPr>
              <w:t>外观</w:t>
            </w:r>
          </w:p>
        </w:tc>
        <w:tc>
          <w:tcPr>
            <w:tcW w:w="851" w:type="dxa"/>
            <w:vMerge w:val="continue"/>
            <w:vAlign w:val="center"/>
          </w:tcPr>
          <w:p>
            <w:pPr>
              <w:rPr>
                <w:rFonts w:hint="eastAsia" w:cs="Times New Roman" w:asciiTheme="minorEastAsia" w:hAnsiTheme="minorEastAsia"/>
                <w:szCs w:val="21"/>
              </w:rPr>
            </w:pPr>
          </w:p>
        </w:tc>
        <w:tc>
          <w:tcPr>
            <w:tcW w:w="3685"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控制箱箱体无划痕、无污染</w:t>
            </w:r>
          </w:p>
        </w:tc>
        <w:tc>
          <w:tcPr>
            <w:tcW w:w="859" w:type="dxa"/>
            <w:vAlign w:val="center"/>
          </w:tcPr>
          <w:p>
            <w:pPr>
              <w:jc w:val="center"/>
              <w:rPr>
                <w:rFonts w:hint="eastAsia" w:cs="Times New Roman" w:asciiTheme="minorEastAsia" w:hAnsiTheme="minorEastAsia"/>
                <w:szCs w:val="21"/>
              </w:rPr>
            </w:pPr>
            <w:r>
              <w:rPr>
                <w:rFonts w:hint="eastAsia" w:cs="Times New Roman" w:asciiTheme="minorEastAsia" w:hAnsiTheme="minorEastAsia"/>
                <w:szCs w:val="21"/>
              </w:rPr>
              <w:t>15</w:t>
            </w:r>
          </w:p>
        </w:tc>
        <w:tc>
          <w:tcPr>
            <w:tcW w:w="2896"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全数实地检查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846" w:type="dxa"/>
            <w:vMerge w:val="restart"/>
            <w:noWrap/>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6</w:t>
            </w:r>
          </w:p>
        </w:tc>
        <w:tc>
          <w:tcPr>
            <w:tcW w:w="1615" w:type="dxa"/>
            <w:vMerge w:val="restart"/>
            <w:noWrap/>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F余压阀</w:t>
            </w:r>
          </w:p>
        </w:tc>
        <w:tc>
          <w:tcPr>
            <w:tcW w:w="2637" w:type="dxa"/>
            <w:noWrap/>
          </w:tcPr>
          <w:p>
            <w:pPr>
              <w:widowControl/>
              <w:jc w:val="center"/>
              <w:rPr>
                <w:rFonts w:hint="eastAsia" w:cs="宋体" w:asciiTheme="minorEastAsia" w:hAnsiTheme="minorEastAsia"/>
                <w:b/>
                <w:bCs/>
                <w:kern w:val="0"/>
                <w:szCs w:val="21"/>
              </w:rPr>
            </w:pPr>
            <w:r>
              <w:rPr>
                <w:rFonts w:hint="eastAsia" w:cs="宋体" w:asciiTheme="minorEastAsia" w:hAnsiTheme="minorEastAsia"/>
                <w:b/>
                <w:bCs/>
                <w:kern w:val="0"/>
                <w:szCs w:val="21"/>
              </w:rPr>
              <w:t>主控项</w:t>
            </w:r>
          </w:p>
        </w:tc>
        <w:tc>
          <w:tcPr>
            <w:tcW w:w="851" w:type="dxa"/>
            <w:vMerge w:val="restart"/>
            <w:noWrap/>
            <w:vAlign w:val="center"/>
          </w:tcPr>
          <w:p>
            <w:pPr>
              <w:widowControl/>
              <w:jc w:val="center"/>
              <w:rPr>
                <w:rFonts w:hint="eastAsia" w:cs="宋体" w:asciiTheme="minorEastAsia" w:hAnsiTheme="minorEastAsia"/>
                <w:kern w:val="0"/>
                <w:szCs w:val="21"/>
              </w:rPr>
            </w:pPr>
            <w:r>
              <w:rPr>
                <w:rFonts w:hint="eastAsia" w:cs="Times New Roman" w:asciiTheme="minorEastAsia" w:hAnsiTheme="minorEastAsia"/>
                <w:szCs w:val="21"/>
              </w:rPr>
              <w:t>0.10</w:t>
            </w:r>
          </w:p>
        </w:tc>
        <w:tc>
          <w:tcPr>
            <w:tcW w:w="3685" w:type="dxa"/>
          </w:tcPr>
          <w:p>
            <w:pPr>
              <w:widowControl/>
              <w:jc w:val="center"/>
              <w:rPr>
                <w:rFonts w:hint="eastAsia" w:cs="宋体" w:asciiTheme="minorEastAsia" w:hAnsiTheme="minorEastAsia"/>
                <w:b/>
                <w:bCs/>
                <w:kern w:val="0"/>
                <w:szCs w:val="21"/>
              </w:rPr>
            </w:pPr>
            <w:r>
              <w:rPr>
                <w:rFonts w:hint="eastAsia" w:cs="宋体" w:asciiTheme="minorEastAsia" w:hAnsiTheme="minorEastAsia"/>
                <w:b/>
                <w:bCs/>
                <w:kern w:val="0"/>
                <w:szCs w:val="21"/>
              </w:rPr>
              <w:t>主控项评分要点</w:t>
            </w:r>
          </w:p>
        </w:tc>
        <w:tc>
          <w:tcPr>
            <w:tcW w:w="859" w:type="dxa"/>
          </w:tcPr>
          <w:p>
            <w:pPr>
              <w:widowControl/>
              <w:jc w:val="center"/>
              <w:rPr>
                <w:rFonts w:hint="eastAsia" w:cs="宋体" w:asciiTheme="minorEastAsia" w:hAnsiTheme="minorEastAsia"/>
                <w:b/>
                <w:bCs/>
                <w:kern w:val="0"/>
                <w:szCs w:val="21"/>
              </w:rPr>
            </w:pPr>
            <w:r>
              <w:rPr>
                <w:rFonts w:hint="eastAsia" w:cs="宋体" w:asciiTheme="minorEastAsia" w:hAnsiTheme="minorEastAsia"/>
                <w:b/>
                <w:bCs/>
                <w:kern w:val="0"/>
                <w:szCs w:val="21"/>
              </w:rPr>
              <w:t>评分</w:t>
            </w:r>
          </w:p>
        </w:tc>
        <w:tc>
          <w:tcPr>
            <w:tcW w:w="2896" w:type="dxa"/>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846" w:type="dxa"/>
            <w:vMerge w:val="continue"/>
          </w:tcPr>
          <w:p>
            <w:pPr>
              <w:widowControl/>
              <w:jc w:val="center"/>
              <w:rPr>
                <w:rFonts w:hint="eastAsia" w:cs="宋体" w:asciiTheme="minorEastAsia" w:hAnsiTheme="minorEastAsia"/>
                <w:kern w:val="0"/>
                <w:szCs w:val="24"/>
              </w:rPr>
            </w:pPr>
          </w:p>
        </w:tc>
        <w:tc>
          <w:tcPr>
            <w:tcW w:w="1615" w:type="dxa"/>
            <w:vMerge w:val="continue"/>
          </w:tcPr>
          <w:p>
            <w:pPr>
              <w:widowControl/>
              <w:jc w:val="left"/>
              <w:rPr>
                <w:rFonts w:hint="eastAsia" w:cs="宋体" w:asciiTheme="minorEastAsia" w:hAnsiTheme="minorEastAsia"/>
                <w:kern w:val="0"/>
                <w:szCs w:val="24"/>
              </w:rPr>
            </w:pPr>
          </w:p>
        </w:tc>
        <w:tc>
          <w:tcPr>
            <w:tcW w:w="2637" w:type="dxa"/>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阀门本身的资料</w:t>
            </w:r>
          </w:p>
        </w:tc>
        <w:tc>
          <w:tcPr>
            <w:tcW w:w="851" w:type="dxa"/>
            <w:vMerge w:val="continue"/>
          </w:tcPr>
          <w:p>
            <w:pPr>
              <w:widowControl/>
              <w:jc w:val="left"/>
              <w:rPr>
                <w:rFonts w:hint="eastAsia" w:cs="宋体" w:asciiTheme="minorEastAsia" w:hAnsiTheme="minorEastAsia"/>
                <w:kern w:val="0"/>
                <w:szCs w:val="21"/>
              </w:rPr>
            </w:pPr>
          </w:p>
        </w:tc>
        <w:tc>
          <w:tcPr>
            <w:tcW w:w="3685" w:type="dxa"/>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阀门进场时，需要对其资料进行严格审查，需满足设计及规范要求</w:t>
            </w:r>
          </w:p>
        </w:tc>
        <w:tc>
          <w:tcPr>
            <w:tcW w:w="859" w:type="dxa"/>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15</w:t>
            </w:r>
          </w:p>
        </w:tc>
        <w:tc>
          <w:tcPr>
            <w:tcW w:w="2896" w:type="dxa"/>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具有检测报告原件，可判定为该产品可靠性不低于C级；检测结果有任意一个控制项不合格，则可靠性判定为D级。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846" w:type="dxa"/>
            <w:vMerge w:val="continue"/>
          </w:tcPr>
          <w:p>
            <w:pPr>
              <w:widowControl/>
              <w:jc w:val="center"/>
              <w:rPr>
                <w:rFonts w:hint="eastAsia" w:cs="宋体" w:asciiTheme="minorEastAsia" w:hAnsiTheme="minorEastAsia"/>
                <w:kern w:val="0"/>
                <w:szCs w:val="24"/>
              </w:rPr>
            </w:pPr>
          </w:p>
        </w:tc>
        <w:tc>
          <w:tcPr>
            <w:tcW w:w="1615" w:type="dxa"/>
            <w:vMerge w:val="continue"/>
          </w:tcPr>
          <w:p>
            <w:pPr>
              <w:widowControl/>
              <w:jc w:val="left"/>
              <w:rPr>
                <w:rFonts w:hint="eastAsia" w:cs="宋体" w:asciiTheme="minorEastAsia" w:hAnsiTheme="minorEastAsia"/>
                <w:kern w:val="0"/>
                <w:szCs w:val="24"/>
              </w:rPr>
            </w:pPr>
          </w:p>
        </w:tc>
        <w:tc>
          <w:tcPr>
            <w:tcW w:w="2637" w:type="dxa"/>
            <w:noWrap/>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型号、参数</w:t>
            </w:r>
          </w:p>
        </w:tc>
        <w:tc>
          <w:tcPr>
            <w:tcW w:w="851" w:type="dxa"/>
            <w:vMerge w:val="continue"/>
          </w:tcPr>
          <w:p>
            <w:pPr>
              <w:widowControl/>
              <w:jc w:val="left"/>
              <w:rPr>
                <w:rFonts w:hint="eastAsia" w:cs="宋体" w:asciiTheme="minorEastAsia" w:hAnsiTheme="minorEastAsia"/>
                <w:kern w:val="0"/>
                <w:szCs w:val="21"/>
              </w:rPr>
            </w:pPr>
          </w:p>
        </w:tc>
        <w:tc>
          <w:tcPr>
            <w:tcW w:w="3685" w:type="dxa"/>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特定位置阀门的型号参数需与设计图纸保持一致</w:t>
            </w:r>
          </w:p>
        </w:tc>
        <w:tc>
          <w:tcPr>
            <w:tcW w:w="859" w:type="dxa"/>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20</w:t>
            </w:r>
          </w:p>
        </w:tc>
        <w:tc>
          <w:tcPr>
            <w:tcW w:w="2896" w:type="dxa"/>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阀门的实体参数与设计参数与图纸进行核对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846" w:type="dxa"/>
            <w:vMerge w:val="continue"/>
          </w:tcPr>
          <w:p>
            <w:pPr>
              <w:widowControl/>
              <w:jc w:val="center"/>
              <w:rPr>
                <w:rFonts w:hint="eastAsia" w:cs="宋体" w:asciiTheme="minorEastAsia" w:hAnsiTheme="minorEastAsia"/>
                <w:kern w:val="0"/>
                <w:szCs w:val="24"/>
              </w:rPr>
            </w:pPr>
          </w:p>
        </w:tc>
        <w:tc>
          <w:tcPr>
            <w:tcW w:w="1615" w:type="dxa"/>
            <w:vMerge w:val="continue"/>
          </w:tcPr>
          <w:p>
            <w:pPr>
              <w:widowControl/>
              <w:jc w:val="left"/>
              <w:rPr>
                <w:rFonts w:hint="eastAsia" w:cs="宋体" w:asciiTheme="minorEastAsia" w:hAnsiTheme="minorEastAsia"/>
                <w:kern w:val="0"/>
                <w:szCs w:val="24"/>
              </w:rPr>
            </w:pPr>
          </w:p>
        </w:tc>
        <w:tc>
          <w:tcPr>
            <w:tcW w:w="2637" w:type="dxa"/>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阀体本身的动作、关闭属性</w:t>
            </w:r>
          </w:p>
        </w:tc>
        <w:tc>
          <w:tcPr>
            <w:tcW w:w="851" w:type="dxa"/>
            <w:vMerge w:val="continue"/>
          </w:tcPr>
          <w:p>
            <w:pPr>
              <w:widowControl/>
              <w:jc w:val="left"/>
              <w:rPr>
                <w:rFonts w:hint="eastAsia" w:cs="宋体" w:asciiTheme="minorEastAsia" w:hAnsiTheme="minorEastAsia"/>
                <w:kern w:val="0"/>
                <w:szCs w:val="21"/>
              </w:rPr>
            </w:pPr>
          </w:p>
        </w:tc>
        <w:tc>
          <w:tcPr>
            <w:tcW w:w="3685" w:type="dxa"/>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阀体动作应灵敏、可靠，关闭应严密</w:t>
            </w:r>
          </w:p>
        </w:tc>
        <w:tc>
          <w:tcPr>
            <w:tcW w:w="859" w:type="dxa"/>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20</w:t>
            </w:r>
          </w:p>
        </w:tc>
        <w:tc>
          <w:tcPr>
            <w:tcW w:w="2896" w:type="dxa"/>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现场实际操作，动作灵敏、可靠，关闭严密，则判定为合格；否则为不合格；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846" w:type="dxa"/>
            <w:vMerge w:val="continue"/>
          </w:tcPr>
          <w:p>
            <w:pPr>
              <w:widowControl/>
              <w:jc w:val="center"/>
              <w:rPr>
                <w:rFonts w:hint="eastAsia" w:cs="宋体" w:asciiTheme="minorEastAsia" w:hAnsiTheme="minorEastAsia"/>
                <w:kern w:val="0"/>
                <w:szCs w:val="24"/>
              </w:rPr>
            </w:pPr>
          </w:p>
        </w:tc>
        <w:tc>
          <w:tcPr>
            <w:tcW w:w="1615" w:type="dxa"/>
            <w:vMerge w:val="continue"/>
          </w:tcPr>
          <w:p>
            <w:pPr>
              <w:widowControl/>
              <w:jc w:val="left"/>
              <w:rPr>
                <w:rFonts w:hint="eastAsia" w:cs="宋体" w:asciiTheme="minorEastAsia" w:hAnsiTheme="minorEastAsia"/>
                <w:kern w:val="0"/>
                <w:szCs w:val="24"/>
              </w:rPr>
            </w:pPr>
          </w:p>
        </w:tc>
        <w:tc>
          <w:tcPr>
            <w:tcW w:w="2637" w:type="dxa"/>
            <w:noWrap/>
          </w:tcPr>
          <w:p>
            <w:pPr>
              <w:widowControl/>
              <w:jc w:val="center"/>
              <w:rPr>
                <w:rFonts w:hint="eastAsia" w:cs="宋体" w:asciiTheme="minorEastAsia" w:hAnsiTheme="minorEastAsia"/>
                <w:b/>
                <w:bCs/>
                <w:kern w:val="0"/>
                <w:szCs w:val="21"/>
              </w:rPr>
            </w:pPr>
            <w:r>
              <w:rPr>
                <w:rFonts w:hint="eastAsia" w:cs="宋体" w:asciiTheme="minorEastAsia" w:hAnsiTheme="minorEastAsia"/>
                <w:b/>
                <w:bCs/>
                <w:kern w:val="0"/>
                <w:szCs w:val="21"/>
              </w:rPr>
              <w:t>一般项</w:t>
            </w:r>
          </w:p>
        </w:tc>
        <w:tc>
          <w:tcPr>
            <w:tcW w:w="851" w:type="dxa"/>
            <w:vMerge w:val="continue"/>
          </w:tcPr>
          <w:p>
            <w:pPr>
              <w:widowControl/>
              <w:jc w:val="left"/>
              <w:rPr>
                <w:rFonts w:hint="eastAsia" w:cs="宋体" w:asciiTheme="minorEastAsia" w:hAnsiTheme="minorEastAsia"/>
                <w:kern w:val="0"/>
                <w:szCs w:val="21"/>
              </w:rPr>
            </w:pPr>
          </w:p>
        </w:tc>
        <w:tc>
          <w:tcPr>
            <w:tcW w:w="3685" w:type="dxa"/>
          </w:tcPr>
          <w:p>
            <w:pPr>
              <w:widowControl/>
              <w:jc w:val="center"/>
              <w:rPr>
                <w:rFonts w:hint="eastAsia" w:cs="宋体" w:asciiTheme="minorEastAsia" w:hAnsiTheme="minorEastAsia"/>
                <w:b/>
                <w:bCs/>
                <w:kern w:val="0"/>
                <w:szCs w:val="21"/>
              </w:rPr>
            </w:pPr>
            <w:r>
              <w:rPr>
                <w:rFonts w:hint="eastAsia" w:cs="宋体" w:asciiTheme="minorEastAsia" w:hAnsiTheme="minorEastAsia"/>
                <w:b/>
                <w:bCs/>
                <w:kern w:val="0"/>
                <w:szCs w:val="21"/>
              </w:rPr>
              <w:t>一般项评分要点</w:t>
            </w:r>
          </w:p>
        </w:tc>
        <w:tc>
          <w:tcPr>
            <w:tcW w:w="859" w:type="dxa"/>
          </w:tcPr>
          <w:p>
            <w:pPr>
              <w:widowControl/>
              <w:jc w:val="center"/>
              <w:rPr>
                <w:rFonts w:hint="eastAsia" w:cs="宋体" w:asciiTheme="minorEastAsia" w:hAnsiTheme="minorEastAsia"/>
                <w:b/>
                <w:bCs/>
                <w:kern w:val="0"/>
                <w:szCs w:val="21"/>
              </w:rPr>
            </w:pPr>
            <w:r>
              <w:rPr>
                <w:rFonts w:hint="eastAsia" w:cs="宋体" w:asciiTheme="minorEastAsia" w:hAnsiTheme="minorEastAsia"/>
                <w:b/>
                <w:bCs/>
                <w:kern w:val="0"/>
                <w:szCs w:val="21"/>
              </w:rPr>
              <w:t>评分</w:t>
            </w:r>
          </w:p>
        </w:tc>
        <w:tc>
          <w:tcPr>
            <w:tcW w:w="2896" w:type="dxa"/>
          </w:tcPr>
          <w:p>
            <w:pPr>
              <w:widowControl/>
              <w:jc w:val="center"/>
              <w:rPr>
                <w:rFonts w:hint="eastAsia" w:cs="宋体" w:asciiTheme="minorEastAsia" w:hAnsiTheme="minorEastAsia"/>
                <w:b/>
                <w:bCs/>
                <w:kern w:val="0"/>
                <w:szCs w:val="21"/>
              </w:rPr>
            </w:pPr>
            <w:r>
              <w:rPr>
                <w:rFonts w:hint="eastAsia" w:cs="宋体" w:asciiTheme="minorEastAsia" w:hAnsiTheme="minorEastAsia"/>
                <w:b/>
                <w:bCs/>
                <w:kern w:val="0"/>
                <w:szCs w:val="21"/>
              </w:rPr>
              <w:t>评定方法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846" w:type="dxa"/>
            <w:vMerge w:val="continue"/>
          </w:tcPr>
          <w:p>
            <w:pPr>
              <w:widowControl/>
              <w:jc w:val="center"/>
              <w:rPr>
                <w:rFonts w:hint="eastAsia" w:cs="宋体" w:asciiTheme="minorEastAsia" w:hAnsiTheme="minorEastAsia"/>
                <w:kern w:val="0"/>
                <w:szCs w:val="24"/>
              </w:rPr>
            </w:pPr>
          </w:p>
        </w:tc>
        <w:tc>
          <w:tcPr>
            <w:tcW w:w="1615" w:type="dxa"/>
            <w:vMerge w:val="continue"/>
          </w:tcPr>
          <w:p>
            <w:pPr>
              <w:widowControl/>
              <w:jc w:val="left"/>
              <w:rPr>
                <w:rFonts w:hint="eastAsia" w:cs="宋体" w:asciiTheme="minorEastAsia" w:hAnsiTheme="minorEastAsia"/>
                <w:kern w:val="0"/>
                <w:szCs w:val="24"/>
              </w:rPr>
            </w:pPr>
          </w:p>
        </w:tc>
        <w:tc>
          <w:tcPr>
            <w:tcW w:w="2637" w:type="dxa"/>
            <w:noWrap/>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安装外观</w:t>
            </w:r>
          </w:p>
        </w:tc>
        <w:tc>
          <w:tcPr>
            <w:tcW w:w="851" w:type="dxa"/>
            <w:vMerge w:val="continue"/>
          </w:tcPr>
          <w:p>
            <w:pPr>
              <w:widowControl/>
              <w:jc w:val="left"/>
              <w:rPr>
                <w:rFonts w:hint="eastAsia" w:cs="宋体" w:asciiTheme="minorEastAsia" w:hAnsiTheme="minorEastAsia"/>
                <w:kern w:val="0"/>
                <w:szCs w:val="21"/>
              </w:rPr>
            </w:pPr>
          </w:p>
        </w:tc>
        <w:tc>
          <w:tcPr>
            <w:tcW w:w="3685" w:type="dxa"/>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安装横平竖直，避免倾斜状态，以免造成箱体变形等故障；</w:t>
            </w:r>
          </w:p>
        </w:tc>
        <w:tc>
          <w:tcPr>
            <w:tcW w:w="859" w:type="dxa"/>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5</w:t>
            </w:r>
          </w:p>
        </w:tc>
        <w:tc>
          <w:tcPr>
            <w:tcW w:w="2896" w:type="dxa"/>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 xml:space="preserve">现场实地观察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846" w:type="dxa"/>
            <w:vMerge w:val="continue"/>
          </w:tcPr>
          <w:p>
            <w:pPr>
              <w:widowControl/>
              <w:jc w:val="center"/>
              <w:rPr>
                <w:rFonts w:hint="eastAsia" w:cs="宋体" w:asciiTheme="minorEastAsia" w:hAnsiTheme="minorEastAsia"/>
                <w:kern w:val="0"/>
                <w:szCs w:val="24"/>
              </w:rPr>
            </w:pPr>
          </w:p>
        </w:tc>
        <w:tc>
          <w:tcPr>
            <w:tcW w:w="1615" w:type="dxa"/>
            <w:vMerge w:val="continue"/>
          </w:tcPr>
          <w:p>
            <w:pPr>
              <w:widowControl/>
              <w:jc w:val="left"/>
              <w:rPr>
                <w:rFonts w:hint="eastAsia" w:cs="宋体" w:asciiTheme="minorEastAsia" w:hAnsiTheme="minorEastAsia"/>
                <w:kern w:val="0"/>
                <w:szCs w:val="24"/>
              </w:rPr>
            </w:pPr>
          </w:p>
        </w:tc>
        <w:tc>
          <w:tcPr>
            <w:tcW w:w="2637" w:type="dxa"/>
            <w:noWrap/>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安装方向</w:t>
            </w:r>
          </w:p>
        </w:tc>
        <w:tc>
          <w:tcPr>
            <w:tcW w:w="851" w:type="dxa"/>
            <w:vMerge w:val="continue"/>
          </w:tcPr>
          <w:p>
            <w:pPr>
              <w:widowControl/>
              <w:jc w:val="left"/>
              <w:rPr>
                <w:rFonts w:hint="eastAsia" w:cs="宋体" w:asciiTheme="minorEastAsia" w:hAnsiTheme="minorEastAsia"/>
                <w:kern w:val="0"/>
                <w:szCs w:val="21"/>
              </w:rPr>
            </w:pPr>
          </w:p>
        </w:tc>
        <w:tc>
          <w:tcPr>
            <w:tcW w:w="3685" w:type="dxa"/>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阀门的安装方向需正确，与设计图纸保持一致。</w:t>
            </w:r>
          </w:p>
        </w:tc>
        <w:tc>
          <w:tcPr>
            <w:tcW w:w="859" w:type="dxa"/>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10</w:t>
            </w:r>
          </w:p>
        </w:tc>
        <w:tc>
          <w:tcPr>
            <w:tcW w:w="2896" w:type="dxa"/>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将现场实际安装情况与设计图纸及气流方向进行校对，安装方向正确判定为合格，否则为不合格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846" w:type="dxa"/>
            <w:vMerge w:val="continue"/>
          </w:tcPr>
          <w:p>
            <w:pPr>
              <w:widowControl/>
              <w:jc w:val="center"/>
              <w:rPr>
                <w:rFonts w:hint="eastAsia" w:cs="宋体" w:asciiTheme="minorEastAsia" w:hAnsiTheme="minorEastAsia"/>
                <w:kern w:val="0"/>
                <w:szCs w:val="24"/>
              </w:rPr>
            </w:pPr>
          </w:p>
        </w:tc>
        <w:tc>
          <w:tcPr>
            <w:tcW w:w="1615" w:type="dxa"/>
            <w:vMerge w:val="continue"/>
          </w:tcPr>
          <w:p>
            <w:pPr>
              <w:widowControl/>
              <w:jc w:val="left"/>
              <w:rPr>
                <w:rFonts w:hint="eastAsia" w:cs="宋体" w:asciiTheme="minorEastAsia" w:hAnsiTheme="minorEastAsia"/>
                <w:kern w:val="0"/>
                <w:szCs w:val="24"/>
              </w:rPr>
            </w:pPr>
          </w:p>
        </w:tc>
        <w:tc>
          <w:tcPr>
            <w:tcW w:w="2637" w:type="dxa"/>
            <w:noWrap/>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阀门支撑</w:t>
            </w:r>
          </w:p>
        </w:tc>
        <w:tc>
          <w:tcPr>
            <w:tcW w:w="851" w:type="dxa"/>
            <w:vMerge w:val="continue"/>
          </w:tcPr>
          <w:p>
            <w:pPr>
              <w:widowControl/>
              <w:jc w:val="left"/>
              <w:rPr>
                <w:rFonts w:hint="eastAsia" w:cs="宋体" w:asciiTheme="minorEastAsia" w:hAnsiTheme="minorEastAsia"/>
                <w:kern w:val="0"/>
                <w:szCs w:val="21"/>
              </w:rPr>
            </w:pPr>
          </w:p>
        </w:tc>
        <w:tc>
          <w:tcPr>
            <w:tcW w:w="3685" w:type="dxa"/>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应设独立的支吊架，当风管采用不燃材料防火隔热时，阀门安装处应有明显标识。</w:t>
            </w:r>
          </w:p>
        </w:tc>
        <w:tc>
          <w:tcPr>
            <w:tcW w:w="859" w:type="dxa"/>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10</w:t>
            </w:r>
          </w:p>
        </w:tc>
        <w:tc>
          <w:tcPr>
            <w:tcW w:w="2896" w:type="dxa"/>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现场实地观察，单独设置独立支吊架则判定为合格；否则为不合格；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846" w:type="dxa"/>
            <w:vMerge w:val="continue"/>
          </w:tcPr>
          <w:p>
            <w:pPr>
              <w:widowControl/>
              <w:jc w:val="center"/>
              <w:rPr>
                <w:rFonts w:hint="eastAsia" w:cs="宋体" w:asciiTheme="minorEastAsia" w:hAnsiTheme="minorEastAsia"/>
                <w:kern w:val="0"/>
                <w:szCs w:val="24"/>
              </w:rPr>
            </w:pPr>
          </w:p>
        </w:tc>
        <w:tc>
          <w:tcPr>
            <w:tcW w:w="1615" w:type="dxa"/>
            <w:vMerge w:val="continue"/>
          </w:tcPr>
          <w:p>
            <w:pPr>
              <w:widowControl/>
              <w:jc w:val="left"/>
              <w:rPr>
                <w:rFonts w:hint="eastAsia" w:cs="宋体" w:asciiTheme="minorEastAsia" w:hAnsiTheme="minorEastAsia"/>
                <w:kern w:val="0"/>
                <w:szCs w:val="24"/>
              </w:rPr>
            </w:pPr>
          </w:p>
        </w:tc>
        <w:tc>
          <w:tcPr>
            <w:tcW w:w="2637" w:type="dxa"/>
            <w:noWrap/>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启闭装置</w:t>
            </w:r>
          </w:p>
        </w:tc>
        <w:tc>
          <w:tcPr>
            <w:tcW w:w="851" w:type="dxa"/>
            <w:vMerge w:val="continue"/>
          </w:tcPr>
          <w:p>
            <w:pPr>
              <w:widowControl/>
              <w:jc w:val="left"/>
              <w:rPr>
                <w:rFonts w:hint="eastAsia" w:cs="宋体" w:asciiTheme="minorEastAsia" w:hAnsiTheme="minorEastAsia"/>
                <w:kern w:val="0"/>
                <w:szCs w:val="21"/>
              </w:rPr>
            </w:pPr>
          </w:p>
        </w:tc>
        <w:tc>
          <w:tcPr>
            <w:tcW w:w="3685" w:type="dxa"/>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转轴部分正常工作，不受连接管道及周边环境影响。</w:t>
            </w:r>
          </w:p>
        </w:tc>
        <w:tc>
          <w:tcPr>
            <w:tcW w:w="859" w:type="dxa"/>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15</w:t>
            </w:r>
          </w:p>
        </w:tc>
        <w:tc>
          <w:tcPr>
            <w:tcW w:w="2896" w:type="dxa"/>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现场实地观察，符合要求时则判定为合格；否则为不合格；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846" w:type="dxa"/>
            <w:vMerge w:val="continue"/>
          </w:tcPr>
          <w:p>
            <w:pPr>
              <w:widowControl/>
              <w:jc w:val="center"/>
              <w:rPr>
                <w:rFonts w:hint="eastAsia" w:cs="宋体" w:asciiTheme="minorEastAsia" w:hAnsiTheme="minorEastAsia"/>
                <w:kern w:val="0"/>
                <w:szCs w:val="24"/>
              </w:rPr>
            </w:pPr>
          </w:p>
        </w:tc>
        <w:tc>
          <w:tcPr>
            <w:tcW w:w="1615" w:type="dxa"/>
            <w:vMerge w:val="continue"/>
          </w:tcPr>
          <w:p>
            <w:pPr>
              <w:widowControl/>
              <w:jc w:val="left"/>
              <w:rPr>
                <w:rFonts w:hint="eastAsia" w:cs="宋体" w:asciiTheme="minorEastAsia" w:hAnsiTheme="minorEastAsia"/>
                <w:kern w:val="0"/>
                <w:szCs w:val="24"/>
              </w:rPr>
            </w:pPr>
          </w:p>
        </w:tc>
        <w:tc>
          <w:tcPr>
            <w:tcW w:w="2637" w:type="dxa"/>
            <w:noWrap/>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标识</w:t>
            </w:r>
          </w:p>
        </w:tc>
        <w:tc>
          <w:tcPr>
            <w:tcW w:w="851" w:type="dxa"/>
            <w:vMerge w:val="continue"/>
          </w:tcPr>
          <w:p>
            <w:pPr>
              <w:widowControl/>
              <w:jc w:val="left"/>
              <w:rPr>
                <w:rFonts w:hint="eastAsia" w:cs="宋体" w:asciiTheme="minorEastAsia" w:hAnsiTheme="minorEastAsia"/>
                <w:kern w:val="0"/>
                <w:szCs w:val="21"/>
              </w:rPr>
            </w:pPr>
          </w:p>
        </w:tc>
        <w:tc>
          <w:tcPr>
            <w:tcW w:w="3685" w:type="dxa"/>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风管采用不燃材料进行防火隔热时，阀门安装处应有明显标识</w:t>
            </w:r>
          </w:p>
        </w:tc>
        <w:tc>
          <w:tcPr>
            <w:tcW w:w="859" w:type="dxa"/>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5</w:t>
            </w:r>
          </w:p>
        </w:tc>
        <w:tc>
          <w:tcPr>
            <w:tcW w:w="2896" w:type="dxa"/>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现场实地观察，设置标识判定为合格；否则为不合格。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846" w:type="dxa"/>
            <w:vMerge w:val="restart"/>
            <w:vAlign w:val="center"/>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7</w:t>
            </w:r>
          </w:p>
        </w:tc>
        <w:tc>
          <w:tcPr>
            <w:tcW w:w="1615" w:type="dxa"/>
            <w:vMerge w:val="restart"/>
            <w:vAlign w:val="center"/>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G系统调试</w:t>
            </w:r>
          </w:p>
        </w:tc>
        <w:tc>
          <w:tcPr>
            <w:tcW w:w="2637" w:type="dxa"/>
            <w:noWrap/>
          </w:tcPr>
          <w:p>
            <w:pPr>
              <w:widowControl/>
              <w:jc w:val="center"/>
              <w:rPr>
                <w:rFonts w:hint="eastAsia" w:cs="宋体" w:asciiTheme="minorEastAsia" w:hAnsiTheme="minorEastAsia"/>
                <w:b/>
                <w:bCs/>
                <w:kern w:val="0"/>
                <w:szCs w:val="21"/>
              </w:rPr>
            </w:pPr>
            <w:r>
              <w:rPr>
                <w:rFonts w:hint="eastAsia" w:cs="宋体" w:asciiTheme="minorEastAsia" w:hAnsiTheme="minorEastAsia"/>
                <w:b/>
                <w:bCs/>
                <w:kern w:val="0"/>
                <w:szCs w:val="21"/>
              </w:rPr>
              <w:t>主控项</w:t>
            </w:r>
          </w:p>
        </w:tc>
        <w:tc>
          <w:tcPr>
            <w:tcW w:w="851" w:type="dxa"/>
            <w:vMerge w:val="restart"/>
            <w:vAlign w:val="center"/>
          </w:tcPr>
          <w:p>
            <w:pPr>
              <w:widowControl/>
              <w:jc w:val="center"/>
              <w:rPr>
                <w:rFonts w:hint="eastAsia" w:cs="宋体" w:asciiTheme="minorEastAsia" w:hAnsiTheme="minorEastAsia"/>
                <w:kern w:val="0"/>
                <w:szCs w:val="21"/>
              </w:rPr>
            </w:pPr>
            <w:r>
              <w:rPr>
                <w:rFonts w:hint="eastAsia" w:cs="Times New Roman" w:asciiTheme="minorEastAsia" w:hAnsiTheme="minorEastAsia"/>
                <w:szCs w:val="21"/>
              </w:rPr>
              <w:t>0.20</w:t>
            </w:r>
          </w:p>
        </w:tc>
        <w:tc>
          <w:tcPr>
            <w:tcW w:w="3685" w:type="dxa"/>
          </w:tcPr>
          <w:p>
            <w:pPr>
              <w:widowControl/>
              <w:jc w:val="center"/>
              <w:rPr>
                <w:rFonts w:hint="eastAsia" w:cs="宋体" w:asciiTheme="minorEastAsia" w:hAnsiTheme="minorEastAsia"/>
                <w:b/>
                <w:bCs/>
                <w:kern w:val="0"/>
                <w:szCs w:val="21"/>
              </w:rPr>
            </w:pPr>
            <w:r>
              <w:rPr>
                <w:rFonts w:hint="eastAsia" w:cs="宋体" w:asciiTheme="minorEastAsia" w:hAnsiTheme="minorEastAsia"/>
                <w:b/>
                <w:bCs/>
                <w:kern w:val="0"/>
                <w:szCs w:val="21"/>
              </w:rPr>
              <w:t>主控项评分要点</w:t>
            </w:r>
          </w:p>
        </w:tc>
        <w:tc>
          <w:tcPr>
            <w:tcW w:w="859" w:type="dxa"/>
          </w:tcPr>
          <w:p>
            <w:pPr>
              <w:widowControl/>
              <w:jc w:val="center"/>
              <w:rPr>
                <w:rFonts w:hint="eastAsia" w:cs="宋体" w:asciiTheme="minorEastAsia" w:hAnsiTheme="minorEastAsia"/>
                <w:kern w:val="0"/>
                <w:szCs w:val="21"/>
              </w:rPr>
            </w:pPr>
          </w:p>
        </w:tc>
        <w:tc>
          <w:tcPr>
            <w:tcW w:w="2896" w:type="dxa"/>
          </w:tcPr>
          <w:p>
            <w:pPr>
              <w:widowControl/>
              <w:jc w:val="center"/>
              <w:rPr>
                <w:rFonts w:hint="eastAsia" w:cs="宋体" w:asciiTheme="minorEastAsia" w:hAnsiTheme="minorEastAsia"/>
                <w:b/>
                <w:bCs/>
                <w:kern w:val="0"/>
                <w:szCs w:val="21"/>
              </w:rPr>
            </w:pPr>
            <w:r>
              <w:rPr>
                <w:rFonts w:hint="eastAsia" w:cs="宋体" w:asciiTheme="minorEastAsia" w:hAnsiTheme="minorEastAsia"/>
                <w:b/>
                <w:bCs/>
                <w:kern w:val="0"/>
                <w:szCs w:val="21"/>
              </w:rPr>
              <w:t>评定方法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846" w:type="dxa"/>
            <w:vMerge w:val="continue"/>
          </w:tcPr>
          <w:p>
            <w:pPr>
              <w:widowControl/>
              <w:jc w:val="center"/>
              <w:rPr>
                <w:rFonts w:hint="eastAsia" w:cs="宋体" w:asciiTheme="minorEastAsia" w:hAnsiTheme="minorEastAsia"/>
                <w:kern w:val="0"/>
                <w:szCs w:val="21"/>
              </w:rPr>
            </w:pPr>
          </w:p>
        </w:tc>
        <w:tc>
          <w:tcPr>
            <w:tcW w:w="1615" w:type="dxa"/>
            <w:vMerge w:val="continue"/>
          </w:tcPr>
          <w:p>
            <w:pPr>
              <w:widowControl/>
              <w:jc w:val="center"/>
              <w:rPr>
                <w:rFonts w:hint="eastAsia" w:cs="宋体" w:asciiTheme="minorEastAsia" w:hAnsiTheme="minorEastAsia"/>
                <w:kern w:val="0"/>
                <w:szCs w:val="21"/>
              </w:rPr>
            </w:pPr>
          </w:p>
        </w:tc>
        <w:tc>
          <w:tcPr>
            <w:tcW w:w="2637" w:type="dxa"/>
            <w:noWrap/>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调试方案</w:t>
            </w:r>
          </w:p>
        </w:tc>
        <w:tc>
          <w:tcPr>
            <w:tcW w:w="851" w:type="dxa"/>
            <w:vMerge w:val="continue"/>
          </w:tcPr>
          <w:p>
            <w:pPr>
              <w:widowControl/>
              <w:jc w:val="left"/>
              <w:rPr>
                <w:rFonts w:hint="eastAsia" w:cs="Times New Roman" w:asciiTheme="minorEastAsia" w:hAnsiTheme="minorEastAsia"/>
                <w:szCs w:val="21"/>
              </w:rPr>
            </w:pPr>
          </w:p>
        </w:tc>
        <w:tc>
          <w:tcPr>
            <w:tcW w:w="3685" w:type="dxa"/>
          </w:tcPr>
          <w:p>
            <w:pPr>
              <w:widowControl/>
              <w:jc w:val="left"/>
              <w:rPr>
                <w:rFonts w:hint="eastAsia" w:cs="宋体" w:asciiTheme="minorEastAsia" w:hAnsiTheme="minorEastAsia"/>
                <w:kern w:val="0"/>
                <w:szCs w:val="21"/>
              </w:rPr>
            </w:pPr>
            <w:r>
              <w:rPr>
                <w:rFonts w:hint="eastAsia" w:cs="宋体" w:asciiTheme="minorEastAsia" w:hAnsiTheme="minorEastAsia"/>
                <w:kern w:val="0"/>
                <w:szCs w:val="21"/>
              </w:rPr>
              <w:t>调试之前编制完成完善的调试方案</w:t>
            </w:r>
          </w:p>
        </w:tc>
        <w:tc>
          <w:tcPr>
            <w:tcW w:w="859" w:type="dxa"/>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30</w:t>
            </w:r>
          </w:p>
        </w:tc>
        <w:tc>
          <w:tcPr>
            <w:tcW w:w="2896" w:type="dxa"/>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核实竣备归档资料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846" w:type="dxa"/>
            <w:vMerge w:val="continue"/>
          </w:tcPr>
          <w:p>
            <w:pPr>
              <w:widowControl/>
              <w:jc w:val="center"/>
              <w:rPr>
                <w:rFonts w:hint="eastAsia" w:cs="宋体" w:asciiTheme="minorEastAsia" w:hAnsiTheme="minorEastAsia"/>
                <w:kern w:val="0"/>
                <w:szCs w:val="21"/>
              </w:rPr>
            </w:pPr>
          </w:p>
        </w:tc>
        <w:tc>
          <w:tcPr>
            <w:tcW w:w="1615" w:type="dxa"/>
            <w:vMerge w:val="continue"/>
          </w:tcPr>
          <w:p>
            <w:pPr>
              <w:widowControl/>
              <w:jc w:val="center"/>
              <w:rPr>
                <w:rFonts w:hint="eastAsia" w:cs="宋体" w:asciiTheme="minorEastAsia" w:hAnsiTheme="minorEastAsia"/>
                <w:kern w:val="0"/>
                <w:szCs w:val="21"/>
              </w:rPr>
            </w:pPr>
          </w:p>
        </w:tc>
        <w:tc>
          <w:tcPr>
            <w:tcW w:w="2637" w:type="dxa"/>
            <w:noWrap/>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调试工作进程</w:t>
            </w:r>
          </w:p>
        </w:tc>
        <w:tc>
          <w:tcPr>
            <w:tcW w:w="851" w:type="dxa"/>
            <w:vMerge w:val="continue"/>
          </w:tcPr>
          <w:p>
            <w:pPr>
              <w:widowControl/>
              <w:jc w:val="left"/>
              <w:rPr>
                <w:rFonts w:hint="eastAsia" w:cs="Times New Roman" w:asciiTheme="minorEastAsia" w:hAnsiTheme="minorEastAsia"/>
                <w:szCs w:val="21"/>
              </w:rPr>
            </w:pPr>
          </w:p>
        </w:tc>
        <w:tc>
          <w:tcPr>
            <w:tcW w:w="3685" w:type="dxa"/>
          </w:tcPr>
          <w:p>
            <w:pPr>
              <w:widowControl/>
              <w:jc w:val="left"/>
              <w:rPr>
                <w:rFonts w:hint="eastAsia" w:cs="宋体" w:asciiTheme="minorEastAsia" w:hAnsiTheme="minorEastAsia"/>
                <w:kern w:val="0"/>
                <w:szCs w:val="21"/>
              </w:rPr>
            </w:pPr>
            <w:r>
              <w:rPr>
                <w:rFonts w:hint="eastAsia" w:cs="宋体" w:asciiTheme="minorEastAsia" w:hAnsiTheme="minorEastAsia"/>
                <w:kern w:val="0"/>
                <w:szCs w:val="21"/>
              </w:rPr>
              <w:t>仪器设备校准及按方案进行调试</w:t>
            </w:r>
          </w:p>
        </w:tc>
        <w:tc>
          <w:tcPr>
            <w:tcW w:w="859" w:type="dxa"/>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40</w:t>
            </w:r>
          </w:p>
        </w:tc>
        <w:tc>
          <w:tcPr>
            <w:tcW w:w="2896" w:type="dxa"/>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调试过程影像等资料归档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846" w:type="dxa"/>
            <w:vMerge w:val="continue"/>
          </w:tcPr>
          <w:p>
            <w:pPr>
              <w:widowControl/>
              <w:jc w:val="center"/>
              <w:rPr>
                <w:rFonts w:hint="eastAsia" w:cs="宋体" w:asciiTheme="minorEastAsia" w:hAnsiTheme="minorEastAsia"/>
                <w:kern w:val="0"/>
                <w:szCs w:val="21"/>
              </w:rPr>
            </w:pPr>
          </w:p>
        </w:tc>
        <w:tc>
          <w:tcPr>
            <w:tcW w:w="1615" w:type="dxa"/>
            <w:vMerge w:val="continue"/>
          </w:tcPr>
          <w:p>
            <w:pPr>
              <w:widowControl/>
              <w:jc w:val="center"/>
              <w:rPr>
                <w:rFonts w:hint="eastAsia" w:cs="宋体" w:asciiTheme="minorEastAsia" w:hAnsiTheme="minorEastAsia"/>
                <w:kern w:val="0"/>
                <w:szCs w:val="21"/>
              </w:rPr>
            </w:pPr>
          </w:p>
        </w:tc>
        <w:tc>
          <w:tcPr>
            <w:tcW w:w="2637" w:type="dxa"/>
            <w:noWrap/>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调试效果</w:t>
            </w:r>
          </w:p>
        </w:tc>
        <w:tc>
          <w:tcPr>
            <w:tcW w:w="851" w:type="dxa"/>
            <w:vMerge w:val="continue"/>
          </w:tcPr>
          <w:p>
            <w:pPr>
              <w:widowControl/>
              <w:jc w:val="left"/>
              <w:rPr>
                <w:rFonts w:hint="eastAsia" w:cs="Times New Roman" w:asciiTheme="minorEastAsia" w:hAnsiTheme="minorEastAsia"/>
                <w:szCs w:val="21"/>
              </w:rPr>
            </w:pPr>
          </w:p>
        </w:tc>
        <w:tc>
          <w:tcPr>
            <w:tcW w:w="3685" w:type="dxa"/>
          </w:tcPr>
          <w:p>
            <w:pPr>
              <w:widowControl/>
              <w:jc w:val="left"/>
              <w:rPr>
                <w:rFonts w:hint="eastAsia" w:cs="宋体" w:asciiTheme="minorEastAsia" w:hAnsiTheme="minorEastAsia"/>
                <w:kern w:val="0"/>
                <w:szCs w:val="21"/>
              </w:rPr>
            </w:pPr>
            <w:r>
              <w:rPr>
                <w:rFonts w:hint="eastAsia" w:cs="宋体" w:asciiTheme="minorEastAsia" w:hAnsiTheme="minorEastAsia"/>
                <w:kern w:val="0"/>
                <w:szCs w:val="21"/>
              </w:rPr>
              <w:t>系统满足设计风量、风压等要求</w:t>
            </w:r>
          </w:p>
        </w:tc>
        <w:tc>
          <w:tcPr>
            <w:tcW w:w="859" w:type="dxa"/>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30</w:t>
            </w:r>
          </w:p>
        </w:tc>
        <w:tc>
          <w:tcPr>
            <w:tcW w:w="2896" w:type="dxa"/>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差异+10%/-5%以内为合格</w:t>
            </w:r>
          </w:p>
        </w:tc>
      </w:tr>
    </w:tbl>
    <w:p>
      <w:pPr>
        <w:widowControl/>
        <w:jc w:val="center"/>
        <w:rPr>
          <w:rFonts w:hint="eastAsia" w:ascii="宋体" w:hAnsi="宋体" w:eastAsia="宋体" w:cs="Times New Roman"/>
          <w:b/>
          <w:bCs/>
          <w:szCs w:val="21"/>
        </w:rPr>
      </w:pPr>
    </w:p>
    <w:p>
      <w:pPr>
        <w:widowControl/>
        <w:jc w:val="center"/>
        <w:rPr>
          <w:rFonts w:hint="eastAsia" w:ascii="宋体" w:hAnsi="宋体" w:eastAsia="宋体" w:cs="Times New Roman"/>
          <w:b/>
          <w:bCs/>
          <w:szCs w:val="21"/>
        </w:rPr>
      </w:pPr>
    </w:p>
    <w:p>
      <w:pPr>
        <w:widowControl/>
        <w:jc w:val="center"/>
        <w:rPr>
          <w:rFonts w:hint="eastAsia" w:ascii="宋体" w:hAnsi="宋体" w:eastAsia="宋体" w:cs="Times New Roman"/>
          <w:b/>
          <w:bCs/>
          <w:szCs w:val="21"/>
        </w:rPr>
      </w:pPr>
    </w:p>
    <w:p>
      <w:pPr>
        <w:widowControl/>
        <w:jc w:val="center"/>
        <w:rPr>
          <w:rFonts w:hint="eastAsia" w:ascii="宋体" w:hAnsi="宋体" w:eastAsia="宋体" w:cs="Times New Roman"/>
          <w:b/>
          <w:bCs/>
          <w:szCs w:val="21"/>
        </w:rPr>
      </w:pPr>
      <w:r>
        <w:rPr>
          <w:rFonts w:ascii="宋体" w:hAnsi="宋体" w:eastAsia="宋体" w:cs="Times New Roman"/>
          <w:b/>
          <w:bCs/>
          <w:szCs w:val="21"/>
        </w:rPr>
        <w:t>4.2.</w:t>
      </w:r>
      <w:r>
        <w:rPr>
          <w:rFonts w:hint="eastAsia" w:ascii="宋体" w:hAnsi="宋体" w:eastAsia="宋体" w:cs="Times New Roman"/>
          <w:b/>
          <w:bCs/>
          <w:szCs w:val="21"/>
        </w:rPr>
        <w:t>9</w:t>
      </w:r>
      <w:r>
        <w:rPr>
          <w:rFonts w:ascii="宋体" w:hAnsi="宋体" w:eastAsia="宋体" w:cs="Times New Roman"/>
          <w:b/>
          <w:bCs/>
          <w:szCs w:val="21"/>
        </w:rPr>
        <w:t>-</w:t>
      </w:r>
      <w:r>
        <w:rPr>
          <w:rFonts w:hint="eastAsia" w:ascii="宋体" w:hAnsi="宋体" w:eastAsia="宋体" w:cs="Times New Roman"/>
          <w:b/>
          <w:bCs/>
          <w:szCs w:val="21"/>
        </w:rPr>
        <w:t>3机械排烟系统施工与调试评分项评定表（一级权重因子：X2）</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1677"/>
        <w:gridCol w:w="2859"/>
        <w:gridCol w:w="851"/>
        <w:gridCol w:w="3685"/>
        <w:gridCol w:w="851"/>
        <w:gridCol w:w="3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blHeader/>
        </w:trPr>
        <w:tc>
          <w:tcPr>
            <w:tcW w:w="704" w:type="dxa"/>
            <w:noWrap/>
            <w:vAlign w:val="center"/>
          </w:tcPr>
          <w:p>
            <w:pPr>
              <w:jc w:val="center"/>
              <w:rPr>
                <w:rFonts w:eastAsia="宋体" w:cs="Times New Roman"/>
                <w:b/>
                <w:bCs/>
                <w:szCs w:val="21"/>
              </w:rPr>
            </w:pPr>
            <w:r>
              <w:rPr>
                <w:rFonts w:hint="eastAsia" w:eastAsia="宋体" w:cs="Times New Roman"/>
                <w:b/>
                <w:bCs/>
                <w:szCs w:val="21"/>
              </w:rPr>
              <w:t>序号</w:t>
            </w:r>
          </w:p>
        </w:tc>
        <w:tc>
          <w:tcPr>
            <w:tcW w:w="1677" w:type="dxa"/>
            <w:noWrap/>
            <w:vAlign w:val="center"/>
          </w:tcPr>
          <w:p>
            <w:pPr>
              <w:jc w:val="center"/>
              <w:rPr>
                <w:rFonts w:eastAsia="宋体" w:cs="Times New Roman"/>
                <w:b/>
                <w:bCs/>
                <w:szCs w:val="21"/>
              </w:rPr>
            </w:pPr>
            <w:r>
              <w:rPr>
                <w:rFonts w:hint="eastAsia" w:eastAsia="宋体" w:cs="Times New Roman"/>
                <w:b/>
                <w:bCs/>
                <w:szCs w:val="21"/>
              </w:rPr>
              <w:t>评定指标</w:t>
            </w:r>
          </w:p>
        </w:tc>
        <w:tc>
          <w:tcPr>
            <w:tcW w:w="2859" w:type="dxa"/>
            <w:noWrap/>
            <w:vAlign w:val="center"/>
          </w:tcPr>
          <w:p>
            <w:pPr>
              <w:jc w:val="center"/>
              <w:rPr>
                <w:rFonts w:eastAsia="宋体" w:cs="Times New Roman"/>
                <w:b/>
                <w:bCs/>
                <w:szCs w:val="21"/>
              </w:rPr>
            </w:pPr>
            <w:r>
              <w:rPr>
                <w:rFonts w:hint="eastAsia" w:cs="宋体" w:asciiTheme="minorEastAsia" w:hAnsiTheme="minorEastAsia"/>
                <w:b/>
                <w:bCs/>
                <w:kern w:val="0"/>
                <w:szCs w:val="21"/>
              </w:rPr>
              <w:t>评分项</w:t>
            </w:r>
          </w:p>
        </w:tc>
        <w:tc>
          <w:tcPr>
            <w:tcW w:w="851" w:type="dxa"/>
            <w:noWrap/>
            <w:vAlign w:val="center"/>
          </w:tcPr>
          <w:p>
            <w:pPr>
              <w:jc w:val="center"/>
              <w:rPr>
                <w:rFonts w:eastAsia="宋体" w:cs="Times New Roman"/>
                <w:b/>
                <w:bCs/>
                <w:szCs w:val="21"/>
              </w:rPr>
            </w:pPr>
            <w:r>
              <w:rPr>
                <w:rFonts w:hint="eastAsia" w:eastAsia="宋体" w:cs="Times New Roman"/>
                <w:b/>
                <w:bCs/>
                <w:szCs w:val="21"/>
              </w:rPr>
              <w:t>二级权重因子</w:t>
            </w:r>
          </w:p>
        </w:tc>
        <w:tc>
          <w:tcPr>
            <w:tcW w:w="3685" w:type="dxa"/>
            <w:vAlign w:val="center"/>
          </w:tcPr>
          <w:p>
            <w:pPr>
              <w:jc w:val="center"/>
              <w:rPr>
                <w:rFonts w:eastAsia="宋体" w:cs="Times New Roman"/>
                <w:b/>
                <w:bCs/>
                <w:szCs w:val="21"/>
              </w:rPr>
            </w:pPr>
            <w:r>
              <w:rPr>
                <w:rFonts w:hint="eastAsia" w:eastAsia="宋体" w:cs="Times New Roman"/>
                <w:b/>
                <w:bCs/>
                <w:szCs w:val="21"/>
              </w:rPr>
              <w:t>评分要求</w:t>
            </w:r>
          </w:p>
        </w:tc>
        <w:tc>
          <w:tcPr>
            <w:tcW w:w="851" w:type="dxa"/>
            <w:vAlign w:val="center"/>
          </w:tcPr>
          <w:p>
            <w:pPr>
              <w:jc w:val="center"/>
              <w:rPr>
                <w:rFonts w:eastAsia="宋体" w:cs="Times New Roman"/>
                <w:b/>
                <w:bCs/>
                <w:szCs w:val="21"/>
              </w:rPr>
            </w:pPr>
            <w:r>
              <w:rPr>
                <w:rFonts w:hint="eastAsia" w:eastAsia="宋体" w:cs="Times New Roman"/>
                <w:b/>
                <w:bCs/>
                <w:szCs w:val="21"/>
              </w:rPr>
              <w:t>评分</w:t>
            </w:r>
          </w:p>
        </w:tc>
        <w:tc>
          <w:tcPr>
            <w:tcW w:w="3260" w:type="dxa"/>
            <w:vAlign w:val="center"/>
          </w:tcPr>
          <w:p>
            <w:pPr>
              <w:jc w:val="center"/>
              <w:rPr>
                <w:rFonts w:eastAsia="宋体" w:cs="Times New Roman"/>
                <w:b/>
                <w:bCs/>
                <w:szCs w:val="21"/>
              </w:rPr>
            </w:pPr>
            <w:r>
              <w:rPr>
                <w:rFonts w:hint="eastAsia" w:eastAsia="宋体" w:cs="Times New Roman"/>
                <w:b/>
                <w:bCs/>
                <w:szCs w:val="21"/>
              </w:rPr>
              <w:t>评定方法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704" w:type="dxa"/>
            <w:vMerge w:val="restart"/>
            <w:noWrap/>
            <w:vAlign w:val="center"/>
          </w:tcPr>
          <w:p>
            <w:pPr>
              <w:jc w:val="center"/>
              <w:rPr>
                <w:rFonts w:hint="eastAsia" w:ascii="宋体" w:hAnsi="宋体" w:eastAsia="宋体" w:cs="Times New Roman"/>
                <w:szCs w:val="21"/>
              </w:rPr>
            </w:pPr>
            <w:r>
              <w:rPr>
                <w:rFonts w:hint="eastAsia" w:ascii="宋体" w:hAnsi="宋体" w:eastAsia="宋体" w:cs="Times New Roman"/>
                <w:szCs w:val="21"/>
              </w:rPr>
              <w:t>1</w:t>
            </w:r>
          </w:p>
        </w:tc>
        <w:tc>
          <w:tcPr>
            <w:tcW w:w="1677" w:type="dxa"/>
            <w:vMerge w:val="restart"/>
            <w:vAlign w:val="center"/>
          </w:tcPr>
          <w:p>
            <w:pPr>
              <w:rPr>
                <w:rFonts w:hint="eastAsia" w:ascii="宋体" w:hAnsi="宋体" w:eastAsia="宋体" w:cs="Times New Roman"/>
                <w:szCs w:val="21"/>
              </w:rPr>
            </w:pPr>
            <w:r>
              <w:rPr>
                <w:rFonts w:hint="eastAsia" w:ascii="宋体" w:hAnsi="宋体" w:eastAsia="宋体" w:cs="Times New Roman"/>
                <w:szCs w:val="21"/>
              </w:rPr>
              <w:t>A排烟口</w:t>
            </w:r>
          </w:p>
        </w:tc>
        <w:tc>
          <w:tcPr>
            <w:tcW w:w="2859" w:type="dxa"/>
            <w:noWrap/>
            <w:vAlign w:val="center"/>
          </w:tcPr>
          <w:p>
            <w:pPr>
              <w:jc w:val="center"/>
              <w:rPr>
                <w:rFonts w:hint="eastAsia" w:ascii="宋体" w:hAnsi="宋体" w:eastAsia="宋体" w:cs="Times New Roman"/>
                <w:b/>
                <w:bCs/>
                <w:szCs w:val="21"/>
              </w:rPr>
            </w:pPr>
            <w:r>
              <w:rPr>
                <w:rFonts w:hint="eastAsia" w:ascii="宋体" w:hAnsi="宋体" w:eastAsia="宋体" w:cs="Times New Roman"/>
                <w:b/>
                <w:bCs/>
                <w:szCs w:val="21"/>
              </w:rPr>
              <w:t>主控项</w:t>
            </w:r>
          </w:p>
        </w:tc>
        <w:tc>
          <w:tcPr>
            <w:tcW w:w="851" w:type="dxa"/>
            <w:vMerge w:val="restart"/>
            <w:vAlign w:val="center"/>
          </w:tcPr>
          <w:p>
            <w:pPr>
              <w:jc w:val="center"/>
              <w:rPr>
                <w:rFonts w:hint="eastAsia" w:ascii="宋体" w:hAnsi="宋体" w:eastAsia="宋体" w:cs="Times New Roman"/>
                <w:szCs w:val="21"/>
              </w:rPr>
            </w:pPr>
            <w:r>
              <w:rPr>
                <w:rFonts w:hint="eastAsia" w:cs="Times New Roman" w:asciiTheme="minorEastAsia" w:hAnsiTheme="minorEastAsia"/>
                <w:szCs w:val="21"/>
              </w:rPr>
              <w:t>0.05</w:t>
            </w:r>
          </w:p>
        </w:tc>
        <w:tc>
          <w:tcPr>
            <w:tcW w:w="3685" w:type="dxa"/>
            <w:vAlign w:val="center"/>
          </w:tcPr>
          <w:p>
            <w:pPr>
              <w:jc w:val="center"/>
              <w:rPr>
                <w:rFonts w:hint="eastAsia" w:ascii="宋体" w:hAnsi="宋体" w:eastAsia="宋体" w:cs="Times New Roman"/>
                <w:b/>
                <w:bCs/>
                <w:szCs w:val="21"/>
              </w:rPr>
            </w:pPr>
            <w:r>
              <w:rPr>
                <w:rFonts w:hint="eastAsia" w:ascii="宋体" w:hAnsi="宋体" w:eastAsia="宋体" w:cs="Times New Roman"/>
                <w:b/>
                <w:bCs/>
                <w:szCs w:val="21"/>
              </w:rPr>
              <w:t>主控项评分要点</w:t>
            </w:r>
          </w:p>
        </w:tc>
        <w:tc>
          <w:tcPr>
            <w:tcW w:w="851" w:type="dxa"/>
            <w:vAlign w:val="center"/>
          </w:tcPr>
          <w:p>
            <w:pPr>
              <w:jc w:val="center"/>
              <w:rPr>
                <w:rFonts w:hint="eastAsia" w:ascii="宋体" w:hAnsi="宋体" w:eastAsia="宋体" w:cs="Times New Roman"/>
                <w:b/>
                <w:bCs/>
                <w:szCs w:val="21"/>
              </w:rPr>
            </w:pPr>
            <w:r>
              <w:rPr>
                <w:rFonts w:hint="eastAsia" w:ascii="宋体" w:hAnsi="宋体" w:eastAsia="宋体" w:cs="Times New Roman"/>
                <w:b/>
                <w:bCs/>
                <w:szCs w:val="21"/>
              </w:rPr>
              <w:t>评分</w:t>
            </w:r>
          </w:p>
        </w:tc>
        <w:tc>
          <w:tcPr>
            <w:tcW w:w="3260" w:type="dxa"/>
            <w:vAlign w:val="center"/>
          </w:tcPr>
          <w:p>
            <w:pPr>
              <w:jc w:val="center"/>
              <w:rPr>
                <w:rFonts w:hint="eastAsia" w:ascii="宋体" w:hAnsi="宋体" w:eastAsia="宋体" w:cs="Times New Roman"/>
                <w:b/>
                <w:bCs/>
                <w:szCs w:val="21"/>
              </w:rPr>
            </w:pPr>
            <w:r>
              <w:rPr>
                <w:rFonts w:hint="eastAsia" w:ascii="宋体" w:hAnsi="宋体" w:eastAsia="宋体" w:cs="Times New Roman"/>
                <w:b/>
                <w:bCs/>
                <w:szCs w:val="21"/>
              </w:rPr>
              <w:t>评定方法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704" w:type="dxa"/>
            <w:vMerge w:val="continue"/>
            <w:vAlign w:val="center"/>
          </w:tcPr>
          <w:p>
            <w:pPr>
              <w:jc w:val="center"/>
              <w:rPr>
                <w:rFonts w:hint="eastAsia" w:ascii="宋体" w:hAnsi="宋体" w:eastAsia="宋体" w:cs="Times New Roman"/>
                <w:szCs w:val="21"/>
              </w:rPr>
            </w:pPr>
          </w:p>
        </w:tc>
        <w:tc>
          <w:tcPr>
            <w:tcW w:w="1677" w:type="dxa"/>
            <w:vMerge w:val="continue"/>
            <w:vAlign w:val="center"/>
          </w:tcPr>
          <w:p>
            <w:pPr>
              <w:rPr>
                <w:rFonts w:hint="eastAsia" w:ascii="宋体" w:hAnsi="宋体" w:eastAsia="宋体" w:cs="Times New Roman"/>
                <w:szCs w:val="21"/>
              </w:rPr>
            </w:pPr>
          </w:p>
        </w:tc>
        <w:tc>
          <w:tcPr>
            <w:tcW w:w="2859" w:type="dxa"/>
            <w:noWrap/>
            <w:vAlign w:val="center"/>
          </w:tcPr>
          <w:p>
            <w:pPr>
              <w:rPr>
                <w:rFonts w:hint="eastAsia" w:ascii="宋体" w:hAnsi="宋体" w:eastAsia="宋体" w:cs="Times New Roman"/>
                <w:szCs w:val="21"/>
              </w:rPr>
            </w:pPr>
            <w:r>
              <w:rPr>
                <w:rFonts w:hint="eastAsia" w:ascii="宋体" w:hAnsi="宋体" w:eastAsia="宋体" w:cs="Times New Roman"/>
                <w:szCs w:val="21"/>
              </w:rPr>
              <w:t>标识</w:t>
            </w:r>
          </w:p>
        </w:tc>
        <w:tc>
          <w:tcPr>
            <w:tcW w:w="851" w:type="dxa"/>
            <w:vMerge w:val="continue"/>
            <w:vAlign w:val="center"/>
          </w:tcPr>
          <w:p>
            <w:pPr>
              <w:rPr>
                <w:rFonts w:hint="eastAsia" w:ascii="宋体" w:hAnsi="宋体" w:eastAsia="宋体" w:cs="Times New Roman"/>
                <w:szCs w:val="21"/>
              </w:rPr>
            </w:pPr>
          </w:p>
        </w:tc>
        <w:tc>
          <w:tcPr>
            <w:tcW w:w="3685" w:type="dxa"/>
            <w:vAlign w:val="center"/>
          </w:tcPr>
          <w:p>
            <w:pPr>
              <w:rPr>
                <w:rFonts w:hint="eastAsia" w:ascii="宋体" w:hAnsi="宋体" w:eastAsia="宋体" w:cs="Times New Roman"/>
                <w:szCs w:val="21"/>
              </w:rPr>
            </w:pPr>
            <w:r>
              <w:rPr>
                <w:rFonts w:hint="eastAsia" w:ascii="宋体" w:hAnsi="宋体" w:eastAsia="宋体" w:cs="Times New Roman"/>
                <w:szCs w:val="21"/>
              </w:rPr>
              <w:t>1、排烟口应有明显永久标志。</w:t>
            </w:r>
          </w:p>
        </w:tc>
        <w:tc>
          <w:tcPr>
            <w:tcW w:w="851" w:type="dxa"/>
            <w:vAlign w:val="center"/>
          </w:tcPr>
          <w:p>
            <w:pPr>
              <w:jc w:val="center"/>
              <w:rPr>
                <w:rFonts w:hint="eastAsia" w:ascii="宋体" w:hAnsi="宋体" w:eastAsia="宋体" w:cs="Times New Roman"/>
                <w:szCs w:val="21"/>
              </w:rPr>
            </w:pPr>
            <w:r>
              <w:rPr>
                <w:rFonts w:hint="eastAsia" w:ascii="宋体" w:hAnsi="宋体" w:eastAsia="宋体" w:cs="Times New Roman"/>
                <w:szCs w:val="21"/>
              </w:rPr>
              <w:t>30</w:t>
            </w:r>
          </w:p>
        </w:tc>
        <w:tc>
          <w:tcPr>
            <w:tcW w:w="3260" w:type="dxa"/>
            <w:vAlign w:val="center"/>
          </w:tcPr>
          <w:p>
            <w:pPr>
              <w:rPr>
                <w:rFonts w:hint="eastAsia" w:ascii="宋体" w:hAnsi="宋体" w:eastAsia="宋体" w:cs="Times New Roman"/>
                <w:szCs w:val="21"/>
              </w:rPr>
            </w:pPr>
            <w:r>
              <w:rPr>
                <w:rFonts w:hint="eastAsia" w:ascii="宋体" w:hAnsi="宋体" w:eastAsia="宋体" w:cs="Times New Roman"/>
                <w:szCs w:val="21"/>
              </w:rPr>
              <w:t>有判定合格，没有判定不合格。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704" w:type="dxa"/>
            <w:vMerge w:val="continue"/>
            <w:vAlign w:val="center"/>
          </w:tcPr>
          <w:p>
            <w:pPr>
              <w:jc w:val="center"/>
              <w:rPr>
                <w:rFonts w:hint="eastAsia" w:ascii="宋体" w:hAnsi="宋体" w:eastAsia="宋体" w:cs="Times New Roman"/>
                <w:szCs w:val="21"/>
              </w:rPr>
            </w:pPr>
          </w:p>
        </w:tc>
        <w:tc>
          <w:tcPr>
            <w:tcW w:w="1677" w:type="dxa"/>
            <w:vMerge w:val="continue"/>
            <w:vAlign w:val="center"/>
          </w:tcPr>
          <w:p>
            <w:pPr>
              <w:rPr>
                <w:rFonts w:hint="eastAsia" w:ascii="宋体" w:hAnsi="宋体" w:eastAsia="宋体" w:cs="Times New Roman"/>
                <w:szCs w:val="21"/>
              </w:rPr>
            </w:pPr>
          </w:p>
        </w:tc>
        <w:tc>
          <w:tcPr>
            <w:tcW w:w="2859" w:type="dxa"/>
            <w:noWrap/>
            <w:vAlign w:val="center"/>
          </w:tcPr>
          <w:p>
            <w:pPr>
              <w:rPr>
                <w:rFonts w:hint="eastAsia" w:ascii="宋体" w:hAnsi="宋体" w:eastAsia="宋体" w:cs="Times New Roman"/>
                <w:szCs w:val="21"/>
              </w:rPr>
            </w:pPr>
            <w:r>
              <w:rPr>
                <w:rFonts w:hint="eastAsia" w:ascii="宋体" w:hAnsi="宋体" w:eastAsia="宋体" w:cs="Times New Roman"/>
                <w:szCs w:val="21"/>
              </w:rPr>
              <w:t>参数</w:t>
            </w:r>
          </w:p>
        </w:tc>
        <w:tc>
          <w:tcPr>
            <w:tcW w:w="851" w:type="dxa"/>
            <w:vMerge w:val="continue"/>
            <w:vAlign w:val="center"/>
          </w:tcPr>
          <w:p>
            <w:pPr>
              <w:rPr>
                <w:rFonts w:hint="eastAsia" w:ascii="宋体" w:hAnsi="宋体" w:eastAsia="宋体" w:cs="Times New Roman"/>
                <w:szCs w:val="21"/>
              </w:rPr>
            </w:pPr>
          </w:p>
        </w:tc>
        <w:tc>
          <w:tcPr>
            <w:tcW w:w="3685" w:type="dxa"/>
            <w:vAlign w:val="center"/>
          </w:tcPr>
          <w:p>
            <w:pPr>
              <w:rPr>
                <w:rFonts w:hint="eastAsia" w:ascii="宋体" w:hAnsi="宋体" w:eastAsia="宋体" w:cs="Times New Roman"/>
                <w:szCs w:val="21"/>
              </w:rPr>
            </w:pPr>
            <w:r>
              <w:rPr>
                <w:rFonts w:hint="eastAsia" w:ascii="宋体" w:hAnsi="宋体" w:eastAsia="宋体" w:cs="Times New Roman"/>
                <w:szCs w:val="21"/>
              </w:rPr>
              <w:t>2、参数符合设计图纸要求。</w:t>
            </w:r>
          </w:p>
        </w:tc>
        <w:tc>
          <w:tcPr>
            <w:tcW w:w="851" w:type="dxa"/>
            <w:vAlign w:val="center"/>
          </w:tcPr>
          <w:p>
            <w:pPr>
              <w:jc w:val="center"/>
              <w:rPr>
                <w:rFonts w:hint="eastAsia" w:ascii="宋体" w:hAnsi="宋体" w:eastAsia="宋体" w:cs="Times New Roman"/>
                <w:szCs w:val="21"/>
              </w:rPr>
            </w:pPr>
            <w:r>
              <w:rPr>
                <w:rFonts w:hint="eastAsia" w:ascii="宋体" w:hAnsi="宋体" w:eastAsia="宋体" w:cs="Times New Roman"/>
                <w:szCs w:val="21"/>
              </w:rPr>
              <w:t>30</w:t>
            </w:r>
          </w:p>
        </w:tc>
        <w:tc>
          <w:tcPr>
            <w:tcW w:w="3260" w:type="dxa"/>
            <w:vAlign w:val="center"/>
          </w:tcPr>
          <w:p>
            <w:pPr>
              <w:rPr>
                <w:rFonts w:hint="eastAsia" w:ascii="宋体" w:hAnsi="宋体" w:eastAsia="宋体" w:cs="Times New Roman"/>
                <w:szCs w:val="21"/>
              </w:rPr>
            </w:pPr>
            <w:bookmarkStart w:id="106" w:name="OLE_LINK48"/>
            <w:r>
              <w:rPr>
                <w:rFonts w:hint="eastAsia" w:ascii="宋体" w:hAnsi="宋体" w:eastAsia="宋体" w:cs="Times New Roman"/>
                <w:szCs w:val="21"/>
              </w:rPr>
              <w:t>查看对应资料数值是否符合图纸要求。</w:t>
            </w:r>
            <w:bookmarkEnd w:id="10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704" w:type="dxa"/>
            <w:vMerge w:val="continue"/>
            <w:vAlign w:val="center"/>
          </w:tcPr>
          <w:p>
            <w:pPr>
              <w:jc w:val="center"/>
              <w:rPr>
                <w:rFonts w:hint="eastAsia" w:ascii="宋体" w:hAnsi="宋体" w:eastAsia="宋体" w:cs="Times New Roman"/>
                <w:szCs w:val="21"/>
              </w:rPr>
            </w:pPr>
          </w:p>
        </w:tc>
        <w:tc>
          <w:tcPr>
            <w:tcW w:w="1677" w:type="dxa"/>
            <w:vMerge w:val="continue"/>
            <w:vAlign w:val="center"/>
          </w:tcPr>
          <w:p>
            <w:pPr>
              <w:rPr>
                <w:rFonts w:hint="eastAsia" w:ascii="宋体" w:hAnsi="宋体" w:eastAsia="宋体" w:cs="Times New Roman"/>
                <w:szCs w:val="21"/>
              </w:rPr>
            </w:pPr>
          </w:p>
        </w:tc>
        <w:tc>
          <w:tcPr>
            <w:tcW w:w="2859" w:type="dxa"/>
            <w:noWrap/>
            <w:vAlign w:val="center"/>
          </w:tcPr>
          <w:p>
            <w:pPr>
              <w:jc w:val="center"/>
              <w:rPr>
                <w:rFonts w:hint="eastAsia" w:ascii="宋体" w:hAnsi="宋体" w:eastAsia="宋体" w:cs="Times New Roman"/>
                <w:b/>
                <w:bCs/>
                <w:szCs w:val="21"/>
              </w:rPr>
            </w:pPr>
            <w:r>
              <w:rPr>
                <w:rFonts w:hint="eastAsia" w:ascii="宋体" w:hAnsi="宋体" w:eastAsia="宋体" w:cs="Times New Roman"/>
                <w:b/>
                <w:bCs/>
                <w:szCs w:val="21"/>
              </w:rPr>
              <w:t>一般项</w:t>
            </w:r>
          </w:p>
        </w:tc>
        <w:tc>
          <w:tcPr>
            <w:tcW w:w="851" w:type="dxa"/>
            <w:vMerge w:val="continue"/>
            <w:vAlign w:val="center"/>
          </w:tcPr>
          <w:p>
            <w:pPr>
              <w:jc w:val="center"/>
              <w:rPr>
                <w:rFonts w:hint="eastAsia" w:ascii="宋体" w:hAnsi="宋体" w:eastAsia="宋体" w:cs="Times New Roman"/>
                <w:szCs w:val="21"/>
              </w:rPr>
            </w:pPr>
          </w:p>
        </w:tc>
        <w:tc>
          <w:tcPr>
            <w:tcW w:w="3685" w:type="dxa"/>
            <w:vAlign w:val="center"/>
          </w:tcPr>
          <w:p>
            <w:pPr>
              <w:jc w:val="center"/>
              <w:rPr>
                <w:rFonts w:hint="eastAsia" w:ascii="宋体" w:hAnsi="宋体" w:eastAsia="宋体" w:cs="Times New Roman"/>
                <w:b/>
                <w:bCs/>
                <w:szCs w:val="21"/>
              </w:rPr>
            </w:pPr>
            <w:r>
              <w:rPr>
                <w:rFonts w:hint="eastAsia" w:ascii="宋体" w:hAnsi="宋体" w:eastAsia="宋体" w:cs="Times New Roman"/>
                <w:b/>
                <w:bCs/>
                <w:szCs w:val="21"/>
              </w:rPr>
              <w:t>一般项评分要点</w:t>
            </w:r>
          </w:p>
        </w:tc>
        <w:tc>
          <w:tcPr>
            <w:tcW w:w="851" w:type="dxa"/>
            <w:vAlign w:val="center"/>
          </w:tcPr>
          <w:p>
            <w:pPr>
              <w:jc w:val="center"/>
              <w:rPr>
                <w:rFonts w:hint="eastAsia" w:ascii="宋体" w:hAnsi="宋体" w:eastAsia="宋体" w:cs="Times New Roman"/>
                <w:b/>
                <w:bCs/>
                <w:szCs w:val="21"/>
              </w:rPr>
            </w:pPr>
            <w:r>
              <w:rPr>
                <w:rFonts w:hint="eastAsia" w:ascii="宋体" w:hAnsi="宋体" w:eastAsia="宋体" w:cs="Times New Roman"/>
                <w:b/>
                <w:bCs/>
                <w:szCs w:val="21"/>
              </w:rPr>
              <w:t>评分</w:t>
            </w:r>
          </w:p>
        </w:tc>
        <w:tc>
          <w:tcPr>
            <w:tcW w:w="3260" w:type="dxa"/>
            <w:vAlign w:val="center"/>
          </w:tcPr>
          <w:p>
            <w:pPr>
              <w:jc w:val="center"/>
              <w:rPr>
                <w:rFonts w:hint="eastAsia" w:ascii="宋体" w:hAnsi="宋体" w:eastAsia="宋体" w:cs="Times New Roman"/>
                <w:b/>
                <w:bCs/>
                <w:szCs w:val="21"/>
              </w:rPr>
            </w:pPr>
            <w:r>
              <w:rPr>
                <w:rFonts w:hint="eastAsia" w:ascii="宋体" w:hAnsi="宋体" w:eastAsia="宋体" w:cs="Times New Roman"/>
                <w:b/>
                <w:bCs/>
                <w:szCs w:val="21"/>
              </w:rPr>
              <w:t>评定方法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704" w:type="dxa"/>
            <w:vMerge w:val="continue"/>
            <w:vAlign w:val="center"/>
          </w:tcPr>
          <w:p>
            <w:pPr>
              <w:jc w:val="center"/>
              <w:rPr>
                <w:rFonts w:hint="eastAsia" w:ascii="宋体" w:hAnsi="宋体" w:eastAsia="宋体" w:cs="Times New Roman"/>
                <w:szCs w:val="21"/>
              </w:rPr>
            </w:pPr>
          </w:p>
        </w:tc>
        <w:tc>
          <w:tcPr>
            <w:tcW w:w="1677" w:type="dxa"/>
            <w:vMerge w:val="continue"/>
            <w:vAlign w:val="center"/>
          </w:tcPr>
          <w:p>
            <w:pPr>
              <w:rPr>
                <w:rFonts w:hint="eastAsia" w:ascii="宋体" w:hAnsi="宋体" w:eastAsia="宋体" w:cs="Times New Roman"/>
                <w:szCs w:val="21"/>
              </w:rPr>
            </w:pPr>
          </w:p>
        </w:tc>
        <w:tc>
          <w:tcPr>
            <w:tcW w:w="2859" w:type="dxa"/>
            <w:noWrap/>
            <w:vAlign w:val="center"/>
          </w:tcPr>
          <w:p>
            <w:pPr>
              <w:rPr>
                <w:rFonts w:hint="eastAsia" w:ascii="宋体" w:hAnsi="宋体" w:eastAsia="宋体" w:cs="Times New Roman"/>
                <w:szCs w:val="21"/>
              </w:rPr>
            </w:pPr>
            <w:r>
              <w:rPr>
                <w:rFonts w:hint="eastAsia" w:ascii="宋体" w:hAnsi="宋体" w:eastAsia="宋体" w:cs="Times New Roman"/>
                <w:szCs w:val="21"/>
              </w:rPr>
              <w:t>排烟口启闭</w:t>
            </w:r>
          </w:p>
        </w:tc>
        <w:tc>
          <w:tcPr>
            <w:tcW w:w="851" w:type="dxa"/>
            <w:vMerge w:val="continue"/>
            <w:vAlign w:val="center"/>
          </w:tcPr>
          <w:p>
            <w:pPr>
              <w:rPr>
                <w:rFonts w:hint="eastAsia" w:ascii="宋体" w:hAnsi="宋体" w:eastAsia="宋体" w:cs="Times New Roman"/>
                <w:szCs w:val="21"/>
              </w:rPr>
            </w:pPr>
          </w:p>
        </w:tc>
        <w:tc>
          <w:tcPr>
            <w:tcW w:w="3685" w:type="dxa"/>
            <w:vAlign w:val="center"/>
          </w:tcPr>
          <w:p>
            <w:pPr>
              <w:rPr>
                <w:rFonts w:hint="eastAsia" w:ascii="宋体" w:hAnsi="宋体" w:eastAsia="宋体" w:cs="Times New Roman"/>
                <w:szCs w:val="21"/>
              </w:rPr>
            </w:pPr>
            <w:r>
              <w:rPr>
                <w:rFonts w:hint="eastAsia" w:ascii="宋体" w:hAnsi="宋体" w:eastAsia="宋体" w:cs="Times New Roman"/>
                <w:szCs w:val="21"/>
              </w:rPr>
              <w:t>排烟口平时为关闭时，应设置手动和自动开启装置。</w:t>
            </w:r>
          </w:p>
        </w:tc>
        <w:tc>
          <w:tcPr>
            <w:tcW w:w="851" w:type="dxa"/>
            <w:vAlign w:val="center"/>
          </w:tcPr>
          <w:p>
            <w:pPr>
              <w:jc w:val="center"/>
              <w:rPr>
                <w:rFonts w:hint="eastAsia" w:ascii="宋体" w:hAnsi="宋体" w:eastAsia="宋体" w:cs="Times New Roman"/>
                <w:szCs w:val="21"/>
              </w:rPr>
            </w:pPr>
            <w:r>
              <w:rPr>
                <w:rFonts w:hint="eastAsia" w:ascii="宋体" w:hAnsi="宋体" w:eastAsia="宋体" w:cs="Times New Roman"/>
                <w:szCs w:val="21"/>
              </w:rPr>
              <w:t>10</w:t>
            </w:r>
          </w:p>
        </w:tc>
        <w:tc>
          <w:tcPr>
            <w:tcW w:w="3260" w:type="dxa"/>
            <w:vAlign w:val="center"/>
          </w:tcPr>
          <w:p>
            <w:pPr>
              <w:rPr>
                <w:rFonts w:hint="eastAsia" w:ascii="宋体" w:hAnsi="宋体" w:eastAsia="宋体" w:cs="Times New Roman"/>
                <w:szCs w:val="21"/>
              </w:rPr>
            </w:pPr>
            <w:r>
              <w:rPr>
                <w:rFonts w:hint="eastAsia" w:ascii="宋体" w:hAnsi="宋体" w:eastAsia="宋体" w:cs="Times New Roman"/>
                <w:szCs w:val="21"/>
              </w:rPr>
              <w:t>根据操作灵活程度打分，严密程度打分。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704" w:type="dxa"/>
            <w:vMerge w:val="continue"/>
            <w:vAlign w:val="center"/>
          </w:tcPr>
          <w:p>
            <w:pPr>
              <w:jc w:val="center"/>
              <w:rPr>
                <w:rFonts w:hint="eastAsia" w:ascii="宋体" w:hAnsi="宋体" w:eastAsia="宋体" w:cs="Times New Roman"/>
                <w:szCs w:val="21"/>
              </w:rPr>
            </w:pPr>
          </w:p>
        </w:tc>
        <w:tc>
          <w:tcPr>
            <w:tcW w:w="1677" w:type="dxa"/>
            <w:vMerge w:val="continue"/>
            <w:vAlign w:val="center"/>
          </w:tcPr>
          <w:p>
            <w:pPr>
              <w:rPr>
                <w:rFonts w:hint="eastAsia" w:ascii="宋体" w:hAnsi="宋体" w:eastAsia="宋体" w:cs="Times New Roman"/>
                <w:szCs w:val="21"/>
              </w:rPr>
            </w:pPr>
          </w:p>
        </w:tc>
        <w:tc>
          <w:tcPr>
            <w:tcW w:w="2859" w:type="dxa"/>
            <w:noWrap/>
            <w:vAlign w:val="center"/>
          </w:tcPr>
          <w:p>
            <w:pPr>
              <w:rPr>
                <w:rFonts w:hint="eastAsia" w:ascii="宋体" w:hAnsi="宋体" w:eastAsia="宋体" w:cs="Times New Roman"/>
                <w:szCs w:val="21"/>
              </w:rPr>
            </w:pPr>
            <w:r>
              <w:rPr>
                <w:rFonts w:hint="eastAsia" w:ascii="宋体" w:hAnsi="宋体" w:eastAsia="宋体" w:cs="Times New Roman"/>
                <w:szCs w:val="21"/>
              </w:rPr>
              <w:t>排烟口位置</w:t>
            </w:r>
          </w:p>
        </w:tc>
        <w:tc>
          <w:tcPr>
            <w:tcW w:w="851" w:type="dxa"/>
            <w:vMerge w:val="continue"/>
            <w:vAlign w:val="center"/>
          </w:tcPr>
          <w:p>
            <w:pPr>
              <w:rPr>
                <w:rFonts w:hint="eastAsia" w:ascii="宋体" w:hAnsi="宋体" w:eastAsia="宋体" w:cs="Times New Roman"/>
                <w:szCs w:val="21"/>
              </w:rPr>
            </w:pPr>
          </w:p>
        </w:tc>
        <w:tc>
          <w:tcPr>
            <w:tcW w:w="3685" w:type="dxa"/>
            <w:vAlign w:val="center"/>
          </w:tcPr>
          <w:p>
            <w:pPr>
              <w:rPr>
                <w:rFonts w:hint="eastAsia" w:ascii="宋体" w:hAnsi="宋体" w:eastAsia="宋体" w:cs="Times New Roman"/>
                <w:szCs w:val="21"/>
              </w:rPr>
            </w:pPr>
            <w:r>
              <w:rPr>
                <w:rFonts w:hint="eastAsia" w:ascii="宋体" w:hAnsi="宋体" w:eastAsia="宋体" w:cs="Times New Roman"/>
                <w:szCs w:val="21"/>
              </w:rPr>
              <w:t>排烟口的设置应符合设计要求，</w:t>
            </w:r>
            <w:r>
              <w:rPr>
                <w:rFonts w:ascii="宋体" w:hAnsi="宋体" w:eastAsia="宋体" w:cs="Times New Roman"/>
                <w:szCs w:val="21"/>
              </w:rPr>
              <w:t>且与附近安全出口的最小距离不应小于1</w:t>
            </w:r>
            <w:r>
              <w:rPr>
                <w:rFonts w:hint="eastAsia" w:ascii="宋体" w:hAnsi="宋体" w:eastAsia="宋体" w:cs="Times New Roman"/>
                <w:szCs w:val="21"/>
              </w:rPr>
              <w:t>.</w:t>
            </w:r>
            <w:r>
              <w:rPr>
                <w:rFonts w:ascii="宋体" w:hAnsi="宋体" w:eastAsia="宋体" w:cs="Times New Roman"/>
                <w:szCs w:val="21"/>
              </w:rPr>
              <w:t>5m；距可燃构件或可燃物的距离不应小于1</w:t>
            </w:r>
            <w:r>
              <w:rPr>
                <w:rFonts w:hint="eastAsia" w:ascii="宋体" w:hAnsi="宋体" w:eastAsia="宋体" w:cs="Times New Roman"/>
                <w:szCs w:val="21"/>
              </w:rPr>
              <w:t>.</w:t>
            </w:r>
            <w:r>
              <w:rPr>
                <w:rFonts w:ascii="宋体" w:hAnsi="宋体" w:eastAsia="宋体" w:cs="Times New Roman"/>
                <w:szCs w:val="21"/>
              </w:rPr>
              <w:t>0m</w:t>
            </w:r>
            <w:r>
              <w:rPr>
                <w:rFonts w:hint="eastAsia" w:ascii="宋体" w:hAnsi="宋体" w:eastAsia="宋体" w:cs="Times New Roman"/>
                <w:szCs w:val="21"/>
              </w:rPr>
              <w:t>。</w:t>
            </w:r>
          </w:p>
        </w:tc>
        <w:tc>
          <w:tcPr>
            <w:tcW w:w="851" w:type="dxa"/>
            <w:vAlign w:val="center"/>
          </w:tcPr>
          <w:p>
            <w:pPr>
              <w:jc w:val="center"/>
              <w:rPr>
                <w:rFonts w:hint="eastAsia" w:ascii="宋体" w:hAnsi="宋体" w:eastAsia="宋体" w:cs="Times New Roman"/>
                <w:szCs w:val="21"/>
              </w:rPr>
            </w:pPr>
            <w:r>
              <w:rPr>
                <w:rFonts w:hint="eastAsia" w:ascii="宋体" w:hAnsi="宋体" w:eastAsia="宋体" w:cs="Times New Roman"/>
                <w:szCs w:val="21"/>
              </w:rPr>
              <w:t>10</w:t>
            </w:r>
          </w:p>
        </w:tc>
        <w:tc>
          <w:tcPr>
            <w:tcW w:w="3260" w:type="dxa"/>
            <w:vAlign w:val="center"/>
          </w:tcPr>
          <w:p>
            <w:pPr>
              <w:rPr>
                <w:rFonts w:hint="eastAsia" w:ascii="宋体" w:hAnsi="宋体" w:eastAsia="宋体" w:cs="Times New Roman"/>
                <w:szCs w:val="21"/>
              </w:rPr>
            </w:pPr>
            <w:r>
              <w:rPr>
                <w:rFonts w:hint="eastAsia" w:ascii="宋体" w:hAnsi="宋体" w:eastAsia="宋体" w:cs="Times New Roman"/>
                <w:szCs w:val="21"/>
              </w:rPr>
              <w:t>现场实地观察，根据位置偏差打分。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704" w:type="dxa"/>
            <w:vMerge w:val="continue"/>
            <w:vAlign w:val="center"/>
          </w:tcPr>
          <w:p>
            <w:pPr>
              <w:jc w:val="center"/>
              <w:rPr>
                <w:rFonts w:hint="eastAsia" w:ascii="宋体" w:hAnsi="宋体" w:eastAsia="宋体" w:cs="Times New Roman"/>
                <w:szCs w:val="21"/>
              </w:rPr>
            </w:pPr>
          </w:p>
        </w:tc>
        <w:tc>
          <w:tcPr>
            <w:tcW w:w="1677" w:type="dxa"/>
            <w:vMerge w:val="continue"/>
            <w:vAlign w:val="center"/>
          </w:tcPr>
          <w:p>
            <w:pPr>
              <w:rPr>
                <w:rFonts w:hint="eastAsia" w:ascii="宋体" w:hAnsi="宋体" w:eastAsia="宋体" w:cs="Times New Roman"/>
                <w:szCs w:val="21"/>
              </w:rPr>
            </w:pPr>
          </w:p>
        </w:tc>
        <w:tc>
          <w:tcPr>
            <w:tcW w:w="2859" w:type="dxa"/>
            <w:noWrap/>
            <w:vAlign w:val="center"/>
          </w:tcPr>
          <w:p>
            <w:pPr>
              <w:rPr>
                <w:rFonts w:hint="eastAsia" w:ascii="宋体" w:hAnsi="宋体" w:eastAsia="宋体" w:cs="Times New Roman"/>
                <w:szCs w:val="21"/>
              </w:rPr>
            </w:pPr>
            <w:r>
              <w:rPr>
                <w:rFonts w:hint="eastAsia" w:ascii="宋体" w:hAnsi="宋体" w:eastAsia="宋体" w:cs="Times New Roman"/>
                <w:szCs w:val="21"/>
              </w:rPr>
              <w:t>排烟口安装</w:t>
            </w:r>
          </w:p>
        </w:tc>
        <w:tc>
          <w:tcPr>
            <w:tcW w:w="851" w:type="dxa"/>
            <w:vMerge w:val="continue"/>
            <w:vAlign w:val="center"/>
          </w:tcPr>
          <w:p>
            <w:pPr>
              <w:rPr>
                <w:rFonts w:hint="eastAsia" w:ascii="宋体" w:hAnsi="宋体" w:eastAsia="宋体" w:cs="Times New Roman"/>
                <w:szCs w:val="21"/>
              </w:rPr>
            </w:pPr>
          </w:p>
        </w:tc>
        <w:tc>
          <w:tcPr>
            <w:tcW w:w="3685" w:type="dxa"/>
            <w:vAlign w:val="center"/>
          </w:tcPr>
          <w:p>
            <w:pPr>
              <w:rPr>
                <w:rFonts w:hint="eastAsia" w:ascii="宋体" w:hAnsi="宋体" w:eastAsia="宋体" w:cs="Times New Roman"/>
                <w:szCs w:val="21"/>
              </w:rPr>
            </w:pPr>
            <w:r>
              <w:rPr>
                <w:rFonts w:hint="eastAsia" w:ascii="宋体" w:hAnsi="宋体" w:eastAsia="宋体" w:cs="Times New Roman"/>
                <w:szCs w:val="21"/>
              </w:rPr>
              <w:t>并应固定牢靠，表面平整、不变形，调节灵活。</w:t>
            </w:r>
          </w:p>
        </w:tc>
        <w:tc>
          <w:tcPr>
            <w:tcW w:w="851" w:type="dxa"/>
            <w:vAlign w:val="center"/>
          </w:tcPr>
          <w:p>
            <w:pPr>
              <w:jc w:val="center"/>
              <w:rPr>
                <w:rFonts w:hint="eastAsia" w:ascii="宋体" w:hAnsi="宋体" w:eastAsia="宋体" w:cs="Times New Roman"/>
                <w:szCs w:val="21"/>
              </w:rPr>
            </w:pPr>
            <w:r>
              <w:rPr>
                <w:rFonts w:hint="eastAsia" w:ascii="宋体" w:hAnsi="宋体" w:eastAsia="宋体" w:cs="Times New Roman"/>
                <w:szCs w:val="21"/>
              </w:rPr>
              <w:t>10</w:t>
            </w:r>
          </w:p>
        </w:tc>
        <w:tc>
          <w:tcPr>
            <w:tcW w:w="3260" w:type="dxa"/>
            <w:vAlign w:val="center"/>
          </w:tcPr>
          <w:p>
            <w:pPr>
              <w:rPr>
                <w:rFonts w:hint="eastAsia" w:ascii="宋体" w:hAnsi="宋体" w:eastAsia="宋体" w:cs="Times New Roman"/>
                <w:szCs w:val="21"/>
              </w:rPr>
            </w:pPr>
            <w:r>
              <w:rPr>
                <w:rFonts w:hint="eastAsia" w:ascii="宋体" w:hAnsi="宋体" w:eastAsia="宋体" w:cs="Times New Roman"/>
                <w:szCs w:val="21"/>
              </w:rPr>
              <w:t>现场实地观察，根据外观质量打分。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0" w:hRule="atLeast"/>
        </w:trPr>
        <w:tc>
          <w:tcPr>
            <w:tcW w:w="704" w:type="dxa"/>
            <w:vMerge w:val="continue"/>
            <w:vAlign w:val="center"/>
          </w:tcPr>
          <w:p>
            <w:pPr>
              <w:jc w:val="center"/>
              <w:rPr>
                <w:rFonts w:hint="eastAsia" w:ascii="宋体" w:hAnsi="宋体" w:eastAsia="宋体" w:cs="Times New Roman"/>
                <w:szCs w:val="21"/>
              </w:rPr>
            </w:pPr>
          </w:p>
        </w:tc>
        <w:tc>
          <w:tcPr>
            <w:tcW w:w="1677" w:type="dxa"/>
            <w:vMerge w:val="continue"/>
            <w:vAlign w:val="center"/>
          </w:tcPr>
          <w:p>
            <w:pPr>
              <w:rPr>
                <w:rFonts w:hint="eastAsia" w:ascii="宋体" w:hAnsi="宋体" w:eastAsia="宋体" w:cs="Times New Roman"/>
                <w:szCs w:val="21"/>
              </w:rPr>
            </w:pPr>
          </w:p>
        </w:tc>
        <w:tc>
          <w:tcPr>
            <w:tcW w:w="2859" w:type="dxa"/>
            <w:noWrap/>
            <w:vAlign w:val="center"/>
          </w:tcPr>
          <w:p>
            <w:pPr>
              <w:rPr>
                <w:rFonts w:hint="eastAsia" w:ascii="宋体" w:hAnsi="宋体" w:eastAsia="宋体" w:cs="Times New Roman"/>
                <w:szCs w:val="21"/>
              </w:rPr>
            </w:pPr>
            <w:r>
              <w:rPr>
                <w:rFonts w:hint="eastAsia" w:ascii="宋体" w:hAnsi="宋体" w:eastAsia="宋体" w:cs="Times New Roman"/>
                <w:szCs w:val="21"/>
              </w:rPr>
              <w:t>操作机构</w:t>
            </w:r>
          </w:p>
        </w:tc>
        <w:tc>
          <w:tcPr>
            <w:tcW w:w="851" w:type="dxa"/>
            <w:vMerge w:val="continue"/>
            <w:vAlign w:val="center"/>
          </w:tcPr>
          <w:p>
            <w:pPr>
              <w:rPr>
                <w:rFonts w:hint="eastAsia" w:ascii="宋体" w:hAnsi="宋体" w:eastAsia="宋体" w:cs="Times New Roman"/>
                <w:szCs w:val="21"/>
              </w:rPr>
            </w:pPr>
          </w:p>
        </w:tc>
        <w:tc>
          <w:tcPr>
            <w:tcW w:w="3685" w:type="dxa"/>
            <w:vAlign w:val="center"/>
          </w:tcPr>
          <w:p>
            <w:pPr>
              <w:pStyle w:val="23"/>
              <w:numPr>
                <w:ilvl w:val="0"/>
                <w:numId w:val="15"/>
              </w:numPr>
              <w:ind w:left="0" w:firstLine="0" w:firstLineChars="0"/>
              <w:rPr>
                <w:rFonts w:hint="eastAsia" w:ascii="宋体" w:hAnsi="宋体" w:eastAsia="宋体" w:cs="Times New Roman"/>
                <w:szCs w:val="21"/>
              </w:rPr>
            </w:pPr>
            <w:r>
              <w:rPr>
                <w:rFonts w:hint="eastAsia" w:ascii="宋体" w:hAnsi="宋体" w:eastAsia="宋体" w:cs="Times New Roman"/>
                <w:szCs w:val="21"/>
              </w:rPr>
              <w:t>常闭送风口排烟口的手动驱动装置应固定安装在明显可见、距楼地面 1.3 m～1.5m之间便于操作的位置，预埋套管不得有死弯及瘪陷，手动驱动装置操作应灵活。</w:t>
            </w:r>
          </w:p>
          <w:p>
            <w:pPr>
              <w:pStyle w:val="23"/>
              <w:numPr>
                <w:ilvl w:val="0"/>
                <w:numId w:val="15"/>
              </w:numPr>
              <w:ind w:left="0" w:firstLine="0" w:firstLineChars="0"/>
              <w:rPr>
                <w:rFonts w:hint="eastAsia" w:ascii="宋体" w:hAnsi="宋体" w:eastAsia="宋体" w:cs="Times New Roman"/>
                <w:szCs w:val="21"/>
              </w:rPr>
            </w:pPr>
            <w:r>
              <w:rPr>
                <w:rFonts w:hint="eastAsia" w:ascii="宋体" w:hAnsi="宋体" w:eastAsia="宋体" w:cs="Times New Roman"/>
                <w:szCs w:val="21"/>
              </w:rPr>
              <w:t>2.火灾时由火灾自动报警系统联动开启排烟区域的排烟口，应在现场设置手动开启装置</w:t>
            </w:r>
          </w:p>
        </w:tc>
        <w:tc>
          <w:tcPr>
            <w:tcW w:w="851" w:type="dxa"/>
            <w:vAlign w:val="center"/>
          </w:tcPr>
          <w:p>
            <w:pPr>
              <w:jc w:val="center"/>
              <w:rPr>
                <w:rFonts w:hint="eastAsia" w:ascii="宋体" w:hAnsi="宋体" w:eastAsia="宋体" w:cs="Times New Roman"/>
                <w:szCs w:val="21"/>
              </w:rPr>
            </w:pPr>
            <w:r>
              <w:rPr>
                <w:rFonts w:hint="eastAsia" w:ascii="宋体" w:hAnsi="宋体" w:eastAsia="宋体" w:cs="Times New Roman"/>
                <w:szCs w:val="21"/>
              </w:rPr>
              <w:t>10</w:t>
            </w:r>
          </w:p>
        </w:tc>
        <w:tc>
          <w:tcPr>
            <w:tcW w:w="3260" w:type="dxa"/>
            <w:vAlign w:val="center"/>
          </w:tcPr>
          <w:p>
            <w:pPr>
              <w:rPr>
                <w:rFonts w:hint="eastAsia" w:ascii="宋体" w:hAnsi="宋体" w:eastAsia="宋体" w:cs="Times New Roman"/>
                <w:szCs w:val="21"/>
              </w:rPr>
            </w:pPr>
            <w:r>
              <w:rPr>
                <w:rFonts w:hint="eastAsia" w:ascii="宋体" w:hAnsi="宋体" w:eastAsia="宋体" w:cs="Times New Roman"/>
                <w:szCs w:val="21"/>
              </w:rPr>
              <w:t>现场实地观察，根据外观质量打分。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704" w:type="dxa"/>
            <w:vMerge w:val="restart"/>
            <w:noWrap/>
            <w:vAlign w:val="center"/>
          </w:tcPr>
          <w:p>
            <w:pPr>
              <w:jc w:val="center"/>
              <w:rPr>
                <w:rFonts w:hint="eastAsia" w:ascii="宋体" w:hAnsi="宋体" w:eastAsia="宋体" w:cs="Times New Roman"/>
                <w:szCs w:val="21"/>
              </w:rPr>
            </w:pPr>
            <w:r>
              <w:rPr>
                <w:rFonts w:hint="eastAsia" w:ascii="宋体" w:hAnsi="宋体" w:eastAsia="宋体" w:cs="Times New Roman"/>
                <w:szCs w:val="21"/>
              </w:rPr>
              <w:t>2</w:t>
            </w:r>
          </w:p>
        </w:tc>
        <w:tc>
          <w:tcPr>
            <w:tcW w:w="1677" w:type="dxa"/>
            <w:vMerge w:val="restart"/>
            <w:noWrap/>
            <w:vAlign w:val="center"/>
          </w:tcPr>
          <w:p>
            <w:pPr>
              <w:rPr>
                <w:rFonts w:hint="eastAsia" w:ascii="宋体" w:hAnsi="宋体" w:eastAsia="宋体" w:cs="Times New Roman"/>
                <w:szCs w:val="21"/>
              </w:rPr>
            </w:pPr>
            <w:r>
              <w:rPr>
                <w:rFonts w:hint="eastAsia" w:ascii="宋体" w:hAnsi="宋体" w:eastAsia="宋体" w:cs="Times New Roman"/>
                <w:szCs w:val="21"/>
              </w:rPr>
              <w:t>B排烟阀</w:t>
            </w:r>
          </w:p>
        </w:tc>
        <w:tc>
          <w:tcPr>
            <w:tcW w:w="2859" w:type="dxa"/>
            <w:noWrap/>
            <w:vAlign w:val="center"/>
          </w:tcPr>
          <w:p>
            <w:pPr>
              <w:jc w:val="center"/>
              <w:rPr>
                <w:rFonts w:hint="eastAsia" w:ascii="宋体" w:hAnsi="宋体" w:eastAsia="宋体" w:cs="Times New Roman"/>
                <w:b/>
                <w:bCs/>
                <w:szCs w:val="21"/>
              </w:rPr>
            </w:pPr>
            <w:r>
              <w:rPr>
                <w:rFonts w:hint="eastAsia" w:ascii="宋体" w:hAnsi="宋体" w:eastAsia="宋体" w:cs="Times New Roman"/>
                <w:b/>
                <w:bCs/>
                <w:szCs w:val="21"/>
              </w:rPr>
              <w:t>主控项</w:t>
            </w:r>
          </w:p>
        </w:tc>
        <w:tc>
          <w:tcPr>
            <w:tcW w:w="851" w:type="dxa"/>
            <w:vMerge w:val="restart"/>
            <w:noWrap/>
            <w:vAlign w:val="center"/>
          </w:tcPr>
          <w:p>
            <w:pPr>
              <w:jc w:val="center"/>
              <w:rPr>
                <w:rFonts w:hint="eastAsia" w:ascii="宋体" w:hAnsi="宋体" w:eastAsia="宋体" w:cs="Times New Roman"/>
                <w:szCs w:val="21"/>
              </w:rPr>
            </w:pPr>
            <w:r>
              <w:rPr>
                <w:rFonts w:hint="eastAsia" w:ascii="宋体" w:hAnsi="宋体" w:eastAsia="宋体" w:cs="Times New Roman"/>
                <w:szCs w:val="21"/>
              </w:rPr>
              <w:t>0.10</w:t>
            </w:r>
          </w:p>
        </w:tc>
        <w:tc>
          <w:tcPr>
            <w:tcW w:w="3685" w:type="dxa"/>
            <w:vAlign w:val="center"/>
          </w:tcPr>
          <w:p>
            <w:pPr>
              <w:jc w:val="center"/>
              <w:rPr>
                <w:rFonts w:hint="eastAsia" w:ascii="宋体" w:hAnsi="宋体" w:eastAsia="宋体" w:cs="Times New Roman"/>
                <w:b/>
                <w:bCs/>
                <w:szCs w:val="21"/>
              </w:rPr>
            </w:pPr>
            <w:r>
              <w:rPr>
                <w:rFonts w:hint="eastAsia" w:ascii="宋体" w:hAnsi="宋体" w:eastAsia="宋体" w:cs="Times New Roman"/>
                <w:b/>
                <w:bCs/>
                <w:szCs w:val="21"/>
              </w:rPr>
              <w:t>主控项评分要点</w:t>
            </w:r>
          </w:p>
        </w:tc>
        <w:tc>
          <w:tcPr>
            <w:tcW w:w="851" w:type="dxa"/>
            <w:vAlign w:val="center"/>
          </w:tcPr>
          <w:p>
            <w:pPr>
              <w:jc w:val="center"/>
              <w:rPr>
                <w:rFonts w:hint="eastAsia" w:ascii="宋体" w:hAnsi="宋体" w:eastAsia="宋体" w:cs="Times New Roman"/>
                <w:b/>
                <w:bCs/>
                <w:szCs w:val="21"/>
              </w:rPr>
            </w:pPr>
            <w:r>
              <w:rPr>
                <w:rFonts w:hint="eastAsia" w:ascii="宋体" w:hAnsi="宋体" w:eastAsia="宋体" w:cs="Times New Roman"/>
                <w:b/>
                <w:bCs/>
                <w:szCs w:val="21"/>
              </w:rPr>
              <w:t>评分</w:t>
            </w:r>
          </w:p>
        </w:tc>
        <w:tc>
          <w:tcPr>
            <w:tcW w:w="3260" w:type="dxa"/>
            <w:vAlign w:val="center"/>
          </w:tcPr>
          <w:p>
            <w:pPr>
              <w:jc w:val="center"/>
              <w:rPr>
                <w:rFonts w:hint="eastAsia" w:ascii="宋体" w:hAnsi="宋体" w:eastAsia="宋体" w:cs="Times New Roman"/>
                <w:b/>
                <w:bCs/>
                <w:szCs w:val="21"/>
              </w:rPr>
            </w:pPr>
            <w:r>
              <w:rPr>
                <w:rFonts w:hint="eastAsia" w:ascii="宋体" w:hAnsi="宋体" w:eastAsia="宋体" w:cs="Times New Roman"/>
                <w:b/>
                <w:bCs/>
                <w:szCs w:val="21"/>
              </w:rPr>
              <w:t>评定方法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704" w:type="dxa"/>
            <w:vMerge w:val="continue"/>
            <w:vAlign w:val="center"/>
          </w:tcPr>
          <w:p>
            <w:pPr>
              <w:jc w:val="center"/>
              <w:rPr>
                <w:rFonts w:hint="eastAsia" w:ascii="宋体" w:hAnsi="宋体" w:eastAsia="宋体" w:cs="Times New Roman"/>
                <w:szCs w:val="21"/>
              </w:rPr>
            </w:pPr>
          </w:p>
        </w:tc>
        <w:tc>
          <w:tcPr>
            <w:tcW w:w="1677" w:type="dxa"/>
            <w:vMerge w:val="continue"/>
            <w:vAlign w:val="center"/>
          </w:tcPr>
          <w:p>
            <w:pPr>
              <w:rPr>
                <w:rFonts w:hint="eastAsia" w:ascii="宋体" w:hAnsi="宋体" w:eastAsia="宋体" w:cs="Times New Roman"/>
                <w:szCs w:val="21"/>
              </w:rPr>
            </w:pPr>
          </w:p>
        </w:tc>
        <w:tc>
          <w:tcPr>
            <w:tcW w:w="2859" w:type="dxa"/>
            <w:vAlign w:val="center"/>
          </w:tcPr>
          <w:p>
            <w:pPr>
              <w:rPr>
                <w:rFonts w:hint="eastAsia" w:ascii="宋体" w:hAnsi="宋体" w:eastAsia="宋体" w:cs="Times New Roman"/>
                <w:szCs w:val="21"/>
              </w:rPr>
            </w:pPr>
            <w:r>
              <w:rPr>
                <w:rFonts w:hint="eastAsia" w:ascii="宋体" w:hAnsi="宋体" w:eastAsia="宋体" w:cs="Times New Roman"/>
                <w:szCs w:val="21"/>
              </w:rPr>
              <w:t>阀门本身的资料</w:t>
            </w:r>
          </w:p>
        </w:tc>
        <w:tc>
          <w:tcPr>
            <w:tcW w:w="851" w:type="dxa"/>
            <w:vMerge w:val="continue"/>
            <w:vAlign w:val="center"/>
          </w:tcPr>
          <w:p>
            <w:pPr>
              <w:rPr>
                <w:rFonts w:hint="eastAsia" w:ascii="宋体" w:hAnsi="宋体" w:eastAsia="宋体" w:cs="Times New Roman"/>
                <w:szCs w:val="21"/>
              </w:rPr>
            </w:pPr>
          </w:p>
        </w:tc>
        <w:tc>
          <w:tcPr>
            <w:tcW w:w="3685" w:type="dxa"/>
            <w:vAlign w:val="center"/>
          </w:tcPr>
          <w:p>
            <w:pPr>
              <w:rPr>
                <w:rFonts w:hint="eastAsia" w:ascii="宋体" w:hAnsi="宋体" w:eastAsia="宋体" w:cs="Times New Roman"/>
                <w:szCs w:val="21"/>
              </w:rPr>
            </w:pPr>
            <w:r>
              <w:rPr>
                <w:rFonts w:hint="eastAsia" w:ascii="宋体" w:hAnsi="宋体" w:eastAsia="宋体" w:cs="Times New Roman"/>
                <w:szCs w:val="21"/>
              </w:rPr>
              <w:t>阀门进场时，需要对其资料进行严格审查，需满足设计及规范要求</w:t>
            </w:r>
          </w:p>
        </w:tc>
        <w:tc>
          <w:tcPr>
            <w:tcW w:w="851" w:type="dxa"/>
            <w:vAlign w:val="center"/>
          </w:tcPr>
          <w:p>
            <w:pPr>
              <w:jc w:val="center"/>
              <w:rPr>
                <w:rFonts w:hint="eastAsia" w:ascii="宋体" w:hAnsi="宋体" w:eastAsia="宋体" w:cs="Times New Roman"/>
                <w:szCs w:val="21"/>
              </w:rPr>
            </w:pPr>
            <w:r>
              <w:rPr>
                <w:rFonts w:hint="eastAsia" w:ascii="宋体" w:hAnsi="宋体" w:eastAsia="宋体" w:cs="Times New Roman"/>
                <w:szCs w:val="21"/>
              </w:rPr>
              <w:t>15</w:t>
            </w:r>
          </w:p>
        </w:tc>
        <w:tc>
          <w:tcPr>
            <w:tcW w:w="3260" w:type="dxa"/>
            <w:vAlign w:val="center"/>
          </w:tcPr>
          <w:p>
            <w:pPr>
              <w:rPr>
                <w:rFonts w:hint="eastAsia" w:ascii="宋体" w:hAnsi="宋体" w:eastAsia="宋体" w:cs="Times New Roman"/>
                <w:szCs w:val="21"/>
              </w:rPr>
            </w:pPr>
            <w:r>
              <w:rPr>
                <w:rFonts w:hint="eastAsia" w:ascii="宋体" w:hAnsi="宋体" w:eastAsia="宋体" w:cs="Times New Roman"/>
                <w:szCs w:val="21"/>
              </w:rPr>
              <w:t>具有检测报告原件，可判定为该产品可靠性不低于C级；检测结果有任意一个控制项不合格，则可靠性判定为D级。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704" w:type="dxa"/>
            <w:vMerge w:val="continue"/>
            <w:vAlign w:val="center"/>
          </w:tcPr>
          <w:p>
            <w:pPr>
              <w:jc w:val="center"/>
              <w:rPr>
                <w:rFonts w:hint="eastAsia" w:ascii="宋体" w:hAnsi="宋体" w:eastAsia="宋体" w:cs="Times New Roman"/>
                <w:szCs w:val="21"/>
              </w:rPr>
            </w:pPr>
          </w:p>
        </w:tc>
        <w:tc>
          <w:tcPr>
            <w:tcW w:w="1677" w:type="dxa"/>
            <w:vMerge w:val="continue"/>
            <w:vAlign w:val="center"/>
          </w:tcPr>
          <w:p>
            <w:pPr>
              <w:rPr>
                <w:rFonts w:hint="eastAsia" w:ascii="宋体" w:hAnsi="宋体" w:eastAsia="宋体" w:cs="Times New Roman"/>
                <w:szCs w:val="21"/>
              </w:rPr>
            </w:pPr>
          </w:p>
        </w:tc>
        <w:tc>
          <w:tcPr>
            <w:tcW w:w="2859" w:type="dxa"/>
            <w:noWrap/>
            <w:vAlign w:val="center"/>
          </w:tcPr>
          <w:p>
            <w:pPr>
              <w:rPr>
                <w:rFonts w:hint="eastAsia" w:ascii="宋体" w:hAnsi="宋体" w:eastAsia="宋体" w:cs="Times New Roman"/>
                <w:szCs w:val="21"/>
              </w:rPr>
            </w:pPr>
            <w:r>
              <w:rPr>
                <w:rFonts w:hint="eastAsia" w:ascii="宋体" w:hAnsi="宋体" w:eastAsia="宋体" w:cs="Times New Roman"/>
                <w:szCs w:val="21"/>
              </w:rPr>
              <w:t>型号、参数</w:t>
            </w:r>
          </w:p>
        </w:tc>
        <w:tc>
          <w:tcPr>
            <w:tcW w:w="851" w:type="dxa"/>
            <w:vMerge w:val="continue"/>
            <w:vAlign w:val="center"/>
          </w:tcPr>
          <w:p>
            <w:pPr>
              <w:rPr>
                <w:rFonts w:hint="eastAsia" w:ascii="宋体" w:hAnsi="宋体" w:eastAsia="宋体" w:cs="Times New Roman"/>
                <w:szCs w:val="21"/>
              </w:rPr>
            </w:pPr>
          </w:p>
        </w:tc>
        <w:tc>
          <w:tcPr>
            <w:tcW w:w="3685" w:type="dxa"/>
            <w:vAlign w:val="center"/>
          </w:tcPr>
          <w:p>
            <w:pPr>
              <w:rPr>
                <w:rFonts w:hint="eastAsia" w:ascii="宋体" w:hAnsi="宋体" w:eastAsia="宋体" w:cs="Times New Roman"/>
                <w:szCs w:val="21"/>
              </w:rPr>
            </w:pPr>
            <w:r>
              <w:rPr>
                <w:rFonts w:hint="eastAsia" w:ascii="宋体" w:hAnsi="宋体" w:eastAsia="宋体" w:cs="Times New Roman"/>
                <w:szCs w:val="21"/>
              </w:rPr>
              <w:t>特定位置阀门的型号参数需与设计图纸保持一致</w:t>
            </w:r>
          </w:p>
        </w:tc>
        <w:tc>
          <w:tcPr>
            <w:tcW w:w="851" w:type="dxa"/>
            <w:vAlign w:val="center"/>
          </w:tcPr>
          <w:p>
            <w:pPr>
              <w:jc w:val="center"/>
              <w:rPr>
                <w:rFonts w:hint="eastAsia" w:ascii="宋体" w:hAnsi="宋体" w:eastAsia="宋体" w:cs="Times New Roman"/>
                <w:szCs w:val="21"/>
              </w:rPr>
            </w:pPr>
            <w:r>
              <w:rPr>
                <w:rFonts w:hint="eastAsia" w:ascii="宋体" w:hAnsi="宋体" w:eastAsia="宋体" w:cs="Times New Roman"/>
                <w:szCs w:val="21"/>
              </w:rPr>
              <w:t>20</w:t>
            </w:r>
          </w:p>
        </w:tc>
        <w:tc>
          <w:tcPr>
            <w:tcW w:w="3260" w:type="dxa"/>
            <w:vAlign w:val="center"/>
          </w:tcPr>
          <w:p>
            <w:pPr>
              <w:rPr>
                <w:rFonts w:hint="eastAsia" w:ascii="宋体" w:hAnsi="宋体" w:eastAsia="宋体" w:cs="Times New Roman"/>
                <w:szCs w:val="21"/>
              </w:rPr>
            </w:pPr>
            <w:r>
              <w:rPr>
                <w:rFonts w:hint="eastAsia" w:ascii="宋体" w:hAnsi="宋体" w:eastAsia="宋体" w:cs="Times New Roman"/>
                <w:szCs w:val="21"/>
              </w:rPr>
              <w:t>阀门的实体参数与设计参数与图纸进行核对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704" w:type="dxa"/>
            <w:vMerge w:val="continue"/>
            <w:vAlign w:val="center"/>
          </w:tcPr>
          <w:p>
            <w:pPr>
              <w:jc w:val="center"/>
              <w:rPr>
                <w:rFonts w:hint="eastAsia" w:ascii="宋体" w:hAnsi="宋体" w:eastAsia="宋体" w:cs="Times New Roman"/>
                <w:szCs w:val="21"/>
              </w:rPr>
            </w:pPr>
          </w:p>
        </w:tc>
        <w:tc>
          <w:tcPr>
            <w:tcW w:w="1677" w:type="dxa"/>
            <w:vMerge w:val="continue"/>
            <w:vAlign w:val="center"/>
          </w:tcPr>
          <w:p>
            <w:pPr>
              <w:rPr>
                <w:rFonts w:hint="eastAsia" w:ascii="宋体" w:hAnsi="宋体" w:eastAsia="宋体" w:cs="Times New Roman"/>
                <w:szCs w:val="21"/>
              </w:rPr>
            </w:pPr>
          </w:p>
        </w:tc>
        <w:tc>
          <w:tcPr>
            <w:tcW w:w="2859" w:type="dxa"/>
            <w:vAlign w:val="center"/>
          </w:tcPr>
          <w:p>
            <w:pPr>
              <w:rPr>
                <w:rFonts w:hint="eastAsia" w:ascii="宋体" w:hAnsi="宋体" w:eastAsia="宋体" w:cs="Times New Roman"/>
                <w:szCs w:val="21"/>
              </w:rPr>
            </w:pPr>
            <w:r>
              <w:rPr>
                <w:rFonts w:hint="eastAsia" w:ascii="宋体" w:hAnsi="宋体" w:eastAsia="宋体" w:cs="Times New Roman"/>
                <w:szCs w:val="21"/>
              </w:rPr>
              <w:t>阀体本身的动作、关闭属性</w:t>
            </w:r>
          </w:p>
        </w:tc>
        <w:tc>
          <w:tcPr>
            <w:tcW w:w="851" w:type="dxa"/>
            <w:vMerge w:val="continue"/>
            <w:vAlign w:val="center"/>
          </w:tcPr>
          <w:p>
            <w:pPr>
              <w:rPr>
                <w:rFonts w:hint="eastAsia" w:ascii="宋体" w:hAnsi="宋体" w:eastAsia="宋体" w:cs="Times New Roman"/>
                <w:szCs w:val="21"/>
              </w:rPr>
            </w:pPr>
          </w:p>
        </w:tc>
        <w:tc>
          <w:tcPr>
            <w:tcW w:w="3685" w:type="dxa"/>
            <w:vAlign w:val="center"/>
          </w:tcPr>
          <w:p>
            <w:pPr>
              <w:rPr>
                <w:rFonts w:hint="eastAsia" w:ascii="宋体" w:hAnsi="宋体" w:eastAsia="宋体" w:cs="Times New Roman"/>
                <w:szCs w:val="21"/>
              </w:rPr>
            </w:pPr>
            <w:r>
              <w:rPr>
                <w:rFonts w:hint="eastAsia" w:ascii="宋体" w:hAnsi="宋体" w:eastAsia="宋体" w:cs="Times New Roman"/>
                <w:szCs w:val="21"/>
              </w:rPr>
              <w:t>阀体动作应灵敏、可靠，关闭应严密</w:t>
            </w:r>
          </w:p>
        </w:tc>
        <w:tc>
          <w:tcPr>
            <w:tcW w:w="851" w:type="dxa"/>
            <w:vAlign w:val="center"/>
          </w:tcPr>
          <w:p>
            <w:pPr>
              <w:jc w:val="center"/>
              <w:rPr>
                <w:rFonts w:hint="eastAsia" w:ascii="宋体" w:hAnsi="宋体" w:eastAsia="宋体" w:cs="Times New Roman"/>
                <w:szCs w:val="21"/>
              </w:rPr>
            </w:pPr>
            <w:r>
              <w:rPr>
                <w:rFonts w:hint="eastAsia" w:ascii="宋体" w:hAnsi="宋体" w:eastAsia="宋体" w:cs="Times New Roman"/>
                <w:szCs w:val="21"/>
              </w:rPr>
              <w:t>20</w:t>
            </w:r>
          </w:p>
        </w:tc>
        <w:tc>
          <w:tcPr>
            <w:tcW w:w="3260" w:type="dxa"/>
            <w:vAlign w:val="center"/>
          </w:tcPr>
          <w:p>
            <w:pPr>
              <w:rPr>
                <w:rFonts w:hint="eastAsia" w:ascii="宋体" w:hAnsi="宋体" w:eastAsia="宋体" w:cs="Times New Roman"/>
                <w:szCs w:val="21"/>
              </w:rPr>
            </w:pPr>
            <w:r>
              <w:rPr>
                <w:rFonts w:hint="eastAsia" w:ascii="宋体" w:hAnsi="宋体" w:eastAsia="宋体" w:cs="Times New Roman"/>
                <w:szCs w:val="21"/>
              </w:rPr>
              <w:t>现场实际操作，动作灵敏、可靠，关闭严密，则判定为合格；否则为不合格；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704" w:type="dxa"/>
            <w:vMerge w:val="continue"/>
            <w:vAlign w:val="center"/>
          </w:tcPr>
          <w:p>
            <w:pPr>
              <w:jc w:val="center"/>
              <w:rPr>
                <w:rFonts w:hint="eastAsia" w:ascii="宋体" w:hAnsi="宋体" w:eastAsia="宋体" w:cs="Times New Roman"/>
                <w:szCs w:val="21"/>
              </w:rPr>
            </w:pPr>
          </w:p>
        </w:tc>
        <w:tc>
          <w:tcPr>
            <w:tcW w:w="1677" w:type="dxa"/>
            <w:vMerge w:val="continue"/>
            <w:vAlign w:val="center"/>
          </w:tcPr>
          <w:p>
            <w:pPr>
              <w:rPr>
                <w:rFonts w:hint="eastAsia" w:ascii="宋体" w:hAnsi="宋体" w:eastAsia="宋体" w:cs="Times New Roman"/>
                <w:szCs w:val="21"/>
              </w:rPr>
            </w:pPr>
          </w:p>
        </w:tc>
        <w:tc>
          <w:tcPr>
            <w:tcW w:w="2859" w:type="dxa"/>
            <w:noWrap/>
            <w:vAlign w:val="center"/>
          </w:tcPr>
          <w:p>
            <w:pPr>
              <w:jc w:val="center"/>
              <w:rPr>
                <w:rFonts w:hint="eastAsia" w:ascii="宋体" w:hAnsi="宋体" w:eastAsia="宋体" w:cs="Times New Roman"/>
                <w:b/>
                <w:bCs/>
                <w:szCs w:val="21"/>
              </w:rPr>
            </w:pPr>
            <w:r>
              <w:rPr>
                <w:rFonts w:hint="eastAsia" w:ascii="宋体" w:hAnsi="宋体" w:eastAsia="宋体" w:cs="Times New Roman"/>
                <w:b/>
                <w:bCs/>
                <w:szCs w:val="21"/>
              </w:rPr>
              <w:t>一般项</w:t>
            </w:r>
          </w:p>
        </w:tc>
        <w:tc>
          <w:tcPr>
            <w:tcW w:w="851" w:type="dxa"/>
            <w:vMerge w:val="continue"/>
            <w:vAlign w:val="center"/>
          </w:tcPr>
          <w:p>
            <w:pPr>
              <w:jc w:val="center"/>
              <w:rPr>
                <w:rFonts w:hint="eastAsia" w:ascii="宋体" w:hAnsi="宋体" w:eastAsia="宋体" w:cs="Times New Roman"/>
                <w:szCs w:val="21"/>
              </w:rPr>
            </w:pPr>
          </w:p>
        </w:tc>
        <w:tc>
          <w:tcPr>
            <w:tcW w:w="3685" w:type="dxa"/>
            <w:vAlign w:val="center"/>
          </w:tcPr>
          <w:p>
            <w:pPr>
              <w:jc w:val="center"/>
              <w:rPr>
                <w:rFonts w:hint="eastAsia" w:ascii="宋体" w:hAnsi="宋体" w:eastAsia="宋体" w:cs="Times New Roman"/>
                <w:b/>
                <w:bCs/>
                <w:szCs w:val="21"/>
              </w:rPr>
            </w:pPr>
            <w:r>
              <w:rPr>
                <w:rFonts w:hint="eastAsia" w:ascii="宋体" w:hAnsi="宋体" w:eastAsia="宋体" w:cs="Times New Roman"/>
                <w:b/>
                <w:bCs/>
                <w:szCs w:val="21"/>
              </w:rPr>
              <w:t>一般项评分要点</w:t>
            </w:r>
          </w:p>
        </w:tc>
        <w:tc>
          <w:tcPr>
            <w:tcW w:w="851" w:type="dxa"/>
            <w:vAlign w:val="center"/>
          </w:tcPr>
          <w:p>
            <w:pPr>
              <w:jc w:val="center"/>
              <w:rPr>
                <w:rFonts w:hint="eastAsia" w:ascii="宋体" w:hAnsi="宋体" w:eastAsia="宋体" w:cs="Times New Roman"/>
                <w:b/>
                <w:bCs/>
                <w:szCs w:val="21"/>
              </w:rPr>
            </w:pPr>
            <w:r>
              <w:rPr>
                <w:rFonts w:hint="eastAsia" w:ascii="宋体" w:hAnsi="宋体" w:eastAsia="宋体" w:cs="Times New Roman"/>
                <w:b/>
                <w:bCs/>
                <w:szCs w:val="21"/>
              </w:rPr>
              <w:t>评分</w:t>
            </w:r>
          </w:p>
        </w:tc>
        <w:tc>
          <w:tcPr>
            <w:tcW w:w="3260" w:type="dxa"/>
            <w:vAlign w:val="center"/>
          </w:tcPr>
          <w:p>
            <w:pPr>
              <w:jc w:val="center"/>
              <w:rPr>
                <w:rFonts w:hint="eastAsia" w:ascii="宋体" w:hAnsi="宋体" w:eastAsia="宋体" w:cs="Times New Roman"/>
                <w:b/>
                <w:bCs/>
                <w:szCs w:val="21"/>
              </w:rPr>
            </w:pPr>
            <w:r>
              <w:rPr>
                <w:rFonts w:hint="eastAsia" w:ascii="宋体" w:hAnsi="宋体" w:eastAsia="宋体" w:cs="Times New Roman"/>
                <w:b/>
                <w:bCs/>
                <w:szCs w:val="21"/>
              </w:rPr>
              <w:t>评定方法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704" w:type="dxa"/>
            <w:vMerge w:val="continue"/>
            <w:vAlign w:val="center"/>
          </w:tcPr>
          <w:p>
            <w:pPr>
              <w:jc w:val="center"/>
              <w:rPr>
                <w:rFonts w:hint="eastAsia" w:ascii="宋体" w:hAnsi="宋体" w:eastAsia="宋体" w:cs="Times New Roman"/>
                <w:szCs w:val="21"/>
              </w:rPr>
            </w:pPr>
          </w:p>
        </w:tc>
        <w:tc>
          <w:tcPr>
            <w:tcW w:w="1677" w:type="dxa"/>
            <w:vMerge w:val="continue"/>
            <w:vAlign w:val="center"/>
          </w:tcPr>
          <w:p>
            <w:pPr>
              <w:rPr>
                <w:rFonts w:hint="eastAsia" w:ascii="宋体" w:hAnsi="宋体" w:eastAsia="宋体" w:cs="Times New Roman"/>
                <w:szCs w:val="21"/>
              </w:rPr>
            </w:pPr>
          </w:p>
        </w:tc>
        <w:tc>
          <w:tcPr>
            <w:tcW w:w="2859" w:type="dxa"/>
            <w:noWrap/>
            <w:vAlign w:val="center"/>
          </w:tcPr>
          <w:p>
            <w:pPr>
              <w:rPr>
                <w:rFonts w:hint="eastAsia" w:ascii="宋体" w:hAnsi="宋体" w:eastAsia="宋体" w:cs="Times New Roman"/>
                <w:szCs w:val="21"/>
              </w:rPr>
            </w:pPr>
            <w:r>
              <w:rPr>
                <w:rFonts w:hint="eastAsia" w:ascii="宋体" w:hAnsi="宋体" w:eastAsia="宋体" w:cs="Times New Roman"/>
                <w:szCs w:val="21"/>
              </w:rPr>
              <w:t>安装外观</w:t>
            </w:r>
          </w:p>
        </w:tc>
        <w:tc>
          <w:tcPr>
            <w:tcW w:w="851" w:type="dxa"/>
            <w:vMerge w:val="continue"/>
            <w:vAlign w:val="center"/>
          </w:tcPr>
          <w:p>
            <w:pPr>
              <w:rPr>
                <w:rFonts w:hint="eastAsia" w:ascii="宋体" w:hAnsi="宋体" w:eastAsia="宋体" w:cs="Times New Roman"/>
                <w:szCs w:val="21"/>
              </w:rPr>
            </w:pPr>
          </w:p>
        </w:tc>
        <w:tc>
          <w:tcPr>
            <w:tcW w:w="3685" w:type="dxa"/>
            <w:noWrap/>
            <w:vAlign w:val="center"/>
          </w:tcPr>
          <w:p>
            <w:pPr>
              <w:rPr>
                <w:rFonts w:hint="eastAsia" w:ascii="宋体" w:hAnsi="宋体" w:eastAsia="宋体" w:cs="Times New Roman"/>
                <w:szCs w:val="21"/>
              </w:rPr>
            </w:pPr>
            <w:r>
              <w:rPr>
                <w:rFonts w:hint="eastAsia" w:ascii="宋体" w:hAnsi="宋体" w:eastAsia="宋体" w:cs="Times New Roman"/>
                <w:szCs w:val="21"/>
              </w:rPr>
              <w:t>1.平整2.不变形3.美观</w:t>
            </w:r>
          </w:p>
        </w:tc>
        <w:tc>
          <w:tcPr>
            <w:tcW w:w="851" w:type="dxa"/>
            <w:vAlign w:val="center"/>
          </w:tcPr>
          <w:p>
            <w:pPr>
              <w:jc w:val="center"/>
              <w:rPr>
                <w:rFonts w:hint="eastAsia" w:ascii="宋体" w:hAnsi="宋体" w:eastAsia="宋体" w:cs="Times New Roman"/>
                <w:szCs w:val="21"/>
              </w:rPr>
            </w:pPr>
            <w:r>
              <w:rPr>
                <w:rFonts w:hint="eastAsia" w:ascii="宋体" w:hAnsi="宋体" w:eastAsia="宋体" w:cs="Times New Roman"/>
                <w:szCs w:val="21"/>
              </w:rPr>
              <w:t>5</w:t>
            </w:r>
          </w:p>
        </w:tc>
        <w:tc>
          <w:tcPr>
            <w:tcW w:w="3260" w:type="dxa"/>
            <w:vAlign w:val="center"/>
          </w:tcPr>
          <w:p>
            <w:pPr>
              <w:rPr>
                <w:rFonts w:hint="eastAsia" w:ascii="宋体" w:hAnsi="宋体" w:eastAsia="宋体" w:cs="Times New Roman"/>
                <w:szCs w:val="21"/>
              </w:rPr>
            </w:pPr>
            <w:r>
              <w:rPr>
                <w:rFonts w:hint="eastAsia" w:ascii="宋体" w:hAnsi="宋体" w:eastAsia="宋体" w:cs="Times New Roman"/>
                <w:szCs w:val="21"/>
              </w:rPr>
              <w:t>现场实地观察    1-3都符合判定为100；1-2都符合，3不符合，判定为80；1-2有1条不符合，判定为60；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704" w:type="dxa"/>
            <w:vMerge w:val="continue"/>
            <w:vAlign w:val="center"/>
          </w:tcPr>
          <w:p>
            <w:pPr>
              <w:jc w:val="center"/>
              <w:rPr>
                <w:rFonts w:hint="eastAsia" w:ascii="宋体" w:hAnsi="宋体" w:eastAsia="宋体" w:cs="Times New Roman"/>
                <w:szCs w:val="21"/>
              </w:rPr>
            </w:pPr>
          </w:p>
        </w:tc>
        <w:tc>
          <w:tcPr>
            <w:tcW w:w="1677" w:type="dxa"/>
            <w:vMerge w:val="continue"/>
            <w:vAlign w:val="center"/>
          </w:tcPr>
          <w:p>
            <w:pPr>
              <w:rPr>
                <w:rFonts w:hint="eastAsia" w:ascii="宋体" w:hAnsi="宋体" w:eastAsia="宋体" w:cs="Times New Roman"/>
                <w:szCs w:val="21"/>
              </w:rPr>
            </w:pPr>
          </w:p>
        </w:tc>
        <w:tc>
          <w:tcPr>
            <w:tcW w:w="2859" w:type="dxa"/>
            <w:noWrap/>
            <w:vAlign w:val="center"/>
          </w:tcPr>
          <w:p>
            <w:pPr>
              <w:rPr>
                <w:rFonts w:hint="eastAsia" w:ascii="宋体" w:hAnsi="宋体" w:eastAsia="宋体" w:cs="Times New Roman"/>
                <w:szCs w:val="21"/>
              </w:rPr>
            </w:pPr>
            <w:r>
              <w:rPr>
                <w:rFonts w:hint="eastAsia" w:ascii="宋体" w:hAnsi="宋体" w:eastAsia="宋体" w:cs="Times New Roman"/>
                <w:szCs w:val="21"/>
              </w:rPr>
              <w:t>安装方向</w:t>
            </w:r>
          </w:p>
        </w:tc>
        <w:tc>
          <w:tcPr>
            <w:tcW w:w="851" w:type="dxa"/>
            <w:vMerge w:val="continue"/>
            <w:vAlign w:val="center"/>
          </w:tcPr>
          <w:p>
            <w:pPr>
              <w:rPr>
                <w:rFonts w:hint="eastAsia" w:ascii="宋体" w:hAnsi="宋体" w:eastAsia="宋体" w:cs="Times New Roman"/>
                <w:szCs w:val="21"/>
              </w:rPr>
            </w:pPr>
          </w:p>
        </w:tc>
        <w:tc>
          <w:tcPr>
            <w:tcW w:w="3685" w:type="dxa"/>
            <w:vAlign w:val="center"/>
          </w:tcPr>
          <w:p>
            <w:pPr>
              <w:rPr>
                <w:rFonts w:hint="eastAsia" w:ascii="宋体" w:hAnsi="宋体" w:eastAsia="宋体" w:cs="Times New Roman"/>
                <w:szCs w:val="21"/>
              </w:rPr>
            </w:pPr>
            <w:r>
              <w:rPr>
                <w:rFonts w:hint="eastAsia" w:ascii="宋体" w:hAnsi="宋体" w:eastAsia="宋体" w:cs="Times New Roman"/>
                <w:szCs w:val="21"/>
              </w:rPr>
              <w:t>阀门的安装方向需正确，阀门的关闭方向应与顺气流方向一致</w:t>
            </w:r>
          </w:p>
        </w:tc>
        <w:tc>
          <w:tcPr>
            <w:tcW w:w="851" w:type="dxa"/>
            <w:vAlign w:val="center"/>
          </w:tcPr>
          <w:p>
            <w:pPr>
              <w:jc w:val="center"/>
              <w:rPr>
                <w:rFonts w:hint="eastAsia" w:ascii="宋体" w:hAnsi="宋体" w:eastAsia="宋体" w:cs="Times New Roman"/>
                <w:szCs w:val="21"/>
              </w:rPr>
            </w:pPr>
            <w:r>
              <w:rPr>
                <w:rFonts w:hint="eastAsia" w:ascii="宋体" w:hAnsi="宋体" w:eastAsia="宋体" w:cs="Times New Roman"/>
                <w:szCs w:val="21"/>
              </w:rPr>
              <w:t>5</w:t>
            </w:r>
          </w:p>
        </w:tc>
        <w:tc>
          <w:tcPr>
            <w:tcW w:w="3260" w:type="dxa"/>
            <w:vAlign w:val="center"/>
          </w:tcPr>
          <w:p>
            <w:pPr>
              <w:rPr>
                <w:rFonts w:hint="eastAsia" w:ascii="宋体" w:hAnsi="宋体" w:eastAsia="宋体" w:cs="Times New Roman"/>
                <w:szCs w:val="21"/>
              </w:rPr>
            </w:pPr>
            <w:r>
              <w:rPr>
                <w:rFonts w:hint="eastAsia" w:ascii="宋体" w:hAnsi="宋体" w:eastAsia="宋体" w:cs="Times New Roman"/>
                <w:szCs w:val="21"/>
              </w:rPr>
              <w:t>将现场实际安装情况与设计图纸及气流方向进行校对，安装方向正确判定为合格，否则为不合格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704" w:type="dxa"/>
            <w:vMerge w:val="continue"/>
            <w:vAlign w:val="center"/>
          </w:tcPr>
          <w:p>
            <w:pPr>
              <w:jc w:val="center"/>
              <w:rPr>
                <w:rFonts w:hint="eastAsia" w:ascii="宋体" w:hAnsi="宋体" w:eastAsia="宋体" w:cs="Times New Roman"/>
                <w:szCs w:val="21"/>
              </w:rPr>
            </w:pPr>
          </w:p>
        </w:tc>
        <w:tc>
          <w:tcPr>
            <w:tcW w:w="1677" w:type="dxa"/>
            <w:vMerge w:val="continue"/>
            <w:vAlign w:val="center"/>
          </w:tcPr>
          <w:p>
            <w:pPr>
              <w:rPr>
                <w:rFonts w:hint="eastAsia" w:ascii="宋体" w:hAnsi="宋体" w:eastAsia="宋体" w:cs="Times New Roman"/>
                <w:szCs w:val="21"/>
              </w:rPr>
            </w:pPr>
          </w:p>
        </w:tc>
        <w:tc>
          <w:tcPr>
            <w:tcW w:w="2859" w:type="dxa"/>
            <w:noWrap/>
            <w:vAlign w:val="center"/>
          </w:tcPr>
          <w:p>
            <w:pPr>
              <w:rPr>
                <w:rFonts w:hint="eastAsia" w:ascii="宋体" w:hAnsi="宋体" w:eastAsia="宋体" w:cs="Times New Roman"/>
                <w:szCs w:val="21"/>
              </w:rPr>
            </w:pPr>
            <w:r>
              <w:rPr>
                <w:rFonts w:hint="eastAsia" w:ascii="宋体" w:hAnsi="宋体" w:eastAsia="宋体" w:cs="Times New Roman"/>
                <w:szCs w:val="21"/>
              </w:rPr>
              <w:t>阀门支撑</w:t>
            </w:r>
          </w:p>
        </w:tc>
        <w:tc>
          <w:tcPr>
            <w:tcW w:w="851" w:type="dxa"/>
            <w:vMerge w:val="continue"/>
            <w:vAlign w:val="center"/>
          </w:tcPr>
          <w:p>
            <w:pPr>
              <w:rPr>
                <w:rFonts w:hint="eastAsia" w:ascii="宋体" w:hAnsi="宋体" w:eastAsia="宋体" w:cs="Times New Roman"/>
                <w:szCs w:val="21"/>
              </w:rPr>
            </w:pPr>
          </w:p>
        </w:tc>
        <w:tc>
          <w:tcPr>
            <w:tcW w:w="3685" w:type="dxa"/>
            <w:vAlign w:val="center"/>
          </w:tcPr>
          <w:p>
            <w:pPr>
              <w:rPr>
                <w:rFonts w:hint="eastAsia" w:ascii="宋体" w:hAnsi="宋体" w:eastAsia="宋体" w:cs="Times New Roman"/>
                <w:szCs w:val="21"/>
              </w:rPr>
            </w:pPr>
            <w:r>
              <w:rPr>
                <w:rFonts w:hint="eastAsia" w:ascii="宋体" w:hAnsi="宋体" w:eastAsia="宋体" w:cs="Times New Roman"/>
                <w:szCs w:val="21"/>
              </w:rPr>
              <w:t>大于630mm的阀门安装应单独设置独立的支吊架</w:t>
            </w:r>
          </w:p>
        </w:tc>
        <w:tc>
          <w:tcPr>
            <w:tcW w:w="851" w:type="dxa"/>
            <w:vAlign w:val="center"/>
          </w:tcPr>
          <w:p>
            <w:pPr>
              <w:jc w:val="center"/>
              <w:rPr>
                <w:rFonts w:hint="eastAsia" w:ascii="宋体" w:hAnsi="宋体" w:eastAsia="宋体" w:cs="Times New Roman"/>
                <w:szCs w:val="21"/>
              </w:rPr>
            </w:pPr>
            <w:r>
              <w:rPr>
                <w:rFonts w:hint="eastAsia" w:ascii="宋体" w:hAnsi="宋体" w:eastAsia="宋体" w:cs="Times New Roman"/>
                <w:szCs w:val="21"/>
              </w:rPr>
              <w:t>5</w:t>
            </w:r>
          </w:p>
        </w:tc>
        <w:tc>
          <w:tcPr>
            <w:tcW w:w="3260" w:type="dxa"/>
            <w:vAlign w:val="center"/>
          </w:tcPr>
          <w:p>
            <w:pPr>
              <w:rPr>
                <w:rFonts w:hint="eastAsia" w:ascii="宋体" w:hAnsi="宋体" w:eastAsia="宋体" w:cs="Times New Roman"/>
                <w:szCs w:val="21"/>
              </w:rPr>
            </w:pPr>
            <w:r>
              <w:rPr>
                <w:rFonts w:hint="eastAsia" w:ascii="宋体" w:hAnsi="宋体" w:eastAsia="宋体" w:cs="Times New Roman"/>
                <w:szCs w:val="21"/>
              </w:rPr>
              <w:t>现场实地观察，单独设置独立支吊架则判定为合格；否则为不合格；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704" w:type="dxa"/>
            <w:vMerge w:val="continue"/>
            <w:vAlign w:val="center"/>
          </w:tcPr>
          <w:p>
            <w:pPr>
              <w:jc w:val="center"/>
              <w:rPr>
                <w:rFonts w:hint="eastAsia" w:ascii="宋体" w:hAnsi="宋体" w:eastAsia="宋体" w:cs="Times New Roman"/>
                <w:szCs w:val="21"/>
              </w:rPr>
            </w:pPr>
          </w:p>
        </w:tc>
        <w:tc>
          <w:tcPr>
            <w:tcW w:w="1677" w:type="dxa"/>
            <w:vMerge w:val="continue"/>
            <w:vAlign w:val="center"/>
          </w:tcPr>
          <w:p>
            <w:pPr>
              <w:rPr>
                <w:rFonts w:hint="eastAsia" w:ascii="宋体" w:hAnsi="宋体" w:eastAsia="宋体" w:cs="Times New Roman"/>
                <w:szCs w:val="21"/>
              </w:rPr>
            </w:pPr>
          </w:p>
        </w:tc>
        <w:tc>
          <w:tcPr>
            <w:tcW w:w="2859" w:type="dxa"/>
            <w:noWrap/>
            <w:vAlign w:val="center"/>
          </w:tcPr>
          <w:p>
            <w:pPr>
              <w:rPr>
                <w:rFonts w:hint="eastAsia" w:ascii="宋体" w:hAnsi="宋体" w:eastAsia="宋体" w:cs="Times New Roman"/>
                <w:szCs w:val="21"/>
              </w:rPr>
            </w:pPr>
            <w:r>
              <w:rPr>
                <w:rFonts w:hint="eastAsia" w:ascii="宋体" w:hAnsi="宋体" w:eastAsia="宋体" w:cs="Times New Roman"/>
                <w:szCs w:val="21"/>
              </w:rPr>
              <w:t>明装位置距离</w:t>
            </w:r>
          </w:p>
        </w:tc>
        <w:tc>
          <w:tcPr>
            <w:tcW w:w="851" w:type="dxa"/>
            <w:vMerge w:val="continue"/>
            <w:vAlign w:val="center"/>
          </w:tcPr>
          <w:p>
            <w:pPr>
              <w:rPr>
                <w:rFonts w:hint="eastAsia" w:ascii="宋体" w:hAnsi="宋体" w:eastAsia="宋体" w:cs="Times New Roman"/>
                <w:szCs w:val="21"/>
              </w:rPr>
            </w:pPr>
          </w:p>
        </w:tc>
        <w:tc>
          <w:tcPr>
            <w:tcW w:w="3685" w:type="dxa"/>
            <w:vAlign w:val="center"/>
          </w:tcPr>
          <w:p>
            <w:pPr>
              <w:rPr>
                <w:rFonts w:hint="eastAsia" w:ascii="宋体" w:hAnsi="宋体" w:eastAsia="宋体" w:cs="Times New Roman"/>
                <w:szCs w:val="21"/>
              </w:rPr>
            </w:pPr>
            <w:r>
              <w:rPr>
                <w:rFonts w:hint="eastAsia" w:ascii="宋体" w:hAnsi="宋体" w:eastAsia="宋体" w:cs="Times New Roman"/>
                <w:szCs w:val="21"/>
              </w:rPr>
              <w:t>防火阀设在防火分区隔墙两侧时，距离墙端面不应大于 200mm</w:t>
            </w:r>
          </w:p>
        </w:tc>
        <w:tc>
          <w:tcPr>
            <w:tcW w:w="851" w:type="dxa"/>
            <w:vAlign w:val="center"/>
          </w:tcPr>
          <w:p>
            <w:pPr>
              <w:jc w:val="center"/>
              <w:rPr>
                <w:rFonts w:hint="eastAsia" w:ascii="宋体" w:hAnsi="宋体" w:eastAsia="宋体" w:cs="Times New Roman"/>
                <w:szCs w:val="21"/>
              </w:rPr>
            </w:pPr>
            <w:r>
              <w:rPr>
                <w:rFonts w:hint="eastAsia" w:ascii="宋体" w:hAnsi="宋体" w:eastAsia="宋体" w:cs="Times New Roman"/>
                <w:szCs w:val="21"/>
              </w:rPr>
              <w:t>5</w:t>
            </w:r>
          </w:p>
        </w:tc>
        <w:tc>
          <w:tcPr>
            <w:tcW w:w="3260" w:type="dxa"/>
            <w:vAlign w:val="center"/>
          </w:tcPr>
          <w:p>
            <w:pPr>
              <w:rPr>
                <w:rFonts w:hint="eastAsia" w:ascii="宋体" w:hAnsi="宋体" w:eastAsia="宋体" w:cs="Times New Roman"/>
                <w:szCs w:val="21"/>
              </w:rPr>
            </w:pPr>
            <w:r>
              <w:rPr>
                <w:rFonts w:hint="eastAsia" w:ascii="宋体" w:hAnsi="宋体" w:eastAsia="宋体" w:cs="Times New Roman"/>
                <w:szCs w:val="21"/>
              </w:rPr>
              <w:t>现场实地观察，符合要求时则判定为合格；否则为不合格；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704" w:type="dxa"/>
            <w:vMerge w:val="continue"/>
            <w:vAlign w:val="center"/>
          </w:tcPr>
          <w:p>
            <w:pPr>
              <w:jc w:val="center"/>
              <w:rPr>
                <w:rFonts w:hint="eastAsia" w:ascii="宋体" w:hAnsi="宋体" w:eastAsia="宋体" w:cs="Times New Roman"/>
                <w:szCs w:val="21"/>
              </w:rPr>
            </w:pPr>
          </w:p>
        </w:tc>
        <w:tc>
          <w:tcPr>
            <w:tcW w:w="1677" w:type="dxa"/>
            <w:vMerge w:val="continue"/>
            <w:vAlign w:val="center"/>
          </w:tcPr>
          <w:p>
            <w:pPr>
              <w:rPr>
                <w:rFonts w:hint="eastAsia" w:ascii="宋体" w:hAnsi="宋体" w:eastAsia="宋体" w:cs="Times New Roman"/>
                <w:szCs w:val="21"/>
              </w:rPr>
            </w:pPr>
          </w:p>
        </w:tc>
        <w:tc>
          <w:tcPr>
            <w:tcW w:w="2859" w:type="dxa"/>
            <w:noWrap/>
            <w:vAlign w:val="center"/>
          </w:tcPr>
          <w:p>
            <w:pPr>
              <w:rPr>
                <w:rFonts w:hint="eastAsia" w:ascii="宋体" w:hAnsi="宋体" w:eastAsia="宋体" w:cs="Times New Roman"/>
                <w:szCs w:val="21"/>
              </w:rPr>
            </w:pPr>
            <w:r>
              <w:rPr>
                <w:rFonts w:hint="eastAsia" w:ascii="宋体" w:hAnsi="宋体" w:eastAsia="宋体" w:cs="Times New Roman"/>
                <w:szCs w:val="21"/>
              </w:rPr>
              <w:t>暗装位置</w:t>
            </w:r>
          </w:p>
        </w:tc>
        <w:tc>
          <w:tcPr>
            <w:tcW w:w="851" w:type="dxa"/>
            <w:vMerge w:val="continue"/>
            <w:vAlign w:val="center"/>
          </w:tcPr>
          <w:p>
            <w:pPr>
              <w:rPr>
                <w:rFonts w:hint="eastAsia" w:ascii="宋体" w:hAnsi="宋体" w:eastAsia="宋体" w:cs="Times New Roman"/>
                <w:szCs w:val="21"/>
              </w:rPr>
            </w:pPr>
          </w:p>
        </w:tc>
        <w:tc>
          <w:tcPr>
            <w:tcW w:w="3685" w:type="dxa"/>
            <w:vAlign w:val="center"/>
          </w:tcPr>
          <w:p>
            <w:pPr>
              <w:rPr>
                <w:rFonts w:hint="eastAsia" w:ascii="宋体" w:hAnsi="宋体" w:eastAsia="宋体" w:cs="Times New Roman"/>
                <w:szCs w:val="21"/>
              </w:rPr>
            </w:pPr>
            <w:r>
              <w:rPr>
                <w:rFonts w:hint="eastAsia" w:ascii="宋体" w:hAnsi="宋体" w:eastAsia="宋体" w:cs="Times New Roman"/>
                <w:szCs w:val="21"/>
              </w:rPr>
              <w:t>防火阀暗装时，需在安装部位设置方便维护的检修口</w:t>
            </w:r>
          </w:p>
        </w:tc>
        <w:tc>
          <w:tcPr>
            <w:tcW w:w="851" w:type="dxa"/>
            <w:vAlign w:val="center"/>
          </w:tcPr>
          <w:p>
            <w:pPr>
              <w:jc w:val="center"/>
              <w:rPr>
                <w:rFonts w:hint="eastAsia" w:ascii="宋体" w:hAnsi="宋体" w:eastAsia="宋体" w:cs="Times New Roman"/>
                <w:szCs w:val="21"/>
              </w:rPr>
            </w:pPr>
            <w:r>
              <w:rPr>
                <w:rFonts w:hint="eastAsia" w:ascii="宋体" w:hAnsi="宋体" w:eastAsia="宋体" w:cs="Times New Roman"/>
                <w:szCs w:val="21"/>
              </w:rPr>
              <w:t>5</w:t>
            </w:r>
          </w:p>
        </w:tc>
        <w:tc>
          <w:tcPr>
            <w:tcW w:w="3260" w:type="dxa"/>
            <w:vAlign w:val="center"/>
          </w:tcPr>
          <w:p>
            <w:pPr>
              <w:rPr>
                <w:rFonts w:hint="eastAsia" w:ascii="宋体" w:hAnsi="宋体" w:eastAsia="宋体" w:cs="Times New Roman"/>
                <w:szCs w:val="21"/>
              </w:rPr>
            </w:pPr>
            <w:r>
              <w:rPr>
                <w:rFonts w:hint="eastAsia" w:ascii="宋体" w:hAnsi="宋体" w:eastAsia="宋体" w:cs="Times New Roman"/>
                <w:szCs w:val="21"/>
              </w:rPr>
              <w:t>现场实地观察，符合要求时则判定为合格；否则为不合格；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704" w:type="dxa"/>
            <w:vMerge w:val="continue"/>
            <w:vAlign w:val="center"/>
          </w:tcPr>
          <w:p>
            <w:pPr>
              <w:jc w:val="center"/>
              <w:rPr>
                <w:rFonts w:hint="eastAsia" w:ascii="宋体" w:hAnsi="宋体" w:eastAsia="宋体" w:cs="Times New Roman"/>
                <w:szCs w:val="21"/>
              </w:rPr>
            </w:pPr>
          </w:p>
        </w:tc>
        <w:tc>
          <w:tcPr>
            <w:tcW w:w="1677" w:type="dxa"/>
            <w:vMerge w:val="continue"/>
            <w:vAlign w:val="center"/>
          </w:tcPr>
          <w:p>
            <w:pPr>
              <w:rPr>
                <w:rFonts w:hint="eastAsia" w:ascii="宋体" w:hAnsi="宋体" w:eastAsia="宋体" w:cs="Times New Roman"/>
                <w:szCs w:val="21"/>
              </w:rPr>
            </w:pPr>
          </w:p>
        </w:tc>
        <w:tc>
          <w:tcPr>
            <w:tcW w:w="2859" w:type="dxa"/>
            <w:noWrap/>
            <w:vAlign w:val="center"/>
          </w:tcPr>
          <w:p>
            <w:pPr>
              <w:rPr>
                <w:rFonts w:hint="eastAsia" w:ascii="宋体" w:hAnsi="宋体" w:eastAsia="宋体" w:cs="Times New Roman"/>
                <w:szCs w:val="21"/>
              </w:rPr>
            </w:pPr>
            <w:r>
              <w:rPr>
                <w:rFonts w:hint="eastAsia" w:ascii="宋体" w:hAnsi="宋体" w:eastAsia="宋体" w:cs="Times New Roman"/>
                <w:szCs w:val="21"/>
              </w:rPr>
              <w:t>手动驱动装置安装位置</w:t>
            </w:r>
          </w:p>
        </w:tc>
        <w:tc>
          <w:tcPr>
            <w:tcW w:w="851" w:type="dxa"/>
            <w:vMerge w:val="continue"/>
            <w:vAlign w:val="center"/>
          </w:tcPr>
          <w:p>
            <w:pPr>
              <w:rPr>
                <w:rFonts w:hint="eastAsia" w:ascii="宋体" w:hAnsi="宋体" w:eastAsia="宋体" w:cs="Times New Roman"/>
                <w:szCs w:val="21"/>
              </w:rPr>
            </w:pPr>
          </w:p>
        </w:tc>
        <w:tc>
          <w:tcPr>
            <w:tcW w:w="3685" w:type="dxa"/>
            <w:vAlign w:val="center"/>
          </w:tcPr>
          <w:p>
            <w:pPr>
              <w:rPr>
                <w:rFonts w:hint="eastAsia" w:ascii="宋体" w:hAnsi="宋体" w:eastAsia="宋体" w:cs="Times New Roman"/>
                <w:szCs w:val="21"/>
              </w:rPr>
            </w:pPr>
            <w:r>
              <w:rPr>
                <w:rFonts w:hint="eastAsia" w:ascii="宋体" w:hAnsi="宋体" w:eastAsia="宋体" w:cs="Times New Roman"/>
                <w:szCs w:val="21"/>
              </w:rPr>
              <w:t>手动驱动装置应安装在明显可见、距楼地面 1.3m～1.5m 之间便于操作的位置，操作应灵活</w:t>
            </w:r>
          </w:p>
        </w:tc>
        <w:tc>
          <w:tcPr>
            <w:tcW w:w="851" w:type="dxa"/>
            <w:vAlign w:val="center"/>
          </w:tcPr>
          <w:p>
            <w:pPr>
              <w:jc w:val="center"/>
              <w:rPr>
                <w:rFonts w:hint="eastAsia" w:ascii="宋体" w:hAnsi="宋体" w:eastAsia="宋体" w:cs="Times New Roman"/>
                <w:szCs w:val="21"/>
              </w:rPr>
            </w:pPr>
            <w:r>
              <w:rPr>
                <w:rFonts w:hint="eastAsia" w:ascii="宋体" w:hAnsi="宋体" w:eastAsia="宋体" w:cs="Times New Roman"/>
                <w:szCs w:val="21"/>
              </w:rPr>
              <w:t>5</w:t>
            </w:r>
          </w:p>
        </w:tc>
        <w:tc>
          <w:tcPr>
            <w:tcW w:w="3260" w:type="dxa"/>
            <w:vAlign w:val="center"/>
          </w:tcPr>
          <w:p>
            <w:pPr>
              <w:rPr>
                <w:rFonts w:hint="eastAsia" w:ascii="宋体" w:hAnsi="宋体" w:eastAsia="宋体" w:cs="Times New Roman"/>
                <w:szCs w:val="21"/>
              </w:rPr>
            </w:pPr>
            <w:r>
              <w:rPr>
                <w:rFonts w:hint="eastAsia" w:ascii="宋体" w:hAnsi="宋体" w:eastAsia="宋体" w:cs="Times New Roman"/>
                <w:szCs w:val="21"/>
              </w:rPr>
              <w:t>采用现场实测的方式，若处于便于操作的位置，则判定为合格；否则为不合格；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704" w:type="dxa"/>
            <w:vMerge w:val="continue"/>
            <w:vAlign w:val="center"/>
          </w:tcPr>
          <w:p>
            <w:pPr>
              <w:jc w:val="center"/>
              <w:rPr>
                <w:rFonts w:hint="eastAsia" w:ascii="宋体" w:hAnsi="宋体" w:eastAsia="宋体" w:cs="Times New Roman"/>
                <w:szCs w:val="21"/>
              </w:rPr>
            </w:pPr>
          </w:p>
        </w:tc>
        <w:tc>
          <w:tcPr>
            <w:tcW w:w="1677" w:type="dxa"/>
            <w:vMerge w:val="continue"/>
            <w:vAlign w:val="center"/>
          </w:tcPr>
          <w:p>
            <w:pPr>
              <w:rPr>
                <w:rFonts w:hint="eastAsia" w:ascii="宋体" w:hAnsi="宋体" w:eastAsia="宋体" w:cs="Times New Roman"/>
                <w:szCs w:val="21"/>
              </w:rPr>
            </w:pPr>
          </w:p>
        </w:tc>
        <w:tc>
          <w:tcPr>
            <w:tcW w:w="2859" w:type="dxa"/>
            <w:noWrap/>
            <w:vAlign w:val="center"/>
          </w:tcPr>
          <w:p>
            <w:pPr>
              <w:rPr>
                <w:rFonts w:hint="eastAsia" w:ascii="宋体" w:hAnsi="宋体" w:eastAsia="宋体" w:cs="Times New Roman"/>
                <w:szCs w:val="21"/>
              </w:rPr>
            </w:pPr>
            <w:r>
              <w:rPr>
                <w:rFonts w:hint="eastAsia" w:ascii="宋体" w:hAnsi="宋体" w:eastAsia="宋体" w:cs="Times New Roman"/>
                <w:szCs w:val="21"/>
              </w:rPr>
              <w:t>与各类风管连接</w:t>
            </w:r>
          </w:p>
        </w:tc>
        <w:tc>
          <w:tcPr>
            <w:tcW w:w="851" w:type="dxa"/>
            <w:vMerge w:val="continue"/>
            <w:vAlign w:val="center"/>
          </w:tcPr>
          <w:p>
            <w:pPr>
              <w:rPr>
                <w:rFonts w:hint="eastAsia" w:ascii="宋体" w:hAnsi="宋体" w:eastAsia="宋体" w:cs="Times New Roman"/>
                <w:szCs w:val="21"/>
              </w:rPr>
            </w:pPr>
          </w:p>
        </w:tc>
        <w:tc>
          <w:tcPr>
            <w:tcW w:w="3685" w:type="dxa"/>
            <w:vAlign w:val="center"/>
          </w:tcPr>
          <w:p>
            <w:pPr>
              <w:rPr>
                <w:rFonts w:hint="eastAsia" w:ascii="宋体" w:hAnsi="宋体" w:eastAsia="宋体" w:cs="Times New Roman"/>
                <w:szCs w:val="21"/>
              </w:rPr>
            </w:pPr>
            <w:r>
              <w:rPr>
                <w:rFonts w:hint="eastAsia" w:ascii="宋体" w:hAnsi="宋体" w:eastAsia="宋体" w:cs="Times New Roman"/>
                <w:szCs w:val="21"/>
              </w:rPr>
              <w:t>防火阀与普通风管、无机玻璃钢组合风管等类型风管连接时需符合图集07K103-2的要求</w:t>
            </w:r>
          </w:p>
        </w:tc>
        <w:tc>
          <w:tcPr>
            <w:tcW w:w="851" w:type="dxa"/>
            <w:vAlign w:val="center"/>
          </w:tcPr>
          <w:p>
            <w:pPr>
              <w:jc w:val="center"/>
              <w:rPr>
                <w:rFonts w:hint="eastAsia" w:ascii="宋体" w:hAnsi="宋体" w:eastAsia="宋体" w:cs="Times New Roman"/>
                <w:szCs w:val="21"/>
              </w:rPr>
            </w:pPr>
            <w:r>
              <w:rPr>
                <w:rFonts w:hint="eastAsia" w:ascii="宋体" w:hAnsi="宋体" w:eastAsia="宋体" w:cs="Times New Roman"/>
                <w:szCs w:val="21"/>
              </w:rPr>
              <w:t>5</w:t>
            </w:r>
          </w:p>
        </w:tc>
        <w:tc>
          <w:tcPr>
            <w:tcW w:w="3260" w:type="dxa"/>
            <w:vAlign w:val="center"/>
          </w:tcPr>
          <w:p>
            <w:pPr>
              <w:rPr>
                <w:rFonts w:hint="eastAsia" w:ascii="宋体" w:hAnsi="宋体" w:eastAsia="宋体" w:cs="Times New Roman"/>
                <w:szCs w:val="21"/>
              </w:rPr>
            </w:pPr>
            <w:r>
              <w:rPr>
                <w:rFonts w:hint="eastAsia" w:ascii="宋体" w:hAnsi="宋体" w:eastAsia="宋体" w:cs="Times New Roman"/>
                <w:szCs w:val="21"/>
              </w:rPr>
              <w:t>根据图集07K103-2中的要求，对连接处采用的角钢、螺栓和锚栓的规格、间距进行核实，标准不低于图集要求则判定为合格；否则为不合格；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704" w:type="dxa"/>
            <w:vMerge w:val="continue"/>
            <w:vAlign w:val="center"/>
          </w:tcPr>
          <w:p>
            <w:pPr>
              <w:jc w:val="center"/>
              <w:rPr>
                <w:rFonts w:hint="eastAsia" w:ascii="宋体" w:hAnsi="宋体" w:eastAsia="宋体" w:cs="Times New Roman"/>
                <w:szCs w:val="21"/>
              </w:rPr>
            </w:pPr>
          </w:p>
        </w:tc>
        <w:tc>
          <w:tcPr>
            <w:tcW w:w="1677" w:type="dxa"/>
            <w:vMerge w:val="continue"/>
            <w:vAlign w:val="center"/>
          </w:tcPr>
          <w:p>
            <w:pPr>
              <w:rPr>
                <w:rFonts w:hint="eastAsia" w:ascii="宋体" w:hAnsi="宋体" w:eastAsia="宋体" w:cs="Times New Roman"/>
                <w:szCs w:val="21"/>
              </w:rPr>
            </w:pPr>
          </w:p>
        </w:tc>
        <w:tc>
          <w:tcPr>
            <w:tcW w:w="2859" w:type="dxa"/>
            <w:noWrap/>
            <w:vAlign w:val="center"/>
          </w:tcPr>
          <w:p>
            <w:pPr>
              <w:rPr>
                <w:rFonts w:hint="eastAsia" w:ascii="宋体" w:hAnsi="宋体" w:eastAsia="宋体" w:cs="Times New Roman"/>
                <w:szCs w:val="21"/>
              </w:rPr>
            </w:pPr>
            <w:r>
              <w:rPr>
                <w:rFonts w:hint="eastAsia" w:ascii="宋体" w:hAnsi="宋体" w:eastAsia="宋体" w:cs="Times New Roman"/>
                <w:szCs w:val="21"/>
              </w:rPr>
              <w:t>标识</w:t>
            </w:r>
          </w:p>
        </w:tc>
        <w:tc>
          <w:tcPr>
            <w:tcW w:w="851" w:type="dxa"/>
            <w:vMerge w:val="continue"/>
            <w:vAlign w:val="center"/>
          </w:tcPr>
          <w:p>
            <w:pPr>
              <w:rPr>
                <w:rFonts w:hint="eastAsia" w:ascii="宋体" w:hAnsi="宋体" w:eastAsia="宋体" w:cs="Times New Roman"/>
                <w:szCs w:val="21"/>
              </w:rPr>
            </w:pPr>
          </w:p>
        </w:tc>
        <w:tc>
          <w:tcPr>
            <w:tcW w:w="3685" w:type="dxa"/>
            <w:vAlign w:val="center"/>
          </w:tcPr>
          <w:p>
            <w:pPr>
              <w:rPr>
                <w:rFonts w:hint="eastAsia" w:ascii="宋体" w:hAnsi="宋体" w:eastAsia="宋体" w:cs="Times New Roman"/>
                <w:szCs w:val="21"/>
              </w:rPr>
            </w:pPr>
            <w:r>
              <w:rPr>
                <w:rFonts w:hint="eastAsia" w:ascii="宋体" w:hAnsi="宋体" w:eastAsia="宋体" w:cs="Times New Roman"/>
                <w:szCs w:val="21"/>
              </w:rPr>
              <w:t>风管采用不燃材料进行防火隔热时，阀门安装处应有明显标识</w:t>
            </w:r>
          </w:p>
        </w:tc>
        <w:tc>
          <w:tcPr>
            <w:tcW w:w="851" w:type="dxa"/>
            <w:vAlign w:val="center"/>
          </w:tcPr>
          <w:p>
            <w:pPr>
              <w:jc w:val="center"/>
              <w:rPr>
                <w:rFonts w:hint="eastAsia" w:ascii="宋体" w:hAnsi="宋体" w:eastAsia="宋体" w:cs="Times New Roman"/>
                <w:szCs w:val="21"/>
              </w:rPr>
            </w:pPr>
            <w:r>
              <w:rPr>
                <w:rFonts w:hint="eastAsia" w:ascii="宋体" w:hAnsi="宋体" w:eastAsia="宋体" w:cs="Times New Roman"/>
                <w:szCs w:val="21"/>
              </w:rPr>
              <w:t>5</w:t>
            </w:r>
          </w:p>
        </w:tc>
        <w:tc>
          <w:tcPr>
            <w:tcW w:w="3260" w:type="dxa"/>
            <w:vAlign w:val="center"/>
          </w:tcPr>
          <w:p>
            <w:pPr>
              <w:rPr>
                <w:rFonts w:hint="eastAsia" w:ascii="宋体" w:hAnsi="宋体" w:eastAsia="宋体" w:cs="Times New Roman"/>
                <w:szCs w:val="21"/>
              </w:rPr>
            </w:pPr>
            <w:r>
              <w:rPr>
                <w:rFonts w:hint="eastAsia" w:ascii="宋体" w:hAnsi="宋体" w:eastAsia="宋体" w:cs="Times New Roman"/>
                <w:szCs w:val="21"/>
              </w:rPr>
              <w:t>现场实地观察，设置标识判定为合格；否则为不合格。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704" w:type="dxa"/>
            <w:vMerge w:val="continue"/>
            <w:vAlign w:val="center"/>
          </w:tcPr>
          <w:p>
            <w:pPr>
              <w:jc w:val="center"/>
              <w:rPr>
                <w:rFonts w:hint="eastAsia" w:ascii="宋体" w:hAnsi="宋体" w:eastAsia="宋体" w:cs="Times New Roman"/>
                <w:szCs w:val="21"/>
              </w:rPr>
            </w:pPr>
          </w:p>
        </w:tc>
        <w:tc>
          <w:tcPr>
            <w:tcW w:w="1677" w:type="dxa"/>
            <w:vMerge w:val="continue"/>
            <w:vAlign w:val="center"/>
          </w:tcPr>
          <w:p>
            <w:pPr>
              <w:rPr>
                <w:rFonts w:hint="eastAsia" w:ascii="宋体" w:hAnsi="宋体" w:eastAsia="宋体" w:cs="Times New Roman"/>
                <w:szCs w:val="21"/>
              </w:rPr>
            </w:pPr>
          </w:p>
        </w:tc>
        <w:tc>
          <w:tcPr>
            <w:tcW w:w="2859" w:type="dxa"/>
            <w:noWrap/>
            <w:vAlign w:val="center"/>
          </w:tcPr>
          <w:p>
            <w:pPr>
              <w:rPr>
                <w:rFonts w:hint="eastAsia" w:ascii="宋体" w:hAnsi="宋体" w:eastAsia="宋体" w:cs="Times New Roman"/>
                <w:szCs w:val="21"/>
              </w:rPr>
            </w:pPr>
            <w:r>
              <w:rPr>
                <w:rFonts w:hint="eastAsia" w:ascii="宋体" w:hAnsi="宋体" w:eastAsia="宋体" w:cs="Times New Roman"/>
                <w:szCs w:val="21"/>
              </w:rPr>
              <w:t>防火阀接线</w:t>
            </w:r>
          </w:p>
        </w:tc>
        <w:tc>
          <w:tcPr>
            <w:tcW w:w="851" w:type="dxa"/>
            <w:vMerge w:val="continue"/>
            <w:vAlign w:val="center"/>
          </w:tcPr>
          <w:p>
            <w:pPr>
              <w:rPr>
                <w:rFonts w:hint="eastAsia" w:ascii="宋体" w:hAnsi="宋体" w:eastAsia="宋体" w:cs="Times New Roman"/>
                <w:szCs w:val="21"/>
              </w:rPr>
            </w:pPr>
          </w:p>
        </w:tc>
        <w:tc>
          <w:tcPr>
            <w:tcW w:w="3685" w:type="dxa"/>
            <w:vAlign w:val="center"/>
          </w:tcPr>
          <w:p>
            <w:pPr>
              <w:rPr>
                <w:rFonts w:hint="eastAsia" w:ascii="宋体" w:hAnsi="宋体" w:eastAsia="宋体" w:cs="Times New Roman"/>
                <w:szCs w:val="21"/>
              </w:rPr>
            </w:pPr>
            <w:r>
              <w:rPr>
                <w:rFonts w:hint="eastAsia" w:ascii="宋体" w:hAnsi="宋体" w:eastAsia="宋体" w:cs="Times New Roman"/>
                <w:szCs w:val="21"/>
              </w:rPr>
              <w:t>防火阀接线端子放到明装盒内，穿线软管和明装盒可靠连接</w:t>
            </w:r>
          </w:p>
        </w:tc>
        <w:tc>
          <w:tcPr>
            <w:tcW w:w="851" w:type="dxa"/>
            <w:vAlign w:val="center"/>
          </w:tcPr>
          <w:p>
            <w:pPr>
              <w:jc w:val="center"/>
              <w:rPr>
                <w:rFonts w:hint="eastAsia" w:ascii="宋体" w:hAnsi="宋体" w:eastAsia="宋体" w:cs="Times New Roman"/>
                <w:szCs w:val="21"/>
              </w:rPr>
            </w:pPr>
            <w:r>
              <w:rPr>
                <w:rFonts w:hint="eastAsia" w:ascii="宋体" w:hAnsi="宋体" w:eastAsia="宋体" w:cs="Times New Roman"/>
                <w:szCs w:val="21"/>
              </w:rPr>
              <w:t>5</w:t>
            </w:r>
          </w:p>
        </w:tc>
        <w:tc>
          <w:tcPr>
            <w:tcW w:w="3260" w:type="dxa"/>
            <w:vAlign w:val="center"/>
          </w:tcPr>
          <w:p>
            <w:pPr>
              <w:rPr>
                <w:rFonts w:hint="eastAsia" w:ascii="宋体" w:hAnsi="宋体" w:eastAsia="宋体" w:cs="Times New Roman"/>
                <w:szCs w:val="21"/>
              </w:rPr>
            </w:pPr>
            <w:r>
              <w:rPr>
                <w:rFonts w:hint="eastAsia" w:ascii="宋体" w:hAnsi="宋体" w:eastAsia="宋体" w:cs="Times New Roman"/>
                <w:szCs w:val="21"/>
              </w:rPr>
              <w:t>现场实地观察，软管入盒采用配套螺母连接；其它连接为不合格；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704" w:type="dxa"/>
            <w:vMerge w:val="restart"/>
            <w:noWrap/>
            <w:vAlign w:val="center"/>
          </w:tcPr>
          <w:p>
            <w:pPr>
              <w:jc w:val="center"/>
              <w:rPr>
                <w:rFonts w:hint="eastAsia" w:ascii="宋体" w:hAnsi="宋体" w:eastAsia="宋体" w:cs="Times New Roman"/>
                <w:szCs w:val="21"/>
              </w:rPr>
            </w:pPr>
            <w:r>
              <w:rPr>
                <w:rFonts w:hint="eastAsia" w:ascii="宋体" w:hAnsi="宋体" w:eastAsia="宋体" w:cs="Times New Roman"/>
                <w:szCs w:val="21"/>
              </w:rPr>
              <w:t>3</w:t>
            </w:r>
          </w:p>
        </w:tc>
        <w:tc>
          <w:tcPr>
            <w:tcW w:w="1677" w:type="dxa"/>
            <w:vMerge w:val="restart"/>
            <w:noWrap/>
            <w:vAlign w:val="center"/>
          </w:tcPr>
          <w:p>
            <w:pPr>
              <w:rPr>
                <w:rFonts w:hint="eastAsia" w:ascii="宋体" w:hAnsi="宋体" w:eastAsia="宋体" w:cs="Times New Roman"/>
                <w:szCs w:val="21"/>
              </w:rPr>
            </w:pPr>
            <w:r>
              <w:rPr>
                <w:rFonts w:hint="eastAsia" w:ascii="宋体" w:hAnsi="宋体" w:eastAsia="宋体" w:cs="Times New Roman"/>
                <w:szCs w:val="21"/>
              </w:rPr>
              <w:t>C排烟防火阀</w:t>
            </w:r>
          </w:p>
        </w:tc>
        <w:tc>
          <w:tcPr>
            <w:tcW w:w="2859" w:type="dxa"/>
            <w:noWrap/>
            <w:vAlign w:val="center"/>
          </w:tcPr>
          <w:p>
            <w:pPr>
              <w:jc w:val="center"/>
              <w:rPr>
                <w:rFonts w:hint="eastAsia" w:ascii="宋体" w:hAnsi="宋体" w:eastAsia="宋体" w:cs="Times New Roman"/>
                <w:b/>
                <w:bCs/>
                <w:szCs w:val="21"/>
              </w:rPr>
            </w:pPr>
            <w:r>
              <w:rPr>
                <w:rFonts w:hint="eastAsia" w:ascii="宋体" w:hAnsi="宋体" w:eastAsia="宋体" w:cs="Times New Roman"/>
                <w:b/>
                <w:bCs/>
                <w:szCs w:val="21"/>
              </w:rPr>
              <w:t>主控项</w:t>
            </w:r>
          </w:p>
        </w:tc>
        <w:tc>
          <w:tcPr>
            <w:tcW w:w="851" w:type="dxa"/>
            <w:vMerge w:val="restart"/>
            <w:noWrap/>
            <w:vAlign w:val="center"/>
          </w:tcPr>
          <w:p>
            <w:pPr>
              <w:jc w:val="center"/>
              <w:rPr>
                <w:rFonts w:hint="eastAsia" w:ascii="宋体" w:hAnsi="宋体" w:eastAsia="宋体" w:cs="Times New Roman"/>
                <w:szCs w:val="21"/>
              </w:rPr>
            </w:pPr>
            <w:r>
              <w:rPr>
                <w:rFonts w:hint="eastAsia" w:cs="Times New Roman" w:asciiTheme="minorEastAsia" w:hAnsiTheme="minorEastAsia"/>
                <w:szCs w:val="21"/>
              </w:rPr>
              <w:t>0.10</w:t>
            </w:r>
          </w:p>
        </w:tc>
        <w:tc>
          <w:tcPr>
            <w:tcW w:w="3685" w:type="dxa"/>
            <w:vAlign w:val="center"/>
          </w:tcPr>
          <w:p>
            <w:pPr>
              <w:jc w:val="center"/>
              <w:rPr>
                <w:rFonts w:hint="eastAsia" w:ascii="宋体" w:hAnsi="宋体" w:eastAsia="宋体" w:cs="Times New Roman"/>
                <w:b/>
                <w:bCs/>
                <w:szCs w:val="21"/>
              </w:rPr>
            </w:pPr>
            <w:r>
              <w:rPr>
                <w:rFonts w:hint="eastAsia" w:ascii="宋体" w:hAnsi="宋体" w:eastAsia="宋体" w:cs="Times New Roman"/>
                <w:b/>
                <w:bCs/>
                <w:szCs w:val="21"/>
              </w:rPr>
              <w:t>主控项评分要点</w:t>
            </w:r>
          </w:p>
        </w:tc>
        <w:tc>
          <w:tcPr>
            <w:tcW w:w="851" w:type="dxa"/>
            <w:vAlign w:val="center"/>
          </w:tcPr>
          <w:p>
            <w:pPr>
              <w:jc w:val="center"/>
              <w:rPr>
                <w:rFonts w:hint="eastAsia" w:ascii="宋体" w:hAnsi="宋体" w:eastAsia="宋体" w:cs="Times New Roman"/>
                <w:b/>
                <w:bCs/>
                <w:szCs w:val="21"/>
              </w:rPr>
            </w:pPr>
            <w:r>
              <w:rPr>
                <w:rFonts w:hint="eastAsia" w:ascii="宋体" w:hAnsi="宋体" w:eastAsia="宋体" w:cs="Times New Roman"/>
                <w:b/>
                <w:bCs/>
                <w:szCs w:val="21"/>
              </w:rPr>
              <w:t>评分</w:t>
            </w:r>
          </w:p>
        </w:tc>
        <w:tc>
          <w:tcPr>
            <w:tcW w:w="3260" w:type="dxa"/>
            <w:vAlign w:val="center"/>
          </w:tcPr>
          <w:p>
            <w:pPr>
              <w:jc w:val="center"/>
              <w:rPr>
                <w:rFonts w:hint="eastAsia"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704" w:type="dxa"/>
            <w:vMerge w:val="continue"/>
            <w:vAlign w:val="center"/>
          </w:tcPr>
          <w:p>
            <w:pPr>
              <w:jc w:val="center"/>
              <w:rPr>
                <w:rFonts w:hint="eastAsia" w:ascii="宋体" w:hAnsi="宋体" w:eastAsia="宋体" w:cs="Times New Roman"/>
                <w:szCs w:val="21"/>
              </w:rPr>
            </w:pPr>
          </w:p>
        </w:tc>
        <w:tc>
          <w:tcPr>
            <w:tcW w:w="1677" w:type="dxa"/>
            <w:vMerge w:val="continue"/>
            <w:vAlign w:val="center"/>
          </w:tcPr>
          <w:p>
            <w:pPr>
              <w:rPr>
                <w:rFonts w:hint="eastAsia" w:ascii="宋体" w:hAnsi="宋体" w:eastAsia="宋体" w:cs="Times New Roman"/>
                <w:szCs w:val="21"/>
              </w:rPr>
            </w:pPr>
          </w:p>
        </w:tc>
        <w:tc>
          <w:tcPr>
            <w:tcW w:w="2859" w:type="dxa"/>
            <w:vAlign w:val="center"/>
          </w:tcPr>
          <w:p>
            <w:pPr>
              <w:rPr>
                <w:rFonts w:hint="eastAsia" w:ascii="宋体" w:hAnsi="宋体" w:eastAsia="宋体" w:cs="Times New Roman"/>
                <w:szCs w:val="21"/>
              </w:rPr>
            </w:pPr>
            <w:r>
              <w:rPr>
                <w:rFonts w:hint="eastAsia" w:ascii="宋体" w:hAnsi="宋体" w:eastAsia="宋体" w:cs="Times New Roman"/>
                <w:szCs w:val="21"/>
              </w:rPr>
              <w:t>阀门本身的资料</w:t>
            </w:r>
          </w:p>
        </w:tc>
        <w:tc>
          <w:tcPr>
            <w:tcW w:w="851" w:type="dxa"/>
            <w:vMerge w:val="continue"/>
            <w:vAlign w:val="center"/>
          </w:tcPr>
          <w:p>
            <w:pPr>
              <w:rPr>
                <w:rFonts w:hint="eastAsia" w:ascii="宋体" w:hAnsi="宋体" w:eastAsia="宋体" w:cs="Times New Roman"/>
                <w:szCs w:val="21"/>
              </w:rPr>
            </w:pPr>
          </w:p>
        </w:tc>
        <w:tc>
          <w:tcPr>
            <w:tcW w:w="3685" w:type="dxa"/>
            <w:vAlign w:val="center"/>
          </w:tcPr>
          <w:p>
            <w:pPr>
              <w:rPr>
                <w:rFonts w:hint="eastAsia" w:ascii="宋体" w:hAnsi="宋体" w:eastAsia="宋体" w:cs="Times New Roman"/>
                <w:szCs w:val="21"/>
              </w:rPr>
            </w:pPr>
            <w:r>
              <w:rPr>
                <w:rFonts w:hint="eastAsia" w:ascii="宋体" w:hAnsi="宋体" w:eastAsia="宋体" w:cs="Times New Roman"/>
                <w:szCs w:val="21"/>
              </w:rPr>
              <w:t>阀门进场时，需要对其资料进行严格审查，需满足设计及规范要求</w:t>
            </w:r>
          </w:p>
        </w:tc>
        <w:tc>
          <w:tcPr>
            <w:tcW w:w="851" w:type="dxa"/>
            <w:vAlign w:val="center"/>
          </w:tcPr>
          <w:p>
            <w:pPr>
              <w:jc w:val="center"/>
              <w:rPr>
                <w:rFonts w:hint="eastAsia" w:ascii="宋体" w:hAnsi="宋体" w:eastAsia="宋体" w:cs="Times New Roman"/>
                <w:szCs w:val="21"/>
              </w:rPr>
            </w:pPr>
            <w:r>
              <w:rPr>
                <w:rFonts w:hint="eastAsia" w:ascii="宋体" w:hAnsi="宋体" w:eastAsia="宋体" w:cs="Times New Roman"/>
                <w:szCs w:val="21"/>
              </w:rPr>
              <w:t>15</w:t>
            </w:r>
          </w:p>
        </w:tc>
        <w:tc>
          <w:tcPr>
            <w:tcW w:w="3260" w:type="dxa"/>
            <w:vAlign w:val="center"/>
          </w:tcPr>
          <w:p>
            <w:pPr>
              <w:rPr>
                <w:rFonts w:hint="eastAsia" w:ascii="宋体" w:hAnsi="宋体" w:eastAsia="宋体" w:cs="Times New Roman"/>
                <w:szCs w:val="21"/>
              </w:rPr>
            </w:pPr>
            <w:r>
              <w:rPr>
                <w:rFonts w:hint="eastAsia" w:ascii="宋体" w:hAnsi="宋体" w:eastAsia="宋体" w:cs="Times New Roman"/>
                <w:szCs w:val="21"/>
              </w:rPr>
              <w:t>具有检测报告原件，可判定为该产品可靠性不低于C级；检测结果有任意一个控制项不合格，则可靠性判定为D级。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704" w:type="dxa"/>
            <w:vMerge w:val="continue"/>
            <w:vAlign w:val="center"/>
          </w:tcPr>
          <w:p>
            <w:pPr>
              <w:jc w:val="center"/>
              <w:rPr>
                <w:rFonts w:hint="eastAsia" w:ascii="宋体" w:hAnsi="宋体" w:eastAsia="宋体" w:cs="Times New Roman"/>
                <w:szCs w:val="21"/>
              </w:rPr>
            </w:pPr>
          </w:p>
        </w:tc>
        <w:tc>
          <w:tcPr>
            <w:tcW w:w="1677" w:type="dxa"/>
            <w:vMerge w:val="continue"/>
            <w:vAlign w:val="center"/>
          </w:tcPr>
          <w:p>
            <w:pPr>
              <w:rPr>
                <w:rFonts w:hint="eastAsia" w:ascii="宋体" w:hAnsi="宋体" w:eastAsia="宋体" w:cs="Times New Roman"/>
                <w:szCs w:val="21"/>
              </w:rPr>
            </w:pPr>
          </w:p>
        </w:tc>
        <w:tc>
          <w:tcPr>
            <w:tcW w:w="2859" w:type="dxa"/>
            <w:noWrap/>
            <w:vAlign w:val="center"/>
          </w:tcPr>
          <w:p>
            <w:pPr>
              <w:rPr>
                <w:rFonts w:hint="eastAsia" w:ascii="宋体" w:hAnsi="宋体" w:eastAsia="宋体" w:cs="Times New Roman"/>
                <w:szCs w:val="21"/>
              </w:rPr>
            </w:pPr>
            <w:r>
              <w:rPr>
                <w:rFonts w:hint="eastAsia" w:ascii="宋体" w:hAnsi="宋体" w:eastAsia="宋体" w:cs="Times New Roman"/>
                <w:szCs w:val="21"/>
              </w:rPr>
              <w:t>型号、参数</w:t>
            </w:r>
          </w:p>
        </w:tc>
        <w:tc>
          <w:tcPr>
            <w:tcW w:w="851" w:type="dxa"/>
            <w:vMerge w:val="continue"/>
            <w:vAlign w:val="center"/>
          </w:tcPr>
          <w:p>
            <w:pPr>
              <w:rPr>
                <w:rFonts w:hint="eastAsia" w:ascii="宋体" w:hAnsi="宋体" w:eastAsia="宋体" w:cs="Times New Roman"/>
                <w:szCs w:val="21"/>
              </w:rPr>
            </w:pPr>
          </w:p>
        </w:tc>
        <w:tc>
          <w:tcPr>
            <w:tcW w:w="3685" w:type="dxa"/>
            <w:vAlign w:val="center"/>
          </w:tcPr>
          <w:p>
            <w:pPr>
              <w:rPr>
                <w:rFonts w:hint="eastAsia" w:ascii="宋体" w:hAnsi="宋体" w:eastAsia="宋体" w:cs="Times New Roman"/>
                <w:szCs w:val="21"/>
              </w:rPr>
            </w:pPr>
            <w:r>
              <w:rPr>
                <w:rFonts w:hint="eastAsia" w:ascii="宋体" w:hAnsi="宋体" w:eastAsia="宋体" w:cs="Times New Roman"/>
                <w:szCs w:val="21"/>
              </w:rPr>
              <w:t>特定位置阀门的型号参数需与设计图纸保持一致</w:t>
            </w:r>
          </w:p>
        </w:tc>
        <w:tc>
          <w:tcPr>
            <w:tcW w:w="851" w:type="dxa"/>
            <w:vAlign w:val="center"/>
          </w:tcPr>
          <w:p>
            <w:pPr>
              <w:jc w:val="center"/>
              <w:rPr>
                <w:rFonts w:hint="eastAsia" w:ascii="宋体" w:hAnsi="宋体" w:eastAsia="宋体" w:cs="Times New Roman"/>
                <w:szCs w:val="21"/>
              </w:rPr>
            </w:pPr>
            <w:r>
              <w:rPr>
                <w:rFonts w:hint="eastAsia" w:ascii="宋体" w:hAnsi="宋体" w:eastAsia="宋体" w:cs="Times New Roman"/>
                <w:szCs w:val="21"/>
              </w:rPr>
              <w:t>20</w:t>
            </w:r>
          </w:p>
        </w:tc>
        <w:tc>
          <w:tcPr>
            <w:tcW w:w="3260" w:type="dxa"/>
            <w:vAlign w:val="center"/>
          </w:tcPr>
          <w:p>
            <w:pPr>
              <w:rPr>
                <w:rFonts w:hint="eastAsia" w:ascii="宋体" w:hAnsi="宋体" w:eastAsia="宋体" w:cs="Times New Roman"/>
                <w:szCs w:val="21"/>
              </w:rPr>
            </w:pPr>
            <w:r>
              <w:rPr>
                <w:rFonts w:hint="eastAsia" w:ascii="宋体" w:hAnsi="宋体" w:eastAsia="宋体" w:cs="Times New Roman"/>
                <w:szCs w:val="21"/>
              </w:rPr>
              <w:t>阀门的实体参数与设计参数与图纸进行核对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704" w:type="dxa"/>
            <w:vMerge w:val="continue"/>
            <w:vAlign w:val="center"/>
          </w:tcPr>
          <w:p>
            <w:pPr>
              <w:jc w:val="center"/>
              <w:rPr>
                <w:rFonts w:hint="eastAsia" w:ascii="宋体" w:hAnsi="宋体" w:eastAsia="宋体" w:cs="Times New Roman"/>
                <w:szCs w:val="21"/>
              </w:rPr>
            </w:pPr>
          </w:p>
        </w:tc>
        <w:tc>
          <w:tcPr>
            <w:tcW w:w="1677" w:type="dxa"/>
            <w:vMerge w:val="continue"/>
            <w:vAlign w:val="center"/>
          </w:tcPr>
          <w:p>
            <w:pPr>
              <w:rPr>
                <w:rFonts w:hint="eastAsia" w:ascii="宋体" w:hAnsi="宋体" w:eastAsia="宋体" w:cs="Times New Roman"/>
                <w:szCs w:val="21"/>
              </w:rPr>
            </w:pPr>
          </w:p>
        </w:tc>
        <w:tc>
          <w:tcPr>
            <w:tcW w:w="2859" w:type="dxa"/>
            <w:noWrap/>
            <w:vAlign w:val="center"/>
          </w:tcPr>
          <w:p>
            <w:pPr>
              <w:rPr>
                <w:rFonts w:hint="eastAsia" w:ascii="宋体" w:hAnsi="宋体" w:eastAsia="宋体" w:cs="Times New Roman"/>
                <w:szCs w:val="21"/>
              </w:rPr>
            </w:pPr>
            <w:r>
              <w:rPr>
                <w:rFonts w:hint="eastAsia" w:ascii="宋体" w:hAnsi="宋体" w:eastAsia="宋体" w:cs="Times New Roman"/>
                <w:szCs w:val="21"/>
              </w:rPr>
              <w:t>阀体本身的动作、关闭属性</w:t>
            </w:r>
          </w:p>
        </w:tc>
        <w:tc>
          <w:tcPr>
            <w:tcW w:w="851" w:type="dxa"/>
            <w:vMerge w:val="continue"/>
            <w:vAlign w:val="center"/>
          </w:tcPr>
          <w:p>
            <w:pPr>
              <w:rPr>
                <w:rFonts w:hint="eastAsia" w:ascii="宋体" w:hAnsi="宋体" w:eastAsia="宋体" w:cs="Times New Roman"/>
                <w:szCs w:val="21"/>
              </w:rPr>
            </w:pPr>
          </w:p>
        </w:tc>
        <w:tc>
          <w:tcPr>
            <w:tcW w:w="3685" w:type="dxa"/>
            <w:vAlign w:val="center"/>
          </w:tcPr>
          <w:p>
            <w:pPr>
              <w:rPr>
                <w:rFonts w:hint="eastAsia" w:ascii="宋体" w:hAnsi="宋体" w:eastAsia="宋体" w:cs="Times New Roman"/>
                <w:szCs w:val="21"/>
              </w:rPr>
            </w:pPr>
            <w:r>
              <w:rPr>
                <w:rFonts w:hint="eastAsia" w:ascii="宋体" w:hAnsi="宋体" w:eastAsia="宋体" w:cs="Times New Roman"/>
                <w:szCs w:val="21"/>
              </w:rPr>
              <w:t>阀体动作应灵敏、可靠，关闭应严密</w:t>
            </w:r>
          </w:p>
        </w:tc>
        <w:tc>
          <w:tcPr>
            <w:tcW w:w="851" w:type="dxa"/>
            <w:vAlign w:val="center"/>
          </w:tcPr>
          <w:p>
            <w:pPr>
              <w:jc w:val="center"/>
              <w:rPr>
                <w:rFonts w:hint="eastAsia" w:ascii="宋体" w:hAnsi="宋体" w:eastAsia="宋体" w:cs="Times New Roman"/>
                <w:szCs w:val="21"/>
              </w:rPr>
            </w:pPr>
            <w:r>
              <w:rPr>
                <w:rFonts w:hint="eastAsia" w:ascii="宋体" w:hAnsi="宋体" w:eastAsia="宋体" w:cs="Times New Roman"/>
                <w:szCs w:val="21"/>
              </w:rPr>
              <w:t>20</w:t>
            </w:r>
          </w:p>
        </w:tc>
        <w:tc>
          <w:tcPr>
            <w:tcW w:w="3260" w:type="dxa"/>
            <w:vAlign w:val="center"/>
          </w:tcPr>
          <w:p>
            <w:pPr>
              <w:rPr>
                <w:rFonts w:hint="eastAsia" w:ascii="宋体" w:hAnsi="宋体" w:eastAsia="宋体" w:cs="Times New Roman"/>
                <w:szCs w:val="21"/>
              </w:rPr>
            </w:pPr>
            <w:r>
              <w:rPr>
                <w:rFonts w:hint="eastAsia" w:ascii="宋体" w:hAnsi="宋体" w:eastAsia="宋体" w:cs="Times New Roman"/>
                <w:szCs w:val="21"/>
              </w:rPr>
              <w:t>现场实际操作，动作灵敏、可靠，关闭严密，则判定为合格；否则为不合格；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704" w:type="dxa"/>
            <w:vMerge w:val="continue"/>
            <w:vAlign w:val="center"/>
          </w:tcPr>
          <w:p>
            <w:pPr>
              <w:jc w:val="center"/>
              <w:rPr>
                <w:rFonts w:hint="eastAsia" w:ascii="宋体" w:hAnsi="宋体" w:eastAsia="宋体" w:cs="Times New Roman"/>
                <w:szCs w:val="21"/>
              </w:rPr>
            </w:pPr>
          </w:p>
        </w:tc>
        <w:tc>
          <w:tcPr>
            <w:tcW w:w="1677" w:type="dxa"/>
            <w:vMerge w:val="continue"/>
            <w:vAlign w:val="center"/>
          </w:tcPr>
          <w:p>
            <w:pPr>
              <w:rPr>
                <w:rFonts w:hint="eastAsia" w:ascii="宋体" w:hAnsi="宋体" w:eastAsia="宋体" w:cs="Times New Roman"/>
                <w:szCs w:val="21"/>
              </w:rPr>
            </w:pPr>
          </w:p>
        </w:tc>
        <w:tc>
          <w:tcPr>
            <w:tcW w:w="2859" w:type="dxa"/>
            <w:noWrap/>
            <w:vAlign w:val="center"/>
          </w:tcPr>
          <w:p>
            <w:pPr>
              <w:jc w:val="center"/>
              <w:rPr>
                <w:rFonts w:hint="eastAsia" w:ascii="宋体" w:hAnsi="宋体" w:eastAsia="宋体" w:cs="Times New Roman"/>
                <w:b/>
                <w:bCs/>
                <w:szCs w:val="21"/>
              </w:rPr>
            </w:pPr>
            <w:r>
              <w:rPr>
                <w:rFonts w:hint="eastAsia" w:ascii="宋体" w:hAnsi="宋体" w:eastAsia="宋体" w:cs="Times New Roman"/>
                <w:b/>
                <w:bCs/>
                <w:szCs w:val="21"/>
              </w:rPr>
              <w:t>一般项</w:t>
            </w:r>
          </w:p>
        </w:tc>
        <w:tc>
          <w:tcPr>
            <w:tcW w:w="851" w:type="dxa"/>
            <w:vMerge w:val="continue"/>
            <w:vAlign w:val="center"/>
          </w:tcPr>
          <w:p>
            <w:pPr>
              <w:jc w:val="center"/>
              <w:rPr>
                <w:rFonts w:hint="eastAsia" w:ascii="宋体" w:hAnsi="宋体" w:eastAsia="宋体" w:cs="Times New Roman"/>
                <w:szCs w:val="21"/>
              </w:rPr>
            </w:pPr>
          </w:p>
        </w:tc>
        <w:tc>
          <w:tcPr>
            <w:tcW w:w="3685" w:type="dxa"/>
            <w:vAlign w:val="center"/>
          </w:tcPr>
          <w:p>
            <w:pPr>
              <w:jc w:val="center"/>
              <w:rPr>
                <w:rFonts w:hint="eastAsia" w:ascii="宋体" w:hAnsi="宋体" w:eastAsia="宋体" w:cs="Times New Roman"/>
                <w:b/>
                <w:bCs/>
                <w:szCs w:val="21"/>
              </w:rPr>
            </w:pPr>
            <w:r>
              <w:rPr>
                <w:rFonts w:hint="eastAsia" w:ascii="宋体" w:hAnsi="宋体" w:eastAsia="宋体" w:cs="Times New Roman"/>
                <w:b/>
                <w:bCs/>
                <w:szCs w:val="21"/>
              </w:rPr>
              <w:t>一般项评分要点</w:t>
            </w:r>
          </w:p>
        </w:tc>
        <w:tc>
          <w:tcPr>
            <w:tcW w:w="851" w:type="dxa"/>
            <w:vAlign w:val="center"/>
          </w:tcPr>
          <w:p>
            <w:pPr>
              <w:jc w:val="center"/>
              <w:rPr>
                <w:rFonts w:hint="eastAsia" w:ascii="宋体" w:hAnsi="宋体" w:eastAsia="宋体" w:cs="Times New Roman"/>
                <w:b/>
                <w:bCs/>
                <w:szCs w:val="21"/>
              </w:rPr>
            </w:pPr>
            <w:r>
              <w:rPr>
                <w:rFonts w:hint="eastAsia" w:ascii="宋体" w:hAnsi="宋体" w:eastAsia="宋体" w:cs="Times New Roman"/>
                <w:b/>
                <w:bCs/>
                <w:szCs w:val="21"/>
              </w:rPr>
              <w:t>评分</w:t>
            </w:r>
          </w:p>
        </w:tc>
        <w:tc>
          <w:tcPr>
            <w:tcW w:w="3260" w:type="dxa"/>
            <w:vAlign w:val="center"/>
          </w:tcPr>
          <w:p>
            <w:pPr>
              <w:jc w:val="center"/>
              <w:rPr>
                <w:rFonts w:hint="eastAsia" w:ascii="宋体" w:hAnsi="宋体" w:eastAsia="宋体" w:cs="Times New Roman"/>
                <w:b/>
                <w:bCs/>
                <w:szCs w:val="21"/>
              </w:rPr>
            </w:pPr>
            <w:r>
              <w:rPr>
                <w:rFonts w:hint="eastAsia" w:ascii="宋体" w:hAnsi="宋体" w:eastAsia="宋体" w:cs="Times New Roman"/>
                <w:b/>
                <w:bCs/>
                <w:szCs w:val="21"/>
              </w:rPr>
              <w:t>评定方法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704" w:type="dxa"/>
            <w:vMerge w:val="continue"/>
            <w:vAlign w:val="center"/>
          </w:tcPr>
          <w:p>
            <w:pPr>
              <w:jc w:val="center"/>
              <w:rPr>
                <w:rFonts w:hint="eastAsia" w:ascii="宋体" w:hAnsi="宋体" w:eastAsia="宋体" w:cs="Times New Roman"/>
                <w:szCs w:val="21"/>
              </w:rPr>
            </w:pPr>
          </w:p>
        </w:tc>
        <w:tc>
          <w:tcPr>
            <w:tcW w:w="1677" w:type="dxa"/>
            <w:vMerge w:val="continue"/>
            <w:vAlign w:val="center"/>
          </w:tcPr>
          <w:p>
            <w:pPr>
              <w:rPr>
                <w:rFonts w:hint="eastAsia" w:ascii="宋体" w:hAnsi="宋体" w:eastAsia="宋体" w:cs="Times New Roman"/>
                <w:szCs w:val="21"/>
              </w:rPr>
            </w:pPr>
          </w:p>
        </w:tc>
        <w:tc>
          <w:tcPr>
            <w:tcW w:w="2859" w:type="dxa"/>
            <w:noWrap/>
            <w:vAlign w:val="center"/>
          </w:tcPr>
          <w:p>
            <w:pPr>
              <w:rPr>
                <w:rFonts w:hint="eastAsia" w:ascii="宋体" w:hAnsi="宋体" w:eastAsia="宋体" w:cs="Times New Roman"/>
                <w:szCs w:val="21"/>
              </w:rPr>
            </w:pPr>
            <w:r>
              <w:rPr>
                <w:rFonts w:hint="eastAsia" w:ascii="宋体" w:hAnsi="宋体" w:eastAsia="宋体" w:cs="Times New Roman"/>
                <w:szCs w:val="21"/>
              </w:rPr>
              <w:t>安装外观</w:t>
            </w:r>
          </w:p>
        </w:tc>
        <w:tc>
          <w:tcPr>
            <w:tcW w:w="851" w:type="dxa"/>
            <w:vMerge w:val="continue"/>
            <w:vAlign w:val="center"/>
          </w:tcPr>
          <w:p>
            <w:pPr>
              <w:rPr>
                <w:rFonts w:hint="eastAsia" w:ascii="宋体" w:hAnsi="宋体" w:eastAsia="宋体" w:cs="Times New Roman"/>
                <w:szCs w:val="21"/>
              </w:rPr>
            </w:pPr>
          </w:p>
        </w:tc>
        <w:tc>
          <w:tcPr>
            <w:tcW w:w="3685" w:type="dxa"/>
            <w:noWrap/>
            <w:vAlign w:val="center"/>
          </w:tcPr>
          <w:p>
            <w:pPr>
              <w:rPr>
                <w:rFonts w:hint="eastAsia" w:ascii="宋体" w:hAnsi="宋体" w:eastAsia="宋体" w:cs="Times New Roman"/>
                <w:szCs w:val="21"/>
              </w:rPr>
            </w:pPr>
            <w:r>
              <w:rPr>
                <w:rFonts w:hint="eastAsia" w:ascii="宋体" w:hAnsi="宋体" w:eastAsia="宋体" w:cs="Times New Roman"/>
                <w:szCs w:val="21"/>
              </w:rPr>
              <w:t>1.平整2.不变形3.美观</w:t>
            </w:r>
          </w:p>
        </w:tc>
        <w:tc>
          <w:tcPr>
            <w:tcW w:w="851" w:type="dxa"/>
            <w:vAlign w:val="center"/>
          </w:tcPr>
          <w:p>
            <w:pPr>
              <w:jc w:val="center"/>
              <w:rPr>
                <w:rFonts w:hint="eastAsia" w:ascii="宋体" w:hAnsi="宋体" w:eastAsia="宋体" w:cs="Times New Roman"/>
                <w:szCs w:val="21"/>
              </w:rPr>
            </w:pPr>
            <w:r>
              <w:rPr>
                <w:rFonts w:hint="eastAsia" w:ascii="宋体" w:hAnsi="宋体" w:eastAsia="宋体" w:cs="Times New Roman"/>
                <w:szCs w:val="21"/>
              </w:rPr>
              <w:t>5</w:t>
            </w:r>
          </w:p>
        </w:tc>
        <w:tc>
          <w:tcPr>
            <w:tcW w:w="3260" w:type="dxa"/>
            <w:vAlign w:val="center"/>
          </w:tcPr>
          <w:p>
            <w:pPr>
              <w:rPr>
                <w:rFonts w:hint="eastAsia" w:ascii="宋体" w:hAnsi="宋体" w:eastAsia="宋体" w:cs="Times New Roman"/>
                <w:szCs w:val="21"/>
              </w:rPr>
            </w:pPr>
            <w:r>
              <w:rPr>
                <w:rFonts w:hint="eastAsia" w:ascii="宋体" w:hAnsi="宋体" w:eastAsia="宋体" w:cs="Times New Roman"/>
                <w:szCs w:val="21"/>
              </w:rPr>
              <w:t>现场实地观察    1-3都符合判定为100；1-2都符合，3不符合，判定为80；1-2有1条不符合，判定为60；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704" w:type="dxa"/>
            <w:vMerge w:val="continue"/>
            <w:vAlign w:val="center"/>
          </w:tcPr>
          <w:p>
            <w:pPr>
              <w:jc w:val="center"/>
              <w:rPr>
                <w:rFonts w:hint="eastAsia" w:ascii="宋体" w:hAnsi="宋体" w:eastAsia="宋体" w:cs="Times New Roman"/>
                <w:szCs w:val="21"/>
              </w:rPr>
            </w:pPr>
          </w:p>
        </w:tc>
        <w:tc>
          <w:tcPr>
            <w:tcW w:w="1677" w:type="dxa"/>
            <w:vMerge w:val="continue"/>
            <w:vAlign w:val="center"/>
          </w:tcPr>
          <w:p>
            <w:pPr>
              <w:rPr>
                <w:rFonts w:hint="eastAsia" w:ascii="宋体" w:hAnsi="宋体" w:eastAsia="宋体" w:cs="Times New Roman"/>
                <w:szCs w:val="21"/>
              </w:rPr>
            </w:pPr>
          </w:p>
        </w:tc>
        <w:tc>
          <w:tcPr>
            <w:tcW w:w="2859" w:type="dxa"/>
            <w:noWrap/>
            <w:vAlign w:val="center"/>
          </w:tcPr>
          <w:p>
            <w:pPr>
              <w:rPr>
                <w:rFonts w:hint="eastAsia" w:ascii="宋体" w:hAnsi="宋体" w:eastAsia="宋体" w:cs="Times New Roman"/>
                <w:szCs w:val="21"/>
              </w:rPr>
            </w:pPr>
            <w:r>
              <w:rPr>
                <w:rFonts w:hint="eastAsia" w:ascii="宋体" w:hAnsi="宋体" w:eastAsia="宋体" w:cs="Times New Roman"/>
                <w:szCs w:val="21"/>
              </w:rPr>
              <w:t>安装方向</w:t>
            </w:r>
          </w:p>
        </w:tc>
        <w:tc>
          <w:tcPr>
            <w:tcW w:w="851" w:type="dxa"/>
            <w:vMerge w:val="continue"/>
            <w:vAlign w:val="center"/>
          </w:tcPr>
          <w:p>
            <w:pPr>
              <w:rPr>
                <w:rFonts w:hint="eastAsia" w:ascii="宋体" w:hAnsi="宋体" w:eastAsia="宋体" w:cs="Times New Roman"/>
                <w:szCs w:val="21"/>
              </w:rPr>
            </w:pPr>
          </w:p>
        </w:tc>
        <w:tc>
          <w:tcPr>
            <w:tcW w:w="3685" w:type="dxa"/>
            <w:vAlign w:val="center"/>
          </w:tcPr>
          <w:p>
            <w:pPr>
              <w:rPr>
                <w:rFonts w:hint="eastAsia" w:ascii="宋体" w:hAnsi="宋体" w:eastAsia="宋体" w:cs="Times New Roman"/>
                <w:szCs w:val="21"/>
              </w:rPr>
            </w:pPr>
            <w:r>
              <w:rPr>
                <w:rFonts w:hint="eastAsia" w:ascii="宋体" w:hAnsi="宋体" w:eastAsia="宋体" w:cs="Times New Roman"/>
                <w:szCs w:val="21"/>
              </w:rPr>
              <w:t>阀门的安装方向需正确，排烟防火阀应顺气流方向关闭，</w:t>
            </w:r>
          </w:p>
        </w:tc>
        <w:tc>
          <w:tcPr>
            <w:tcW w:w="851" w:type="dxa"/>
            <w:vAlign w:val="center"/>
          </w:tcPr>
          <w:p>
            <w:pPr>
              <w:jc w:val="center"/>
              <w:rPr>
                <w:rFonts w:hint="eastAsia" w:ascii="宋体" w:hAnsi="宋体" w:eastAsia="宋体" w:cs="Times New Roman"/>
                <w:szCs w:val="21"/>
              </w:rPr>
            </w:pPr>
            <w:r>
              <w:rPr>
                <w:rFonts w:hint="eastAsia" w:ascii="宋体" w:hAnsi="宋体" w:eastAsia="宋体" w:cs="Times New Roman"/>
                <w:szCs w:val="21"/>
              </w:rPr>
              <w:t>5</w:t>
            </w:r>
          </w:p>
        </w:tc>
        <w:tc>
          <w:tcPr>
            <w:tcW w:w="3260" w:type="dxa"/>
            <w:vAlign w:val="center"/>
          </w:tcPr>
          <w:p>
            <w:pPr>
              <w:rPr>
                <w:rFonts w:hint="eastAsia" w:ascii="宋体" w:hAnsi="宋体" w:eastAsia="宋体" w:cs="Times New Roman"/>
                <w:szCs w:val="21"/>
              </w:rPr>
            </w:pPr>
            <w:r>
              <w:rPr>
                <w:rFonts w:hint="eastAsia" w:ascii="宋体" w:hAnsi="宋体" w:eastAsia="宋体" w:cs="Times New Roman"/>
                <w:szCs w:val="21"/>
              </w:rPr>
              <w:t>将现场实际安装情况与设计图纸及气流方向进行校对，安装方向正确判定为合格，否则为不合格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704" w:type="dxa"/>
            <w:vMerge w:val="continue"/>
            <w:vAlign w:val="center"/>
          </w:tcPr>
          <w:p>
            <w:pPr>
              <w:jc w:val="center"/>
              <w:rPr>
                <w:rFonts w:hint="eastAsia" w:ascii="宋体" w:hAnsi="宋体" w:eastAsia="宋体" w:cs="Times New Roman"/>
                <w:szCs w:val="21"/>
              </w:rPr>
            </w:pPr>
          </w:p>
        </w:tc>
        <w:tc>
          <w:tcPr>
            <w:tcW w:w="1677" w:type="dxa"/>
            <w:vMerge w:val="continue"/>
            <w:vAlign w:val="center"/>
          </w:tcPr>
          <w:p>
            <w:pPr>
              <w:rPr>
                <w:rFonts w:hint="eastAsia" w:ascii="宋体" w:hAnsi="宋体" w:eastAsia="宋体" w:cs="Times New Roman"/>
                <w:szCs w:val="21"/>
              </w:rPr>
            </w:pPr>
          </w:p>
        </w:tc>
        <w:tc>
          <w:tcPr>
            <w:tcW w:w="2859" w:type="dxa"/>
            <w:noWrap/>
            <w:vAlign w:val="center"/>
          </w:tcPr>
          <w:p>
            <w:pPr>
              <w:rPr>
                <w:rFonts w:hint="eastAsia" w:ascii="宋体" w:hAnsi="宋体" w:eastAsia="宋体" w:cs="Times New Roman"/>
                <w:szCs w:val="21"/>
              </w:rPr>
            </w:pPr>
            <w:r>
              <w:rPr>
                <w:rFonts w:hint="eastAsia" w:ascii="宋体" w:hAnsi="宋体" w:eastAsia="宋体" w:cs="Times New Roman"/>
                <w:szCs w:val="21"/>
              </w:rPr>
              <w:t>阀门支撑</w:t>
            </w:r>
          </w:p>
        </w:tc>
        <w:tc>
          <w:tcPr>
            <w:tcW w:w="851" w:type="dxa"/>
            <w:vMerge w:val="continue"/>
            <w:vAlign w:val="center"/>
          </w:tcPr>
          <w:p>
            <w:pPr>
              <w:rPr>
                <w:rFonts w:hint="eastAsia" w:ascii="宋体" w:hAnsi="宋体" w:eastAsia="宋体" w:cs="Times New Roman"/>
                <w:szCs w:val="21"/>
              </w:rPr>
            </w:pPr>
          </w:p>
        </w:tc>
        <w:tc>
          <w:tcPr>
            <w:tcW w:w="3685" w:type="dxa"/>
            <w:vAlign w:val="center"/>
          </w:tcPr>
          <w:p>
            <w:pPr>
              <w:rPr>
                <w:rFonts w:hint="eastAsia" w:ascii="宋体" w:hAnsi="宋体" w:eastAsia="宋体" w:cs="Times New Roman"/>
                <w:szCs w:val="21"/>
              </w:rPr>
            </w:pPr>
            <w:r>
              <w:rPr>
                <w:rFonts w:hint="eastAsia" w:ascii="宋体" w:hAnsi="宋体" w:eastAsia="宋体" w:cs="Times New Roman"/>
                <w:szCs w:val="21"/>
              </w:rPr>
              <w:t>应设独立的支吊架，当风管采用不燃材料防火隔热时，阀门安装处应有明显标识。</w:t>
            </w:r>
          </w:p>
        </w:tc>
        <w:tc>
          <w:tcPr>
            <w:tcW w:w="851" w:type="dxa"/>
            <w:vAlign w:val="center"/>
          </w:tcPr>
          <w:p>
            <w:pPr>
              <w:jc w:val="center"/>
              <w:rPr>
                <w:rFonts w:hint="eastAsia" w:ascii="宋体" w:hAnsi="宋体" w:eastAsia="宋体" w:cs="Times New Roman"/>
                <w:szCs w:val="21"/>
              </w:rPr>
            </w:pPr>
            <w:r>
              <w:rPr>
                <w:rFonts w:hint="eastAsia" w:ascii="宋体" w:hAnsi="宋体" w:eastAsia="宋体" w:cs="Times New Roman"/>
                <w:szCs w:val="21"/>
              </w:rPr>
              <w:t>5</w:t>
            </w:r>
          </w:p>
        </w:tc>
        <w:tc>
          <w:tcPr>
            <w:tcW w:w="3260" w:type="dxa"/>
            <w:vAlign w:val="center"/>
          </w:tcPr>
          <w:p>
            <w:pPr>
              <w:rPr>
                <w:rFonts w:hint="eastAsia" w:ascii="宋体" w:hAnsi="宋体" w:eastAsia="宋体" w:cs="Times New Roman"/>
                <w:szCs w:val="21"/>
              </w:rPr>
            </w:pPr>
            <w:r>
              <w:rPr>
                <w:rFonts w:hint="eastAsia" w:ascii="宋体" w:hAnsi="宋体" w:eastAsia="宋体" w:cs="Times New Roman"/>
                <w:szCs w:val="21"/>
              </w:rPr>
              <w:t>现场实地观察，单独设置独立支吊架则判定为合格；否则为不合格；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704" w:type="dxa"/>
            <w:vMerge w:val="continue"/>
            <w:vAlign w:val="center"/>
          </w:tcPr>
          <w:p>
            <w:pPr>
              <w:jc w:val="center"/>
              <w:rPr>
                <w:rFonts w:hint="eastAsia" w:ascii="宋体" w:hAnsi="宋体" w:eastAsia="宋体" w:cs="Times New Roman"/>
                <w:szCs w:val="21"/>
              </w:rPr>
            </w:pPr>
          </w:p>
        </w:tc>
        <w:tc>
          <w:tcPr>
            <w:tcW w:w="1677" w:type="dxa"/>
            <w:vMerge w:val="continue"/>
            <w:vAlign w:val="center"/>
          </w:tcPr>
          <w:p>
            <w:pPr>
              <w:rPr>
                <w:rFonts w:hint="eastAsia" w:ascii="宋体" w:hAnsi="宋体" w:eastAsia="宋体" w:cs="Times New Roman"/>
                <w:szCs w:val="21"/>
              </w:rPr>
            </w:pPr>
          </w:p>
        </w:tc>
        <w:tc>
          <w:tcPr>
            <w:tcW w:w="2859" w:type="dxa"/>
            <w:noWrap/>
            <w:vAlign w:val="center"/>
          </w:tcPr>
          <w:p>
            <w:pPr>
              <w:rPr>
                <w:rFonts w:hint="eastAsia" w:ascii="宋体" w:hAnsi="宋体" w:eastAsia="宋体" w:cs="Times New Roman"/>
                <w:szCs w:val="21"/>
              </w:rPr>
            </w:pPr>
            <w:r>
              <w:rPr>
                <w:rFonts w:hint="eastAsia" w:ascii="宋体" w:hAnsi="宋体" w:eastAsia="宋体" w:cs="Times New Roman"/>
                <w:szCs w:val="21"/>
              </w:rPr>
              <w:t>明装位置距离</w:t>
            </w:r>
          </w:p>
        </w:tc>
        <w:tc>
          <w:tcPr>
            <w:tcW w:w="851" w:type="dxa"/>
            <w:vMerge w:val="continue"/>
            <w:vAlign w:val="center"/>
          </w:tcPr>
          <w:p>
            <w:pPr>
              <w:rPr>
                <w:rFonts w:hint="eastAsia" w:ascii="宋体" w:hAnsi="宋体" w:eastAsia="宋体" w:cs="Times New Roman"/>
                <w:szCs w:val="21"/>
              </w:rPr>
            </w:pPr>
          </w:p>
        </w:tc>
        <w:tc>
          <w:tcPr>
            <w:tcW w:w="3685" w:type="dxa"/>
            <w:vAlign w:val="center"/>
          </w:tcPr>
          <w:p>
            <w:pPr>
              <w:rPr>
                <w:rFonts w:hint="eastAsia" w:ascii="宋体" w:hAnsi="宋体" w:eastAsia="宋体" w:cs="Times New Roman"/>
                <w:szCs w:val="21"/>
              </w:rPr>
            </w:pPr>
            <w:r>
              <w:rPr>
                <w:rFonts w:hint="eastAsia" w:ascii="宋体" w:hAnsi="宋体" w:eastAsia="宋体" w:cs="Times New Roman"/>
                <w:szCs w:val="21"/>
              </w:rPr>
              <w:t>防火分区隔墙两侧的排烟防火阀,距墙端面不得大于 200 mm。</w:t>
            </w:r>
          </w:p>
        </w:tc>
        <w:tc>
          <w:tcPr>
            <w:tcW w:w="851" w:type="dxa"/>
            <w:vAlign w:val="center"/>
          </w:tcPr>
          <w:p>
            <w:pPr>
              <w:jc w:val="center"/>
              <w:rPr>
                <w:rFonts w:hint="eastAsia" w:ascii="宋体" w:hAnsi="宋体" w:eastAsia="宋体" w:cs="Times New Roman"/>
                <w:szCs w:val="21"/>
              </w:rPr>
            </w:pPr>
            <w:r>
              <w:rPr>
                <w:rFonts w:hint="eastAsia" w:ascii="宋体" w:hAnsi="宋体" w:eastAsia="宋体" w:cs="Times New Roman"/>
                <w:szCs w:val="21"/>
              </w:rPr>
              <w:t>5</w:t>
            </w:r>
          </w:p>
        </w:tc>
        <w:tc>
          <w:tcPr>
            <w:tcW w:w="3260" w:type="dxa"/>
            <w:vAlign w:val="center"/>
          </w:tcPr>
          <w:p>
            <w:pPr>
              <w:rPr>
                <w:rFonts w:hint="eastAsia" w:ascii="宋体" w:hAnsi="宋体" w:eastAsia="宋体" w:cs="Times New Roman"/>
                <w:szCs w:val="21"/>
              </w:rPr>
            </w:pPr>
            <w:r>
              <w:rPr>
                <w:rFonts w:hint="eastAsia" w:ascii="宋体" w:hAnsi="宋体" w:eastAsia="宋体" w:cs="Times New Roman"/>
                <w:szCs w:val="21"/>
              </w:rPr>
              <w:t>现场实地观察，符合要求时则判定为合格；否则为不合格；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704" w:type="dxa"/>
            <w:vMerge w:val="continue"/>
            <w:vAlign w:val="center"/>
          </w:tcPr>
          <w:p>
            <w:pPr>
              <w:jc w:val="center"/>
              <w:rPr>
                <w:rFonts w:hint="eastAsia" w:ascii="宋体" w:hAnsi="宋体" w:eastAsia="宋体" w:cs="Times New Roman"/>
                <w:szCs w:val="21"/>
              </w:rPr>
            </w:pPr>
          </w:p>
        </w:tc>
        <w:tc>
          <w:tcPr>
            <w:tcW w:w="1677" w:type="dxa"/>
            <w:vMerge w:val="continue"/>
            <w:vAlign w:val="center"/>
          </w:tcPr>
          <w:p>
            <w:pPr>
              <w:rPr>
                <w:rFonts w:hint="eastAsia" w:ascii="宋体" w:hAnsi="宋体" w:eastAsia="宋体" w:cs="Times New Roman"/>
                <w:szCs w:val="21"/>
              </w:rPr>
            </w:pPr>
          </w:p>
        </w:tc>
        <w:tc>
          <w:tcPr>
            <w:tcW w:w="2859" w:type="dxa"/>
            <w:noWrap/>
            <w:vAlign w:val="center"/>
          </w:tcPr>
          <w:p>
            <w:pPr>
              <w:rPr>
                <w:rFonts w:hint="eastAsia" w:ascii="宋体" w:hAnsi="宋体" w:eastAsia="宋体" w:cs="Times New Roman"/>
                <w:szCs w:val="21"/>
              </w:rPr>
            </w:pPr>
            <w:r>
              <w:rPr>
                <w:rFonts w:hint="eastAsia" w:ascii="宋体" w:hAnsi="宋体" w:eastAsia="宋体" w:cs="Times New Roman"/>
                <w:szCs w:val="21"/>
              </w:rPr>
              <w:t>启闭装置</w:t>
            </w:r>
          </w:p>
        </w:tc>
        <w:tc>
          <w:tcPr>
            <w:tcW w:w="851" w:type="dxa"/>
            <w:vMerge w:val="continue"/>
            <w:vAlign w:val="center"/>
          </w:tcPr>
          <w:p>
            <w:pPr>
              <w:rPr>
                <w:rFonts w:hint="eastAsia" w:ascii="宋体" w:hAnsi="宋体" w:eastAsia="宋体" w:cs="Times New Roman"/>
                <w:szCs w:val="21"/>
              </w:rPr>
            </w:pPr>
          </w:p>
        </w:tc>
        <w:tc>
          <w:tcPr>
            <w:tcW w:w="3685" w:type="dxa"/>
            <w:vAlign w:val="center"/>
          </w:tcPr>
          <w:p>
            <w:pPr>
              <w:rPr>
                <w:rFonts w:hint="eastAsia" w:ascii="宋体" w:hAnsi="宋体" w:eastAsia="宋体" w:cs="Times New Roman"/>
                <w:szCs w:val="21"/>
              </w:rPr>
            </w:pPr>
            <w:r>
              <w:rPr>
                <w:rFonts w:hint="eastAsia" w:ascii="宋体" w:hAnsi="宋体" w:eastAsia="宋体" w:cs="Times New Roman"/>
                <w:szCs w:val="21"/>
              </w:rPr>
              <w:t>排烟阀平时为关闭时，应设置手动和自动开启装置，</w:t>
            </w:r>
          </w:p>
        </w:tc>
        <w:tc>
          <w:tcPr>
            <w:tcW w:w="851" w:type="dxa"/>
            <w:vAlign w:val="center"/>
          </w:tcPr>
          <w:p>
            <w:pPr>
              <w:jc w:val="center"/>
              <w:rPr>
                <w:rFonts w:hint="eastAsia" w:ascii="宋体" w:hAnsi="宋体" w:eastAsia="宋体" w:cs="Times New Roman"/>
                <w:szCs w:val="21"/>
              </w:rPr>
            </w:pPr>
            <w:r>
              <w:rPr>
                <w:rFonts w:hint="eastAsia" w:ascii="宋体" w:hAnsi="宋体" w:eastAsia="宋体" w:cs="Times New Roman"/>
                <w:szCs w:val="21"/>
              </w:rPr>
              <w:t>5</w:t>
            </w:r>
          </w:p>
        </w:tc>
        <w:tc>
          <w:tcPr>
            <w:tcW w:w="3260" w:type="dxa"/>
            <w:vAlign w:val="center"/>
          </w:tcPr>
          <w:p>
            <w:pPr>
              <w:rPr>
                <w:rFonts w:hint="eastAsia" w:ascii="宋体" w:hAnsi="宋体" w:eastAsia="宋体" w:cs="Times New Roman"/>
                <w:szCs w:val="21"/>
              </w:rPr>
            </w:pPr>
            <w:r>
              <w:rPr>
                <w:rFonts w:hint="eastAsia" w:ascii="宋体" w:hAnsi="宋体" w:eastAsia="宋体" w:cs="Times New Roman"/>
                <w:szCs w:val="21"/>
              </w:rPr>
              <w:t>现场实地观察，符合要求时则判定为合格；否则为不合格；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704" w:type="dxa"/>
            <w:vMerge w:val="continue"/>
            <w:vAlign w:val="center"/>
          </w:tcPr>
          <w:p>
            <w:pPr>
              <w:jc w:val="center"/>
              <w:rPr>
                <w:rFonts w:hint="eastAsia" w:ascii="宋体" w:hAnsi="宋体" w:eastAsia="宋体" w:cs="Times New Roman"/>
                <w:szCs w:val="21"/>
              </w:rPr>
            </w:pPr>
          </w:p>
        </w:tc>
        <w:tc>
          <w:tcPr>
            <w:tcW w:w="1677" w:type="dxa"/>
            <w:vMerge w:val="continue"/>
            <w:vAlign w:val="center"/>
          </w:tcPr>
          <w:p>
            <w:pPr>
              <w:rPr>
                <w:rFonts w:hint="eastAsia" w:ascii="宋体" w:hAnsi="宋体" w:eastAsia="宋体" w:cs="Times New Roman"/>
                <w:szCs w:val="21"/>
              </w:rPr>
            </w:pPr>
          </w:p>
        </w:tc>
        <w:tc>
          <w:tcPr>
            <w:tcW w:w="2859" w:type="dxa"/>
            <w:noWrap/>
            <w:vAlign w:val="center"/>
          </w:tcPr>
          <w:p>
            <w:pPr>
              <w:rPr>
                <w:rFonts w:hint="eastAsia" w:ascii="宋体" w:hAnsi="宋体" w:eastAsia="宋体" w:cs="Times New Roman"/>
                <w:szCs w:val="21"/>
              </w:rPr>
            </w:pPr>
            <w:r>
              <w:rPr>
                <w:rFonts w:hint="eastAsia" w:ascii="宋体" w:hAnsi="宋体" w:eastAsia="宋体" w:cs="Times New Roman"/>
                <w:szCs w:val="21"/>
              </w:rPr>
              <w:t>手动开启装置安装位置</w:t>
            </w:r>
          </w:p>
        </w:tc>
        <w:tc>
          <w:tcPr>
            <w:tcW w:w="851" w:type="dxa"/>
            <w:vMerge w:val="continue"/>
            <w:vAlign w:val="center"/>
          </w:tcPr>
          <w:p>
            <w:pPr>
              <w:rPr>
                <w:rFonts w:hint="eastAsia" w:ascii="宋体" w:hAnsi="宋体" w:eastAsia="宋体" w:cs="Times New Roman"/>
                <w:szCs w:val="21"/>
              </w:rPr>
            </w:pPr>
          </w:p>
        </w:tc>
        <w:tc>
          <w:tcPr>
            <w:tcW w:w="3685" w:type="dxa"/>
            <w:vAlign w:val="center"/>
          </w:tcPr>
          <w:p>
            <w:pPr>
              <w:rPr>
                <w:rFonts w:hint="eastAsia" w:ascii="宋体" w:hAnsi="宋体" w:eastAsia="宋体" w:cs="Times New Roman"/>
                <w:szCs w:val="21"/>
              </w:rPr>
            </w:pPr>
            <w:r>
              <w:rPr>
                <w:rFonts w:hint="eastAsia" w:ascii="宋体" w:hAnsi="宋体" w:eastAsia="宋体" w:cs="Times New Roman"/>
                <w:szCs w:val="21"/>
              </w:rPr>
              <w:t>应固定牢靠,表面平整、不变形，调节灵活，设置高度应距地面1.3～1.5m。</w:t>
            </w:r>
          </w:p>
        </w:tc>
        <w:tc>
          <w:tcPr>
            <w:tcW w:w="851" w:type="dxa"/>
            <w:vAlign w:val="center"/>
          </w:tcPr>
          <w:p>
            <w:pPr>
              <w:jc w:val="center"/>
              <w:rPr>
                <w:rFonts w:hint="eastAsia" w:ascii="宋体" w:hAnsi="宋体" w:eastAsia="宋体" w:cs="Times New Roman"/>
                <w:szCs w:val="21"/>
              </w:rPr>
            </w:pPr>
            <w:r>
              <w:rPr>
                <w:rFonts w:hint="eastAsia" w:ascii="宋体" w:hAnsi="宋体" w:eastAsia="宋体" w:cs="Times New Roman"/>
                <w:szCs w:val="21"/>
              </w:rPr>
              <w:t>5</w:t>
            </w:r>
          </w:p>
        </w:tc>
        <w:tc>
          <w:tcPr>
            <w:tcW w:w="3260" w:type="dxa"/>
            <w:vAlign w:val="center"/>
          </w:tcPr>
          <w:p>
            <w:pPr>
              <w:rPr>
                <w:rFonts w:hint="eastAsia" w:ascii="宋体" w:hAnsi="宋体" w:eastAsia="宋体" w:cs="Times New Roman"/>
                <w:szCs w:val="21"/>
              </w:rPr>
            </w:pPr>
            <w:r>
              <w:rPr>
                <w:rFonts w:hint="eastAsia" w:ascii="宋体" w:hAnsi="宋体" w:eastAsia="宋体" w:cs="Times New Roman"/>
                <w:szCs w:val="21"/>
              </w:rPr>
              <w:t>采用现场实测的方式，若处于便于操作的位置，则判定为合格；否则为不合格；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704" w:type="dxa"/>
            <w:vMerge w:val="continue"/>
            <w:vAlign w:val="center"/>
          </w:tcPr>
          <w:p>
            <w:pPr>
              <w:jc w:val="center"/>
              <w:rPr>
                <w:rFonts w:hint="eastAsia" w:ascii="宋体" w:hAnsi="宋体" w:eastAsia="宋体" w:cs="Times New Roman"/>
                <w:szCs w:val="21"/>
              </w:rPr>
            </w:pPr>
          </w:p>
        </w:tc>
        <w:tc>
          <w:tcPr>
            <w:tcW w:w="1677" w:type="dxa"/>
            <w:vMerge w:val="continue"/>
            <w:vAlign w:val="center"/>
          </w:tcPr>
          <w:p>
            <w:pPr>
              <w:rPr>
                <w:rFonts w:hint="eastAsia" w:ascii="宋体" w:hAnsi="宋体" w:eastAsia="宋体" w:cs="Times New Roman"/>
                <w:szCs w:val="21"/>
              </w:rPr>
            </w:pPr>
          </w:p>
        </w:tc>
        <w:tc>
          <w:tcPr>
            <w:tcW w:w="2859" w:type="dxa"/>
            <w:noWrap/>
            <w:vAlign w:val="center"/>
          </w:tcPr>
          <w:p>
            <w:pPr>
              <w:rPr>
                <w:rFonts w:hint="eastAsia" w:ascii="宋体" w:hAnsi="宋体" w:eastAsia="宋体" w:cs="Times New Roman"/>
                <w:szCs w:val="21"/>
              </w:rPr>
            </w:pPr>
            <w:r>
              <w:rPr>
                <w:rFonts w:hint="eastAsia" w:ascii="宋体" w:hAnsi="宋体" w:eastAsia="宋体" w:cs="Times New Roman"/>
                <w:szCs w:val="21"/>
              </w:rPr>
              <w:t>与各类风管连接</w:t>
            </w:r>
          </w:p>
        </w:tc>
        <w:tc>
          <w:tcPr>
            <w:tcW w:w="851" w:type="dxa"/>
            <w:vMerge w:val="continue"/>
            <w:vAlign w:val="center"/>
          </w:tcPr>
          <w:p>
            <w:pPr>
              <w:rPr>
                <w:rFonts w:hint="eastAsia" w:ascii="宋体" w:hAnsi="宋体" w:eastAsia="宋体" w:cs="Times New Roman"/>
                <w:szCs w:val="21"/>
              </w:rPr>
            </w:pPr>
          </w:p>
        </w:tc>
        <w:tc>
          <w:tcPr>
            <w:tcW w:w="3685" w:type="dxa"/>
            <w:vAlign w:val="center"/>
          </w:tcPr>
          <w:p>
            <w:pPr>
              <w:rPr>
                <w:rFonts w:hint="eastAsia" w:ascii="宋体" w:hAnsi="宋体" w:eastAsia="宋体" w:cs="Times New Roman"/>
                <w:szCs w:val="21"/>
              </w:rPr>
            </w:pPr>
            <w:r>
              <w:rPr>
                <w:rFonts w:hint="eastAsia" w:ascii="宋体" w:hAnsi="宋体" w:eastAsia="宋体" w:cs="Times New Roman"/>
                <w:szCs w:val="21"/>
              </w:rPr>
              <w:t>防火阀与普通风管、无机玻璃钢组合风管等类型风管连接时需符合图集07K103-2的要求</w:t>
            </w:r>
          </w:p>
        </w:tc>
        <w:tc>
          <w:tcPr>
            <w:tcW w:w="851" w:type="dxa"/>
            <w:vAlign w:val="center"/>
          </w:tcPr>
          <w:p>
            <w:pPr>
              <w:jc w:val="center"/>
              <w:rPr>
                <w:rFonts w:hint="eastAsia" w:ascii="宋体" w:hAnsi="宋体" w:eastAsia="宋体" w:cs="Times New Roman"/>
                <w:szCs w:val="21"/>
              </w:rPr>
            </w:pPr>
            <w:r>
              <w:rPr>
                <w:rFonts w:hint="eastAsia" w:ascii="宋体" w:hAnsi="宋体" w:eastAsia="宋体" w:cs="Times New Roman"/>
                <w:szCs w:val="21"/>
              </w:rPr>
              <w:t>5</w:t>
            </w:r>
          </w:p>
        </w:tc>
        <w:tc>
          <w:tcPr>
            <w:tcW w:w="3260" w:type="dxa"/>
            <w:vAlign w:val="center"/>
          </w:tcPr>
          <w:p>
            <w:pPr>
              <w:rPr>
                <w:rFonts w:hint="eastAsia" w:ascii="宋体" w:hAnsi="宋体" w:eastAsia="宋体" w:cs="Times New Roman"/>
                <w:szCs w:val="21"/>
              </w:rPr>
            </w:pPr>
            <w:r>
              <w:rPr>
                <w:rFonts w:hint="eastAsia" w:ascii="宋体" w:hAnsi="宋体" w:eastAsia="宋体" w:cs="Times New Roman"/>
                <w:szCs w:val="21"/>
              </w:rPr>
              <w:t>根据图集07K103-2中的要求，对连接处采用的角钢、螺栓和锚栓的规格、间距进行核实，标准不低于图集要求则判定为合格；否则为不合格；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704" w:type="dxa"/>
            <w:vMerge w:val="continue"/>
            <w:vAlign w:val="center"/>
          </w:tcPr>
          <w:p>
            <w:pPr>
              <w:jc w:val="center"/>
              <w:rPr>
                <w:rFonts w:hint="eastAsia" w:ascii="宋体" w:hAnsi="宋体" w:eastAsia="宋体" w:cs="Times New Roman"/>
                <w:szCs w:val="21"/>
              </w:rPr>
            </w:pPr>
          </w:p>
        </w:tc>
        <w:tc>
          <w:tcPr>
            <w:tcW w:w="1677" w:type="dxa"/>
            <w:vMerge w:val="continue"/>
            <w:vAlign w:val="center"/>
          </w:tcPr>
          <w:p>
            <w:pPr>
              <w:rPr>
                <w:rFonts w:hint="eastAsia" w:ascii="宋体" w:hAnsi="宋体" w:eastAsia="宋体" w:cs="Times New Roman"/>
                <w:szCs w:val="21"/>
              </w:rPr>
            </w:pPr>
          </w:p>
        </w:tc>
        <w:tc>
          <w:tcPr>
            <w:tcW w:w="2859" w:type="dxa"/>
            <w:noWrap/>
            <w:vAlign w:val="center"/>
          </w:tcPr>
          <w:p>
            <w:pPr>
              <w:rPr>
                <w:rFonts w:hint="eastAsia" w:ascii="宋体" w:hAnsi="宋体" w:eastAsia="宋体" w:cs="Times New Roman"/>
                <w:szCs w:val="21"/>
              </w:rPr>
            </w:pPr>
            <w:r>
              <w:rPr>
                <w:rFonts w:hint="eastAsia" w:ascii="宋体" w:hAnsi="宋体" w:eastAsia="宋体" w:cs="Times New Roman"/>
                <w:szCs w:val="21"/>
              </w:rPr>
              <w:t>标识</w:t>
            </w:r>
          </w:p>
        </w:tc>
        <w:tc>
          <w:tcPr>
            <w:tcW w:w="851" w:type="dxa"/>
            <w:vMerge w:val="continue"/>
            <w:vAlign w:val="center"/>
          </w:tcPr>
          <w:p>
            <w:pPr>
              <w:rPr>
                <w:rFonts w:hint="eastAsia" w:ascii="宋体" w:hAnsi="宋体" w:eastAsia="宋体" w:cs="Times New Roman"/>
                <w:szCs w:val="21"/>
              </w:rPr>
            </w:pPr>
          </w:p>
        </w:tc>
        <w:tc>
          <w:tcPr>
            <w:tcW w:w="3685" w:type="dxa"/>
            <w:vAlign w:val="center"/>
          </w:tcPr>
          <w:p>
            <w:pPr>
              <w:rPr>
                <w:rFonts w:hint="eastAsia" w:ascii="宋体" w:hAnsi="宋体" w:eastAsia="宋体" w:cs="Times New Roman"/>
                <w:szCs w:val="21"/>
              </w:rPr>
            </w:pPr>
            <w:r>
              <w:rPr>
                <w:rFonts w:hint="eastAsia" w:ascii="宋体" w:hAnsi="宋体" w:eastAsia="宋体" w:cs="Times New Roman"/>
                <w:szCs w:val="21"/>
              </w:rPr>
              <w:t>风管采用不燃材料进行防火隔热时，阀门安装处应有明显标识</w:t>
            </w:r>
          </w:p>
        </w:tc>
        <w:tc>
          <w:tcPr>
            <w:tcW w:w="851" w:type="dxa"/>
            <w:vAlign w:val="center"/>
          </w:tcPr>
          <w:p>
            <w:pPr>
              <w:jc w:val="center"/>
              <w:rPr>
                <w:rFonts w:hint="eastAsia" w:ascii="宋体" w:hAnsi="宋体" w:eastAsia="宋体" w:cs="Times New Roman"/>
                <w:szCs w:val="21"/>
              </w:rPr>
            </w:pPr>
            <w:r>
              <w:rPr>
                <w:rFonts w:hint="eastAsia" w:ascii="宋体" w:hAnsi="宋体" w:eastAsia="宋体" w:cs="Times New Roman"/>
                <w:szCs w:val="21"/>
              </w:rPr>
              <w:t>5</w:t>
            </w:r>
          </w:p>
        </w:tc>
        <w:tc>
          <w:tcPr>
            <w:tcW w:w="3260" w:type="dxa"/>
            <w:vAlign w:val="center"/>
          </w:tcPr>
          <w:p>
            <w:pPr>
              <w:rPr>
                <w:rFonts w:hint="eastAsia" w:ascii="宋体" w:hAnsi="宋体" w:eastAsia="宋体" w:cs="Times New Roman"/>
                <w:szCs w:val="21"/>
              </w:rPr>
            </w:pPr>
            <w:r>
              <w:rPr>
                <w:rFonts w:hint="eastAsia" w:ascii="宋体" w:hAnsi="宋体" w:eastAsia="宋体" w:cs="Times New Roman"/>
                <w:szCs w:val="21"/>
              </w:rPr>
              <w:t>现场实地观察，设置标识判定为合格；否则为不合格。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704" w:type="dxa"/>
            <w:vMerge w:val="continue"/>
            <w:vAlign w:val="center"/>
          </w:tcPr>
          <w:p>
            <w:pPr>
              <w:jc w:val="center"/>
              <w:rPr>
                <w:rFonts w:hint="eastAsia" w:ascii="宋体" w:hAnsi="宋体" w:eastAsia="宋体" w:cs="Times New Roman"/>
                <w:szCs w:val="21"/>
              </w:rPr>
            </w:pPr>
          </w:p>
        </w:tc>
        <w:tc>
          <w:tcPr>
            <w:tcW w:w="1677" w:type="dxa"/>
            <w:vMerge w:val="continue"/>
            <w:vAlign w:val="center"/>
          </w:tcPr>
          <w:p>
            <w:pPr>
              <w:rPr>
                <w:rFonts w:hint="eastAsia" w:ascii="宋体" w:hAnsi="宋体" w:eastAsia="宋体" w:cs="Times New Roman"/>
                <w:szCs w:val="21"/>
              </w:rPr>
            </w:pPr>
          </w:p>
        </w:tc>
        <w:tc>
          <w:tcPr>
            <w:tcW w:w="2859" w:type="dxa"/>
            <w:noWrap/>
            <w:vAlign w:val="center"/>
          </w:tcPr>
          <w:p>
            <w:pPr>
              <w:rPr>
                <w:rFonts w:hint="eastAsia" w:ascii="宋体" w:hAnsi="宋体" w:eastAsia="宋体" w:cs="Times New Roman"/>
                <w:szCs w:val="21"/>
              </w:rPr>
            </w:pPr>
            <w:r>
              <w:rPr>
                <w:rFonts w:hint="eastAsia" w:ascii="宋体" w:hAnsi="宋体" w:eastAsia="宋体" w:cs="Times New Roman"/>
                <w:szCs w:val="21"/>
              </w:rPr>
              <w:t>防火阀接线</w:t>
            </w:r>
          </w:p>
        </w:tc>
        <w:tc>
          <w:tcPr>
            <w:tcW w:w="851" w:type="dxa"/>
            <w:vMerge w:val="continue"/>
            <w:vAlign w:val="center"/>
          </w:tcPr>
          <w:p>
            <w:pPr>
              <w:rPr>
                <w:rFonts w:hint="eastAsia" w:ascii="宋体" w:hAnsi="宋体" w:eastAsia="宋体" w:cs="Times New Roman"/>
                <w:szCs w:val="21"/>
              </w:rPr>
            </w:pPr>
          </w:p>
        </w:tc>
        <w:tc>
          <w:tcPr>
            <w:tcW w:w="3685" w:type="dxa"/>
            <w:vAlign w:val="center"/>
          </w:tcPr>
          <w:p>
            <w:pPr>
              <w:rPr>
                <w:rFonts w:hint="eastAsia" w:ascii="宋体" w:hAnsi="宋体" w:eastAsia="宋体" w:cs="Times New Roman"/>
                <w:szCs w:val="21"/>
              </w:rPr>
            </w:pPr>
            <w:r>
              <w:rPr>
                <w:rFonts w:hint="eastAsia" w:ascii="宋体" w:hAnsi="宋体" w:eastAsia="宋体" w:cs="Times New Roman"/>
                <w:szCs w:val="21"/>
              </w:rPr>
              <w:t>防火阀接线端子放到明装盒内，穿线软管和明装盒可靠连接</w:t>
            </w:r>
          </w:p>
        </w:tc>
        <w:tc>
          <w:tcPr>
            <w:tcW w:w="851" w:type="dxa"/>
            <w:vAlign w:val="center"/>
          </w:tcPr>
          <w:p>
            <w:pPr>
              <w:jc w:val="center"/>
              <w:rPr>
                <w:rFonts w:hint="eastAsia" w:ascii="宋体" w:hAnsi="宋体" w:eastAsia="宋体" w:cs="Times New Roman"/>
                <w:szCs w:val="21"/>
              </w:rPr>
            </w:pPr>
            <w:r>
              <w:rPr>
                <w:rFonts w:hint="eastAsia" w:ascii="宋体" w:hAnsi="宋体" w:eastAsia="宋体" w:cs="Times New Roman"/>
                <w:szCs w:val="21"/>
              </w:rPr>
              <w:t>5</w:t>
            </w:r>
          </w:p>
        </w:tc>
        <w:tc>
          <w:tcPr>
            <w:tcW w:w="3260" w:type="dxa"/>
            <w:vAlign w:val="center"/>
          </w:tcPr>
          <w:p>
            <w:pPr>
              <w:rPr>
                <w:rFonts w:hint="eastAsia" w:ascii="宋体" w:hAnsi="宋体" w:eastAsia="宋体" w:cs="Times New Roman"/>
                <w:szCs w:val="21"/>
              </w:rPr>
            </w:pPr>
            <w:r>
              <w:rPr>
                <w:rFonts w:hint="eastAsia" w:ascii="宋体" w:hAnsi="宋体" w:eastAsia="宋体" w:cs="Times New Roman"/>
                <w:szCs w:val="21"/>
              </w:rPr>
              <w:t>现场实地观察，软管入盒采用配套螺母连接；其它连接为不合格；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704" w:type="dxa"/>
            <w:vMerge w:val="restart"/>
            <w:noWrap/>
            <w:vAlign w:val="center"/>
          </w:tcPr>
          <w:p>
            <w:pPr>
              <w:jc w:val="center"/>
              <w:rPr>
                <w:rFonts w:hint="eastAsia" w:ascii="宋体" w:hAnsi="宋体" w:eastAsia="宋体" w:cs="Times New Roman"/>
                <w:szCs w:val="21"/>
              </w:rPr>
            </w:pPr>
            <w:r>
              <w:rPr>
                <w:rFonts w:hint="eastAsia" w:ascii="宋体" w:hAnsi="宋体" w:eastAsia="宋体" w:cs="Times New Roman"/>
                <w:szCs w:val="21"/>
              </w:rPr>
              <w:t>4</w:t>
            </w:r>
          </w:p>
        </w:tc>
        <w:tc>
          <w:tcPr>
            <w:tcW w:w="1677" w:type="dxa"/>
            <w:vMerge w:val="restart"/>
            <w:vAlign w:val="center"/>
          </w:tcPr>
          <w:p>
            <w:pPr>
              <w:rPr>
                <w:rFonts w:hint="eastAsia" w:ascii="宋体" w:hAnsi="宋体" w:eastAsia="宋体" w:cs="Times New Roman"/>
                <w:szCs w:val="21"/>
              </w:rPr>
            </w:pPr>
            <w:r>
              <w:rPr>
                <w:rFonts w:hint="eastAsia" w:ascii="宋体" w:hAnsi="宋体" w:eastAsia="宋体" w:cs="Times New Roman"/>
                <w:szCs w:val="21"/>
              </w:rPr>
              <w:t>D挡烟垂壁</w:t>
            </w:r>
          </w:p>
        </w:tc>
        <w:tc>
          <w:tcPr>
            <w:tcW w:w="2859" w:type="dxa"/>
            <w:noWrap/>
            <w:vAlign w:val="center"/>
          </w:tcPr>
          <w:p>
            <w:pPr>
              <w:jc w:val="center"/>
              <w:rPr>
                <w:rFonts w:hint="eastAsia" w:ascii="宋体" w:hAnsi="宋体" w:eastAsia="宋体" w:cs="Times New Roman"/>
                <w:b/>
                <w:bCs/>
                <w:szCs w:val="21"/>
              </w:rPr>
            </w:pPr>
            <w:r>
              <w:rPr>
                <w:rFonts w:hint="eastAsia" w:ascii="宋体" w:hAnsi="宋体" w:eastAsia="宋体" w:cs="Times New Roman"/>
                <w:b/>
                <w:bCs/>
                <w:szCs w:val="21"/>
              </w:rPr>
              <w:t>主控项</w:t>
            </w:r>
          </w:p>
        </w:tc>
        <w:tc>
          <w:tcPr>
            <w:tcW w:w="851" w:type="dxa"/>
            <w:vMerge w:val="restart"/>
            <w:vAlign w:val="center"/>
          </w:tcPr>
          <w:p>
            <w:pPr>
              <w:jc w:val="center"/>
              <w:rPr>
                <w:rFonts w:hint="eastAsia" w:ascii="宋体" w:hAnsi="宋体" w:eastAsia="宋体" w:cs="Times New Roman"/>
                <w:szCs w:val="21"/>
              </w:rPr>
            </w:pPr>
            <w:r>
              <w:rPr>
                <w:rFonts w:hint="eastAsia" w:cs="Times New Roman" w:asciiTheme="minorEastAsia" w:hAnsiTheme="minorEastAsia"/>
                <w:szCs w:val="21"/>
              </w:rPr>
              <w:t>0.10</w:t>
            </w:r>
          </w:p>
        </w:tc>
        <w:tc>
          <w:tcPr>
            <w:tcW w:w="3685" w:type="dxa"/>
            <w:vAlign w:val="center"/>
          </w:tcPr>
          <w:p>
            <w:pPr>
              <w:jc w:val="center"/>
              <w:rPr>
                <w:rFonts w:hint="eastAsia" w:ascii="宋体" w:hAnsi="宋体" w:eastAsia="宋体" w:cs="Times New Roman"/>
                <w:b/>
                <w:bCs/>
                <w:szCs w:val="21"/>
              </w:rPr>
            </w:pPr>
            <w:r>
              <w:rPr>
                <w:rFonts w:hint="eastAsia" w:ascii="宋体" w:hAnsi="宋体" w:eastAsia="宋体" w:cs="Times New Roman"/>
                <w:b/>
                <w:bCs/>
                <w:szCs w:val="21"/>
              </w:rPr>
              <w:t>主控项评分要点</w:t>
            </w:r>
          </w:p>
        </w:tc>
        <w:tc>
          <w:tcPr>
            <w:tcW w:w="851" w:type="dxa"/>
            <w:vAlign w:val="center"/>
          </w:tcPr>
          <w:p>
            <w:pPr>
              <w:jc w:val="center"/>
              <w:rPr>
                <w:rFonts w:hint="eastAsia" w:ascii="宋体" w:hAnsi="宋体" w:eastAsia="宋体" w:cs="Times New Roman"/>
                <w:b/>
                <w:bCs/>
                <w:szCs w:val="21"/>
              </w:rPr>
            </w:pPr>
            <w:r>
              <w:rPr>
                <w:rFonts w:hint="eastAsia" w:ascii="宋体" w:hAnsi="宋体" w:eastAsia="宋体" w:cs="Times New Roman"/>
                <w:b/>
                <w:bCs/>
                <w:szCs w:val="21"/>
              </w:rPr>
              <w:t>评分</w:t>
            </w:r>
          </w:p>
        </w:tc>
        <w:tc>
          <w:tcPr>
            <w:tcW w:w="3260" w:type="dxa"/>
            <w:vAlign w:val="center"/>
          </w:tcPr>
          <w:p>
            <w:pPr>
              <w:jc w:val="center"/>
              <w:rPr>
                <w:rFonts w:hint="eastAsia" w:ascii="宋体" w:hAnsi="宋体" w:eastAsia="宋体" w:cs="Times New Roman"/>
                <w:b/>
                <w:bCs/>
                <w:szCs w:val="21"/>
              </w:rPr>
            </w:pPr>
            <w:r>
              <w:rPr>
                <w:rFonts w:hint="eastAsia" w:ascii="宋体" w:hAnsi="宋体" w:eastAsia="宋体" w:cs="Times New Roman"/>
                <w:b/>
                <w:bCs/>
                <w:szCs w:val="21"/>
              </w:rPr>
              <w:t>评定方法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704" w:type="dxa"/>
            <w:vMerge w:val="continue"/>
            <w:vAlign w:val="center"/>
          </w:tcPr>
          <w:p>
            <w:pPr>
              <w:jc w:val="center"/>
              <w:rPr>
                <w:rFonts w:hint="eastAsia" w:ascii="宋体" w:hAnsi="宋体" w:eastAsia="宋体" w:cs="Times New Roman"/>
                <w:szCs w:val="21"/>
              </w:rPr>
            </w:pPr>
          </w:p>
        </w:tc>
        <w:tc>
          <w:tcPr>
            <w:tcW w:w="1677" w:type="dxa"/>
            <w:vMerge w:val="continue"/>
            <w:vAlign w:val="center"/>
          </w:tcPr>
          <w:p>
            <w:pPr>
              <w:rPr>
                <w:rFonts w:hint="eastAsia" w:ascii="宋体" w:hAnsi="宋体" w:eastAsia="宋体" w:cs="Times New Roman"/>
                <w:szCs w:val="21"/>
              </w:rPr>
            </w:pPr>
          </w:p>
        </w:tc>
        <w:tc>
          <w:tcPr>
            <w:tcW w:w="2859" w:type="dxa"/>
            <w:noWrap/>
            <w:vAlign w:val="center"/>
          </w:tcPr>
          <w:p>
            <w:pPr>
              <w:rPr>
                <w:rFonts w:hint="eastAsia" w:ascii="宋体" w:hAnsi="宋体" w:eastAsia="宋体" w:cs="Times New Roman"/>
                <w:szCs w:val="21"/>
              </w:rPr>
            </w:pPr>
            <w:r>
              <w:rPr>
                <w:rFonts w:hint="eastAsia" w:ascii="宋体" w:hAnsi="宋体" w:eastAsia="宋体" w:cs="Times New Roman"/>
                <w:szCs w:val="21"/>
              </w:rPr>
              <w:t>标识</w:t>
            </w:r>
          </w:p>
        </w:tc>
        <w:tc>
          <w:tcPr>
            <w:tcW w:w="851" w:type="dxa"/>
            <w:vMerge w:val="continue"/>
            <w:vAlign w:val="center"/>
          </w:tcPr>
          <w:p>
            <w:pPr>
              <w:rPr>
                <w:rFonts w:hint="eastAsia" w:ascii="宋体" w:hAnsi="宋体" w:eastAsia="宋体" w:cs="Times New Roman"/>
                <w:szCs w:val="21"/>
              </w:rPr>
            </w:pPr>
          </w:p>
        </w:tc>
        <w:tc>
          <w:tcPr>
            <w:tcW w:w="3685" w:type="dxa"/>
            <w:vAlign w:val="center"/>
          </w:tcPr>
          <w:p>
            <w:pPr>
              <w:rPr>
                <w:rFonts w:hint="eastAsia" w:ascii="宋体" w:hAnsi="宋体" w:eastAsia="宋体" w:cs="Times New Roman"/>
                <w:szCs w:val="21"/>
              </w:rPr>
            </w:pPr>
            <w:r>
              <w:rPr>
                <w:rFonts w:hint="eastAsia" w:ascii="宋体" w:hAnsi="宋体" w:eastAsia="宋体" w:cs="Times New Roman"/>
                <w:szCs w:val="21"/>
              </w:rPr>
              <w:t>挡烟垂壁应设置明显永久标志。</w:t>
            </w:r>
          </w:p>
        </w:tc>
        <w:tc>
          <w:tcPr>
            <w:tcW w:w="851" w:type="dxa"/>
            <w:vAlign w:val="center"/>
          </w:tcPr>
          <w:p>
            <w:pPr>
              <w:jc w:val="center"/>
              <w:rPr>
                <w:rFonts w:hint="eastAsia" w:ascii="宋体" w:hAnsi="宋体" w:eastAsia="宋体" w:cs="Times New Roman"/>
                <w:szCs w:val="21"/>
              </w:rPr>
            </w:pPr>
            <w:r>
              <w:rPr>
                <w:rFonts w:hint="eastAsia" w:ascii="宋体" w:hAnsi="宋体" w:eastAsia="宋体" w:cs="Times New Roman"/>
                <w:szCs w:val="21"/>
              </w:rPr>
              <w:t>30</w:t>
            </w:r>
          </w:p>
        </w:tc>
        <w:tc>
          <w:tcPr>
            <w:tcW w:w="3260" w:type="dxa"/>
            <w:vAlign w:val="center"/>
          </w:tcPr>
          <w:p>
            <w:pPr>
              <w:rPr>
                <w:rFonts w:hint="eastAsia" w:ascii="宋体" w:hAnsi="宋体" w:eastAsia="宋体" w:cs="Times New Roman"/>
                <w:szCs w:val="21"/>
              </w:rPr>
            </w:pPr>
            <w:r>
              <w:rPr>
                <w:rFonts w:hint="eastAsia" w:ascii="宋体" w:hAnsi="宋体" w:eastAsia="宋体" w:cs="Times New Roman"/>
                <w:szCs w:val="21"/>
              </w:rPr>
              <w:t>有标识合格，没标识不合格。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704" w:type="dxa"/>
            <w:vMerge w:val="continue"/>
            <w:vAlign w:val="center"/>
          </w:tcPr>
          <w:p>
            <w:pPr>
              <w:jc w:val="center"/>
              <w:rPr>
                <w:rFonts w:hint="eastAsia" w:ascii="宋体" w:hAnsi="宋体" w:eastAsia="宋体" w:cs="Times New Roman"/>
                <w:szCs w:val="21"/>
              </w:rPr>
            </w:pPr>
          </w:p>
        </w:tc>
        <w:tc>
          <w:tcPr>
            <w:tcW w:w="1677" w:type="dxa"/>
            <w:vMerge w:val="continue"/>
            <w:vAlign w:val="center"/>
          </w:tcPr>
          <w:p>
            <w:pPr>
              <w:rPr>
                <w:rFonts w:hint="eastAsia" w:ascii="宋体" w:hAnsi="宋体" w:eastAsia="宋体" w:cs="Times New Roman"/>
                <w:szCs w:val="21"/>
              </w:rPr>
            </w:pPr>
          </w:p>
        </w:tc>
        <w:tc>
          <w:tcPr>
            <w:tcW w:w="2859" w:type="dxa"/>
            <w:noWrap/>
            <w:vAlign w:val="center"/>
          </w:tcPr>
          <w:p>
            <w:pPr>
              <w:rPr>
                <w:rFonts w:hint="eastAsia" w:ascii="宋体" w:hAnsi="宋体" w:eastAsia="宋体" w:cs="Times New Roman"/>
                <w:szCs w:val="21"/>
              </w:rPr>
            </w:pPr>
            <w:r>
              <w:rPr>
                <w:rFonts w:hint="eastAsia" w:ascii="宋体" w:hAnsi="宋体" w:eastAsia="宋体" w:cs="Times New Roman"/>
                <w:szCs w:val="21"/>
              </w:rPr>
              <w:t>设备参数</w:t>
            </w:r>
          </w:p>
        </w:tc>
        <w:tc>
          <w:tcPr>
            <w:tcW w:w="851" w:type="dxa"/>
            <w:vMerge w:val="continue"/>
            <w:vAlign w:val="center"/>
          </w:tcPr>
          <w:p>
            <w:pPr>
              <w:rPr>
                <w:rFonts w:hint="eastAsia" w:ascii="宋体" w:hAnsi="宋体" w:eastAsia="宋体" w:cs="Times New Roman"/>
                <w:szCs w:val="21"/>
              </w:rPr>
            </w:pPr>
          </w:p>
        </w:tc>
        <w:tc>
          <w:tcPr>
            <w:tcW w:w="3685" w:type="dxa"/>
            <w:vAlign w:val="center"/>
          </w:tcPr>
          <w:p>
            <w:pPr>
              <w:rPr>
                <w:rFonts w:hint="eastAsia" w:ascii="宋体" w:hAnsi="宋体" w:eastAsia="宋体" w:cs="Times New Roman"/>
                <w:szCs w:val="21"/>
              </w:rPr>
            </w:pPr>
            <w:r>
              <w:rPr>
                <w:rFonts w:hint="eastAsia" w:ascii="宋体" w:hAnsi="宋体" w:eastAsia="宋体" w:cs="Times New Roman"/>
                <w:szCs w:val="21"/>
              </w:rPr>
              <w:t>型号、规格、下垂的长度和安装位置应符合设计要求。</w:t>
            </w:r>
          </w:p>
        </w:tc>
        <w:tc>
          <w:tcPr>
            <w:tcW w:w="851" w:type="dxa"/>
            <w:vAlign w:val="center"/>
          </w:tcPr>
          <w:p>
            <w:pPr>
              <w:jc w:val="center"/>
              <w:rPr>
                <w:rFonts w:hint="eastAsia" w:ascii="宋体" w:hAnsi="宋体" w:eastAsia="宋体" w:cs="Times New Roman"/>
                <w:szCs w:val="21"/>
              </w:rPr>
            </w:pPr>
            <w:r>
              <w:rPr>
                <w:rFonts w:hint="eastAsia" w:ascii="宋体" w:hAnsi="宋体" w:eastAsia="宋体" w:cs="Times New Roman"/>
                <w:szCs w:val="21"/>
              </w:rPr>
              <w:t>30</w:t>
            </w:r>
          </w:p>
        </w:tc>
        <w:tc>
          <w:tcPr>
            <w:tcW w:w="3260" w:type="dxa"/>
            <w:vAlign w:val="center"/>
          </w:tcPr>
          <w:p>
            <w:pPr>
              <w:rPr>
                <w:rFonts w:hint="eastAsia" w:ascii="宋体" w:hAnsi="宋体" w:eastAsia="宋体" w:cs="Times New Roman"/>
                <w:szCs w:val="21"/>
              </w:rPr>
            </w:pPr>
            <w:r>
              <w:rPr>
                <w:rFonts w:hint="eastAsia" w:ascii="宋体" w:hAnsi="宋体" w:eastAsia="宋体" w:cs="Times New Roman"/>
                <w:szCs w:val="21"/>
              </w:rPr>
              <w:t>查看对应资料数值是否符合图纸要求。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704" w:type="dxa"/>
            <w:vMerge w:val="continue"/>
            <w:vAlign w:val="center"/>
          </w:tcPr>
          <w:p>
            <w:pPr>
              <w:jc w:val="center"/>
              <w:rPr>
                <w:rFonts w:hint="eastAsia" w:ascii="宋体" w:hAnsi="宋体" w:eastAsia="宋体" w:cs="Times New Roman"/>
                <w:szCs w:val="21"/>
              </w:rPr>
            </w:pPr>
          </w:p>
        </w:tc>
        <w:tc>
          <w:tcPr>
            <w:tcW w:w="1677" w:type="dxa"/>
            <w:vMerge w:val="continue"/>
            <w:vAlign w:val="center"/>
          </w:tcPr>
          <w:p>
            <w:pPr>
              <w:rPr>
                <w:rFonts w:hint="eastAsia" w:ascii="宋体" w:hAnsi="宋体" w:eastAsia="宋体" w:cs="Times New Roman"/>
                <w:szCs w:val="21"/>
              </w:rPr>
            </w:pPr>
          </w:p>
        </w:tc>
        <w:tc>
          <w:tcPr>
            <w:tcW w:w="2859" w:type="dxa"/>
            <w:noWrap/>
            <w:vAlign w:val="center"/>
          </w:tcPr>
          <w:p>
            <w:pPr>
              <w:jc w:val="center"/>
              <w:rPr>
                <w:rFonts w:hint="eastAsia" w:ascii="宋体" w:hAnsi="宋体" w:eastAsia="宋体" w:cs="Times New Roman"/>
                <w:b/>
                <w:bCs/>
                <w:szCs w:val="21"/>
              </w:rPr>
            </w:pPr>
            <w:r>
              <w:rPr>
                <w:rFonts w:hint="eastAsia" w:ascii="宋体" w:hAnsi="宋体" w:eastAsia="宋体" w:cs="Times New Roman"/>
                <w:b/>
                <w:bCs/>
                <w:szCs w:val="21"/>
              </w:rPr>
              <w:t>一般项</w:t>
            </w:r>
          </w:p>
        </w:tc>
        <w:tc>
          <w:tcPr>
            <w:tcW w:w="851" w:type="dxa"/>
            <w:vMerge w:val="continue"/>
            <w:vAlign w:val="center"/>
          </w:tcPr>
          <w:p>
            <w:pPr>
              <w:jc w:val="center"/>
              <w:rPr>
                <w:rFonts w:hint="eastAsia" w:ascii="宋体" w:hAnsi="宋体" w:eastAsia="宋体" w:cs="Times New Roman"/>
                <w:szCs w:val="21"/>
              </w:rPr>
            </w:pPr>
          </w:p>
        </w:tc>
        <w:tc>
          <w:tcPr>
            <w:tcW w:w="3685" w:type="dxa"/>
            <w:vAlign w:val="center"/>
          </w:tcPr>
          <w:p>
            <w:pPr>
              <w:jc w:val="center"/>
              <w:rPr>
                <w:rFonts w:hint="eastAsia" w:ascii="宋体" w:hAnsi="宋体" w:eastAsia="宋体" w:cs="Times New Roman"/>
                <w:b/>
                <w:bCs/>
                <w:szCs w:val="21"/>
              </w:rPr>
            </w:pPr>
            <w:r>
              <w:rPr>
                <w:rFonts w:hint="eastAsia" w:ascii="宋体" w:hAnsi="宋体" w:eastAsia="宋体" w:cs="Times New Roman"/>
                <w:b/>
                <w:bCs/>
                <w:szCs w:val="21"/>
              </w:rPr>
              <w:t>一般项评分要点</w:t>
            </w:r>
          </w:p>
        </w:tc>
        <w:tc>
          <w:tcPr>
            <w:tcW w:w="851" w:type="dxa"/>
            <w:vAlign w:val="center"/>
          </w:tcPr>
          <w:p>
            <w:pPr>
              <w:jc w:val="center"/>
              <w:rPr>
                <w:rFonts w:hint="eastAsia" w:ascii="宋体" w:hAnsi="宋体" w:eastAsia="宋体" w:cs="Times New Roman"/>
                <w:b/>
                <w:bCs/>
                <w:szCs w:val="21"/>
              </w:rPr>
            </w:pPr>
            <w:r>
              <w:rPr>
                <w:rFonts w:hint="eastAsia" w:ascii="宋体" w:hAnsi="宋体" w:eastAsia="宋体" w:cs="Times New Roman"/>
                <w:b/>
                <w:bCs/>
                <w:szCs w:val="21"/>
              </w:rPr>
              <w:t>评分</w:t>
            </w:r>
          </w:p>
        </w:tc>
        <w:tc>
          <w:tcPr>
            <w:tcW w:w="3260" w:type="dxa"/>
            <w:vAlign w:val="center"/>
          </w:tcPr>
          <w:p>
            <w:pPr>
              <w:jc w:val="center"/>
              <w:rPr>
                <w:rFonts w:hint="eastAsia" w:ascii="宋体" w:hAnsi="宋体" w:eastAsia="宋体" w:cs="Times New Roman"/>
                <w:b/>
                <w:bCs/>
                <w:szCs w:val="21"/>
              </w:rPr>
            </w:pPr>
            <w:r>
              <w:rPr>
                <w:rFonts w:hint="eastAsia" w:ascii="宋体" w:hAnsi="宋体" w:eastAsia="宋体" w:cs="Times New Roman"/>
                <w:b/>
                <w:bCs/>
                <w:szCs w:val="21"/>
              </w:rPr>
              <w:t>评定方法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704" w:type="dxa"/>
            <w:vMerge w:val="continue"/>
            <w:vAlign w:val="center"/>
          </w:tcPr>
          <w:p>
            <w:pPr>
              <w:jc w:val="center"/>
              <w:rPr>
                <w:rFonts w:hint="eastAsia" w:ascii="宋体" w:hAnsi="宋体" w:eastAsia="宋体" w:cs="Times New Roman"/>
                <w:szCs w:val="21"/>
              </w:rPr>
            </w:pPr>
          </w:p>
        </w:tc>
        <w:tc>
          <w:tcPr>
            <w:tcW w:w="1677" w:type="dxa"/>
            <w:vMerge w:val="continue"/>
            <w:vAlign w:val="center"/>
          </w:tcPr>
          <w:p>
            <w:pPr>
              <w:rPr>
                <w:rFonts w:hint="eastAsia" w:ascii="宋体" w:hAnsi="宋体" w:eastAsia="宋体" w:cs="Times New Roman"/>
                <w:szCs w:val="21"/>
              </w:rPr>
            </w:pPr>
          </w:p>
        </w:tc>
        <w:tc>
          <w:tcPr>
            <w:tcW w:w="2859" w:type="dxa"/>
            <w:noWrap/>
            <w:vAlign w:val="center"/>
          </w:tcPr>
          <w:p>
            <w:pPr>
              <w:rPr>
                <w:rFonts w:hint="eastAsia" w:ascii="宋体" w:hAnsi="宋体" w:eastAsia="宋体" w:cs="Times New Roman"/>
                <w:szCs w:val="21"/>
              </w:rPr>
            </w:pPr>
            <w:r>
              <w:rPr>
                <w:rFonts w:hint="eastAsia" w:ascii="宋体" w:hAnsi="宋体" w:eastAsia="宋体" w:cs="Times New Roman"/>
                <w:szCs w:val="21"/>
              </w:rPr>
              <w:t>安装参数</w:t>
            </w:r>
          </w:p>
        </w:tc>
        <w:tc>
          <w:tcPr>
            <w:tcW w:w="851" w:type="dxa"/>
            <w:vMerge w:val="continue"/>
            <w:vAlign w:val="center"/>
          </w:tcPr>
          <w:p>
            <w:pPr>
              <w:rPr>
                <w:rFonts w:hint="eastAsia" w:ascii="宋体" w:hAnsi="宋体" w:eastAsia="宋体" w:cs="Times New Roman"/>
                <w:szCs w:val="21"/>
              </w:rPr>
            </w:pPr>
          </w:p>
        </w:tc>
        <w:tc>
          <w:tcPr>
            <w:tcW w:w="3685" w:type="dxa"/>
            <w:vAlign w:val="center"/>
          </w:tcPr>
          <w:p>
            <w:pPr>
              <w:rPr>
                <w:rFonts w:hint="eastAsia" w:ascii="宋体" w:hAnsi="宋体" w:eastAsia="宋体" w:cs="Times New Roman"/>
                <w:szCs w:val="21"/>
              </w:rPr>
            </w:pPr>
            <w:r>
              <w:rPr>
                <w:rFonts w:hint="eastAsia" w:ascii="宋体" w:hAnsi="宋体" w:eastAsia="宋体" w:cs="Times New Roman"/>
                <w:szCs w:val="21"/>
              </w:rPr>
              <w:t>活动挡烟垂壁与建筑结构(柱或墙)面的缝隙不得大于 60 m，由两块或两块以上的挡烟垂帘组成的连续性挡烟垂壁，各块之间不得有缝隙，搭接宽度不得小于 100 mm。</w:t>
            </w:r>
          </w:p>
        </w:tc>
        <w:tc>
          <w:tcPr>
            <w:tcW w:w="851" w:type="dxa"/>
            <w:vAlign w:val="center"/>
          </w:tcPr>
          <w:p>
            <w:pPr>
              <w:jc w:val="center"/>
              <w:rPr>
                <w:rFonts w:hint="eastAsia" w:ascii="宋体" w:hAnsi="宋体" w:eastAsia="宋体" w:cs="Times New Roman"/>
                <w:szCs w:val="21"/>
              </w:rPr>
            </w:pPr>
            <w:r>
              <w:rPr>
                <w:rFonts w:hint="eastAsia" w:ascii="宋体" w:hAnsi="宋体" w:eastAsia="宋体" w:cs="Times New Roman"/>
                <w:szCs w:val="21"/>
              </w:rPr>
              <w:t>20</w:t>
            </w:r>
          </w:p>
        </w:tc>
        <w:tc>
          <w:tcPr>
            <w:tcW w:w="3260" w:type="dxa"/>
            <w:vAlign w:val="center"/>
          </w:tcPr>
          <w:p>
            <w:pPr>
              <w:rPr>
                <w:rFonts w:hint="eastAsia" w:ascii="宋体" w:hAnsi="宋体" w:eastAsia="宋体" w:cs="Times New Roman"/>
                <w:szCs w:val="21"/>
              </w:rPr>
            </w:pPr>
            <w:r>
              <w:rPr>
                <w:rFonts w:hint="eastAsia" w:ascii="宋体" w:hAnsi="宋体" w:eastAsia="宋体" w:cs="Times New Roman"/>
                <w:szCs w:val="21"/>
              </w:rPr>
              <w:t>现场查看尺量，根据结果打分。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704" w:type="dxa"/>
            <w:vMerge w:val="continue"/>
            <w:vAlign w:val="center"/>
          </w:tcPr>
          <w:p>
            <w:pPr>
              <w:jc w:val="center"/>
              <w:rPr>
                <w:rFonts w:hint="eastAsia" w:ascii="宋体" w:hAnsi="宋体" w:eastAsia="宋体" w:cs="Times New Roman"/>
                <w:szCs w:val="21"/>
              </w:rPr>
            </w:pPr>
          </w:p>
        </w:tc>
        <w:tc>
          <w:tcPr>
            <w:tcW w:w="1677" w:type="dxa"/>
            <w:vMerge w:val="continue"/>
            <w:vAlign w:val="center"/>
          </w:tcPr>
          <w:p>
            <w:pPr>
              <w:rPr>
                <w:rFonts w:hint="eastAsia" w:ascii="宋体" w:hAnsi="宋体" w:eastAsia="宋体" w:cs="Times New Roman"/>
                <w:szCs w:val="21"/>
              </w:rPr>
            </w:pPr>
          </w:p>
        </w:tc>
        <w:tc>
          <w:tcPr>
            <w:tcW w:w="2859" w:type="dxa"/>
            <w:noWrap/>
            <w:vAlign w:val="center"/>
          </w:tcPr>
          <w:p>
            <w:pPr>
              <w:rPr>
                <w:rFonts w:hint="eastAsia" w:ascii="宋体" w:hAnsi="宋体" w:eastAsia="宋体" w:cs="Times New Roman"/>
                <w:szCs w:val="21"/>
              </w:rPr>
            </w:pPr>
            <w:r>
              <w:rPr>
                <w:rFonts w:hint="eastAsia" w:ascii="宋体" w:hAnsi="宋体" w:eastAsia="宋体" w:cs="Times New Roman"/>
                <w:szCs w:val="21"/>
              </w:rPr>
              <w:t>启闭装置</w:t>
            </w:r>
          </w:p>
        </w:tc>
        <w:tc>
          <w:tcPr>
            <w:tcW w:w="851" w:type="dxa"/>
            <w:vMerge w:val="continue"/>
            <w:vAlign w:val="center"/>
          </w:tcPr>
          <w:p>
            <w:pPr>
              <w:rPr>
                <w:rFonts w:hint="eastAsia" w:ascii="宋体" w:hAnsi="宋体" w:eastAsia="宋体" w:cs="Times New Roman"/>
                <w:szCs w:val="21"/>
              </w:rPr>
            </w:pPr>
          </w:p>
        </w:tc>
        <w:tc>
          <w:tcPr>
            <w:tcW w:w="3685" w:type="dxa"/>
            <w:vAlign w:val="center"/>
          </w:tcPr>
          <w:p>
            <w:pPr>
              <w:rPr>
                <w:rFonts w:hint="eastAsia" w:ascii="宋体" w:hAnsi="宋体" w:eastAsia="宋体" w:cs="Times New Roman"/>
                <w:szCs w:val="21"/>
              </w:rPr>
            </w:pPr>
            <w:r>
              <w:rPr>
                <w:rFonts w:hint="eastAsia" w:ascii="宋体" w:hAnsi="宋体" w:eastAsia="宋体" w:cs="Times New Roman"/>
                <w:szCs w:val="21"/>
              </w:rPr>
              <w:t>是否就近安装电动/手动控制按钮</w:t>
            </w:r>
          </w:p>
        </w:tc>
        <w:tc>
          <w:tcPr>
            <w:tcW w:w="851" w:type="dxa"/>
            <w:vAlign w:val="center"/>
          </w:tcPr>
          <w:p>
            <w:pPr>
              <w:jc w:val="center"/>
              <w:rPr>
                <w:rFonts w:hint="eastAsia" w:ascii="宋体" w:hAnsi="宋体" w:eastAsia="宋体" w:cs="Times New Roman"/>
                <w:szCs w:val="21"/>
              </w:rPr>
            </w:pPr>
            <w:r>
              <w:rPr>
                <w:rFonts w:hint="eastAsia" w:ascii="宋体" w:hAnsi="宋体" w:eastAsia="宋体" w:cs="Times New Roman"/>
                <w:szCs w:val="21"/>
              </w:rPr>
              <w:t>20</w:t>
            </w:r>
          </w:p>
        </w:tc>
        <w:tc>
          <w:tcPr>
            <w:tcW w:w="3260" w:type="dxa"/>
            <w:vAlign w:val="center"/>
          </w:tcPr>
          <w:p>
            <w:pPr>
              <w:rPr>
                <w:rFonts w:hint="eastAsia" w:ascii="宋体" w:hAnsi="宋体" w:eastAsia="宋体" w:cs="Times New Roman"/>
                <w:szCs w:val="21"/>
              </w:rPr>
            </w:pPr>
            <w:r>
              <w:rPr>
                <w:rFonts w:hint="eastAsia" w:ascii="宋体" w:hAnsi="宋体" w:eastAsia="宋体" w:cs="Times New Roman"/>
                <w:szCs w:val="21"/>
              </w:rPr>
              <w:t>现场查看，根据现场质量打分。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704" w:type="dxa"/>
            <w:vMerge w:val="restart"/>
            <w:noWrap/>
            <w:vAlign w:val="center"/>
          </w:tcPr>
          <w:p>
            <w:pPr>
              <w:jc w:val="center"/>
              <w:rPr>
                <w:rFonts w:hint="eastAsia" w:ascii="宋体" w:hAnsi="宋体" w:eastAsia="宋体" w:cs="Times New Roman"/>
                <w:szCs w:val="21"/>
              </w:rPr>
            </w:pPr>
            <w:r>
              <w:rPr>
                <w:rFonts w:hint="eastAsia" w:ascii="宋体" w:hAnsi="宋体" w:eastAsia="宋体" w:cs="Times New Roman"/>
                <w:szCs w:val="21"/>
              </w:rPr>
              <w:t>5</w:t>
            </w:r>
          </w:p>
        </w:tc>
        <w:tc>
          <w:tcPr>
            <w:tcW w:w="1677" w:type="dxa"/>
            <w:vMerge w:val="restart"/>
            <w:vAlign w:val="center"/>
          </w:tcPr>
          <w:p>
            <w:pPr>
              <w:rPr>
                <w:rFonts w:hint="eastAsia" w:ascii="宋体" w:hAnsi="宋体" w:eastAsia="宋体" w:cs="Times New Roman"/>
                <w:szCs w:val="21"/>
              </w:rPr>
            </w:pPr>
            <w:r>
              <w:rPr>
                <w:rFonts w:hint="eastAsia" w:ascii="宋体" w:hAnsi="宋体" w:eastAsia="宋体" w:cs="Times New Roman"/>
                <w:szCs w:val="21"/>
              </w:rPr>
              <w:t>E风管</w:t>
            </w:r>
          </w:p>
        </w:tc>
        <w:tc>
          <w:tcPr>
            <w:tcW w:w="2859" w:type="dxa"/>
            <w:noWrap/>
            <w:vAlign w:val="center"/>
          </w:tcPr>
          <w:p>
            <w:pPr>
              <w:jc w:val="center"/>
              <w:rPr>
                <w:rFonts w:hint="eastAsia" w:ascii="宋体" w:hAnsi="宋体" w:eastAsia="宋体" w:cs="Times New Roman"/>
                <w:b/>
                <w:bCs/>
                <w:szCs w:val="21"/>
              </w:rPr>
            </w:pPr>
            <w:r>
              <w:rPr>
                <w:rFonts w:hint="eastAsia" w:ascii="宋体" w:hAnsi="宋体" w:eastAsia="宋体" w:cs="Times New Roman"/>
                <w:b/>
                <w:bCs/>
                <w:szCs w:val="21"/>
              </w:rPr>
              <w:t>主控项</w:t>
            </w:r>
          </w:p>
        </w:tc>
        <w:tc>
          <w:tcPr>
            <w:tcW w:w="851" w:type="dxa"/>
            <w:vMerge w:val="restart"/>
            <w:vAlign w:val="center"/>
          </w:tcPr>
          <w:p>
            <w:pPr>
              <w:jc w:val="center"/>
              <w:rPr>
                <w:rFonts w:hint="eastAsia" w:ascii="宋体" w:hAnsi="宋体" w:eastAsia="宋体" w:cs="Times New Roman"/>
                <w:szCs w:val="21"/>
              </w:rPr>
            </w:pPr>
            <w:r>
              <w:rPr>
                <w:rFonts w:hint="eastAsia" w:cs="Times New Roman" w:asciiTheme="minorEastAsia" w:hAnsiTheme="minorEastAsia"/>
                <w:szCs w:val="21"/>
              </w:rPr>
              <w:t>0.15</w:t>
            </w:r>
          </w:p>
        </w:tc>
        <w:tc>
          <w:tcPr>
            <w:tcW w:w="3685" w:type="dxa"/>
            <w:vAlign w:val="center"/>
          </w:tcPr>
          <w:p>
            <w:pPr>
              <w:jc w:val="center"/>
              <w:rPr>
                <w:rFonts w:hint="eastAsia" w:ascii="宋体" w:hAnsi="宋体" w:eastAsia="宋体" w:cs="Times New Roman"/>
                <w:b/>
                <w:bCs/>
                <w:szCs w:val="21"/>
              </w:rPr>
            </w:pPr>
            <w:r>
              <w:rPr>
                <w:rFonts w:hint="eastAsia" w:ascii="宋体" w:hAnsi="宋体" w:eastAsia="宋体" w:cs="Times New Roman"/>
                <w:b/>
                <w:bCs/>
                <w:szCs w:val="21"/>
              </w:rPr>
              <w:t>主控项评分要点</w:t>
            </w:r>
          </w:p>
        </w:tc>
        <w:tc>
          <w:tcPr>
            <w:tcW w:w="851" w:type="dxa"/>
            <w:vAlign w:val="center"/>
          </w:tcPr>
          <w:p>
            <w:pPr>
              <w:jc w:val="center"/>
              <w:rPr>
                <w:rFonts w:hint="eastAsia" w:ascii="宋体" w:hAnsi="宋体" w:eastAsia="宋体" w:cs="Times New Roman"/>
                <w:b/>
                <w:bCs/>
                <w:szCs w:val="21"/>
              </w:rPr>
            </w:pPr>
            <w:r>
              <w:rPr>
                <w:rFonts w:hint="eastAsia" w:ascii="宋体" w:hAnsi="宋体" w:eastAsia="宋体" w:cs="Times New Roman"/>
                <w:b/>
                <w:bCs/>
                <w:szCs w:val="21"/>
              </w:rPr>
              <w:t>评分</w:t>
            </w:r>
          </w:p>
        </w:tc>
        <w:tc>
          <w:tcPr>
            <w:tcW w:w="3260" w:type="dxa"/>
            <w:vAlign w:val="center"/>
          </w:tcPr>
          <w:p>
            <w:pPr>
              <w:jc w:val="center"/>
              <w:rPr>
                <w:rFonts w:hint="eastAsia" w:ascii="宋体" w:hAnsi="宋体" w:eastAsia="宋体" w:cs="Times New Roman"/>
                <w:b/>
                <w:bCs/>
                <w:szCs w:val="21"/>
              </w:rPr>
            </w:pPr>
            <w:r>
              <w:rPr>
                <w:rFonts w:hint="eastAsia" w:ascii="宋体" w:hAnsi="宋体" w:eastAsia="宋体" w:cs="Times New Roman"/>
                <w:b/>
                <w:bCs/>
                <w:szCs w:val="21"/>
              </w:rPr>
              <w:t>评定方法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704" w:type="dxa"/>
            <w:vMerge w:val="continue"/>
            <w:vAlign w:val="center"/>
          </w:tcPr>
          <w:p>
            <w:pPr>
              <w:jc w:val="center"/>
              <w:rPr>
                <w:rFonts w:hint="eastAsia" w:ascii="宋体" w:hAnsi="宋体" w:eastAsia="宋体" w:cs="Times New Roman"/>
                <w:szCs w:val="21"/>
              </w:rPr>
            </w:pPr>
          </w:p>
        </w:tc>
        <w:tc>
          <w:tcPr>
            <w:tcW w:w="1677" w:type="dxa"/>
            <w:vMerge w:val="continue"/>
            <w:vAlign w:val="center"/>
          </w:tcPr>
          <w:p>
            <w:pPr>
              <w:rPr>
                <w:rFonts w:hint="eastAsia" w:ascii="宋体" w:hAnsi="宋体" w:eastAsia="宋体" w:cs="Times New Roman"/>
                <w:szCs w:val="21"/>
              </w:rPr>
            </w:pPr>
          </w:p>
        </w:tc>
        <w:tc>
          <w:tcPr>
            <w:tcW w:w="2859" w:type="dxa"/>
            <w:noWrap/>
            <w:vAlign w:val="center"/>
          </w:tcPr>
          <w:p>
            <w:pPr>
              <w:rPr>
                <w:rFonts w:hint="eastAsia" w:ascii="宋体" w:hAnsi="宋体" w:eastAsia="宋体" w:cs="Times New Roman"/>
                <w:szCs w:val="21"/>
              </w:rPr>
            </w:pPr>
            <w:r>
              <w:rPr>
                <w:rFonts w:hint="eastAsia" w:ascii="宋体" w:hAnsi="宋体" w:eastAsia="宋体" w:cs="Times New Roman"/>
                <w:szCs w:val="21"/>
              </w:rPr>
              <w:t>标识</w:t>
            </w:r>
          </w:p>
        </w:tc>
        <w:tc>
          <w:tcPr>
            <w:tcW w:w="851" w:type="dxa"/>
            <w:vMerge w:val="continue"/>
            <w:vAlign w:val="center"/>
          </w:tcPr>
          <w:p>
            <w:pPr>
              <w:rPr>
                <w:rFonts w:hint="eastAsia" w:ascii="宋体" w:hAnsi="宋体" w:eastAsia="宋体" w:cs="Times New Roman"/>
                <w:szCs w:val="21"/>
              </w:rPr>
            </w:pPr>
          </w:p>
        </w:tc>
        <w:tc>
          <w:tcPr>
            <w:tcW w:w="3685" w:type="dxa"/>
            <w:vAlign w:val="center"/>
          </w:tcPr>
          <w:p>
            <w:pPr>
              <w:rPr>
                <w:rFonts w:hint="eastAsia" w:ascii="宋体" w:hAnsi="宋体" w:eastAsia="宋体" w:cs="Times New Roman"/>
                <w:szCs w:val="21"/>
              </w:rPr>
            </w:pPr>
            <w:r>
              <w:rPr>
                <w:rFonts w:hint="eastAsia" w:ascii="宋体" w:hAnsi="宋体" w:eastAsia="宋体" w:cs="Times New Roman"/>
                <w:szCs w:val="21"/>
              </w:rPr>
              <w:t>风管设置风管用途、风向永久标识。</w:t>
            </w:r>
          </w:p>
        </w:tc>
        <w:tc>
          <w:tcPr>
            <w:tcW w:w="851" w:type="dxa"/>
            <w:vAlign w:val="center"/>
          </w:tcPr>
          <w:p>
            <w:pPr>
              <w:jc w:val="center"/>
              <w:rPr>
                <w:rFonts w:hint="eastAsia" w:ascii="宋体" w:hAnsi="宋体" w:eastAsia="宋体" w:cs="Times New Roman"/>
                <w:szCs w:val="21"/>
              </w:rPr>
            </w:pPr>
            <w:r>
              <w:rPr>
                <w:rFonts w:hint="eastAsia" w:ascii="宋体" w:hAnsi="宋体" w:eastAsia="宋体" w:cs="Times New Roman"/>
                <w:szCs w:val="21"/>
              </w:rPr>
              <w:t>5</w:t>
            </w:r>
          </w:p>
        </w:tc>
        <w:tc>
          <w:tcPr>
            <w:tcW w:w="3260" w:type="dxa"/>
            <w:vAlign w:val="center"/>
          </w:tcPr>
          <w:p>
            <w:pPr>
              <w:rPr>
                <w:rFonts w:hint="eastAsia" w:ascii="宋体" w:hAnsi="宋体" w:eastAsia="宋体" w:cs="Times New Roman"/>
                <w:szCs w:val="21"/>
              </w:rPr>
            </w:pPr>
            <w:r>
              <w:rPr>
                <w:rFonts w:hint="eastAsia" w:ascii="宋体" w:hAnsi="宋体" w:eastAsia="宋体" w:cs="Times New Roman"/>
                <w:szCs w:val="21"/>
              </w:rPr>
              <w:t>有标识合格，没标识不合格。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704" w:type="dxa"/>
            <w:vMerge w:val="continue"/>
            <w:vAlign w:val="center"/>
          </w:tcPr>
          <w:p>
            <w:pPr>
              <w:jc w:val="center"/>
              <w:rPr>
                <w:rFonts w:hint="eastAsia" w:ascii="宋体" w:hAnsi="宋体" w:eastAsia="宋体" w:cs="Times New Roman"/>
                <w:szCs w:val="21"/>
              </w:rPr>
            </w:pPr>
          </w:p>
        </w:tc>
        <w:tc>
          <w:tcPr>
            <w:tcW w:w="1677" w:type="dxa"/>
            <w:vMerge w:val="continue"/>
            <w:vAlign w:val="center"/>
          </w:tcPr>
          <w:p>
            <w:pPr>
              <w:rPr>
                <w:rFonts w:hint="eastAsia" w:ascii="宋体" w:hAnsi="宋体" w:eastAsia="宋体" w:cs="Times New Roman"/>
                <w:szCs w:val="21"/>
              </w:rPr>
            </w:pPr>
          </w:p>
        </w:tc>
        <w:tc>
          <w:tcPr>
            <w:tcW w:w="2859" w:type="dxa"/>
            <w:noWrap/>
            <w:vAlign w:val="center"/>
          </w:tcPr>
          <w:p>
            <w:pPr>
              <w:rPr>
                <w:rFonts w:hint="eastAsia" w:ascii="宋体" w:hAnsi="宋体" w:eastAsia="宋体" w:cs="Times New Roman"/>
                <w:szCs w:val="21"/>
              </w:rPr>
            </w:pPr>
            <w:r>
              <w:rPr>
                <w:rFonts w:hint="eastAsia" w:ascii="宋体" w:hAnsi="宋体" w:eastAsia="宋体" w:cs="Times New Roman"/>
                <w:szCs w:val="21"/>
              </w:rPr>
              <w:t>风管厚度</w:t>
            </w:r>
          </w:p>
        </w:tc>
        <w:tc>
          <w:tcPr>
            <w:tcW w:w="851" w:type="dxa"/>
            <w:vMerge w:val="continue"/>
            <w:vAlign w:val="center"/>
          </w:tcPr>
          <w:p>
            <w:pPr>
              <w:rPr>
                <w:rFonts w:hint="eastAsia" w:ascii="宋体" w:hAnsi="宋体" w:eastAsia="宋体" w:cs="Times New Roman"/>
                <w:szCs w:val="21"/>
              </w:rPr>
            </w:pPr>
          </w:p>
        </w:tc>
        <w:tc>
          <w:tcPr>
            <w:tcW w:w="3685" w:type="dxa"/>
            <w:vAlign w:val="center"/>
          </w:tcPr>
          <w:p>
            <w:pPr>
              <w:rPr>
                <w:rFonts w:hint="eastAsia" w:ascii="宋体" w:hAnsi="宋体" w:eastAsia="宋体" w:cs="Times New Roman"/>
                <w:szCs w:val="21"/>
              </w:rPr>
            </w:pPr>
            <w:r>
              <w:rPr>
                <w:rFonts w:hint="eastAsia" w:ascii="宋体" w:hAnsi="宋体" w:eastAsia="宋体" w:cs="Times New Roman"/>
                <w:szCs w:val="21"/>
              </w:rPr>
              <w:t>符合设计、规范要求。</w:t>
            </w:r>
          </w:p>
        </w:tc>
        <w:tc>
          <w:tcPr>
            <w:tcW w:w="851" w:type="dxa"/>
            <w:vAlign w:val="center"/>
          </w:tcPr>
          <w:p>
            <w:pPr>
              <w:jc w:val="center"/>
              <w:rPr>
                <w:rFonts w:hint="eastAsia" w:ascii="宋体" w:hAnsi="宋体" w:eastAsia="宋体" w:cs="Times New Roman"/>
                <w:szCs w:val="21"/>
              </w:rPr>
            </w:pPr>
            <w:r>
              <w:rPr>
                <w:rFonts w:hint="eastAsia" w:ascii="宋体" w:hAnsi="宋体" w:eastAsia="宋体" w:cs="Times New Roman"/>
                <w:szCs w:val="21"/>
              </w:rPr>
              <w:t>15</w:t>
            </w:r>
          </w:p>
        </w:tc>
        <w:tc>
          <w:tcPr>
            <w:tcW w:w="3260" w:type="dxa"/>
            <w:vAlign w:val="center"/>
          </w:tcPr>
          <w:p>
            <w:pPr>
              <w:rPr>
                <w:rFonts w:hint="eastAsia" w:ascii="宋体" w:hAnsi="宋体" w:eastAsia="宋体" w:cs="Times New Roman"/>
                <w:szCs w:val="21"/>
              </w:rPr>
            </w:pPr>
            <w:r>
              <w:rPr>
                <w:rFonts w:hint="eastAsia" w:ascii="宋体" w:hAnsi="宋体" w:eastAsia="宋体" w:cs="Times New Roman"/>
                <w:szCs w:val="21"/>
              </w:rPr>
              <w:t>查看风管检测报告，厚度值大于等于设计和规范值为合格，其它不合格。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704" w:type="dxa"/>
            <w:vMerge w:val="continue"/>
            <w:vAlign w:val="center"/>
          </w:tcPr>
          <w:p>
            <w:pPr>
              <w:jc w:val="center"/>
              <w:rPr>
                <w:rFonts w:hint="eastAsia" w:ascii="宋体" w:hAnsi="宋体" w:eastAsia="宋体" w:cs="Times New Roman"/>
                <w:szCs w:val="21"/>
              </w:rPr>
            </w:pPr>
          </w:p>
        </w:tc>
        <w:tc>
          <w:tcPr>
            <w:tcW w:w="1677" w:type="dxa"/>
            <w:vMerge w:val="continue"/>
            <w:vAlign w:val="center"/>
          </w:tcPr>
          <w:p>
            <w:pPr>
              <w:rPr>
                <w:rFonts w:hint="eastAsia" w:ascii="宋体" w:hAnsi="宋体" w:eastAsia="宋体" w:cs="Times New Roman"/>
                <w:szCs w:val="21"/>
              </w:rPr>
            </w:pPr>
          </w:p>
        </w:tc>
        <w:tc>
          <w:tcPr>
            <w:tcW w:w="2859" w:type="dxa"/>
            <w:noWrap/>
            <w:vAlign w:val="center"/>
          </w:tcPr>
          <w:p>
            <w:pPr>
              <w:rPr>
                <w:rFonts w:hint="eastAsia" w:ascii="宋体" w:hAnsi="宋体" w:eastAsia="宋体" w:cs="Times New Roman"/>
                <w:szCs w:val="21"/>
              </w:rPr>
            </w:pPr>
            <w:r>
              <w:rPr>
                <w:rFonts w:hint="eastAsia" w:ascii="宋体" w:hAnsi="宋体" w:eastAsia="宋体" w:cs="Times New Roman"/>
                <w:szCs w:val="21"/>
              </w:rPr>
              <w:t>防火封堵</w:t>
            </w:r>
          </w:p>
        </w:tc>
        <w:tc>
          <w:tcPr>
            <w:tcW w:w="851" w:type="dxa"/>
            <w:vMerge w:val="continue"/>
            <w:vAlign w:val="center"/>
          </w:tcPr>
          <w:p>
            <w:pPr>
              <w:rPr>
                <w:rFonts w:hint="eastAsia" w:ascii="宋体" w:hAnsi="宋体" w:eastAsia="宋体" w:cs="Times New Roman"/>
                <w:szCs w:val="21"/>
              </w:rPr>
            </w:pPr>
          </w:p>
        </w:tc>
        <w:tc>
          <w:tcPr>
            <w:tcW w:w="3685" w:type="dxa"/>
            <w:vAlign w:val="center"/>
          </w:tcPr>
          <w:p>
            <w:pPr>
              <w:rPr>
                <w:rFonts w:hint="eastAsia" w:ascii="宋体" w:hAnsi="宋体" w:eastAsia="宋体" w:cs="Times New Roman"/>
                <w:szCs w:val="21"/>
              </w:rPr>
            </w:pPr>
            <w:r>
              <w:rPr>
                <w:rFonts w:hint="eastAsia" w:ascii="宋体" w:hAnsi="宋体" w:eastAsia="宋体" w:cs="Times New Roman"/>
                <w:szCs w:val="21"/>
              </w:rPr>
              <w:t>穿越防火分区用柔性不燃材料做防火封堵。</w:t>
            </w:r>
          </w:p>
        </w:tc>
        <w:tc>
          <w:tcPr>
            <w:tcW w:w="851" w:type="dxa"/>
            <w:vAlign w:val="center"/>
          </w:tcPr>
          <w:p>
            <w:pPr>
              <w:jc w:val="center"/>
              <w:rPr>
                <w:rFonts w:hint="eastAsia" w:ascii="宋体" w:hAnsi="宋体" w:eastAsia="宋体" w:cs="Times New Roman"/>
                <w:szCs w:val="21"/>
              </w:rPr>
            </w:pPr>
            <w:r>
              <w:rPr>
                <w:rFonts w:hint="eastAsia" w:ascii="宋体" w:hAnsi="宋体" w:eastAsia="宋体" w:cs="Times New Roman"/>
                <w:szCs w:val="21"/>
              </w:rPr>
              <w:t>10</w:t>
            </w:r>
          </w:p>
        </w:tc>
        <w:tc>
          <w:tcPr>
            <w:tcW w:w="3260" w:type="dxa"/>
            <w:vAlign w:val="center"/>
          </w:tcPr>
          <w:p>
            <w:pPr>
              <w:rPr>
                <w:rFonts w:hint="eastAsia" w:ascii="宋体" w:hAnsi="宋体" w:eastAsia="宋体" w:cs="Times New Roman"/>
                <w:szCs w:val="21"/>
              </w:rPr>
            </w:pPr>
            <w:r>
              <w:rPr>
                <w:rFonts w:hint="eastAsia" w:ascii="宋体" w:hAnsi="宋体" w:eastAsia="宋体" w:cs="Times New Roman"/>
                <w:szCs w:val="21"/>
              </w:rPr>
              <w:t>现场查看做了合格，没做不合格。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704" w:type="dxa"/>
            <w:vMerge w:val="continue"/>
            <w:vAlign w:val="center"/>
          </w:tcPr>
          <w:p>
            <w:pPr>
              <w:jc w:val="center"/>
              <w:rPr>
                <w:rFonts w:hint="eastAsia" w:ascii="宋体" w:hAnsi="宋体" w:eastAsia="宋体" w:cs="Times New Roman"/>
                <w:szCs w:val="21"/>
              </w:rPr>
            </w:pPr>
          </w:p>
        </w:tc>
        <w:tc>
          <w:tcPr>
            <w:tcW w:w="1677" w:type="dxa"/>
            <w:vMerge w:val="continue"/>
            <w:vAlign w:val="center"/>
          </w:tcPr>
          <w:p>
            <w:pPr>
              <w:rPr>
                <w:rFonts w:hint="eastAsia" w:ascii="宋体" w:hAnsi="宋体" w:eastAsia="宋体" w:cs="Times New Roman"/>
                <w:szCs w:val="21"/>
              </w:rPr>
            </w:pPr>
          </w:p>
        </w:tc>
        <w:tc>
          <w:tcPr>
            <w:tcW w:w="2859" w:type="dxa"/>
            <w:noWrap/>
            <w:vAlign w:val="center"/>
          </w:tcPr>
          <w:p>
            <w:pPr>
              <w:rPr>
                <w:rFonts w:hint="eastAsia" w:ascii="宋体" w:hAnsi="宋体" w:eastAsia="宋体" w:cs="Times New Roman"/>
                <w:szCs w:val="21"/>
              </w:rPr>
            </w:pPr>
            <w:r>
              <w:rPr>
                <w:rFonts w:hint="eastAsia" w:ascii="宋体" w:hAnsi="宋体" w:eastAsia="宋体" w:cs="Times New Roman"/>
                <w:szCs w:val="21"/>
              </w:rPr>
              <w:t>穿墙套管</w:t>
            </w:r>
          </w:p>
        </w:tc>
        <w:tc>
          <w:tcPr>
            <w:tcW w:w="851" w:type="dxa"/>
            <w:vMerge w:val="continue"/>
            <w:vAlign w:val="center"/>
          </w:tcPr>
          <w:p>
            <w:pPr>
              <w:rPr>
                <w:rFonts w:hint="eastAsia" w:ascii="宋体" w:hAnsi="宋体" w:eastAsia="宋体" w:cs="Times New Roman"/>
                <w:szCs w:val="21"/>
              </w:rPr>
            </w:pPr>
          </w:p>
        </w:tc>
        <w:tc>
          <w:tcPr>
            <w:tcW w:w="3685" w:type="dxa"/>
            <w:vAlign w:val="center"/>
          </w:tcPr>
          <w:p>
            <w:pPr>
              <w:rPr>
                <w:rFonts w:hint="eastAsia" w:ascii="宋体" w:hAnsi="宋体" w:eastAsia="宋体" w:cs="Times New Roman"/>
                <w:szCs w:val="21"/>
              </w:rPr>
            </w:pPr>
            <w:r>
              <w:rPr>
                <w:rFonts w:hint="eastAsia" w:ascii="宋体" w:hAnsi="宋体" w:eastAsia="宋体" w:cs="Times New Roman"/>
                <w:szCs w:val="21"/>
              </w:rPr>
              <w:t>风管穿越墙体、楼板需要做铁皮套管，铁皮厚度不小于1.6mm。</w:t>
            </w:r>
          </w:p>
        </w:tc>
        <w:tc>
          <w:tcPr>
            <w:tcW w:w="851" w:type="dxa"/>
            <w:vAlign w:val="center"/>
          </w:tcPr>
          <w:p>
            <w:pPr>
              <w:jc w:val="center"/>
              <w:rPr>
                <w:rFonts w:hint="eastAsia" w:ascii="宋体" w:hAnsi="宋体" w:eastAsia="宋体" w:cs="Times New Roman"/>
                <w:szCs w:val="21"/>
              </w:rPr>
            </w:pPr>
            <w:r>
              <w:rPr>
                <w:rFonts w:hint="eastAsia" w:ascii="宋体" w:hAnsi="宋体" w:eastAsia="宋体" w:cs="Times New Roman"/>
                <w:szCs w:val="21"/>
              </w:rPr>
              <w:t>10</w:t>
            </w:r>
          </w:p>
        </w:tc>
        <w:tc>
          <w:tcPr>
            <w:tcW w:w="3260" w:type="dxa"/>
            <w:vAlign w:val="center"/>
          </w:tcPr>
          <w:p>
            <w:pPr>
              <w:rPr>
                <w:rFonts w:hint="eastAsia" w:ascii="宋体" w:hAnsi="宋体" w:eastAsia="宋体" w:cs="Times New Roman"/>
                <w:szCs w:val="21"/>
              </w:rPr>
            </w:pPr>
            <w:r>
              <w:rPr>
                <w:rFonts w:hint="eastAsia" w:ascii="宋体" w:hAnsi="宋体" w:eastAsia="宋体" w:cs="Times New Roman"/>
                <w:szCs w:val="21"/>
              </w:rPr>
              <w:t>有套管合格，没套管不合格。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704" w:type="dxa"/>
            <w:vMerge w:val="continue"/>
            <w:vAlign w:val="center"/>
          </w:tcPr>
          <w:p>
            <w:pPr>
              <w:jc w:val="center"/>
              <w:rPr>
                <w:rFonts w:hint="eastAsia" w:ascii="宋体" w:hAnsi="宋体" w:eastAsia="宋体" w:cs="Times New Roman"/>
                <w:szCs w:val="21"/>
              </w:rPr>
            </w:pPr>
          </w:p>
        </w:tc>
        <w:tc>
          <w:tcPr>
            <w:tcW w:w="1677" w:type="dxa"/>
            <w:vMerge w:val="continue"/>
            <w:vAlign w:val="center"/>
          </w:tcPr>
          <w:p>
            <w:pPr>
              <w:rPr>
                <w:rFonts w:hint="eastAsia" w:ascii="宋体" w:hAnsi="宋体" w:eastAsia="宋体" w:cs="Times New Roman"/>
                <w:szCs w:val="21"/>
              </w:rPr>
            </w:pPr>
          </w:p>
        </w:tc>
        <w:tc>
          <w:tcPr>
            <w:tcW w:w="2859" w:type="dxa"/>
            <w:noWrap/>
            <w:vAlign w:val="center"/>
          </w:tcPr>
          <w:p>
            <w:pPr>
              <w:rPr>
                <w:rFonts w:hint="eastAsia" w:ascii="宋体" w:hAnsi="宋体" w:eastAsia="宋体" w:cs="Times New Roman"/>
                <w:szCs w:val="21"/>
              </w:rPr>
            </w:pPr>
            <w:r>
              <w:rPr>
                <w:rFonts w:hint="eastAsia" w:ascii="宋体" w:hAnsi="宋体" w:eastAsia="宋体" w:cs="Times New Roman"/>
                <w:szCs w:val="21"/>
              </w:rPr>
              <w:t>风管耐火极限</w:t>
            </w:r>
          </w:p>
        </w:tc>
        <w:tc>
          <w:tcPr>
            <w:tcW w:w="851" w:type="dxa"/>
            <w:vMerge w:val="continue"/>
            <w:vAlign w:val="center"/>
          </w:tcPr>
          <w:p>
            <w:pPr>
              <w:rPr>
                <w:rFonts w:hint="eastAsia" w:ascii="宋体" w:hAnsi="宋体" w:eastAsia="宋体" w:cs="Times New Roman"/>
                <w:szCs w:val="21"/>
              </w:rPr>
            </w:pPr>
          </w:p>
        </w:tc>
        <w:tc>
          <w:tcPr>
            <w:tcW w:w="3685" w:type="dxa"/>
            <w:vAlign w:val="center"/>
          </w:tcPr>
          <w:p>
            <w:pPr>
              <w:rPr>
                <w:rFonts w:hint="eastAsia" w:ascii="宋体" w:hAnsi="宋体" w:eastAsia="宋体" w:cs="Times New Roman"/>
                <w:szCs w:val="21"/>
              </w:rPr>
            </w:pPr>
            <w:r>
              <w:rPr>
                <w:rFonts w:hint="eastAsia" w:ascii="宋体" w:hAnsi="宋体" w:eastAsia="宋体" w:cs="Times New Roman"/>
                <w:szCs w:val="21"/>
              </w:rPr>
              <w:t>耐火极限符合设计及规范要求。</w:t>
            </w:r>
          </w:p>
        </w:tc>
        <w:tc>
          <w:tcPr>
            <w:tcW w:w="851" w:type="dxa"/>
            <w:vAlign w:val="center"/>
          </w:tcPr>
          <w:p>
            <w:pPr>
              <w:jc w:val="center"/>
              <w:rPr>
                <w:rFonts w:hint="eastAsia" w:ascii="宋体" w:hAnsi="宋体" w:eastAsia="宋体" w:cs="Times New Roman"/>
                <w:szCs w:val="21"/>
              </w:rPr>
            </w:pPr>
            <w:r>
              <w:rPr>
                <w:rFonts w:hint="eastAsia" w:ascii="宋体" w:hAnsi="宋体" w:eastAsia="宋体" w:cs="Times New Roman"/>
                <w:szCs w:val="21"/>
              </w:rPr>
              <w:t>15</w:t>
            </w:r>
          </w:p>
        </w:tc>
        <w:tc>
          <w:tcPr>
            <w:tcW w:w="3260" w:type="dxa"/>
            <w:vAlign w:val="center"/>
          </w:tcPr>
          <w:p>
            <w:pPr>
              <w:rPr>
                <w:rFonts w:hint="eastAsia" w:ascii="宋体" w:hAnsi="宋体" w:eastAsia="宋体" w:cs="Times New Roman"/>
                <w:szCs w:val="21"/>
              </w:rPr>
            </w:pPr>
            <w:r>
              <w:rPr>
                <w:rFonts w:hint="eastAsia" w:ascii="宋体" w:hAnsi="宋体" w:eastAsia="宋体" w:cs="Times New Roman"/>
                <w:szCs w:val="21"/>
              </w:rPr>
              <w:t>查看设计防火包裹，按设计或图集施工符合要求，不按设计或图集要求施工不符合要求。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704" w:type="dxa"/>
            <w:vMerge w:val="continue"/>
            <w:vAlign w:val="center"/>
          </w:tcPr>
          <w:p>
            <w:pPr>
              <w:jc w:val="center"/>
              <w:rPr>
                <w:rFonts w:hint="eastAsia" w:ascii="宋体" w:hAnsi="宋体" w:eastAsia="宋体" w:cs="Times New Roman"/>
                <w:szCs w:val="21"/>
              </w:rPr>
            </w:pPr>
          </w:p>
        </w:tc>
        <w:tc>
          <w:tcPr>
            <w:tcW w:w="1677" w:type="dxa"/>
            <w:vMerge w:val="continue"/>
            <w:vAlign w:val="center"/>
          </w:tcPr>
          <w:p>
            <w:pPr>
              <w:rPr>
                <w:rFonts w:hint="eastAsia" w:ascii="宋体" w:hAnsi="宋体" w:eastAsia="宋体" w:cs="Times New Roman"/>
                <w:szCs w:val="21"/>
              </w:rPr>
            </w:pPr>
          </w:p>
        </w:tc>
        <w:tc>
          <w:tcPr>
            <w:tcW w:w="2859" w:type="dxa"/>
            <w:noWrap/>
            <w:vAlign w:val="center"/>
          </w:tcPr>
          <w:p>
            <w:pPr>
              <w:rPr>
                <w:rFonts w:hint="eastAsia" w:ascii="宋体" w:hAnsi="宋体" w:eastAsia="宋体" w:cs="Times New Roman"/>
                <w:szCs w:val="21"/>
              </w:rPr>
            </w:pPr>
            <w:r>
              <w:rPr>
                <w:rFonts w:hint="eastAsia" w:ascii="宋体" w:hAnsi="宋体" w:eastAsia="宋体" w:cs="Times New Roman"/>
                <w:szCs w:val="21"/>
              </w:rPr>
              <w:t>风管严密性</w:t>
            </w:r>
          </w:p>
        </w:tc>
        <w:tc>
          <w:tcPr>
            <w:tcW w:w="851" w:type="dxa"/>
            <w:vMerge w:val="continue"/>
            <w:vAlign w:val="center"/>
          </w:tcPr>
          <w:p>
            <w:pPr>
              <w:rPr>
                <w:rFonts w:hint="eastAsia" w:ascii="宋体" w:hAnsi="宋体" w:eastAsia="宋体" w:cs="Times New Roman"/>
                <w:szCs w:val="21"/>
              </w:rPr>
            </w:pPr>
          </w:p>
        </w:tc>
        <w:tc>
          <w:tcPr>
            <w:tcW w:w="3685" w:type="dxa"/>
            <w:vAlign w:val="center"/>
          </w:tcPr>
          <w:p>
            <w:pPr>
              <w:rPr>
                <w:rFonts w:hint="eastAsia" w:ascii="宋体" w:hAnsi="宋体" w:eastAsia="宋体" w:cs="Times New Roman"/>
                <w:szCs w:val="21"/>
              </w:rPr>
            </w:pPr>
            <w:r>
              <w:rPr>
                <w:rFonts w:hint="eastAsia" w:ascii="宋体" w:hAnsi="宋体" w:eastAsia="宋体" w:cs="Times New Roman"/>
                <w:szCs w:val="21"/>
              </w:rPr>
              <w:t>风管漏风量符合设计及规范要求。</w:t>
            </w:r>
          </w:p>
        </w:tc>
        <w:tc>
          <w:tcPr>
            <w:tcW w:w="851" w:type="dxa"/>
            <w:vAlign w:val="center"/>
          </w:tcPr>
          <w:p>
            <w:pPr>
              <w:jc w:val="center"/>
              <w:rPr>
                <w:rFonts w:hint="eastAsia" w:ascii="宋体" w:hAnsi="宋体" w:eastAsia="宋体" w:cs="Times New Roman"/>
                <w:szCs w:val="21"/>
              </w:rPr>
            </w:pPr>
            <w:r>
              <w:rPr>
                <w:rFonts w:hint="eastAsia" w:ascii="宋体" w:hAnsi="宋体" w:eastAsia="宋体" w:cs="Times New Roman"/>
                <w:szCs w:val="21"/>
              </w:rPr>
              <w:t>10</w:t>
            </w:r>
          </w:p>
        </w:tc>
        <w:tc>
          <w:tcPr>
            <w:tcW w:w="3260" w:type="dxa"/>
            <w:vAlign w:val="center"/>
          </w:tcPr>
          <w:p>
            <w:pPr>
              <w:rPr>
                <w:rFonts w:hint="eastAsia" w:ascii="宋体" w:hAnsi="宋体" w:eastAsia="宋体" w:cs="Times New Roman"/>
                <w:szCs w:val="21"/>
              </w:rPr>
            </w:pPr>
            <w:r>
              <w:rPr>
                <w:rFonts w:hint="eastAsia" w:ascii="宋体" w:hAnsi="宋体" w:eastAsia="宋体" w:cs="Times New Roman"/>
                <w:szCs w:val="21"/>
              </w:rPr>
              <w:t>检查漏风量测试报告，漏风量数值符合规范要求合格，不符合不合格。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704" w:type="dxa"/>
            <w:vMerge w:val="continue"/>
            <w:vAlign w:val="center"/>
          </w:tcPr>
          <w:p>
            <w:pPr>
              <w:jc w:val="center"/>
              <w:rPr>
                <w:rFonts w:hint="eastAsia" w:ascii="宋体" w:hAnsi="宋体" w:eastAsia="宋体" w:cs="Times New Roman"/>
                <w:szCs w:val="21"/>
              </w:rPr>
            </w:pPr>
          </w:p>
        </w:tc>
        <w:tc>
          <w:tcPr>
            <w:tcW w:w="1677" w:type="dxa"/>
            <w:vMerge w:val="continue"/>
            <w:vAlign w:val="center"/>
          </w:tcPr>
          <w:p>
            <w:pPr>
              <w:rPr>
                <w:rFonts w:hint="eastAsia" w:ascii="宋体" w:hAnsi="宋体" w:eastAsia="宋体" w:cs="Times New Roman"/>
                <w:szCs w:val="21"/>
              </w:rPr>
            </w:pPr>
          </w:p>
        </w:tc>
        <w:tc>
          <w:tcPr>
            <w:tcW w:w="2859" w:type="dxa"/>
            <w:noWrap/>
            <w:vAlign w:val="center"/>
          </w:tcPr>
          <w:p>
            <w:pPr>
              <w:jc w:val="center"/>
              <w:rPr>
                <w:rFonts w:hint="eastAsia" w:ascii="宋体" w:hAnsi="宋体" w:eastAsia="宋体" w:cs="Times New Roman"/>
                <w:b/>
                <w:bCs/>
                <w:szCs w:val="21"/>
              </w:rPr>
            </w:pPr>
            <w:r>
              <w:rPr>
                <w:rFonts w:hint="eastAsia" w:ascii="宋体" w:hAnsi="宋体" w:eastAsia="宋体" w:cs="Times New Roman"/>
                <w:b/>
                <w:bCs/>
                <w:szCs w:val="21"/>
              </w:rPr>
              <w:t>一般项</w:t>
            </w:r>
          </w:p>
        </w:tc>
        <w:tc>
          <w:tcPr>
            <w:tcW w:w="851" w:type="dxa"/>
            <w:vMerge w:val="continue"/>
            <w:vAlign w:val="center"/>
          </w:tcPr>
          <w:p>
            <w:pPr>
              <w:jc w:val="center"/>
              <w:rPr>
                <w:rFonts w:hint="eastAsia" w:ascii="宋体" w:hAnsi="宋体" w:eastAsia="宋体" w:cs="Times New Roman"/>
                <w:szCs w:val="21"/>
              </w:rPr>
            </w:pPr>
          </w:p>
        </w:tc>
        <w:tc>
          <w:tcPr>
            <w:tcW w:w="3685" w:type="dxa"/>
            <w:vAlign w:val="center"/>
          </w:tcPr>
          <w:p>
            <w:pPr>
              <w:jc w:val="center"/>
              <w:rPr>
                <w:rFonts w:hint="eastAsia" w:ascii="宋体" w:hAnsi="宋体" w:eastAsia="宋体" w:cs="Times New Roman"/>
                <w:b/>
                <w:bCs/>
                <w:szCs w:val="21"/>
              </w:rPr>
            </w:pPr>
            <w:r>
              <w:rPr>
                <w:rFonts w:hint="eastAsia" w:ascii="宋体" w:hAnsi="宋体" w:eastAsia="宋体" w:cs="Times New Roman"/>
                <w:b/>
                <w:bCs/>
                <w:szCs w:val="21"/>
              </w:rPr>
              <w:t>一般项评分要点</w:t>
            </w:r>
          </w:p>
        </w:tc>
        <w:tc>
          <w:tcPr>
            <w:tcW w:w="851" w:type="dxa"/>
            <w:vAlign w:val="center"/>
          </w:tcPr>
          <w:p>
            <w:pPr>
              <w:jc w:val="center"/>
              <w:rPr>
                <w:rFonts w:hint="eastAsia" w:ascii="宋体" w:hAnsi="宋体" w:eastAsia="宋体" w:cs="Times New Roman"/>
                <w:b/>
                <w:bCs/>
                <w:szCs w:val="21"/>
              </w:rPr>
            </w:pPr>
            <w:r>
              <w:rPr>
                <w:rFonts w:hint="eastAsia" w:ascii="宋体" w:hAnsi="宋体" w:eastAsia="宋体" w:cs="Times New Roman"/>
                <w:b/>
                <w:bCs/>
                <w:szCs w:val="21"/>
              </w:rPr>
              <w:t>评分</w:t>
            </w:r>
          </w:p>
        </w:tc>
        <w:tc>
          <w:tcPr>
            <w:tcW w:w="3260" w:type="dxa"/>
            <w:vAlign w:val="center"/>
          </w:tcPr>
          <w:p>
            <w:pPr>
              <w:jc w:val="center"/>
              <w:rPr>
                <w:rFonts w:hint="eastAsia" w:ascii="宋体" w:hAnsi="宋体" w:eastAsia="宋体" w:cs="Times New Roman"/>
                <w:b/>
                <w:bCs/>
                <w:szCs w:val="21"/>
              </w:rPr>
            </w:pPr>
            <w:r>
              <w:rPr>
                <w:rFonts w:hint="eastAsia" w:ascii="宋体" w:hAnsi="宋体" w:eastAsia="宋体" w:cs="Times New Roman"/>
                <w:b/>
                <w:bCs/>
                <w:szCs w:val="21"/>
              </w:rPr>
              <w:t>评定方法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704" w:type="dxa"/>
            <w:vMerge w:val="continue"/>
            <w:vAlign w:val="center"/>
          </w:tcPr>
          <w:p>
            <w:pPr>
              <w:jc w:val="center"/>
              <w:rPr>
                <w:rFonts w:hint="eastAsia" w:ascii="宋体" w:hAnsi="宋体" w:eastAsia="宋体" w:cs="Times New Roman"/>
                <w:szCs w:val="21"/>
              </w:rPr>
            </w:pPr>
          </w:p>
        </w:tc>
        <w:tc>
          <w:tcPr>
            <w:tcW w:w="1677" w:type="dxa"/>
            <w:vMerge w:val="continue"/>
            <w:vAlign w:val="center"/>
          </w:tcPr>
          <w:p>
            <w:pPr>
              <w:rPr>
                <w:rFonts w:hint="eastAsia" w:ascii="宋体" w:hAnsi="宋体" w:eastAsia="宋体" w:cs="Times New Roman"/>
                <w:szCs w:val="21"/>
              </w:rPr>
            </w:pPr>
          </w:p>
        </w:tc>
        <w:tc>
          <w:tcPr>
            <w:tcW w:w="2859" w:type="dxa"/>
            <w:noWrap/>
            <w:vAlign w:val="center"/>
          </w:tcPr>
          <w:p>
            <w:pPr>
              <w:rPr>
                <w:rFonts w:hint="eastAsia" w:ascii="宋体" w:hAnsi="宋体" w:eastAsia="宋体" w:cs="Times New Roman"/>
                <w:szCs w:val="21"/>
              </w:rPr>
            </w:pPr>
            <w:r>
              <w:rPr>
                <w:rFonts w:hint="eastAsia" w:ascii="宋体" w:hAnsi="宋体" w:eastAsia="宋体" w:cs="Times New Roman"/>
                <w:szCs w:val="21"/>
              </w:rPr>
              <w:t>风管支吊架</w:t>
            </w:r>
          </w:p>
        </w:tc>
        <w:tc>
          <w:tcPr>
            <w:tcW w:w="851" w:type="dxa"/>
            <w:vMerge w:val="continue"/>
            <w:vAlign w:val="center"/>
          </w:tcPr>
          <w:p>
            <w:pPr>
              <w:rPr>
                <w:rFonts w:hint="eastAsia" w:ascii="宋体" w:hAnsi="宋体" w:eastAsia="宋体" w:cs="Times New Roman"/>
                <w:szCs w:val="21"/>
              </w:rPr>
            </w:pPr>
          </w:p>
        </w:tc>
        <w:tc>
          <w:tcPr>
            <w:tcW w:w="3685" w:type="dxa"/>
            <w:vAlign w:val="center"/>
          </w:tcPr>
          <w:p>
            <w:pPr>
              <w:rPr>
                <w:rFonts w:hint="eastAsia" w:ascii="宋体" w:hAnsi="宋体" w:eastAsia="宋体" w:cs="Times New Roman"/>
                <w:szCs w:val="21"/>
              </w:rPr>
            </w:pPr>
            <w:r>
              <w:rPr>
                <w:rFonts w:hint="eastAsia" w:ascii="宋体" w:hAnsi="宋体" w:eastAsia="宋体" w:cs="Times New Roman"/>
                <w:szCs w:val="21"/>
              </w:rPr>
              <w:t>风管支吊架型钢规格、支架间距、固定支架设置符合规范要求</w:t>
            </w:r>
          </w:p>
        </w:tc>
        <w:tc>
          <w:tcPr>
            <w:tcW w:w="851" w:type="dxa"/>
            <w:vAlign w:val="center"/>
          </w:tcPr>
          <w:p>
            <w:pPr>
              <w:jc w:val="center"/>
              <w:rPr>
                <w:rFonts w:hint="eastAsia" w:ascii="宋体" w:hAnsi="宋体" w:eastAsia="宋体" w:cs="Times New Roman"/>
                <w:szCs w:val="21"/>
              </w:rPr>
            </w:pPr>
            <w:r>
              <w:rPr>
                <w:rFonts w:hint="eastAsia" w:ascii="宋体" w:hAnsi="宋体" w:eastAsia="宋体" w:cs="Times New Roman"/>
                <w:szCs w:val="21"/>
              </w:rPr>
              <w:t>5</w:t>
            </w:r>
          </w:p>
        </w:tc>
        <w:tc>
          <w:tcPr>
            <w:tcW w:w="3260" w:type="dxa"/>
            <w:vAlign w:val="center"/>
          </w:tcPr>
          <w:p>
            <w:pPr>
              <w:rPr>
                <w:rFonts w:hint="eastAsia" w:ascii="宋体" w:hAnsi="宋体" w:eastAsia="宋体" w:cs="Times New Roman"/>
                <w:szCs w:val="21"/>
              </w:rPr>
            </w:pPr>
            <w:r>
              <w:rPr>
                <w:rFonts w:hint="eastAsia" w:ascii="宋体" w:hAnsi="宋体" w:eastAsia="宋体" w:cs="Times New Roman"/>
                <w:szCs w:val="21"/>
              </w:rPr>
              <w:t>现场查看支架间距、型钢规格、固定支架固定支架设置位置打分。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704" w:type="dxa"/>
            <w:vMerge w:val="continue"/>
            <w:vAlign w:val="center"/>
          </w:tcPr>
          <w:p>
            <w:pPr>
              <w:jc w:val="center"/>
              <w:rPr>
                <w:rFonts w:hint="eastAsia" w:ascii="宋体" w:hAnsi="宋体" w:eastAsia="宋体" w:cs="Times New Roman"/>
                <w:szCs w:val="21"/>
              </w:rPr>
            </w:pPr>
          </w:p>
        </w:tc>
        <w:tc>
          <w:tcPr>
            <w:tcW w:w="1677" w:type="dxa"/>
            <w:vMerge w:val="continue"/>
            <w:vAlign w:val="center"/>
          </w:tcPr>
          <w:p>
            <w:pPr>
              <w:rPr>
                <w:rFonts w:hint="eastAsia" w:ascii="宋体" w:hAnsi="宋体" w:eastAsia="宋体" w:cs="Times New Roman"/>
                <w:szCs w:val="21"/>
              </w:rPr>
            </w:pPr>
          </w:p>
        </w:tc>
        <w:tc>
          <w:tcPr>
            <w:tcW w:w="2859" w:type="dxa"/>
            <w:noWrap/>
            <w:vAlign w:val="center"/>
          </w:tcPr>
          <w:p>
            <w:pPr>
              <w:rPr>
                <w:rFonts w:hint="eastAsia" w:ascii="宋体" w:hAnsi="宋体" w:eastAsia="宋体" w:cs="Times New Roman"/>
                <w:szCs w:val="21"/>
              </w:rPr>
            </w:pPr>
            <w:r>
              <w:rPr>
                <w:rFonts w:hint="eastAsia" w:ascii="宋体" w:hAnsi="宋体" w:eastAsia="宋体" w:cs="Times New Roman"/>
                <w:szCs w:val="21"/>
              </w:rPr>
              <w:t>风管连接</w:t>
            </w:r>
          </w:p>
        </w:tc>
        <w:tc>
          <w:tcPr>
            <w:tcW w:w="851" w:type="dxa"/>
            <w:vMerge w:val="continue"/>
            <w:vAlign w:val="center"/>
          </w:tcPr>
          <w:p>
            <w:pPr>
              <w:rPr>
                <w:rFonts w:hint="eastAsia" w:ascii="宋体" w:hAnsi="宋体" w:eastAsia="宋体" w:cs="Times New Roman"/>
                <w:szCs w:val="21"/>
              </w:rPr>
            </w:pPr>
          </w:p>
        </w:tc>
        <w:tc>
          <w:tcPr>
            <w:tcW w:w="3685" w:type="dxa"/>
            <w:vAlign w:val="center"/>
          </w:tcPr>
          <w:p>
            <w:pPr>
              <w:rPr>
                <w:rFonts w:hint="eastAsia" w:ascii="宋体" w:hAnsi="宋体" w:eastAsia="宋体" w:cs="Times New Roman"/>
                <w:szCs w:val="21"/>
              </w:rPr>
            </w:pPr>
            <w:r>
              <w:rPr>
                <w:rFonts w:hint="eastAsia" w:ascii="宋体" w:hAnsi="宋体" w:eastAsia="宋体" w:cs="Times New Roman"/>
                <w:szCs w:val="21"/>
              </w:rPr>
              <w:t>金属风管采用法兰连接时其螺栓孔的间距不得大于150mm，矩形风管法兰四角处应设有螺孔；非金属风管其螺栓孔的间距不得大于120mm，矩形风管法兰的四角处应设有螺孔。</w:t>
            </w:r>
          </w:p>
        </w:tc>
        <w:tc>
          <w:tcPr>
            <w:tcW w:w="851" w:type="dxa"/>
            <w:vAlign w:val="center"/>
          </w:tcPr>
          <w:p>
            <w:pPr>
              <w:jc w:val="center"/>
              <w:rPr>
                <w:rFonts w:hint="eastAsia" w:ascii="宋体" w:hAnsi="宋体" w:eastAsia="宋体" w:cs="Times New Roman"/>
                <w:szCs w:val="21"/>
              </w:rPr>
            </w:pPr>
            <w:r>
              <w:rPr>
                <w:rFonts w:hint="eastAsia" w:ascii="宋体" w:hAnsi="宋体" w:eastAsia="宋体" w:cs="Times New Roman"/>
                <w:szCs w:val="21"/>
              </w:rPr>
              <w:t>5</w:t>
            </w:r>
          </w:p>
        </w:tc>
        <w:tc>
          <w:tcPr>
            <w:tcW w:w="3260" w:type="dxa"/>
            <w:vAlign w:val="center"/>
          </w:tcPr>
          <w:p>
            <w:pPr>
              <w:rPr>
                <w:rFonts w:hint="eastAsia" w:ascii="宋体" w:hAnsi="宋体" w:eastAsia="宋体" w:cs="Times New Roman"/>
                <w:szCs w:val="21"/>
              </w:rPr>
            </w:pPr>
            <w:r>
              <w:rPr>
                <w:rFonts w:hint="eastAsia" w:ascii="宋体" w:hAnsi="宋体" w:eastAsia="宋体" w:cs="Times New Roman"/>
                <w:szCs w:val="21"/>
              </w:rPr>
              <w:t>现场查看，根据现场质量打分。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704" w:type="dxa"/>
            <w:vMerge w:val="continue"/>
            <w:vAlign w:val="center"/>
          </w:tcPr>
          <w:p>
            <w:pPr>
              <w:jc w:val="center"/>
              <w:rPr>
                <w:rFonts w:hint="eastAsia" w:ascii="宋体" w:hAnsi="宋体" w:eastAsia="宋体" w:cs="Times New Roman"/>
                <w:szCs w:val="21"/>
              </w:rPr>
            </w:pPr>
          </w:p>
        </w:tc>
        <w:tc>
          <w:tcPr>
            <w:tcW w:w="1677" w:type="dxa"/>
            <w:vMerge w:val="continue"/>
            <w:vAlign w:val="center"/>
          </w:tcPr>
          <w:p>
            <w:pPr>
              <w:rPr>
                <w:rFonts w:hint="eastAsia" w:ascii="宋体" w:hAnsi="宋体" w:eastAsia="宋体" w:cs="Times New Roman"/>
                <w:szCs w:val="21"/>
              </w:rPr>
            </w:pPr>
          </w:p>
        </w:tc>
        <w:tc>
          <w:tcPr>
            <w:tcW w:w="2859" w:type="dxa"/>
            <w:noWrap/>
            <w:vAlign w:val="center"/>
          </w:tcPr>
          <w:p>
            <w:pPr>
              <w:rPr>
                <w:rFonts w:hint="eastAsia" w:ascii="宋体" w:hAnsi="宋体" w:eastAsia="宋体" w:cs="Times New Roman"/>
                <w:szCs w:val="21"/>
              </w:rPr>
            </w:pPr>
            <w:r>
              <w:rPr>
                <w:rFonts w:hint="eastAsia" w:ascii="宋体" w:hAnsi="宋体" w:eastAsia="宋体" w:cs="Times New Roman"/>
                <w:szCs w:val="21"/>
              </w:rPr>
              <w:t>风管尺寸</w:t>
            </w:r>
          </w:p>
        </w:tc>
        <w:tc>
          <w:tcPr>
            <w:tcW w:w="851" w:type="dxa"/>
            <w:vMerge w:val="continue"/>
            <w:vAlign w:val="center"/>
          </w:tcPr>
          <w:p>
            <w:pPr>
              <w:rPr>
                <w:rFonts w:hint="eastAsia" w:ascii="宋体" w:hAnsi="宋体" w:eastAsia="宋体" w:cs="Times New Roman"/>
                <w:szCs w:val="21"/>
              </w:rPr>
            </w:pPr>
          </w:p>
        </w:tc>
        <w:tc>
          <w:tcPr>
            <w:tcW w:w="3685" w:type="dxa"/>
            <w:vAlign w:val="center"/>
          </w:tcPr>
          <w:p>
            <w:pPr>
              <w:rPr>
                <w:rFonts w:hint="eastAsia" w:ascii="宋体" w:hAnsi="宋体" w:eastAsia="宋体" w:cs="Times New Roman"/>
                <w:szCs w:val="21"/>
              </w:rPr>
            </w:pPr>
            <w:r>
              <w:rPr>
                <w:rFonts w:hint="eastAsia" w:ascii="宋体" w:hAnsi="宋体" w:eastAsia="宋体" w:cs="Times New Roman"/>
                <w:szCs w:val="21"/>
              </w:rPr>
              <w:t>风管规格符合设计要求。</w:t>
            </w:r>
          </w:p>
        </w:tc>
        <w:tc>
          <w:tcPr>
            <w:tcW w:w="851" w:type="dxa"/>
            <w:vAlign w:val="center"/>
          </w:tcPr>
          <w:p>
            <w:pPr>
              <w:jc w:val="center"/>
              <w:rPr>
                <w:rFonts w:hint="eastAsia" w:ascii="宋体" w:hAnsi="宋体" w:eastAsia="宋体" w:cs="Times New Roman"/>
                <w:szCs w:val="21"/>
              </w:rPr>
            </w:pPr>
            <w:r>
              <w:rPr>
                <w:rFonts w:hint="eastAsia" w:ascii="宋体" w:hAnsi="宋体" w:eastAsia="宋体" w:cs="Times New Roman"/>
                <w:szCs w:val="21"/>
              </w:rPr>
              <w:t>10</w:t>
            </w:r>
          </w:p>
        </w:tc>
        <w:tc>
          <w:tcPr>
            <w:tcW w:w="3260" w:type="dxa"/>
            <w:vAlign w:val="center"/>
          </w:tcPr>
          <w:p>
            <w:pPr>
              <w:rPr>
                <w:rFonts w:hint="eastAsia" w:ascii="宋体" w:hAnsi="宋体" w:eastAsia="宋体" w:cs="Times New Roman"/>
                <w:szCs w:val="21"/>
              </w:rPr>
            </w:pPr>
            <w:r>
              <w:rPr>
                <w:rFonts w:hint="eastAsia" w:ascii="宋体" w:hAnsi="宋体" w:eastAsia="宋体" w:cs="Times New Roman"/>
                <w:szCs w:val="21"/>
              </w:rPr>
              <w:t>现场尺量打分。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704" w:type="dxa"/>
            <w:vMerge w:val="continue"/>
            <w:vAlign w:val="center"/>
          </w:tcPr>
          <w:p>
            <w:pPr>
              <w:jc w:val="center"/>
              <w:rPr>
                <w:rFonts w:hint="eastAsia" w:ascii="宋体" w:hAnsi="宋体" w:eastAsia="宋体" w:cs="Times New Roman"/>
                <w:szCs w:val="21"/>
              </w:rPr>
            </w:pPr>
          </w:p>
        </w:tc>
        <w:tc>
          <w:tcPr>
            <w:tcW w:w="1677" w:type="dxa"/>
            <w:vMerge w:val="continue"/>
            <w:vAlign w:val="center"/>
          </w:tcPr>
          <w:p>
            <w:pPr>
              <w:rPr>
                <w:rFonts w:hint="eastAsia" w:ascii="宋体" w:hAnsi="宋体" w:eastAsia="宋体" w:cs="Times New Roman"/>
                <w:szCs w:val="21"/>
              </w:rPr>
            </w:pPr>
          </w:p>
        </w:tc>
        <w:tc>
          <w:tcPr>
            <w:tcW w:w="2859" w:type="dxa"/>
            <w:noWrap/>
            <w:vAlign w:val="center"/>
          </w:tcPr>
          <w:p>
            <w:pPr>
              <w:rPr>
                <w:rFonts w:hint="eastAsia" w:ascii="宋体" w:hAnsi="宋体" w:eastAsia="宋体" w:cs="Times New Roman"/>
                <w:szCs w:val="21"/>
              </w:rPr>
            </w:pPr>
            <w:r>
              <w:rPr>
                <w:rFonts w:hint="eastAsia" w:ascii="宋体" w:hAnsi="宋体" w:eastAsia="宋体" w:cs="Times New Roman"/>
                <w:szCs w:val="21"/>
              </w:rPr>
              <w:t>导流叶片</w:t>
            </w:r>
          </w:p>
        </w:tc>
        <w:tc>
          <w:tcPr>
            <w:tcW w:w="851" w:type="dxa"/>
            <w:vMerge w:val="continue"/>
            <w:vAlign w:val="center"/>
          </w:tcPr>
          <w:p>
            <w:pPr>
              <w:rPr>
                <w:rFonts w:hint="eastAsia" w:ascii="宋体" w:hAnsi="宋体" w:eastAsia="宋体" w:cs="Times New Roman"/>
                <w:szCs w:val="21"/>
              </w:rPr>
            </w:pPr>
          </w:p>
        </w:tc>
        <w:tc>
          <w:tcPr>
            <w:tcW w:w="3685" w:type="dxa"/>
            <w:vAlign w:val="center"/>
          </w:tcPr>
          <w:p>
            <w:pPr>
              <w:rPr>
                <w:rFonts w:hint="eastAsia" w:ascii="宋体" w:hAnsi="宋体" w:eastAsia="宋体" w:cs="Times New Roman"/>
                <w:szCs w:val="21"/>
              </w:rPr>
            </w:pPr>
            <w:r>
              <w:rPr>
                <w:rFonts w:hint="eastAsia" w:ascii="宋体" w:hAnsi="宋体" w:eastAsia="宋体" w:cs="Times New Roman"/>
                <w:szCs w:val="21"/>
              </w:rPr>
              <w:t>边长大于700mm的风管转弯处增加导流叶片，间距500mm。</w:t>
            </w:r>
          </w:p>
        </w:tc>
        <w:tc>
          <w:tcPr>
            <w:tcW w:w="851" w:type="dxa"/>
            <w:vAlign w:val="center"/>
          </w:tcPr>
          <w:p>
            <w:pPr>
              <w:jc w:val="center"/>
              <w:rPr>
                <w:rFonts w:hint="eastAsia" w:ascii="宋体" w:hAnsi="宋体" w:eastAsia="宋体" w:cs="Times New Roman"/>
                <w:szCs w:val="21"/>
              </w:rPr>
            </w:pPr>
            <w:r>
              <w:rPr>
                <w:rFonts w:hint="eastAsia" w:ascii="宋体" w:hAnsi="宋体" w:eastAsia="宋体" w:cs="Times New Roman"/>
                <w:szCs w:val="21"/>
              </w:rPr>
              <w:t>5</w:t>
            </w:r>
          </w:p>
        </w:tc>
        <w:tc>
          <w:tcPr>
            <w:tcW w:w="3260" w:type="dxa"/>
            <w:vAlign w:val="center"/>
          </w:tcPr>
          <w:p>
            <w:pPr>
              <w:rPr>
                <w:rFonts w:hint="eastAsia" w:ascii="宋体" w:hAnsi="宋体" w:eastAsia="宋体" w:cs="Times New Roman"/>
                <w:szCs w:val="21"/>
              </w:rPr>
            </w:pPr>
            <w:r>
              <w:rPr>
                <w:rFonts w:hint="eastAsia" w:ascii="宋体" w:hAnsi="宋体" w:eastAsia="宋体" w:cs="Times New Roman"/>
                <w:szCs w:val="21"/>
              </w:rPr>
              <w:t>现场查看，根据现场质量打分。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trPr>
        <w:tc>
          <w:tcPr>
            <w:tcW w:w="704" w:type="dxa"/>
            <w:vMerge w:val="continue"/>
            <w:vAlign w:val="center"/>
          </w:tcPr>
          <w:p>
            <w:pPr>
              <w:jc w:val="center"/>
              <w:rPr>
                <w:rFonts w:hint="eastAsia" w:ascii="宋体" w:hAnsi="宋体" w:eastAsia="宋体" w:cs="Times New Roman"/>
                <w:szCs w:val="21"/>
              </w:rPr>
            </w:pPr>
          </w:p>
        </w:tc>
        <w:tc>
          <w:tcPr>
            <w:tcW w:w="1677" w:type="dxa"/>
            <w:vMerge w:val="continue"/>
            <w:vAlign w:val="center"/>
          </w:tcPr>
          <w:p>
            <w:pPr>
              <w:rPr>
                <w:rFonts w:hint="eastAsia" w:ascii="宋体" w:hAnsi="宋体" w:eastAsia="宋体" w:cs="Times New Roman"/>
                <w:szCs w:val="21"/>
              </w:rPr>
            </w:pPr>
          </w:p>
        </w:tc>
        <w:tc>
          <w:tcPr>
            <w:tcW w:w="2859" w:type="dxa"/>
            <w:noWrap/>
            <w:vAlign w:val="center"/>
          </w:tcPr>
          <w:p>
            <w:pPr>
              <w:rPr>
                <w:rFonts w:hint="eastAsia" w:ascii="宋体" w:hAnsi="宋体" w:eastAsia="宋体" w:cs="Times New Roman"/>
                <w:szCs w:val="21"/>
              </w:rPr>
            </w:pPr>
            <w:r>
              <w:rPr>
                <w:rFonts w:hint="eastAsia" w:ascii="宋体" w:hAnsi="宋体" w:eastAsia="宋体" w:cs="Times New Roman"/>
                <w:szCs w:val="21"/>
              </w:rPr>
              <w:t>柔性短管</w:t>
            </w:r>
          </w:p>
        </w:tc>
        <w:tc>
          <w:tcPr>
            <w:tcW w:w="851" w:type="dxa"/>
            <w:vMerge w:val="continue"/>
            <w:vAlign w:val="center"/>
          </w:tcPr>
          <w:p>
            <w:pPr>
              <w:rPr>
                <w:rFonts w:hint="eastAsia" w:ascii="宋体" w:hAnsi="宋体" w:eastAsia="宋体" w:cs="Times New Roman"/>
                <w:szCs w:val="21"/>
              </w:rPr>
            </w:pPr>
          </w:p>
        </w:tc>
        <w:tc>
          <w:tcPr>
            <w:tcW w:w="3685" w:type="dxa"/>
            <w:vAlign w:val="center"/>
          </w:tcPr>
          <w:p>
            <w:pPr>
              <w:rPr>
                <w:rFonts w:hint="eastAsia" w:ascii="宋体" w:hAnsi="宋体" w:eastAsia="宋体" w:cs="Times New Roman"/>
                <w:szCs w:val="21"/>
              </w:rPr>
            </w:pPr>
            <w:r>
              <w:rPr>
                <w:rFonts w:hint="eastAsia" w:ascii="宋体" w:hAnsi="宋体" w:eastAsia="宋体" w:cs="Times New Roman"/>
                <w:szCs w:val="21"/>
              </w:rPr>
              <w:t>只用做防烟的风管，风管与风机连接采用硬连接；兼做送风的风管与风机连接采用柔性短管连接，柔性短管长度为250-300mm，且风机与风管应同心且不应变径，柔性短管松紧适度。</w:t>
            </w:r>
          </w:p>
          <w:p>
            <w:pPr>
              <w:rPr>
                <w:rFonts w:hint="eastAsia" w:ascii="宋体" w:hAnsi="宋体" w:eastAsia="宋体" w:cs="Times New Roman"/>
                <w:szCs w:val="21"/>
              </w:rPr>
            </w:pPr>
          </w:p>
        </w:tc>
        <w:tc>
          <w:tcPr>
            <w:tcW w:w="851" w:type="dxa"/>
            <w:vAlign w:val="center"/>
          </w:tcPr>
          <w:p>
            <w:pPr>
              <w:jc w:val="center"/>
              <w:rPr>
                <w:rFonts w:hint="eastAsia" w:ascii="宋体" w:hAnsi="宋体" w:eastAsia="宋体" w:cs="Times New Roman"/>
                <w:szCs w:val="21"/>
              </w:rPr>
            </w:pPr>
            <w:r>
              <w:rPr>
                <w:rFonts w:hint="eastAsia" w:ascii="宋体" w:hAnsi="宋体" w:eastAsia="宋体" w:cs="Times New Roman"/>
                <w:szCs w:val="21"/>
              </w:rPr>
              <w:t>10</w:t>
            </w:r>
          </w:p>
        </w:tc>
        <w:tc>
          <w:tcPr>
            <w:tcW w:w="3260" w:type="dxa"/>
            <w:vAlign w:val="center"/>
          </w:tcPr>
          <w:p>
            <w:pPr>
              <w:rPr>
                <w:rFonts w:hint="eastAsia" w:ascii="宋体" w:hAnsi="宋体" w:eastAsia="宋体" w:cs="Times New Roman"/>
                <w:szCs w:val="21"/>
              </w:rPr>
            </w:pPr>
            <w:r>
              <w:rPr>
                <w:rFonts w:hint="eastAsia" w:ascii="宋体" w:hAnsi="宋体" w:eastAsia="宋体" w:cs="Times New Roman"/>
                <w:szCs w:val="21"/>
              </w:rPr>
              <w:t>现场查看，根据现场质量打分。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704" w:type="dxa"/>
            <w:vMerge w:val="restart"/>
            <w:noWrap/>
            <w:vAlign w:val="center"/>
          </w:tcPr>
          <w:p>
            <w:pPr>
              <w:jc w:val="center"/>
              <w:rPr>
                <w:rFonts w:hint="eastAsia" w:ascii="宋体" w:hAnsi="宋体" w:eastAsia="宋体" w:cs="Times New Roman"/>
                <w:szCs w:val="21"/>
              </w:rPr>
            </w:pPr>
            <w:r>
              <w:rPr>
                <w:rFonts w:hint="eastAsia" w:ascii="宋体" w:hAnsi="宋体" w:eastAsia="宋体" w:cs="Times New Roman"/>
                <w:szCs w:val="21"/>
              </w:rPr>
              <w:t>6</w:t>
            </w:r>
          </w:p>
        </w:tc>
        <w:tc>
          <w:tcPr>
            <w:tcW w:w="1677" w:type="dxa"/>
            <w:vMerge w:val="restart"/>
            <w:vAlign w:val="center"/>
          </w:tcPr>
          <w:p>
            <w:pPr>
              <w:rPr>
                <w:rFonts w:hint="eastAsia" w:ascii="宋体" w:hAnsi="宋体" w:eastAsia="宋体" w:cs="Times New Roman"/>
                <w:szCs w:val="21"/>
              </w:rPr>
            </w:pPr>
            <w:r>
              <w:rPr>
                <w:rFonts w:hint="eastAsia" w:ascii="宋体" w:hAnsi="宋体" w:eastAsia="宋体" w:cs="Times New Roman"/>
                <w:szCs w:val="21"/>
              </w:rPr>
              <w:t>F风机</w:t>
            </w:r>
          </w:p>
        </w:tc>
        <w:tc>
          <w:tcPr>
            <w:tcW w:w="2859" w:type="dxa"/>
            <w:noWrap/>
            <w:vAlign w:val="center"/>
          </w:tcPr>
          <w:p>
            <w:pPr>
              <w:jc w:val="center"/>
              <w:rPr>
                <w:rFonts w:hint="eastAsia" w:ascii="宋体" w:hAnsi="宋体" w:eastAsia="宋体" w:cs="Times New Roman"/>
                <w:b/>
                <w:bCs/>
                <w:szCs w:val="21"/>
              </w:rPr>
            </w:pPr>
            <w:r>
              <w:rPr>
                <w:rFonts w:hint="eastAsia" w:ascii="宋体" w:hAnsi="宋体" w:eastAsia="宋体" w:cs="Times New Roman"/>
                <w:b/>
                <w:bCs/>
                <w:szCs w:val="21"/>
              </w:rPr>
              <w:t>主控项</w:t>
            </w:r>
          </w:p>
        </w:tc>
        <w:tc>
          <w:tcPr>
            <w:tcW w:w="851" w:type="dxa"/>
            <w:vMerge w:val="restart"/>
            <w:vAlign w:val="center"/>
          </w:tcPr>
          <w:p>
            <w:pPr>
              <w:jc w:val="center"/>
              <w:rPr>
                <w:rFonts w:hint="eastAsia" w:ascii="宋体" w:hAnsi="宋体" w:eastAsia="宋体" w:cs="Times New Roman"/>
                <w:b/>
                <w:bCs/>
                <w:szCs w:val="21"/>
              </w:rPr>
            </w:pPr>
            <w:r>
              <w:rPr>
                <w:rFonts w:hint="eastAsia" w:cs="Times New Roman" w:asciiTheme="minorEastAsia" w:hAnsiTheme="minorEastAsia"/>
                <w:szCs w:val="21"/>
              </w:rPr>
              <w:t>0.15</w:t>
            </w:r>
          </w:p>
        </w:tc>
        <w:tc>
          <w:tcPr>
            <w:tcW w:w="3685" w:type="dxa"/>
            <w:vAlign w:val="center"/>
          </w:tcPr>
          <w:p>
            <w:pPr>
              <w:jc w:val="center"/>
              <w:rPr>
                <w:rFonts w:hint="eastAsia" w:ascii="宋体" w:hAnsi="宋体" w:eastAsia="宋体" w:cs="Times New Roman"/>
                <w:b/>
                <w:bCs/>
                <w:szCs w:val="21"/>
              </w:rPr>
            </w:pPr>
            <w:r>
              <w:rPr>
                <w:rFonts w:hint="eastAsia" w:ascii="宋体" w:hAnsi="宋体" w:eastAsia="宋体" w:cs="Times New Roman"/>
                <w:b/>
                <w:bCs/>
                <w:szCs w:val="21"/>
              </w:rPr>
              <w:t>主控项评分要点</w:t>
            </w:r>
          </w:p>
        </w:tc>
        <w:tc>
          <w:tcPr>
            <w:tcW w:w="851" w:type="dxa"/>
            <w:vAlign w:val="center"/>
          </w:tcPr>
          <w:p>
            <w:pPr>
              <w:jc w:val="center"/>
              <w:rPr>
                <w:rFonts w:hint="eastAsia" w:ascii="宋体" w:hAnsi="宋体" w:eastAsia="宋体" w:cs="Times New Roman"/>
                <w:b/>
                <w:bCs/>
                <w:szCs w:val="21"/>
              </w:rPr>
            </w:pPr>
            <w:r>
              <w:rPr>
                <w:rFonts w:hint="eastAsia" w:ascii="宋体" w:hAnsi="宋体" w:eastAsia="宋体" w:cs="Times New Roman"/>
                <w:b/>
                <w:bCs/>
                <w:szCs w:val="21"/>
              </w:rPr>
              <w:t>评分</w:t>
            </w:r>
          </w:p>
        </w:tc>
        <w:tc>
          <w:tcPr>
            <w:tcW w:w="3260" w:type="dxa"/>
            <w:vAlign w:val="center"/>
          </w:tcPr>
          <w:p>
            <w:pPr>
              <w:jc w:val="center"/>
              <w:rPr>
                <w:rFonts w:hint="eastAsia" w:ascii="宋体" w:hAnsi="宋体" w:eastAsia="宋体" w:cs="Times New Roman"/>
                <w:b/>
                <w:bCs/>
                <w:szCs w:val="21"/>
              </w:rPr>
            </w:pPr>
            <w:r>
              <w:rPr>
                <w:rFonts w:hint="eastAsia" w:ascii="宋体" w:hAnsi="宋体" w:eastAsia="宋体" w:cs="Times New Roman"/>
                <w:b/>
                <w:bCs/>
                <w:szCs w:val="21"/>
              </w:rPr>
              <w:t>评定方法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704" w:type="dxa"/>
            <w:vMerge w:val="continue"/>
            <w:vAlign w:val="center"/>
          </w:tcPr>
          <w:p>
            <w:pPr>
              <w:jc w:val="center"/>
              <w:rPr>
                <w:rFonts w:hint="eastAsia" w:ascii="宋体" w:hAnsi="宋体" w:eastAsia="宋体" w:cs="Times New Roman"/>
                <w:szCs w:val="21"/>
              </w:rPr>
            </w:pPr>
          </w:p>
        </w:tc>
        <w:tc>
          <w:tcPr>
            <w:tcW w:w="1677" w:type="dxa"/>
            <w:vMerge w:val="continue"/>
            <w:vAlign w:val="center"/>
          </w:tcPr>
          <w:p>
            <w:pPr>
              <w:rPr>
                <w:rFonts w:hint="eastAsia" w:ascii="宋体" w:hAnsi="宋体" w:eastAsia="宋体" w:cs="Times New Roman"/>
                <w:szCs w:val="21"/>
              </w:rPr>
            </w:pPr>
          </w:p>
        </w:tc>
        <w:tc>
          <w:tcPr>
            <w:tcW w:w="2859" w:type="dxa"/>
            <w:noWrap/>
            <w:vAlign w:val="center"/>
          </w:tcPr>
          <w:p>
            <w:pPr>
              <w:rPr>
                <w:rFonts w:hint="eastAsia" w:ascii="宋体" w:hAnsi="宋体" w:eastAsia="宋体" w:cs="Times New Roman"/>
                <w:szCs w:val="21"/>
              </w:rPr>
            </w:pPr>
            <w:r>
              <w:rPr>
                <w:rFonts w:hint="eastAsia" w:ascii="宋体" w:hAnsi="宋体" w:eastAsia="宋体" w:cs="Times New Roman"/>
                <w:szCs w:val="21"/>
              </w:rPr>
              <w:t>标识</w:t>
            </w:r>
          </w:p>
        </w:tc>
        <w:tc>
          <w:tcPr>
            <w:tcW w:w="851" w:type="dxa"/>
            <w:vMerge w:val="continue"/>
            <w:vAlign w:val="center"/>
          </w:tcPr>
          <w:p>
            <w:pPr>
              <w:rPr>
                <w:rFonts w:hint="eastAsia" w:ascii="宋体" w:hAnsi="宋体" w:eastAsia="宋体" w:cs="Times New Roman"/>
                <w:b/>
                <w:bCs/>
                <w:szCs w:val="21"/>
              </w:rPr>
            </w:pPr>
          </w:p>
        </w:tc>
        <w:tc>
          <w:tcPr>
            <w:tcW w:w="3685" w:type="dxa"/>
            <w:vAlign w:val="center"/>
          </w:tcPr>
          <w:p>
            <w:pPr>
              <w:rPr>
                <w:rFonts w:hint="eastAsia" w:ascii="宋体" w:hAnsi="宋体" w:eastAsia="宋体" w:cs="Times New Roman"/>
                <w:szCs w:val="21"/>
              </w:rPr>
            </w:pPr>
            <w:r>
              <w:rPr>
                <w:rFonts w:hint="eastAsia" w:ascii="宋体" w:hAnsi="宋体" w:eastAsia="宋体" w:cs="Times New Roman"/>
                <w:szCs w:val="21"/>
              </w:rPr>
              <w:t>排烟风机应设置明显永久标志。</w:t>
            </w:r>
          </w:p>
        </w:tc>
        <w:tc>
          <w:tcPr>
            <w:tcW w:w="851" w:type="dxa"/>
            <w:vAlign w:val="center"/>
          </w:tcPr>
          <w:p>
            <w:pPr>
              <w:jc w:val="center"/>
              <w:rPr>
                <w:rFonts w:hint="eastAsia" w:ascii="宋体" w:hAnsi="宋体" w:eastAsia="宋体" w:cs="Times New Roman"/>
                <w:szCs w:val="21"/>
              </w:rPr>
            </w:pPr>
            <w:r>
              <w:rPr>
                <w:rFonts w:hint="eastAsia" w:ascii="宋体" w:hAnsi="宋体" w:eastAsia="宋体" w:cs="Times New Roman"/>
                <w:szCs w:val="21"/>
              </w:rPr>
              <w:t>5</w:t>
            </w:r>
          </w:p>
        </w:tc>
        <w:tc>
          <w:tcPr>
            <w:tcW w:w="3260" w:type="dxa"/>
            <w:vAlign w:val="center"/>
          </w:tcPr>
          <w:p>
            <w:pPr>
              <w:rPr>
                <w:rFonts w:hint="eastAsia" w:ascii="宋体" w:hAnsi="宋体" w:eastAsia="宋体" w:cs="Times New Roman"/>
                <w:szCs w:val="21"/>
              </w:rPr>
            </w:pPr>
            <w:r>
              <w:rPr>
                <w:rFonts w:hint="eastAsia" w:ascii="宋体" w:hAnsi="宋体" w:eastAsia="宋体" w:cs="Times New Roman"/>
                <w:szCs w:val="21"/>
              </w:rPr>
              <w:t>有标识合格，没标识不合格。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704" w:type="dxa"/>
            <w:vMerge w:val="continue"/>
            <w:vAlign w:val="center"/>
          </w:tcPr>
          <w:p>
            <w:pPr>
              <w:jc w:val="center"/>
              <w:rPr>
                <w:rFonts w:hint="eastAsia" w:ascii="宋体" w:hAnsi="宋体" w:eastAsia="宋体" w:cs="Times New Roman"/>
                <w:szCs w:val="21"/>
              </w:rPr>
            </w:pPr>
          </w:p>
        </w:tc>
        <w:tc>
          <w:tcPr>
            <w:tcW w:w="1677" w:type="dxa"/>
            <w:vMerge w:val="continue"/>
            <w:vAlign w:val="center"/>
          </w:tcPr>
          <w:p>
            <w:pPr>
              <w:rPr>
                <w:rFonts w:hint="eastAsia" w:ascii="宋体" w:hAnsi="宋体" w:eastAsia="宋体" w:cs="Times New Roman"/>
                <w:szCs w:val="21"/>
              </w:rPr>
            </w:pPr>
          </w:p>
        </w:tc>
        <w:tc>
          <w:tcPr>
            <w:tcW w:w="2859" w:type="dxa"/>
            <w:noWrap/>
            <w:vAlign w:val="center"/>
          </w:tcPr>
          <w:p>
            <w:pPr>
              <w:rPr>
                <w:rFonts w:hint="eastAsia" w:ascii="宋体" w:hAnsi="宋体" w:eastAsia="宋体" w:cs="Times New Roman"/>
                <w:szCs w:val="21"/>
              </w:rPr>
            </w:pPr>
            <w:r>
              <w:rPr>
                <w:rFonts w:hint="eastAsia" w:ascii="宋体" w:hAnsi="宋体" w:eastAsia="宋体" w:cs="Times New Roman"/>
                <w:szCs w:val="21"/>
              </w:rPr>
              <w:t>风机参数</w:t>
            </w:r>
          </w:p>
        </w:tc>
        <w:tc>
          <w:tcPr>
            <w:tcW w:w="851" w:type="dxa"/>
            <w:vMerge w:val="continue"/>
            <w:vAlign w:val="center"/>
          </w:tcPr>
          <w:p>
            <w:pPr>
              <w:rPr>
                <w:rFonts w:hint="eastAsia" w:ascii="宋体" w:hAnsi="宋体" w:eastAsia="宋体" w:cs="Times New Roman"/>
                <w:b/>
                <w:bCs/>
                <w:szCs w:val="21"/>
              </w:rPr>
            </w:pPr>
          </w:p>
        </w:tc>
        <w:tc>
          <w:tcPr>
            <w:tcW w:w="3685" w:type="dxa"/>
            <w:vAlign w:val="center"/>
          </w:tcPr>
          <w:p>
            <w:pPr>
              <w:rPr>
                <w:rFonts w:hint="eastAsia" w:ascii="宋体" w:hAnsi="宋体" w:eastAsia="宋体" w:cs="Times New Roman"/>
                <w:szCs w:val="21"/>
              </w:rPr>
            </w:pPr>
            <w:r>
              <w:rPr>
                <w:rFonts w:hint="eastAsia" w:ascii="宋体" w:hAnsi="宋体" w:eastAsia="宋体" w:cs="Times New Roman"/>
                <w:szCs w:val="21"/>
              </w:rPr>
              <w:t>风机的型号、规格应符合设计规定设计图纸要求。</w:t>
            </w:r>
          </w:p>
        </w:tc>
        <w:tc>
          <w:tcPr>
            <w:tcW w:w="851" w:type="dxa"/>
            <w:vAlign w:val="center"/>
          </w:tcPr>
          <w:p>
            <w:pPr>
              <w:jc w:val="center"/>
              <w:rPr>
                <w:rFonts w:hint="eastAsia" w:ascii="宋体" w:hAnsi="宋体" w:eastAsia="宋体" w:cs="Times New Roman"/>
                <w:szCs w:val="21"/>
              </w:rPr>
            </w:pPr>
            <w:r>
              <w:rPr>
                <w:rFonts w:hint="eastAsia" w:ascii="宋体" w:hAnsi="宋体" w:eastAsia="宋体" w:cs="Times New Roman"/>
                <w:szCs w:val="21"/>
              </w:rPr>
              <w:t>20</w:t>
            </w:r>
          </w:p>
        </w:tc>
        <w:tc>
          <w:tcPr>
            <w:tcW w:w="3260" w:type="dxa"/>
            <w:vAlign w:val="center"/>
          </w:tcPr>
          <w:p>
            <w:pPr>
              <w:rPr>
                <w:rFonts w:hint="eastAsia" w:ascii="宋体" w:hAnsi="宋体" w:eastAsia="宋体" w:cs="Times New Roman"/>
                <w:szCs w:val="21"/>
              </w:rPr>
            </w:pPr>
            <w:r>
              <w:rPr>
                <w:rFonts w:hint="eastAsia" w:ascii="宋体" w:hAnsi="宋体" w:eastAsia="宋体" w:cs="Times New Roman"/>
                <w:szCs w:val="21"/>
              </w:rPr>
              <w:t>查看风机铭牌数值是否符合图纸要求。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704" w:type="dxa"/>
            <w:vMerge w:val="continue"/>
            <w:vAlign w:val="center"/>
          </w:tcPr>
          <w:p>
            <w:pPr>
              <w:jc w:val="center"/>
              <w:rPr>
                <w:rFonts w:hint="eastAsia" w:ascii="宋体" w:hAnsi="宋体" w:eastAsia="宋体" w:cs="Times New Roman"/>
                <w:szCs w:val="21"/>
              </w:rPr>
            </w:pPr>
          </w:p>
        </w:tc>
        <w:tc>
          <w:tcPr>
            <w:tcW w:w="1677" w:type="dxa"/>
            <w:vMerge w:val="continue"/>
            <w:vAlign w:val="center"/>
          </w:tcPr>
          <w:p>
            <w:pPr>
              <w:rPr>
                <w:rFonts w:hint="eastAsia" w:ascii="宋体" w:hAnsi="宋体" w:eastAsia="宋体" w:cs="Times New Roman"/>
                <w:szCs w:val="21"/>
              </w:rPr>
            </w:pPr>
          </w:p>
        </w:tc>
        <w:tc>
          <w:tcPr>
            <w:tcW w:w="2859" w:type="dxa"/>
            <w:noWrap/>
            <w:vAlign w:val="center"/>
          </w:tcPr>
          <w:p>
            <w:pPr>
              <w:rPr>
                <w:rFonts w:hint="eastAsia" w:ascii="宋体" w:hAnsi="宋体" w:eastAsia="宋体" w:cs="Times New Roman"/>
                <w:szCs w:val="21"/>
              </w:rPr>
            </w:pPr>
            <w:r>
              <w:rPr>
                <w:rFonts w:hint="eastAsia" w:ascii="宋体" w:hAnsi="宋体" w:eastAsia="宋体" w:cs="Times New Roman"/>
                <w:szCs w:val="21"/>
              </w:rPr>
              <w:t>送风口与排烟口距离</w:t>
            </w:r>
          </w:p>
        </w:tc>
        <w:tc>
          <w:tcPr>
            <w:tcW w:w="851" w:type="dxa"/>
            <w:vMerge w:val="continue"/>
            <w:vAlign w:val="center"/>
          </w:tcPr>
          <w:p>
            <w:pPr>
              <w:rPr>
                <w:rFonts w:hint="eastAsia" w:ascii="宋体" w:hAnsi="宋体" w:eastAsia="宋体" w:cs="Times New Roman"/>
                <w:b/>
                <w:bCs/>
                <w:szCs w:val="21"/>
              </w:rPr>
            </w:pPr>
          </w:p>
        </w:tc>
        <w:tc>
          <w:tcPr>
            <w:tcW w:w="3685" w:type="dxa"/>
            <w:vAlign w:val="center"/>
          </w:tcPr>
          <w:p>
            <w:pPr>
              <w:rPr>
                <w:rFonts w:hint="eastAsia" w:ascii="宋体" w:hAnsi="宋体" w:eastAsia="宋体" w:cs="Times New Roman"/>
                <w:szCs w:val="21"/>
              </w:rPr>
            </w:pPr>
            <w:r>
              <w:rPr>
                <w:rFonts w:hint="eastAsia" w:ascii="宋体" w:hAnsi="宋体" w:eastAsia="宋体" w:cs="Times New Roman"/>
                <w:szCs w:val="21"/>
              </w:rPr>
              <w:t>排烟风机的出口与加压送风机的进口之间的距离，同一平面距离大于20米；垂直方向距离大于6米，且送风口在排烟风口下面。</w:t>
            </w:r>
          </w:p>
        </w:tc>
        <w:tc>
          <w:tcPr>
            <w:tcW w:w="851" w:type="dxa"/>
            <w:vAlign w:val="center"/>
          </w:tcPr>
          <w:p>
            <w:pPr>
              <w:jc w:val="center"/>
              <w:rPr>
                <w:rFonts w:hint="eastAsia" w:ascii="宋体" w:hAnsi="宋体" w:eastAsia="宋体" w:cs="Times New Roman"/>
                <w:szCs w:val="21"/>
              </w:rPr>
            </w:pPr>
            <w:r>
              <w:rPr>
                <w:rFonts w:hint="eastAsia" w:ascii="宋体" w:hAnsi="宋体" w:eastAsia="宋体" w:cs="Times New Roman"/>
                <w:szCs w:val="21"/>
              </w:rPr>
              <w:t>10</w:t>
            </w:r>
          </w:p>
        </w:tc>
        <w:tc>
          <w:tcPr>
            <w:tcW w:w="3260" w:type="dxa"/>
            <w:vAlign w:val="center"/>
          </w:tcPr>
          <w:p>
            <w:pPr>
              <w:rPr>
                <w:rFonts w:hint="eastAsia" w:ascii="宋体" w:hAnsi="宋体" w:eastAsia="宋体" w:cs="Times New Roman"/>
                <w:szCs w:val="21"/>
              </w:rPr>
            </w:pPr>
            <w:r>
              <w:rPr>
                <w:rFonts w:hint="eastAsia" w:ascii="宋体" w:hAnsi="宋体" w:eastAsia="宋体" w:cs="Times New Roman"/>
                <w:szCs w:val="21"/>
              </w:rPr>
              <w:t>现场查看尺量，距离符合规范要求合格，不符合不合格。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704" w:type="dxa"/>
            <w:vMerge w:val="continue"/>
            <w:vAlign w:val="center"/>
          </w:tcPr>
          <w:p>
            <w:pPr>
              <w:jc w:val="center"/>
              <w:rPr>
                <w:rFonts w:hint="eastAsia" w:ascii="宋体" w:hAnsi="宋体" w:eastAsia="宋体" w:cs="Times New Roman"/>
                <w:szCs w:val="21"/>
              </w:rPr>
            </w:pPr>
          </w:p>
        </w:tc>
        <w:tc>
          <w:tcPr>
            <w:tcW w:w="1677" w:type="dxa"/>
            <w:vMerge w:val="continue"/>
            <w:vAlign w:val="center"/>
          </w:tcPr>
          <w:p>
            <w:pPr>
              <w:rPr>
                <w:rFonts w:hint="eastAsia" w:ascii="宋体" w:hAnsi="宋体" w:eastAsia="宋体" w:cs="Times New Roman"/>
                <w:szCs w:val="21"/>
              </w:rPr>
            </w:pPr>
          </w:p>
        </w:tc>
        <w:tc>
          <w:tcPr>
            <w:tcW w:w="2859" w:type="dxa"/>
            <w:noWrap/>
            <w:vAlign w:val="center"/>
          </w:tcPr>
          <w:p>
            <w:pPr>
              <w:rPr>
                <w:rFonts w:hint="eastAsia" w:ascii="宋体" w:hAnsi="宋体" w:eastAsia="宋体" w:cs="Times New Roman"/>
                <w:szCs w:val="21"/>
              </w:rPr>
            </w:pPr>
            <w:r>
              <w:rPr>
                <w:rFonts w:hint="eastAsia" w:ascii="宋体" w:hAnsi="宋体" w:eastAsia="宋体" w:cs="Times New Roman"/>
                <w:szCs w:val="21"/>
              </w:rPr>
              <w:t>风机产品</w:t>
            </w:r>
          </w:p>
        </w:tc>
        <w:tc>
          <w:tcPr>
            <w:tcW w:w="851" w:type="dxa"/>
            <w:vMerge w:val="continue"/>
            <w:vAlign w:val="center"/>
          </w:tcPr>
          <w:p>
            <w:pPr>
              <w:rPr>
                <w:rFonts w:hint="eastAsia" w:ascii="宋体" w:hAnsi="宋体" w:eastAsia="宋体" w:cs="Times New Roman"/>
                <w:b/>
                <w:bCs/>
                <w:szCs w:val="21"/>
              </w:rPr>
            </w:pPr>
          </w:p>
        </w:tc>
        <w:tc>
          <w:tcPr>
            <w:tcW w:w="3685" w:type="dxa"/>
            <w:vAlign w:val="center"/>
          </w:tcPr>
          <w:p>
            <w:pPr>
              <w:rPr>
                <w:rFonts w:hint="eastAsia" w:ascii="宋体" w:hAnsi="宋体" w:eastAsia="宋体" w:cs="Times New Roman"/>
                <w:szCs w:val="21"/>
              </w:rPr>
            </w:pPr>
            <w:r>
              <w:rPr>
                <w:rFonts w:hint="eastAsia" w:ascii="宋体" w:hAnsi="宋体" w:eastAsia="宋体" w:cs="Times New Roman"/>
                <w:szCs w:val="21"/>
              </w:rPr>
              <w:t>风机应符合产品标准和有关消防产品标准的规定。</w:t>
            </w:r>
          </w:p>
        </w:tc>
        <w:tc>
          <w:tcPr>
            <w:tcW w:w="851" w:type="dxa"/>
            <w:vAlign w:val="center"/>
          </w:tcPr>
          <w:p>
            <w:pPr>
              <w:jc w:val="center"/>
              <w:rPr>
                <w:rFonts w:hint="eastAsia" w:ascii="宋体" w:hAnsi="宋体" w:eastAsia="宋体" w:cs="Times New Roman"/>
                <w:szCs w:val="21"/>
              </w:rPr>
            </w:pPr>
            <w:r>
              <w:rPr>
                <w:rFonts w:hint="eastAsia" w:ascii="宋体" w:hAnsi="宋体" w:eastAsia="宋体" w:cs="Times New Roman"/>
                <w:szCs w:val="21"/>
              </w:rPr>
              <w:t>20</w:t>
            </w:r>
          </w:p>
        </w:tc>
        <w:tc>
          <w:tcPr>
            <w:tcW w:w="3260" w:type="dxa"/>
            <w:vAlign w:val="center"/>
          </w:tcPr>
          <w:p>
            <w:pPr>
              <w:rPr>
                <w:rFonts w:hint="eastAsia" w:ascii="宋体" w:hAnsi="宋体" w:eastAsia="宋体" w:cs="Times New Roman"/>
                <w:szCs w:val="21"/>
              </w:rPr>
            </w:pPr>
            <w:r>
              <w:rPr>
                <w:rFonts w:hint="eastAsia" w:ascii="宋体" w:hAnsi="宋体" w:eastAsia="宋体" w:cs="Times New Roman"/>
                <w:szCs w:val="21"/>
              </w:rPr>
              <w:t>查看消防身份证黄标，用手机微信扫码确定，符合要求合格，不符合要求不合格。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704" w:type="dxa"/>
            <w:vMerge w:val="continue"/>
            <w:vAlign w:val="center"/>
          </w:tcPr>
          <w:p>
            <w:pPr>
              <w:jc w:val="center"/>
              <w:rPr>
                <w:rFonts w:hint="eastAsia" w:ascii="宋体" w:hAnsi="宋体" w:eastAsia="宋体" w:cs="Times New Roman"/>
                <w:szCs w:val="21"/>
              </w:rPr>
            </w:pPr>
          </w:p>
        </w:tc>
        <w:tc>
          <w:tcPr>
            <w:tcW w:w="1677" w:type="dxa"/>
            <w:vMerge w:val="continue"/>
            <w:vAlign w:val="center"/>
          </w:tcPr>
          <w:p>
            <w:pPr>
              <w:rPr>
                <w:rFonts w:hint="eastAsia" w:ascii="宋体" w:hAnsi="宋体" w:eastAsia="宋体" w:cs="Times New Roman"/>
                <w:szCs w:val="21"/>
              </w:rPr>
            </w:pPr>
          </w:p>
        </w:tc>
        <w:tc>
          <w:tcPr>
            <w:tcW w:w="2859" w:type="dxa"/>
            <w:noWrap/>
            <w:vAlign w:val="center"/>
          </w:tcPr>
          <w:p>
            <w:pPr>
              <w:rPr>
                <w:rFonts w:hint="eastAsia" w:ascii="宋体" w:hAnsi="宋体" w:eastAsia="宋体" w:cs="Times New Roman"/>
                <w:szCs w:val="21"/>
              </w:rPr>
            </w:pPr>
            <w:r>
              <w:rPr>
                <w:rFonts w:hint="eastAsia" w:ascii="宋体" w:hAnsi="宋体" w:eastAsia="宋体" w:cs="Times New Roman"/>
                <w:szCs w:val="21"/>
              </w:rPr>
              <w:t>风机安装</w:t>
            </w:r>
          </w:p>
        </w:tc>
        <w:tc>
          <w:tcPr>
            <w:tcW w:w="851" w:type="dxa"/>
            <w:vMerge w:val="continue"/>
            <w:vAlign w:val="center"/>
          </w:tcPr>
          <w:p>
            <w:pPr>
              <w:rPr>
                <w:rFonts w:hint="eastAsia" w:ascii="宋体" w:hAnsi="宋体" w:eastAsia="宋体" w:cs="Times New Roman"/>
                <w:b/>
                <w:bCs/>
                <w:szCs w:val="21"/>
              </w:rPr>
            </w:pPr>
          </w:p>
        </w:tc>
        <w:tc>
          <w:tcPr>
            <w:tcW w:w="3685" w:type="dxa"/>
            <w:vAlign w:val="center"/>
          </w:tcPr>
          <w:p>
            <w:pPr>
              <w:rPr>
                <w:rFonts w:hint="eastAsia" w:ascii="宋体" w:hAnsi="宋体" w:eastAsia="宋体" w:cs="Times New Roman"/>
                <w:szCs w:val="21"/>
              </w:rPr>
            </w:pPr>
            <w:r>
              <w:rPr>
                <w:rFonts w:hint="eastAsia" w:ascii="宋体" w:hAnsi="宋体" w:eastAsia="宋体" w:cs="Times New Roman"/>
                <w:szCs w:val="21"/>
              </w:rPr>
              <w:t>风机应设在混凝土或钢架基础上，且不应设置减震装置。</w:t>
            </w:r>
          </w:p>
        </w:tc>
        <w:tc>
          <w:tcPr>
            <w:tcW w:w="851" w:type="dxa"/>
            <w:vAlign w:val="center"/>
          </w:tcPr>
          <w:p>
            <w:pPr>
              <w:jc w:val="center"/>
              <w:rPr>
                <w:rFonts w:hint="eastAsia" w:ascii="宋体" w:hAnsi="宋体" w:eastAsia="宋体" w:cs="Times New Roman"/>
                <w:szCs w:val="21"/>
              </w:rPr>
            </w:pPr>
            <w:r>
              <w:rPr>
                <w:rFonts w:hint="eastAsia" w:ascii="宋体" w:hAnsi="宋体" w:eastAsia="宋体" w:cs="Times New Roman"/>
                <w:szCs w:val="21"/>
              </w:rPr>
              <w:t>10</w:t>
            </w:r>
          </w:p>
        </w:tc>
        <w:tc>
          <w:tcPr>
            <w:tcW w:w="3260" w:type="dxa"/>
            <w:vAlign w:val="center"/>
          </w:tcPr>
          <w:p>
            <w:pPr>
              <w:rPr>
                <w:rFonts w:hint="eastAsia" w:ascii="宋体" w:hAnsi="宋体" w:eastAsia="宋体" w:cs="Times New Roman"/>
                <w:szCs w:val="21"/>
              </w:rPr>
            </w:pPr>
            <w:r>
              <w:rPr>
                <w:rFonts w:hint="eastAsia" w:ascii="宋体" w:hAnsi="宋体" w:eastAsia="宋体" w:cs="Times New Roman"/>
                <w:szCs w:val="21"/>
              </w:rPr>
              <w:t>现场查看，符合要求合格，不符合要求不合格。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704" w:type="dxa"/>
            <w:vMerge w:val="continue"/>
            <w:vAlign w:val="center"/>
          </w:tcPr>
          <w:p>
            <w:pPr>
              <w:jc w:val="center"/>
              <w:rPr>
                <w:rFonts w:hint="eastAsia" w:ascii="宋体" w:hAnsi="宋体" w:eastAsia="宋体" w:cs="Times New Roman"/>
                <w:szCs w:val="21"/>
              </w:rPr>
            </w:pPr>
          </w:p>
        </w:tc>
        <w:tc>
          <w:tcPr>
            <w:tcW w:w="1677" w:type="dxa"/>
            <w:vMerge w:val="continue"/>
            <w:vAlign w:val="center"/>
          </w:tcPr>
          <w:p>
            <w:pPr>
              <w:rPr>
                <w:rFonts w:hint="eastAsia" w:ascii="宋体" w:hAnsi="宋体" w:eastAsia="宋体" w:cs="Times New Roman"/>
                <w:szCs w:val="21"/>
              </w:rPr>
            </w:pPr>
          </w:p>
        </w:tc>
        <w:tc>
          <w:tcPr>
            <w:tcW w:w="2859" w:type="dxa"/>
            <w:noWrap/>
            <w:vAlign w:val="center"/>
          </w:tcPr>
          <w:p>
            <w:pPr>
              <w:rPr>
                <w:rFonts w:hint="eastAsia" w:ascii="宋体" w:hAnsi="宋体" w:eastAsia="宋体" w:cs="Times New Roman"/>
                <w:szCs w:val="21"/>
              </w:rPr>
            </w:pPr>
            <w:r>
              <w:rPr>
                <w:rFonts w:hint="eastAsia" w:ascii="宋体" w:hAnsi="宋体" w:eastAsia="宋体" w:cs="Times New Roman"/>
                <w:szCs w:val="21"/>
              </w:rPr>
              <w:t>风机运行安全</w:t>
            </w:r>
          </w:p>
        </w:tc>
        <w:tc>
          <w:tcPr>
            <w:tcW w:w="851" w:type="dxa"/>
            <w:vMerge w:val="continue"/>
            <w:vAlign w:val="center"/>
          </w:tcPr>
          <w:p>
            <w:pPr>
              <w:rPr>
                <w:rFonts w:hint="eastAsia" w:ascii="宋体" w:hAnsi="宋体" w:eastAsia="宋体" w:cs="Times New Roman"/>
                <w:b/>
                <w:bCs/>
                <w:szCs w:val="21"/>
              </w:rPr>
            </w:pPr>
          </w:p>
        </w:tc>
        <w:tc>
          <w:tcPr>
            <w:tcW w:w="3685" w:type="dxa"/>
            <w:vAlign w:val="center"/>
          </w:tcPr>
          <w:p>
            <w:pPr>
              <w:rPr>
                <w:rFonts w:hint="eastAsia" w:ascii="宋体" w:hAnsi="宋体" w:eastAsia="宋体" w:cs="Times New Roman"/>
                <w:szCs w:val="21"/>
              </w:rPr>
            </w:pPr>
            <w:r>
              <w:rPr>
                <w:rFonts w:hint="eastAsia" w:ascii="宋体" w:hAnsi="宋体" w:eastAsia="宋体" w:cs="Times New Roman"/>
                <w:szCs w:val="21"/>
              </w:rPr>
              <w:t>风机驱动装置及叶片的外露部位应装设防护罩；</w:t>
            </w:r>
          </w:p>
        </w:tc>
        <w:tc>
          <w:tcPr>
            <w:tcW w:w="851" w:type="dxa"/>
            <w:vAlign w:val="center"/>
          </w:tcPr>
          <w:p>
            <w:pPr>
              <w:jc w:val="center"/>
              <w:rPr>
                <w:rFonts w:hint="eastAsia" w:ascii="宋体" w:hAnsi="宋体" w:eastAsia="宋体" w:cs="Times New Roman"/>
                <w:szCs w:val="21"/>
              </w:rPr>
            </w:pPr>
            <w:r>
              <w:rPr>
                <w:rFonts w:hint="eastAsia" w:ascii="宋体" w:hAnsi="宋体" w:eastAsia="宋体" w:cs="Times New Roman"/>
                <w:szCs w:val="21"/>
              </w:rPr>
              <w:t>25</w:t>
            </w:r>
          </w:p>
        </w:tc>
        <w:tc>
          <w:tcPr>
            <w:tcW w:w="3260" w:type="dxa"/>
            <w:vAlign w:val="center"/>
          </w:tcPr>
          <w:p>
            <w:pPr>
              <w:rPr>
                <w:rFonts w:hint="eastAsia" w:ascii="宋体" w:hAnsi="宋体" w:eastAsia="宋体" w:cs="Times New Roman"/>
                <w:szCs w:val="21"/>
              </w:rPr>
            </w:pPr>
            <w:r>
              <w:rPr>
                <w:rFonts w:hint="eastAsia" w:ascii="宋体" w:hAnsi="宋体" w:eastAsia="宋体" w:cs="Times New Roman"/>
                <w:szCs w:val="21"/>
              </w:rPr>
              <w:t>现场查看，有合格，没有不合格。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704" w:type="dxa"/>
            <w:vMerge w:val="continue"/>
            <w:vAlign w:val="center"/>
          </w:tcPr>
          <w:p>
            <w:pPr>
              <w:jc w:val="center"/>
              <w:rPr>
                <w:rFonts w:hint="eastAsia" w:ascii="宋体" w:hAnsi="宋体" w:eastAsia="宋体" w:cs="Times New Roman"/>
                <w:szCs w:val="21"/>
              </w:rPr>
            </w:pPr>
          </w:p>
        </w:tc>
        <w:tc>
          <w:tcPr>
            <w:tcW w:w="1677" w:type="dxa"/>
            <w:vMerge w:val="continue"/>
            <w:vAlign w:val="center"/>
          </w:tcPr>
          <w:p>
            <w:pPr>
              <w:rPr>
                <w:rFonts w:hint="eastAsia" w:ascii="宋体" w:hAnsi="宋体" w:eastAsia="宋体" w:cs="Times New Roman"/>
                <w:szCs w:val="21"/>
              </w:rPr>
            </w:pPr>
          </w:p>
        </w:tc>
        <w:tc>
          <w:tcPr>
            <w:tcW w:w="2859" w:type="dxa"/>
            <w:noWrap/>
            <w:vAlign w:val="center"/>
          </w:tcPr>
          <w:p>
            <w:pPr>
              <w:jc w:val="center"/>
              <w:rPr>
                <w:rFonts w:hint="eastAsia" w:ascii="宋体" w:hAnsi="宋体" w:eastAsia="宋体" w:cs="Times New Roman"/>
                <w:b/>
                <w:bCs/>
                <w:szCs w:val="21"/>
              </w:rPr>
            </w:pPr>
            <w:r>
              <w:rPr>
                <w:rFonts w:hint="eastAsia" w:ascii="宋体" w:hAnsi="宋体" w:eastAsia="宋体" w:cs="Times New Roman"/>
                <w:b/>
                <w:bCs/>
                <w:szCs w:val="21"/>
              </w:rPr>
              <w:t>一般项</w:t>
            </w:r>
          </w:p>
        </w:tc>
        <w:tc>
          <w:tcPr>
            <w:tcW w:w="851" w:type="dxa"/>
            <w:vMerge w:val="continue"/>
            <w:vAlign w:val="center"/>
          </w:tcPr>
          <w:p>
            <w:pPr>
              <w:jc w:val="center"/>
              <w:rPr>
                <w:rFonts w:hint="eastAsia" w:ascii="宋体" w:hAnsi="宋体" w:eastAsia="宋体" w:cs="Times New Roman"/>
                <w:b/>
                <w:bCs/>
                <w:szCs w:val="21"/>
              </w:rPr>
            </w:pPr>
          </w:p>
        </w:tc>
        <w:tc>
          <w:tcPr>
            <w:tcW w:w="3685" w:type="dxa"/>
            <w:vAlign w:val="center"/>
          </w:tcPr>
          <w:p>
            <w:pPr>
              <w:jc w:val="center"/>
              <w:rPr>
                <w:rFonts w:hint="eastAsia" w:ascii="宋体" w:hAnsi="宋体" w:eastAsia="宋体" w:cs="Times New Roman"/>
                <w:b/>
                <w:bCs/>
                <w:szCs w:val="21"/>
              </w:rPr>
            </w:pPr>
            <w:r>
              <w:rPr>
                <w:rFonts w:hint="eastAsia" w:ascii="宋体" w:hAnsi="宋体" w:eastAsia="宋体" w:cs="Times New Roman"/>
                <w:b/>
                <w:bCs/>
                <w:szCs w:val="21"/>
              </w:rPr>
              <w:t>一般项评分要点</w:t>
            </w:r>
          </w:p>
        </w:tc>
        <w:tc>
          <w:tcPr>
            <w:tcW w:w="851" w:type="dxa"/>
            <w:vAlign w:val="center"/>
          </w:tcPr>
          <w:p>
            <w:pPr>
              <w:jc w:val="center"/>
              <w:rPr>
                <w:rFonts w:hint="eastAsia" w:ascii="宋体" w:hAnsi="宋体" w:eastAsia="宋体" w:cs="Times New Roman"/>
                <w:b/>
                <w:bCs/>
                <w:szCs w:val="21"/>
              </w:rPr>
            </w:pPr>
            <w:r>
              <w:rPr>
                <w:rFonts w:hint="eastAsia" w:ascii="宋体" w:hAnsi="宋体" w:eastAsia="宋体" w:cs="Times New Roman"/>
                <w:b/>
                <w:bCs/>
                <w:szCs w:val="21"/>
              </w:rPr>
              <w:t>评分</w:t>
            </w:r>
          </w:p>
        </w:tc>
        <w:tc>
          <w:tcPr>
            <w:tcW w:w="3260" w:type="dxa"/>
            <w:vAlign w:val="center"/>
          </w:tcPr>
          <w:p>
            <w:pPr>
              <w:jc w:val="center"/>
              <w:rPr>
                <w:rFonts w:hint="eastAsia" w:ascii="宋体" w:hAnsi="宋体" w:eastAsia="宋体" w:cs="Times New Roman"/>
                <w:b/>
                <w:bCs/>
                <w:szCs w:val="21"/>
              </w:rPr>
            </w:pPr>
            <w:r>
              <w:rPr>
                <w:rFonts w:hint="eastAsia" w:ascii="宋体" w:hAnsi="宋体" w:eastAsia="宋体" w:cs="Times New Roman"/>
                <w:b/>
                <w:bCs/>
                <w:szCs w:val="21"/>
              </w:rPr>
              <w:t>评定方法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704" w:type="dxa"/>
            <w:vMerge w:val="continue"/>
            <w:vAlign w:val="center"/>
          </w:tcPr>
          <w:p>
            <w:pPr>
              <w:jc w:val="center"/>
              <w:rPr>
                <w:rFonts w:hint="eastAsia" w:ascii="宋体" w:hAnsi="宋体" w:eastAsia="宋体" w:cs="Times New Roman"/>
                <w:szCs w:val="21"/>
              </w:rPr>
            </w:pPr>
          </w:p>
        </w:tc>
        <w:tc>
          <w:tcPr>
            <w:tcW w:w="1677" w:type="dxa"/>
            <w:vMerge w:val="continue"/>
            <w:vAlign w:val="center"/>
          </w:tcPr>
          <w:p>
            <w:pPr>
              <w:rPr>
                <w:rFonts w:hint="eastAsia" w:ascii="宋体" w:hAnsi="宋体" w:eastAsia="宋体" w:cs="Times New Roman"/>
                <w:szCs w:val="21"/>
              </w:rPr>
            </w:pPr>
          </w:p>
        </w:tc>
        <w:tc>
          <w:tcPr>
            <w:tcW w:w="2859" w:type="dxa"/>
            <w:noWrap/>
            <w:vAlign w:val="center"/>
          </w:tcPr>
          <w:p>
            <w:pPr>
              <w:rPr>
                <w:rFonts w:hint="eastAsia" w:ascii="宋体" w:hAnsi="宋体" w:eastAsia="宋体" w:cs="Times New Roman"/>
                <w:szCs w:val="21"/>
              </w:rPr>
            </w:pPr>
            <w:r>
              <w:rPr>
                <w:rFonts w:hint="eastAsia" w:ascii="宋体" w:hAnsi="宋体" w:eastAsia="宋体" w:cs="Times New Roman"/>
                <w:szCs w:val="21"/>
              </w:rPr>
              <w:t>风机检修通道</w:t>
            </w:r>
          </w:p>
        </w:tc>
        <w:tc>
          <w:tcPr>
            <w:tcW w:w="851" w:type="dxa"/>
            <w:vMerge w:val="continue"/>
            <w:vAlign w:val="center"/>
          </w:tcPr>
          <w:p>
            <w:pPr>
              <w:rPr>
                <w:rFonts w:hint="eastAsia" w:ascii="宋体" w:hAnsi="宋体" w:eastAsia="宋体" w:cs="Times New Roman"/>
                <w:b/>
                <w:bCs/>
                <w:szCs w:val="21"/>
              </w:rPr>
            </w:pPr>
          </w:p>
        </w:tc>
        <w:tc>
          <w:tcPr>
            <w:tcW w:w="3685" w:type="dxa"/>
            <w:vAlign w:val="center"/>
          </w:tcPr>
          <w:p>
            <w:pPr>
              <w:rPr>
                <w:rFonts w:hint="eastAsia" w:ascii="宋体" w:hAnsi="宋体" w:eastAsia="宋体" w:cs="Times New Roman"/>
                <w:szCs w:val="21"/>
              </w:rPr>
            </w:pPr>
            <w:r>
              <w:rPr>
                <w:rFonts w:hint="eastAsia" w:ascii="宋体" w:hAnsi="宋体" w:eastAsia="宋体" w:cs="Times New Roman"/>
                <w:szCs w:val="21"/>
              </w:rPr>
              <w:t>风机外壳至墙壁或其他设备的距离不应小于600mm。</w:t>
            </w:r>
          </w:p>
        </w:tc>
        <w:tc>
          <w:tcPr>
            <w:tcW w:w="851" w:type="dxa"/>
            <w:vAlign w:val="center"/>
          </w:tcPr>
          <w:p>
            <w:pPr>
              <w:jc w:val="center"/>
              <w:rPr>
                <w:rFonts w:hint="eastAsia" w:ascii="宋体" w:hAnsi="宋体" w:eastAsia="宋体" w:cs="Times New Roman"/>
                <w:szCs w:val="21"/>
              </w:rPr>
            </w:pPr>
            <w:r>
              <w:rPr>
                <w:rFonts w:hint="eastAsia" w:ascii="宋体" w:hAnsi="宋体" w:eastAsia="宋体" w:cs="Times New Roman"/>
                <w:szCs w:val="21"/>
              </w:rPr>
              <w:t>5</w:t>
            </w:r>
          </w:p>
        </w:tc>
        <w:tc>
          <w:tcPr>
            <w:tcW w:w="3260" w:type="dxa"/>
            <w:vAlign w:val="center"/>
          </w:tcPr>
          <w:p>
            <w:pPr>
              <w:rPr>
                <w:rFonts w:hint="eastAsia" w:ascii="宋体" w:hAnsi="宋体" w:eastAsia="宋体" w:cs="Times New Roman"/>
                <w:szCs w:val="21"/>
              </w:rPr>
            </w:pPr>
            <w:r>
              <w:rPr>
                <w:rFonts w:hint="eastAsia" w:ascii="宋体" w:hAnsi="宋体" w:eastAsia="宋体" w:cs="Times New Roman"/>
                <w:szCs w:val="21"/>
              </w:rPr>
              <w:t>现场查看尺量，根据结果打分。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704" w:type="dxa"/>
            <w:vMerge w:val="continue"/>
            <w:vAlign w:val="center"/>
          </w:tcPr>
          <w:p>
            <w:pPr>
              <w:jc w:val="center"/>
              <w:rPr>
                <w:rFonts w:hint="eastAsia" w:ascii="宋体" w:hAnsi="宋体" w:eastAsia="宋体" w:cs="Times New Roman"/>
                <w:szCs w:val="21"/>
              </w:rPr>
            </w:pPr>
          </w:p>
        </w:tc>
        <w:tc>
          <w:tcPr>
            <w:tcW w:w="1677" w:type="dxa"/>
            <w:vMerge w:val="continue"/>
            <w:vAlign w:val="center"/>
          </w:tcPr>
          <w:p>
            <w:pPr>
              <w:rPr>
                <w:rFonts w:hint="eastAsia" w:ascii="宋体" w:hAnsi="宋体" w:eastAsia="宋体" w:cs="Times New Roman"/>
                <w:szCs w:val="21"/>
              </w:rPr>
            </w:pPr>
          </w:p>
        </w:tc>
        <w:tc>
          <w:tcPr>
            <w:tcW w:w="2859" w:type="dxa"/>
            <w:noWrap/>
            <w:vAlign w:val="center"/>
          </w:tcPr>
          <w:p>
            <w:pPr>
              <w:rPr>
                <w:rFonts w:hint="eastAsia" w:ascii="宋体" w:hAnsi="宋体" w:eastAsia="宋体" w:cs="Times New Roman"/>
                <w:szCs w:val="21"/>
              </w:rPr>
            </w:pPr>
            <w:r>
              <w:rPr>
                <w:rFonts w:hint="eastAsia" w:ascii="宋体" w:hAnsi="宋体" w:eastAsia="宋体" w:cs="Times New Roman"/>
                <w:szCs w:val="21"/>
              </w:rPr>
              <w:t>风机进风口</w:t>
            </w:r>
          </w:p>
        </w:tc>
        <w:tc>
          <w:tcPr>
            <w:tcW w:w="851" w:type="dxa"/>
            <w:vMerge w:val="continue"/>
            <w:vAlign w:val="center"/>
          </w:tcPr>
          <w:p>
            <w:pPr>
              <w:rPr>
                <w:rFonts w:hint="eastAsia" w:ascii="宋体" w:hAnsi="宋体" w:eastAsia="宋体" w:cs="Times New Roman"/>
                <w:b/>
                <w:bCs/>
                <w:szCs w:val="21"/>
              </w:rPr>
            </w:pPr>
          </w:p>
        </w:tc>
        <w:tc>
          <w:tcPr>
            <w:tcW w:w="3685" w:type="dxa"/>
            <w:vAlign w:val="center"/>
          </w:tcPr>
          <w:p>
            <w:pPr>
              <w:rPr>
                <w:rFonts w:hint="eastAsia" w:ascii="宋体" w:hAnsi="宋体" w:eastAsia="宋体" w:cs="Times New Roman"/>
                <w:szCs w:val="21"/>
              </w:rPr>
            </w:pPr>
            <w:r>
              <w:rPr>
                <w:rFonts w:hint="eastAsia" w:ascii="宋体" w:hAnsi="宋体" w:eastAsia="宋体" w:cs="Times New Roman"/>
                <w:szCs w:val="21"/>
              </w:rPr>
              <w:t>直通大气的进出风口应装设防护网或采取其它安全设施，并应设防雨措施。</w:t>
            </w:r>
          </w:p>
        </w:tc>
        <w:tc>
          <w:tcPr>
            <w:tcW w:w="851" w:type="dxa"/>
            <w:vAlign w:val="center"/>
          </w:tcPr>
          <w:p>
            <w:pPr>
              <w:jc w:val="center"/>
              <w:rPr>
                <w:rFonts w:hint="eastAsia" w:ascii="宋体" w:hAnsi="宋体" w:eastAsia="宋体" w:cs="Times New Roman"/>
                <w:szCs w:val="21"/>
              </w:rPr>
            </w:pPr>
            <w:r>
              <w:rPr>
                <w:rFonts w:hint="eastAsia" w:ascii="宋体" w:hAnsi="宋体" w:eastAsia="宋体" w:cs="Times New Roman"/>
                <w:szCs w:val="21"/>
              </w:rPr>
              <w:t>5</w:t>
            </w:r>
          </w:p>
        </w:tc>
        <w:tc>
          <w:tcPr>
            <w:tcW w:w="3260" w:type="dxa"/>
            <w:vAlign w:val="center"/>
          </w:tcPr>
          <w:p>
            <w:pPr>
              <w:rPr>
                <w:rFonts w:hint="eastAsia" w:ascii="宋体" w:hAnsi="宋体" w:eastAsia="宋体" w:cs="Times New Roman"/>
                <w:szCs w:val="21"/>
              </w:rPr>
            </w:pPr>
            <w:r>
              <w:rPr>
                <w:rFonts w:hint="eastAsia" w:ascii="宋体" w:hAnsi="宋体" w:eastAsia="宋体" w:cs="Times New Roman"/>
                <w:szCs w:val="21"/>
              </w:rPr>
              <w:t>现场查看，根据现场质量打分。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704" w:type="dxa"/>
            <w:vMerge w:val="restart"/>
            <w:noWrap/>
            <w:vAlign w:val="center"/>
          </w:tcPr>
          <w:p>
            <w:pPr>
              <w:jc w:val="center"/>
              <w:rPr>
                <w:rFonts w:hint="eastAsia" w:ascii="宋体" w:hAnsi="宋体" w:eastAsia="宋体" w:cs="Times New Roman"/>
                <w:szCs w:val="21"/>
              </w:rPr>
            </w:pPr>
            <w:r>
              <w:rPr>
                <w:rFonts w:hint="eastAsia" w:ascii="宋体" w:hAnsi="宋体" w:eastAsia="宋体" w:cs="Times New Roman"/>
                <w:szCs w:val="21"/>
              </w:rPr>
              <w:t>7</w:t>
            </w:r>
          </w:p>
        </w:tc>
        <w:tc>
          <w:tcPr>
            <w:tcW w:w="1677" w:type="dxa"/>
            <w:vMerge w:val="restart"/>
            <w:vAlign w:val="center"/>
          </w:tcPr>
          <w:p>
            <w:pPr>
              <w:rPr>
                <w:rFonts w:hint="eastAsia" w:ascii="宋体" w:hAnsi="宋体" w:eastAsia="宋体" w:cs="Times New Roman"/>
                <w:szCs w:val="21"/>
              </w:rPr>
            </w:pPr>
            <w:r>
              <w:rPr>
                <w:rFonts w:hint="eastAsia" w:ascii="宋体" w:hAnsi="宋体" w:eastAsia="宋体" w:cs="Times New Roman"/>
                <w:szCs w:val="21"/>
              </w:rPr>
              <w:t>H抗震支吊架</w:t>
            </w:r>
          </w:p>
        </w:tc>
        <w:tc>
          <w:tcPr>
            <w:tcW w:w="2859" w:type="dxa"/>
            <w:noWrap/>
            <w:vAlign w:val="center"/>
          </w:tcPr>
          <w:p>
            <w:pPr>
              <w:jc w:val="center"/>
              <w:rPr>
                <w:rFonts w:hint="eastAsia" w:ascii="宋体" w:hAnsi="宋体" w:eastAsia="宋体" w:cs="Times New Roman"/>
                <w:b/>
                <w:bCs/>
                <w:szCs w:val="21"/>
              </w:rPr>
            </w:pPr>
            <w:r>
              <w:rPr>
                <w:rFonts w:hint="eastAsia" w:ascii="宋体" w:hAnsi="宋体" w:eastAsia="宋体" w:cs="Times New Roman"/>
                <w:b/>
                <w:bCs/>
                <w:szCs w:val="21"/>
              </w:rPr>
              <w:t>主控项</w:t>
            </w:r>
          </w:p>
        </w:tc>
        <w:tc>
          <w:tcPr>
            <w:tcW w:w="851" w:type="dxa"/>
            <w:vMerge w:val="restart"/>
            <w:vAlign w:val="center"/>
          </w:tcPr>
          <w:p>
            <w:pPr>
              <w:jc w:val="center"/>
              <w:rPr>
                <w:rFonts w:hint="eastAsia" w:ascii="宋体" w:hAnsi="宋体" w:eastAsia="宋体" w:cs="Times New Roman"/>
                <w:szCs w:val="21"/>
              </w:rPr>
            </w:pPr>
            <w:r>
              <w:rPr>
                <w:rFonts w:hint="eastAsia" w:ascii="宋体" w:hAnsi="宋体" w:eastAsia="宋体" w:cs="Times New Roman"/>
                <w:szCs w:val="21"/>
              </w:rPr>
              <w:t>0.05</w:t>
            </w:r>
          </w:p>
        </w:tc>
        <w:tc>
          <w:tcPr>
            <w:tcW w:w="3685" w:type="dxa"/>
            <w:vAlign w:val="center"/>
          </w:tcPr>
          <w:p>
            <w:pPr>
              <w:jc w:val="center"/>
              <w:rPr>
                <w:rFonts w:hint="eastAsia" w:ascii="宋体" w:hAnsi="宋体" w:eastAsia="宋体" w:cs="Times New Roman"/>
                <w:b/>
                <w:bCs/>
                <w:szCs w:val="21"/>
              </w:rPr>
            </w:pPr>
            <w:r>
              <w:rPr>
                <w:rFonts w:hint="eastAsia" w:ascii="宋体" w:hAnsi="宋体" w:eastAsia="宋体" w:cs="Times New Roman"/>
                <w:b/>
                <w:bCs/>
                <w:szCs w:val="21"/>
              </w:rPr>
              <w:t>主控项评分要点</w:t>
            </w:r>
          </w:p>
        </w:tc>
        <w:tc>
          <w:tcPr>
            <w:tcW w:w="851" w:type="dxa"/>
            <w:vAlign w:val="center"/>
          </w:tcPr>
          <w:p>
            <w:pPr>
              <w:jc w:val="center"/>
              <w:rPr>
                <w:rFonts w:hint="eastAsia" w:ascii="宋体" w:hAnsi="宋体" w:eastAsia="宋体" w:cs="Times New Roman"/>
                <w:b/>
                <w:bCs/>
                <w:szCs w:val="21"/>
              </w:rPr>
            </w:pPr>
            <w:r>
              <w:rPr>
                <w:rFonts w:hint="eastAsia" w:ascii="宋体" w:hAnsi="宋体" w:eastAsia="宋体" w:cs="Times New Roman"/>
                <w:b/>
                <w:bCs/>
                <w:szCs w:val="21"/>
              </w:rPr>
              <w:t>评分</w:t>
            </w:r>
          </w:p>
        </w:tc>
        <w:tc>
          <w:tcPr>
            <w:tcW w:w="3260" w:type="dxa"/>
            <w:vAlign w:val="center"/>
          </w:tcPr>
          <w:p>
            <w:pPr>
              <w:jc w:val="center"/>
              <w:rPr>
                <w:rFonts w:hint="eastAsia" w:ascii="宋体" w:hAnsi="宋体" w:eastAsia="宋体" w:cs="Times New Roman"/>
                <w:b/>
                <w:bCs/>
                <w:szCs w:val="21"/>
              </w:rPr>
            </w:pPr>
            <w:r>
              <w:rPr>
                <w:rFonts w:hint="eastAsia" w:ascii="宋体" w:hAnsi="宋体" w:eastAsia="宋体" w:cs="Times New Roman"/>
                <w:b/>
                <w:bCs/>
                <w:szCs w:val="21"/>
              </w:rPr>
              <w:t>评定方法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704" w:type="dxa"/>
            <w:vMerge w:val="continue"/>
            <w:vAlign w:val="center"/>
          </w:tcPr>
          <w:p>
            <w:pPr>
              <w:jc w:val="center"/>
              <w:rPr>
                <w:rFonts w:hint="eastAsia" w:ascii="宋体" w:hAnsi="宋体" w:eastAsia="宋体" w:cs="Times New Roman"/>
                <w:szCs w:val="21"/>
              </w:rPr>
            </w:pPr>
          </w:p>
        </w:tc>
        <w:tc>
          <w:tcPr>
            <w:tcW w:w="1677" w:type="dxa"/>
            <w:vMerge w:val="continue"/>
            <w:vAlign w:val="center"/>
          </w:tcPr>
          <w:p>
            <w:pPr>
              <w:rPr>
                <w:rFonts w:hint="eastAsia" w:ascii="宋体" w:hAnsi="宋体" w:eastAsia="宋体" w:cs="Times New Roman"/>
                <w:szCs w:val="21"/>
              </w:rPr>
            </w:pPr>
          </w:p>
        </w:tc>
        <w:tc>
          <w:tcPr>
            <w:tcW w:w="2859" w:type="dxa"/>
            <w:noWrap/>
            <w:vAlign w:val="center"/>
          </w:tcPr>
          <w:p>
            <w:pPr>
              <w:rPr>
                <w:rFonts w:hint="eastAsia" w:ascii="宋体" w:hAnsi="宋体" w:eastAsia="宋体" w:cs="Times New Roman"/>
                <w:szCs w:val="21"/>
              </w:rPr>
            </w:pPr>
            <w:r>
              <w:rPr>
                <w:rFonts w:hint="eastAsia" w:ascii="宋体" w:hAnsi="宋体" w:eastAsia="宋体" w:cs="Times New Roman"/>
                <w:szCs w:val="21"/>
              </w:rPr>
              <w:t>数量</w:t>
            </w:r>
          </w:p>
        </w:tc>
        <w:tc>
          <w:tcPr>
            <w:tcW w:w="851" w:type="dxa"/>
            <w:vMerge w:val="continue"/>
            <w:vAlign w:val="center"/>
          </w:tcPr>
          <w:p>
            <w:pPr>
              <w:rPr>
                <w:rFonts w:hint="eastAsia" w:ascii="宋体" w:hAnsi="宋体" w:eastAsia="宋体" w:cs="Times New Roman"/>
                <w:szCs w:val="21"/>
              </w:rPr>
            </w:pPr>
          </w:p>
        </w:tc>
        <w:tc>
          <w:tcPr>
            <w:tcW w:w="3685" w:type="dxa"/>
            <w:noWrap/>
            <w:vAlign w:val="center"/>
          </w:tcPr>
          <w:p>
            <w:pPr>
              <w:rPr>
                <w:rFonts w:hint="eastAsia" w:ascii="宋体" w:hAnsi="宋体" w:eastAsia="宋体" w:cs="Times New Roman"/>
                <w:szCs w:val="21"/>
              </w:rPr>
            </w:pPr>
            <w:r>
              <w:rPr>
                <w:rFonts w:hint="eastAsia" w:ascii="宋体" w:hAnsi="宋体" w:eastAsia="宋体" w:cs="Times New Roman"/>
                <w:szCs w:val="21"/>
              </w:rPr>
              <w:t>数量符合设计文件规定；</w:t>
            </w:r>
          </w:p>
        </w:tc>
        <w:tc>
          <w:tcPr>
            <w:tcW w:w="851" w:type="dxa"/>
            <w:vAlign w:val="center"/>
          </w:tcPr>
          <w:p>
            <w:pPr>
              <w:jc w:val="center"/>
              <w:rPr>
                <w:rFonts w:hint="eastAsia" w:ascii="宋体" w:hAnsi="宋体" w:eastAsia="宋体" w:cs="Times New Roman"/>
                <w:szCs w:val="21"/>
              </w:rPr>
            </w:pPr>
            <w:r>
              <w:rPr>
                <w:rFonts w:hint="eastAsia" w:ascii="宋体" w:hAnsi="宋体" w:eastAsia="宋体" w:cs="Times New Roman"/>
                <w:szCs w:val="21"/>
              </w:rPr>
              <w:t>10</w:t>
            </w:r>
          </w:p>
        </w:tc>
        <w:tc>
          <w:tcPr>
            <w:tcW w:w="3260" w:type="dxa"/>
            <w:vAlign w:val="center"/>
          </w:tcPr>
          <w:p>
            <w:pPr>
              <w:rPr>
                <w:rFonts w:hint="eastAsia" w:ascii="宋体" w:hAnsi="宋体" w:eastAsia="宋体" w:cs="Times New Roman"/>
                <w:szCs w:val="21"/>
              </w:rPr>
            </w:pPr>
            <w:r>
              <w:rPr>
                <w:rFonts w:hint="eastAsia" w:ascii="宋体" w:hAnsi="宋体" w:eastAsia="宋体" w:cs="Times New Roman"/>
                <w:szCs w:val="21"/>
              </w:rPr>
              <w:t>1.全数检查；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704" w:type="dxa"/>
            <w:vMerge w:val="continue"/>
            <w:vAlign w:val="center"/>
          </w:tcPr>
          <w:p>
            <w:pPr>
              <w:jc w:val="center"/>
              <w:rPr>
                <w:rFonts w:hint="eastAsia" w:ascii="宋体" w:hAnsi="宋体" w:eastAsia="宋体" w:cs="Times New Roman"/>
                <w:szCs w:val="21"/>
              </w:rPr>
            </w:pPr>
          </w:p>
        </w:tc>
        <w:tc>
          <w:tcPr>
            <w:tcW w:w="1677" w:type="dxa"/>
            <w:vMerge w:val="continue"/>
            <w:vAlign w:val="center"/>
          </w:tcPr>
          <w:p>
            <w:pPr>
              <w:rPr>
                <w:rFonts w:hint="eastAsia" w:ascii="宋体" w:hAnsi="宋体" w:eastAsia="宋体" w:cs="Times New Roman"/>
                <w:szCs w:val="21"/>
              </w:rPr>
            </w:pPr>
          </w:p>
        </w:tc>
        <w:tc>
          <w:tcPr>
            <w:tcW w:w="2859" w:type="dxa"/>
            <w:noWrap/>
            <w:vAlign w:val="center"/>
          </w:tcPr>
          <w:p>
            <w:pPr>
              <w:rPr>
                <w:rFonts w:hint="eastAsia" w:ascii="宋体" w:hAnsi="宋体" w:eastAsia="宋体" w:cs="Times New Roman"/>
                <w:szCs w:val="21"/>
              </w:rPr>
            </w:pPr>
            <w:r>
              <w:rPr>
                <w:rFonts w:hint="eastAsia" w:ascii="宋体" w:hAnsi="宋体" w:eastAsia="宋体" w:cs="Times New Roman"/>
                <w:szCs w:val="21"/>
              </w:rPr>
              <w:t>位置</w:t>
            </w:r>
          </w:p>
        </w:tc>
        <w:tc>
          <w:tcPr>
            <w:tcW w:w="851" w:type="dxa"/>
            <w:vMerge w:val="continue"/>
            <w:vAlign w:val="center"/>
          </w:tcPr>
          <w:p>
            <w:pPr>
              <w:rPr>
                <w:rFonts w:hint="eastAsia" w:ascii="宋体" w:hAnsi="宋体" w:eastAsia="宋体" w:cs="Times New Roman"/>
                <w:szCs w:val="21"/>
              </w:rPr>
            </w:pPr>
          </w:p>
        </w:tc>
        <w:tc>
          <w:tcPr>
            <w:tcW w:w="3685" w:type="dxa"/>
            <w:noWrap/>
            <w:vAlign w:val="center"/>
          </w:tcPr>
          <w:p>
            <w:pPr>
              <w:rPr>
                <w:rFonts w:hint="eastAsia" w:ascii="宋体" w:hAnsi="宋体" w:eastAsia="宋体" w:cs="Times New Roman"/>
                <w:szCs w:val="21"/>
              </w:rPr>
            </w:pPr>
            <w:r>
              <w:rPr>
                <w:rFonts w:hint="eastAsia" w:ascii="宋体" w:hAnsi="宋体" w:eastAsia="宋体" w:cs="Times New Roman"/>
                <w:szCs w:val="21"/>
              </w:rPr>
              <w:t>位置符合设计文件规定；</w:t>
            </w:r>
          </w:p>
        </w:tc>
        <w:tc>
          <w:tcPr>
            <w:tcW w:w="851" w:type="dxa"/>
            <w:vAlign w:val="center"/>
          </w:tcPr>
          <w:p>
            <w:pPr>
              <w:jc w:val="center"/>
              <w:rPr>
                <w:rFonts w:hint="eastAsia" w:ascii="宋体" w:hAnsi="宋体" w:eastAsia="宋体" w:cs="Times New Roman"/>
                <w:szCs w:val="21"/>
              </w:rPr>
            </w:pPr>
            <w:r>
              <w:rPr>
                <w:rFonts w:hint="eastAsia" w:ascii="宋体" w:hAnsi="宋体" w:eastAsia="宋体" w:cs="Times New Roman"/>
                <w:szCs w:val="21"/>
              </w:rPr>
              <w:t>10</w:t>
            </w:r>
          </w:p>
        </w:tc>
        <w:tc>
          <w:tcPr>
            <w:tcW w:w="3260" w:type="dxa"/>
            <w:vAlign w:val="center"/>
          </w:tcPr>
          <w:p>
            <w:pPr>
              <w:rPr>
                <w:rFonts w:hint="eastAsia" w:ascii="宋体" w:hAnsi="宋体" w:eastAsia="宋体" w:cs="Times New Roman"/>
                <w:szCs w:val="21"/>
              </w:rPr>
            </w:pPr>
            <w:r>
              <w:rPr>
                <w:rFonts w:hint="eastAsia" w:ascii="宋体" w:hAnsi="宋体" w:eastAsia="宋体" w:cs="Times New Roman"/>
                <w:szCs w:val="21"/>
              </w:rPr>
              <w:t>2.每检验批总数量的10%，且不少于3套；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704" w:type="dxa"/>
            <w:vMerge w:val="continue"/>
            <w:vAlign w:val="center"/>
          </w:tcPr>
          <w:p>
            <w:pPr>
              <w:jc w:val="center"/>
              <w:rPr>
                <w:rFonts w:hint="eastAsia" w:ascii="宋体" w:hAnsi="宋体" w:eastAsia="宋体" w:cs="Times New Roman"/>
                <w:szCs w:val="21"/>
              </w:rPr>
            </w:pPr>
          </w:p>
        </w:tc>
        <w:tc>
          <w:tcPr>
            <w:tcW w:w="1677" w:type="dxa"/>
            <w:vMerge w:val="continue"/>
            <w:vAlign w:val="center"/>
          </w:tcPr>
          <w:p>
            <w:pPr>
              <w:rPr>
                <w:rFonts w:hint="eastAsia" w:ascii="宋体" w:hAnsi="宋体" w:eastAsia="宋体" w:cs="Times New Roman"/>
                <w:szCs w:val="21"/>
              </w:rPr>
            </w:pPr>
          </w:p>
        </w:tc>
        <w:tc>
          <w:tcPr>
            <w:tcW w:w="2859" w:type="dxa"/>
            <w:noWrap/>
            <w:vAlign w:val="center"/>
          </w:tcPr>
          <w:p>
            <w:pPr>
              <w:rPr>
                <w:rFonts w:hint="eastAsia" w:ascii="宋体" w:hAnsi="宋体" w:eastAsia="宋体" w:cs="Times New Roman"/>
                <w:szCs w:val="21"/>
              </w:rPr>
            </w:pPr>
            <w:r>
              <w:rPr>
                <w:rFonts w:hint="eastAsia" w:ascii="宋体" w:hAnsi="宋体" w:eastAsia="宋体" w:cs="Times New Roman"/>
                <w:szCs w:val="21"/>
              </w:rPr>
              <w:t>规格型号和配件选型</w:t>
            </w:r>
          </w:p>
        </w:tc>
        <w:tc>
          <w:tcPr>
            <w:tcW w:w="851" w:type="dxa"/>
            <w:vMerge w:val="continue"/>
            <w:vAlign w:val="center"/>
          </w:tcPr>
          <w:p>
            <w:pPr>
              <w:rPr>
                <w:rFonts w:hint="eastAsia" w:ascii="宋体" w:hAnsi="宋体" w:eastAsia="宋体" w:cs="Times New Roman"/>
                <w:szCs w:val="21"/>
              </w:rPr>
            </w:pPr>
          </w:p>
        </w:tc>
        <w:tc>
          <w:tcPr>
            <w:tcW w:w="3685" w:type="dxa"/>
            <w:noWrap/>
            <w:vAlign w:val="center"/>
          </w:tcPr>
          <w:p>
            <w:pPr>
              <w:rPr>
                <w:rFonts w:hint="eastAsia" w:ascii="宋体" w:hAnsi="宋体" w:eastAsia="宋体" w:cs="Times New Roman"/>
                <w:szCs w:val="21"/>
              </w:rPr>
            </w:pPr>
            <w:r>
              <w:rPr>
                <w:rFonts w:hint="eastAsia" w:ascii="宋体" w:hAnsi="宋体" w:eastAsia="宋体" w:cs="Times New Roman"/>
                <w:szCs w:val="21"/>
              </w:rPr>
              <w:t>1.规格型号符合图纸规定；2.配件选型应符合图纸的规定；</w:t>
            </w:r>
          </w:p>
        </w:tc>
        <w:tc>
          <w:tcPr>
            <w:tcW w:w="851" w:type="dxa"/>
            <w:vAlign w:val="center"/>
          </w:tcPr>
          <w:p>
            <w:pPr>
              <w:jc w:val="center"/>
              <w:rPr>
                <w:rFonts w:hint="eastAsia" w:ascii="宋体" w:hAnsi="宋体" w:eastAsia="宋体" w:cs="Times New Roman"/>
                <w:szCs w:val="21"/>
              </w:rPr>
            </w:pPr>
            <w:r>
              <w:rPr>
                <w:rFonts w:hint="eastAsia" w:ascii="宋体" w:hAnsi="宋体" w:eastAsia="宋体" w:cs="Times New Roman"/>
                <w:szCs w:val="21"/>
              </w:rPr>
              <w:t>10</w:t>
            </w:r>
          </w:p>
        </w:tc>
        <w:tc>
          <w:tcPr>
            <w:tcW w:w="3260" w:type="dxa"/>
            <w:vAlign w:val="center"/>
          </w:tcPr>
          <w:p>
            <w:pPr>
              <w:rPr>
                <w:rFonts w:hint="eastAsia" w:ascii="宋体" w:hAnsi="宋体" w:eastAsia="宋体" w:cs="Times New Roman"/>
                <w:szCs w:val="21"/>
              </w:rPr>
            </w:pPr>
            <w:r>
              <w:rPr>
                <w:rFonts w:hint="eastAsia" w:ascii="宋体" w:hAnsi="宋体" w:eastAsia="宋体" w:cs="Times New Roman"/>
                <w:szCs w:val="21"/>
              </w:rPr>
              <w:t>3.全数检查；4.每检验批总数量的10%，且不少于3套；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704" w:type="dxa"/>
            <w:vMerge w:val="continue"/>
            <w:vAlign w:val="center"/>
          </w:tcPr>
          <w:p>
            <w:pPr>
              <w:jc w:val="center"/>
              <w:rPr>
                <w:rFonts w:hint="eastAsia" w:ascii="宋体" w:hAnsi="宋体" w:eastAsia="宋体" w:cs="Times New Roman"/>
                <w:szCs w:val="21"/>
              </w:rPr>
            </w:pPr>
          </w:p>
        </w:tc>
        <w:tc>
          <w:tcPr>
            <w:tcW w:w="1677" w:type="dxa"/>
            <w:vMerge w:val="continue"/>
            <w:vAlign w:val="center"/>
          </w:tcPr>
          <w:p>
            <w:pPr>
              <w:rPr>
                <w:rFonts w:hint="eastAsia" w:ascii="宋体" w:hAnsi="宋体" w:eastAsia="宋体" w:cs="Times New Roman"/>
                <w:szCs w:val="21"/>
              </w:rPr>
            </w:pPr>
          </w:p>
        </w:tc>
        <w:tc>
          <w:tcPr>
            <w:tcW w:w="2859" w:type="dxa"/>
            <w:noWrap/>
            <w:vAlign w:val="center"/>
          </w:tcPr>
          <w:p>
            <w:pPr>
              <w:rPr>
                <w:rFonts w:hint="eastAsia" w:ascii="宋体" w:hAnsi="宋体" w:eastAsia="宋体" w:cs="Times New Roman"/>
                <w:szCs w:val="21"/>
              </w:rPr>
            </w:pPr>
            <w:r>
              <w:rPr>
                <w:rFonts w:hint="eastAsia" w:ascii="宋体" w:hAnsi="宋体" w:eastAsia="宋体" w:cs="Times New Roman"/>
                <w:szCs w:val="21"/>
              </w:rPr>
              <w:t>安装距离和角度</w:t>
            </w:r>
          </w:p>
        </w:tc>
        <w:tc>
          <w:tcPr>
            <w:tcW w:w="851" w:type="dxa"/>
            <w:vMerge w:val="continue"/>
            <w:vAlign w:val="center"/>
          </w:tcPr>
          <w:p>
            <w:pPr>
              <w:rPr>
                <w:rFonts w:hint="eastAsia" w:ascii="宋体" w:hAnsi="宋体" w:eastAsia="宋体" w:cs="Times New Roman"/>
                <w:szCs w:val="21"/>
              </w:rPr>
            </w:pPr>
          </w:p>
        </w:tc>
        <w:tc>
          <w:tcPr>
            <w:tcW w:w="3685" w:type="dxa"/>
            <w:vAlign w:val="center"/>
          </w:tcPr>
          <w:p>
            <w:pPr>
              <w:rPr>
                <w:rFonts w:hint="eastAsia" w:ascii="宋体" w:hAnsi="宋体" w:eastAsia="宋体" w:cs="Times New Roman"/>
                <w:szCs w:val="21"/>
              </w:rPr>
            </w:pPr>
            <w:r>
              <w:rPr>
                <w:rFonts w:hint="eastAsia" w:ascii="宋体" w:hAnsi="宋体" w:eastAsia="宋体" w:cs="Times New Roman"/>
                <w:szCs w:val="21"/>
              </w:rPr>
              <w:t>1.抗震斜撑与吊架安装距离符合设计文件规定；2.抗震斜撑竖向安装角度应符合设计文件的规定，且不得小于30°；</w:t>
            </w:r>
          </w:p>
        </w:tc>
        <w:tc>
          <w:tcPr>
            <w:tcW w:w="851" w:type="dxa"/>
            <w:vAlign w:val="center"/>
          </w:tcPr>
          <w:p>
            <w:pPr>
              <w:jc w:val="center"/>
              <w:rPr>
                <w:rFonts w:hint="eastAsia" w:ascii="宋体" w:hAnsi="宋体" w:eastAsia="宋体" w:cs="Times New Roman"/>
                <w:szCs w:val="21"/>
              </w:rPr>
            </w:pPr>
            <w:r>
              <w:rPr>
                <w:rFonts w:hint="eastAsia" w:ascii="宋体" w:hAnsi="宋体" w:eastAsia="宋体" w:cs="Times New Roman"/>
                <w:szCs w:val="21"/>
              </w:rPr>
              <w:t>10</w:t>
            </w:r>
          </w:p>
        </w:tc>
        <w:tc>
          <w:tcPr>
            <w:tcW w:w="3260" w:type="dxa"/>
            <w:vAlign w:val="center"/>
          </w:tcPr>
          <w:p>
            <w:pPr>
              <w:rPr>
                <w:rFonts w:hint="eastAsia" w:ascii="宋体" w:hAnsi="宋体" w:eastAsia="宋体" w:cs="Times New Roman"/>
                <w:szCs w:val="21"/>
              </w:rPr>
            </w:pPr>
            <w:r>
              <w:rPr>
                <w:rFonts w:hint="eastAsia" w:ascii="宋体" w:hAnsi="宋体" w:eastAsia="宋体" w:cs="Times New Roman"/>
                <w:szCs w:val="21"/>
              </w:rPr>
              <w:t>5.每检验批总数量的10%，且不少于3套；6.每检验批总数量的10%，且不少于3套；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704" w:type="dxa"/>
            <w:vMerge w:val="continue"/>
            <w:vAlign w:val="center"/>
          </w:tcPr>
          <w:p>
            <w:pPr>
              <w:jc w:val="center"/>
              <w:rPr>
                <w:rFonts w:hint="eastAsia" w:ascii="宋体" w:hAnsi="宋体" w:eastAsia="宋体" w:cs="Times New Roman"/>
                <w:szCs w:val="21"/>
              </w:rPr>
            </w:pPr>
          </w:p>
        </w:tc>
        <w:tc>
          <w:tcPr>
            <w:tcW w:w="1677" w:type="dxa"/>
            <w:vMerge w:val="continue"/>
            <w:vAlign w:val="center"/>
          </w:tcPr>
          <w:p>
            <w:pPr>
              <w:rPr>
                <w:rFonts w:hint="eastAsia" w:ascii="宋体" w:hAnsi="宋体" w:eastAsia="宋体" w:cs="Times New Roman"/>
                <w:szCs w:val="21"/>
              </w:rPr>
            </w:pPr>
          </w:p>
        </w:tc>
        <w:tc>
          <w:tcPr>
            <w:tcW w:w="2859" w:type="dxa"/>
            <w:noWrap/>
            <w:vAlign w:val="center"/>
          </w:tcPr>
          <w:p>
            <w:pPr>
              <w:rPr>
                <w:rFonts w:hint="eastAsia" w:ascii="宋体" w:hAnsi="宋体" w:eastAsia="宋体" w:cs="Times New Roman"/>
                <w:szCs w:val="21"/>
              </w:rPr>
            </w:pPr>
            <w:r>
              <w:rPr>
                <w:rFonts w:hint="eastAsia" w:ascii="宋体" w:hAnsi="宋体" w:eastAsia="宋体" w:cs="Times New Roman"/>
                <w:szCs w:val="21"/>
              </w:rPr>
              <w:t>连接</w:t>
            </w:r>
          </w:p>
        </w:tc>
        <w:tc>
          <w:tcPr>
            <w:tcW w:w="851" w:type="dxa"/>
            <w:vMerge w:val="continue"/>
            <w:vAlign w:val="center"/>
          </w:tcPr>
          <w:p>
            <w:pPr>
              <w:rPr>
                <w:rFonts w:hint="eastAsia" w:ascii="宋体" w:hAnsi="宋体" w:eastAsia="宋体" w:cs="Times New Roman"/>
                <w:szCs w:val="21"/>
              </w:rPr>
            </w:pPr>
          </w:p>
        </w:tc>
        <w:tc>
          <w:tcPr>
            <w:tcW w:w="3685" w:type="dxa"/>
            <w:vAlign w:val="center"/>
          </w:tcPr>
          <w:p>
            <w:pPr>
              <w:rPr>
                <w:rFonts w:hint="eastAsia" w:ascii="宋体" w:hAnsi="宋体" w:eastAsia="宋体" w:cs="Times New Roman"/>
                <w:szCs w:val="21"/>
              </w:rPr>
            </w:pPr>
            <w:r>
              <w:rPr>
                <w:rFonts w:hint="eastAsia" w:ascii="宋体" w:hAnsi="宋体" w:eastAsia="宋体" w:cs="Times New Roman"/>
                <w:szCs w:val="21"/>
              </w:rPr>
              <w:t>抗震支吊架与结构的连接，吊杆与槽钢的连接，螺栓螺母与连接件的扭矩应符合设计文件的规定，安装应牢固</w:t>
            </w:r>
          </w:p>
        </w:tc>
        <w:tc>
          <w:tcPr>
            <w:tcW w:w="851" w:type="dxa"/>
            <w:vAlign w:val="center"/>
          </w:tcPr>
          <w:p>
            <w:pPr>
              <w:jc w:val="center"/>
              <w:rPr>
                <w:rFonts w:hint="eastAsia" w:ascii="宋体" w:hAnsi="宋体" w:eastAsia="宋体" w:cs="Times New Roman"/>
                <w:szCs w:val="21"/>
              </w:rPr>
            </w:pPr>
            <w:r>
              <w:rPr>
                <w:rFonts w:hint="eastAsia" w:ascii="宋体" w:hAnsi="宋体" w:eastAsia="宋体" w:cs="Times New Roman"/>
                <w:szCs w:val="21"/>
              </w:rPr>
              <w:t>10</w:t>
            </w:r>
          </w:p>
        </w:tc>
        <w:tc>
          <w:tcPr>
            <w:tcW w:w="3260" w:type="dxa"/>
            <w:vAlign w:val="center"/>
          </w:tcPr>
          <w:p>
            <w:pPr>
              <w:rPr>
                <w:rFonts w:hint="eastAsia" w:ascii="宋体" w:hAnsi="宋体" w:eastAsia="宋体" w:cs="Times New Roman"/>
                <w:szCs w:val="21"/>
              </w:rPr>
            </w:pPr>
            <w:r>
              <w:rPr>
                <w:rFonts w:hint="eastAsia" w:ascii="宋体" w:hAnsi="宋体" w:eastAsia="宋体" w:cs="Times New Roman"/>
                <w:szCs w:val="21"/>
              </w:rPr>
              <w:t>7.每检验批总数量的10%，且不少于3套；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704" w:type="dxa"/>
            <w:vMerge w:val="continue"/>
            <w:vAlign w:val="center"/>
          </w:tcPr>
          <w:p>
            <w:pPr>
              <w:jc w:val="center"/>
              <w:rPr>
                <w:rFonts w:hint="eastAsia" w:ascii="宋体" w:hAnsi="宋体" w:eastAsia="宋体" w:cs="Times New Roman"/>
                <w:szCs w:val="21"/>
              </w:rPr>
            </w:pPr>
          </w:p>
        </w:tc>
        <w:tc>
          <w:tcPr>
            <w:tcW w:w="1677" w:type="dxa"/>
            <w:vMerge w:val="continue"/>
            <w:vAlign w:val="center"/>
          </w:tcPr>
          <w:p>
            <w:pPr>
              <w:rPr>
                <w:rFonts w:hint="eastAsia" w:ascii="宋体" w:hAnsi="宋体" w:eastAsia="宋体" w:cs="Times New Roman"/>
                <w:szCs w:val="21"/>
              </w:rPr>
            </w:pPr>
          </w:p>
        </w:tc>
        <w:tc>
          <w:tcPr>
            <w:tcW w:w="2859" w:type="dxa"/>
            <w:noWrap/>
            <w:vAlign w:val="center"/>
          </w:tcPr>
          <w:p>
            <w:pPr>
              <w:rPr>
                <w:rFonts w:hint="eastAsia" w:ascii="宋体" w:hAnsi="宋体" w:eastAsia="宋体" w:cs="Times New Roman"/>
                <w:szCs w:val="21"/>
              </w:rPr>
            </w:pPr>
            <w:r>
              <w:rPr>
                <w:rFonts w:hint="eastAsia" w:ascii="宋体" w:hAnsi="宋体" w:eastAsia="宋体" w:cs="Times New Roman"/>
                <w:szCs w:val="21"/>
              </w:rPr>
              <w:t>锚栓安装</w:t>
            </w:r>
          </w:p>
        </w:tc>
        <w:tc>
          <w:tcPr>
            <w:tcW w:w="851" w:type="dxa"/>
            <w:vMerge w:val="continue"/>
            <w:vAlign w:val="center"/>
          </w:tcPr>
          <w:p>
            <w:pPr>
              <w:rPr>
                <w:rFonts w:hint="eastAsia" w:ascii="宋体" w:hAnsi="宋体" w:eastAsia="宋体" w:cs="Times New Roman"/>
                <w:szCs w:val="21"/>
              </w:rPr>
            </w:pPr>
          </w:p>
        </w:tc>
        <w:tc>
          <w:tcPr>
            <w:tcW w:w="3685" w:type="dxa"/>
            <w:noWrap/>
            <w:vAlign w:val="center"/>
          </w:tcPr>
          <w:p>
            <w:pPr>
              <w:rPr>
                <w:rFonts w:hint="eastAsia" w:ascii="宋体" w:hAnsi="宋体" w:eastAsia="宋体" w:cs="Times New Roman"/>
                <w:szCs w:val="21"/>
              </w:rPr>
            </w:pPr>
            <w:r>
              <w:rPr>
                <w:rFonts w:hint="eastAsia" w:ascii="宋体" w:hAnsi="宋体" w:eastAsia="宋体" w:cs="Times New Roman"/>
                <w:szCs w:val="21"/>
              </w:rPr>
              <w:t>抗震支吊架锚栓的安装应符合设计文件的规定，锚栓套管不能超出混凝土安装平面；</w:t>
            </w:r>
          </w:p>
        </w:tc>
        <w:tc>
          <w:tcPr>
            <w:tcW w:w="851" w:type="dxa"/>
            <w:vAlign w:val="center"/>
          </w:tcPr>
          <w:p>
            <w:pPr>
              <w:jc w:val="center"/>
              <w:rPr>
                <w:rFonts w:hint="eastAsia" w:ascii="宋体" w:hAnsi="宋体" w:eastAsia="宋体" w:cs="Times New Roman"/>
                <w:szCs w:val="21"/>
              </w:rPr>
            </w:pPr>
            <w:r>
              <w:rPr>
                <w:rFonts w:hint="eastAsia" w:ascii="宋体" w:hAnsi="宋体" w:eastAsia="宋体" w:cs="Times New Roman"/>
                <w:szCs w:val="21"/>
              </w:rPr>
              <w:t>20</w:t>
            </w:r>
          </w:p>
        </w:tc>
        <w:tc>
          <w:tcPr>
            <w:tcW w:w="3260" w:type="dxa"/>
            <w:vAlign w:val="center"/>
          </w:tcPr>
          <w:p>
            <w:pPr>
              <w:rPr>
                <w:rFonts w:hint="eastAsia" w:ascii="宋体" w:hAnsi="宋体" w:eastAsia="宋体" w:cs="Times New Roman"/>
                <w:szCs w:val="21"/>
              </w:rPr>
            </w:pPr>
            <w:r>
              <w:rPr>
                <w:rFonts w:hint="eastAsia" w:ascii="宋体" w:hAnsi="宋体" w:eastAsia="宋体" w:cs="Times New Roman"/>
                <w:szCs w:val="21"/>
              </w:rPr>
              <w:t>8.每检验批总数量的10%，且不少于3套；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704" w:type="dxa"/>
            <w:vMerge w:val="continue"/>
            <w:vAlign w:val="center"/>
          </w:tcPr>
          <w:p>
            <w:pPr>
              <w:jc w:val="center"/>
              <w:rPr>
                <w:rFonts w:hint="eastAsia" w:ascii="宋体" w:hAnsi="宋体" w:eastAsia="宋体" w:cs="Times New Roman"/>
                <w:szCs w:val="21"/>
              </w:rPr>
            </w:pPr>
          </w:p>
        </w:tc>
        <w:tc>
          <w:tcPr>
            <w:tcW w:w="1677" w:type="dxa"/>
            <w:vMerge w:val="continue"/>
            <w:vAlign w:val="center"/>
          </w:tcPr>
          <w:p>
            <w:pPr>
              <w:rPr>
                <w:rFonts w:hint="eastAsia" w:ascii="宋体" w:hAnsi="宋体" w:eastAsia="宋体" w:cs="Times New Roman"/>
                <w:szCs w:val="21"/>
              </w:rPr>
            </w:pPr>
          </w:p>
        </w:tc>
        <w:tc>
          <w:tcPr>
            <w:tcW w:w="2859" w:type="dxa"/>
            <w:noWrap/>
            <w:vAlign w:val="center"/>
          </w:tcPr>
          <w:p>
            <w:pPr>
              <w:rPr>
                <w:rFonts w:hint="eastAsia" w:ascii="宋体" w:hAnsi="宋体" w:eastAsia="宋体" w:cs="Times New Roman"/>
                <w:szCs w:val="21"/>
              </w:rPr>
            </w:pPr>
            <w:r>
              <w:rPr>
                <w:rFonts w:hint="eastAsia" w:ascii="宋体" w:hAnsi="宋体" w:eastAsia="宋体" w:cs="Times New Roman"/>
                <w:szCs w:val="21"/>
              </w:rPr>
              <w:t>承载力</w:t>
            </w:r>
          </w:p>
        </w:tc>
        <w:tc>
          <w:tcPr>
            <w:tcW w:w="851" w:type="dxa"/>
            <w:vMerge w:val="continue"/>
            <w:vAlign w:val="center"/>
          </w:tcPr>
          <w:p>
            <w:pPr>
              <w:rPr>
                <w:rFonts w:hint="eastAsia" w:ascii="宋体" w:hAnsi="宋体" w:eastAsia="宋体" w:cs="Times New Roman"/>
                <w:szCs w:val="21"/>
              </w:rPr>
            </w:pPr>
          </w:p>
        </w:tc>
        <w:tc>
          <w:tcPr>
            <w:tcW w:w="3685" w:type="dxa"/>
            <w:noWrap/>
            <w:vAlign w:val="center"/>
          </w:tcPr>
          <w:p>
            <w:pPr>
              <w:rPr>
                <w:rFonts w:hint="eastAsia" w:ascii="宋体" w:hAnsi="宋体" w:eastAsia="宋体" w:cs="Times New Roman"/>
                <w:szCs w:val="21"/>
              </w:rPr>
            </w:pPr>
            <w:r>
              <w:rPr>
                <w:rFonts w:hint="eastAsia" w:ascii="宋体" w:hAnsi="宋体" w:eastAsia="宋体" w:cs="Times New Roman"/>
                <w:szCs w:val="21"/>
              </w:rPr>
              <w:t>抗震支吊架锚栓的承载力应符合设计文件的规定；</w:t>
            </w:r>
          </w:p>
        </w:tc>
        <w:tc>
          <w:tcPr>
            <w:tcW w:w="851" w:type="dxa"/>
            <w:vAlign w:val="center"/>
          </w:tcPr>
          <w:p>
            <w:pPr>
              <w:jc w:val="center"/>
              <w:rPr>
                <w:rFonts w:hint="eastAsia" w:ascii="宋体" w:hAnsi="宋体" w:eastAsia="宋体" w:cs="Times New Roman"/>
                <w:szCs w:val="21"/>
              </w:rPr>
            </w:pPr>
            <w:r>
              <w:rPr>
                <w:rFonts w:hint="eastAsia" w:ascii="宋体" w:hAnsi="宋体" w:eastAsia="宋体" w:cs="Times New Roman"/>
                <w:szCs w:val="21"/>
              </w:rPr>
              <w:t>20</w:t>
            </w:r>
          </w:p>
        </w:tc>
        <w:tc>
          <w:tcPr>
            <w:tcW w:w="3260" w:type="dxa"/>
            <w:vAlign w:val="center"/>
          </w:tcPr>
          <w:p>
            <w:pPr>
              <w:rPr>
                <w:rFonts w:hint="eastAsia" w:ascii="宋体" w:hAnsi="宋体" w:eastAsia="宋体" w:cs="Times New Roman"/>
                <w:szCs w:val="21"/>
              </w:rPr>
            </w:pPr>
            <w:r>
              <w:rPr>
                <w:rFonts w:hint="eastAsia" w:ascii="宋体" w:hAnsi="宋体" w:eastAsia="宋体" w:cs="Times New Roman"/>
                <w:szCs w:val="21"/>
              </w:rPr>
              <w:t>9.每检验批总数量的1%，且不少于5个；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704" w:type="dxa"/>
            <w:vMerge w:val="continue"/>
            <w:vAlign w:val="center"/>
          </w:tcPr>
          <w:p>
            <w:pPr>
              <w:jc w:val="center"/>
              <w:rPr>
                <w:rFonts w:hint="eastAsia" w:ascii="宋体" w:hAnsi="宋体" w:eastAsia="宋体" w:cs="Times New Roman"/>
                <w:szCs w:val="21"/>
              </w:rPr>
            </w:pPr>
          </w:p>
        </w:tc>
        <w:tc>
          <w:tcPr>
            <w:tcW w:w="1677" w:type="dxa"/>
            <w:vMerge w:val="continue"/>
            <w:vAlign w:val="center"/>
          </w:tcPr>
          <w:p>
            <w:pPr>
              <w:rPr>
                <w:rFonts w:hint="eastAsia" w:ascii="宋体" w:hAnsi="宋体" w:eastAsia="宋体" w:cs="Times New Roman"/>
                <w:szCs w:val="21"/>
              </w:rPr>
            </w:pPr>
          </w:p>
        </w:tc>
        <w:tc>
          <w:tcPr>
            <w:tcW w:w="2859" w:type="dxa"/>
            <w:noWrap/>
            <w:vAlign w:val="center"/>
          </w:tcPr>
          <w:p>
            <w:pPr>
              <w:jc w:val="center"/>
              <w:rPr>
                <w:rFonts w:hint="eastAsia" w:ascii="宋体" w:hAnsi="宋体" w:eastAsia="宋体" w:cs="Times New Roman"/>
                <w:b/>
                <w:bCs/>
                <w:szCs w:val="21"/>
              </w:rPr>
            </w:pPr>
            <w:r>
              <w:rPr>
                <w:rFonts w:hint="eastAsia" w:ascii="宋体" w:hAnsi="宋体" w:eastAsia="宋体" w:cs="Times New Roman"/>
                <w:b/>
                <w:bCs/>
                <w:szCs w:val="21"/>
              </w:rPr>
              <w:t>一般项</w:t>
            </w:r>
          </w:p>
        </w:tc>
        <w:tc>
          <w:tcPr>
            <w:tcW w:w="851" w:type="dxa"/>
            <w:vMerge w:val="continue"/>
            <w:vAlign w:val="center"/>
          </w:tcPr>
          <w:p>
            <w:pPr>
              <w:jc w:val="center"/>
              <w:rPr>
                <w:rFonts w:hint="eastAsia" w:ascii="宋体" w:hAnsi="宋体" w:eastAsia="宋体" w:cs="Times New Roman"/>
                <w:szCs w:val="21"/>
              </w:rPr>
            </w:pPr>
          </w:p>
        </w:tc>
        <w:tc>
          <w:tcPr>
            <w:tcW w:w="3685" w:type="dxa"/>
            <w:vAlign w:val="center"/>
          </w:tcPr>
          <w:p>
            <w:pPr>
              <w:jc w:val="center"/>
              <w:rPr>
                <w:rFonts w:hint="eastAsia" w:ascii="宋体" w:hAnsi="宋体" w:eastAsia="宋体" w:cs="Times New Roman"/>
                <w:b/>
                <w:bCs/>
                <w:szCs w:val="21"/>
              </w:rPr>
            </w:pPr>
            <w:r>
              <w:rPr>
                <w:rFonts w:hint="eastAsia" w:ascii="宋体" w:hAnsi="宋体" w:eastAsia="宋体" w:cs="Times New Roman"/>
                <w:b/>
                <w:bCs/>
                <w:szCs w:val="21"/>
              </w:rPr>
              <w:t>一般项评分要点</w:t>
            </w:r>
          </w:p>
        </w:tc>
        <w:tc>
          <w:tcPr>
            <w:tcW w:w="851" w:type="dxa"/>
            <w:vAlign w:val="center"/>
          </w:tcPr>
          <w:p>
            <w:pPr>
              <w:jc w:val="center"/>
              <w:rPr>
                <w:rFonts w:hint="eastAsia" w:ascii="宋体" w:hAnsi="宋体" w:eastAsia="宋体" w:cs="Times New Roman"/>
                <w:b/>
                <w:bCs/>
                <w:szCs w:val="21"/>
              </w:rPr>
            </w:pPr>
            <w:r>
              <w:rPr>
                <w:rFonts w:hint="eastAsia" w:ascii="宋体" w:hAnsi="宋体" w:eastAsia="宋体" w:cs="Times New Roman"/>
                <w:b/>
                <w:bCs/>
                <w:szCs w:val="21"/>
              </w:rPr>
              <w:t>评分</w:t>
            </w:r>
          </w:p>
        </w:tc>
        <w:tc>
          <w:tcPr>
            <w:tcW w:w="3260" w:type="dxa"/>
            <w:vAlign w:val="center"/>
          </w:tcPr>
          <w:p>
            <w:pPr>
              <w:jc w:val="center"/>
              <w:rPr>
                <w:rFonts w:hint="eastAsia" w:ascii="宋体" w:hAnsi="宋体" w:eastAsia="宋体" w:cs="Times New Roman"/>
                <w:b/>
                <w:bCs/>
                <w:szCs w:val="21"/>
              </w:rPr>
            </w:pPr>
            <w:r>
              <w:rPr>
                <w:rFonts w:hint="eastAsia" w:ascii="宋体" w:hAnsi="宋体" w:eastAsia="宋体" w:cs="Times New Roman"/>
                <w:b/>
                <w:bCs/>
                <w:szCs w:val="21"/>
              </w:rPr>
              <w:t>评定方法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704" w:type="dxa"/>
            <w:vMerge w:val="continue"/>
            <w:vAlign w:val="center"/>
          </w:tcPr>
          <w:p>
            <w:pPr>
              <w:jc w:val="center"/>
              <w:rPr>
                <w:rFonts w:hint="eastAsia" w:ascii="宋体" w:hAnsi="宋体" w:eastAsia="宋体" w:cs="Times New Roman"/>
                <w:szCs w:val="21"/>
              </w:rPr>
            </w:pPr>
          </w:p>
        </w:tc>
        <w:tc>
          <w:tcPr>
            <w:tcW w:w="1677" w:type="dxa"/>
            <w:vMerge w:val="continue"/>
            <w:vAlign w:val="center"/>
          </w:tcPr>
          <w:p>
            <w:pPr>
              <w:rPr>
                <w:rFonts w:hint="eastAsia" w:ascii="宋体" w:hAnsi="宋体" w:eastAsia="宋体" w:cs="Times New Roman"/>
                <w:szCs w:val="21"/>
              </w:rPr>
            </w:pPr>
          </w:p>
        </w:tc>
        <w:tc>
          <w:tcPr>
            <w:tcW w:w="2859" w:type="dxa"/>
            <w:noWrap/>
            <w:vAlign w:val="center"/>
          </w:tcPr>
          <w:p>
            <w:pPr>
              <w:rPr>
                <w:rFonts w:hint="eastAsia" w:ascii="宋体" w:hAnsi="宋体" w:eastAsia="宋体" w:cs="Times New Roman"/>
                <w:szCs w:val="21"/>
              </w:rPr>
            </w:pPr>
            <w:r>
              <w:rPr>
                <w:rFonts w:hint="eastAsia" w:ascii="宋体" w:hAnsi="宋体" w:eastAsia="宋体" w:cs="Times New Roman"/>
                <w:szCs w:val="21"/>
              </w:rPr>
              <w:t>位置</w:t>
            </w:r>
          </w:p>
        </w:tc>
        <w:tc>
          <w:tcPr>
            <w:tcW w:w="851" w:type="dxa"/>
            <w:vMerge w:val="continue"/>
            <w:vAlign w:val="center"/>
          </w:tcPr>
          <w:p>
            <w:pPr>
              <w:rPr>
                <w:rFonts w:hint="eastAsia" w:ascii="宋体" w:hAnsi="宋体" w:eastAsia="宋体" w:cs="Times New Roman"/>
                <w:szCs w:val="21"/>
              </w:rPr>
            </w:pPr>
          </w:p>
        </w:tc>
        <w:tc>
          <w:tcPr>
            <w:tcW w:w="3685" w:type="dxa"/>
            <w:vAlign w:val="center"/>
          </w:tcPr>
          <w:p>
            <w:pPr>
              <w:rPr>
                <w:rFonts w:hint="eastAsia" w:ascii="宋体" w:hAnsi="宋体" w:eastAsia="宋体" w:cs="Times New Roman"/>
                <w:szCs w:val="21"/>
              </w:rPr>
            </w:pPr>
            <w:r>
              <w:rPr>
                <w:rFonts w:hint="eastAsia" w:ascii="宋体" w:hAnsi="宋体" w:eastAsia="宋体" w:cs="Times New Roman"/>
                <w:szCs w:val="21"/>
              </w:rPr>
              <w:t>1.抗震支吊架安装后应横平竖直，不应出现扭曲变形；2.抗震支吊架构件表面应平整、洁净、无起泡、分层现象；3.扭剪螺栓不得与带背孔槽钢连接；</w:t>
            </w:r>
          </w:p>
        </w:tc>
        <w:tc>
          <w:tcPr>
            <w:tcW w:w="851" w:type="dxa"/>
            <w:vAlign w:val="center"/>
          </w:tcPr>
          <w:p>
            <w:pPr>
              <w:jc w:val="center"/>
              <w:rPr>
                <w:rFonts w:hint="eastAsia" w:ascii="宋体" w:hAnsi="宋体" w:eastAsia="宋体" w:cs="Times New Roman"/>
                <w:szCs w:val="21"/>
              </w:rPr>
            </w:pPr>
            <w:r>
              <w:rPr>
                <w:rFonts w:hint="eastAsia" w:ascii="宋体" w:hAnsi="宋体" w:eastAsia="宋体" w:cs="Times New Roman"/>
                <w:szCs w:val="21"/>
              </w:rPr>
              <w:t>5</w:t>
            </w:r>
          </w:p>
        </w:tc>
        <w:tc>
          <w:tcPr>
            <w:tcW w:w="3260" w:type="dxa"/>
            <w:vAlign w:val="center"/>
          </w:tcPr>
          <w:p>
            <w:pPr>
              <w:rPr>
                <w:rFonts w:hint="eastAsia" w:ascii="宋体" w:hAnsi="宋体" w:eastAsia="宋体" w:cs="Times New Roman"/>
                <w:szCs w:val="21"/>
              </w:rPr>
            </w:pPr>
            <w:r>
              <w:rPr>
                <w:rFonts w:hint="eastAsia" w:ascii="宋体" w:hAnsi="宋体" w:eastAsia="宋体" w:cs="Times New Roman"/>
                <w:szCs w:val="21"/>
              </w:rPr>
              <w:t>全数检查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704" w:type="dxa"/>
            <w:vMerge w:val="continue"/>
            <w:vAlign w:val="center"/>
          </w:tcPr>
          <w:p>
            <w:pPr>
              <w:jc w:val="center"/>
              <w:rPr>
                <w:rFonts w:hint="eastAsia" w:ascii="宋体" w:hAnsi="宋体" w:eastAsia="宋体" w:cs="Times New Roman"/>
                <w:szCs w:val="21"/>
              </w:rPr>
            </w:pPr>
          </w:p>
        </w:tc>
        <w:tc>
          <w:tcPr>
            <w:tcW w:w="1677" w:type="dxa"/>
            <w:vMerge w:val="continue"/>
            <w:vAlign w:val="center"/>
          </w:tcPr>
          <w:p>
            <w:pPr>
              <w:rPr>
                <w:rFonts w:hint="eastAsia" w:ascii="宋体" w:hAnsi="宋体" w:eastAsia="宋体" w:cs="Times New Roman"/>
                <w:szCs w:val="21"/>
              </w:rPr>
            </w:pPr>
          </w:p>
        </w:tc>
        <w:tc>
          <w:tcPr>
            <w:tcW w:w="2859" w:type="dxa"/>
            <w:noWrap/>
            <w:vAlign w:val="center"/>
          </w:tcPr>
          <w:p>
            <w:pPr>
              <w:rPr>
                <w:rFonts w:hint="eastAsia" w:ascii="宋体" w:hAnsi="宋体" w:eastAsia="宋体" w:cs="Times New Roman"/>
                <w:szCs w:val="21"/>
              </w:rPr>
            </w:pPr>
            <w:r>
              <w:rPr>
                <w:rFonts w:hint="eastAsia" w:ascii="宋体" w:hAnsi="宋体" w:eastAsia="宋体" w:cs="Times New Roman"/>
                <w:szCs w:val="21"/>
              </w:rPr>
              <w:t>外观</w:t>
            </w:r>
          </w:p>
        </w:tc>
        <w:tc>
          <w:tcPr>
            <w:tcW w:w="851" w:type="dxa"/>
            <w:vMerge w:val="continue"/>
            <w:vAlign w:val="center"/>
          </w:tcPr>
          <w:p>
            <w:pPr>
              <w:rPr>
                <w:rFonts w:hint="eastAsia" w:ascii="宋体" w:hAnsi="宋体" w:eastAsia="宋体" w:cs="Times New Roman"/>
                <w:szCs w:val="21"/>
              </w:rPr>
            </w:pPr>
          </w:p>
        </w:tc>
        <w:tc>
          <w:tcPr>
            <w:tcW w:w="3685" w:type="dxa"/>
            <w:noWrap/>
            <w:vAlign w:val="center"/>
          </w:tcPr>
          <w:p>
            <w:pPr>
              <w:rPr>
                <w:rFonts w:hint="eastAsia" w:ascii="宋体" w:hAnsi="宋体" w:eastAsia="宋体" w:cs="Times New Roman"/>
                <w:szCs w:val="21"/>
              </w:rPr>
            </w:pPr>
            <w:r>
              <w:rPr>
                <w:rFonts w:hint="eastAsia" w:ascii="宋体" w:hAnsi="宋体" w:eastAsia="宋体" w:cs="Times New Roman"/>
                <w:szCs w:val="21"/>
              </w:rPr>
              <w:t>4.抗震支吊架整体表面、侧面应平整，无明显压扁或局部变形等缺陷；</w:t>
            </w:r>
          </w:p>
        </w:tc>
        <w:tc>
          <w:tcPr>
            <w:tcW w:w="851" w:type="dxa"/>
            <w:vAlign w:val="center"/>
          </w:tcPr>
          <w:p>
            <w:pPr>
              <w:jc w:val="center"/>
              <w:rPr>
                <w:rFonts w:hint="eastAsia" w:ascii="宋体" w:hAnsi="宋体" w:eastAsia="宋体" w:cs="Times New Roman"/>
                <w:szCs w:val="21"/>
              </w:rPr>
            </w:pPr>
            <w:r>
              <w:rPr>
                <w:rFonts w:hint="eastAsia" w:ascii="宋体" w:hAnsi="宋体" w:eastAsia="宋体" w:cs="Times New Roman"/>
                <w:szCs w:val="21"/>
              </w:rPr>
              <w:t>5</w:t>
            </w:r>
          </w:p>
        </w:tc>
        <w:tc>
          <w:tcPr>
            <w:tcW w:w="3260" w:type="dxa"/>
            <w:vAlign w:val="center"/>
          </w:tcPr>
          <w:p>
            <w:pPr>
              <w:rPr>
                <w:rFonts w:hint="eastAsia" w:ascii="宋体" w:hAnsi="宋体" w:eastAsia="宋体" w:cs="Times New Roman"/>
                <w:szCs w:val="21"/>
              </w:rPr>
            </w:pPr>
            <w:r>
              <w:rPr>
                <w:rFonts w:hint="eastAsia" w:ascii="宋体" w:hAnsi="宋体" w:eastAsia="宋体" w:cs="Times New Roman"/>
                <w:szCs w:val="21"/>
              </w:rPr>
              <w:t>全数检查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704" w:type="dxa"/>
            <w:vMerge w:val="restart"/>
            <w:noWrap/>
            <w:vAlign w:val="center"/>
          </w:tcPr>
          <w:p>
            <w:pPr>
              <w:jc w:val="center"/>
              <w:rPr>
                <w:rFonts w:hint="eastAsia" w:ascii="宋体" w:hAnsi="宋体" w:eastAsia="宋体" w:cs="Times New Roman"/>
                <w:szCs w:val="21"/>
              </w:rPr>
            </w:pPr>
            <w:r>
              <w:rPr>
                <w:rFonts w:hint="eastAsia" w:ascii="宋体" w:hAnsi="宋体" w:eastAsia="宋体" w:cs="Times New Roman"/>
                <w:szCs w:val="21"/>
              </w:rPr>
              <w:t>8</w:t>
            </w:r>
          </w:p>
        </w:tc>
        <w:tc>
          <w:tcPr>
            <w:tcW w:w="1677" w:type="dxa"/>
            <w:vMerge w:val="restart"/>
            <w:noWrap/>
            <w:vAlign w:val="center"/>
          </w:tcPr>
          <w:p>
            <w:pPr>
              <w:rPr>
                <w:rFonts w:hint="eastAsia" w:ascii="宋体" w:hAnsi="宋体" w:eastAsia="宋体" w:cs="Times New Roman"/>
                <w:szCs w:val="21"/>
              </w:rPr>
            </w:pPr>
            <w:r>
              <w:rPr>
                <w:rFonts w:hint="eastAsia" w:ascii="宋体" w:hAnsi="宋体" w:eastAsia="宋体" w:cs="Times New Roman"/>
                <w:szCs w:val="21"/>
              </w:rPr>
              <w:t>I自动控制系统</w:t>
            </w:r>
          </w:p>
        </w:tc>
        <w:tc>
          <w:tcPr>
            <w:tcW w:w="2859" w:type="dxa"/>
            <w:noWrap/>
            <w:vAlign w:val="center"/>
          </w:tcPr>
          <w:p>
            <w:pPr>
              <w:jc w:val="center"/>
              <w:rPr>
                <w:rFonts w:hint="eastAsia" w:ascii="宋体" w:hAnsi="宋体" w:eastAsia="宋体" w:cs="Times New Roman"/>
                <w:b/>
                <w:bCs/>
                <w:szCs w:val="21"/>
              </w:rPr>
            </w:pPr>
            <w:r>
              <w:rPr>
                <w:rFonts w:hint="eastAsia" w:ascii="宋体" w:hAnsi="宋体" w:eastAsia="宋体" w:cs="Times New Roman"/>
                <w:b/>
                <w:bCs/>
                <w:szCs w:val="21"/>
              </w:rPr>
              <w:t>主控项</w:t>
            </w:r>
          </w:p>
        </w:tc>
        <w:tc>
          <w:tcPr>
            <w:tcW w:w="851" w:type="dxa"/>
            <w:vMerge w:val="restart"/>
            <w:noWrap/>
            <w:vAlign w:val="center"/>
          </w:tcPr>
          <w:p>
            <w:pPr>
              <w:jc w:val="center"/>
              <w:rPr>
                <w:rFonts w:hint="eastAsia" w:ascii="宋体" w:hAnsi="宋体" w:eastAsia="宋体" w:cs="Times New Roman"/>
                <w:szCs w:val="21"/>
              </w:rPr>
            </w:pPr>
            <w:r>
              <w:rPr>
                <w:rFonts w:hint="eastAsia" w:ascii="宋体" w:hAnsi="宋体" w:eastAsia="宋体" w:cs="Times New Roman"/>
                <w:szCs w:val="21"/>
              </w:rPr>
              <w:t>0.10</w:t>
            </w:r>
          </w:p>
        </w:tc>
        <w:tc>
          <w:tcPr>
            <w:tcW w:w="3685" w:type="dxa"/>
            <w:vAlign w:val="center"/>
          </w:tcPr>
          <w:p>
            <w:pPr>
              <w:jc w:val="center"/>
              <w:rPr>
                <w:rFonts w:hint="eastAsia" w:ascii="宋体" w:hAnsi="宋体" w:eastAsia="宋体" w:cs="Times New Roman"/>
                <w:b/>
                <w:bCs/>
                <w:szCs w:val="21"/>
              </w:rPr>
            </w:pPr>
            <w:r>
              <w:rPr>
                <w:rFonts w:hint="eastAsia" w:ascii="宋体" w:hAnsi="宋体" w:eastAsia="宋体" w:cs="Times New Roman"/>
                <w:b/>
                <w:bCs/>
                <w:szCs w:val="21"/>
              </w:rPr>
              <w:t>主控项评分要点</w:t>
            </w:r>
          </w:p>
        </w:tc>
        <w:tc>
          <w:tcPr>
            <w:tcW w:w="851" w:type="dxa"/>
            <w:vAlign w:val="center"/>
          </w:tcPr>
          <w:p>
            <w:pPr>
              <w:jc w:val="center"/>
              <w:rPr>
                <w:rFonts w:hint="eastAsia" w:ascii="宋体" w:hAnsi="宋体" w:eastAsia="宋体" w:cs="Times New Roman"/>
                <w:b/>
                <w:bCs/>
                <w:szCs w:val="21"/>
              </w:rPr>
            </w:pPr>
            <w:r>
              <w:rPr>
                <w:rFonts w:hint="eastAsia" w:ascii="宋体" w:hAnsi="宋体" w:eastAsia="宋体" w:cs="Times New Roman"/>
                <w:b/>
                <w:bCs/>
                <w:szCs w:val="21"/>
              </w:rPr>
              <w:t>评分</w:t>
            </w:r>
          </w:p>
        </w:tc>
        <w:tc>
          <w:tcPr>
            <w:tcW w:w="3260" w:type="dxa"/>
            <w:vAlign w:val="center"/>
          </w:tcPr>
          <w:p>
            <w:pPr>
              <w:jc w:val="center"/>
              <w:rPr>
                <w:rFonts w:hint="eastAsia" w:ascii="宋体" w:hAnsi="宋体" w:eastAsia="宋体" w:cs="Times New Roman"/>
                <w:b/>
                <w:bCs/>
                <w:szCs w:val="21"/>
              </w:rPr>
            </w:pPr>
            <w:r>
              <w:rPr>
                <w:rFonts w:hint="eastAsia" w:ascii="宋体" w:hAnsi="宋体" w:eastAsia="宋体" w:cs="Times New Roman"/>
                <w:b/>
                <w:bCs/>
                <w:szCs w:val="21"/>
              </w:rPr>
              <w:t>评定方法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704" w:type="dxa"/>
            <w:vMerge w:val="continue"/>
            <w:vAlign w:val="center"/>
          </w:tcPr>
          <w:p>
            <w:pPr>
              <w:jc w:val="center"/>
              <w:rPr>
                <w:rFonts w:hint="eastAsia" w:ascii="宋体" w:hAnsi="宋体" w:eastAsia="宋体" w:cs="Times New Roman"/>
                <w:szCs w:val="21"/>
              </w:rPr>
            </w:pPr>
          </w:p>
        </w:tc>
        <w:tc>
          <w:tcPr>
            <w:tcW w:w="1677" w:type="dxa"/>
            <w:vMerge w:val="continue"/>
            <w:vAlign w:val="center"/>
          </w:tcPr>
          <w:p>
            <w:pPr>
              <w:rPr>
                <w:rFonts w:hint="eastAsia" w:ascii="宋体" w:hAnsi="宋体" w:eastAsia="宋体" w:cs="Times New Roman"/>
                <w:szCs w:val="21"/>
              </w:rPr>
            </w:pPr>
          </w:p>
        </w:tc>
        <w:tc>
          <w:tcPr>
            <w:tcW w:w="2859" w:type="dxa"/>
            <w:noWrap/>
            <w:vAlign w:val="center"/>
          </w:tcPr>
          <w:p>
            <w:pPr>
              <w:rPr>
                <w:rFonts w:hint="eastAsia" w:ascii="宋体" w:hAnsi="宋体" w:eastAsia="宋体" w:cs="Times New Roman"/>
                <w:szCs w:val="21"/>
              </w:rPr>
            </w:pPr>
            <w:r>
              <w:rPr>
                <w:rFonts w:hint="eastAsia" w:ascii="宋体" w:hAnsi="宋体" w:eastAsia="宋体" w:cs="Times New Roman"/>
                <w:szCs w:val="21"/>
              </w:rPr>
              <w:t>控制功能</w:t>
            </w:r>
          </w:p>
        </w:tc>
        <w:tc>
          <w:tcPr>
            <w:tcW w:w="851" w:type="dxa"/>
            <w:vMerge w:val="continue"/>
            <w:vAlign w:val="center"/>
          </w:tcPr>
          <w:p>
            <w:pPr>
              <w:rPr>
                <w:rFonts w:hint="eastAsia" w:ascii="宋体" w:hAnsi="宋体" w:eastAsia="宋体" w:cs="Times New Roman"/>
                <w:szCs w:val="21"/>
              </w:rPr>
            </w:pPr>
          </w:p>
        </w:tc>
        <w:tc>
          <w:tcPr>
            <w:tcW w:w="3685" w:type="dxa"/>
            <w:vAlign w:val="center"/>
          </w:tcPr>
          <w:p>
            <w:pPr>
              <w:rPr>
                <w:rFonts w:hint="eastAsia" w:ascii="宋体" w:hAnsi="宋体" w:eastAsia="宋体" w:cs="Times New Roman"/>
                <w:szCs w:val="21"/>
              </w:rPr>
            </w:pPr>
            <w:r>
              <w:rPr>
                <w:rFonts w:hint="eastAsia" w:ascii="宋体" w:hAnsi="宋体" w:eastAsia="宋体" w:cs="Times New Roman"/>
                <w:szCs w:val="21"/>
              </w:rPr>
              <w:t>能本地手动及远程自动控制风机的启停</w:t>
            </w:r>
          </w:p>
        </w:tc>
        <w:tc>
          <w:tcPr>
            <w:tcW w:w="851" w:type="dxa"/>
            <w:vAlign w:val="center"/>
          </w:tcPr>
          <w:p>
            <w:pPr>
              <w:jc w:val="center"/>
              <w:rPr>
                <w:rFonts w:hint="eastAsia" w:ascii="宋体" w:hAnsi="宋体" w:eastAsia="宋体" w:cs="Times New Roman"/>
                <w:szCs w:val="21"/>
              </w:rPr>
            </w:pPr>
            <w:r>
              <w:rPr>
                <w:rFonts w:hint="eastAsia" w:ascii="宋体" w:hAnsi="宋体" w:eastAsia="宋体" w:cs="Times New Roman"/>
                <w:szCs w:val="21"/>
              </w:rPr>
              <w:t>35</w:t>
            </w:r>
          </w:p>
        </w:tc>
        <w:tc>
          <w:tcPr>
            <w:tcW w:w="3260" w:type="dxa"/>
            <w:vAlign w:val="center"/>
          </w:tcPr>
          <w:p>
            <w:pPr>
              <w:rPr>
                <w:rFonts w:hint="eastAsia" w:ascii="宋体" w:hAnsi="宋体" w:eastAsia="宋体" w:cs="Times New Roman"/>
                <w:szCs w:val="21"/>
              </w:rPr>
            </w:pPr>
            <w:r>
              <w:rPr>
                <w:rFonts w:hint="eastAsia" w:ascii="宋体" w:hAnsi="宋体" w:eastAsia="宋体" w:cs="Times New Roman"/>
                <w:szCs w:val="21"/>
              </w:rPr>
              <w:t>全数实地检查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704" w:type="dxa"/>
            <w:vMerge w:val="continue"/>
            <w:vAlign w:val="center"/>
          </w:tcPr>
          <w:p>
            <w:pPr>
              <w:jc w:val="center"/>
              <w:rPr>
                <w:rFonts w:hint="eastAsia" w:ascii="宋体" w:hAnsi="宋体" w:eastAsia="宋体" w:cs="Times New Roman"/>
                <w:szCs w:val="21"/>
              </w:rPr>
            </w:pPr>
          </w:p>
        </w:tc>
        <w:tc>
          <w:tcPr>
            <w:tcW w:w="1677" w:type="dxa"/>
            <w:vMerge w:val="continue"/>
            <w:vAlign w:val="center"/>
          </w:tcPr>
          <w:p>
            <w:pPr>
              <w:rPr>
                <w:rFonts w:hint="eastAsia" w:ascii="宋体" w:hAnsi="宋体" w:eastAsia="宋体" w:cs="Times New Roman"/>
                <w:szCs w:val="21"/>
              </w:rPr>
            </w:pPr>
          </w:p>
        </w:tc>
        <w:tc>
          <w:tcPr>
            <w:tcW w:w="2859" w:type="dxa"/>
            <w:noWrap/>
            <w:vAlign w:val="center"/>
          </w:tcPr>
          <w:p>
            <w:pPr>
              <w:rPr>
                <w:rFonts w:hint="eastAsia" w:ascii="宋体" w:hAnsi="宋体" w:eastAsia="宋体" w:cs="Times New Roman"/>
                <w:szCs w:val="21"/>
              </w:rPr>
            </w:pPr>
            <w:r>
              <w:rPr>
                <w:rFonts w:hint="eastAsia" w:ascii="宋体" w:hAnsi="宋体" w:eastAsia="宋体" w:cs="Times New Roman"/>
                <w:szCs w:val="21"/>
              </w:rPr>
              <w:t>防水、防爆功能</w:t>
            </w:r>
          </w:p>
        </w:tc>
        <w:tc>
          <w:tcPr>
            <w:tcW w:w="851" w:type="dxa"/>
            <w:vMerge w:val="continue"/>
            <w:vAlign w:val="center"/>
          </w:tcPr>
          <w:p>
            <w:pPr>
              <w:rPr>
                <w:rFonts w:hint="eastAsia" w:ascii="宋体" w:hAnsi="宋体" w:eastAsia="宋体" w:cs="Times New Roman"/>
                <w:szCs w:val="21"/>
              </w:rPr>
            </w:pPr>
          </w:p>
        </w:tc>
        <w:tc>
          <w:tcPr>
            <w:tcW w:w="3685" w:type="dxa"/>
            <w:vAlign w:val="center"/>
          </w:tcPr>
          <w:p>
            <w:pPr>
              <w:rPr>
                <w:rFonts w:hint="eastAsia" w:ascii="宋体" w:hAnsi="宋体" w:eastAsia="宋体" w:cs="Times New Roman"/>
                <w:szCs w:val="21"/>
              </w:rPr>
            </w:pPr>
            <w:r>
              <w:rPr>
                <w:rFonts w:hint="eastAsia" w:ascii="宋体" w:hAnsi="宋体" w:eastAsia="宋体" w:cs="Times New Roman"/>
                <w:szCs w:val="21"/>
              </w:rPr>
              <w:t>当控制箱安装于室外时，须采用防水控制箱；对于有防爆要求的场所，控制箱需有防爆功能</w:t>
            </w:r>
          </w:p>
        </w:tc>
        <w:tc>
          <w:tcPr>
            <w:tcW w:w="851" w:type="dxa"/>
            <w:vAlign w:val="center"/>
          </w:tcPr>
          <w:p>
            <w:pPr>
              <w:jc w:val="center"/>
              <w:rPr>
                <w:rFonts w:hint="eastAsia" w:ascii="宋体" w:hAnsi="宋体" w:eastAsia="宋体" w:cs="Times New Roman"/>
                <w:szCs w:val="21"/>
              </w:rPr>
            </w:pPr>
            <w:r>
              <w:rPr>
                <w:rFonts w:hint="eastAsia" w:ascii="宋体" w:hAnsi="宋体" w:eastAsia="宋体" w:cs="Times New Roman"/>
                <w:szCs w:val="21"/>
              </w:rPr>
              <w:t>35</w:t>
            </w:r>
          </w:p>
        </w:tc>
        <w:tc>
          <w:tcPr>
            <w:tcW w:w="3260" w:type="dxa"/>
            <w:vAlign w:val="center"/>
          </w:tcPr>
          <w:p>
            <w:pPr>
              <w:rPr>
                <w:rFonts w:hint="eastAsia" w:ascii="宋体" w:hAnsi="宋体" w:eastAsia="宋体" w:cs="Times New Roman"/>
                <w:szCs w:val="21"/>
              </w:rPr>
            </w:pPr>
            <w:r>
              <w:rPr>
                <w:rFonts w:hint="eastAsia" w:ascii="宋体" w:hAnsi="宋体" w:eastAsia="宋体" w:cs="Times New Roman"/>
                <w:szCs w:val="21"/>
              </w:rPr>
              <w:t>全数实地检查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704" w:type="dxa"/>
            <w:vMerge w:val="continue"/>
            <w:vAlign w:val="center"/>
          </w:tcPr>
          <w:p>
            <w:pPr>
              <w:jc w:val="center"/>
              <w:rPr>
                <w:rFonts w:hint="eastAsia" w:ascii="宋体" w:hAnsi="宋体" w:eastAsia="宋体" w:cs="Times New Roman"/>
                <w:szCs w:val="21"/>
              </w:rPr>
            </w:pPr>
          </w:p>
        </w:tc>
        <w:tc>
          <w:tcPr>
            <w:tcW w:w="1677" w:type="dxa"/>
            <w:vMerge w:val="continue"/>
            <w:vAlign w:val="center"/>
          </w:tcPr>
          <w:p>
            <w:pPr>
              <w:rPr>
                <w:rFonts w:hint="eastAsia" w:ascii="宋体" w:hAnsi="宋体" w:eastAsia="宋体" w:cs="Times New Roman"/>
                <w:szCs w:val="21"/>
              </w:rPr>
            </w:pPr>
          </w:p>
        </w:tc>
        <w:tc>
          <w:tcPr>
            <w:tcW w:w="2859" w:type="dxa"/>
            <w:noWrap/>
            <w:vAlign w:val="center"/>
          </w:tcPr>
          <w:p>
            <w:pPr>
              <w:jc w:val="center"/>
              <w:rPr>
                <w:rFonts w:hint="eastAsia" w:ascii="宋体" w:hAnsi="宋体" w:eastAsia="宋体" w:cs="Times New Roman"/>
                <w:b/>
                <w:bCs/>
                <w:szCs w:val="21"/>
              </w:rPr>
            </w:pPr>
            <w:r>
              <w:rPr>
                <w:rFonts w:hint="eastAsia" w:ascii="宋体" w:hAnsi="宋体" w:eastAsia="宋体" w:cs="Times New Roman"/>
                <w:b/>
                <w:bCs/>
                <w:szCs w:val="21"/>
              </w:rPr>
              <w:t>一般项</w:t>
            </w:r>
          </w:p>
        </w:tc>
        <w:tc>
          <w:tcPr>
            <w:tcW w:w="851" w:type="dxa"/>
            <w:vMerge w:val="continue"/>
            <w:vAlign w:val="center"/>
          </w:tcPr>
          <w:p>
            <w:pPr>
              <w:jc w:val="center"/>
              <w:rPr>
                <w:rFonts w:hint="eastAsia" w:ascii="宋体" w:hAnsi="宋体" w:eastAsia="宋体" w:cs="Times New Roman"/>
                <w:szCs w:val="21"/>
              </w:rPr>
            </w:pPr>
          </w:p>
        </w:tc>
        <w:tc>
          <w:tcPr>
            <w:tcW w:w="3685" w:type="dxa"/>
            <w:vAlign w:val="center"/>
          </w:tcPr>
          <w:p>
            <w:pPr>
              <w:jc w:val="center"/>
              <w:rPr>
                <w:rFonts w:hint="eastAsia" w:ascii="宋体" w:hAnsi="宋体" w:eastAsia="宋体" w:cs="Times New Roman"/>
                <w:b/>
                <w:bCs/>
                <w:szCs w:val="21"/>
              </w:rPr>
            </w:pPr>
            <w:r>
              <w:rPr>
                <w:rFonts w:hint="eastAsia" w:ascii="宋体" w:hAnsi="宋体" w:eastAsia="宋体" w:cs="Times New Roman"/>
                <w:b/>
                <w:bCs/>
                <w:szCs w:val="21"/>
              </w:rPr>
              <w:t>一般项评分要点</w:t>
            </w:r>
          </w:p>
        </w:tc>
        <w:tc>
          <w:tcPr>
            <w:tcW w:w="851" w:type="dxa"/>
            <w:vAlign w:val="center"/>
          </w:tcPr>
          <w:p>
            <w:pPr>
              <w:jc w:val="center"/>
              <w:rPr>
                <w:rFonts w:hint="eastAsia" w:ascii="宋体" w:hAnsi="宋体" w:eastAsia="宋体" w:cs="Times New Roman"/>
                <w:b/>
                <w:bCs/>
                <w:szCs w:val="21"/>
              </w:rPr>
            </w:pPr>
            <w:r>
              <w:rPr>
                <w:rFonts w:hint="eastAsia" w:ascii="宋体" w:hAnsi="宋体" w:eastAsia="宋体" w:cs="Times New Roman"/>
                <w:b/>
                <w:bCs/>
                <w:szCs w:val="21"/>
              </w:rPr>
              <w:t>评分</w:t>
            </w:r>
          </w:p>
        </w:tc>
        <w:tc>
          <w:tcPr>
            <w:tcW w:w="3260" w:type="dxa"/>
            <w:vAlign w:val="center"/>
          </w:tcPr>
          <w:p>
            <w:pPr>
              <w:jc w:val="center"/>
              <w:rPr>
                <w:rFonts w:hint="eastAsia" w:ascii="宋体" w:hAnsi="宋体" w:eastAsia="宋体" w:cs="Times New Roman"/>
                <w:b/>
                <w:bCs/>
                <w:szCs w:val="21"/>
              </w:rPr>
            </w:pPr>
            <w:r>
              <w:rPr>
                <w:rFonts w:hint="eastAsia" w:ascii="宋体" w:hAnsi="宋体" w:eastAsia="宋体" w:cs="Times New Roman"/>
                <w:b/>
                <w:bCs/>
                <w:szCs w:val="21"/>
              </w:rPr>
              <w:t>评定方法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704" w:type="dxa"/>
            <w:vMerge w:val="continue"/>
            <w:vAlign w:val="center"/>
          </w:tcPr>
          <w:p>
            <w:pPr>
              <w:jc w:val="center"/>
              <w:rPr>
                <w:rFonts w:hint="eastAsia" w:ascii="宋体" w:hAnsi="宋体" w:eastAsia="宋体" w:cs="Times New Roman"/>
                <w:szCs w:val="21"/>
              </w:rPr>
            </w:pPr>
          </w:p>
        </w:tc>
        <w:tc>
          <w:tcPr>
            <w:tcW w:w="1677" w:type="dxa"/>
            <w:vMerge w:val="continue"/>
            <w:vAlign w:val="center"/>
          </w:tcPr>
          <w:p>
            <w:pPr>
              <w:rPr>
                <w:rFonts w:hint="eastAsia" w:ascii="宋体" w:hAnsi="宋体" w:eastAsia="宋体" w:cs="Times New Roman"/>
                <w:szCs w:val="21"/>
              </w:rPr>
            </w:pPr>
          </w:p>
        </w:tc>
        <w:tc>
          <w:tcPr>
            <w:tcW w:w="2859" w:type="dxa"/>
            <w:noWrap/>
            <w:vAlign w:val="center"/>
          </w:tcPr>
          <w:p>
            <w:pPr>
              <w:rPr>
                <w:rFonts w:hint="eastAsia" w:ascii="宋体" w:hAnsi="宋体" w:eastAsia="宋体" w:cs="Times New Roman"/>
                <w:szCs w:val="21"/>
              </w:rPr>
            </w:pPr>
            <w:r>
              <w:rPr>
                <w:rFonts w:hint="eastAsia" w:ascii="宋体" w:hAnsi="宋体" w:eastAsia="宋体" w:cs="Times New Roman"/>
                <w:szCs w:val="21"/>
              </w:rPr>
              <w:t>位置</w:t>
            </w:r>
          </w:p>
        </w:tc>
        <w:tc>
          <w:tcPr>
            <w:tcW w:w="851" w:type="dxa"/>
            <w:vMerge w:val="continue"/>
            <w:vAlign w:val="center"/>
          </w:tcPr>
          <w:p>
            <w:pPr>
              <w:rPr>
                <w:rFonts w:hint="eastAsia" w:ascii="宋体" w:hAnsi="宋体" w:eastAsia="宋体" w:cs="Times New Roman"/>
                <w:szCs w:val="21"/>
              </w:rPr>
            </w:pPr>
          </w:p>
        </w:tc>
        <w:tc>
          <w:tcPr>
            <w:tcW w:w="3685" w:type="dxa"/>
            <w:vAlign w:val="center"/>
          </w:tcPr>
          <w:p>
            <w:pPr>
              <w:rPr>
                <w:rFonts w:hint="eastAsia" w:ascii="宋体" w:hAnsi="宋体" w:eastAsia="宋体" w:cs="Times New Roman"/>
                <w:szCs w:val="21"/>
              </w:rPr>
            </w:pPr>
            <w:r>
              <w:rPr>
                <w:rFonts w:hint="eastAsia" w:ascii="宋体" w:hAnsi="宋体" w:eastAsia="宋体" w:cs="Times New Roman"/>
                <w:szCs w:val="21"/>
              </w:rPr>
              <w:t>控制箱应水平安装，顶部安装高度宜2米，便于操作控制</w:t>
            </w:r>
          </w:p>
        </w:tc>
        <w:tc>
          <w:tcPr>
            <w:tcW w:w="851" w:type="dxa"/>
            <w:vAlign w:val="center"/>
          </w:tcPr>
          <w:p>
            <w:pPr>
              <w:jc w:val="center"/>
              <w:rPr>
                <w:rFonts w:hint="eastAsia" w:ascii="宋体" w:hAnsi="宋体" w:eastAsia="宋体" w:cs="Times New Roman"/>
                <w:szCs w:val="21"/>
              </w:rPr>
            </w:pPr>
            <w:r>
              <w:rPr>
                <w:rFonts w:hint="eastAsia" w:ascii="宋体" w:hAnsi="宋体" w:eastAsia="宋体" w:cs="Times New Roman"/>
                <w:szCs w:val="21"/>
              </w:rPr>
              <w:t>15</w:t>
            </w:r>
          </w:p>
        </w:tc>
        <w:tc>
          <w:tcPr>
            <w:tcW w:w="3260" w:type="dxa"/>
            <w:vAlign w:val="center"/>
          </w:tcPr>
          <w:p>
            <w:pPr>
              <w:rPr>
                <w:rFonts w:hint="eastAsia" w:ascii="宋体" w:hAnsi="宋体" w:eastAsia="宋体" w:cs="Times New Roman"/>
                <w:szCs w:val="21"/>
              </w:rPr>
            </w:pPr>
            <w:r>
              <w:rPr>
                <w:rFonts w:hint="eastAsia" w:ascii="宋体" w:hAnsi="宋体" w:eastAsia="宋体" w:cs="Times New Roman"/>
                <w:szCs w:val="21"/>
              </w:rPr>
              <w:t>全数实地检查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704" w:type="dxa"/>
            <w:vMerge w:val="continue"/>
            <w:vAlign w:val="center"/>
          </w:tcPr>
          <w:p>
            <w:pPr>
              <w:jc w:val="center"/>
              <w:rPr>
                <w:rFonts w:hint="eastAsia" w:ascii="宋体" w:hAnsi="宋体" w:eastAsia="宋体" w:cs="Times New Roman"/>
                <w:szCs w:val="21"/>
              </w:rPr>
            </w:pPr>
          </w:p>
        </w:tc>
        <w:tc>
          <w:tcPr>
            <w:tcW w:w="1677" w:type="dxa"/>
            <w:vMerge w:val="continue"/>
            <w:vAlign w:val="center"/>
          </w:tcPr>
          <w:p>
            <w:pPr>
              <w:rPr>
                <w:rFonts w:hint="eastAsia" w:ascii="宋体" w:hAnsi="宋体" w:eastAsia="宋体" w:cs="Times New Roman"/>
                <w:szCs w:val="21"/>
              </w:rPr>
            </w:pPr>
          </w:p>
        </w:tc>
        <w:tc>
          <w:tcPr>
            <w:tcW w:w="2859" w:type="dxa"/>
            <w:noWrap/>
            <w:vAlign w:val="center"/>
          </w:tcPr>
          <w:p>
            <w:pPr>
              <w:jc w:val="center"/>
              <w:rPr>
                <w:rFonts w:hint="eastAsia" w:ascii="宋体" w:hAnsi="宋体" w:eastAsia="宋体" w:cs="Times New Roman"/>
                <w:szCs w:val="21"/>
              </w:rPr>
            </w:pPr>
            <w:r>
              <w:rPr>
                <w:rFonts w:hint="eastAsia" w:ascii="宋体" w:hAnsi="宋体" w:eastAsia="宋体" w:cs="Times New Roman"/>
                <w:szCs w:val="21"/>
              </w:rPr>
              <w:t>外观</w:t>
            </w:r>
          </w:p>
        </w:tc>
        <w:tc>
          <w:tcPr>
            <w:tcW w:w="851" w:type="dxa"/>
            <w:vMerge w:val="continue"/>
            <w:vAlign w:val="center"/>
          </w:tcPr>
          <w:p>
            <w:pPr>
              <w:rPr>
                <w:rFonts w:hint="eastAsia" w:ascii="宋体" w:hAnsi="宋体" w:eastAsia="宋体" w:cs="Times New Roman"/>
                <w:szCs w:val="21"/>
              </w:rPr>
            </w:pPr>
          </w:p>
        </w:tc>
        <w:tc>
          <w:tcPr>
            <w:tcW w:w="3685" w:type="dxa"/>
            <w:vAlign w:val="center"/>
          </w:tcPr>
          <w:p>
            <w:pPr>
              <w:rPr>
                <w:rFonts w:hint="eastAsia" w:ascii="宋体" w:hAnsi="宋体" w:eastAsia="宋体" w:cs="Times New Roman"/>
                <w:szCs w:val="21"/>
              </w:rPr>
            </w:pPr>
            <w:r>
              <w:rPr>
                <w:rFonts w:hint="eastAsia" w:ascii="宋体" w:hAnsi="宋体" w:eastAsia="宋体" w:cs="Times New Roman"/>
                <w:szCs w:val="21"/>
              </w:rPr>
              <w:t>控制箱箱体无划痕、无污染</w:t>
            </w:r>
          </w:p>
        </w:tc>
        <w:tc>
          <w:tcPr>
            <w:tcW w:w="851" w:type="dxa"/>
            <w:vAlign w:val="center"/>
          </w:tcPr>
          <w:p>
            <w:pPr>
              <w:jc w:val="center"/>
              <w:rPr>
                <w:rFonts w:hint="eastAsia" w:ascii="宋体" w:hAnsi="宋体" w:eastAsia="宋体" w:cs="Times New Roman"/>
                <w:szCs w:val="21"/>
              </w:rPr>
            </w:pPr>
            <w:r>
              <w:rPr>
                <w:rFonts w:hint="eastAsia" w:ascii="宋体" w:hAnsi="宋体" w:eastAsia="宋体" w:cs="Times New Roman"/>
                <w:szCs w:val="21"/>
              </w:rPr>
              <w:t>15</w:t>
            </w:r>
          </w:p>
        </w:tc>
        <w:tc>
          <w:tcPr>
            <w:tcW w:w="3260" w:type="dxa"/>
            <w:vAlign w:val="center"/>
          </w:tcPr>
          <w:p>
            <w:pPr>
              <w:jc w:val="center"/>
              <w:rPr>
                <w:rFonts w:hint="eastAsia" w:ascii="宋体" w:hAnsi="宋体" w:eastAsia="宋体" w:cs="Times New Roman"/>
                <w:szCs w:val="21"/>
              </w:rPr>
            </w:pPr>
            <w:r>
              <w:rPr>
                <w:rFonts w:hint="eastAsia" w:ascii="宋体" w:hAnsi="宋体" w:eastAsia="宋体" w:cs="Times New Roman"/>
                <w:szCs w:val="21"/>
              </w:rPr>
              <w:t>全数实地检查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704" w:type="dxa"/>
            <w:vMerge w:val="restart"/>
            <w:noWrap/>
            <w:vAlign w:val="center"/>
          </w:tcPr>
          <w:p>
            <w:pPr>
              <w:jc w:val="center"/>
              <w:rPr>
                <w:rFonts w:hint="eastAsia" w:ascii="宋体" w:hAnsi="宋体" w:eastAsia="宋体" w:cs="Times New Roman"/>
                <w:szCs w:val="21"/>
              </w:rPr>
            </w:pPr>
            <w:r>
              <w:rPr>
                <w:rFonts w:hint="eastAsia" w:ascii="宋体" w:hAnsi="宋体" w:eastAsia="宋体" w:cs="Times New Roman"/>
                <w:szCs w:val="21"/>
              </w:rPr>
              <w:t>9</w:t>
            </w:r>
          </w:p>
        </w:tc>
        <w:tc>
          <w:tcPr>
            <w:tcW w:w="1677" w:type="dxa"/>
            <w:vMerge w:val="restart"/>
            <w:noWrap/>
            <w:vAlign w:val="center"/>
          </w:tcPr>
          <w:p>
            <w:pPr>
              <w:rPr>
                <w:rFonts w:hint="eastAsia" w:ascii="宋体" w:hAnsi="宋体" w:eastAsia="宋体" w:cs="Times New Roman"/>
                <w:szCs w:val="21"/>
              </w:rPr>
            </w:pPr>
            <w:r>
              <w:rPr>
                <w:rFonts w:hint="eastAsia" w:ascii="宋体" w:hAnsi="宋体" w:eastAsia="宋体" w:cs="Times New Roman"/>
                <w:szCs w:val="21"/>
              </w:rPr>
              <w:t>J系统调试</w:t>
            </w:r>
          </w:p>
        </w:tc>
        <w:tc>
          <w:tcPr>
            <w:tcW w:w="2859" w:type="dxa"/>
            <w:noWrap/>
          </w:tcPr>
          <w:p>
            <w:pPr>
              <w:jc w:val="center"/>
              <w:rPr>
                <w:rFonts w:hint="eastAsia" w:ascii="宋体" w:hAnsi="宋体" w:eastAsia="宋体" w:cs="Times New Roman"/>
                <w:szCs w:val="21"/>
              </w:rPr>
            </w:pPr>
            <w:r>
              <w:rPr>
                <w:rFonts w:hint="eastAsia" w:cs="宋体" w:asciiTheme="minorEastAsia" w:hAnsiTheme="minorEastAsia"/>
                <w:b/>
                <w:bCs/>
                <w:kern w:val="0"/>
                <w:szCs w:val="21"/>
              </w:rPr>
              <w:t>主控项</w:t>
            </w:r>
          </w:p>
        </w:tc>
        <w:tc>
          <w:tcPr>
            <w:tcW w:w="851" w:type="dxa"/>
            <w:vMerge w:val="restart"/>
            <w:noWrap/>
            <w:vAlign w:val="center"/>
          </w:tcPr>
          <w:p>
            <w:pPr>
              <w:jc w:val="center"/>
              <w:rPr>
                <w:rFonts w:hint="eastAsia" w:ascii="宋体" w:hAnsi="宋体" w:eastAsia="宋体" w:cs="Times New Roman"/>
                <w:b/>
                <w:bCs/>
                <w:szCs w:val="21"/>
              </w:rPr>
            </w:pPr>
            <w:r>
              <w:rPr>
                <w:rFonts w:hint="eastAsia" w:cs="Times New Roman" w:asciiTheme="minorEastAsia" w:hAnsiTheme="minorEastAsia"/>
                <w:szCs w:val="21"/>
              </w:rPr>
              <w:t>0.20</w:t>
            </w:r>
          </w:p>
        </w:tc>
        <w:tc>
          <w:tcPr>
            <w:tcW w:w="3685" w:type="dxa"/>
          </w:tcPr>
          <w:p>
            <w:pPr>
              <w:jc w:val="center"/>
              <w:rPr>
                <w:rFonts w:hint="eastAsia" w:ascii="宋体" w:hAnsi="宋体" w:eastAsia="宋体" w:cs="Times New Roman"/>
                <w:szCs w:val="21"/>
              </w:rPr>
            </w:pPr>
            <w:r>
              <w:rPr>
                <w:rFonts w:hint="eastAsia" w:cs="宋体" w:asciiTheme="minorEastAsia" w:hAnsiTheme="minorEastAsia"/>
                <w:b/>
                <w:bCs/>
                <w:kern w:val="0"/>
                <w:szCs w:val="21"/>
              </w:rPr>
              <w:t>主控项评分要点</w:t>
            </w:r>
          </w:p>
        </w:tc>
        <w:tc>
          <w:tcPr>
            <w:tcW w:w="851" w:type="dxa"/>
          </w:tcPr>
          <w:p>
            <w:pPr>
              <w:jc w:val="center"/>
              <w:rPr>
                <w:rFonts w:hint="eastAsia" w:ascii="宋体" w:hAnsi="宋体" w:eastAsia="宋体" w:cs="Times New Roman"/>
                <w:szCs w:val="21"/>
              </w:rPr>
            </w:pPr>
          </w:p>
        </w:tc>
        <w:tc>
          <w:tcPr>
            <w:tcW w:w="3260" w:type="dxa"/>
          </w:tcPr>
          <w:p>
            <w:pPr>
              <w:jc w:val="center"/>
              <w:rPr>
                <w:rFonts w:hint="eastAsia" w:ascii="宋体" w:hAnsi="宋体" w:eastAsia="宋体" w:cs="Times New Roman"/>
                <w:b/>
                <w:bCs/>
                <w:szCs w:val="21"/>
              </w:rPr>
            </w:pPr>
            <w:r>
              <w:rPr>
                <w:rFonts w:hint="eastAsia" w:ascii="宋体" w:hAnsi="宋体" w:eastAsia="宋体" w:cs="Times New Roman"/>
                <w:b/>
                <w:bCs/>
                <w:szCs w:val="21"/>
              </w:rPr>
              <w:t>评定方法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704" w:type="dxa"/>
            <w:vMerge w:val="continue"/>
            <w:noWrap/>
            <w:vAlign w:val="center"/>
          </w:tcPr>
          <w:p>
            <w:pPr>
              <w:jc w:val="center"/>
              <w:rPr>
                <w:rFonts w:hint="eastAsia" w:ascii="宋体" w:hAnsi="宋体" w:eastAsia="宋体" w:cs="Times New Roman"/>
                <w:szCs w:val="21"/>
              </w:rPr>
            </w:pPr>
          </w:p>
        </w:tc>
        <w:tc>
          <w:tcPr>
            <w:tcW w:w="1677" w:type="dxa"/>
            <w:vMerge w:val="continue"/>
            <w:noWrap/>
            <w:vAlign w:val="center"/>
          </w:tcPr>
          <w:p>
            <w:pPr>
              <w:rPr>
                <w:rFonts w:hint="eastAsia" w:ascii="宋体" w:hAnsi="宋体" w:eastAsia="宋体" w:cs="Times New Roman"/>
                <w:szCs w:val="21"/>
              </w:rPr>
            </w:pPr>
          </w:p>
        </w:tc>
        <w:tc>
          <w:tcPr>
            <w:tcW w:w="2859" w:type="dxa"/>
            <w:noWrap/>
          </w:tcPr>
          <w:p>
            <w:pPr>
              <w:jc w:val="center"/>
              <w:rPr>
                <w:rFonts w:hint="eastAsia" w:ascii="宋体" w:hAnsi="宋体" w:eastAsia="宋体" w:cs="Times New Roman"/>
                <w:szCs w:val="21"/>
              </w:rPr>
            </w:pPr>
            <w:r>
              <w:rPr>
                <w:rFonts w:hint="eastAsia" w:cs="宋体" w:asciiTheme="minorEastAsia" w:hAnsiTheme="minorEastAsia"/>
                <w:kern w:val="0"/>
                <w:szCs w:val="21"/>
              </w:rPr>
              <w:t>调试方案</w:t>
            </w:r>
          </w:p>
        </w:tc>
        <w:tc>
          <w:tcPr>
            <w:tcW w:w="851" w:type="dxa"/>
            <w:vMerge w:val="continue"/>
            <w:noWrap/>
          </w:tcPr>
          <w:p>
            <w:pPr>
              <w:jc w:val="center"/>
              <w:rPr>
                <w:rFonts w:hint="eastAsia" w:cs="Times New Roman" w:asciiTheme="minorEastAsia" w:hAnsiTheme="minorEastAsia"/>
                <w:szCs w:val="21"/>
              </w:rPr>
            </w:pPr>
          </w:p>
        </w:tc>
        <w:tc>
          <w:tcPr>
            <w:tcW w:w="3685" w:type="dxa"/>
          </w:tcPr>
          <w:p>
            <w:pPr>
              <w:jc w:val="left"/>
              <w:rPr>
                <w:rFonts w:hint="eastAsia" w:ascii="宋体" w:hAnsi="宋体" w:eastAsia="宋体" w:cs="Times New Roman"/>
                <w:szCs w:val="21"/>
              </w:rPr>
            </w:pPr>
            <w:r>
              <w:rPr>
                <w:rFonts w:hint="eastAsia" w:cs="宋体" w:asciiTheme="minorEastAsia" w:hAnsiTheme="minorEastAsia"/>
                <w:kern w:val="0"/>
                <w:szCs w:val="21"/>
              </w:rPr>
              <w:t>调试之前编制完成完善的调试方案</w:t>
            </w:r>
          </w:p>
        </w:tc>
        <w:tc>
          <w:tcPr>
            <w:tcW w:w="851" w:type="dxa"/>
          </w:tcPr>
          <w:p>
            <w:pPr>
              <w:jc w:val="center"/>
              <w:rPr>
                <w:rFonts w:hint="eastAsia" w:ascii="宋体" w:hAnsi="宋体" w:eastAsia="宋体" w:cs="Times New Roman"/>
                <w:szCs w:val="21"/>
              </w:rPr>
            </w:pPr>
            <w:r>
              <w:rPr>
                <w:rFonts w:hint="eastAsia" w:cs="宋体" w:asciiTheme="minorEastAsia" w:hAnsiTheme="minorEastAsia"/>
                <w:kern w:val="0"/>
                <w:szCs w:val="21"/>
              </w:rPr>
              <w:t>30</w:t>
            </w:r>
          </w:p>
        </w:tc>
        <w:tc>
          <w:tcPr>
            <w:tcW w:w="3260" w:type="dxa"/>
          </w:tcPr>
          <w:p>
            <w:pPr>
              <w:jc w:val="center"/>
              <w:rPr>
                <w:rFonts w:hint="eastAsia" w:ascii="宋体" w:hAnsi="宋体" w:eastAsia="宋体" w:cs="Times New Roman"/>
                <w:szCs w:val="21"/>
              </w:rPr>
            </w:pPr>
            <w:r>
              <w:rPr>
                <w:rFonts w:hint="eastAsia" w:cs="宋体" w:asciiTheme="minorEastAsia" w:hAnsiTheme="minorEastAsia"/>
                <w:kern w:val="0"/>
                <w:szCs w:val="21"/>
              </w:rPr>
              <w:t>核实竣备归档资料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704" w:type="dxa"/>
            <w:vMerge w:val="continue"/>
            <w:noWrap/>
            <w:vAlign w:val="center"/>
          </w:tcPr>
          <w:p>
            <w:pPr>
              <w:jc w:val="center"/>
              <w:rPr>
                <w:rFonts w:hint="eastAsia" w:ascii="宋体" w:hAnsi="宋体" w:eastAsia="宋体" w:cs="Times New Roman"/>
                <w:szCs w:val="21"/>
              </w:rPr>
            </w:pPr>
          </w:p>
        </w:tc>
        <w:tc>
          <w:tcPr>
            <w:tcW w:w="1677" w:type="dxa"/>
            <w:vMerge w:val="continue"/>
            <w:noWrap/>
            <w:vAlign w:val="center"/>
          </w:tcPr>
          <w:p>
            <w:pPr>
              <w:rPr>
                <w:rFonts w:hint="eastAsia" w:ascii="宋体" w:hAnsi="宋体" w:eastAsia="宋体" w:cs="Times New Roman"/>
                <w:szCs w:val="21"/>
              </w:rPr>
            </w:pPr>
          </w:p>
        </w:tc>
        <w:tc>
          <w:tcPr>
            <w:tcW w:w="2859" w:type="dxa"/>
            <w:noWrap/>
          </w:tcPr>
          <w:p>
            <w:pPr>
              <w:jc w:val="center"/>
              <w:rPr>
                <w:rFonts w:hint="eastAsia" w:ascii="宋体" w:hAnsi="宋体" w:eastAsia="宋体" w:cs="Times New Roman"/>
                <w:szCs w:val="21"/>
              </w:rPr>
            </w:pPr>
            <w:r>
              <w:rPr>
                <w:rFonts w:hint="eastAsia" w:cs="宋体" w:asciiTheme="minorEastAsia" w:hAnsiTheme="minorEastAsia"/>
                <w:kern w:val="0"/>
                <w:szCs w:val="21"/>
              </w:rPr>
              <w:t>调试工作进程</w:t>
            </w:r>
          </w:p>
        </w:tc>
        <w:tc>
          <w:tcPr>
            <w:tcW w:w="851" w:type="dxa"/>
            <w:vMerge w:val="continue"/>
            <w:noWrap/>
          </w:tcPr>
          <w:p>
            <w:pPr>
              <w:jc w:val="center"/>
              <w:rPr>
                <w:rFonts w:hint="eastAsia" w:cs="Times New Roman" w:asciiTheme="minorEastAsia" w:hAnsiTheme="minorEastAsia"/>
                <w:szCs w:val="21"/>
              </w:rPr>
            </w:pPr>
          </w:p>
        </w:tc>
        <w:tc>
          <w:tcPr>
            <w:tcW w:w="3685" w:type="dxa"/>
          </w:tcPr>
          <w:p>
            <w:pPr>
              <w:jc w:val="center"/>
              <w:rPr>
                <w:rFonts w:hint="eastAsia" w:ascii="宋体" w:hAnsi="宋体" w:eastAsia="宋体" w:cs="Times New Roman"/>
                <w:szCs w:val="21"/>
              </w:rPr>
            </w:pPr>
            <w:r>
              <w:rPr>
                <w:rFonts w:hint="eastAsia" w:cs="宋体" w:asciiTheme="minorEastAsia" w:hAnsiTheme="minorEastAsia"/>
                <w:kern w:val="0"/>
                <w:szCs w:val="21"/>
              </w:rPr>
              <w:t>仪器设备校准及按方案进行调试</w:t>
            </w:r>
          </w:p>
        </w:tc>
        <w:tc>
          <w:tcPr>
            <w:tcW w:w="851" w:type="dxa"/>
          </w:tcPr>
          <w:p>
            <w:pPr>
              <w:jc w:val="center"/>
              <w:rPr>
                <w:rFonts w:hint="eastAsia" w:ascii="宋体" w:hAnsi="宋体" w:eastAsia="宋体" w:cs="Times New Roman"/>
                <w:szCs w:val="21"/>
              </w:rPr>
            </w:pPr>
            <w:r>
              <w:rPr>
                <w:rFonts w:hint="eastAsia" w:cs="宋体" w:asciiTheme="minorEastAsia" w:hAnsiTheme="minorEastAsia"/>
                <w:kern w:val="0"/>
                <w:szCs w:val="21"/>
              </w:rPr>
              <w:t>40</w:t>
            </w:r>
          </w:p>
        </w:tc>
        <w:tc>
          <w:tcPr>
            <w:tcW w:w="3260" w:type="dxa"/>
          </w:tcPr>
          <w:p>
            <w:pPr>
              <w:jc w:val="center"/>
              <w:rPr>
                <w:rFonts w:hint="eastAsia" w:ascii="宋体" w:hAnsi="宋体" w:eastAsia="宋体" w:cs="Times New Roman"/>
                <w:szCs w:val="21"/>
              </w:rPr>
            </w:pPr>
            <w:r>
              <w:rPr>
                <w:rFonts w:hint="eastAsia" w:cs="宋体" w:asciiTheme="minorEastAsia" w:hAnsiTheme="minorEastAsia"/>
                <w:kern w:val="0"/>
                <w:szCs w:val="21"/>
              </w:rPr>
              <w:t>调试过程影像等资料归档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704" w:type="dxa"/>
            <w:vMerge w:val="continue"/>
            <w:noWrap/>
            <w:vAlign w:val="center"/>
          </w:tcPr>
          <w:p>
            <w:pPr>
              <w:jc w:val="center"/>
              <w:rPr>
                <w:rFonts w:hint="eastAsia" w:ascii="宋体" w:hAnsi="宋体" w:eastAsia="宋体" w:cs="Times New Roman"/>
                <w:szCs w:val="21"/>
              </w:rPr>
            </w:pPr>
          </w:p>
        </w:tc>
        <w:tc>
          <w:tcPr>
            <w:tcW w:w="1677" w:type="dxa"/>
            <w:vMerge w:val="continue"/>
            <w:noWrap/>
            <w:vAlign w:val="center"/>
          </w:tcPr>
          <w:p>
            <w:pPr>
              <w:rPr>
                <w:rFonts w:hint="eastAsia" w:ascii="宋体" w:hAnsi="宋体" w:eastAsia="宋体" w:cs="Times New Roman"/>
                <w:szCs w:val="21"/>
              </w:rPr>
            </w:pPr>
          </w:p>
        </w:tc>
        <w:tc>
          <w:tcPr>
            <w:tcW w:w="2859" w:type="dxa"/>
            <w:noWrap/>
          </w:tcPr>
          <w:p>
            <w:pPr>
              <w:jc w:val="center"/>
              <w:rPr>
                <w:rFonts w:hint="eastAsia" w:ascii="宋体" w:hAnsi="宋体" w:eastAsia="宋体" w:cs="Times New Roman"/>
                <w:szCs w:val="21"/>
              </w:rPr>
            </w:pPr>
            <w:r>
              <w:rPr>
                <w:rFonts w:hint="eastAsia" w:cs="宋体" w:asciiTheme="minorEastAsia" w:hAnsiTheme="minorEastAsia"/>
                <w:kern w:val="0"/>
                <w:szCs w:val="21"/>
              </w:rPr>
              <w:t>调试效果</w:t>
            </w:r>
          </w:p>
        </w:tc>
        <w:tc>
          <w:tcPr>
            <w:tcW w:w="851" w:type="dxa"/>
            <w:vMerge w:val="continue"/>
            <w:noWrap/>
          </w:tcPr>
          <w:p>
            <w:pPr>
              <w:jc w:val="center"/>
              <w:rPr>
                <w:rFonts w:hint="eastAsia" w:cs="Times New Roman" w:asciiTheme="minorEastAsia" w:hAnsiTheme="minorEastAsia"/>
                <w:szCs w:val="21"/>
              </w:rPr>
            </w:pPr>
          </w:p>
        </w:tc>
        <w:tc>
          <w:tcPr>
            <w:tcW w:w="3685" w:type="dxa"/>
          </w:tcPr>
          <w:p>
            <w:pPr>
              <w:jc w:val="center"/>
              <w:rPr>
                <w:rFonts w:hint="eastAsia" w:ascii="宋体" w:hAnsi="宋体" w:eastAsia="宋体" w:cs="Times New Roman"/>
                <w:szCs w:val="21"/>
              </w:rPr>
            </w:pPr>
            <w:r>
              <w:rPr>
                <w:rFonts w:hint="eastAsia" w:cs="宋体" w:asciiTheme="minorEastAsia" w:hAnsiTheme="minorEastAsia"/>
                <w:kern w:val="0"/>
                <w:szCs w:val="21"/>
              </w:rPr>
              <w:t>系统满足设计风量、风压等要求</w:t>
            </w:r>
          </w:p>
        </w:tc>
        <w:tc>
          <w:tcPr>
            <w:tcW w:w="851" w:type="dxa"/>
          </w:tcPr>
          <w:p>
            <w:pPr>
              <w:jc w:val="center"/>
              <w:rPr>
                <w:rFonts w:hint="eastAsia" w:ascii="宋体" w:hAnsi="宋体" w:eastAsia="宋体" w:cs="Times New Roman"/>
                <w:szCs w:val="21"/>
              </w:rPr>
            </w:pPr>
            <w:r>
              <w:rPr>
                <w:rFonts w:hint="eastAsia" w:cs="宋体" w:asciiTheme="minorEastAsia" w:hAnsiTheme="minorEastAsia"/>
                <w:kern w:val="0"/>
                <w:szCs w:val="21"/>
              </w:rPr>
              <w:t>30</w:t>
            </w:r>
          </w:p>
        </w:tc>
        <w:tc>
          <w:tcPr>
            <w:tcW w:w="3260" w:type="dxa"/>
          </w:tcPr>
          <w:p>
            <w:pPr>
              <w:jc w:val="center"/>
              <w:rPr>
                <w:rFonts w:hint="eastAsia" w:ascii="宋体" w:hAnsi="宋体" w:eastAsia="宋体" w:cs="Times New Roman"/>
                <w:szCs w:val="21"/>
              </w:rPr>
            </w:pPr>
            <w:r>
              <w:rPr>
                <w:rFonts w:hint="eastAsia" w:cs="宋体" w:asciiTheme="minorEastAsia" w:hAnsiTheme="minorEastAsia"/>
                <w:kern w:val="0"/>
                <w:szCs w:val="21"/>
              </w:rPr>
              <w:t>差异+10%/-5%以内为合格</w:t>
            </w:r>
          </w:p>
        </w:tc>
      </w:tr>
    </w:tbl>
    <w:p>
      <w:pPr>
        <w:rPr>
          <w:rFonts w:eastAsia="宋体" w:cs="Times New Roman"/>
          <w:szCs w:val="24"/>
        </w:rPr>
      </w:pPr>
    </w:p>
    <w:p>
      <w:pPr>
        <w:rPr>
          <w:rFonts w:eastAsia="宋体" w:cs="Times New Roman"/>
          <w:szCs w:val="24"/>
        </w:rPr>
      </w:pPr>
    </w:p>
    <w:p>
      <w:pPr>
        <w:widowControl/>
        <w:jc w:val="center"/>
        <w:rPr>
          <w:rFonts w:hint="eastAsia" w:ascii="宋体" w:hAnsi="宋体" w:eastAsia="宋体" w:cs="Times New Roman"/>
          <w:b/>
          <w:bCs/>
          <w:szCs w:val="24"/>
        </w:rPr>
      </w:pPr>
      <w:r>
        <w:rPr>
          <w:rFonts w:eastAsia="宋体" w:cs="Times New Roman"/>
          <w:szCs w:val="24"/>
        </w:rPr>
        <w:br w:type="page"/>
      </w:r>
      <w:r>
        <w:rPr>
          <w:rFonts w:ascii="宋体" w:hAnsi="宋体" w:eastAsia="宋体" w:cs="Times New Roman"/>
          <w:b/>
          <w:bCs/>
          <w:szCs w:val="21"/>
        </w:rPr>
        <w:t>4.2.</w:t>
      </w:r>
      <w:r>
        <w:rPr>
          <w:rFonts w:hint="eastAsia" w:ascii="宋体" w:hAnsi="宋体" w:eastAsia="宋体" w:cs="Times New Roman"/>
          <w:b/>
          <w:bCs/>
          <w:szCs w:val="21"/>
        </w:rPr>
        <w:t>9</w:t>
      </w:r>
      <w:r>
        <w:rPr>
          <w:rFonts w:ascii="宋体" w:hAnsi="宋体" w:eastAsia="宋体" w:cs="Times New Roman"/>
          <w:b/>
          <w:bCs/>
          <w:szCs w:val="21"/>
        </w:rPr>
        <w:t>-</w:t>
      </w:r>
      <w:r>
        <w:rPr>
          <w:rFonts w:hint="eastAsia" w:ascii="宋体" w:hAnsi="宋体" w:eastAsia="宋体" w:cs="Times New Roman"/>
          <w:b/>
          <w:bCs/>
          <w:szCs w:val="21"/>
        </w:rPr>
        <w:t>4</w:t>
      </w:r>
      <w:r>
        <w:rPr>
          <w:rFonts w:hint="eastAsia" w:ascii="宋体" w:hAnsi="宋体" w:eastAsia="宋体"/>
          <w:b/>
          <w:bCs/>
        </w:rPr>
        <w:t>自然通风防烟/排烟系统</w:t>
      </w:r>
      <w:r>
        <w:rPr>
          <w:rFonts w:hint="eastAsia" w:ascii="宋体" w:hAnsi="宋体" w:eastAsia="宋体" w:cs="Times New Roman"/>
          <w:b/>
          <w:bCs/>
          <w:szCs w:val="21"/>
        </w:rPr>
        <w:t>施工与调试评分项评定表（一级权重因子：X3）</w:t>
      </w:r>
    </w:p>
    <w:tbl>
      <w:tblPr>
        <w:tblStyle w:val="17"/>
        <w:tblW w:w="13953" w:type="dxa"/>
        <w:jc w:val="center"/>
        <w:tblLayout w:type="autofit"/>
        <w:tblCellMar>
          <w:top w:w="0" w:type="dxa"/>
          <w:left w:w="108" w:type="dxa"/>
          <w:bottom w:w="0" w:type="dxa"/>
          <w:right w:w="108" w:type="dxa"/>
        </w:tblCellMar>
      </w:tblPr>
      <w:tblGrid>
        <w:gridCol w:w="660"/>
        <w:gridCol w:w="1320"/>
        <w:gridCol w:w="1985"/>
        <w:gridCol w:w="850"/>
        <w:gridCol w:w="4393"/>
        <w:gridCol w:w="776"/>
        <w:gridCol w:w="3969"/>
      </w:tblGrid>
      <w:tr>
        <w:tblPrEx>
          <w:tblCellMar>
            <w:top w:w="0" w:type="dxa"/>
            <w:left w:w="108" w:type="dxa"/>
            <w:bottom w:w="0" w:type="dxa"/>
            <w:right w:w="108" w:type="dxa"/>
          </w:tblCellMar>
        </w:tblPrEx>
        <w:trPr>
          <w:trHeight w:val="840" w:hRule="atLeast"/>
          <w:tblHeader/>
          <w:jc w:val="center"/>
        </w:trPr>
        <w:tc>
          <w:tcPr>
            <w:tcW w:w="660"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cs="宋体" w:asciiTheme="minorEastAsia" w:hAnsiTheme="minorEastAsia"/>
                <w:b/>
                <w:bCs/>
                <w:kern w:val="0"/>
                <w:szCs w:val="21"/>
              </w:rPr>
            </w:pPr>
            <w:r>
              <w:rPr>
                <w:rFonts w:hint="eastAsia" w:cs="宋体" w:asciiTheme="minorEastAsia" w:hAnsiTheme="minorEastAsia"/>
                <w:b/>
                <w:bCs/>
                <w:kern w:val="0"/>
                <w:szCs w:val="21"/>
              </w:rPr>
              <w:t>序号</w:t>
            </w:r>
          </w:p>
        </w:tc>
        <w:tc>
          <w:tcPr>
            <w:tcW w:w="1320" w:type="dxa"/>
            <w:tcBorders>
              <w:top w:val="single" w:color="auto" w:sz="4" w:space="0"/>
              <w:left w:val="nil"/>
              <w:bottom w:val="single" w:color="auto" w:sz="4" w:space="0"/>
              <w:right w:val="single" w:color="auto" w:sz="4" w:space="0"/>
            </w:tcBorders>
            <w:noWrap/>
            <w:vAlign w:val="center"/>
          </w:tcPr>
          <w:p>
            <w:pPr>
              <w:widowControl/>
              <w:jc w:val="center"/>
              <w:rPr>
                <w:rFonts w:hint="eastAsia" w:cs="宋体" w:asciiTheme="minorEastAsia" w:hAnsiTheme="minorEastAsia"/>
                <w:b/>
                <w:bCs/>
                <w:kern w:val="0"/>
                <w:szCs w:val="21"/>
              </w:rPr>
            </w:pPr>
            <w:r>
              <w:rPr>
                <w:rFonts w:hint="eastAsia" w:cs="宋体" w:asciiTheme="minorEastAsia" w:hAnsiTheme="minorEastAsia"/>
                <w:b/>
                <w:bCs/>
                <w:kern w:val="0"/>
                <w:szCs w:val="21"/>
              </w:rPr>
              <w:t>评定指标</w:t>
            </w:r>
          </w:p>
        </w:tc>
        <w:tc>
          <w:tcPr>
            <w:tcW w:w="1985" w:type="dxa"/>
            <w:tcBorders>
              <w:top w:val="single" w:color="auto" w:sz="4" w:space="0"/>
              <w:left w:val="nil"/>
              <w:bottom w:val="single" w:color="auto" w:sz="4" w:space="0"/>
              <w:right w:val="single" w:color="auto" w:sz="4" w:space="0"/>
            </w:tcBorders>
            <w:noWrap/>
            <w:vAlign w:val="center"/>
          </w:tcPr>
          <w:p>
            <w:pPr>
              <w:widowControl/>
              <w:jc w:val="center"/>
              <w:rPr>
                <w:rFonts w:hint="eastAsia" w:cs="宋体" w:asciiTheme="minorEastAsia" w:hAnsiTheme="minorEastAsia"/>
                <w:b/>
                <w:bCs/>
                <w:kern w:val="0"/>
                <w:szCs w:val="21"/>
              </w:rPr>
            </w:pPr>
            <w:r>
              <w:rPr>
                <w:rFonts w:hint="eastAsia" w:cs="宋体" w:asciiTheme="minorEastAsia" w:hAnsiTheme="minorEastAsia"/>
                <w:b/>
                <w:bCs/>
                <w:kern w:val="0"/>
                <w:szCs w:val="21"/>
              </w:rPr>
              <w:t>评分项</w:t>
            </w:r>
          </w:p>
        </w:tc>
        <w:tc>
          <w:tcPr>
            <w:tcW w:w="850" w:type="dxa"/>
            <w:tcBorders>
              <w:top w:val="single" w:color="auto" w:sz="4" w:space="0"/>
              <w:bottom w:val="single" w:color="auto" w:sz="4" w:space="0"/>
              <w:right w:val="single" w:color="auto" w:sz="4" w:space="0"/>
            </w:tcBorders>
          </w:tcPr>
          <w:p>
            <w:pPr>
              <w:widowControl/>
              <w:jc w:val="center"/>
              <w:rPr>
                <w:rFonts w:hint="eastAsia" w:cs="宋体" w:asciiTheme="minorEastAsia" w:hAnsiTheme="minorEastAsia"/>
                <w:b/>
                <w:bCs/>
                <w:kern w:val="0"/>
                <w:szCs w:val="21"/>
              </w:rPr>
            </w:pPr>
            <w:r>
              <w:rPr>
                <w:rFonts w:hint="eastAsia" w:cs="宋体" w:asciiTheme="minorEastAsia" w:hAnsiTheme="minorEastAsia"/>
                <w:b/>
                <w:bCs/>
                <w:kern w:val="0"/>
                <w:szCs w:val="21"/>
              </w:rPr>
              <w:t>二级权重因子</w:t>
            </w:r>
          </w:p>
        </w:tc>
        <w:tc>
          <w:tcPr>
            <w:tcW w:w="4393"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s="宋体" w:asciiTheme="minorEastAsia" w:hAnsiTheme="minorEastAsia"/>
                <w:b/>
                <w:bCs/>
                <w:kern w:val="0"/>
                <w:szCs w:val="21"/>
              </w:rPr>
            </w:pPr>
            <w:r>
              <w:rPr>
                <w:rFonts w:hint="eastAsia" w:cs="宋体" w:asciiTheme="minorEastAsia" w:hAnsiTheme="minorEastAsia"/>
                <w:b/>
                <w:bCs/>
                <w:kern w:val="0"/>
                <w:szCs w:val="21"/>
              </w:rPr>
              <w:t>评分要求</w:t>
            </w:r>
          </w:p>
        </w:tc>
        <w:tc>
          <w:tcPr>
            <w:tcW w:w="776" w:type="dxa"/>
            <w:tcBorders>
              <w:top w:val="single" w:color="auto" w:sz="4" w:space="0"/>
              <w:left w:val="nil"/>
              <w:bottom w:val="single" w:color="auto" w:sz="4" w:space="0"/>
              <w:right w:val="single" w:color="auto" w:sz="4" w:space="0"/>
            </w:tcBorders>
            <w:vAlign w:val="center"/>
          </w:tcPr>
          <w:p>
            <w:pPr>
              <w:widowControl/>
              <w:jc w:val="center"/>
              <w:rPr>
                <w:rFonts w:hint="eastAsia" w:cs="宋体" w:asciiTheme="minorEastAsia" w:hAnsiTheme="minorEastAsia"/>
                <w:b/>
                <w:bCs/>
                <w:kern w:val="0"/>
                <w:szCs w:val="21"/>
              </w:rPr>
            </w:pPr>
            <w:r>
              <w:rPr>
                <w:rFonts w:hint="eastAsia" w:cs="宋体" w:asciiTheme="minorEastAsia" w:hAnsiTheme="minorEastAsia"/>
                <w:b/>
                <w:bCs/>
                <w:kern w:val="0"/>
                <w:szCs w:val="21"/>
              </w:rPr>
              <w:t>评分</w:t>
            </w:r>
          </w:p>
        </w:tc>
        <w:tc>
          <w:tcPr>
            <w:tcW w:w="3969" w:type="dxa"/>
            <w:tcBorders>
              <w:top w:val="single" w:color="auto" w:sz="4" w:space="0"/>
              <w:left w:val="nil"/>
              <w:bottom w:val="single" w:color="auto" w:sz="4" w:space="0"/>
              <w:right w:val="single" w:color="auto" w:sz="4" w:space="0"/>
            </w:tcBorders>
            <w:vAlign w:val="center"/>
          </w:tcPr>
          <w:p>
            <w:pPr>
              <w:widowControl/>
              <w:jc w:val="center"/>
              <w:rPr>
                <w:rFonts w:hint="eastAsia" w:cs="宋体" w:asciiTheme="minorEastAsia" w:hAnsiTheme="minorEastAsia"/>
                <w:b/>
                <w:bCs/>
                <w:kern w:val="0"/>
                <w:szCs w:val="21"/>
              </w:rPr>
            </w:pPr>
            <w:r>
              <w:rPr>
                <w:rFonts w:hint="eastAsia" w:cs="宋体" w:asciiTheme="minorEastAsia" w:hAnsiTheme="minorEastAsia"/>
                <w:b/>
                <w:bCs/>
                <w:kern w:val="0"/>
                <w:szCs w:val="21"/>
              </w:rPr>
              <w:t>评定方法</w:t>
            </w:r>
          </w:p>
        </w:tc>
      </w:tr>
      <w:tr>
        <w:tblPrEx>
          <w:tblCellMar>
            <w:top w:w="0" w:type="dxa"/>
            <w:left w:w="108" w:type="dxa"/>
            <w:bottom w:w="0" w:type="dxa"/>
            <w:right w:w="108" w:type="dxa"/>
          </w:tblCellMar>
        </w:tblPrEx>
        <w:trPr>
          <w:trHeight w:val="280" w:hRule="atLeast"/>
          <w:jc w:val="center"/>
        </w:trPr>
        <w:tc>
          <w:tcPr>
            <w:tcW w:w="660" w:type="dxa"/>
            <w:vMerge w:val="restart"/>
            <w:tcBorders>
              <w:top w:val="nil"/>
              <w:left w:val="single" w:color="auto" w:sz="4" w:space="0"/>
              <w:right w:val="single" w:color="auto" w:sz="4" w:space="0"/>
            </w:tcBorders>
            <w:noWrap/>
            <w:vAlign w:val="center"/>
          </w:tcPr>
          <w:p>
            <w:pPr>
              <w:widowControl/>
              <w:rPr>
                <w:rFonts w:hint="eastAsia" w:cs="宋体" w:asciiTheme="minorEastAsia" w:hAnsiTheme="minorEastAsia"/>
                <w:kern w:val="0"/>
                <w:szCs w:val="21"/>
              </w:rPr>
            </w:pPr>
            <w:r>
              <w:rPr>
                <w:rFonts w:hint="eastAsia" w:cs="宋体" w:asciiTheme="minorEastAsia" w:hAnsiTheme="minorEastAsia"/>
                <w:kern w:val="0"/>
                <w:szCs w:val="21"/>
              </w:rPr>
              <w:t>　1</w:t>
            </w:r>
          </w:p>
        </w:tc>
        <w:tc>
          <w:tcPr>
            <w:tcW w:w="1320" w:type="dxa"/>
            <w:vMerge w:val="restart"/>
            <w:tcBorders>
              <w:top w:val="nil"/>
              <w:left w:val="single" w:color="auto" w:sz="4" w:space="0"/>
              <w:bottom w:val="single" w:color="000000" w:sz="4" w:space="0"/>
              <w:right w:val="single" w:color="auto" w:sz="4" w:space="0"/>
            </w:tcBorders>
            <w:noWrap/>
            <w:vAlign w:val="center"/>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A 自然排烟窗（消防联动）</w:t>
            </w:r>
          </w:p>
        </w:tc>
        <w:tc>
          <w:tcPr>
            <w:tcW w:w="1985" w:type="dxa"/>
            <w:tcBorders>
              <w:top w:val="nil"/>
              <w:left w:val="nil"/>
              <w:bottom w:val="single" w:color="auto" w:sz="4" w:space="0"/>
              <w:right w:val="single" w:color="auto" w:sz="4" w:space="0"/>
            </w:tcBorders>
            <w:noWrap/>
            <w:vAlign w:val="center"/>
          </w:tcPr>
          <w:p>
            <w:pPr>
              <w:widowControl/>
              <w:jc w:val="center"/>
              <w:rPr>
                <w:rFonts w:hint="eastAsia" w:cs="宋体" w:asciiTheme="minorEastAsia" w:hAnsiTheme="minorEastAsia"/>
                <w:b/>
                <w:bCs/>
                <w:kern w:val="0"/>
                <w:szCs w:val="21"/>
              </w:rPr>
            </w:pPr>
            <w:r>
              <w:rPr>
                <w:rFonts w:hint="eastAsia" w:cs="宋体" w:asciiTheme="minorEastAsia" w:hAnsiTheme="minorEastAsia"/>
                <w:b/>
                <w:bCs/>
                <w:kern w:val="0"/>
                <w:szCs w:val="21"/>
              </w:rPr>
              <w:t>主控项</w:t>
            </w:r>
          </w:p>
        </w:tc>
        <w:tc>
          <w:tcPr>
            <w:tcW w:w="850" w:type="dxa"/>
            <w:vMerge w:val="restart"/>
            <w:tcBorders>
              <w:top w:val="single" w:color="auto" w:sz="4" w:space="0"/>
              <w:right w:val="single" w:color="auto" w:sz="4" w:space="0"/>
            </w:tcBorders>
            <w:vAlign w:val="center"/>
          </w:tcPr>
          <w:p>
            <w:pPr>
              <w:widowControl/>
              <w:jc w:val="center"/>
              <w:rPr>
                <w:rFonts w:hint="eastAsia" w:cs="宋体" w:asciiTheme="minorEastAsia" w:hAnsiTheme="minorEastAsia"/>
                <w:b/>
                <w:bCs/>
                <w:kern w:val="0"/>
                <w:szCs w:val="21"/>
              </w:rPr>
            </w:pPr>
            <w:r>
              <w:rPr>
                <w:rFonts w:hint="eastAsia" w:cs="宋体" w:asciiTheme="minorEastAsia" w:hAnsiTheme="minorEastAsia"/>
                <w:kern w:val="0"/>
                <w:szCs w:val="21"/>
              </w:rPr>
              <w:t>0.60</w:t>
            </w:r>
          </w:p>
        </w:tc>
        <w:tc>
          <w:tcPr>
            <w:tcW w:w="4393" w:type="dxa"/>
            <w:tcBorders>
              <w:top w:val="nil"/>
              <w:left w:val="single" w:color="auto" w:sz="4" w:space="0"/>
              <w:bottom w:val="single" w:color="auto" w:sz="4" w:space="0"/>
              <w:right w:val="single" w:color="auto" w:sz="4" w:space="0"/>
            </w:tcBorders>
            <w:vAlign w:val="center"/>
          </w:tcPr>
          <w:p>
            <w:pPr>
              <w:widowControl/>
              <w:jc w:val="center"/>
              <w:rPr>
                <w:rFonts w:hint="eastAsia" w:cs="宋体" w:asciiTheme="minorEastAsia" w:hAnsiTheme="minorEastAsia"/>
                <w:b/>
                <w:bCs/>
                <w:kern w:val="0"/>
                <w:szCs w:val="21"/>
              </w:rPr>
            </w:pPr>
            <w:r>
              <w:rPr>
                <w:rFonts w:hint="eastAsia" w:cs="宋体" w:asciiTheme="minorEastAsia" w:hAnsiTheme="minorEastAsia"/>
                <w:b/>
                <w:bCs/>
                <w:kern w:val="0"/>
                <w:szCs w:val="21"/>
              </w:rPr>
              <w:t>主控项评分要点</w:t>
            </w:r>
          </w:p>
        </w:tc>
        <w:tc>
          <w:tcPr>
            <w:tcW w:w="776" w:type="dxa"/>
            <w:tcBorders>
              <w:top w:val="nil"/>
              <w:left w:val="nil"/>
              <w:bottom w:val="single" w:color="auto" w:sz="4" w:space="0"/>
              <w:right w:val="single" w:color="auto" w:sz="4" w:space="0"/>
            </w:tcBorders>
            <w:vAlign w:val="center"/>
          </w:tcPr>
          <w:p>
            <w:pPr>
              <w:widowControl/>
              <w:jc w:val="center"/>
              <w:rPr>
                <w:rFonts w:hint="eastAsia" w:cs="宋体" w:asciiTheme="minorEastAsia" w:hAnsiTheme="minorEastAsia"/>
                <w:b/>
                <w:bCs/>
                <w:kern w:val="0"/>
                <w:szCs w:val="21"/>
              </w:rPr>
            </w:pPr>
          </w:p>
        </w:tc>
        <w:tc>
          <w:tcPr>
            <w:tcW w:w="3969" w:type="dxa"/>
            <w:tcBorders>
              <w:top w:val="nil"/>
              <w:left w:val="nil"/>
              <w:bottom w:val="single" w:color="auto" w:sz="4" w:space="0"/>
              <w:right w:val="single" w:color="auto" w:sz="4" w:space="0"/>
            </w:tcBorders>
            <w:vAlign w:val="center"/>
          </w:tcPr>
          <w:p>
            <w:pPr>
              <w:widowControl/>
              <w:jc w:val="center"/>
              <w:rPr>
                <w:rFonts w:hint="eastAsia" w:cs="宋体" w:asciiTheme="minorEastAsia" w:hAnsiTheme="minorEastAsia"/>
                <w:b/>
                <w:bCs/>
                <w:kern w:val="0"/>
                <w:szCs w:val="21"/>
              </w:rPr>
            </w:pPr>
            <w:r>
              <w:rPr>
                <w:rFonts w:hint="eastAsia" w:cs="宋体" w:asciiTheme="minorEastAsia" w:hAnsiTheme="minorEastAsia"/>
                <w:b/>
                <w:bCs/>
                <w:kern w:val="0"/>
                <w:szCs w:val="21"/>
              </w:rPr>
              <w:t>评定方法</w:t>
            </w:r>
          </w:p>
        </w:tc>
      </w:tr>
      <w:tr>
        <w:tblPrEx>
          <w:tblCellMar>
            <w:top w:w="0" w:type="dxa"/>
            <w:left w:w="108" w:type="dxa"/>
            <w:bottom w:w="0" w:type="dxa"/>
            <w:right w:w="108" w:type="dxa"/>
          </w:tblCellMar>
        </w:tblPrEx>
        <w:trPr>
          <w:trHeight w:val="560" w:hRule="atLeast"/>
          <w:jc w:val="center"/>
        </w:trPr>
        <w:tc>
          <w:tcPr>
            <w:tcW w:w="660" w:type="dxa"/>
            <w:vMerge w:val="continue"/>
            <w:tcBorders>
              <w:left w:val="single" w:color="auto" w:sz="4" w:space="0"/>
              <w:right w:val="single" w:color="auto" w:sz="4" w:space="0"/>
            </w:tcBorders>
            <w:noWrap/>
            <w:vAlign w:val="center"/>
          </w:tcPr>
          <w:p>
            <w:pPr>
              <w:widowControl/>
              <w:jc w:val="center"/>
              <w:rPr>
                <w:rFonts w:hint="eastAsia" w:cs="宋体" w:asciiTheme="minorEastAsia" w:hAnsiTheme="minorEastAsia"/>
                <w:kern w:val="0"/>
                <w:szCs w:val="21"/>
              </w:rPr>
            </w:pPr>
          </w:p>
        </w:tc>
        <w:tc>
          <w:tcPr>
            <w:tcW w:w="1320"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cs="宋体" w:asciiTheme="minorEastAsia" w:hAnsiTheme="minorEastAsia"/>
                <w:kern w:val="0"/>
                <w:szCs w:val="21"/>
              </w:rPr>
            </w:pPr>
          </w:p>
        </w:tc>
        <w:tc>
          <w:tcPr>
            <w:tcW w:w="1985" w:type="dxa"/>
            <w:tcBorders>
              <w:top w:val="nil"/>
              <w:left w:val="nil"/>
              <w:bottom w:val="single" w:color="auto" w:sz="4" w:space="0"/>
              <w:right w:val="single" w:color="auto" w:sz="4" w:space="0"/>
            </w:tcBorders>
            <w:vAlign w:val="center"/>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排烟窗本身的资料</w:t>
            </w:r>
          </w:p>
        </w:tc>
        <w:tc>
          <w:tcPr>
            <w:tcW w:w="850" w:type="dxa"/>
            <w:vMerge w:val="continue"/>
            <w:tcBorders>
              <w:right w:val="single" w:color="auto" w:sz="4" w:space="0"/>
            </w:tcBorders>
          </w:tcPr>
          <w:p>
            <w:pPr>
              <w:widowControl/>
              <w:jc w:val="left"/>
              <w:rPr>
                <w:rFonts w:hint="eastAsia" w:cs="宋体" w:asciiTheme="minorEastAsia" w:hAnsiTheme="minorEastAsia"/>
                <w:kern w:val="0"/>
                <w:szCs w:val="21"/>
              </w:rPr>
            </w:pPr>
          </w:p>
        </w:tc>
        <w:tc>
          <w:tcPr>
            <w:tcW w:w="4393" w:type="dxa"/>
            <w:tcBorders>
              <w:top w:val="nil"/>
              <w:left w:val="single" w:color="auto" w:sz="4" w:space="0"/>
              <w:bottom w:val="single" w:color="auto" w:sz="4" w:space="0"/>
              <w:right w:val="single" w:color="auto" w:sz="4" w:space="0"/>
            </w:tcBorders>
            <w:vAlign w:val="center"/>
          </w:tcPr>
          <w:p>
            <w:pPr>
              <w:widowControl/>
              <w:jc w:val="left"/>
              <w:rPr>
                <w:rFonts w:hint="eastAsia" w:cs="宋体" w:asciiTheme="minorEastAsia" w:hAnsiTheme="minorEastAsia"/>
                <w:kern w:val="0"/>
                <w:szCs w:val="21"/>
              </w:rPr>
            </w:pPr>
            <w:r>
              <w:rPr>
                <w:rFonts w:hint="eastAsia" w:cs="宋体" w:asciiTheme="minorEastAsia" w:hAnsiTheme="minorEastAsia"/>
                <w:kern w:val="0"/>
                <w:szCs w:val="21"/>
              </w:rPr>
              <w:t>排烟窗进场时，需要对其资料进行严格审查，需满足建筑设计图纸及规范要求</w:t>
            </w:r>
          </w:p>
        </w:tc>
        <w:tc>
          <w:tcPr>
            <w:tcW w:w="776" w:type="dxa"/>
            <w:tcBorders>
              <w:top w:val="nil"/>
              <w:left w:val="nil"/>
              <w:bottom w:val="single" w:color="auto" w:sz="4" w:space="0"/>
              <w:right w:val="single" w:color="auto" w:sz="4" w:space="0"/>
            </w:tcBorders>
            <w:vAlign w:val="center"/>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 xml:space="preserve">20 </w:t>
            </w:r>
          </w:p>
        </w:tc>
        <w:tc>
          <w:tcPr>
            <w:tcW w:w="3969" w:type="dxa"/>
            <w:tcBorders>
              <w:top w:val="nil"/>
              <w:left w:val="nil"/>
              <w:bottom w:val="single" w:color="auto" w:sz="4" w:space="0"/>
              <w:right w:val="single" w:color="auto" w:sz="4" w:space="0"/>
            </w:tcBorders>
            <w:vAlign w:val="center"/>
          </w:tcPr>
          <w:p>
            <w:pPr>
              <w:widowControl/>
              <w:jc w:val="left"/>
              <w:rPr>
                <w:rFonts w:hint="eastAsia" w:cs="宋体" w:asciiTheme="minorEastAsia" w:hAnsiTheme="minorEastAsia"/>
                <w:kern w:val="0"/>
                <w:szCs w:val="21"/>
              </w:rPr>
            </w:pPr>
            <w:r>
              <w:rPr>
                <w:rFonts w:hint="eastAsia" w:cs="宋体" w:asciiTheme="minorEastAsia" w:hAnsiTheme="minorEastAsia"/>
                <w:kern w:val="0"/>
                <w:szCs w:val="21"/>
              </w:rPr>
              <w:t>具有检测报告原件，可判定为该产品可靠性不低于C级；检测结果有任意一个控制项不合格，则可靠性判定为D级。</w:t>
            </w:r>
          </w:p>
        </w:tc>
      </w:tr>
      <w:tr>
        <w:tblPrEx>
          <w:tblCellMar>
            <w:top w:w="0" w:type="dxa"/>
            <w:left w:w="108" w:type="dxa"/>
            <w:bottom w:w="0" w:type="dxa"/>
            <w:right w:w="108" w:type="dxa"/>
          </w:tblCellMar>
        </w:tblPrEx>
        <w:trPr>
          <w:trHeight w:val="280" w:hRule="atLeast"/>
          <w:jc w:val="center"/>
        </w:trPr>
        <w:tc>
          <w:tcPr>
            <w:tcW w:w="660" w:type="dxa"/>
            <w:vMerge w:val="continue"/>
            <w:tcBorders>
              <w:left w:val="single" w:color="auto" w:sz="4" w:space="0"/>
              <w:right w:val="single" w:color="auto" w:sz="4" w:space="0"/>
            </w:tcBorders>
            <w:noWrap/>
            <w:vAlign w:val="center"/>
          </w:tcPr>
          <w:p>
            <w:pPr>
              <w:widowControl/>
              <w:jc w:val="center"/>
              <w:rPr>
                <w:rFonts w:hint="eastAsia" w:cs="宋体" w:asciiTheme="minorEastAsia" w:hAnsiTheme="minorEastAsia"/>
                <w:kern w:val="0"/>
                <w:szCs w:val="21"/>
              </w:rPr>
            </w:pPr>
          </w:p>
        </w:tc>
        <w:tc>
          <w:tcPr>
            <w:tcW w:w="1320"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cs="宋体" w:asciiTheme="minorEastAsia" w:hAnsiTheme="minorEastAsia"/>
                <w:kern w:val="0"/>
                <w:szCs w:val="21"/>
              </w:rPr>
            </w:pPr>
          </w:p>
        </w:tc>
        <w:tc>
          <w:tcPr>
            <w:tcW w:w="1985" w:type="dxa"/>
            <w:tcBorders>
              <w:top w:val="nil"/>
              <w:left w:val="nil"/>
              <w:bottom w:val="single" w:color="auto" w:sz="4" w:space="0"/>
              <w:right w:val="single" w:color="auto" w:sz="4" w:space="0"/>
            </w:tcBorders>
            <w:noWrap/>
            <w:vAlign w:val="center"/>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型号、参数</w:t>
            </w:r>
          </w:p>
        </w:tc>
        <w:tc>
          <w:tcPr>
            <w:tcW w:w="850" w:type="dxa"/>
            <w:vMerge w:val="continue"/>
            <w:tcBorders>
              <w:right w:val="single" w:color="auto" w:sz="4" w:space="0"/>
            </w:tcBorders>
          </w:tcPr>
          <w:p>
            <w:pPr>
              <w:widowControl/>
              <w:jc w:val="left"/>
              <w:rPr>
                <w:rFonts w:hint="eastAsia" w:cs="宋体" w:asciiTheme="minorEastAsia" w:hAnsiTheme="minorEastAsia"/>
                <w:kern w:val="0"/>
                <w:szCs w:val="21"/>
              </w:rPr>
            </w:pPr>
          </w:p>
        </w:tc>
        <w:tc>
          <w:tcPr>
            <w:tcW w:w="4393" w:type="dxa"/>
            <w:tcBorders>
              <w:top w:val="nil"/>
              <w:left w:val="single" w:color="auto" w:sz="4" w:space="0"/>
              <w:bottom w:val="single" w:color="auto" w:sz="4" w:space="0"/>
              <w:right w:val="single" w:color="auto" w:sz="4" w:space="0"/>
            </w:tcBorders>
            <w:vAlign w:val="center"/>
          </w:tcPr>
          <w:p>
            <w:pPr>
              <w:widowControl/>
              <w:jc w:val="left"/>
              <w:rPr>
                <w:rFonts w:hint="eastAsia" w:cs="宋体" w:asciiTheme="minorEastAsia" w:hAnsiTheme="minorEastAsia"/>
                <w:kern w:val="0"/>
                <w:szCs w:val="21"/>
              </w:rPr>
            </w:pPr>
            <w:r>
              <w:rPr>
                <w:rFonts w:hint="eastAsia" w:cs="宋体" w:asciiTheme="minorEastAsia" w:hAnsiTheme="minorEastAsia"/>
                <w:kern w:val="0"/>
                <w:szCs w:val="21"/>
              </w:rPr>
              <w:t>窗体材料型号参数需与建筑设计图纸保持一致</w:t>
            </w:r>
          </w:p>
        </w:tc>
        <w:tc>
          <w:tcPr>
            <w:tcW w:w="776" w:type="dxa"/>
            <w:tcBorders>
              <w:top w:val="nil"/>
              <w:left w:val="nil"/>
              <w:bottom w:val="single" w:color="auto" w:sz="4" w:space="0"/>
              <w:right w:val="single" w:color="auto" w:sz="4" w:space="0"/>
            </w:tcBorders>
            <w:vAlign w:val="center"/>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 xml:space="preserve">15 </w:t>
            </w:r>
          </w:p>
        </w:tc>
        <w:tc>
          <w:tcPr>
            <w:tcW w:w="3969" w:type="dxa"/>
            <w:tcBorders>
              <w:top w:val="nil"/>
              <w:left w:val="nil"/>
              <w:bottom w:val="single" w:color="auto" w:sz="4" w:space="0"/>
              <w:right w:val="single" w:color="auto" w:sz="4" w:space="0"/>
            </w:tcBorders>
            <w:vAlign w:val="center"/>
          </w:tcPr>
          <w:p>
            <w:pPr>
              <w:widowControl/>
              <w:jc w:val="left"/>
              <w:rPr>
                <w:rFonts w:hint="eastAsia" w:cs="宋体" w:asciiTheme="minorEastAsia" w:hAnsiTheme="minorEastAsia"/>
                <w:kern w:val="0"/>
                <w:szCs w:val="21"/>
              </w:rPr>
            </w:pPr>
            <w:r>
              <w:rPr>
                <w:rFonts w:hint="eastAsia" w:cs="宋体" w:asciiTheme="minorEastAsia" w:hAnsiTheme="minorEastAsia"/>
                <w:kern w:val="0"/>
                <w:szCs w:val="21"/>
              </w:rPr>
              <w:t>排烟天窗的实体参数与设计参数与图纸进行核对</w:t>
            </w:r>
          </w:p>
        </w:tc>
      </w:tr>
      <w:tr>
        <w:tblPrEx>
          <w:tblCellMar>
            <w:top w:w="0" w:type="dxa"/>
            <w:left w:w="108" w:type="dxa"/>
            <w:bottom w:w="0" w:type="dxa"/>
            <w:right w:w="108" w:type="dxa"/>
          </w:tblCellMar>
        </w:tblPrEx>
        <w:trPr>
          <w:trHeight w:val="852" w:hRule="atLeast"/>
          <w:jc w:val="center"/>
        </w:trPr>
        <w:tc>
          <w:tcPr>
            <w:tcW w:w="660" w:type="dxa"/>
            <w:vMerge w:val="continue"/>
            <w:tcBorders>
              <w:left w:val="single" w:color="auto" w:sz="4" w:space="0"/>
              <w:right w:val="single" w:color="auto" w:sz="4" w:space="0"/>
            </w:tcBorders>
            <w:noWrap/>
            <w:vAlign w:val="center"/>
          </w:tcPr>
          <w:p>
            <w:pPr>
              <w:widowControl/>
              <w:jc w:val="center"/>
              <w:rPr>
                <w:rFonts w:hint="eastAsia" w:cs="宋体" w:asciiTheme="minorEastAsia" w:hAnsiTheme="minorEastAsia"/>
                <w:kern w:val="0"/>
                <w:szCs w:val="21"/>
              </w:rPr>
            </w:pPr>
          </w:p>
        </w:tc>
        <w:tc>
          <w:tcPr>
            <w:tcW w:w="1320"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cs="宋体" w:asciiTheme="minorEastAsia" w:hAnsiTheme="minorEastAsia"/>
                <w:kern w:val="0"/>
                <w:szCs w:val="21"/>
              </w:rPr>
            </w:pPr>
          </w:p>
        </w:tc>
        <w:tc>
          <w:tcPr>
            <w:tcW w:w="1985" w:type="dxa"/>
            <w:tcBorders>
              <w:top w:val="nil"/>
              <w:left w:val="nil"/>
              <w:bottom w:val="single" w:color="auto" w:sz="4" w:space="0"/>
              <w:right w:val="single" w:color="auto" w:sz="4" w:space="0"/>
            </w:tcBorders>
            <w:vAlign w:val="center"/>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开窗器本身的动作、关闭属性</w:t>
            </w:r>
          </w:p>
        </w:tc>
        <w:tc>
          <w:tcPr>
            <w:tcW w:w="850" w:type="dxa"/>
            <w:vMerge w:val="continue"/>
            <w:tcBorders>
              <w:right w:val="single" w:color="auto" w:sz="4" w:space="0"/>
            </w:tcBorders>
          </w:tcPr>
          <w:p>
            <w:pPr>
              <w:widowControl/>
              <w:jc w:val="left"/>
              <w:rPr>
                <w:rFonts w:hint="eastAsia" w:cs="宋体" w:asciiTheme="minorEastAsia" w:hAnsiTheme="minorEastAsia"/>
                <w:kern w:val="0"/>
                <w:szCs w:val="21"/>
              </w:rPr>
            </w:pPr>
          </w:p>
        </w:tc>
        <w:tc>
          <w:tcPr>
            <w:tcW w:w="4393" w:type="dxa"/>
            <w:tcBorders>
              <w:top w:val="nil"/>
              <w:left w:val="single" w:color="auto" w:sz="4" w:space="0"/>
              <w:bottom w:val="single" w:color="auto" w:sz="4" w:space="0"/>
              <w:right w:val="single" w:color="auto" w:sz="4" w:space="0"/>
            </w:tcBorders>
            <w:vAlign w:val="center"/>
          </w:tcPr>
          <w:p>
            <w:pPr>
              <w:widowControl/>
              <w:jc w:val="left"/>
              <w:rPr>
                <w:rFonts w:hint="eastAsia" w:cs="宋体" w:asciiTheme="minorEastAsia" w:hAnsiTheme="minorEastAsia"/>
                <w:kern w:val="0"/>
                <w:szCs w:val="21"/>
              </w:rPr>
            </w:pPr>
            <w:r>
              <w:rPr>
                <w:rFonts w:hint="eastAsia" w:cs="宋体" w:asciiTheme="minorEastAsia" w:hAnsiTheme="minorEastAsia"/>
                <w:kern w:val="0"/>
                <w:szCs w:val="21"/>
              </w:rPr>
              <w:t>开窗器动作运行流畅、可靠，开启时间小于60s，关闭后锁紧窗扇严密</w:t>
            </w:r>
          </w:p>
        </w:tc>
        <w:tc>
          <w:tcPr>
            <w:tcW w:w="776" w:type="dxa"/>
            <w:tcBorders>
              <w:top w:val="nil"/>
              <w:left w:val="nil"/>
              <w:bottom w:val="single" w:color="auto" w:sz="4" w:space="0"/>
              <w:right w:val="single" w:color="auto" w:sz="4" w:space="0"/>
            </w:tcBorders>
            <w:vAlign w:val="center"/>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 xml:space="preserve">20 </w:t>
            </w:r>
          </w:p>
        </w:tc>
        <w:tc>
          <w:tcPr>
            <w:tcW w:w="3969" w:type="dxa"/>
            <w:tcBorders>
              <w:top w:val="nil"/>
              <w:left w:val="nil"/>
              <w:bottom w:val="single" w:color="auto" w:sz="4" w:space="0"/>
              <w:right w:val="single" w:color="auto" w:sz="4" w:space="0"/>
            </w:tcBorders>
            <w:vAlign w:val="center"/>
          </w:tcPr>
          <w:p>
            <w:pPr>
              <w:widowControl/>
              <w:jc w:val="left"/>
              <w:rPr>
                <w:rFonts w:hint="eastAsia" w:cs="宋体" w:asciiTheme="minorEastAsia" w:hAnsiTheme="minorEastAsia"/>
                <w:kern w:val="0"/>
                <w:szCs w:val="21"/>
              </w:rPr>
            </w:pPr>
            <w:r>
              <w:rPr>
                <w:rFonts w:hint="eastAsia" w:cs="宋体" w:asciiTheme="minorEastAsia" w:hAnsiTheme="minorEastAsia"/>
                <w:kern w:val="0"/>
                <w:szCs w:val="21"/>
              </w:rPr>
              <w:t>现场实际操作，动作灵敏、可靠，关闭严密，则判定为合格；否则为不合格；</w:t>
            </w:r>
          </w:p>
        </w:tc>
      </w:tr>
      <w:tr>
        <w:tblPrEx>
          <w:tblCellMar>
            <w:top w:w="0" w:type="dxa"/>
            <w:left w:w="108" w:type="dxa"/>
            <w:bottom w:w="0" w:type="dxa"/>
            <w:right w:w="108" w:type="dxa"/>
          </w:tblCellMar>
        </w:tblPrEx>
        <w:trPr>
          <w:trHeight w:val="280" w:hRule="atLeast"/>
          <w:jc w:val="center"/>
        </w:trPr>
        <w:tc>
          <w:tcPr>
            <w:tcW w:w="660" w:type="dxa"/>
            <w:vMerge w:val="continue"/>
            <w:tcBorders>
              <w:left w:val="single" w:color="auto" w:sz="4" w:space="0"/>
              <w:right w:val="single" w:color="auto" w:sz="4" w:space="0"/>
            </w:tcBorders>
            <w:noWrap/>
            <w:vAlign w:val="center"/>
          </w:tcPr>
          <w:p>
            <w:pPr>
              <w:widowControl/>
              <w:jc w:val="center"/>
              <w:rPr>
                <w:rFonts w:hint="eastAsia" w:cs="宋体" w:asciiTheme="minorEastAsia" w:hAnsiTheme="minorEastAsia"/>
                <w:kern w:val="0"/>
                <w:szCs w:val="21"/>
              </w:rPr>
            </w:pPr>
          </w:p>
        </w:tc>
        <w:tc>
          <w:tcPr>
            <w:tcW w:w="1320"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cs="宋体" w:asciiTheme="minorEastAsia" w:hAnsiTheme="minorEastAsia"/>
                <w:kern w:val="0"/>
                <w:szCs w:val="21"/>
              </w:rPr>
            </w:pPr>
          </w:p>
        </w:tc>
        <w:tc>
          <w:tcPr>
            <w:tcW w:w="1985" w:type="dxa"/>
            <w:tcBorders>
              <w:top w:val="nil"/>
              <w:left w:val="nil"/>
              <w:bottom w:val="single" w:color="auto" w:sz="4" w:space="0"/>
              <w:right w:val="single" w:color="auto" w:sz="4" w:space="0"/>
            </w:tcBorders>
            <w:noWrap/>
            <w:vAlign w:val="center"/>
          </w:tcPr>
          <w:p>
            <w:pPr>
              <w:widowControl/>
              <w:jc w:val="center"/>
              <w:rPr>
                <w:rFonts w:hint="eastAsia" w:cs="宋体" w:asciiTheme="minorEastAsia" w:hAnsiTheme="minorEastAsia"/>
                <w:b/>
                <w:bCs/>
                <w:kern w:val="0"/>
                <w:szCs w:val="21"/>
              </w:rPr>
            </w:pPr>
            <w:r>
              <w:rPr>
                <w:rFonts w:hint="eastAsia" w:cs="宋体" w:asciiTheme="minorEastAsia" w:hAnsiTheme="minorEastAsia"/>
                <w:b/>
                <w:bCs/>
                <w:kern w:val="0"/>
                <w:szCs w:val="21"/>
              </w:rPr>
              <w:t>一般项</w:t>
            </w:r>
          </w:p>
        </w:tc>
        <w:tc>
          <w:tcPr>
            <w:tcW w:w="850" w:type="dxa"/>
            <w:vMerge w:val="continue"/>
            <w:tcBorders>
              <w:right w:val="single" w:color="auto" w:sz="4" w:space="0"/>
            </w:tcBorders>
          </w:tcPr>
          <w:p>
            <w:pPr>
              <w:widowControl/>
              <w:jc w:val="center"/>
              <w:rPr>
                <w:rFonts w:hint="eastAsia" w:cs="宋体" w:asciiTheme="minorEastAsia" w:hAnsiTheme="minorEastAsia"/>
                <w:b/>
                <w:bCs/>
                <w:kern w:val="0"/>
                <w:szCs w:val="21"/>
              </w:rPr>
            </w:pPr>
          </w:p>
        </w:tc>
        <w:tc>
          <w:tcPr>
            <w:tcW w:w="4393" w:type="dxa"/>
            <w:tcBorders>
              <w:top w:val="nil"/>
              <w:left w:val="single" w:color="auto" w:sz="4" w:space="0"/>
              <w:bottom w:val="single" w:color="auto" w:sz="4" w:space="0"/>
              <w:right w:val="single" w:color="auto" w:sz="4" w:space="0"/>
            </w:tcBorders>
            <w:vAlign w:val="center"/>
          </w:tcPr>
          <w:p>
            <w:pPr>
              <w:widowControl/>
              <w:jc w:val="center"/>
              <w:rPr>
                <w:rFonts w:hint="eastAsia" w:cs="宋体" w:asciiTheme="minorEastAsia" w:hAnsiTheme="minorEastAsia"/>
                <w:b/>
                <w:bCs/>
                <w:kern w:val="0"/>
                <w:szCs w:val="21"/>
              </w:rPr>
            </w:pPr>
            <w:r>
              <w:rPr>
                <w:rFonts w:hint="eastAsia" w:cs="宋体" w:asciiTheme="minorEastAsia" w:hAnsiTheme="minorEastAsia"/>
                <w:b/>
                <w:bCs/>
                <w:kern w:val="0"/>
                <w:szCs w:val="21"/>
              </w:rPr>
              <w:t>一般项评分要点</w:t>
            </w:r>
          </w:p>
        </w:tc>
        <w:tc>
          <w:tcPr>
            <w:tcW w:w="776" w:type="dxa"/>
            <w:tcBorders>
              <w:top w:val="nil"/>
              <w:left w:val="nil"/>
              <w:bottom w:val="single" w:color="auto" w:sz="4" w:space="0"/>
              <w:right w:val="single" w:color="auto" w:sz="4" w:space="0"/>
            </w:tcBorders>
            <w:vAlign w:val="center"/>
          </w:tcPr>
          <w:p>
            <w:pPr>
              <w:widowControl/>
              <w:jc w:val="center"/>
              <w:rPr>
                <w:rFonts w:hint="eastAsia" w:cs="宋体" w:asciiTheme="minorEastAsia" w:hAnsiTheme="minorEastAsia"/>
                <w:b/>
                <w:bCs/>
                <w:kern w:val="0"/>
                <w:szCs w:val="21"/>
              </w:rPr>
            </w:pPr>
          </w:p>
        </w:tc>
        <w:tc>
          <w:tcPr>
            <w:tcW w:w="3969" w:type="dxa"/>
            <w:tcBorders>
              <w:top w:val="nil"/>
              <w:left w:val="nil"/>
              <w:bottom w:val="single" w:color="auto" w:sz="4" w:space="0"/>
              <w:right w:val="single" w:color="auto" w:sz="4" w:space="0"/>
            </w:tcBorders>
            <w:vAlign w:val="center"/>
          </w:tcPr>
          <w:p>
            <w:pPr>
              <w:widowControl/>
              <w:jc w:val="center"/>
              <w:rPr>
                <w:rFonts w:hint="eastAsia" w:cs="宋体" w:asciiTheme="minorEastAsia" w:hAnsiTheme="minorEastAsia"/>
                <w:b/>
                <w:bCs/>
                <w:kern w:val="0"/>
                <w:szCs w:val="21"/>
              </w:rPr>
            </w:pPr>
            <w:r>
              <w:rPr>
                <w:rFonts w:hint="eastAsia" w:cs="宋体" w:asciiTheme="minorEastAsia" w:hAnsiTheme="minorEastAsia"/>
                <w:b/>
                <w:bCs/>
                <w:kern w:val="0"/>
                <w:szCs w:val="21"/>
              </w:rPr>
              <w:t>评定方法</w:t>
            </w:r>
          </w:p>
        </w:tc>
      </w:tr>
      <w:tr>
        <w:tblPrEx>
          <w:tblCellMar>
            <w:top w:w="0" w:type="dxa"/>
            <w:left w:w="108" w:type="dxa"/>
            <w:bottom w:w="0" w:type="dxa"/>
            <w:right w:w="108" w:type="dxa"/>
          </w:tblCellMar>
        </w:tblPrEx>
        <w:trPr>
          <w:trHeight w:val="560" w:hRule="atLeast"/>
          <w:jc w:val="center"/>
        </w:trPr>
        <w:tc>
          <w:tcPr>
            <w:tcW w:w="660" w:type="dxa"/>
            <w:vMerge w:val="continue"/>
            <w:tcBorders>
              <w:left w:val="single" w:color="auto" w:sz="4" w:space="0"/>
              <w:right w:val="single" w:color="auto" w:sz="4" w:space="0"/>
            </w:tcBorders>
            <w:noWrap/>
            <w:vAlign w:val="center"/>
          </w:tcPr>
          <w:p>
            <w:pPr>
              <w:widowControl/>
              <w:jc w:val="center"/>
              <w:rPr>
                <w:rFonts w:hint="eastAsia" w:cs="宋体" w:asciiTheme="minorEastAsia" w:hAnsiTheme="minorEastAsia"/>
                <w:kern w:val="0"/>
                <w:szCs w:val="21"/>
              </w:rPr>
            </w:pPr>
          </w:p>
        </w:tc>
        <w:tc>
          <w:tcPr>
            <w:tcW w:w="1320"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cs="宋体" w:asciiTheme="minorEastAsia" w:hAnsiTheme="minorEastAsia"/>
                <w:kern w:val="0"/>
                <w:szCs w:val="21"/>
              </w:rPr>
            </w:pPr>
          </w:p>
        </w:tc>
        <w:tc>
          <w:tcPr>
            <w:tcW w:w="1985" w:type="dxa"/>
            <w:tcBorders>
              <w:top w:val="nil"/>
              <w:left w:val="nil"/>
              <w:bottom w:val="single" w:color="auto" w:sz="4" w:space="0"/>
              <w:right w:val="single" w:color="auto" w:sz="4" w:space="0"/>
            </w:tcBorders>
            <w:noWrap/>
            <w:vAlign w:val="center"/>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安装外观</w:t>
            </w:r>
          </w:p>
        </w:tc>
        <w:tc>
          <w:tcPr>
            <w:tcW w:w="850" w:type="dxa"/>
            <w:vMerge w:val="continue"/>
            <w:tcBorders>
              <w:right w:val="single" w:color="auto" w:sz="4" w:space="0"/>
            </w:tcBorders>
          </w:tcPr>
          <w:p>
            <w:pPr>
              <w:widowControl/>
              <w:jc w:val="left"/>
              <w:rPr>
                <w:rFonts w:hint="eastAsia" w:cs="宋体" w:asciiTheme="minorEastAsia" w:hAnsiTheme="minorEastAsia"/>
                <w:kern w:val="0"/>
                <w:szCs w:val="21"/>
              </w:rPr>
            </w:pPr>
          </w:p>
        </w:tc>
        <w:tc>
          <w:tcPr>
            <w:tcW w:w="4393" w:type="dxa"/>
            <w:tcBorders>
              <w:top w:val="nil"/>
              <w:left w:val="single" w:color="auto" w:sz="4" w:space="0"/>
              <w:bottom w:val="single" w:color="auto" w:sz="4" w:space="0"/>
              <w:right w:val="single" w:color="auto" w:sz="4" w:space="0"/>
            </w:tcBorders>
            <w:noWrap/>
            <w:vAlign w:val="center"/>
          </w:tcPr>
          <w:p>
            <w:pPr>
              <w:widowControl/>
              <w:jc w:val="left"/>
              <w:rPr>
                <w:rFonts w:hint="eastAsia" w:cs="宋体" w:asciiTheme="minorEastAsia" w:hAnsiTheme="minorEastAsia"/>
                <w:kern w:val="0"/>
                <w:szCs w:val="21"/>
              </w:rPr>
            </w:pPr>
            <w:r>
              <w:rPr>
                <w:rFonts w:hint="eastAsia" w:cs="宋体" w:asciiTheme="minorEastAsia" w:hAnsiTheme="minorEastAsia"/>
                <w:kern w:val="0"/>
                <w:szCs w:val="21"/>
              </w:rPr>
              <w:t>1.平整 2.不变形 3.</w:t>
            </w:r>
            <w:r>
              <w:rPr>
                <w:rFonts w:hint="eastAsia"/>
              </w:rPr>
              <w:t xml:space="preserve"> </w:t>
            </w:r>
            <w:r>
              <w:rPr>
                <w:rFonts w:hint="eastAsia" w:cs="宋体" w:asciiTheme="minorEastAsia" w:hAnsiTheme="minorEastAsia"/>
                <w:kern w:val="0"/>
                <w:szCs w:val="21"/>
              </w:rPr>
              <w:t>3. 操作装置安装应正确  牢固、调节灵活、操作方便。4.美观</w:t>
            </w:r>
          </w:p>
        </w:tc>
        <w:tc>
          <w:tcPr>
            <w:tcW w:w="776" w:type="dxa"/>
            <w:tcBorders>
              <w:top w:val="nil"/>
              <w:left w:val="nil"/>
              <w:bottom w:val="single" w:color="auto" w:sz="4" w:space="0"/>
              <w:right w:val="single" w:color="auto" w:sz="4" w:space="0"/>
            </w:tcBorders>
            <w:vAlign w:val="center"/>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 xml:space="preserve">15 </w:t>
            </w:r>
          </w:p>
        </w:tc>
        <w:tc>
          <w:tcPr>
            <w:tcW w:w="3969" w:type="dxa"/>
            <w:tcBorders>
              <w:top w:val="nil"/>
              <w:left w:val="nil"/>
              <w:bottom w:val="single" w:color="auto" w:sz="4" w:space="0"/>
              <w:right w:val="single" w:color="auto" w:sz="4" w:space="0"/>
            </w:tcBorders>
            <w:vAlign w:val="center"/>
          </w:tcPr>
          <w:p>
            <w:pPr>
              <w:widowControl/>
              <w:jc w:val="left"/>
              <w:rPr>
                <w:rFonts w:hint="eastAsia" w:cs="宋体" w:asciiTheme="minorEastAsia" w:hAnsiTheme="minorEastAsia"/>
                <w:kern w:val="0"/>
                <w:szCs w:val="21"/>
              </w:rPr>
            </w:pPr>
            <w:r>
              <w:rPr>
                <w:rFonts w:hint="eastAsia" w:cs="宋体" w:asciiTheme="minorEastAsia" w:hAnsiTheme="minorEastAsia"/>
                <w:kern w:val="0"/>
                <w:szCs w:val="21"/>
              </w:rPr>
              <w:t>现场实地观察    1-3都符合判定为100；1-2都符合，3不符合，判定为80；1-2有1条不符合，判定为60；</w:t>
            </w:r>
          </w:p>
        </w:tc>
      </w:tr>
      <w:tr>
        <w:tblPrEx>
          <w:tblCellMar>
            <w:top w:w="0" w:type="dxa"/>
            <w:left w:w="108" w:type="dxa"/>
            <w:bottom w:w="0" w:type="dxa"/>
            <w:right w:w="108" w:type="dxa"/>
          </w:tblCellMar>
        </w:tblPrEx>
        <w:trPr>
          <w:trHeight w:val="560" w:hRule="atLeast"/>
          <w:jc w:val="center"/>
        </w:trPr>
        <w:tc>
          <w:tcPr>
            <w:tcW w:w="660" w:type="dxa"/>
            <w:vMerge w:val="continue"/>
            <w:tcBorders>
              <w:left w:val="single" w:color="auto" w:sz="4" w:space="0"/>
              <w:right w:val="single" w:color="auto" w:sz="4" w:space="0"/>
            </w:tcBorders>
            <w:noWrap/>
            <w:vAlign w:val="center"/>
          </w:tcPr>
          <w:p>
            <w:pPr>
              <w:widowControl/>
              <w:jc w:val="center"/>
              <w:rPr>
                <w:rFonts w:hint="eastAsia" w:cs="宋体" w:asciiTheme="minorEastAsia" w:hAnsiTheme="minorEastAsia"/>
                <w:kern w:val="0"/>
                <w:szCs w:val="21"/>
              </w:rPr>
            </w:pPr>
          </w:p>
        </w:tc>
        <w:tc>
          <w:tcPr>
            <w:tcW w:w="1320"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cs="宋体" w:asciiTheme="minorEastAsia" w:hAnsiTheme="minorEastAsia"/>
                <w:kern w:val="0"/>
                <w:szCs w:val="21"/>
              </w:rPr>
            </w:pPr>
          </w:p>
        </w:tc>
        <w:tc>
          <w:tcPr>
            <w:tcW w:w="1985" w:type="dxa"/>
            <w:tcBorders>
              <w:top w:val="nil"/>
              <w:left w:val="nil"/>
              <w:bottom w:val="single" w:color="auto" w:sz="4" w:space="0"/>
              <w:right w:val="single" w:color="auto" w:sz="4" w:space="0"/>
            </w:tcBorders>
            <w:noWrap/>
            <w:vAlign w:val="center"/>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安装方向</w:t>
            </w:r>
          </w:p>
        </w:tc>
        <w:tc>
          <w:tcPr>
            <w:tcW w:w="850" w:type="dxa"/>
            <w:vMerge w:val="continue"/>
            <w:tcBorders>
              <w:right w:val="single" w:color="auto" w:sz="4" w:space="0"/>
            </w:tcBorders>
          </w:tcPr>
          <w:p>
            <w:pPr>
              <w:widowControl/>
              <w:jc w:val="left"/>
              <w:rPr>
                <w:rFonts w:hint="eastAsia" w:cs="宋体" w:asciiTheme="minorEastAsia" w:hAnsiTheme="minorEastAsia"/>
                <w:kern w:val="0"/>
                <w:szCs w:val="21"/>
              </w:rPr>
            </w:pPr>
          </w:p>
        </w:tc>
        <w:tc>
          <w:tcPr>
            <w:tcW w:w="4393" w:type="dxa"/>
            <w:tcBorders>
              <w:top w:val="nil"/>
              <w:left w:val="single" w:color="auto" w:sz="4" w:space="0"/>
              <w:bottom w:val="single" w:color="auto" w:sz="4" w:space="0"/>
              <w:right w:val="single" w:color="auto" w:sz="4" w:space="0"/>
            </w:tcBorders>
            <w:vAlign w:val="center"/>
          </w:tcPr>
          <w:p>
            <w:pPr>
              <w:widowControl/>
              <w:jc w:val="left"/>
              <w:rPr>
                <w:rFonts w:hint="eastAsia" w:cs="宋体" w:asciiTheme="minorEastAsia" w:hAnsiTheme="minorEastAsia"/>
                <w:kern w:val="0"/>
                <w:szCs w:val="21"/>
              </w:rPr>
            </w:pPr>
            <w:r>
              <w:rPr>
                <w:rFonts w:hint="eastAsia" w:cs="宋体" w:asciiTheme="minorEastAsia" w:hAnsiTheme="minorEastAsia"/>
                <w:kern w:val="0"/>
                <w:szCs w:val="21"/>
              </w:rPr>
              <w:t>窗体的安装方向坡度需正确，排水流畅</w:t>
            </w:r>
          </w:p>
        </w:tc>
        <w:tc>
          <w:tcPr>
            <w:tcW w:w="776" w:type="dxa"/>
            <w:tcBorders>
              <w:top w:val="nil"/>
              <w:left w:val="nil"/>
              <w:bottom w:val="single" w:color="auto" w:sz="4" w:space="0"/>
              <w:right w:val="single" w:color="auto" w:sz="4" w:space="0"/>
            </w:tcBorders>
            <w:vAlign w:val="center"/>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 xml:space="preserve">10 </w:t>
            </w:r>
          </w:p>
        </w:tc>
        <w:tc>
          <w:tcPr>
            <w:tcW w:w="3969" w:type="dxa"/>
            <w:tcBorders>
              <w:top w:val="nil"/>
              <w:left w:val="nil"/>
              <w:bottom w:val="single" w:color="auto" w:sz="4" w:space="0"/>
              <w:right w:val="single" w:color="auto" w:sz="4" w:space="0"/>
            </w:tcBorders>
            <w:vAlign w:val="center"/>
          </w:tcPr>
          <w:p>
            <w:pPr>
              <w:widowControl/>
              <w:jc w:val="left"/>
              <w:rPr>
                <w:rFonts w:hint="eastAsia" w:cs="宋体" w:asciiTheme="minorEastAsia" w:hAnsiTheme="minorEastAsia"/>
                <w:kern w:val="0"/>
                <w:szCs w:val="21"/>
              </w:rPr>
            </w:pPr>
            <w:r>
              <w:rPr>
                <w:rFonts w:hint="eastAsia" w:cs="宋体" w:asciiTheme="minorEastAsia" w:hAnsiTheme="minorEastAsia"/>
                <w:kern w:val="0"/>
                <w:szCs w:val="21"/>
              </w:rPr>
              <w:t>将现场实际安装情况与设计图纸及气流方向进行校对，安装方向正确判定为合格，否则为不合格</w:t>
            </w:r>
          </w:p>
        </w:tc>
      </w:tr>
      <w:tr>
        <w:tblPrEx>
          <w:tblCellMar>
            <w:top w:w="0" w:type="dxa"/>
            <w:left w:w="108" w:type="dxa"/>
            <w:bottom w:w="0" w:type="dxa"/>
            <w:right w:w="108" w:type="dxa"/>
          </w:tblCellMar>
        </w:tblPrEx>
        <w:trPr>
          <w:trHeight w:val="560" w:hRule="atLeast"/>
          <w:jc w:val="center"/>
        </w:trPr>
        <w:tc>
          <w:tcPr>
            <w:tcW w:w="660" w:type="dxa"/>
            <w:vMerge w:val="continue"/>
            <w:tcBorders>
              <w:left w:val="single" w:color="auto" w:sz="4" w:space="0"/>
              <w:right w:val="single" w:color="auto" w:sz="4" w:space="0"/>
            </w:tcBorders>
            <w:noWrap/>
            <w:vAlign w:val="center"/>
          </w:tcPr>
          <w:p>
            <w:pPr>
              <w:widowControl/>
              <w:jc w:val="center"/>
              <w:rPr>
                <w:rFonts w:hint="eastAsia" w:cs="宋体" w:asciiTheme="minorEastAsia" w:hAnsiTheme="minorEastAsia"/>
                <w:kern w:val="0"/>
                <w:szCs w:val="21"/>
              </w:rPr>
            </w:pPr>
          </w:p>
        </w:tc>
        <w:tc>
          <w:tcPr>
            <w:tcW w:w="1320"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cs="宋体" w:asciiTheme="minorEastAsia" w:hAnsiTheme="minorEastAsia"/>
                <w:kern w:val="0"/>
                <w:szCs w:val="21"/>
              </w:rPr>
            </w:pPr>
          </w:p>
        </w:tc>
        <w:tc>
          <w:tcPr>
            <w:tcW w:w="1985"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窗框</w:t>
            </w:r>
          </w:p>
        </w:tc>
        <w:tc>
          <w:tcPr>
            <w:tcW w:w="850" w:type="dxa"/>
            <w:vMerge w:val="continue"/>
            <w:tcBorders>
              <w:right w:val="single" w:color="auto" w:sz="4" w:space="0"/>
            </w:tcBorders>
          </w:tcPr>
          <w:p>
            <w:pPr>
              <w:widowControl/>
              <w:jc w:val="left"/>
              <w:rPr>
                <w:rFonts w:hint="eastAsia" w:cs="宋体" w:asciiTheme="minorEastAsia" w:hAnsiTheme="minorEastAsia"/>
                <w:kern w:val="0"/>
                <w:szCs w:val="21"/>
              </w:rPr>
            </w:pPr>
          </w:p>
        </w:tc>
        <w:tc>
          <w:tcPr>
            <w:tcW w:w="4393"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hint="eastAsia" w:cs="宋体" w:asciiTheme="minorEastAsia" w:hAnsiTheme="minorEastAsia"/>
                <w:kern w:val="0"/>
                <w:szCs w:val="21"/>
              </w:rPr>
            </w:pPr>
            <w:r>
              <w:rPr>
                <w:rFonts w:hint="eastAsia" w:cs="宋体" w:asciiTheme="minorEastAsia" w:hAnsiTheme="minorEastAsia"/>
                <w:kern w:val="0"/>
                <w:szCs w:val="21"/>
              </w:rPr>
              <w:t>窗框与屋面基础搭接严密，密封性良好</w:t>
            </w:r>
          </w:p>
        </w:tc>
        <w:tc>
          <w:tcPr>
            <w:tcW w:w="776" w:type="dxa"/>
            <w:tcBorders>
              <w:top w:val="nil"/>
              <w:left w:val="nil"/>
              <w:bottom w:val="single" w:color="auto" w:sz="4" w:space="0"/>
              <w:right w:val="single" w:color="auto" w:sz="4" w:space="0"/>
            </w:tcBorders>
            <w:vAlign w:val="center"/>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 xml:space="preserve">10 </w:t>
            </w:r>
          </w:p>
        </w:tc>
        <w:tc>
          <w:tcPr>
            <w:tcW w:w="3969" w:type="dxa"/>
            <w:tcBorders>
              <w:top w:val="nil"/>
              <w:left w:val="nil"/>
              <w:bottom w:val="single" w:color="auto" w:sz="4" w:space="0"/>
              <w:right w:val="single" w:color="auto" w:sz="4" w:space="0"/>
            </w:tcBorders>
            <w:vAlign w:val="center"/>
          </w:tcPr>
          <w:p>
            <w:pPr>
              <w:widowControl/>
              <w:jc w:val="left"/>
              <w:rPr>
                <w:rFonts w:hint="eastAsia" w:cs="宋体" w:asciiTheme="minorEastAsia" w:hAnsiTheme="minorEastAsia"/>
                <w:kern w:val="0"/>
                <w:szCs w:val="21"/>
              </w:rPr>
            </w:pPr>
            <w:r>
              <w:rPr>
                <w:rFonts w:hint="eastAsia" w:cs="宋体" w:asciiTheme="minorEastAsia" w:hAnsiTheme="minorEastAsia"/>
                <w:kern w:val="0"/>
                <w:szCs w:val="21"/>
              </w:rPr>
              <w:t>现场实地观察，窗框材质底框与洞口间的密封符合施工工艺标准，有判定为合格；否则为不合格</w:t>
            </w:r>
          </w:p>
        </w:tc>
      </w:tr>
      <w:tr>
        <w:tblPrEx>
          <w:tblCellMar>
            <w:top w:w="0" w:type="dxa"/>
            <w:left w:w="108" w:type="dxa"/>
            <w:bottom w:w="0" w:type="dxa"/>
            <w:right w:w="108" w:type="dxa"/>
          </w:tblCellMar>
        </w:tblPrEx>
        <w:trPr>
          <w:trHeight w:val="560" w:hRule="atLeast"/>
          <w:jc w:val="center"/>
        </w:trPr>
        <w:tc>
          <w:tcPr>
            <w:tcW w:w="660" w:type="dxa"/>
            <w:vMerge w:val="continue"/>
            <w:tcBorders>
              <w:left w:val="single" w:color="auto" w:sz="4" w:space="0"/>
              <w:right w:val="single" w:color="auto" w:sz="4" w:space="0"/>
            </w:tcBorders>
            <w:noWrap/>
            <w:vAlign w:val="center"/>
          </w:tcPr>
          <w:p>
            <w:pPr>
              <w:widowControl/>
              <w:jc w:val="center"/>
              <w:rPr>
                <w:rFonts w:hint="eastAsia" w:cs="宋体" w:asciiTheme="minorEastAsia" w:hAnsiTheme="minorEastAsia"/>
                <w:kern w:val="0"/>
                <w:szCs w:val="21"/>
              </w:rPr>
            </w:pPr>
          </w:p>
        </w:tc>
        <w:tc>
          <w:tcPr>
            <w:tcW w:w="1320"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cs="宋体" w:asciiTheme="minorEastAsia" w:hAnsiTheme="minorEastAsia"/>
                <w:kern w:val="0"/>
                <w:szCs w:val="21"/>
              </w:rPr>
            </w:pPr>
          </w:p>
        </w:tc>
        <w:tc>
          <w:tcPr>
            <w:tcW w:w="1985"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手动开启装置安装位置</w:t>
            </w:r>
          </w:p>
        </w:tc>
        <w:tc>
          <w:tcPr>
            <w:tcW w:w="850" w:type="dxa"/>
            <w:vMerge w:val="continue"/>
            <w:tcBorders>
              <w:right w:val="single" w:color="auto" w:sz="4" w:space="0"/>
            </w:tcBorders>
          </w:tcPr>
          <w:p>
            <w:pPr>
              <w:widowControl/>
              <w:jc w:val="left"/>
              <w:rPr>
                <w:rFonts w:hint="eastAsia" w:cs="宋体" w:asciiTheme="minorEastAsia" w:hAnsiTheme="minorEastAsia"/>
                <w:kern w:val="0"/>
                <w:szCs w:val="21"/>
              </w:rPr>
            </w:pPr>
          </w:p>
        </w:tc>
        <w:tc>
          <w:tcPr>
            <w:tcW w:w="4393"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hint="eastAsia" w:cs="宋体" w:asciiTheme="minorEastAsia" w:hAnsiTheme="minorEastAsia"/>
                <w:kern w:val="0"/>
                <w:szCs w:val="21"/>
              </w:rPr>
            </w:pPr>
            <w:r>
              <w:rPr>
                <w:rFonts w:hint="eastAsia" w:cs="宋体" w:asciiTheme="minorEastAsia" w:hAnsiTheme="minorEastAsia"/>
                <w:kern w:val="0"/>
                <w:szCs w:val="21"/>
              </w:rPr>
              <w:t>手动开启装置应安装在明显可见、距楼地面 1.3m～1.5m 之间便于操作的位置，操作应灵活</w:t>
            </w:r>
          </w:p>
        </w:tc>
        <w:tc>
          <w:tcPr>
            <w:tcW w:w="776" w:type="dxa"/>
            <w:tcBorders>
              <w:top w:val="nil"/>
              <w:left w:val="nil"/>
              <w:bottom w:val="single" w:color="auto" w:sz="4" w:space="0"/>
              <w:right w:val="single" w:color="auto" w:sz="4" w:space="0"/>
            </w:tcBorders>
            <w:vAlign w:val="center"/>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 xml:space="preserve">5 </w:t>
            </w:r>
          </w:p>
        </w:tc>
        <w:tc>
          <w:tcPr>
            <w:tcW w:w="3969" w:type="dxa"/>
            <w:tcBorders>
              <w:top w:val="nil"/>
              <w:left w:val="nil"/>
              <w:bottom w:val="single" w:color="auto" w:sz="4" w:space="0"/>
              <w:right w:val="single" w:color="auto" w:sz="4" w:space="0"/>
            </w:tcBorders>
            <w:vAlign w:val="center"/>
          </w:tcPr>
          <w:p>
            <w:pPr>
              <w:widowControl/>
              <w:jc w:val="left"/>
              <w:rPr>
                <w:rFonts w:hint="eastAsia" w:cs="宋体" w:asciiTheme="minorEastAsia" w:hAnsiTheme="minorEastAsia"/>
                <w:kern w:val="0"/>
                <w:szCs w:val="21"/>
              </w:rPr>
            </w:pPr>
            <w:r>
              <w:rPr>
                <w:rFonts w:hint="eastAsia" w:cs="宋体" w:asciiTheme="minorEastAsia" w:hAnsiTheme="minorEastAsia"/>
                <w:kern w:val="0"/>
                <w:szCs w:val="21"/>
              </w:rPr>
              <w:t>采用现场实测的方式，若处于便于操作的位置，则判定为合格；否则为不合格；</w:t>
            </w:r>
          </w:p>
        </w:tc>
      </w:tr>
      <w:tr>
        <w:tblPrEx>
          <w:tblCellMar>
            <w:top w:w="0" w:type="dxa"/>
            <w:left w:w="108" w:type="dxa"/>
            <w:bottom w:w="0" w:type="dxa"/>
            <w:right w:w="108" w:type="dxa"/>
          </w:tblCellMar>
        </w:tblPrEx>
        <w:trPr>
          <w:trHeight w:val="280" w:hRule="atLeast"/>
          <w:jc w:val="center"/>
        </w:trPr>
        <w:tc>
          <w:tcPr>
            <w:tcW w:w="660" w:type="dxa"/>
            <w:vMerge w:val="continue"/>
            <w:tcBorders>
              <w:left w:val="single" w:color="auto" w:sz="4" w:space="0"/>
              <w:bottom w:val="single" w:color="auto" w:sz="4" w:space="0"/>
              <w:right w:val="single" w:color="auto" w:sz="4" w:space="0"/>
            </w:tcBorders>
            <w:noWrap/>
            <w:vAlign w:val="center"/>
          </w:tcPr>
          <w:p>
            <w:pPr>
              <w:widowControl/>
              <w:jc w:val="center"/>
              <w:rPr>
                <w:rFonts w:hint="eastAsia" w:cs="宋体" w:asciiTheme="minorEastAsia" w:hAnsiTheme="minorEastAsia"/>
                <w:kern w:val="0"/>
                <w:szCs w:val="21"/>
              </w:rPr>
            </w:pPr>
          </w:p>
        </w:tc>
        <w:tc>
          <w:tcPr>
            <w:tcW w:w="1320"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cs="宋体" w:asciiTheme="minorEastAsia" w:hAnsiTheme="minorEastAsia"/>
                <w:kern w:val="0"/>
                <w:szCs w:val="21"/>
              </w:rPr>
            </w:pPr>
          </w:p>
        </w:tc>
        <w:tc>
          <w:tcPr>
            <w:tcW w:w="1985"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开窗器接线</w:t>
            </w:r>
          </w:p>
        </w:tc>
        <w:tc>
          <w:tcPr>
            <w:tcW w:w="850" w:type="dxa"/>
            <w:vMerge w:val="continue"/>
            <w:tcBorders>
              <w:bottom w:val="single" w:color="auto" w:sz="4" w:space="0"/>
              <w:right w:val="single" w:color="auto" w:sz="4" w:space="0"/>
            </w:tcBorders>
          </w:tcPr>
          <w:p>
            <w:pPr>
              <w:widowControl/>
              <w:jc w:val="left"/>
              <w:rPr>
                <w:rFonts w:hint="eastAsia" w:cs="宋体" w:asciiTheme="minorEastAsia" w:hAnsiTheme="minorEastAsia"/>
                <w:kern w:val="0"/>
                <w:szCs w:val="21"/>
              </w:rPr>
            </w:pPr>
          </w:p>
        </w:tc>
        <w:tc>
          <w:tcPr>
            <w:tcW w:w="4393"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hint="eastAsia" w:cs="宋体" w:asciiTheme="minorEastAsia" w:hAnsiTheme="minorEastAsia"/>
                <w:kern w:val="0"/>
                <w:szCs w:val="21"/>
              </w:rPr>
            </w:pPr>
            <w:r>
              <w:rPr>
                <w:rFonts w:hint="eastAsia" w:cs="宋体" w:asciiTheme="minorEastAsia" w:hAnsiTheme="minorEastAsia"/>
                <w:kern w:val="0"/>
                <w:szCs w:val="21"/>
              </w:rPr>
              <w:t>开窗器接线端子放到明装盒内，穿线软管与明装盒可靠连接</w:t>
            </w:r>
          </w:p>
        </w:tc>
        <w:tc>
          <w:tcPr>
            <w:tcW w:w="776" w:type="dxa"/>
            <w:tcBorders>
              <w:top w:val="nil"/>
              <w:left w:val="nil"/>
              <w:bottom w:val="single" w:color="auto" w:sz="4" w:space="0"/>
              <w:right w:val="single" w:color="auto" w:sz="4" w:space="0"/>
            </w:tcBorders>
            <w:vAlign w:val="center"/>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 xml:space="preserve">5 </w:t>
            </w:r>
          </w:p>
        </w:tc>
        <w:tc>
          <w:tcPr>
            <w:tcW w:w="3969" w:type="dxa"/>
            <w:tcBorders>
              <w:top w:val="nil"/>
              <w:left w:val="nil"/>
              <w:bottom w:val="single" w:color="auto" w:sz="4" w:space="0"/>
              <w:right w:val="single" w:color="auto" w:sz="4" w:space="0"/>
            </w:tcBorders>
            <w:vAlign w:val="center"/>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现场实地观察，软管入盒采用配套螺母连接；其它连接为不合格；</w:t>
            </w:r>
          </w:p>
        </w:tc>
      </w:tr>
      <w:tr>
        <w:tblPrEx>
          <w:tblCellMar>
            <w:top w:w="0" w:type="dxa"/>
            <w:left w:w="108" w:type="dxa"/>
            <w:bottom w:w="0" w:type="dxa"/>
            <w:right w:w="108" w:type="dxa"/>
          </w:tblCellMar>
        </w:tblPrEx>
        <w:trPr>
          <w:trHeight w:val="280" w:hRule="atLeast"/>
          <w:jc w:val="center"/>
        </w:trPr>
        <w:tc>
          <w:tcPr>
            <w:tcW w:w="660" w:type="dxa"/>
            <w:vMerge w:val="restart"/>
            <w:tcBorders>
              <w:top w:val="nil"/>
              <w:left w:val="single" w:color="auto" w:sz="4" w:space="0"/>
              <w:right w:val="single" w:color="auto" w:sz="4" w:space="0"/>
            </w:tcBorders>
            <w:noWrap/>
            <w:vAlign w:val="center"/>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2</w:t>
            </w:r>
          </w:p>
        </w:tc>
        <w:tc>
          <w:tcPr>
            <w:tcW w:w="1320" w:type="dxa"/>
            <w:vMerge w:val="restart"/>
            <w:tcBorders>
              <w:top w:val="nil"/>
              <w:left w:val="single" w:color="auto" w:sz="4" w:space="0"/>
              <w:bottom w:val="single" w:color="000000" w:sz="4" w:space="0"/>
              <w:right w:val="single" w:color="auto" w:sz="4" w:space="0"/>
            </w:tcBorders>
            <w:noWrap/>
            <w:vAlign w:val="center"/>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B电气控制箱</w:t>
            </w:r>
          </w:p>
        </w:tc>
        <w:tc>
          <w:tcPr>
            <w:tcW w:w="1985" w:type="dxa"/>
            <w:tcBorders>
              <w:top w:val="nil"/>
              <w:left w:val="nil"/>
              <w:bottom w:val="single" w:color="auto" w:sz="4" w:space="0"/>
              <w:right w:val="single" w:color="auto" w:sz="4" w:space="0"/>
            </w:tcBorders>
            <w:noWrap/>
            <w:vAlign w:val="center"/>
          </w:tcPr>
          <w:p>
            <w:pPr>
              <w:widowControl/>
              <w:jc w:val="center"/>
              <w:rPr>
                <w:rFonts w:hint="eastAsia" w:cs="宋体" w:asciiTheme="minorEastAsia" w:hAnsiTheme="minorEastAsia"/>
                <w:b/>
                <w:bCs/>
                <w:kern w:val="0"/>
                <w:szCs w:val="21"/>
              </w:rPr>
            </w:pPr>
            <w:r>
              <w:rPr>
                <w:rFonts w:hint="eastAsia" w:cs="宋体" w:asciiTheme="minorEastAsia" w:hAnsiTheme="minorEastAsia"/>
                <w:b/>
                <w:bCs/>
                <w:kern w:val="0"/>
                <w:szCs w:val="21"/>
              </w:rPr>
              <w:t>主控项</w:t>
            </w:r>
          </w:p>
        </w:tc>
        <w:tc>
          <w:tcPr>
            <w:tcW w:w="850" w:type="dxa"/>
            <w:vMerge w:val="restart"/>
            <w:tcBorders>
              <w:top w:val="single" w:color="auto" w:sz="4" w:space="0"/>
              <w:right w:val="single" w:color="auto" w:sz="4" w:space="0"/>
            </w:tcBorders>
            <w:vAlign w:val="center"/>
          </w:tcPr>
          <w:p>
            <w:pPr>
              <w:widowControl/>
              <w:jc w:val="center"/>
              <w:rPr>
                <w:rFonts w:hint="eastAsia" w:cs="宋体" w:asciiTheme="minorEastAsia" w:hAnsiTheme="minorEastAsia"/>
                <w:b/>
                <w:bCs/>
                <w:kern w:val="0"/>
                <w:szCs w:val="21"/>
              </w:rPr>
            </w:pPr>
            <w:r>
              <w:rPr>
                <w:rFonts w:hint="eastAsia" w:cs="宋体" w:asciiTheme="minorEastAsia" w:hAnsiTheme="minorEastAsia"/>
                <w:kern w:val="0"/>
                <w:szCs w:val="21"/>
              </w:rPr>
              <w:t>0.20</w:t>
            </w:r>
          </w:p>
        </w:tc>
        <w:tc>
          <w:tcPr>
            <w:tcW w:w="4393" w:type="dxa"/>
            <w:tcBorders>
              <w:top w:val="nil"/>
              <w:left w:val="single" w:color="auto" w:sz="4" w:space="0"/>
              <w:bottom w:val="single" w:color="auto" w:sz="4" w:space="0"/>
              <w:right w:val="single" w:color="auto" w:sz="4" w:space="0"/>
            </w:tcBorders>
            <w:vAlign w:val="center"/>
          </w:tcPr>
          <w:p>
            <w:pPr>
              <w:widowControl/>
              <w:jc w:val="center"/>
              <w:rPr>
                <w:rFonts w:hint="eastAsia" w:cs="宋体" w:asciiTheme="minorEastAsia" w:hAnsiTheme="minorEastAsia"/>
                <w:b/>
                <w:bCs/>
                <w:kern w:val="0"/>
                <w:szCs w:val="21"/>
              </w:rPr>
            </w:pPr>
            <w:r>
              <w:rPr>
                <w:rFonts w:hint="eastAsia" w:cs="宋体" w:asciiTheme="minorEastAsia" w:hAnsiTheme="minorEastAsia"/>
                <w:b/>
                <w:bCs/>
                <w:kern w:val="0"/>
                <w:szCs w:val="21"/>
              </w:rPr>
              <w:t>主控项评分要点</w:t>
            </w:r>
          </w:p>
        </w:tc>
        <w:tc>
          <w:tcPr>
            <w:tcW w:w="776" w:type="dxa"/>
            <w:tcBorders>
              <w:top w:val="nil"/>
              <w:left w:val="nil"/>
              <w:bottom w:val="single" w:color="auto" w:sz="4" w:space="0"/>
              <w:right w:val="single" w:color="auto" w:sz="4" w:space="0"/>
            </w:tcBorders>
            <w:vAlign w:val="center"/>
          </w:tcPr>
          <w:p>
            <w:pPr>
              <w:widowControl/>
              <w:jc w:val="center"/>
              <w:rPr>
                <w:rFonts w:hint="eastAsia" w:cs="宋体" w:asciiTheme="minorEastAsia" w:hAnsiTheme="minorEastAsia"/>
                <w:b/>
                <w:bCs/>
                <w:kern w:val="0"/>
                <w:szCs w:val="21"/>
              </w:rPr>
            </w:pPr>
          </w:p>
        </w:tc>
        <w:tc>
          <w:tcPr>
            <w:tcW w:w="3969" w:type="dxa"/>
            <w:tcBorders>
              <w:top w:val="nil"/>
              <w:left w:val="nil"/>
              <w:bottom w:val="single" w:color="auto" w:sz="4" w:space="0"/>
              <w:right w:val="single" w:color="auto" w:sz="4" w:space="0"/>
            </w:tcBorders>
            <w:vAlign w:val="center"/>
          </w:tcPr>
          <w:p>
            <w:pPr>
              <w:widowControl/>
              <w:jc w:val="center"/>
              <w:rPr>
                <w:rFonts w:hint="eastAsia" w:cs="宋体" w:asciiTheme="minorEastAsia" w:hAnsiTheme="minorEastAsia"/>
                <w:b/>
                <w:bCs/>
                <w:kern w:val="0"/>
                <w:szCs w:val="21"/>
              </w:rPr>
            </w:pPr>
            <w:r>
              <w:rPr>
                <w:rFonts w:hint="eastAsia" w:cs="宋体" w:asciiTheme="minorEastAsia" w:hAnsiTheme="minorEastAsia"/>
                <w:b/>
                <w:bCs/>
                <w:kern w:val="0"/>
                <w:szCs w:val="21"/>
              </w:rPr>
              <w:t>评定方法</w:t>
            </w:r>
          </w:p>
        </w:tc>
      </w:tr>
      <w:tr>
        <w:tblPrEx>
          <w:tblCellMar>
            <w:top w:w="0" w:type="dxa"/>
            <w:left w:w="108" w:type="dxa"/>
            <w:bottom w:w="0" w:type="dxa"/>
            <w:right w:w="108" w:type="dxa"/>
          </w:tblCellMar>
        </w:tblPrEx>
        <w:trPr>
          <w:trHeight w:val="280" w:hRule="atLeast"/>
          <w:jc w:val="center"/>
        </w:trPr>
        <w:tc>
          <w:tcPr>
            <w:tcW w:w="660" w:type="dxa"/>
            <w:vMerge w:val="continue"/>
            <w:tcBorders>
              <w:left w:val="single" w:color="auto" w:sz="4" w:space="0"/>
              <w:right w:val="single" w:color="auto" w:sz="4" w:space="0"/>
            </w:tcBorders>
            <w:noWrap/>
            <w:vAlign w:val="center"/>
          </w:tcPr>
          <w:p>
            <w:pPr>
              <w:widowControl/>
              <w:jc w:val="center"/>
              <w:rPr>
                <w:rFonts w:hint="eastAsia" w:cs="宋体" w:asciiTheme="minorEastAsia" w:hAnsiTheme="minorEastAsia"/>
                <w:kern w:val="0"/>
                <w:szCs w:val="21"/>
              </w:rPr>
            </w:pPr>
          </w:p>
        </w:tc>
        <w:tc>
          <w:tcPr>
            <w:tcW w:w="1320"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cs="宋体" w:asciiTheme="minorEastAsia" w:hAnsiTheme="minorEastAsia"/>
                <w:kern w:val="0"/>
                <w:szCs w:val="21"/>
              </w:rPr>
            </w:pPr>
          </w:p>
        </w:tc>
        <w:tc>
          <w:tcPr>
            <w:tcW w:w="1985" w:type="dxa"/>
            <w:tcBorders>
              <w:top w:val="nil"/>
              <w:left w:val="nil"/>
              <w:bottom w:val="single" w:color="auto" w:sz="4" w:space="0"/>
              <w:right w:val="single" w:color="auto" w:sz="4" w:space="0"/>
            </w:tcBorders>
            <w:noWrap/>
            <w:vAlign w:val="center"/>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控制功能</w:t>
            </w:r>
          </w:p>
        </w:tc>
        <w:tc>
          <w:tcPr>
            <w:tcW w:w="850" w:type="dxa"/>
            <w:vMerge w:val="continue"/>
            <w:tcBorders>
              <w:right w:val="single" w:color="auto" w:sz="4" w:space="0"/>
            </w:tcBorders>
          </w:tcPr>
          <w:p>
            <w:pPr>
              <w:widowControl/>
              <w:jc w:val="left"/>
              <w:rPr>
                <w:rFonts w:hint="eastAsia" w:cs="宋体" w:asciiTheme="minorEastAsia" w:hAnsiTheme="minorEastAsia"/>
                <w:kern w:val="0"/>
                <w:szCs w:val="21"/>
              </w:rPr>
            </w:pPr>
          </w:p>
        </w:tc>
        <w:tc>
          <w:tcPr>
            <w:tcW w:w="4393" w:type="dxa"/>
            <w:tcBorders>
              <w:top w:val="nil"/>
              <w:left w:val="single" w:color="auto" w:sz="4" w:space="0"/>
              <w:bottom w:val="single" w:color="auto" w:sz="4" w:space="0"/>
              <w:right w:val="single" w:color="auto" w:sz="4" w:space="0"/>
            </w:tcBorders>
            <w:vAlign w:val="center"/>
          </w:tcPr>
          <w:p>
            <w:pPr>
              <w:widowControl/>
              <w:jc w:val="left"/>
              <w:rPr>
                <w:rFonts w:hint="eastAsia" w:cs="宋体" w:asciiTheme="minorEastAsia" w:hAnsiTheme="minorEastAsia"/>
                <w:kern w:val="0"/>
                <w:szCs w:val="21"/>
              </w:rPr>
            </w:pPr>
            <w:r>
              <w:rPr>
                <w:rFonts w:hint="eastAsia" w:cs="宋体" w:asciiTheme="minorEastAsia" w:hAnsiTheme="minorEastAsia"/>
                <w:kern w:val="0"/>
                <w:szCs w:val="21"/>
              </w:rPr>
              <w:t>能本地手动及远程自动控制天窗的启闭</w:t>
            </w:r>
          </w:p>
        </w:tc>
        <w:tc>
          <w:tcPr>
            <w:tcW w:w="776" w:type="dxa"/>
            <w:tcBorders>
              <w:top w:val="nil"/>
              <w:left w:val="nil"/>
              <w:bottom w:val="single" w:color="auto" w:sz="4" w:space="0"/>
              <w:right w:val="single" w:color="auto" w:sz="4" w:space="0"/>
            </w:tcBorders>
            <w:vAlign w:val="center"/>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 xml:space="preserve">40 </w:t>
            </w:r>
          </w:p>
        </w:tc>
        <w:tc>
          <w:tcPr>
            <w:tcW w:w="3969" w:type="dxa"/>
            <w:tcBorders>
              <w:top w:val="nil"/>
              <w:left w:val="nil"/>
              <w:bottom w:val="single" w:color="auto" w:sz="4" w:space="0"/>
              <w:right w:val="single" w:color="auto" w:sz="4" w:space="0"/>
            </w:tcBorders>
            <w:vAlign w:val="center"/>
          </w:tcPr>
          <w:p>
            <w:pPr>
              <w:widowControl/>
              <w:jc w:val="left"/>
              <w:rPr>
                <w:rFonts w:hint="eastAsia" w:cs="宋体" w:asciiTheme="minorEastAsia" w:hAnsiTheme="minorEastAsia"/>
                <w:kern w:val="0"/>
                <w:szCs w:val="21"/>
              </w:rPr>
            </w:pPr>
            <w:r>
              <w:rPr>
                <w:rFonts w:hint="eastAsia" w:cs="宋体" w:asciiTheme="minorEastAsia" w:hAnsiTheme="minorEastAsia"/>
                <w:kern w:val="0"/>
                <w:szCs w:val="21"/>
              </w:rPr>
              <w:t>全数实地检查</w:t>
            </w:r>
          </w:p>
        </w:tc>
      </w:tr>
      <w:tr>
        <w:tblPrEx>
          <w:tblCellMar>
            <w:top w:w="0" w:type="dxa"/>
            <w:left w:w="108" w:type="dxa"/>
            <w:bottom w:w="0" w:type="dxa"/>
            <w:right w:w="108" w:type="dxa"/>
          </w:tblCellMar>
        </w:tblPrEx>
        <w:trPr>
          <w:trHeight w:val="560" w:hRule="atLeast"/>
          <w:jc w:val="center"/>
        </w:trPr>
        <w:tc>
          <w:tcPr>
            <w:tcW w:w="660" w:type="dxa"/>
            <w:vMerge w:val="continue"/>
            <w:tcBorders>
              <w:left w:val="single" w:color="auto" w:sz="4" w:space="0"/>
              <w:right w:val="single" w:color="auto" w:sz="4" w:space="0"/>
            </w:tcBorders>
            <w:noWrap/>
            <w:vAlign w:val="center"/>
          </w:tcPr>
          <w:p>
            <w:pPr>
              <w:widowControl/>
              <w:jc w:val="center"/>
              <w:rPr>
                <w:rFonts w:hint="eastAsia" w:cs="宋体" w:asciiTheme="minorEastAsia" w:hAnsiTheme="minorEastAsia"/>
                <w:kern w:val="0"/>
                <w:szCs w:val="21"/>
              </w:rPr>
            </w:pPr>
          </w:p>
        </w:tc>
        <w:tc>
          <w:tcPr>
            <w:tcW w:w="1320"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cs="宋体" w:asciiTheme="minorEastAsia" w:hAnsiTheme="minorEastAsia"/>
                <w:kern w:val="0"/>
                <w:szCs w:val="21"/>
              </w:rPr>
            </w:pPr>
          </w:p>
        </w:tc>
        <w:tc>
          <w:tcPr>
            <w:tcW w:w="1985" w:type="dxa"/>
            <w:tcBorders>
              <w:top w:val="nil"/>
              <w:left w:val="nil"/>
              <w:bottom w:val="single" w:color="auto" w:sz="4" w:space="0"/>
              <w:right w:val="single" w:color="auto" w:sz="4" w:space="0"/>
            </w:tcBorders>
            <w:noWrap/>
            <w:vAlign w:val="center"/>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防水、防爆功能</w:t>
            </w:r>
          </w:p>
        </w:tc>
        <w:tc>
          <w:tcPr>
            <w:tcW w:w="850" w:type="dxa"/>
            <w:vMerge w:val="continue"/>
            <w:tcBorders>
              <w:right w:val="single" w:color="auto" w:sz="4" w:space="0"/>
            </w:tcBorders>
          </w:tcPr>
          <w:p>
            <w:pPr>
              <w:widowControl/>
              <w:jc w:val="left"/>
              <w:rPr>
                <w:rFonts w:hint="eastAsia" w:cs="宋体" w:asciiTheme="minorEastAsia" w:hAnsiTheme="minorEastAsia"/>
                <w:kern w:val="0"/>
                <w:szCs w:val="21"/>
              </w:rPr>
            </w:pPr>
          </w:p>
        </w:tc>
        <w:tc>
          <w:tcPr>
            <w:tcW w:w="4393" w:type="dxa"/>
            <w:tcBorders>
              <w:top w:val="nil"/>
              <w:left w:val="single" w:color="auto" w:sz="4" w:space="0"/>
              <w:bottom w:val="single" w:color="auto" w:sz="4" w:space="0"/>
              <w:right w:val="single" w:color="auto" w:sz="4" w:space="0"/>
            </w:tcBorders>
            <w:vAlign w:val="center"/>
          </w:tcPr>
          <w:p>
            <w:pPr>
              <w:widowControl/>
              <w:jc w:val="left"/>
              <w:rPr>
                <w:rFonts w:hint="eastAsia" w:cs="宋体" w:asciiTheme="minorEastAsia" w:hAnsiTheme="minorEastAsia"/>
                <w:kern w:val="0"/>
                <w:szCs w:val="21"/>
              </w:rPr>
            </w:pPr>
            <w:r>
              <w:rPr>
                <w:rFonts w:hint="eastAsia" w:cs="宋体" w:asciiTheme="minorEastAsia" w:hAnsiTheme="minorEastAsia"/>
                <w:kern w:val="0"/>
                <w:szCs w:val="21"/>
              </w:rPr>
              <w:t>当控制箱安装于室外时，须采用防水控制箱；对于有防爆要求的场所，控制箱需有防爆功能</w:t>
            </w:r>
          </w:p>
        </w:tc>
        <w:tc>
          <w:tcPr>
            <w:tcW w:w="776" w:type="dxa"/>
            <w:tcBorders>
              <w:top w:val="nil"/>
              <w:left w:val="nil"/>
              <w:bottom w:val="single" w:color="auto" w:sz="4" w:space="0"/>
              <w:right w:val="single" w:color="auto" w:sz="4" w:space="0"/>
            </w:tcBorders>
            <w:vAlign w:val="center"/>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 xml:space="preserve">30 </w:t>
            </w:r>
          </w:p>
        </w:tc>
        <w:tc>
          <w:tcPr>
            <w:tcW w:w="3969" w:type="dxa"/>
            <w:tcBorders>
              <w:top w:val="nil"/>
              <w:left w:val="nil"/>
              <w:bottom w:val="single" w:color="auto" w:sz="4" w:space="0"/>
              <w:right w:val="single" w:color="auto" w:sz="4" w:space="0"/>
            </w:tcBorders>
            <w:vAlign w:val="center"/>
          </w:tcPr>
          <w:p>
            <w:pPr>
              <w:widowControl/>
              <w:jc w:val="left"/>
              <w:rPr>
                <w:rFonts w:hint="eastAsia" w:cs="宋体" w:asciiTheme="minorEastAsia" w:hAnsiTheme="minorEastAsia"/>
                <w:kern w:val="0"/>
                <w:szCs w:val="21"/>
              </w:rPr>
            </w:pPr>
            <w:r>
              <w:rPr>
                <w:rFonts w:hint="eastAsia" w:cs="宋体" w:asciiTheme="minorEastAsia" w:hAnsiTheme="minorEastAsia"/>
                <w:kern w:val="0"/>
                <w:szCs w:val="21"/>
              </w:rPr>
              <w:t>全数实地检查</w:t>
            </w:r>
          </w:p>
        </w:tc>
      </w:tr>
      <w:tr>
        <w:tblPrEx>
          <w:tblCellMar>
            <w:top w:w="0" w:type="dxa"/>
            <w:left w:w="108" w:type="dxa"/>
            <w:bottom w:w="0" w:type="dxa"/>
            <w:right w:w="108" w:type="dxa"/>
          </w:tblCellMar>
        </w:tblPrEx>
        <w:trPr>
          <w:trHeight w:val="280" w:hRule="atLeast"/>
          <w:jc w:val="center"/>
        </w:trPr>
        <w:tc>
          <w:tcPr>
            <w:tcW w:w="660" w:type="dxa"/>
            <w:vMerge w:val="continue"/>
            <w:tcBorders>
              <w:left w:val="single" w:color="auto" w:sz="4" w:space="0"/>
              <w:right w:val="single" w:color="auto" w:sz="4" w:space="0"/>
            </w:tcBorders>
            <w:noWrap/>
            <w:vAlign w:val="center"/>
          </w:tcPr>
          <w:p>
            <w:pPr>
              <w:widowControl/>
              <w:jc w:val="center"/>
              <w:rPr>
                <w:rFonts w:hint="eastAsia" w:cs="宋体" w:asciiTheme="minorEastAsia" w:hAnsiTheme="minorEastAsia"/>
                <w:kern w:val="0"/>
                <w:szCs w:val="21"/>
              </w:rPr>
            </w:pPr>
          </w:p>
        </w:tc>
        <w:tc>
          <w:tcPr>
            <w:tcW w:w="1320"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cs="宋体" w:asciiTheme="minorEastAsia" w:hAnsiTheme="minorEastAsia"/>
                <w:kern w:val="0"/>
                <w:szCs w:val="21"/>
              </w:rPr>
            </w:pPr>
          </w:p>
        </w:tc>
        <w:tc>
          <w:tcPr>
            <w:tcW w:w="1985" w:type="dxa"/>
            <w:tcBorders>
              <w:top w:val="nil"/>
              <w:left w:val="nil"/>
              <w:bottom w:val="single" w:color="auto" w:sz="4" w:space="0"/>
              <w:right w:val="single" w:color="auto" w:sz="4" w:space="0"/>
            </w:tcBorders>
            <w:noWrap/>
            <w:vAlign w:val="center"/>
          </w:tcPr>
          <w:p>
            <w:pPr>
              <w:widowControl/>
              <w:jc w:val="center"/>
              <w:rPr>
                <w:rFonts w:hint="eastAsia" w:cs="宋体" w:asciiTheme="minorEastAsia" w:hAnsiTheme="minorEastAsia"/>
                <w:b/>
                <w:bCs/>
                <w:kern w:val="0"/>
                <w:szCs w:val="21"/>
              </w:rPr>
            </w:pPr>
            <w:r>
              <w:rPr>
                <w:rFonts w:hint="eastAsia" w:cs="宋体" w:asciiTheme="minorEastAsia" w:hAnsiTheme="minorEastAsia"/>
                <w:b/>
                <w:bCs/>
                <w:kern w:val="0"/>
                <w:szCs w:val="21"/>
              </w:rPr>
              <w:t>一般项</w:t>
            </w:r>
          </w:p>
        </w:tc>
        <w:tc>
          <w:tcPr>
            <w:tcW w:w="850" w:type="dxa"/>
            <w:vMerge w:val="continue"/>
            <w:tcBorders>
              <w:right w:val="single" w:color="auto" w:sz="4" w:space="0"/>
            </w:tcBorders>
          </w:tcPr>
          <w:p>
            <w:pPr>
              <w:widowControl/>
              <w:jc w:val="center"/>
              <w:rPr>
                <w:rFonts w:hint="eastAsia" w:cs="宋体" w:asciiTheme="minorEastAsia" w:hAnsiTheme="minorEastAsia"/>
                <w:b/>
                <w:bCs/>
                <w:kern w:val="0"/>
                <w:szCs w:val="21"/>
              </w:rPr>
            </w:pPr>
          </w:p>
        </w:tc>
        <w:tc>
          <w:tcPr>
            <w:tcW w:w="4393" w:type="dxa"/>
            <w:tcBorders>
              <w:top w:val="nil"/>
              <w:left w:val="single" w:color="auto" w:sz="4" w:space="0"/>
              <w:bottom w:val="single" w:color="auto" w:sz="4" w:space="0"/>
              <w:right w:val="single" w:color="auto" w:sz="4" w:space="0"/>
            </w:tcBorders>
            <w:vAlign w:val="center"/>
          </w:tcPr>
          <w:p>
            <w:pPr>
              <w:widowControl/>
              <w:jc w:val="center"/>
              <w:rPr>
                <w:rFonts w:hint="eastAsia" w:cs="宋体" w:asciiTheme="minorEastAsia" w:hAnsiTheme="minorEastAsia"/>
                <w:b/>
                <w:bCs/>
                <w:kern w:val="0"/>
                <w:szCs w:val="21"/>
              </w:rPr>
            </w:pPr>
            <w:r>
              <w:rPr>
                <w:rFonts w:hint="eastAsia" w:cs="宋体" w:asciiTheme="minorEastAsia" w:hAnsiTheme="minorEastAsia"/>
                <w:b/>
                <w:bCs/>
                <w:kern w:val="0"/>
                <w:szCs w:val="21"/>
              </w:rPr>
              <w:t>一般项评分要点</w:t>
            </w:r>
          </w:p>
        </w:tc>
        <w:tc>
          <w:tcPr>
            <w:tcW w:w="776" w:type="dxa"/>
            <w:tcBorders>
              <w:top w:val="nil"/>
              <w:left w:val="nil"/>
              <w:bottom w:val="single" w:color="auto" w:sz="4" w:space="0"/>
              <w:right w:val="single" w:color="auto" w:sz="4" w:space="0"/>
            </w:tcBorders>
            <w:vAlign w:val="center"/>
          </w:tcPr>
          <w:p>
            <w:pPr>
              <w:widowControl/>
              <w:jc w:val="center"/>
              <w:rPr>
                <w:rFonts w:hint="eastAsia" w:cs="宋体" w:asciiTheme="minorEastAsia" w:hAnsiTheme="minorEastAsia"/>
                <w:b/>
                <w:bCs/>
                <w:kern w:val="0"/>
                <w:szCs w:val="21"/>
              </w:rPr>
            </w:pPr>
          </w:p>
        </w:tc>
        <w:tc>
          <w:tcPr>
            <w:tcW w:w="3969" w:type="dxa"/>
            <w:tcBorders>
              <w:top w:val="nil"/>
              <w:left w:val="nil"/>
              <w:bottom w:val="single" w:color="auto" w:sz="4" w:space="0"/>
              <w:right w:val="single" w:color="auto" w:sz="4" w:space="0"/>
            </w:tcBorders>
            <w:vAlign w:val="center"/>
          </w:tcPr>
          <w:p>
            <w:pPr>
              <w:widowControl/>
              <w:jc w:val="center"/>
              <w:rPr>
                <w:rFonts w:hint="eastAsia" w:cs="宋体" w:asciiTheme="minorEastAsia" w:hAnsiTheme="minorEastAsia"/>
                <w:b/>
                <w:bCs/>
                <w:kern w:val="0"/>
                <w:szCs w:val="21"/>
              </w:rPr>
            </w:pPr>
            <w:r>
              <w:rPr>
                <w:rFonts w:hint="eastAsia" w:cs="宋体" w:asciiTheme="minorEastAsia" w:hAnsiTheme="minorEastAsia"/>
                <w:b/>
                <w:bCs/>
                <w:kern w:val="0"/>
                <w:szCs w:val="21"/>
              </w:rPr>
              <w:t>评定方法</w:t>
            </w:r>
          </w:p>
        </w:tc>
      </w:tr>
      <w:tr>
        <w:tblPrEx>
          <w:tblCellMar>
            <w:top w:w="0" w:type="dxa"/>
            <w:left w:w="108" w:type="dxa"/>
            <w:bottom w:w="0" w:type="dxa"/>
            <w:right w:w="108" w:type="dxa"/>
          </w:tblCellMar>
        </w:tblPrEx>
        <w:trPr>
          <w:trHeight w:val="280" w:hRule="atLeast"/>
          <w:jc w:val="center"/>
        </w:trPr>
        <w:tc>
          <w:tcPr>
            <w:tcW w:w="660" w:type="dxa"/>
            <w:vMerge w:val="continue"/>
            <w:tcBorders>
              <w:left w:val="single" w:color="auto" w:sz="4" w:space="0"/>
              <w:right w:val="single" w:color="auto" w:sz="4" w:space="0"/>
            </w:tcBorders>
            <w:noWrap/>
            <w:vAlign w:val="center"/>
          </w:tcPr>
          <w:p>
            <w:pPr>
              <w:widowControl/>
              <w:jc w:val="center"/>
              <w:rPr>
                <w:rFonts w:hint="eastAsia" w:cs="宋体" w:asciiTheme="minorEastAsia" w:hAnsiTheme="minorEastAsia"/>
                <w:kern w:val="0"/>
                <w:szCs w:val="21"/>
              </w:rPr>
            </w:pPr>
          </w:p>
        </w:tc>
        <w:tc>
          <w:tcPr>
            <w:tcW w:w="1320"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cs="宋体" w:asciiTheme="minorEastAsia" w:hAnsiTheme="minorEastAsia"/>
                <w:kern w:val="0"/>
                <w:szCs w:val="21"/>
              </w:rPr>
            </w:pPr>
          </w:p>
        </w:tc>
        <w:tc>
          <w:tcPr>
            <w:tcW w:w="1985" w:type="dxa"/>
            <w:tcBorders>
              <w:top w:val="nil"/>
              <w:left w:val="nil"/>
              <w:bottom w:val="single" w:color="auto" w:sz="4" w:space="0"/>
              <w:right w:val="single" w:color="auto" w:sz="4" w:space="0"/>
            </w:tcBorders>
            <w:noWrap/>
            <w:vAlign w:val="center"/>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位置</w:t>
            </w:r>
          </w:p>
        </w:tc>
        <w:tc>
          <w:tcPr>
            <w:tcW w:w="850" w:type="dxa"/>
            <w:vMerge w:val="continue"/>
            <w:tcBorders>
              <w:right w:val="single" w:color="auto" w:sz="4" w:space="0"/>
            </w:tcBorders>
          </w:tcPr>
          <w:p>
            <w:pPr>
              <w:widowControl/>
              <w:jc w:val="left"/>
              <w:rPr>
                <w:rFonts w:hint="eastAsia" w:cs="宋体" w:asciiTheme="minorEastAsia" w:hAnsiTheme="minorEastAsia"/>
                <w:kern w:val="0"/>
                <w:szCs w:val="21"/>
              </w:rPr>
            </w:pPr>
          </w:p>
        </w:tc>
        <w:tc>
          <w:tcPr>
            <w:tcW w:w="4393" w:type="dxa"/>
            <w:tcBorders>
              <w:top w:val="nil"/>
              <w:left w:val="single" w:color="auto" w:sz="4" w:space="0"/>
              <w:bottom w:val="single" w:color="auto" w:sz="4" w:space="0"/>
              <w:right w:val="single" w:color="auto" w:sz="4" w:space="0"/>
            </w:tcBorders>
            <w:vAlign w:val="center"/>
          </w:tcPr>
          <w:p>
            <w:pPr>
              <w:widowControl/>
              <w:jc w:val="left"/>
              <w:rPr>
                <w:rFonts w:hint="eastAsia" w:cs="宋体" w:asciiTheme="minorEastAsia" w:hAnsiTheme="minorEastAsia"/>
                <w:kern w:val="0"/>
                <w:szCs w:val="21"/>
              </w:rPr>
            </w:pPr>
            <w:r>
              <w:rPr>
                <w:rFonts w:hint="eastAsia" w:cs="宋体" w:asciiTheme="minorEastAsia" w:hAnsiTheme="minorEastAsia"/>
                <w:kern w:val="0"/>
                <w:szCs w:val="21"/>
              </w:rPr>
              <w:t>控制箱应水平安装，顶部安装高度宜2米，便于操作控制</w:t>
            </w:r>
          </w:p>
        </w:tc>
        <w:tc>
          <w:tcPr>
            <w:tcW w:w="776" w:type="dxa"/>
            <w:tcBorders>
              <w:top w:val="nil"/>
              <w:left w:val="nil"/>
              <w:bottom w:val="single" w:color="auto" w:sz="4" w:space="0"/>
              <w:right w:val="single" w:color="auto" w:sz="4" w:space="0"/>
            </w:tcBorders>
            <w:vAlign w:val="center"/>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 xml:space="preserve">15 </w:t>
            </w:r>
          </w:p>
        </w:tc>
        <w:tc>
          <w:tcPr>
            <w:tcW w:w="3969" w:type="dxa"/>
            <w:tcBorders>
              <w:top w:val="nil"/>
              <w:left w:val="nil"/>
              <w:bottom w:val="single" w:color="auto" w:sz="4" w:space="0"/>
              <w:right w:val="single" w:color="auto" w:sz="4" w:space="0"/>
            </w:tcBorders>
            <w:vAlign w:val="center"/>
          </w:tcPr>
          <w:p>
            <w:pPr>
              <w:widowControl/>
              <w:jc w:val="left"/>
              <w:rPr>
                <w:rFonts w:hint="eastAsia" w:cs="宋体" w:asciiTheme="minorEastAsia" w:hAnsiTheme="minorEastAsia"/>
                <w:kern w:val="0"/>
                <w:szCs w:val="21"/>
              </w:rPr>
            </w:pPr>
            <w:r>
              <w:rPr>
                <w:rFonts w:hint="eastAsia" w:cs="宋体" w:asciiTheme="minorEastAsia" w:hAnsiTheme="minorEastAsia"/>
                <w:kern w:val="0"/>
                <w:szCs w:val="21"/>
              </w:rPr>
              <w:t>全数实地检查</w:t>
            </w:r>
          </w:p>
        </w:tc>
      </w:tr>
      <w:tr>
        <w:tblPrEx>
          <w:tblCellMar>
            <w:top w:w="0" w:type="dxa"/>
            <w:left w:w="108" w:type="dxa"/>
            <w:bottom w:w="0" w:type="dxa"/>
            <w:right w:w="108" w:type="dxa"/>
          </w:tblCellMar>
        </w:tblPrEx>
        <w:trPr>
          <w:trHeight w:val="280" w:hRule="atLeast"/>
          <w:jc w:val="center"/>
        </w:trPr>
        <w:tc>
          <w:tcPr>
            <w:tcW w:w="660" w:type="dxa"/>
            <w:vMerge w:val="continue"/>
            <w:tcBorders>
              <w:left w:val="single" w:color="auto" w:sz="4" w:space="0"/>
              <w:bottom w:val="single" w:color="auto" w:sz="4" w:space="0"/>
              <w:right w:val="single" w:color="auto" w:sz="4" w:space="0"/>
            </w:tcBorders>
            <w:noWrap/>
            <w:vAlign w:val="center"/>
          </w:tcPr>
          <w:p>
            <w:pPr>
              <w:widowControl/>
              <w:jc w:val="center"/>
              <w:rPr>
                <w:rFonts w:hint="eastAsia" w:cs="宋体" w:asciiTheme="minorEastAsia" w:hAnsiTheme="minorEastAsia"/>
                <w:kern w:val="0"/>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cs="宋体" w:asciiTheme="minorEastAsia" w:hAnsiTheme="minorEastAsia"/>
                <w:kern w:val="0"/>
                <w:szCs w:val="21"/>
              </w:rPr>
            </w:pPr>
          </w:p>
        </w:tc>
        <w:tc>
          <w:tcPr>
            <w:tcW w:w="1985" w:type="dxa"/>
            <w:tcBorders>
              <w:top w:val="nil"/>
              <w:left w:val="nil"/>
              <w:bottom w:val="single" w:color="auto" w:sz="4" w:space="0"/>
              <w:right w:val="single" w:color="auto" w:sz="4" w:space="0"/>
            </w:tcBorders>
            <w:noWrap/>
            <w:vAlign w:val="center"/>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外观</w:t>
            </w:r>
          </w:p>
        </w:tc>
        <w:tc>
          <w:tcPr>
            <w:tcW w:w="850" w:type="dxa"/>
            <w:vMerge w:val="continue"/>
            <w:tcBorders>
              <w:bottom w:val="single" w:color="auto" w:sz="4" w:space="0"/>
              <w:right w:val="single" w:color="auto" w:sz="4" w:space="0"/>
            </w:tcBorders>
          </w:tcPr>
          <w:p>
            <w:pPr>
              <w:widowControl/>
              <w:jc w:val="left"/>
              <w:rPr>
                <w:rFonts w:hint="eastAsia" w:cs="宋体" w:asciiTheme="minorEastAsia" w:hAnsiTheme="minorEastAsia"/>
                <w:kern w:val="0"/>
                <w:szCs w:val="21"/>
              </w:rPr>
            </w:pPr>
          </w:p>
        </w:tc>
        <w:tc>
          <w:tcPr>
            <w:tcW w:w="4393" w:type="dxa"/>
            <w:tcBorders>
              <w:top w:val="nil"/>
              <w:left w:val="single" w:color="auto" w:sz="4" w:space="0"/>
              <w:bottom w:val="single" w:color="auto" w:sz="4" w:space="0"/>
              <w:right w:val="single" w:color="auto" w:sz="4" w:space="0"/>
            </w:tcBorders>
            <w:vAlign w:val="center"/>
          </w:tcPr>
          <w:p>
            <w:pPr>
              <w:widowControl/>
              <w:jc w:val="left"/>
              <w:rPr>
                <w:rFonts w:hint="eastAsia" w:cs="宋体" w:asciiTheme="minorEastAsia" w:hAnsiTheme="minorEastAsia"/>
                <w:kern w:val="0"/>
                <w:szCs w:val="21"/>
              </w:rPr>
            </w:pPr>
            <w:r>
              <w:rPr>
                <w:rFonts w:hint="eastAsia" w:cs="宋体" w:asciiTheme="minorEastAsia" w:hAnsiTheme="minorEastAsia"/>
                <w:kern w:val="0"/>
                <w:szCs w:val="21"/>
              </w:rPr>
              <w:t>控制箱箱体无划痕、无污染</w:t>
            </w:r>
          </w:p>
        </w:tc>
        <w:tc>
          <w:tcPr>
            <w:tcW w:w="776" w:type="dxa"/>
            <w:tcBorders>
              <w:top w:val="nil"/>
              <w:left w:val="nil"/>
              <w:bottom w:val="single" w:color="auto" w:sz="4" w:space="0"/>
              <w:right w:val="single" w:color="auto" w:sz="4" w:space="0"/>
            </w:tcBorders>
            <w:vAlign w:val="center"/>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 xml:space="preserve">15 </w:t>
            </w:r>
          </w:p>
        </w:tc>
        <w:tc>
          <w:tcPr>
            <w:tcW w:w="3969" w:type="dxa"/>
            <w:tcBorders>
              <w:top w:val="nil"/>
              <w:left w:val="nil"/>
              <w:bottom w:val="single" w:color="auto" w:sz="4" w:space="0"/>
              <w:right w:val="single" w:color="auto" w:sz="4" w:space="0"/>
            </w:tcBorders>
            <w:vAlign w:val="center"/>
          </w:tcPr>
          <w:p>
            <w:pPr>
              <w:widowControl/>
              <w:jc w:val="left"/>
              <w:rPr>
                <w:rFonts w:hint="eastAsia" w:cs="宋体" w:asciiTheme="minorEastAsia" w:hAnsiTheme="minorEastAsia"/>
                <w:kern w:val="0"/>
                <w:szCs w:val="21"/>
              </w:rPr>
            </w:pPr>
            <w:r>
              <w:rPr>
                <w:rFonts w:hint="eastAsia" w:cs="宋体" w:asciiTheme="minorEastAsia" w:hAnsiTheme="minorEastAsia"/>
                <w:kern w:val="0"/>
                <w:szCs w:val="21"/>
              </w:rPr>
              <w:t>全数实地检查</w:t>
            </w:r>
          </w:p>
        </w:tc>
      </w:tr>
      <w:tr>
        <w:tblPrEx>
          <w:tblCellMar>
            <w:top w:w="0" w:type="dxa"/>
            <w:left w:w="108" w:type="dxa"/>
            <w:bottom w:w="0" w:type="dxa"/>
            <w:right w:w="108" w:type="dxa"/>
          </w:tblCellMar>
        </w:tblPrEx>
        <w:trPr>
          <w:trHeight w:val="280" w:hRule="atLeast"/>
          <w:jc w:val="center"/>
        </w:trPr>
        <w:tc>
          <w:tcPr>
            <w:tcW w:w="660" w:type="dxa"/>
            <w:vMerge w:val="restart"/>
            <w:tcBorders>
              <w:top w:val="single" w:color="auto" w:sz="4" w:space="0"/>
              <w:left w:val="single" w:color="auto" w:sz="4" w:space="0"/>
              <w:right w:val="single" w:color="auto" w:sz="4" w:space="0"/>
            </w:tcBorders>
            <w:noWrap/>
            <w:vAlign w:val="center"/>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3</w:t>
            </w:r>
          </w:p>
        </w:tc>
        <w:tc>
          <w:tcPr>
            <w:tcW w:w="1320" w:type="dxa"/>
            <w:vMerge w:val="restart"/>
            <w:tcBorders>
              <w:top w:val="single" w:color="auto" w:sz="4" w:space="0"/>
              <w:left w:val="single" w:color="auto" w:sz="4" w:space="0"/>
              <w:right w:val="single" w:color="auto" w:sz="4" w:space="0"/>
            </w:tcBorders>
            <w:vAlign w:val="center"/>
          </w:tcPr>
          <w:p>
            <w:pPr>
              <w:widowControl/>
              <w:jc w:val="left"/>
              <w:rPr>
                <w:rFonts w:hint="eastAsia" w:cs="宋体" w:asciiTheme="minorEastAsia" w:hAnsiTheme="minorEastAsia"/>
                <w:kern w:val="0"/>
                <w:szCs w:val="21"/>
              </w:rPr>
            </w:pPr>
            <w:r>
              <w:rPr>
                <w:rFonts w:hint="eastAsia" w:cs="宋体" w:asciiTheme="minorEastAsia" w:hAnsiTheme="minorEastAsia"/>
                <w:kern w:val="0"/>
                <w:szCs w:val="21"/>
              </w:rPr>
              <w:t>C 系统调试</w:t>
            </w:r>
          </w:p>
        </w:tc>
        <w:tc>
          <w:tcPr>
            <w:tcW w:w="1985" w:type="dxa"/>
            <w:tcBorders>
              <w:top w:val="single" w:color="auto" w:sz="4" w:space="0"/>
              <w:bottom w:val="single" w:color="auto" w:sz="4" w:space="0"/>
              <w:right w:val="single" w:color="auto" w:sz="4" w:space="0"/>
            </w:tcBorders>
            <w:noWrap/>
          </w:tcPr>
          <w:p>
            <w:pPr>
              <w:widowControl/>
              <w:jc w:val="center"/>
              <w:rPr>
                <w:rFonts w:hint="eastAsia" w:cs="宋体" w:asciiTheme="minorEastAsia" w:hAnsiTheme="minorEastAsia"/>
                <w:kern w:val="0"/>
                <w:szCs w:val="21"/>
              </w:rPr>
            </w:pPr>
            <w:r>
              <w:rPr>
                <w:rFonts w:hint="eastAsia" w:cs="宋体" w:asciiTheme="minorEastAsia" w:hAnsiTheme="minorEastAsia"/>
                <w:b/>
                <w:bCs/>
                <w:kern w:val="0"/>
                <w:szCs w:val="21"/>
              </w:rPr>
              <w:t>主控项</w:t>
            </w:r>
          </w:p>
        </w:tc>
        <w:tc>
          <w:tcPr>
            <w:tcW w:w="850" w:type="dxa"/>
            <w:vMerge w:val="restart"/>
            <w:tcBorders>
              <w:top w:val="single" w:color="auto" w:sz="4" w:space="0"/>
            </w:tcBorders>
            <w:vAlign w:val="center"/>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0.20</w:t>
            </w:r>
          </w:p>
        </w:tc>
        <w:tc>
          <w:tcPr>
            <w:tcW w:w="4393" w:type="dxa"/>
            <w:tcBorders>
              <w:top w:val="single" w:color="auto" w:sz="4" w:space="0"/>
              <w:left w:val="single" w:color="auto" w:sz="4" w:space="0"/>
              <w:bottom w:val="single" w:color="auto" w:sz="4" w:space="0"/>
              <w:right w:val="single" w:color="auto" w:sz="4" w:space="0"/>
            </w:tcBorders>
          </w:tcPr>
          <w:p>
            <w:pPr>
              <w:widowControl/>
              <w:jc w:val="center"/>
              <w:rPr>
                <w:rFonts w:hint="eastAsia" w:cs="宋体" w:asciiTheme="minorEastAsia" w:hAnsiTheme="minorEastAsia"/>
                <w:kern w:val="0"/>
                <w:szCs w:val="21"/>
              </w:rPr>
            </w:pPr>
            <w:r>
              <w:rPr>
                <w:rFonts w:hint="eastAsia" w:cs="宋体" w:asciiTheme="minorEastAsia" w:hAnsiTheme="minorEastAsia"/>
                <w:b/>
                <w:bCs/>
                <w:kern w:val="0"/>
                <w:szCs w:val="21"/>
              </w:rPr>
              <w:t>主控项评分要点</w:t>
            </w:r>
          </w:p>
        </w:tc>
        <w:tc>
          <w:tcPr>
            <w:tcW w:w="776" w:type="dxa"/>
            <w:tcBorders>
              <w:top w:val="single" w:color="auto" w:sz="4" w:space="0"/>
              <w:left w:val="single" w:color="auto" w:sz="4" w:space="0"/>
              <w:bottom w:val="single" w:color="auto" w:sz="4" w:space="0"/>
              <w:right w:val="single" w:color="auto" w:sz="4" w:space="0"/>
            </w:tcBorders>
          </w:tcPr>
          <w:p>
            <w:pPr>
              <w:widowControl/>
              <w:jc w:val="center"/>
              <w:rPr>
                <w:rFonts w:hint="eastAsia" w:cs="宋体" w:asciiTheme="minorEastAsia" w:hAnsiTheme="minorEastAsia"/>
                <w:kern w:val="0"/>
                <w:szCs w:val="21"/>
              </w:rPr>
            </w:pPr>
          </w:p>
        </w:tc>
        <w:tc>
          <w:tcPr>
            <w:tcW w:w="3969" w:type="dxa"/>
            <w:tcBorders>
              <w:top w:val="single" w:color="auto" w:sz="4" w:space="0"/>
              <w:left w:val="single" w:color="auto" w:sz="4" w:space="0"/>
              <w:bottom w:val="single" w:color="auto" w:sz="4" w:space="0"/>
              <w:right w:val="single" w:color="auto" w:sz="4" w:space="0"/>
            </w:tcBorders>
          </w:tcPr>
          <w:p>
            <w:pPr>
              <w:widowControl/>
              <w:jc w:val="center"/>
              <w:rPr>
                <w:rFonts w:hint="eastAsia" w:cs="宋体" w:asciiTheme="minorEastAsia" w:hAnsiTheme="minorEastAsia"/>
                <w:b/>
                <w:bCs/>
                <w:kern w:val="0"/>
                <w:szCs w:val="21"/>
              </w:rPr>
            </w:pPr>
            <w:r>
              <w:rPr>
                <w:rFonts w:hint="eastAsia" w:cs="宋体" w:asciiTheme="minorEastAsia" w:hAnsiTheme="minorEastAsia"/>
                <w:b/>
                <w:bCs/>
                <w:kern w:val="0"/>
                <w:szCs w:val="21"/>
              </w:rPr>
              <w:t>评定方法</w:t>
            </w:r>
          </w:p>
        </w:tc>
      </w:tr>
      <w:tr>
        <w:tblPrEx>
          <w:tblCellMar>
            <w:top w:w="0" w:type="dxa"/>
            <w:left w:w="108" w:type="dxa"/>
            <w:bottom w:w="0" w:type="dxa"/>
            <w:right w:w="108" w:type="dxa"/>
          </w:tblCellMar>
        </w:tblPrEx>
        <w:trPr>
          <w:trHeight w:val="280" w:hRule="atLeast"/>
          <w:jc w:val="center"/>
        </w:trPr>
        <w:tc>
          <w:tcPr>
            <w:tcW w:w="660" w:type="dxa"/>
            <w:vMerge w:val="continue"/>
            <w:tcBorders>
              <w:left w:val="single" w:color="auto" w:sz="4" w:space="0"/>
              <w:right w:val="single" w:color="auto" w:sz="4" w:space="0"/>
            </w:tcBorders>
            <w:noWrap/>
            <w:vAlign w:val="center"/>
          </w:tcPr>
          <w:p>
            <w:pPr>
              <w:widowControl/>
              <w:jc w:val="center"/>
              <w:rPr>
                <w:rFonts w:hint="eastAsia" w:cs="宋体" w:asciiTheme="minorEastAsia" w:hAnsiTheme="minorEastAsia"/>
                <w:kern w:val="0"/>
                <w:szCs w:val="21"/>
              </w:rPr>
            </w:pPr>
          </w:p>
        </w:tc>
        <w:tc>
          <w:tcPr>
            <w:tcW w:w="1320" w:type="dxa"/>
            <w:vMerge w:val="continue"/>
            <w:tcBorders>
              <w:left w:val="single" w:color="auto" w:sz="4" w:space="0"/>
              <w:right w:val="single" w:color="auto" w:sz="4" w:space="0"/>
            </w:tcBorders>
            <w:vAlign w:val="center"/>
          </w:tcPr>
          <w:p>
            <w:pPr>
              <w:widowControl/>
              <w:jc w:val="left"/>
              <w:rPr>
                <w:rFonts w:hint="eastAsia" w:cs="宋体" w:asciiTheme="minorEastAsia" w:hAnsiTheme="minorEastAsia"/>
                <w:kern w:val="0"/>
                <w:szCs w:val="21"/>
              </w:rPr>
            </w:pPr>
          </w:p>
        </w:tc>
        <w:tc>
          <w:tcPr>
            <w:tcW w:w="1985" w:type="dxa"/>
            <w:tcBorders>
              <w:top w:val="single" w:color="auto" w:sz="4" w:space="0"/>
              <w:bottom w:val="single" w:color="auto" w:sz="4" w:space="0"/>
              <w:right w:val="single" w:color="auto" w:sz="4" w:space="0"/>
            </w:tcBorders>
            <w:noWrap/>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调试方案</w:t>
            </w:r>
          </w:p>
        </w:tc>
        <w:tc>
          <w:tcPr>
            <w:tcW w:w="850" w:type="dxa"/>
            <w:vMerge w:val="continue"/>
          </w:tcPr>
          <w:p>
            <w:pPr>
              <w:widowControl/>
              <w:jc w:val="left"/>
              <w:rPr>
                <w:rFonts w:hint="eastAsia" w:cs="宋体" w:asciiTheme="minorEastAsia" w:hAnsiTheme="minorEastAsia"/>
                <w:kern w:val="0"/>
                <w:szCs w:val="21"/>
              </w:rPr>
            </w:pPr>
          </w:p>
        </w:tc>
        <w:tc>
          <w:tcPr>
            <w:tcW w:w="4393" w:type="dxa"/>
            <w:tcBorders>
              <w:top w:val="single" w:color="auto" w:sz="4" w:space="0"/>
              <w:left w:val="single" w:color="auto" w:sz="4" w:space="0"/>
              <w:bottom w:val="single" w:color="auto" w:sz="4" w:space="0"/>
              <w:right w:val="single" w:color="auto" w:sz="4" w:space="0"/>
            </w:tcBorders>
          </w:tcPr>
          <w:p>
            <w:pPr>
              <w:widowControl/>
              <w:jc w:val="left"/>
              <w:rPr>
                <w:rFonts w:hint="eastAsia" w:cs="宋体" w:asciiTheme="minorEastAsia" w:hAnsiTheme="minorEastAsia"/>
                <w:kern w:val="0"/>
                <w:szCs w:val="21"/>
              </w:rPr>
            </w:pPr>
            <w:r>
              <w:rPr>
                <w:rFonts w:hint="eastAsia" w:cs="宋体" w:asciiTheme="minorEastAsia" w:hAnsiTheme="minorEastAsia"/>
                <w:kern w:val="0"/>
                <w:szCs w:val="21"/>
              </w:rPr>
              <w:t>调试之前编制完成完善的调试方案</w:t>
            </w:r>
          </w:p>
        </w:tc>
        <w:tc>
          <w:tcPr>
            <w:tcW w:w="776" w:type="dxa"/>
            <w:tcBorders>
              <w:top w:val="single" w:color="auto" w:sz="4" w:space="0"/>
              <w:left w:val="single" w:color="auto" w:sz="4" w:space="0"/>
              <w:bottom w:val="single" w:color="auto" w:sz="4" w:space="0"/>
              <w:right w:val="single" w:color="auto" w:sz="4" w:space="0"/>
            </w:tcBorders>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30</w:t>
            </w:r>
          </w:p>
        </w:tc>
        <w:tc>
          <w:tcPr>
            <w:tcW w:w="3969" w:type="dxa"/>
            <w:tcBorders>
              <w:top w:val="single" w:color="auto" w:sz="4" w:space="0"/>
              <w:left w:val="single" w:color="auto" w:sz="4" w:space="0"/>
              <w:bottom w:val="single" w:color="auto" w:sz="4" w:space="0"/>
              <w:right w:val="single" w:color="auto" w:sz="4" w:space="0"/>
            </w:tcBorders>
          </w:tcPr>
          <w:p>
            <w:pPr>
              <w:widowControl/>
              <w:jc w:val="left"/>
              <w:rPr>
                <w:rFonts w:hint="eastAsia" w:cs="宋体" w:asciiTheme="minorEastAsia" w:hAnsiTheme="minorEastAsia"/>
                <w:kern w:val="0"/>
                <w:szCs w:val="21"/>
              </w:rPr>
            </w:pPr>
            <w:r>
              <w:rPr>
                <w:rFonts w:hint="eastAsia" w:cs="宋体" w:asciiTheme="minorEastAsia" w:hAnsiTheme="minorEastAsia"/>
                <w:kern w:val="0"/>
                <w:szCs w:val="21"/>
              </w:rPr>
              <w:t>核实竣备归档资料</w:t>
            </w:r>
          </w:p>
        </w:tc>
      </w:tr>
      <w:tr>
        <w:tblPrEx>
          <w:tblCellMar>
            <w:top w:w="0" w:type="dxa"/>
            <w:left w:w="108" w:type="dxa"/>
            <w:bottom w:w="0" w:type="dxa"/>
            <w:right w:w="108" w:type="dxa"/>
          </w:tblCellMar>
        </w:tblPrEx>
        <w:trPr>
          <w:trHeight w:val="280" w:hRule="atLeast"/>
          <w:jc w:val="center"/>
        </w:trPr>
        <w:tc>
          <w:tcPr>
            <w:tcW w:w="660" w:type="dxa"/>
            <w:vMerge w:val="continue"/>
            <w:tcBorders>
              <w:left w:val="single" w:color="auto" w:sz="4" w:space="0"/>
              <w:right w:val="single" w:color="auto" w:sz="4" w:space="0"/>
            </w:tcBorders>
            <w:noWrap/>
            <w:vAlign w:val="center"/>
          </w:tcPr>
          <w:p>
            <w:pPr>
              <w:widowControl/>
              <w:jc w:val="center"/>
              <w:rPr>
                <w:rFonts w:hint="eastAsia" w:cs="宋体" w:asciiTheme="minorEastAsia" w:hAnsiTheme="minorEastAsia"/>
                <w:kern w:val="0"/>
                <w:szCs w:val="21"/>
              </w:rPr>
            </w:pPr>
          </w:p>
        </w:tc>
        <w:tc>
          <w:tcPr>
            <w:tcW w:w="1320" w:type="dxa"/>
            <w:vMerge w:val="continue"/>
            <w:tcBorders>
              <w:left w:val="single" w:color="auto" w:sz="4" w:space="0"/>
              <w:right w:val="single" w:color="auto" w:sz="4" w:space="0"/>
            </w:tcBorders>
            <w:vAlign w:val="center"/>
          </w:tcPr>
          <w:p>
            <w:pPr>
              <w:widowControl/>
              <w:jc w:val="left"/>
              <w:rPr>
                <w:rFonts w:hint="eastAsia" w:cs="宋体" w:asciiTheme="minorEastAsia" w:hAnsiTheme="minorEastAsia"/>
                <w:kern w:val="0"/>
                <w:szCs w:val="21"/>
              </w:rPr>
            </w:pPr>
          </w:p>
        </w:tc>
        <w:tc>
          <w:tcPr>
            <w:tcW w:w="1985" w:type="dxa"/>
            <w:tcBorders>
              <w:top w:val="single" w:color="auto" w:sz="4" w:space="0"/>
              <w:bottom w:val="single" w:color="auto" w:sz="4" w:space="0"/>
              <w:right w:val="single" w:color="auto" w:sz="4" w:space="0"/>
            </w:tcBorders>
            <w:noWrap/>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调试工作进程</w:t>
            </w:r>
          </w:p>
        </w:tc>
        <w:tc>
          <w:tcPr>
            <w:tcW w:w="850" w:type="dxa"/>
            <w:vMerge w:val="continue"/>
          </w:tcPr>
          <w:p>
            <w:pPr>
              <w:widowControl/>
              <w:jc w:val="left"/>
              <w:rPr>
                <w:rFonts w:hint="eastAsia" w:cs="宋体" w:asciiTheme="minorEastAsia" w:hAnsiTheme="minorEastAsia"/>
                <w:kern w:val="0"/>
                <w:szCs w:val="21"/>
              </w:rPr>
            </w:pPr>
          </w:p>
        </w:tc>
        <w:tc>
          <w:tcPr>
            <w:tcW w:w="4393" w:type="dxa"/>
            <w:tcBorders>
              <w:top w:val="single" w:color="auto" w:sz="4" w:space="0"/>
              <w:left w:val="single" w:color="auto" w:sz="4" w:space="0"/>
              <w:bottom w:val="single" w:color="auto" w:sz="4" w:space="0"/>
              <w:right w:val="single" w:color="auto" w:sz="4" w:space="0"/>
            </w:tcBorders>
          </w:tcPr>
          <w:p>
            <w:pPr>
              <w:widowControl/>
              <w:jc w:val="left"/>
              <w:rPr>
                <w:rFonts w:hint="eastAsia" w:cs="宋体" w:asciiTheme="minorEastAsia" w:hAnsiTheme="minorEastAsia"/>
                <w:kern w:val="0"/>
                <w:szCs w:val="21"/>
              </w:rPr>
            </w:pPr>
            <w:r>
              <w:rPr>
                <w:rFonts w:hint="eastAsia" w:cs="宋体" w:asciiTheme="minorEastAsia" w:hAnsiTheme="minorEastAsia"/>
                <w:kern w:val="0"/>
                <w:szCs w:val="21"/>
              </w:rPr>
              <w:t>仪器设备校准及按方案进行调试</w:t>
            </w:r>
          </w:p>
        </w:tc>
        <w:tc>
          <w:tcPr>
            <w:tcW w:w="776" w:type="dxa"/>
            <w:tcBorders>
              <w:top w:val="single" w:color="auto" w:sz="4" w:space="0"/>
              <w:left w:val="single" w:color="auto" w:sz="4" w:space="0"/>
              <w:bottom w:val="single" w:color="auto" w:sz="4" w:space="0"/>
              <w:right w:val="single" w:color="auto" w:sz="4" w:space="0"/>
            </w:tcBorders>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40</w:t>
            </w:r>
          </w:p>
        </w:tc>
        <w:tc>
          <w:tcPr>
            <w:tcW w:w="3969" w:type="dxa"/>
            <w:tcBorders>
              <w:top w:val="single" w:color="auto" w:sz="4" w:space="0"/>
              <w:left w:val="single" w:color="auto" w:sz="4" w:space="0"/>
              <w:bottom w:val="single" w:color="auto" w:sz="4" w:space="0"/>
              <w:right w:val="single" w:color="auto" w:sz="4" w:space="0"/>
            </w:tcBorders>
          </w:tcPr>
          <w:p>
            <w:pPr>
              <w:widowControl/>
              <w:jc w:val="left"/>
              <w:rPr>
                <w:rFonts w:hint="eastAsia" w:cs="宋体" w:asciiTheme="minorEastAsia" w:hAnsiTheme="minorEastAsia"/>
                <w:kern w:val="0"/>
                <w:szCs w:val="21"/>
              </w:rPr>
            </w:pPr>
            <w:r>
              <w:rPr>
                <w:rFonts w:hint="eastAsia" w:cs="宋体" w:asciiTheme="minorEastAsia" w:hAnsiTheme="minorEastAsia"/>
                <w:kern w:val="0"/>
                <w:szCs w:val="21"/>
              </w:rPr>
              <w:t>调试过程影像等资料归档</w:t>
            </w:r>
          </w:p>
        </w:tc>
      </w:tr>
      <w:tr>
        <w:tblPrEx>
          <w:tblCellMar>
            <w:top w:w="0" w:type="dxa"/>
            <w:left w:w="108" w:type="dxa"/>
            <w:bottom w:w="0" w:type="dxa"/>
            <w:right w:w="108" w:type="dxa"/>
          </w:tblCellMar>
        </w:tblPrEx>
        <w:trPr>
          <w:trHeight w:val="280" w:hRule="atLeast"/>
          <w:jc w:val="center"/>
        </w:trPr>
        <w:tc>
          <w:tcPr>
            <w:tcW w:w="660" w:type="dxa"/>
            <w:vMerge w:val="continue"/>
            <w:tcBorders>
              <w:left w:val="single" w:color="auto" w:sz="4" w:space="0"/>
              <w:bottom w:val="single" w:color="auto" w:sz="4" w:space="0"/>
              <w:right w:val="single" w:color="auto" w:sz="4" w:space="0"/>
            </w:tcBorders>
            <w:noWrap/>
            <w:vAlign w:val="center"/>
          </w:tcPr>
          <w:p>
            <w:pPr>
              <w:widowControl/>
              <w:jc w:val="center"/>
              <w:rPr>
                <w:rFonts w:hint="eastAsia" w:cs="宋体" w:asciiTheme="minorEastAsia" w:hAnsiTheme="minorEastAsia"/>
                <w:kern w:val="0"/>
                <w:szCs w:val="21"/>
              </w:rPr>
            </w:pPr>
          </w:p>
        </w:tc>
        <w:tc>
          <w:tcPr>
            <w:tcW w:w="1320" w:type="dxa"/>
            <w:vMerge w:val="continue"/>
            <w:tcBorders>
              <w:left w:val="single" w:color="auto" w:sz="4" w:space="0"/>
              <w:bottom w:val="single" w:color="000000" w:sz="4" w:space="0"/>
              <w:right w:val="single" w:color="auto" w:sz="4" w:space="0"/>
            </w:tcBorders>
            <w:vAlign w:val="center"/>
          </w:tcPr>
          <w:p>
            <w:pPr>
              <w:widowControl/>
              <w:jc w:val="left"/>
              <w:rPr>
                <w:rFonts w:hint="eastAsia" w:cs="宋体" w:asciiTheme="minorEastAsia" w:hAnsiTheme="minorEastAsia"/>
                <w:kern w:val="0"/>
                <w:szCs w:val="21"/>
              </w:rPr>
            </w:pPr>
          </w:p>
        </w:tc>
        <w:tc>
          <w:tcPr>
            <w:tcW w:w="1985" w:type="dxa"/>
            <w:tcBorders>
              <w:top w:val="single" w:color="auto" w:sz="4" w:space="0"/>
              <w:bottom w:val="single" w:color="auto" w:sz="4" w:space="0"/>
              <w:right w:val="single" w:color="auto" w:sz="4" w:space="0"/>
            </w:tcBorders>
            <w:noWrap/>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调试效果</w:t>
            </w:r>
          </w:p>
        </w:tc>
        <w:tc>
          <w:tcPr>
            <w:tcW w:w="850" w:type="dxa"/>
            <w:vMerge w:val="continue"/>
            <w:tcBorders>
              <w:bottom w:val="single" w:color="auto" w:sz="4" w:space="0"/>
            </w:tcBorders>
          </w:tcPr>
          <w:p>
            <w:pPr>
              <w:widowControl/>
              <w:jc w:val="left"/>
              <w:rPr>
                <w:rFonts w:hint="eastAsia" w:cs="宋体" w:asciiTheme="minorEastAsia" w:hAnsiTheme="minorEastAsia"/>
                <w:kern w:val="0"/>
                <w:szCs w:val="21"/>
              </w:rPr>
            </w:pPr>
          </w:p>
        </w:tc>
        <w:tc>
          <w:tcPr>
            <w:tcW w:w="4393" w:type="dxa"/>
            <w:tcBorders>
              <w:top w:val="single" w:color="auto" w:sz="4" w:space="0"/>
              <w:left w:val="single" w:color="auto" w:sz="4" w:space="0"/>
              <w:bottom w:val="single" w:color="auto" w:sz="4" w:space="0"/>
              <w:right w:val="single" w:color="auto" w:sz="4" w:space="0"/>
            </w:tcBorders>
          </w:tcPr>
          <w:p>
            <w:pPr>
              <w:widowControl/>
              <w:jc w:val="left"/>
              <w:rPr>
                <w:rFonts w:hint="eastAsia" w:cs="宋体" w:asciiTheme="minorEastAsia" w:hAnsiTheme="minorEastAsia"/>
                <w:kern w:val="0"/>
                <w:szCs w:val="21"/>
              </w:rPr>
            </w:pPr>
            <w:r>
              <w:rPr>
                <w:rFonts w:hint="eastAsia" w:cs="宋体" w:asciiTheme="minorEastAsia" w:hAnsiTheme="minorEastAsia"/>
                <w:kern w:val="0"/>
                <w:szCs w:val="21"/>
              </w:rPr>
              <w:t>系统满足设计风量、风压等要求</w:t>
            </w:r>
          </w:p>
        </w:tc>
        <w:tc>
          <w:tcPr>
            <w:tcW w:w="776" w:type="dxa"/>
            <w:tcBorders>
              <w:top w:val="single" w:color="auto" w:sz="4" w:space="0"/>
              <w:left w:val="single" w:color="auto" w:sz="4" w:space="0"/>
              <w:bottom w:val="single" w:color="auto" w:sz="4" w:space="0"/>
              <w:right w:val="single" w:color="auto" w:sz="4" w:space="0"/>
            </w:tcBorders>
          </w:tcPr>
          <w:p>
            <w:pPr>
              <w:widowControl/>
              <w:jc w:val="center"/>
              <w:rPr>
                <w:rFonts w:hint="eastAsia" w:cs="宋体" w:asciiTheme="minorEastAsia" w:hAnsiTheme="minorEastAsia"/>
                <w:kern w:val="0"/>
                <w:szCs w:val="21"/>
              </w:rPr>
            </w:pPr>
            <w:r>
              <w:rPr>
                <w:rFonts w:hint="eastAsia" w:cs="宋体" w:asciiTheme="minorEastAsia" w:hAnsiTheme="minorEastAsia"/>
                <w:kern w:val="0"/>
                <w:szCs w:val="21"/>
              </w:rPr>
              <w:t>30</w:t>
            </w:r>
          </w:p>
        </w:tc>
        <w:tc>
          <w:tcPr>
            <w:tcW w:w="3969" w:type="dxa"/>
            <w:tcBorders>
              <w:top w:val="single" w:color="auto" w:sz="4" w:space="0"/>
              <w:left w:val="single" w:color="auto" w:sz="4" w:space="0"/>
              <w:bottom w:val="single" w:color="auto" w:sz="4" w:space="0"/>
              <w:right w:val="single" w:color="auto" w:sz="4" w:space="0"/>
            </w:tcBorders>
          </w:tcPr>
          <w:p>
            <w:pPr>
              <w:widowControl/>
              <w:jc w:val="left"/>
              <w:rPr>
                <w:rFonts w:hint="eastAsia" w:cs="宋体" w:asciiTheme="minorEastAsia" w:hAnsiTheme="minorEastAsia"/>
                <w:kern w:val="0"/>
                <w:szCs w:val="21"/>
              </w:rPr>
            </w:pPr>
            <w:r>
              <w:rPr>
                <w:rFonts w:hint="eastAsia" w:cs="宋体" w:asciiTheme="minorEastAsia" w:hAnsiTheme="minorEastAsia"/>
                <w:kern w:val="0"/>
                <w:szCs w:val="21"/>
              </w:rPr>
              <w:t>差异+10%/-5%以内为合格</w:t>
            </w:r>
          </w:p>
        </w:tc>
      </w:tr>
    </w:tbl>
    <w:p>
      <w:pPr>
        <w:rPr>
          <w:rFonts w:hint="eastAsia" w:cs="Times New Roman" w:asciiTheme="minorEastAsia" w:hAnsiTheme="minorEastAsia"/>
          <w:szCs w:val="24"/>
        </w:rPr>
      </w:pPr>
      <w:r>
        <w:rPr>
          <w:rFonts w:hint="eastAsia" w:cs="Times New Roman" w:asciiTheme="minorEastAsia" w:hAnsiTheme="minorEastAsia"/>
          <w:szCs w:val="24"/>
        </w:rPr>
        <w:t>备注：本项目的一级权重因子X1+X2+X3=1.0，三者数值的分别确定，取决于三大类系统在评定项目中所占的工程量的百分比，其总和为100%（1.0）。</w:t>
      </w:r>
    </w:p>
    <w:p>
      <w:pPr>
        <w:rPr>
          <w:rFonts w:hint="eastAsia" w:cs="Times New Roman" w:asciiTheme="minorEastAsia" w:hAnsiTheme="minorEastAsia"/>
          <w:szCs w:val="24"/>
        </w:rPr>
      </w:pPr>
    </w:p>
    <w:p>
      <w:pPr>
        <w:widowControl/>
        <w:spacing w:line="240" w:lineRule="auto"/>
        <w:jc w:val="left"/>
        <w:rPr>
          <w:rFonts w:hint="eastAsia" w:cs="Times New Roman" w:asciiTheme="minorEastAsia" w:hAnsiTheme="minorEastAsia"/>
          <w:szCs w:val="24"/>
        </w:rPr>
      </w:pPr>
      <w:r>
        <w:rPr>
          <w:rFonts w:hint="eastAsia" w:cs="Times New Roman" w:asciiTheme="minorEastAsia" w:hAnsiTheme="minorEastAsia"/>
          <w:szCs w:val="24"/>
        </w:rPr>
        <w:br w:type="page"/>
      </w:r>
    </w:p>
    <w:p>
      <w:pPr>
        <w:widowControl/>
        <w:jc w:val="center"/>
        <w:rPr>
          <w:rFonts w:eastAsia="宋体" w:cs="Times New Roman"/>
          <w:szCs w:val="24"/>
        </w:rPr>
      </w:pPr>
      <w:r>
        <w:rPr>
          <w:rFonts w:hint="eastAsia" w:ascii="宋体" w:hAnsi="宋体" w:eastAsia="宋体" w:cs="Times New Roman"/>
          <w:b/>
          <w:bCs/>
          <w:szCs w:val="21"/>
        </w:rPr>
        <w:t>表</w:t>
      </w:r>
      <w:r>
        <w:rPr>
          <w:rFonts w:ascii="宋体" w:hAnsi="宋体" w:eastAsia="宋体" w:cs="Times New Roman"/>
          <w:b/>
          <w:bCs/>
          <w:szCs w:val="21"/>
        </w:rPr>
        <w:t>4.2.</w:t>
      </w:r>
      <w:r>
        <w:rPr>
          <w:rFonts w:hint="eastAsia" w:ascii="宋体" w:hAnsi="宋体" w:eastAsia="宋体" w:cs="Times New Roman"/>
          <w:b/>
          <w:bCs/>
          <w:szCs w:val="21"/>
        </w:rPr>
        <w:t>9</w:t>
      </w:r>
      <w:r>
        <w:rPr>
          <w:rFonts w:ascii="宋体" w:hAnsi="宋体" w:eastAsia="宋体" w:cs="Times New Roman"/>
          <w:b/>
          <w:bCs/>
          <w:szCs w:val="21"/>
        </w:rPr>
        <w:t>-</w:t>
      </w:r>
      <w:r>
        <w:rPr>
          <w:rFonts w:hint="eastAsia" w:ascii="宋体" w:hAnsi="宋体" w:eastAsia="宋体" w:cs="Times New Roman"/>
          <w:b/>
          <w:bCs/>
          <w:szCs w:val="21"/>
        </w:rPr>
        <w:t>5</w:t>
      </w:r>
      <w:r>
        <w:rPr>
          <w:b/>
          <w:bCs/>
        </w:rPr>
        <w:t>防烟排烟系统</w:t>
      </w:r>
      <w:r>
        <w:rPr>
          <w:rFonts w:hint="eastAsia"/>
          <w:b/>
          <w:bCs/>
        </w:rPr>
        <w:t>施工与调试</w:t>
      </w:r>
      <w:r>
        <w:rPr>
          <w:rFonts w:hint="eastAsia" w:ascii="宋体" w:hAnsi="宋体" w:eastAsia="宋体" w:cs="Times New Roman"/>
          <w:b/>
          <w:bCs/>
          <w:szCs w:val="21"/>
        </w:rPr>
        <w:t>优选项评定表</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2512"/>
        <w:gridCol w:w="4292"/>
        <w:gridCol w:w="4111"/>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704" w:type="dxa"/>
            <w:noWrap/>
            <w:vAlign w:val="center"/>
          </w:tcPr>
          <w:p>
            <w:pPr>
              <w:jc w:val="center"/>
              <w:rPr>
                <w:rFonts w:eastAsia="宋体" w:cs="Times New Roman"/>
                <w:b/>
                <w:bCs/>
                <w:szCs w:val="21"/>
              </w:rPr>
            </w:pPr>
            <w:r>
              <w:rPr>
                <w:rFonts w:hint="eastAsia" w:eastAsia="宋体" w:cs="Times New Roman"/>
                <w:b/>
                <w:bCs/>
                <w:szCs w:val="21"/>
              </w:rPr>
              <w:t>序号</w:t>
            </w:r>
          </w:p>
        </w:tc>
        <w:tc>
          <w:tcPr>
            <w:tcW w:w="2512" w:type="dxa"/>
            <w:noWrap/>
            <w:vAlign w:val="center"/>
          </w:tcPr>
          <w:p>
            <w:pPr>
              <w:jc w:val="center"/>
              <w:rPr>
                <w:rFonts w:eastAsia="宋体" w:cs="Times New Roman"/>
                <w:b/>
                <w:bCs/>
                <w:szCs w:val="21"/>
              </w:rPr>
            </w:pPr>
            <w:r>
              <w:rPr>
                <w:rFonts w:hint="eastAsia" w:eastAsia="宋体" w:cs="Times New Roman"/>
                <w:b/>
                <w:bCs/>
                <w:szCs w:val="21"/>
              </w:rPr>
              <w:t>评定指标</w:t>
            </w:r>
          </w:p>
        </w:tc>
        <w:tc>
          <w:tcPr>
            <w:tcW w:w="4292" w:type="dxa"/>
            <w:vAlign w:val="center"/>
          </w:tcPr>
          <w:p>
            <w:pPr>
              <w:jc w:val="center"/>
              <w:rPr>
                <w:rFonts w:eastAsia="宋体" w:cs="Times New Roman"/>
                <w:b/>
                <w:bCs/>
                <w:szCs w:val="21"/>
              </w:rPr>
            </w:pPr>
            <w:r>
              <w:rPr>
                <w:rFonts w:hint="eastAsia" w:eastAsia="宋体" w:cs="Times New Roman"/>
                <w:b/>
                <w:bCs/>
                <w:szCs w:val="21"/>
              </w:rPr>
              <w:t>优选项</w:t>
            </w:r>
          </w:p>
        </w:tc>
        <w:tc>
          <w:tcPr>
            <w:tcW w:w="4111" w:type="dxa"/>
            <w:noWrap/>
            <w:vAlign w:val="center"/>
          </w:tcPr>
          <w:p>
            <w:pPr>
              <w:jc w:val="center"/>
              <w:rPr>
                <w:rFonts w:eastAsia="宋体" w:cs="Times New Roman"/>
                <w:b/>
                <w:bCs/>
                <w:szCs w:val="21"/>
              </w:rPr>
            </w:pPr>
            <w:r>
              <w:rPr>
                <w:rFonts w:hint="eastAsia" w:eastAsia="宋体" w:cs="Times New Roman"/>
                <w:b/>
                <w:bCs/>
                <w:szCs w:val="21"/>
              </w:rPr>
              <w:t>评定方法</w:t>
            </w:r>
          </w:p>
        </w:tc>
        <w:tc>
          <w:tcPr>
            <w:tcW w:w="2268" w:type="dxa"/>
            <w:noWrap/>
            <w:vAlign w:val="center"/>
          </w:tcPr>
          <w:p>
            <w:pPr>
              <w:jc w:val="center"/>
              <w:rPr>
                <w:rFonts w:eastAsia="宋体" w:cs="Times New Roman"/>
                <w:b/>
                <w:bCs/>
                <w:szCs w:val="21"/>
              </w:rPr>
            </w:pPr>
            <w:r>
              <w:rPr>
                <w:rFonts w:hint="eastAsia" w:eastAsia="宋体" w:cs="Times New Roman"/>
                <w:b/>
                <w:bCs/>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704" w:type="dxa"/>
            <w:noWrap/>
            <w:vAlign w:val="center"/>
          </w:tcPr>
          <w:p>
            <w:pPr>
              <w:jc w:val="center"/>
              <w:rPr>
                <w:rFonts w:hint="eastAsia" w:cs="Times New Roman" w:asciiTheme="minorEastAsia" w:hAnsiTheme="minorEastAsia"/>
                <w:szCs w:val="21"/>
              </w:rPr>
            </w:pPr>
            <w:r>
              <w:rPr>
                <w:rFonts w:hint="eastAsia" w:cs="Times New Roman" w:asciiTheme="minorEastAsia" w:hAnsiTheme="minorEastAsia"/>
                <w:szCs w:val="21"/>
              </w:rPr>
              <w:t>1</w:t>
            </w:r>
          </w:p>
        </w:tc>
        <w:tc>
          <w:tcPr>
            <w:tcW w:w="2512"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类似评定项目获得省部级以上施工奖项</w:t>
            </w:r>
          </w:p>
        </w:tc>
        <w:tc>
          <w:tcPr>
            <w:tcW w:w="4292"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依据承接项目获得国家级或省部级的重要性进行得。</w:t>
            </w:r>
          </w:p>
        </w:tc>
        <w:tc>
          <w:tcPr>
            <w:tcW w:w="4111"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有不低于1项国家级奖项或2项省部级以上获奖项目，得1分</w:t>
            </w:r>
          </w:p>
        </w:tc>
        <w:tc>
          <w:tcPr>
            <w:tcW w:w="2268" w:type="dxa"/>
            <w:noWrap/>
            <w:vAlign w:val="center"/>
          </w:tcPr>
          <w:p>
            <w:pPr>
              <w:rPr>
                <w:rFonts w:hint="eastAsia" w:cs="Times New Roman" w:asciiTheme="minorEastAsia" w:hAnsi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04" w:type="dxa"/>
            <w:noWrap/>
            <w:vAlign w:val="center"/>
          </w:tcPr>
          <w:p>
            <w:pPr>
              <w:jc w:val="center"/>
              <w:rPr>
                <w:rFonts w:hint="eastAsia" w:cs="Times New Roman" w:asciiTheme="minorEastAsia" w:hAnsiTheme="minorEastAsia"/>
                <w:szCs w:val="21"/>
              </w:rPr>
            </w:pPr>
            <w:r>
              <w:rPr>
                <w:rFonts w:hint="eastAsia" w:cs="Times New Roman" w:asciiTheme="minorEastAsia" w:hAnsiTheme="minorEastAsia"/>
                <w:szCs w:val="21"/>
              </w:rPr>
              <w:t>2</w:t>
            </w:r>
          </w:p>
        </w:tc>
        <w:tc>
          <w:tcPr>
            <w:tcW w:w="2512"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承接大型公共建筑或特殊行业重要建筑</w:t>
            </w:r>
          </w:p>
        </w:tc>
        <w:tc>
          <w:tcPr>
            <w:tcW w:w="4292"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施工单位承接具有重大公共属性建筑物如（机场、高铁站、轨道交通、剧院、博物馆等）或者特殊行业重要建筑（如：化工、核工业、军工、洁净等）的防排烟工程。</w:t>
            </w:r>
          </w:p>
        </w:tc>
        <w:tc>
          <w:tcPr>
            <w:tcW w:w="4111" w:type="dxa"/>
            <w:vAlign w:val="center"/>
          </w:tcPr>
          <w:p>
            <w:pPr>
              <w:rPr>
                <w:rFonts w:hint="eastAsia" w:cs="Times New Roman" w:asciiTheme="minorEastAsia" w:hAnsiTheme="minorEastAsia"/>
                <w:szCs w:val="21"/>
              </w:rPr>
            </w:pPr>
            <w:bookmarkStart w:id="107" w:name="OLE_LINK5"/>
            <w:r>
              <w:rPr>
                <w:rFonts w:hint="eastAsia" w:cs="Times New Roman" w:asciiTheme="minorEastAsia" w:hAnsiTheme="minorEastAsia"/>
                <w:szCs w:val="21"/>
              </w:rPr>
              <w:t>满足条件者，得1分</w:t>
            </w:r>
            <w:bookmarkEnd w:id="107"/>
          </w:p>
        </w:tc>
        <w:tc>
          <w:tcPr>
            <w:tcW w:w="2268" w:type="dxa"/>
            <w:vAlign w:val="center"/>
          </w:tcPr>
          <w:p>
            <w:pPr>
              <w:rPr>
                <w:rFonts w:hint="eastAsia" w:cs="Times New Roman" w:asciiTheme="minorEastAsia" w:hAnsi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5" w:hRule="atLeast"/>
        </w:trPr>
        <w:tc>
          <w:tcPr>
            <w:tcW w:w="704" w:type="dxa"/>
            <w:noWrap/>
            <w:vAlign w:val="center"/>
          </w:tcPr>
          <w:p>
            <w:pPr>
              <w:jc w:val="center"/>
              <w:rPr>
                <w:rFonts w:hint="eastAsia" w:cs="Times New Roman" w:asciiTheme="minorEastAsia" w:hAnsiTheme="minorEastAsia"/>
                <w:szCs w:val="21"/>
              </w:rPr>
            </w:pPr>
            <w:r>
              <w:rPr>
                <w:rFonts w:hint="eastAsia" w:cs="Times New Roman" w:asciiTheme="minorEastAsia" w:hAnsiTheme="minorEastAsia"/>
                <w:szCs w:val="21"/>
              </w:rPr>
              <w:t>3</w:t>
            </w:r>
          </w:p>
        </w:tc>
        <w:tc>
          <w:tcPr>
            <w:tcW w:w="2512"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单位具备注册消防工程师或注册安全工程师人员</w:t>
            </w:r>
          </w:p>
        </w:tc>
        <w:tc>
          <w:tcPr>
            <w:tcW w:w="4292"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企业有不低于3人具有注册消防工程师/注册安全工程师的执业资格，且在所评定的项目里担任了单位工程的负责人。</w:t>
            </w:r>
          </w:p>
        </w:tc>
        <w:tc>
          <w:tcPr>
            <w:tcW w:w="4111"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满足条件者，得1分</w:t>
            </w:r>
          </w:p>
        </w:tc>
        <w:tc>
          <w:tcPr>
            <w:tcW w:w="2268" w:type="dxa"/>
            <w:vAlign w:val="center"/>
          </w:tcPr>
          <w:p>
            <w:pPr>
              <w:rPr>
                <w:rFonts w:hint="eastAsia" w:cs="Times New Roman" w:asciiTheme="minorEastAsia" w:hAnsi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704" w:type="dxa"/>
            <w:noWrap/>
            <w:vAlign w:val="center"/>
          </w:tcPr>
          <w:p>
            <w:pPr>
              <w:jc w:val="center"/>
              <w:rPr>
                <w:rFonts w:hint="eastAsia" w:cs="Times New Roman" w:asciiTheme="minorEastAsia" w:hAnsiTheme="minorEastAsia"/>
                <w:szCs w:val="21"/>
              </w:rPr>
            </w:pPr>
            <w:r>
              <w:rPr>
                <w:rFonts w:hint="eastAsia" w:cs="Times New Roman" w:asciiTheme="minorEastAsia" w:hAnsiTheme="minorEastAsia"/>
                <w:szCs w:val="21"/>
              </w:rPr>
              <w:t>4</w:t>
            </w:r>
          </w:p>
        </w:tc>
        <w:tc>
          <w:tcPr>
            <w:tcW w:w="2512"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对防排烟系统进行维护保养</w:t>
            </w:r>
          </w:p>
        </w:tc>
        <w:tc>
          <w:tcPr>
            <w:tcW w:w="4292"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承接防排烟系统维护保养为期2年以上合同的已完成项目数量不低于3个。</w:t>
            </w:r>
          </w:p>
        </w:tc>
        <w:tc>
          <w:tcPr>
            <w:tcW w:w="4111"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满足条件者，得1分</w:t>
            </w:r>
          </w:p>
        </w:tc>
        <w:tc>
          <w:tcPr>
            <w:tcW w:w="2268" w:type="dxa"/>
            <w:noWrap/>
            <w:vAlign w:val="center"/>
          </w:tcPr>
          <w:p>
            <w:pPr>
              <w:rPr>
                <w:rFonts w:hint="eastAsia" w:cs="Times New Roman" w:asciiTheme="minorEastAsia" w:hAnsiTheme="minorEastAsia"/>
                <w:szCs w:val="21"/>
              </w:rPr>
            </w:pPr>
          </w:p>
        </w:tc>
      </w:tr>
    </w:tbl>
    <w:p>
      <w:pPr>
        <w:rPr>
          <w:rFonts w:eastAsia="宋体" w:cs="Times New Roman"/>
          <w:szCs w:val="24"/>
        </w:rPr>
      </w:pPr>
    </w:p>
    <w:bookmarkEnd w:id="102"/>
    <w:p>
      <w:pPr>
        <w:rPr>
          <w:rFonts w:eastAsia="宋体" w:cs="Times New Roman"/>
          <w:szCs w:val="24"/>
        </w:rPr>
        <w:sectPr>
          <w:pgSz w:w="16838" w:h="11906" w:orient="landscape"/>
          <w:pgMar w:top="1800" w:right="1440" w:bottom="1800" w:left="1440" w:header="851" w:footer="992" w:gutter="0"/>
          <w:cols w:space="425" w:num="1"/>
          <w:docGrid w:type="lines" w:linePitch="312" w:charSpace="0"/>
        </w:sectPr>
      </w:pPr>
    </w:p>
    <w:p>
      <w:pPr>
        <w:pStyle w:val="2"/>
        <w:jc w:val="center"/>
        <w:rPr>
          <w:kern w:val="2"/>
          <w:sz w:val="32"/>
          <w:szCs w:val="32"/>
        </w:rPr>
      </w:pPr>
      <w:bookmarkStart w:id="108" w:name="_Toc206760199"/>
      <w:bookmarkStart w:id="109" w:name="_Toc206758009"/>
      <w:r>
        <w:rPr>
          <w:kern w:val="2"/>
          <w:sz w:val="32"/>
          <w:szCs w:val="32"/>
        </w:rPr>
        <w:t xml:space="preserve">5 </w:t>
      </w:r>
      <w:r>
        <w:rPr>
          <w:rFonts w:hint="eastAsia"/>
          <w:kern w:val="2"/>
          <w:sz w:val="32"/>
          <w:szCs w:val="32"/>
        </w:rPr>
        <w:t xml:space="preserve"> </w:t>
      </w:r>
      <w:r>
        <w:rPr>
          <w:kern w:val="2"/>
          <w:sz w:val="32"/>
          <w:szCs w:val="32"/>
        </w:rPr>
        <w:t>评定后监督检查</w:t>
      </w:r>
      <w:bookmarkEnd w:id="108"/>
      <w:bookmarkEnd w:id="109"/>
    </w:p>
    <w:p>
      <w:pPr>
        <w:rPr>
          <w:rFonts w:hint="eastAsia" w:cs="Times New Roman" w:asciiTheme="minorEastAsia" w:hAnsiTheme="minorEastAsia"/>
          <w:szCs w:val="24"/>
        </w:rPr>
      </w:pPr>
      <w:r>
        <w:rPr>
          <w:rFonts w:cs="Times New Roman"/>
          <w:b/>
          <w:bCs/>
          <w:szCs w:val="24"/>
        </w:rPr>
        <w:t>5.1.1</w:t>
      </w:r>
      <w:r>
        <w:rPr>
          <w:rFonts w:hint="eastAsia" w:cs="Times New Roman" w:asciiTheme="minorEastAsia" w:hAnsiTheme="minorEastAsia"/>
          <w:szCs w:val="24"/>
        </w:rPr>
        <w:t>依据本评定标准，由独立第三方评定单位，对防烟排烟系统产品、建筑设计以及相关施工企业，在产品不同类型、设计施工的不同阶段或不同的测评场合下予以综合评定。</w:t>
      </w:r>
    </w:p>
    <w:p>
      <w:pPr>
        <w:rPr>
          <w:rFonts w:hint="eastAsia" w:cs="Times New Roman" w:asciiTheme="minorEastAsia" w:hAnsiTheme="minorEastAsia"/>
          <w:szCs w:val="24"/>
        </w:rPr>
      </w:pPr>
      <w:r>
        <w:rPr>
          <w:rFonts w:hint="eastAsia" w:cs="Times New Roman"/>
          <w:b/>
          <w:bCs/>
          <w:szCs w:val="24"/>
        </w:rPr>
        <w:t xml:space="preserve">5.1.2 </w:t>
      </w:r>
      <w:r>
        <w:rPr>
          <w:rFonts w:hint="eastAsia" w:cs="Times New Roman" w:asciiTheme="minorEastAsia" w:hAnsiTheme="minorEastAsia"/>
          <w:szCs w:val="24"/>
        </w:rPr>
        <w:t>对于所有参评产品及企业，应接受第三方评定机构的飞行检查或现场见证检验。</w:t>
      </w:r>
    </w:p>
    <w:p>
      <w:pPr>
        <w:rPr>
          <w:rFonts w:hint="eastAsia" w:cs="Times New Roman" w:asciiTheme="minorEastAsia" w:hAnsiTheme="minorEastAsia"/>
          <w:szCs w:val="24"/>
        </w:rPr>
        <w:sectPr>
          <w:pgSz w:w="11906" w:h="16838"/>
          <w:pgMar w:top="1440" w:right="1800" w:bottom="1440" w:left="1800" w:header="851" w:footer="992" w:gutter="0"/>
          <w:cols w:space="425" w:num="1"/>
          <w:docGrid w:type="lines" w:linePitch="312" w:charSpace="0"/>
        </w:sectPr>
      </w:pPr>
      <w:r>
        <w:rPr>
          <w:rFonts w:hint="eastAsia" w:cs="Times New Roman"/>
          <w:b/>
          <w:bCs/>
          <w:szCs w:val="24"/>
        </w:rPr>
        <w:t xml:space="preserve">5.1.3 </w:t>
      </w:r>
      <w:r>
        <w:rPr>
          <w:rFonts w:hint="eastAsia" w:cs="Times New Roman" w:asciiTheme="minorEastAsia" w:hAnsiTheme="minorEastAsia"/>
          <w:szCs w:val="24"/>
        </w:rPr>
        <w:t>获得评定证书后的产品或企业，对其日常监督与管理的具体方法，应另行制定其它的标准细则。</w:t>
      </w:r>
    </w:p>
    <w:p>
      <w:pPr>
        <w:keepNext/>
        <w:keepLines/>
        <w:pageBreakBefore/>
        <w:spacing w:before="340" w:after="330" w:line="576" w:lineRule="auto"/>
        <w:ind w:firstLine="643"/>
        <w:jc w:val="center"/>
        <w:outlineLvl w:val="0"/>
        <w:rPr>
          <w:rFonts w:eastAsia="宋体" w:cs="Times New Roman"/>
          <w:bCs/>
          <w:kern w:val="44"/>
          <w:sz w:val="32"/>
        </w:rPr>
      </w:pPr>
      <w:bookmarkStart w:id="110" w:name="_Toc206760200"/>
      <w:r>
        <w:rPr>
          <w:rFonts w:hint="eastAsia" w:eastAsia="宋体" w:cs="Times New Roman"/>
          <w:bCs/>
          <w:kern w:val="44"/>
          <w:sz w:val="32"/>
        </w:rPr>
        <w:t>附录1 不同级别消防产品建议适用的建筑类型</w:t>
      </w:r>
      <w:bookmarkEnd w:id="110"/>
    </w:p>
    <w:tbl>
      <w:tblPr>
        <w:tblStyle w:val="18"/>
        <w:tblW w:w="138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742"/>
        <w:gridCol w:w="2235"/>
        <w:gridCol w:w="2377"/>
        <w:gridCol w:w="2725"/>
        <w:gridCol w:w="48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blHeader/>
          <w:jc w:val="center"/>
        </w:trPr>
        <w:tc>
          <w:tcPr>
            <w:tcW w:w="988" w:type="dxa"/>
            <w:vMerge w:val="restart"/>
            <w:noWrap/>
            <w:vAlign w:val="center"/>
          </w:tcPr>
          <w:p>
            <w:pPr>
              <w:jc w:val="center"/>
              <w:rPr>
                <w:rFonts w:hint="eastAsia" w:cs="Times New Roman" w:asciiTheme="minorEastAsia" w:hAnsiTheme="minorEastAsia"/>
                <w:b/>
                <w:bCs/>
                <w:szCs w:val="21"/>
              </w:rPr>
            </w:pPr>
            <w:r>
              <w:rPr>
                <w:rFonts w:hint="eastAsia" w:cs="Times New Roman" w:asciiTheme="minorEastAsia" w:hAnsiTheme="minorEastAsia"/>
                <w:b/>
                <w:bCs/>
                <w:szCs w:val="21"/>
              </w:rPr>
              <w:t>类别</w:t>
            </w:r>
          </w:p>
        </w:tc>
        <w:tc>
          <w:tcPr>
            <w:tcW w:w="742" w:type="dxa"/>
            <w:vMerge w:val="restart"/>
            <w:noWrap/>
            <w:vAlign w:val="center"/>
          </w:tcPr>
          <w:p>
            <w:pPr>
              <w:jc w:val="center"/>
              <w:rPr>
                <w:rFonts w:hint="eastAsia" w:cs="Times New Roman" w:asciiTheme="minorEastAsia" w:hAnsiTheme="minorEastAsia"/>
                <w:b/>
                <w:bCs/>
                <w:szCs w:val="21"/>
              </w:rPr>
            </w:pPr>
            <w:r>
              <w:rPr>
                <w:rFonts w:hint="eastAsia" w:cs="Times New Roman" w:asciiTheme="minorEastAsia" w:hAnsiTheme="minorEastAsia"/>
                <w:b/>
                <w:bCs/>
                <w:szCs w:val="21"/>
              </w:rPr>
              <w:t>综合评级</w:t>
            </w:r>
          </w:p>
        </w:tc>
        <w:tc>
          <w:tcPr>
            <w:tcW w:w="2235" w:type="dxa"/>
            <w:vMerge w:val="restart"/>
            <w:noWrap/>
            <w:vAlign w:val="center"/>
          </w:tcPr>
          <w:p>
            <w:pPr>
              <w:jc w:val="center"/>
              <w:rPr>
                <w:rFonts w:hint="eastAsia" w:cs="Times New Roman" w:asciiTheme="minorEastAsia" w:hAnsiTheme="minorEastAsia"/>
                <w:b/>
                <w:bCs/>
                <w:szCs w:val="21"/>
              </w:rPr>
            </w:pPr>
            <w:r>
              <w:rPr>
                <w:rFonts w:hint="eastAsia" w:cs="Times New Roman" w:asciiTheme="minorEastAsia" w:hAnsiTheme="minorEastAsia"/>
                <w:b/>
                <w:bCs/>
                <w:szCs w:val="21"/>
              </w:rPr>
              <w:t>使用位置</w:t>
            </w:r>
          </w:p>
        </w:tc>
        <w:tc>
          <w:tcPr>
            <w:tcW w:w="9922" w:type="dxa"/>
            <w:gridSpan w:val="3"/>
            <w:noWrap/>
            <w:vAlign w:val="center"/>
          </w:tcPr>
          <w:p>
            <w:pPr>
              <w:jc w:val="center"/>
              <w:rPr>
                <w:rFonts w:hint="eastAsia" w:cs="Times New Roman" w:asciiTheme="minorEastAsia" w:hAnsiTheme="minorEastAsia"/>
                <w:b/>
                <w:bCs/>
                <w:szCs w:val="21"/>
              </w:rPr>
            </w:pPr>
            <w:r>
              <w:rPr>
                <w:rFonts w:hint="eastAsia" w:cs="Times New Roman" w:asciiTheme="minorEastAsia" w:hAnsiTheme="minorEastAsia"/>
                <w:b/>
                <w:bCs/>
                <w:szCs w:val="21"/>
              </w:rPr>
              <w:t>建筑类型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blHeader/>
          <w:jc w:val="center"/>
        </w:trPr>
        <w:tc>
          <w:tcPr>
            <w:tcW w:w="988" w:type="dxa"/>
            <w:vMerge w:val="continue"/>
            <w:vAlign w:val="center"/>
          </w:tcPr>
          <w:p>
            <w:pPr>
              <w:jc w:val="center"/>
              <w:rPr>
                <w:rFonts w:hint="eastAsia" w:cs="Times New Roman" w:asciiTheme="minorEastAsia" w:hAnsiTheme="minorEastAsia"/>
                <w:b/>
                <w:bCs/>
                <w:szCs w:val="21"/>
              </w:rPr>
            </w:pPr>
          </w:p>
        </w:tc>
        <w:tc>
          <w:tcPr>
            <w:tcW w:w="742" w:type="dxa"/>
            <w:vMerge w:val="continue"/>
            <w:vAlign w:val="center"/>
          </w:tcPr>
          <w:p>
            <w:pPr>
              <w:jc w:val="center"/>
              <w:rPr>
                <w:rFonts w:hint="eastAsia" w:cs="Times New Roman" w:asciiTheme="minorEastAsia" w:hAnsiTheme="minorEastAsia"/>
                <w:b/>
                <w:bCs/>
                <w:szCs w:val="21"/>
              </w:rPr>
            </w:pPr>
          </w:p>
        </w:tc>
        <w:tc>
          <w:tcPr>
            <w:tcW w:w="2235" w:type="dxa"/>
            <w:vMerge w:val="continue"/>
            <w:vAlign w:val="center"/>
          </w:tcPr>
          <w:p>
            <w:pPr>
              <w:jc w:val="center"/>
              <w:rPr>
                <w:rFonts w:hint="eastAsia" w:cs="Times New Roman" w:asciiTheme="minorEastAsia" w:hAnsiTheme="minorEastAsia"/>
                <w:b/>
                <w:bCs/>
                <w:szCs w:val="21"/>
              </w:rPr>
            </w:pPr>
          </w:p>
        </w:tc>
        <w:tc>
          <w:tcPr>
            <w:tcW w:w="2377" w:type="dxa"/>
            <w:noWrap/>
            <w:vAlign w:val="center"/>
          </w:tcPr>
          <w:p>
            <w:pPr>
              <w:jc w:val="center"/>
              <w:rPr>
                <w:rFonts w:hint="eastAsia" w:cs="Times New Roman" w:asciiTheme="minorEastAsia" w:hAnsiTheme="minorEastAsia"/>
                <w:b/>
                <w:bCs/>
                <w:szCs w:val="21"/>
              </w:rPr>
            </w:pPr>
            <w:r>
              <w:rPr>
                <w:rFonts w:hint="eastAsia" w:cs="Times New Roman" w:asciiTheme="minorEastAsia" w:hAnsiTheme="minorEastAsia"/>
                <w:b/>
                <w:bCs/>
                <w:szCs w:val="21"/>
              </w:rPr>
              <w:t>厂房、仓库、工艺建筑</w:t>
            </w:r>
          </w:p>
        </w:tc>
        <w:tc>
          <w:tcPr>
            <w:tcW w:w="2725" w:type="dxa"/>
            <w:noWrap/>
            <w:vAlign w:val="center"/>
          </w:tcPr>
          <w:p>
            <w:pPr>
              <w:jc w:val="center"/>
              <w:rPr>
                <w:rFonts w:hint="eastAsia" w:cs="Times New Roman" w:asciiTheme="minorEastAsia" w:hAnsiTheme="minorEastAsia"/>
                <w:b/>
                <w:bCs/>
                <w:szCs w:val="21"/>
              </w:rPr>
            </w:pPr>
            <w:r>
              <w:rPr>
                <w:rFonts w:hint="eastAsia" w:cs="Times New Roman" w:asciiTheme="minorEastAsia" w:hAnsiTheme="minorEastAsia"/>
                <w:b/>
                <w:bCs/>
                <w:szCs w:val="21"/>
              </w:rPr>
              <w:t>民用建筑</w:t>
            </w:r>
          </w:p>
        </w:tc>
        <w:tc>
          <w:tcPr>
            <w:tcW w:w="4820" w:type="dxa"/>
            <w:noWrap/>
            <w:vAlign w:val="center"/>
          </w:tcPr>
          <w:p>
            <w:pPr>
              <w:jc w:val="center"/>
              <w:rPr>
                <w:rFonts w:hint="eastAsia" w:cs="Times New Roman" w:asciiTheme="minorEastAsia" w:hAnsiTheme="minorEastAsia"/>
                <w:b/>
                <w:bCs/>
                <w:szCs w:val="21"/>
              </w:rPr>
            </w:pPr>
            <w:r>
              <w:rPr>
                <w:rFonts w:hint="eastAsia" w:cs="Times New Roman" w:asciiTheme="minorEastAsia" w:hAnsiTheme="minorEastAsia"/>
                <w:b/>
                <w:bCs/>
                <w:szCs w:val="21"/>
              </w:rPr>
              <w:t>特殊建设工程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0" w:hRule="atLeast"/>
          <w:jc w:val="center"/>
        </w:trPr>
        <w:tc>
          <w:tcPr>
            <w:tcW w:w="988" w:type="dxa"/>
            <w:noWrap/>
            <w:vAlign w:val="center"/>
          </w:tcPr>
          <w:p>
            <w:pPr>
              <w:jc w:val="center"/>
              <w:rPr>
                <w:rFonts w:hint="eastAsia" w:cs="Times New Roman" w:asciiTheme="minorEastAsia" w:hAnsiTheme="minorEastAsia"/>
                <w:b/>
                <w:bCs/>
                <w:szCs w:val="21"/>
              </w:rPr>
            </w:pPr>
            <w:r>
              <w:rPr>
                <w:rFonts w:hint="eastAsia" w:cs="Times New Roman" w:asciiTheme="minorEastAsia" w:hAnsiTheme="minorEastAsia"/>
                <w:szCs w:val="21"/>
              </w:rPr>
              <w:t>防火阀</w:t>
            </w:r>
          </w:p>
        </w:tc>
        <w:tc>
          <w:tcPr>
            <w:tcW w:w="742" w:type="dxa"/>
            <w:noWrap/>
            <w:vAlign w:val="center"/>
          </w:tcPr>
          <w:p>
            <w:pPr>
              <w:jc w:val="center"/>
              <w:rPr>
                <w:rFonts w:hint="eastAsia" w:cs="Times New Roman" w:asciiTheme="minorEastAsia" w:hAnsiTheme="minorEastAsia"/>
                <w:b/>
                <w:bCs/>
                <w:szCs w:val="21"/>
              </w:rPr>
            </w:pPr>
            <w:r>
              <w:rPr>
                <w:rFonts w:hint="eastAsia" w:cs="Times New Roman" w:asciiTheme="minorEastAsia" w:hAnsiTheme="minorEastAsia"/>
                <w:b/>
                <w:bCs/>
                <w:szCs w:val="21"/>
              </w:rPr>
              <w:t>A</w:t>
            </w:r>
          </w:p>
        </w:tc>
        <w:tc>
          <w:tcPr>
            <w:tcW w:w="2235"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1 通风空调系统、加压送风系统、火灾补风系统穿越风机房隔墙及防火分隔处，需要有防烟功能的场景；</w:t>
            </w:r>
          </w:p>
          <w:p>
            <w:pPr>
              <w:rPr>
                <w:rFonts w:hint="eastAsia" w:cs="Times New Roman" w:asciiTheme="minorEastAsia" w:hAnsiTheme="minorEastAsia"/>
                <w:szCs w:val="21"/>
              </w:rPr>
            </w:pPr>
            <w:r>
              <w:rPr>
                <w:rFonts w:hint="eastAsia" w:cs="Times New Roman" w:asciiTheme="minorEastAsia" w:hAnsiTheme="minorEastAsia"/>
                <w:szCs w:val="21"/>
              </w:rPr>
              <w:t>2 可以被消防烟气探测系统联动的具有防烟功能的防火阀；</w:t>
            </w:r>
          </w:p>
          <w:p>
            <w:pPr>
              <w:rPr>
                <w:rFonts w:hint="eastAsia" w:cs="Times New Roman" w:asciiTheme="minorEastAsia" w:hAnsiTheme="minorEastAsia"/>
                <w:szCs w:val="21"/>
              </w:rPr>
            </w:pPr>
            <w:r>
              <w:rPr>
                <w:rFonts w:hint="eastAsia" w:cs="Times New Roman" w:asciiTheme="minorEastAsia" w:hAnsiTheme="minorEastAsia"/>
                <w:szCs w:val="21"/>
              </w:rPr>
              <w:t>3 如有风量调节功能宜选用电动无极调节防火阀；</w:t>
            </w:r>
          </w:p>
        </w:tc>
        <w:tc>
          <w:tcPr>
            <w:tcW w:w="2377"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1 甲、乙、丙类厂房通风空调系统、加压送风系统、火灾补风系统穿越风机房隔墙及防火分隔处；</w:t>
            </w:r>
          </w:p>
          <w:p>
            <w:pPr>
              <w:rPr>
                <w:rFonts w:hint="eastAsia" w:cs="Times New Roman" w:asciiTheme="minorEastAsia" w:hAnsiTheme="minorEastAsia"/>
                <w:szCs w:val="21"/>
              </w:rPr>
            </w:pPr>
            <w:r>
              <w:rPr>
                <w:rFonts w:hint="eastAsia" w:cs="Times New Roman" w:asciiTheme="minorEastAsia" w:hAnsiTheme="minorEastAsia"/>
                <w:szCs w:val="21"/>
              </w:rPr>
              <w:t>2 甲、乙、丙类仓库通风空调系统、加压送风系统、火灾补风系统穿越风机房隔墙及防火分隔处；</w:t>
            </w:r>
          </w:p>
          <w:p>
            <w:pPr>
              <w:rPr>
                <w:rFonts w:hint="eastAsia" w:cs="Times New Roman" w:asciiTheme="minorEastAsia" w:hAnsiTheme="minorEastAsia"/>
                <w:szCs w:val="21"/>
              </w:rPr>
            </w:pPr>
            <w:r>
              <w:rPr>
                <w:rFonts w:hint="eastAsia" w:cs="Times New Roman" w:asciiTheme="minorEastAsia" w:hAnsiTheme="minorEastAsia"/>
                <w:szCs w:val="21"/>
              </w:rPr>
              <w:t>3 A级数据中心；</w:t>
            </w:r>
          </w:p>
          <w:p>
            <w:pPr>
              <w:rPr>
                <w:rFonts w:hint="eastAsia" w:cs="Times New Roman" w:asciiTheme="minorEastAsia" w:hAnsiTheme="minorEastAsia"/>
                <w:szCs w:val="21"/>
              </w:rPr>
            </w:pPr>
            <w:r>
              <w:rPr>
                <w:rFonts w:hint="eastAsia" w:cs="Times New Roman" w:asciiTheme="minorEastAsia" w:hAnsiTheme="minorEastAsia"/>
                <w:szCs w:val="21"/>
              </w:rPr>
              <w:t>4 以上建筑的其它部位可选用B，C级防火阀；</w:t>
            </w:r>
          </w:p>
          <w:p>
            <w:pPr>
              <w:rPr>
                <w:rFonts w:hint="eastAsia" w:cs="Times New Roman" w:asciiTheme="minorEastAsia" w:hAnsiTheme="minorEastAsia"/>
                <w:szCs w:val="21"/>
              </w:rPr>
            </w:pPr>
            <w:r>
              <w:rPr>
                <w:rFonts w:hint="eastAsia" w:cs="Times New Roman" w:asciiTheme="minorEastAsia" w:hAnsiTheme="minorEastAsia"/>
                <w:szCs w:val="21"/>
              </w:rPr>
              <w:t>5 配合气体灭火系统使用；</w:t>
            </w:r>
          </w:p>
        </w:tc>
        <w:tc>
          <w:tcPr>
            <w:tcW w:w="2725"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1 高级住宅建筑的通风空调系统、加压送风系统、火灾补风系统穿越风机房隔墙及防火分隔处；</w:t>
            </w:r>
          </w:p>
          <w:p>
            <w:pPr>
              <w:rPr>
                <w:rFonts w:hint="eastAsia" w:cs="Times New Roman" w:asciiTheme="minorEastAsia" w:hAnsiTheme="minorEastAsia"/>
                <w:szCs w:val="21"/>
              </w:rPr>
            </w:pPr>
            <w:r>
              <w:rPr>
                <w:rFonts w:hint="eastAsia" w:cs="Times New Roman" w:asciiTheme="minorEastAsia" w:hAnsiTheme="minorEastAsia"/>
                <w:szCs w:val="21"/>
              </w:rPr>
              <w:t>2 一类公共建筑的通风空调系统、加压送风系统、火灾补风系统穿越风机房隔墙及防火分隔处；</w:t>
            </w:r>
          </w:p>
          <w:p>
            <w:pPr>
              <w:rPr>
                <w:rFonts w:hint="eastAsia" w:cs="Times New Roman" w:asciiTheme="minorEastAsia" w:hAnsiTheme="minorEastAsia"/>
                <w:szCs w:val="21"/>
              </w:rPr>
            </w:pPr>
            <w:r>
              <w:rPr>
                <w:rFonts w:hint="eastAsia" w:cs="Times New Roman" w:asciiTheme="minorEastAsia" w:hAnsiTheme="minorEastAsia"/>
                <w:szCs w:val="21"/>
              </w:rPr>
              <w:t>3 以上建筑的其它部位可选用B，C级防火阀；</w:t>
            </w:r>
          </w:p>
          <w:p>
            <w:pPr>
              <w:rPr>
                <w:rFonts w:hint="eastAsia" w:cs="Times New Roman" w:asciiTheme="minorEastAsia" w:hAnsiTheme="minorEastAsia"/>
                <w:szCs w:val="21"/>
              </w:rPr>
            </w:pPr>
            <w:r>
              <w:rPr>
                <w:rFonts w:hint="eastAsia" w:cs="Times New Roman" w:asciiTheme="minorEastAsia" w:hAnsiTheme="minorEastAsia"/>
                <w:szCs w:val="21"/>
              </w:rPr>
              <w:t>4 配合气体灭火系统使用；</w:t>
            </w:r>
          </w:p>
        </w:tc>
        <w:tc>
          <w:tcPr>
            <w:tcW w:w="4820" w:type="dxa"/>
            <w:vMerge w:val="restart"/>
          </w:tcPr>
          <w:p>
            <w:pPr>
              <w:rPr>
                <w:rFonts w:hint="eastAsia" w:cs="Times New Roman" w:asciiTheme="minorEastAsia" w:hAnsiTheme="minorEastAsia"/>
                <w:szCs w:val="21"/>
              </w:rPr>
            </w:pPr>
            <w:r>
              <w:rPr>
                <w:rFonts w:hint="eastAsia" w:cs="Times New Roman" w:asciiTheme="minorEastAsia" w:hAnsiTheme="minorEastAsia"/>
                <w:szCs w:val="21"/>
              </w:rPr>
              <w:t>1 总建筑面积大于二万平方米的体育场馆、会堂，公共展览馆、博物馆的展示厅；</w:t>
            </w:r>
          </w:p>
          <w:p>
            <w:pPr>
              <w:rPr>
                <w:rFonts w:hint="eastAsia" w:cs="Times New Roman" w:asciiTheme="minorEastAsia" w:hAnsiTheme="minorEastAsia"/>
                <w:szCs w:val="21"/>
              </w:rPr>
            </w:pPr>
            <w:r>
              <w:rPr>
                <w:rFonts w:hint="eastAsia" w:cs="Times New Roman" w:asciiTheme="minorEastAsia" w:hAnsiTheme="minorEastAsia"/>
                <w:szCs w:val="21"/>
              </w:rPr>
              <w:t>2 总建筑面积大于一万五千平方米的民用机场航站楼、客运车站候车室、客运码头候船厅；</w:t>
            </w:r>
          </w:p>
          <w:p>
            <w:pPr>
              <w:rPr>
                <w:rFonts w:hint="eastAsia" w:cs="Times New Roman" w:asciiTheme="minorEastAsia" w:hAnsiTheme="minorEastAsia"/>
                <w:szCs w:val="21"/>
              </w:rPr>
            </w:pPr>
            <w:r>
              <w:rPr>
                <w:rFonts w:hint="eastAsia" w:cs="Times New Roman" w:asciiTheme="minorEastAsia" w:hAnsiTheme="minorEastAsia"/>
                <w:szCs w:val="21"/>
              </w:rPr>
              <w:t>3 总建筑面积大于二千五百平方米的影剧院，公共图书馆的阅览室，营业性室内健身、休闲场馆，医院的门诊楼，大学的教学楼、图书馆、食堂，劳动密集型企业的生产加工车间，寺庙、教堂；</w:t>
            </w:r>
          </w:p>
          <w:p>
            <w:pPr>
              <w:rPr>
                <w:rFonts w:hint="eastAsia" w:cs="Times New Roman" w:asciiTheme="minorEastAsia" w:hAnsiTheme="minorEastAsia"/>
                <w:szCs w:val="21"/>
              </w:rPr>
            </w:pPr>
            <w:r>
              <w:rPr>
                <w:rFonts w:hint="eastAsia" w:cs="Times New Roman" w:asciiTheme="minorEastAsia" w:hAnsiTheme="minorEastAsia"/>
                <w:szCs w:val="21"/>
              </w:rPr>
              <w:t>4 总建筑面积大于一千平方米的托儿所、幼儿园的儿童用房，儿童游乐厅等室内儿童活动场所，养老院、福利院，医院、疗养院的病房楼，中小学校的教学楼、图书馆、食堂，学校的集体宿舍，劳动密集型企业的员工集体宿舍；</w:t>
            </w:r>
          </w:p>
          <w:p>
            <w:pPr>
              <w:rPr>
                <w:rFonts w:hint="eastAsia" w:cs="Times New Roman" w:asciiTheme="minorEastAsia" w:hAnsiTheme="minorEastAsia"/>
                <w:szCs w:val="21"/>
              </w:rPr>
            </w:pPr>
            <w:r>
              <w:rPr>
                <w:rFonts w:hint="eastAsia" w:cs="Times New Roman" w:asciiTheme="minorEastAsia" w:hAnsiTheme="minorEastAsia"/>
                <w:szCs w:val="21"/>
              </w:rPr>
              <w:t>5 总建筑面积大于五百平方米的歌舞厅、录像厅、放映厅、卡拉O K厅、夜总会、游艺厅、桑拿浴室、网吧、酒吧，具有娱乐功能的餐馆、茶馆、咖啡厅；</w:t>
            </w:r>
          </w:p>
          <w:p>
            <w:pPr>
              <w:rPr>
                <w:rFonts w:hint="eastAsia" w:cs="Times New Roman" w:asciiTheme="minorEastAsia" w:hAnsiTheme="minorEastAsia"/>
                <w:szCs w:val="21"/>
              </w:rPr>
            </w:pPr>
            <w:r>
              <w:rPr>
                <w:rFonts w:hint="eastAsia" w:cs="Times New Roman" w:asciiTheme="minorEastAsia" w:hAnsiTheme="minorEastAsia"/>
                <w:szCs w:val="21"/>
              </w:rPr>
              <w:t>6 国家机关办公楼、电力调度楼、电信楼、邮政楼、防灾指挥调度楼、广播电视楼、档案楼；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jc w:val="center"/>
        </w:trPr>
        <w:tc>
          <w:tcPr>
            <w:tcW w:w="988" w:type="dxa"/>
            <w:noWrap/>
            <w:vAlign w:val="center"/>
          </w:tcPr>
          <w:p>
            <w:pPr>
              <w:jc w:val="center"/>
              <w:rPr>
                <w:rFonts w:hint="eastAsia" w:cs="Times New Roman" w:asciiTheme="minorEastAsia" w:hAnsiTheme="minorEastAsia"/>
                <w:szCs w:val="21"/>
              </w:rPr>
            </w:pPr>
            <w:r>
              <w:rPr>
                <w:rFonts w:hint="eastAsia" w:cs="Times New Roman" w:asciiTheme="minorEastAsia" w:hAnsiTheme="minorEastAsia"/>
                <w:szCs w:val="21"/>
              </w:rPr>
              <w:t>防火阀</w:t>
            </w:r>
          </w:p>
        </w:tc>
        <w:tc>
          <w:tcPr>
            <w:tcW w:w="742" w:type="dxa"/>
            <w:noWrap/>
            <w:vAlign w:val="center"/>
          </w:tcPr>
          <w:p>
            <w:pPr>
              <w:jc w:val="center"/>
              <w:rPr>
                <w:rFonts w:hint="eastAsia" w:cs="Times New Roman" w:asciiTheme="minorEastAsia" w:hAnsiTheme="minorEastAsia"/>
                <w:b/>
                <w:bCs/>
                <w:szCs w:val="21"/>
              </w:rPr>
            </w:pPr>
            <w:r>
              <w:rPr>
                <w:rFonts w:hint="eastAsia" w:cs="Times New Roman" w:asciiTheme="minorEastAsia" w:hAnsiTheme="minorEastAsia"/>
                <w:b/>
                <w:bCs/>
                <w:szCs w:val="21"/>
              </w:rPr>
              <w:t>B</w:t>
            </w:r>
          </w:p>
        </w:tc>
        <w:tc>
          <w:tcPr>
            <w:tcW w:w="2235" w:type="dxa"/>
            <w:noWrap/>
            <w:vAlign w:val="center"/>
          </w:tcPr>
          <w:p>
            <w:pPr>
              <w:rPr>
                <w:rFonts w:hint="eastAsia" w:cs="Times New Roman" w:asciiTheme="minorEastAsia" w:hAnsiTheme="minorEastAsia"/>
                <w:szCs w:val="21"/>
              </w:rPr>
            </w:pPr>
            <w:r>
              <w:rPr>
                <w:rFonts w:hint="eastAsia" w:cs="Times New Roman" w:asciiTheme="minorEastAsia" w:hAnsiTheme="minorEastAsia"/>
                <w:szCs w:val="21"/>
              </w:rPr>
              <w:t>除A级防火阀以外的其他需要设置防火阀的场合</w:t>
            </w:r>
          </w:p>
        </w:tc>
        <w:tc>
          <w:tcPr>
            <w:tcW w:w="2377" w:type="dxa"/>
            <w:vAlign w:val="center"/>
          </w:tcPr>
          <w:p>
            <w:pPr>
              <w:ind w:right="-86" w:rightChars="-36"/>
              <w:rPr>
                <w:rFonts w:hint="eastAsia" w:cs="Times New Roman" w:asciiTheme="minorEastAsia" w:hAnsiTheme="minorEastAsia"/>
                <w:szCs w:val="21"/>
              </w:rPr>
            </w:pPr>
            <w:r>
              <w:rPr>
                <w:rFonts w:hint="eastAsia" w:cs="Times New Roman" w:asciiTheme="minorEastAsia" w:hAnsiTheme="minorEastAsia"/>
                <w:szCs w:val="21"/>
              </w:rPr>
              <w:t>1 丁类厂房；</w:t>
            </w:r>
          </w:p>
          <w:p>
            <w:pPr>
              <w:ind w:right="-86" w:rightChars="-36"/>
              <w:rPr>
                <w:rFonts w:hint="eastAsia" w:cs="Times New Roman" w:asciiTheme="minorEastAsia" w:hAnsiTheme="minorEastAsia"/>
                <w:szCs w:val="21"/>
              </w:rPr>
            </w:pPr>
            <w:r>
              <w:rPr>
                <w:rFonts w:hint="eastAsia" w:cs="Times New Roman" w:asciiTheme="minorEastAsia" w:hAnsiTheme="minorEastAsia"/>
                <w:szCs w:val="21"/>
              </w:rPr>
              <w:t>2 丁类仓库；</w:t>
            </w:r>
          </w:p>
          <w:p>
            <w:pPr>
              <w:ind w:right="-86" w:rightChars="-36"/>
              <w:rPr>
                <w:rFonts w:hint="eastAsia" w:cs="Times New Roman" w:asciiTheme="minorEastAsia" w:hAnsiTheme="minorEastAsia"/>
                <w:szCs w:val="21"/>
              </w:rPr>
            </w:pPr>
            <w:r>
              <w:rPr>
                <w:rFonts w:hint="eastAsia" w:cs="Times New Roman" w:asciiTheme="minorEastAsia" w:hAnsiTheme="minorEastAsia"/>
                <w:szCs w:val="21"/>
              </w:rPr>
              <w:t>3 B级、C级数据中心</w:t>
            </w:r>
          </w:p>
        </w:tc>
        <w:tc>
          <w:tcPr>
            <w:tcW w:w="2725"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1 一类住宅建筑的通风空调系统、加压送风系统、火灾补风系统穿越风机房隔墙及防火分隔处；</w:t>
            </w:r>
          </w:p>
          <w:p>
            <w:pPr>
              <w:rPr>
                <w:rFonts w:hint="eastAsia" w:cs="Times New Roman" w:asciiTheme="minorEastAsia" w:hAnsiTheme="minorEastAsia"/>
                <w:szCs w:val="21"/>
              </w:rPr>
            </w:pPr>
            <w:r>
              <w:rPr>
                <w:rFonts w:hint="eastAsia" w:cs="Times New Roman" w:asciiTheme="minorEastAsia" w:hAnsiTheme="minorEastAsia"/>
                <w:szCs w:val="21"/>
              </w:rPr>
              <w:t>2 除一类高层公共建筑外的其它高层公共建筑的通风空调系统；</w:t>
            </w:r>
          </w:p>
        </w:tc>
        <w:tc>
          <w:tcPr>
            <w:tcW w:w="4820" w:type="dxa"/>
            <w:vMerge w:val="continue"/>
          </w:tcPr>
          <w:p>
            <w:pPr>
              <w:rPr>
                <w:rFonts w:hint="eastAsia" w:cs="Times New Roman" w:asciiTheme="minorEastAsia" w:hAnsi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jc w:val="center"/>
        </w:trPr>
        <w:tc>
          <w:tcPr>
            <w:tcW w:w="988" w:type="dxa"/>
            <w:noWrap/>
            <w:vAlign w:val="center"/>
          </w:tcPr>
          <w:p>
            <w:pPr>
              <w:jc w:val="center"/>
              <w:rPr>
                <w:rFonts w:hint="eastAsia" w:cs="Times New Roman" w:asciiTheme="minorEastAsia" w:hAnsiTheme="minorEastAsia"/>
                <w:szCs w:val="21"/>
              </w:rPr>
            </w:pPr>
            <w:r>
              <w:rPr>
                <w:rFonts w:hint="eastAsia" w:cs="Times New Roman" w:asciiTheme="minorEastAsia" w:hAnsiTheme="minorEastAsia"/>
                <w:szCs w:val="21"/>
              </w:rPr>
              <w:t>防火阀</w:t>
            </w:r>
          </w:p>
        </w:tc>
        <w:tc>
          <w:tcPr>
            <w:tcW w:w="742" w:type="dxa"/>
            <w:noWrap/>
            <w:vAlign w:val="center"/>
          </w:tcPr>
          <w:p>
            <w:pPr>
              <w:jc w:val="center"/>
              <w:rPr>
                <w:rFonts w:hint="eastAsia" w:cs="Times New Roman" w:asciiTheme="minorEastAsia" w:hAnsiTheme="minorEastAsia"/>
                <w:b/>
                <w:bCs/>
                <w:szCs w:val="21"/>
              </w:rPr>
            </w:pPr>
            <w:r>
              <w:rPr>
                <w:rFonts w:hint="eastAsia" w:cs="Times New Roman" w:asciiTheme="minorEastAsia" w:hAnsiTheme="minorEastAsia"/>
                <w:b/>
                <w:bCs/>
                <w:szCs w:val="21"/>
              </w:rPr>
              <w:t>C</w:t>
            </w:r>
          </w:p>
        </w:tc>
        <w:tc>
          <w:tcPr>
            <w:tcW w:w="2235" w:type="dxa"/>
            <w:noWrap/>
            <w:vAlign w:val="center"/>
          </w:tcPr>
          <w:p>
            <w:pPr>
              <w:rPr>
                <w:rFonts w:hint="eastAsia" w:cs="Times New Roman" w:asciiTheme="minorEastAsia" w:hAnsiTheme="minorEastAsia"/>
                <w:szCs w:val="21"/>
              </w:rPr>
            </w:pPr>
            <w:r>
              <w:rPr>
                <w:rFonts w:hint="eastAsia" w:cs="Times New Roman" w:asciiTheme="minorEastAsia" w:hAnsiTheme="minorEastAsia"/>
                <w:szCs w:val="21"/>
              </w:rPr>
              <w:t>除A、B级防火阀外，其他需要设置防火阀的场合</w:t>
            </w:r>
          </w:p>
        </w:tc>
        <w:tc>
          <w:tcPr>
            <w:tcW w:w="2377"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1 戊类厂房；</w:t>
            </w:r>
          </w:p>
          <w:p>
            <w:pPr>
              <w:rPr>
                <w:rFonts w:hint="eastAsia" w:cs="Times New Roman" w:asciiTheme="minorEastAsia" w:hAnsiTheme="minorEastAsia"/>
                <w:szCs w:val="21"/>
              </w:rPr>
            </w:pPr>
            <w:r>
              <w:rPr>
                <w:rFonts w:hint="eastAsia" w:cs="Times New Roman" w:asciiTheme="minorEastAsia" w:hAnsiTheme="minorEastAsia"/>
                <w:szCs w:val="21"/>
              </w:rPr>
              <w:t>2 戊类仓库</w:t>
            </w:r>
          </w:p>
        </w:tc>
        <w:tc>
          <w:tcPr>
            <w:tcW w:w="2725" w:type="dxa"/>
            <w:vAlign w:val="center"/>
          </w:tcPr>
          <w:p>
            <w:pPr>
              <w:rPr>
                <w:rFonts w:hint="eastAsia" w:cs="Times New Roman" w:asciiTheme="minorEastAsia" w:hAnsiTheme="minorEastAsia"/>
                <w:szCs w:val="21"/>
              </w:rPr>
            </w:pPr>
            <w:r>
              <w:rPr>
                <w:rFonts w:hint="eastAsia" w:cs="Times New Roman" w:asciiTheme="minorEastAsia" w:hAnsiTheme="minorEastAsia"/>
                <w:szCs w:val="21"/>
              </w:rPr>
              <w:t>1 二类住宅建筑通风空调系统；</w:t>
            </w:r>
          </w:p>
          <w:p>
            <w:pPr>
              <w:rPr>
                <w:rFonts w:hint="eastAsia" w:cs="Times New Roman" w:asciiTheme="minorEastAsia" w:hAnsiTheme="minorEastAsia"/>
                <w:szCs w:val="21"/>
              </w:rPr>
            </w:pPr>
            <w:r>
              <w:rPr>
                <w:rFonts w:hint="eastAsia" w:cs="Times New Roman" w:asciiTheme="minorEastAsia" w:hAnsiTheme="minorEastAsia"/>
                <w:szCs w:val="21"/>
              </w:rPr>
              <w:t>2 单、多层住宅通风空调系统；</w:t>
            </w:r>
          </w:p>
          <w:p>
            <w:pPr>
              <w:rPr>
                <w:rFonts w:hint="eastAsia" w:cs="Times New Roman" w:asciiTheme="minorEastAsia" w:hAnsiTheme="minorEastAsia"/>
                <w:szCs w:val="21"/>
              </w:rPr>
            </w:pPr>
            <w:r>
              <w:rPr>
                <w:rFonts w:hint="eastAsia" w:cs="Times New Roman" w:asciiTheme="minorEastAsia" w:hAnsiTheme="minorEastAsia"/>
                <w:szCs w:val="21"/>
              </w:rPr>
              <w:t>3 单、多层公共建筑的通风空调系统；</w:t>
            </w:r>
          </w:p>
        </w:tc>
        <w:tc>
          <w:tcPr>
            <w:tcW w:w="4820" w:type="dxa"/>
            <w:vAlign w:val="center"/>
          </w:tcPr>
          <w:p>
            <w:pPr>
              <w:jc w:val="center"/>
              <w:rPr>
                <w:rFonts w:hint="eastAsia" w:cs="Times New Roman" w:asciiTheme="minorEastAsia" w:hAnsiTheme="minorEastAsia"/>
                <w:szCs w:val="21"/>
              </w:rPr>
            </w:pPr>
            <w:r>
              <w:rPr>
                <w:rFonts w:hint="eastAsia" w:cs="Times New Roman" w:asciiTheme="minorEastAsia" w:hAnsiTheme="minor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988" w:type="dxa"/>
            <w:noWrap/>
            <w:vAlign w:val="center"/>
          </w:tcPr>
          <w:p>
            <w:pPr>
              <w:jc w:val="center"/>
              <w:rPr>
                <w:rFonts w:hint="eastAsia" w:cs="Times New Roman" w:asciiTheme="minorEastAsia" w:hAnsiTheme="minorEastAsia"/>
                <w:szCs w:val="21"/>
              </w:rPr>
            </w:pPr>
            <w:r>
              <w:rPr>
                <w:rFonts w:hint="eastAsia" w:cs="Times New Roman" w:asciiTheme="minorEastAsia" w:hAnsiTheme="minorEastAsia"/>
                <w:szCs w:val="21"/>
              </w:rPr>
              <w:t>防火阀</w:t>
            </w:r>
          </w:p>
        </w:tc>
        <w:tc>
          <w:tcPr>
            <w:tcW w:w="742" w:type="dxa"/>
            <w:noWrap/>
            <w:vAlign w:val="center"/>
          </w:tcPr>
          <w:p>
            <w:pPr>
              <w:jc w:val="center"/>
              <w:rPr>
                <w:rFonts w:hint="eastAsia" w:cs="Times New Roman" w:asciiTheme="minorEastAsia" w:hAnsiTheme="minorEastAsia"/>
                <w:b/>
                <w:bCs/>
                <w:szCs w:val="21"/>
              </w:rPr>
            </w:pPr>
            <w:r>
              <w:rPr>
                <w:rFonts w:hint="eastAsia" w:cs="Times New Roman" w:asciiTheme="minorEastAsia" w:hAnsiTheme="minorEastAsia"/>
                <w:b/>
                <w:bCs/>
                <w:szCs w:val="21"/>
              </w:rPr>
              <w:t>D</w:t>
            </w:r>
          </w:p>
        </w:tc>
        <w:tc>
          <w:tcPr>
            <w:tcW w:w="2235" w:type="dxa"/>
            <w:noWrap/>
            <w:vAlign w:val="center"/>
          </w:tcPr>
          <w:p>
            <w:pPr>
              <w:rPr>
                <w:rFonts w:hint="eastAsia" w:cs="Times New Roman" w:asciiTheme="minorEastAsia" w:hAnsiTheme="minorEastAsia"/>
                <w:szCs w:val="21"/>
              </w:rPr>
            </w:pPr>
            <w:r>
              <w:rPr>
                <w:rFonts w:hint="eastAsia" w:cs="Times New Roman" w:asciiTheme="minorEastAsia" w:hAnsiTheme="minorEastAsia"/>
                <w:szCs w:val="21"/>
              </w:rPr>
              <w:t>严禁在工程上使用</w:t>
            </w:r>
          </w:p>
        </w:tc>
        <w:tc>
          <w:tcPr>
            <w:tcW w:w="2377" w:type="dxa"/>
            <w:noWrap/>
            <w:vAlign w:val="center"/>
          </w:tcPr>
          <w:p>
            <w:pPr>
              <w:rPr>
                <w:rFonts w:hint="eastAsia" w:cs="Times New Roman" w:asciiTheme="minorEastAsia" w:hAnsiTheme="minorEastAsia"/>
                <w:b/>
                <w:bCs/>
                <w:szCs w:val="21"/>
              </w:rPr>
            </w:pPr>
          </w:p>
        </w:tc>
        <w:tc>
          <w:tcPr>
            <w:tcW w:w="2725" w:type="dxa"/>
            <w:noWrap/>
            <w:vAlign w:val="center"/>
          </w:tcPr>
          <w:p>
            <w:pPr>
              <w:rPr>
                <w:rFonts w:hint="eastAsia" w:cs="Times New Roman" w:asciiTheme="minorEastAsia" w:hAnsiTheme="minorEastAsia"/>
                <w:szCs w:val="21"/>
              </w:rPr>
            </w:pPr>
          </w:p>
        </w:tc>
        <w:tc>
          <w:tcPr>
            <w:tcW w:w="4820" w:type="dxa"/>
          </w:tcPr>
          <w:p>
            <w:pPr>
              <w:rPr>
                <w:rFonts w:hint="eastAsia" w:cs="Times New Roman" w:asciiTheme="minorEastAsia" w:hAnsiTheme="minorEastAsia"/>
                <w:szCs w:val="21"/>
              </w:rPr>
            </w:pPr>
          </w:p>
        </w:tc>
      </w:tr>
    </w:tbl>
    <w:p>
      <w:pPr>
        <w:rPr>
          <w:rFonts w:hint="eastAsia" w:cs="Times New Roman" w:asciiTheme="minorEastAsia" w:hAnsiTheme="minorEastAsia"/>
          <w:szCs w:val="24"/>
        </w:rPr>
      </w:pPr>
      <w:r>
        <w:rPr>
          <w:rFonts w:hint="eastAsia" w:cs="Times New Roman" w:asciiTheme="minorEastAsia" w:hAnsiTheme="minorEastAsia"/>
          <w:szCs w:val="24"/>
        </w:rPr>
        <w:t>备注：</w:t>
      </w:r>
    </w:p>
    <w:p>
      <w:pPr>
        <w:pStyle w:val="23"/>
        <w:numPr>
          <w:ilvl w:val="0"/>
          <w:numId w:val="16"/>
        </w:numPr>
        <w:ind w:firstLineChars="0"/>
        <w:rPr>
          <w:rFonts w:hint="eastAsia" w:cs="Times New Roman" w:asciiTheme="minorEastAsia" w:hAnsiTheme="minorEastAsia"/>
          <w:szCs w:val="24"/>
        </w:rPr>
      </w:pPr>
      <w:r>
        <w:rPr>
          <w:rFonts w:hint="eastAsia" w:cs="Times New Roman" w:asciiTheme="minorEastAsia" w:hAnsiTheme="minorEastAsia"/>
          <w:szCs w:val="24"/>
        </w:rPr>
        <w:t>以上表格是以防火阀为例作出的综合评级区分，其它类型产品评定可依此为参考；</w:t>
      </w:r>
    </w:p>
    <w:p>
      <w:pPr>
        <w:pStyle w:val="23"/>
        <w:numPr>
          <w:ilvl w:val="0"/>
          <w:numId w:val="16"/>
        </w:numPr>
        <w:ind w:firstLineChars="0"/>
        <w:rPr>
          <w:rFonts w:hint="eastAsia" w:cs="Times New Roman" w:asciiTheme="minorEastAsia" w:hAnsiTheme="minorEastAsia"/>
          <w:szCs w:val="24"/>
        </w:rPr>
      </w:pPr>
      <w:r>
        <w:rPr>
          <w:rFonts w:hint="eastAsia" w:cs="Times New Roman" w:asciiTheme="minorEastAsia" w:hAnsiTheme="minorEastAsia"/>
          <w:szCs w:val="24"/>
        </w:rPr>
        <w:t>关于厂房、仓库、住宅和公共建筑的分类详情，参见《建筑设计防火规范》GB 50016-2014（2018版）；</w:t>
      </w:r>
    </w:p>
    <w:p>
      <w:pPr>
        <w:pStyle w:val="23"/>
        <w:numPr>
          <w:ilvl w:val="0"/>
          <w:numId w:val="16"/>
        </w:numPr>
        <w:ind w:firstLineChars="0"/>
        <w:rPr>
          <w:rFonts w:hint="eastAsia" w:cs="Times New Roman" w:asciiTheme="minorEastAsia" w:hAnsiTheme="minorEastAsia"/>
          <w:szCs w:val="24"/>
        </w:rPr>
      </w:pPr>
      <w:r>
        <w:rPr>
          <w:rFonts w:hint="eastAsia" w:cs="Times New Roman" w:asciiTheme="minorEastAsia" w:hAnsiTheme="minorEastAsia"/>
          <w:color w:val="0070C0"/>
          <w:szCs w:val="24"/>
        </w:rPr>
        <w:t>A级、B级</w:t>
      </w:r>
      <w:r>
        <w:rPr>
          <w:rFonts w:hint="eastAsia" w:cs="Times New Roman" w:asciiTheme="minorEastAsia" w:hAnsiTheme="minorEastAsia"/>
          <w:szCs w:val="24"/>
        </w:rPr>
        <w:t>消防产品，原则上可适用于特殊建设工程项目，但项目安装产品必须通过每年的日常维护检查，接近使用寿命或已不合格者应及时予以更换。</w:t>
      </w:r>
    </w:p>
    <w:p>
      <w:pPr>
        <w:pStyle w:val="23"/>
        <w:numPr>
          <w:ilvl w:val="0"/>
          <w:numId w:val="16"/>
        </w:numPr>
        <w:ind w:firstLineChars="0"/>
        <w:rPr>
          <w:rFonts w:hint="eastAsia" w:cs="Times New Roman" w:asciiTheme="minorEastAsia" w:hAnsiTheme="minorEastAsia"/>
          <w:szCs w:val="24"/>
        </w:rPr>
      </w:pPr>
      <w:r>
        <w:rPr>
          <w:rFonts w:hint="eastAsia" w:cs="Times New Roman" w:asciiTheme="minorEastAsia" w:hAnsiTheme="minorEastAsia"/>
          <w:szCs w:val="24"/>
        </w:rPr>
        <w:t>地标性建筑、具有重大政治历史文化意义的建筑、特殊消防设计的建筑，其消防产品（如阀门等）采购及安装，建议可以提高一级以及细分类别来选择。</w:t>
      </w:r>
    </w:p>
    <w:p/>
    <w:p>
      <w:pPr>
        <w:sectPr>
          <w:pgSz w:w="16838" w:h="11906" w:orient="landscape"/>
          <w:pgMar w:top="1276" w:right="1440" w:bottom="1800" w:left="1440" w:header="851" w:footer="992" w:gutter="0"/>
          <w:cols w:space="425" w:num="1"/>
          <w:docGrid w:type="lines" w:linePitch="312" w:charSpace="0"/>
        </w:sectPr>
      </w:pPr>
    </w:p>
    <w:p>
      <w:pPr>
        <w:spacing w:before="340" w:after="330"/>
        <w:jc w:val="center"/>
        <w:outlineLvl w:val="0"/>
        <w:rPr>
          <w:rFonts w:eastAsia="宋体" w:cs="Times New Roman"/>
          <w:kern w:val="44"/>
          <w:sz w:val="30"/>
          <w:szCs w:val="48"/>
        </w:rPr>
      </w:pPr>
      <w:bookmarkStart w:id="111" w:name="_Toc206760201"/>
      <w:bookmarkStart w:id="112" w:name="_Toc27986"/>
      <w:bookmarkStart w:id="113" w:name="_Toc206758010"/>
      <w:bookmarkStart w:id="114" w:name="_Toc83384044"/>
      <w:bookmarkStart w:id="115" w:name="_Toc32204"/>
      <w:r>
        <w:rPr>
          <w:rFonts w:eastAsia="宋体" w:cs="Times New Roman"/>
          <w:kern w:val="44"/>
          <w:sz w:val="30"/>
          <w:szCs w:val="48"/>
        </w:rPr>
        <w:t>用词说明</w:t>
      </w:r>
      <w:bookmarkEnd w:id="111"/>
      <w:bookmarkEnd w:id="112"/>
      <w:bookmarkEnd w:id="113"/>
      <w:bookmarkEnd w:id="114"/>
      <w:bookmarkEnd w:id="115"/>
    </w:p>
    <w:p>
      <w:pPr>
        <w:ind w:firstLine="480" w:firstLineChars="200"/>
        <w:rPr>
          <w:rFonts w:eastAsia="宋体" w:cs="Times New Roman"/>
          <w:szCs w:val="24"/>
        </w:rPr>
      </w:pPr>
      <w:r>
        <w:rPr>
          <w:rFonts w:eastAsia="宋体" w:cs="Times New Roman"/>
          <w:szCs w:val="24"/>
        </w:rPr>
        <w:t>为便于在执行本标准条</w:t>
      </w:r>
      <w:r>
        <w:rPr>
          <w:rFonts w:hint="eastAsia" w:eastAsia="宋体" w:cs="Times New Roman"/>
          <w:szCs w:val="24"/>
        </w:rPr>
        <w:t>款</w:t>
      </w:r>
      <w:r>
        <w:rPr>
          <w:rFonts w:eastAsia="宋体" w:cs="Times New Roman"/>
          <w:szCs w:val="24"/>
        </w:rPr>
        <w:t>时区别对待，对要求严格程度不同的用词说明如下：</w:t>
      </w:r>
    </w:p>
    <w:p>
      <w:pPr>
        <w:ind w:firstLine="482" w:firstLineChars="200"/>
        <w:rPr>
          <w:rFonts w:eastAsia="宋体" w:cs="Times New Roman"/>
          <w:szCs w:val="24"/>
        </w:rPr>
      </w:pPr>
      <w:r>
        <w:rPr>
          <w:rFonts w:eastAsia="宋体" w:cs="Times New Roman"/>
          <w:b/>
          <w:bCs/>
          <w:szCs w:val="24"/>
        </w:rPr>
        <w:t>1</w:t>
      </w:r>
      <w:r>
        <w:rPr>
          <w:rFonts w:hint="eastAsia" w:eastAsia="宋体" w:cs="Times New Roman"/>
          <w:szCs w:val="24"/>
        </w:rPr>
        <w:t xml:space="preserve">  </w:t>
      </w:r>
      <w:r>
        <w:rPr>
          <w:rFonts w:eastAsia="宋体" w:cs="Times New Roman"/>
          <w:szCs w:val="24"/>
        </w:rPr>
        <w:t>表示很严格，非这样做不可的：</w:t>
      </w:r>
    </w:p>
    <w:p>
      <w:pPr>
        <w:ind w:firstLine="480" w:firstLineChars="200"/>
        <w:rPr>
          <w:rFonts w:eastAsia="宋体" w:cs="Times New Roman"/>
          <w:szCs w:val="24"/>
        </w:rPr>
      </w:pPr>
      <w:r>
        <w:rPr>
          <w:rFonts w:eastAsia="宋体" w:cs="Times New Roman"/>
          <w:szCs w:val="24"/>
        </w:rPr>
        <w:t xml:space="preserve">   正面词采</w:t>
      </w:r>
      <w:r>
        <w:rPr>
          <w:rFonts w:hint="eastAsia" w:ascii="宋体" w:hAnsi="宋体" w:eastAsia="宋体" w:cs="宋体"/>
          <w:szCs w:val="24"/>
        </w:rPr>
        <w:t>用“必须”，反面词采用“严禁”</w:t>
      </w:r>
      <w:r>
        <w:rPr>
          <w:rFonts w:eastAsia="宋体" w:cs="Times New Roman"/>
          <w:szCs w:val="24"/>
        </w:rPr>
        <w:t>；</w:t>
      </w:r>
    </w:p>
    <w:p>
      <w:pPr>
        <w:ind w:firstLine="482" w:firstLineChars="200"/>
        <w:rPr>
          <w:rFonts w:eastAsia="宋体" w:cs="Times New Roman"/>
          <w:szCs w:val="24"/>
        </w:rPr>
      </w:pPr>
      <w:r>
        <w:rPr>
          <w:rFonts w:eastAsia="宋体" w:cs="Times New Roman"/>
          <w:b/>
          <w:bCs/>
          <w:szCs w:val="24"/>
        </w:rPr>
        <w:t>2</w:t>
      </w:r>
      <w:r>
        <w:rPr>
          <w:rFonts w:hint="eastAsia" w:eastAsia="宋体" w:cs="Times New Roman"/>
          <w:szCs w:val="24"/>
        </w:rPr>
        <w:t xml:space="preserve">  </w:t>
      </w:r>
      <w:r>
        <w:rPr>
          <w:rFonts w:eastAsia="宋体" w:cs="Times New Roman"/>
          <w:szCs w:val="24"/>
        </w:rPr>
        <w:t>表示严格，在正常情况下均应这样做的：</w:t>
      </w:r>
    </w:p>
    <w:p>
      <w:pPr>
        <w:ind w:firstLine="480" w:firstLineChars="200"/>
        <w:rPr>
          <w:rFonts w:eastAsia="宋体" w:cs="Times New Roman"/>
          <w:szCs w:val="24"/>
        </w:rPr>
      </w:pPr>
      <w:r>
        <w:rPr>
          <w:rFonts w:eastAsia="宋体" w:cs="Times New Roman"/>
          <w:szCs w:val="24"/>
        </w:rPr>
        <w:t xml:space="preserve">   正面词采</w:t>
      </w:r>
      <w:r>
        <w:rPr>
          <w:rFonts w:ascii="宋体" w:hAnsi="宋体" w:eastAsia="宋体" w:cs="宋体"/>
          <w:szCs w:val="24"/>
        </w:rPr>
        <w:t>用“应”，反面词采用“不应”或“不得”</w:t>
      </w:r>
      <w:r>
        <w:rPr>
          <w:rFonts w:eastAsia="宋体" w:cs="Times New Roman"/>
          <w:szCs w:val="24"/>
        </w:rPr>
        <w:t>；</w:t>
      </w:r>
    </w:p>
    <w:p>
      <w:pPr>
        <w:ind w:firstLine="482" w:firstLineChars="200"/>
        <w:rPr>
          <w:rFonts w:eastAsia="宋体" w:cs="Times New Roman"/>
          <w:szCs w:val="24"/>
        </w:rPr>
      </w:pPr>
      <w:r>
        <w:rPr>
          <w:rFonts w:eastAsia="宋体" w:cs="Times New Roman"/>
          <w:b/>
          <w:bCs/>
          <w:szCs w:val="24"/>
        </w:rPr>
        <w:t>3</w:t>
      </w:r>
      <w:r>
        <w:rPr>
          <w:rFonts w:hint="eastAsia" w:eastAsia="宋体" w:cs="Times New Roman"/>
          <w:szCs w:val="24"/>
        </w:rPr>
        <w:t xml:space="preserve">  </w:t>
      </w:r>
      <w:r>
        <w:rPr>
          <w:rFonts w:eastAsia="宋体" w:cs="Times New Roman"/>
          <w:szCs w:val="24"/>
        </w:rPr>
        <w:t>表示允许稍有选择，在条件许可时首先应这样做的：</w:t>
      </w:r>
    </w:p>
    <w:p>
      <w:pPr>
        <w:ind w:firstLine="480" w:firstLineChars="200"/>
        <w:rPr>
          <w:rFonts w:eastAsia="宋体" w:cs="Times New Roman"/>
          <w:szCs w:val="24"/>
        </w:rPr>
      </w:pPr>
      <w:r>
        <w:rPr>
          <w:rFonts w:eastAsia="宋体" w:cs="Times New Roman"/>
          <w:szCs w:val="24"/>
        </w:rPr>
        <w:t xml:space="preserve">   正面词采</w:t>
      </w:r>
      <w:r>
        <w:rPr>
          <w:rFonts w:ascii="宋体" w:hAnsi="宋体" w:eastAsia="宋体" w:cs="宋体"/>
          <w:szCs w:val="24"/>
        </w:rPr>
        <w:t>用“宜”，反面词采用“不宜”</w:t>
      </w:r>
      <w:r>
        <w:rPr>
          <w:rFonts w:eastAsia="宋体" w:cs="Times New Roman"/>
          <w:szCs w:val="24"/>
        </w:rPr>
        <w:t>；</w:t>
      </w:r>
    </w:p>
    <w:p>
      <w:pPr>
        <w:ind w:firstLine="482" w:firstLineChars="200"/>
        <w:rPr>
          <w:rFonts w:eastAsia="宋体" w:cs="Times New Roman"/>
          <w:szCs w:val="24"/>
        </w:rPr>
      </w:pPr>
      <w:r>
        <w:rPr>
          <w:rFonts w:eastAsia="宋体" w:cs="Times New Roman"/>
          <w:b/>
          <w:bCs/>
          <w:szCs w:val="24"/>
        </w:rPr>
        <w:t>4</w:t>
      </w:r>
      <w:r>
        <w:rPr>
          <w:rFonts w:hint="eastAsia" w:eastAsia="宋体" w:cs="Times New Roman"/>
          <w:szCs w:val="24"/>
        </w:rPr>
        <w:t xml:space="preserve">  </w:t>
      </w:r>
      <w:r>
        <w:rPr>
          <w:rFonts w:eastAsia="宋体" w:cs="Times New Roman"/>
          <w:szCs w:val="24"/>
        </w:rPr>
        <w:t>表示有选择，在一定条件下可以这</w:t>
      </w:r>
      <w:r>
        <w:rPr>
          <w:rFonts w:ascii="宋体" w:hAnsi="宋体" w:eastAsia="宋体" w:cs="宋体"/>
          <w:szCs w:val="24"/>
        </w:rPr>
        <w:t>样做的，采用“可”</w:t>
      </w:r>
      <w:r>
        <w:rPr>
          <w:rFonts w:eastAsia="宋体" w:cs="Times New Roman"/>
          <w:szCs w:val="24"/>
        </w:rPr>
        <w:t>。</w:t>
      </w:r>
    </w:p>
    <w:p>
      <w:pPr>
        <w:rPr>
          <w:rFonts w:eastAsia="宋体" w:cs="Times New Roman"/>
          <w:szCs w:val="24"/>
        </w:rPr>
      </w:pPr>
    </w:p>
    <w:p>
      <w:pPr>
        <w:rPr>
          <w:rFonts w:eastAsia="宋体" w:cs="Times New Roman"/>
          <w:szCs w:val="24"/>
        </w:rPr>
      </w:pPr>
    </w:p>
    <w:p>
      <w:pPr>
        <w:widowControl/>
        <w:jc w:val="left"/>
        <w:rPr>
          <w:rFonts w:eastAsia="宋体" w:cs="Times New Roman"/>
          <w:szCs w:val="24"/>
        </w:rPr>
      </w:pPr>
      <w:r>
        <w:rPr>
          <w:rFonts w:eastAsia="宋体" w:cs="Times New Roman"/>
          <w:szCs w:val="24"/>
        </w:rPr>
        <w:br w:type="page"/>
      </w:r>
    </w:p>
    <w:p>
      <w:pPr>
        <w:keepNext/>
        <w:keepLines/>
        <w:pageBreakBefore/>
        <w:spacing w:before="340" w:after="330" w:line="576" w:lineRule="auto"/>
        <w:ind w:firstLine="643"/>
        <w:jc w:val="center"/>
        <w:outlineLvl w:val="0"/>
        <w:rPr>
          <w:rFonts w:eastAsia="宋体" w:cs="Times New Roman"/>
          <w:bCs/>
          <w:kern w:val="44"/>
          <w:sz w:val="32"/>
        </w:rPr>
      </w:pPr>
      <w:bookmarkStart w:id="116" w:name="_Toc206758011"/>
      <w:bookmarkStart w:id="117" w:name="_Toc185868175"/>
      <w:bookmarkStart w:id="118" w:name="_Toc206760202"/>
      <w:bookmarkStart w:id="119" w:name="_Toc134376684"/>
      <w:bookmarkStart w:id="120" w:name="_Toc185869306"/>
      <w:bookmarkStart w:id="121" w:name="_Toc185867566"/>
      <w:bookmarkStart w:id="122" w:name="_Toc185868622"/>
      <w:bookmarkStart w:id="123" w:name="_Toc132141702"/>
      <w:r>
        <w:rPr>
          <w:rFonts w:hint="eastAsia" w:eastAsia="宋体" w:cs="Times New Roman"/>
          <w:bCs/>
          <w:kern w:val="44"/>
          <w:sz w:val="32"/>
        </w:rPr>
        <w:t>引用标准名录</w:t>
      </w:r>
      <w:bookmarkEnd w:id="116"/>
      <w:bookmarkEnd w:id="117"/>
      <w:bookmarkEnd w:id="118"/>
      <w:bookmarkEnd w:id="119"/>
      <w:bookmarkEnd w:id="120"/>
      <w:bookmarkEnd w:id="121"/>
      <w:bookmarkEnd w:id="122"/>
      <w:bookmarkEnd w:id="123"/>
    </w:p>
    <w:p>
      <w:pPr>
        <w:rPr>
          <w:rFonts w:hint="eastAsia" w:cs="Times New Roman" w:asciiTheme="minorEastAsia" w:hAnsiTheme="minorEastAsia"/>
          <w:szCs w:val="24"/>
        </w:rPr>
      </w:pPr>
      <w:r>
        <w:rPr>
          <w:rFonts w:cs="Times New Roman" w:asciiTheme="minorEastAsia" w:hAnsiTheme="minorEastAsia"/>
          <w:szCs w:val="24"/>
        </w:rPr>
        <w:t>《建筑防火通用规范》GB 55037</w:t>
      </w:r>
    </w:p>
    <w:p>
      <w:pPr>
        <w:rPr>
          <w:rFonts w:hint="eastAsia" w:cs="Times New Roman" w:asciiTheme="minorEastAsia" w:hAnsiTheme="minorEastAsia"/>
          <w:szCs w:val="24"/>
        </w:rPr>
      </w:pPr>
      <w:r>
        <w:rPr>
          <w:rFonts w:cs="Times New Roman" w:asciiTheme="minorEastAsia" w:hAnsiTheme="minorEastAsia"/>
          <w:szCs w:val="24"/>
        </w:rPr>
        <w:t>《消防设施通用规范》GB 55036</w:t>
      </w:r>
    </w:p>
    <w:p>
      <w:pPr>
        <w:rPr>
          <w:rFonts w:hint="eastAsia" w:cs="Times New Roman" w:asciiTheme="minorEastAsia" w:hAnsiTheme="minorEastAsia"/>
          <w:szCs w:val="24"/>
        </w:rPr>
      </w:pPr>
      <w:r>
        <w:rPr>
          <w:rFonts w:cs="Times New Roman" w:asciiTheme="minorEastAsia" w:hAnsiTheme="minorEastAsia"/>
          <w:szCs w:val="24"/>
        </w:rPr>
        <w:t>《建筑防烟排烟系统技术标准》GB 51251</w:t>
      </w:r>
    </w:p>
    <w:p>
      <w:pPr>
        <w:rPr>
          <w:rFonts w:hint="eastAsia" w:cs="Times New Roman" w:asciiTheme="minorEastAsia" w:hAnsiTheme="minorEastAsia"/>
          <w:szCs w:val="24"/>
        </w:rPr>
      </w:pPr>
      <w:r>
        <w:rPr>
          <w:rFonts w:cs="Times New Roman" w:asciiTheme="minorEastAsia" w:hAnsiTheme="minorEastAsia"/>
          <w:szCs w:val="24"/>
        </w:rPr>
        <w:t>《建筑设计防火规范》GB 50016</w:t>
      </w:r>
    </w:p>
    <w:p>
      <w:pPr>
        <w:rPr>
          <w:rFonts w:hint="eastAsia" w:cs="Times New Roman" w:asciiTheme="minorEastAsia" w:hAnsiTheme="minorEastAsia"/>
          <w:szCs w:val="24"/>
        </w:rPr>
      </w:pPr>
      <w:r>
        <w:rPr>
          <w:rFonts w:cs="Times New Roman" w:asciiTheme="minorEastAsia" w:hAnsiTheme="minorEastAsia"/>
          <w:szCs w:val="24"/>
        </w:rPr>
        <w:t>《建筑内部装修设计防火规范》GB 50222</w:t>
      </w:r>
    </w:p>
    <w:p>
      <w:pPr>
        <w:rPr>
          <w:rFonts w:hint="eastAsia" w:cs="Times New Roman" w:asciiTheme="minorEastAsia" w:hAnsiTheme="minorEastAsia"/>
          <w:szCs w:val="24"/>
        </w:rPr>
      </w:pPr>
      <w:r>
        <w:rPr>
          <w:rFonts w:cs="Times New Roman" w:asciiTheme="minorEastAsia" w:hAnsiTheme="minorEastAsia"/>
          <w:szCs w:val="24"/>
        </w:rPr>
        <w:t>《汽车库、修车库、停车场设计防火规范》GB 50067</w:t>
      </w:r>
    </w:p>
    <w:p>
      <w:pPr>
        <w:rPr>
          <w:rFonts w:hint="eastAsia" w:cs="Times New Roman" w:asciiTheme="minorEastAsia" w:hAnsiTheme="minorEastAsia"/>
          <w:szCs w:val="24"/>
        </w:rPr>
      </w:pPr>
      <w:r>
        <w:rPr>
          <w:rFonts w:cs="Times New Roman" w:asciiTheme="minorEastAsia" w:hAnsiTheme="minorEastAsia"/>
          <w:szCs w:val="24"/>
        </w:rPr>
        <w:t>《火灾自动报警系统设计规范》GB 50116</w:t>
      </w:r>
    </w:p>
    <w:p>
      <w:pPr>
        <w:rPr>
          <w:rFonts w:hint="eastAsia" w:cs="Times New Roman" w:asciiTheme="minorEastAsia" w:hAnsiTheme="minorEastAsia"/>
          <w:szCs w:val="24"/>
        </w:rPr>
      </w:pPr>
      <w:r>
        <w:rPr>
          <w:rFonts w:cs="Times New Roman" w:asciiTheme="minorEastAsia" w:hAnsiTheme="minorEastAsia"/>
          <w:szCs w:val="24"/>
        </w:rPr>
        <w:t>《通风与空调工程施工质量验收规范》GB 50243</w:t>
      </w:r>
    </w:p>
    <w:p>
      <w:pPr>
        <w:rPr>
          <w:rFonts w:hint="eastAsia" w:cs="Times New Roman" w:asciiTheme="minorEastAsia" w:hAnsiTheme="minorEastAsia"/>
          <w:szCs w:val="24"/>
        </w:rPr>
      </w:pPr>
      <w:r>
        <w:rPr>
          <w:rFonts w:hint="eastAsia" w:cs="Times New Roman" w:asciiTheme="minorEastAsia" w:hAnsiTheme="minorEastAsia"/>
          <w:szCs w:val="24"/>
        </w:rPr>
        <w:t>《建筑通风和排烟系统用防火阀门》GB 15930</w:t>
      </w:r>
    </w:p>
    <w:p>
      <w:pPr>
        <w:rPr>
          <w:rFonts w:hint="eastAsia" w:cs="Times New Roman" w:asciiTheme="minorEastAsia" w:hAnsiTheme="minorEastAsia"/>
          <w:szCs w:val="24"/>
        </w:rPr>
      </w:pPr>
      <w:r>
        <w:rPr>
          <w:rFonts w:hint="eastAsia" w:cs="Times New Roman" w:asciiTheme="minorEastAsia" w:hAnsiTheme="minorEastAsia"/>
          <w:szCs w:val="24"/>
        </w:rPr>
        <w:t>《消防排烟通风机》JB/T 10281</w:t>
      </w:r>
    </w:p>
    <w:p>
      <w:pPr>
        <w:rPr>
          <w:rFonts w:hint="eastAsia" w:cs="Times New Roman" w:asciiTheme="minorEastAsia" w:hAnsiTheme="minorEastAsia"/>
          <w:szCs w:val="24"/>
        </w:rPr>
      </w:pPr>
      <w:r>
        <w:rPr>
          <w:rFonts w:cs="Times New Roman" w:asciiTheme="minorEastAsia" w:hAnsiTheme="minorEastAsia"/>
          <w:szCs w:val="24"/>
        </w:rPr>
        <w:t>《通风管道技术规程》JGJ/T 141</w:t>
      </w:r>
    </w:p>
    <w:p>
      <w:pPr>
        <w:rPr>
          <w:rFonts w:hint="eastAsia" w:cs="Times New Roman" w:asciiTheme="minorEastAsia" w:hAnsiTheme="minorEastAsia"/>
          <w:szCs w:val="24"/>
        </w:rPr>
      </w:pPr>
      <w:r>
        <w:rPr>
          <w:rFonts w:cs="Times New Roman" w:asciiTheme="minorEastAsia" w:hAnsiTheme="minorEastAsia"/>
          <w:szCs w:val="24"/>
        </w:rPr>
        <w:t>《建筑机电工程抗震设计规范》GB 50981</w:t>
      </w:r>
    </w:p>
    <w:p>
      <w:pPr>
        <w:rPr>
          <w:rFonts w:hint="eastAsia" w:cs="Times New Roman" w:asciiTheme="minorEastAsia" w:hAnsiTheme="minorEastAsia"/>
          <w:szCs w:val="24"/>
        </w:rPr>
      </w:pPr>
      <w:r>
        <w:rPr>
          <w:rFonts w:cs="Times New Roman" w:asciiTheme="minorEastAsia" w:hAnsiTheme="minorEastAsia"/>
          <w:szCs w:val="24"/>
        </w:rPr>
        <w:t>《建筑消防设施的维护管理》GB 25201</w:t>
      </w:r>
    </w:p>
    <w:p>
      <w:pPr>
        <w:rPr>
          <w:rFonts w:hint="eastAsia" w:cs="Times New Roman" w:asciiTheme="minorEastAsia" w:hAnsiTheme="minorEastAsia"/>
          <w:szCs w:val="24"/>
        </w:rPr>
      </w:pPr>
      <w:r>
        <w:rPr>
          <w:rFonts w:cs="Times New Roman" w:asciiTheme="minorEastAsia" w:hAnsiTheme="minorEastAsia"/>
          <w:szCs w:val="24"/>
        </w:rPr>
        <w:t>《重大火灾隐患判定</w:t>
      </w:r>
      <w:r>
        <w:rPr>
          <w:rFonts w:hint="eastAsia" w:cs="Times New Roman" w:asciiTheme="minorEastAsia" w:hAnsiTheme="minorEastAsia"/>
          <w:szCs w:val="24"/>
        </w:rPr>
        <w:t>改规则</w:t>
      </w:r>
      <w:r>
        <w:rPr>
          <w:rFonts w:cs="Times New Roman" w:asciiTheme="minorEastAsia" w:hAnsiTheme="minorEastAsia"/>
          <w:szCs w:val="24"/>
        </w:rPr>
        <w:t>》GB 35181</w:t>
      </w:r>
    </w:p>
    <w:p>
      <w:pPr>
        <w:rPr>
          <w:rFonts w:hint="eastAsia" w:cs="Times New Roman" w:asciiTheme="minorEastAsia" w:hAnsiTheme="minorEastAsia"/>
          <w:szCs w:val="24"/>
        </w:rPr>
      </w:pPr>
      <w:r>
        <w:rPr>
          <w:rFonts w:cs="Times New Roman" w:asciiTheme="minorEastAsia" w:hAnsiTheme="minorEastAsia"/>
          <w:szCs w:val="24"/>
        </w:rPr>
        <w:t>《人员密集场所消防安全管理》GA 654</w:t>
      </w:r>
    </w:p>
    <w:p>
      <w:pPr>
        <w:rPr>
          <w:rFonts w:hint="eastAsia" w:cs="Times New Roman" w:asciiTheme="minorEastAsia" w:hAnsiTheme="minorEastAsia"/>
          <w:szCs w:val="24"/>
        </w:rPr>
      </w:pPr>
      <w:r>
        <w:rPr>
          <w:rFonts w:cs="Times New Roman" w:asciiTheme="minorEastAsia" w:hAnsiTheme="minorEastAsia"/>
          <w:szCs w:val="24"/>
        </w:rPr>
        <w:t>《建设工程消防验收评价规则》GA 836</w:t>
      </w:r>
    </w:p>
    <w:p>
      <w:pPr>
        <w:rPr>
          <w:rFonts w:hint="eastAsia" w:cs="Times New Roman" w:asciiTheme="minorEastAsia" w:hAnsiTheme="minorEastAsia"/>
          <w:szCs w:val="24"/>
        </w:rPr>
      </w:pPr>
      <w:r>
        <w:rPr>
          <w:rFonts w:cs="Times New Roman" w:asciiTheme="minorEastAsia" w:hAnsiTheme="minorEastAsia"/>
          <w:szCs w:val="24"/>
        </w:rPr>
        <w:t>《建设工程消防设计审查规则》GA 1290</w:t>
      </w:r>
    </w:p>
    <w:p>
      <w:pPr>
        <w:rPr>
          <w:rFonts w:hint="eastAsia" w:cs="Times New Roman" w:asciiTheme="minorEastAsia" w:hAnsiTheme="minorEastAsia"/>
          <w:szCs w:val="24"/>
        </w:rPr>
      </w:pPr>
      <w:r>
        <w:rPr>
          <w:rFonts w:hint="eastAsia" w:asciiTheme="minorEastAsia" w:hAnsiTheme="minorEastAsia"/>
          <w:szCs w:val="24"/>
        </w:rPr>
        <w:t>《消防风机通用技术要求》XF 211</w:t>
      </w:r>
    </w:p>
    <w:p>
      <w:pPr>
        <w:rPr>
          <w:rFonts w:eastAsia="宋体" w:cs="Times New Roman"/>
        </w:rPr>
      </w:pPr>
      <w:r>
        <w:rPr>
          <w:rFonts w:hint="eastAsia" w:cs="Times New Roman" w:asciiTheme="minorEastAsia" w:hAnsiTheme="minorEastAsia"/>
          <w:szCs w:val="24"/>
        </w:rPr>
        <w:t>《消防产品一致性检查要求》XF 1061</w:t>
      </w:r>
      <w:bookmarkStart w:id="124" w:name="_Toc185868176"/>
      <w:bookmarkStart w:id="125" w:name="_Toc185869307"/>
      <w:bookmarkStart w:id="126" w:name="_Toc185868623"/>
      <w:bookmarkStart w:id="127" w:name="_Toc206758012"/>
    </w:p>
    <w:p>
      <w:pPr>
        <w:ind w:firstLine="480"/>
        <w:rPr>
          <w:rFonts w:eastAsia="宋体" w:cs="Times New Roman"/>
        </w:rPr>
      </w:pPr>
    </w:p>
    <w:p>
      <w:pPr>
        <w:ind w:firstLine="480"/>
        <w:rPr>
          <w:rFonts w:eastAsia="宋体" w:cs="Times New Roman"/>
        </w:rPr>
      </w:pPr>
    </w:p>
    <w:p>
      <w:pPr>
        <w:ind w:firstLine="480"/>
        <w:rPr>
          <w:rFonts w:eastAsia="宋体" w:cs="Times New Roman"/>
        </w:rPr>
      </w:pPr>
    </w:p>
    <w:p>
      <w:pPr>
        <w:ind w:firstLine="480"/>
        <w:rPr>
          <w:rFonts w:eastAsia="宋体" w:cs="Times New Roman"/>
        </w:rPr>
      </w:pPr>
    </w:p>
    <w:p>
      <w:pPr>
        <w:widowControl/>
        <w:jc w:val="left"/>
        <w:rPr>
          <w:rFonts w:eastAsia="宋体" w:cs="Times New Roman"/>
        </w:rPr>
      </w:pPr>
      <w:r>
        <w:rPr>
          <w:rFonts w:eastAsia="宋体" w:cs="Times New Roman"/>
        </w:rPr>
        <w:br w:type="page"/>
      </w:r>
    </w:p>
    <w:p>
      <w:pPr>
        <w:widowControl/>
        <w:jc w:val="center"/>
        <w:rPr>
          <w:rFonts w:eastAsia="宋体" w:cs="Times New Roman"/>
          <w:spacing w:val="20"/>
          <w:sz w:val="36"/>
          <w:szCs w:val="36"/>
        </w:rPr>
      </w:pPr>
    </w:p>
    <w:p>
      <w:pPr>
        <w:widowControl/>
        <w:jc w:val="center"/>
        <w:rPr>
          <w:rFonts w:eastAsia="宋体" w:cs="Times New Roman"/>
          <w:spacing w:val="20"/>
          <w:sz w:val="36"/>
          <w:szCs w:val="36"/>
        </w:rPr>
      </w:pPr>
    </w:p>
    <w:p>
      <w:pPr>
        <w:widowControl/>
        <w:jc w:val="center"/>
        <w:rPr>
          <w:rFonts w:eastAsia="宋体" w:cs="Times New Roman"/>
          <w:spacing w:val="20"/>
          <w:sz w:val="36"/>
          <w:szCs w:val="36"/>
        </w:rPr>
      </w:pPr>
      <w:r>
        <w:rPr>
          <w:rFonts w:eastAsia="宋体" w:cs="Times New Roman"/>
          <w:spacing w:val="20"/>
          <w:sz w:val="36"/>
          <w:szCs w:val="36"/>
        </w:rPr>
        <w:t>中国工程建设标准化协会标准</w:t>
      </w:r>
    </w:p>
    <w:p>
      <w:pPr>
        <w:widowControl/>
        <w:rPr>
          <w:rFonts w:eastAsia="宋体" w:cs="Times New Roman"/>
          <w:spacing w:val="20"/>
          <w:sz w:val="36"/>
          <w:szCs w:val="36"/>
        </w:rPr>
      </w:pPr>
    </w:p>
    <w:p>
      <w:pPr>
        <w:widowControl/>
        <w:spacing w:before="156" w:beforeLines="50" w:line="480" w:lineRule="auto"/>
        <w:jc w:val="center"/>
        <w:rPr>
          <w:rFonts w:hint="eastAsia" w:ascii="宋体" w:hAnsi="宋体" w:eastAsia="宋体" w:cs="宋体"/>
          <w:w w:val="95"/>
          <w:sz w:val="48"/>
        </w:rPr>
      </w:pPr>
      <w:r>
        <w:rPr>
          <w:rFonts w:hint="eastAsia" w:ascii="宋体" w:hAnsi="宋体" w:eastAsia="宋体" w:cs="宋体"/>
          <w:w w:val="95"/>
          <w:sz w:val="48"/>
        </w:rPr>
        <w:t>防烟排烟系统可靠性评定标准</w:t>
      </w:r>
    </w:p>
    <w:p>
      <w:pPr>
        <w:widowControl/>
        <w:spacing w:before="156" w:beforeLines="50" w:line="480" w:lineRule="auto"/>
        <w:jc w:val="center"/>
        <w:rPr>
          <w:rFonts w:hint="eastAsia" w:ascii="宋体" w:hAnsi="宋体" w:eastAsia="宋体" w:cs="宋体"/>
          <w:w w:val="95"/>
          <w:sz w:val="48"/>
        </w:rPr>
      </w:pPr>
    </w:p>
    <w:p>
      <w:pPr>
        <w:pStyle w:val="28"/>
        <w:spacing w:line="480" w:lineRule="auto"/>
        <w:ind w:left="204"/>
        <w:rPr>
          <w:rFonts w:eastAsia="宋体"/>
          <w:sz w:val="28"/>
          <w:szCs w:val="28"/>
        </w:rPr>
      </w:pPr>
      <w:r>
        <w:rPr>
          <w:rFonts w:eastAsia="宋体"/>
          <w:sz w:val="28"/>
          <w:szCs w:val="28"/>
        </w:rPr>
        <w:t>Reliability evaluation standard for smoke control and exhaust system</w:t>
      </w:r>
    </w:p>
    <w:p>
      <w:pPr>
        <w:widowControl/>
        <w:spacing w:before="156" w:beforeLines="50"/>
        <w:jc w:val="center"/>
        <w:rPr>
          <w:rFonts w:hint="eastAsia" w:ascii="宋体" w:hAnsi="宋体" w:eastAsia="宋体" w:cs="宋体"/>
          <w:w w:val="95"/>
          <w:sz w:val="48"/>
        </w:rPr>
      </w:pPr>
    </w:p>
    <w:p>
      <w:pPr>
        <w:jc w:val="center"/>
        <w:rPr>
          <w:rFonts w:eastAsia="宋体" w:cs="Times New Roman"/>
          <w:b/>
          <w:bCs/>
          <w:kern w:val="0"/>
          <w:sz w:val="32"/>
          <w:szCs w:val="32"/>
          <w:lang w:bidi="ar"/>
        </w:rPr>
      </w:pPr>
      <w:r>
        <w:rPr>
          <w:rFonts w:eastAsia="宋体" w:cs="Times New Roman"/>
          <w:b/>
          <w:bCs/>
          <w:kern w:val="0"/>
          <w:sz w:val="32"/>
          <w:szCs w:val="32"/>
          <w:lang w:bidi="ar"/>
        </w:rPr>
        <w:t>T/CECS ×× - 20</w:t>
      </w:r>
      <w:r>
        <w:rPr>
          <w:rFonts w:hint="eastAsia" w:eastAsia="宋体" w:cs="Times New Roman"/>
          <w:b/>
          <w:bCs/>
          <w:kern w:val="0"/>
          <w:sz w:val="32"/>
          <w:szCs w:val="32"/>
          <w:lang w:bidi="ar"/>
        </w:rPr>
        <w:t>25</w:t>
      </w:r>
    </w:p>
    <w:p>
      <w:pPr>
        <w:ind w:firstLine="480"/>
        <w:jc w:val="center"/>
        <w:rPr>
          <w:rFonts w:eastAsia="宋体" w:cs="Times New Roman"/>
          <w:b/>
          <w:kern w:val="0"/>
          <w:sz w:val="30"/>
          <w:szCs w:val="30"/>
        </w:rPr>
      </w:pPr>
    </w:p>
    <w:p>
      <w:pPr>
        <w:jc w:val="center"/>
        <w:rPr>
          <w:rFonts w:hint="eastAsia" w:ascii="宋体" w:hAnsi="宋体" w:eastAsia="宋体" w:cs="Times New Roman"/>
          <w:b/>
          <w:bCs/>
          <w:w w:val="95"/>
          <w:sz w:val="36"/>
          <w:szCs w:val="18"/>
        </w:rPr>
      </w:pPr>
      <w:r>
        <w:rPr>
          <w:rFonts w:hint="eastAsia" w:ascii="宋体" w:hAnsi="宋体" w:eastAsia="宋体" w:cs="Times New Roman"/>
          <w:b/>
          <w:bCs/>
          <w:w w:val="95"/>
          <w:sz w:val="36"/>
          <w:szCs w:val="18"/>
        </w:rPr>
        <w:t>条 文 说 明</w:t>
      </w:r>
    </w:p>
    <w:p>
      <w:pPr>
        <w:ind w:firstLine="480"/>
        <w:jc w:val="center"/>
        <w:rPr>
          <w:rFonts w:hint="eastAsia" w:ascii="宋体" w:hAnsi="宋体" w:eastAsia="宋体" w:cs="Times New Roman"/>
          <w:b/>
          <w:bCs/>
          <w:w w:val="95"/>
          <w:sz w:val="36"/>
          <w:szCs w:val="18"/>
        </w:rPr>
      </w:pPr>
    </w:p>
    <w:p>
      <w:pPr>
        <w:ind w:firstLine="480"/>
        <w:jc w:val="center"/>
        <w:rPr>
          <w:rFonts w:hint="eastAsia" w:ascii="宋体" w:hAnsi="宋体" w:eastAsia="宋体" w:cs="Times New Roman"/>
          <w:b/>
          <w:bCs/>
          <w:w w:val="95"/>
          <w:sz w:val="36"/>
          <w:szCs w:val="18"/>
        </w:rPr>
      </w:pPr>
    </w:p>
    <w:p>
      <w:pPr>
        <w:ind w:firstLine="480"/>
        <w:jc w:val="center"/>
        <w:rPr>
          <w:rFonts w:hint="eastAsia" w:ascii="宋体" w:hAnsi="宋体" w:eastAsia="宋体" w:cs="Times New Roman"/>
          <w:b/>
          <w:bCs/>
          <w:w w:val="95"/>
          <w:sz w:val="36"/>
          <w:szCs w:val="18"/>
        </w:rPr>
      </w:pPr>
    </w:p>
    <w:p>
      <w:pPr>
        <w:ind w:firstLine="480"/>
        <w:jc w:val="center"/>
        <w:rPr>
          <w:rFonts w:hint="eastAsia" w:ascii="宋体" w:hAnsi="宋体" w:eastAsia="宋体" w:cs="Times New Roman"/>
          <w:b/>
          <w:bCs/>
          <w:w w:val="95"/>
          <w:sz w:val="36"/>
          <w:szCs w:val="18"/>
        </w:rPr>
      </w:pPr>
    </w:p>
    <w:p>
      <w:pPr>
        <w:ind w:firstLine="480"/>
        <w:jc w:val="center"/>
        <w:rPr>
          <w:rFonts w:hint="eastAsia" w:ascii="宋体" w:hAnsi="宋体" w:eastAsia="宋体" w:cs="Times New Roman"/>
          <w:b/>
          <w:bCs/>
          <w:w w:val="95"/>
          <w:sz w:val="36"/>
          <w:szCs w:val="18"/>
        </w:rPr>
      </w:pPr>
    </w:p>
    <w:p>
      <w:pPr>
        <w:ind w:firstLine="480"/>
        <w:jc w:val="center"/>
        <w:rPr>
          <w:rFonts w:hint="eastAsia" w:ascii="宋体" w:hAnsi="宋体" w:eastAsia="宋体" w:cs="Times New Roman"/>
          <w:b/>
          <w:bCs/>
          <w:w w:val="95"/>
          <w:sz w:val="36"/>
          <w:szCs w:val="18"/>
        </w:rPr>
      </w:pPr>
    </w:p>
    <w:p>
      <w:pPr>
        <w:ind w:firstLine="480"/>
        <w:jc w:val="center"/>
        <w:rPr>
          <w:rFonts w:hint="eastAsia" w:ascii="宋体" w:hAnsi="宋体" w:eastAsia="宋体" w:cs="Times New Roman"/>
          <w:b/>
          <w:bCs/>
          <w:w w:val="95"/>
          <w:sz w:val="36"/>
          <w:szCs w:val="18"/>
        </w:rPr>
      </w:pPr>
    </w:p>
    <w:p>
      <w:pPr>
        <w:ind w:firstLine="480"/>
        <w:jc w:val="center"/>
        <w:rPr>
          <w:rFonts w:hint="eastAsia" w:ascii="宋体" w:hAnsi="宋体" w:eastAsia="宋体" w:cs="Times New Roman"/>
          <w:b/>
          <w:bCs/>
          <w:w w:val="95"/>
          <w:sz w:val="36"/>
          <w:szCs w:val="18"/>
        </w:rPr>
      </w:pPr>
    </w:p>
    <w:p>
      <w:pPr>
        <w:ind w:firstLine="480"/>
        <w:jc w:val="center"/>
        <w:rPr>
          <w:rFonts w:hint="eastAsia" w:ascii="宋体" w:hAnsi="宋体" w:eastAsia="宋体" w:cs="Times New Roman"/>
          <w:b/>
          <w:bCs/>
          <w:w w:val="95"/>
          <w:sz w:val="36"/>
          <w:szCs w:val="18"/>
        </w:rPr>
      </w:pPr>
    </w:p>
    <w:p>
      <w:pPr>
        <w:ind w:firstLine="480"/>
        <w:jc w:val="center"/>
        <w:rPr>
          <w:rFonts w:hint="eastAsia" w:ascii="宋体" w:hAnsi="宋体" w:eastAsia="宋体" w:cs="Times New Roman"/>
          <w:b/>
          <w:bCs/>
          <w:w w:val="95"/>
          <w:sz w:val="36"/>
          <w:szCs w:val="18"/>
        </w:rPr>
      </w:pPr>
    </w:p>
    <w:p>
      <w:pPr>
        <w:jc w:val="center"/>
        <w:rPr>
          <w:rFonts w:hint="eastAsia" w:ascii="宋体" w:hAnsi="宋体" w:eastAsia="宋体" w:cs="Times New Roman"/>
          <w:b/>
          <w:bCs/>
          <w:kern w:val="0"/>
          <w:sz w:val="30"/>
          <w:szCs w:val="30"/>
        </w:rPr>
      </w:pPr>
      <w:r>
        <w:rPr>
          <w:rFonts w:hint="eastAsia" w:ascii="宋体" w:hAnsi="宋体" w:eastAsia="宋体" w:cs="Times New Roman"/>
          <w:b/>
          <w:bCs/>
          <w:kern w:val="0"/>
          <w:sz w:val="30"/>
          <w:szCs w:val="30"/>
        </w:rPr>
        <w:t>制 定 说 明</w:t>
      </w:r>
    </w:p>
    <w:p>
      <w:pPr>
        <w:ind w:firstLine="480"/>
        <w:jc w:val="center"/>
        <w:rPr>
          <w:rFonts w:hint="eastAsia" w:ascii="宋体" w:hAnsi="宋体" w:eastAsia="宋体" w:cs="Times New Roman"/>
          <w:b/>
          <w:bCs/>
          <w:w w:val="95"/>
          <w:sz w:val="36"/>
          <w:szCs w:val="18"/>
        </w:rPr>
      </w:pPr>
    </w:p>
    <w:p>
      <w:pPr>
        <w:ind w:firstLine="480" w:firstLineChars="200"/>
        <w:rPr>
          <w:rFonts w:eastAsia="宋体" w:cs="Times New Roman"/>
        </w:rPr>
      </w:pPr>
      <w:r>
        <w:rPr>
          <w:rFonts w:hint="eastAsia" w:eastAsia="宋体" w:cs="Times New Roman"/>
        </w:rPr>
        <w:t>本标准制定过程中，编制组进行了全面的调查研究，总结了我国防烟排烟系统产品标准、工程建设相关设计与施工的实践经验，同时参考了国外先进技术法规、技术标准，通过基于该标准条文的实际测评，编制了本标准。</w:t>
      </w:r>
    </w:p>
    <w:p>
      <w:pPr>
        <w:ind w:firstLine="480"/>
        <w:rPr>
          <w:rFonts w:hint="eastAsia" w:ascii="宋体" w:hAnsi="宋体" w:eastAsia="宋体" w:cs="Times New Roman"/>
          <w:b/>
          <w:bCs/>
          <w:w w:val="95"/>
          <w:sz w:val="36"/>
          <w:szCs w:val="18"/>
        </w:rPr>
      </w:pPr>
      <w:r>
        <w:rPr>
          <w:rFonts w:hint="eastAsia" w:eastAsia="宋体" w:cs="Times New Roman"/>
        </w:rPr>
        <w:t>为便于广大技术和管理人员在使用本标准时能正确理解和执行条款规定，《防烟排烟系统可靠性评定标准》编制组按章、节、条顺序编制了本标准的条文说明，对条款规定的目的、依据以及执行中需注意的有关事项等进行了说明。本条文说明不具备与标准正文及附录同等的法律效力，仅供使用者作为理解和把握标准规定的参考。</w:t>
      </w:r>
    </w:p>
    <w:p>
      <w:pPr>
        <w:ind w:firstLine="480"/>
        <w:jc w:val="center"/>
        <w:rPr>
          <w:rFonts w:hint="eastAsia" w:ascii="宋体" w:hAnsi="宋体" w:eastAsia="宋体" w:cs="Times New Roman"/>
          <w:b/>
          <w:bCs/>
          <w:w w:val="95"/>
          <w:sz w:val="36"/>
          <w:szCs w:val="18"/>
        </w:rPr>
      </w:pPr>
    </w:p>
    <w:p>
      <w:pPr>
        <w:ind w:firstLine="480"/>
        <w:jc w:val="center"/>
        <w:rPr>
          <w:rFonts w:hint="eastAsia" w:ascii="宋体" w:hAnsi="宋体" w:eastAsia="宋体" w:cs="Times New Roman"/>
          <w:b/>
          <w:bCs/>
          <w:w w:val="95"/>
          <w:sz w:val="36"/>
          <w:szCs w:val="18"/>
        </w:rPr>
      </w:pPr>
    </w:p>
    <w:p>
      <w:pPr>
        <w:ind w:firstLine="480"/>
        <w:jc w:val="center"/>
        <w:rPr>
          <w:rFonts w:hint="eastAsia" w:ascii="宋体" w:hAnsi="宋体" w:eastAsia="宋体" w:cs="Times New Roman"/>
          <w:b/>
          <w:bCs/>
          <w:w w:val="95"/>
          <w:sz w:val="36"/>
          <w:szCs w:val="18"/>
        </w:rPr>
      </w:pPr>
    </w:p>
    <w:p>
      <w:pPr>
        <w:ind w:firstLine="480"/>
        <w:jc w:val="center"/>
        <w:rPr>
          <w:rFonts w:hint="eastAsia" w:ascii="宋体" w:hAnsi="宋体" w:eastAsia="宋体" w:cs="Times New Roman"/>
          <w:b/>
          <w:bCs/>
          <w:w w:val="95"/>
          <w:sz w:val="36"/>
          <w:szCs w:val="18"/>
        </w:rPr>
      </w:pPr>
    </w:p>
    <w:p>
      <w:pPr>
        <w:widowControl/>
        <w:spacing w:line="240" w:lineRule="auto"/>
        <w:jc w:val="left"/>
        <w:rPr>
          <w:rFonts w:hint="eastAsia" w:ascii="宋体" w:hAnsi="宋体" w:eastAsia="宋体" w:cs="Times New Roman"/>
          <w:b/>
          <w:bCs/>
          <w:w w:val="95"/>
          <w:sz w:val="36"/>
          <w:szCs w:val="18"/>
        </w:rPr>
      </w:pPr>
      <w:r>
        <w:rPr>
          <w:rFonts w:hint="eastAsia" w:ascii="宋体" w:hAnsi="宋体" w:eastAsia="宋体" w:cs="Times New Roman"/>
          <w:b/>
          <w:bCs/>
          <w:w w:val="95"/>
          <w:sz w:val="36"/>
          <w:szCs w:val="18"/>
        </w:rPr>
        <w:br w:type="page"/>
      </w:r>
    </w:p>
    <w:sdt>
      <w:sdtPr>
        <w:rPr>
          <w:rFonts w:asciiTheme="minorHAnsi" w:hAnsiTheme="minorHAnsi" w:eastAsiaTheme="minorEastAsia" w:cstheme="minorBidi"/>
          <w:color w:val="auto"/>
          <w:kern w:val="2"/>
          <w:sz w:val="21"/>
          <w:szCs w:val="22"/>
          <w:lang w:val="zh-CN"/>
        </w:rPr>
        <w:id w:val="-870907025"/>
        <w:docPartObj>
          <w:docPartGallery w:val="Table of Contents"/>
          <w:docPartUnique/>
        </w:docPartObj>
      </w:sdtPr>
      <w:sdtEndPr>
        <w:rPr>
          <w:rFonts w:ascii="Times New Roman" w:hAnsi="Times New Roman" w:eastAsiaTheme="minorEastAsia" w:cstheme="minorBidi"/>
          <w:b/>
          <w:bCs/>
          <w:color w:val="auto"/>
          <w:kern w:val="2"/>
          <w:sz w:val="24"/>
          <w:szCs w:val="24"/>
          <w:lang w:val="zh-CN"/>
        </w:rPr>
      </w:sdtEndPr>
      <w:sdtContent>
        <w:p>
          <w:pPr>
            <w:pStyle w:val="39"/>
            <w:jc w:val="center"/>
            <w:rPr>
              <w:color w:val="auto"/>
              <w:sz w:val="36"/>
              <w:szCs w:val="36"/>
              <w:lang w:val="zh-CN"/>
            </w:rPr>
          </w:pPr>
          <w:r>
            <w:rPr>
              <w:color w:val="auto"/>
              <w:sz w:val="36"/>
              <w:szCs w:val="36"/>
              <w:lang w:val="zh-CN"/>
            </w:rPr>
            <w:t>目</w:t>
          </w:r>
          <w:r>
            <w:rPr>
              <w:rFonts w:hint="eastAsia"/>
              <w:color w:val="auto"/>
              <w:sz w:val="36"/>
              <w:szCs w:val="36"/>
              <w:lang w:val="zh-CN"/>
            </w:rPr>
            <w:t xml:space="preserve">   次</w:t>
          </w:r>
        </w:p>
        <w:p>
          <w:pPr>
            <w:rPr>
              <w:lang w:val="zh-CN"/>
            </w:rPr>
          </w:pPr>
        </w:p>
        <w:p>
          <w:pPr>
            <w:pStyle w:val="13"/>
            <w:rPr>
              <w14:ligatures w14:val="standardContextual"/>
            </w:rPr>
          </w:pPr>
          <w:r>
            <w:fldChar w:fldCharType="begin"/>
          </w:r>
          <w:r>
            <w:instrText xml:space="preserve"> TOC \o "1-3" \h \z \u </w:instrText>
          </w:r>
          <w:r>
            <w:fldChar w:fldCharType="separate"/>
          </w:r>
          <w:r>
            <w:fldChar w:fldCharType="begin"/>
          </w:r>
          <w:r>
            <w:instrText xml:space="preserve"> HYPERLINK \l "_Toc206760182" </w:instrText>
          </w:r>
          <w:r>
            <w:fldChar w:fldCharType="separate"/>
          </w:r>
          <w:r>
            <w:rPr>
              <w:rStyle w:val="20"/>
            </w:rPr>
            <w:t>1</w:t>
          </w:r>
          <w:r>
            <w:rPr>
              <w:rStyle w:val="20"/>
              <w:rFonts w:hint="eastAsia" w:ascii="宋体" w:hAnsi="宋体"/>
            </w:rPr>
            <w:t xml:space="preserve"> </w:t>
          </w:r>
          <w:r>
            <w:rPr>
              <w:rStyle w:val="20"/>
              <w:rFonts w:hint="eastAsia"/>
            </w:rPr>
            <w:t xml:space="preserve"> </w:t>
          </w:r>
          <w:r>
            <w:rPr>
              <w:rStyle w:val="20"/>
              <w:rFonts w:hint="eastAsia" w:ascii="宋体" w:hAnsi="宋体"/>
            </w:rPr>
            <w:t>总  则</w:t>
          </w:r>
          <w:r>
            <w:rPr>
              <w:rFonts w:hint="eastAsia"/>
            </w:rPr>
            <w:tab/>
          </w:r>
          <w:r>
            <w:rPr>
              <w:rFonts w:hint="eastAsia"/>
            </w:rPr>
            <w:t>115</w:t>
          </w:r>
          <w:r>
            <w:rPr>
              <w:rFonts w:hint="eastAsia"/>
            </w:rPr>
            <w:fldChar w:fldCharType="end"/>
          </w:r>
        </w:p>
        <w:p>
          <w:pPr>
            <w:pStyle w:val="13"/>
            <w:rPr>
              <w14:ligatures w14:val="standardContextual"/>
            </w:rPr>
          </w:pPr>
          <w:r>
            <w:fldChar w:fldCharType="begin"/>
          </w:r>
          <w:r>
            <w:instrText xml:space="preserve"> HYPERLINK \l "_Toc206760183" </w:instrText>
          </w:r>
          <w:r>
            <w:fldChar w:fldCharType="separate"/>
          </w:r>
          <w:r>
            <w:rPr>
              <w:rStyle w:val="20"/>
            </w:rPr>
            <w:t>2  术 语</w:t>
          </w:r>
          <w:r>
            <w:tab/>
          </w:r>
          <w:r>
            <w:rPr>
              <w:rFonts w:hint="eastAsia"/>
            </w:rPr>
            <w:t>116</w:t>
          </w:r>
          <w:r>
            <w:rPr>
              <w:rFonts w:hint="eastAsia"/>
            </w:rPr>
            <w:fldChar w:fldCharType="end"/>
          </w:r>
        </w:p>
        <w:p>
          <w:pPr>
            <w:pStyle w:val="13"/>
            <w:rPr>
              <w14:ligatures w14:val="standardContextual"/>
            </w:rPr>
          </w:pPr>
          <w:r>
            <w:fldChar w:fldCharType="begin"/>
          </w:r>
          <w:r>
            <w:instrText xml:space="preserve"> HYPERLINK \l "_Toc206760184" </w:instrText>
          </w:r>
          <w:r>
            <w:fldChar w:fldCharType="separate"/>
          </w:r>
          <w:r>
            <w:rPr>
              <w:rStyle w:val="20"/>
            </w:rPr>
            <w:t>3　基本规定</w:t>
          </w:r>
          <w:r>
            <w:tab/>
          </w:r>
          <w:r>
            <w:rPr>
              <w:rFonts w:hint="eastAsia"/>
            </w:rPr>
            <w:t>117</w:t>
          </w:r>
          <w:r>
            <w:rPr>
              <w:rFonts w:hint="eastAsia"/>
            </w:rPr>
            <w:fldChar w:fldCharType="end"/>
          </w:r>
        </w:p>
        <w:p>
          <w:pPr>
            <w:pStyle w:val="15"/>
            <w:ind w:left="480"/>
            <w:rPr>
              <w14:ligatures w14:val="standardContextual"/>
            </w:rPr>
          </w:pPr>
          <w:r>
            <w:fldChar w:fldCharType="begin"/>
          </w:r>
          <w:r>
            <w:instrText xml:space="preserve"> HYPERLINK \l "_Toc206760185" </w:instrText>
          </w:r>
          <w:r>
            <w:fldChar w:fldCharType="separate"/>
          </w:r>
          <w:r>
            <w:rPr>
              <w:rStyle w:val="20"/>
            </w:rPr>
            <w:t>3.1　一般规定</w:t>
          </w:r>
          <w:r>
            <w:tab/>
          </w:r>
          <w:r>
            <w:rPr>
              <w:rFonts w:hint="eastAsia"/>
            </w:rPr>
            <w:t>117</w:t>
          </w:r>
          <w:r>
            <w:rPr>
              <w:rFonts w:hint="eastAsia"/>
            </w:rPr>
            <w:fldChar w:fldCharType="end"/>
          </w:r>
        </w:p>
        <w:p>
          <w:pPr>
            <w:pStyle w:val="15"/>
            <w:ind w:left="480"/>
            <w:rPr>
              <w14:ligatures w14:val="standardContextual"/>
            </w:rPr>
          </w:pPr>
          <w:r>
            <w:fldChar w:fldCharType="begin"/>
          </w:r>
          <w:r>
            <w:instrText xml:space="preserve"> HYPERLINK \l "_Toc206760186" </w:instrText>
          </w:r>
          <w:r>
            <w:fldChar w:fldCharType="separate"/>
          </w:r>
          <w:r>
            <w:rPr>
              <w:rStyle w:val="20"/>
            </w:rPr>
            <w:t>3.2　评定规则</w:t>
          </w:r>
          <w:r>
            <w:tab/>
          </w:r>
          <w:r>
            <w:rPr>
              <w:rFonts w:hint="eastAsia"/>
            </w:rPr>
            <w:t>117</w:t>
          </w:r>
          <w:r>
            <w:rPr>
              <w:rFonts w:hint="eastAsia"/>
            </w:rPr>
            <w:fldChar w:fldCharType="end"/>
          </w:r>
        </w:p>
        <w:p>
          <w:pPr>
            <w:pStyle w:val="13"/>
            <w:rPr>
              <w14:ligatures w14:val="standardContextual"/>
            </w:rPr>
          </w:pPr>
          <w:r>
            <w:fldChar w:fldCharType="begin"/>
          </w:r>
          <w:r>
            <w:instrText xml:space="preserve"> HYPERLINK \l "_Toc206760187" </w:instrText>
          </w:r>
          <w:r>
            <w:fldChar w:fldCharType="separate"/>
          </w:r>
          <w:r>
            <w:rPr>
              <w:rStyle w:val="20"/>
            </w:rPr>
            <w:t>4  评定方法</w:t>
          </w:r>
          <w:r>
            <w:tab/>
          </w:r>
          <w:r>
            <w:rPr>
              <w:rFonts w:hint="eastAsia"/>
            </w:rPr>
            <w:t>118</w:t>
          </w:r>
          <w:r>
            <w:rPr>
              <w:rFonts w:hint="eastAsia"/>
            </w:rPr>
            <w:fldChar w:fldCharType="end"/>
          </w:r>
        </w:p>
        <w:p>
          <w:pPr>
            <w:pStyle w:val="15"/>
            <w:ind w:left="480"/>
            <w:rPr>
              <w14:ligatures w14:val="standardContextual"/>
            </w:rPr>
          </w:pPr>
          <w:r>
            <w:fldChar w:fldCharType="begin"/>
          </w:r>
          <w:r>
            <w:instrText xml:space="preserve"> HYPERLINK \l "_Toc206760188" </w:instrText>
          </w:r>
          <w:r>
            <w:fldChar w:fldCharType="separate"/>
          </w:r>
          <w:r>
            <w:rPr>
              <w:rStyle w:val="20"/>
            </w:rPr>
            <w:t>4.1 一般规定</w:t>
          </w:r>
          <w:r>
            <w:tab/>
          </w:r>
          <w:r>
            <w:rPr>
              <w:rFonts w:hint="eastAsia"/>
            </w:rPr>
            <w:t>118</w:t>
          </w:r>
          <w:r>
            <w:rPr>
              <w:rFonts w:hint="eastAsia"/>
            </w:rPr>
            <w:fldChar w:fldCharType="end"/>
          </w:r>
        </w:p>
        <w:p>
          <w:pPr>
            <w:pStyle w:val="15"/>
            <w:ind w:left="480"/>
            <w:rPr>
              <w14:ligatures w14:val="standardContextual"/>
            </w:rPr>
          </w:pPr>
          <w:r>
            <w:fldChar w:fldCharType="begin"/>
          </w:r>
          <w:r>
            <w:instrText xml:space="preserve"> HYPERLINK \l "_Toc206760189" </w:instrText>
          </w:r>
          <w:r>
            <w:fldChar w:fldCharType="separate"/>
          </w:r>
          <w:r>
            <w:rPr>
              <w:rStyle w:val="20"/>
            </w:rPr>
            <w:t>4.2  评定内容与评分标准</w:t>
          </w:r>
          <w:r>
            <w:tab/>
          </w:r>
          <w:r>
            <w:rPr>
              <w:rFonts w:hint="eastAsia"/>
            </w:rPr>
            <w:t>118</w:t>
          </w:r>
          <w:r>
            <w:rPr>
              <w:rFonts w:hint="eastAsia"/>
            </w:rPr>
            <w:fldChar w:fldCharType="end"/>
          </w:r>
        </w:p>
        <w:p>
          <w:pPr>
            <w:pStyle w:val="13"/>
            <w:rPr>
              <w14:ligatures w14:val="standardContextual"/>
            </w:rPr>
          </w:pPr>
          <w:r>
            <w:fldChar w:fldCharType="begin"/>
          </w:r>
          <w:r>
            <w:instrText xml:space="preserve"> HYPERLINK \l "_Toc206760199" </w:instrText>
          </w:r>
          <w:r>
            <w:fldChar w:fldCharType="separate"/>
          </w:r>
          <w:r>
            <w:rPr>
              <w:rStyle w:val="20"/>
            </w:rPr>
            <w:t>5  评定后监督检查</w:t>
          </w:r>
          <w:r>
            <w:tab/>
          </w:r>
          <w:r>
            <w:rPr>
              <w:rFonts w:hint="eastAsia"/>
            </w:rPr>
            <w:t>119</w:t>
          </w:r>
          <w:r>
            <w:rPr>
              <w:rFonts w:hint="eastAsia"/>
            </w:rPr>
            <w:fldChar w:fldCharType="end"/>
          </w:r>
        </w:p>
        <w:p>
          <w:pPr>
            <w:rPr>
              <w:szCs w:val="24"/>
            </w:rPr>
          </w:pPr>
          <w:r>
            <w:rPr>
              <w:b/>
              <w:bCs/>
              <w:szCs w:val="24"/>
              <w:lang w:val="zh-CN"/>
            </w:rPr>
            <w:fldChar w:fldCharType="end"/>
          </w:r>
        </w:p>
      </w:sdtContent>
    </w:sdt>
    <w:p/>
    <w:p>
      <w:pPr>
        <w:widowControl/>
        <w:jc w:val="left"/>
        <w:rPr>
          <w:rFonts w:eastAsia="宋体" w:cs="Times New Roman"/>
          <w:b/>
          <w:kern w:val="44"/>
          <w:sz w:val="32"/>
        </w:rPr>
        <w:sectPr>
          <w:pgSz w:w="11906" w:h="16838"/>
          <w:pgMar w:top="1440" w:right="1800" w:bottom="1440" w:left="1800" w:header="851" w:footer="992" w:gutter="0"/>
          <w:cols w:space="425" w:num="1"/>
          <w:docGrid w:type="lines" w:linePitch="312" w:charSpace="0"/>
        </w:sectPr>
      </w:pPr>
      <w:r>
        <w:rPr>
          <w:rFonts w:eastAsia="宋体" w:cs="Times New Roman"/>
          <w:b/>
          <w:kern w:val="44"/>
          <w:sz w:val="32"/>
        </w:rPr>
        <w:br w:type="page"/>
      </w:r>
    </w:p>
    <w:p>
      <w:pPr>
        <w:keepNext/>
        <w:keepLines/>
        <w:pageBreakBefore/>
        <w:spacing w:before="340" w:after="330"/>
        <w:jc w:val="center"/>
        <w:outlineLvl w:val="0"/>
        <w:rPr>
          <w:rFonts w:eastAsia="宋体" w:cs="Times New Roman"/>
          <w:b/>
          <w:kern w:val="44"/>
          <w:sz w:val="32"/>
        </w:rPr>
      </w:pPr>
      <w:bookmarkStart w:id="128" w:name="_Toc206759087"/>
      <w:bookmarkStart w:id="129" w:name="_Toc206760203"/>
      <w:bookmarkStart w:id="130" w:name="_Toc206758735"/>
      <w:r>
        <w:rPr>
          <w:rFonts w:hint="eastAsia" w:eastAsia="宋体" w:cs="Times New Roman"/>
          <w:b/>
          <w:kern w:val="44"/>
          <w:sz w:val="32"/>
        </w:rPr>
        <w:t>1   总    则</w:t>
      </w:r>
      <w:bookmarkEnd w:id="124"/>
      <w:bookmarkEnd w:id="125"/>
      <w:bookmarkEnd w:id="126"/>
      <w:bookmarkEnd w:id="127"/>
      <w:bookmarkEnd w:id="128"/>
      <w:bookmarkEnd w:id="129"/>
      <w:bookmarkEnd w:id="130"/>
    </w:p>
    <w:p>
      <w:pPr>
        <w:rPr>
          <w:szCs w:val="28"/>
        </w:rPr>
      </w:pPr>
      <w:bookmarkStart w:id="131" w:name="_Hlk185855561"/>
      <w:r>
        <w:rPr>
          <w:b/>
          <w:bCs/>
          <w:szCs w:val="28"/>
        </w:rPr>
        <w:t>1.0.1</w:t>
      </w:r>
      <w:r>
        <w:rPr>
          <w:rFonts w:hint="eastAsia"/>
          <w:b/>
          <w:bCs/>
          <w:szCs w:val="24"/>
        </w:rPr>
        <w:t xml:space="preserve"> </w:t>
      </w:r>
      <w:r>
        <w:rPr>
          <w:rFonts w:hint="eastAsia"/>
        </w:rPr>
        <w:t xml:space="preserve"> </w:t>
      </w:r>
      <w:bookmarkEnd w:id="131"/>
      <w:r>
        <w:rPr>
          <w:rFonts w:hint="eastAsia"/>
        </w:rPr>
        <w:t xml:space="preserve"> </w:t>
      </w:r>
      <w:bookmarkStart w:id="132" w:name="_Hlk185855622"/>
      <w:r>
        <w:t>本条规定了标准的编制目的。</w:t>
      </w:r>
      <w:r>
        <w:tab/>
      </w:r>
    </w:p>
    <w:p>
      <w:pPr>
        <w:ind w:firstLine="480" w:firstLineChars="200"/>
        <w:rPr>
          <w:rFonts w:eastAsia="宋体" w:cs="Times New Roman"/>
        </w:rPr>
      </w:pPr>
      <w:r>
        <w:rPr>
          <w:rFonts w:hint="eastAsia" w:eastAsia="宋体" w:cs="Times New Roman"/>
        </w:rPr>
        <w:t>本标准的制订，是为了促进防排烟行业规范发展，引导市场有序竞争，加速相关产品的科技研发与及时更新换代、提高行业设计与施工水平</w:t>
      </w:r>
      <w:r>
        <w:rPr>
          <w:rFonts w:eastAsia="宋体" w:cs="Times New Roman"/>
        </w:rPr>
        <w:t>。</w:t>
      </w:r>
      <w:bookmarkEnd w:id="132"/>
    </w:p>
    <w:p>
      <w:r>
        <w:rPr>
          <w:b/>
          <w:bCs/>
        </w:rPr>
        <w:t>1.0.</w:t>
      </w:r>
      <w:r>
        <w:rPr>
          <w:rFonts w:hint="eastAsia"/>
          <w:b/>
          <w:bCs/>
        </w:rPr>
        <w:t xml:space="preserve">3 </w:t>
      </w:r>
      <w:r>
        <w:rPr>
          <w:rFonts w:hint="eastAsia"/>
        </w:rPr>
        <w:t xml:space="preserve">  </w:t>
      </w:r>
      <w:r>
        <w:t>本条规定了标准的评定对象。</w:t>
      </w:r>
    </w:p>
    <w:p>
      <w:pPr>
        <w:ind w:firstLine="566" w:firstLineChars="236"/>
        <w:rPr>
          <w:rFonts w:eastAsia="宋体" w:cs="Times New Roman"/>
          <w:b/>
          <w:bCs/>
          <w:szCs w:val="21"/>
        </w:rPr>
      </w:pPr>
      <w:r>
        <w:rPr>
          <w:rFonts w:hint="eastAsia" w:eastAsia="宋体" w:cs="Times New Roman"/>
        </w:rPr>
        <w:t>本标准制订的内容基于国内现行消防及产品相关标准规范的框架之下，参考了国内外有关研究成果与新技术、新产品，编制内容总体上遵循了通用规范的基本原则与规定。</w:t>
      </w:r>
    </w:p>
    <w:p>
      <w:pPr>
        <w:rPr>
          <w:rFonts w:eastAsia="宋体" w:cs="Times New Roman"/>
          <w:b/>
          <w:bCs/>
          <w:szCs w:val="21"/>
        </w:rPr>
      </w:pPr>
    </w:p>
    <w:p>
      <w:pPr>
        <w:widowControl/>
        <w:jc w:val="left"/>
        <w:rPr>
          <w:rFonts w:eastAsia="宋体" w:cs="Times New Roman"/>
          <w:b/>
          <w:bCs/>
          <w:szCs w:val="21"/>
        </w:rPr>
      </w:pPr>
      <w:r>
        <w:rPr>
          <w:rFonts w:eastAsia="宋体" w:cs="Times New Roman"/>
          <w:b/>
          <w:bCs/>
          <w:szCs w:val="21"/>
        </w:rPr>
        <w:br w:type="page"/>
      </w:r>
    </w:p>
    <w:p>
      <w:pPr>
        <w:spacing w:before="340" w:after="330"/>
        <w:jc w:val="center"/>
        <w:outlineLvl w:val="0"/>
        <w:rPr>
          <w:rFonts w:eastAsia="宋体" w:cs="Times New Roman"/>
          <w:b/>
          <w:bCs/>
          <w:kern w:val="44"/>
          <w:sz w:val="30"/>
          <w:szCs w:val="48"/>
        </w:rPr>
      </w:pPr>
      <w:bookmarkStart w:id="133" w:name="_Toc206760204"/>
      <w:bookmarkStart w:id="134" w:name="_Toc206759088"/>
      <w:bookmarkStart w:id="135" w:name="_Toc206758736"/>
      <w:bookmarkStart w:id="136" w:name="_Toc206758013"/>
      <w:r>
        <w:rPr>
          <w:rFonts w:eastAsia="宋体" w:cs="Times New Roman"/>
          <w:b/>
          <w:bCs/>
          <w:kern w:val="44"/>
          <w:sz w:val="30"/>
          <w:szCs w:val="48"/>
        </w:rPr>
        <w:t>2</w:t>
      </w:r>
      <w:r>
        <w:rPr>
          <w:rFonts w:hint="eastAsia" w:eastAsia="宋体" w:cs="Times New Roman"/>
          <w:b/>
          <w:bCs/>
          <w:kern w:val="44"/>
          <w:sz w:val="30"/>
          <w:szCs w:val="48"/>
        </w:rPr>
        <w:t xml:space="preserve">  </w:t>
      </w:r>
      <w:r>
        <w:rPr>
          <w:rFonts w:eastAsia="宋体" w:cs="Times New Roman"/>
          <w:b/>
          <w:bCs/>
          <w:kern w:val="44"/>
          <w:sz w:val="30"/>
          <w:szCs w:val="48"/>
        </w:rPr>
        <w:t>术</w:t>
      </w:r>
      <w:r>
        <w:rPr>
          <w:rFonts w:hint="eastAsia" w:eastAsia="宋体" w:cs="Times New Roman"/>
          <w:b/>
          <w:bCs/>
          <w:kern w:val="44"/>
          <w:sz w:val="30"/>
          <w:szCs w:val="48"/>
        </w:rPr>
        <w:t xml:space="preserve">   </w:t>
      </w:r>
      <w:r>
        <w:rPr>
          <w:rFonts w:eastAsia="宋体" w:cs="Times New Roman"/>
          <w:b/>
          <w:bCs/>
          <w:kern w:val="44"/>
          <w:sz w:val="30"/>
          <w:szCs w:val="48"/>
        </w:rPr>
        <w:t>语</w:t>
      </w:r>
      <w:bookmarkEnd w:id="133"/>
      <w:bookmarkEnd w:id="134"/>
      <w:bookmarkEnd w:id="135"/>
      <w:bookmarkEnd w:id="136"/>
    </w:p>
    <w:p>
      <w:pPr>
        <w:pStyle w:val="22"/>
        <w:snapToGrid w:val="0"/>
        <w:spacing w:after="156" w:afterLines="50" w:line="360" w:lineRule="auto"/>
        <w:rPr>
          <w:rFonts w:hint="eastAsia" w:cs="Times New Roman" w:asciiTheme="minorEastAsia" w:hAnsiTheme="minorEastAsia" w:eastAsiaTheme="minorEastAsia"/>
          <w:bCs/>
          <w:color w:val="auto"/>
        </w:rPr>
      </w:pPr>
      <w:r>
        <w:rPr>
          <w:rFonts w:ascii="Times New Roman" w:hAnsi="Times New Roman" w:cs="Times New Roman"/>
          <w:b/>
          <w:bCs/>
          <w:color w:val="auto"/>
        </w:rPr>
        <w:t>2.0.</w:t>
      </w:r>
      <w:r>
        <w:rPr>
          <w:rFonts w:hint="eastAsia" w:ascii="Times New Roman" w:hAnsi="Times New Roman" w:cs="Times New Roman"/>
          <w:b/>
          <w:bCs/>
          <w:color w:val="auto"/>
        </w:rPr>
        <w:t>1</w:t>
      </w:r>
      <w:r>
        <w:rPr>
          <w:rFonts w:ascii="Times New Roman" w:hAnsi="Times New Roman" w:cs="Times New Roman"/>
          <w:bCs/>
          <w:color w:val="auto"/>
        </w:rPr>
        <w:t xml:space="preserve"> </w:t>
      </w:r>
      <w:r>
        <w:rPr>
          <w:rFonts w:cs="Times New Roman" w:asciiTheme="minorEastAsia" w:hAnsiTheme="minorEastAsia" w:eastAsiaTheme="minorEastAsia"/>
          <w:bCs/>
          <w:color w:val="auto"/>
        </w:rPr>
        <w:t>防烟排烟风机</w:t>
      </w:r>
      <w:r>
        <w:rPr>
          <w:rFonts w:hint="eastAsia" w:cs="Times New Roman" w:asciiTheme="minorEastAsia" w:hAnsiTheme="minorEastAsia" w:eastAsiaTheme="minorEastAsia"/>
          <w:bCs/>
          <w:color w:val="auto"/>
        </w:rPr>
        <w:t>包括排烟风机（可与平时通风系统合用）、正压送风风机两大类；排烟风机主要用于机械排除火灾烟气，正压送风机则用于向特定空间输送清洁安全的空气，形成合理正压防止火灾时烟气侵入，保证疏散区域的安全。作为防烟排烟系统的中央设备，应具备极高的可靠性，必须定期维护与测试，确保火灾发生时能正常工作。</w:t>
      </w:r>
    </w:p>
    <w:p>
      <w:pPr>
        <w:pStyle w:val="22"/>
        <w:snapToGrid w:val="0"/>
        <w:spacing w:after="156" w:afterLines="50" w:line="360" w:lineRule="auto"/>
        <w:rPr>
          <w:rFonts w:hint="eastAsia" w:cs="Times New Roman" w:asciiTheme="minorEastAsia" w:hAnsiTheme="minorEastAsia" w:eastAsiaTheme="minorEastAsia"/>
          <w:bCs/>
          <w:color w:val="auto"/>
        </w:rPr>
      </w:pPr>
      <w:r>
        <w:rPr>
          <w:rFonts w:ascii="Times New Roman" w:hAnsi="Times New Roman" w:cs="Times New Roman"/>
          <w:b/>
          <w:bCs/>
          <w:color w:val="auto"/>
        </w:rPr>
        <w:t>2.0.</w:t>
      </w:r>
      <w:r>
        <w:rPr>
          <w:rFonts w:hint="eastAsia" w:ascii="Times New Roman" w:hAnsi="Times New Roman" w:cs="Times New Roman"/>
          <w:b/>
          <w:bCs/>
          <w:color w:val="auto"/>
        </w:rPr>
        <w:t>3</w:t>
      </w:r>
      <w:r>
        <w:rPr>
          <w:rFonts w:cs="Times New Roman" w:asciiTheme="minorEastAsia" w:hAnsiTheme="minorEastAsia" w:eastAsiaTheme="minorEastAsia"/>
          <w:bCs/>
          <w:color w:val="auto"/>
        </w:rPr>
        <w:t xml:space="preserve"> </w:t>
      </w:r>
      <w:r>
        <w:rPr>
          <w:rFonts w:hint="eastAsia" w:cs="Times New Roman" w:asciiTheme="minorEastAsia" w:hAnsiTheme="minorEastAsia" w:eastAsiaTheme="minorEastAsia"/>
          <w:bCs/>
          <w:color w:val="auto"/>
        </w:rPr>
        <w:t>飞行检查具有以下特点：无预先通知——企业无法提前准备，检查结果更真实反映日常生产与管理水平；针对性明确——通常针对高风险行业或存在投诉、抽检不合格记录的企业；检查内容全面——涵盖原料采购、生产过程、质量控制、仓储物流、记录文件等全链条；结果影响重大——若发现严重问题，可能导致停产整改、产品召回、罚款甚至吊销资质等处罚。飞行检查是监管机构维护市场秩序与消费者权益的重要工具，其主要目的是确保产品的合规性与一致性、防范风险、打击造假、提升行业水平。</w:t>
      </w:r>
    </w:p>
    <w:p>
      <w:pPr>
        <w:rPr>
          <w:rFonts w:hint="eastAsia" w:cs="Times New Roman" w:asciiTheme="minorEastAsia" w:hAnsiTheme="minorEastAsia"/>
          <w:bCs/>
          <w:kern w:val="0"/>
          <w:szCs w:val="24"/>
        </w:rPr>
      </w:pPr>
      <w:r>
        <w:rPr>
          <w:rFonts w:cs="Times New Roman"/>
          <w:b/>
          <w:bCs/>
          <w:szCs w:val="24"/>
        </w:rPr>
        <w:t>2.0.</w:t>
      </w:r>
      <w:r>
        <w:rPr>
          <w:rFonts w:hint="eastAsia" w:cs="Times New Roman"/>
          <w:b/>
          <w:bCs/>
          <w:szCs w:val="24"/>
        </w:rPr>
        <w:t>4</w:t>
      </w:r>
      <w:r>
        <w:rPr>
          <w:rFonts w:cs="Times New Roman"/>
          <w:bCs/>
          <w:szCs w:val="24"/>
        </w:rPr>
        <w:t xml:space="preserve"> </w:t>
      </w:r>
      <w:r>
        <w:rPr>
          <w:rFonts w:hint="eastAsia" w:cs="Times New Roman" w:asciiTheme="minorEastAsia" w:hAnsiTheme="minorEastAsia"/>
          <w:bCs/>
          <w:kern w:val="0"/>
          <w:szCs w:val="24"/>
        </w:rPr>
        <w:t>见证检验是供需双方或第三方对关键质量节点的协同把控，确保合规性、降低客户风险，强调透明与信任，适用于高价值、高风险或定制化产品，以满足规定需求。与飞行检查相比，其更具合作性而非监管强制性。</w:t>
      </w:r>
    </w:p>
    <w:p>
      <w:pPr>
        <w:ind w:firstLine="424" w:firstLineChars="177"/>
        <w:rPr>
          <w:rFonts w:hint="eastAsia" w:cs="Times New Roman" w:asciiTheme="minorEastAsia" w:hAnsiTheme="minorEastAsia"/>
          <w:bCs/>
          <w:kern w:val="0"/>
          <w:szCs w:val="24"/>
        </w:rPr>
      </w:pPr>
      <w:r>
        <w:rPr>
          <w:rFonts w:hint="eastAsia" w:cs="Times New Roman" w:asciiTheme="minorEastAsia" w:hAnsiTheme="minorEastAsia"/>
          <w:bCs/>
          <w:kern w:val="0"/>
          <w:szCs w:val="24"/>
        </w:rPr>
        <w:t>见证检验具有以下的特点：过程监督——重点在于实时参与生产过程或测试环节，而非仅检查最终产品。例如，在设备组装时监督关键零部件的安装，检查采购记录、内部检查记录等相关文件，或在实验室见证性能测试；多方参与——通常涉及客户代表、第三方检测机构或监管人员，需各方共同签字确认检验结果；合同或法规驱动——多用于有明确合同约定或强制认证领域；针对性明确——聚焦关键质量控制点，避免全面检查的冗余。</w:t>
      </w:r>
    </w:p>
    <w:p>
      <w:pPr>
        <w:spacing w:line="300" w:lineRule="auto"/>
        <w:rPr>
          <w:rFonts w:eastAsia="宋体" w:cs="Times New Roman"/>
          <w:b/>
          <w:bCs/>
          <w:szCs w:val="21"/>
        </w:rPr>
      </w:pPr>
    </w:p>
    <w:p>
      <w:pPr>
        <w:widowControl/>
        <w:jc w:val="left"/>
        <w:rPr>
          <w:rFonts w:eastAsia="宋体" w:cs="Times New Roman"/>
          <w:b/>
          <w:bCs/>
          <w:szCs w:val="21"/>
        </w:rPr>
      </w:pPr>
      <w:r>
        <w:rPr>
          <w:rFonts w:eastAsia="宋体" w:cs="Times New Roman"/>
          <w:b/>
          <w:bCs/>
          <w:szCs w:val="21"/>
        </w:rPr>
        <w:br w:type="page"/>
      </w:r>
    </w:p>
    <w:p>
      <w:pPr>
        <w:keepNext/>
        <w:keepLines/>
        <w:pageBreakBefore/>
        <w:spacing w:before="340" w:after="330"/>
        <w:jc w:val="center"/>
        <w:outlineLvl w:val="0"/>
        <w:rPr>
          <w:rFonts w:eastAsia="宋体" w:cs="Times New Roman"/>
          <w:b/>
          <w:kern w:val="44"/>
          <w:sz w:val="32"/>
        </w:rPr>
      </w:pPr>
      <w:bookmarkStart w:id="137" w:name="_Toc185868624"/>
      <w:bookmarkStart w:id="138" w:name="_Toc206758014"/>
      <w:bookmarkStart w:id="139" w:name="_Toc185868177"/>
      <w:bookmarkStart w:id="140" w:name="_Toc206758737"/>
      <w:bookmarkStart w:id="141" w:name="_Toc206760205"/>
      <w:bookmarkStart w:id="142" w:name="_Toc206759089"/>
      <w:bookmarkStart w:id="143" w:name="_Toc185869308"/>
      <w:r>
        <w:rPr>
          <w:rFonts w:eastAsia="宋体" w:cs="Times New Roman"/>
          <w:b/>
          <w:kern w:val="44"/>
          <w:sz w:val="32"/>
        </w:rPr>
        <w:t>3</w:t>
      </w:r>
      <w:r>
        <w:rPr>
          <w:rFonts w:hint="eastAsia" w:eastAsia="宋体" w:cs="Times New Roman"/>
          <w:b/>
          <w:kern w:val="44"/>
          <w:sz w:val="32"/>
        </w:rPr>
        <w:t xml:space="preserve">  基本规定</w:t>
      </w:r>
      <w:bookmarkEnd w:id="137"/>
      <w:bookmarkEnd w:id="138"/>
      <w:bookmarkEnd w:id="139"/>
      <w:bookmarkEnd w:id="140"/>
      <w:bookmarkEnd w:id="141"/>
      <w:bookmarkEnd w:id="142"/>
      <w:bookmarkEnd w:id="143"/>
    </w:p>
    <w:p>
      <w:pPr>
        <w:keepNext/>
        <w:keepLines/>
        <w:tabs>
          <w:tab w:val="left" w:pos="420"/>
        </w:tabs>
        <w:spacing w:before="156" w:beforeLines="50" w:after="156" w:afterLines="50"/>
        <w:jc w:val="center"/>
        <w:outlineLvl w:val="1"/>
        <w:rPr>
          <w:rFonts w:hint="eastAsia" w:ascii="宋体" w:hAnsi="宋体" w:eastAsia="宋体" w:cs="宋体"/>
          <w:b/>
          <w:bCs/>
          <w:szCs w:val="32"/>
        </w:rPr>
      </w:pPr>
      <w:bookmarkStart w:id="144" w:name="_Toc185869309"/>
      <w:bookmarkStart w:id="145" w:name="_Toc185868625"/>
      <w:bookmarkStart w:id="146" w:name="_Toc185868178"/>
      <w:bookmarkStart w:id="147" w:name="_Toc206758738"/>
      <w:bookmarkStart w:id="148" w:name="_Toc206760206"/>
      <w:bookmarkStart w:id="149" w:name="_Toc206758015"/>
      <w:bookmarkStart w:id="150" w:name="_Toc206759090"/>
      <w:r>
        <w:rPr>
          <w:rFonts w:eastAsia="宋体" w:cs="Times New Roman"/>
          <w:b/>
          <w:bCs/>
          <w:szCs w:val="32"/>
        </w:rPr>
        <w:t>3.1</w:t>
      </w:r>
      <w:r>
        <w:rPr>
          <w:rFonts w:hint="eastAsia" w:eastAsia="宋体" w:cs="Times New Roman"/>
          <w:b/>
          <w:bCs/>
          <w:szCs w:val="32"/>
        </w:rPr>
        <w:t xml:space="preserve">    </w:t>
      </w:r>
      <w:bookmarkEnd w:id="144"/>
      <w:bookmarkEnd w:id="145"/>
      <w:bookmarkEnd w:id="146"/>
      <w:r>
        <w:rPr>
          <w:rFonts w:hint="eastAsia" w:ascii="宋体" w:hAnsi="宋体" w:eastAsia="宋体" w:cs="宋体"/>
          <w:b/>
          <w:bCs/>
          <w:szCs w:val="32"/>
        </w:rPr>
        <w:t>一般规定</w:t>
      </w:r>
      <w:bookmarkEnd w:id="147"/>
      <w:bookmarkEnd w:id="148"/>
      <w:bookmarkEnd w:id="149"/>
      <w:bookmarkEnd w:id="150"/>
    </w:p>
    <w:p>
      <w:pPr>
        <w:rPr>
          <w:lang w:bidi="ar"/>
        </w:rPr>
      </w:pPr>
      <w:r>
        <w:rPr>
          <w:b/>
          <w:bCs/>
        </w:rPr>
        <w:t>3.1</w:t>
      </w:r>
      <w:r>
        <w:rPr>
          <w:rFonts w:hint="eastAsia"/>
          <w:b/>
          <w:bCs/>
        </w:rPr>
        <w:t xml:space="preserve">.1   </w:t>
      </w:r>
      <w:r>
        <w:rPr>
          <w:lang w:bidi="ar"/>
        </w:rPr>
        <w:t>本条</w:t>
      </w:r>
      <w:r>
        <w:rPr>
          <w:rFonts w:hint="eastAsia"/>
          <w:lang w:bidi="ar"/>
        </w:rPr>
        <w:t>规定了评定对象的类型及基础要求。</w:t>
      </w:r>
    </w:p>
    <w:p>
      <w:pPr>
        <w:ind w:firstLine="480" w:firstLineChars="200"/>
        <w:rPr>
          <w:rFonts w:eastAsia="宋体" w:cs="Times New Roman"/>
        </w:rPr>
      </w:pPr>
      <w:r>
        <w:rPr>
          <w:rFonts w:hint="eastAsia" w:eastAsia="宋体" w:cs="Times New Roman"/>
          <w:lang w:bidi="ar"/>
        </w:rPr>
        <w:t>防烟排烟系统的可靠性评定体系，由系统各相关组件/设备评定、设计评定、施工评定组成，每一部分内容的评定又包括控制项、评分项及优选项</w:t>
      </w:r>
      <w:r>
        <w:rPr>
          <w:rFonts w:eastAsia="宋体" w:cs="Times New Roman"/>
        </w:rPr>
        <w:t>。</w:t>
      </w:r>
    </w:p>
    <w:p>
      <w:pPr>
        <w:rPr>
          <w:rFonts w:eastAsia="宋体" w:cs="Times New Roman"/>
        </w:rPr>
      </w:pPr>
      <w:r>
        <w:rPr>
          <w:rFonts w:eastAsia="宋体" w:cs="Times New Roman"/>
          <w:b/>
          <w:bCs/>
          <w:szCs w:val="28"/>
        </w:rPr>
        <w:t>3.1</w:t>
      </w:r>
      <w:r>
        <w:rPr>
          <w:rFonts w:hint="eastAsia" w:eastAsia="宋体" w:cs="Times New Roman"/>
          <w:b/>
          <w:bCs/>
          <w:szCs w:val="28"/>
        </w:rPr>
        <w:t>.</w:t>
      </w:r>
      <w:r>
        <w:rPr>
          <w:rFonts w:eastAsia="宋体" w:cs="Times New Roman"/>
          <w:b/>
          <w:bCs/>
          <w:szCs w:val="28"/>
        </w:rPr>
        <w:t>2</w:t>
      </w:r>
      <w:r>
        <w:rPr>
          <w:rFonts w:hint="eastAsia" w:eastAsia="宋体" w:cs="Times New Roman"/>
          <w:b/>
          <w:bCs/>
          <w:szCs w:val="28"/>
        </w:rPr>
        <w:t xml:space="preserve">   </w:t>
      </w:r>
      <w:r>
        <w:rPr>
          <w:rFonts w:hint="eastAsia" w:eastAsia="宋体" w:cs="Times New Roman"/>
        </w:rPr>
        <w:t>本条规定了评定过程中系统性指标选取的原则。</w:t>
      </w:r>
    </w:p>
    <w:p>
      <w:pPr>
        <w:ind w:firstLine="480" w:firstLineChars="200"/>
        <w:rPr>
          <w:rFonts w:eastAsia="宋体" w:cs="Times New Roman"/>
        </w:rPr>
      </w:pPr>
      <w:r>
        <w:rPr>
          <w:rFonts w:hint="eastAsia" w:eastAsia="宋体" w:cs="Times New Roman"/>
        </w:rPr>
        <w:t>评定指标涉及中小学校总体要求的，如容积率、绿地率、场地周围环境噪声、场地内风环境等控制指标，应当结合所在地城乡规划行政主管部门核发的建设用地规划许可证、建设工程规划学科证书、规划设计要点等文件提出的控制要求，合理划定评定范围、统筹计算相关指标并进行评定。</w:t>
      </w:r>
    </w:p>
    <w:p>
      <w:pPr>
        <w:rPr>
          <w:b/>
          <w:bCs/>
          <w:lang w:bidi="ar"/>
        </w:rPr>
      </w:pPr>
      <w:r>
        <w:rPr>
          <w:b/>
          <w:bCs/>
        </w:rPr>
        <w:t>3.1</w:t>
      </w:r>
      <w:r>
        <w:rPr>
          <w:rFonts w:hint="eastAsia"/>
          <w:b/>
          <w:bCs/>
        </w:rPr>
        <w:t>.3</w:t>
      </w:r>
      <w:r>
        <w:rPr>
          <w:b/>
          <w:bCs/>
        </w:rPr>
        <w:t xml:space="preserve">  </w:t>
      </w:r>
      <w:r>
        <w:rPr>
          <w:rFonts w:hint="eastAsia"/>
          <w:lang w:bidi="ar"/>
        </w:rPr>
        <w:t>本条规定了对评定单位的能力要求。</w:t>
      </w:r>
    </w:p>
    <w:p>
      <w:pPr>
        <w:rPr>
          <w:rFonts w:eastAsia="宋体" w:cs="Times New Roman"/>
          <w:b/>
          <w:bCs/>
          <w:szCs w:val="28"/>
        </w:rPr>
      </w:pPr>
    </w:p>
    <w:p>
      <w:pPr>
        <w:rPr>
          <w:rFonts w:eastAsia="宋体" w:cs="Times New Roman"/>
          <w:b/>
          <w:bCs/>
          <w:szCs w:val="21"/>
        </w:rPr>
      </w:pPr>
    </w:p>
    <w:p>
      <w:pPr>
        <w:keepNext/>
        <w:keepLines/>
        <w:tabs>
          <w:tab w:val="left" w:pos="420"/>
        </w:tabs>
        <w:spacing w:before="156" w:beforeLines="50" w:after="156" w:afterLines="50"/>
        <w:jc w:val="center"/>
        <w:outlineLvl w:val="1"/>
        <w:rPr>
          <w:rFonts w:hint="eastAsia" w:ascii="宋体" w:hAnsi="宋体" w:eastAsia="宋体" w:cs="宋体"/>
          <w:b/>
          <w:bCs/>
          <w:szCs w:val="32"/>
        </w:rPr>
      </w:pPr>
      <w:bookmarkStart w:id="151" w:name="_Toc206758016"/>
      <w:bookmarkStart w:id="152" w:name="_Toc206758739"/>
      <w:bookmarkStart w:id="153" w:name="_Toc206759091"/>
      <w:bookmarkStart w:id="154" w:name="_Toc206760207"/>
      <w:r>
        <w:rPr>
          <w:rFonts w:eastAsia="宋体" w:cs="Times New Roman"/>
          <w:b/>
          <w:bCs/>
          <w:szCs w:val="32"/>
        </w:rPr>
        <w:t>3.</w:t>
      </w:r>
      <w:r>
        <w:rPr>
          <w:rFonts w:hint="eastAsia" w:eastAsia="宋体" w:cs="Times New Roman"/>
          <w:b/>
          <w:bCs/>
          <w:szCs w:val="32"/>
        </w:rPr>
        <w:t xml:space="preserve">2    </w:t>
      </w:r>
      <w:r>
        <w:rPr>
          <w:rFonts w:hint="eastAsia" w:ascii="宋体" w:hAnsi="宋体" w:eastAsia="宋体" w:cs="宋体"/>
          <w:b/>
          <w:bCs/>
          <w:szCs w:val="32"/>
        </w:rPr>
        <w:t>评定规则</w:t>
      </w:r>
      <w:bookmarkEnd w:id="151"/>
      <w:bookmarkEnd w:id="152"/>
      <w:bookmarkEnd w:id="153"/>
      <w:bookmarkEnd w:id="154"/>
    </w:p>
    <w:p>
      <w:pPr>
        <w:rPr>
          <w:lang w:bidi="ar"/>
        </w:rPr>
      </w:pPr>
      <w:r>
        <w:rPr>
          <w:b/>
          <w:bCs/>
        </w:rPr>
        <w:t>3.</w:t>
      </w:r>
      <w:r>
        <w:rPr>
          <w:rFonts w:hint="eastAsia"/>
          <w:b/>
          <w:bCs/>
        </w:rPr>
        <w:t xml:space="preserve">2.1  </w:t>
      </w:r>
      <w:r>
        <w:rPr>
          <w:lang w:bidi="ar"/>
        </w:rPr>
        <w:t>本条</w:t>
      </w:r>
      <w:r>
        <w:rPr>
          <w:rFonts w:hint="eastAsia"/>
          <w:lang w:bidi="ar"/>
        </w:rPr>
        <w:t>规定了评定成果的分级，参评的防烟排烟系统产品或者设计施工的项目，可以申请在该类型产品或者某一类型的工程项目中进行综合评定，这样的综合评分可以是A1、B2、C3…，ABC代表不同的评定级别，而后面的123等数字则代表着不同的工程运用领域。如果申请评定的成果等级被批复，可以在授信的资质证书中对此予以特别说明。</w:t>
      </w:r>
    </w:p>
    <w:p>
      <w:pPr>
        <w:rPr>
          <w:rFonts w:eastAsia="宋体" w:cs="Times New Roman"/>
          <w:b/>
          <w:bCs/>
          <w:szCs w:val="21"/>
        </w:rPr>
      </w:pPr>
    </w:p>
    <w:p>
      <w:pPr>
        <w:widowControl/>
        <w:jc w:val="left"/>
        <w:rPr>
          <w:rFonts w:cs="Times New Roman"/>
          <w:szCs w:val="24"/>
        </w:rPr>
      </w:pPr>
      <w:r>
        <w:rPr>
          <w:rFonts w:eastAsia="宋体" w:cs="Times New Roman"/>
          <w:b/>
          <w:bCs/>
          <w:szCs w:val="21"/>
        </w:rPr>
        <w:br w:type="page"/>
      </w:r>
    </w:p>
    <w:p>
      <w:pPr>
        <w:keepNext/>
        <w:keepLines/>
        <w:pageBreakBefore/>
        <w:spacing w:before="340" w:after="330"/>
        <w:jc w:val="center"/>
        <w:outlineLvl w:val="0"/>
        <w:rPr>
          <w:rFonts w:eastAsia="宋体" w:cs="Times New Roman"/>
          <w:b/>
          <w:kern w:val="44"/>
          <w:sz w:val="32"/>
        </w:rPr>
      </w:pPr>
      <w:bookmarkStart w:id="155" w:name="_Toc206758017"/>
      <w:bookmarkStart w:id="156" w:name="_Toc206760208"/>
      <w:bookmarkStart w:id="157" w:name="_Toc206758740"/>
      <w:bookmarkStart w:id="158" w:name="_Toc206759092"/>
      <w:r>
        <w:rPr>
          <w:rFonts w:hint="eastAsia" w:eastAsia="宋体" w:cs="Times New Roman"/>
          <w:b/>
          <w:kern w:val="44"/>
          <w:sz w:val="32"/>
        </w:rPr>
        <w:t xml:space="preserve">4   </w:t>
      </w:r>
      <w:bookmarkEnd w:id="155"/>
      <w:bookmarkEnd w:id="156"/>
      <w:bookmarkEnd w:id="157"/>
      <w:bookmarkEnd w:id="158"/>
      <w:r>
        <w:rPr>
          <w:rFonts w:hint="eastAsia" w:eastAsia="宋体" w:cs="Times New Roman"/>
          <w:b/>
          <w:kern w:val="44"/>
          <w:sz w:val="32"/>
        </w:rPr>
        <w:t>评定方法</w:t>
      </w:r>
    </w:p>
    <w:p>
      <w:pPr>
        <w:keepNext/>
        <w:keepLines/>
        <w:tabs>
          <w:tab w:val="left" w:pos="420"/>
        </w:tabs>
        <w:spacing w:before="156" w:beforeLines="50" w:after="156" w:afterLines="50"/>
        <w:jc w:val="center"/>
        <w:outlineLvl w:val="1"/>
        <w:rPr>
          <w:rFonts w:hint="eastAsia" w:ascii="宋体" w:hAnsi="宋体" w:eastAsia="宋体" w:cs="宋体"/>
          <w:b/>
          <w:bCs/>
          <w:szCs w:val="32"/>
        </w:rPr>
      </w:pPr>
      <w:bookmarkStart w:id="159" w:name="_Toc206758741"/>
      <w:bookmarkStart w:id="160" w:name="_Toc206758018"/>
      <w:bookmarkStart w:id="161" w:name="_Toc206759093"/>
      <w:bookmarkStart w:id="162" w:name="_Toc206760209"/>
      <w:r>
        <w:rPr>
          <w:rFonts w:hint="eastAsia" w:eastAsia="宋体" w:cs="Times New Roman"/>
          <w:b/>
          <w:bCs/>
          <w:szCs w:val="32"/>
        </w:rPr>
        <w:t>4</w:t>
      </w:r>
      <w:r>
        <w:rPr>
          <w:rFonts w:eastAsia="宋体" w:cs="Times New Roman"/>
          <w:b/>
          <w:bCs/>
          <w:szCs w:val="32"/>
        </w:rPr>
        <w:t>.1</w:t>
      </w:r>
      <w:r>
        <w:rPr>
          <w:rFonts w:hint="eastAsia" w:eastAsia="宋体" w:cs="Times New Roman"/>
          <w:b/>
          <w:bCs/>
          <w:szCs w:val="32"/>
        </w:rPr>
        <w:t xml:space="preserve">    </w:t>
      </w:r>
      <w:r>
        <w:rPr>
          <w:rFonts w:hint="eastAsia" w:ascii="宋体" w:hAnsi="宋体" w:eastAsia="宋体" w:cs="宋体"/>
          <w:b/>
          <w:bCs/>
          <w:szCs w:val="32"/>
        </w:rPr>
        <w:t>一般规定</w:t>
      </w:r>
      <w:bookmarkEnd w:id="159"/>
      <w:bookmarkEnd w:id="160"/>
      <w:bookmarkEnd w:id="161"/>
      <w:bookmarkEnd w:id="162"/>
    </w:p>
    <w:p>
      <w:pPr>
        <w:rPr>
          <w:rFonts w:eastAsia="宋体" w:cs="Times New Roman"/>
          <w:szCs w:val="24"/>
        </w:rPr>
      </w:pPr>
      <w:r>
        <w:rPr>
          <w:rFonts w:hint="eastAsia"/>
          <w:b/>
          <w:bCs/>
          <w:szCs w:val="28"/>
        </w:rPr>
        <w:t>4</w:t>
      </w:r>
      <w:r>
        <w:rPr>
          <w:b/>
          <w:bCs/>
          <w:szCs w:val="28"/>
        </w:rPr>
        <w:t>.1</w:t>
      </w:r>
      <w:r>
        <w:rPr>
          <w:rFonts w:hint="eastAsia"/>
          <w:b/>
          <w:bCs/>
          <w:szCs w:val="28"/>
        </w:rPr>
        <w:t xml:space="preserve">.1   </w:t>
      </w:r>
      <w:r>
        <w:rPr>
          <w:rFonts w:hint="eastAsia" w:eastAsia="宋体" w:cs="Times New Roman"/>
          <w:szCs w:val="24"/>
        </w:rPr>
        <w:t>防烟排烟系统构成的组件产品主要包括：防烟排烟风机、耐火风管、防烟排烟风阀、排烟窗、挡烟垂壁、防排烟监控系统等。</w:t>
      </w:r>
    </w:p>
    <w:p>
      <w:pPr>
        <w:ind w:firstLine="480" w:firstLineChars="200"/>
      </w:pPr>
      <w:r>
        <w:rPr>
          <w:rFonts w:hint="eastAsia"/>
          <w:lang w:bidi="ar"/>
        </w:rPr>
        <w:t>技术检测采用企业送检产品与施工现场安装的同规格参数产品抽查相结合的原则，如果检测结果相差甚远，则取消其参与评定的资格。</w:t>
      </w:r>
    </w:p>
    <w:p>
      <w:pPr>
        <w:rPr>
          <w:lang w:bidi="ar"/>
        </w:rPr>
      </w:pPr>
      <w:r>
        <w:rPr>
          <w:rFonts w:hint="eastAsia"/>
          <w:b/>
          <w:bCs/>
        </w:rPr>
        <w:t>4</w:t>
      </w:r>
      <w:r>
        <w:rPr>
          <w:b/>
          <w:bCs/>
        </w:rPr>
        <w:t>.</w:t>
      </w:r>
      <w:r>
        <w:rPr>
          <w:rFonts w:hint="eastAsia"/>
          <w:b/>
          <w:bCs/>
        </w:rPr>
        <w:t xml:space="preserve">1.4  </w:t>
      </w:r>
      <w:r>
        <w:rPr>
          <w:rFonts w:hint="eastAsia"/>
          <w:lang w:bidi="ar"/>
        </w:rPr>
        <w:t>防烟排烟系统一致性评定的目标与意义在于：确保系统在火灾中能有效控制烟气蔓延，保障人员疏散和消防救援安全；避免因设计、施工或设备问题导致系统失效，降低安全隐患；符合消防验收及安全规范要求，保证建筑消防安全合规性及系统运行的可靠性。相关设备、组件性能的一致性检查，可参考《消防产品一致性检查要求》GA 1061的有关规定。</w:t>
      </w:r>
    </w:p>
    <w:p>
      <w:pPr>
        <w:rPr>
          <w:rFonts w:eastAsia="宋体" w:cs="Times New Roman"/>
          <w:b/>
          <w:bCs/>
          <w:szCs w:val="21"/>
        </w:rPr>
      </w:pPr>
    </w:p>
    <w:p>
      <w:pPr>
        <w:keepNext/>
        <w:keepLines/>
        <w:tabs>
          <w:tab w:val="left" w:pos="420"/>
        </w:tabs>
        <w:spacing w:before="156" w:beforeLines="50" w:after="156" w:afterLines="50"/>
        <w:jc w:val="center"/>
        <w:outlineLvl w:val="1"/>
        <w:rPr>
          <w:rFonts w:hint="eastAsia" w:ascii="宋体" w:hAnsi="宋体" w:eastAsia="宋体" w:cs="宋体"/>
          <w:b/>
          <w:bCs/>
          <w:szCs w:val="32"/>
        </w:rPr>
      </w:pPr>
      <w:bookmarkStart w:id="163" w:name="_Toc206758742"/>
      <w:bookmarkStart w:id="164" w:name="_Toc206760210"/>
      <w:bookmarkStart w:id="165" w:name="_Toc206759094"/>
      <w:bookmarkStart w:id="166" w:name="_Toc206758019"/>
      <w:r>
        <w:rPr>
          <w:rFonts w:hint="eastAsia" w:eastAsia="宋体" w:cs="Times New Roman"/>
          <w:b/>
          <w:bCs/>
          <w:szCs w:val="32"/>
        </w:rPr>
        <w:t>4</w:t>
      </w:r>
      <w:r>
        <w:rPr>
          <w:rFonts w:eastAsia="宋体" w:cs="Times New Roman"/>
          <w:b/>
          <w:bCs/>
          <w:szCs w:val="32"/>
        </w:rPr>
        <w:t>.</w:t>
      </w:r>
      <w:r>
        <w:rPr>
          <w:rFonts w:hint="eastAsia" w:eastAsia="宋体" w:cs="Times New Roman"/>
          <w:b/>
          <w:bCs/>
          <w:szCs w:val="32"/>
        </w:rPr>
        <w:t xml:space="preserve">2    </w:t>
      </w:r>
      <w:r>
        <w:rPr>
          <w:rFonts w:hint="eastAsia" w:ascii="宋体" w:hAnsi="宋体" w:eastAsia="宋体" w:cs="宋体"/>
          <w:b/>
          <w:bCs/>
          <w:szCs w:val="32"/>
        </w:rPr>
        <w:t>评定规则</w:t>
      </w:r>
      <w:bookmarkEnd w:id="163"/>
      <w:bookmarkEnd w:id="164"/>
      <w:bookmarkEnd w:id="165"/>
      <w:bookmarkEnd w:id="166"/>
    </w:p>
    <w:p>
      <w:pPr>
        <w:ind w:firstLine="484" w:firstLineChars="202"/>
        <w:rPr>
          <w:rFonts w:eastAsia="宋体" w:cs="Times New Roman"/>
          <w:szCs w:val="24"/>
        </w:rPr>
      </w:pPr>
      <w:r>
        <w:rPr>
          <w:rFonts w:hint="eastAsia" w:eastAsia="宋体" w:cs="Times New Roman"/>
          <w:szCs w:val="24"/>
        </w:rPr>
        <w:t>本节的评定内容</w:t>
      </w:r>
      <w:r>
        <w:rPr>
          <w:rFonts w:eastAsia="宋体" w:cs="Times New Roman"/>
          <w:szCs w:val="24"/>
        </w:rPr>
        <w:t>包括：</w:t>
      </w:r>
      <w:r>
        <w:rPr>
          <w:rFonts w:hint="eastAsia" w:eastAsia="宋体" w:cs="Times New Roman"/>
          <w:szCs w:val="24"/>
        </w:rPr>
        <w:t>防烟排烟系统各</w:t>
      </w:r>
      <w:r>
        <w:rPr>
          <w:rFonts w:eastAsia="宋体" w:cs="Times New Roman"/>
          <w:szCs w:val="24"/>
        </w:rPr>
        <w:t>组件</w:t>
      </w:r>
      <w:r>
        <w:rPr>
          <w:rFonts w:hint="eastAsia" w:eastAsia="宋体" w:cs="Times New Roman"/>
          <w:szCs w:val="24"/>
        </w:rPr>
        <w:t>的</w:t>
      </w:r>
      <w:r>
        <w:rPr>
          <w:rFonts w:eastAsia="宋体" w:cs="Times New Roman"/>
          <w:szCs w:val="24"/>
        </w:rPr>
        <w:t>可靠性</w:t>
      </w:r>
      <w:r>
        <w:rPr>
          <w:rFonts w:hint="eastAsia" w:eastAsia="宋体" w:cs="Times New Roman"/>
          <w:szCs w:val="24"/>
        </w:rPr>
        <w:t>评定，</w:t>
      </w:r>
      <w:r>
        <w:rPr>
          <w:rFonts w:eastAsia="宋体" w:cs="Times New Roman"/>
          <w:szCs w:val="24"/>
        </w:rPr>
        <w:t>防烟</w:t>
      </w:r>
      <w:r>
        <w:rPr>
          <w:rFonts w:hint="eastAsia" w:eastAsia="宋体" w:cs="Times New Roman"/>
          <w:szCs w:val="24"/>
        </w:rPr>
        <w:t>/排烟</w:t>
      </w:r>
      <w:r>
        <w:rPr>
          <w:rFonts w:eastAsia="宋体" w:cs="Times New Roman"/>
          <w:szCs w:val="24"/>
        </w:rPr>
        <w:t>系统</w:t>
      </w:r>
      <w:r>
        <w:rPr>
          <w:rFonts w:hint="eastAsia" w:eastAsia="宋体" w:cs="Times New Roman"/>
          <w:szCs w:val="24"/>
        </w:rPr>
        <w:t>设计与施工（含系统调试）的</w:t>
      </w:r>
      <w:r>
        <w:rPr>
          <w:rFonts w:eastAsia="宋体" w:cs="Times New Roman"/>
          <w:szCs w:val="24"/>
        </w:rPr>
        <w:t>可靠性</w:t>
      </w:r>
      <w:r>
        <w:rPr>
          <w:rFonts w:hint="eastAsia" w:eastAsia="宋体" w:cs="Times New Roman"/>
          <w:szCs w:val="24"/>
        </w:rPr>
        <w:t>评定等，系统组件产品的评定须提供第三方检测机构出具的测试报告原件查验或者进场抽样送检报告原件</w:t>
      </w:r>
      <w:r>
        <w:rPr>
          <w:rFonts w:eastAsia="宋体" w:cs="Times New Roman"/>
          <w:szCs w:val="24"/>
        </w:rPr>
        <w:t>。</w:t>
      </w:r>
      <w:r>
        <w:rPr>
          <w:rFonts w:hint="eastAsia" w:eastAsia="宋体" w:cs="Times New Roman"/>
          <w:szCs w:val="24"/>
        </w:rPr>
        <w:t>各评定表格包含了待评定主体相关的评定指标、评定方法与评分标准。</w:t>
      </w:r>
    </w:p>
    <w:p>
      <w:pPr>
        <w:widowControl/>
        <w:jc w:val="left"/>
        <w:rPr>
          <w:rFonts w:eastAsia="宋体" w:cs="Times New Roman"/>
          <w:b/>
          <w:bCs/>
          <w:szCs w:val="21"/>
        </w:rPr>
      </w:pPr>
      <w:r>
        <w:rPr>
          <w:rFonts w:eastAsia="宋体" w:cs="Times New Roman"/>
          <w:b/>
          <w:bCs/>
          <w:szCs w:val="21"/>
        </w:rPr>
        <w:br w:type="page"/>
      </w:r>
    </w:p>
    <w:p>
      <w:pPr>
        <w:pStyle w:val="2"/>
        <w:jc w:val="center"/>
        <w:rPr>
          <w:kern w:val="2"/>
          <w:sz w:val="32"/>
          <w:szCs w:val="32"/>
        </w:rPr>
      </w:pPr>
      <w:bookmarkStart w:id="167" w:name="_Toc206759095"/>
      <w:bookmarkStart w:id="168" w:name="_Toc206760211"/>
      <w:bookmarkStart w:id="169" w:name="_Toc206758020"/>
      <w:bookmarkStart w:id="170" w:name="_Toc206758743"/>
      <w:r>
        <w:rPr>
          <w:kern w:val="2"/>
          <w:sz w:val="32"/>
          <w:szCs w:val="32"/>
        </w:rPr>
        <w:t>5 评定后监督检查</w:t>
      </w:r>
      <w:bookmarkEnd w:id="167"/>
      <w:bookmarkEnd w:id="168"/>
      <w:bookmarkEnd w:id="169"/>
      <w:bookmarkEnd w:id="170"/>
    </w:p>
    <w:p>
      <w:pPr>
        <w:rPr>
          <w:rFonts w:eastAsia="宋体" w:cs="Times New Roman"/>
          <w:b/>
          <w:bCs/>
          <w:szCs w:val="21"/>
        </w:rPr>
      </w:pPr>
      <w:r>
        <w:rPr>
          <w:rFonts w:hint="eastAsia" w:cs="Times New Roman"/>
          <w:b/>
          <w:bCs/>
          <w:szCs w:val="24"/>
        </w:rPr>
        <w:t xml:space="preserve">5.1.3  </w:t>
      </w:r>
      <w:r>
        <w:rPr>
          <w:rFonts w:hint="eastAsia" w:cs="Times New Roman" w:asciiTheme="minorEastAsia" w:hAnsiTheme="minorEastAsia"/>
          <w:szCs w:val="24"/>
        </w:rPr>
        <w:t>评定标准能否最终得到贯彻执行以及保持发展进步，评定后的监督检查至关重要！为防止评定过程中的走过场等形式主义，在评定标准执行后还应逐步建立与完善监督检查管理条例，通过一个评定有效周期内的扣分、得分机制，约束企业自身的行为，促进行业自觉自律与正向发展。</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E4002EFF" w:usb1="C200247B" w:usb2="00000009" w:usb3="00000000" w:csb0="200001FF" w:csb1="00000000"/>
  </w:font>
  <w:font w:name="Cambria Math">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rFonts w:hint="eastAsia"/>
      </w:rPr>
    </w:pPr>
  </w:p>
  <w:p>
    <w:pPr>
      <w:pStyle w:val="11"/>
      <w:ind w:left="5250" w:firstLine="48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1863351"/>
    </w:sdtPr>
    <w:sdtContent>
      <w:p>
        <w:pPr>
          <w:pStyle w:val="11"/>
          <w:jc w:val="center"/>
          <w:rPr>
            <w:rFonts w:hint="eastAsia"/>
          </w:rPr>
        </w:pPr>
        <w:r>
          <w:fldChar w:fldCharType="begin"/>
        </w:r>
        <w:r>
          <w:instrText xml:space="preserve">PAGE   \* MERGEFORMAT</w:instrText>
        </w:r>
        <w:r>
          <w:fldChar w:fldCharType="separate"/>
        </w:r>
        <w:r>
          <w:rPr>
            <w:lang w:val="zh-CN"/>
          </w:rPr>
          <w:t>2</w:t>
        </w:r>
        <w:r>
          <w:fldChar w:fldCharType="end"/>
        </w:r>
      </w:p>
    </w:sdtContent>
  </w:sdt>
  <w:p>
    <w:pPr>
      <w:pStyle w:val="11"/>
      <w:ind w:left="5250" w:firstLine="480"/>
      <w:rPr>
        <w:rFonts w:hint="eastAsi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1F1112"/>
    <w:multiLevelType w:val="multilevel"/>
    <w:tmpl w:val="021F1112"/>
    <w:lvl w:ilvl="0" w:tentative="0">
      <w:start w:val="1"/>
      <w:numFmt w:val="decimal"/>
      <w:lvlText w:val="%1"/>
      <w:lvlJc w:val="left"/>
      <w:pPr>
        <w:ind w:left="540" w:hanging="540"/>
      </w:pPr>
      <w:rPr>
        <w:rFonts w:hint="default"/>
        <w:b/>
      </w:rPr>
    </w:lvl>
    <w:lvl w:ilvl="1" w:tentative="0">
      <w:start w:val="0"/>
      <w:numFmt w:val="decimal"/>
      <w:lvlText w:val="%1.%2"/>
      <w:lvlJc w:val="left"/>
      <w:pPr>
        <w:ind w:left="540" w:hanging="540"/>
      </w:pPr>
      <w:rPr>
        <w:rFonts w:hint="default"/>
        <w:b/>
      </w:rPr>
    </w:lvl>
    <w:lvl w:ilvl="2" w:tentative="0">
      <w:start w:val="1"/>
      <w:numFmt w:val="decimal"/>
      <w:lvlText w:val="%1.%2.%3"/>
      <w:lvlJc w:val="left"/>
      <w:pPr>
        <w:ind w:left="720" w:hanging="720"/>
      </w:pPr>
      <w:rPr>
        <w:rFonts w:hint="default"/>
        <w:b/>
      </w:rPr>
    </w:lvl>
    <w:lvl w:ilvl="3" w:tentative="0">
      <w:start w:val="1"/>
      <w:numFmt w:val="decimal"/>
      <w:lvlText w:val="%1.%2.%3.%4"/>
      <w:lvlJc w:val="left"/>
      <w:pPr>
        <w:ind w:left="720" w:hanging="720"/>
      </w:pPr>
      <w:rPr>
        <w:rFonts w:hint="default"/>
        <w:b/>
      </w:rPr>
    </w:lvl>
    <w:lvl w:ilvl="4" w:tentative="0">
      <w:start w:val="1"/>
      <w:numFmt w:val="decimal"/>
      <w:lvlText w:val="%1.%2.%3.%4.%5"/>
      <w:lvlJc w:val="left"/>
      <w:pPr>
        <w:ind w:left="1080" w:hanging="1080"/>
      </w:pPr>
      <w:rPr>
        <w:rFonts w:hint="default"/>
        <w:b/>
      </w:rPr>
    </w:lvl>
    <w:lvl w:ilvl="5" w:tentative="0">
      <w:start w:val="1"/>
      <w:numFmt w:val="decimal"/>
      <w:lvlText w:val="%1.%2.%3.%4.%5.%6"/>
      <w:lvlJc w:val="left"/>
      <w:pPr>
        <w:ind w:left="1080" w:hanging="1080"/>
      </w:pPr>
      <w:rPr>
        <w:rFonts w:hint="default"/>
        <w:b/>
      </w:rPr>
    </w:lvl>
    <w:lvl w:ilvl="6" w:tentative="0">
      <w:start w:val="1"/>
      <w:numFmt w:val="decimal"/>
      <w:lvlText w:val="%1.%2.%3.%4.%5.%6.%7"/>
      <w:lvlJc w:val="left"/>
      <w:pPr>
        <w:ind w:left="1080" w:hanging="1080"/>
      </w:pPr>
      <w:rPr>
        <w:rFonts w:hint="default"/>
        <w:b/>
      </w:rPr>
    </w:lvl>
    <w:lvl w:ilvl="7" w:tentative="0">
      <w:start w:val="1"/>
      <w:numFmt w:val="decimal"/>
      <w:lvlText w:val="%1.%2.%3.%4.%5.%6.%7.%8"/>
      <w:lvlJc w:val="left"/>
      <w:pPr>
        <w:ind w:left="1440" w:hanging="1440"/>
      </w:pPr>
      <w:rPr>
        <w:rFonts w:hint="default"/>
        <w:b/>
      </w:rPr>
    </w:lvl>
    <w:lvl w:ilvl="8" w:tentative="0">
      <w:start w:val="1"/>
      <w:numFmt w:val="decimal"/>
      <w:lvlText w:val="%1.%2.%3.%4.%5.%6.%7.%8.%9"/>
      <w:lvlJc w:val="left"/>
      <w:pPr>
        <w:ind w:left="1440" w:hanging="1440"/>
      </w:pPr>
      <w:rPr>
        <w:rFonts w:hint="default"/>
        <w:b/>
      </w:rPr>
    </w:lvl>
  </w:abstractNum>
  <w:abstractNum w:abstractNumId="1">
    <w:nsid w:val="02245C43"/>
    <w:multiLevelType w:val="multilevel"/>
    <w:tmpl w:val="02245C43"/>
    <w:lvl w:ilvl="0" w:tentative="0">
      <w:start w:val="1"/>
      <w:numFmt w:val="decimal"/>
      <w:lvlText w:val="%1."/>
      <w:lvlJc w:val="left"/>
      <w:pPr>
        <w:ind w:left="720" w:hanging="360"/>
      </w:pPr>
      <w:rPr>
        <w:rFonts w:hint="default"/>
      </w:rPr>
    </w:lvl>
    <w:lvl w:ilvl="1" w:tentative="0">
      <w:start w:val="1"/>
      <w:numFmt w:val="lowerLetter"/>
      <w:lvlText w:val="%2)"/>
      <w:lvlJc w:val="left"/>
      <w:pPr>
        <w:ind w:left="1240" w:hanging="440"/>
      </w:pPr>
    </w:lvl>
    <w:lvl w:ilvl="2" w:tentative="0">
      <w:start w:val="1"/>
      <w:numFmt w:val="lowerRoman"/>
      <w:lvlText w:val="%3."/>
      <w:lvlJc w:val="right"/>
      <w:pPr>
        <w:ind w:left="1680" w:hanging="440"/>
      </w:pPr>
    </w:lvl>
    <w:lvl w:ilvl="3" w:tentative="0">
      <w:start w:val="1"/>
      <w:numFmt w:val="decimal"/>
      <w:lvlText w:val="%4."/>
      <w:lvlJc w:val="left"/>
      <w:pPr>
        <w:ind w:left="2120" w:hanging="440"/>
      </w:pPr>
    </w:lvl>
    <w:lvl w:ilvl="4" w:tentative="0">
      <w:start w:val="1"/>
      <w:numFmt w:val="lowerLetter"/>
      <w:lvlText w:val="%5)"/>
      <w:lvlJc w:val="left"/>
      <w:pPr>
        <w:ind w:left="2560" w:hanging="440"/>
      </w:pPr>
    </w:lvl>
    <w:lvl w:ilvl="5" w:tentative="0">
      <w:start w:val="1"/>
      <w:numFmt w:val="lowerRoman"/>
      <w:lvlText w:val="%6."/>
      <w:lvlJc w:val="right"/>
      <w:pPr>
        <w:ind w:left="3000" w:hanging="440"/>
      </w:pPr>
    </w:lvl>
    <w:lvl w:ilvl="6" w:tentative="0">
      <w:start w:val="1"/>
      <w:numFmt w:val="decimal"/>
      <w:lvlText w:val="%7."/>
      <w:lvlJc w:val="left"/>
      <w:pPr>
        <w:ind w:left="3440" w:hanging="440"/>
      </w:pPr>
    </w:lvl>
    <w:lvl w:ilvl="7" w:tentative="0">
      <w:start w:val="1"/>
      <w:numFmt w:val="lowerLetter"/>
      <w:lvlText w:val="%8)"/>
      <w:lvlJc w:val="left"/>
      <w:pPr>
        <w:ind w:left="3880" w:hanging="440"/>
      </w:pPr>
    </w:lvl>
    <w:lvl w:ilvl="8" w:tentative="0">
      <w:start w:val="1"/>
      <w:numFmt w:val="lowerRoman"/>
      <w:lvlText w:val="%9."/>
      <w:lvlJc w:val="right"/>
      <w:pPr>
        <w:ind w:left="4320" w:hanging="440"/>
      </w:pPr>
    </w:lvl>
  </w:abstractNum>
  <w:abstractNum w:abstractNumId="2">
    <w:nsid w:val="02701F5D"/>
    <w:multiLevelType w:val="multilevel"/>
    <w:tmpl w:val="02701F5D"/>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
    <w:nsid w:val="0BE638E7"/>
    <w:multiLevelType w:val="multilevel"/>
    <w:tmpl w:val="0BE638E7"/>
    <w:lvl w:ilvl="0" w:tentative="0">
      <w:start w:val="1"/>
      <w:numFmt w:val="decimal"/>
      <w:lvlText w:val="%1."/>
      <w:lvlJc w:val="left"/>
      <w:pPr>
        <w:ind w:left="720" w:hanging="360"/>
      </w:pPr>
      <w:rPr>
        <w:rFonts w:hint="default"/>
      </w:rPr>
    </w:lvl>
    <w:lvl w:ilvl="1" w:tentative="0">
      <w:start w:val="1"/>
      <w:numFmt w:val="lowerLetter"/>
      <w:lvlText w:val="%2)"/>
      <w:lvlJc w:val="left"/>
      <w:pPr>
        <w:ind w:left="1240" w:hanging="440"/>
      </w:pPr>
    </w:lvl>
    <w:lvl w:ilvl="2" w:tentative="0">
      <w:start w:val="1"/>
      <w:numFmt w:val="lowerRoman"/>
      <w:lvlText w:val="%3."/>
      <w:lvlJc w:val="right"/>
      <w:pPr>
        <w:ind w:left="1680" w:hanging="440"/>
      </w:pPr>
    </w:lvl>
    <w:lvl w:ilvl="3" w:tentative="0">
      <w:start w:val="1"/>
      <w:numFmt w:val="decimal"/>
      <w:lvlText w:val="%4."/>
      <w:lvlJc w:val="left"/>
      <w:pPr>
        <w:ind w:left="2120" w:hanging="440"/>
      </w:pPr>
    </w:lvl>
    <w:lvl w:ilvl="4" w:tentative="0">
      <w:start w:val="1"/>
      <w:numFmt w:val="lowerLetter"/>
      <w:lvlText w:val="%5)"/>
      <w:lvlJc w:val="left"/>
      <w:pPr>
        <w:ind w:left="2560" w:hanging="440"/>
      </w:pPr>
    </w:lvl>
    <w:lvl w:ilvl="5" w:tentative="0">
      <w:start w:val="1"/>
      <w:numFmt w:val="lowerRoman"/>
      <w:lvlText w:val="%6."/>
      <w:lvlJc w:val="right"/>
      <w:pPr>
        <w:ind w:left="3000" w:hanging="440"/>
      </w:pPr>
    </w:lvl>
    <w:lvl w:ilvl="6" w:tentative="0">
      <w:start w:val="1"/>
      <w:numFmt w:val="decimal"/>
      <w:lvlText w:val="%7."/>
      <w:lvlJc w:val="left"/>
      <w:pPr>
        <w:ind w:left="3440" w:hanging="440"/>
      </w:pPr>
    </w:lvl>
    <w:lvl w:ilvl="7" w:tentative="0">
      <w:start w:val="1"/>
      <w:numFmt w:val="lowerLetter"/>
      <w:lvlText w:val="%8)"/>
      <w:lvlJc w:val="left"/>
      <w:pPr>
        <w:ind w:left="3880" w:hanging="440"/>
      </w:pPr>
    </w:lvl>
    <w:lvl w:ilvl="8" w:tentative="0">
      <w:start w:val="1"/>
      <w:numFmt w:val="lowerRoman"/>
      <w:lvlText w:val="%9."/>
      <w:lvlJc w:val="right"/>
      <w:pPr>
        <w:ind w:left="4320" w:hanging="440"/>
      </w:pPr>
    </w:lvl>
  </w:abstractNum>
  <w:abstractNum w:abstractNumId="4">
    <w:nsid w:val="0C94337F"/>
    <w:multiLevelType w:val="multilevel"/>
    <w:tmpl w:val="0C94337F"/>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
    <w:nsid w:val="0E044EB5"/>
    <w:multiLevelType w:val="multilevel"/>
    <w:tmpl w:val="0E044EB5"/>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
    <w:nsid w:val="1F43E304"/>
    <w:multiLevelType w:val="singleLevel"/>
    <w:tmpl w:val="1F43E304"/>
    <w:lvl w:ilvl="0" w:tentative="0">
      <w:start w:val="1"/>
      <w:numFmt w:val="decimal"/>
      <w:suff w:val="nothing"/>
      <w:lvlText w:val="%1）"/>
      <w:lvlJc w:val="left"/>
    </w:lvl>
  </w:abstractNum>
  <w:abstractNum w:abstractNumId="7">
    <w:nsid w:val="2B6C7761"/>
    <w:multiLevelType w:val="multilevel"/>
    <w:tmpl w:val="2B6C7761"/>
    <w:lvl w:ilvl="0" w:tentative="0">
      <w:start w:val="1"/>
      <w:numFmt w:val="decimal"/>
      <w:lvlText w:val="%1"/>
      <w:lvlJc w:val="left"/>
      <w:pPr>
        <w:ind w:left="360" w:hanging="360"/>
      </w:pPr>
      <w:rPr>
        <w:rFonts w:cs="宋体" w:asciiTheme="minorEastAsia" w:hAnsiTheme="minorEastAsia" w:eastAsiaTheme="minor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
    <w:nsid w:val="2DB89F07"/>
    <w:multiLevelType w:val="singleLevel"/>
    <w:tmpl w:val="2DB89F07"/>
    <w:lvl w:ilvl="0" w:tentative="0">
      <w:start w:val="1"/>
      <w:numFmt w:val="decimal"/>
      <w:suff w:val="nothing"/>
      <w:lvlText w:val="%1）"/>
      <w:lvlJc w:val="left"/>
    </w:lvl>
  </w:abstractNum>
  <w:abstractNum w:abstractNumId="9">
    <w:nsid w:val="39BDD933"/>
    <w:multiLevelType w:val="singleLevel"/>
    <w:tmpl w:val="39BDD933"/>
    <w:lvl w:ilvl="0" w:tentative="0">
      <w:start w:val="1"/>
      <w:numFmt w:val="decimal"/>
      <w:lvlText w:val="%1."/>
      <w:lvlJc w:val="left"/>
      <w:pPr>
        <w:tabs>
          <w:tab w:val="left" w:pos="312"/>
        </w:tabs>
      </w:pPr>
    </w:lvl>
  </w:abstractNum>
  <w:abstractNum w:abstractNumId="10">
    <w:nsid w:val="4621266C"/>
    <w:multiLevelType w:val="multilevel"/>
    <w:tmpl w:val="4621266C"/>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
    <w:nsid w:val="4BC6337B"/>
    <w:multiLevelType w:val="multilevel"/>
    <w:tmpl w:val="4BC6337B"/>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2">
    <w:nsid w:val="523A6E95"/>
    <w:multiLevelType w:val="singleLevel"/>
    <w:tmpl w:val="523A6E95"/>
    <w:lvl w:ilvl="0" w:tentative="0">
      <w:start w:val="1"/>
      <w:numFmt w:val="decimal"/>
      <w:suff w:val="nothing"/>
      <w:lvlText w:val="%1）"/>
      <w:lvlJc w:val="left"/>
    </w:lvl>
  </w:abstractNum>
  <w:abstractNum w:abstractNumId="13">
    <w:nsid w:val="5341E9A8"/>
    <w:multiLevelType w:val="singleLevel"/>
    <w:tmpl w:val="5341E9A8"/>
    <w:lvl w:ilvl="0" w:tentative="0">
      <w:start w:val="1"/>
      <w:numFmt w:val="decimal"/>
      <w:suff w:val="nothing"/>
      <w:lvlText w:val="%1）"/>
      <w:lvlJc w:val="left"/>
    </w:lvl>
  </w:abstractNum>
  <w:abstractNum w:abstractNumId="14">
    <w:nsid w:val="537C793D"/>
    <w:multiLevelType w:val="multilevel"/>
    <w:tmpl w:val="537C793D"/>
    <w:lvl w:ilvl="0" w:tentative="0">
      <w:start w:val="1"/>
      <w:numFmt w:val="decimal"/>
      <w:lvlText w:val="%1."/>
      <w:lvlJc w:val="left"/>
      <w:pPr>
        <w:ind w:left="720" w:hanging="360"/>
      </w:pPr>
      <w:rPr>
        <w:rFonts w:hint="default"/>
      </w:rPr>
    </w:lvl>
    <w:lvl w:ilvl="1" w:tentative="0">
      <w:start w:val="1"/>
      <w:numFmt w:val="lowerLetter"/>
      <w:lvlText w:val="%2)"/>
      <w:lvlJc w:val="left"/>
      <w:pPr>
        <w:ind w:left="1240" w:hanging="440"/>
      </w:pPr>
    </w:lvl>
    <w:lvl w:ilvl="2" w:tentative="0">
      <w:start w:val="1"/>
      <w:numFmt w:val="lowerRoman"/>
      <w:lvlText w:val="%3."/>
      <w:lvlJc w:val="right"/>
      <w:pPr>
        <w:ind w:left="1680" w:hanging="440"/>
      </w:pPr>
    </w:lvl>
    <w:lvl w:ilvl="3" w:tentative="0">
      <w:start w:val="1"/>
      <w:numFmt w:val="decimal"/>
      <w:lvlText w:val="%4."/>
      <w:lvlJc w:val="left"/>
      <w:pPr>
        <w:ind w:left="2120" w:hanging="440"/>
      </w:pPr>
    </w:lvl>
    <w:lvl w:ilvl="4" w:tentative="0">
      <w:start w:val="1"/>
      <w:numFmt w:val="lowerLetter"/>
      <w:lvlText w:val="%5)"/>
      <w:lvlJc w:val="left"/>
      <w:pPr>
        <w:ind w:left="2560" w:hanging="440"/>
      </w:pPr>
    </w:lvl>
    <w:lvl w:ilvl="5" w:tentative="0">
      <w:start w:val="1"/>
      <w:numFmt w:val="lowerRoman"/>
      <w:lvlText w:val="%6."/>
      <w:lvlJc w:val="right"/>
      <w:pPr>
        <w:ind w:left="3000" w:hanging="440"/>
      </w:pPr>
    </w:lvl>
    <w:lvl w:ilvl="6" w:tentative="0">
      <w:start w:val="1"/>
      <w:numFmt w:val="decimal"/>
      <w:lvlText w:val="%7."/>
      <w:lvlJc w:val="left"/>
      <w:pPr>
        <w:ind w:left="3440" w:hanging="440"/>
      </w:pPr>
    </w:lvl>
    <w:lvl w:ilvl="7" w:tentative="0">
      <w:start w:val="1"/>
      <w:numFmt w:val="lowerLetter"/>
      <w:lvlText w:val="%8)"/>
      <w:lvlJc w:val="left"/>
      <w:pPr>
        <w:ind w:left="3880" w:hanging="440"/>
      </w:pPr>
    </w:lvl>
    <w:lvl w:ilvl="8" w:tentative="0">
      <w:start w:val="1"/>
      <w:numFmt w:val="lowerRoman"/>
      <w:lvlText w:val="%9."/>
      <w:lvlJc w:val="right"/>
      <w:pPr>
        <w:ind w:left="4320" w:hanging="440"/>
      </w:pPr>
    </w:lvl>
  </w:abstractNum>
  <w:abstractNum w:abstractNumId="15">
    <w:nsid w:val="7467726B"/>
    <w:multiLevelType w:val="multilevel"/>
    <w:tmpl w:val="7467726B"/>
    <w:lvl w:ilvl="0" w:tentative="0">
      <w:start w:val="1"/>
      <w:numFmt w:val="decimal"/>
      <w:lvlText w:val="%1"/>
      <w:lvlJc w:val="left"/>
      <w:pPr>
        <w:ind w:left="360" w:hanging="360"/>
      </w:pPr>
      <w:rPr>
        <w:rFonts w:asciiTheme="minorEastAsia" w:hAnsiTheme="minorEastAsia" w:eastAsiaTheme="minorEastAsia" w:cstheme="minorBidi"/>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0"/>
  </w:num>
  <w:num w:numId="2">
    <w:abstractNumId w:val="5"/>
  </w:num>
  <w:num w:numId="3">
    <w:abstractNumId w:val="4"/>
  </w:num>
  <w:num w:numId="4">
    <w:abstractNumId w:val="15"/>
  </w:num>
  <w:num w:numId="5">
    <w:abstractNumId w:val="12"/>
  </w:num>
  <w:num w:numId="6">
    <w:abstractNumId w:val="8"/>
  </w:num>
  <w:num w:numId="7">
    <w:abstractNumId w:val="13"/>
  </w:num>
  <w:num w:numId="8">
    <w:abstractNumId w:val="6"/>
  </w:num>
  <w:num w:numId="9">
    <w:abstractNumId w:val="9"/>
  </w:num>
  <w:num w:numId="10">
    <w:abstractNumId w:val="1"/>
  </w:num>
  <w:num w:numId="11">
    <w:abstractNumId w:val="3"/>
  </w:num>
  <w:num w:numId="12">
    <w:abstractNumId w:val="14"/>
  </w:num>
  <w:num w:numId="13">
    <w:abstractNumId w:val="11"/>
  </w:num>
  <w:num w:numId="14">
    <w:abstractNumId w:val="7"/>
  </w:num>
  <w:num w:numId="15">
    <w:abstractNumId w:val="2"/>
  </w:num>
  <w:num w:numId="1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M1MzMyYWQ5YWQwNDdiNmMxZTJmNDA1YjI5OGJlY2QifQ=="/>
  </w:docVars>
  <w:rsids>
    <w:rsidRoot w:val="00B07DED"/>
    <w:rsid w:val="000003ED"/>
    <w:rsid w:val="0000043E"/>
    <w:rsid w:val="00000CE5"/>
    <w:rsid w:val="000030C0"/>
    <w:rsid w:val="000030F1"/>
    <w:rsid w:val="0000349F"/>
    <w:rsid w:val="00003632"/>
    <w:rsid w:val="0000391C"/>
    <w:rsid w:val="00004EEF"/>
    <w:rsid w:val="000058B9"/>
    <w:rsid w:val="00005982"/>
    <w:rsid w:val="000074C3"/>
    <w:rsid w:val="0001044E"/>
    <w:rsid w:val="00011193"/>
    <w:rsid w:val="00013E56"/>
    <w:rsid w:val="00014170"/>
    <w:rsid w:val="000141EE"/>
    <w:rsid w:val="000143D8"/>
    <w:rsid w:val="00014768"/>
    <w:rsid w:val="00014CC9"/>
    <w:rsid w:val="0001520B"/>
    <w:rsid w:val="00016D0F"/>
    <w:rsid w:val="00017108"/>
    <w:rsid w:val="000172D0"/>
    <w:rsid w:val="00017C33"/>
    <w:rsid w:val="00017F05"/>
    <w:rsid w:val="00020C2B"/>
    <w:rsid w:val="00020E70"/>
    <w:rsid w:val="000220A7"/>
    <w:rsid w:val="000221F0"/>
    <w:rsid w:val="000225B7"/>
    <w:rsid w:val="000234B9"/>
    <w:rsid w:val="000236AD"/>
    <w:rsid w:val="00025587"/>
    <w:rsid w:val="0002570E"/>
    <w:rsid w:val="00026354"/>
    <w:rsid w:val="000265AC"/>
    <w:rsid w:val="00026760"/>
    <w:rsid w:val="00026F0A"/>
    <w:rsid w:val="0003063A"/>
    <w:rsid w:val="000320BF"/>
    <w:rsid w:val="000326A2"/>
    <w:rsid w:val="000328F9"/>
    <w:rsid w:val="0003447A"/>
    <w:rsid w:val="00037766"/>
    <w:rsid w:val="000407B8"/>
    <w:rsid w:val="00041258"/>
    <w:rsid w:val="0004150F"/>
    <w:rsid w:val="00041590"/>
    <w:rsid w:val="00041E9B"/>
    <w:rsid w:val="00041FA6"/>
    <w:rsid w:val="00042BBC"/>
    <w:rsid w:val="00043418"/>
    <w:rsid w:val="0004345E"/>
    <w:rsid w:val="000459FD"/>
    <w:rsid w:val="00051002"/>
    <w:rsid w:val="0005124C"/>
    <w:rsid w:val="0005136F"/>
    <w:rsid w:val="000516B2"/>
    <w:rsid w:val="000517E3"/>
    <w:rsid w:val="00051CC8"/>
    <w:rsid w:val="000521FE"/>
    <w:rsid w:val="000535AF"/>
    <w:rsid w:val="000536AC"/>
    <w:rsid w:val="00055083"/>
    <w:rsid w:val="0005556C"/>
    <w:rsid w:val="00055BAB"/>
    <w:rsid w:val="00056963"/>
    <w:rsid w:val="00060158"/>
    <w:rsid w:val="000609C3"/>
    <w:rsid w:val="0006100B"/>
    <w:rsid w:val="000619B0"/>
    <w:rsid w:val="00061DAC"/>
    <w:rsid w:val="000620DB"/>
    <w:rsid w:val="00062C86"/>
    <w:rsid w:val="00062E25"/>
    <w:rsid w:val="00063922"/>
    <w:rsid w:val="00063BF6"/>
    <w:rsid w:val="0006466E"/>
    <w:rsid w:val="0006497E"/>
    <w:rsid w:val="00064F14"/>
    <w:rsid w:val="00065280"/>
    <w:rsid w:val="00065692"/>
    <w:rsid w:val="000659FF"/>
    <w:rsid w:val="00065AF8"/>
    <w:rsid w:val="00065D60"/>
    <w:rsid w:val="0006602C"/>
    <w:rsid w:val="000663BD"/>
    <w:rsid w:val="000664E9"/>
    <w:rsid w:val="0006690A"/>
    <w:rsid w:val="00066C81"/>
    <w:rsid w:val="00067706"/>
    <w:rsid w:val="00067C44"/>
    <w:rsid w:val="00071439"/>
    <w:rsid w:val="00071610"/>
    <w:rsid w:val="0007198D"/>
    <w:rsid w:val="000732C9"/>
    <w:rsid w:val="000756DA"/>
    <w:rsid w:val="00076095"/>
    <w:rsid w:val="000761E7"/>
    <w:rsid w:val="00080816"/>
    <w:rsid w:val="00081547"/>
    <w:rsid w:val="00081D03"/>
    <w:rsid w:val="00082EE5"/>
    <w:rsid w:val="00083989"/>
    <w:rsid w:val="00085148"/>
    <w:rsid w:val="00085E82"/>
    <w:rsid w:val="00086132"/>
    <w:rsid w:val="00086420"/>
    <w:rsid w:val="00086450"/>
    <w:rsid w:val="00086651"/>
    <w:rsid w:val="00086776"/>
    <w:rsid w:val="000867AE"/>
    <w:rsid w:val="00087283"/>
    <w:rsid w:val="00087D69"/>
    <w:rsid w:val="00090CE9"/>
    <w:rsid w:val="00090F3A"/>
    <w:rsid w:val="00090F86"/>
    <w:rsid w:val="00091C72"/>
    <w:rsid w:val="000924A5"/>
    <w:rsid w:val="00092A75"/>
    <w:rsid w:val="000949CB"/>
    <w:rsid w:val="00094B4A"/>
    <w:rsid w:val="00095B83"/>
    <w:rsid w:val="00095E78"/>
    <w:rsid w:val="00096712"/>
    <w:rsid w:val="00097DB3"/>
    <w:rsid w:val="000A0BE0"/>
    <w:rsid w:val="000A10F7"/>
    <w:rsid w:val="000A2254"/>
    <w:rsid w:val="000A30A5"/>
    <w:rsid w:val="000A4F43"/>
    <w:rsid w:val="000A513C"/>
    <w:rsid w:val="000A5F1B"/>
    <w:rsid w:val="000A6711"/>
    <w:rsid w:val="000A7D89"/>
    <w:rsid w:val="000B046D"/>
    <w:rsid w:val="000B0D3E"/>
    <w:rsid w:val="000B0D7A"/>
    <w:rsid w:val="000B0DC6"/>
    <w:rsid w:val="000B0E92"/>
    <w:rsid w:val="000B1473"/>
    <w:rsid w:val="000B2899"/>
    <w:rsid w:val="000B34A7"/>
    <w:rsid w:val="000B5669"/>
    <w:rsid w:val="000B5687"/>
    <w:rsid w:val="000B721A"/>
    <w:rsid w:val="000B75DB"/>
    <w:rsid w:val="000B7E1C"/>
    <w:rsid w:val="000C1ABF"/>
    <w:rsid w:val="000C2F4A"/>
    <w:rsid w:val="000C30AE"/>
    <w:rsid w:val="000C386D"/>
    <w:rsid w:val="000C459C"/>
    <w:rsid w:val="000C4B56"/>
    <w:rsid w:val="000C5166"/>
    <w:rsid w:val="000C52B7"/>
    <w:rsid w:val="000C58EE"/>
    <w:rsid w:val="000C5B32"/>
    <w:rsid w:val="000C657E"/>
    <w:rsid w:val="000C68BD"/>
    <w:rsid w:val="000C7437"/>
    <w:rsid w:val="000C7E62"/>
    <w:rsid w:val="000D07C9"/>
    <w:rsid w:val="000D0863"/>
    <w:rsid w:val="000D0C9F"/>
    <w:rsid w:val="000D14F5"/>
    <w:rsid w:val="000D1DD0"/>
    <w:rsid w:val="000D22DF"/>
    <w:rsid w:val="000D31BC"/>
    <w:rsid w:val="000D3AF2"/>
    <w:rsid w:val="000D4125"/>
    <w:rsid w:val="000D597D"/>
    <w:rsid w:val="000D5C95"/>
    <w:rsid w:val="000D671C"/>
    <w:rsid w:val="000D6A63"/>
    <w:rsid w:val="000D7AEB"/>
    <w:rsid w:val="000E117F"/>
    <w:rsid w:val="000E1A5A"/>
    <w:rsid w:val="000E1B2B"/>
    <w:rsid w:val="000E276F"/>
    <w:rsid w:val="000E2BBF"/>
    <w:rsid w:val="000E2FF2"/>
    <w:rsid w:val="000E3597"/>
    <w:rsid w:val="000E37A0"/>
    <w:rsid w:val="000E381C"/>
    <w:rsid w:val="000E389C"/>
    <w:rsid w:val="000E3B26"/>
    <w:rsid w:val="000E4588"/>
    <w:rsid w:val="000E53F0"/>
    <w:rsid w:val="000E5E0E"/>
    <w:rsid w:val="000E799F"/>
    <w:rsid w:val="000F0A93"/>
    <w:rsid w:val="000F287B"/>
    <w:rsid w:val="000F2923"/>
    <w:rsid w:val="000F32D3"/>
    <w:rsid w:val="000F336B"/>
    <w:rsid w:val="000F3A6E"/>
    <w:rsid w:val="000F436F"/>
    <w:rsid w:val="000F4A88"/>
    <w:rsid w:val="000F594F"/>
    <w:rsid w:val="000F61B8"/>
    <w:rsid w:val="000F622E"/>
    <w:rsid w:val="000F66B6"/>
    <w:rsid w:val="000F7118"/>
    <w:rsid w:val="000F75E8"/>
    <w:rsid w:val="000F77FC"/>
    <w:rsid w:val="000F7EBB"/>
    <w:rsid w:val="0010014E"/>
    <w:rsid w:val="00100929"/>
    <w:rsid w:val="00100BA4"/>
    <w:rsid w:val="00100BC4"/>
    <w:rsid w:val="00102217"/>
    <w:rsid w:val="00102C0A"/>
    <w:rsid w:val="00102FFB"/>
    <w:rsid w:val="00103A86"/>
    <w:rsid w:val="00104851"/>
    <w:rsid w:val="00104DBC"/>
    <w:rsid w:val="001052D7"/>
    <w:rsid w:val="00105469"/>
    <w:rsid w:val="00105BC6"/>
    <w:rsid w:val="00105CFA"/>
    <w:rsid w:val="00105FD3"/>
    <w:rsid w:val="00107B77"/>
    <w:rsid w:val="00107EE5"/>
    <w:rsid w:val="001103A3"/>
    <w:rsid w:val="001117C1"/>
    <w:rsid w:val="00111DD2"/>
    <w:rsid w:val="00111F39"/>
    <w:rsid w:val="00112549"/>
    <w:rsid w:val="00112B7B"/>
    <w:rsid w:val="00113338"/>
    <w:rsid w:val="00113744"/>
    <w:rsid w:val="0011408D"/>
    <w:rsid w:val="001141BD"/>
    <w:rsid w:val="00115AE9"/>
    <w:rsid w:val="00116C1B"/>
    <w:rsid w:val="00117210"/>
    <w:rsid w:val="00117844"/>
    <w:rsid w:val="00117AD0"/>
    <w:rsid w:val="001200F2"/>
    <w:rsid w:val="00120194"/>
    <w:rsid w:val="0012105A"/>
    <w:rsid w:val="001249C0"/>
    <w:rsid w:val="00124E89"/>
    <w:rsid w:val="00127ADA"/>
    <w:rsid w:val="00127BE6"/>
    <w:rsid w:val="00131AF1"/>
    <w:rsid w:val="00131C34"/>
    <w:rsid w:val="00131DAF"/>
    <w:rsid w:val="001327DA"/>
    <w:rsid w:val="00132932"/>
    <w:rsid w:val="00133617"/>
    <w:rsid w:val="00134BE9"/>
    <w:rsid w:val="00134ED5"/>
    <w:rsid w:val="00134FF1"/>
    <w:rsid w:val="00137827"/>
    <w:rsid w:val="00137D25"/>
    <w:rsid w:val="001403E7"/>
    <w:rsid w:val="001407FB"/>
    <w:rsid w:val="0014080D"/>
    <w:rsid w:val="00140AE8"/>
    <w:rsid w:val="00141CAF"/>
    <w:rsid w:val="00141F83"/>
    <w:rsid w:val="001420F5"/>
    <w:rsid w:val="00142171"/>
    <w:rsid w:val="0014386B"/>
    <w:rsid w:val="001444E8"/>
    <w:rsid w:val="00144EBA"/>
    <w:rsid w:val="001456A9"/>
    <w:rsid w:val="00145B55"/>
    <w:rsid w:val="00145F54"/>
    <w:rsid w:val="00147BC6"/>
    <w:rsid w:val="00147FAF"/>
    <w:rsid w:val="001503F6"/>
    <w:rsid w:val="00150F8A"/>
    <w:rsid w:val="0015125A"/>
    <w:rsid w:val="00152849"/>
    <w:rsid w:val="0015341E"/>
    <w:rsid w:val="00153655"/>
    <w:rsid w:val="00153826"/>
    <w:rsid w:val="001549F3"/>
    <w:rsid w:val="00155A8A"/>
    <w:rsid w:val="0015618B"/>
    <w:rsid w:val="00156C29"/>
    <w:rsid w:val="00156DCF"/>
    <w:rsid w:val="00156FA0"/>
    <w:rsid w:val="0015739C"/>
    <w:rsid w:val="00157EEC"/>
    <w:rsid w:val="00161739"/>
    <w:rsid w:val="00161810"/>
    <w:rsid w:val="00161CD6"/>
    <w:rsid w:val="00162213"/>
    <w:rsid w:val="00162C3B"/>
    <w:rsid w:val="0016446A"/>
    <w:rsid w:val="001656EF"/>
    <w:rsid w:val="00165A94"/>
    <w:rsid w:val="001665C3"/>
    <w:rsid w:val="0016701B"/>
    <w:rsid w:val="0016735F"/>
    <w:rsid w:val="00170727"/>
    <w:rsid w:val="001707B1"/>
    <w:rsid w:val="00170DC7"/>
    <w:rsid w:val="0017130C"/>
    <w:rsid w:val="00171A1F"/>
    <w:rsid w:val="001724B0"/>
    <w:rsid w:val="0017355C"/>
    <w:rsid w:val="00174626"/>
    <w:rsid w:val="0017475C"/>
    <w:rsid w:val="00174A37"/>
    <w:rsid w:val="00174E8A"/>
    <w:rsid w:val="00174F90"/>
    <w:rsid w:val="00175257"/>
    <w:rsid w:val="0017566B"/>
    <w:rsid w:val="001758FA"/>
    <w:rsid w:val="0017660D"/>
    <w:rsid w:val="00180DFF"/>
    <w:rsid w:val="001823BE"/>
    <w:rsid w:val="00183468"/>
    <w:rsid w:val="001835EA"/>
    <w:rsid w:val="00183D67"/>
    <w:rsid w:val="00183E84"/>
    <w:rsid w:val="00183FAF"/>
    <w:rsid w:val="001848C9"/>
    <w:rsid w:val="00184E36"/>
    <w:rsid w:val="0018511D"/>
    <w:rsid w:val="00185612"/>
    <w:rsid w:val="00185AB9"/>
    <w:rsid w:val="001874A0"/>
    <w:rsid w:val="00187D6A"/>
    <w:rsid w:val="00187F7E"/>
    <w:rsid w:val="001918A8"/>
    <w:rsid w:val="001926EB"/>
    <w:rsid w:val="001928B9"/>
    <w:rsid w:val="00192A7A"/>
    <w:rsid w:val="00192A85"/>
    <w:rsid w:val="00192F97"/>
    <w:rsid w:val="0019314B"/>
    <w:rsid w:val="00195465"/>
    <w:rsid w:val="00195631"/>
    <w:rsid w:val="0019596E"/>
    <w:rsid w:val="00196A72"/>
    <w:rsid w:val="00196C08"/>
    <w:rsid w:val="00196CA3"/>
    <w:rsid w:val="00197D78"/>
    <w:rsid w:val="00197E9B"/>
    <w:rsid w:val="001A0164"/>
    <w:rsid w:val="001A1E49"/>
    <w:rsid w:val="001A2042"/>
    <w:rsid w:val="001A2B30"/>
    <w:rsid w:val="001A380E"/>
    <w:rsid w:val="001A451B"/>
    <w:rsid w:val="001A48E6"/>
    <w:rsid w:val="001A51BB"/>
    <w:rsid w:val="001A6FF0"/>
    <w:rsid w:val="001A73C7"/>
    <w:rsid w:val="001B12CE"/>
    <w:rsid w:val="001B18B8"/>
    <w:rsid w:val="001B280D"/>
    <w:rsid w:val="001B3152"/>
    <w:rsid w:val="001B3935"/>
    <w:rsid w:val="001B3948"/>
    <w:rsid w:val="001B3E88"/>
    <w:rsid w:val="001B619F"/>
    <w:rsid w:val="001B652D"/>
    <w:rsid w:val="001B6694"/>
    <w:rsid w:val="001B67CA"/>
    <w:rsid w:val="001C1B22"/>
    <w:rsid w:val="001C2166"/>
    <w:rsid w:val="001C25C5"/>
    <w:rsid w:val="001C352D"/>
    <w:rsid w:val="001C60D6"/>
    <w:rsid w:val="001C6FB8"/>
    <w:rsid w:val="001C7E6B"/>
    <w:rsid w:val="001C7EB2"/>
    <w:rsid w:val="001D17B2"/>
    <w:rsid w:val="001D1ED4"/>
    <w:rsid w:val="001D23EC"/>
    <w:rsid w:val="001D24B7"/>
    <w:rsid w:val="001D3E7A"/>
    <w:rsid w:val="001D445B"/>
    <w:rsid w:val="001D49A2"/>
    <w:rsid w:val="001D5496"/>
    <w:rsid w:val="001D5848"/>
    <w:rsid w:val="001D6394"/>
    <w:rsid w:val="001D65FC"/>
    <w:rsid w:val="001D6699"/>
    <w:rsid w:val="001E09C1"/>
    <w:rsid w:val="001E0A8A"/>
    <w:rsid w:val="001E128A"/>
    <w:rsid w:val="001E1B04"/>
    <w:rsid w:val="001E1C8A"/>
    <w:rsid w:val="001E2172"/>
    <w:rsid w:val="001E2633"/>
    <w:rsid w:val="001E39A5"/>
    <w:rsid w:val="001E3A94"/>
    <w:rsid w:val="001E3DC1"/>
    <w:rsid w:val="001E4188"/>
    <w:rsid w:val="001E6112"/>
    <w:rsid w:val="001E61AB"/>
    <w:rsid w:val="001E651B"/>
    <w:rsid w:val="001E73A8"/>
    <w:rsid w:val="001E7A56"/>
    <w:rsid w:val="001F03E0"/>
    <w:rsid w:val="001F103E"/>
    <w:rsid w:val="001F1A2F"/>
    <w:rsid w:val="001F1A88"/>
    <w:rsid w:val="001F1C9B"/>
    <w:rsid w:val="001F1DDA"/>
    <w:rsid w:val="001F21FB"/>
    <w:rsid w:val="001F2721"/>
    <w:rsid w:val="001F2D29"/>
    <w:rsid w:val="001F2F8B"/>
    <w:rsid w:val="001F3800"/>
    <w:rsid w:val="001F3D4C"/>
    <w:rsid w:val="001F4FB9"/>
    <w:rsid w:val="001F51CB"/>
    <w:rsid w:val="001F52A6"/>
    <w:rsid w:val="001F5DE2"/>
    <w:rsid w:val="001F6937"/>
    <w:rsid w:val="001F6C53"/>
    <w:rsid w:val="001F7730"/>
    <w:rsid w:val="002024C4"/>
    <w:rsid w:val="00202BB0"/>
    <w:rsid w:val="00202E12"/>
    <w:rsid w:val="002031AB"/>
    <w:rsid w:val="00203698"/>
    <w:rsid w:val="0020381A"/>
    <w:rsid w:val="00203F07"/>
    <w:rsid w:val="002056DE"/>
    <w:rsid w:val="00205830"/>
    <w:rsid w:val="00205EB4"/>
    <w:rsid w:val="00206611"/>
    <w:rsid w:val="0020696F"/>
    <w:rsid w:val="00206C00"/>
    <w:rsid w:val="00206F12"/>
    <w:rsid w:val="00207716"/>
    <w:rsid w:val="002079D3"/>
    <w:rsid w:val="00207CF5"/>
    <w:rsid w:val="00207DE9"/>
    <w:rsid w:val="00207E69"/>
    <w:rsid w:val="002114E5"/>
    <w:rsid w:val="00211903"/>
    <w:rsid w:val="00212030"/>
    <w:rsid w:val="00212D17"/>
    <w:rsid w:val="00212ECF"/>
    <w:rsid w:val="00213136"/>
    <w:rsid w:val="002146DD"/>
    <w:rsid w:val="002147AE"/>
    <w:rsid w:val="002164F3"/>
    <w:rsid w:val="00216F5D"/>
    <w:rsid w:val="0021738A"/>
    <w:rsid w:val="002177A6"/>
    <w:rsid w:val="00217F2B"/>
    <w:rsid w:val="0022035F"/>
    <w:rsid w:val="002204C8"/>
    <w:rsid w:val="00220DC0"/>
    <w:rsid w:val="00220DF7"/>
    <w:rsid w:val="0022115D"/>
    <w:rsid w:val="0022149E"/>
    <w:rsid w:val="00221774"/>
    <w:rsid w:val="00223EAF"/>
    <w:rsid w:val="00224E6C"/>
    <w:rsid w:val="002254DD"/>
    <w:rsid w:val="0022594D"/>
    <w:rsid w:val="0022757D"/>
    <w:rsid w:val="0022777B"/>
    <w:rsid w:val="00227BCE"/>
    <w:rsid w:val="0023015B"/>
    <w:rsid w:val="00230732"/>
    <w:rsid w:val="00231ADF"/>
    <w:rsid w:val="0023223E"/>
    <w:rsid w:val="002329BD"/>
    <w:rsid w:val="00232DBA"/>
    <w:rsid w:val="00234369"/>
    <w:rsid w:val="002344BC"/>
    <w:rsid w:val="00234CD9"/>
    <w:rsid w:val="00235C0A"/>
    <w:rsid w:val="002368FE"/>
    <w:rsid w:val="002372FB"/>
    <w:rsid w:val="00240BCD"/>
    <w:rsid w:val="00241317"/>
    <w:rsid w:val="002417C0"/>
    <w:rsid w:val="00241DB4"/>
    <w:rsid w:val="00241FFA"/>
    <w:rsid w:val="00242AF3"/>
    <w:rsid w:val="00242CCB"/>
    <w:rsid w:val="00243A3B"/>
    <w:rsid w:val="00243A88"/>
    <w:rsid w:val="00243AF1"/>
    <w:rsid w:val="00243E8D"/>
    <w:rsid w:val="00243EDD"/>
    <w:rsid w:val="0024407A"/>
    <w:rsid w:val="0024414B"/>
    <w:rsid w:val="002447F8"/>
    <w:rsid w:val="00244DF5"/>
    <w:rsid w:val="00244F31"/>
    <w:rsid w:val="002453B0"/>
    <w:rsid w:val="00246043"/>
    <w:rsid w:val="002463F3"/>
    <w:rsid w:val="002466DF"/>
    <w:rsid w:val="002469B1"/>
    <w:rsid w:val="00246AF6"/>
    <w:rsid w:val="00246FEE"/>
    <w:rsid w:val="00250470"/>
    <w:rsid w:val="00250F50"/>
    <w:rsid w:val="00251A29"/>
    <w:rsid w:val="0025274E"/>
    <w:rsid w:val="00252AC9"/>
    <w:rsid w:val="002532F4"/>
    <w:rsid w:val="0025394D"/>
    <w:rsid w:val="00254E21"/>
    <w:rsid w:val="00254EA3"/>
    <w:rsid w:val="00255D97"/>
    <w:rsid w:val="0025674E"/>
    <w:rsid w:val="00256E08"/>
    <w:rsid w:val="002577A0"/>
    <w:rsid w:val="00260985"/>
    <w:rsid w:val="00260A17"/>
    <w:rsid w:val="00261E40"/>
    <w:rsid w:val="00261F9A"/>
    <w:rsid w:val="0026223F"/>
    <w:rsid w:val="002622AD"/>
    <w:rsid w:val="00262868"/>
    <w:rsid w:val="002628C7"/>
    <w:rsid w:val="00262EAE"/>
    <w:rsid w:val="00263035"/>
    <w:rsid w:val="0026310B"/>
    <w:rsid w:val="002646F9"/>
    <w:rsid w:val="00266363"/>
    <w:rsid w:val="0026700A"/>
    <w:rsid w:val="00267466"/>
    <w:rsid w:val="00267693"/>
    <w:rsid w:val="002700F2"/>
    <w:rsid w:val="00271A88"/>
    <w:rsid w:val="00271C6C"/>
    <w:rsid w:val="002721B7"/>
    <w:rsid w:val="00272352"/>
    <w:rsid w:val="0027260C"/>
    <w:rsid w:val="00272CAB"/>
    <w:rsid w:val="00272F96"/>
    <w:rsid w:val="002736D0"/>
    <w:rsid w:val="002737EE"/>
    <w:rsid w:val="00273F2F"/>
    <w:rsid w:val="00273F8A"/>
    <w:rsid w:val="002748BF"/>
    <w:rsid w:val="00274BD3"/>
    <w:rsid w:val="002759C0"/>
    <w:rsid w:val="00275A4F"/>
    <w:rsid w:val="00276048"/>
    <w:rsid w:val="00277E6A"/>
    <w:rsid w:val="0028118A"/>
    <w:rsid w:val="00281AD6"/>
    <w:rsid w:val="00281E46"/>
    <w:rsid w:val="00282054"/>
    <w:rsid w:val="00282129"/>
    <w:rsid w:val="00282554"/>
    <w:rsid w:val="00285AF0"/>
    <w:rsid w:val="00290471"/>
    <w:rsid w:val="00291129"/>
    <w:rsid w:val="0029135E"/>
    <w:rsid w:val="002917F1"/>
    <w:rsid w:val="002917F4"/>
    <w:rsid w:val="00291D84"/>
    <w:rsid w:val="00294786"/>
    <w:rsid w:val="00294819"/>
    <w:rsid w:val="00295534"/>
    <w:rsid w:val="002964A8"/>
    <w:rsid w:val="00297FB3"/>
    <w:rsid w:val="002A087D"/>
    <w:rsid w:val="002A1B26"/>
    <w:rsid w:val="002A2074"/>
    <w:rsid w:val="002A270A"/>
    <w:rsid w:val="002A2950"/>
    <w:rsid w:val="002A29A6"/>
    <w:rsid w:val="002A2D61"/>
    <w:rsid w:val="002A350F"/>
    <w:rsid w:val="002A39D9"/>
    <w:rsid w:val="002A468D"/>
    <w:rsid w:val="002A4911"/>
    <w:rsid w:val="002A55F5"/>
    <w:rsid w:val="002A56BD"/>
    <w:rsid w:val="002A5989"/>
    <w:rsid w:val="002A60A7"/>
    <w:rsid w:val="002A63F0"/>
    <w:rsid w:val="002A6678"/>
    <w:rsid w:val="002A7141"/>
    <w:rsid w:val="002A7365"/>
    <w:rsid w:val="002A751D"/>
    <w:rsid w:val="002B126A"/>
    <w:rsid w:val="002B23F7"/>
    <w:rsid w:val="002B3020"/>
    <w:rsid w:val="002B3291"/>
    <w:rsid w:val="002B36EC"/>
    <w:rsid w:val="002B4DD7"/>
    <w:rsid w:val="002B6A24"/>
    <w:rsid w:val="002B6EDD"/>
    <w:rsid w:val="002B7B54"/>
    <w:rsid w:val="002B7F3D"/>
    <w:rsid w:val="002C000E"/>
    <w:rsid w:val="002C030D"/>
    <w:rsid w:val="002C0AB4"/>
    <w:rsid w:val="002C107F"/>
    <w:rsid w:val="002C13C9"/>
    <w:rsid w:val="002C1C17"/>
    <w:rsid w:val="002C1F11"/>
    <w:rsid w:val="002C48FE"/>
    <w:rsid w:val="002C4CDF"/>
    <w:rsid w:val="002C4E98"/>
    <w:rsid w:val="002C605C"/>
    <w:rsid w:val="002C72BA"/>
    <w:rsid w:val="002C7CD6"/>
    <w:rsid w:val="002C7F2F"/>
    <w:rsid w:val="002D0878"/>
    <w:rsid w:val="002D0EC4"/>
    <w:rsid w:val="002D112D"/>
    <w:rsid w:val="002D383C"/>
    <w:rsid w:val="002D3930"/>
    <w:rsid w:val="002D3EAE"/>
    <w:rsid w:val="002D4669"/>
    <w:rsid w:val="002D46CF"/>
    <w:rsid w:val="002D4931"/>
    <w:rsid w:val="002D53AC"/>
    <w:rsid w:val="002D55CD"/>
    <w:rsid w:val="002D6135"/>
    <w:rsid w:val="002D62B2"/>
    <w:rsid w:val="002D65C1"/>
    <w:rsid w:val="002D6BD9"/>
    <w:rsid w:val="002D72AA"/>
    <w:rsid w:val="002D758F"/>
    <w:rsid w:val="002D7C25"/>
    <w:rsid w:val="002E01F4"/>
    <w:rsid w:val="002E0ADD"/>
    <w:rsid w:val="002E2764"/>
    <w:rsid w:val="002E2830"/>
    <w:rsid w:val="002E2969"/>
    <w:rsid w:val="002E33DE"/>
    <w:rsid w:val="002E36F8"/>
    <w:rsid w:val="002E47DA"/>
    <w:rsid w:val="002E4812"/>
    <w:rsid w:val="002E4D07"/>
    <w:rsid w:val="002E4D69"/>
    <w:rsid w:val="002E4DA4"/>
    <w:rsid w:val="002E4E9C"/>
    <w:rsid w:val="002E4F72"/>
    <w:rsid w:val="002E7366"/>
    <w:rsid w:val="002F0CBE"/>
    <w:rsid w:val="002F0D05"/>
    <w:rsid w:val="002F0FE0"/>
    <w:rsid w:val="002F30DF"/>
    <w:rsid w:val="002F318F"/>
    <w:rsid w:val="002F3439"/>
    <w:rsid w:val="002F40F7"/>
    <w:rsid w:val="002F450B"/>
    <w:rsid w:val="002F4E37"/>
    <w:rsid w:val="002F66ED"/>
    <w:rsid w:val="002F6BC7"/>
    <w:rsid w:val="002F7B40"/>
    <w:rsid w:val="00300F74"/>
    <w:rsid w:val="0030211F"/>
    <w:rsid w:val="00303659"/>
    <w:rsid w:val="0030485B"/>
    <w:rsid w:val="0030573C"/>
    <w:rsid w:val="0030631B"/>
    <w:rsid w:val="0030669A"/>
    <w:rsid w:val="00307900"/>
    <w:rsid w:val="0031057A"/>
    <w:rsid w:val="003106B7"/>
    <w:rsid w:val="00310A23"/>
    <w:rsid w:val="00310A87"/>
    <w:rsid w:val="00310AB8"/>
    <w:rsid w:val="00312039"/>
    <w:rsid w:val="00312517"/>
    <w:rsid w:val="00313597"/>
    <w:rsid w:val="003135F1"/>
    <w:rsid w:val="0031452D"/>
    <w:rsid w:val="00315C95"/>
    <w:rsid w:val="00316302"/>
    <w:rsid w:val="00317653"/>
    <w:rsid w:val="00317AB8"/>
    <w:rsid w:val="003214A8"/>
    <w:rsid w:val="00321818"/>
    <w:rsid w:val="00322E08"/>
    <w:rsid w:val="0032324C"/>
    <w:rsid w:val="00324966"/>
    <w:rsid w:val="00324D7E"/>
    <w:rsid w:val="0032504E"/>
    <w:rsid w:val="003255C6"/>
    <w:rsid w:val="00326352"/>
    <w:rsid w:val="00326509"/>
    <w:rsid w:val="003271C6"/>
    <w:rsid w:val="00327914"/>
    <w:rsid w:val="003305DB"/>
    <w:rsid w:val="00330B2C"/>
    <w:rsid w:val="00330FFD"/>
    <w:rsid w:val="003314EF"/>
    <w:rsid w:val="00331F86"/>
    <w:rsid w:val="00331FCD"/>
    <w:rsid w:val="003329DE"/>
    <w:rsid w:val="00333154"/>
    <w:rsid w:val="003338D8"/>
    <w:rsid w:val="003338DF"/>
    <w:rsid w:val="0033433A"/>
    <w:rsid w:val="0033437A"/>
    <w:rsid w:val="00334EBB"/>
    <w:rsid w:val="0033650F"/>
    <w:rsid w:val="0033664A"/>
    <w:rsid w:val="00336B25"/>
    <w:rsid w:val="00336C7F"/>
    <w:rsid w:val="00336CC3"/>
    <w:rsid w:val="00336D5C"/>
    <w:rsid w:val="00337808"/>
    <w:rsid w:val="00337F35"/>
    <w:rsid w:val="00337FB6"/>
    <w:rsid w:val="00340E45"/>
    <w:rsid w:val="0034100D"/>
    <w:rsid w:val="0034294F"/>
    <w:rsid w:val="0034393E"/>
    <w:rsid w:val="00343E22"/>
    <w:rsid w:val="0034415E"/>
    <w:rsid w:val="003441D8"/>
    <w:rsid w:val="00344B32"/>
    <w:rsid w:val="00346D1D"/>
    <w:rsid w:val="00347415"/>
    <w:rsid w:val="0035058C"/>
    <w:rsid w:val="00350BA9"/>
    <w:rsid w:val="00352153"/>
    <w:rsid w:val="00352C3D"/>
    <w:rsid w:val="003537E7"/>
    <w:rsid w:val="003540B6"/>
    <w:rsid w:val="003551AD"/>
    <w:rsid w:val="00355886"/>
    <w:rsid w:val="00355B85"/>
    <w:rsid w:val="00355BC8"/>
    <w:rsid w:val="0035607E"/>
    <w:rsid w:val="00356BE4"/>
    <w:rsid w:val="00356E8E"/>
    <w:rsid w:val="0035760F"/>
    <w:rsid w:val="00357FF6"/>
    <w:rsid w:val="00360B2C"/>
    <w:rsid w:val="00360EBE"/>
    <w:rsid w:val="003620DC"/>
    <w:rsid w:val="003620E8"/>
    <w:rsid w:val="003630E1"/>
    <w:rsid w:val="00363176"/>
    <w:rsid w:val="00363200"/>
    <w:rsid w:val="00364152"/>
    <w:rsid w:val="00364C4A"/>
    <w:rsid w:val="003652F2"/>
    <w:rsid w:val="003663E5"/>
    <w:rsid w:val="00367CED"/>
    <w:rsid w:val="003705E9"/>
    <w:rsid w:val="00370BBA"/>
    <w:rsid w:val="00370F04"/>
    <w:rsid w:val="003715F9"/>
    <w:rsid w:val="00371C6B"/>
    <w:rsid w:val="003729E7"/>
    <w:rsid w:val="00372ECA"/>
    <w:rsid w:val="003730E4"/>
    <w:rsid w:val="00373786"/>
    <w:rsid w:val="0037460D"/>
    <w:rsid w:val="00374AA2"/>
    <w:rsid w:val="00375117"/>
    <w:rsid w:val="00375179"/>
    <w:rsid w:val="003758C9"/>
    <w:rsid w:val="00375E80"/>
    <w:rsid w:val="003766E4"/>
    <w:rsid w:val="0038001E"/>
    <w:rsid w:val="00380753"/>
    <w:rsid w:val="00380798"/>
    <w:rsid w:val="00382872"/>
    <w:rsid w:val="00382A4D"/>
    <w:rsid w:val="00383565"/>
    <w:rsid w:val="00385276"/>
    <w:rsid w:val="00385448"/>
    <w:rsid w:val="00385D60"/>
    <w:rsid w:val="0038670A"/>
    <w:rsid w:val="0038728D"/>
    <w:rsid w:val="0039058F"/>
    <w:rsid w:val="00391197"/>
    <w:rsid w:val="00391B9A"/>
    <w:rsid w:val="00392191"/>
    <w:rsid w:val="00392AAE"/>
    <w:rsid w:val="00392BA1"/>
    <w:rsid w:val="00393511"/>
    <w:rsid w:val="00393971"/>
    <w:rsid w:val="003942F4"/>
    <w:rsid w:val="00394355"/>
    <w:rsid w:val="003951D5"/>
    <w:rsid w:val="0039635E"/>
    <w:rsid w:val="0039656D"/>
    <w:rsid w:val="00396DD5"/>
    <w:rsid w:val="0039786E"/>
    <w:rsid w:val="00397D00"/>
    <w:rsid w:val="003A051E"/>
    <w:rsid w:val="003A19A7"/>
    <w:rsid w:val="003A2CC6"/>
    <w:rsid w:val="003A3185"/>
    <w:rsid w:val="003A35BD"/>
    <w:rsid w:val="003A3651"/>
    <w:rsid w:val="003A390C"/>
    <w:rsid w:val="003A40DC"/>
    <w:rsid w:val="003A42C6"/>
    <w:rsid w:val="003A4381"/>
    <w:rsid w:val="003A4A2A"/>
    <w:rsid w:val="003A634D"/>
    <w:rsid w:val="003A6923"/>
    <w:rsid w:val="003A763F"/>
    <w:rsid w:val="003A7663"/>
    <w:rsid w:val="003A7A8A"/>
    <w:rsid w:val="003A7C74"/>
    <w:rsid w:val="003A7F65"/>
    <w:rsid w:val="003B054B"/>
    <w:rsid w:val="003B0AED"/>
    <w:rsid w:val="003B0F47"/>
    <w:rsid w:val="003B194B"/>
    <w:rsid w:val="003B2EAE"/>
    <w:rsid w:val="003B3133"/>
    <w:rsid w:val="003B6B1F"/>
    <w:rsid w:val="003B7CA2"/>
    <w:rsid w:val="003C007A"/>
    <w:rsid w:val="003C01D6"/>
    <w:rsid w:val="003C04AE"/>
    <w:rsid w:val="003C04F9"/>
    <w:rsid w:val="003C1461"/>
    <w:rsid w:val="003C17F5"/>
    <w:rsid w:val="003C22E6"/>
    <w:rsid w:val="003C2C5B"/>
    <w:rsid w:val="003C4330"/>
    <w:rsid w:val="003C4A8E"/>
    <w:rsid w:val="003C6147"/>
    <w:rsid w:val="003C6993"/>
    <w:rsid w:val="003C7455"/>
    <w:rsid w:val="003C77DB"/>
    <w:rsid w:val="003D088E"/>
    <w:rsid w:val="003D1527"/>
    <w:rsid w:val="003D25FE"/>
    <w:rsid w:val="003D36FB"/>
    <w:rsid w:val="003D4F2F"/>
    <w:rsid w:val="003D5797"/>
    <w:rsid w:val="003D5801"/>
    <w:rsid w:val="003D5B31"/>
    <w:rsid w:val="003D5B63"/>
    <w:rsid w:val="003D6118"/>
    <w:rsid w:val="003D6BD7"/>
    <w:rsid w:val="003D6DC8"/>
    <w:rsid w:val="003D6F3D"/>
    <w:rsid w:val="003D7340"/>
    <w:rsid w:val="003E0300"/>
    <w:rsid w:val="003E0C7A"/>
    <w:rsid w:val="003E0CD3"/>
    <w:rsid w:val="003E2A0B"/>
    <w:rsid w:val="003E48AC"/>
    <w:rsid w:val="003E5990"/>
    <w:rsid w:val="003E604D"/>
    <w:rsid w:val="003E6102"/>
    <w:rsid w:val="003E6359"/>
    <w:rsid w:val="003E7DCB"/>
    <w:rsid w:val="003F068A"/>
    <w:rsid w:val="003F07CF"/>
    <w:rsid w:val="003F1710"/>
    <w:rsid w:val="003F21AB"/>
    <w:rsid w:val="003F2550"/>
    <w:rsid w:val="003F54A7"/>
    <w:rsid w:val="003F6117"/>
    <w:rsid w:val="003F73A4"/>
    <w:rsid w:val="003F75E4"/>
    <w:rsid w:val="00400324"/>
    <w:rsid w:val="00400399"/>
    <w:rsid w:val="00400632"/>
    <w:rsid w:val="00400BF9"/>
    <w:rsid w:val="00401F22"/>
    <w:rsid w:val="004027B7"/>
    <w:rsid w:val="004047BF"/>
    <w:rsid w:val="004052F2"/>
    <w:rsid w:val="004078B5"/>
    <w:rsid w:val="0040791E"/>
    <w:rsid w:val="004106B1"/>
    <w:rsid w:val="004111AD"/>
    <w:rsid w:val="00411207"/>
    <w:rsid w:val="00411CDE"/>
    <w:rsid w:val="00412AF5"/>
    <w:rsid w:val="00415021"/>
    <w:rsid w:val="00415202"/>
    <w:rsid w:val="0041548D"/>
    <w:rsid w:val="00416AFB"/>
    <w:rsid w:val="00416D98"/>
    <w:rsid w:val="00420157"/>
    <w:rsid w:val="00420388"/>
    <w:rsid w:val="00420835"/>
    <w:rsid w:val="00420855"/>
    <w:rsid w:val="00422308"/>
    <w:rsid w:val="00422D1B"/>
    <w:rsid w:val="00423840"/>
    <w:rsid w:val="0042406F"/>
    <w:rsid w:val="00424554"/>
    <w:rsid w:val="00424CAF"/>
    <w:rsid w:val="00425442"/>
    <w:rsid w:val="004254CB"/>
    <w:rsid w:val="004256AB"/>
    <w:rsid w:val="00425EE7"/>
    <w:rsid w:val="00426EEE"/>
    <w:rsid w:val="00427A43"/>
    <w:rsid w:val="00430028"/>
    <w:rsid w:val="0043052A"/>
    <w:rsid w:val="00430859"/>
    <w:rsid w:val="00430C55"/>
    <w:rsid w:val="0043169F"/>
    <w:rsid w:val="00431B78"/>
    <w:rsid w:val="004327C6"/>
    <w:rsid w:val="004335ED"/>
    <w:rsid w:val="0043404D"/>
    <w:rsid w:val="00434881"/>
    <w:rsid w:val="00434D2B"/>
    <w:rsid w:val="0043597F"/>
    <w:rsid w:val="00435A37"/>
    <w:rsid w:val="00436FFC"/>
    <w:rsid w:val="004379A2"/>
    <w:rsid w:val="00437B0A"/>
    <w:rsid w:val="0044005C"/>
    <w:rsid w:val="00440616"/>
    <w:rsid w:val="004408C4"/>
    <w:rsid w:val="00440BF0"/>
    <w:rsid w:val="00441B9E"/>
    <w:rsid w:val="004425D4"/>
    <w:rsid w:val="00442668"/>
    <w:rsid w:val="00442FA3"/>
    <w:rsid w:val="00443CFD"/>
    <w:rsid w:val="00443E6C"/>
    <w:rsid w:val="004441CC"/>
    <w:rsid w:val="004447AF"/>
    <w:rsid w:val="00444A63"/>
    <w:rsid w:val="00444DA5"/>
    <w:rsid w:val="00444EF7"/>
    <w:rsid w:val="004453CB"/>
    <w:rsid w:val="004458E1"/>
    <w:rsid w:val="00447664"/>
    <w:rsid w:val="00447B38"/>
    <w:rsid w:val="0045002A"/>
    <w:rsid w:val="0045071C"/>
    <w:rsid w:val="004512D1"/>
    <w:rsid w:val="00451C83"/>
    <w:rsid w:val="004537E8"/>
    <w:rsid w:val="0045451C"/>
    <w:rsid w:val="0045463C"/>
    <w:rsid w:val="00455216"/>
    <w:rsid w:val="004565ED"/>
    <w:rsid w:val="004568D6"/>
    <w:rsid w:val="0045773E"/>
    <w:rsid w:val="00457E4B"/>
    <w:rsid w:val="004604FA"/>
    <w:rsid w:val="00460A7A"/>
    <w:rsid w:val="00460BAD"/>
    <w:rsid w:val="00462282"/>
    <w:rsid w:val="0046357A"/>
    <w:rsid w:val="004648E1"/>
    <w:rsid w:val="00465581"/>
    <w:rsid w:val="00466944"/>
    <w:rsid w:val="004670EC"/>
    <w:rsid w:val="004674C8"/>
    <w:rsid w:val="0047063B"/>
    <w:rsid w:val="004729F7"/>
    <w:rsid w:val="00472AD9"/>
    <w:rsid w:val="00472BE1"/>
    <w:rsid w:val="00473318"/>
    <w:rsid w:val="004740DF"/>
    <w:rsid w:val="0047552D"/>
    <w:rsid w:val="0047656D"/>
    <w:rsid w:val="00476B66"/>
    <w:rsid w:val="00477A5D"/>
    <w:rsid w:val="00480741"/>
    <w:rsid w:val="00481FBD"/>
    <w:rsid w:val="00482038"/>
    <w:rsid w:val="00482314"/>
    <w:rsid w:val="00482340"/>
    <w:rsid w:val="004825E8"/>
    <w:rsid w:val="00482B47"/>
    <w:rsid w:val="00482C8E"/>
    <w:rsid w:val="00484277"/>
    <w:rsid w:val="00484D9C"/>
    <w:rsid w:val="00485017"/>
    <w:rsid w:val="00485122"/>
    <w:rsid w:val="00485133"/>
    <w:rsid w:val="0048525C"/>
    <w:rsid w:val="00485330"/>
    <w:rsid w:val="0048533F"/>
    <w:rsid w:val="00485960"/>
    <w:rsid w:val="004862E8"/>
    <w:rsid w:val="004863B4"/>
    <w:rsid w:val="00486644"/>
    <w:rsid w:val="00486B04"/>
    <w:rsid w:val="004870D1"/>
    <w:rsid w:val="00487386"/>
    <w:rsid w:val="00490227"/>
    <w:rsid w:val="004909C1"/>
    <w:rsid w:val="00491F1A"/>
    <w:rsid w:val="004925A8"/>
    <w:rsid w:val="00492C8A"/>
    <w:rsid w:val="004931F5"/>
    <w:rsid w:val="004948C1"/>
    <w:rsid w:val="00495444"/>
    <w:rsid w:val="004955D7"/>
    <w:rsid w:val="004956E2"/>
    <w:rsid w:val="00495835"/>
    <w:rsid w:val="00495F17"/>
    <w:rsid w:val="00495F2A"/>
    <w:rsid w:val="00496FE9"/>
    <w:rsid w:val="00497467"/>
    <w:rsid w:val="0049768C"/>
    <w:rsid w:val="004A0A59"/>
    <w:rsid w:val="004A0EA3"/>
    <w:rsid w:val="004A1863"/>
    <w:rsid w:val="004A18B7"/>
    <w:rsid w:val="004A21EC"/>
    <w:rsid w:val="004A234F"/>
    <w:rsid w:val="004A2A76"/>
    <w:rsid w:val="004A3D6D"/>
    <w:rsid w:val="004A56DC"/>
    <w:rsid w:val="004A7C02"/>
    <w:rsid w:val="004B087C"/>
    <w:rsid w:val="004B1B94"/>
    <w:rsid w:val="004B1C8F"/>
    <w:rsid w:val="004B1E26"/>
    <w:rsid w:val="004B2402"/>
    <w:rsid w:val="004B40B5"/>
    <w:rsid w:val="004B433D"/>
    <w:rsid w:val="004B4712"/>
    <w:rsid w:val="004B4B4A"/>
    <w:rsid w:val="004B522E"/>
    <w:rsid w:val="004B53C0"/>
    <w:rsid w:val="004B619A"/>
    <w:rsid w:val="004B678D"/>
    <w:rsid w:val="004B6BDF"/>
    <w:rsid w:val="004B6D59"/>
    <w:rsid w:val="004B6DDF"/>
    <w:rsid w:val="004B6EC5"/>
    <w:rsid w:val="004B76F0"/>
    <w:rsid w:val="004C2911"/>
    <w:rsid w:val="004C3049"/>
    <w:rsid w:val="004C3777"/>
    <w:rsid w:val="004C394D"/>
    <w:rsid w:val="004C39AB"/>
    <w:rsid w:val="004C3D88"/>
    <w:rsid w:val="004C45EC"/>
    <w:rsid w:val="004C4CFD"/>
    <w:rsid w:val="004C58E0"/>
    <w:rsid w:val="004C60AB"/>
    <w:rsid w:val="004C7ACA"/>
    <w:rsid w:val="004D11AA"/>
    <w:rsid w:val="004D1B8E"/>
    <w:rsid w:val="004D21E7"/>
    <w:rsid w:val="004D2754"/>
    <w:rsid w:val="004D29D7"/>
    <w:rsid w:val="004D34F1"/>
    <w:rsid w:val="004D37B5"/>
    <w:rsid w:val="004D42C8"/>
    <w:rsid w:val="004D44F3"/>
    <w:rsid w:val="004D44FE"/>
    <w:rsid w:val="004D7A45"/>
    <w:rsid w:val="004D7B15"/>
    <w:rsid w:val="004E007A"/>
    <w:rsid w:val="004E02B0"/>
    <w:rsid w:val="004E16DC"/>
    <w:rsid w:val="004E19BC"/>
    <w:rsid w:val="004E1FAA"/>
    <w:rsid w:val="004E1FFB"/>
    <w:rsid w:val="004E4311"/>
    <w:rsid w:val="004E4AB6"/>
    <w:rsid w:val="004E6032"/>
    <w:rsid w:val="004E6FF0"/>
    <w:rsid w:val="004E7922"/>
    <w:rsid w:val="004F0534"/>
    <w:rsid w:val="004F068B"/>
    <w:rsid w:val="004F0B8E"/>
    <w:rsid w:val="004F0DFF"/>
    <w:rsid w:val="004F102B"/>
    <w:rsid w:val="004F10F1"/>
    <w:rsid w:val="004F1D63"/>
    <w:rsid w:val="004F20BB"/>
    <w:rsid w:val="004F2160"/>
    <w:rsid w:val="004F23AC"/>
    <w:rsid w:val="004F25ED"/>
    <w:rsid w:val="004F2AC3"/>
    <w:rsid w:val="004F4C66"/>
    <w:rsid w:val="004F4C91"/>
    <w:rsid w:val="004F53D2"/>
    <w:rsid w:val="004F56E7"/>
    <w:rsid w:val="004F5AFC"/>
    <w:rsid w:val="004F6585"/>
    <w:rsid w:val="004F6D07"/>
    <w:rsid w:val="00500BCC"/>
    <w:rsid w:val="0050143D"/>
    <w:rsid w:val="00501B99"/>
    <w:rsid w:val="005029E5"/>
    <w:rsid w:val="00502DF5"/>
    <w:rsid w:val="0050381E"/>
    <w:rsid w:val="00503F05"/>
    <w:rsid w:val="00504BF1"/>
    <w:rsid w:val="00505401"/>
    <w:rsid w:val="005057F2"/>
    <w:rsid w:val="0050655C"/>
    <w:rsid w:val="00507A02"/>
    <w:rsid w:val="00507C02"/>
    <w:rsid w:val="00510384"/>
    <w:rsid w:val="005117E9"/>
    <w:rsid w:val="00512C6B"/>
    <w:rsid w:val="00513933"/>
    <w:rsid w:val="005144C5"/>
    <w:rsid w:val="005164BD"/>
    <w:rsid w:val="00516DB0"/>
    <w:rsid w:val="00516E8A"/>
    <w:rsid w:val="00516FE1"/>
    <w:rsid w:val="00517119"/>
    <w:rsid w:val="00517A73"/>
    <w:rsid w:val="00517FB2"/>
    <w:rsid w:val="0052142B"/>
    <w:rsid w:val="00521C71"/>
    <w:rsid w:val="005220A6"/>
    <w:rsid w:val="005220E5"/>
    <w:rsid w:val="00522AC3"/>
    <w:rsid w:val="00523499"/>
    <w:rsid w:val="00524908"/>
    <w:rsid w:val="00524D32"/>
    <w:rsid w:val="00525D59"/>
    <w:rsid w:val="005265C4"/>
    <w:rsid w:val="0052718B"/>
    <w:rsid w:val="0052779D"/>
    <w:rsid w:val="00530A49"/>
    <w:rsid w:val="00530C6B"/>
    <w:rsid w:val="0053148A"/>
    <w:rsid w:val="0053156F"/>
    <w:rsid w:val="005315DB"/>
    <w:rsid w:val="00531887"/>
    <w:rsid w:val="00531DAC"/>
    <w:rsid w:val="005328C4"/>
    <w:rsid w:val="00532AA0"/>
    <w:rsid w:val="00533073"/>
    <w:rsid w:val="00534371"/>
    <w:rsid w:val="00534CC7"/>
    <w:rsid w:val="00534F24"/>
    <w:rsid w:val="00535C7B"/>
    <w:rsid w:val="00535F29"/>
    <w:rsid w:val="005367BA"/>
    <w:rsid w:val="00536F19"/>
    <w:rsid w:val="005407EB"/>
    <w:rsid w:val="00540C02"/>
    <w:rsid w:val="00540D4A"/>
    <w:rsid w:val="0054109F"/>
    <w:rsid w:val="0054120A"/>
    <w:rsid w:val="00541C79"/>
    <w:rsid w:val="005423B8"/>
    <w:rsid w:val="005430FE"/>
    <w:rsid w:val="00543588"/>
    <w:rsid w:val="00543670"/>
    <w:rsid w:val="00543779"/>
    <w:rsid w:val="00544C37"/>
    <w:rsid w:val="00545838"/>
    <w:rsid w:val="0054668D"/>
    <w:rsid w:val="0054715F"/>
    <w:rsid w:val="005501C5"/>
    <w:rsid w:val="00551642"/>
    <w:rsid w:val="00553847"/>
    <w:rsid w:val="00553B65"/>
    <w:rsid w:val="00553C85"/>
    <w:rsid w:val="00554BFA"/>
    <w:rsid w:val="00555D9D"/>
    <w:rsid w:val="005561BE"/>
    <w:rsid w:val="00556CFE"/>
    <w:rsid w:val="005601F4"/>
    <w:rsid w:val="0056053E"/>
    <w:rsid w:val="0056146C"/>
    <w:rsid w:val="00561474"/>
    <w:rsid w:val="00561797"/>
    <w:rsid w:val="00561AC0"/>
    <w:rsid w:val="00562C4B"/>
    <w:rsid w:val="00563C01"/>
    <w:rsid w:val="00563FD2"/>
    <w:rsid w:val="005659BF"/>
    <w:rsid w:val="005711FC"/>
    <w:rsid w:val="00572FA1"/>
    <w:rsid w:val="005741E0"/>
    <w:rsid w:val="005747B8"/>
    <w:rsid w:val="00574B7A"/>
    <w:rsid w:val="00575C0A"/>
    <w:rsid w:val="00575CD4"/>
    <w:rsid w:val="005761FB"/>
    <w:rsid w:val="005765AC"/>
    <w:rsid w:val="00580278"/>
    <w:rsid w:val="00580868"/>
    <w:rsid w:val="00580BC5"/>
    <w:rsid w:val="005819CF"/>
    <w:rsid w:val="00582FBE"/>
    <w:rsid w:val="00583028"/>
    <w:rsid w:val="00583449"/>
    <w:rsid w:val="0058365F"/>
    <w:rsid w:val="005844B1"/>
    <w:rsid w:val="00584D48"/>
    <w:rsid w:val="00585E5C"/>
    <w:rsid w:val="00586083"/>
    <w:rsid w:val="0058761A"/>
    <w:rsid w:val="00590881"/>
    <w:rsid w:val="00590A0D"/>
    <w:rsid w:val="00590B03"/>
    <w:rsid w:val="00591A65"/>
    <w:rsid w:val="00591B99"/>
    <w:rsid w:val="005937D5"/>
    <w:rsid w:val="00593E10"/>
    <w:rsid w:val="005949AB"/>
    <w:rsid w:val="00595A72"/>
    <w:rsid w:val="00595C68"/>
    <w:rsid w:val="00596064"/>
    <w:rsid w:val="00596DF7"/>
    <w:rsid w:val="005972B6"/>
    <w:rsid w:val="00597403"/>
    <w:rsid w:val="005975A7"/>
    <w:rsid w:val="0059782F"/>
    <w:rsid w:val="00597CFB"/>
    <w:rsid w:val="005A0168"/>
    <w:rsid w:val="005A0E9B"/>
    <w:rsid w:val="005A3CCC"/>
    <w:rsid w:val="005A4931"/>
    <w:rsid w:val="005A4C5F"/>
    <w:rsid w:val="005A5D74"/>
    <w:rsid w:val="005A73BF"/>
    <w:rsid w:val="005B05B4"/>
    <w:rsid w:val="005B0B75"/>
    <w:rsid w:val="005B0BC6"/>
    <w:rsid w:val="005B0CF1"/>
    <w:rsid w:val="005B29E9"/>
    <w:rsid w:val="005B34F4"/>
    <w:rsid w:val="005B3688"/>
    <w:rsid w:val="005B3BEA"/>
    <w:rsid w:val="005B3C7F"/>
    <w:rsid w:val="005B55E6"/>
    <w:rsid w:val="005B5D3E"/>
    <w:rsid w:val="005B6206"/>
    <w:rsid w:val="005B7626"/>
    <w:rsid w:val="005B7A27"/>
    <w:rsid w:val="005B7B71"/>
    <w:rsid w:val="005B7E12"/>
    <w:rsid w:val="005C006C"/>
    <w:rsid w:val="005C1CCF"/>
    <w:rsid w:val="005C1EA8"/>
    <w:rsid w:val="005C207D"/>
    <w:rsid w:val="005C2D29"/>
    <w:rsid w:val="005C494C"/>
    <w:rsid w:val="005C6579"/>
    <w:rsid w:val="005C6D18"/>
    <w:rsid w:val="005C71A6"/>
    <w:rsid w:val="005C73A8"/>
    <w:rsid w:val="005C7986"/>
    <w:rsid w:val="005D0242"/>
    <w:rsid w:val="005D19E0"/>
    <w:rsid w:val="005D1BC4"/>
    <w:rsid w:val="005D2197"/>
    <w:rsid w:val="005D434B"/>
    <w:rsid w:val="005D5858"/>
    <w:rsid w:val="005D787C"/>
    <w:rsid w:val="005D78F0"/>
    <w:rsid w:val="005D7967"/>
    <w:rsid w:val="005E042F"/>
    <w:rsid w:val="005E0529"/>
    <w:rsid w:val="005E1D28"/>
    <w:rsid w:val="005E1E76"/>
    <w:rsid w:val="005E2B6B"/>
    <w:rsid w:val="005E4201"/>
    <w:rsid w:val="005E4450"/>
    <w:rsid w:val="005E4530"/>
    <w:rsid w:val="005E45BD"/>
    <w:rsid w:val="005E46DF"/>
    <w:rsid w:val="005E4C71"/>
    <w:rsid w:val="005E5596"/>
    <w:rsid w:val="005E60F4"/>
    <w:rsid w:val="005F0106"/>
    <w:rsid w:val="005F0A0B"/>
    <w:rsid w:val="005F1E2B"/>
    <w:rsid w:val="005F206E"/>
    <w:rsid w:val="005F2250"/>
    <w:rsid w:val="005F486A"/>
    <w:rsid w:val="005F4942"/>
    <w:rsid w:val="005F4D31"/>
    <w:rsid w:val="005F5B80"/>
    <w:rsid w:val="005F63FC"/>
    <w:rsid w:val="0060188D"/>
    <w:rsid w:val="00601AB9"/>
    <w:rsid w:val="006021BE"/>
    <w:rsid w:val="00602C6F"/>
    <w:rsid w:val="00603C2A"/>
    <w:rsid w:val="006043B6"/>
    <w:rsid w:val="00604498"/>
    <w:rsid w:val="00604A13"/>
    <w:rsid w:val="00604BBB"/>
    <w:rsid w:val="00604D2B"/>
    <w:rsid w:val="0060697F"/>
    <w:rsid w:val="006074D9"/>
    <w:rsid w:val="006077DB"/>
    <w:rsid w:val="006109EA"/>
    <w:rsid w:val="00610CCC"/>
    <w:rsid w:val="00611C36"/>
    <w:rsid w:val="00611E18"/>
    <w:rsid w:val="00612090"/>
    <w:rsid w:val="006127A7"/>
    <w:rsid w:val="00612FEA"/>
    <w:rsid w:val="0061330B"/>
    <w:rsid w:val="00615049"/>
    <w:rsid w:val="0061553D"/>
    <w:rsid w:val="0061560D"/>
    <w:rsid w:val="00615C26"/>
    <w:rsid w:val="00616188"/>
    <w:rsid w:val="00616990"/>
    <w:rsid w:val="00616B22"/>
    <w:rsid w:val="006172EE"/>
    <w:rsid w:val="00617499"/>
    <w:rsid w:val="006178D2"/>
    <w:rsid w:val="0061798E"/>
    <w:rsid w:val="00617E67"/>
    <w:rsid w:val="00620A7B"/>
    <w:rsid w:val="00620AF7"/>
    <w:rsid w:val="00620E83"/>
    <w:rsid w:val="00620F6D"/>
    <w:rsid w:val="00624BFE"/>
    <w:rsid w:val="00625282"/>
    <w:rsid w:val="00625296"/>
    <w:rsid w:val="00626388"/>
    <w:rsid w:val="00626B9E"/>
    <w:rsid w:val="00626BA2"/>
    <w:rsid w:val="006272C9"/>
    <w:rsid w:val="00630686"/>
    <w:rsid w:val="006324E3"/>
    <w:rsid w:val="00632D4D"/>
    <w:rsid w:val="006330E4"/>
    <w:rsid w:val="00633332"/>
    <w:rsid w:val="00635164"/>
    <w:rsid w:val="006361C1"/>
    <w:rsid w:val="006363C2"/>
    <w:rsid w:val="006364C9"/>
    <w:rsid w:val="00636A68"/>
    <w:rsid w:val="00636DA3"/>
    <w:rsid w:val="0063794D"/>
    <w:rsid w:val="00640227"/>
    <w:rsid w:val="006405B5"/>
    <w:rsid w:val="00641361"/>
    <w:rsid w:val="00641433"/>
    <w:rsid w:val="00641513"/>
    <w:rsid w:val="006439FE"/>
    <w:rsid w:val="00644E04"/>
    <w:rsid w:val="00646910"/>
    <w:rsid w:val="00647ECF"/>
    <w:rsid w:val="006506B4"/>
    <w:rsid w:val="0065074D"/>
    <w:rsid w:val="00650A26"/>
    <w:rsid w:val="0065124B"/>
    <w:rsid w:val="00651643"/>
    <w:rsid w:val="00651C1A"/>
    <w:rsid w:val="006529F1"/>
    <w:rsid w:val="006529F6"/>
    <w:rsid w:val="00652AF1"/>
    <w:rsid w:val="00652E02"/>
    <w:rsid w:val="006536B3"/>
    <w:rsid w:val="00653BFA"/>
    <w:rsid w:val="0065405C"/>
    <w:rsid w:val="00654E3B"/>
    <w:rsid w:val="006552B9"/>
    <w:rsid w:val="00657973"/>
    <w:rsid w:val="00657D30"/>
    <w:rsid w:val="00661A1A"/>
    <w:rsid w:val="00664306"/>
    <w:rsid w:val="006649B7"/>
    <w:rsid w:val="006656AA"/>
    <w:rsid w:val="00665790"/>
    <w:rsid w:val="00667746"/>
    <w:rsid w:val="006679A9"/>
    <w:rsid w:val="0067026B"/>
    <w:rsid w:val="00671B3C"/>
    <w:rsid w:val="00671D43"/>
    <w:rsid w:val="006723B4"/>
    <w:rsid w:val="00672504"/>
    <w:rsid w:val="00673639"/>
    <w:rsid w:val="00673695"/>
    <w:rsid w:val="00673EF9"/>
    <w:rsid w:val="006748AD"/>
    <w:rsid w:val="00675737"/>
    <w:rsid w:val="00675860"/>
    <w:rsid w:val="0067613C"/>
    <w:rsid w:val="006773D4"/>
    <w:rsid w:val="00677535"/>
    <w:rsid w:val="00680534"/>
    <w:rsid w:val="00680730"/>
    <w:rsid w:val="00680733"/>
    <w:rsid w:val="006807B0"/>
    <w:rsid w:val="00680BC7"/>
    <w:rsid w:val="00680CCA"/>
    <w:rsid w:val="00682427"/>
    <w:rsid w:val="006833EC"/>
    <w:rsid w:val="00683ABD"/>
    <w:rsid w:val="006844D6"/>
    <w:rsid w:val="0068619E"/>
    <w:rsid w:val="006863AA"/>
    <w:rsid w:val="006865AD"/>
    <w:rsid w:val="00686BA4"/>
    <w:rsid w:val="00686DD8"/>
    <w:rsid w:val="00687A1C"/>
    <w:rsid w:val="00690AA5"/>
    <w:rsid w:val="00691707"/>
    <w:rsid w:val="00691E19"/>
    <w:rsid w:val="00692372"/>
    <w:rsid w:val="00692CFC"/>
    <w:rsid w:val="00692D94"/>
    <w:rsid w:val="0069326E"/>
    <w:rsid w:val="006939F9"/>
    <w:rsid w:val="00693BDF"/>
    <w:rsid w:val="00694328"/>
    <w:rsid w:val="006943CB"/>
    <w:rsid w:val="00694C24"/>
    <w:rsid w:val="00695F8A"/>
    <w:rsid w:val="00696482"/>
    <w:rsid w:val="006968FE"/>
    <w:rsid w:val="00696B40"/>
    <w:rsid w:val="00697AEB"/>
    <w:rsid w:val="00697FAA"/>
    <w:rsid w:val="006A0739"/>
    <w:rsid w:val="006A0764"/>
    <w:rsid w:val="006A0850"/>
    <w:rsid w:val="006A0AD7"/>
    <w:rsid w:val="006A1B30"/>
    <w:rsid w:val="006A1DEA"/>
    <w:rsid w:val="006A1E96"/>
    <w:rsid w:val="006A2642"/>
    <w:rsid w:val="006A27C3"/>
    <w:rsid w:val="006A2B0C"/>
    <w:rsid w:val="006A5C2D"/>
    <w:rsid w:val="006A5CD6"/>
    <w:rsid w:val="006A6897"/>
    <w:rsid w:val="006A68A2"/>
    <w:rsid w:val="006A6918"/>
    <w:rsid w:val="006A6C6E"/>
    <w:rsid w:val="006A71F4"/>
    <w:rsid w:val="006A7361"/>
    <w:rsid w:val="006A7595"/>
    <w:rsid w:val="006A7E02"/>
    <w:rsid w:val="006B0A96"/>
    <w:rsid w:val="006B0F8D"/>
    <w:rsid w:val="006B1512"/>
    <w:rsid w:val="006B1708"/>
    <w:rsid w:val="006B1E5A"/>
    <w:rsid w:val="006B2D0B"/>
    <w:rsid w:val="006B2E61"/>
    <w:rsid w:val="006B30F8"/>
    <w:rsid w:val="006B354E"/>
    <w:rsid w:val="006B36B6"/>
    <w:rsid w:val="006B36C8"/>
    <w:rsid w:val="006B44B4"/>
    <w:rsid w:val="006B459E"/>
    <w:rsid w:val="006B4620"/>
    <w:rsid w:val="006B5A10"/>
    <w:rsid w:val="006B5B4D"/>
    <w:rsid w:val="006B7ABD"/>
    <w:rsid w:val="006C076B"/>
    <w:rsid w:val="006C0893"/>
    <w:rsid w:val="006C0F0D"/>
    <w:rsid w:val="006C17BC"/>
    <w:rsid w:val="006C2AA5"/>
    <w:rsid w:val="006C2DB7"/>
    <w:rsid w:val="006C33F4"/>
    <w:rsid w:val="006C3761"/>
    <w:rsid w:val="006C382D"/>
    <w:rsid w:val="006C3F0C"/>
    <w:rsid w:val="006C42EA"/>
    <w:rsid w:val="006C4A8C"/>
    <w:rsid w:val="006C593F"/>
    <w:rsid w:val="006C6D43"/>
    <w:rsid w:val="006C6E68"/>
    <w:rsid w:val="006C7600"/>
    <w:rsid w:val="006C784B"/>
    <w:rsid w:val="006C7976"/>
    <w:rsid w:val="006C79BC"/>
    <w:rsid w:val="006D0466"/>
    <w:rsid w:val="006D0582"/>
    <w:rsid w:val="006D118E"/>
    <w:rsid w:val="006D199E"/>
    <w:rsid w:val="006D1A59"/>
    <w:rsid w:val="006D2D16"/>
    <w:rsid w:val="006D2EB6"/>
    <w:rsid w:val="006D2FFA"/>
    <w:rsid w:val="006D4C02"/>
    <w:rsid w:val="006D537B"/>
    <w:rsid w:val="006D5491"/>
    <w:rsid w:val="006D5F23"/>
    <w:rsid w:val="006D6138"/>
    <w:rsid w:val="006D6ED3"/>
    <w:rsid w:val="006E03F2"/>
    <w:rsid w:val="006E2318"/>
    <w:rsid w:val="006E2F34"/>
    <w:rsid w:val="006E31F4"/>
    <w:rsid w:val="006E35B1"/>
    <w:rsid w:val="006E37B5"/>
    <w:rsid w:val="006E3DC7"/>
    <w:rsid w:val="006E4885"/>
    <w:rsid w:val="006E5374"/>
    <w:rsid w:val="006E74DF"/>
    <w:rsid w:val="006E7691"/>
    <w:rsid w:val="006E77F3"/>
    <w:rsid w:val="006E7ACC"/>
    <w:rsid w:val="006F12B5"/>
    <w:rsid w:val="006F143A"/>
    <w:rsid w:val="006F1668"/>
    <w:rsid w:val="006F1F40"/>
    <w:rsid w:val="006F2D27"/>
    <w:rsid w:val="006F2F17"/>
    <w:rsid w:val="006F3409"/>
    <w:rsid w:val="006F36FF"/>
    <w:rsid w:val="006F3F86"/>
    <w:rsid w:val="006F4841"/>
    <w:rsid w:val="006F5275"/>
    <w:rsid w:val="006F6543"/>
    <w:rsid w:val="006F6CFE"/>
    <w:rsid w:val="006F7861"/>
    <w:rsid w:val="007010E7"/>
    <w:rsid w:val="007013CA"/>
    <w:rsid w:val="007018AB"/>
    <w:rsid w:val="00701FF4"/>
    <w:rsid w:val="00703868"/>
    <w:rsid w:val="00703D58"/>
    <w:rsid w:val="00704850"/>
    <w:rsid w:val="007049B7"/>
    <w:rsid w:val="00704BA2"/>
    <w:rsid w:val="00704F39"/>
    <w:rsid w:val="0070505C"/>
    <w:rsid w:val="0070605F"/>
    <w:rsid w:val="007071BD"/>
    <w:rsid w:val="0070783B"/>
    <w:rsid w:val="0070785F"/>
    <w:rsid w:val="00707C50"/>
    <w:rsid w:val="00707DA5"/>
    <w:rsid w:val="0071096E"/>
    <w:rsid w:val="0071130B"/>
    <w:rsid w:val="00711940"/>
    <w:rsid w:val="0071196F"/>
    <w:rsid w:val="007120EE"/>
    <w:rsid w:val="00712E50"/>
    <w:rsid w:val="00714ED3"/>
    <w:rsid w:val="00715542"/>
    <w:rsid w:val="00716310"/>
    <w:rsid w:val="0071647C"/>
    <w:rsid w:val="00720311"/>
    <w:rsid w:val="0072058A"/>
    <w:rsid w:val="0072127D"/>
    <w:rsid w:val="00722738"/>
    <w:rsid w:val="00722916"/>
    <w:rsid w:val="00722AB7"/>
    <w:rsid w:val="00723DEF"/>
    <w:rsid w:val="00724F94"/>
    <w:rsid w:val="00726C30"/>
    <w:rsid w:val="007274DB"/>
    <w:rsid w:val="007301BA"/>
    <w:rsid w:val="00730762"/>
    <w:rsid w:val="0073152A"/>
    <w:rsid w:val="00733169"/>
    <w:rsid w:val="0073462E"/>
    <w:rsid w:val="00734EEB"/>
    <w:rsid w:val="00735259"/>
    <w:rsid w:val="00735821"/>
    <w:rsid w:val="00735828"/>
    <w:rsid w:val="00735942"/>
    <w:rsid w:val="00735C3B"/>
    <w:rsid w:val="007363C2"/>
    <w:rsid w:val="00737A66"/>
    <w:rsid w:val="00737BDD"/>
    <w:rsid w:val="00737FF7"/>
    <w:rsid w:val="00740891"/>
    <w:rsid w:val="00741147"/>
    <w:rsid w:val="00741293"/>
    <w:rsid w:val="0074219F"/>
    <w:rsid w:val="007436AE"/>
    <w:rsid w:val="0074373C"/>
    <w:rsid w:val="00743822"/>
    <w:rsid w:val="00744517"/>
    <w:rsid w:val="0074489D"/>
    <w:rsid w:val="0074544F"/>
    <w:rsid w:val="007454D2"/>
    <w:rsid w:val="00745772"/>
    <w:rsid w:val="007461AA"/>
    <w:rsid w:val="007463C6"/>
    <w:rsid w:val="00746A5A"/>
    <w:rsid w:val="00747301"/>
    <w:rsid w:val="00747652"/>
    <w:rsid w:val="007478F1"/>
    <w:rsid w:val="00750524"/>
    <w:rsid w:val="00750EA2"/>
    <w:rsid w:val="007513A3"/>
    <w:rsid w:val="00751B34"/>
    <w:rsid w:val="00751BE3"/>
    <w:rsid w:val="00751EC8"/>
    <w:rsid w:val="00752C3D"/>
    <w:rsid w:val="00753F5C"/>
    <w:rsid w:val="007546A9"/>
    <w:rsid w:val="007558E4"/>
    <w:rsid w:val="00755D36"/>
    <w:rsid w:val="00756B3F"/>
    <w:rsid w:val="00756BEB"/>
    <w:rsid w:val="0076071E"/>
    <w:rsid w:val="0076119D"/>
    <w:rsid w:val="00762415"/>
    <w:rsid w:val="00762F71"/>
    <w:rsid w:val="00763A20"/>
    <w:rsid w:val="007640FD"/>
    <w:rsid w:val="00764575"/>
    <w:rsid w:val="007647DD"/>
    <w:rsid w:val="00764C87"/>
    <w:rsid w:val="00765736"/>
    <w:rsid w:val="00765EDA"/>
    <w:rsid w:val="00767541"/>
    <w:rsid w:val="00770314"/>
    <w:rsid w:val="00770329"/>
    <w:rsid w:val="00770D5A"/>
    <w:rsid w:val="007713B2"/>
    <w:rsid w:val="00774B90"/>
    <w:rsid w:val="007757A9"/>
    <w:rsid w:val="00777529"/>
    <w:rsid w:val="00777731"/>
    <w:rsid w:val="00777745"/>
    <w:rsid w:val="00780677"/>
    <w:rsid w:val="00780816"/>
    <w:rsid w:val="0078163A"/>
    <w:rsid w:val="007816E7"/>
    <w:rsid w:val="007819EA"/>
    <w:rsid w:val="00783800"/>
    <w:rsid w:val="007840A4"/>
    <w:rsid w:val="007848E4"/>
    <w:rsid w:val="007849ED"/>
    <w:rsid w:val="00784A20"/>
    <w:rsid w:val="00785628"/>
    <w:rsid w:val="007857FB"/>
    <w:rsid w:val="00785C91"/>
    <w:rsid w:val="00786125"/>
    <w:rsid w:val="00786812"/>
    <w:rsid w:val="0079041D"/>
    <w:rsid w:val="00790814"/>
    <w:rsid w:val="00790D02"/>
    <w:rsid w:val="00792300"/>
    <w:rsid w:val="0079321F"/>
    <w:rsid w:val="00795319"/>
    <w:rsid w:val="0079617E"/>
    <w:rsid w:val="0079636F"/>
    <w:rsid w:val="00796A16"/>
    <w:rsid w:val="00796B27"/>
    <w:rsid w:val="00796FFE"/>
    <w:rsid w:val="007972EE"/>
    <w:rsid w:val="007973FE"/>
    <w:rsid w:val="007976C8"/>
    <w:rsid w:val="007A125F"/>
    <w:rsid w:val="007A17CB"/>
    <w:rsid w:val="007A1C1A"/>
    <w:rsid w:val="007A1CFB"/>
    <w:rsid w:val="007A2520"/>
    <w:rsid w:val="007A2E21"/>
    <w:rsid w:val="007A3536"/>
    <w:rsid w:val="007A3661"/>
    <w:rsid w:val="007A4649"/>
    <w:rsid w:val="007A4955"/>
    <w:rsid w:val="007A54EE"/>
    <w:rsid w:val="007A5F1C"/>
    <w:rsid w:val="007A6423"/>
    <w:rsid w:val="007A7E44"/>
    <w:rsid w:val="007B0D3A"/>
    <w:rsid w:val="007B0EE0"/>
    <w:rsid w:val="007B1C2D"/>
    <w:rsid w:val="007B2199"/>
    <w:rsid w:val="007B34A1"/>
    <w:rsid w:val="007B392F"/>
    <w:rsid w:val="007B4155"/>
    <w:rsid w:val="007B5078"/>
    <w:rsid w:val="007B561A"/>
    <w:rsid w:val="007B5695"/>
    <w:rsid w:val="007B5E3A"/>
    <w:rsid w:val="007B69CF"/>
    <w:rsid w:val="007B6BD6"/>
    <w:rsid w:val="007B6BF2"/>
    <w:rsid w:val="007B6D1E"/>
    <w:rsid w:val="007C0898"/>
    <w:rsid w:val="007C0B28"/>
    <w:rsid w:val="007C1654"/>
    <w:rsid w:val="007C2202"/>
    <w:rsid w:val="007C234E"/>
    <w:rsid w:val="007C2B9A"/>
    <w:rsid w:val="007C353F"/>
    <w:rsid w:val="007C3827"/>
    <w:rsid w:val="007C46D2"/>
    <w:rsid w:val="007C49B3"/>
    <w:rsid w:val="007C4EF7"/>
    <w:rsid w:val="007C5D7C"/>
    <w:rsid w:val="007C5FE9"/>
    <w:rsid w:val="007C68C6"/>
    <w:rsid w:val="007C7416"/>
    <w:rsid w:val="007C7BC8"/>
    <w:rsid w:val="007D00DD"/>
    <w:rsid w:val="007D044D"/>
    <w:rsid w:val="007D0627"/>
    <w:rsid w:val="007D0B2C"/>
    <w:rsid w:val="007D11A0"/>
    <w:rsid w:val="007D18F8"/>
    <w:rsid w:val="007D30EA"/>
    <w:rsid w:val="007D33AF"/>
    <w:rsid w:val="007D4865"/>
    <w:rsid w:val="007D495F"/>
    <w:rsid w:val="007D50D9"/>
    <w:rsid w:val="007D59D9"/>
    <w:rsid w:val="007D62C7"/>
    <w:rsid w:val="007D680C"/>
    <w:rsid w:val="007D7052"/>
    <w:rsid w:val="007D7155"/>
    <w:rsid w:val="007D7C96"/>
    <w:rsid w:val="007E0798"/>
    <w:rsid w:val="007E1064"/>
    <w:rsid w:val="007E141A"/>
    <w:rsid w:val="007E2B9E"/>
    <w:rsid w:val="007E310C"/>
    <w:rsid w:val="007E3AC0"/>
    <w:rsid w:val="007E3BDF"/>
    <w:rsid w:val="007E47F0"/>
    <w:rsid w:val="007E48EA"/>
    <w:rsid w:val="007E5514"/>
    <w:rsid w:val="007E5D15"/>
    <w:rsid w:val="007E7607"/>
    <w:rsid w:val="007E7B1B"/>
    <w:rsid w:val="007E7FD2"/>
    <w:rsid w:val="007F0292"/>
    <w:rsid w:val="007F08DB"/>
    <w:rsid w:val="007F09EB"/>
    <w:rsid w:val="007F0EC2"/>
    <w:rsid w:val="007F1A82"/>
    <w:rsid w:val="007F1B09"/>
    <w:rsid w:val="007F1C92"/>
    <w:rsid w:val="007F2797"/>
    <w:rsid w:val="007F2A54"/>
    <w:rsid w:val="007F2C1A"/>
    <w:rsid w:val="007F3ACA"/>
    <w:rsid w:val="007F3DFE"/>
    <w:rsid w:val="007F3F8D"/>
    <w:rsid w:val="007F45A1"/>
    <w:rsid w:val="007F4682"/>
    <w:rsid w:val="007F4B39"/>
    <w:rsid w:val="007F4B9D"/>
    <w:rsid w:val="007F4DE5"/>
    <w:rsid w:val="007F606F"/>
    <w:rsid w:val="007F7843"/>
    <w:rsid w:val="007F7958"/>
    <w:rsid w:val="008007C6"/>
    <w:rsid w:val="0080202C"/>
    <w:rsid w:val="008029B8"/>
    <w:rsid w:val="008030B3"/>
    <w:rsid w:val="00803BBB"/>
    <w:rsid w:val="00804144"/>
    <w:rsid w:val="0080429F"/>
    <w:rsid w:val="00806605"/>
    <w:rsid w:val="00806CDE"/>
    <w:rsid w:val="00806F9F"/>
    <w:rsid w:val="00807788"/>
    <w:rsid w:val="00807BD0"/>
    <w:rsid w:val="00810208"/>
    <w:rsid w:val="00810F92"/>
    <w:rsid w:val="008112F2"/>
    <w:rsid w:val="008129E0"/>
    <w:rsid w:val="00812AB7"/>
    <w:rsid w:val="00813742"/>
    <w:rsid w:val="00813F08"/>
    <w:rsid w:val="00814E6A"/>
    <w:rsid w:val="00817048"/>
    <w:rsid w:val="0081738A"/>
    <w:rsid w:val="00817DB3"/>
    <w:rsid w:val="00820139"/>
    <w:rsid w:val="008226DE"/>
    <w:rsid w:val="008249E0"/>
    <w:rsid w:val="008256C9"/>
    <w:rsid w:val="008266CF"/>
    <w:rsid w:val="00826D6F"/>
    <w:rsid w:val="0082727C"/>
    <w:rsid w:val="0083170D"/>
    <w:rsid w:val="00832079"/>
    <w:rsid w:val="008325FC"/>
    <w:rsid w:val="008329BA"/>
    <w:rsid w:val="0083339D"/>
    <w:rsid w:val="00833CFD"/>
    <w:rsid w:val="00834EC3"/>
    <w:rsid w:val="008355EA"/>
    <w:rsid w:val="008361B7"/>
    <w:rsid w:val="008373FC"/>
    <w:rsid w:val="0083743C"/>
    <w:rsid w:val="00837A93"/>
    <w:rsid w:val="00840230"/>
    <w:rsid w:val="00840B65"/>
    <w:rsid w:val="00840F91"/>
    <w:rsid w:val="00840FFF"/>
    <w:rsid w:val="00841D4E"/>
    <w:rsid w:val="008434DE"/>
    <w:rsid w:val="00845A18"/>
    <w:rsid w:val="008461CF"/>
    <w:rsid w:val="0084666D"/>
    <w:rsid w:val="008473B9"/>
    <w:rsid w:val="0085007D"/>
    <w:rsid w:val="00850A1E"/>
    <w:rsid w:val="00850EBD"/>
    <w:rsid w:val="00851C0E"/>
    <w:rsid w:val="00851CBE"/>
    <w:rsid w:val="008526E8"/>
    <w:rsid w:val="008532E0"/>
    <w:rsid w:val="00853D2A"/>
    <w:rsid w:val="00853E4B"/>
    <w:rsid w:val="00854186"/>
    <w:rsid w:val="00854439"/>
    <w:rsid w:val="00854457"/>
    <w:rsid w:val="00854999"/>
    <w:rsid w:val="00854BA9"/>
    <w:rsid w:val="008553A2"/>
    <w:rsid w:val="0085585B"/>
    <w:rsid w:val="0085642A"/>
    <w:rsid w:val="00857475"/>
    <w:rsid w:val="008574D2"/>
    <w:rsid w:val="0086223A"/>
    <w:rsid w:val="00862252"/>
    <w:rsid w:val="008629C5"/>
    <w:rsid w:val="00862ECF"/>
    <w:rsid w:val="0086343F"/>
    <w:rsid w:val="00863532"/>
    <w:rsid w:val="00863537"/>
    <w:rsid w:val="008637B0"/>
    <w:rsid w:val="0086396B"/>
    <w:rsid w:val="00864C64"/>
    <w:rsid w:val="008661DF"/>
    <w:rsid w:val="00866257"/>
    <w:rsid w:val="008667C9"/>
    <w:rsid w:val="008670DC"/>
    <w:rsid w:val="00867C8C"/>
    <w:rsid w:val="00870F1F"/>
    <w:rsid w:val="00870F93"/>
    <w:rsid w:val="00871141"/>
    <w:rsid w:val="00871213"/>
    <w:rsid w:val="008717A9"/>
    <w:rsid w:val="008718C6"/>
    <w:rsid w:val="008719D2"/>
    <w:rsid w:val="00871B39"/>
    <w:rsid w:val="00872F51"/>
    <w:rsid w:val="008743E9"/>
    <w:rsid w:val="00874DC9"/>
    <w:rsid w:val="008753D1"/>
    <w:rsid w:val="00875FAA"/>
    <w:rsid w:val="008763AE"/>
    <w:rsid w:val="008805B5"/>
    <w:rsid w:val="00880BB7"/>
    <w:rsid w:val="00880E66"/>
    <w:rsid w:val="00881253"/>
    <w:rsid w:val="00882BFC"/>
    <w:rsid w:val="008837DA"/>
    <w:rsid w:val="00883D88"/>
    <w:rsid w:val="008841F2"/>
    <w:rsid w:val="008851DA"/>
    <w:rsid w:val="008856CC"/>
    <w:rsid w:val="00885A46"/>
    <w:rsid w:val="00886460"/>
    <w:rsid w:val="00886BAE"/>
    <w:rsid w:val="0088714F"/>
    <w:rsid w:val="00887459"/>
    <w:rsid w:val="008903EB"/>
    <w:rsid w:val="0089058B"/>
    <w:rsid w:val="0089105A"/>
    <w:rsid w:val="0089163B"/>
    <w:rsid w:val="008917E4"/>
    <w:rsid w:val="00891E32"/>
    <w:rsid w:val="00891FB6"/>
    <w:rsid w:val="00892DB6"/>
    <w:rsid w:val="00893B07"/>
    <w:rsid w:val="00893C9D"/>
    <w:rsid w:val="00894103"/>
    <w:rsid w:val="00896061"/>
    <w:rsid w:val="00896300"/>
    <w:rsid w:val="0089690D"/>
    <w:rsid w:val="00897429"/>
    <w:rsid w:val="00897BF3"/>
    <w:rsid w:val="008A0C2D"/>
    <w:rsid w:val="008A1048"/>
    <w:rsid w:val="008A1502"/>
    <w:rsid w:val="008A2A96"/>
    <w:rsid w:val="008A3154"/>
    <w:rsid w:val="008A3416"/>
    <w:rsid w:val="008A4985"/>
    <w:rsid w:val="008A4FCC"/>
    <w:rsid w:val="008A6A1D"/>
    <w:rsid w:val="008A6F47"/>
    <w:rsid w:val="008A6F97"/>
    <w:rsid w:val="008B06BB"/>
    <w:rsid w:val="008B0788"/>
    <w:rsid w:val="008B0832"/>
    <w:rsid w:val="008B0C0B"/>
    <w:rsid w:val="008B0C4F"/>
    <w:rsid w:val="008B2C94"/>
    <w:rsid w:val="008B413D"/>
    <w:rsid w:val="008B456B"/>
    <w:rsid w:val="008B4971"/>
    <w:rsid w:val="008B51EA"/>
    <w:rsid w:val="008B61A0"/>
    <w:rsid w:val="008B6420"/>
    <w:rsid w:val="008B6C09"/>
    <w:rsid w:val="008B6DBF"/>
    <w:rsid w:val="008B7612"/>
    <w:rsid w:val="008B7CA2"/>
    <w:rsid w:val="008C0648"/>
    <w:rsid w:val="008C0E36"/>
    <w:rsid w:val="008C27F6"/>
    <w:rsid w:val="008C34A0"/>
    <w:rsid w:val="008C6170"/>
    <w:rsid w:val="008C6AC3"/>
    <w:rsid w:val="008C7050"/>
    <w:rsid w:val="008C7290"/>
    <w:rsid w:val="008C75D1"/>
    <w:rsid w:val="008C75E4"/>
    <w:rsid w:val="008D13BD"/>
    <w:rsid w:val="008D14D2"/>
    <w:rsid w:val="008D1C4E"/>
    <w:rsid w:val="008D1CE8"/>
    <w:rsid w:val="008D23A7"/>
    <w:rsid w:val="008D3C6B"/>
    <w:rsid w:val="008D4882"/>
    <w:rsid w:val="008D4919"/>
    <w:rsid w:val="008D4C47"/>
    <w:rsid w:val="008D557F"/>
    <w:rsid w:val="008D58C2"/>
    <w:rsid w:val="008D58D7"/>
    <w:rsid w:val="008D645B"/>
    <w:rsid w:val="008D6CD8"/>
    <w:rsid w:val="008D7167"/>
    <w:rsid w:val="008D73BA"/>
    <w:rsid w:val="008E0E67"/>
    <w:rsid w:val="008E281C"/>
    <w:rsid w:val="008E3246"/>
    <w:rsid w:val="008E332B"/>
    <w:rsid w:val="008E3382"/>
    <w:rsid w:val="008E44B8"/>
    <w:rsid w:val="008E4AF9"/>
    <w:rsid w:val="008E4CF6"/>
    <w:rsid w:val="008E5A98"/>
    <w:rsid w:val="008E5D33"/>
    <w:rsid w:val="008E6389"/>
    <w:rsid w:val="008E653A"/>
    <w:rsid w:val="008E6D0D"/>
    <w:rsid w:val="008E72E2"/>
    <w:rsid w:val="008E7F70"/>
    <w:rsid w:val="008F01A7"/>
    <w:rsid w:val="008F0940"/>
    <w:rsid w:val="008F3F49"/>
    <w:rsid w:val="008F456C"/>
    <w:rsid w:val="008F6BB0"/>
    <w:rsid w:val="008F6BD3"/>
    <w:rsid w:val="00900F51"/>
    <w:rsid w:val="00901091"/>
    <w:rsid w:val="00901231"/>
    <w:rsid w:val="00901C71"/>
    <w:rsid w:val="00902494"/>
    <w:rsid w:val="00902863"/>
    <w:rsid w:val="00902A9D"/>
    <w:rsid w:val="00903192"/>
    <w:rsid w:val="00903255"/>
    <w:rsid w:val="0090445E"/>
    <w:rsid w:val="00904552"/>
    <w:rsid w:val="00905563"/>
    <w:rsid w:val="00906451"/>
    <w:rsid w:val="00906695"/>
    <w:rsid w:val="0091027D"/>
    <w:rsid w:val="00911021"/>
    <w:rsid w:val="009125DB"/>
    <w:rsid w:val="00912878"/>
    <w:rsid w:val="009129C0"/>
    <w:rsid w:val="00912A8F"/>
    <w:rsid w:val="00912D20"/>
    <w:rsid w:val="0091323D"/>
    <w:rsid w:val="00913476"/>
    <w:rsid w:val="00913A60"/>
    <w:rsid w:val="00913B95"/>
    <w:rsid w:val="00913D3B"/>
    <w:rsid w:val="00914A32"/>
    <w:rsid w:val="00915004"/>
    <w:rsid w:val="00915DBE"/>
    <w:rsid w:val="00916B54"/>
    <w:rsid w:val="009172BE"/>
    <w:rsid w:val="009175B0"/>
    <w:rsid w:val="00917805"/>
    <w:rsid w:val="0091784A"/>
    <w:rsid w:val="00917E12"/>
    <w:rsid w:val="009201E4"/>
    <w:rsid w:val="00920D86"/>
    <w:rsid w:val="00921CC2"/>
    <w:rsid w:val="00921D7A"/>
    <w:rsid w:val="00922856"/>
    <w:rsid w:val="009228F4"/>
    <w:rsid w:val="00922C15"/>
    <w:rsid w:val="00922D81"/>
    <w:rsid w:val="00922FFA"/>
    <w:rsid w:val="00923B12"/>
    <w:rsid w:val="00925928"/>
    <w:rsid w:val="00926147"/>
    <w:rsid w:val="00926327"/>
    <w:rsid w:val="0092634B"/>
    <w:rsid w:val="00926367"/>
    <w:rsid w:val="00927C54"/>
    <w:rsid w:val="00930763"/>
    <w:rsid w:val="0093149B"/>
    <w:rsid w:val="0093368B"/>
    <w:rsid w:val="00934C1E"/>
    <w:rsid w:val="0093531E"/>
    <w:rsid w:val="0093558B"/>
    <w:rsid w:val="009359B9"/>
    <w:rsid w:val="00935ECC"/>
    <w:rsid w:val="009366C1"/>
    <w:rsid w:val="00937D38"/>
    <w:rsid w:val="0094048B"/>
    <w:rsid w:val="00941E88"/>
    <w:rsid w:val="00943800"/>
    <w:rsid w:val="00943A57"/>
    <w:rsid w:val="00945C21"/>
    <w:rsid w:val="0094652F"/>
    <w:rsid w:val="00946ED0"/>
    <w:rsid w:val="009471E0"/>
    <w:rsid w:val="00947431"/>
    <w:rsid w:val="00950E96"/>
    <w:rsid w:val="00952117"/>
    <w:rsid w:val="00952E4C"/>
    <w:rsid w:val="0095364F"/>
    <w:rsid w:val="00956921"/>
    <w:rsid w:val="009576E7"/>
    <w:rsid w:val="00957A3B"/>
    <w:rsid w:val="009604C3"/>
    <w:rsid w:val="0096108C"/>
    <w:rsid w:val="00962835"/>
    <w:rsid w:val="0096387B"/>
    <w:rsid w:val="00965C61"/>
    <w:rsid w:val="009664AF"/>
    <w:rsid w:val="00966B6D"/>
    <w:rsid w:val="009671A6"/>
    <w:rsid w:val="0096773D"/>
    <w:rsid w:val="00967C6C"/>
    <w:rsid w:val="009707E9"/>
    <w:rsid w:val="00970E95"/>
    <w:rsid w:val="0097160E"/>
    <w:rsid w:val="00971D58"/>
    <w:rsid w:val="0097240A"/>
    <w:rsid w:val="00972D57"/>
    <w:rsid w:val="00973707"/>
    <w:rsid w:val="0097413B"/>
    <w:rsid w:val="009741F1"/>
    <w:rsid w:val="00975100"/>
    <w:rsid w:val="009753FD"/>
    <w:rsid w:val="0097572B"/>
    <w:rsid w:val="00975826"/>
    <w:rsid w:val="009759BA"/>
    <w:rsid w:val="009761F2"/>
    <w:rsid w:val="00977A13"/>
    <w:rsid w:val="00977DB8"/>
    <w:rsid w:val="00980144"/>
    <w:rsid w:val="00980CBC"/>
    <w:rsid w:val="00982041"/>
    <w:rsid w:val="00983536"/>
    <w:rsid w:val="00984807"/>
    <w:rsid w:val="00984FBB"/>
    <w:rsid w:val="00985E44"/>
    <w:rsid w:val="009862E7"/>
    <w:rsid w:val="0098633C"/>
    <w:rsid w:val="009869BF"/>
    <w:rsid w:val="00986BE4"/>
    <w:rsid w:val="00986D46"/>
    <w:rsid w:val="00987E5E"/>
    <w:rsid w:val="00990A5A"/>
    <w:rsid w:val="00990BF2"/>
    <w:rsid w:val="00990C8A"/>
    <w:rsid w:val="00991C5B"/>
    <w:rsid w:val="0099250C"/>
    <w:rsid w:val="009930F9"/>
    <w:rsid w:val="00993465"/>
    <w:rsid w:val="009955B3"/>
    <w:rsid w:val="009955DB"/>
    <w:rsid w:val="00996085"/>
    <w:rsid w:val="0099681A"/>
    <w:rsid w:val="00997FB0"/>
    <w:rsid w:val="009A033F"/>
    <w:rsid w:val="009A0457"/>
    <w:rsid w:val="009A06EA"/>
    <w:rsid w:val="009A1B2A"/>
    <w:rsid w:val="009A2947"/>
    <w:rsid w:val="009A2B4F"/>
    <w:rsid w:val="009A3099"/>
    <w:rsid w:val="009A346A"/>
    <w:rsid w:val="009A51B5"/>
    <w:rsid w:val="009A51F1"/>
    <w:rsid w:val="009A5DAF"/>
    <w:rsid w:val="009A5F64"/>
    <w:rsid w:val="009A6346"/>
    <w:rsid w:val="009A63EE"/>
    <w:rsid w:val="009B03B1"/>
    <w:rsid w:val="009B26CB"/>
    <w:rsid w:val="009B3325"/>
    <w:rsid w:val="009B36C5"/>
    <w:rsid w:val="009B374F"/>
    <w:rsid w:val="009B5324"/>
    <w:rsid w:val="009B5DF6"/>
    <w:rsid w:val="009B6B69"/>
    <w:rsid w:val="009B7B9E"/>
    <w:rsid w:val="009C1D9A"/>
    <w:rsid w:val="009C2CE5"/>
    <w:rsid w:val="009C41DC"/>
    <w:rsid w:val="009C4273"/>
    <w:rsid w:val="009C49B6"/>
    <w:rsid w:val="009C4C62"/>
    <w:rsid w:val="009C58ED"/>
    <w:rsid w:val="009C5A75"/>
    <w:rsid w:val="009C5B64"/>
    <w:rsid w:val="009C63D1"/>
    <w:rsid w:val="009C688B"/>
    <w:rsid w:val="009C7F51"/>
    <w:rsid w:val="009D017D"/>
    <w:rsid w:val="009D0C66"/>
    <w:rsid w:val="009D1756"/>
    <w:rsid w:val="009D1AF4"/>
    <w:rsid w:val="009D22AA"/>
    <w:rsid w:val="009D2584"/>
    <w:rsid w:val="009D2C53"/>
    <w:rsid w:val="009D3231"/>
    <w:rsid w:val="009D40CD"/>
    <w:rsid w:val="009D4287"/>
    <w:rsid w:val="009D4907"/>
    <w:rsid w:val="009D6567"/>
    <w:rsid w:val="009D6DC3"/>
    <w:rsid w:val="009D7109"/>
    <w:rsid w:val="009E12AB"/>
    <w:rsid w:val="009E1C03"/>
    <w:rsid w:val="009E2A1A"/>
    <w:rsid w:val="009E3F44"/>
    <w:rsid w:val="009E4EA2"/>
    <w:rsid w:val="009E4FA1"/>
    <w:rsid w:val="009E5C58"/>
    <w:rsid w:val="009E5CD8"/>
    <w:rsid w:val="009E7051"/>
    <w:rsid w:val="009E7B1B"/>
    <w:rsid w:val="009F0D51"/>
    <w:rsid w:val="009F1E43"/>
    <w:rsid w:val="009F2558"/>
    <w:rsid w:val="009F2F1E"/>
    <w:rsid w:val="009F39FA"/>
    <w:rsid w:val="009F5FD7"/>
    <w:rsid w:val="009F6708"/>
    <w:rsid w:val="009F6971"/>
    <w:rsid w:val="009F6BCD"/>
    <w:rsid w:val="009F6BE0"/>
    <w:rsid w:val="009F724C"/>
    <w:rsid w:val="009F7A72"/>
    <w:rsid w:val="009F7F63"/>
    <w:rsid w:val="009F7FB9"/>
    <w:rsid w:val="00A00FFF"/>
    <w:rsid w:val="00A01EBD"/>
    <w:rsid w:val="00A02AAA"/>
    <w:rsid w:val="00A02C88"/>
    <w:rsid w:val="00A036AA"/>
    <w:rsid w:val="00A03C29"/>
    <w:rsid w:val="00A03F69"/>
    <w:rsid w:val="00A05B9B"/>
    <w:rsid w:val="00A06210"/>
    <w:rsid w:val="00A06EB4"/>
    <w:rsid w:val="00A072E8"/>
    <w:rsid w:val="00A07318"/>
    <w:rsid w:val="00A076AB"/>
    <w:rsid w:val="00A10261"/>
    <w:rsid w:val="00A106A9"/>
    <w:rsid w:val="00A11A1F"/>
    <w:rsid w:val="00A12329"/>
    <w:rsid w:val="00A12595"/>
    <w:rsid w:val="00A12AD4"/>
    <w:rsid w:val="00A14162"/>
    <w:rsid w:val="00A147CE"/>
    <w:rsid w:val="00A14C81"/>
    <w:rsid w:val="00A14EBC"/>
    <w:rsid w:val="00A152A9"/>
    <w:rsid w:val="00A1606B"/>
    <w:rsid w:val="00A1667B"/>
    <w:rsid w:val="00A17221"/>
    <w:rsid w:val="00A17576"/>
    <w:rsid w:val="00A17A5A"/>
    <w:rsid w:val="00A213A0"/>
    <w:rsid w:val="00A217B3"/>
    <w:rsid w:val="00A21CAA"/>
    <w:rsid w:val="00A21D29"/>
    <w:rsid w:val="00A21E9F"/>
    <w:rsid w:val="00A21ECD"/>
    <w:rsid w:val="00A2211C"/>
    <w:rsid w:val="00A22800"/>
    <w:rsid w:val="00A22BA3"/>
    <w:rsid w:val="00A22D74"/>
    <w:rsid w:val="00A233F2"/>
    <w:rsid w:val="00A23844"/>
    <w:rsid w:val="00A32055"/>
    <w:rsid w:val="00A3238D"/>
    <w:rsid w:val="00A3282B"/>
    <w:rsid w:val="00A32DFF"/>
    <w:rsid w:val="00A337AA"/>
    <w:rsid w:val="00A33FAC"/>
    <w:rsid w:val="00A34E47"/>
    <w:rsid w:val="00A34FE2"/>
    <w:rsid w:val="00A3566F"/>
    <w:rsid w:val="00A363CF"/>
    <w:rsid w:val="00A36A01"/>
    <w:rsid w:val="00A36B57"/>
    <w:rsid w:val="00A37380"/>
    <w:rsid w:val="00A41072"/>
    <w:rsid w:val="00A42DC8"/>
    <w:rsid w:val="00A430D8"/>
    <w:rsid w:val="00A43410"/>
    <w:rsid w:val="00A4359A"/>
    <w:rsid w:val="00A43822"/>
    <w:rsid w:val="00A43DFA"/>
    <w:rsid w:val="00A44DE1"/>
    <w:rsid w:val="00A44FB2"/>
    <w:rsid w:val="00A4522A"/>
    <w:rsid w:val="00A45FAC"/>
    <w:rsid w:val="00A461B5"/>
    <w:rsid w:val="00A474F5"/>
    <w:rsid w:val="00A50948"/>
    <w:rsid w:val="00A50B41"/>
    <w:rsid w:val="00A51E43"/>
    <w:rsid w:val="00A52863"/>
    <w:rsid w:val="00A52F61"/>
    <w:rsid w:val="00A53E6F"/>
    <w:rsid w:val="00A542CC"/>
    <w:rsid w:val="00A5482C"/>
    <w:rsid w:val="00A54EC8"/>
    <w:rsid w:val="00A55406"/>
    <w:rsid w:val="00A55703"/>
    <w:rsid w:val="00A559EA"/>
    <w:rsid w:val="00A566ED"/>
    <w:rsid w:val="00A56E0A"/>
    <w:rsid w:val="00A57415"/>
    <w:rsid w:val="00A6086B"/>
    <w:rsid w:val="00A60A02"/>
    <w:rsid w:val="00A6109F"/>
    <w:rsid w:val="00A61727"/>
    <w:rsid w:val="00A61CEF"/>
    <w:rsid w:val="00A628E7"/>
    <w:rsid w:val="00A62A54"/>
    <w:rsid w:val="00A633E5"/>
    <w:rsid w:val="00A6362D"/>
    <w:rsid w:val="00A63FCB"/>
    <w:rsid w:val="00A63FD5"/>
    <w:rsid w:val="00A642D3"/>
    <w:rsid w:val="00A64B97"/>
    <w:rsid w:val="00A65B0F"/>
    <w:rsid w:val="00A66063"/>
    <w:rsid w:val="00A6610A"/>
    <w:rsid w:val="00A664E9"/>
    <w:rsid w:val="00A66693"/>
    <w:rsid w:val="00A66BBC"/>
    <w:rsid w:val="00A66DA8"/>
    <w:rsid w:val="00A67051"/>
    <w:rsid w:val="00A672C6"/>
    <w:rsid w:val="00A675EA"/>
    <w:rsid w:val="00A67CE1"/>
    <w:rsid w:val="00A72FAE"/>
    <w:rsid w:val="00A73D31"/>
    <w:rsid w:val="00A74266"/>
    <w:rsid w:val="00A742B7"/>
    <w:rsid w:val="00A74C63"/>
    <w:rsid w:val="00A75B9B"/>
    <w:rsid w:val="00A76DAB"/>
    <w:rsid w:val="00A76FA0"/>
    <w:rsid w:val="00A77469"/>
    <w:rsid w:val="00A8074B"/>
    <w:rsid w:val="00A81947"/>
    <w:rsid w:val="00A819BF"/>
    <w:rsid w:val="00A82129"/>
    <w:rsid w:val="00A822CE"/>
    <w:rsid w:val="00A82548"/>
    <w:rsid w:val="00A82D15"/>
    <w:rsid w:val="00A82FD6"/>
    <w:rsid w:val="00A84BB9"/>
    <w:rsid w:val="00A851A3"/>
    <w:rsid w:val="00A8544E"/>
    <w:rsid w:val="00A85988"/>
    <w:rsid w:val="00A85ACD"/>
    <w:rsid w:val="00A85B5D"/>
    <w:rsid w:val="00A85D78"/>
    <w:rsid w:val="00A86216"/>
    <w:rsid w:val="00A86D91"/>
    <w:rsid w:val="00A87300"/>
    <w:rsid w:val="00A87BDA"/>
    <w:rsid w:val="00A9040F"/>
    <w:rsid w:val="00A906A8"/>
    <w:rsid w:val="00A9117F"/>
    <w:rsid w:val="00A927E5"/>
    <w:rsid w:val="00A93932"/>
    <w:rsid w:val="00A9415B"/>
    <w:rsid w:val="00A9431F"/>
    <w:rsid w:val="00A94527"/>
    <w:rsid w:val="00A94D6B"/>
    <w:rsid w:val="00A94D92"/>
    <w:rsid w:val="00A95308"/>
    <w:rsid w:val="00A95B6C"/>
    <w:rsid w:val="00A96310"/>
    <w:rsid w:val="00A963E4"/>
    <w:rsid w:val="00A96F0E"/>
    <w:rsid w:val="00A97490"/>
    <w:rsid w:val="00A97D35"/>
    <w:rsid w:val="00AA03D8"/>
    <w:rsid w:val="00AA1129"/>
    <w:rsid w:val="00AA1E53"/>
    <w:rsid w:val="00AA287D"/>
    <w:rsid w:val="00AA2FA6"/>
    <w:rsid w:val="00AA5767"/>
    <w:rsid w:val="00AA6207"/>
    <w:rsid w:val="00AA6323"/>
    <w:rsid w:val="00AA6BCC"/>
    <w:rsid w:val="00AA703C"/>
    <w:rsid w:val="00AA7397"/>
    <w:rsid w:val="00AA7677"/>
    <w:rsid w:val="00AB0ABF"/>
    <w:rsid w:val="00AB1E99"/>
    <w:rsid w:val="00AB4D29"/>
    <w:rsid w:val="00AB4DB5"/>
    <w:rsid w:val="00AB52B0"/>
    <w:rsid w:val="00AB5C30"/>
    <w:rsid w:val="00AB64F5"/>
    <w:rsid w:val="00AB668D"/>
    <w:rsid w:val="00AB6CF2"/>
    <w:rsid w:val="00AC16D0"/>
    <w:rsid w:val="00AC1BFE"/>
    <w:rsid w:val="00AC2941"/>
    <w:rsid w:val="00AC2B2E"/>
    <w:rsid w:val="00AC2CC9"/>
    <w:rsid w:val="00AC2E47"/>
    <w:rsid w:val="00AC2EED"/>
    <w:rsid w:val="00AC326F"/>
    <w:rsid w:val="00AC45E2"/>
    <w:rsid w:val="00AC6488"/>
    <w:rsid w:val="00AC6836"/>
    <w:rsid w:val="00AC700E"/>
    <w:rsid w:val="00AC7BD9"/>
    <w:rsid w:val="00AD042D"/>
    <w:rsid w:val="00AD083E"/>
    <w:rsid w:val="00AD0C65"/>
    <w:rsid w:val="00AD130B"/>
    <w:rsid w:val="00AD1762"/>
    <w:rsid w:val="00AD18AC"/>
    <w:rsid w:val="00AD2116"/>
    <w:rsid w:val="00AD214C"/>
    <w:rsid w:val="00AD25A3"/>
    <w:rsid w:val="00AD2F13"/>
    <w:rsid w:val="00AD2FE6"/>
    <w:rsid w:val="00AD4AF6"/>
    <w:rsid w:val="00AD4E05"/>
    <w:rsid w:val="00AD5BDC"/>
    <w:rsid w:val="00AD7287"/>
    <w:rsid w:val="00AE0A32"/>
    <w:rsid w:val="00AE0C76"/>
    <w:rsid w:val="00AE1310"/>
    <w:rsid w:val="00AE16F3"/>
    <w:rsid w:val="00AE2675"/>
    <w:rsid w:val="00AE3FA5"/>
    <w:rsid w:val="00AE522C"/>
    <w:rsid w:val="00AE6132"/>
    <w:rsid w:val="00AE6632"/>
    <w:rsid w:val="00AE6BD8"/>
    <w:rsid w:val="00AE7518"/>
    <w:rsid w:val="00AE7B16"/>
    <w:rsid w:val="00AF192F"/>
    <w:rsid w:val="00AF19F5"/>
    <w:rsid w:val="00AF1E34"/>
    <w:rsid w:val="00AF2B07"/>
    <w:rsid w:val="00AF3886"/>
    <w:rsid w:val="00AF4B60"/>
    <w:rsid w:val="00AF4D35"/>
    <w:rsid w:val="00AF521A"/>
    <w:rsid w:val="00AF660E"/>
    <w:rsid w:val="00AF7148"/>
    <w:rsid w:val="00B002AC"/>
    <w:rsid w:val="00B01C14"/>
    <w:rsid w:val="00B01D26"/>
    <w:rsid w:val="00B02049"/>
    <w:rsid w:val="00B021CC"/>
    <w:rsid w:val="00B02289"/>
    <w:rsid w:val="00B035CC"/>
    <w:rsid w:val="00B03D73"/>
    <w:rsid w:val="00B04A00"/>
    <w:rsid w:val="00B04EC8"/>
    <w:rsid w:val="00B053B7"/>
    <w:rsid w:val="00B056E7"/>
    <w:rsid w:val="00B058A6"/>
    <w:rsid w:val="00B066CC"/>
    <w:rsid w:val="00B07300"/>
    <w:rsid w:val="00B074BC"/>
    <w:rsid w:val="00B07DED"/>
    <w:rsid w:val="00B10FE2"/>
    <w:rsid w:val="00B11151"/>
    <w:rsid w:val="00B1173E"/>
    <w:rsid w:val="00B11778"/>
    <w:rsid w:val="00B12F23"/>
    <w:rsid w:val="00B1368F"/>
    <w:rsid w:val="00B13EE0"/>
    <w:rsid w:val="00B13F4E"/>
    <w:rsid w:val="00B15654"/>
    <w:rsid w:val="00B158D0"/>
    <w:rsid w:val="00B15A4F"/>
    <w:rsid w:val="00B15BEA"/>
    <w:rsid w:val="00B16277"/>
    <w:rsid w:val="00B20170"/>
    <w:rsid w:val="00B208E4"/>
    <w:rsid w:val="00B21D65"/>
    <w:rsid w:val="00B220C6"/>
    <w:rsid w:val="00B22F98"/>
    <w:rsid w:val="00B2304C"/>
    <w:rsid w:val="00B23494"/>
    <w:rsid w:val="00B23513"/>
    <w:rsid w:val="00B23832"/>
    <w:rsid w:val="00B23891"/>
    <w:rsid w:val="00B23A49"/>
    <w:rsid w:val="00B23D14"/>
    <w:rsid w:val="00B23EB7"/>
    <w:rsid w:val="00B23EC6"/>
    <w:rsid w:val="00B24FC8"/>
    <w:rsid w:val="00B25F4C"/>
    <w:rsid w:val="00B270F3"/>
    <w:rsid w:val="00B2716D"/>
    <w:rsid w:val="00B27360"/>
    <w:rsid w:val="00B30898"/>
    <w:rsid w:val="00B30B83"/>
    <w:rsid w:val="00B3121C"/>
    <w:rsid w:val="00B31CD8"/>
    <w:rsid w:val="00B322AC"/>
    <w:rsid w:val="00B325BC"/>
    <w:rsid w:val="00B32862"/>
    <w:rsid w:val="00B342B0"/>
    <w:rsid w:val="00B34DF5"/>
    <w:rsid w:val="00B3558C"/>
    <w:rsid w:val="00B3686B"/>
    <w:rsid w:val="00B3686D"/>
    <w:rsid w:val="00B36CE5"/>
    <w:rsid w:val="00B36D00"/>
    <w:rsid w:val="00B370C4"/>
    <w:rsid w:val="00B3751E"/>
    <w:rsid w:val="00B37DB3"/>
    <w:rsid w:val="00B40050"/>
    <w:rsid w:val="00B41076"/>
    <w:rsid w:val="00B41145"/>
    <w:rsid w:val="00B41C65"/>
    <w:rsid w:val="00B42418"/>
    <w:rsid w:val="00B42E15"/>
    <w:rsid w:val="00B43563"/>
    <w:rsid w:val="00B44362"/>
    <w:rsid w:val="00B4668B"/>
    <w:rsid w:val="00B471A5"/>
    <w:rsid w:val="00B5128A"/>
    <w:rsid w:val="00B51ED6"/>
    <w:rsid w:val="00B52205"/>
    <w:rsid w:val="00B52258"/>
    <w:rsid w:val="00B5339C"/>
    <w:rsid w:val="00B536EC"/>
    <w:rsid w:val="00B53BC0"/>
    <w:rsid w:val="00B54120"/>
    <w:rsid w:val="00B54DFF"/>
    <w:rsid w:val="00B552BA"/>
    <w:rsid w:val="00B55C79"/>
    <w:rsid w:val="00B55EB3"/>
    <w:rsid w:val="00B55ECB"/>
    <w:rsid w:val="00B56D6C"/>
    <w:rsid w:val="00B602AA"/>
    <w:rsid w:val="00B606A5"/>
    <w:rsid w:val="00B60DA8"/>
    <w:rsid w:val="00B61638"/>
    <w:rsid w:val="00B61CB6"/>
    <w:rsid w:val="00B62570"/>
    <w:rsid w:val="00B62651"/>
    <w:rsid w:val="00B6274A"/>
    <w:rsid w:val="00B629DB"/>
    <w:rsid w:val="00B62AA5"/>
    <w:rsid w:val="00B62AE3"/>
    <w:rsid w:val="00B632A8"/>
    <w:rsid w:val="00B6378F"/>
    <w:rsid w:val="00B63B81"/>
    <w:rsid w:val="00B643F6"/>
    <w:rsid w:val="00B64F9E"/>
    <w:rsid w:val="00B651DA"/>
    <w:rsid w:val="00B65A85"/>
    <w:rsid w:val="00B65BF0"/>
    <w:rsid w:val="00B6615D"/>
    <w:rsid w:val="00B6661C"/>
    <w:rsid w:val="00B66C0B"/>
    <w:rsid w:val="00B66D69"/>
    <w:rsid w:val="00B6755F"/>
    <w:rsid w:val="00B70A30"/>
    <w:rsid w:val="00B70B82"/>
    <w:rsid w:val="00B70FBB"/>
    <w:rsid w:val="00B71233"/>
    <w:rsid w:val="00B73311"/>
    <w:rsid w:val="00B73CE9"/>
    <w:rsid w:val="00B74A3E"/>
    <w:rsid w:val="00B755C4"/>
    <w:rsid w:val="00B7573E"/>
    <w:rsid w:val="00B75F01"/>
    <w:rsid w:val="00B7633F"/>
    <w:rsid w:val="00B80260"/>
    <w:rsid w:val="00B82042"/>
    <w:rsid w:val="00B820EB"/>
    <w:rsid w:val="00B82F37"/>
    <w:rsid w:val="00B8364F"/>
    <w:rsid w:val="00B83A15"/>
    <w:rsid w:val="00B83FA4"/>
    <w:rsid w:val="00B849FD"/>
    <w:rsid w:val="00B85059"/>
    <w:rsid w:val="00B85850"/>
    <w:rsid w:val="00B85931"/>
    <w:rsid w:val="00B866CB"/>
    <w:rsid w:val="00B9083A"/>
    <w:rsid w:val="00B909ED"/>
    <w:rsid w:val="00B92E26"/>
    <w:rsid w:val="00B937C2"/>
    <w:rsid w:val="00B95B73"/>
    <w:rsid w:val="00BA169F"/>
    <w:rsid w:val="00BA1869"/>
    <w:rsid w:val="00BA1BEF"/>
    <w:rsid w:val="00BA2141"/>
    <w:rsid w:val="00BA2339"/>
    <w:rsid w:val="00BA24F7"/>
    <w:rsid w:val="00BA276D"/>
    <w:rsid w:val="00BA359E"/>
    <w:rsid w:val="00BA3917"/>
    <w:rsid w:val="00BA40EA"/>
    <w:rsid w:val="00BA40FD"/>
    <w:rsid w:val="00BA4368"/>
    <w:rsid w:val="00BA47E7"/>
    <w:rsid w:val="00BA52D5"/>
    <w:rsid w:val="00BA6DF3"/>
    <w:rsid w:val="00BA6E13"/>
    <w:rsid w:val="00BA7336"/>
    <w:rsid w:val="00BA7594"/>
    <w:rsid w:val="00BA7928"/>
    <w:rsid w:val="00BA79D2"/>
    <w:rsid w:val="00BB0262"/>
    <w:rsid w:val="00BB02D0"/>
    <w:rsid w:val="00BB0320"/>
    <w:rsid w:val="00BB1DCD"/>
    <w:rsid w:val="00BB25C2"/>
    <w:rsid w:val="00BB2EA0"/>
    <w:rsid w:val="00BB352C"/>
    <w:rsid w:val="00BB3842"/>
    <w:rsid w:val="00BB38C2"/>
    <w:rsid w:val="00BB414E"/>
    <w:rsid w:val="00BB4DBB"/>
    <w:rsid w:val="00BB599B"/>
    <w:rsid w:val="00BB5B63"/>
    <w:rsid w:val="00BB6160"/>
    <w:rsid w:val="00BB69C4"/>
    <w:rsid w:val="00BC0704"/>
    <w:rsid w:val="00BC0D12"/>
    <w:rsid w:val="00BC25FD"/>
    <w:rsid w:val="00BC55EC"/>
    <w:rsid w:val="00BC70CF"/>
    <w:rsid w:val="00BD1398"/>
    <w:rsid w:val="00BD2792"/>
    <w:rsid w:val="00BD3168"/>
    <w:rsid w:val="00BD5418"/>
    <w:rsid w:val="00BD5977"/>
    <w:rsid w:val="00BD6419"/>
    <w:rsid w:val="00BD67F2"/>
    <w:rsid w:val="00BD7359"/>
    <w:rsid w:val="00BD7EDD"/>
    <w:rsid w:val="00BE0021"/>
    <w:rsid w:val="00BE0CD8"/>
    <w:rsid w:val="00BE0F8E"/>
    <w:rsid w:val="00BE1BF3"/>
    <w:rsid w:val="00BE2B04"/>
    <w:rsid w:val="00BE3E91"/>
    <w:rsid w:val="00BE41FC"/>
    <w:rsid w:val="00BE43D0"/>
    <w:rsid w:val="00BE4887"/>
    <w:rsid w:val="00BE4FBE"/>
    <w:rsid w:val="00BE5C9D"/>
    <w:rsid w:val="00BE66F2"/>
    <w:rsid w:val="00BE6F20"/>
    <w:rsid w:val="00BE7AF5"/>
    <w:rsid w:val="00BF0D50"/>
    <w:rsid w:val="00BF1615"/>
    <w:rsid w:val="00BF29BD"/>
    <w:rsid w:val="00BF2BFC"/>
    <w:rsid w:val="00BF2FAA"/>
    <w:rsid w:val="00BF3873"/>
    <w:rsid w:val="00BF49F0"/>
    <w:rsid w:val="00BF4FB7"/>
    <w:rsid w:val="00BF66A4"/>
    <w:rsid w:val="00BF6E4F"/>
    <w:rsid w:val="00C007E2"/>
    <w:rsid w:val="00C01A61"/>
    <w:rsid w:val="00C0458D"/>
    <w:rsid w:val="00C04C85"/>
    <w:rsid w:val="00C05060"/>
    <w:rsid w:val="00C052AC"/>
    <w:rsid w:val="00C0544A"/>
    <w:rsid w:val="00C06000"/>
    <w:rsid w:val="00C06868"/>
    <w:rsid w:val="00C072FE"/>
    <w:rsid w:val="00C1017D"/>
    <w:rsid w:val="00C10192"/>
    <w:rsid w:val="00C117F5"/>
    <w:rsid w:val="00C11D8C"/>
    <w:rsid w:val="00C125B6"/>
    <w:rsid w:val="00C12E51"/>
    <w:rsid w:val="00C12EC6"/>
    <w:rsid w:val="00C13FEA"/>
    <w:rsid w:val="00C152A8"/>
    <w:rsid w:val="00C158D3"/>
    <w:rsid w:val="00C16086"/>
    <w:rsid w:val="00C16097"/>
    <w:rsid w:val="00C16687"/>
    <w:rsid w:val="00C16A01"/>
    <w:rsid w:val="00C16C7A"/>
    <w:rsid w:val="00C174A0"/>
    <w:rsid w:val="00C21206"/>
    <w:rsid w:val="00C218B0"/>
    <w:rsid w:val="00C22105"/>
    <w:rsid w:val="00C23CE4"/>
    <w:rsid w:val="00C23FA6"/>
    <w:rsid w:val="00C246B6"/>
    <w:rsid w:val="00C25278"/>
    <w:rsid w:val="00C252E6"/>
    <w:rsid w:val="00C25EE3"/>
    <w:rsid w:val="00C2660E"/>
    <w:rsid w:val="00C26F07"/>
    <w:rsid w:val="00C2711B"/>
    <w:rsid w:val="00C27780"/>
    <w:rsid w:val="00C27A0B"/>
    <w:rsid w:val="00C30199"/>
    <w:rsid w:val="00C3101F"/>
    <w:rsid w:val="00C318BA"/>
    <w:rsid w:val="00C324C0"/>
    <w:rsid w:val="00C32735"/>
    <w:rsid w:val="00C342EB"/>
    <w:rsid w:val="00C34562"/>
    <w:rsid w:val="00C354C8"/>
    <w:rsid w:val="00C35AD7"/>
    <w:rsid w:val="00C4056D"/>
    <w:rsid w:val="00C405EA"/>
    <w:rsid w:val="00C40AE0"/>
    <w:rsid w:val="00C40BBB"/>
    <w:rsid w:val="00C41926"/>
    <w:rsid w:val="00C4238A"/>
    <w:rsid w:val="00C42627"/>
    <w:rsid w:val="00C42B8B"/>
    <w:rsid w:val="00C42CCD"/>
    <w:rsid w:val="00C4448D"/>
    <w:rsid w:val="00C476CF"/>
    <w:rsid w:val="00C509C1"/>
    <w:rsid w:val="00C53845"/>
    <w:rsid w:val="00C53891"/>
    <w:rsid w:val="00C543F7"/>
    <w:rsid w:val="00C54671"/>
    <w:rsid w:val="00C55793"/>
    <w:rsid w:val="00C55C96"/>
    <w:rsid w:val="00C561CF"/>
    <w:rsid w:val="00C56223"/>
    <w:rsid w:val="00C566AC"/>
    <w:rsid w:val="00C57788"/>
    <w:rsid w:val="00C57B10"/>
    <w:rsid w:val="00C57CB7"/>
    <w:rsid w:val="00C613AE"/>
    <w:rsid w:val="00C62301"/>
    <w:rsid w:val="00C62476"/>
    <w:rsid w:val="00C6277A"/>
    <w:rsid w:val="00C640FB"/>
    <w:rsid w:val="00C6461A"/>
    <w:rsid w:val="00C64BFB"/>
    <w:rsid w:val="00C656C7"/>
    <w:rsid w:val="00C664A5"/>
    <w:rsid w:val="00C6775B"/>
    <w:rsid w:val="00C6791A"/>
    <w:rsid w:val="00C700B7"/>
    <w:rsid w:val="00C71168"/>
    <w:rsid w:val="00C7169E"/>
    <w:rsid w:val="00C71E9B"/>
    <w:rsid w:val="00C720C8"/>
    <w:rsid w:val="00C72758"/>
    <w:rsid w:val="00C73600"/>
    <w:rsid w:val="00C737C8"/>
    <w:rsid w:val="00C7392D"/>
    <w:rsid w:val="00C73F9C"/>
    <w:rsid w:val="00C74535"/>
    <w:rsid w:val="00C7513D"/>
    <w:rsid w:val="00C759B9"/>
    <w:rsid w:val="00C75E10"/>
    <w:rsid w:val="00C76286"/>
    <w:rsid w:val="00C76639"/>
    <w:rsid w:val="00C7689D"/>
    <w:rsid w:val="00C76F09"/>
    <w:rsid w:val="00C80111"/>
    <w:rsid w:val="00C80C96"/>
    <w:rsid w:val="00C81F16"/>
    <w:rsid w:val="00C82417"/>
    <w:rsid w:val="00C824D5"/>
    <w:rsid w:val="00C830B6"/>
    <w:rsid w:val="00C85027"/>
    <w:rsid w:val="00C85F2B"/>
    <w:rsid w:val="00C86605"/>
    <w:rsid w:val="00C8721B"/>
    <w:rsid w:val="00C8764D"/>
    <w:rsid w:val="00C87B5B"/>
    <w:rsid w:val="00C87D08"/>
    <w:rsid w:val="00C87D13"/>
    <w:rsid w:val="00C9023B"/>
    <w:rsid w:val="00C903F8"/>
    <w:rsid w:val="00C9064A"/>
    <w:rsid w:val="00C90735"/>
    <w:rsid w:val="00C914BC"/>
    <w:rsid w:val="00C92A2F"/>
    <w:rsid w:val="00C9352E"/>
    <w:rsid w:val="00C94255"/>
    <w:rsid w:val="00C9432F"/>
    <w:rsid w:val="00C94741"/>
    <w:rsid w:val="00C94B97"/>
    <w:rsid w:val="00C94BA5"/>
    <w:rsid w:val="00C9508C"/>
    <w:rsid w:val="00C960CB"/>
    <w:rsid w:val="00C969C8"/>
    <w:rsid w:val="00CA214E"/>
    <w:rsid w:val="00CA2E98"/>
    <w:rsid w:val="00CA3508"/>
    <w:rsid w:val="00CA5657"/>
    <w:rsid w:val="00CA6389"/>
    <w:rsid w:val="00CA6CEE"/>
    <w:rsid w:val="00CA730A"/>
    <w:rsid w:val="00CA74FE"/>
    <w:rsid w:val="00CA75FF"/>
    <w:rsid w:val="00CA7765"/>
    <w:rsid w:val="00CA780B"/>
    <w:rsid w:val="00CB0085"/>
    <w:rsid w:val="00CB2818"/>
    <w:rsid w:val="00CB2FCD"/>
    <w:rsid w:val="00CB387F"/>
    <w:rsid w:val="00CB38DC"/>
    <w:rsid w:val="00CB4740"/>
    <w:rsid w:val="00CB52B6"/>
    <w:rsid w:val="00CB5AAE"/>
    <w:rsid w:val="00CB5E17"/>
    <w:rsid w:val="00CB66BC"/>
    <w:rsid w:val="00CB6FFC"/>
    <w:rsid w:val="00CC0297"/>
    <w:rsid w:val="00CC136B"/>
    <w:rsid w:val="00CC1445"/>
    <w:rsid w:val="00CC1C7B"/>
    <w:rsid w:val="00CC3730"/>
    <w:rsid w:val="00CC3BFE"/>
    <w:rsid w:val="00CC4839"/>
    <w:rsid w:val="00CC6ADD"/>
    <w:rsid w:val="00CC7217"/>
    <w:rsid w:val="00CC76CF"/>
    <w:rsid w:val="00CC7758"/>
    <w:rsid w:val="00CC7E57"/>
    <w:rsid w:val="00CC7F92"/>
    <w:rsid w:val="00CD10ED"/>
    <w:rsid w:val="00CD1870"/>
    <w:rsid w:val="00CD1E9A"/>
    <w:rsid w:val="00CD2009"/>
    <w:rsid w:val="00CD24F4"/>
    <w:rsid w:val="00CD2A44"/>
    <w:rsid w:val="00CD2EF7"/>
    <w:rsid w:val="00CD33E8"/>
    <w:rsid w:val="00CD400B"/>
    <w:rsid w:val="00CD42F2"/>
    <w:rsid w:val="00CD4DF4"/>
    <w:rsid w:val="00CD54F1"/>
    <w:rsid w:val="00CE0564"/>
    <w:rsid w:val="00CE079B"/>
    <w:rsid w:val="00CE10F1"/>
    <w:rsid w:val="00CE1417"/>
    <w:rsid w:val="00CE2D61"/>
    <w:rsid w:val="00CE2F4A"/>
    <w:rsid w:val="00CE32C5"/>
    <w:rsid w:val="00CE402B"/>
    <w:rsid w:val="00CE68B8"/>
    <w:rsid w:val="00CE68C7"/>
    <w:rsid w:val="00CE6D9B"/>
    <w:rsid w:val="00CE7A97"/>
    <w:rsid w:val="00CF089D"/>
    <w:rsid w:val="00CF17E4"/>
    <w:rsid w:val="00CF1811"/>
    <w:rsid w:val="00CF18CF"/>
    <w:rsid w:val="00CF2FA4"/>
    <w:rsid w:val="00CF31E5"/>
    <w:rsid w:val="00CF3A63"/>
    <w:rsid w:val="00CF425C"/>
    <w:rsid w:val="00CF470A"/>
    <w:rsid w:val="00CF4B22"/>
    <w:rsid w:val="00CF7B38"/>
    <w:rsid w:val="00D00849"/>
    <w:rsid w:val="00D00BDD"/>
    <w:rsid w:val="00D023CE"/>
    <w:rsid w:val="00D02788"/>
    <w:rsid w:val="00D0370F"/>
    <w:rsid w:val="00D03F38"/>
    <w:rsid w:val="00D04020"/>
    <w:rsid w:val="00D040D5"/>
    <w:rsid w:val="00D04D89"/>
    <w:rsid w:val="00D0501C"/>
    <w:rsid w:val="00D051E0"/>
    <w:rsid w:val="00D05348"/>
    <w:rsid w:val="00D054B9"/>
    <w:rsid w:val="00D05739"/>
    <w:rsid w:val="00D05C88"/>
    <w:rsid w:val="00D0606E"/>
    <w:rsid w:val="00D0715F"/>
    <w:rsid w:val="00D076E5"/>
    <w:rsid w:val="00D10E5F"/>
    <w:rsid w:val="00D115E0"/>
    <w:rsid w:val="00D11DAF"/>
    <w:rsid w:val="00D11FCC"/>
    <w:rsid w:val="00D12590"/>
    <w:rsid w:val="00D14021"/>
    <w:rsid w:val="00D14343"/>
    <w:rsid w:val="00D1657B"/>
    <w:rsid w:val="00D17131"/>
    <w:rsid w:val="00D207A0"/>
    <w:rsid w:val="00D20AF1"/>
    <w:rsid w:val="00D2161A"/>
    <w:rsid w:val="00D21DC1"/>
    <w:rsid w:val="00D220AB"/>
    <w:rsid w:val="00D2229D"/>
    <w:rsid w:val="00D237E5"/>
    <w:rsid w:val="00D23D55"/>
    <w:rsid w:val="00D2477F"/>
    <w:rsid w:val="00D24C25"/>
    <w:rsid w:val="00D25386"/>
    <w:rsid w:val="00D279EC"/>
    <w:rsid w:val="00D30A28"/>
    <w:rsid w:val="00D31A3B"/>
    <w:rsid w:val="00D31EC1"/>
    <w:rsid w:val="00D32051"/>
    <w:rsid w:val="00D323A4"/>
    <w:rsid w:val="00D32AFD"/>
    <w:rsid w:val="00D3462F"/>
    <w:rsid w:val="00D34E2F"/>
    <w:rsid w:val="00D360F7"/>
    <w:rsid w:val="00D369CD"/>
    <w:rsid w:val="00D36B41"/>
    <w:rsid w:val="00D36F15"/>
    <w:rsid w:val="00D36F7B"/>
    <w:rsid w:val="00D37823"/>
    <w:rsid w:val="00D401DB"/>
    <w:rsid w:val="00D407FD"/>
    <w:rsid w:val="00D40BC0"/>
    <w:rsid w:val="00D41F60"/>
    <w:rsid w:val="00D4333E"/>
    <w:rsid w:val="00D439DA"/>
    <w:rsid w:val="00D447A2"/>
    <w:rsid w:val="00D453BA"/>
    <w:rsid w:val="00D45A65"/>
    <w:rsid w:val="00D45F18"/>
    <w:rsid w:val="00D46043"/>
    <w:rsid w:val="00D46BAE"/>
    <w:rsid w:val="00D46E3F"/>
    <w:rsid w:val="00D474D7"/>
    <w:rsid w:val="00D4793F"/>
    <w:rsid w:val="00D47AF1"/>
    <w:rsid w:val="00D47D76"/>
    <w:rsid w:val="00D50DD0"/>
    <w:rsid w:val="00D51892"/>
    <w:rsid w:val="00D52D5A"/>
    <w:rsid w:val="00D54712"/>
    <w:rsid w:val="00D54F4F"/>
    <w:rsid w:val="00D55520"/>
    <w:rsid w:val="00D57871"/>
    <w:rsid w:val="00D61138"/>
    <w:rsid w:val="00D611CA"/>
    <w:rsid w:val="00D61A3A"/>
    <w:rsid w:val="00D61E33"/>
    <w:rsid w:val="00D6384C"/>
    <w:rsid w:val="00D63BCB"/>
    <w:rsid w:val="00D63C8A"/>
    <w:rsid w:val="00D63CAE"/>
    <w:rsid w:val="00D662FF"/>
    <w:rsid w:val="00D6706A"/>
    <w:rsid w:val="00D67130"/>
    <w:rsid w:val="00D673BF"/>
    <w:rsid w:val="00D70993"/>
    <w:rsid w:val="00D715C3"/>
    <w:rsid w:val="00D71648"/>
    <w:rsid w:val="00D7278F"/>
    <w:rsid w:val="00D7281A"/>
    <w:rsid w:val="00D73881"/>
    <w:rsid w:val="00D73B2B"/>
    <w:rsid w:val="00D73F1D"/>
    <w:rsid w:val="00D74651"/>
    <w:rsid w:val="00D74905"/>
    <w:rsid w:val="00D7495A"/>
    <w:rsid w:val="00D74E33"/>
    <w:rsid w:val="00D7521A"/>
    <w:rsid w:val="00D76A6C"/>
    <w:rsid w:val="00D76F40"/>
    <w:rsid w:val="00D7795B"/>
    <w:rsid w:val="00D779ED"/>
    <w:rsid w:val="00D802C1"/>
    <w:rsid w:val="00D81DCF"/>
    <w:rsid w:val="00D821AD"/>
    <w:rsid w:val="00D829FE"/>
    <w:rsid w:val="00D82BAF"/>
    <w:rsid w:val="00D838B4"/>
    <w:rsid w:val="00D845BC"/>
    <w:rsid w:val="00D8463D"/>
    <w:rsid w:val="00D85673"/>
    <w:rsid w:val="00D85845"/>
    <w:rsid w:val="00D870B3"/>
    <w:rsid w:val="00D87BB4"/>
    <w:rsid w:val="00D903DB"/>
    <w:rsid w:val="00D90C57"/>
    <w:rsid w:val="00D91091"/>
    <w:rsid w:val="00D9119D"/>
    <w:rsid w:val="00D91FFD"/>
    <w:rsid w:val="00D92A6B"/>
    <w:rsid w:val="00D92F1F"/>
    <w:rsid w:val="00D93370"/>
    <w:rsid w:val="00D93402"/>
    <w:rsid w:val="00D94313"/>
    <w:rsid w:val="00D9484E"/>
    <w:rsid w:val="00D94B1D"/>
    <w:rsid w:val="00D95348"/>
    <w:rsid w:val="00D95594"/>
    <w:rsid w:val="00D95867"/>
    <w:rsid w:val="00D95BE3"/>
    <w:rsid w:val="00D96924"/>
    <w:rsid w:val="00D96BB0"/>
    <w:rsid w:val="00D97618"/>
    <w:rsid w:val="00D977B1"/>
    <w:rsid w:val="00D97DC0"/>
    <w:rsid w:val="00DA20CC"/>
    <w:rsid w:val="00DA24AD"/>
    <w:rsid w:val="00DA34DD"/>
    <w:rsid w:val="00DA37DC"/>
    <w:rsid w:val="00DA57F4"/>
    <w:rsid w:val="00DA65D3"/>
    <w:rsid w:val="00DA70A7"/>
    <w:rsid w:val="00DA7881"/>
    <w:rsid w:val="00DA7DD1"/>
    <w:rsid w:val="00DB0513"/>
    <w:rsid w:val="00DB069E"/>
    <w:rsid w:val="00DB26AD"/>
    <w:rsid w:val="00DB2AFB"/>
    <w:rsid w:val="00DB2DD9"/>
    <w:rsid w:val="00DB30D3"/>
    <w:rsid w:val="00DB4BF5"/>
    <w:rsid w:val="00DB5333"/>
    <w:rsid w:val="00DB5551"/>
    <w:rsid w:val="00DB6D43"/>
    <w:rsid w:val="00DC036B"/>
    <w:rsid w:val="00DC0447"/>
    <w:rsid w:val="00DC0588"/>
    <w:rsid w:val="00DC0932"/>
    <w:rsid w:val="00DC0DC7"/>
    <w:rsid w:val="00DC0E83"/>
    <w:rsid w:val="00DC10EC"/>
    <w:rsid w:val="00DC1243"/>
    <w:rsid w:val="00DC2880"/>
    <w:rsid w:val="00DC2A8B"/>
    <w:rsid w:val="00DC2D62"/>
    <w:rsid w:val="00DC3B3C"/>
    <w:rsid w:val="00DC4430"/>
    <w:rsid w:val="00DC47EF"/>
    <w:rsid w:val="00DC582F"/>
    <w:rsid w:val="00DC5D5E"/>
    <w:rsid w:val="00DC65C5"/>
    <w:rsid w:val="00DC759C"/>
    <w:rsid w:val="00DC7F59"/>
    <w:rsid w:val="00DD033E"/>
    <w:rsid w:val="00DD0553"/>
    <w:rsid w:val="00DD1447"/>
    <w:rsid w:val="00DD21BE"/>
    <w:rsid w:val="00DD30C6"/>
    <w:rsid w:val="00DD3886"/>
    <w:rsid w:val="00DD3E27"/>
    <w:rsid w:val="00DD3FD3"/>
    <w:rsid w:val="00DD4DC7"/>
    <w:rsid w:val="00DD5995"/>
    <w:rsid w:val="00DD6245"/>
    <w:rsid w:val="00DD76BE"/>
    <w:rsid w:val="00DE02A0"/>
    <w:rsid w:val="00DE07EE"/>
    <w:rsid w:val="00DE0C06"/>
    <w:rsid w:val="00DE0D27"/>
    <w:rsid w:val="00DE0E9B"/>
    <w:rsid w:val="00DE1228"/>
    <w:rsid w:val="00DE1950"/>
    <w:rsid w:val="00DE21FB"/>
    <w:rsid w:val="00DE230D"/>
    <w:rsid w:val="00DE2B9E"/>
    <w:rsid w:val="00DE324F"/>
    <w:rsid w:val="00DE41C3"/>
    <w:rsid w:val="00DE439D"/>
    <w:rsid w:val="00DE6FCC"/>
    <w:rsid w:val="00DE7444"/>
    <w:rsid w:val="00DE75AB"/>
    <w:rsid w:val="00DE7884"/>
    <w:rsid w:val="00DF01DA"/>
    <w:rsid w:val="00DF0E82"/>
    <w:rsid w:val="00DF168E"/>
    <w:rsid w:val="00DF1922"/>
    <w:rsid w:val="00DF2146"/>
    <w:rsid w:val="00DF251C"/>
    <w:rsid w:val="00DF292C"/>
    <w:rsid w:val="00DF2AA1"/>
    <w:rsid w:val="00DF331A"/>
    <w:rsid w:val="00DF4348"/>
    <w:rsid w:val="00DF44F5"/>
    <w:rsid w:val="00DF5017"/>
    <w:rsid w:val="00DF69D2"/>
    <w:rsid w:val="00DF6A81"/>
    <w:rsid w:val="00DF718A"/>
    <w:rsid w:val="00DF7C96"/>
    <w:rsid w:val="00DF7CE0"/>
    <w:rsid w:val="00E004EE"/>
    <w:rsid w:val="00E01ECF"/>
    <w:rsid w:val="00E02013"/>
    <w:rsid w:val="00E02115"/>
    <w:rsid w:val="00E0227E"/>
    <w:rsid w:val="00E02E54"/>
    <w:rsid w:val="00E0372E"/>
    <w:rsid w:val="00E0374A"/>
    <w:rsid w:val="00E03E55"/>
    <w:rsid w:val="00E041DE"/>
    <w:rsid w:val="00E043C8"/>
    <w:rsid w:val="00E04A76"/>
    <w:rsid w:val="00E052FC"/>
    <w:rsid w:val="00E05F9E"/>
    <w:rsid w:val="00E074E8"/>
    <w:rsid w:val="00E07C6D"/>
    <w:rsid w:val="00E10F8D"/>
    <w:rsid w:val="00E11882"/>
    <w:rsid w:val="00E12E44"/>
    <w:rsid w:val="00E12F09"/>
    <w:rsid w:val="00E135BA"/>
    <w:rsid w:val="00E138FF"/>
    <w:rsid w:val="00E13DAE"/>
    <w:rsid w:val="00E143C9"/>
    <w:rsid w:val="00E15FF6"/>
    <w:rsid w:val="00E16220"/>
    <w:rsid w:val="00E16469"/>
    <w:rsid w:val="00E16D7F"/>
    <w:rsid w:val="00E17337"/>
    <w:rsid w:val="00E17C8D"/>
    <w:rsid w:val="00E17DE0"/>
    <w:rsid w:val="00E17E7B"/>
    <w:rsid w:val="00E200B6"/>
    <w:rsid w:val="00E20BB6"/>
    <w:rsid w:val="00E20FA2"/>
    <w:rsid w:val="00E214C6"/>
    <w:rsid w:val="00E21A52"/>
    <w:rsid w:val="00E22AF7"/>
    <w:rsid w:val="00E22F02"/>
    <w:rsid w:val="00E23B5A"/>
    <w:rsid w:val="00E2438D"/>
    <w:rsid w:val="00E244BF"/>
    <w:rsid w:val="00E249D7"/>
    <w:rsid w:val="00E24D83"/>
    <w:rsid w:val="00E268D2"/>
    <w:rsid w:val="00E27047"/>
    <w:rsid w:val="00E273B1"/>
    <w:rsid w:val="00E30F5A"/>
    <w:rsid w:val="00E313D5"/>
    <w:rsid w:val="00E3198F"/>
    <w:rsid w:val="00E3303D"/>
    <w:rsid w:val="00E33645"/>
    <w:rsid w:val="00E3510E"/>
    <w:rsid w:val="00E352C1"/>
    <w:rsid w:val="00E36188"/>
    <w:rsid w:val="00E361CA"/>
    <w:rsid w:val="00E36B70"/>
    <w:rsid w:val="00E3710C"/>
    <w:rsid w:val="00E374A4"/>
    <w:rsid w:val="00E37DD4"/>
    <w:rsid w:val="00E40488"/>
    <w:rsid w:val="00E40C21"/>
    <w:rsid w:val="00E41603"/>
    <w:rsid w:val="00E4191B"/>
    <w:rsid w:val="00E4225B"/>
    <w:rsid w:val="00E4289E"/>
    <w:rsid w:val="00E43C48"/>
    <w:rsid w:val="00E44E34"/>
    <w:rsid w:val="00E45EBF"/>
    <w:rsid w:val="00E46FB5"/>
    <w:rsid w:val="00E47350"/>
    <w:rsid w:val="00E47E3F"/>
    <w:rsid w:val="00E504C6"/>
    <w:rsid w:val="00E50B14"/>
    <w:rsid w:val="00E51B0A"/>
    <w:rsid w:val="00E52450"/>
    <w:rsid w:val="00E5326A"/>
    <w:rsid w:val="00E5331A"/>
    <w:rsid w:val="00E540B7"/>
    <w:rsid w:val="00E5425A"/>
    <w:rsid w:val="00E548C6"/>
    <w:rsid w:val="00E549F2"/>
    <w:rsid w:val="00E54CA2"/>
    <w:rsid w:val="00E5502D"/>
    <w:rsid w:val="00E55631"/>
    <w:rsid w:val="00E565BD"/>
    <w:rsid w:val="00E568C0"/>
    <w:rsid w:val="00E56D44"/>
    <w:rsid w:val="00E56FA2"/>
    <w:rsid w:val="00E57F97"/>
    <w:rsid w:val="00E607C9"/>
    <w:rsid w:val="00E60C87"/>
    <w:rsid w:val="00E60C98"/>
    <w:rsid w:val="00E60D31"/>
    <w:rsid w:val="00E614B2"/>
    <w:rsid w:val="00E615DD"/>
    <w:rsid w:val="00E61850"/>
    <w:rsid w:val="00E61DA9"/>
    <w:rsid w:val="00E62DC0"/>
    <w:rsid w:val="00E631C0"/>
    <w:rsid w:val="00E63F48"/>
    <w:rsid w:val="00E63F93"/>
    <w:rsid w:val="00E640BA"/>
    <w:rsid w:val="00E6456A"/>
    <w:rsid w:val="00E64950"/>
    <w:rsid w:val="00E64EBD"/>
    <w:rsid w:val="00E6525E"/>
    <w:rsid w:val="00E653E6"/>
    <w:rsid w:val="00E658A8"/>
    <w:rsid w:val="00E66C91"/>
    <w:rsid w:val="00E66F39"/>
    <w:rsid w:val="00E67488"/>
    <w:rsid w:val="00E67BD5"/>
    <w:rsid w:val="00E70475"/>
    <w:rsid w:val="00E71C55"/>
    <w:rsid w:val="00E71D2F"/>
    <w:rsid w:val="00E72593"/>
    <w:rsid w:val="00E72780"/>
    <w:rsid w:val="00E7298F"/>
    <w:rsid w:val="00E72B3D"/>
    <w:rsid w:val="00E72BAC"/>
    <w:rsid w:val="00E73B56"/>
    <w:rsid w:val="00E74B1D"/>
    <w:rsid w:val="00E75A6B"/>
    <w:rsid w:val="00E7642B"/>
    <w:rsid w:val="00E77905"/>
    <w:rsid w:val="00E77A90"/>
    <w:rsid w:val="00E77ECA"/>
    <w:rsid w:val="00E77FCD"/>
    <w:rsid w:val="00E80309"/>
    <w:rsid w:val="00E80790"/>
    <w:rsid w:val="00E807E9"/>
    <w:rsid w:val="00E813D6"/>
    <w:rsid w:val="00E81C2D"/>
    <w:rsid w:val="00E82013"/>
    <w:rsid w:val="00E830E4"/>
    <w:rsid w:val="00E8384C"/>
    <w:rsid w:val="00E8595E"/>
    <w:rsid w:val="00E85AAE"/>
    <w:rsid w:val="00E8608C"/>
    <w:rsid w:val="00E8682A"/>
    <w:rsid w:val="00E87344"/>
    <w:rsid w:val="00E87C48"/>
    <w:rsid w:val="00E87ECA"/>
    <w:rsid w:val="00E87FCD"/>
    <w:rsid w:val="00E92AA2"/>
    <w:rsid w:val="00E93B58"/>
    <w:rsid w:val="00E94500"/>
    <w:rsid w:val="00E94EAE"/>
    <w:rsid w:val="00E9523C"/>
    <w:rsid w:val="00E952A3"/>
    <w:rsid w:val="00E95A2B"/>
    <w:rsid w:val="00E95CB8"/>
    <w:rsid w:val="00E95D1B"/>
    <w:rsid w:val="00E95D52"/>
    <w:rsid w:val="00E9613D"/>
    <w:rsid w:val="00E9714F"/>
    <w:rsid w:val="00EA04AA"/>
    <w:rsid w:val="00EA097A"/>
    <w:rsid w:val="00EA0CBD"/>
    <w:rsid w:val="00EA1689"/>
    <w:rsid w:val="00EA23C0"/>
    <w:rsid w:val="00EA3148"/>
    <w:rsid w:val="00EA36F0"/>
    <w:rsid w:val="00EA3ED6"/>
    <w:rsid w:val="00EA445C"/>
    <w:rsid w:val="00EA4BD9"/>
    <w:rsid w:val="00EA5536"/>
    <w:rsid w:val="00EA55A3"/>
    <w:rsid w:val="00EA571B"/>
    <w:rsid w:val="00EA63F9"/>
    <w:rsid w:val="00EA679E"/>
    <w:rsid w:val="00EA7166"/>
    <w:rsid w:val="00EA73C2"/>
    <w:rsid w:val="00EB143D"/>
    <w:rsid w:val="00EB178A"/>
    <w:rsid w:val="00EB1BD9"/>
    <w:rsid w:val="00EB2D55"/>
    <w:rsid w:val="00EB4B60"/>
    <w:rsid w:val="00EB5538"/>
    <w:rsid w:val="00EB63B2"/>
    <w:rsid w:val="00EB663D"/>
    <w:rsid w:val="00EB7FC1"/>
    <w:rsid w:val="00EC01B4"/>
    <w:rsid w:val="00EC02DB"/>
    <w:rsid w:val="00EC077A"/>
    <w:rsid w:val="00EC1430"/>
    <w:rsid w:val="00EC18D8"/>
    <w:rsid w:val="00EC207C"/>
    <w:rsid w:val="00EC3970"/>
    <w:rsid w:val="00EC4210"/>
    <w:rsid w:val="00EC6313"/>
    <w:rsid w:val="00EC6C10"/>
    <w:rsid w:val="00EC6F87"/>
    <w:rsid w:val="00EC7922"/>
    <w:rsid w:val="00ED124D"/>
    <w:rsid w:val="00ED1295"/>
    <w:rsid w:val="00ED24C6"/>
    <w:rsid w:val="00ED39D4"/>
    <w:rsid w:val="00ED3A33"/>
    <w:rsid w:val="00ED4134"/>
    <w:rsid w:val="00ED469B"/>
    <w:rsid w:val="00ED5083"/>
    <w:rsid w:val="00ED5FB8"/>
    <w:rsid w:val="00ED655E"/>
    <w:rsid w:val="00ED6B4A"/>
    <w:rsid w:val="00ED6C10"/>
    <w:rsid w:val="00ED6EEB"/>
    <w:rsid w:val="00ED7658"/>
    <w:rsid w:val="00ED7746"/>
    <w:rsid w:val="00ED7F8E"/>
    <w:rsid w:val="00EE0075"/>
    <w:rsid w:val="00EE05FC"/>
    <w:rsid w:val="00EE164A"/>
    <w:rsid w:val="00EE1FDE"/>
    <w:rsid w:val="00EE21DC"/>
    <w:rsid w:val="00EE31A9"/>
    <w:rsid w:val="00EE31AB"/>
    <w:rsid w:val="00EE4E6C"/>
    <w:rsid w:val="00EE5AF3"/>
    <w:rsid w:val="00EE5BE7"/>
    <w:rsid w:val="00EE697C"/>
    <w:rsid w:val="00EE72E3"/>
    <w:rsid w:val="00EE759B"/>
    <w:rsid w:val="00EE759D"/>
    <w:rsid w:val="00EE775E"/>
    <w:rsid w:val="00EE7FE3"/>
    <w:rsid w:val="00EF002B"/>
    <w:rsid w:val="00EF010A"/>
    <w:rsid w:val="00EF046C"/>
    <w:rsid w:val="00EF0FA0"/>
    <w:rsid w:val="00EF1ABF"/>
    <w:rsid w:val="00EF2AD5"/>
    <w:rsid w:val="00EF3640"/>
    <w:rsid w:val="00EF399A"/>
    <w:rsid w:val="00EF454B"/>
    <w:rsid w:val="00EF4D68"/>
    <w:rsid w:val="00EF7321"/>
    <w:rsid w:val="00F00063"/>
    <w:rsid w:val="00F0077D"/>
    <w:rsid w:val="00F0123A"/>
    <w:rsid w:val="00F015F3"/>
    <w:rsid w:val="00F02BDA"/>
    <w:rsid w:val="00F032A8"/>
    <w:rsid w:val="00F03517"/>
    <w:rsid w:val="00F03CDD"/>
    <w:rsid w:val="00F05575"/>
    <w:rsid w:val="00F05E1B"/>
    <w:rsid w:val="00F0667E"/>
    <w:rsid w:val="00F07768"/>
    <w:rsid w:val="00F077E6"/>
    <w:rsid w:val="00F101F3"/>
    <w:rsid w:val="00F10E9F"/>
    <w:rsid w:val="00F11638"/>
    <w:rsid w:val="00F11AE7"/>
    <w:rsid w:val="00F12816"/>
    <w:rsid w:val="00F128CA"/>
    <w:rsid w:val="00F12A93"/>
    <w:rsid w:val="00F13FF6"/>
    <w:rsid w:val="00F164CC"/>
    <w:rsid w:val="00F16987"/>
    <w:rsid w:val="00F17668"/>
    <w:rsid w:val="00F17D25"/>
    <w:rsid w:val="00F17F8E"/>
    <w:rsid w:val="00F202E6"/>
    <w:rsid w:val="00F20684"/>
    <w:rsid w:val="00F20720"/>
    <w:rsid w:val="00F20E71"/>
    <w:rsid w:val="00F234C4"/>
    <w:rsid w:val="00F2356D"/>
    <w:rsid w:val="00F23C9B"/>
    <w:rsid w:val="00F241D5"/>
    <w:rsid w:val="00F24290"/>
    <w:rsid w:val="00F248EB"/>
    <w:rsid w:val="00F24A36"/>
    <w:rsid w:val="00F24B3D"/>
    <w:rsid w:val="00F24C33"/>
    <w:rsid w:val="00F24E39"/>
    <w:rsid w:val="00F24F7B"/>
    <w:rsid w:val="00F25477"/>
    <w:rsid w:val="00F25DFE"/>
    <w:rsid w:val="00F25EA0"/>
    <w:rsid w:val="00F26BAF"/>
    <w:rsid w:val="00F26E03"/>
    <w:rsid w:val="00F277EB"/>
    <w:rsid w:val="00F279C5"/>
    <w:rsid w:val="00F30337"/>
    <w:rsid w:val="00F326B8"/>
    <w:rsid w:val="00F326D6"/>
    <w:rsid w:val="00F33209"/>
    <w:rsid w:val="00F3329D"/>
    <w:rsid w:val="00F3424A"/>
    <w:rsid w:val="00F34873"/>
    <w:rsid w:val="00F35616"/>
    <w:rsid w:val="00F36981"/>
    <w:rsid w:val="00F37600"/>
    <w:rsid w:val="00F4052E"/>
    <w:rsid w:val="00F42269"/>
    <w:rsid w:val="00F42B24"/>
    <w:rsid w:val="00F43CDD"/>
    <w:rsid w:val="00F43EC2"/>
    <w:rsid w:val="00F44582"/>
    <w:rsid w:val="00F44A13"/>
    <w:rsid w:val="00F44C06"/>
    <w:rsid w:val="00F45BCB"/>
    <w:rsid w:val="00F46C1A"/>
    <w:rsid w:val="00F473F4"/>
    <w:rsid w:val="00F5158E"/>
    <w:rsid w:val="00F51717"/>
    <w:rsid w:val="00F53DD3"/>
    <w:rsid w:val="00F54603"/>
    <w:rsid w:val="00F54E61"/>
    <w:rsid w:val="00F54F48"/>
    <w:rsid w:val="00F55368"/>
    <w:rsid w:val="00F55386"/>
    <w:rsid w:val="00F55BC9"/>
    <w:rsid w:val="00F56108"/>
    <w:rsid w:val="00F5644E"/>
    <w:rsid w:val="00F56F8C"/>
    <w:rsid w:val="00F5722E"/>
    <w:rsid w:val="00F601A5"/>
    <w:rsid w:val="00F616A9"/>
    <w:rsid w:val="00F6184A"/>
    <w:rsid w:val="00F61C4D"/>
    <w:rsid w:val="00F63AC9"/>
    <w:rsid w:val="00F64F6C"/>
    <w:rsid w:val="00F6502F"/>
    <w:rsid w:val="00F6569F"/>
    <w:rsid w:val="00F65758"/>
    <w:rsid w:val="00F665AE"/>
    <w:rsid w:val="00F665F3"/>
    <w:rsid w:val="00F66722"/>
    <w:rsid w:val="00F667F5"/>
    <w:rsid w:val="00F674B7"/>
    <w:rsid w:val="00F705F4"/>
    <w:rsid w:val="00F7088A"/>
    <w:rsid w:val="00F71548"/>
    <w:rsid w:val="00F71787"/>
    <w:rsid w:val="00F71A15"/>
    <w:rsid w:val="00F71BF0"/>
    <w:rsid w:val="00F72275"/>
    <w:rsid w:val="00F73B03"/>
    <w:rsid w:val="00F75337"/>
    <w:rsid w:val="00F76066"/>
    <w:rsid w:val="00F76204"/>
    <w:rsid w:val="00F76613"/>
    <w:rsid w:val="00F76AD0"/>
    <w:rsid w:val="00F77A73"/>
    <w:rsid w:val="00F806FF"/>
    <w:rsid w:val="00F80A17"/>
    <w:rsid w:val="00F80C18"/>
    <w:rsid w:val="00F80FE4"/>
    <w:rsid w:val="00F81129"/>
    <w:rsid w:val="00F82789"/>
    <w:rsid w:val="00F8472B"/>
    <w:rsid w:val="00F85480"/>
    <w:rsid w:val="00F85B6A"/>
    <w:rsid w:val="00F864A5"/>
    <w:rsid w:val="00F86611"/>
    <w:rsid w:val="00F86849"/>
    <w:rsid w:val="00F86BCC"/>
    <w:rsid w:val="00F87B53"/>
    <w:rsid w:val="00F87EC5"/>
    <w:rsid w:val="00F90045"/>
    <w:rsid w:val="00F90413"/>
    <w:rsid w:val="00F90ED4"/>
    <w:rsid w:val="00F90EF2"/>
    <w:rsid w:val="00F91B53"/>
    <w:rsid w:val="00F91D16"/>
    <w:rsid w:val="00F92721"/>
    <w:rsid w:val="00F92786"/>
    <w:rsid w:val="00F927E0"/>
    <w:rsid w:val="00F92DDD"/>
    <w:rsid w:val="00F949C1"/>
    <w:rsid w:val="00F955F8"/>
    <w:rsid w:val="00F95BC5"/>
    <w:rsid w:val="00F966FC"/>
    <w:rsid w:val="00F9726E"/>
    <w:rsid w:val="00FA0387"/>
    <w:rsid w:val="00FA0571"/>
    <w:rsid w:val="00FA11DF"/>
    <w:rsid w:val="00FA12C5"/>
    <w:rsid w:val="00FA146F"/>
    <w:rsid w:val="00FA1562"/>
    <w:rsid w:val="00FA15FC"/>
    <w:rsid w:val="00FA1849"/>
    <w:rsid w:val="00FA22C7"/>
    <w:rsid w:val="00FA2C5C"/>
    <w:rsid w:val="00FA45AF"/>
    <w:rsid w:val="00FA59EF"/>
    <w:rsid w:val="00FA5BE6"/>
    <w:rsid w:val="00FA5F0D"/>
    <w:rsid w:val="00FA6AD2"/>
    <w:rsid w:val="00FA6FCC"/>
    <w:rsid w:val="00FA7CC2"/>
    <w:rsid w:val="00FA7DA3"/>
    <w:rsid w:val="00FA7DBF"/>
    <w:rsid w:val="00FB067E"/>
    <w:rsid w:val="00FB0900"/>
    <w:rsid w:val="00FB0B5E"/>
    <w:rsid w:val="00FB25A3"/>
    <w:rsid w:val="00FB29C6"/>
    <w:rsid w:val="00FB2ACC"/>
    <w:rsid w:val="00FB2CF4"/>
    <w:rsid w:val="00FB41D6"/>
    <w:rsid w:val="00FB58B8"/>
    <w:rsid w:val="00FB5B1E"/>
    <w:rsid w:val="00FB5DC8"/>
    <w:rsid w:val="00FB6685"/>
    <w:rsid w:val="00FB67EA"/>
    <w:rsid w:val="00FC0E4E"/>
    <w:rsid w:val="00FC1507"/>
    <w:rsid w:val="00FC2D0E"/>
    <w:rsid w:val="00FC2ED9"/>
    <w:rsid w:val="00FC323C"/>
    <w:rsid w:val="00FC3E5A"/>
    <w:rsid w:val="00FC40EC"/>
    <w:rsid w:val="00FC589B"/>
    <w:rsid w:val="00FC5FF8"/>
    <w:rsid w:val="00FC65E0"/>
    <w:rsid w:val="00FC771E"/>
    <w:rsid w:val="00FC776C"/>
    <w:rsid w:val="00FD036B"/>
    <w:rsid w:val="00FD093E"/>
    <w:rsid w:val="00FD180A"/>
    <w:rsid w:val="00FD2A37"/>
    <w:rsid w:val="00FD559E"/>
    <w:rsid w:val="00FD5834"/>
    <w:rsid w:val="00FD6619"/>
    <w:rsid w:val="00FD66AE"/>
    <w:rsid w:val="00FD70B3"/>
    <w:rsid w:val="00FD73AF"/>
    <w:rsid w:val="00FD7B5B"/>
    <w:rsid w:val="00FE0666"/>
    <w:rsid w:val="00FE1072"/>
    <w:rsid w:val="00FE1739"/>
    <w:rsid w:val="00FE1B80"/>
    <w:rsid w:val="00FE1EAD"/>
    <w:rsid w:val="00FE2770"/>
    <w:rsid w:val="00FE2985"/>
    <w:rsid w:val="00FE2BCE"/>
    <w:rsid w:val="00FE2BF2"/>
    <w:rsid w:val="00FE30B4"/>
    <w:rsid w:val="00FE3CDD"/>
    <w:rsid w:val="00FE507E"/>
    <w:rsid w:val="00FE5118"/>
    <w:rsid w:val="00FE5CC4"/>
    <w:rsid w:val="00FE62B0"/>
    <w:rsid w:val="00FE7FF9"/>
    <w:rsid w:val="00FF04F1"/>
    <w:rsid w:val="00FF0EF1"/>
    <w:rsid w:val="00FF154B"/>
    <w:rsid w:val="00FF1E31"/>
    <w:rsid w:val="00FF1EFD"/>
    <w:rsid w:val="00FF4D58"/>
    <w:rsid w:val="00FF53DB"/>
    <w:rsid w:val="00FF70D7"/>
    <w:rsid w:val="00FF72AF"/>
    <w:rsid w:val="00FF73AC"/>
    <w:rsid w:val="00FF740A"/>
    <w:rsid w:val="01C42B8B"/>
    <w:rsid w:val="0245729F"/>
    <w:rsid w:val="04A56642"/>
    <w:rsid w:val="06F42D93"/>
    <w:rsid w:val="070E4763"/>
    <w:rsid w:val="08616607"/>
    <w:rsid w:val="09AB2883"/>
    <w:rsid w:val="11EE0197"/>
    <w:rsid w:val="144000D6"/>
    <w:rsid w:val="16484D96"/>
    <w:rsid w:val="1D625C4D"/>
    <w:rsid w:val="27713910"/>
    <w:rsid w:val="27FA20B0"/>
    <w:rsid w:val="28C16362"/>
    <w:rsid w:val="2F6C1A1C"/>
    <w:rsid w:val="3000698A"/>
    <w:rsid w:val="34E22105"/>
    <w:rsid w:val="36165F53"/>
    <w:rsid w:val="37744847"/>
    <w:rsid w:val="39355B41"/>
    <w:rsid w:val="3A270170"/>
    <w:rsid w:val="3B0F5F1E"/>
    <w:rsid w:val="3DEF72D6"/>
    <w:rsid w:val="3EBF43B8"/>
    <w:rsid w:val="44DD1E0F"/>
    <w:rsid w:val="48A34931"/>
    <w:rsid w:val="4D2E4D2A"/>
    <w:rsid w:val="4D4E034C"/>
    <w:rsid w:val="500876B4"/>
    <w:rsid w:val="50713461"/>
    <w:rsid w:val="510A32A2"/>
    <w:rsid w:val="521A31BD"/>
    <w:rsid w:val="5B190A27"/>
    <w:rsid w:val="5BE27B5D"/>
    <w:rsid w:val="60686DDD"/>
    <w:rsid w:val="6323058D"/>
    <w:rsid w:val="65C4686E"/>
    <w:rsid w:val="6C907116"/>
    <w:rsid w:val="75BA4493"/>
    <w:rsid w:val="7C2F7CC5"/>
    <w:rsid w:val="7C617073"/>
    <w:rsid w:val="7E2B3F60"/>
    <w:rsid w:val="7FC54B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iPriority="99" w:semiHidden="0"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Times New Roman" w:hAnsi="Times New Roman" w:eastAsiaTheme="minorEastAsia" w:cstheme="minorBidi"/>
      <w:kern w:val="2"/>
      <w:sz w:val="24"/>
      <w:szCs w:val="22"/>
      <w:lang w:val="en-US" w:eastAsia="zh-CN" w:bidi="ar-SA"/>
    </w:rPr>
  </w:style>
  <w:style w:type="paragraph" w:styleId="2">
    <w:name w:val="heading 1"/>
    <w:basedOn w:val="1"/>
    <w:next w:val="1"/>
    <w:link w:val="32"/>
    <w:qFormat/>
    <w:uiPriority w:val="9"/>
    <w:pPr>
      <w:keepNext/>
      <w:keepLines/>
      <w:spacing w:before="340" w:after="330" w:line="578" w:lineRule="auto"/>
      <w:outlineLvl w:val="0"/>
    </w:pPr>
    <w:rPr>
      <w:rFonts w:eastAsia="宋体" w:cs="Times New Roman"/>
      <w:b/>
      <w:bCs/>
      <w:kern w:val="44"/>
      <w:sz w:val="44"/>
      <w:szCs w:val="44"/>
    </w:rPr>
  </w:style>
  <w:style w:type="paragraph" w:styleId="3">
    <w:name w:val="heading 2"/>
    <w:basedOn w:val="1"/>
    <w:next w:val="1"/>
    <w:link w:val="25"/>
    <w:unhideWhenUsed/>
    <w:qFormat/>
    <w:uiPriority w:val="9"/>
    <w:pPr>
      <w:keepNext/>
      <w:keepLines/>
      <w:spacing w:before="260" w:after="260" w:line="416" w:lineRule="auto"/>
      <w:jc w:val="center"/>
      <w:outlineLvl w:val="1"/>
    </w:pPr>
    <w:rPr>
      <w:rFonts w:eastAsia="宋体" w:cstheme="majorBidi"/>
      <w:b/>
      <w:bCs/>
      <w:sz w:val="32"/>
      <w:szCs w:val="32"/>
    </w:rPr>
  </w:style>
  <w:style w:type="paragraph" w:styleId="4">
    <w:name w:val="heading 3"/>
    <w:basedOn w:val="1"/>
    <w:next w:val="1"/>
    <w:link w:val="24"/>
    <w:unhideWhenUsed/>
    <w:qFormat/>
    <w:uiPriority w:val="9"/>
    <w:pPr>
      <w:keepNext/>
      <w:keepLines/>
      <w:spacing w:before="260" w:after="260" w:line="416" w:lineRule="auto"/>
      <w:jc w:val="left"/>
      <w:outlineLvl w:val="2"/>
    </w:pPr>
    <w:rPr>
      <w:rFonts w:eastAsia="宋体"/>
      <w:b/>
      <w:bCs/>
      <w:szCs w:val="32"/>
    </w:rPr>
  </w:style>
  <w:style w:type="paragraph" w:styleId="5">
    <w:name w:val="heading 4"/>
    <w:basedOn w:val="1"/>
    <w:next w:val="1"/>
    <w:link w:val="35"/>
    <w:unhideWhenUsed/>
    <w:qFormat/>
    <w:uiPriority w:val="9"/>
    <w:pPr>
      <w:keepNext/>
      <w:keepLines/>
      <w:spacing w:before="280" w:after="290" w:line="376" w:lineRule="auto"/>
      <w:outlineLvl w:val="3"/>
    </w:pPr>
    <w:rPr>
      <w:rFonts w:eastAsiaTheme="majorEastAsia" w:cstheme="majorBidi"/>
      <w:b/>
      <w:bCs/>
      <w:szCs w:val="28"/>
    </w:rPr>
  </w:style>
  <w:style w:type="paragraph" w:styleId="6">
    <w:name w:val="heading 5"/>
    <w:basedOn w:val="1"/>
    <w:next w:val="1"/>
    <w:link w:val="40"/>
    <w:semiHidden/>
    <w:unhideWhenUsed/>
    <w:qFormat/>
    <w:uiPriority w:val="9"/>
    <w:pPr>
      <w:keepNext/>
      <w:keepLines/>
      <w:spacing w:before="280" w:after="290" w:line="376" w:lineRule="auto"/>
      <w:outlineLvl w:val="4"/>
    </w:pPr>
    <w:rPr>
      <w:b/>
      <w:bCs/>
      <w:sz w:val="28"/>
      <w:szCs w:val="28"/>
    </w:rPr>
  </w:style>
  <w:style w:type="character" w:default="1" w:styleId="19">
    <w:name w:val="Default Paragraph Font"/>
    <w:semiHidden/>
    <w:unhideWhenUsed/>
    <w:uiPriority w:val="1"/>
  </w:style>
  <w:style w:type="table" w:default="1" w:styleId="17">
    <w:name w:val="Normal Table"/>
    <w:semiHidden/>
    <w:unhideWhenUsed/>
    <w:uiPriority w:val="99"/>
    <w:tblPr>
      <w:tblCellMar>
        <w:top w:w="0" w:type="dxa"/>
        <w:left w:w="108" w:type="dxa"/>
        <w:bottom w:w="0" w:type="dxa"/>
        <w:right w:w="108" w:type="dxa"/>
      </w:tblCellMar>
    </w:tblPr>
  </w:style>
  <w:style w:type="paragraph" w:styleId="7">
    <w:name w:val="annotation text"/>
    <w:basedOn w:val="1"/>
    <w:link w:val="37"/>
    <w:unhideWhenUsed/>
    <w:qFormat/>
    <w:uiPriority w:val="99"/>
    <w:pPr>
      <w:jc w:val="left"/>
    </w:pPr>
  </w:style>
  <w:style w:type="paragraph" w:styleId="8">
    <w:name w:val="toc 3"/>
    <w:basedOn w:val="1"/>
    <w:next w:val="1"/>
    <w:unhideWhenUsed/>
    <w:qFormat/>
    <w:uiPriority w:val="39"/>
    <w:pPr>
      <w:tabs>
        <w:tab w:val="right" w:leader="dot" w:pos="8296"/>
      </w:tabs>
      <w:spacing w:line="300" w:lineRule="auto"/>
      <w:ind w:left="840" w:leftChars="400"/>
    </w:pPr>
  </w:style>
  <w:style w:type="paragraph" w:styleId="9">
    <w:name w:val="Plain Text"/>
    <w:basedOn w:val="1"/>
    <w:link w:val="31"/>
    <w:semiHidden/>
    <w:unhideWhenUsed/>
    <w:qFormat/>
    <w:uiPriority w:val="99"/>
    <w:rPr>
      <w:rFonts w:ascii="宋体" w:hAnsi="Courier New" w:eastAsia="宋体" w:cs="Courier New"/>
      <w:szCs w:val="21"/>
    </w:rPr>
  </w:style>
  <w:style w:type="paragraph" w:styleId="10">
    <w:name w:val="Date"/>
    <w:basedOn w:val="1"/>
    <w:next w:val="1"/>
    <w:link w:val="33"/>
    <w:semiHidden/>
    <w:unhideWhenUsed/>
    <w:qFormat/>
    <w:uiPriority w:val="99"/>
    <w:pPr>
      <w:ind w:left="100" w:leftChars="2500"/>
    </w:pPr>
  </w:style>
  <w:style w:type="paragraph" w:styleId="11">
    <w:name w:val="footer"/>
    <w:basedOn w:val="1"/>
    <w:link w:val="26"/>
    <w:unhideWhenUsed/>
    <w:qFormat/>
    <w:uiPriority w:val="99"/>
    <w:pPr>
      <w:tabs>
        <w:tab w:val="center" w:pos="4153"/>
        <w:tab w:val="right" w:pos="8306"/>
      </w:tabs>
      <w:snapToGrid w:val="0"/>
      <w:jc w:val="left"/>
    </w:pPr>
    <w:rPr>
      <w:rFonts w:ascii="宋体" w:hAnsi="宋体" w:eastAsia="宋体" w:cs="Times New Roman"/>
      <w:color w:val="000033"/>
      <w:sz w:val="18"/>
      <w:szCs w:val="18"/>
    </w:rPr>
  </w:style>
  <w:style w:type="paragraph" w:styleId="12">
    <w:name w:val="header"/>
    <w:basedOn w:val="1"/>
    <w:link w:val="34"/>
    <w:unhideWhenUsed/>
    <w:qFormat/>
    <w:uiPriority w:val="99"/>
    <w:pPr>
      <w:tabs>
        <w:tab w:val="center" w:pos="4153"/>
        <w:tab w:val="right" w:pos="8306"/>
      </w:tabs>
      <w:snapToGrid w:val="0"/>
      <w:jc w:val="center"/>
    </w:pPr>
    <w:rPr>
      <w:sz w:val="18"/>
      <w:szCs w:val="18"/>
    </w:rPr>
  </w:style>
  <w:style w:type="paragraph" w:styleId="13">
    <w:name w:val="toc 1"/>
    <w:basedOn w:val="1"/>
    <w:next w:val="1"/>
    <w:unhideWhenUsed/>
    <w:qFormat/>
    <w:uiPriority w:val="39"/>
    <w:pPr>
      <w:tabs>
        <w:tab w:val="right" w:leader="dot" w:pos="8296"/>
      </w:tabs>
    </w:pPr>
    <w:rPr>
      <w:rFonts w:eastAsia="宋体" w:cs="Times New Roman"/>
      <w:kern w:val="44"/>
      <w:szCs w:val="24"/>
    </w:rPr>
  </w:style>
  <w:style w:type="paragraph" w:styleId="14">
    <w:name w:val="table of figures"/>
    <w:basedOn w:val="1"/>
    <w:next w:val="1"/>
    <w:unhideWhenUsed/>
    <w:qFormat/>
    <w:uiPriority w:val="99"/>
    <w:pPr>
      <w:ind w:left="200" w:leftChars="200" w:hanging="200" w:hangingChars="200"/>
    </w:pPr>
  </w:style>
  <w:style w:type="paragraph" w:styleId="15">
    <w:name w:val="toc 2"/>
    <w:basedOn w:val="1"/>
    <w:next w:val="1"/>
    <w:unhideWhenUsed/>
    <w:qFormat/>
    <w:uiPriority w:val="39"/>
    <w:pPr>
      <w:tabs>
        <w:tab w:val="right" w:leader="dot" w:pos="8296"/>
      </w:tabs>
      <w:spacing w:line="300" w:lineRule="auto"/>
      <w:ind w:left="420" w:leftChars="200"/>
    </w:pPr>
    <w:rPr>
      <w:rFonts w:eastAsia="宋体" w:cs="Times New Roman"/>
      <w:kern w:val="0"/>
      <w:szCs w:val="24"/>
    </w:rPr>
  </w:style>
  <w:style w:type="paragraph" w:styleId="16">
    <w:name w:val="annotation subject"/>
    <w:basedOn w:val="7"/>
    <w:next w:val="7"/>
    <w:link w:val="38"/>
    <w:semiHidden/>
    <w:unhideWhenUsed/>
    <w:qFormat/>
    <w:uiPriority w:val="99"/>
    <w:rPr>
      <w:b/>
      <w:bCs/>
    </w:rPr>
  </w:style>
  <w:style w:type="table" w:styleId="18">
    <w:name w:val="Table Grid"/>
    <w:basedOn w:val="1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Hyperlink"/>
    <w:basedOn w:val="19"/>
    <w:unhideWhenUsed/>
    <w:uiPriority w:val="99"/>
    <w:rPr>
      <w:color w:val="0563C1" w:themeColor="hyperlink"/>
      <w:u w:val="single"/>
      <w14:textFill>
        <w14:solidFill>
          <w14:schemeClr w14:val="hlink"/>
        </w14:solidFill>
      </w14:textFill>
    </w:rPr>
  </w:style>
  <w:style w:type="character" w:styleId="21">
    <w:name w:val="annotation reference"/>
    <w:basedOn w:val="19"/>
    <w:semiHidden/>
    <w:unhideWhenUsed/>
    <w:qFormat/>
    <w:uiPriority w:val="99"/>
    <w:rPr>
      <w:sz w:val="21"/>
      <w:szCs w:val="21"/>
    </w:rPr>
  </w:style>
  <w:style w:type="paragraph" w:customStyle="1" w:styleId="22">
    <w:name w:val="Default"/>
    <w:qFormat/>
    <w:uiPriority w:val="0"/>
    <w:pPr>
      <w:widowControl w:val="0"/>
      <w:autoSpaceDE w:val="0"/>
      <w:autoSpaceDN w:val="0"/>
      <w:adjustRightInd w:val="0"/>
    </w:pPr>
    <w:rPr>
      <w:rFonts w:ascii="仿宋" w:hAnsi="仿宋" w:eastAsia="宋体" w:cs="仿宋"/>
      <w:color w:val="000000"/>
      <w:sz w:val="24"/>
      <w:szCs w:val="24"/>
      <w:lang w:val="en-US" w:eastAsia="zh-CN" w:bidi="ar-SA"/>
    </w:rPr>
  </w:style>
  <w:style w:type="paragraph" w:styleId="23">
    <w:name w:val="List Paragraph"/>
    <w:basedOn w:val="1"/>
    <w:qFormat/>
    <w:uiPriority w:val="34"/>
    <w:pPr>
      <w:ind w:firstLine="420" w:firstLineChars="200"/>
    </w:pPr>
  </w:style>
  <w:style w:type="character" w:customStyle="1" w:styleId="24">
    <w:name w:val="标题 3 字符"/>
    <w:basedOn w:val="19"/>
    <w:link w:val="4"/>
    <w:qFormat/>
    <w:uiPriority w:val="9"/>
    <w:rPr>
      <w:rFonts w:cstheme="minorBidi"/>
      <w:b/>
      <w:bCs/>
      <w:kern w:val="2"/>
      <w:sz w:val="24"/>
      <w:szCs w:val="32"/>
    </w:rPr>
  </w:style>
  <w:style w:type="character" w:customStyle="1" w:styleId="25">
    <w:name w:val="标题 2 字符"/>
    <w:basedOn w:val="19"/>
    <w:link w:val="3"/>
    <w:qFormat/>
    <w:uiPriority w:val="9"/>
    <w:rPr>
      <w:rFonts w:ascii="Times New Roman" w:hAnsi="Times New Roman" w:eastAsia="宋体" w:cstheme="majorBidi"/>
      <w:b/>
      <w:bCs/>
      <w:sz w:val="32"/>
      <w:szCs w:val="32"/>
    </w:rPr>
  </w:style>
  <w:style w:type="character" w:customStyle="1" w:styleId="26">
    <w:name w:val="页脚 字符"/>
    <w:basedOn w:val="19"/>
    <w:link w:val="11"/>
    <w:qFormat/>
    <w:uiPriority w:val="99"/>
    <w:rPr>
      <w:rFonts w:ascii="宋体" w:hAnsi="宋体" w:eastAsia="宋体" w:cs="Times New Roman"/>
      <w:color w:val="000033"/>
      <w:sz w:val="18"/>
      <w:szCs w:val="18"/>
    </w:rPr>
  </w:style>
  <w:style w:type="paragraph" w:customStyle="1" w:styleId="27">
    <w:name w:val="扉页（出版时间地点）"/>
    <w:basedOn w:val="1"/>
    <w:qFormat/>
    <w:uiPriority w:val="0"/>
    <w:pPr>
      <w:jc w:val="center"/>
    </w:pPr>
    <w:rPr>
      <w:rFonts w:eastAsia="黑体" w:cs="宋体"/>
      <w:szCs w:val="20"/>
    </w:rPr>
  </w:style>
  <w:style w:type="paragraph" w:customStyle="1" w:styleId="28">
    <w:name w:val="规程英文名称（封面）"/>
    <w:basedOn w:val="9"/>
    <w:qFormat/>
    <w:uiPriority w:val="0"/>
    <w:pPr>
      <w:widowControl/>
      <w:snapToGrid w:val="0"/>
      <w:ind w:left="178" w:leftChars="85"/>
      <w:jc w:val="center"/>
    </w:pPr>
    <w:rPr>
      <w:rFonts w:ascii="Times New Roman" w:hAnsi="Times New Roman" w:eastAsia="黑体" w:cs="Times New Roman"/>
      <w:kern w:val="0"/>
      <w:sz w:val="44"/>
      <w:szCs w:val="44"/>
    </w:rPr>
  </w:style>
  <w:style w:type="paragraph" w:customStyle="1" w:styleId="29">
    <w:name w:val="标准扉页（标准名称）"/>
    <w:basedOn w:val="1"/>
    <w:qFormat/>
    <w:uiPriority w:val="0"/>
    <w:pPr>
      <w:jc w:val="center"/>
    </w:pPr>
    <w:rPr>
      <w:rFonts w:eastAsia="黑体" w:cs="Times New Roman"/>
      <w:sz w:val="30"/>
      <w:szCs w:val="20"/>
    </w:rPr>
  </w:style>
  <w:style w:type="paragraph" w:customStyle="1" w:styleId="30">
    <w:name w:val="标准扉页（福建省工程建设地方标准）"/>
    <w:basedOn w:val="1"/>
    <w:qFormat/>
    <w:uiPriority w:val="0"/>
    <w:pPr>
      <w:jc w:val="center"/>
    </w:pPr>
    <w:rPr>
      <w:rFonts w:eastAsia="黑体" w:cs="Times New Roman"/>
      <w:sz w:val="28"/>
      <w:szCs w:val="20"/>
    </w:rPr>
  </w:style>
  <w:style w:type="character" w:customStyle="1" w:styleId="31">
    <w:name w:val="纯文本 字符"/>
    <w:basedOn w:val="19"/>
    <w:link w:val="9"/>
    <w:semiHidden/>
    <w:qFormat/>
    <w:uiPriority w:val="99"/>
    <w:rPr>
      <w:rFonts w:ascii="宋体" w:hAnsi="Courier New" w:eastAsia="宋体" w:cs="Courier New"/>
      <w:szCs w:val="21"/>
    </w:rPr>
  </w:style>
  <w:style w:type="character" w:customStyle="1" w:styleId="32">
    <w:name w:val="标题 1 字符"/>
    <w:basedOn w:val="19"/>
    <w:link w:val="2"/>
    <w:qFormat/>
    <w:uiPriority w:val="9"/>
    <w:rPr>
      <w:b/>
      <w:bCs/>
      <w:kern w:val="44"/>
      <w:sz w:val="44"/>
      <w:szCs w:val="44"/>
    </w:rPr>
  </w:style>
  <w:style w:type="character" w:customStyle="1" w:styleId="33">
    <w:name w:val="日期 字符"/>
    <w:basedOn w:val="19"/>
    <w:link w:val="10"/>
    <w:semiHidden/>
    <w:qFormat/>
    <w:uiPriority w:val="99"/>
    <w:rPr>
      <w:rFonts w:asciiTheme="minorHAnsi" w:hAnsiTheme="minorHAnsi" w:eastAsiaTheme="minorEastAsia" w:cstheme="minorBidi"/>
      <w:kern w:val="2"/>
      <w:sz w:val="21"/>
      <w:szCs w:val="22"/>
    </w:rPr>
  </w:style>
  <w:style w:type="character" w:customStyle="1" w:styleId="34">
    <w:name w:val="页眉 字符"/>
    <w:basedOn w:val="19"/>
    <w:link w:val="12"/>
    <w:qFormat/>
    <w:uiPriority w:val="99"/>
    <w:rPr>
      <w:rFonts w:asciiTheme="minorHAnsi" w:hAnsiTheme="minorHAnsi" w:eastAsiaTheme="minorEastAsia" w:cstheme="minorBidi"/>
      <w:kern w:val="2"/>
      <w:sz w:val="18"/>
      <w:szCs w:val="18"/>
    </w:rPr>
  </w:style>
  <w:style w:type="character" w:customStyle="1" w:styleId="35">
    <w:name w:val="标题 4 字符"/>
    <w:basedOn w:val="19"/>
    <w:link w:val="5"/>
    <w:qFormat/>
    <w:uiPriority w:val="9"/>
    <w:rPr>
      <w:rFonts w:eastAsiaTheme="majorEastAsia" w:cstheme="majorBidi"/>
      <w:b/>
      <w:bCs/>
      <w:kern w:val="2"/>
      <w:sz w:val="24"/>
      <w:szCs w:val="28"/>
    </w:rPr>
  </w:style>
  <w:style w:type="paragraph" w:customStyle="1" w:styleId="36">
    <w:name w:val="修订1"/>
    <w:hidden/>
    <w:unhideWhenUsed/>
    <w:qFormat/>
    <w:uiPriority w:val="99"/>
    <w:rPr>
      <w:rFonts w:asciiTheme="minorHAnsi" w:hAnsiTheme="minorHAnsi" w:eastAsiaTheme="minorEastAsia" w:cstheme="minorBidi"/>
      <w:kern w:val="2"/>
      <w:sz w:val="21"/>
      <w:szCs w:val="22"/>
      <w:lang w:val="en-US" w:eastAsia="zh-CN" w:bidi="ar-SA"/>
    </w:rPr>
  </w:style>
  <w:style w:type="character" w:customStyle="1" w:styleId="37">
    <w:name w:val="批注文字 字符"/>
    <w:basedOn w:val="19"/>
    <w:link w:val="7"/>
    <w:uiPriority w:val="99"/>
    <w:rPr>
      <w:rFonts w:asciiTheme="minorHAnsi" w:hAnsiTheme="minorHAnsi" w:eastAsiaTheme="minorEastAsia" w:cstheme="minorBidi"/>
      <w:kern w:val="2"/>
      <w:sz w:val="21"/>
      <w:szCs w:val="22"/>
    </w:rPr>
  </w:style>
  <w:style w:type="character" w:customStyle="1" w:styleId="38">
    <w:name w:val="批注主题 字符"/>
    <w:basedOn w:val="37"/>
    <w:link w:val="16"/>
    <w:semiHidden/>
    <w:qFormat/>
    <w:uiPriority w:val="99"/>
    <w:rPr>
      <w:rFonts w:asciiTheme="minorHAnsi" w:hAnsiTheme="minorHAnsi" w:eastAsiaTheme="minorEastAsia" w:cstheme="minorBidi"/>
      <w:b/>
      <w:bCs/>
      <w:kern w:val="2"/>
      <w:sz w:val="21"/>
      <w:szCs w:val="22"/>
    </w:rPr>
  </w:style>
  <w:style w:type="paragraph" w:customStyle="1" w:styleId="39">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6" w:themeColor="accent1" w:themeShade="BF"/>
      <w:kern w:val="0"/>
      <w:sz w:val="32"/>
      <w:szCs w:val="32"/>
    </w:rPr>
  </w:style>
  <w:style w:type="character" w:customStyle="1" w:styleId="40">
    <w:name w:val="标题 5 字符"/>
    <w:basedOn w:val="19"/>
    <w:link w:val="6"/>
    <w:semiHidden/>
    <w:qFormat/>
    <w:uiPriority w:val="9"/>
    <w:rPr>
      <w:rFonts w:asciiTheme="minorHAnsi" w:hAnsiTheme="minorHAnsi" w:eastAsiaTheme="minorEastAsia" w:cstheme="minorBidi"/>
      <w:b/>
      <w:bCs/>
      <w:kern w:val="2"/>
      <w:sz w:val="28"/>
      <w:szCs w:val="28"/>
    </w:rPr>
  </w:style>
  <w:style w:type="paragraph" w:customStyle="1" w:styleId="41">
    <w:name w:val="Revision"/>
    <w:hidden/>
    <w:unhideWhenUsed/>
    <w:uiPriority w:val="99"/>
    <w:rPr>
      <w:rFonts w:ascii="Times New Roman" w:hAnsi="Times New Roman" w:eastAsiaTheme="minorEastAsia" w:cstheme="minorBidi"/>
      <w:kern w:val="2"/>
      <w:sz w:val="24"/>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1.emf"/><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header" Target="header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122</Pages>
  <Words>21041</Words>
  <Characters>23567</Characters>
  <Lines>2618</Lines>
  <Paragraphs>2347</Paragraphs>
  <TotalTime>109</TotalTime>
  <ScaleCrop>false</ScaleCrop>
  <LinksUpToDate>false</LinksUpToDate>
  <CharactersWithSpaces>42261</CharactersWithSpaces>
  <Application>WPS Office_11.8.2.12309_F1E327BC-269C-435d-A152-05C5408002CA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2025-10-10T09:44:00Z</dcterms:created>
  <dc:creator>刘亮liuliang</dc:creator>
  <cp:lastModifiedBy>78164</cp:lastModifiedBy>
  <cp:lastPrinted>2024-06-21T06:48:00Z</cp:lastPrinted>
  <dcterms:modified xsi:type="dcterms:W3CDTF">2025-12-05T02:13:59Z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2052-11.8.2.12309</vt:lpwstr>
  </property>
  <property fmtid="{D5CDD505-2E9C-101B-9397-08002B2CF9AE}" pid="3" name="ICV">
    <vt:lpwstr>7F41C9EBB271461F90B57D20B024FF6C_13</vt:lpwstr>
  </property>
  <property fmtid="{D5CDD505-2E9C-101B-9397-08002B2CF9AE}" pid="4" name="KSOTemplateDocerSaveRecord">
    <vt:lpwstr>eyJoZGlkIjoiNDdiNzc3MWQwMDY3NDVlNDJlZDdiZTZlZWY3ZDJlMDMiLCJ1c2VySWQiOiIxMjE5NzM4NzI2In0=</vt:lpwstr>
  </property>
</Properties>
</file>