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sz w:val="52"/>
          <w:szCs w:val="84"/>
        </w:rPr>
      </w:pPr>
      <w:bookmarkStart w:id="0" w:name="_Hlk512244031"/>
      <w:r>
        <w:drawing>
          <wp:anchor distT="0" distB="0" distL="114300" distR="114300" simplePos="0" relativeHeight="251659264" behindDoc="0" locked="0" layoutInCell="1" allowOverlap="1">
            <wp:simplePos x="0" y="0"/>
            <wp:positionH relativeFrom="column">
              <wp:posOffset>0</wp:posOffset>
            </wp:positionH>
            <wp:positionV relativeFrom="paragraph">
              <wp:posOffset>38100</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pPr>
        <w:rPr>
          <w:b/>
          <w:bCs/>
          <w:sz w:val="52"/>
          <w:szCs w:val="84"/>
        </w:rPr>
      </w:pPr>
    </w:p>
    <w:p>
      <w:pPr>
        <w:jc w:val="right"/>
        <w:rPr>
          <w:sz w:val="32"/>
          <w:szCs w:val="32"/>
        </w:rPr>
      </w:pPr>
      <w:r>
        <w:rPr>
          <w:b/>
          <w:bCs/>
          <w:sz w:val="36"/>
          <w:szCs w:val="36"/>
        </w:rPr>
        <w:t xml:space="preserve">T/CECS </w:t>
      </w:r>
      <w:r>
        <w:rPr>
          <w:sz w:val="36"/>
          <w:szCs w:val="36"/>
        </w:rPr>
        <w:t>XXX- 202X</w:t>
      </w:r>
    </w:p>
    <w:p>
      <w:pPr>
        <w:jc w:val="center"/>
        <w:rPr>
          <w:szCs w:val="32"/>
        </w:rPr>
      </w:pPr>
      <w:r>
        <mc:AlternateContent>
          <mc:Choice Requires="wps">
            <w:drawing>
              <wp:anchor distT="0" distB="0" distL="114300" distR="114300" simplePos="0" relativeHeight="251660288" behindDoc="0" locked="0" layoutInCell="1" allowOverlap="1">
                <wp:simplePos x="0" y="0"/>
                <wp:positionH relativeFrom="column">
                  <wp:posOffset>1905</wp:posOffset>
                </wp:positionH>
                <wp:positionV relativeFrom="paragraph">
                  <wp:posOffset>120015</wp:posOffset>
                </wp:positionV>
                <wp:extent cx="5422265" cy="0"/>
                <wp:effectExtent l="0" t="0" r="0" b="0"/>
                <wp:wrapNone/>
                <wp:docPr id="598730509" name="直接连接符 2"/>
                <wp:cNvGraphicFramePr/>
                <a:graphic xmlns:a="http://schemas.openxmlformats.org/drawingml/2006/main">
                  <a:graphicData uri="http://schemas.microsoft.com/office/word/2010/wordprocessingShape">
                    <wps:wsp>
                      <wps:cNvCnPr/>
                      <wps:spPr>
                        <a:xfrm>
                          <a:off x="0" y="0"/>
                          <a:ext cx="542226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2" o:spid="_x0000_s1026" o:spt="20" style="position:absolute;left:0pt;margin-left:0.15pt;margin-top:9.45pt;height:0pt;width:426.95pt;z-index:251660288;mso-width-relative:page;mso-height-relative:page;" filled="f" stroked="t" coordsize="21600,21600" o:gfxdata="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Akr9DDU&#10;AAAABgEAAA8AAAAAAAAAAQAgAAAAIgAAAGRycy9kb3ducmV2LnhtbFBLAQIUABQAAAAIAIdO4kDm&#10;bl9u6wEAALoDAAAOAAAAAAAAAAEAIAAAACMBAABkcnMvZTJvRG9jLnhtbFBLBQYAAAAABgAGAFkB&#10;AACABQAAAAA=&#10;">
                <v:fill on="f" focussize="0,0"/>
                <v:stroke weight="1.5pt" color="#000000 [3200]" miterlimit="8" joinstyle="miter"/>
                <v:imagedata o:title=""/>
                <o:lock v:ext="edit" aspectratio="f"/>
              </v:line>
            </w:pict>
          </mc:Fallback>
        </mc:AlternateContent>
      </w:r>
    </w:p>
    <w:p>
      <w:pPr>
        <w:widowControl/>
        <w:tabs>
          <w:tab w:val="left" w:pos="3510"/>
        </w:tabs>
        <w:jc w:val="left"/>
      </w:pPr>
    </w:p>
    <w:p/>
    <w:p/>
    <w:p>
      <w:pPr>
        <w:spacing w:line="360" w:lineRule="auto"/>
        <w:jc w:val="center"/>
        <w:rPr>
          <w:rFonts w:eastAsiaTheme="minorEastAsia"/>
          <w:bCs/>
          <w:sz w:val="36"/>
          <w:szCs w:val="36"/>
        </w:rPr>
      </w:pPr>
      <w:r>
        <w:rPr>
          <w:b/>
          <w:sz w:val="36"/>
          <w:szCs w:val="36"/>
        </w:rPr>
        <w:t>中国工程建设标准化协会标准</w:t>
      </w:r>
    </w:p>
    <w:p>
      <w:pPr>
        <w:spacing w:line="360" w:lineRule="auto"/>
        <w:jc w:val="center"/>
        <w:rPr>
          <w:sz w:val="44"/>
          <w:szCs w:val="44"/>
        </w:rPr>
      </w:pPr>
    </w:p>
    <w:p>
      <w:pPr>
        <w:spacing w:line="360" w:lineRule="auto"/>
        <w:ind w:right="-153"/>
        <w:jc w:val="center"/>
        <w:outlineLvl w:val="0"/>
        <w:rPr>
          <w:rFonts w:eastAsia="黑体"/>
          <w:b/>
          <w:sz w:val="44"/>
          <w:szCs w:val="44"/>
        </w:rPr>
      </w:pPr>
      <w:bookmarkStart w:id="1" w:name="_Toc2263"/>
      <w:bookmarkStart w:id="2" w:name="_Toc183534565"/>
      <w:bookmarkStart w:id="3" w:name="_Toc29194"/>
      <w:bookmarkStart w:id="4" w:name="_Toc196753884"/>
      <w:bookmarkStart w:id="5" w:name="_Toc176535109"/>
      <w:bookmarkStart w:id="6" w:name="_Toc176531243"/>
      <w:bookmarkStart w:id="7" w:name="_Toc176531096"/>
      <w:bookmarkStart w:id="8" w:name="_Toc176536326"/>
      <w:bookmarkStart w:id="9" w:name="_Toc196754079"/>
      <w:bookmarkStart w:id="10" w:name="_Toc211072280"/>
      <w:bookmarkStart w:id="11" w:name="_Toc206775542"/>
      <w:bookmarkStart w:id="12" w:name="_Toc214892490"/>
      <w:bookmarkStart w:id="13" w:name="_Toc214633061"/>
      <w:bookmarkStart w:id="14" w:name="_Toc215047920"/>
      <w:r>
        <w:rPr>
          <w:rFonts w:eastAsia="黑体"/>
          <w:b/>
          <w:sz w:val="44"/>
          <w:szCs w:val="44"/>
        </w:rPr>
        <w:t>零碳铁路客站评价标准</w:t>
      </w:r>
      <w:bookmarkEnd w:id="1"/>
      <w:bookmarkEnd w:id="2"/>
      <w:bookmarkEnd w:id="3"/>
      <w:bookmarkEnd w:id="4"/>
      <w:bookmarkEnd w:id="5"/>
      <w:bookmarkEnd w:id="6"/>
      <w:bookmarkEnd w:id="7"/>
      <w:bookmarkEnd w:id="8"/>
      <w:bookmarkEnd w:id="9"/>
      <w:bookmarkEnd w:id="10"/>
      <w:bookmarkEnd w:id="11"/>
      <w:bookmarkEnd w:id="12"/>
      <w:bookmarkEnd w:id="13"/>
      <w:bookmarkEnd w:id="14"/>
    </w:p>
    <w:p>
      <w:pPr>
        <w:tabs>
          <w:tab w:val="left" w:pos="5115"/>
        </w:tabs>
        <w:spacing w:line="360" w:lineRule="auto"/>
        <w:jc w:val="center"/>
        <w:rPr>
          <w:rFonts w:eastAsia="等线"/>
          <w:sz w:val="32"/>
          <w:szCs w:val="32"/>
          <w:lang w:bidi="ar"/>
        </w:rPr>
      </w:pPr>
    </w:p>
    <w:p>
      <w:pPr>
        <w:tabs>
          <w:tab w:val="left" w:pos="5115"/>
        </w:tabs>
        <w:spacing w:line="360" w:lineRule="auto"/>
        <w:jc w:val="center"/>
        <w:rPr>
          <w:rFonts w:eastAsia="等线"/>
          <w:sz w:val="32"/>
          <w:szCs w:val="32"/>
        </w:rPr>
      </w:pPr>
      <w:r>
        <w:rPr>
          <w:rFonts w:eastAsia="等线"/>
          <w:color w:val="000000"/>
          <w:sz w:val="32"/>
          <w:szCs w:val="32"/>
          <w:lang w:bidi="ar"/>
        </w:rPr>
        <w:t>Evaluation standard for zero-carbon railway stations</w:t>
      </w:r>
    </w:p>
    <w:p>
      <w:pPr>
        <w:pStyle w:val="17"/>
        <w:spacing w:before="0" w:beforeAutospacing="0" w:after="120" w:afterAutospacing="0"/>
        <w:jc w:val="both"/>
      </w:pPr>
    </w:p>
    <w:p>
      <w:pPr>
        <w:snapToGrid w:val="0"/>
        <w:spacing w:line="312" w:lineRule="auto"/>
        <w:jc w:val="center"/>
        <w:rPr>
          <w:b/>
          <w:bCs/>
          <w:color w:val="000000"/>
          <w:sz w:val="32"/>
          <w:szCs w:val="32"/>
          <w:lang w:bidi="ar"/>
        </w:rPr>
      </w:pPr>
      <w:r>
        <w:rPr>
          <w:b/>
          <w:bCs/>
          <w:color w:val="000000"/>
          <w:sz w:val="32"/>
          <w:szCs w:val="32"/>
          <w:lang w:bidi="ar"/>
        </w:rPr>
        <w:t>（征求意见稿）</w:t>
      </w:r>
    </w:p>
    <w:p>
      <w:pPr>
        <w:snapToGrid w:val="0"/>
        <w:spacing w:line="312" w:lineRule="auto"/>
        <w:jc w:val="center"/>
        <w:rPr>
          <w:color w:val="000000"/>
          <w:sz w:val="28"/>
          <w:szCs w:val="28"/>
          <w:lang w:bidi="ar"/>
        </w:rPr>
      </w:pPr>
    </w:p>
    <w:p>
      <w:pPr>
        <w:snapToGrid w:val="0"/>
        <w:spacing w:line="312" w:lineRule="auto"/>
        <w:jc w:val="center"/>
        <w:rPr>
          <w:sz w:val="28"/>
          <w:szCs w:val="28"/>
        </w:rPr>
      </w:pPr>
    </w:p>
    <w:p>
      <w:pPr>
        <w:snapToGrid w:val="0"/>
        <w:spacing w:line="312" w:lineRule="auto"/>
      </w:pPr>
    </w:p>
    <w:p>
      <w:pPr>
        <w:snapToGrid w:val="0"/>
        <w:spacing w:line="312" w:lineRule="auto"/>
      </w:pPr>
    </w:p>
    <w:p>
      <w:pPr>
        <w:pStyle w:val="8"/>
        <w:spacing w:line="360" w:lineRule="auto"/>
      </w:pPr>
    </w:p>
    <w:p>
      <w:pPr>
        <w:snapToGrid w:val="0"/>
        <w:spacing w:line="360" w:lineRule="auto"/>
        <w:jc w:val="center"/>
        <w:rPr>
          <w:sz w:val="28"/>
          <w:szCs w:val="28"/>
        </w:rPr>
      </w:pPr>
    </w:p>
    <w:p>
      <w:pPr>
        <w:pStyle w:val="8"/>
        <w:spacing w:line="360" w:lineRule="auto"/>
      </w:pPr>
    </w:p>
    <w:p>
      <w:pPr>
        <w:tabs>
          <w:tab w:val="left" w:pos="5115"/>
        </w:tabs>
        <w:spacing w:line="360" w:lineRule="auto"/>
        <w:jc w:val="left"/>
      </w:pPr>
    </w:p>
    <w:p>
      <w:pPr>
        <w:tabs>
          <w:tab w:val="left" w:pos="5115"/>
        </w:tabs>
        <w:spacing w:line="360" w:lineRule="auto"/>
        <w:jc w:val="left"/>
      </w:pPr>
    </w:p>
    <w:p>
      <w:pPr>
        <w:tabs>
          <w:tab w:val="left" w:pos="5115"/>
        </w:tabs>
        <w:spacing w:line="360" w:lineRule="auto"/>
        <w:jc w:val="left"/>
      </w:pPr>
    </w:p>
    <w:p>
      <w:pPr>
        <w:tabs>
          <w:tab w:val="left" w:pos="5115"/>
        </w:tabs>
        <w:spacing w:line="360" w:lineRule="auto"/>
        <w:jc w:val="left"/>
      </w:pPr>
    </w:p>
    <w:p>
      <w:pPr>
        <w:widowControl/>
        <w:jc w:val="center"/>
        <w:rPr>
          <w:rFonts w:eastAsia="仿宋"/>
          <w:b/>
          <w:bCs/>
          <w:color w:val="000000"/>
          <w:sz w:val="30"/>
          <w:szCs w:val="30"/>
          <w:lang w:bidi="ar"/>
        </w:rPr>
      </w:pPr>
      <w:r>
        <w:rPr>
          <w:rFonts w:eastAsia="仿宋"/>
          <w:b/>
          <w:bCs/>
          <w:color w:val="000000"/>
          <w:sz w:val="30"/>
          <w:szCs w:val="30"/>
          <w:lang w:bidi="ar"/>
        </w:rPr>
        <w:t>中国XX出版社</w:t>
      </w:r>
    </w:p>
    <w:p>
      <w:pPr>
        <w:widowControl/>
        <w:jc w:val="center"/>
        <w:rPr>
          <w:rFonts w:eastAsia="仿宋"/>
          <w:b/>
          <w:bCs/>
          <w:color w:val="000000"/>
          <w:sz w:val="30"/>
          <w:szCs w:val="30"/>
          <w:lang w:bidi="ar"/>
        </w:rPr>
      </w:pPr>
    </w:p>
    <w:p>
      <w:pPr>
        <w:widowControl/>
        <w:jc w:val="left"/>
        <w:rPr>
          <w:sz w:val="28"/>
          <w:szCs w:val="22"/>
        </w:rPr>
      </w:pPr>
      <w:r>
        <w:rPr>
          <w:sz w:val="28"/>
          <w:szCs w:val="22"/>
        </w:rPr>
        <w:br w:type="page"/>
      </w:r>
    </w:p>
    <w:p>
      <w:pPr>
        <w:spacing w:line="360" w:lineRule="auto"/>
        <w:jc w:val="center"/>
        <w:rPr>
          <w:b/>
          <w:kern w:val="2"/>
          <w:szCs w:val="28"/>
        </w:rPr>
      </w:pPr>
    </w:p>
    <w:p>
      <w:pPr>
        <w:spacing w:line="360" w:lineRule="auto"/>
        <w:jc w:val="center"/>
        <w:rPr>
          <w:b/>
          <w:kern w:val="2"/>
          <w:szCs w:val="28"/>
        </w:rPr>
      </w:pPr>
    </w:p>
    <w:p>
      <w:pPr>
        <w:spacing w:line="360" w:lineRule="auto"/>
        <w:jc w:val="center"/>
        <w:outlineLvl w:val="0"/>
        <w:rPr>
          <w:rFonts w:eastAsia="黑体"/>
          <w:b/>
          <w:kern w:val="2"/>
          <w:sz w:val="36"/>
          <w:szCs w:val="36"/>
        </w:rPr>
      </w:pPr>
      <w:bookmarkStart w:id="15" w:name="_Toc214892491"/>
      <w:bookmarkStart w:id="16" w:name="_Toc196754080"/>
      <w:bookmarkStart w:id="17" w:name="_Toc215047921"/>
      <w:bookmarkStart w:id="18" w:name="_Toc176531097"/>
      <w:bookmarkStart w:id="19" w:name="_Toc176535110"/>
      <w:bookmarkStart w:id="20" w:name="_Toc5593"/>
      <w:bookmarkStart w:id="21" w:name="_Toc176531244"/>
      <w:bookmarkStart w:id="22" w:name="_Toc176536327"/>
      <w:bookmarkStart w:id="23" w:name="_Toc25375"/>
      <w:bookmarkStart w:id="24" w:name="_Toc19684"/>
      <w:bookmarkStart w:id="25" w:name="_Toc183534566"/>
      <w:bookmarkStart w:id="26" w:name="_Toc196753885"/>
      <w:bookmarkStart w:id="27" w:name="_Toc206775543"/>
      <w:bookmarkStart w:id="28" w:name="_Toc211072281"/>
      <w:bookmarkStart w:id="29" w:name="_Toc214633062"/>
      <w:r>
        <w:rPr>
          <w:rFonts w:eastAsia="黑体"/>
          <w:b/>
          <w:kern w:val="2"/>
          <w:sz w:val="36"/>
          <w:szCs w:val="36"/>
        </w:rPr>
        <w:t>中国工程建设标准化协会标准</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p>
      <w:pPr>
        <w:rPr>
          <w:kern w:val="2"/>
          <w:szCs w:val="24"/>
        </w:rPr>
      </w:pPr>
    </w:p>
    <w:p>
      <w:pPr>
        <w:rPr>
          <w:kern w:val="2"/>
          <w:szCs w:val="24"/>
        </w:rPr>
      </w:pPr>
    </w:p>
    <w:p>
      <w:pPr>
        <w:rPr>
          <w:kern w:val="2"/>
          <w:szCs w:val="24"/>
        </w:rPr>
      </w:pPr>
    </w:p>
    <w:p>
      <w:pPr>
        <w:spacing w:line="360" w:lineRule="auto"/>
        <w:ind w:right="-153"/>
        <w:jc w:val="center"/>
        <w:outlineLvl w:val="0"/>
        <w:rPr>
          <w:rFonts w:eastAsia="黑体"/>
          <w:b/>
          <w:kern w:val="2"/>
          <w:sz w:val="44"/>
          <w:szCs w:val="44"/>
        </w:rPr>
      </w:pPr>
      <w:bookmarkStart w:id="30" w:name="_Toc176531245"/>
      <w:bookmarkStart w:id="31" w:name="_Toc176531098"/>
      <w:bookmarkStart w:id="32" w:name="_Toc176536328"/>
      <w:bookmarkStart w:id="33" w:name="_Toc211072282"/>
      <w:bookmarkStart w:id="34" w:name="_Toc176535111"/>
      <w:bookmarkStart w:id="35" w:name="_Toc214633063"/>
      <w:bookmarkStart w:id="36" w:name="_Toc22276"/>
      <w:bookmarkStart w:id="37" w:name="_Toc215047922"/>
      <w:bookmarkStart w:id="38" w:name="_Toc183534567"/>
      <w:bookmarkStart w:id="39" w:name="_Toc196753886"/>
      <w:bookmarkStart w:id="40" w:name="_Toc14710"/>
      <w:bookmarkStart w:id="41" w:name="_Toc214892492"/>
      <w:bookmarkStart w:id="42" w:name="_Toc206775544"/>
      <w:bookmarkStart w:id="43" w:name="_Toc196754081"/>
      <w:r>
        <w:rPr>
          <w:rFonts w:eastAsia="黑体"/>
          <w:b/>
          <w:kern w:val="2"/>
          <w:sz w:val="44"/>
          <w:szCs w:val="44"/>
        </w:rPr>
        <w:t>零碳铁路客站评价标准</w:t>
      </w:r>
      <w:bookmarkEnd w:id="30"/>
      <w:bookmarkEnd w:id="31"/>
      <w:bookmarkEnd w:id="32"/>
      <w:bookmarkEnd w:id="33"/>
      <w:bookmarkEnd w:id="34"/>
      <w:bookmarkEnd w:id="35"/>
      <w:bookmarkEnd w:id="36"/>
      <w:bookmarkEnd w:id="37"/>
      <w:bookmarkEnd w:id="38"/>
      <w:bookmarkEnd w:id="39"/>
      <w:bookmarkEnd w:id="40"/>
      <w:bookmarkEnd w:id="41"/>
      <w:bookmarkEnd w:id="42"/>
      <w:bookmarkEnd w:id="43"/>
    </w:p>
    <w:p>
      <w:pPr>
        <w:tabs>
          <w:tab w:val="left" w:pos="5115"/>
        </w:tabs>
        <w:spacing w:line="360" w:lineRule="auto"/>
        <w:jc w:val="center"/>
        <w:rPr>
          <w:rFonts w:eastAsia="等线"/>
          <w:color w:val="000000"/>
          <w:kern w:val="2"/>
          <w:sz w:val="32"/>
          <w:szCs w:val="32"/>
          <w:lang w:bidi="ar"/>
        </w:rPr>
      </w:pPr>
    </w:p>
    <w:p>
      <w:pPr>
        <w:tabs>
          <w:tab w:val="left" w:pos="5115"/>
        </w:tabs>
        <w:spacing w:line="360" w:lineRule="auto"/>
        <w:jc w:val="center"/>
        <w:rPr>
          <w:rFonts w:eastAsia="等线"/>
          <w:kern w:val="2"/>
          <w:sz w:val="32"/>
          <w:szCs w:val="32"/>
        </w:rPr>
      </w:pPr>
      <w:r>
        <w:rPr>
          <w:rFonts w:eastAsia="等线"/>
          <w:color w:val="000000"/>
          <w:kern w:val="2"/>
          <w:sz w:val="32"/>
          <w:szCs w:val="32"/>
          <w:lang w:bidi="ar"/>
        </w:rPr>
        <w:t>Evaluation standard for zero-carbon railway stations</w:t>
      </w:r>
    </w:p>
    <w:p>
      <w:pPr>
        <w:spacing w:line="360" w:lineRule="auto"/>
        <w:jc w:val="center"/>
        <w:rPr>
          <w:rFonts w:eastAsia="黑体"/>
          <w:kern w:val="2"/>
        </w:rPr>
      </w:pPr>
    </w:p>
    <w:p>
      <w:pPr>
        <w:spacing w:line="360" w:lineRule="auto"/>
        <w:jc w:val="center"/>
        <w:rPr>
          <w:rFonts w:eastAsia="黑体"/>
          <w:kern w:val="2"/>
        </w:rPr>
      </w:pPr>
    </w:p>
    <w:p>
      <w:pPr>
        <w:widowControl/>
        <w:spacing w:line="360" w:lineRule="auto"/>
        <w:jc w:val="center"/>
        <w:rPr>
          <w:bCs/>
          <w:kern w:val="2"/>
          <w:sz w:val="32"/>
          <w:szCs w:val="24"/>
        </w:rPr>
      </w:pPr>
      <w:r>
        <w:rPr>
          <w:bCs/>
          <w:kern w:val="2"/>
          <w:sz w:val="32"/>
          <w:szCs w:val="24"/>
        </w:rPr>
        <w:t>T/CECS xxxx- 202x</w:t>
      </w:r>
    </w:p>
    <w:p>
      <w:pPr>
        <w:spacing w:line="360" w:lineRule="auto"/>
        <w:jc w:val="center"/>
        <w:rPr>
          <w:rFonts w:eastAsia="黑体"/>
          <w:b/>
          <w:kern w:val="2"/>
        </w:rPr>
      </w:pPr>
    </w:p>
    <w:p>
      <w:pPr>
        <w:spacing w:line="360" w:lineRule="auto"/>
        <w:jc w:val="center"/>
        <w:rPr>
          <w:rFonts w:eastAsia="黑体"/>
          <w:kern w:val="2"/>
          <w:sz w:val="32"/>
          <w:szCs w:val="32"/>
        </w:rPr>
      </w:pPr>
    </w:p>
    <w:p>
      <w:pPr>
        <w:spacing w:line="360" w:lineRule="auto"/>
        <w:jc w:val="center"/>
        <w:rPr>
          <w:rFonts w:eastAsia="黑体"/>
          <w:kern w:val="2"/>
        </w:rPr>
      </w:pPr>
    </w:p>
    <w:p>
      <w:pPr>
        <w:spacing w:line="360" w:lineRule="auto"/>
        <w:ind w:left="1260" w:firstLine="420"/>
        <w:jc w:val="left"/>
        <w:rPr>
          <w:kern w:val="2"/>
          <w:sz w:val="28"/>
          <w:szCs w:val="28"/>
        </w:rPr>
      </w:pPr>
      <w:r>
        <w:rPr>
          <w:kern w:val="2"/>
          <w:sz w:val="28"/>
          <w:szCs w:val="28"/>
        </w:rPr>
        <w:t xml:space="preserve">  主编单位：清华大学</w:t>
      </w:r>
    </w:p>
    <w:p>
      <w:pPr>
        <w:spacing w:line="360" w:lineRule="auto"/>
        <w:ind w:firstLine="1156" w:firstLineChars="413"/>
        <w:jc w:val="center"/>
        <w:rPr>
          <w:kern w:val="2"/>
          <w:sz w:val="28"/>
          <w:szCs w:val="28"/>
        </w:rPr>
      </w:pPr>
      <w:r>
        <w:rPr>
          <w:kern w:val="2"/>
          <w:sz w:val="28"/>
          <w:szCs w:val="28"/>
        </w:rPr>
        <w:t xml:space="preserve">     中国铁路设计集团有限公司</w:t>
      </w:r>
    </w:p>
    <w:p>
      <w:pPr>
        <w:spacing w:line="360" w:lineRule="auto"/>
        <w:ind w:left="1260" w:firstLine="560" w:firstLineChars="200"/>
        <w:rPr>
          <w:kern w:val="2"/>
          <w:sz w:val="28"/>
          <w:szCs w:val="28"/>
        </w:rPr>
      </w:pPr>
      <w:r>
        <w:rPr>
          <w:kern w:val="2"/>
          <w:sz w:val="28"/>
          <w:szCs w:val="28"/>
        </w:rPr>
        <w:t>批准单位：中国工程建设标准化协会</w:t>
      </w:r>
    </w:p>
    <w:p>
      <w:pPr>
        <w:spacing w:line="360" w:lineRule="auto"/>
        <w:ind w:left="1260" w:firstLine="560" w:firstLineChars="200"/>
        <w:rPr>
          <w:kern w:val="2"/>
          <w:sz w:val="28"/>
          <w:szCs w:val="28"/>
        </w:rPr>
      </w:pPr>
      <w:r>
        <w:rPr>
          <w:kern w:val="2"/>
          <w:sz w:val="28"/>
          <w:szCs w:val="28"/>
        </w:rPr>
        <w:t>施行日期：202×年××月××日</w:t>
      </w:r>
    </w:p>
    <w:p>
      <w:pPr>
        <w:spacing w:line="360" w:lineRule="auto"/>
        <w:jc w:val="center"/>
        <w:rPr>
          <w:rFonts w:eastAsia="仿宋_GB2312"/>
          <w:kern w:val="2"/>
          <w:szCs w:val="24"/>
        </w:rPr>
      </w:pPr>
    </w:p>
    <w:p>
      <w:pPr>
        <w:spacing w:line="360" w:lineRule="auto"/>
        <w:jc w:val="center"/>
        <w:rPr>
          <w:rFonts w:eastAsia="仿宋_GB2312"/>
          <w:kern w:val="2"/>
          <w:szCs w:val="24"/>
        </w:rPr>
      </w:pPr>
    </w:p>
    <w:p>
      <w:pPr>
        <w:spacing w:line="360" w:lineRule="auto"/>
        <w:jc w:val="center"/>
        <w:rPr>
          <w:rFonts w:eastAsia="仿宋_GB2312"/>
          <w:kern w:val="2"/>
          <w:szCs w:val="24"/>
        </w:rPr>
      </w:pPr>
    </w:p>
    <w:p>
      <w:pPr>
        <w:spacing w:line="360" w:lineRule="auto"/>
        <w:rPr>
          <w:rFonts w:eastAsia="仿宋_GB2312"/>
          <w:kern w:val="2"/>
          <w:szCs w:val="24"/>
        </w:rPr>
      </w:pPr>
    </w:p>
    <w:p>
      <w:pPr>
        <w:spacing w:line="360" w:lineRule="auto"/>
        <w:jc w:val="center"/>
        <w:rPr>
          <w:kern w:val="2"/>
          <w:sz w:val="28"/>
          <w:szCs w:val="28"/>
        </w:rPr>
      </w:pPr>
      <w:r>
        <w:rPr>
          <w:kern w:val="2"/>
          <w:sz w:val="28"/>
          <w:szCs w:val="28"/>
        </w:rPr>
        <w:t>中国XX出版社</w:t>
      </w:r>
    </w:p>
    <w:p>
      <w:pPr>
        <w:spacing w:line="360" w:lineRule="auto"/>
        <w:jc w:val="center"/>
        <w:rPr>
          <w:b/>
          <w:kern w:val="44"/>
          <w:sz w:val="28"/>
        </w:rPr>
      </w:pPr>
      <w:r>
        <w:rPr>
          <w:bCs/>
          <w:color w:val="000000"/>
          <w:kern w:val="2"/>
          <w:sz w:val="28"/>
          <w:szCs w:val="28"/>
          <w:lang w:bidi="ar"/>
        </w:rPr>
        <w:t xml:space="preserve">202× </w:t>
      </w:r>
      <w:r>
        <w:rPr>
          <w:kern w:val="2"/>
          <w:sz w:val="28"/>
          <w:szCs w:val="28"/>
        </w:rPr>
        <w:t>北京</w:t>
      </w:r>
    </w:p>
    <w:p>
      <w:pPr>
        <w:widowControl/>
        <w:adjustRightInd w:val="0"/>
        <w:snapToGrid w:val="0"/>
        <w:spacing w:line="360" w:lineRule="auto"/>
        <w:jc w:val="center"/>
        <w:rPr>
          <w:b/>
          <w:kern w:val="44"/>
          <w:sz w:val="28"/>
        </w:rPr>
        <w:sectPr>
          <w:headerReference r:id="rId5" w:type="first"/>
          <w:footerReference r:id="rId8" w:type="first"/>
          <w:headerReference r:id="rId3" w:type="default"/>
          <w:footerReference r:id="rId6" w:type="default"/>
          <w:headerReference r:id="rId4" w:type="even"/>
          <w:footerReference r:id="rId7" w:type="even"/>
          <w:type w:val="continuous"/>
          <w:pgSz w:w="11906" w:h="16838"/>
          <w:pgMar w:top="1440" w:right="1800" w:bottom="1440" w:left="1800" w:header="851" w:footer="992" w:gutter="0"/>
          <w:cols w:space="720" w:num="1"/>
          <w:docGrid w:type="lines" w:linePitch="312" w:charSpace="0"/>
        </w:sectPr>
      </w:pPr>
    </w:p>
    <w:bookmarkEnd w:id="0"/>
    <w:p>
      <w:pPr>
        <w:widowControl/>
        <w:adjustRightInd w:val="0"/>
        <w:snapToGrid w:val="0"/>
        <w:spacing w:line="360" w:lineRule="auto"/>
        <w:jc w:val="center"/>
        <w:rPr>
          <w:b/>
          <w:kern w:val="2"/>
          <w:szCs w:val="24"/>
        </w:rPr>
      </w:pPr>
      <w:r>
        <w:rPr>
          <w:b/>
          <w:kern w:val="44"/>
          <w:sz w:val="28"/>
          <w:szCs w:val="24"/>
        </w:rPr>
        <w:t>前  言</w:t>
      </w:r>
    </w:p>
    <w:p>
      <w:pPr>
        <w:spacing w:line="360" w:lineRule="auto"/>
        <w:ind w:firstLine="480" w:firstLineChars="200"/>
        <w:jc w:val="left"/>
        <w:rPr>
          <w:kern w:val="2"/>
          <w:szCs w:val="24"/>
        </w:rPr>
      </w:pPr>
      <w:r>
        <w:rPr>
          <w:kern w:val="2"/>
          <w:szCs w:val="24"/>
        </w:rPr>
        <w:t>根据中国工程建设标准化协会《关于印发〈2023年第一批协会标准制订、修订计划〉的通知》（建标协字[2023]10号）的要求，编制组经广泛调查研究，认真总结实践经验，参考有关国际标准和国外先进标准，并在广泛征求意见的基础上，编制了本标准。</w:t>
      </w:r>
    </w:p>
    <w:p>
      <w:pPr>
        <w:spacing w:line="360" w:lineRule="auto"/>
        <w:ind w:firstLine="480" w:firstLineChars="200"/>
        <w:jc w:val="left"/>
        <w:rPr>
          <w:kern w:val="2"/>
          <w:szCs w:val="24"/>
        </w:rPr>
      </w:pPr>
      <w:r>
        <w:rPr>
          <w:kern w:val="2"/>
          <w:szCs w:val="24"/>
        </w:rPr>
        <w:t>本标准共分为7章</w:t>
      </w:r>
      <w:r>
        <w:rPr>
          <w:rFonts w:hint="eastAsia"/>
          <w:kern w:val="2"/>
          <w:szCs w:val="24"/>
          <w:lang w:val="en-US" w:eastAsia="zh-CN"/>
        </w:rPr>
        <w:t>和1个附录</w:t>
      </w:r>
      <w:r>
        <w:rPr>
          <w:kern w:val="2"/>
          <w:szCs w:val="24"/>
        </w:rPr>
        <w:t>，主要技术内容包括：总则、术语、</w:t>
      </w:r>
      <w:r>
        <w:rPr>
          <w:rFonts w:hint="eastAsia"/>
          <w:color w:val="000000"/>
          <w:kern w:val="2"/>
          <w:szCs w:val="24"/>
        </w:rPr>
        <w:t>评价与等级划分、控制指标、低碳设计、低碳施工与运行、碳排放计算与核算</w:t>
      </w:r>
      <w:r>
        <w:rPr>
          <w:rFonts w:hint="eastAsia"/>
          <w:color w:val="000000"/>
          <w:kern w:val="2"/>
          <w:szCs w:val="24"/>
          <w:lang w:val="en-US" w:eastAsia="zh-CN"/>
        </w:rPr>
        <w:t>等</w:t>
      </w:r>
      <w:bookmarkStart w:id="148" w:name="_GoBack"/>
      <w:bookmarkEnd w:id="148"/>
      <w:r>
        <w:rPr>
          <w:kern w:val="2"/>
          <w:szCs w:val="24"/>
        </w:rPr>
        <w:t>。</w:t>
      </w:r>
    </w:p>
    <w:p>
      <w:pPr>
        <w:spacing w:line="360" w:lineRule="auto"/>
        <w:ind w:firstLine="480" w:firstLineChars="200"/>
        <w:jc w:val="left"/>
        <w:rPr>
          <w:kern w:val="2"/>
          <w:szCs w:val="24"/>
        </w:rPr>
      </w:pPr>
      <w:r>
        <w:rPr>
          <w:kern w:val="2"/>
          <w:szCs w:val="24"/>
          <w:lang w:bidi="ar"/>
        </w:rPr>
        <w:t>本标准的某些内容可能直接或间接涉及专利。本标准的发布机构不承担识别这些专利的责任。</w:t>
      </w:r>
    </w:p>
    <w:p>
      <w:pPr>
        <w:spacing w:line="360" w:lineRule="auto"/>
        <w:ind w:firstLine="480" w:firstLineChars="200"/>
        <w:jc w:val="left"/>
        <w:rPr>
          <w:kern w:val="2"/>
          <w:szCs w:val="24"/>
        </w:rPr>
      </w:pPr>
      <w:r>
        <w:rPr>
          <w:kern w:val="2"/>
          <w:szCs w:val="24"/>
        </w:rPr>
        <w:t>本标准由中国工程建设标准化协会生态绿色建筑与生态城区分会归口管理，由清华大学负责技术内容的解释。本标准在执行过程中，如有需要修改或补充之处，请将有关资料和建议寄送解释单位（地址：北京市海淀区清华园街道清华大学建筑学院，邮政编码：</w:t>
      </w:r>
      <w:r>
        <w:rPr>
          <w:color w:val="000000"/>
          <w:kern w:val="2"/>
          <w:szCs w:val="24"/>
        </w:rPr>
        <w:t>100084</w:t>
      </w:r>
      <w:r>
        <w:rPr>
          <w:kern w:val="2"/>
          <w:szCs w:val="24"/>
        </w:rPr>
        <w:t>），以供修订时参考。</w:t>
      </w:r>
    </w:p>
    <w:p>
      <w:pPr>
        <w:spacing w:line="360" w:lineRule="auto"/>
        <w:rPr>
          <w:rFonts w:eastAsia="黑体"/>
          <w:spacing w:val="20"/>
          <w:kern w:val="2"/>
          <w:szCs w:val="24"/>
        </w:rPr>
      </w:pPr>
    </w:p>
    <w:p>
      <w:pPr>
        <w:spacing w:line="360" w:lineRule="auto"/>
        <w:ind w:firstLine="562" w:firstLineChars="200"/>
        <w:rPr>
          <w:kern w:val="2"/>
          <w:szCs w:val="24"/>
        </w:rPr>
      </w:pPr>
      <w:r>
        <w:rPr>
          <w:b/>
          <w:bCs/>
          <w:spacing w:val="20"/>
          <w:kern w:val="2"/>
          <w:szCs w:val="24"/>
        </w:rPr>
        <w:t>主编单位</w:t>
      </w:r>
      <w:r>
        <w:rPr>
          <w:kern w:val="2"/>
          <w:szCs w:val="24"/>
        </w:rPr>
        <w:t>：</w:t>
      </w:r>
      <w:r>
        <w:rPr>
          <w:color w:val="000000"/>
          <w:spacing w:val="4"/>
          <w:kern w:val="2"/>
          <w:szCs w:val="24"/>
        </w:rPr>
        <w:t>清华大学</w:t>
      </w:r>
    </w:p>
    <w:p>
      <w:pPr>
        <w:spacing w:line="360" w:lineRule="auto"/>
        <w:ind w:left="1260" w:firstLine="480" w:firstLineChars="200"/>
        <w:rPr>
          <w:kern w:val="2"/>
          <w:szCs w:val="24"/>
        </w:rPr>
      </w:pPr>
      <w:r>
        <w:rPr>
          <w:kern w:val="2"/>
          <w:szCs w:val="24"/>
        </w:rPr>
        <w:t>中国铁路设计集团有限公司</w:t>
      </w:r>
    </w:p>
    <w:p>
      <w:pPr>
        <w:spacing w:line="360" w:lineRule="auto"/>
        <w:ind w:firstLine="562" w:firstLineChars="200"/>
        <w:rPr>
          <w:spacing w:val="20"/>
          <w:kern w:val="2"/>
          <w:szCs w:val="24"/>
        </w:rPr>
      </w:pPr>
      <w:r>
        <w:rPr>
          <w:b/>
          <w:bCs/>
          <w:spacing w:val="20"/>
          <w:kern w:val="2"/>
          <w:szCs w:val="24"/>
        </w:rPr>
        <w:t>参编单位：</w:t>
      </w:r>
    </w:p>
    <w:p>
      <w:pPr>
        <w:spacing w:line="360" w:lineRule="auto"/>
        <w:ind w:left="1260" w:firstLine="562" w:firstLineChars="200"/>
        <w:rPr>
          <w:b/>
          <w:bCs/>
          <w:spacing w:val="20"/>
          <w:kern w:val="2"/>
          <w:szCs w:val="24"/>
        </w:rPr>
      </w:pPr>
    </w:p>
    <w:p>
      <w:pPr>
        <w:spacing w:line="360" w:lineRule="auto"/>
        <w:ind w:firstLine="482" w:firstLineChars="200"/>
        <w:rPr>
          <w:kern w:val="2"/>
          <w:szCs w:val="24"/>
        </w:rPr>
      </w:pPr>
      <w:r>
        <w:rPr>
          <w:b/>
          <w:bCs/>
          <w:kern w:val="2"/>
          <w:szCs w:val="24"/>
        </w:rPr>
        <w:t>主要起草人</w:t>
      </w:r>
      <w:r>
        <w:rPr>
          <w:kern w:val="2"/>
          <w:szCs w:val="24"/>
        </w:rPr>
        <w:t>：　</w:t>
      </w:r>
    </w:p>
    <w:p>
      <w:pPr>
        <w:spacing w:line="360" w:lineRule="auto"/>
        <w:ind w:firstLine="482" w:firstLineChars="200"/>
        <w:rPr>
          <w:kern w:val="2"/>
          <w:szCs w:val="24"/>
        </w:rPr>
      </w:pPr>
      <w:r>
        <w:rPr>
          <w:b/>
          <w:bCs/>
          <w:kern w:val="2"/>
          <w:szCs w:val="24"/>
        </w:rPr>
        <w:t>主要审查人</w:t>
      </w:r>
      <w:r>
        <w:rPr>
          <w:kern w:val="2"/>
          <w:szCs w:val="24"/>
        </w:rPr>
        <w:t>：　</w:t>
      </w:r>
    </w:p>
    <w:p>
      <w:pPr>
        <w:widowControl/>
        <w:jc w:val="left"/>
      </w:pPr>
      <w:r>
        <w:br w:type="page"/>
      </w:r>
    </w:p>
    <w:p>
      <w:pPr>
        <w:pStyle w:val="29"/>
        <w:spacing w:after="240"/>
        <w:jc w:val="center"/>
        <w:rPr>
          <w:rFonts w:ascii="Times New Roman" w:hAnsi="Times New Roman" w:cs="Times New Roman"/>
          <w:b/>
          <w:color w:val="auto"/>
          <w:sz w:val="36"/>
          <w:szCs w:val="32"/>
        </w:rPr>
      </w:pPr>
      <w:r>
        <w:rPr>
          <w:rFonts w:ascii="Times New Roman" w:hAnsi="Times New Roman" w:cs="Times New Roman"/>
          <w:b/>
          <w:color w:val="auto"/>
          <w:sz w:val="36"/>
          <w:szCs w:val="32"/>
        </w:rPr>
        <w:t>目 次</w:t>
      </w:r>
    </w:p>
    <w:p>
      <w:pPr>
        <w:pStyle w:val="15"/>
        <w:rPr>
          <w:rFonts w:hint="eastAsia" w:asciiTheme="minorHAnsi" w:hAnsiTheme="minorHAnsi" w:eastAsiaTheme="minorEastAsia" w:cstheme="minorBidi"/>
          <w:kern w:val="2"/>
          <w:sz w:val="21"/>
          <w:szCs w:val="22"/>
        </w:rPr>
      </w:pPr>
      <w:r>
        <w:rPr>
          <w:rFonts w:ascii="Times New Roman" w:hAnsi="Times New Roman"/>
        </w:rPr>
        <w:fldChar w:fldCharType="begin"/>
      </w:r>
      <w:r>
        <w:rPr>
          <w:rFonts w:ascii="Times New Roman" w:hAnsi="Times New Roman"/>
        </w:rPr>
        <w:instrText xml:space="preserve"> TOC \o "1-2" \h \z \u </w:instrText>
      </w:r>
      <w:r>
        <w:rPr>
          <w:rFonts w:ascii="Times New Roman" w:hAnsi="Times New Roman"/>
        </w:rPr>
        <w:fldChar w:fldCharType="separate"/>
      </w:r>
      <w:r>
        <w:fldChar w:fldCharType="begin"/>
      </w:r>
      <w:r>
        <w:instrText xml:space="preserve"> HYPERLINK \l "_Toc215047923" </w:instrText>
      </w:r>
      <w:r>
        <w:fldChar w:fldCharType="separate"/>
      </w:r>
      <w:r>
        <w:rPr>
          <w:rStyle w:val="24"/>
        </w:rPr>
        <w:t>1 总则</w:t>
      </w:r>
      <w:r>
        <w:tab/>
      </w:r>
      <w:r>
        <w:fldChar w:fldCharType="begin"/>
      </w:r>
      <w:r>
        <w:instrText xml:space="preserve"> PAGEREF _Toc215047923 \h </w:instrText>
      </w:r>
      <w:r>
        <w:fldChar w:fldCharType="separate"/>
      </w:r>
      <w:r>
        <w:t>1</w:t>
      </w:r>
      <w:r>
        <w:fldChar w:fldCharType="end"/>
      </w:r>
      <w:r>
        <w:fldChar w:fldCharType="end"/>
      </w:r>
    </w:p>
    <w:p>
      <w:pPr>
        <w:pStyle w:val="15"/>
        <w:rPr>
          <w:rFonts w:hint="eastAsia" w:asciiTheme="minorHAnsi" w:hAnsiTheme="minorHAnsi" w:eastAsiaTheme="minorEastAsia" w:cstheme="minorBidi"/>
          <w:kern w:val="2"/>
          <w:sz w:val="21"/>
          <w:szCs w:val="22"/>
        </w:rPr>
      </w:pPr>
      <w:r>
        <w:fldChar w:fldCharType="begin"/>
      </w:r>
      <w:r>
        <w:instrText xml:space="preserve"> HYPERLINK \l "_Toc215047924" </w:instrText>
      </w:r>
      <w:r>
        <w:fldChar w:fldCharType="separate"/>
      </w:r>
      <w:r>
        <w:rPr>
          <w:rStyle w:val="24"/>
        </w:rPr>
        <w:t>2 术语</w:t>
      </w:r>
      <w:r>
        <w:tab/>
      </w:r>
      <w:r>
        <w:fldChar w:fldCharType="begin"/>
      </w:r>
      <w:r>
        <w:instrText xml:space="preserve"> PAGEREF _Toc215047924 \h </w:instrText>
      </w:r>
      <w:r>
        <w:fldChar w:fldCharType="separate"/>
      </w:r>
      <w:r>
        <w:t>2</w:t>
      </w:r>
      <w:r>
        <w:fldChar w:fldCharType="end"/>
      </w:r>
      <w:r>
        <w:fldChar w:fldCharType="end"/>
      </w:r>
    </w:p>
    <w:p>
      <w:pPr>
        <w:pStyle w:val="15"/>
        <w:rPr>
          <w:rFonts w:hint="eastAsia" w:asciiTheme="minorHAnsi" w:hAnsiTheme="minorHAnsi" w:eastAsiaTheme="minorEastAsia" w:cstheme="minorBidi"/>
          <w:kern w:val="2"/>
          <w:sz w:val="21"/>
          <w:szCs w:val="22"/>
        </w:rPr>
      </w:pPr>
      <w:r>
        <w:fldChar w:fldCharType="begin"/>
      </w:r>
      <w:r>
        <w:instrText xml:space="preserve"> HYPERLINK \l "_Toc215047925" </w:instrText>
      </w:r>
      <w:r>
        <w:fldChar w:fldCharType="separate"/>
      </w:r>
      <w:r>
        <w:rPr>
          <w:rStyle w:val="24"/>
        </w:rPr>
        <w:t>3 评价与等级划分</w:t>
      </w:r>
      <w:r>
        <w:tab/>
      </w:r>
      <w:r>
        <w:fldChar w:fldCharType="begin"/>
      </w:r>
      <w:r>
        <w:instrText xml:space="preserve"> PAGEREF _Toc215047925 \h </w:instrText>
      </w:r>
      <w:r>
        <w:fldChar w:fldCharType="separate"/>
      </w:r>
      <w:r>
        <w:t>4</w:t>
      </w:r>
      <w:r>
        <w:fldChar w:fldCharType="end"/>
      </w:r>
      <w:r>
        <w:fldChar w:fldCharType="end"/>
      </w:r>
    </w:p>
    <w:p>
      <w:pPr>
        <w:pStyle w:val="16"/>
        <w:ind w:left="480"/>
        <w:rPr>
          <w:rFonts w:hint="eastAsia" w:asciiTheme="minorHAnsi" w:hAnsiTheme="minorHAnsi" w:eastAsiaTheme="minorEastAsia" w:cstheme="minorBidi"/>
          <w:kern w:val="2"/>
          <w:sz w:val="21"/>
          <w:szCs w:val="22"/>
        </w:rPr>
      </w:pPr>
      <w:r>
        <w:fldChar w:fldCharType="begin"/>
      </w:r>
      <w:r>
        <w:instrText xml:space="preserve"> HYPERLINK \l "_Toc215047926" </w:instrText>
      </w:r>
      <w:r>
        <w:fldChar w:fldCharType="separate"/>
      </w:r>
      <w:r>
        <w:rPr>
          <w:rStyle w:val="24"/>
        </w:rPr>
        <w:t>3.1一般规定</w:t>
      </w:r>
      <w:r>
        <w:tab/>
      </w:r>
      <w:r>
        <w:fldChar w:fldCharType="begin"/>
      </w:r>
      <w:r>
        <w:instrText xml:space="preserve"> PAGEREF _Toc215047926 \h </w:instrText>
      </w:r>
      <w:r>
        <w:fldChar w:fldCharType="separate"/>
      </w:r>
      <w:r>
        <w:t>4</w:t>
      </w:r>
      <w:r>
        <w:fldChar w:fldCharType="end"/>
      </w:r>
      <w:r>
        <w:fldChar w:fldCharType="end"/>
      </w:r>
    </w:p>
    <w:p>
      <w:pPr>
        <w:pStyle w:val="16"/>
        <w:ind w:left="480"/>
        <w:rPr>
          <w:rFonts w:hint="eastAsia" w:asciiTheme="minorHAnsi" w:hAnsiTheme="minorHAnsi" w:eastAsiaTheme="minorEastAsia" w:cstheme="minorBidi"/>
          <w:kern w:val="2"/>
          <w:sz w:val="21"/>
          <w:szCs w:val="22"/>
        </w:rPr>
      </w:pPr>
      <w:r>
        <w:fldChar w:fldCharType="begin"/>
      </w:r>
      <w:r>
        <w:instrText xml:space="preserve"> HYPERLINK \l "_Toc215047927" </w:instrText>
      </w:r>
      <w:r>
        <w:fldChar w:fldCharType="separate"/>
      </w:r>
      <w:r>
        <w:rPr>
          <w:rStyle w:val="24"/>
        </w:rPr>
        <w:t>3.2评价类型与等级划分</w:t>
      </w:r>
      <w:r>
        <w:tab/>
      </w:r>
      <w:r>
        <w:fldChar w:fldCharType="begin"/>
      </w:r>
      <w:r>
        <w:instrText xml:space="preserve"> PAGEREF _Toc215047927 \h </w:instrText>
      </w:r>
      <w:r>
        <w:fldChar w:fldCharType="separate"/>
      </w:r>
      <w:r>
        <w:t>4</w:t>
      </w:r>
      <w:r>
        <w:fldChar w:fldCharType="end"/>
      </w:r>
      <w:r>
        <w:fldChar w:fldCharType="end"/>
      </w:r>
    </w:p>
    <w:p>
      <w:pPr>
        <w:pStyle w:val="15"/>
        <w:rPr>
          <w:rFonts w:hint="eastAsia" w:asciiTheme="minorHAnsi" w:hAnsiTheme="minorHAnsi" w:eastAsiaTheme="minorEastAsia" w:cstheme="minorBidi"/>
          <w:kern w:val="2"/>
          <w:sz w:val="21"/>
          <w:szCs w:val="22"/>
        </w:rPr>
      </w:pPr>
      <w:r>
        <w:fldChar w:fldCharType="begin"/>
      </w:r>
      <w:r>
        <w:instrText xml:space="preserve"> HYPERLINK \l "_Toc215047928" </w:instrText>
      </w:r>
      <w:r>
        <w:fldChar w:fldCharType="separate"/>
      </w:r>
      <w:r>
        <w:rPr>
          <w:rStyle w:val="24"/>
        </w:rPr>
        <w:t>4 控制指标</w:t>
      </w:r>
      <w:r>
        <w:tab/>
      </w:r>
      <w:r>
        <w:fldChar w:fldCharType="begin"/>
      </w:r>
      <w:r>
        <w:instrText xml:space="preserve"> PAGEREF _Toc215047928 \h </w:instrText>
      </w:r>
      <w:r>
        <w:fldChar w:fldCharType="separate"/>
      </w:r>
      <w:r>
        <w:t>7</w:t>
      </w:r>
      <w:r>
        <w:fldChar w:fldCharType="end"/>
      </w:r>
      <w:r>
        <w:fldChar w:fldCharType="end"/>
      </w:r>
    </w:p>
    <w:p>
      <w:pPr>
        <w:pStyle w:val="16"/>
        <w:ind w:left="480"/>
        <w:rPr>
          <w:rFonts w:hint="eastAsia" w:asciiTheme="minorHAnsi" w:hAnsiTheme="minorHAnsi" w:eastAsiaTheme="minorEastAsia" w:cstheme="minorBidi"/>
          <w:kern w:val="2"/>
          <w:sz w:val="21"/>
          <w:szCs w:val="22"/>
        </w:rPr>
      </w:pPr>
      <w:r>
        <w:fldChar w:fldCharType="begin"/>
      </w:r>
      <w:r>
        <w:instrText xml:space="preserve"> HYPERLINK \l "_Toc215047929" </w:instrText>
      </w:r>
      <w:r>
        <w:fldChar w:fldCharType="separate"/>
      </w:r>
      <w:r>
        <w:rPr>
          <w:rStyle w:val="24"/>
        </w:rPr>
        <w:t>4.1室内环境参数</w:t>
      </w:r>
      <w:r>
        <w:tab/>
      </w:r>
      <w:r>
        <w:fldChar w:fldCharType="begin"/>
      </w:r>
      <w:r>
        <w:instrText xml:space="preserve"> PAGEREF _Toc215047929 \h </w:instrText>
      </w:r>
      <w:r>
        <w:fldChar w:fldCharType="separate"/>
      </w:r>
      <w:r>
        <w:t>7</w:t>
      </w:r>
      <w:r>
        <w:fldChar w:fldCharType="end"/>
      </w:r>
      <w:r>
        <w:fldChar w:fldCharType="end"/>
      </w:r>
    </w:p>
    <w:p>
      <w:pPr>
        <w:pStyle w:val="16"/>
        <w:ind w:left="480"/>
        <w:rPr>
          <w:rFonts w:hint="eastAsia" w:asciiTheme="minorHAnsi" w:hAnsiTheme="minorHAnsi" w:eastAsiaTheme="minorEastAsia" w:cstheme="minorBidi"/>
          <w:kern w:val="2"/>
          <w:sz w:val="21"/>
          <w:szCs w:val="22"/>
        </w:rPr>
      </w:pPr>
      <w:r>
        <w:fldChar w:fldCharType="begin"/>
      </w:r>
      <w:r>
        <w:instrText xml:space="preserve"> HYPERLINK \l "_Toc215047930" </w:instrText>
      </w:r>
      <w:r>
        <w:fldChar w:fldCharType="separate"/>
      </w:r>
      <w:r>
        <w:rPr>
          <w:rStyle w:val="24"/>
        </w:rPr>
        <w:t>4.2碳排放指标</w:t>
      </w:r>
      <w:r>
        <w:tab/>
      </w:r>
      <w:r>
        <w:fldChar w:fldCharType="begin"/>
      </w:r>
      <w:r>
        <w:instrText xml:space="preserve"> PAGEREF _Toc215047930 \h </w:instrText>
      </w:r>
      <w:r>
        <w:fldChar w:fldCharType="separate"/>
      </w:r>
      <w:r>
        <w:t>7</w:t>
      </w:r>
      <w:r>
        <w:fldChar w:fldCharType="end"/>
      </w:r>
      <w:r>
        <w:fldChar w:fldCharType="end"/>
      </w:r>
    </w:p>
    <w:p>
      <w:pPr>
        <w:pStyle w:val="16"/>
        <w:ind w:left="480"/>
        <w:rPr>
          <w:rFonts w:hint="eastAsia" w:asciiTheme="minorHAnsi" w:hAnsiTheme="minorHAnsi" w:eastAsiaTheme="minorEastAsia" w:cstheme="minorBidi"/>
          <w:kern w:val="2"/>
          <w:sz w:val="21"/>
          <w:szCs w:val="22"/>
        </w:rPr>
      </w:pPr>
      <w:r>
        <w:fldChar w:fldCharType="begin"/>
      </w:r>
      <w:r>
        <w:instrText xml:space="preserve"> HYPERLINK \l "_Toc215047931" </w:instrText>
      </w:r>
      <w:r>
        <w:fldChar w:fldCharType="separate"/>
      </w:r>
      <w:r>
        <w:rPr>
          <w:rStyle w:val="24"/>
        </w:rPr>
        <w:t>4.3 绿色电力与碳排放权交易</w:t>
      </w:r>
      <w:r>
        <w:tab/>
      </w:r>
      <w:r>
        <w:fldChar w:fldCharType="begin"/>
      </w:r>
      <w:r>
        <w:instrText xml:space="preserve"> PAGEREF _Toc215047931 \h </w:instrText>
      </w:r>
      <w:r>
        <w:fldChar w:fldCharType="separate"/>
      </w:r>
      <w:r>
        <w:t>12</w:t>
      </w:r>
      <w:r>
        <w:fldChar w:fldCharType="end"/>
      </w:r>
      <w:r>
        <w:fldChar w:fldCharType="end"/>
      </w:r>
    </w:p>
    <w:p>
      <w:pPr>
        <w:pStyle w:val="15"/>
        <w:rPr>
          <w:rFonts w:hint="eastAsia" w:asciiTheme="minorHAnsi" w:hAnsiTheme="minorHAnsi" w:eastAsiaTheme="minorEastAsia" w:cstheme="minorBidi"/>
          <w:kern w:val="2"/>
          <w:sz w:val="21"/>
          <w:szCs w:val="22"/>
        </w:rPr>
      </w:pPr>
      <w:r>
        <w:fldChar w:fldCharType="begin"/>
      </w:r>
      <w:r>
        <w:instrText xml:space="preserve"> HYPERLINK \l "_Toc215047932" </w:instrText>
      </w:r>
      <w:r>
        <w:fldChar w:fldCharType="separate"/>
      </w:r>
      <w:r>
        <w:rPr>
          <w:rStyle w:val="24"/>
        </w:rPr>
        <w:t>5 低碳设计</w:t>
      </w:r>
      <w:r>
        <w:tab/>
      </w:r>
      <w:r>
        <w:fldChar w:fldCharType="begin"/>
      </w:r>
      <w:r>
        <w:instrText xml:space="preserve"> PAGEREF _Toc215047932 \h </w:instrText>
      </w:r>
      <w:r>
        <w:fldChar w:fldCharType="separate"/>
      </w:r>
      <w:r>
        <w:t>15</w:t>
      </w:r>
      <w:r>
        <w:fldChar w:fldCharType="end"/>
      </w:r>
      <w:r>
        <w:fldChar w:fldCharType="end"/>
      </w:r>
    </w:p>
    <w:p>
      <w:pPr>
        <w:pStyle w:val="16"/>
        <w:ind w:left="480"/>
        <w:rPr>
          <w:rFonts w:hint="eastAsia" w:asciiTheme="minorHAnsi" w:hAnsiTheme="minorHAnsi" w:eastAsiaTheme="minorEastAsia" w:cstheme="minorBidi"/>
          <w:kern w:val="2"/>
          <w:sz w:val="21"/>
          <w:szCs w:val="22"/>
        </w:rPr>
      </w:pPr>
      <w:r>
        <w:fldChar w:fldCharType="begin"/>
      </w:r>
      <w:r>
        <w:instrText xml:space="preserve"> HYPERLINK \l "_Toc215047933" </w:instrText>
      </w:r>
      <w:r>
        <w:fldChar w:fldCharType="separate"/>
      </w:r>
      <w:r>
        <w:rPr>
          <w:rStyle w:val="24"/>
        </w:rPr>
        <w:t>5.1新建、扩建和改建铁路客站</w:t>
      </w:r>
      <w:r>
        <w:tab/>
      </w:r>
      <w:r>
        <w:fldChar w:fldCharType="begin"/>
      </w:r>
      <w:r>
        <w:instrText xml:space="preserve"> PAGEREF _Toc215047933 \h </w:instrText>
      </w:r>
      <w:r>
        <w:fldChar w:fldCharType="separate"/>
      </w:r>
      <w:r>
        <w:t>15</w:t>
      </w:r>
      <w:r>
        <w:fldChar w:fldCharType="end"/>
      </w:r>
      <w:r>
        <w:fldChar w:fldCharType="end"/>
      </w:r>
    </w:p>
    <w:p>
      <w:pPr>
        <w:pStyle w:val="16"/>
        <w:ind w:left="480"/>
        <w:rPr>
          <w:rFonts w:hint="eastAsia" w:asciiTheme="minorHAnsi" w:hAnsiTheme="minorHAnsi" w:eastAsiaTheme="minorEastAsia" w:cstheme="minorBidi"/>
          <w:kern w:val="2"/>
          <w:sz w:val="21"/>
          <w:szCs w:val="22"/>
        </w:rPr>
      </w:pPr>
      <w:r>
        <w:fldChar w:fldCharType="begin"/>
      </w:r>
      <w:r>
        <w:instrText xml:space="preserve"> HYPERLINK \l "_Toc215047934" </w:instrText>
      </w:r>
      <w:r>
        <w:fldChar w:fldCharType="separate"/>
      </w:r>
      <w:r>
        <w:rPr>
          <w:rStyle w:val="24"/>
        </w:rPr>
        <w:t>5.2既有铁路客站降碳改造</w:t>
      </w:r>
      <w:r>
        <w:tab/>
      </w:r>
      <w:r>
        <w:fldChar w:fldCharType="begin"/>
      </w:r>
      <w:r>
        <w:instrText xml:space="preserve"> PAGEREF _Toc215047934 \h </w:instrText>
      </w:r>
      <w:r>
        <w:fldChar w:fldCharType="separate"/>
      </w:r>
      <w:r>
        <w:t>20</w:t>
      </w:r>
      <w:r>
        <w:fldChar w:fldCharType="end"/>
      </w:r>
      <w:r>
        <w:fldChar w:fldCharType="end"/>
      </w:r>
    </w:p>
    <w:p>
      <w:pPr>
        <w:pStyle w:val="15"/>
        <w:rPr>
          <w:rFonts w:hint="eastAsia" w:asciiTheme="minorHAnsi" w:hAnsiTheme="minorHAnsi" w:eastAsiaTheme="minorEastAsia" w:cstheme="minorBidi"/>
          <w:kern w:val="2"/>
          <w:sz w:val="21"/>
          <w:szCs w:val="22"/>
        </w:rPr>
      </w:pPr>
      <w:r>
        <w:fldChar w:fldCharType="begin"/>
      </w:r>
      <w:r>
        <w:instrText xml:space="preserve"> HYPERLINK \l "_Toc215047935" </w:instrText>
      </w:r>
      <w:r>
        <w:fldChar w:fldCharType="separate"/>
      </w:r>
      <w:r>
        <w:rPr>
          <w:rStyle w:val="24"/>
        </w:rPr>
        <w:t>6 低碳施工与运行</w:t>
      </w:r>
      <w:r>
        <w:tab/>
      </w:r>
      <w:r>
        <w:fldChar w:fldCharType="begin"/>
      </w:r>
      <w:r>
        <w:instrText xml:space="preserve"> PAGEREF _Toc215047935 \h </w:instrText>
      </w:r>
      <w:r>
        <w:fldChar w:fldCharType="separate"/>
      </w:r>
      <w:r>
        <w:t>24</w:t>
      </w:r>
      <w:r>
        <w:fldChar w:fldCharType="end"/>
      </w:r>
      <w:r>
        <w:fldChar w:fldCharType="end"/>
      </w:r>
    </w:p>
    <w:p>
      <w:pPr>
        <w:pStyle w:val="16"/>
        <w:ind w:left="480"/>
        <w:rPr>
          <w:rFonts w:hint="eastAsia" w:asciiTheme="minorHAnsi" w:hAnsiTheme="minorHAnsi" w:eastAsiaTheme="minorEastAsia" w:cstheme="minorBidi"/>
          <w:kern w:val="2"/>
          <w:sz w:val="21"/>
          <w:szCs w:val="22"/>
        </w:rPr>
      </w:pPr>
      <w:r>
        <w:fldChar w:fldCharType="begin"/>
      </w:r>
      <w:r>
        <w:instrText xml:space="preserve"> HYPERLINK \l "_Toc215047936" </w:instrText>
      </w:r>
      <w:r>
        <w:fldChar w:fldCharType="separate"/>
      </w:r>
      <w:r>
        <w:rPr>
          <w:rStyle w:val="24"/>
        </w:rPr>
        <w:t>6.1低碳施工</w:t>
      </w:r>
      <w:r>
        <w:tab/>
      </w:r>
      <w:r>
        <w:fldChar w:fldCharType="begin"/>
      </w:r>
      <w:r>
        <w:instrText xml:space="preserve"> PAGEREF _Toc215047936 \h </w:instrText>
      </w:r>
      <w:r>
        <w:fldChar w:fldCharType="separate"/>
      </w:r>
      <w:r>
        <w:t>24</w:t>
      </w:r>
      <w:r>
        <w:fldChar w:fldCharType="end"/>
      </w:r>
      <w:r>
        <w:fldChar w:fldCharType="end"/>
      </w:r>
    </w:p>
    <w:p>
      <w:pPr>
        <w:pStyle w:val="16"/>
        <w:ind w:left="480"/>
        <w:rPr>
          <w:rFonts w:hint="eastAsia" w:asciiTheme="minorHAnsi" w:hAnsiTheme="minorHAnsi" w:eastAsiaTheme="minorEastAsia" w:cstheme="minorBidi"/>
          <w:kern w:val="2"/>
          <w:sz w:val="21"/>
          <w:szCs w:val="22"/>
        </w:rPr>
      </w:pPr>
      <w:r>
        <w:fldChar w:fldCharType="begin"/>
      </w:r>
      <w:r>
        <w:instrText xml:space="preserve"> HYPERLINK \l "_Toc215047937" </w:instrText>
      </w:r>
      <w:r>
        <w:fldChar w:fldCharType="separate"/>
      </w:r>
      <w:r>
        <w:rPr>
          <w:rStyle w:val="24"/>
        </w:rPr>
        <w:t>6.2低碳运行</w:t>
      </w:r>
      <w:r>
        <w:tab/>
      </w:r>
      <w:r>
        <w:fldChar w:fldCharType="begin"/>
      </w:r>
      <w:r>
        <w:instrText xml:space="preserve"> PAGEREF _Toc215047937 \h </w:instrText>
      </w:r>
      <w:r>
        <w:fldChar w:fldCharType="separate"/>
      </w:r>
      <w:r>
        <w:t>26</w:t>
      </w:r>
      <w:r>
        <w:fldChar w:fldCharType="end"/>
      </w:r>
      <w:r>
        <w:fldChar w:fldCharType="end"/>
      </w:r>
    </w:p>
    <w:p>
      <w:pPr>
        <w:pStyle w:val="15"/>
        <w:rPr>
          <w:rFonts w:hint="eastAsia" w:asciiTheme="minorHAnsi" w:hAnsiTheme="minorHAnsi" w:eastAsiaTheme="minorEastAsia" w:cstheme="minorBidi"/>
          <w:kern w:val="2"/>
          <w:sz w:val="21"/>
          <w:szCs w:val="22"/>
        </w:rPr>
      </w:pPr>
      <w:r>
        <w:fldChar w:fldCharType="begin"/>
      </w:r>
      <w:r>
        <w:instrText xml:space="preserve"> HYPERLINK \l "_Toc215047938" </w:instrText>
      </w:r>
      <w:r>
        <w:fldChar w:fldCharType="separate"/>
      </w:r>
      <w:r>
        <w:rPr>
          <w:rStyle w:val="24"/>
        </w:rPr>
        <w:t>7 碳排放计算与核算</w:t>
      </w:r>
      <w:r>
        <w:tab/>
      </w:r>
      <w:r>
        <w:fldChar w:fldCharType="begin"/>
      </w:r>
      <w:r>
        <w:instrText xml:space="preserve"> PAGEREF _Toc215047938 \h </w:instrText>
      </w:r>
      <w:r>
        <w:fldChar w:fldCharType="separate"/>
      </w:r>
      <w:r>
        <w:t>29</w:t>
      </w:r>
      <w:r>
        <w:fldChar w:fldCharType="end"/>
      </w:r>
      <w:r>
        <w:fldChar w:fldCharType="end"/>
      </w:r>
    </w:p>
    <w:p>
      <w:pPr>
        <w:pStyle w:val="15"/>
        <w:rPr>
          <w:rFonts w:hint="eastAsia" w:asciiTheme="minorHAnsi" w:hAnsiTheme="minorHAnsi" w:eastAsiaTheme="minorEastAsia" w:cstheme="minorBidi"/>
          <w:kern w:val="2"/>
          <w:sz w:val="21"/>
          <w:szCs w:val="22"/>
        </w:rPr>
      </w:pPr>
      <w:r>
        <w:fldChar w:fldCharType="begin"/>
      </w:r>
      <w:r>
        <w:instrText xml:space="preserve"> HYPERLINK \l "_Toc215047939" </w:instrText>
      </w:r>
      <w:r>
        <w:fldChar w:fldCharType="separate"/>
      </w:r>
      <w:r>
        <w:rPr>
          <w:rStyle w:val="24"/>
          <w:kern w:val="44"/>
        </w:rPr>
        <w:t>附录A 评价所需提交材料</w:t>
      </w:r>
      <w:r>
        <w:tab/>
      </w:r>
      <w:r>
        <w:fldChar w:fldCharType="begin"/>
      </w:r>
      <w:r>
        <w:instrText xml:space="preserve"> PAGEREF _Toc215047939 \h </w:instrText>
      </w:r>
      <w:r>
        <w:fldChar w:fldCharType="separate"/>
      </w:r>
      <w:r>
        <w:t>31</w:t>
      </w:r>
      <w:r>
        <w:fldChar w:fldCharType="end"/>
      </w:r>
      <w:r>
        <w:fldChar w:fldCharType="end"/>
      </w:r>
    </w:p>
    <w:p>
      <w:pPr>
        <w:pStyle w:val="15"/>
        <w:rPr>
          <w:rFonts w:hint="eastAsia" w:asciiTheme="minorHAnsi" w:hAnsiTheme="minorHAnsi" w:eastAsiaTheme="minorEastAsia" w:cstheme="minorBidi"/>
          <w:kern w:val="2"/>
          <w:sz w:val="21"/>
          <w:szCs w:val="22"/>
        </w:rPr>
      </w:pPr>
      <w:r>
        <w:fldChar w:fldCharType="begin"/>
      </w:r>
      <w:r>
        <w:instrText xml:space="preserve"> HYPERLINK \l "_Toc215047940" </w:instrText>
      </w:r>
      <w:r>
        <w:fldChar w:fldCharType="separate"/>
      </w:r>
      <w:r>
        <w:rPr>
          <w:rStyle w:val="24"/>
          <w:kern w:val="44"/>
        </w:rPr>
        <w:t>用词说明</w:t>
      </w:r>
      <w:r>
        <w:tab/>
      </w:r>
      <w:r>
        <w:fldChar w:fldCharType="begin"/>
      </w:r>
      <w:r>
        <w:instrText xml:space="preserve"> PAGEREF _Toc215047940 \h </w:instrText>
      </w:r>
      <w:r>
        <w:fldChar w:fldCharType="separate"/>
      </w:r>
      <w:r>
        <w:t>33</w:t>
      </w:r>
      <w:r>
        <w:fldChar w:fldCharType="end"/>
      </w:r>
      <w:r>
        <w:fldChar w:fldCharType="end"/>
      </w:r>
    </w:p>
    <w:p>
      <w:pPr>
        <w:pStyle w:val="15"/>
        <w:rPr>
          <w:rFonts w:hint="eastAsia" w:asciiTheme="minorHAnsi" w:hAnsiTheme="minorHAnsi" w:eastAsiaTheme="minorEastAsia" w:cstheme="minorBidi"/>
          <w:kern w:val="2"/>
          <w:sz w:val="21"/>
          <w:szCs w:val="22"/>
        </w:rPr>
      </w:pPr>
      <w:r>
        <w:fldChar w:fldCharType="begin"/>
      </w:r>
      <w:r>
        <w:instrText xml:space="preserve"> HYPERLINK \l "_Toc215047941" </w:instrText>
      </w:r>
      <w:r>
        <w:fldChar w:fldCharType="separate"/>
      </w:r>
      <w:r>
        <w:rPr>
          <w:rStyle w:val="24"/>
          <w:kern w:val="44"/>
        </w:rPr>
        <w:t>引用标准名录</w:t>
      </w:r>
      <w:r>
        <w:tab/>
      </w:r>
      <w:r>
        <w:fldChar w:fldCharType="begin"/>
      </w:r>
      <w:r>
        <w:instrText xml:space="preserve"> PAGEREF _Toc215047941 \h </w:instrText>
      </w:r>
      <w:r>
        <w:fldChar w:fldCharType="separate"/>
      </w:r>
      <w:r>
        <w:t>34</w:t>
      </w:r>
      <w:r>
        <w:fldChar w:fldCharType="end"/>
      </w:r>
      <w:r>
        <w:fldChar w:fldCharType="end"/>
      </w:r>
    </w:p>
    <w:p>
      <w:pPr>
        <w:widowControl/>
        <w:jc w:val="left"/>
        <w:rPr>
          <w:rFonts w:eastAsia="仿宋_GB2312"/>
          <w:b/>
          <w:bCs/>
        </w:rPr>
      </w:pPr>
      <w:r>
        <w:fldChar w:fldCharType="end"/>
      </w:r>
    </w:p>
    <w:p>
      <w:pPr>
        <w:spacing w:line="360" w:lineRule="auto"/>
        <w:ind w:firstLine="241" w:firstLineChars="100"/>
        <w:rPr>
          <w:rFonts w:eastAsia="仿宋_GB2312"/>
          <w:b/>
          <w:bCs/>
        </w:rPr>
        <w:sectPr>
          <w:footerReference r:id="rId9" w:type="default"/>
          <w:pgSz w:w="11906" w:h="16838"/>
          <w:pgMar w:top="1440" w:right="1800" w:bottom="1440" w:left="1800" w:header="851" w:footer="992" w:gutter="0"/>
          <w:pgNumType w:start="1"/>
          <w:cols w:space="425" w:num="1"/>
          <w:docGrid w:type="lines" w:linePitch="312" w:charSpace="0"/>
        </w:sectPr>
      </w:pPr>
    </w:p>
    <w:p>
      <w:pPr>
        <w:autoSpaceDE w:val="0"/>
        <w:autoSpaceDN w:val="0"/>
        <w:adjustRightInd w:val="0"/>
        <w:spacing w:after="240"/>
        <w:jc w:val="center"/>
        <w:rPr>
          <w:b/>
          <w:sz w:val="36"/>
          <w:szCs w:val="32"/>
        </w:rPr>
      </w:pPr>
      <w:bookmarkStart w:id="44" w:name="_Toc153218006"/>
      <w:bookmarkStart w:id="45" w:name="_Toc153217956"/>
      <w:bookmarkStart w:id="46" w:name="_Toc74137289"/>
      <w:r>
        <w:rPr>
          <w:b/>
          <w:sz w:val="36"/>
          <w:szCs w:val="32"/>
        </w:rPr>
        <w:t>Contents</w:t>
      </w:r>
    </w:p>
    <w:p>
      <w:pPr>
        <w:tabs>
          <w:tab w:val="right" w:leader="dot" w:pos="8296"/>
        </w:tabs>
        <w:spacing w:line="276" w:lineRule="auto"/>
        <w:rPr>
          <w:rFonts w:eastAsiaTheme="minorEastAsia"/>
          <w:kern w:val="2"/>
          <w:sz w:val="21"/>
          <w:szCs w:val="22"/>
        </w:rPr>
      </w:pPr>
      <w:r>
        <w:fldChar w:fldCharType="begin"/>
      </w:r>
      <w:r>
        <w:instrText xml:space="preserve"> TOC \o "1-2" \h \z \u </w:instrText>
      </w:r>
      <w:r>
        <w:fldChar w:fldCharType="separate"/>
      </w:r>
      <w:r>
        <w:fldChar w:fldCharType="begin"/>
      </w:r>
      <w:r>
        <w:instrText xml:space="preserve"> HYPERLINK \l "_Toc206775545" </w:instrText>
      </w:r>
      <w:r>
        <w:fldChar w:fldCharType="separate"/>
      </w:r>
      <w:r>
        <w:rPr>
          <w:rFonts w:eastAsia="黑体"/>
        </w:rPr>
        <w:t>1 General Provisions</w:t>
      </w:r>
      <w:r>
        <w:tab/>
      </w:r>
      <w:r>
        <w:t>1</w:t>
      </w:r>
      <w:r>
        <w:fldChar w:fldCharType="end"/>
      </w:r>
    </w:p>
    <w:p>
      <w:pPr>
        <w:tabs>
          <w:tab w:val="right" w:leader="dot" w:pos="8296"/>
        </w:tabs>
        <w:spacing w:line="276" w:lineRule="auto"/>
        <w:rPr>
          <w:rFonts w:eastAsiaTheme="minorEastAsia"/>
          <w:kern w:val="2"/>
          <w:sz w:val="21"/>
          <w:szCs w:val="22"/>
        </w:rPr>
      </w:pPr>
      <w:r>
        <w:fldChar w:fldCharType="begin"/>
      </w:r>
      <w:r>
        <w:instrText xml:space="preserve"> HYPERLINK \l "_Toc206775546" </w:instrText>
      </w:r>
      <w:r>
        <w:fldChar w:fldCharType="separate"/>
      </w:r>
      <w:r>
        <w:rPr>
          <w:rFonts w:eastAsia="黑体"/>
        </w:rPr>
        <w:t>2 Terms</w:t>
      </w:r>
      <w:r>
        <w:tab/>
      </w:r>
      <w:r>
        <w:fldChar w:fldCharType="end"/>
      </w:r>
      <w:r>
        <w:t>2</w:t>
      </w:r>
    </w:p>
    <w:p>
      <w:pPr>
        <w:tabs>
          <w:tab w:val="right" w:leader="dot" w:pos="8296"/>
        </w:tabs>
        <w:spacing w:line="276" w:lineRule="auto"/>
        <w:rPr>
          <w:rFonts w:eastAsiaTheme="minorEastAsia"/>
          <w:kern w:val="2"/>
          <w:sz w:val="21"/>
          <w:szCs w:val="22"/>
        </w:rPr>
      </w:pPr>
      <w:r>
        <w:fldChar w:fldCharType="begin"/>
      </w:r>
      <w:r>
        <w:instrText xml:space="preserve"> HYPERLINK \l "_Toc206775547" </w:instrText>
      </w:r>
      <w:r>
        <w:fldChar w:fldCharType="separate"/>
      </w:r>
      <w:r>
        <w:rPr>
          <w:rFonts w:eastAsia="黑体"/>
        </w:rPr>
        <w:t>3 Assessment and Rating</w:t>
      </w:r>
      <w:r>
        <w:tab/>
      </w:r>
      <w:r>
        <w:t>4</w:t>
      </w:r>
      <w:r>
        <w:fldChar w:fldCharType="end"/>
      </w:r>
    </w:p>
    <w:p>
      <w:pPr>
        <w:tabs>
          <w:tab w:val="right" w:leader="dot" w:pos="8296"/>
        </w:tabs>
        <w:spacing w:line="276" w:lineRule="auto"/>
        <w:ind w:left="480" w:leftChars="200"/>
        <w:rPr>
          <w:rFonts w:eastAsiaTheme="minorEastAsia"/>
          <w:kern w:val="2"/>
          <w:sz w:val="21"/>
          <w:szCs w:val="22"/>
        </w:rPr>
      </w:pPr>
      <w:r>
        <w:fldChar w:fldCharType="begin"/>
      </w:r>
      <w:r>
        <w:instrText xml:space="preserve"> HYPERLINK \l "_Toc206775548" </w:instrText>
      </w:r>
      <w:r>
        <w:fldChar w:fldCharType="separate"/>
      </w:r>
      <w:r>
        <w:rPr>
          <w:rFonts w:eastAsia="黑体"/>
        </w:rPr>
        <w:t>3.1</w:t>
      </w:r>
      <w:r>
        <w:t xml:space="preserve"> Basic Regulations</w:t>
      </w:r>
      <w:r>
        <w:tab/>
      </w:r>
      <w:r>
        <w:t>4</w:t>
      </w:r>
      <w:r>
        <w:fldChar w:fldCharType="end"/>
      </w:r>
    </w:p>
    <w:p>
      <w:pPr>
        <w:tabs>
          <w:tab w:val="right" w:leader="dot" w:pos="8296"/>
        </w:tabs>
        <w:spacing w:line="276" w:lineRule="auto"/>
        <w:ind w:left="480" w:leftChars="200"/>
        <w:rPr>
          <w:rFonts w:eastAsiaTheme="minorEastAsia"/>
          <w:kern w:val="2"/>
          <w:sz w:val="21"/>
          <w:szCs w:val="22"/>
        </w:rPr>
      </w:pPr>
      <w:r>
        <w:fldChar w:fldCharType="begin"/>
      </w:r>
      <w:r>
        <w:instrText xml:space="preserve"> HYPERLINK \l "_Toc206775549" </w:instrText>
      </w:r>
      <w:r>
        <w:fldChar w:fldCharType="separate"/>
      </w:r>
      <w:r>
        <w:rPr>
          <w:rFonts w:eastAsia="黑体"/>
        </w:rPr>
        <w:t>3.2</w:t>
      </w:r>
      <w:r>
        <w:t xml:space="preserve"> </w:t>
      </w:r>
      <w:r>
        <w:rPr>
          <w:rFonts w:eastAsia="黑体"/>
        </w:rPr>
        <w:t>Assessment Type and Rating</w:t>
      </w:r>
      <w:r>
        <w:tab/>
      </w:r>
      <w:r>
        <w:fldChar w:fldCharType="end"/>
      </w:r>
      <w:r>
        <w:t>4</w:t>
      </w:r>
    </w:p>
    <w:p>
      <w:pPr>
        <w:tabs>
          <w:tab w:val="right" w:leader="dot" w:pos="8296"/>
        </w:tabs>
        <w:spacing w:line="276" w:lineRule="auto"/>
        <w:rPr>
          <w:rFonts w:eastAsiaTheme="minorEastAsia"/>
          <w:kern w:val="2"/>
          <w:sz w:val="21"/>
          <w:szCs w:val="22"/>
        </w:rPr>
      </w:pPr>
      <w:r>
        <w:fldChar w:fldCharType="begin"/>
      </w:r>
      <w:r>
        <w:instrText xml:space="preserve"> HYPERLINK \l "_Toc206775552" </w:instrText>
      </w:r>
      <w:r>
        <w:fldChar w:fldCharType="separate"/>
      </w:r>
      <w:r>
        <w:rPr>
          <w:rFonts w:eastAsia="黑体"/>
        </w:rPr>
        <w:t>4 Control Index</w:t>
      </w:r>
      <w:r>
        <w:tab/>
      </w:r>
      <w:r>
        <w:fldChar w:fldCharType="end"/>
      </w:r>
      <w:r>
        <w:t>7</w:t>
      </w:r>
    </w:p>
    <w:p>
      <w:pPr>
        <w:tabs>
          <w:tab w:val="right" w:leader="dot" w:pos="8296"/>
        </w:tabs>
        <w:spacing w:line="276" w:lineRule="auto"/>
        <w:ind w:left="480" w:leftChars="200"/>
        <w:rPr>
          <w:rFonts w:eastAsiaTheme="minorEastAsia"/>
          <w:kern w:val="2"/>
          <w:sz w:val="21"/>
          <w:szCs w:val="22"/>
        </w:rPr>
      </w:pPr>
      <w:r>
        <w:fldChar w:fldCharType="begin"/>
      </w:r>
      <w:r>
        <w:instrText xml:space="preserve"> HYPERLINK \l "_Toc206775553" </w:instrText>
      </w:r>
      <w:r>
        <w:fldChar w:fldCharType="separate"/>
      </w:r>
      <w:r>
        <w:rPr>
          <w:rFonts w:eastAsia="黑体"/>
        </w:rPr>
        <w:t>4.1</w:t>
      </w:r>
      <w:r>
        <w:t xml:space="preserve"> </w:t>
      </w:r>
      <w:r>
        <w:rPr>
          <w:rFonts w:eastAsia="黑体"/>
        </w:rPr>
        <w:t>Indoor Environment Parameters</w:t>
      </w:r>
      <w:r>
        <w:tab/>
      </w:r>
      <w:r>
        <w:t>7</w:t>
      </w:r>
      <w:r>
        <w:fldChar w:fldCharType="end"/>
      </w:r>
    </w:p>
    <w:p>
      <w:pPr>
        <w:tabs>
          <w:tab w:val="right" w:leader="dot" w:pos="8296"/>
        </w:tabs>
        <w:spacing w:line="276" w:lineRule="auto"/>
        <w:ind w:left="480" w:leftChars="200"/>
        <w:rPr>
          <w:rFonts w:eastAsiaTheme="minorEastAsia"/>
          <w:kern w:val="2"/>
          <w:sz w:val="21"/>
          <w:szCs w:val="22"/>
        </w:rPr>
      </w:pPr>
      <w:r>
        <w:fldChar w:fldCharType="begin"/>
      </w:r>
      <w:r>
        <w:instrText xml:space="preserve"> HYPERLINK \l "_Toc206775554" </w:instrText>
      </w:r>
      <w:r>
        <w:fldChar w:fldCharType="separate"/>
      </w:r>
      <w:r>
        <w:rPr>
          <w:rFonts w:eastAsia="黑体"/>
        </w:rPr>
        <w:t>4.2</w:t>
      </w:r>
      <w:r>
        <w:t xml:space="preserve"> </w:t>
      </w:r>
      <w:r>
        <w:rPr>
          <w:rFonts w:eastAsia="黑体"/>
        </w:rPr>
        <w:t>Carbon Emission Index</w:t>
      </w:r>
      <w:r>
        <w:tab/>
      </w:r>
      <w:r>
        <w:t>7</w:t>
      </w:r>
      <w:r>
        <w:fldChar w:fldCharType="end"/>
      </w:r>
    </w:p>
    <w:p>
      <w:pPr>
        <w:tabs>
          <w:tab w:val="right" w:leader="dot" w:pos="8296"/>
        </w:tabs>
        <w:spacing w:line="276" w:lineRule="auto"/>
        <w:ind w:left="480" w:leftChars="200"/>
        <w:rPr>
          <w:rFonts w:eastAsiaTheme="minorEastAsia"/>
          <w:kern w:val="2"/>
          <w:sz w:val="21"/>
          <w:szCs w:val="22"/>
        </w:rPr>
      </w:pPr>
      <w:r>
        <w:fldChar w:fldCharType="begin"/>
      </w:r>
      <w:r>
        <w:instrText xml:space="preserve"> HYPERLINK \l "_Toc206775555" </w:instrText>
      </w:r>
      <w:r>
        <w:fldChar w:fldCharType="separate"/>
      </w:r>
      <w:r>
        <w:rPr>
          <w:rFonts w:eastAsia="黑体"/>
        </w:rPr>
        <w:t>4.3 Green Electricity and Carbon Emission Trading</w:t>
      </w:r>
      <w:r>
        <w:tab/>
      </w:r>
      <w:r>
        <w:fldChar w:fldCharType="begin"/>
      </w:r>
      <w:r>
        <w:instrText xml:space="preserve"> PAGEREF _Toc206775555 \h </w:instrText>
      </w:r>
      <w:r>
        <w:fldChar w:fldCharType="separate"/>
      </w:r>
      <w:r>
        <w:t>12</w:t>
      </w:r>
      <w:r>
        <w:fldChar w:fldCharType="end"/>
      </w:r>
      <w:r>
        <w:fldChar w:fldCharType="end"/>
      </w:r>
    </w:p>
    <w:p>
      <w:pPr>
        <w:tabs>
          <w:tab w:val="right" w:leader="dot" w:pos="8296"/>
        </w:tabs>
        <w:spacing w:line="276" w:lineRule="auto"/>
        <w:rPr>
          <w:rFonts w:eastAsiaTheme="minorEastAsia"/>
          <w:kern w:val="2"/>
          <w:sz w:val="21"/>
          <w:szCs w:val="22"/>
        </w:rPr>
      </w:pPr>
      <w:r>
        <w:fldChar w:fldCharType="begin"/>
      </w:r>
      <w:r>
        <w:instrText xml:space="preserve"> HYPERLINK \l "_Toc206775556" </w:instrText>
      </w:r>
      <w:r>
        <w:fldChar w:fldCharType="separate"/>
      </w:r>
      <w:r>
        <w:rPr>
          <w:rFonts w:eastAsia="黑体"/>
        </w:rPr>
        <w:t>5 Low-carbon Design</w:t>
      </w:r>
      <w:r>
        <w:tab/>
      </w:r>
      <w:r>
        <w:fldChar w:fldCharType="begin"/>
      </w:r>
      <w:r>
        <w:instrText xml:space="preserve"> PAGEREF _Toc206775556 \h </w:instrText>
      </w:r>
      <w:r>
        <w:fldChar w:fldCharType="separate"/>
      </w:r>
      <w:r>
        <w:t>1</w:t>
      </w:r>
      <w:r>
        <w:fldChar w:fldCharType="end"/>
      </w:r>
      <w:r>
        <w:fldChar w:fldCharType="end"/>
      </w:r>
      <w:r>
        <w:t>5</w:t>
      </w:r>
    </w:p>
    <w:p>
      <w:pPr>
        <w:tabs>
          <w:tab w:val="right" w:leader="dot" w:pos="8296"/>
        </w:tabs>
        <w:spacing w:line="276" w:lineRule="auto"/>
        <w:ind w:left="480" w:leftChars="200"/>
        <w:rPr>
          <w:rFonts w:eastAsiaTheme="minorEastAsia"/>
          <w:kern w:val="2"/>
          <w:sz w:val="21"/>
          <w:szCs w:val="22"/>
        </w:rPr>
      </w:pPr>
      <w:r>
        <w:fldChar w:fldCharType="begin"/>
      </w:r>
      <w:r>
        <w:instrText xml:space="preserve"> HYPERLINK \l "_Toc206775557" </w:instrText>
      </w:r>
      <w:r>
        <w:fldChar w:fldCharType="separate"/>
      </w:r>
      <w:r>
        <w:rPr>
          <w:rFonts w:eastAsia="黑体"/>
        </w:rPr>
        <w:t>5.1</w:t>
      </w:r>
      <w:r>
        <w:t xml:space="preserve"> </w:t>
      </w:r>
      <w:r>
        <w:rPr>
          <w:rFonts w:eastAsia="黑体"/>
        </w:rPr>
        <w:t>Newly Constructed, Extended and Renovated Railway Stations</w:t>
      </w:r>
      <w:r>
        <w:tab/>
      </w:r>
      <w:r>
        <w:fldChar w:fldCharType="begin"/>
      </w:r>
      <w:r>
        <w:instrText xml:space="preserve"> PAGEREF _Toc206775557 \h </w:instrText>
      </w:r>
      <w:r>
        <w:fldChar w:fldCharType="separate"/>
      </w:r>
      <w:r>
        <w:t>1</w:t>
      </w:r>
      <w:r>
        <w:fldChar w:fldCharType="end"/>
      </w:r>
      <w:r>
        <w:fldChar w:fldCharType="end"/>
      </w:r>
      <w:r>
        <w:t>5</w:t>
      </w:r>
    </w:p>
    <w:p>
      <w:pPr>
        <w:tabs>
          <w:tab w:val="right" w:leader="dot" w:pos="8296"/>
        </w:tabs>
        <w:spacing w:line="276" w:lineRule="auto"/>
        <w:ind w:left="480" w:leftChars="200"/>
        <w:rPr>
          <w:rFonts w:eastAsiaTheme="minorEastAsia"/>
          <w:kern w:val="2"/>
          <w:sz w:val="21"/>
          <w:szCs w:val="22"/>
        </w:rPr>
      </w:pPr>
      <w:r>
        <w:fldChar w:fldCharType="begin"/>
      </w:r>
      <w:r>
        <w:instrText xml:space="preserve"> HYPERLINK \l "_Toc206775558" </w:instrText>
      </w:r>
      <w:r>
        <w:fldChar w:fldCharType="separate"/>
      </w:r>
      <w:r>
        <w:rPr>
          <w:rFonts w:eastAsia="黑体"/>
        </w:rPr>
        <w:t>5.2</w:t>
      </w:r>
      <w:r>
        <w:t xml:space="preserve"> </w:t>
      </w:r>
      <w:r>
        <w:rPr>
          <w:rFonts w:eastAsia="黑体"/>
        </w:rPr>
        <w:t>Carbon Reduction Reconstruction of Existing Railway Stations</w:t>
      </w:r>
      <w:r>
        <w:tab/>
      </w:r>
      <w:r>
        <w:fldChar w:fldCharType="begin"/>
      </w:r>
      <w:r>
        <w:instrText xml:space="preserve"> PAGEREF _Toc206775558 \h </w:instrText>
      </w:r>
      <w:r>
        <w:fldChar w:fldCharType="separate"/>
      </w:r>
      <w:r>
        <w:t>20</w:t>
      </w:r>
      <w:r>
        <w:fldChar w:fldCharType="end"/>
      </w:r>
      <w:r>
        <w:fldChar w:fldCharType="end"/>
      </w:r>
    </w:p>
    <w:p>
      <w:pPr>
        <w:tabs>
          <w:tab w:val="right" w:leader="dot" w:pos="8296"/>
        </w:tabs>
        <w:spacing w:line="276" w:lineRule="auto"/>
        <w:rPr>
          <w:rFonts w:eastAsiaTheme="minorEastAsia"/>
          <w:kern w:val="2"/>
          <w:sz w:val="21"/>
          <w:szCs w:val="22"/>
        </w:rPr>
      </w:pPr>
      <w:r>
        <w:fldChar w:fldCharType="begin"/>
      </w:r>
      <w:r>
        <w:instrText xml:space="preserve"> HYPERLINK \l "_Toc206775559" </w:instrText>
      </w:r>
      <w:r>
        <w:fldChar w:fldCharType="separate"/>
      </w:r>
      <w:r>
        <w:rPr>
          <w:rFonts w:eastAsia="黑体"/>
        </w:rPr>
        <w:t>6 Low-carbon Construction and Operation</w:t>
      </w:r>
      <w:r>
        <w:tab/>
      </w:r>
      <w:r>
        <w:t>2</w:t>
      </w:r>
      <w:r>
        <w:fldChar w:fldCharType="end"/>
      </w:r>
      <w:r>
        <w:t>4</w:t>
      </w:r>
    </w:p>
    <w:p>
      <w:pPr>
        <w:tabs>
          <w:tab w:val="right" w:leader="dot" w:pos="8296"/>
        </w:tabs>
        <w:spacing w:line="276" w:lineRule="auto"/>
        <w:ind w:left="480" w:leftChars="200"/>
        <w:rPr>
          <w:rFonts w:eastAsiaTheme="minorEastAsia"/>
          <w:kern w:val="2"/>
          <w:sz w:val="21"/>
          <w:szCs w:val="22"/>
        </w:rPr>
      </w:pPr>
      <w:r>
        <w:fldChar w:fldCharType="begin"/>
      </w:r>
      <w:r>
        <w:instrText xml:space="preserve"> HYPERLINK \l "_Toc206775560" </w:instrText>
      </w:r>
      <w:r>
        <w:fldChar w:fldCharType="separate"/>
      </w:r>
      <w:r>
        <w:rPr>
          <w:rFonts w:eastAsia="黑体"/>
        </w:rPr>
        <w:t>6.1</w:t>
      </w:r>
      <w:r>
        <w:t xml:space="preserve"> </w:t>
      </w:r>
      <w:r>
        <w:rPr>
          <w:rFonts w:eastAsia="黑体"/>
        </w:rPr>
        <w:t>Low-carbon Construction</w:t>
      </w:r>
      <w:r>
        <w:tab/>
      </w:r>
      <w:r>
        <w:t>2</w:t>
      </w:r>
      <w:r>
        <w:fldChar w:fldCharType="end"/>
      </w:r>
      <w:r>
        <w:t>4</w:t>
      </w:r>
    </w:p>
    <w:p>
      <w:pPr>
        <w:tabs>
          <w:tab w:val="right" w:leader="dot" w:pos="8296"/>
        </w:tabs>
        <w:spacing w:line="276" w:lineRule="auto"/>
        <w:ind w:left="480" w:leftChars="200"/>
        <w:rPr>
          <w:rFonts w:eastAsiaTheme="minorEastAsia"/>
          <w:kern w:val="2"/>
          <w:sz w:val="21"/>
          <w:szCs w:val="22"/>
        </w:rPr>
      </w:pPr>
      <w:r>
        <w:fldChar w:fldCharType="begin"/>
      </w:r>
      <w:r>
        <w:instrText xml:space="preserve"> HYPERLINK \l "_Toc206775561" </w:instrText>
      </w:r>
      <w:r>
        <w:fldChar w:fldCharType="separate"/>
      </w:r>
      <w:r>
        <w:rPr>
          <w:rFonts w:eastAsia="黑体"/>
        </w:rPr>
        <w:t>6.2</w:t>
      </w:r>
      <w:r>
        <w:t xml:space="preserve"> </w:t>
      </w:r>
      <w:r>
        <w:rPr>
          <w:rFonts w:eastAsia="黑体"/>
        </w:rPr>
        <w:t>Low-carbon Operation</w:t>
      </w:r>
      <w:r>
        <w:tab/>
      </w:r>
      <w:r>
        <w:t>2</w:t>
      </w:r>
      <w:r>
        <w:fldChar w:fldCharType="end"/>
      </w:r>
      <w:r>
        <w:t>6</w:t>
      </w:r>
    </w:p>
    <w:p>
      <w:pPr>
        <w:tabs>
          <w:tab w:val="right" w:leader="dot" w:pos="8296"/>
        </w:tabs>
        <w:spacing w:line="276" w:lineRule="auto"/>
        <w:rPr>
          <w:rFonts w:eastAsiaTheme="minorEastAsia"/>
          <w:kern w:val="2"/>
          <w:sz w:val="21"/>
          <w:szCs w:val="22"/>
        </w:rPr>
      </w:pPr>
      <w:r>
        <w:fldChar w:fldCharType="begin"/>
      </w:r>
      <w:r>
        <w:instrText xml:space="preserve"> HYPERLINK \l "_Toc206775563" </w:instrText>
      </w:r>
      <w:r>
        <w:fldChar w:fldCharType="separate"/>
      </w:r>
      <w:r>
        <w:rPr>
          <w:rFonts w:eastAsia="黑体"/>
        </w:rPr>
        <w:t>7 Carbon Emission Calculation and Accounting</w:t>
      </w:r>
      <w:r>
        <w:tab/>
      </w:r>
      <w:r>
        <w:t>29</w:t>
      </w:r>
      <w:r>
        <w:fldChar w:fldCharType="end"/>
      </w:r>
    </w:p>
    <w:p>
      <w:pPr>
        <w:tabs>
          <w:tab w:val="right" w:leader="dot" w:pos="8296"/>
        </w:tabs>
        <w:spacing w:line="276" w:lineRule="auto"/>
        <w:rPr>
          <w:rFonts w:eastAsiaTheme="minorEastAsia"/>
          <w:kern w:val="2"/>
          <w:sz w:val="21"/>
          <w:szCs w:val="22"/>
        </w:rPr>
      </w:pPr>
      <w:r>
        <w:fldChar w:fldCharType="begin"/>
      </w:r>
      <w:r>
        <w:instrText xml:space="preserve"> HYPERLINK \l "_Toc206775567" </w:instrText>
      </w:r>
      <w:r>
        <w:fldChar w:fldCharType="separate"/>
      </w:r>
      <w:r>
        <w:rPr>
          <w:rFonts w:eastAsia="黑体"/>
          <w:kern w:val="44"/>
        </w:rPr>
        <w:t>Appendix A</w:t>
      </w:r>
      <w:r>
        <w:t xml:space="preserve"> </w:t>
      </w:r>
      <w:r>
        <w:rPr>
          <w:rFonts w:eastAsia="黑体"/>
          <w:kern w:val="44"/>
        </w:rPr>
        <w:t>Submitted Materials for Evaluation</w:t>
      </w:r>
      <w:r>
        <w:tab/>
      </w:r>
      <w:r>
        <w:t>3</w:t>
      </w:r>
      <w:r>
        <w:fldChar w:fldCharType="end"/>
      </w:r>
      <w:r>
        <w:t>1</w:t>
      </w:r>
    </w:p>
    <w:p>
      <w:pPr>
        <w:tabs>
          <w:tab w:val="right" w:leader="dot" w:pos="8296"/>
        </w:tabs>
        <w:spacing w:line="276" w:lineRule="auto"/>
        <w:rPr>
          <w:rFonts w:eastAsiaTheme="minorEastAsia"/>
          <w:kern w:val="2"/>
          <w:sz w:val="21"/>
          <w:szCs w:val="22"/>
        </w:rPr>
      </w:pPr>
      <w:r>
        <w:fldChar w:fldCharType="begin"/>
      </w:r>
      <w:r>
        <w:instrText xml:space="preserve"> HYPERLINK \l "_Toc206775569" </w:instrText>
      </w:r>
      <w:r>
        <w:fldChar w:fldCharType="separate"/>
      </w:r>
      <w:r>
        <w:rPr>
          <w:rFonts w:eastAsia="黑体"/>
          <w:kern w:val="44"/>
        </w:rPr>
        <w:t>Explanation of Wording</w:t>
      </w:r>
      <w:r>
        <w:tab/>
      </w:r>
      <w:r>
        <w:t>33</w:t>
      </w:r>
      <w:r>
        <w:fldChar w:fldCharType="end"/>
      </w:r>
    </w:p>
    <w:p>
      <w:pPr>
        <w:tabs>
          <w:tab w:val="right" w:leader="dot" w:pos="8296"/>
        </w:tabs>
        <w:spacing w:line="276" w:lineRule="auto"/>
        <w:rPr>
          <w:rFonts w:eastAsiaTheme="minorEastAsia"/>
          <w:kern w:val="2"/>
          <w:sz w:val="21"/>
          <w:szCs w:val="22"/>
        </w:rPr>
      </w:pPr>
      <w:r>
        <w:fldChar w:fldCharType="begin"/>
      </w:r>
      <w:r>
        <w:instrText xml:space="preserve"> HYPERLINK \l "_Toc206775570" </w:instrText>
      </w:r>
      <w:r>
        <w:fldChar w:fldCharType="separate"/>
      </w:r>
      <w:r>
        <w:rPr>
          <w:rFonts w:eastAsia="黑体"/>
          <w:kern w:val="44"/>
        </w:rPr>
        <w:t>List of Quoted Standards</w:t>
      </w:r>
      <w:r>
        <w:tab/>
      </w:r>
      <w:r>
        <w:t>34</w:t>
      </w:r>
      <w:r>
        <w:fldChar w:fldCharType="end"/>
      </w:r>
    </w:p>
    <w:p>
      <w:pPr>
        <w:autoSpaceDE w:val="0"/>
        <w:autoSpaceDN w:val="0"/>
        <w:adjustRightInd w:val="0"/>
        <w:spacing w:after="240"/>
      </w:pPr>
      <w:r>
        <w:fldChar w:fldCharType="end"/>
      </w:r>
    </w:p>
    <w:p>
      <w:pPr>
        <w:widowControl/>
        <w:jc w:val="left"/>
      </w:pPr>
    </w:p>
    <w:p>
      <w:pPr>
        <w:widowControl/>
        <w:jc w:val="left"/>
        <w:rPr>
          <w:rFonts w:eastAsia="仿宋_GB2312"/>
          <w:b/>
          <w:bCs/>
        </w:rPr>
      </w:pPr>
    </w:p>
    <w:p>
      <w:pPr>
        <w:spacing w:line="360" w:lineRule="auto"/>
        <w:ind w:firstLine="241" w:firstLineChars="100"/>
        <w:rPr>
          <w:rFonts w:eastAsia="仿宋_GB2312"/>
          <w:b/>
          <w:bCs/>
        </w:rPr>
        <w:sectPr>
          <w:footerReference r:id="rId10" w:type="default"/>
          <w:pgSz w:w="11906" w:h="16838"/>
          <w:pgMar w:top="1440" w:right="1800" w:bottom="1440" w:left="1800" w:header="851" w:footer="992" w:gutter="0"/>
          <w:pgNumType w:start="1"/>
          <w:cols w:space="425" w:num="1"/>
          <w:docGrid w:type="lines" w:linePitch="312" w:charSpace="0"/>
        </w:sectPr>
      </w:pPr>
    </w:p>
    <w:p>
      <w:pPr>
        <w:spacing w:after="240"/>
        <w:jc w:val="center"/>
        <w:outlineLvl w:val="0"/>
        <w:rPr>
          <w:rFonts w:eastAsia="黑体"/>
          <w:bCs/>
          <w:sz w:val="36"/>
          <w:szCs w:val="32"/>
        </w:rPr>
      </w:pPr>
      <w:bookmarkStart w:id="47" w:name="_Toc215047923"/>
      <w:r>
        <w:rPr>
          <w:rFonts w:eastAsia="黑体"/>
          <w:bCs/>
          <w:sz w:val="36"/>
          <w:szCs w:val="32"/>
        </w:rPr>
        <w:t>1 总则</w:t>
      </w:r>
      <w:bookmarkEnd w:id="44"/>
      <w:bookmarkEnd w:id="45"/>
      <w:bookmarkEnd w:id="46"/>
      <w:bookmarkEnd w:id="47"/>
    </w:p>
    <w:p>
      <w:pPr>
        <w:widowControl/>
        <w:shd w:val="clear" w:color="auto" w:fill="FFFFFF"/>
        <w:spacing w:before="100" w:beforeAutospacing="1" w:after="100" w:afterAutospacing="1" w:line="360" w:lineRule="auto"/>
        <w:jc w:val="left"/>
        <w:rPr>
          <w:kern w:val="2"/>
          <w:szCs w:val="24"/>
        </w:rPr>
      </w:pPr>
      <w:r>
        <w:rPr>
          <w:b/>
          <w:bCs/>
          <w:kern w:val="2"/>
          <w:szCs w:val="24"/>
        </w:rPr>
        <w:t xml:space="preserve">1.0.1 </w:t>
      </w:r>
      <w:r>
        <w:rPr>
          <w:kern w:val="2"/>
          <w:szCs w:val="24"/>
        </w:rPr>
        <w:t>为引导铁路客站逐步实现低碳、近零碳、零碳排放，规范零碳铁路客站评价，制定本标准。</w:t>
      </w:r>
    </w:p>
    <w:p>
      <w:pPr>
        <w:pStyle w:val="68"/>
        <w:rPr>
          <w:rFonts w:ascii="Times New Roman" w:hAnsi="Times New Roman" w:cs="Times New Roman"/>
        </w:rPr>
      </w:pPr>
      <w:r>
        <w:rPr>
          <w:rFonts w:ascii="Times New Roman" w:hAnsi="Times New Roman" w:cs="Times New Roman"/>
        </w:rPr>
        <w:t>【条文说明】</w:t>
      </w:r>
    </w:p>
    <w:p>
      <w:pPr>
        <w:pStyle w:val="68"/>
        <w:rPr>
          <w:rFonts w:ascii="Times New Roman" w:hAnsi="Times New Roman" w:cs="Times New Roman"/>
        </w:rPr>
      </w:pPr>
      <w:r>
        <w:rPr>
          <w:rFonts w:ascii="Times New Roman" w:hAnsi="Times New Roman" w:cs="Times New Roman"/>
        </w:rPr>
        <w:t>近些年，随着中国经济的快速发展和城镇化速度加快，铁路进入了高速发展时期，特别是高速铁路在过去十余年得到了快速发展。作为铁路运输的交通节点，铁路客站因公共空间大、人流密集、建筑能耗及碳排放量大，贯彻低碳、零碳建筑理念尤为重要，铁路客站的低碳设计、施工和运维直接关系到铁路客站的发展方向。“碳达峰、碳中和”是我国未来最为重要的发展战略之一，建筑行业是能耗大户，铁路客站在双碳背景下实现绿色低碳的高质量发展，对推动铁路系统的绿色发展、减少碳排放将起到积极作用。因此，铁路客站率先实现零碳化，树立发展标杆，对于铁路行业落实“双碳”战略、实现高质量发展具有重要的意义。</w:t>
      </w:r>
    </w:p>
    <w:p>
      <w:pPr>
        <w:pStyle w:val="68"/>
        <w:ind w:firstLine="476"/>
        <w:rPr>
          <w:rFonts w:ascii="Times New Roman" w:hAnsi="Times New Roman" w:cs="Times New Roman"/>
        </w:rPr>
      </w:pPr>
      <w:r>
        <w:rPr>
          <w:rFonts w:ascii="Times New Roman" w:hAnsi="Times New Roman" w:cs="Times New Roman"/>
          <w:spacing w:val="-2"/>
        </w:rPr>
        <w:t>本标准从设计、建造和运行全过程对零碳铁路客站的评价提出要求，为零碳</w:t>
      </w:r>
      <w:r>
        <w:rPr>
          <w:rFonts w:ascii="Times New Roman" w:hAnsi="Times New Roman" w:cs="Times New Roman"/>
          <w:szCs w:val="24"/>
        </w:rPr>
        <w:t>铁路客站</w:t>
      </w:r>
      <w:r>
        <w:rPr>
          <w:rFonts w:ascii="Times New Roman" w:hAnsi="Times New Roman" w:cs="Times New Roman"/>
          <w:spacing w:val="-2"/>
        </w:rPr>
        <w:t>的发展提供技术支撑。</w:t>
      </w:r>
    </w:p>
    <w:p>
      <w:pPr>
        <w:numPr>
          <w:ilvl w:val="255"/>
          <w:numId w:val="0"/>
        </w:numPr>
        <w:shd w:val="clear" w:color="auto" w:fill="FFFFFF"/>
        <w:spacing w:line="360" w:lineRule="auto"/>
        <w:rPr>
          <w:kern w:val="2"/>
          <w:szCs w:val="24"/>
        </w:rPr>
      </w:pPr>
      <w:r>
        <w:rPr>
          <w:b/>
          <w:bCs/>
          <w:kern w:val="2"/>
          <w:szCs w:val="24"/>
        </w:rPr>
        <w:t xml:space="preserve">1.0.2 </w:t>
      </w:r>
      <w:r>
        <w:rPr>
          <w:kern w:val="2"/>
          <w:szCs w:val="24"/>
        </w:rPr>
        <w:t>本标准适用于铁路客站的低碳、近零碳、零碳评价。</w:t>
      </w:r>
    </w:p>
    <w:p>
      <w:pPr>
        <w:pStyle w:val="68"/>
        <w:rPr>
          <w:rFonts w:ascii="Times New Roman" w:hAnsi="Times New Roman" w:cs="Times New Roman"/>
        </w:rPr>
      </w:pPr>
      <w:r>
        <w:rPr>
          <w:rFonts w:ascii="Times New Roman" w:hAnsi="Times New Roman" w:cs="Times New Roman"/>
        </w:rPr>
        <w:t>【条文说明】</w:t>
      </w:r>
    </w:p>
    <w:p>
      <w:pPr>
        <w:pStyle w:val="68"/>
        <w:ind w:firstLine="482"/>
        <w:rPr>
          <w:rFonts w:ascii="Times New Roman" w:hAnsi="Times New Roman" w:cs="Times New Roman"/>
        </w:rPr>
      </w:pPr>
      <w:r>
        <w:rPr>
          <w:rFonts w:ascii="Times New Roman" w:hAnsi="Times New Roman" w:cs="Times New Roman"/>
          <w:spacing w:val="1"/>
        </w:rPr>
        <w:t>本标准适用于新建、扩建和改建的铁路客站以及既有铁路客站降碳改造工程的低碳、近零碳、零碳与全过程零碳达标性评价。除指标控制及特殊说明外，评</w:t>
      </w:r>
      <w:r>
        <w:rPr>
          <w:rFonts w:ascii="Times New Roman" w:hAnsi="Times New Roman" w:cs="Times New Roman"/>
        </w:rPr>
        <w:t>价相关条文均普遍适用于低碳</w:t>
      </w:r>
      <w:r>
        <w:rPr>
          <w:rFonts w:ascii="Times New Roman" w:hAnsi="Times New Roman" w:cs="Times New Roman"/>
          <w:szCs w:val="24"/>
        </w:rPr>
        <w:t>铁路客站</w:t>
      </w:r>
      <w:r>
        <w:rPr>
          <w:rFonts w:ascii="Times New Roman" w:hAnsi="Times New Roman" w:cs="Times New Roman"/>
        </w:rPr>
        <w:t>、近零碳</w:t>
      </w:r>
      <w:r>
        <w:rPr>
          <w:rFonts w:ascii="Times New Roman" w:hAnsi="Times New Roman" w:cs="Times New Roman"/>
          <w:szCs w:val="24"/>
        </w:rPr>
        <w:t>铁路客站</w:t>
      </w:r>
      <w:r>
        <w:rPr>
          <w:rFonts w:ascii="Times New Roman" w:hAnsi="Times New Roman" w:cs="Times New Roman"/>
        </w:rPr>
        <w:t>、零碳</w:t>
      </w:r>
      <w:r>
        <w:rPr>
          <w:rFonts w:ascii="Times New Roman" w:hAnsi="Times New Roman" w:cs="Times New Roman"/>
          <w:szCs w:val="24"/>
        </w:rPr>
        <w:t>铁路客站</w:t>
      </w:r>
      <w:r>
        <w:rPr>
          <w:rFonts w:ascii="Times New Roman" w:hAnsi="Times New Roman" w:cs="Times New Roman"/>
        </w:rPr>
        <w:t>、全过程零碳</w:t>
      </w:r>
      <w:r>
        <w:rPr>
          <w:rFonts w:ascii="Times New Roman" w:hAnsi="Times New Roman" w:cs="Times New Roman"/>
          <w:szCs w:val="24"/>
        </w:rPr>
        <w:t>铁路客站</w:t>
      </w:r>
      <w:r>
        <w:rPr>
          <w:rFonts w:ascii="Times New Roman" w:hAnsi="Times New Roman" w:cs="Times New Roman"/>
        </w:rPr>
        <w:t>。</w:t>
      </w:r>
      <w:r>
        <w:rPr>
          <w:rFonts w:ascii="Times New Roman" w:hAnsi="Times New Roman" w:cs="Times New Roman"/>
          <w:spacing w:val="1"/>
        </w:rPr>
        <w:t>为简化表达，在通用条文中，将“低碳</w:t>
      </w:r>
      <w:r>
        <w:rPr>
          <w:rFonts w:ascii="Times New Roman" w:hAnsi="Times New Roman" w:cs="Times New Roman"/>
          <w:szCs w:val="24"/>
        </w:rPr>
        <w:t>铁路客站</w:t>
      </w:r>
      <w:r>
        <w:rPr>
          <w:rFonts w:ascii="Times New Roman" w:hAnsi="Times New Roman" w:cs="Times New Roman"/>
          <w:spacing w:val="1"/>
        </w:rPr>
        <w:t>、近零碳</w:t>
      </w:r>
      <w:r>
        <w:rPr>
          <w:rFonts w:ascii="Times New Roman" w:hAnsi="Times New Roman" w:cs="Times New Roman"/>
          <w:szCs w:val="24"/>
        </w:rPr>
        <w:t>铁路客站</w:t>
      </w:r>
      <w:r>
        <w:rPr>
          <w:rFonts w:ascii="Times New Roman" w:hAnsi="Times New Roman" w:cs="Times New Roman"/>
          <w:spacing w:val="1"/>
        </w:rPr>
        <w:t>、零碳</w:t>
      </w:r>
      <w:r>
        <w:rPr>
          <w:rFonts w:ascii="Times New Roman" w:hAnsi="Times New Roman" w:cs="Times New Roman"/>
          <w:szCs w:val="24"/>
        </w:rPr>
        <w:t>铁路客站</w:t>
      </w:r>
      <w:r>
        <w:rPr>
          <w:rFonts w:ascii="Times New Roman" w:hAnsi="Times New Roman" w:cs="Times New Roman"/>
          <w:spacing w:val="1"/>
        </w:rPr>
        <w:t>评价”合</w:t>
      </w:r>
      <w:r>
        <w:rPr>
          <w:rFonts w:ascii="Times New Roman" w:hAnsi="Times New Roman" w:cs="Times New Roman"/>
          <w:spacing w:val="-10"/>
        </w:rPr>
        <w:t>并表达为“零碳</w:t>
      </w:r>
      <w:r>
        <w:rPr>
          <w:rFonts w:ascii="Times New Roman" w:hAnsi="Times New Roman" w:cs="Times New Roman"/>
          <w:szCs w:val="24"/>
        </w:rPr>
        <w:t>铁路客站</w:t>
      </w:r>
      <w:r>
        <w:rPr>
          <w:rFonts w:ascii="Times New Roman" w:hAnsi="Times New Roman" w:cs="Times New Roman"/>
          <w:spacing w:val="-10"/>
        </w:rPr>
        <w:t>评价”。</w:t>
      </w:r>
    </w:p>
    <w:p>
      <w:pPr>
        <w:widowControl/>
        <w:shd w:val="clear" w:color="auto" w:fill="FFFFFF"/>
        <w:spacing w:before="100" w:beforeAutospacing="1" w:after="100" w:afterAutospacing="1" w:line="360" w:lineRule="auto"/>
        <w:jc w:val="left"/>
        <w:rPr>
          <w:kern w:val="2"/>
          <w:szCs w:val="24"/>
        </w:rPr>
      </w:pPr>
      <w:r>
        <w:rPr>
          <w:b/>
          <w:bCs/>
          <w:kern w:val="2"/>
          <w:szCs w:val="24"/>
        </w:rPr>
        <w:t xml:space="preserve">1.0.3 </w:t>
      </w:r>
      <w:r>
        <w:t>低碳</w:t>
      </w:r>
      <w:r>
        <w:rPr>
          <w:kern w:val="2"/>
          <w:szCs w:val="24"/>
        </w:rPr>
        <w:t>铁路客站</w:t>
      </w:r>
      <w:r>
        <w:t>、近零碳</w:t>
      </w:r>
      <w:r>
        <w:rPr>
          <w:kern w:val="2"/>
          <w:szCs w:val="24"/>
        </w:rPr>
        <w:t>铁路客站</w:t>
      </w:r>
      <w:r>
        <w:t>、零碳</w:t>
      </w:r>
      <w:r>
        <w:rPr>
          <w:kern w:val="2"/>
          <w:szCs w:val="24"/>
        </w:rPr>
        <w:t>铁路客站与全过程零碳铁路客站</w:t>
      </w:r>
      <w:r>
        <w:t>的评价除应符合本标准以外，</w:t>
      </w:r>
      <w:bookmarkStart w:id="48" w:name="_Hlk214806203"/>
      <w:r>
        <w:t>尚应符合国家及行业现行有关标准和现行中国工程建设标准化协会有关标准的规定。</w:t>
      </w:r>
      <w:bookmarkEnd w:id="48"/>
    </w:p>
    <w:p>
      <w:pPr>
        <w:spacing w:line="360" w:lineRule="auto"/>
        <w:ind w:firstLine="480" w:firstLineChars="200"/>
      </w:pPr>
    </w:p>
    <w:p>
      <w:pPr>
        <w:widowControl/>
        <w:jc w:val="left"/>
      </w:pPr>
      <w:r>
        <w:br w:type="page"/>
      </w:r>
    </w:p>
    <w:p>
      <w:pPr>
        <w:spacing w:after="240"/>
        <w:jc w:val="center"/>
        <w:outlineLvl w:val="0"/>
        <w:rPr>
          <w:rFonts w:eastAsia="黑体"/>
          <w:bCs/>
          <w:sz w:val="36"/>
          <w:szCs w:val="32"/>
        </w:rPr>
      </w:pPr>
      <w:bookmarkStart w:id="49" w:name="_Toc153218007"/>
      <w:bookmarkStart w:id="50" w:name="_Toc74137290"/>
      <w:bookmarkStart w:id="51" w:name="_Toc215047924"/>
      <w:bookmarkStart w:id="52" w:name="_Toc153217957"/>
      <w:r>
        <w:rPr>
          <w:rFonts w:eastAsia="黑体"/>
          <w:bCs/>
          <w:sz w:val="36"/>
          <w:szCs w:val="32"/>
        </w:rPr>
        <w:t>2 术语</w:t>
      </w:r>
      <w:bookmarkEnd w:id="49"/>
      <w:bookmarkEnd w:id="50"/>
      <w:bookmarkEnd w:id="51"/>
      <w:bookmarkEnd w:id="52"/>
    </w:p>
    <w:p>
      <w:pPr>
        <w:widowControl/>
        <w:shd w:val="clear" w:color="auto" w:fill="FFFFFF"/>
        <w:spacing w:before="100" w:beforeAutospacing="1" w:after="100" w:afterAutospacing="1" w:line="360" w:lineRule="auto"/>
        <w:jc w:val="left"/>
        <w:rPr>
          <w:kern w:val="2"/>
          <w:szCs w:val="24"/>
        </w:rPr>
      </w:pPr>
      <w:bookmarkStart w:id="53" w:name="_Toc153217958"/>
      <w:bookmarkStart w:id="54" w:name="_Toc74137291"/>
      <w:bookmarkStart w:id="55" w:name="_Toc153218008"/>
      <w:r>
        <w:rPr>
          <w:b/>
          <w:bCs/>
          <w:kern w:val="2"/>
          <w:szCs w:val="24"/>
        </w:rPr>
        <w:t xml:space="preserve">2.0.1 </w:t>
      </w:r>
      <w:r>
        <w:rPr>
          <w:kern w:val="2"/>
          <w:szCs w:val="24"/>
        </w:rPr>
        <w:t>低碳</w:t>
      </w:r>
      <w:r>
        <w:rPr>
          <w:szCs w:val="24"/>
        </w:rPr>
        <w:t>铁路客站</w:t>
      </w:r>
      <w:r>
        <w:rPr>
          <w:kern w:val="2"/>
          <w:szCs w:val="24"/>
        </w:rPr>
        <w:t xml:space="preserve"> low carbon railway station</w:t>
      </w:r>
    </w:p>
    <w:p>
      <w:pPr>
        <w:widowControl/>
        <w:shd w:val="clear" w:color="auto" w:fill="FFFFFF"/>
        <w:spacing w:before="100" w:beforeAutospacing="1" w:after="100" w:afterAutospacing="1" w:line="360" w:lineRule="auto"/>
        <w:ind w:firstLine="480" w:firstLineChars="200"/>
        <w:jc w:val="left"/>
        <w:rPr>
          <w:kern w:val="2"/>
          <w:szCs w:val="24"/>
        </w:rPr>
      </w:pPr>
      <w:r>
        <w:rPr>
          <w:kern w:val="2"/>
          <w:szCs w:val="24"/>
        </w:rPr>
        <w:t>适应气候特征与场地条件，在满足室内环境参数的基础上，通过优化设计降低</w:t>
      </w:r>
      <w:r>
        <w:rPr>
          <w:szCs w:val="24"/>
        </w:rPr>
        <w:t>铁路客站</w:t>
      </w:r>
      <w:r>
        <w:rPr>
          <w:kern w:val="2"/>
          <w:szCs w:val="24"/>
        </w:rPr>
        <w:t>用能需求，提高能源设备与系统效率，利用可再生能源资源，实现碳排放量较基准铁路客站显著下降的</w:t>
      </w:r>
      <w:r>
        <w:rPr>
          <w:szCs w:val="24"/>
        </w:rPr>
        <w:t>铁路客站</w:t>
      </w:r>
      <w:r>
        <w:rPr>
          <w:kern w:val="2"/>
          <w:szCs w:val="24"/>
        </w:rPr>
        <w:t>。</w:t>
      </w:r>
    </w:p>
    <w:p>
      <w:pPr>
        <w:widowControl/>
        <w:shd w:val="clear" w:color="auto" w:fill="FFFFFF"/>
        <w:spacing w:before="100" w:beforeAutospacing="1" w:after="100" w:afterAutospacing="1" w:line="360" w:lineRule="auto"/>
        <w:jc w:val="left"/>
        <w:rPr>
          <w:kern w:val="2"/>
          <w:szCs w:val="24"/>
        </w:rPr>
      </w:pPr>
      <w:r>
        <w:rPr>
          <w:b/>
          <w:bCs/>
          <w:kern w:val="2"/>
          <w:szCs w:val="24"/>
        </w:rPr>
        <w:t xml:space="preserve">2.0.2 </w:t>
      </w:r>
      <w:r>
        <w:rPr>
          <w:kern w:val="2"/>
          <w:szCs w:val="24"/>
        </w:rPr>
        <w:t>近零碳铁路客站 nearly zero carbon railway station</w:t>
      </w:r>
    </w:p>
    <w:p>
      <w:pPr>
        <w:widowControl/>
        <w:shd w:val="clear" w:color="auto" w:fill="FFFFFF"/>
        <w:spacing w:before="100" w:beforeAutospacing="1" w:after="100" w:afterAutospacing="1" w:line="360" w:lineRule="auto"/>
        <w:ind w:firstLine="420"/>
        <w:jc w:val="left"/>
        <w:rPr>
          <w:kern w:val="2"/>
          <w:szCs w:val="24"/>
        </w:rPr>
      </w:pPr>
      <w:r>
        <w:rPr>
          <w:kern w:val="2"/>
          <w:szCs w:val="24"/>
        </w:rPr>
        <w:t>在满足低碳铁路客站技术指标的基础上，进一步提升铁路客站本体降碳水平、利用可再生能源资源，实现碳排放量接近零的</w:t>
      </w:r>
      <w:r>
        <w:rPr>
          <w:szCs w:val="24"/>
        </w:rPr>
        <w:t>铁路客站</w:t>
      </w:r>
      <w:r>
        <w:rPr>
          <w:kern w:val="2"/>
          <w:szCs w:val="24"/>
        </w:rPr>
        <w:t>。</w:t>
      </w:r>
    </w:p>
    <w:p>
      <w:pPr>
        <w:widowControl/>
        <w:shd w:val="clear" w:color="auto" w:fill="FFFFFF"/>
        <w:spacing w:before="100" w:beforeAutospacing="1" w:after="100" w:afterAutospacing="1" w:line="360" w:lineRule="auto"/>
        <w:jc w:val="left"/>
        <w:rPr>
          <w:kern w:val="2"/>
          <w:szCs w:val="24"/>
        </w:rPr>
      </w:pPr>
      <w:r>
        <w:rPr>
          <w:b/>
          <w:bCs/>
          <w:kern w:val="2"/>
          <w:szCs w:val="24"/>
        </w:rPr>
        <w:t xml:space="preserve">2.0.3 </w:t>
      </w:r>
      <w:r>
        <w:rPr>
          <w:kern w:val="2"/>
          <w:szCs w:val="24"/>
        </w:rPr>
        <w:t>零碳铁路客站 zero carbon railway station</w:t>
      </w:r>
    </w:p>
    <w:p>
      <w:pPr>
        <w:widowControl/>
        <w:shd w:val="clear" w:color="auto" w:fill="FFFFFF"/>
        <w:spacing w:before="100" w:beforeAutospacing="1" w:after="100" w:afterAutospacing="1" w:line="360" w:lineRule="auto"/>
        <w:ind w:firstLine="420"/>
        <w:jc w:val="left"/>
        <w:rPr>
          <w:kern w:val="2"/>
          <w:szCs w:val="24"/>
        </w:rPr>
      </w:pPr>
      <w:r>
        <w:rPr>
          <w:kern w:val="2"/>
          <w:szCs w:val="24"/>
        </w:rPr>
        <w:t>在满足近零碳铁路客站技术指标的基础上，充分利用可再生能源资源和建筑蓄能，并结合绿色电力交易、绿色电力证书交易与碳排放权交易，实现净碳排放量不大于零的铁路客站。</w:t>
      </w:r>
    </w:p>
    <w:p>
      <w:pPr>
        <w:widowControl/>
        <w:shd w:val="clear" w:color="auto" w:fill="FFFFFF"/>
        <w:spacing w:before="100" w:beforeAutospacing="1" w:after="100" w:afterAutospacing="1" w:line="360" w:lineRule="auto"/>
        <w:jc w:val="left"/>
        <w:rPr>
          <w:b/>
          <w:bCs/>
          <w:kern w:val="2"/>
          <w:szCs w:val="24"/>
        </w:rPr>
      </w:pPr>
      <w:r>
        <w:rPr>
          <w:b/>
          <w:bCs/>
          <w:kern w:val="2"/>
          <w:szCs w:val="24"/>
        </w:rPr>
        <w:t xml:space="preserve">2.0.4 </w:t>
      </w:r>
      <w:r>
        <w:rPr>
          <w:kern w:val="2"/>
          <w:szCs w:val="24"/>
        </w:rPr>
        <w:t>全过程零碳铁路客站 whole process zero carbon railway station</w:t>
      </w:r>
    </w:p>
    <w:p>
      <w:pPr>
        <w:widowControl/>
        <w:shd w:val="clear" w:color="auto" w:fill="FFFFFF"/>
        <w:spacing w:before="100" w:beforeAutospacing="1" w:after="100" w:afterAutospacing="1" w:line="360" w:lineRule="auto"/>
        <w:ind w:firstLine="420"/>
        <w:jc w:val="left"/>
        <w:rPr>
          <w:kern w:val="2"/>
          <w:szCs w:val="24"/>
        </w:rPr>
      </w:pPr>
      <w:r>
        <w:rPr>
          <w:kern w:val="2"/>
          <w:szCs w:val="24"/>
        </w:rPr>
        <w:t>在满足零碳铁路客站技术指标的基础上，通过采用低碳建材、低碳结构形式和材料减量化设计，并结合绿色电力交易、绿色电力证书交易与碳排放权交易，实现包含建材生产及运输、建造及拆除和运行的全过程碳排放量不大于零的铁路客站。</w:t>
      </w:r>
    </w:p>
    <w:p>
      <w:pPr>
        <w:widowControl/>
        <w:shd w:val="clear" w:color="auto" w:fill="FFFFFF"/>
        <w:spacing w:before="100" w:beforeAutospacing="1" w:after="100" w:afterAutospacing="1" w:line="360" w:lineRule="auto"/>
        <w:jc w:val="left"/>
        <w:rPr>
          <w:kern w:val="2"/>
          <w:szCs w:val="24"/>
        </w:rPr>
      </w:pPr>
      <w:r>
        <w:rPr>
          <w:b/>
          <w:bCs/>
          <w:kern w:val="2"/>
          <w:szCs w:val="24"/>
        </w:rPr>
        <w:t xml:space="preserve">2.0.5 </w:t>
      </w:r>
      <w:r>
        <w:rPr>
          <w:bCs/>
          <w:szCs w:val="24"/>
        </w:rPr>
        <w:t>铁路客站碳排放强度railway station  carbon dioxide emission intensity</w:t>
      </w:r>
    </w:p>
    <w:p>
      <w:pPr>
        <w:widowControl/>
        <w:shd w:val="clear" w:color="auto" w:fill="FFFFFF"/>
        <w:spacing w:before="100" w:beforeAutospacing="1" w:after="100" w:afterAutospacing="1" w:line="360" w:lineRule="auto"/>
        <w:ind w:firstLine="420"/>
        <w:jc w:val="left"/>
        <w:rPr>
          <w:kern w:val="2"/>
          <w:szCs w:val="24"/>
        </w:rPr>
      </w:pPr>
      <w:r>
        <w:rPr>
          <w:kern w:val="2"/>
          <w:szCs w:val="24"/>
        </w:rPr>
        <w:t>在设定计算条件或实际运行条件下，本标准3.1.1条规定的评价范围内，年供暖、通风、空调、照明、生活热水、饮用水、电梯扶梯、客服信息系统等能耗和铁路客站本体及周边可再生能源系统发电量，按碳排放因子换算为碳排放量后，两者的差值与铁路客站站房建筑面积的比值。</w:t>
      </w:r>
    </w:p>
    <w:p>
      <w:pPr>
        <w:widowControl/>
        <w:shd w:val="clear" w:color="auto" w:fill="FFFFFF"/>
        <w:spacing w:before="100" w:beforeAutospacing="1" w:after="100" w:afterAutospacing="1" w:line="360" w:lineRule="auto"/>
        <w:jc w:val="left"/>
        <w:rPr>
          <w:kern w:val="2"/>
          <w:szCs w:val="24"/>
        </w:rPr>
      </w:pPr>
      <w:r>
        <w:rPr>
          <w:b/>
          <w:bCs/>
          <w:kern w:val="2"/>
          <w:szCs w:val="24"/>
        </w:rPr>
        <w:t xml:space="preserve">2.0.6 </w:t>
      </w:r>
      <w:r>
        <w:rPr>
          <w:bCs/>
          <w:szCs w:val="24"/>
        </w:rPr>
        <w:t xml:space="preserve">基准铁路客站 reference </w:t>
      </w:r>
      <w:r>
        <w:rPr>
          <w:kern w:val="2"/>
          <w:szCs w:val="24"/>
        </w:rPr>
        <w:t>railway station</w:t>
      </w:r>
    </w:p>
    <w:p>
      <w:pPr>
        <w:widowControl/>
        <w:shd w:val="clear" w:color="auto" w:fill="FFFFFF"/>
        <w:spacing w:before="100" w:beforeAutospacing="1" w:after="100" w:afterAutospacing="1" w:line="360" w:lineRule="auto"/>
        <w:ind w:firstLine="420"/>
        <w:jc w:val="left"/>
        <w:rPr>
          <w:kern w:val="2"/>
          <w:szCs w:val="24"/>
        </w:rPr>
      </w:pPr>
      <w:r>
        <w:rPr>
          <w:kern w:val="2"/>
          <w:szCs w:val="24"/>
        </w:rPr>
        <w:t>以设计铁路客站模型为基础，且符合现行强制性工程建设规范《建筑节能与可再生能源利用通用规范》GB 55015 相关要求的铁路客站。</w:t>
      </w:r>
    </w:p>
    <w:p>
      <w:pPr>
        <w:widowControl/>
        <w:shd w:val="clear" w:color="auto" w:fill="FFFFFF"/>
        <w:spacing w:before="100" w:beforeAutospacing="1" w:after="100" w:afterAutospacing="1" w:line="360" w:lineRule="auto"/>
        <w:jc w:val="left"/>
        <w:rPr>
          <w:kern w:val="2"/>
          <w:szCs w:val="24"/>
        </w:rPr>
      </w:pPr>
      <w:r>
        <w:rPr>
          <w:b/>
          <w:bCs/>
          <w:kern w:val="2"/>
          <w:szCs w:val="24"/>
        </w:rPr>
        <w:t>2.0.7</w:t>
      </w:r>
      <w:r>
        <w:rPr>
          <w:kern w:val="2"/>
          <w:szCs w:val="24"/>
        </w:rPr>
        <w:t xml:space="preserve"> 碳排放权交易 carbon emissions trading</w:t>
      </w:r>
    </w:p>
    <w:p>
      <w:pPr>
        <w:widowControl/>
        <w:shd w:val="clear" w:color="auto" w:fill="FFFFFF"/>
        <w:spacing w:before="100" w:beforeAutospacing="1" w:after="100" w:afterAutospacing="1" w:line="360" w:lineRule="auto"/>
        <w:ind w:firstLine="420"/>
        <w:jc w:val="left"/>
        <w:rPr>
          <w:kern w:val="2"/>
          <w:szCs w:val="24"/>
        </w:rPr>
      </w:pPr>
      <w:r>
        <w:rPr>
          <w:kern w:val="2"/>
          <w:szCs w:val="24"/>
        </w:rPr>
        <w:t>以控制温室气体排放为目的，以温室气体排放权配额或温室气体减排信用为标的物所进行的市场交易。</w:t>
      </w:r>
    </w:p>
    <w:p>
      <w:pPr>
        <w:widowControl/>
        <w:shd w:val="clear" w:color="auto" w:fill="FFFFFF"/>
        <w:spacing w:before="100" w:beforeAutospacing="1" w:after="100" w:afterAutospacing="1" w:line="360" w:lineRule="auto"/>
        <w:jc w:val="left"/>
        <w:rPr>
          <w:kern w:val="2"/>
          <w:szCs w:val="24"/>
        </w:rPr>
      </w:pPr>
      <w:r>
        <w:rPr>
          <w:b/>
          <w:bCs/>
          <w:kern w:val="2"/>
          <w:szCs w:val="24"/>
        </w:rPr>
        <w:t>2.0.8</w:t>
      </w:r>
      <w:r>
        <w:rPr>
          <w:kern w:val="2"/>
          <w:szCs w:val="24"/>
        </w:rPr>
        <w:t xml:space="preserve"> 绿色电力 green electricity</w:t>
      </w:r>
    </w:p>
    <w:p>
      <w:pPr>
        <w:widowControl/>
        <w:shd w:val="clear" w:color="auto" w:fill="FFFFFF"/>
        <w:spacing w:before="100" w:beforeAutospacing="1" w:after="100" w:afterAutospacing="1" w:line="360" w:lineRule="auto"/>
        <w:ind w:firstLine="420"/>
        <w:jc w:val="left"/>
        <w:rPr>
          <w:kern w:val="2"/>
          <w:szCs w:val="24"/>
        </w:rPr>
      </w:pPr>
      <w:r>
        <w:rPr>
          <w:kern w:val="2"/>
          <w:szCs w:val="24"/>
        </w:rPr>
        <w:t>在生产电力的过程中，温室气体排放量为零或趋近于零的电力。</w:t>
      </w:r>
    </w:p>
    <w:p>
      <w:pPr>
        <w:widowControl/>
        <w:shd w:val="clear" w:color="auto" w:fill="FFFFFF"/>
        <w:spacing w:before="100" w:beforeAutospacing="1" w:after="100" w:afterAutospacing="1" w:line="360" w:lineRule="auto"/>
        <w:jc w:val="left"/>
        <w:rPr>
          <w:kern w:val="2"/>
          <w:szCs w:val="24"/>
        </w:rPr>
      </w:pPr>
      <w:r>
        <w:rPr>
          <w:b/>
          <w:bCs/>
          <w:kern w:val="2"/>
          <w:szCs w:val="24"/>
        </w:rPr>
        <w:t>2.0.9</w:t>
      </w:r>
      <w:r>
        <w:rPr>
          <w:kern w:val="2"/>
          <w:szCs w:val="24"/>
        </w:rPr>
        <w:t xml:space="preserve"> 绿色电力证书 green electricity certificate</w:t>
      </w:r>
    </w:p>
    <w:p>
      <w:pPr>
        <w:widowControl/>
        <w:shd w:val="clear" w:color="auto" w:fill="FFFFFF"/>
        <w:spacing w:before="100" w:beforeAutospacing="1" w:after="100" w:afterAutospacing="1" w:line="360" w:lineRule="auto"/>
        <w:ind w:firstLine="420"/>
        <w:jc w:val="left"/>
        <w:rPr>
          <w:kern w:val="2"/>
          <w:szCs w:val="24"/>
        </w:rPr>
      </w:pPr>
      <w:r>
        <w:rPr>
          <w:kern w:val="2"/>
          <w:szCs w:val="24"/>
        </w:rPr>
        <w:t>国家可再生能源信息管理中心按照国家能源局相关管理规定，依据可再生能源上网电量通过国家能源局可再生能源发电项目信息管理平台向符合资格的可再生能源发电企业颁发的具有唯一代码标识的电子凭证。绿色电力证书的计量单位为 MWh，1 个证书对应 1MWh 结算电量。</w:t>
      </w:r>
    </w:p>
    <w:p>
      <w:pPr>
        <w:widowControl/>
        <w:shd w:val="clear" w:color="auto" w:fill="FFFFFF"/>
        <w:spacing w:before="100" w:beforeAutospacing="1" w:after="100" w:afterAutospacing="1" w:line="360" w:lineRule="auto"/>
        <w:jc w:val="left"/>
        <w:rPr>
          <w:kern w:val="2"/>
          <w:szCs w:val="24"/>
        </w:rPr>
      </w:pPr>
      <w:r>
        <w:rPr>
          <w:b/>
          <w:bCs/>
          <w:kern w:val="2"/>
          <w:szCs w:val="24"/>
        </w:rPr>
        <w:t>2.0.10</w:t>
      </w:r>
      <w:r>
        <w:rPr>
          <w:kern w:val="2"/>
          <w:szCs w:val="24"/>
        </w:rPr>
        <w:t xml:space="preserve"> 绿色电力交易 green electricity trade</w:t>
      </w:r>
    </w:p>
    <w:p>
      <w:pPr>
        <w:widowControl/>
        <w:shd w:val="clear" w:color="auto" w:fill="FFFFFF"/>
        <w:spacing w:before="100" w:beforeAutospacing="1" w:after="100" w:afterAutospacing="1" w:line="360" w:lineRule="auto"/>
        <w:ind w:firstLine="420"/>
        <w:jc w:val="left"/>
        <w:rPr>
          <w:kern w:val="2"/>
          <w:szCs w:val="24"/>
        </w:rPr>
      </w:pPr>
      <w:r>
        <w:rPr>
          <w:kern w:val="2"/>
          <w:szCs w:val="24"/>
        </w:rPr>
        <w:t>以绿色电力产品为标的物的电力中长期交易，交易电力同时提供国家规定的绿色电力证书，用以发电企业、售电公司、电力用户等市场主体出售、购买绿色电力产品的需求。</w:t>
      </w:r>
    </w:p>
    <w:p>
      <w:pPr>
        <w:widowControl/>
        <w:shd w:val="clear" w:color="auto" w:fill="FFFFFF"/>
        <w:spacing w:before="100" w:beforeAutospacing="1" w:after="100" w:afterAutospacing="1" w:line="360" w:lineRule="auto"/>
        <w:jc w:val="left"/>
        <w:rPr>
          <w:kern w:val="2"/>
          <w:szCs w:val="24"/>
        </w:rPr>
      </w:pPr>
      <w:r>
        <w:rPr>
          <w:b/>
          <w:bCs/>
          <w:kern w:val="2"/>
          <w:szCs w:val="24"/>
        </w:rPr>
        <w:t>2.0.11</w:t>
      </w:r>
      <w:r>
        <w:rPr>
          <w:kern w:val="2"/>
          <w:szCs w:val="24"/>
        </w:rPr>
        <w:t xml:space="preserve"> 绿色电力证书交易 green electricity certificate trade</w:t>
      </w:r>
    </w:p>
    <w:p>
      <w:pPr>
        <w:widowControl/>
        <w:shd w:val="clear" w:color="auto" w:fill="FFFFFF"/>
        <w:spacing w:before="100" w:beforeAutospacing="1" w:after="100" w:afterAutospacing="1" w:line="360" w:lineRule="auto"/>
        <w:ind w:firstLine="420"/>
        <w:jc w:val="left"/>
        <w:rPr>
          <w:kern w:val="2"/>
          <w:szCs w:val="24"/>
        </w:rPr>
      </w:pPr>
      <w:r>
        <w:rPr>
          <w:kern w:val="2"/>
          <w:szCs w:val="24"/>
        </w:rPr>
        <w:t>证书认购参与人在绿色电力证书自愿认购平台上的自愿认购和出售行为。</w:t>
      </w:r>
    </w:p>
    <w:p>
      <w:pPr>
        <w:widowControl/>
        <w:shd w:val="clear" w:color="auto" w:fill="FFFFFF"/>
        <w:spacing w:before="100" w:beforeAutospacing="1" w:after="100" w:afterAutospacing="1" w:line="360" w:lineRule="auto"/>
        <w:jc w:val="left"/>
        <w:rPr>
          <w:kern w:val="2"/>
          <w:szCs w:val="24"/>
        </w:rPr>
      </w:pPr>
    </w:p>
    <w:p>
      <w:pPr>
        <w:widowControl/>
        <w:shd w:val="clear" w:color="auto" w:fill="FFFFFF"/>
        <w:spacing w:before="100" w:beforeAutospacing="1" w:after="100" w:afterAutospacing="1" w:line="360" w:lineRule="auto"/>
        <w:ind w:firstLine="420"/>
        <w:jc w:val="left"/>
        <w:rPr>
          <w:kern w:val="2"/>
          <w:szCs w:val="24"/>
        </w:rPr>
      </w:pPr>
      <w:r>
        <w:rPr>
          <w:kern w:val="2"/>
          <w:szCs w:val="24"/>
        </w:rPr>
        <w:br w:type="page"/>
      </w:r>
    </w:p>
    <w:p>
      <w:pPr>
        <w:spacing w:after="240"/>
        <w:jc w:val="center"/>
        <w:outlineLvl w:val="0"/>
        <w:rPr>
          <w:rFonts w:eastAsia="黑体"/>
          <w:bCs/>
          <w:sz w:val="36"/>
          <w:szCs w:val="32"/>
        </w:rPr>
      </w:pPr>
      <w:bookmarkStart w:id="56" w:name="_Toc215047925"/>
      <w:r>
        <w:rPr>
          <w:rFonts w:eastAsia="黑体"/>
          <w:bCs/>
          <w:sz w:val="36"/>
          <w:szCs w:val="32"/>
        </w:rPr>
        <w:t xml:space="preserve">3 </w:t>
      </w:r>
      <w:bookmarkEnd w:id="53"/>
      <w:bookmarkEnd w:id="54"/>
      <w:bookmarkEnd w:id="55"/>
      <w:r>
        <w:rPr>
          <w:rFonts w:eastAsia="黑体"/>
          <w:bCs/>
          <w:sz w:val="36"/>
          <w:szCs w:val="32"/>
        </w:rPr>
        <w:t>评价与等级划分</w:t>
      </w:r>
      <w:bookmarkEnd w:id="56"/>
    </w:p>
    <w:p>
      <w:pPr>
        <w:pStyle w:val="28"/>
        <w:jc w:val="center"/>
        <w:outlineLvl w:val="1"/>
        <w:rPr>
          <w:rFonts w:eastAsia="黑体"/>
          <w:b/>
          <w:bCs/>
          <w:sz w:val="28"/>
          <w:szCs w:val="28"/>
        </w:rPr>
      </w:pPr>
      <w:bookmarkStart w:id="57" w:name="_Toc215047926"/>
      <w:r>
        <w:rPr>
          <w:rFonts w:eastAsia="黑体"/>
          <w:b/>
          <w:bCs/>
          <w:sz w:val="28"/>
          <w:szCs w:val="28"/>
        </w:rPr>
        <w:t>3.1一般规定</w:t>
      </w:r>
      <w:bookmarkEnd w:id="57"/>
    </w:p>
    <w:p>
      <w:pPr>
        <w:pStyle w:val="28"/>
        <w:spacing w:line="360" w:lineRule="auto"/>
        <w:outlineLvl w:val="2"/>
        <w:rPr>
          <w:kern w:val="2"/>
          <w:szCs w:val="24"/>
        </w:rPr>
      </w:pPr>
      <w:r>
        <w:rPr>
          <w:b/>
          <w:bCs/>
          <w:kern w:val="2"/>
          <w:szCs w:val="24"/>
        </w:rPr>
        <w:t xml:space="preserve">3.1.1 </w:t>
      </w:r>
      <w:r>
        <w:rPr>
          <w:kern w:val="2"/>
          <w:szCs w:val="24"/>
        </w:rPr>
        <w:t>零碳铁路客站的评价范围应包括铁路客站的站房、客运服务设施和由铁路单位管理的城市配套设施（车站广场和城市交通配套设施）。</w:t>
      </w:r>
    </w:p>
    <w:p>
      <w:pPr>
        <w:pStyle w:val="68"/>
        <w:rPr>
          <w:rFonts w:ascii="Times New Roman" w:hAnsi="Times New Roman" w:cs="Times New Roman"/>
        </w:rPr>
      </w:pPr>
      <w:r>
        <w:rPr>
          <w:rFonts w:ascii="Times New Roman" w:hAnsi="Times New Roman" w:cs="Times New Roman"/>
        </w:rPr>
        <w:t>【条文说明】</w:t>
      </w:r>
    </w:p>
    <w:p>
      <w:pPr>
        <w:pStyle w:val="68"/>
        <w:ind w:firstLine="482"/>
        <w:rPr>
          <w:rFonts w:ascii="Times New Roman" w:hAnsi="Times New Roman" w:cs="Times New Roman"/>
        </w:rPr>
      </w:pPr>
      <w:r>
        <w:rPr>
          <w:rFonts w:ascii="Times New Roman" w:hAnsi="Times New Roman" w:cs="Times New Roman"/>
          <w:spacing w:val="1"/>
        </w:rPr>
        <w:t>零碳铁路客站的评价范围应包括铁路客站的站房、客运服务设施和由铁路单位管理的城市配套设施（车站广场和城市交通配套设施），具体包括站房、站台、雨棚、进出站通道、天桥、由铁路部门管理的站前平台</w:t>
      </w:r>
      <w:r>
        <w:rPr>
          <w:rFonts w:ascii="Times New Roman" w:hAnsi="Times New Roman" w:cs="Times New Roman"/>
          <w:spacing w:val="-10"/>
        </w:rPr>
        <w:t>。</w:t>
      </w:r>
    </w:p>
    <w:p>
      <w:pPr>
        <w:pStyle w:val="28"/>
        <w:spacing w:line="360" w:lineRule="auto"/>
        <w:outlineLvl w:val="2"/>
        <w:rPr>
          <w:b/>
          <w:bCs/>
          <w:kern w:val="2"/>
          <w:szCs w:val="24"/>
        </w:rPr>
      </w:pPr>
      <w:r>
        <w:rPr>
          <w:b/>
          <w:bCs/>
          <w:kern w:val="2"/>
          <w:szCs w:val="24"/>
        </w:rPr>
        <w:t>3.1.2</w:t>
      </w:r>
      <w:r>
        <w:rPr>
          <w:kern w:val="2"/>
          <w:szCs w:val="24"/>
        </w:rPr>
        <w:t xml:space="preserve"> 申请评价方应对参评铁路客站进行技术经济分析，选用适宜技术、设备和材料，在规划、设计、施工、运行阶段对铁路客站碳排放量进行控制，并应在评价时提交相应分析、测试报告和相关文件。申请评价方应对所提交资料的真实性和完整性负责。</w:t>
      </w:r>
    </w:p>
    <w:p>
      <w:pPr>
        <w:pStyle w:val="28"/>
        <w:spacing w:line="360" w:lineRule="auto"/>
        <w:outlineLvl w:val="2"/>
        <w:rPr>
          <w:b/>
          <w:bCs/>
          <w:kern w:val="2"/>
          <w:szCs w:val="24"/>
        </w:rPr>
      </w:pPr>
      <w:r>
        <w:rPr>
          <w:b/>
          <w:bCs/>
          <w:kern w:val="2"/>
          <w:szCs w:val="24"/>
        </w:rPr>
        <w:t>3.1.3</w:t>
      </w:r>
      <w:r>
        <w:rPr>
          <w:kern w:val="2"/>
          <w:szCs w:val="24"/>
        </w:rPr>
        <w:t xml:space="preserve"> 评价机构应对申请评价方提交的分析、测试报告和相关文件进行审查，必要时应进行现场核查，出具评价报告，确定评价等级。</w:t>
      </w:r>
    </w:p>
    <w:p>
      <w:pPr>
        <w:spacing w:line="360" w:lineRule="auto"/>
        <w:rPr>
          <w:szCs w:val="24"/>
        </w:rPr>
      </w:pPr>
    </w:p>
    <w:p>
      <w:pPr>
        <w:pStyle w:val="28"/>
        <w:jc w:val="center"/>
        <w:outlineLvl w:val="1"/>
        <w:rPr>
          <w:rFonts w:eastAsia="黑体"/>
          <w:b/>
          <w:bCs/>
          <w:sz w:val="28"/>
          <w:szCs w:val="28"/>
        </w:rPr>
      </w:pPr>
      <w:bookmarkStart w:id="58" w:name="_Toc176531251"/>
      <w:bookmarkStart w:id="59" w:name="_Toc176531104"/>
      <w:bookmarkStart w:id="60" w:name="_Toc215047927"/>
      <w:bookmarkStart w:id="61" w:name="OLE_LINK1"/>
      <w:r>
        <w:rPr>
          <w:rFonts w:eastAsia="黑体"/>
          <w:b/>
          <w:bCs/>
          <w:sz w:val="28"/>
          <w:szCs w:val="28"/>
        </w:rPr>
        <w:t>3.2评价</w:t>
      </w:r>
      <w:bookmarkEnd w:id="58"/>
      <w:bookmarkEnd w:id="59"/>
      <w:r>
        <w:rPr>
          <w:rFonts w:eastAsia="黑体"/>
          <w:b/>
          <w:bCs/>
          <w:sz w:val="28"/>
          <w:szCs w:val="28"/>
        </w:rPr>
        <w:t>类型与等级划分</w:t>
      </w:r>
      <w:bookmarkEnd w:id="60"/>
    </w:p>
    <w:bookmarkEnd w:id="61"/>
    <w:p>
      <w:pPr>
        <w:pStyle w:val="28"/>
        <w:spacing w:line="360" w:lineRule="auto"/>
        <w:outlineLvl w:val="2"/>
        <w:rPr>
          <w:kern w:val="2"/>
          <w:szCs w:val="24"/>
        </w:rPr>
      </w:pPr>
      <w:r>
        <w:rPr>
          <w:b/>
          <w:bCs/>
          <w:kern w:val="2"/>
          <w:szCs w:val="24"/>
        </w:rPr>
        <w:t xml:space="preserve">3.2.1 </w:t>
      </w:r>
      <w:r>
        <w:rPr>
          <w:kern w:val="2"/>
          <w:szCs w:val="24"/>
        </w:rPr>
        <w:t>零碳铁路客站的评价等级与评价类型应符合表3.2.1的规定。设计阶段预评价应在铁路客站施工图设计完成后进行。运行评价及全过程评价应在客流量达到设计值的80%以上，且正常运行满一年后进行。</w:t>
      </w:r>
    </w:p>
    <w:p>
      <w:pPr>
        <w:spacing w:line="360" w:lineRule="auto"/>
        <w:jc w:val="center"/>
        <w:rPr>
          <w:b/>
          <w:bCs/>
        </w:rPr>
      </w:pPr>
      <w:r>
        <w:rPr>
          <w:rFonts w:hint="eastAsia"/>
          <w:b/>
          <w:bCs/>
        </w:rPr>
        <w:t>表</w:t>
      </w:r>
      <w:r>
        <w:rPr>
          <w:b/>
          <w:bCs/>
        </w:rPr>
        <w:t xml:space="preserve">3.2.1 </w:t>
      </w:r>
      <w:r>
        <w:rPr>
          <w:rFonts w:hint="eastAsia"/>
          <w:b/>
          <w:bCs/>
        </w:rPr>
        <w:t>零碳铁路客站评价等级与评价类型</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8"/>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8" w:type="dxa"/>
            <w:vAlign w:val="center"/>
          </w:tcPr>
          <w:p>
            <w:pPr>
              <w:spacing w:line="360" w:lineRule="auto"/>
              <w:jc w:val="center"/>
            </w:pPr>
            <w:r>
              <w:t>评价等级</w:t>
            </w:r>
          </w:p>
        </w:tc>
        <w:tc>
          <w:tcPr>
            <w:tcW w:w="4148" w:type="dxa"/>
            <w:vAlign w:val="center"/>
          </w:tcPr>
          <w:p>
            <w:pPr>
              <w:spacing w:line="360" w:lineRule="auto"/>
              <w:jc w:val="center"/>
            </w:pPr>
            <w:r>
              <w:t>评价类型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8" w:type="dxa"/>
            <w:vAlign w:val="center"/>
          </w:tcPr>
          <w:p>
            <w:pPr>
              <w:spacing w:line="360" w:lineRule="auto"/>
              <w:jc w:val="center"/>
            </w:pPr>
            <w:r>
              <w:t>低碳铁路客站</w:t>
            </w:r>
          </w:p>
        </w:tc>
        <w:tc>
          <w:tcPr>
            <w:tcW w:w="4148" w:type="dxa"/>
            <w:vMerge w:val="restart"/>
            <w:vAlign w:val="center"/>
          </w:tcPr>
          <w:p>
            <w:pPr>
              <w:spacing w:line="360" w:lineRule="auto"/>
              <w:jc w:val="center"/>
            </w:pPr>
            <w:r>
              <w:t>设计阶段预评价或运行评价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8" w:type="dxa"/>
            <w:vAlign w:val="center"/>
          </w:tcPr>
          <w:p>
            <w:pPr>
              <w:spacing w:line="360" w:lineRule="auto"/>
              <w:jc w:val="center"/>
            </w:pPr>
            <w:r>
              <w:t>近零碳铁路客站</w:t>
            </w:r>
          </w:p>
        </w:tc>
        <w:tc>
          <w:tcPr>
            <w:tcW w:w="4148" w:type="dxa"/>
            <w:vMerge w:val="continue"/>
            <w:vAlign w:val="center"/>
          </w:tcPr>
          <w:p>
            <w:pPr>
              <w:spacing w:line="360"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8" w:type="dxa"/>
            <w:vAlign w:val="center"/>
          </w:tcPr>
          <w:p>
            <w:pPr>
              <w:spacing w:line="360" w:lineRule="auto"/>
              <w:jc w:val="center"/>
            </w:pPr>
            <w:r>
              <w:t>零碳铁路客站</w:t>
            </w:r>
          </w:p>
        </w:tc>
        <w:tc>
          <w:tcPr>
            <w:tcW w:w="4148" w:type="dxa"/>
            <w:vMerge w:val="continue"/>
            <w:vAlign w:val="center"/>
          </w:tcPr>
          <w:p>
            <w:pPr>
              <w:spacing w:line="360"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8" w:type="dxa"/>
            <w:vAlign w:val="center"/>
          </w:tcPr>
          <w:p>
            <w:pPr>
              <w:spacing w:line="360" w:lineRule="auto"/>
              <w:jc w:val="center"/>
            </w:pPr>
            <w:r>
              <w:t>全过程零碳铁路客站</w:t>
            </w:r>
          </w:p>
        </w:tc>
        <w:tc>
          <w:tcPr>
            <w:tcW w:w="4148" w:type="dxa"/>
            <w:vAlign w:val="center"/>
          </w:tcPr>
          <w:p>
            <w:pPr>
              <w:spacing w:line="360" w:lineRule="auto"/>
              <w:jc w:val="center"/>
            </w:pPr>
            <w:r>
              <w:t>全过程评价</w:t>
            </w:r>
          </w:p>
        </w:tc>
      </w:tr>
    </w:tbl>
    <w:p>
      <w:pPr>
        <w:pStyle w:val="68"/>
        <w:rPr>
          <w:rFonts w:ascii="Times New Roman" w:hAnsi="Times New Roman" w:cs="Times New Roman"/>
        </w:rPr>
      </w:pPr>
      <w:r>
        <w:rPr>
          <w:rFonts w:ascii="Times New Roman" w:hAnsi="Times New Roman" w:cs="Times New Roman"/>
        </w:rPr>
        <w:t>【条文说明】</w:t>
      </w:r>
    </w:p>
    <w:p>
      <w:pPr>
        <w:pStyle w:val="68"/>
        <w:ind w:firstLine="482"/>
        <w:rPr>
          <w:rFonts w:ascii="Times New Roman" w:hAnsi="Times New Roman" w:cs="Times New Roman"/>
          <w:spacing w:val="1"/>
        </w:rPr>
      </w:pPr>
      <w:r>
        <w:rPr>
          <w:rFonts w:ascii="Times New Roman" w:hAnsi="Times New Roman" w:cs="Times New Roman"/>
          <w:spacing w:val="1"/>
        </w:rPr>
        <w:t>为引导铁路客站逐步迈向更低排放的目标，评价分为低碳铁路客站、近零碳铁路客站、零碳铁路客站和全过程零碳铁路客站 4 个等级，其中低碳铁路客站、近零碳铁路客站、零碳铁路客站可进行设计阶段预评价和运行评价。</w:t>
      </w:r>
      <w:r>
        <w:rPr>
          <w:rFonts w:hint="eastAsia" w:ascii="Times New Roman" w:hAnsi="Times New Roman" w:cs="Times New Roman"/>
          <w:spacing w:val="1"/>
        </w:rPr>
        <w:t>针对全过程零碳铁路客站进行全过程评价，涉及项目的设计、施工、运行各阶段。</w:t>
      </w:r>
    </w:p>
    <w:p>
      <w:pPr>
        <w:pStyle w:val="68"/>
        <w:ind w:firstLine="482"/>
        <w:rPr>
          <w:rFonts w:ascii="Times New Roman" w:hAnsi="Times New Roman" w:cs="Times New Roman"/>
        </w:rPr>
      </w:pPr>
      <w:r>
        <w:rPr>
          <w:rFonts w:ascii="Times New Roman" w:hAnsi="Times New Roman" w:cs="Times New Roman"/>
          <w:spacing w:val="1"/>
        </w:rPr>
        <w:t>为避免铁路客站投运初期客流量小导致运行碳排放强度失真的问题，本标准要求</w:t>
      </w:r>
      <w:r>
        <w:rPr>
          <w:rFonts w:ascii="Times New Roman" w:hAnsi="Times New Roman" w:cs="Times New Roman"/>
          <w:szCs w:val="24"/>
        </w:rPr>
        <w:t>运行评价及全过程评价应在客流量达到设计值的80%以上、且正常运行满一年后进行。</w:t>
      </w:r>
    </w:p>
    <w:p/>
    <w:p>
      <w:pPr>
        <w:pStyle w:val="28"/>
        <w:spacing w:line="360" w:lineRule="auto"/>
        <w:outlineLvl w:val="2"/>
        <w:rPr>
          <w:kern w:val="2"/>
          <w:szCs w:val="24"/>
        </w:rPr>
      </w:pPr>
      <w:r>
        <w:rPr>
          <w:b/>
          <w:bCs/>
          <w:kern w:val="2"/>
          <w:szCs w:val="24"/>
        </w:rPr>
        <w:t xml:space="preserve">3.2.2 </w:t>
      </w:r>
      <w:r>
        <w:t>评价内容应由控制指标与控制措施组成，申请评价的铁路客站应符合控制指标与控制措施要求。控制指标分为室内环境参数、碳排放指标和绿色电力与碳排放权交易指标三类，控制指标及控制措施适用于新建、扩建和改建铁路客站以及既有铁路客站降碳改造工程</w:t>
      </w:r>
      <w:r>
        <w:rPr>
          <w:kern w:val="2"/>
          <w:szCs w:val="24"/>
        </w:rPr>
        <w:t>。</w:t>
      </w:r>
    </w:p>
    <w:p>
      <w:pPr>
        <w:pStyle w:val="68"/>
        <w:rPr>
          <w:rFonts w:ascii="Times New Roman" w:hAnsi="Times New Roman" w:cs="Times New Roman"/>
        </w:rPr>
      </w:pPr>
      <w:r>
        <w:rPr>
          <w:rFonts w:ascii="Times New Roman" w:hAnsi="Times New Roman" w:cs="Times New Roman"/>
        </w:rPr>
        <w:t>【条文说明】</w:t>
      </w:r>
    </w:p>
    <w:p>
      <w:pPr>
        <w:pStyle w:val="68"/>
        <w:ind w:firstLine="482"/>
        <w:rPr>
          <w:rFonts w:ascii="Times New Roman" w:hAnsi="Times New Roman" w:cs="Times New Roman"/>
          <w:spacing w:val="1"/>
        </w:rPr>
      </w:pPr>
      <w:r>
        <w:rPr>
          <w:rFonts w:ascii="Times New Roman" w:hAnsi="Times New Roman" w:cs="Times New Roman"/>
          <w:spacing w:val="1"/>
        </w:rPr>
        <w:t>合理的室内环境品质和舒适度是零碳铁路客站应保障的基本功能；碳排放指标是判断铁路客站降碳水平的决定性指标；</w:t>
      </w:r>
      <w:r>
        <w:rPr>
          <w:rFonts w:ascii="Times New Roman" w:hAnsi="Times New Roman" w:cs="Times New Roman"/>
        </w:rPr>
        <w:t>绿色电力与碳排放权交易是铁路客站降碳的有机补充</w:t>
      </w:r>
      <w:r>
        <w:rPr>
          <w:rFonts w:ascii="Times New Roman" w:hAnsi="Times New Roman" w:cs="Times New Roman"/>
          <w:spacing w:val="1"/>
        </w:rPr>
        <w:t>，但为保证铁路客站自身降碳性能，需对市场化交易机制进行规定。因此本标准制定了由</w:t>
      </w:r>
      <w:r>
        <w:rPr>
          <w:rFonts w:ascii="Times New Roman" w:hAnsi="Times New Roman" w:cs="Times New Roman"/>
        </w:rPr>
        <w:t>室内环境参数、碳排放指标和绿色电力与碳排放权交易指标构成的控制指标。</w:t>
      </w:r>
    </w:p>
    <w:p>
      <w:pPr>
        <w:pStyle w:val="68"/>
        <w:ind w:firstLine="482"/>
        <w:rPr>
          <w:rFonts w:ascii="Times New Roman" w:hAnsi="Times New Roman" w:cs="Times New Roman"/>
          <w:spacing w:val="1"/>
        </w:rPr>
      </w:pPr>
      <w:r>
        <w:rPr>
          <w:rFonts w:ascii="Times New Roman" w:hAnsi="Times New Roman" w:cs="Times New Roman"/>
          <w:spacing w:val="1"/>
        </w:rPr>
        <w:t>零碳铁路客站评价工作，旨在以评促建，推动节能降碳技术在铁路客站领域的广泛应用，实现高质量发展。因此铁路客站不仅需要满足</w:t>
      </w:r>
      <w:r>
        <w:rPr>
          <w:rFonts w:ascii="Times New Roman" w:hAnsi="Times New Roman" w:cs="Times New Roman"/>
        </w:rPr>
        <w:t>控制指标</w:t>
      </w:r>
      <w:r>
        <w:rPr>
          <w:rFonts w:ascii="Times New Roman" w:hAnsi="Times New Roman" w:cs="Times New Roman"/>
          <w:spacing w:val="1"/>
        </w:rPr>
        <w:t>的要求，还需要采用充分的降碳技术和低碳运维模式。故</w:t>
      </w:r>
      <w:r>
        <w:rPr>
          <w:rFonts w:ascii="Times New Roman" w:hAnsi="Times New Roman" w:cs="Times New Roman"/>
        </w:rPr>
        <w:t>本标准制定了控制措施的要求</w:t>
      </w:r>
      <w:r>
        <w:rPr>
          <w:rFonts w:ascii="Times New Roman" w:hAnsi="Times New Roman" w:cs="Times New Roman"/>
          <w:spacing w:val="1"/>
        </w:rPr>
        <w:t>，以引导铁路客站提高低碳设计、建造与运行水平</w:t>
      </w:r>
      <w:r>
        <w:rPr>
          <w:rFonts w:ascii="Times New Roman" w:hAnsi="Times New Roman" w:cs="Times New Roman"/>
          <w:szCs w:val="24"/>
        </w:rPr>
        <w:t>。</w:t>
      </w:r>
    </w:p>
    <w:p>
      <w:pPr>
        <w:pStyle w:val="28"/>
        <w:spacing w:line="360" w:lineRule="auto"/>
        <w:outlineLvl w:val="2"/>
        <w:rPr>
          <w:szCs w:val="24"/>
        </w:rPr>
      </w:pPr>
      <w:r>
        <w:rPr>
          <w:b/>
          <w:bCs/>
          <w:szCs w:val="24"/>
        </w:rPr>
        <w:t>3.2.3</w:t>
      </w:r>
      <w:r>
        <w:rPr>
          <w:szCs w:val="24"/>
        </w:rPr>
        <w:t xml:space="preserve"> 设计阶段预评价应以设计文件为依据；运行评价应以检测与监测结果为依据；全过程评价应以设计文件、竣工验收材料、检测与监测结果为依据。</w:t>
      </w:r>
    </w:p>
    <w:p>
      <w:pPr>
        <w:pStyle w:val="68"/>
        <w:rPr>
          <w:rFonts w:ascii="Times New Roman" w:hAnsi="Times New Roman" w:cs="Times New Roman"/>
        </w:rPr>
      </w:pPr>
      <w:r>
        <w:rPr>
          <w:rFonts w:ascii="Times New Roman" w:hAnsi="Times New Roman" w:cs="Times New Roman"/>
        </w:rPr>
        <w:t>【条文说明】</w:t>
      </w:r>
    </w:p>
    <w:p>
      <w:pPr>
        <w:pStyle w:val="68"/>
        <w:rPr>
          <w:rFonts w:ascii="Times New Roman" w:hAnsi="Times New Roman" w:cs="Times New Roman"/>
        </w:rPr>
      </w:pPr>
      <w:r>
        <w:rPr>
          <w:rFonts w:ascii="Times New Roman" w:hAnsi="Times New Roman" w:cs="Times New Roman"/>
        </w:rPr>
        <w:t>不同阶段评价均需提供依据文件。设计阶段预评价应提交必要的设计计算文件。运行阶段评价需以检测数据及第三方检测结果为依据进行判定，包括分项计量的能耗数据、运行记录和用能账单等。全过程评价需提交涵盖设计、建造、运行各阶段的必要证明文件。</w:t>
      </w:r>
    </w:p>
    <w:p>
      <w:pPr>
        <w:pStyle w:val="68"/>
        <w:ind w:firstLine="0" w:firstLineChars="0"/>
        <w:rPr>
          <w:rFonts w:ascii="Times New Roman" w:hAnsi="Times New Roman" w:cs="Times New Roman"/>
        </w:rPr>
      </w:pPr>
    </w:p>
    <w:p>
      <w:pPr>
        <w:pStyle w:val="28"/>
        <w:spacing w:line="360" w:lineRule="auto"/>
        <w:outlineLvl w:val="2"/>
        <w:rPr>
          <w:szCs w:val="24"/>
        </w:rPr>
      </w:pPr>
      <w:r>
        <w:rPr>
          <w:b/>
          <w:bCs/>
          <w:szCs w:val="24"/>
        </w:rPr>
        <w:t>3.2.4</w:t>
      </w:r>
      <w:r>
        <w:rPr>
          <w:szCs w:val="24"/>
        </w:rPr>
        <w:t xml:space="preserve"> </w:t>
      </w:r>
      <w:r>
        <w:rPr>
          <w:rFonts w:hint="eastAsia"/>
          <w:szCs w:val="24"/>
        </w:rPr>
        <w:t>低碳铁路客站、近零碳铁路客站、零碳铁路客站的评价要求应符合表3.2.4的规定</w:t>
      </w:r>
      <w:r>
        <w:rPr>
          <w:szCs w:val="24"/>
        </w:rPr>
        <w:t>。</w:t>
      </w:r>
    </w:p>
    <w:p>
      <w:pPr>
        <w:spacing w:line="360" w:lineRule="auto"/>
        <w:jc w:val="center"/>
        <w:rPr>
          <w:b/>
          <w:bCs/>
        </w:rPr>
      </w:pPr>
      <w:r>
        <w:rPr>
          <w:rFonts w:hint="eastAsia"/>
          <w:b/>
          <w:bCs/>
        </w:rPr>
        <w:t>表</w:t>
      </w:r>
      <w:r>
        <w:rPr>
          <w:b/>
          <w:bCs/>
        </w:rPr>
        <w:t xml:space="preserve">3.2.4 </w:t>
      </w:r>
      <w:r>
        <w:rPr>
          <w:rFonts w:hint="eastAsia"/>
          <w:b/>
          <w:bCs/>
        </w:rPr>
        <w:t>低碳铁路客站、近零碳铁路客站、零碳铁路客站评价要求</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1"/>
        <w:gridCol w:w="2841"/>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7" w:type="pct"/>
            <w:vAlign w:val="center"/>
          </w:tcPr>
          <w:p>
            <w:pPr>
              <w:pStyle w:val="28"/>
              <w:spacing w:line="360" w:lineRule="auto"/>
              <w:jc w:val="center"/>
              <w:outlineLvl w:val="2"/>
              <w:rPr>
                <w:szCs w:val="24"/>
              </w:rPr>
            </w:pPr>
            <w:r>
              <w:rPr>
                <w:rFonts w:hint="eastAsia"/>
                <w:szCs w:val="24"/>
              </w:rPr>
              <w:t>等级</w:t>
            </w:r>
          </w:p>
        </w:tc>
        <w:tc>
          <w:tcPr>
            <w:tcW w:w="1667" w:type="pct"/>
            <w:vAlign w:val="center"/>
          </w:tcPr>
          <w:p>
            <w:pPr>
              <w:pStyle w:val="28"/>
              <w:spacing w:line="360" w:lineRule="auto"/>
              <w:jc w:val="center"/>
              <w:outlineLvl w:val="2"/>
              <w:rPr>
                <w:szCs w:val="24"/>
              </w:rPr>
            </w:pPr>
            <w:r>
              <w:rPr>
                <w:rFonts w:hint="eastAsia"/>
                <w:szCs w:val="24"/>
              </w:rPr>
              <w:t>设计阶段预评价</w:t>
            </w:r>
          </w:p>
        </w:tc>
        <w:tc>
          <w:tcPr>
            <w:tcW w:w="1667" w:type="pct"/>
            <w:vAlign w:val="center"/>
          </w:tcPr>
          <w:p>
            <w:pPr>
              <w:pStyle w:val="28"/>
              <w:spacing w:line="360" w:lineRule="auto"/>
              <w:jc w:val="center"/>
              <w:outlineLvl w:val="2"/>
              <w:rPr>
                <w:szCs w:val="24"/>
              </w:rPr>
            </w:pPr>
            <w:r>
              <w:rPr>
                <w:rFonts w:hint="eastAsia"/>
                <w:szCs w:val="24"/>
              </w:rPr>
              <w:t>运行评价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7" w:type="pct"/>
            <w:vAlign w:val="center"/>
          </w:tcPr>
          <w:p>
            <w:pPr>
              <w:pStyle w:val="28"/>
              <w:spacing w:line="360" w:lineRule="auto"/>
              <w:jc w:val="center"/>
              <w:outlineLvl w:val="2"/>
              <w:rPr>
                <w:szCs w:val="24"/>
              </w:rPr>
            </w:pPr>
            <w:r>
              <w:rPr>
                <w:rFonts w:hint="eastAsia"/>
                <w:szCs w:val="24"/>
              </w:rPr>
              <w:t>低碳铁路客站</w:t>
            </w:r>
          </w:p>
        </w:tc>
        <w:tc>
          <w:tcPr>
            <w:tcW w:w="1667" w:type="pct"/>
            <w:vAlign w:val="center"/>
          </w:tcPr>
          <w:p>
            <w:pPr>
              <w:pStyle w:val="28"/>
              <w:spacing w:line="360" w:lineRule="auto"/>
              <w:jc w:val="left"/>
              <w:outlineLvl w:val="2"/>
              <w:rPr>
                <w:szCs w:val="24"/>
              </w:rPr>
            </w:pPr>
            <w:r>
              <w:rPr>
                <w:szCs w:val="24"/>
              </w:rPr>
              <w:t>满足控制指标中第4.1节、第4.2.1条的规定，且满足第5章低碳设计的相关要求</w:t>
            </w:r>
          </w:p>
        </w:tc>
        <w:tc>
          <w:tcPr>
            <w:tcW w:w="1667" w:type="pct"/>
            <w:vAlign w:val="center"/>
          </w:tcPr>
          <w:p>
            <w:pPr>
              <w:pStyle w:val="28"/>
              <w:spacing w:line="360" w:lineRule="auto"/>
              <w:jc w:val="left"/>
              <w:outlineLvl w:val="2"/>
              <w:rPr>
                <w:szCs w:val="24"/>
              </w:rPr>
            </w:pPr>
            <w:r>
              <w:rPr>
                <w:szCs w:val="24"/>
              </w:rPr>
              <w:t>满足控制指标中第4.1节、第4.2.1条的规定，且满足第5章低碳设计、以及6.2低碳运行的要求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667" w:type="pct"/>
            <w:vAlign w:val="center"/>
          </w:tcPr>
          <w:p>
            <w:pPr>
              <w:pStyle w:val="28"/>
              <w:spacing w:line="360" w:lineRule="auto"/>
              <w:jc w:val="center"/>
              <w:outlineLvl w:val="2"/>
              <w:rPr>
                <w:szCs w:val="24"/>
              </w:rPr>
            </w:pPr>
            <w:r>
              <w:rPr>
                <w:rFonts w:hint="eastAsia"/>
                <w:szCs w:val="24"/>
              </w:rPr>
              <w:t>近零碳铁路客站</w:t>
            </w:r>
          </w:p>
        </w:tc>
        <w:tc>
          <w:tcPr>
            <w:tcW w:w="1667" w:type="pct"/>
            <w:vAlign w:val="center"/>
          </w:tcPr>
          <w:p>
            <w:pPr>
              <w:pStyle w:val="28"/>
              <w:spacing w:line="360" w:lineRule="auto"/>
              <w:jc w:val="left"/>
              <w:outlineLvl w:val="2"/>
              <w:rPr>
                <w:szCs w:val="24"/>
              </w:rPr>
            </w:pPr>
            <w:r>
              <w:rPr>
                <w:szCs w:val="24"/>
              </w:rPr>
              <w:t>满足控制指标中第4.1节、第4.2.2条的规定，且满足第5章低碳设计控制措施的相关要求</w:t>
            </w:r>
          </w:p>
        </w:tc>
        <w:tc>
          <w:tcPr>
            <w:tcW w:w="1667" w:type="pct"/>
            <w:vAlign w:val="center"/>
          </w:tcPr>
          <w:p>
            <w:pPr>
              <w:pStyle w:val="28"/>
              <w:spacing w:line="360" w:lineRule="auto"/>
              <w:jc w:val="left"/>
              <w:outlineLvl w:val="2"/>
              <w:rPr>
                <w:szCs w:val="24"/>
              </w:rPr>
            </w:pPr>
            <w:r>
              <w:rPr>
                <w:szCs w:val="24"/>
              </w:rPr>
              <w:t>满足控制指标中第4.1节、第4.2.2条的规定，且满足第5章低碳设计、以及6.2低碳运行的要求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7" w:type="pct"/>
            <w:vAlign w:val="center"/>
          </w:tcPr>
          <w:p>
            <w:pPr>
              <w:pStyle w:val="28"/>
              <w:spacing w:line="360" w:lineRule="auto"/>
              <w:jc w:val="center"/>
              <w:outlineLvl w:val="2"/>
              <w:rPr>
                <w:szCs w:val="24"/>
              </w:rPr>
            </w:pPr>
            <w:r>
              <w:rPr>
                <w:rFonts w:hint="eastAsia"/>
                <w:szCs w:val="24"/>
              </w:rPr>
              <w:t>零碳铁路客站</w:t>
            </w:r>
          </w:p>
        </w:tc>
        <w:tc>
          <w:tcPr>
            <w:tcW w:w="1667" w:type="pct"/>
            <w:vAlign w:val="center"/>
          </w:tcPr>
          <w:p>
            <w:pPr>
              <w:pStyle w:val="28"/>
              <w:spacing w:line="360" w:lineRule="auto"/>
              <w:jc w:val="left"/>
              <w:outlineLvl w:val="2"/>
              <w:rPr>
                <w:szCs w:val="24"/>
              </w:rPr>
            </w:pPr>
            <w:r>
              <w:rPr>
                <w:szCs w:val="24"/>
              </w:rPr>
              <w:t>满足控制指标中第4.1节、第4.2.3条、第4.3.2条的规定，且满足第5章低碳设计的相关要求</w:t>
            </w:r>
          </w:p>
        </w:tc>
        <w:tc>
          <w:tcPr>
            <w:tcW w:w="1667" w:type="pct"/>
            <w:vAlign w:val="center"/>
          </w:tcPr>
          <w:p>
            <w:pPr>
              <w:pStyle w:val="28"/>
              <w:spacing w:line="360" w:lineRule="auto"/>
              <w:jc w:val="left"/>
              <w:outlineLvl w:val="2"/>
              <w:rPr>
                <w:szCs w:val="24"/>
              </w:rPr>
            </w:pPr>
            <w:r>
              <w:rPr>
                <w:szCs w:val="24"/>
              </w:rPr>
              <w:t>满足控制指标中第4.1节、第4.2.3条、第4.3.2条的规定，且满足第5章低碳设计、以及6.2低碳运行的要求</w:t>
            </w:r>
          </w:p>
        </w:tc>
      </w:tr>
    </w:tbl>
    <w:p>
      <w:pPr>
        <w:pStyle w:val="28"/>
        <w:spacing w:line="360" w:lineRule="auto"/>
        <w:outlineLvl w:val="2"/>
        <w:rPr>
          <w:szCs w:val="24"/>
        </w:rPr>
      </w:pPr>
    </w:p>
    <w:p>
      <w:pPr>
        <w:pStyle w:val="28"/>
        <w:spacing w:line="360" w:lineRule="auto"/>
        <w:outlineLvl w:val="2"/>
        <w:rPr>
          <w:szCs w:val="24"/>
        </w:rPr>
      </w:pPr>
      <w:r>
        <w:rPr>
          <w:b/>
          <w:bCs/>
          <w:szCs w:val="24"/>
        </w:rPr>
        <w:t>3.</w:t>
      </w:r>
      <w:r>
        <w:rPr>
          <w:rFonts w:hint="eastAsia"/>
          <w:b/>
          <w:bCs/>
          <w:szCs w:val="24"/>
        </w:rPr>
        <w:t>2</w:t>
      </w:r>
      <w:r>
        <w:rPr>
          <w:b/>
          <w:bCs/>
          <w:szCs w:val="24"/>
        </w:rPr>
        <w:t>.</w:t>
      </w:r>
      <w:r>
        <w:rPr>
          <w:rFonts w:hint="eastAsia"/>
          <w:b/>
          <w:bCs/>
          <w:szCs w:val="24"/>
        </w:rPr>
        <w:t>5</w:t>
      </w:r>
      <w:r>
        <w:rPr>
          <w:szCs w:val="24"/>
        </w:rPr>
        <w:t xml:space="preserve"> 当全过程评价的铁路客站满足控制指标中第4.1节、第4.2.4条、第4.3.3条的规定，且满足第5章低碳设计、以及第6章低碳</w:t>
      </w:r>
      <w:r>
        <w:rPr>
          <w:rFonts w:hint="eastAsia"/>
          <w:szCs w:val="24"/>
        </w:rPr>
        <w:t>施工</w:t>
      </w:r>
      <w:r>
        <w:rPr>
          <w:szCs w:val="24"/>
        </w:rPr>
        <w:t>与运行的相关要求，可评价为全过程零碳铁路客站。</w:t>
      </w:r>
    </w:p>
    <w:p>
      <w:pPr>
        <w:widowControl/>
        <w:jc w:val="left"/>
      </w:pPr>
      <w:r>
        <w:br w:type="page"/>
      </w:r>
    </w:p>
    <w:p>
      <w:pPr>
        <w:spacing w:after="240"/>
        <w:jc w:val="center"/>
        <w:outlineLvl w:val="0"/>
        <w:rPr>
          <w:rFonts w:eastAsia="黑体"/>
          <w:bCs/>
          <w:sz w:val="36"/>
          <w:szCs w:val="32"/>
        </w:rPr>
      </w:pPr>
      <w:bookmarkStart w:id="62" w:name="_Toc143714304"/>
      <w:bookmarkStart w:id="63" w:name="_Toc143714376"/>
      <w:bookmarkStart w:id="64" w:name="_Toc151917028"/>
      <w:bookmarkStart w:id="65" w:name="_Toc153217959"/>
      <w:bookmarkStart w:id="66" w:name="_Toc153218009"/>
      <w:bookmarkStart w:id="67" w:name="_Toc152574773"/>
      <w:bookmarkStart w:id="68" w:name="_Toc151916758"/>
      <w:bookmarkStart w:id="69" w:name="_Toc215047928"/>
      <w:r>
        <w:rPr>
          <w:rFonts w:eastAsia="黑体"/>
          <w:bCs/>
          <w:sz w:val="36"/>
          <w:szCs w:val="32"/>
        </w:rPr>
        <w:t xml:space="preserve">4 </w:t>
      </w:r>
      <w:bookmarkEnd w:id="62"/>
      <w:bookmarkEnd w:id="63"/>
      <w:bookmarkEnd w:id="64"/>
      <w:bookmarkEnd w:id="65"/>
      <w:bookmarkEnd w:id="66"/>
      <w:bookmarkEnd w:id="67"/>
      <w:bookmarkEnd w:id="68"/>
      <w:bookmarkStart w:id="70" w:name="_Toc176531252"/>
      <w:bookmarkStart w:id="71" w:name="_Toc176531105"/>
      <w:r>
        <w:rPr>
          <w:rFonts w:eastAsia="黑体"/>
          <w:b/>
          <w:bCs/>
          <w:sz w:val="36"/>
          <w:szCs w:val="32"/>
        </w:rPr>
        <w:t>控制指标</w:t>
      </w:r>
      <w:bookmarkEnd w:id="69"/>
      <w:bookmarkEnd w:id="70"/>
      <w:bookmarkEnd w:id="71"/>
    </w:p>
    <w:p>
      <w:pPr>
        <w:pStyle w:val="28"/>
        <w:ind w:left="357"/>
        <w:jc w:val="center"/>
        <w:outlineLvl w:val="1"/>
        <w:rPr>
          <w:rFonts w:eastAsia="黑体"/>
          <w:b/>
          <w:bCs/>
          <w:sz w:val="28"/>
          <w:szCs w:val="28"/>
        </w:rPr>
      </w:pPr>
      <w:bookmarkStart w:id="72" w:name="_Toc153218010"/>
      <w:bookmarkStart w:id="73" w:name="_Toc153217960"/>
      <w:bookmarkStart w:id="74" w:name="_Toc215047929"/>
      <w:r>
        <w:rPr>
          <w:rFonts w:eastAsia="黑体"/>
          <w:b/>
          <w:bCs/>
          <w:sz w:val="28"/>
          <w:szCs w:val="28"/>
        </w:rPr>
        <w:t>4.1</w:t>
      </w:r>
      <w:bookmarkEnd w:id="72"/>
      <w:bookmarkEnd w:id="73"/>
      <w:bookmarkStart w:id="75" w:name="_Toc176531106"/>
      <w:bookmarkStart w:id="76" w:name="_Toc176531253"/>
      <w:r>
        <w:rPr>
          <w:rFonts w:eastAsia="黑体"/>
          <w:b/>
          <w:bCs/>
          <w:sz w:val="28"/>
          <w:szCs w:val="28"/>
        </w:rPr>
        <w:t>室内环境参数</w:t>
      </w:r>
      <w:bookmarkEnd w:id="74"/>
      <w:bookmarkEnd w:id="75"/>
      <w:bookmarkEnd w:id="76"/>
    </w:p>
    <w:p>
      <w:pPr>
        <w:pStyle w:val="28"/>
        <w:spacing w:line="360" w:lineRule="auto"/>
        <w:outlineLvl w:val="2"/>
        <w:rPr>
          <w:b/>
          <w:bCs/>
          <w:kern w:val="2"/>
          <w:szCs w:val="24"/>
        </w:rPr>
      </w:pPr>
      <w:r>
        <w:rPr>
          <w:b/>
          <w:bCs/>
          <w:kern w:val="2"/>
          <w:szCs w:val="24"/>
        </w:rPr>
        <w:t xml:space="preserve">4.1.1 </w:t>
      </w:r>
      <w:r>
        <w:rPr>
          <w:kern w:val="2"/>
          <w:szCs w:val="24"/>
        </w:rPr>
        <w:t>铁路客站主要功能房间室内热湿环境参数应符合现行行业标准《铁路旅客车站设计规范》TB 10100</w:t>
      </w:r>
      <w:bookmarkStart w:id="77" w:name="OLE_LINK3"/>
      <w:r>
        <w:rPr>
          <w:kern w:val="2"/>
          <w:szCs w:val="24"/>
        </w:rPr>
        <w:t>的规定</w:t>
      </w:r>
      <w:bookmarkEnd w:id="77"/>
      <w:r>
        <w:rPr>
          <w:kern w:val="2"/>
          <w:szCs w:val="24"/>
        </w:rPr>
        <w:t>。</w:t>
      </w:r>
    </w:p>
    <w:p>
      <w:pPr>
        <w:pStyle w:val="28"/>
        <w:spacing w:line="360" w:lineRule="auto"/>
        <w:outlineLvl w:val="2"/>
        <w:rPr>
          <w:szCs w:val="24"/>
        </w:rPr>
      </w:pPr>
      <w:r>
        <w:rPr>
          <w:b/>
          <w:bCs/>
          <w:kern w:val="2"/>
          <w:szCs w:val="24"/>
        </w:rPr>
        <w:t xml:space="preserve">4.1.2 </w:t>
      </w:r>
      <w:r>
        <w:rPr>
          <w:kern w:val="2"/>
          <w:szCs w:val="24"/>
        </w:rPr>
        <w:t xml:space="preserve">铁路客站主要功能房间新风量应符合现行行业标准《铁路旅客车站设计规范》TB </w:t>
      </w:r>
      <w:bookmarkStart w:id="78" w:name="OLE_LINK10"/>
      <w:r>
        <w:rPr>
          <w:kern w:val="2"/>
          <w:szCs w:val="24"/>
        </w:rPr>
        <w:t>10100</w:t>
      </w:r>
      <w:bookmarkEnd w:id="78"/>
      <w:r>
        <w:rPr>
          <w:kern w:val="2"/>
          <w:szCs w:val="24"/>
        </w:rPr>
        <w:t>的规定。</w:t>
      </w:r>
    </w:p>
    <w:p>
      <w:pPr>
        <w:pStyle w:val="68"/>
        <w:rPr>
          <w:rFonts w:ascii="Times New Roman" w:hAnsi="Times New Roman" w:cs="Times New Roman"/>
        </w:rPr>
      </w:pPr>
      <w:r>
        <w:rPr>
          <w:rFonts w:ascii="Times New Roman" w:hAnsi="Times New Roman" w:cs="Times New Roman"/>
        </w:rPr>
        <w:t>【条文说明】</w:t>
      </w:r>
    </w:p>
    <w:p>
      <w:pPr>
        <w:pStyle w:val="68"/>
        <w:rPr>
          <w:rFonts w:ascii="Times New Roman" w:hAnsi="Times New Roman" w:cs="Times New Roman"/>
        </w:rPr>
      </w:pPr>
      <w:r>
        <w:rPr>
          <w:rFonts w:ascii="Times New Roman" w:hAnsi="Times New Roman" w:cs="Times New Roman"/>
        </w:rPr>
        <w:t>4.1.1~4.1.2条是设计人员选用室内环境设计参数时需要遵循的规定。健康、舒适的室内环境是零碳铁路的基本前提。性能化设计进行能耗计算和评价时使用的室内环境参数应与设计选用的室内环境参数相同。</w:t>
      </w:r>
    </w:p>
    <w:p>
      <w:pPr>
        <w:pStyle w:val="8"/>
      </w:pPr>
    </w:p>
    <w:p>
      <w:pPr>
        <w:pStyle w:val="28"/>
        <w:ind w:left="357"/>
        <w:jc w:val="center"/>
        <w:outlineLvl w:val="1"/>
        <w:rPr>
          <w:rFonts w:eastAsia="黑体"/>
          <w:b/>
          <w:bCs/>
          <w:sz w:val="28"/>
          <w:szCs w:val="28"/>
        </w:rPr>
      </w:pPr>
      <w:bookmarkStart w:id="79" w:name="_Toc153218011"/>
      <w:bookmarkStart w:id="80" w:name="_Toc153217961"/>
      <w:bookmarkStart w:id="81" w:name="_Toc215047930"/>
      <w:r>
        <w:rPr>
          <w:rFonts w:eastAsia="黑体"/>
          <w:b/>
          <w:bCs/>
          <w:sz w:val="28"/>
          <w:szCs w:val="28"/>
        </w:rPr>
        <w:t>4.2</w:t>
      </w:r>
      <w:bookmarkEnd w:id="79"/>
      <w:bookmarkEnd w:id="80"/>
      <w:bookmarkStart w:id="82" w:name="_Toc176531254"/>
      <w:bookmarkStart w:id="83" w:name="_Toc176531107"/>
      <w:r>
        <w:rPr>
          <w:rFonts w:eastAsia="黑体"/>
          <w:b/>
          <w:bCs/>
          <w:sz w:val="28"/>
          <w:szCs w:val="28"/>
        </w:rPr>
        <w:t>碳排放指标</w:t>
      </w:r>
      <w:bookmarkEnd w:id="81"/>
      <w:bookmarkEnd w:id="82"/>
      <w:bookmarkEnd w:id="83"/>
    </w:p>
    <w:p>
      <w:pPr>
        <w:pStyle w:val="28"/>
        <w:spacing w:line="360" w:lineRule="auto"/>
        <w:outlineLvl w:val="2"/>
        <w:rPr>
          <w:kern w:val="2"/>
          <w:szCs w:val="24"/>
        </w:rPr>
      </w:pPr>
      <w:r>
        <w:rPr>
          <w:b/>
          <w:bCs/>
          <w:kern w:val="2"/>
          <w:szCs w:val="24"/>
        </w:rPr>
        <w:t xml:space="preserve">4.2.1 </w:t>
      </w:r>
      <w:r>
        <w:rPr>
          <w:kern w:val="2"/>
          <w:szCs w:val="24"/>
        </w:rPr>
        <w:t>低碳铁路客站的</w:t>
      </w:r>
      <w:r>
        <w:rPr>
          <w:spacing w:val="-1"/>
        </w:rPr>
        <w:t>碳排放指标应满足下列条件之一：</w:t>
      </w:r>
    </w:p>
    <w:p>
      <w:pPr>
        <w:spacing w:line="360" w:lineRule="auto"/>
        <w:ind w:firstLine="482" w:firstLineChars="200"/>
        <w:rPr>
          <w:b/>
          <w:bCs/>
          <w:szCs w:val="24"/>
        </w:rPr>
      </w:pPr>
      <w:r>
        <w:rPr>
          <w:b/>
          <w:bCs/>
          <w:szCs w:val="24"/>
        </w:rPr>
        <w:t>1</w:t>
      </w:r>
      <w:r>
        <w:rPr>
          <w:szCs w:val="24"/>
        </w:rPr>
        <w:t xml:space="preserve"> 碳排放强度应不高于表4.2.1-1规定的限值。</w:t>
      </w:r>
    </w:p>
    <w:p>
      <w:pPr>
        <w:spacing w:before="156" w:beforeLines="50" w:after="156" w:afterLines="50"/>
        <w:jc w:val="center"/>
        <w:rPr>
          <w:b/>
          <w:bCs/>
          <w:kern w:val="2"/>
          <w:sz w:val="21"/>
        </w:rPr>
      </w:pPr>
      <w:r>
        <w:rPr>
          <w:rFonts w:hint="eastAsia"/>
          <w:b/>
          <w:bCs/>
          <w:kern w:val="2"/>
          <w:sz w:val="21"/>
        </w:rPr>
        <w:t>表</w:t>
      </w:r>
      <w:r>
        <w:rPr>
          <w:b/>
          <w:bCs/>
          <w:kern w:val="2"/>
          <w:sz w:val="21"/>
        </w:rPr>
        <w:t>4.2.1-1</w:t>
      </w:r>
      <w:r>
        <w:rPr>
          <w:rFonts w:hint="eastAsia"/>
          <w:b/>
          <w:bCs/>
          <w:kern w:val="2"/>
          <w:sz w:val="21"/>
        </w:rPr>
        <w:t>低碳铁路客站碳排放强度限值</w:t>
      </w:r>
      <w:r>
        <w:rPr>
          <w:b/>
          <w:bCs/>
          <w:kern w:val="2"/>
          <w:sz w:val="21"/>
        </w:rPr>
        <w:t>(kg CO</w:t>
      </w:r>
      <w:r>
        <w:rPr>
          <w:b/>
          <w:bCs/>
          <w:kern w:val="2"/>
          <w:sz w:val="21"/>
          <w:vertAlign w:val="subscript"/>
        </w:rPr>
        <w:t>2</w:t>
      </w:r>
      <w:r>
        <w:rPr>
          <w:b/>
          <w:bCs/>
          <w:kern w:val="2"/>
          <w:sz w:val="21"/>
        </w:rPr>
        <w:t>/m</w:t>
      </w:r>
      <w:r>
        <w:rPr>
          <w:b/>
          <w:bCs/>
          <w:kern w:val="2"/>
          <w:sz w:val="21"/>
          <w:vertAlign w:val="superscript"/>
        </w:rPr>
        <w:t>2</w:t>
      </w:r>
      <w:r>
        <w:rPr>
          <w:b/>
          <w:bCs/>
          <w:kern w:val="2"/>
          <w:sz w:val="21"/>
        </w:rPr>
        <w:t xml:space="preserve"> a)</w:t>
      </w:r>
    </w:p>
    <w:tbl>
      <w:tblPr>
        <w:tblStyle w:val="19"/>
        <w:tblW w:w="5000" w:type="pct"/>
        <w:tblInd w:w="0" w:type="dxa"/>
        <w:tblLayout w:type="fixed"/>
        <w:tblCellMar>
          <w:top w:w="0" w:type="dxa"/>
          <w:left w:w="108" w:type="dxa"/>
          <w:bottom w:w="0" w:type="dxa"/>
          <w:right w:w="108" w:type="dxa"/>
        </w:tblCellMar>
      </w:tblPr>
      <w:tblGrid>
        <w:gridCol w:w="1217"/>
        <w:gridCol w:w="1217"/>
        <w:gridCol w:w="1217"/>
        <w:gridCol w:w="1217"/>
        <w:gridCol w:w="1217"/>
        <w:gridCol w:w="1217"/>
        <w:gridCol w:w="1218"/>
      </w:tblGrid>
      <w:tr>
        <w:tblPrEx>
          <w:tblCellMar>
            <w:top w:w="0" w:type="dxa"/>
            <w:left w:w="108" w:type="dxa"/>
            <w:bottom w:w="0" w:type="dxa"/>
            <w:right w:w="108" w:type="dxa"/>
          </w:tblCellMar>
        </w:tblPrEx>
        <w:trPr>
          <w:trHeight w:val="1125" w:hRule="atLeast"/>
        </w:trPr>
        <w:tc>
          <w:tcPr>
            <w:tcW w:w="714" w:type="pct"/>
            <w:tcBorders>
              <w:top w:val="single" w:color="auto" w:sz="4" w:space="0"/>
              <w:left w:val="single" w:color="auto" w:sz="4" w:space="0"/>
              <w:bottom w:val="single" w:color="auto" w:sz="4" w:space="0"/>
              <w:right w:val="single" w:color="auto" w:sz="4" w:space="0"/>
              <w:tl2br w:val="single" w:color="auto" w:sz="4" w:space="0"/>
            </w:tcBorders>
            <w:noWrap/>
            <w:vAlign w:val="center"/>
          </w:tcPr>
          <w:p>
            <w:pPr>
              <w:widowControl/>
              <w:jc w:val="right"/>
              <w:rPr>
                <w:color w:val="000000"/>
                <w:sz w:val="21"/>
              </w:rPr>
            </w:pPr>
            <w:r>
              <w:rPr>
                <w:color w:val="000000"/>
                <w:sz w:val="21"/>
              </w:rPr>
              <w:t>站型</w:t>
            </w:r>
          </w:p>
          <w:p>
            <w:pPr>
              <w:widowControl/>
              <w:jc w:val="center"/>
              <w:rPr>
                <w:color w:val="000000"/>
                <w:sz w:val="21"/>
              </w:rPr>
            </w:pPr>
          </w:p>
          <w:p>
            <w:pPr>
              <w:widowControl/>
              <w:jc w:val="left"/>
              <w:rPr>
                <w:color w:val="000000"/>
                <w:sz w:val="21"/>
              </w:rPr>
            </w:pPr>
            <w:r>
              <w:rPr>
                <w:color w:val="000000"/>
                <w:sz w:val="21"/>
              </w:rPr>
              <w:t>气候区</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color w:val="000000"/>
                <w:sz w:val="21"/>
              </w:rPr>
              <w:t>线侧式小型站</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color w:val="000000"/>
                <w:sz w:val="21"/>
              </w:rPr>
              <w:t>桥式中型站</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color w:val="000000"/>
                <w:sz w:val="21"/>
              </w:rPr>
              <w:t>地下中型站</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color w:val="000000"/>
                <w:sz w:val="21"/>
              </w:rPr>
              <w:t>线侧式中型站</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color w:val="000000"/>
                <w:sz w:val="21"/>
              </w:rPr>
              <w:t>高架</w:t>
            </w:r>
            <w:bookmarkStart w:id="84" w:name="OLE_LINK4"/>
            <w:r>
              <w:rPr>
                <w:color w:val="000000"/>
                <w:sz w:val="21"/>
              </w:rPr>
              <w:t>（特）</w:t>
            </w:r>
            <w:bookmarkEnd w:id="84"/>
            <w:r>
              <w:rPr>
                <w:color w:val="000000"/>
                <w:sz w:val="21"/>
              </w:rPr>
              <w:t>大型站</w:t>
            </w:r>
          </w:p>
        </w:tc>
        <w:tc>
          <w:tcPr>
            <w:tcW w:w="715"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color w:val="000000"/>
                <w:sz w:val="21"/>
              </w:rPr>
              <w:t>地下（特）大型站</w:t>
            </w:r>
          </w:p>
        </w:tc>
      </w:tr>
      <w:tr>
        <w:tblPrEx>
          <w:tblCellMar>
            <w:top w:w="0" w:type="dxa"/>
            <w:left w:w="108" w:type="dxa"/>
            <w:bottom w:w="0" w:type="dxa"/>
            <w:right w:w="108" w:type="dxa"/>
          </w:tblCellMar>
        </w:tblPrEx>
        <w:trPr>
          <w:trHeight w:val="682" w:hRule="atLeast"/>
        </w:trPr>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rPr>
                <w:color w:val="000000"/>
                <w:sz w:val="21"/>
              </w:rPr>
            </w:pPr>
            <w:r>
              <w:rPr>
                <w:color w:val="000000"/>
                <w:sz w:val="21"/>
              </w:rPr>
              <w:t>严寒地区</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rFonts w:eastAsia="等线"/>
                <w:color w:val="000000"/>
                <w:sz w:val="21"/>
              </w:rPr>
            </w:pPr>
            <w:r>
              <w:rPr>
                <w:rFonts w:eastAsia="等线"/>
                <w:color w:val="000000"/>
                <w:sz w:val="21"/>
              </w:rPr>
              <w:t>91</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105</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63</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91</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91</w:t>
            </w:r>
          </w:p>
        </w:tc>
        <w:tc>
          <w:tcPr>
            <w:tcW w:w="715"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66</w:t>
            </w:r>
          </w:p>
        </w:tc>
      </w:tr>
      <w:tr>
        <w:tblPrEx>
          <w:tblCellMar>
            <w:top w:w="0" w:type="dxa"/>
            <w:left w:w="108" w:type="dxa"/>
            <w:bottom w:w="0" w:type="dxa"/>
            <w:right w:w="108" w:type="dxa"/>
          </w:tblCellMar>
        </w:tblPrEx>
        <w:trPr>
          <w:trHeight w:val="682" w:hRule="atLeast"/>
        </w:trPr>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rPr>
                <w:color w:val="000000"/>
                <w:sz w:val="21"/>
              </w:rPr>
            </w:pPr>
            <w:r>
              <w:rPr>
                <w:color w:val="000000"/>
                <w:sz w:val="21"/>
              </w:rPr>
              <w:t>寒冷地区</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rFonts w:eastAsia="等线"/>
                <w:color w:val="000000"/>
                <w:sz w:val="21"/>
              </w:rPr>
            </w:pPr>
            <w:r>
              <w:rPr>
                <w:rFonts w:eastAsia="等线"/>
                <w:color w:val="000000"/>
                <w:sz w:val="21"/>
              </w:rPr>
              <w:t>88</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104</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62</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90</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89</w:t>
            </w:r>
          </w:p>
        </w:tc>
        <w:tc>
          <w:tcPr>
            <w:tcW w:w="715"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63</w:t>
            </w:r>
          </w:p>
        </w:tc>
      </w:tr>
      <w:tr>
        <w:tblPrEx>
          <w:tblCellMar>
            <w:top w:w="0" w:type="dxa"/>
            <w:left w:w="108" w:type="dxa"/>
            <w:bottom w:w="0" w:type="dxa"/>
            <w:right w:w="108" w:type="dxa"/>
          </w:tblCellMar>
        </w:tblPrEx>
        <w:trPr>
          <w:trHeight w:val="682" w:hRule="atLeast"/>
        </w:trPr>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rPr>
                <w:color w:val="000000"/>
                <w:sz w:val="21"/>
              </w:rPr>
            </w:pPr>
            <w:r>
              <w:rPr>
                <w:color w:val="000000"/>
                <w:sz w:val="21"/>
              </w:rPr>
              <w:t>夏热冬冷地区</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rFonts w:eastAsia="等线"/>
                <w:color w:val="000000"/>
                <w:sz w:val="21"/>
              </w:rPr>
            </w:pPr>
            <w:r>
              <w:rPr>
                <w:rFonts w:eastAsia="等线"/>
                <w:color w:val="000000"/>
                <w:sz w:val="21"/>
              </w:rPr>
              <w:t>79</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93</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55</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83</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83</w:t>
            </w:r>
          </w:p>
        </w:tc>
        <w:tc>
          <w:tcPr>
            <w:tcW w:w="715"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52</w:t>
            </w:r>
          </w:p>
        </w:tc>
      </w:tr>
      <w:tr>
        <w:tblPrEx>
          <w:tblCellMar>
            <w:top w:w="0" w:type="dxa"/>
            <w:left w:w="108" w:type="dxa"/>
            <w:bottom w:w="0" w:type="dxa"/>
            <w:right w:w="108" w:type="dxa"/>
          </w:tblCellMar>
        </w:tblPrEx>
        <w:trPr>
          <w:trHeight w:val="682" w:hRule="atLeast"/>
        </w:trPr>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rPr>
                <w:color w:val="000000"/>
                <w:sz w:val="21"/>
              </w:rPr>
            </w:pPr>
            <w:r>
              <w:rPr>
                <w:color w:val="000000"/>
                <w:sz w:val="21"/>
              </w:rPr>
              <w:t>夏热冬暖地区</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rFonts w:eastAsia="等线"/>
                <w:color w:val="000000"/>
                <w:sz w:val="21"/>
              </w:rPr>
            </w:pPr>
            <w:r>
              <w:rPr>
                <w:rFonts w:eastAsia="等线"/>
                <w:color w:val="000000"/>
                <w:sz w:val="21"/>
              </w:rPr>
              <w:t>87</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95</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61</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88</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91</w:t>
            </w:r>
          </w:p>
        </w:tc>
        <w:tc>
          <w:tcPr>
            <w:tcW w:w="715"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52</w:t>
            </w:r>
          </w:p>
        </w:tc>
      </w:tr>
      <w:tr>
        <w:tblPrEx>
          <w:tblCellMar>
            <w:top w:w="0" w:type="dxa"/>
            <w:left w:w="108" w:type="dxa"/>
            <w:bottom w:w="0" w:type="dxa"/>
            <w:right w:w="108" w:type="dxa"/>
          </w:tblCellMar>
        </w:tblPrEx>
        <w:trPr>
          <w:trHeight w:val="682" w:hRule="atLeast"/>
        </w:trPr>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rPr>
                <w:color w:val="000000"/>
                <w:sz w:val="21"/>
              </w:rPr>
            </w:pPr>
            <w:r>
              <w:rPr>
                <w:color w:val="000000"/>
                <w:sz w:val="21"/>
              </w:rPr>
              <w:t>温和地区</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rFonts w:eastAsia="等线"/>
                <w:color w:val="000000"/>
                <w:sz w:val="21"/>
              </w:rPr>
            </w:pPr>
            <w:r>
              <w:rPr>
                <w:rFonts w:eastAsia="等线"/>
                <w:color w:val="000000"/>
                <w:sz w:val="21"/>
              </w:rPr>
              <w:t>67</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64</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41</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56</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58</w:t>
            </w:r>
          </w:p>
        </w:tc>
        <w:tc>
          <w:tcPr>
            <w:tcW w:w="715"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45</w:t>
            </w:r>
          </w:p>
        </w:tc>
      </w:tr>
    </w:tbl>
    <w:p>
      <w:pPr>
        <w:spacing w:line="360" w:lineRule="auto"/>
        <w:ind w:firstLine="482" w:firstLineChars="200"/>
        <w:rPr>
          <w:szCs w:val="24"/>
        </w:rPr>
      </w:pPr>
      <w:r>
        <w:rPr>
          <w:b/>
          <w:bCs/>
          <w:szCs w:val="24"/>
        </w:rPr>
        <w:t>2</w:t>
      </w:r>
      <w:r>
        <w:rPr>
          <w:szCs w:val="24"/>
        </w:rPr>
        <w:t xml:space="preserve"> 降碳率应符合表 4.2.1-2 的规定。</w:t>
      </w:r>
    </w:p>
    <w:p>
      <w:pPr>
        <w:spacing w:before="156" w:beforeLines="50" w:after="156" w:afterLines="50"/>
        <w:jc w:val="center"/>
        <w:rPr>
          <w:b/>
          <w:bCs/>
          <w:kern w:val="2"/>
          <w:sz w:val="21"/>
        </w:rPr>
      </w:pPr>
      <w:r>
        <w:rPr>
          <w:rFonts w:hint="eastAsia"/>
          <w:b/>
          <w:bCs/>
          <w:kern w:val="2"/>
          <w:sz w:val="21"/>
        </w:rPr>
        <w:t>表</w:t>
      </w:r>
      <w:r>
        <w:rPr>
          <w:b/>
          <w:bCs/>
          <w:kern w:val="2"/>
          <w:sz w:val="21"/>
        </w:rPr>
        <w:t xml:space="preserve"> 4.2.1-2 </w:t>
      </w:r>
      <w:r>
        <w:rPr>
          <w:rFonts w:hint="eastAsia"/>
          <w:b/>
          <w:bCs/>
          <w:kern w:val="2"/>
          <w:sz w:val="21"/>
        </w:rPr>
        <w:t>低碳铁路客站降碳率</w:t>
      </w:r>
      <w:r>
        <w:rPr>
          <w:b/>
          <w:bCs/>
          <w:kern w:val="2"/>
          <w:sz w:val="21"/>
        </w:rPr>
        <w:t>(%)</w:t>
      </w:r>
    </w:p>
    <w:tbl>
      <w:tblPr>
        <w:tblStyle w:val="19"/>
        <w:tblW w:w="5000" w:type="pct"/>
        <w:tblInd w:w="0" w:type="dxa"/>
        <w:tblLayout w:type="fixed"/>
        <w:tblCellMar>
          <w:top w:w="0" w:type="dxa"/>
          <w:left w:w="108" w:type="dxa"/>
          <w:bottom w:w="0" w:type="dxa"/>
          <w:right w:w="108" w:type="dxa"/>
        </w:tblCellMar>
      </w:tblPr>
      <w:tblGrid>
        <w:gridCol w:w="1217"/>
        <w:gridCol w:w="1217"/>
        <w:gridCol w:w="1217"/>
        <w:gridCol w:w="1217"/>
        <w:gridCol w:w="1217"/>
        <w:gridCol w:w="1217"/>
        <w:gridCol w:w="1218"/>
      </w:tblGrid>
      <w:tr>
        <w:tblPrEx>
          <w:tblCellMar>
            <w:top w:w="0" w:type="dxa"/>
            <w:left w:w="108" w:type="dxa"/>
            <w:bottom w:w="0" w:type="dxa"/>
            <w:right w:w="108" w:type="dxa"/>
          </w:tblCellMar>
        </w:tblPrEx>
        <w:trPr>
          <w:trHeight w:val="1125" w:hRule="atLeast"/>
        </w:trPr>
        <w:tc>
          <w:tcPr>
            <w:tcW w:w="714" w:type="pct"/>
            <w:tcBorders>
              <w:top w:val="single" w:color="auto" w:sz="4" w:space="0"/>
              <w:left w:val="single" w:color="auto" w:sz="4" w:space="0"/>
              <w:bottom w:val="single" w:color="auto" w:sz="4" w:space="0"/>
              <w:right w:val="single" w:color="auto" w:sz="4" w:space="0"/>
              <w:tl2br w:val="single" w:color="auto" w:sz="4" w:space="0"/>
            </w:tcBorders>
            <w:noWrap/>
            <w:vAlign w:val="center"/>
          </w:tcPr>
          <w:p>
            <w:pPr>
              <w:widowControl/>
              <w:jc w:val="right"/>
              <w:rPr>
                <w:color w:val="000000"/>
                <w:sz w:val="21"/>
              </w:rPr>
            </w:pPr>
            <w:r>
              <w:rPr>
                <w:color w:val="000000"/>
                <w:sz w:val="21"/>
              </w:rPr>
              <w:t>站型</w:t>
            </w:r>
          </w:p>
          <w:p>
            <w:pPr>
              <w:widowControl/>
              <w:jc w:val="center"/>
              <w:rPr>
                <w:color w:val="000000"/>
                <w:sz w:val="21"/>
              </w:rPr>
            </w:pPr>
          </w:p>
          <w:p>
            <w:pPr>
              <w:widowControl/>
              <w:jc w:val="left"/>
              <w:rPr>
                <w:color w:val="000000"/>
                <w:sz w:val="21"/>
              </w:rPr>
            </w:pPr>
            <w:r>
              <w:rPr>
                <w:color w:val="000000"/>
                <w:sz w:val="21"/>
              </w:rPr>
              <w:t>气候区</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color w:val="000000"/>
                <w:sz w:val="21"/>
              </w:rPr>
              <w:t>线侧式小型站</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color w:val="000000"/>
                <w:sz w:val="21"/>
              </w:rPr>
              <w:t>桥式中型站</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color w:val="000000"/>
                <w:sz w:val="21"/>
              </w:rPr>
              <w:t>地下中型站</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color w:val="000000"/>
                <w:sz w:val="21"/>
              </w:rPr>
              <w:t>线侧式中型站</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color w:val="000000"/>
                <w:sz w:val="21"/>
              </w:rPr>
              <w:t>高架（特）大型站</w:t>
            </w:r>
          </w:p>
        </w:tc>
        <w:tc>
          <w:tcPr>
            <w:tcW w:w="715"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color w:val="000000"/>
                <w:sz w:val="21"/>
              </w:rPr>
              <w:t>地下（特）大型站</w:t>
            </w:r>
          </w:p>
        </w:tc>
      </w:tr>
      <w:tr>
        <w:tblPrEx>
          <w:tblCellMar>
            <w:top w:w="0" w:type="dxa"/>
            <w:left w:w="108" w:type="dxa"/>
            <w:bottom w:w="0" w:type="dxa"/>
            <w:right w:w="108" w:type="dxa"/>
          </w:tblCellMar>
        </w:tblPrEx>
        <w:trPr>
          <w:trHeight w:val="682" w:hRule="atLeast"/>
        </w:trPr>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rPr>
                <w:color w:val="000000"/>
                <w:sz w:val="21"/>
              </w:rPr>
            </w:pPr>
            <w:r>
              <w:rPr>
                <w:color w:val="000000"/>
                <w:sz w:val="21"/>
              </w:rPr>
              <w:t>严寒地区</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≥36</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≥37</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w:t>
            </w:r>
            <w:r>
              <w:rPr>
                <w:rFonts w:eastAsia="等线"/>
                <w:sz w:val="22"/>
                <w:szCs w:val="22"/>
              </w:rPr>
              <w:t>25</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≥36</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≥35</w:t>
            </w:r>
          </w:p>
        </w:tc>
        <w:tc>
          <w:tcPr>
            <w:tcW w:w="715"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≥20</w:t>
            </w:r>
          </w:p>
        </w:tc>
      </w:tr>
      <w:tr>
        <w:tblPrEx>
          <w:tblCellMar>
            <w:top w:w="0" w:type="dxa"/>
            <w:left w:w="108" w:type="dxa"/>
            <w:bottom w:w="0" w:type="dxa"/>
            <w:right w:w="108" w:type="dxa"/>
          </w:tblCellMar>
        </w:tblPrEx>
        <w:trPr>
          <w:trHeight w:val="682" w:hRule="atLeast"/>
        </w:trPr>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rPr>
                <w:color w:val="000000"/>
                <w:sz w:val="21"/>
              </w:rPr>
            </w:pPr>
            <w:r>
              <w:rPr>
                <w:color w:val="000000"/>
                <w:sz w:val="21"/>
              </w:rPr>
              <w:t>寒冷地区</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≥31</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≥32</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w:t>
            </w:r>
            <w:r>
              <w:rPr>
                <w:rFonts w:eastAsia="等线"/>
                <w:sz w:val="22"/>
                <w:szCs w:val="22"/>
              </w:rPr>
              <w:t>26</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≥31</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≥31</w:t>
            </w:r>
          </w:p>
        </w:tc>
        <w:tc>
          <w:tcPr>
            <w:tcW w:w="715"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≥18</w:t>
            </w:r>
          </w:p>
        </w:tc>
      </w:tr>
      <w:tr>
        <w:tblPrEx>
          <w:tblCellMar>
            <w:top w:w="0" w:type="dxa"/>
            <w:left w:w="108" w:type="dxa"/>
            <w:bottom w:w="0" w:type="dxa"/>
            <w:right w:w="108" w:type="dxa"/>
          </w:tblCellMar>
        </w:tblPrEx>
        <w:trPr>
          <w:trHeight w:val="682" w:hRule="atLeast"/>
        </w:trPr>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rPr>
                <w:color w:val="000000"/>
                <w:sz w:val="21"/>
              </w:rPr>
            </w:pPr>
            <w:r>
              <w:rPr>
                <w:color w:val="000000"/>
                <w:sz w:val="21"/>
              </w:rPr>
              <w:t>夏热冬冷地区</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≥27</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≥27</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w:t>
            </w:r>
            <w:r>
              <w:rPr>
                <w:rFonts w:eastAsia="等线"/>
                <w:sz w:val="22"/>
                <w:szCs w:val="22"/>
              </w:rPr>
              <w:t>24</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≥27</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≥26</w:t>
            </w:r>
          </w:p>
        </w:tc>
        <w:tc>
          <w:tcPr>
            <w:tcW w:w="715"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≥16</w:t>
            </w:r>
          </w:p>
        </w:tc>
      </w:tr>
      <w:tr>
        <w:tblPrEx>
          <w:tblCellMar>
            <w:top w:w="0" w:type="dxa"/>
            <w:left w:w="108" w:type="dxa"/>
            <w:bottom w:w="0" w:type="dxa"/>
            <w:right w:w="108" w:type="dxa"/>
          </w:tblCellMar>
        </w:tblPrEx>
        <w:trPr>
          <w:trHeight w:val="682" w:hRule="atLeast"/>
        </w:trPr>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rPr>
                <w:color w:val="000000"/>
                <w:sz w:val="21"/>
              </w:rPr>
            </w:pPr>
            <w:r>
              <w:rPr>
                <w:color w:val="000000"/>
                <w:sz w:val="21"/>
              </w:rPr>
              <w:t>夏热冬暖地区</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≥27</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≥27</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w:t>
            </w:r>
            <w:r>
              <w:rPr>
                <w:rFonts w:eastAsia="等线"/>
                <w:sz w:val="22"/>
                <w:szCs w:val="22"/>
              </w:rPr>
              <w:t>21</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≥27</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≥27</w:t>
            </w:r>
          </w:p>
        </w:tc>
        <w:tc>
          <w:tcPr>
            <w:tcW w:w="715"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≥17</w:t>
            </w:r>
          </w:p>
        </w:tc>
      </w:tr>
      <w:tr>
        <w:tblPrEx>
          <w:tblCellMar>
            <w:top w:w="0" w:type="dxa"/>
            <w:left w:w="108" w:type="dxa"/>
            <w:bottom w:w="0" w:type="dxa"/>
            <w:right w:w="108" w:type="dxa"/>
          </w:tblCellMar>
        </w:tblPrEx>
        <w:trPr>
          <w:trHeight w:val="682" w:hRule="atLeast"/>
        </w:trPr>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rPr>
                <w:color w:val="000000"/>
                <w:sz w:val="21"/>
              </w:rPr>
            </w:pPr>
            <w:r>
              <w:rPr>
                <w:color w:val="000000"/>
                <w:sz w:val="21"/>
              </w:rPr>
              <w:t>温和地区</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≥25</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≥25</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w:t>
            </w:r>
            <w:r>
              <w:rPr>
                <w:rFonts w:eastAsia="等线"/>
                <w:sz w:val="22"/>
                <w:szCs w:val="22"/>
              </w:rPr>
              <w:t>26</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≥25</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≥24</w:t>
            </w:r>
          </w:p>
        </w:tc>
        <w:tc>
          <w:tcPr>
            <w:tcW w:w="715"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≥11</w:t>
            </w:r>
          </w:p>
        </w:tc>
      </w:tr>
    </w:tbl>
    <w:p>
      <w:pPr>
        <w:pStyle w:val="28"/>
        <w:spacing w:line="360" w:lineRule="auto"/>
        <w:outlineLvl w:val="2"/>
        <w:rPr>
          <w:kern w:val="2"/>
          <w:szCs w:val="24"/>
        </w:rPr>
      </w:pPr>
      <w:r>
        <w:rPr>
          <w:b/>
          <w:bCs/>
          <w:kern w:val="2"/>
          <w:szCs w:val="24"/>
        </w:rPr>
        <w:t xml:space="preserve">4.2.2 </w:t>
      </w:r>
      <w:r>
        <w:rPr>
          <w:kern w:val="2"/>
          <w:szCs w:val="24"/>
        </w:rPr>
        <w:t>近零碳铁路客站的</w:t>
      </w:r>
      <w:r>
        <w:rPr>
          <w:spacing w:val="-1"/>
        </w:rPr>
        <w:t>碳排放指标应满足下列条件之一：</w:t>
      </w:r>
    </w:p>
    <w:p>
      <w:pPr>
        <w:spacing w:line="360" w:lineRule="auto"/>
        <w:ind w:firstLine="482" w:firstLineChars="200"/>
        <w:rPr>
          <w:szCs w:val="24"/>
        </w:rPr>
      </w:pPr>
      <w:r>
        <w:rPr>
          <w:b/>
          <w:bCs/>
          <w:szCs w:val="24"/>
        </w:rPr>
        <w:t>1</w:t>
      </w:r>
      <w:r>
        <w:rPr>
          <w:szCs w:val="24"/>
        </w:rPr>
        <w:t xml:space="preserve"> 碳排放强度应不高于表4.2.2-1规定的限值。</w:t>
      </w:r>
    </w:p>
    <w:p>
      <w:pPr>
        <w:spacing w:before="156" w:beforeLines="50" w:after="156" w:afterLines="50"/>
        <w:jc w:val="center"/>
        <w:rPr>
          <w:b/>
          <w:bCs/>
          <w:kern w:val="2"/>
          <w:sz w:val="21"/>
        </w:rPr>
      </w:pPr>
      <w:r>
        <w:rPr>
          <w:rFonts w:hint="eastAsia"/>
          <w:b/>
          <w:bCs/>
          <w:kern w:val="2"/>
          <w:sz w:val="21"/>
        </w:rPr>
        <w:t>表</w:t>
      </w:r>
      <w:r>
        <w:rPr>
          <w:b/>
          <w:bCs/>
          <w:kern w:val="2"/>
          <w:sz w:val="21"/>
        </w:rPr>
        <w:t>4.2.2-1</w:t>
      </w:r>
      <w:r>
        <w:rPr>
          <w:rFonts w:hint="eastAsia"/>
          <w:b/>
          <w:bCs/>
          <w:kern w:val="2"/>
          <w:sz w:val="21"/>
        </w:rPr>
        <w:t>近零碳铁路客站碳排放强度限值</w:t>
      </w:r>
      <w:r>
        <w:rPr>
          <w:b/>
          <w:bCs/>
          <w:kern w:val="2"/>
          <w:sz w:val="21"/>
        </w:rPr>
        <w:t>(kg CO</w:t>
      </w:r>
      <w:r>
        <w:rPr>
          <w:b/>
          <w:bCs/>
          <w:kern w:val="2"/>
          <w:sz w:val="21"/>
          <w:vertAlign w:val="subscript"/>
        </w:rPr>
        <w:t>2</w:t>
      </w:r>
      <w:r>
        <w:rPr>
          <w:b/>
          <w:bCs/>
          <w:kern w:val="2"/>
          <w:sz w:val="21"/>
        </w:rPr>
        <w:t>/m</w:t>
      </w:r>
      <w:r>
        <w:rPr>
          <w:b/>
          <w:bCs/>
          <w:kern w:val="2"/>
          <w:sz w:val="21"/>
          <w:vertAlign w:val="superscript"/>
        </w:rPr>
        <w:t>2</w:t>
      </w:r>
      <w:r>
        <w:rPr>
          <w:b/>
          <w:bCs/>
          <w:kern w:val="2"/>
          <w:sz w:val="21"/>
        </w:rPr>
        <w:t xml:space="preserve"> a)</w:t>
      </w:r>
    </w:p>
    <w:tbl>
      <w:tblPr>
        <w:tblStyle w:val="19"/>
        <w:tblW w:w="5000" w:type="pct"/>
        <w:tblInd w:w="0" w:type="dxa"/>
        <w:tblLayout w:type="fixed"/>
        <w:tblCellMar>
          <w:top w:w="0" w:type="dxa"/>
          <w:left w:w="108" w:type="dxa"/>
          <w:bottom w:w="0" w:type="dxa"/>
          <w:right w:w="108" w:type="dxa"/>
        </w:tblCellMar>
      </w:tblPr>
      <w:tblGrid>
        <w:gridCol w:w="1217"/>
        <w:gridCol w:w="1217"/>
        <w:gridCol w:w="1217"/>
        <w:gridCol w:w="1217"/>
        <w:gridCol w:w="1217"/>
        <w:gridCol w:w="1217"/>
        <w:gridCol w:w="1218"/>
      </w:tblGrid>
      <w:tr>
        <w:tblPrEx>
          <w:tblCellMar>
            <w:top w:w="0" w:type="dxa"/>
            <w:left w:w="108" w:type="dxa"/>
            <w:bottom w:w="0" w:type="dxa"/>
            <w:right w:w="108" w:type="dxa"/>
          </w:tblCellMar>
        </w:tblPrEx>
        <w:trPr>
          <w:trHeight w:val="1125" w:hRule="atLeast"/>
        </w:trPr>
        <w:tc>
          <w:tcPr>
            <w:tcW w:w="714" w:type="pct"/>
            <w:tcBorders>
              <w:top w:val="single" w:color="auto" w:sz="4" w:space="0"/>
              <w:left w:val="single" w:color="auto" w:sz="4" w:space="0"/>
              <w:bottom w:val="single" w:color="auto" w:sz="4" w:space="0"/>
              <w:right w:val="single" w:color="auto" w:sz="4" w:space="0"/>
              <w:tl2br w:val="single" w:color="auto" w:sz="4" w:space="0"/>
            </w:tcBorders>
            <w:noWrap/>
            <w:vAlign w:val="center"/>
          </w:tcPr>
          <w:p>
            <w:pPr>
              <w:widowControl/>
              <w:jc w:val="right"/>
              <w:rPr>
                <w:color w:val="000000"/>
                <w:sz w:val="21"/>
              </w:rPr>
            </w:pPr>
            <w:r>
              <w:rPr>
                <w:color w:val="000000"/>
                <w:sz w:val="21"/>
              </w:rPr>
              <w:t>站型</w:t>
            </w:r>
          </w:p>
          <w:p>
            <w:pPr>
              <w:widowControl/>
              <w:jc w:val="center"/>
              <w:rPr>
                <w:color w:val="000000"/>
                <w:sz w:val="21"/>
              </w:rPr>
            </w:pPr>
          </w:p>
          <w:p>
            <w:pPr>
              <w:widowControl/>
              <w:jc w:val="left"/>
              <w:rPr>
                <w:color w:val="000000"/>
                <w:sz w:val="21"/>
              </w:rPr>
            </w:pPr>
            <w:r>
              <w:rPr>
                <w:color w:val="000000"/>
                <w:sz w:val="21"/>
              </w:rPr>
              <w:t>气候区</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color w:val="000000"/>
                <w:sz w:val="21"/>
              </w:rPr>
              <w:t>线侧式小型站</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color w:val="000000"/>
                <w:sz w:val="21"/>
              </w:rPr>
              <w:t>桥式中型站</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color w:val="000000"/>
                <w:sz w:val="21"/>
              </w:rPr>
              <w:t>地下中型站</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color w:val="000000"/>
                <w:sz w:val="21"/>
              </w:rPr>
              <w:t>线侧式中型站</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color w:val="000000"/>
                <w:sz w:val="21"/>
              </w:rPr>
              <w:t>高架（特）大型站</w:t>
            </w:r>
          </w:p>
        </w:tc>
        <w:tc>
          <w:tcPr>
            <w:tcW w:w="715"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color w:val="000000"/>
                <w:sz w:val="21"/>
              </w:rPr>
              <w:t>地下（特）大型站</w:t>
            </w:r>
          </w:p>
        </w:tc>
      </w:tr>
      <w:tr>
        <w:tblPrEx>
          <w:tblCellMar>
            <w:top w:w="0" w:type="dxa"/>
            <w:left w:w="108" w:type="dxa"/>
            <w:bottom w:w="0" w:type="dxa"/>
            <w:right w:w="108" w:type="dxa"/>
          </w:tblCellMar>
        </w:tblPrEx>
        <w:trPr>
          <w:trHeight w:val="682" w:hRule="atLeast"/>
        </w:trPr>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rPr>
                <w:color w:val="000000"/>
                <w:sz w:val="21"/>
              </w:rPr>
            </w:pPr>
            <w:r>
              <w:rPr>
                <w:color w:val="000000"/>
                <w:sz w:val="21"/>
              </w:rPr>
              <w:t>严寒地区</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rFonts w:eastAsia="等线"/>
                <w:color w:val="000000"/>
                <w:sz w:val="21"/>
              </w:rPr>
            </w:pPr>
            <w:r>
              <w:rPr>
                <w:rFonts w:eastAsia="等线"/>
                <w:color w:val="000000"/>
                <w:sz w:val="21"/>
              </w:rPr>
              <w:t>68</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80</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51</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68</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67</w:t>
            </w:r>
          </w:p>
        </w:tc>
        <w:tc>
          <w:tcPr>
            <w:tcW w:w="715"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57</w:t>
            </w:r>
          </w:p>
        </w:tc>
      </w:tr>
      <w:tr>
        <w:trPr>
          <w:trHeight w:val="682" w:hRule="atLeast"/>
        </w:trPr>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rPr>
                <w:color w:val="000000"/>
                <w:sz w:val="21"/>
              </w:rPr>
            </w:pPr>
            <w:r>
              <w:rPr>
                <w:color w:val="000000"/>
                <w:sz w:val="21"/>
              </w:rPr>
              <w:t>寒冷地区</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rFonts w:eastAsia="等线"/>
                <w:color w:val="000000"/>
                <w:sz w:val="21"/>
              </w:rPr>
            </w:pPr>
            <w:r>
              <w:rPr>
                <w:rFonts w:eastAsia="等线"/>
                <w:color w:val="000000"/>
                <w:sz w:val="21"/>
              </w:rPr>
              <w:t>70</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84</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48</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72</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72</w:t>
            </w:r>
          </w:p>
        </w:tc>
        <w:tc>
          <w:tcPr>
            <w:tcW w:w="715"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54</w:t>
            </w:r>
          </w:p>
        </w:tc>
      </w:tr>
      <w:tr>
        <w:tblPrEx>
          <w:tblCellMar>
            <w:top w:w="0" w:type="dxa"/>
            <w:left w:w="108" w:type="dxa"/>
            <w:bottom w:w="0" w:type="dxa"/>
            <w:right w:w="108" w:type="dxa"/>
          </w:tblCellMar>
        </w:tblPrEx>
        <w:trPr>
          <w:trHeight w:val="682" w:hRule="atLeast"/>
        </w:trPr>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rPr>
                <w:color w:val="000000"/>
                <w:sz w:val="21"/>
              </w:rPr>
            </w:pPr>
            <w:r>
              <w:rPr>
                <w:color w:val="000000"/>
                <w:sz w:val="21"/>
              </w:rPr>
              <w:t>夏热冬冷地区</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rFonts w:eastAsia="等线"/>
                <w:color w:val="000000"/>
                <w:sz w:val="21"/>
              </w:rPr>
            </w:pPr>
            <w:r>
              <w:rPr>
                <w:rFonts w:eastAsia="等线"/>
                <w:color w:val="000000"/>
                <w:sz w:val="21"/>
              </w:rPr>
              <w:t>63</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75</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45</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67</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66</w:t>
            </w:r>
          </w:p>
        </w:tc>
        <w:tc>
          <w:tcPr>
            <w:tcW w:w="715"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46</w:t>
            </w:r>
          </w:p>
        </w:tc>
      </w:tr>
      <w:tr>
        <w:tblPrEx>
          <w:tblCellMar>
            <w:top w:w="0" w:type="dxa"/>
            <w:left w:w="108" w:type="dxa"/>
            <w:bottom w:w="0" w:type="dxa"/>
            <w:right w:w="108" w:type="dxa"/>
          </w:tblCellMar>
        </w:tblPrEx>
        <w:trPr>
          <w:trHeight w:val="682" w:hRule="atLeast"/>
        </w:trPr>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rPr>
                <w:color w:val="000000"/>
                <w:sz w:val="21"/>
              </w:rPr>
            </w:pPr>
            <w:r>
              <w:rPr>
                <w:color w:val="000000"/>
                <w:sz w:val="21"/>
              </w:rPr>
              <w:t>夏热冬暖地区</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rFonts w:eastAsia="等线"/>
                <w:color w:val="000000"/>
                <w:sz w:val="21"/>
              </w:rPr>
            </w:pPr>
            <w:r>
              <w:rPr>
                <w:rFonts w:eastAsia="等线"/>
                <w:color w:val="000000"/>
                <w:sz w:val="21"/>
              </w:rPr>
              <w:t>69</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75</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51</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70</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72</w:t>
            </w:r>
          </w:p>
        </w:tc>
        <w:tc>
          <w:tcPr>
            <w:tcW w:w="715"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46</w:t>
            </w:r>
          </w:p>
        </w:tc>
      </w:tr>
      <w:tr>
        <w:tblPrEx>
          <w:tblCellMar>
            <w:top w:w="0" w:type="dxa"/>
            <w:left w:w="108" w:type="dxa"/>
            <w:bottom w:w="0" w:type="dxa"/>
            <w:right w:w="108" w:type="dxa"/>
          </w:tblCellMar>
        </w:tblPrEx>
        <w:trPr>
          <w:trHeight w:val="682" w:hRule="atLeast"/>
        </w:trPr>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rPr>
                <w:color w:val="000000"/>
                <w:sz w:val="21"/>
              </w:rPr>
            </w:pPr>
            <w:r>
              <w:rPr>
                <w:color w:val="000000"/>
                <w:sz w:val="21"/>
              </w:rPr>
              <w:t>温和地区</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rFonts w:eastAsia="等线"/>
                <w:color w:val="000000"/>
                <w:sz w:val="21"/>
              </w:rPr>
            </w:pPr>
            <w:r>
              <w:rPr>
                <w:rFonts w:eastAsia="等线"/>
                <w:color w:val="000000"/>
                <w:sz w:val="21"/>
              </w:rPr>
              <w:t>37</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36</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33</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31</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32</w:t>
            </w:r>
          </w:p>
        </w:tc>
        <w:tc>
          <w:tcPr>
            <w:tcW w:w="715"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1"/>
              </w:rPr>
              <w:t>41</w:t>
            </w:r>
          </w:p>
        </w:tc>
      </w:tr>
    </w:tbl>
    <w:p>
      <w:pPr>
        <w:spacing w:line="360" w:lineRule="auto"/>
        <w:ind w:firstLine="482" w:firstLineChars="200"/>
        <w:rPr>
          <w:szCs w:val="24"/>
        </w:rPr>
      </w:pPr>
      <w:r>
        <w:rPr>
          <w:b/>
          <w:bCs/>
          <w:szCs w:val="24"/>
        </w:rPr>
        <w:t>2</w:t>
      </w:r>
      <w:r>
        <w:rPr>
          <w:szCs w:val="24"/>
        </w:rPr>
        <w:t xml:space="preserve"> 降碳率应符合表 4.2.2-2 的规定。</w:t>
      </w:r>
    </w:p>
    <w:p>
      <w:pPr>
        <w:spacing w:before="156" w:beforeLines="50" w:after="156" w:afterLines="50"/>
        <w:jc w:val="center"/>
        <w:rPr>
          <w:b/>
          <w:bCs/>
          <w:kern w:val="2"/>
          <w:sz w:val="21"/>
        </w:rPr>
      </w:pPr>
      <w:r>
        <w:rPr>
          <w:rFonts w:hint="eastAsia"/>
          <w:b/>
          <w:bCs/>
          <w:kern w:val="2"/>
          <w:sz w:val="21"/>
        </w:rPr>
        <w:t>表</w:t>
      </w:r>
      <w:r>
        <w:rPr>
          <w:b/>
          <w:bCs/>
          <w:kern w:val="2"/>
          <w:sz w:val="21"/>
        </w:rPr>
        <w:t xml:space="preserve"> 4.2.2-2 </w:t>
      </w:r>
      <w:r>
        <w:rPr>
          <w:rFonts w:hint="eastAsia"/>
          <w:b/>
          <w:bCs/>
          <w:kern w:val="2"/>
          <w:sz w:val="21"/>
        </w:rPr>
        <w:t>近零碳铁路客站降碳率</w:t>
      </w:r>
      <w:r>
        <w:rPr>
          <w:b/>
          <w:bCs/>
          <w:kern w:val="2"/>
          <w:sz w:val="21"/>
        </w:rPr>
        <w:t>(%)</w:t>
      </w:r>
    </w:p>
    <w:tbl>
      <w:tblPr>
        <w:tblStyle w:val="19"/>
        <w:tblW w:w="5000" w:type="pct"/>
        <w:tblInd w:w="0" w:type="dxa"/>
        <w:tblLayout w:type="fixed"/>
        <w:tblCellMar>
          <w:top w:w="0" w:type="dxa"/>
          <w:left w:w="108" w:type="dxa"/>
          <w:bottom w:w="0" w:type="dxa"/>
          <w:right w:w="108" w:type="dxa"/>
        </w:tblCellMar>
      </w:tblPr>
      <w:tblGrid>
        <w:gridCol w:w="1217"/>
        <w:gridCol w:w="1217"/>
        <w:gridCol w:w="1217"/>
        <w:gridCol w:w="1217"/>
        <w:gridCol w:w="1217"/>
        <w:gridCol w:w="1217"/>
        <w:gridCol w:w="1218"/>
      </w:tblGrid>
      <w:tr>
        <w:tblPrEx>
          <w:tblCellMar>
            <w:top w:w="0" w:type="dxa"/>
            <w:left w:w="108" w:type="dxa"/>
            <w:bottom w:w="0" w:type="dxa"/>
            <w:right w:w="108" w:type="dxa"/>
          </w:tblCellMar>
        </w:tblPrEx>
        <w:trPr>
          <w:trHeight w:val="1125" w:hRule="atLeast"/>
        </w:trPr>
        <w:tc>
          <w:tcPr>
            <w:tcW w:w="714" w:type="pct"/>
            <w:tcBorders>
              <w:top w:val="single" w:color="auto" w:sz="4" w:space="0"/>
              <w:left w:val="single" w:color="auto" w:sz="4" w:space="0"/>
              <w:bottom w:val="single" w:color="auto" w:sz="4" w:space="0"/>
              <w:right w:val="single" w:color="auto" w:sz="4" w:space="0"/>
              <w:tl2br w:val="single" w:color="auto" w:sz="4" w:space="0"/>
            </w:tcBorders>
            <w:noWrap/>
            <w:vAlign w:val="center"/>
          </w:tcPr>
          <w:p>
            <w:pPr>
              <w:widowControl/>
              <w:jc w:val="right"/>
              <w:rPr>
                <w:color w:val="000000"/>
                <w:sz w:val="21"/>
              </w:rPr>
            </w:pPr>
            <w:r>
              <w:rPr>
                <w:color w:val="000000"/>
                <w:sz w:val="21"/>
              </w:rPr>
              <w:t>站型</w:t>
            </w:r>
          </w:p>
          <w:p>
            <w:pPr>
              <w:widowControl/>
              <w:jc w:val="center"/>
              <w:rPr>
                <w:color w:val="000000"/>
                <w:sz w:val="21"/>
              </w:rPr>
            </w:pPr>
          </w:p>
          <w:p>
            <w:pPr>
              <w:widowControl/>
              <w:jc w:val="left"/>
              <w:rPr>
                <w:color w:val="000000"/>
                <w:sz w:val="21"/>
              </w:rPr>
            </w:pPr>
            <w:r>
              <w:rPr>
                <w:color w:val="000000"/>
                <w:sz w:val="21"/>
              </w:rPr>
              <w:t>气候区</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color w:val="000000"/>
                <w:sz w:val="21"/>
              </w:rPr>
              <w:t>线侧式小型站</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color w:val="000000"/>
                <w:sz w:val="21"/>
              </w:rPr>
              <w:t>桥式中型站</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color w:val="000000"/>
                <w:sz w:val="21"/>
              </w:rPr>
              <w:t>地下中型站</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color w:val="000000"/>
                <w:sz w:val="21"/>
              </w:rPr>
              <w:t>线侧式中型站</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color w:val="000000"/>
                <w:sz w:val="21"/>
              </w:rPr>
              <w:t>高架（特）大型站</w:t>
            </w:r>
          </w:p>
        </w:tc>
        <w:tc>
          <w:tcPr>
            <w:tcW w:w="715"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color w:val="000000"/>
                <w:sz w:val="21"/>
              </w:rPr>
              <w:t>地下（特）大型站</w:t>
            </w:r>
          </w:p>
        </w:tc>
      </w:tr>
      <w:tr>
        <w:tblPrEx>
          <w:tblCellMar>
            <w:top w:w="0" w:type="dxa"/>
            <w:left w:w="108" w:type="dxa"/>
            <w:bottom w:w="0" w:type="dxa"/>
            <w:right w:w="108" w:type="dxa"/>
          </w:tblCellMar>
        </w:tblPrEx>
        <w:trPr>
          <w:trHeight w:val="682" w:hRule="atLeast"/>
        </w:trPr>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rPr>
                <w:color w:val="000000"/>
                <w:sz w:val="21"/>
              </w:rPr>
            </w:pPr>
            <w:r>
              <w:rPr>
                <w:color w:val="000000"/>
                <w:sz w:val="21"/>
              </w:rPr>
              <w:t>严寒地区</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≥52</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≥52</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w:t>
            </w:r>
            <w:r>
              <w:rPr>
                <w:rFonts w:eastAsia="等线"/>
                <w:sz w:val="22"/>
                <w:szCs w:val="22"/>
              </w:rPr>
              <w:t>39</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≥52</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≥52</w:t>
            </w:r>
          </w:p>
        </w:tc>
        <w:tc>
          <w:tcPr>
            <w:tcW w:w="715"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≥31</w:t>
            </w:r>
          </w:p>
        </w:tc>
      </w:tr>
      <w:tr>
        <w:tblPrEx>
          <w:tblCellMar>
            <w:top w:w="0" w:type="dxa"/>
            <w:left w:w="108" w:type="dxa"/>
            <w:bottom w:w="0" w:type="dxa"/>
            <w:right w:w="108" w:type="dxa"/>
          </w:tblCellMar>
        </w:tblPrEx>
        <w:trPr>
          <w:trHeight w:val="682" w:hRule="atLeast"/>
        </w:trPr>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rPr>
                <w:color w:val="000000"/>
                <w:sz w:val="21"/>
              </w:rPr>
            </w:pPr>
            <w:r>
              <w:rPr>
                <w:color w:val="000000"/>
                <w:sz w:val="21"/>
              </w:rPr>
              <w:t>寒冷地区</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≥45</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≥45</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w:t>
            </w:r>
            <w:r>
              <w:rPr>
                <w:rFonts w:eastAsia="等线"/>
                <w:sz w:val="22"/>
                <w:szCs w:val="22"/>
              </w:rPr>
              <w:t>42</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≥45</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≥44</w:t>
            </w:r>
          </w:p>
        </w:tc>
        <w:tc>
          <w:tcPr>
            <w:tcW w:w="715"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≥29</w:t>
            </w:r>
          </w:p>
        </w:tc>
      </w:tr>
      <w:tr>
        <w:tblPrEx>
          <w:tblCellMar>
            <w:top w:w="0" w:type="dxa"/>
            <w:left w:w="108" w:type="dxa"/>
            <w:bottom w:w="0" w:type="dxa"/>
            <w:right w:w="108" w:type="dxa"/>
          </w:tblCellMar>
        </w:tblPrEx>
        <w:trPr>
          <w:trHeight w:val="682" w:hRule="atLeast"/>
        </w:trPr>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rPr>
                <w:color w:val="000000"/>
                <w:sz w:val="21"/>
              </w:rPr>
            </w:pPr>
            <w:r>
              <w:rPr>
                <w:color w:val="000000"/>
                <w:sz w:val="21"/>
              </w:rPr>
              <w:t>夏热冬冷地区</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≥41</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≥41</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w:t>
            </w:r>
            <w:r>
              <w:rPr>
                <w:rFonts w:eastAsia="等线"/>
                <w:sz w:val="22"/>
                <w:szCs w:val="22"/>
              </w:rPr>
              <w:t>38</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≥41</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≥41</w:t>
            </w:r>
          </w:p>
        </w:tc>
        <w:tc>
          <w:tcPr>
            <w:tcW w:w="715"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≥26</w:t>
            </w:r>
          </w:p>
        </w:tc>
      </w:tr>
      <w:tr>
        <w:tblPrEx>
          <w:tblCellMar>
            <w:top w:w="0" w:type="dxa"/>
            <w:left w:w="108" w:type="dxa"/>
            <w:bottom w:w="0" w:type="dxa"/>
            <w:right w:w="108" w:type="dxa"/>
          </w:tblCellMar>
        </w:tblPrEx>
        <w:trPr>
          <w:trHeight w:val="682" w:hRule="atLeast"/>
        </w:trPr>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rPr>
                <w:color w:val="000000"/>
                <w:sz w:val="21"/>
              </w:rPr>
            </w:pPr>
            <w:r>
              <w:rPr>
                <w:color w:val="000000"/>
                <w:sz w:val="21"/>
              </w:rPr>
              <w:t>夏热冬暖地区</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≥42</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≥42</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w:t>
            </w:r>
            <w:r>
              <w:rPr>
                <w:rFonts w:eastAsia="等线"/>
                <w:sz w:val="22"/>
                <w:szCs w:val="22"/>
              </w:rPr>
              <w:t>34</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≥42</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≥42</w:t>
            </w:r>
          </w:p>
        </w:tc>
        <w:tc>
          <w:tcPr>
            <w:tcW w:w="715"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≥27</w:t>
            </w:r>
          </w:p>
        </w:tc>
      </w:tr>
      <w:tr>
        <w:tblPrEx>
          <w:tblCellMar>
            <w:top w:w="0" w:type="dxa"/>
            <w:left w:w="108" w:type="dxa"/>
            <w:bottom w:w="0" w:type="dxa"/>
            <w:right w:w="108" w:type="dxa"/>
          </w:tblCellMar>
        </w:tblPrEx>
        <w:trPr>
          <w:trHeight w:val="682" w:hRule="atLeast"/>
        </w:trPr>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rPr>
                <w:color w:val="000000"/>
                <w:sz w:val="21"/>
              </w:rPr>
            </w:pPr>
            <w:r>
              <w:rPr>
                <w:color w:val="000000"/>
                <w:sz w:val="21"/>
              </w:rPr>
              <w:t>温和地区</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≥58</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≥58</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w:t>
            </w:r>
            <w:r>
              <w:rPr>
                <w:rFonts w:eastAsia="等线"/>
                <w:sz w:val="22"/>
                <w:szCs w:val="22"/>
              </w:rPr>
              <w:t>41</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≥58</w:t>
            </w:r>
          </w:p>
        </w:tc>
        <w:tc>
          <w:tcPr>
            <w:tcW w:w="714"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≥58</w:t>
            </w:r>
          </w:p>
        </w:tc>
        <w:tc>
          <w:tcPr>
            <w:tcW w:w="715" w:type="pct"/>
            <w:tcBorders>
              <w:top w:val="single" w:color="auto" w:sz="4" w:space="0"/>
              <w:left w:val="nil"/>
              <w:bottom w:val="single" w:color="auto" w:sz="4" w:space="0"/>
              <w:right w:val="single" w:color="auto" w:sz="4" w:space="0"/>
            </w:tcBorders>
            <w:noWrap/>
            <w:vAlign w:val="center"/>
          </w:tcPr>
          <w:p>
            <w:pPr>
              <w:widowControl/>
              <w:jc w:val="center"/>
              <w:rPr>
                <w:color w:val="000000"/>
                <w:sz w:val="21"/>
              </w:rPr>
            </w:pPr>
            <w:r>
              <w:rPr>
                <w:rFonts w:eastAsia="等线"/>
                <w:color w:val="000000"/>
                <w:sz w:val="22"/>
                <w:szCs w:val="22"/>
              </w:rPr>
              <w:t>≥18</w:t>
            </w:r>
          </w:p>
        </w:tc>
      </w:tr>
    </w:tbl>
    <w:p>
      <w:pPr>
        <w:pStyle w:val="68"/>
        <w:rPr>
          <w:rFonts w:ascii="Times New Roman" w:hAnsi="Times New Roman" w:cs="Times New Roman"/>
        </w:rPr>
      </w:pPr>
      <w:r>
        <w:rPr>
          <w:rFonts w:ascii="Times New Roman" w:hAnsi="Times New Roman" w:cs="Times New Roman"/>
        </w:rPr>
        <w:t>【条文说明】</w:t>
      </w:r>
    </w:p>
    <w:p>
      <w:pPr>
        <w:pStyle w:val="68"/>
        <w:rPr>
          <w:rFonts w:ascii="Times New Roman" w:hAnsi="Times New Roman" w:cs="Times New Roman"/>
        </w:rPr>
      </w:pPr>
      <w:r>
        <w:rPr>
          <w:rFonts w:ascii="Times New Roman" w:hAnsi="Times New Roman" w:cs="Times New Roman"/>
        </w:rPr>
        <w:t>4.2.1~4.2.2标准，通过分别构建被动式、主动式能耗计算模型，研究和分析了不同气候区不同典型站型的基准碳排放，并对不同主被动式减碳技术的敏感性与降碳潜力进行分析研究，同时参考国家标准《零碳建筑技术标准（征求意见稿）》的降碳率指标要求，综合考虑了不同气候区、不同站型铁路客站的降碳难度和潜力，以铁路客站基准碳排放为对照，对不同气候区、不同站型的减碳关键要素进行降碳测算，制定出不同气候区、不同站型铁路客站的碳排放指标及降碳率指标。通常情况下，参评项目可直接采用碳排放强度进行降碳等级判定。考虑到实际项目在资源禀赋、车站形式、功能分区和用能系统等方面的复杂性，标准同时给出了降碳率指标，以提高适用性。低碳、近零碳铁路客站可根据自身气候分区、资源条件、用能特点制定降碳技术方案，以满足铁路客站碳排放指标。</w:t>
      </w:r>
    </w:p>
    <w:p>
      <w:pPr>
        <w:pStyle w:val="68"/>
        <w:rPr>
          <w:rFonts w:ascii="Times New Roman" w:hAnsi="Times New Roman" w:cs="Times New Roman"/>
        </w:rPr>
      </w:pPr>
      <w:r>
        <w:rPr>
          <w:rFonts w:hint="eastAsia" w:ascii="Times New Roman" w:hAnsi="Times New Roman" w:cs="Times New Roman"/>
          <w:bCs/>
        </w:rPr>
        <w:t>根据国家标准《铁路工程术语标准》，由</w:t>
      </w:r>
      <w:r>
        <w:rPr>
          <w:rFonts w:hint="eastAsia" w:ascii="Times New Roman" w:hAnsi="Times New Roman" w:cs="Times New Roman"/>
        </w:rPr>
        <w:t>铁路客站</w:t>
      </w:r>
      <w:r>
        <w:rPr>
          <w:rFonts w:hint="eastAsia" w:ascii="Times New Roman" w:hAnsi="Times New Roman" w:cs="Times New Roman"/>
          <w:bCs/>
        </w:rPr>
        <w:t>站房与线路之间的位置关系确定</w:t>
      </w:r>
      <w:r>
        <w:rPr>
          <w:rFonts w:hint="eastAsia" w:ascii="Times New Roman" w:hAnsi="Times New Roman" w:cs="Times New Roman"/>
        </w:rPr>
        <w:t>站房</w:t>
      </w:r>
      <w:r>
        <w:rPr>
          <w:rFonts w:hint="eastAsia" w:ascii="Times New Roman" w:hAnsi="Times New Roman" w:cs="Times New Roman"/>
          <w:bCs/>
        </w:rPr>
        <w:t>形式。对于地上车站，</w:t>
      </w:r>
      <w:bookmarkStart w:id="85" w:name="OLE_LINK13"/>
      <w:r>
        <w:rPr>
          <w:rFonts w:hint="eastAsia" w:ascii="Times New Roman" w:hAnsi="Times New Roman" w:cs="Times New Roman"/>
          <w:bCs/>
        </w:rPr>
        <w:t>站房主体</w:t>
      </w:r>
      <w:bookmarkEnd w:id="85"/>
      <w:r>
        <w:rPr>
          <w:rFonts w:hint="eastAsia" w:ascii="Times New Roman" w:hAnsi="Times New Roman" w:cs="Times New Roman"/>
          <w:bCs/>
        </w:rPr>
        <w:t>位于</w:t>
      </w:r>
      <w:r>
        <w:rPr>
          <w:rFonts w:hint="eastAsia" w:ascii="Times New Roman" w:hAnsi="Times New Roman" w:cs="Times New Roman"/>
        </w:rPr>
        <w:t>铁路线路侧面</w:t>
      </w:r>
      <w:r>
        <w:rPr>
          <w:rFonts w:hint="eastAsia" w:ascii="Times New Roman" w:hAnsi="Times New Roman" w:cs="Times New Roman"/>
          <w:bCs/>
        </w:rPr>
        <w:t>为</w:t>
      </w:r>
      <w:r>
        <w:rPr>
          <w:rFonts w:hint="eastAsia" w:ascii="Times New Roman" w:hAnsi="Times New Roman" w:cs="Times New Roman"/>
        </w:rPr>
        <w:t>线侧式站房</w:t>
      </w:r>
      <w:r>
        <w:rPr>
          <w:rFonts w:hint="eastAsia" w:ascii="Times New Roman" w:hAnsi="Times New Roman" w:cs="Times New Roman"/>
          <w:bCs/>
        </w:rPr>
        <w:t>，位于</w:t>
      </w:r>
      <w:r>
        <w:rPr>
          <w:rFonts w:hint="eastAsia" w:ascii="Times New Roman" w:hAnsi="Times New Roman" w:cs="Times New Roman"/>
        </w:rPr>
        <w:t>线路下方</w:t>
      </w:r>
      <w:r>
        <w:rPr>
          <w:rFonts w:hint="eastAsia" w:ascii="Times New Roman" w:hAnsi="Times New Roman" w:cs="Times New Roman"/>
          <w:bCs/>
        </w:rPr>
        <w:t>为</w:t>
      </w:r>
      <w:r>
        <w:rPr>
          <w:rFonts w:hint="eastAsia" w:ascii="Times New Roman" w:hAnsi="Times New Roman" w:cs="Times New Roman"/>
        </w:rPr>
        <w:t>桥式站房</w:t>
      </w:r>
      <w:r>
        <w:rPr>
          <w:rFonts w:hint="eastAsia" w:ascii="Times New Roman" w:hAnsi="Times New Roman" w:cs="Times New Roman"/>
          <w:bCs/>
        </w:rPr>
        <w:t>（或</w:t>
      </w:r>
      <w:r>
        <w:rPr>
          <w:rFonts w:hint="eastAsia" w:ascii="Times New Roman" w:hAnsi="Times New Roman" w:cs="Times New Roman"/>
        </w:rPr>
        <w:t>线下式站房</w:t>
      </w:r>
      <w:r>
        <w:rPr>
          <w:rFonts w:hint="eastAsia" w:ascii="Times New Roman" w:hAnsi="Times New Roman" w:cs="Times New Roman"/>
          <w:bCs/>
        </w:rPr>
        <w:t>），位于</w:t>
      </w:r>
      <w:r>
        <w:rPr>
          <w:rFonts w:hint="eastAsia" w:ascii="Times New Roman" w:hAnsi="Times New Roman" w:cs="Times New Roman"/>
        </w:rPr>
        <w:t>线路上方</w:t>
      </w:r>
      <w:r>
        <w:rPr>
          <w:rFonts w:hint="eastAsia" w:ascii="Times New Roman" w:hAnsi="Times New Roman" w:cs="Times New Roman"/>
          <w:bCs/>
        </w:rPr>
        <w:t>为高架站（或</w:t>
      </w:r>
      <w:r>
        <w:rPr>
          <w:rFonts w:hint="eastAsia" w:ascii="Times New Roman" w:hAnsi="Times New Roman" w:cs="Times New Roman"/>
        </w:rPr>
        <w:t>线上式站房</w:t>
      </w:r>
      <w:r>
        <w:rPr>
          <w:rFonts w:hint="eastAsia" w:ascii="Times New Roman" w:hAnsi="Times New Roman" w:cs="Times New Roman"/>
          <w:bCs/>
        </w:rPr>
        <w:t>）</w:t>
      </w:r>
      <w:r>
        <w:rPr>
          <w:rFonts w:hint="eastAsia" w:ascii="Times New Roman" w:hAnsi="Times New Roman" w:cs="Times New Roman"/>
        </w:rPr>
        <w:t>。</w:t>
      </w:r>
      <w:r>
        <w:rPr>
          <w:rFonts w:hint="eastAsia" w:ascii="Times New Roman" w:hAnsi="Times New Roman" w:cs="Times New Roman"/>
          <w:bCs/>
        </w:rPr>
        <w:t>站房主体位于地面以下为地下站。</w:t>
      </w:r>
      <w:r>
        <w:rPr>
          <w:rFonts w:hint="eastAsia" w:ascii="Times New Roman" w:hAnsi="Times New Roman" w:cs="Times New Roman"/>
        </w:rPr>
        <w:t>根据《铁路旅客车站设计规范》确定车站规模，其中，特大型旅客车站为最高聚集人数或高峰小时发送量10000人及以上的铁路旅客车站，大型旅客车站为最高聚集人数3000人及以上且小于10000人或高峰小时发送量5000人及以上且小于10000人的铁路旅客车站，中型旅客车站为最高聚集人数600人及以上且小于3000人或高峰小时发送量1000人及以上且小于5000人的铁路旅客车站，小型旅客车站为最高聚集人数600人及以下或高峰小时发送量小于1000人的铁路旅客车站。</w:t>
      </w:r>
    </w:p>
    <w:p>
      <w:pPr>
        <w:pStyle w:val="28"/>
        <w:spacing w:line="360" w:lineRule="auto"/>
        <w:outlineLvl w:val="2"/>
        <w:rPr>
          <w:kern w:val="2"/>
          <w:szCs w:val="24"/>
        </w:rPr>
      </w:pPr>
      <w:r>
        <w:rPr>
          <w:b/>
          <w:bCs/>
          <w:kern w:val="2"/>
          <w:szCs w:val="24"/>
        </w:rPr>
        <w:t xml:space="preserve">4.2.3 </w:t>
      </w:r>
      <w:r>
        <w:rPr>
          <w:kern w:val="2"/>
          <w:szCs w:val="24"/>
        </w:rPr>
        <w:t>零碳铁路客站的</w:t>
      </w:r>
      <w:r>
        <w:rPr>
          <w:bCs/>
          <w:szCs w:val="24"/>
        </w:rPr>
        <w:t>碳排放强度</w:t>
      </w:r>
      <w:r>
        <w:rPr>
          <w:kern w:val="2"/>
          <w:szCs w:val="24"/>
        </w:rPr>
        <w:t>应满足4.2.2条的规定，通过绿色电力交易、绿色电力证书交易或碳排放权交易等市场化交易机制进行碳抵消后的年碳排放总量不应大于零。</w:t>
      </w:r>
    </w:p>
    <w:p>
      <w:pPr>
        <w:pStyle w:val="68"/>
        <w:rPr>
          <w:rFonts w:ascii="Times New Roman" w:hAnsi="Times New Roman" w:cs="Times New Roman"/>
        </w:rPr>
      </w:pPr>
      <w:r>
        <w:rPr>
          <w:rFonts w:ascii="Times New Roman" w:hAnsi="Times New Roman" w:cs="Times New Roman"/>
        </w:rPr>
        <w:t>【条文说明】</w:t>
      </w:r>
    </w:p>
    <w:p>
      <w:pPr>
        <w:pStyle w:val="68"/>
        <w:rPr>
          <w:rFonts w:ascii="Times New Roman" w:hAnsi="Times New Roman" w:cs="Times New Roman"/>
        </w:rPr>
      </w:pPr>
      <w:r>
        <w:rPr>
          <w:rFonts w:ascii="Times New Roman" w:hAnsi="Times New Roman" w:cs="Times New Roman"/>
        </w:rPr>
        <w:t>零碳铁路客站的实现过程涉及铁路客站自身性能、能源结构转型与其他社会因素。对于可再生能源资源条件有限但又有承担更多降碳责任意愿的铁路客站，考虑到应对气候变化的降碳措施具有时空均衡性，所有减排都具有相同的价值，因此允许其在充分挖掘自身降碳潜力的基础上，通过市场化交易机制减排量扣减剩余自身不可减少的碳排放。需要说明的是铁路客站碳排放强度作为铁路客站技术指标，不包含市场化交易手段的碳排放扣减量。</w:t>
      </w:r>
    </w:p>
    <w:p>
      <w:pPr>
        <w:pStyle w:val="28"/>
        <w:spacing w:line="360" w:lineRule="auto"/>
        <w:outlineLvl w:val="2"/>
        <w:rPr>
          <w:b/>
          <w:bCs/>
          <w:kern w:val="2"/>
          <w:szCs w:val="24"/>
        </w:rPr>
      </w:pPr>
      <w:r>
        <w:rPr>
          <w:b/>
          <w:bCs/>
          <w:kern w:val="2"/>
          <w:szCs w:val="24"/>
        </w:rPr>
        <w:t>4.2.4</w:t>
      </w:r>
      <w:r>
        <w:rPr>
          <w:kern w:val="2"/>
          <w:szCs w:val="24"/>
        </w:rPr>
        <w:t xml:space="preserve"> 全过程零碳建筑应符合下列规定：</w:t>
      </w:r>
    </w:p>
    <w:p>
      <w:pPr>
        <w:spacing w:line="360" w:lineRule="auto"/>
        <w:ind w:firstLine="420"/>
        <w:rPr>
          <w:kern w:val="2"/>
          <w:szCs w:val="24"/>
        </w:rPr>
      </w:pPr>
      <w:r>
        <w:rPr>
          <w:b/>
          <w:bCs/>
          <w:kern w:val="2"/>
          <w:szCs w:val="24"/>
        </w:rPr>
        <w:t>1</w:t>
      </w:r>
      <w:r>
        <w:rPr>
          <w:kern w:val="2"/>
          <w:szCs w:val="24"/>
        </w:rPr>
        <w:t xml:space="preserve"> 应符合本标准4.2.3条的规定；</w:t>
      </w:r>
    </w:p>
    <w:p>
      <w:pPr>
        <w:spacing w:line="360" w:lineRule="auto"/>
        <w:ind w:firstLine="420"/>
        <w:rPr>
          <w:kern w:val="2"/>
          <w:szCs w:val="24"/>
        </w:rPr>
      </w:pPr>
      <w:r>
        <w:rPr>
          <w:b/>
          <w:bCs/>
          <w:kern w:val="2"/>
          <w:szCs w:val="24"/>
        </w:rPr>
        <w:t>2</w:t>
      </w:r>
      <w:r>
        <w:rPr>
          <w:kern w:val="2"/>
          <w:szCs w:val="24"/>
        </w:rPr>
        <w:t xml:space="preserve"> 新建铁路客站使用绿色建材的比例不应低于70%；</w:t>
      </w:r>
    </w:p>
    <w:p>
      <w:pPr>
        <w:spacing w:line="360" w:lineRule="auto"/>
        <w:ind w:firstLine="420"/>
        <w:rPr>
          <w:kern w:val="2"/>
          <w:szCs w:val="24"/>
        </w:rPr>
      </w:pPr>
      <w:r>
        <w:rPr>
          <w:b/>
          <w:bCs/>
          <w:kern w:val="2"/>
          <w:szCs w:val="24"/>
        </w:rPr>
        <w:t>3</w:t>
      </w:r>
      <w:r>
        <w:rPr>
          <w:kern w:val="2"/>
          <w:szCs w:val="24"/>
        </w:rPr>
        <w:t xml:space="preserve"> 通过绿色电力交易、绿色电力证书交易或碳排放权交易等市场化交易机制减排量扣减剩余碳排放量后，建筑全过程碳排放量不应大于零。</w:t>
      </w:r>
    </w:p>
    <w:p>
      <w:pPr>
        <w:pStyle w:val="68"/>
        <w:rPr>
          <w:rFonts w:ascii="Times New Roman" w:hAnsi="Times New Roman" w:cs="Times New Roman"/>
        </w:rPr>
      </w:pPr>
      <w:bookmarkStart w:id="86" w:name="OLE_LINK16"/>
      <w:r>
        <w:rPr>
          <w:rFonts w:ascii="Times New Roman" w:hAnsi="Times New Roman" w:cs="Times New Roman"/>
        </w:rPr>
        <w:t>【条文说明】</w:t>
      </w:r>
    </w:p>
    <w:p>
      <w:pPr>
        <w:pStyle w:val="68"/>
        <w:rPr>
          <w:rFonts w:ascii="Times New Roman" w:hAnsi="Times New Roman" w:cs="Times New Roman"/>
          <w:szCs w:val="24"/>
        </w:rPr>
      </w:pPr>
      <w:r>
        <w:rPr>
          <w:rFonts w:ascii="Times New Roman" w:hAnsi="Times New Roman" w:cs="Times New Roman"/>
        </w:rPr>
        <w:t>全过程零碳铁路客站是现阶段铁路客站承担碳减排责任的最高形式，以实现近零碳铁路客站技术指标为前提。使用绿色建材可显著降低建材生产阶段碳排放，故标准对</w:t>
      </w:r>
      <w:r>
        <w:rPr>
          <w:rFonts w:ascii="Times New Roman" w:hAnsi="Times New Roman" w:cs="Times New Roman"/>
          <w:szCs w:val="24"/>
        </w:rPr>
        <w:t>全过程零碳铁路客站的绿色建材比例提出要求。</w:t>
      </w:r>
    </w:p>
    <w:p>
      <w:pPr>
        <w:pStyle w:val="68"/>
        <w:rPr>
          <w:rFonts w:ascii="Times New Roman" w:hAnsi="Times New Roman" w:cs="Times New Roman"/>
          <w:szCs w:val="24"/>
        </w:rPr>
      </w:pPr>
      <w:r>
        <w:rPr>
          <w:rFonts w:ascii="Times New Roman" w:hAnsi="Times New Roman" w:cs="Times New Roman"/>
          <w:szCs w:val="24"/>
        </w:rPr>
        <w:t>住房和城乡建设部科技与产业化发展中心于2021年9月发布《绿色建材应用比例计算技术细则（试行）》。该细则提出绿色建材应用比例的计算指标由主体及围护结构工程用材、装饰装修工程用材、机电安装工程用材、室外工程用材4类一级指标组成。通过对4类一级指标进行赋分和二级指标划分，提出绿色建材应用比例计算公式。绿色建材应用比例具体按公式（1）~（2）进行计算</w:t>
      </w:r>
    </w:p>
    <w:p>
      <w:pPr>
        <w:pStyle w:val="68"/>
        <w:ind w:firstLine="0" w:firstLineChars="0"/>
        <w:jc w:val="right"/>
        <w:rPr>
          <w:rFonts w:ascii="Times New Roman" w:hAnsi="Times New Roman" w:cs="Times New Roman"/>
        </w:rPr>
      </w:pPr>
      <w:r>
        <w:rPr>
          <w:rFonts w:ascii="Times New Roman" w:hAnsi="Times New Roman" w:cs="Times New Roman"/>
        </w:rPr>
        <w:t>P=ΣQ</w:t>
      </w:r>
      <w:r>
        <w:rPr>
          <w:rFonts w:ascii="Times New Roman" w:hAnsi="Times New Roman" w:cs="Times New Roman"/>
          <w:vertAlign w:val="subscript"/>
        </w:rPr>
        <w:t>n</w:t>
      </w:r>
      <w:r>
        <w:rPr>
          <w:rFonts w:ascii="Times New Roman" w:hAnsi="Times New Roman" w:cs="Times New Roman"/>
        </w:rPr>
        <w:t>/100×100%                                          （1）</w:t>
      </w:r>
    </w:p>
    <w:p>
      <w:pPr>
        <w:pStyle w:val="68"/>
        <w:ind w:firstLine="0" w:firstLineChars="0"/>
        <w:jc w:val="right"/>
        <w:rPr>
          <w:rFonts w:ascii="Times New Roman" w:hAnsi="Times New Roman" w:cs="Times New Roman"/>
        </w:rPr>
      </w:pPr>
      <w:r>
        <w:rPr>
          <w:rFonts w:ascii="Times New Roman" w:hAnsi="Times New Roman" w:cs="Times New Roman"/>
        </w:rPr>
        <w:t>Q</w:t>
      </w:r>
      <w:r>
        <w:rPr>
          <w:rFonts w:ascii="Times New Roman" w:hAnsi="Times New Roman" w:cs="Times New Roman"/>
          <w:vertAlign w:val="subscript"/>
        </w:rPr>
        <w:t>n</w:t>
      </w:r>
      <w:r>
        <w:rPr>
          <w:rFonts w:ascii="Times New Roman" w:hAnsi="Times New Roman" w:cs="Times New Roman"/>
        </w:rPr>
        <w:t>=ΣQ</w:t>
      </w:r>
      <w:r>
        <w:rPr>
          <w:rFonts w:ascii="Times New Roman" w:hAnsi="Times New Roman" w:cs="Times New Roman"/>
          <w:vertAlign w:val="subscript"/>
        </w:rPr>
        <w:t>n总</w:t>
      </w:r>
      <w:r>
        <w:rPr>
          <w:rFonts w:ascii="Times New Roman" w:hAnsi="Times New Roman" w:cs="Times New Roman"/>
        </w:rPr>
        <w:t>×N</w:t>
      </w:r>
      <w:r>
        <w:rPr>
          <w:rFonts w:ascii="Times New Roman" w:hAnsi="Times New Roman" w:cs="Times New Roman"/>
          <w:vertAlign w:val="subscript"/>
        </w:rPr>
        <w:t>绿</w:t>
      </w:r>
      <w:r>
        <w:rPr>
          <w:rFonts w:ascii="Times New Roman" w:hAnsi="Times New Roman" w:cs="Times New Roman"/>
        </w:rPr>
        <w:t>/N                                           （2）</w:t>
      </w:r>
    </w:p>
    <w:p>
      <w:pPr>
        <w:pStyle w:val="68"/>
        <w:rPr>
          <w:rFonts w:ascii="Times New Roman" w:hAnsi="Times New Roman" w:cs="Times New Roman"/>
        </w:rPr>
      </w:pPr>
      <w:r>
        <w:rPr>
          <w:rFonts w:ascii="Times New Roman" w:hAnsi="Times New Roman" w:cs="Times New Roman"/>
        </w:rPr>
        <w:t>式中：</w:t>
      </w:r>
    </w:p>
    <w:p>
      <w:pPr>
        <w:pStyle w:val="68"/>
        <w:rPr>
          <w:rFonts w:ascii="Times New Roman" w:hAnsi="Times New Roman" w:cs="Times New Roman"/>
        </w:rPr>
      </w:pPr>
      <w:r>
        <w:rPr>
          <w:rFonts w:ascii="Times New Roman" w:hAnsi="Times New Roman" w:cs="Times New Roman"/>
        </w:rPr>
        <w:t>P——绿色建材应用比例；</w:t>
      </w:r>
    </w:p>
    <w:p>
      <w:pPr>
        <w:pStyle w:val="68"/>
        <w:rPr>
          <w:rFonts w:ascii="Times New Roman" w:hAnsi="Times New Roman" w:cs="Times New Roman"/>
        </w:rPr>
      </w:pPr>
      <w:r>
        <w:rPr>
          <w:rFonts w:ascii="Times New Roman" w:hAnsi="Times New Roman" w:cs="Times New Roman"/>
        </w:rPr>
        <w:t>Q</w:t>
      </w:r>
      <w:r>
        <w:rPr>
          <w:rFonts w:ascii="Times New Roman" w:hAnsi="Times New Roman" w:cs="Times New Roman"/>
          <w:vertAlign w:val="subscript"/>
        </w:rPr>
        <w:t>n</w:t>
      </w:r>
      <w:r>
        <w:rPr>
          <w:rFonts w:ascii="Times New Roman" w:hAnsi="Times New Roman" w:cs="Times New Roman"/>
        </w:rPr>
        <w:t>——Q</w:t>
      </w:r>
      <w:r>
        <w:rPr>
          <w:rFonts w:ascii="Times New Roman" w:hAnsi="Times New Roman" w:cs="Times New Roman"/>
          <w:vertAlign w:val="subscript"/>
        </w:rPr>
        <w:t>1</w:t>
      </w:r>
      <w:r>
        <w:rPr>
          <w:rFonts w:ascii="Times New Roman" w:hAnsi="Times New Roman" w:cs="Times New Roman"/>
        </w:rPr>
        <w:t>~Q</w:t>
      </w:r>
      <w:r>
        <w:rPr>
          <w:rFonts w:ascii="Times New Roman" w:hAnsi="Times New Roman" w:cs="Times New Roman"/>
          <w:vertAlign w:val="subscript"/>
        </w:rPr>
        <w:t>4</w:t>
      </w:r>
      <w:r>
        <w:rPr>
          <w:rFonts w:ascii="Times New Roman" w:hAnsi="Times New Roman" w:cs="Times New Roman"/>
        </w:rPr>
        <w:t>各类一级指标实际得分值；</w:t>
      </w:r>
    </w:p>
    <w:p>
      <w:pPr>
        <w:pStyle w:val="68"/>
        <w:rPr>
          <w:rFonts w:ascii="Times New Roman" w:hAnsi="Times New Roman" w:cs="Times New Roman"/>
        </w:rPr>
      </w:pPr>
      <w:r>
        <w:rPr>
          <w:rFonts w:ascii="Times New Roman" w:hAnsi="Times New Roman" w:cs="Times New Roman"/>
        </w:rPr>
        <w:t>Q</w:t>
      </w:r>
      <w:r>
        <w:rPr>
          <w:rFonts w:ascii="Times New Roman" w:hAnsi="Times New Roman" w:cs="Times New Roman"/>
          <w:vertAlign w:val="subscript"/>
        </w:rPr>
        <w:t>n总</w:t>
      </w:r>
      <w:r>
        <w:rPr>
          <w:rFonts w:ascii="Times New Roman" w:hAnsi="Times New Roman" w:cs="Times New Roman"/>
        </w:rPr>
        <w:t>——Q</w:t>
      </w:r>
      <w:r>
        <w:rPr>
          <w:rFonts w:ascii="Times New Roman" w:hAnsi="Times New Roman" w:cs="Times New Roman"/>
          <w:vertAlign w:val="subscript"/>
        </w:rPr>
        <w:t>1</w:t>
      </w:r>
      <w:r>
        <w:rPr>
          <w:rFonts w:ascii="Times New Roman" w:hAnsi="Times New Roman" w:cs="Times New Roman"/>
        </w:rPr>
        <w:t>~Q</w:t>
      </w:r>
      <w:r>
        <w:rPr>
          <w:rFonts w:ascii="Times New Roman" w:hAnsi="Times New Roman" w:cs="Times New Roman"/>
          <w:vertAlign w:val="subscript"/>
        </w:rPr>
        <w:t>4</w:t>
      </w:r>
      <w:r>
        <w:rPr>
          <w:rFonts w:ascii="Times New Roman" w:hAnsi="Times New Roman" w:cs="Times New Roman"/>
        </w:rPr>
        <w:t>各类一级指标理论计算分值，Q</w:t>
      </w:r>
      <w:r>
        <w:rPr>
          <w:rFonts w:ascii="Times New Roman" w:hAnsi="Times New Roman" w:cs="Times New Roman"/>
          <w:vertAlign w:val="subscript"/>
        </w:rPr>
        <w:t>1</w:t>
      </w:r>
      <w:r>
        <w:rPr>
          <w:rFonts w:ascii="Times New Roman" w:hAnsi="Times New Roman" w:cs="Times New Roman"/>
        </w:rPr>
        <w:t>~Q</w:t>
      </w:r>
      <w:r>
        <w:rPr>
          <w:rFonts w:ascii="Times New Roman" w:hAnsi="Times New Roman" w:cs="Times New Roman"/>
          <w:vertAlign w:val="subscript"/>
        </w:rPr>
        <w:t>4</w:t>
      </w:r>
      <w:r>
        <w:rPr>
          <w:rFonts w:ascii="Times New Roman" w:hAnsi="Times New Roman" w:cs="Times New Roman"/>
        </w:rPr>
        <w:t>分别为45、35、15、5；</w:t>
      </w:r>
    </w:p>
    <w:p>
      <w:pPr>
        <w:pStyle w:val="68"/>
        <w:rPr>
          <w:rFonts w:ascii="Times New Roman" w:hAnsi="Times New Roman" w:cs="Times New Roman"/>
        </w:rPr>
      </w:pPr>
      <w:r>
        <w:rPr>
          <w:rFonts w:ascii="Times New Roman" w:hAnsi="Times New Roman" w:cs="Times New Roman"/>
        </w:rPr>
        <w:t>N</w:t>
      </w:r>
      <w:r>
        <w:rPr>
          <w:rFonts w:ascii="Times New Roman" w:hAnsi="Times New Roman" w:cs="Times New Roman"/>
          <w:vertAlign w:val="subscript"/>
        </w:rPr>
        <w:t>绿</w:t>
      </w:r>
      <w:r>
        <w:rPr>
          <w:rFonts w:ascii="Times New Roman" w:hAnsi="Times New Roman" w:cs="Times New Roman"/>
        </w:rPr>
        <w:t>——各类二级指标中工程实际使用并满足绿色建材要求的建材品类数量；</w:t>
      </w:r>
    </w:p>
    <w:p>
      <w:pPr>
        <w:pStyle w:val="68"/>
        <w:rPr>
          <w:rFonts w:ascii="Times New Roman" w:hAnsi="Times New Roman" w:cs="Times New Roman"/>
        </w:rPr>
      </w:pPr>
      <w:r>
        <w:rPr>
          <w:rFonts w:ascii="Times New Roman" w:hAnsi="Times New Roman" w:cs="Times New Roman"/>
        </w:rPr>
        <w:t>N——各类二级指标中工程实际使用的建材品类数量。</w:t>
      </w:r>
    </w:p>
    <w:p>
      <w:pPr>
        <w:pStyle w:val="68"/>
        <w:ind w:firstLine="0" w:firstLineChars="0"/>
        <w:jc w:val="center"/>
        <w:rPr>
          <w:rFonts w:ascii="Times New Roman" w:hAnsi="Times New Roman" w:cs="Times New Roman"/>
        </w:rPr>
      </w:pPr>
      <w:r>
        <w:rPr>
          <w:rFonts w:ascii="Times New Roman" w:hAnsi="Times New Roman" w:cs="Times New Roman"/>
        </w:rPr>
        <w:t>表1 绿色建材应用比例计算表</w:t>
      </w:r>
    </w:p>
    <w:tbl>
      <w:tblPr>
        <w:tblStyle w:val="19"/>
        <w:tblW w:w="5000" w:type="pct"/>
        <w:tblInd w:w="0" w:type="dxa"/>
        <w:tblLayout w:type="autofit"/>
        <w:tblCellMar>
          <w:top w:w="0" w:type="dxa"/>
          <w:left w:w="108" w:type="dxa"/>
          <w:bottom w:w="0" w:type="dxa"/>
          <w:right w:w="108" w:type="dxa"/>
        </w:tblCellMar>
      </w:tblPr>
      <w:tblGrid>
        <w:gridCol w:w="2173"/>
        <w:gridCol w:w="3963"/>
        <w:gridCol w:w="2386"/>
      </w:tblGrid>
      <w:tr>
        <w:tblPrEx>
          <w:tblCellMar>
            <w:top w:w="0" w:type="dxa"/>
            <w:left w:w="108" w:type="dxa"/>
            <w:bottom w:w="0" w:type="dxa"/>
            <w:right w:w="108" w:type="dxa"/>
          </w:tblCellMar>
        </w:tblPrEx>
        <w:trPr>
          <w:trHeight w:val="300" w:hRule="atLeast"/>
        </w:trPr>
        <w:tc>
          <w:tcPr>
            <w:tcW w:w="3599" w:type="pct"/>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计算指标</w:t>
            </w:r>
          </w:p>
        </w:tc>
        <w:tc>
          <w:tcPr>
            <w:tcW w:w="1401" w:type="pct"/>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计算分值（总分100）</w:t>
            </w:r>
          </w:p>
        </w:tc>
      </w:tr>
      <w:tr>
        <w:tblPrEx>
          <w:tblCellMar>
            <w:top w:w="0" w:type="dxa"/>
            <w:left w:w="108" w:type="dxa"/>
            <w:bottom w:w="0" w:type="dxa"/>
            <w:right w:w="108" w:type="dxa"/>
          </w:tblCellMar>
        </w:tblPrEx>
        <w:trPr>
          <w:trHeight w:val="300" w:hRule="atLeast"/>
        </w:trPr>
        <w:tc>
          <w:tcPr>
            <w:tcW w:w="1275" w:type="pct"/>
            <w:tcBorders>
              <w:top w:val="nil"/>
              <w:left w:val="single" w:color="auto" w:sz="4" w:space="0"/>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一级指标(n）</w:t>
            </w:r>
          </w:p>
        </w:tc>
        <w:tc>
          <w:tcPr>
            <w:tcW w:w="2325" w:type="pct"/>
            <w:tcBorders>
              <w:top w:val="nil"/>
              <w:left w:val="nil"/>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二级指标(m)</w:t>
            </w:r>
          </w:p>
        </w:tc>
        <w:tc>
          <w:tcPr>
            <w:tcW w:w="1401"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楷体"/>
                <w:color w:val="000000"/>
                <w:szCs w:val="24"/>
              </w:rPr>
            </w:pPr>
          </w:p>
        </w:tc>
      </w:tr>
      <w:tr>
        <w:tblPrEx>
          <w:tblCellMar>
            <w:top w:w="0" w:type="dxa"/>
            <w:left w:w="108" w:type="dxa"/>
            <w:bottom w:w="0" w:type="dxa"/>
            <w:right w:w="108" w:type="dxa"/>
          </w:tblCellMar>
        </w:tblPrEx>
        <w:trPr>
          <w:trHeight w:val="300" w:hRule="atLeast"/>
        </w:trPr>
        <w:tc>
          <w:tcPr>
            <w:tcW w:w="1275" w:type="pct"/>
            <w:vMerge w:val="restart"/>
            <w:tcBorders>
              <w:top w:val="nil"/>
              <w:left w:val="single" w:color="auto" w:sz="4" w:space="0"/>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主体及围护结构工程用材Q1</w:t>
            </w:r>
          </w:p>
        </w:tc>
        <w:tc>
          <w:tcPr>
            <w:tcW w:w="2325" w:type="pct"/>
            <w:tcBorders>
              <w:top w:val="nil"/>
              <w:left w:val="nil"/>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预拌混凝土</w:t>
            </w:r>
          </w:p>
        </w:tc>
        <w:tc>
          <w:tcPr>
            <w:tcW w:w="1401" w:type="pct"/>
            <w:vMerge w:val="restart"/>
            <w:tcBorders>
              <w:top w:val="nil"/>
              <w:left w:val="single" w:color="auto" w:sz="4" w:space="0"/>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45</w:t>
            </w:r>
          </w:p>
        </w:tc>
      </w:tr>
      <w:tr>
        <w:tblPrEx>
          <w:tblCellMar>
            <w:top w:w="0" w:type="dxa"/>
            <w:left w:w="108" w:type="dxa"/>
            <w:bottom w:w="0" w:type="dxa"/>
            <w:right w:w="108" w:type="dxa"/>
          </w:tblCellMar>
        </w:tblPrEx>
        <w:trPr>
          <w:trHeight w:val="300" w:hRule="atLeast"/>
        </w:trPr>
        <w:tc>
          <w:tcPr>
            <w:tcW w:w="1275"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c>
          <w:tcPr>
            <w:tcW w:w="2325" w:type="pct"/>
            <w:tcBorders>
              <w:top w:val="nil"/>
              <w:left w:val="nil"/>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预拌砂浆</w:t>
            </w:r>
          </w:p>
        </w:tc>
        <w:tc>
          <w:tcPr>
            <w:tcW w:w="1401"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r>
      <w:tr>
        <w:tblPrEx>
          <w:tblCellMar>
            <w:top w:w="0" w:type="dxa"/>
            <w:left w:w="108" w:type="dxa"/>
            <w:bottom w:w="0" w:type="dxa"/>
            <w:right w:w="108" w:type="dxa"/>
          </w:tblCellMar>
        </w:tblPrEx>
        <w:trPr>
          <w:trHeight w:val="300" w:hRule="atLeast"/>
        </w:trPr>
        <w:tc>
          <w:tcPr>
            <w:tcW w:w="1275"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c>
          <w:tcPr>
            <w:tcW w:w="2325" w:type="pct"/>
            <w:tcBorders>
              <w:top w:val="nil"/>
              <w:left w:val="nil"/>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砌体材料</w:t>
            </w:r>
          </w:p>
        </w:tc>
        <w:tc>
          <w:tcPr>
            <w:tcW w:w="1401"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r>
      <w:tr>
        <w:tblPrEx>
          <w:tblCellMar>
            <w:top w:w="0" w:type="dxa"/>
            <w:left w:w="108" w:type="dxa"/>
            <w:bottom w:w="0" w:type="dxa"/>
            <w:right w:w="108" w:type="dxa"/>
          </w:tblCellMar>
        </w:tblPrEx>
        <w:trPr>
          <w:trHeight w:val="300" w:hRule="atLeast"/>
        </w:trPr>
        <w:tc>
          <w:tcPr>
            <w:tcW w:w="1275"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c>
          <w:tcPr>
            <w:tcW w:w="2325" w:type="pct"/>
            <w:tcBorders>
              <w:top w:val="nil"/>
              <w:left w:val="nil"/>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石材</w:t>
            </w:r>
          </w:p>
        </w:tc>
        <w:tc>
          <w:tcPr>
            <w:tcW w:w="1401"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r>
      <w:tr>
        <w:tblPrEx>
          <w:tblCellMar>
            <w:top w:w="0" w:type="dxa"/>
            <w:left w:w="108" w:type="dxa"/>
            <w:bottom w:w="0" w:type="dxa"/>
            <w:right w:w="108" w:type="dxa"/>
          </w:tblCellMar>
        </w:tblPrEx>
        <w:trPr>
          <w:trHeight w:val="300" w:hRule="atLeast"/>
        </w:trPr>
        <w:tc>
          <w:tcPr>
            <w:tcW w:w="1275"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c>
          <w:tcPr>
            <w:tcW w:w="2325" w:type="pct"/>
            <w:tcBorders>
              <w:top w:val="nil"/>
              <w:left w:val="nil"/>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防水密封材料</w:t>
            </w:r>
          </w:p>
        </w:tc>
        <w:tc>
          <w:tcPr>
            <w:tcW w:w="1401"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r>
      <w:tr>
        <w:tblPrEx>
          <w:tblCellMar>
            <w:top w:w="0" w:type="dxa"/>
            <w:left w:w="108" w:type="dxa"/>
            <w:bottom w:w="0" w:type="dxa"/>
            <w:right w:w="108" w:type="dxa"/>
          </w:tblCellMar>
        </w:tblPrEx>
        <w:trPr>
          <w:trHeight w:val="300" w:hRule="atLeast"/>
        </w:trPr>
        <w:tc>
          <w:tcPr>
            <w:tcW w:w="1275"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c>
          <w:tcPr>
            <w:tcW w:w="2325" w:type="pct"/>
            <w:tcBorders>
              <w:top w:val="nil"/>
              <w:left w:val="nil"/>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保温隔热材料</w:t>
            </w:r>
          </w:p>
        </w:tc>
        <w:tc>
          <w:tcPr>
            <w:tcW w:w="1401"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r>
      <w:tr>
        <w:tblPrEx>
          <w:tblCellMar>
            <w:top w:w="0" w:type="dxa"/>
            <w:left w:w="108" w:type="dxa"/>
            <w:bottom w:w="0" w:type="dxa"/>
            <w:right w:w="108" w:type="dxa"/>
          </w:tblCellMar>
        </w:tblPrEx>
        <w:trPr>
          <w:trHeight w:val="300" w:hRule="atLeast"/>
        </w:trPr>
        <w:tc>
          <w:tcPr>
            <w:tcW w:w="1275"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c>
          <w:tcPr>
            <w:tcW w:w="2325" w:type="pct"/>
            <w:tcBorders>
              <w:top w:val="nil"/>
              <w:left w:val="nil"/>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混凝土构配件</w:t>
            </w:r>
          </w:p>
        </w:tc>
        <w:tc>
          <w:tcPr>
            <w:tcW w:w="1401"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r>
      <w:tr>
        <w:tblPrEx>
          <w:tblCellMar>
            <w:top w:w="0" w:type="dxa"/>
            <w:left w:w="108" w:type="dxa"/>
            <w:bottom w:w="0" w:type="dxa"/>
            <w:right w:w="108" w:type="dxa"/>
          </w:tblCellMar>
        </w:tblPrEx>
        <w:trPr>
          <w:trHeight w:val="300" w:hRule="atLeast"/>
        </w:trPr>
        <w:tc>
          <w:tcPr>
            <w:tcW w:w="1275"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c>
          <w:tcPr>
            <w:tcW w:w="2325" w:type="pct"/>
            <w:tcBorders>
              <w:top w:val="nil"/>
              <w:left w:val="nil"/>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钢结构构件</w:t>
            </w:r>
          </w:p>
        </w:tc>
        <w:tc>
          <w:tcPr>
            <w:tcW w:w="1401"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r>
      <w:tr>
        <w:tblPrEx>
          <w:tblCellMar>
            <w:top w:w="0" w:type="dxa"/>
            <w:left w:w="108" w:type="dxa"/>
            <w:bottom w:w="0" w:type="dxa"/>
            <w:right w:w="108" w:type="dxa"/>
          </w:tblCellMar>
        </w:tblPrEx>
        <w:trPr>
          <w:trHeight w:val="300" w:hRule="atLeast"/>
        </w:trPr>
        <w:tc>
          <w:tcPr>
            <w:tcW w:w="1275"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c>
          <w:tcPr>
            <w:tcW w:w="2325" w:type="pct"/>
            <w:tcBorders>
              <w:top w:val="nil"/>
              <w:left w:val="nil"/>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轻钢龙骨</w:t>
            </w:r>
          </w:p>
        </w:tc>
        <w:tc>
          <w:tcPr>
            <w:tcW w:w="1401"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r>
      <w:tr>
        <w:tblPrEx>
          <w:tblCellMar>
            <w:top w:w="0" w:type="dxa"/>
            <w:left w:w="108" w:type="dxa"/>
            <w:bottom w:w="0" w:type="dxa"/>
            <w:right w:w="108" w:type="dxa"/>
          </w:tblCellMar>
        </w:tblPrEx>
        <w:trPr>
          <w:trHeight w:val="300" w:hRule="atLeast"/>
        </w:trPr>
        <w:tc>
          <w:tcPr>
            <w:tcW w:w="1275"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c>
          <w:tcPr>
            <w:tcW w:w="2325" w:type="pct"/>
            <w:tcBorders>
              <w:top w:val="nil"/>
              <w:left w:val="nil"/>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节能门窗</w:t>
            </w:r>
          </w:p>
        </w:tc>
        <w:tc>
          <w:tcPr>
            <w:tcW w:w="1401"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r>
      <w:tr>
        <w:tblPrEx>
          <w:tblCellMar>
            <w:top w:w="0" w:type="dxa"/>
            <w:left w:w="108" w:type="dxa"/>
            <w:bottom w:w="0" w:type="dxa"/>
            <w:right w:w="108" w:type="dxa"/>
          </w:tblCellMar>
        </w:tblPrEx>
        <w:trPr>
          <w:trHeight w:val="300" w:hRule="atLeast"/>
        </w:trPr>
        <w:tc>
          <w:tcPr>
            <w:tcW w:w="1275"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c>
          <w:tcPr>
            <w:tcW w:w="2325" w:type="pct"/>
            <w:tcBorders>
              <w:top w:val="nil"/>
              <w:left w:val="nil"/>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遮阳制品</w:t>
            </w:r>
          </w:p>
        </w:tc>
        <w:tc>
          <w:tcPr>
            <w:tcW w:w="1401"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r>
      <w:tr>
        <w:tblPrEx>
          <w:tblCellMar>
            <w:top w:w="0" w:type="dxa"/>
            <w:left w:w="108" w:type="dxa"/>
            <w:bottom w:w="0" w:type="dxa"/>
            <w:right w:w="108" w:type="dxa"/>
          </w:tblCellMar>
        </w:tblPrEx>
        <w:trPr>
          <w:trHeight w:val="300" w:hRule="atLeast"/>
        </w:trPr>
        <w:tc>
          <w:tcPr>
            <w:tcW w:w="1275"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c>
          <w:tcPr>
            <w:tcW w:w="2325" w:type="pct"/>
            <w:tcBorders>
              <w:top w:val="nil"/>
              <w:left w:val="nil"/>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其他主体及围护结构工程用材</w:t>
            </w:r>
          </w:p>
        </w:tc>
        <w:tc>
          <w:tcPr>
            <w:tcW w:w="1401"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r>
      <w:tr>
        <w:tblPrEx>
          <w:tblCellMar>
            <w:top w:w="0" w:type="dxa"/>
            <w:left w:w="108" w:type="dxa"/>
            <w:bottom w:w="0" w:type="dxa"/>
            <w:right w:w="108" w:type="dxa"/>
          </w:tblCellMar>
        </w:tblPrEx>
        <w:trPr>
          <w:trHeight w:val="300" w:hRule="atLeast"/>
        </w:trPr>
        <w:tc>
          <w:tcPr>
            <w:tcW w:w="1275" w:type="pct"/>
            <w:vMerge w:val="restart"/>
            <w:tcBorders>
              <w:top w:val="nil"/>
              <w:left w:val="single" w:color="auto" w:sz="4" w:space="0"/>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装饰装修工程用材Q2</w:t>
            </w:r>
          </w:p>
        </w:tc>
        <w:tc>
          <w:tcPr>
            <w:tcW w:w="2325" w:type="pct"/>
            <w:tcBorders>
              <w:top w:val="nil"/>
              <w:left w:val="nil"/>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吊顶及配件</w:t>
            </w:r>
          </w:p>
        </w:tc>
        <w:tc>
          <w:tcPr>
            <w:tcW w:w="1401" w:type="pct"/>
            <w:vMerge w:val="restart"/>
            <w:tcBorders>
              <w:top w:val="nil"/>
              <w:left w:val="single" w:color="auto" w:sz="4" w:space="0"/>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35</w:t>
            </w:r>
          </w:p>
        </w:tc>
      </w:tr>
      <w:tr>
        <w:tblPrEx>
          <w:tblCellMar>
            <w:top w:w="0" w:type="dxa"/>
            <w:left w:w="108" w:type="dxa"/>
            <w:bottom w:w="0" w:type="dxa"/>
            <w:right w:w="108" w:type="dxa"/>
          </w:tblCellMar>
        </w:tblPrEx>
        <w:trPr>
          <w:trHeight w:val="300" w:hRule="atLeast"/>
        </w:trPr>
        <w:tc>
          <w:tcPr>
            <w:tcW w:w="1275"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c>
          <w:tcPr>
            <w:tcW w:w="2325" w:type="pct"/>
            <w:tcBorders>
              <w:top w:val="nil"/>
              <w:left w:val="nil"/>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墙面涂料</w:t>
            </w:r>
          </w:p>
        </w:tc>
        <w:tc>
          <w:tcPr>
            <w:tcW w:w="1401"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r>
      <w:tr>
        <w:trPr>
          <w:trHeight w:val="300" w:hRule="atLeast"/>
        </w:trPr>
        <w:tc>
          <w:tcPr>
            <w:tcW w:w="1275"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c>
          <w:tcPr>
            <w:tcW w:w="2325" w:type="pct"/>
            <w:tcBorders>
              <w:top w:val="nil"/>
              <w:left w:val="nil"/>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装配式集成墙面</w:t>
            </w:r>
          </w:p>
        </w:tc>
        <w:tc>
          <w:tcPr>
            <w:tcW w:w="1401"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r>
      <w:tr>
        <w:tblPrEx>
          <w:tblCellMar>
            <w:top w:w="0" w:type="dxa"/>
            <w:left w:w="108" w:type="dxa"/>
            <w:bottom w:w="0" w:type="dxa"/>
            <w:right w:w="108" w:type="dxa"/>
          </w:tblCellMar>
        </w:tblPrEx>
        <w:trPr>
          <w:trHeight w:val="300" w:hRule="atLeast"/>
        </w:trPr>
        <w:tc>
          <w:tcPr>
            <w:tcW w:w="1275"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c>
          <w:tcPr>
            <w:tcW w:w="2325" w:type="pct"/>
            <w:tcBorders>
              <w:top w:val="nil"/>
              <w:left w:val="nil"/>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壁纸（布）</w:t>
            </w:r>
          </w:p>
        </w:tc>
        <w:tc>
          <w:tcPr>
            <w:tcW w:w="1401"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r>
      <w:tr>
        <w:tblPrEx>
          <w:tblCellMar>
            <w:top w:w="0" w:type="dxa"/>
            <w:left w:w="108" w:type="dxa"/>
            <w:bottom w:w="0" w:type="dxa"/>
            <w:right w:w="108" w:type="dxa"/>
          </w:tblCellMar>
        </w:tblPrEx>
        <w:trPr>
          <w:trHeight w:val="300" w:hRule="atLeast"/>
        </w:trPr>
        <w:tc>
          <w:tcPr>
            <w:tcW w:w="1275"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c>
          <w:tcPr>
            <w:tcW w:w="2325" w:type="pct"/>
            <w:tcBorders>
              <w:top w:val="nil"/>
              <w:left w:val="nil"/>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建筑装饰板</w:t>
            </w:r>
          </w:p>
        </w:tc>
        <w:tc>
          <w:tcPr>
            <w:tcW w:w="1401"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r>
      <w:tr>
        <w:tblPrEx>
          <w:tblCellMar>
            <w:top w:w="0" w:type="dxa"/>
            <w:left w:w="108" w:type="dxa"/>
            <w:bottom w:w="0" w:type="dxa"/>
            <w:right w:w="108" w:type="dxa"/>
          </w:tblCellMar>
        </w:tblPrEx>
        <w:trPr>
          <w:trHeight w:val="300" w:hRule="atLeast"/>
        </w:trPr>
        <w:tc>
          <w:tcPr>
            <w:tcW w:w="1275"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c>
          <w:tcPr>
            <w:tcW w:w="2325" w:type="pct"/>
            <w:tcBorders>
              <w:top w:val="nil"/>
              <w:left w:val="nil"/>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装修用木制品</w:t>
            </w:r>
          </w:p>
        </w:tc>
        <w:tc>
          <w:tcPr>
            <w:tcW w:w="1401"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r>
      <w:tr>
        <w:tblPrEx>
          <w:tblCellMar>
            <w:top w:w="0" w:type="dxa"/>
            <w:left w:w="108" w:type="dxa"/>
            <w:bottom w:w="0" w:type="dxa"/>
            <w:right w:w="108" w:type="dxa"/>
          </w:tblCellMar>
        </w:tblPrEx>
        <w:trPr>
          <w:trHeight w:val="300" w:hRule="atLeast"/>
        </w:trPr>
        <w:tc>
          <w:tcPr>
            <w:tcW w:w="1275"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c>
          <w:tcPr>
            <w:tcW w:w="2325" w:type="pct"/>
            <w:tcBorders>
              <w:top w:val="nil"/>
              <w:left w:val="nil"/>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石膏装饰材料</w:t>
            </w:r>
          </w:p>
        </w:tc>
        <w:tc>
          <w:tcPr>
            <w:tcW w:w="1401"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r>
      <w:tr>
        <w:tblPrEx>
          <w:tblCellMar>
            <w:top w:w="0" w:type="dxa"/>
            <w:left w:w="108" w:type="dxa"/>
            <w:bottom w:w="0" w:type="dxa"/>
            <w:right w:w="108" w:type="dxa"/>
          </w:tblCellMar>
        </w:tblPrEx>
        <w:trPr>
          <w:trHeight w:val="300" w:hRule="atLeast"/>
        </w:trPr>
        <w:tc>
          <w:tcPr>
            <w:tcW w:w="1275"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c>
          <w:tcPr>
            <w:tcW w:w="2325" w:type="pct"/>
            <w:tcBorders>
              <w:top w:val="nil"/>
              <w:left w:val="nil"/>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抗菌净化材料</w:t>
            </w:r>
          </w:p>
        </w:tc>
        <w:tc>
          <w:tcPr>
            <w:tcW w:w="1401"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r>
      <w:tr>
        <w:tblPrEx>
          <w:tblCellMar>
            <w:top w:w="0" w:type="dxa"/>
            <w:left w:w="108" w:type="dxa"/>
            <w:bottom w:w="0" w:type="dxa"/>
            <w:right w:w="108" w:type="dxa"/>
          </w:tblCellMar>
        </w:tblPrEx>
        <w:trPr>
          <w:trHeight w:val="300" w:hRule="atLeast"/>
        </w:trPr>
        <w:tc>
          <w:tcPr>
            <w:tcW w:w="1275"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c>
          <w:tcPr>
            <w:tcW w:w="2325" w:type="pct"/>
            <w:tcBorders>
              <w:top w:val="nil"/>
              <w:left w:val="nil"/>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建筑陶瓷制品</w:t>
            </w:r>
          </w:p>
        </w:tc>
        <w:tc>
          <w:tcPr>
            <w:tcW w:w="1401"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r>
      <w:tr>
        <w:tblPrEx>
          <w:tblCellMar>
            <w:top w:w="0" w:type="dxa"/>
            <w:left w:w="108" w:type="dxa"/>
            <w:bottom w:w="0" w:type="dxa"/>
            <w:right w:w="108" w:type="dxa"/>
          </w:tblCellMar>
        </w:tblPrEx>
        <w:trPr>
          <w:trHeight w:val="300" w:hRule="atLeast"/>
        </w:trPr>
        <w:tc>
          <w:tcPr>
            <w:tcW w:w="1275"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c>
          <w:tcPr>
            <w:tcW w:w="2325" w:type="pct"/>
            <w:tcBorders>
              <w:top w:val="nil"/>
              <w:left w:val="nil"/>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地坪材料</w:t>
            </w:r>
          </w:p>
        </w:tc>
        <w:tc>
          <w:tcPr>
            <w:tcW w:w="1401"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r>
      <w:tr>
        <w:trPr>
          <w:trHeight w:val="300" w:hRule="atLeast"/>
        </w:trPr>
        <w:tc>
          <w:tcPr>
            <w:tcW w:w="1275"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c>
          <w:tcPr>
            <w:tcW w:w="2325" w:type="pct"/>
            <w:tcBorders>
              <w:top w:val="nil"/>
              <w:left w:val="nil"/>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节水型卫生洁具及其他</w:t>
            </w:r>
          </w:p>
        </w:tc>
        <w:tc>
          <w:tcPr>
            <w:tcW w:w="1401"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r>
      <w:tr>
        <w:tblPrEx>
          <w:tblCellMar>
            <w:top w:w="0" w:type="dxa"/>
            <w:left w:w="108" w:type="dxa"/>
            <w:bottom w:w="0" w:type="dxa"/>
            <w:right w:w="108" w:type="dxa"/>
          </w:tblCellMar>
        </w:tblPrEx>
        <w:trPr>
          <w:trHeight w:val="300" w:hRule="atLeast"/>
        </w:trPr>
        <w:tc>
          <w:tcPr>
            <w:tcW w:w="1275"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c>
          <w:tcPr>
            <w:tcW w:w="2325" w:type="pct"/>
            <w:tcBorders>
              <w:top w:val="nil"/>
              <w:left w:val="nil"/>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其他装饰装修工程用材</w:t>
            </w:r>
          </w:p>
        </w:tc>
        <w:tc>
          <w:tcPr>
            <w:tcW w:w="1401"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r>
      <w:tr>
        <w:tblPrEx>
          <w:tblCellMar>
            <w:top w:w="0" w:type="dxa"/>
            <w:left w:w="108" w:type="dxa"/>
            <w:bottom w:w="0" w:type="dxa"/>
            <w:right w:w="108" w:type="dxa"/>
          </w:tblCellMar>
        </w:tblPrEx>
        <w:trPr>
          <w:trHeight w:val="300" w:hRule="atLeast"/>
        </w:trPr>
        <w:tc>
          <w:tcPr>
            <w:tcW w:w="1275" w:type="pct"/>
            <w:vMerge w:val="restart"/>
            <w:tcBorders>
              <w:top w:val="nil"/>
              <w:left w:val="single" w:color="auto" w:sz="4" w:space="0"/>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机电安装工程用材Q3</w:t>
            </w:r>
          </w:p>
        </w:tc>
        <w:tc>
          <w:tcPr>
            <w:tcW w:w="2325" w:type="pct"/>
            <w:tcBorders>
              <w:top w:val="nil"/>
              <w:left w:val="nil"/>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管材管件</w:t>
            </w:r>
          </w:p>
        </w:tc>
        <w:tc>
          <w:tcPr>
            <w:tcW w:w="1401" w:type="pct"/>
            <w:vMerge w:val="restart"/>
            <w:tcBorders>
              <w:top w:val="nil"/>
              <w:left w:val="single" w:color="auto" w:sz="4" w:space="0"/>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15</w:t>
            </w:r>
          </w:p>
        </w:tc>
      </w:tr>
      <w:tr>
        <w:tblPrEx>
          <w:tblCellMar>
            <w:top w:w="0" w:type="dxa"/>
            <w:left w:w="108" w:type="dxa"/>
            <w:bottom w:w="0" w:type="dxa"/>
            <w:right w:w="108" w:type="dxa"/>
          </w:tblCellMar>
        </w:tblPrEx>
        <w:trPr>
          <w:trHeight w:val="300" w:hRule="atLeast"/>
        </w:trPr>
        <w:tc>
          <w:tcPr>
            <w:tcW w:w="1275"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c>
          <w:tcPr>
            <w:tcW w:w="2325" w:type="pct"/>
            <w:tcBorders>
              <w:top w:val="nil"/>
              <w:left w:val="nil"/>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LED照明产品</w:t>
            </w:r>
          </w:p>
        </w:tc>
        <w:tc>
          <w:tcPr>
            <w:tcW w:w="1401"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r>
      <w:tr>
        <w:tblPrEx>
          <w:tblCellMar>
            <w:top w:w="0" w:type="dxa"/>
            <w:left w:w="108" w:type="dxa"/>
            <w:bottom w:w="0" w:type="dxa"/>
            <w:right w:w="108" w:type="dxa"/>
          </w:tblCellMar>
        </w:tblPrEx>
        <w:trPr>
          <w:trHeight w:val="300" w:hRule="atLeast"/>
        </w:trPr>
        <w:tc>
          <w:tcPr>
            <w:tcW w:w="1275"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c>
          <w:tcPr>
            <w:tcW w:w="2325" w:type="pct"/>
            <w:tcBorders>
              <w:top w:val="nil"/>
              <w:left w:val="nil"/>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新风净化设备及其系统</w:t>
            </w:r>
          </w:p>
        </w:tc>
        <w:tc>
          <w:tcPr>
            <w:tcW w:w="1401"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r>
      <w:tr>
        <w:tblPrEx>
          <w:tblCellMar>
            <w:top w:w="0" w:type="dxa"/>
            <w:left w:w="108" w:type="dxa"/>
            <w:bottom w:w="0" w:type="dxa"/>
            <w:right w:w="108" w:type="dxa"/>
          </w:tblCellMar>
        </w:tblPrEx>
        <w:trPr>
          <w:trHeight w:val="300" w:hRule="atLeast"/>
        </w:trPr>
        <w:tc>
          <w:tcPr>
            <w:tcW w:w="1275"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c>
          <w:tcPr>
            <w:tcW w:w="2325" w:type="pct"/>
            <w:tcBorders>
              <w:top w:val="nil"/>
              <w:left w:val="nil"/>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采暖空调设备及其系统</w:t>
            </w:r>
          </w:p>
        </w:tc>
        <w:tc>
          <w:tcPr>
            <w:tcW w:w="1401"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r>
      <w:tr>
        <w:tblPrEx>
          <w:tblCellMar>
            <w:top w:w="0" w:type="dxa"/>
            <w:left w:w="108" w:type="dxa"/>
            <w:bottom w:w="0" w:type="dxa"/>
            <w:right w:w="108" w:type="dxa"/>
          </w:tblCellMar>
        </w:tblPrEx>
        <w:trPr>
          <w:trHeight w:val="300" w:hRule="atLeast"/>
        </w:trPr>
        <w:tc>
          <w:tcPr>
            <w:tcW w:w="1275"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c>
          <w:tcPr>
            <w:tcW w:w="2325" w:type="pct"/>
            <w:tcBorders>
              <w:top w:val="nil"/>
              <w:left w:val="nil"/>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热泵产品及其系统</w:t>
            </w:r>
          </w:p>
        </w:tc>
        <w:tc>
          <w:tcPr>
            <w:tcW w:w="1401"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r>
      <w:tr>
        <w:tblPrEx>
          <w:tblCellMar>
            <w:top w:w="0" w:type="dxa"/>
            <w:left w:w="108" w:type="dxa"/>
            <w:bottom w:w="0" w:type="dxa"/>
            <w:right w:w="108" w:type="dxa"/>
          </w:tblCellMar>
        </w:tblPrEx>
        <w:trPr>
          <w:trHeight w:val="300" w:hRule="atLeast"/>
        </w:trPr>
        <w:tc>
          <w:tcPr>
            <w:tcW w:w="1275"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c>
          <w:tcPr>
            <w:tcW w:w="2325" w:type="pct"/>
            <w:tcBorders>
              <w:top w:val="nil"/>
              <w:left w:val="nil"/>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辐射供暖供冷设备及其系统</w:t>
            </w:r>
          </w:p>
        </w:tc>
        <w:tc>
          <w:tcPr>
            <w:tcW w:w="1401"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r>
      <w:tr>
        <w:tblPrEx>
          <w:tblCellMar>
            <w:top w:w="0" w:type="dxa"/>
            <w:left w:w="108" w:type="dxa"/>
            <w:bottom w:w="0" w:type="dxa"/>
            <w:right w:w="108" w:type="dxa"/>
          </w:tblCellMar>
        </w:tblPrEx>
        <w:trPr>
          <w:trHeight w:val="300" w:hRule="atLeast"/>
        </w:trPr>
        <w:tc>
          <w:tcPr>
            <w:tcW w:w="1275"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c>
          <w:tcPr>
            <w:tcW w:w="2325" w:type="pct"/>
            <w:tcBorders>
              <w:top w:val="nil"/>
              <w:left w:val="nil"/>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其他机电安装工程用材</w:t>
            </w:r>
          </w:p>
        </w:tc>
        <w:tc>
          <w:tcPr>
            <w:tcW w:w="1401"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r>
      <w:tr>
        <w:tblPrEx>
          <w:tblCellMar>
            <w:top w:w="0" w:type="dxa"/>
            <w:left w:w="108" w:type="dxa"/>
            <w:bottom w:w="0" w:type="dxa"/>
            <w:right w:w="108" w:type="dxa"/>
          </w:tblCellMar>
        </w:tblPrEx>
        <w:trPr>
          <w:trHeight w:val="300" w:hRule="atLeast"/>
        </w:trPr>
        <w:tc>
          <w:tcPr>
            <w:tcW w:w="1275" w:type="pct"/>
            <w:vMerge w:val="restart"/>
            <w:tcBorders>
              <w:top w:val="nil"/>
              <w:left w:val="single" w:color="auto" w:sz="4" w:space="0"/>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室外工程用材Q4</w:t>
            </w:r>
          </w:p>
        </w:tc>
        <w:tc>
          <w:tcPr>
            <w:tcW w:w="2325" w:type="pct"/>
            <w:tcBorders>
              <w:top w:val="nil"/>
              <w:left w:val="nil"/>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雨水收集回用系统</w:t>
            </w:r>
          </w:p>
        </w:tc>
        <w:tc>
          <w:tcPr>
            <w:tcW w:w="1401" w:type="pct"/>
            <w:vMerge w:val="restart"/>
            <w:tcBorders>
              <w:top w:val="nil"/>
              <w:left w:val="single" w:color="auto" w:sz="4" w:space="0"/>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5</w:t>
            </w:r>
          </w:p>
        </w:tc>
      </w:tr>
      <w:tr>
        <w:tblPrEx>
          <w:tblCellMar>
            <w:top w:w="0" w:type="dxa"/>
            <w:left w:w="108" w:type="dxa"/>
            <w:bottom w:w="0" w:type="dxa"/>
            <w:right w:w="108" w:type="dxa"/>
          </w:tblCellMar>
        </w:tblPrEx>
        <w:trPr>
          <w:trHeight w:val="300" w:hRule="atLeast"/>
        </w:trPr>
        <w:tc>
          <w:tcPr>
            <w:tcW w:w="1275"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c>
          <w:tcPr>
            <w:tcW w:w="2325" w:type="pct"/>
            <w:tcBorders>
              <w:top w:val="nil"/>
              <w:left w:val="nil"/>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透水铺装材料</w:t>
            </w:r>
          </w:p>
        </w:tc>
        <w:tc>
          <w:tcPr>
            <w:tcW w:w="1401"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r>
      <w:tr>
        <w:tblPrEx>
          <w:tblCellMar>
            <w:top w:w="0" w:type="dxa"/>
            <w:left w:w="108" w:type="dxa"/>
            <w:bottom w:w="0" w:type="dxa"/>
            <w:right w:w="108" w:type="dxa"/>
          </w:tblCellMar>
        </w:tblPrEx>
        <w:trPr>
          <w:trHeight w:val="300" w:hRule="atLeast"/>
        </w:trPr>
        <w:tc>
          <w:tcPr>
            <w:tcW w:w="1275"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c>
          <w:tcPr>
            <w:tcW w:w="2325" w:type="pct"/>
            <w:tcBorders>
              <w:top w:val="nil"/>
              <w:left w:val="nil"/>
              <w:bottom w:val="single" w:color="auto" w:sz="4" w:space="0"/>
              <w:right w:val="single" w:color="auto" w:sz="4" w:space="0"/>
            </w:tcBorders>
            <w:vAlign w:val="center"/>
          </w:tcPr>
          <w:p>
            <w:pPr>
              <w:widowControl/>
              <w:jc w:val="center"/>
              <w:rPr>
                <w:rFonts w:eastAsia="楷体"/>
                <w:color w:val="000000"/>
                <w:szCs w:val="24"/>
              </w:rPr>
            </w:pPr>
            <w:r>
              <w:rPr>
                <w:rFonts w:eastAsia="楷体"/>
                <w:color w:val="000000"/>
                <w:szCs w:val="24"/>
              </w:rPr>
              <w:t>其他室外工程用材</w:t>
            </w:r>
          </w:p>
        </w:tc>
        <w:tc>
          <w:tcPr>
            <w:tcW w:w="1401" w:type="pct"/>
            <w:vMerge w:val="continue"/>
            <w:tcBorders>
              <w:top w:val="nil"/>
              <w:left w:val="single" w:color="auto" w:sz="4" w:space="0"/>
              <w:bottom w:val="single" w:color="auto" w:sz="4" w:space="0"/>
              <w:right w:val="single" w:color="auto" w:sz="4" w:space="0"/>
            </w:tcBorders>
            <w:vAlign w:val="center"/>
          </w:tcPr>
          <w:p>
            <w:pPr>
              <w:widowControl/>
              <w:jc w:val="left"/>
              <w:rPr>
                <w:rFonts w:eastAsia="楷体"/>
                <w:color w:val="000000"/>
                <w:szCs w:val="24"/>
              </w:rPr>
            </w:pPr>
          </w:p>
        </w:tc>
      </w:tr>
    </w:tbl>
    <w:p>
      <w:pPr>
        <w:pStyle w:val="68"/>
        <w:rPr>
          <w:rFonts w:ascii="Times New Roman" w:hAnsi="Times New Roman" w:cs="Times New Roman"/>
        </w:rPr>
      </w:pPr>
      <w:r>
        <w:rPr>
          <w:rFonts w:ascii="Times New Roman" w:hAnsi="Times New Roman" w:cs="Times New Roman"/>
        </w:rPr>
        <w:t>本条中的绿色建材须通过绿色建材产品认证，或满足财政部、住房城乡建设部、工业和信息化部发布的《绿色建筑和绿色建材政府采购需求标准》，且每个二级指标的绿色建材用量应达到相应品类总量的80%方可得分。</w:t>
      </w:r>
    </w:p>
    <w:p>
      <w:pPr>
        <w:pStyle w:val="68"/>
        <w:rPr>
          <w:rFonts w:ascii="Times New Roman" w:hAnsi="Times New Roman" w:cs="Times New Roman"/>
        </w:rPr>
      </w:pPr>
      <w:r>
        <w:rPr>
          <w:rFonts w:ascii="Times New Roman" w:hAnsi="Times New Roman" w:cs="Times New Roman"/>
        </w:rPr>
        <w:t>考虑到绿色建材的不断发展，如果具体工程项目使用了表1二级指标列出的各类建筑材料之外的其他建材（即各类二级指标最后一项其他用材），且该类建材列入了国家、各省市政府采购要求或通过了绿色建材产品认证，可在计算绿色建材应用比例时将各类二级指标N和N绿同时增加此类其他建材的对应品类数量。</w:t>
      </w:r>
    </w:p>
    <w:bookmarkEnd w:id="86"/>
    <w:p>
      <w:pPr>
        <w:pStyle w:val="28"/>
        <w:spacing w:line="360" w:lineRule="auto"/>
        <w:outlineLvl w:val="2"/>
        <w:rPr>
          <w:kern w:val="2"/>
          <w:szCs w:val="24"/>
        </w:rPr>
      </w:pPr>
      <w:r>
        <w:rPr>
          <w:b/>
          <w:bCs/>
          <w:kern w:val="2"/>
          <w:szCs w:val="24"/>
        </w:rPr>
        <w:t>4.2.5</w:t>
      </w:r>
      <w:r>
        <w:rPr>
          <w:kern w:val="2"/>
          <w:szCs w:val="24"/>
        </w:rPr>
        <w:t xml:space="preserve"> 申请运行评价或</w:t>
      </w:r>
      <w:r>
        <w:t>全过程评价</w:t>
      </w:r>
      <w:r>
        <w:rPr>
          <w:kern w:val="2"/>
          <w:szCs w:val="24"/>
        </w:rPr>
        <w:t>的铁路客站，当实际旅客发送量与设计旅客发送量不一致时，铁路客站碳排放强度限值应按下式进行修正。</w:t>
      </w:r>
    </w:p>
    <w:p>
      <w:pPr>
        <w:pStyle w:val="6"/>
        <w:adjustRightInd w:val="0"/>
        <w:snapToGrid w:val="0"/>
        <w:ind w:right="84"/>
        <w:jc w:val="right"/>
        <w:rPr>
          <w:bCs/>
          <w:color w:val="000000" w:themeColor="text1"/>
          <w14:textFill>
            <w14:solidFill>
              <w14:schemeClr w14:val="tx1"/>
            </w14:solidFill>
          </w14:textFill>
        </w:rPr>
      </w:pPr>
      <m:oMath>
        <m:r>
          <m:rPr/>
          <w:rPr>
            <w:rFonts w:ascii="Cambria Math" w:hAnsi="Cambria Math"/>
            <w:color w:val="000000" w:themeColor="text1"/>
            <w:kern w:val="0"/>
            <w:sz w:val="24"/>
            <w:szCs w:val="28"/>
            <w14:textFill>
              <w14:solidFill>
                <w14:schemeClr w14:val="tx1"/>
              </w14:solidFill>
            </w14:textFill>
          </w:rPr>
          <m:t>C=</m:t>
        </m:r>
        <m:sSub>
          <m:sSubPr>
            <m:ctrlPr>
              <w:rPr>
                <w:rFonts w:ascii="Cambria Math" w:hAnsi="Cambria Math"/>
                <w:i/>
                <w:color w:val="000000" w:themeColor="text1"/>
                <w:kern w:val="0"/>
                <w:sz w:val="24"/>
                <w:szCs w:val="28"/>
                <w14:textFill>
                  <w14:solidFill>
                    <w14:schemeClr w14:val="tx1"/>
                  </w14:solidFill>
                </w14:textFill>
              </w:rPr>
            </m:ctrlPr>
          </m:sSubPr>
          <m:e>
            <m:r>
              <m:rPr/>
              <w:rPr>
                <w:rFonts w:ascii="Cambria Math" w:hAnsi="Cambria Math"/>
                <w:color w:val="000000" w:themeColor="text1"/>
                <w:kern w:val="0"/>
                <w:sz w:val="24"/>
                <w:szCs w:val="28"/>
                <w14:textFill>
                  <w14:solidFill>
                    <w14:schemeClr w14:val="tx1"/>
                  </w14:solidFill>
                </w14:textFill>
              </w:rPr>
              <m:t>C</m:t>
            </m:r>
            <m:ctrlPr>
              <w:rPr>
                <w:rFonts w:ascii="Cambria Math" w:hAnsi="Cambria Math"/>
                <w:i/>
                <w:color w:val="000000" w:themeColor="text1"/>
                <w:kern w:val="0"/>
                <w:sz w:val="24"/>
                <w:szCs w:val="28"/>
                <w14:textFill>
                  <w14:solidFill>
                    <w14:schemeClr w14:val="tx1"/>
                  </w14:solidFill>
                </w14:textFill>
              </w:rPr>
            </m:ctrlPr>
          </m:e>
          <m:sub>
            <m:r>
              <m:rPr/>
              <w:rPr>
                <w:rFonts w:ascii="Cambria Math" w:hAnsi="Cambria Math"/>
                <w:color w:val="000000" w:themeColor="text1"/>
                <w:kern w:val="0"/>
                <w:sz w:val="24"/>
                <w:szCs w:val="28"/>
                <w14:textFill>
                  <w14:solidFill>
                    <w14:schemeClr w14:val="tx1"/>
                  </w14:solidFill>
                </w14:textFill>
              </w:rPr>
              <m:t>0</m:t>
            </m:r>
            <m:ctrlPr>
              <w:rPr>
                <w:rFonts w:ascii="Cambria Math" w:hAnsi="Cambria Math"/>
                <w:i/>
                <w:color w:val="000000" w:themeColor="text1"/>
                <w:kern w:val="0"/>
                <w:sz w:val="24"/>
                <w:szCs w:val="28"/>
                <w14:textFill>
                  <w14:solidFill>
                    <w14:schemeClr w14:val="tx1"/>
                  </w14:solidFill>
                </w14:textFill>
              </w:rPr>
            </m:ctrlPr>
          </m:sub>
        </m:sSub>
        <m:r>
          <m:rPr/>
          <w:rPr>
            <w:rFonts w:ascii="Cambria Math" w:hAnsi="Cambria Math"/>
            <w:color w:val="000000" w:themeColor="text1"/>
            <w:kern w:val="0"/>
            <w:sz w:val="24"/>
            <w:szCs w:val="28"/>
            <w14:textFill>
              <w14:solidFill>
                <w14:schemeClr w14:val="tx1"/>
              </w14:solidFill>
            </w14:textFill>
          </w:rPr>
          <m:t>×(</m:t>
        </m:r>
        <m:sSub>
          <m:sSubPr>
            <m:ctrlPr>
              <w:rPr>
                <w:rFonts w:ascii="Cambria Math" w:hAnsi="Cambria Math"/>
                <w:i/>
                <w:color w:val="000000" w:themeColor="text1"/>
                <w:kern w:val="0"/>
                <w:sz w:val="24"/>
                <w:szCs w:val="28"/>
                <w14:textFill>
                  <w14:solidFill>
                    <w14:schemeClr w14:val="tx1"/>
                  </w14:solidFill>
                </w14:textFill>
              </w:rPr>
            </m:ctrlPr>
          </m:sSubPr>
          <m:e>
            <m:r>
              <m:rPr/>
              <w:rPr>
                <w:rFonts w:ascii="Cambria Math" w:hAnsi="Cambria Math"/>
                <w:color w:val="000000" w:themeColor="text1"/>
                <w:kern w:val="0"/>
                <w:sz w:val="24"/>
                <w:szCs w:val="28"/>
                <w14:textFill>
                  <w14:solidFill>
                    <w14:schemeClr w14:val="tx1"/>
                  </w14:solidFill>
                </w14:textFill>
              </w:rPr>
              <m:t>a</m:t>
            </m:r>
            <m:ctrlPr>
              <w:rPr>
                <w:rFonts w:ascii="Cambria Math" w:hAnsi="Cambria Math"/>
                <w:i/>
                <w:color w:val="000000" w:themeColor="text1"/>
                <w:kern w:val="0"/>
                <w:sz w:val="24"/>
                <w:szCs w:val="28"/>
                <w14:textFill>
                  <w14:solidFill>
                    <w14:schemeClr w14:val="tx1"/>
                  </w14:solidFill>
                </w14:textFill>
              </w:rPr>
            </m:ctrlPr>
          </m:e>
          <m:sub>
            <m:r>
              <m:rPr/>
              <w:rPr>
                <w:rFonts w:ascii="Cambria Math" w:hAnsi="Cambria Math"/>
                <w:color w:val="000000" w:themeColor="text1"/>
                <w:kern w:val="0"/>
                <w:sz w:val="24"/>
                <w:szCs w:val="28"/>
                <w14:textFill>
                  <w14:solidFill>
                    <w14:schemeClr w14:val="tx1"/>
                  </w14:solidFill>
                </w14:textFill>
              </w:rPr>
              <m:t>1</m:t>
            </m:r>
            <m:ctrlPr>
              <w:rPr>
                <w:rFonts w:ascii="Cambria Math" w:hAnsi="Cambria Math"/>
                <w:i/>
                <w:color w:val="000000" w:themeColor="text1"/>
                <w:kern w:val="0"/>
                <w:sz w:val="24"/>
                <w:szCs w:val="28"/>
                <w14:textFill>
                  <w14:solidFill>
                    <w14:schemeClr w14:val="tx1"/>
                  </w14:solidFill>
                </w14:textFill>
              </w:rPr>
            </m:ctrlPr>
          </m:sub>
        </m:sSub>
        <m:r>
          <m:rPr/>
          <w:rPr>
            <w:rFonts w:ascii="Cambria Math" w:hAnsi="Cambria Math"/>
            <w:color w:val="000000" w:themeColor="text1"/>
            <w:kern w:val="0"/>
            <w:sz w:val="24"/>
            <w:szCs w:val="28"/>
            <w14:textFill>
              <w14:solidFill>
                <w14:schemeClr w14:val="tx1"/>
              </w14:solidFill>
            </w14:textFill>
          </w:rPr>
          <m:t>+</m:t>
        </m:r>
        <m:sSub>
          <m:sSubPr>
            <m:ctrlPr>
              <w:rPr>
                <w:rFonts w:ascii="Cambria Math" w:hAnsi="Cambria Math"/>
                <w:i/>
                <w:color w:val="000000" w:themeColor="text1"/>
                <w:kern w:val="0"/>
                <w:sz w:val="24"/>
                <w:szCs w:val="28"/>
                <w14:textFill>
                  <w14:solidFill>
                    <w14:schemeClr w14:val="tx1"/>
                  </w14:solidFill>
                </w14:textFill>
              </w:rPr>
            </m:ctrlPr>
          </m:sSubPr>
          <m:e>
            <m:r>
              <m:rPr/>
              <w:rPr>
                <w:rFonts w:ascii="Cambria Math" w:hAnsi="Cambria Math"/>
                <w:color w:val="000000" w:themeColor="text1"/>
                <w:kern w:val="0"/>
                <w:sz w:val="24"/>
                <w:szCs w:val="28"/>
                <w14:textFill>
                  <w14:solidFill>
                    <w14:schemeClr w14:val="tx1"/>
                  </w14:solidFill>
                </w14:textFill>
              </w:rPr>
              <m:t>b</m:t>
            </m:r>
            <m:ctrlPr>
              <w:rPr>
                <w:rFonts w:ascii="Cambria Math" w:hAnsi="Cambria Math"/>
                <w:i/>
                <w:color w:val="000000" w:themeColor="text1"/>
                <w:kern w:val="0"/>
                <w:sz w:val="24"/>
                <w:szCs w:val="28"/>
                <w14:textFill>
                  <w14:solidFill>
                    <w14:schemeClr w14:val="tx1"/>
                  </w14:solidFill>
                </w14:textFill>
              </w:rPr>
            </m:ctrlPr>
          </m:e>
          <m:sub>
            <m:r>
              <m:rPr/>
              <w:rPr>
                <w:rFonts w:ascii="Cambria Math" w:hAnsi="Cambria Math"/>
                <w:color w:val="000000" w:themeColor="text1"/>
                <w:kern w:val="0"/>
                <w:sz w:val="24"/>
                <w:szCs w:val="28"/>
                <w14:textFill>
                  <w14:solidFill>
                    <w14:schemeClr w14:val="tx1"/>
                  </w14:solidFill>
                </w14:textFill>
              </w:rPr>
              <m:t>1</m:t>
            </m:r>
            <m:ctrlPr>
              <w:rPr>
                <w:rFonts w:ascii="Cambria Math" w:hAnsi="Cambria Math"/>
                <w:i/>
                <w:color w:val="000000" w:themeColor="text1"/>
                <w:kern w:val="0"/>
                <w:sz w:val="24"/>
                <w:szCs w:val="28"/>
                <w14:textFill>
                  <w14:solidFill>
                    <w14:schemeClr w14:val="tx1"/>
                  </w14:solidFill>
                </w14:textFill>
              </w:rPr>
            </m:ctrlPr>
          </m:sub>
        </m:sSub>
        <m:f>
          <m:fPr>
            <m:ctrlPr>
              <w:rPr>
                <w:rFonts w:ascii="Cambria Math" w:hAnsi="Cambria Math"/>
                <w:i/>
                <w:color w:val="000000" w:themeColor="text1"/>
                <w:kern w:val="0"/>
                <w:sz w:val="24"/>
                <w:szCs w:val="28"/>
                <w14:textFill>
                  <w14:solidFill>
                    <w14:schemeClr w14:val="tx1"/>
                  </w14:solidFill>
                </w14:textFill>
              </w:rPr>
            </m:ctrlPr>
          </m:fPr>
          <m:num>
            <m:r>
              <m:rPr/>
              <w:rPr>
                <w:rFonts w:ascii="Cambria Math" w:hAnsi="Cambria Math"/>
                <w:color w:val="000000" w:themeColor="text1"/>
                <w:kern w:val="0"/>
                <w:sz w:val="24"/>
                <w:szCs w:val="28"/>
                <w14:textFill>
                  <w14:solidFill>
                    <w14:schemeClr w14:val="tx1"/>
                  </w14:solidFill>
                </w14:textFill>
              </w:rPr>
              <m:t>P</m:t>
            </m:r>
            <m:ctrlPr>
              <w:rPr>
                <w:rFonts w:ascii="Cambria Math" w:hAnsi="Cambria Math"/>
                <w:i/>
                <w:color w:val="000000" w:themeColor="text1"/>
                <w:kern w:val="0"/>
                <w:sz w:val="24"/>
                <w:szCs w:val="28"/>
                <w14:textFill>
                  <w14:solidFill>
                    <w14:schemeClr w14:val="tx1"/>
                  </w14:solidFill>
                </w14:textFill>
              </w:rPr>
            </m:ctrlPr>
          </m:num>
          <m:den>
            <m:sSub>
              <m:sSubPr>
                <m:ctrlPr>
                  <w:rPr>
                    <w:rFonts w:ascii="Cambria Math" w:hAnsi="Cambria Math"/>
                    <w:i/>
                    <w:color w:val="000000" w:themeColor="text1"/>
                    <w:kern w:val="0"/>
                    <w:sz w:val="24"/>
                    <w:szCs w:val="28"/>
                    <w14:textFill>
                      <w14:solidFill>
                        <w14:schemeClr w14:val="tx1"/>
                      </w14:solidFill>
                    </w14:textFill>
                  </w:rPr>
                </m:ctrlPr>
              </m:sSubPr>
              <m:e>
                <m:r>
                  <m:rPr/>
                  <w:rPr>
                    <w:rFonts w:ascii="Cambria Math" w:hAnsi="Cambria Math"/>
                    <w:color w:val="000000" w:themeColor="text1"/>
                    <w:kern w:val="0"/>
                    <w:sz w:val="24"/>
                    <w:szCs w:val="28"/>
                    <w14:textFill>
                      <w14:solidFill>
                        <w14:schemeClr w14:val="tx1"/>
                      </w14:solidFill>
                    </w14:textFill>
                  </w:rPr>
                  <m:t>P</m:t>
                </m:r>
                <m:ctrlPr>
                  <w:rPr>
                    <w:rFonts w:ascii="Cambria Math" w:hAnsi="Cambria Math"/>
                    <w:i/>
                    <w:color w:val="000000" w:themeColor="text1"/>
                    <w:kern w:val="0"/>
                    <w:sz w:val="24"/>
                    <w:szCs w:val="28"/>
                    <w14:textFill>
                      <w14:solidFill>
                        <w14:schemeClr w14:val="tx1"/>
                      </w14:solidFill>
                    </w14:textFill>
                  </w:rPr>
                </m:ctrlPr>
              </m:e>
              <m:sub>
                <m:r>
                  <m:rPr/>
                  <w:rPr>
                    <w:rFonts w:ascii="Cambria Math" w:hAnsi="Cambria Math"/>
                    <w:color w:val="000000" w:themeColor="text1"/>
                    <w:kern w:val="0"/>
                    <w:sz w:val="24"/>
                    <w:szCs w:val="28"/>
                    <w14:textFill>
                      <w14:solidFill>
                        <w14:schemeClr w14:val="tx1"/>
                      </w14:solidFill>
                    </w14:textFill>
                  </w:rPr>
                  <m:t>0</m:t>
                </m:r>
                <m:ctrlPr>
                  <w:rPr>
                    <w:rFonts w:ascii="Cambria Math" w:hAnsi="Cambria Math"/>
                    <w:i/>
                    <w:color w:val="000000" w:themeColor="text1"/>
                    <w:kern w:val="0"/>
                    <w:sz w:val="24"/>
                    <w:szCs w:val="28"/>
                    <w14:textFill>
                      <w14:solidFill>
                        <w14:schemeClr w14:val="tx1"/>
                      </w14:solidFill>
                    </w14:textFill>
                  </w:rPr>
                </m:ctrlPr>
              </m:sub>
            </m:sSub>
            <m:ctrlPr>
              <w:rPr>
                <w:rFonts w:ascii="Cambria Math" w:hAnsi="Cambria Math"/>
                <w:i/>
                <w:color w:val="000000" w:themeColor="text1"/>
                <w:kern w:val="0"/>
                <w:sz w:val="24"/>
                <w:szCs w:val="28"/>
                <w14:textFill>
                  <w14:solidFill>
                    <w14:schemeClr w14:val="tx1"/>
                  </w14:solidFill>
                </w14:textFill>
              </w:rPr>
            </m:ctrlPr>
          </m:den>
        </m:f>
        <m:r>
          <m:rPr/>
          <w:rPr>
            <w:rFonts w:ascii="Cambria Math" w:hAnsi="Cambria Math"/>
            <w:color w:val="000000" w:themeColor="text1"/>
            <w:kern w:val="0"/>
            <w:sz w:val="24"/>
            <w:szCs w:val="28"/>
            <w14:textFill>
              <w14:solidFill>
                <w14:schemeClr w14:val="tx1"/>
              </w14:solidFill>
            </w14:textFill>
          </w:rPr>
          <m:t>)</m:t>
        </m:r>
      </m:oMath>
      <w:r>
        <w:rPr>
          <w:bCs/>
          <w:color w:val="000000" w:themeColor="text1"/>
          <w14:textFill>
            <w14:solidFill>
              <w14:schemeClr w14:val="tx1"/>
            </w14:solidFill>
          </w14:textFill>
        </w:rPr>
        <w:t xml:space="preserve">                                     </w:t>
      </w:r>
      <w:r>
        <w:rPr>
          <w:bCs/>
          <w:color w:val="000000" w:themeColor="text1"/>
          <w:sz w:val="24"/>
          <w:szCs w:val="24"/>
          <w14:textFill>
            <w14:solidFill>
              <w14:schemeClr w14:val="tx1"/>
            </w14:solidFill>
          </w14:textFill>
        </w:rPr>
        <w:t xml:space="preserve">     </w:t>
      </w:r>
      <w:r>
        <w:rPr>
          <w:bCs/>
          <w:color w:val="000000" w:themeColor="text1"/>
          <w:szCs w:val="24"/>
          <w14:textFill>
            <w14:solidFill>
              <w14:schemeClr w14:val="tx1"/>
            </w14:solidFill>
          </w14:textFill>
        </w:rPr>
        <w:t>（4.2.5）</w:t>
      </w:r>
    </w:p>
    <w:p>
      <w:pPr>
        <w:pStyle w:val="59"/>
        <w:adjustRightInd w:val="0"/>
        <w:snapToGrid w:val="0"/>
        <w:ind w:firstLine="480"/>
        <w:rPr>
          <w:color w:val="000000" w:themeColor="text1"/>
          <w:szCs w:val="21"/>
          <w14:textFill>
            <w14:solidFill>
              <w14:schemeClr w14:val="tx1"/>
            </w14:solidFill>
          </w14:textFill>
        </w:rPr>
      </w:pPr>
      <w:r>
        <w:rPr>
          <w:color w:val="000000" w:themeColor="text1"/>
          <w:szCs w:val="21"/>
          <w14:textFill>
            <w14:solidFill>
              <w14:schemeClr w14:val="tx1"/>
            </w14:solidFill>
          </w14:textFill>
        </w:rPr>
        <w:t>式中：</w:t>
      </w:r>
    </w:p>
    <w:p>
      <w:pPr>
        <w:pStyle w:val="59"/>
        <w:adjustRightInd w:val="0"/>
        <w:snapToGrid w:val="0"/>
        <w:ind w:firstLine="480"/>
        <w:rPr>
          <w:color w:val="000000" w:themeColor="text1"/>
          <w:szCs w:val="24"/>
          <w14:textFill>
            <w14:solidFill>
              <w14:schemeClr w14:val="tx1"/>
            </w14:solidFill>
          </w14:textFill>
        </w:rPr>
      </w:pPr>
      <w:r>
        <w:rPr>
          <w:i/>
          <w:iCs/>
          <w:color w:val="000000" w:themeColor="text1"/>
          <w:szCs w:val="21"/>
          <w14:textFill>
            <w14:solidFill>
              <w14:schemeClr w14:val="tx1"/>
            </w14:solidFill>
          </w14:textFill>
        </w:rPr>
        <w:t>C</w:t>
      </w:r>
      <w:r>
        <w:rPr>
          <w:color w:val="000000" w:themeColor="text1"/>
          <w:szCs w:val="21"/>
          <w14:textFill>
            <w14:solidFill>
              <w14:schemeClr w14:val="tx1"/>
            </w14:solidFill>
          </w14:textFill>
        </w:rPr>
        <w:t>——</w:t>
      </w:r>
      <w:r>
        <w:rPr>
          <w:color w:val="000000" w:themeColor="text1"/>
          <w:szCs w:val="24"/>
          <w14:textFill>
            <w14:solidFill>
              <w14:schemeClr w14:val="tx1"/>
            </w14:solidFill>
          </w14:textFill>
        </w:rPr>
        <w:t>根据实际旅客吞吐量修正后的</w:t>
      </w:r>
      <w:r>
        <w:rPr>
          <w:kern w:val="2"/>
          <w:szCs w:val="24"/>
        </w:rPr>
        <w:t>铁路客站碳排放强度限值</w:t>
      </w:r>
      <w:r>
        <w:rPr>
          <w:color w:val="000000" w:themeColor="text1"/>
          <w:szCs w:val="24"/>
          <w14:textFill>
            <w14:solidFill>
              <w14:schemeClr w14:val="tx1"/>
            </w14:solidFill>
          </w14:textFill>
        </w:rPr>
        <w:t>，kg CO</w:t>
      </w:r>
      <w:r>
        <w:rPr>
          <w:color w:val="000000" w:themeColor="text1"/>
          <w:szCs w:val="24"/>
          <w:vertAlign w:val="subscript"/>
          <w14:textFill>
            <w14:solidFill>
              <w14:schemeClr w14:val="tx1"/>
            </w14:solidFill>
          </w14:textFill>
        </w:rPr>
        <w:t>2</w:t>
      </w:r>
      <w:r>
        <w:rPr>
          <w:color w:val="000000" w:themeColor="text1"/>
          <w:szCs w:val="24"/>
          <w14:textFill>
            <w14:solidFill>
              <w14:schemeClr w14:val="tx1"/>
            </w14:solidFill>
          </w14:textFill>
        </w:rPr>
        <w:t>/m</w:t>
      </w:r>
      <w:r>
        <w:rPr>
          <w:color w:val="000000" w:themeColor="text1"/>
          <w:szCs w:val="24"/>
          <w:vertAlign w:val="superscript"/>
          <w14:textFill>
            <w14:solidFill>
              <w14:schemeClr w14:val="tx1"/>
            </w14:solidFill>
          </w14:textFill>
        </w:rPr>
        <w:t>2</w:t>
      </w:r>
      <w:r>
        <w:rPr>
          <w:color w:val="000000" w:themeColor="text1"/>
          <w:szCs w:val="24"/>
          <w14:textFill>
            <w14:solidFill>
              <w14:schemeClr w14:val="tx1"/>
            </w14:solidFill>
          </w14:textFill>
        </w:rPr>
        <w:t xml:space="preserve"> a；</w:t>
      </w:r>
    </w:p>
    <w:p>
      <w:pPr>
        <w:pStyle w:val="59"/>
        <w:adjustRightInd w:val="0"/>
        <w:snapToGrid w:val="0"/>
        <w:ind w:firstLine="480"/>
        <w:rPr>
          <w:color w:val="000000" w:themeColor="text1"/>
          <w:szCs w:val="24"/>
          <w14:textFill>
            <w14:solidFill>
              <w14:schemeClr w14:val="tx1"/>
            </w14:solidFill>
          </w14:textFill>
        </w:rPr>
      </w:pPr>
      <w:r>
        <w:rPr>
          <w:i/>
          <w:iCs/>
          <w:color w:val="000000" w:themeColor="text1"/>
          <w:szCs w:val="21"/>
          <w14:textFill>
            <w14:solidFill>
              <w14:schemeClr w14:val="tx1"/>
            </w14:solidFill>
          </w14:textFill>
        </w:rPr>
        <w:t>C</w:t>
      </w:r>
      <w:r>
        <w:rPr>
          <w:i/>
          <w:iCs/>
          <w:color w:val="000000" w:themeColor="text1"/>
          <w:szCs w:val="21"/>
          <w:vertAlign w:val="subscript"/>
          <w14:textFill>
            <w14:solidFill>
              <w14:schemeClr w14:val="tx1"/>
            </w14:solidFill>
          </w14:textFill>
        </w:rPr>
        <w:t>0</w:t>
      </w:r>
      <w:r>
        <w:rPr>
          <w:color w:val="000000" w:themeColor="text1"/>
          <w:szCs w:val="21"/>
          <w14:textFill>
            <w14:solidFill>
              <w14:schemeClr w14:val="tx1"/>
            </w14:solidFill>
          </w14:textFill>
        </w:rPr>
        <w:t>——</w:t>
      </w:r>
      <w:r>
        <w:rPr>
          <w:kern w:val="2"/>
          <w:szCs w:val="24"/>
        </w:rPr>
        <w:t>铁路客站碳排放强度限值</w:t>
      </w:r>
      <w:r>
        <w:rPr>
          <w:color w:val="000000" w:themeColor="text1"/>
          <w:szCs w:val="24"/>
          <w14:textFill>
            <w14:solidFill>
              <w14:schemeClr w14:val="tx1"/>
            </w14:solidFill>
          </w14:textFill>
        </w:rPr>
        <w:t>，按表4.2.1-1或4.2.2-1确定，kg CO</w:t>
      </w:r>
      <w:r>
        <w:rPr>
          <w:color w:val="000000" w:themeColor="text1"/>
          <w:szCs w:val="24"/>
          <w:vertAlign w:val="subscript"/>
          <w14:textFill>
            <w14:solidFill>
              <w14:schemeClr w14:val="tx1"/>
            </w14:solidFill>
          </w14:textFill>
        </w:rPr>
        <w:t>2</w:t>
      </w:r>
      <w:r>
        <w:rPr>
          <w:color w:val="000000" w:themeColor="text1"/>
          <w:szCs w:val="24"/>
          <w14:textFill>
            <w14:solidFill>
              <w14:schemeClr w14:val="tx1"/>
            </w14:solidFill>
          </w14:textFill>
        </w:rPr>
        <w:t>/m</w:t>
      </w:r>
      <w:r>
        <w:rPr>
          <w:color w:val="000000" w:themeColor="text1"/>
          <w:szCs w:val="24"/>
          <w:vertAlign w:val="superscript"/>
          <w14:textFill>
            <w14:solidFill>
              <w14:schemeClr w14:val="tx1"/>
            </w14:solidFill>
          </w14:textFill>
        </w:rPr>
        <w:t>2</w:t>
      </w:r>
      <w:r>
        <w:rPr>
          <w:color w:val="000000" w:themeColor="text1"/>
          <w:szCs w:val="24"/>
          <w14:textFill>
            <w14:solidFill>
              <w14:schemeClr w14:val="tx1"/>
            </w14:solidFill>
          </w14:textFill>
        </w:rPr>
        <w:t xml:space="preserve"> a；</w:t>
      </w:r>
    </w:p>
    <w:p>
      <w:pPr>
        <w:pStyle w:val="59"/>
        <w:adjustRightInd w:val="0"/>
        <w:snapToGrid w:val="0"/>
        <w:ind w:firstLine="480"/>
        <w:rPr>
          <w:color w:val="000000" w:themeColor="text1"/>
          <w:szCs w:val="24"/>
          <w14:textFill>
            <w14:solidFill>
              <w14:schemeClr w14:val="tx1"/>
            </w14:solidFill>
          </w14:textFill>
        </w:rPr>
      </w:pPr>
      <w:r>
        <w:rPr>
          <w:i/>
          <w:color w:val="000000" w:themeColor="text1"/>
          <w:szCs w:val="24"/>
          <w14:textFill>
            <w14:solidFill>
              <w14:schemeClr w14:val="tx1"/>
            </w14:solidFill>
          </w14:textFill>
        </w:rPr>
        <w:t>a</w:t>
      </w:r>
      <w:r>
        <w:rPr>
          <w:i/>
          <w:color w:val="000000" w:themeColor="text1"/>
          <w:szCs w:val="24"/>
          <w:vertAlign w:val="subscript"/>
          <w14:textFill>
            <w14:solidFill>
              <w14:schemeClr w14:val="tx1"/>
            </w14:solidFill>
          </w14:textFill>
        </w:rPr>
        <w:t>1</w:t>
      </w:r>
      <w:r>
        <w:rPr>
          <w:color w:val="000000" w:themeColor="text1"/>
          <w:szCs w:val="24"/>
          <w14:textFill>
            <w14:solidFill>
              <w14:schemeClr w14:val="tx1"/>
            </w14:solidFill>
          </w14:textFill>
        </w:rPr>
        <w:t>、</w:t>
      </w:r>
      <w:r>
        <w:rPr>
          <w:i/>
          <w:color w:val="000000" w:themeColor="text1"/>
          <w:szCs w:val="24"/>
          <w14:textFill>
            <w14:solidFill>
              <w14:schemeClr w14:val="tx1"/>
            </w14:solidFill>
          </w14:textFill>
        </w:rPr>
        <w:t>b</w:t>
      </w:r>
      <w:r>
        <w:rPr>
          <w:i/>
          <w:color w:val="000000" w:themeColor="text1"/>
          <w:szCs w:val="24"/>
          <w:vertAlign w:val="subscript"/>
          <w14:textFill>
            <w14:solidFill>
              <w14:schemeClr w14:val="tx1"/>
            </w14:solidFill>
          </w14:textFill>
        </w:rPr>
        <w:t>1</w:t>
      </w:r>
      <w:r>
        <w:rPr>
          <w:color w:val="000000" w:themeColor="text1"/>
          <w:szCs w:val="21"/>
          <w14:textFill>
            <w14:solidFill>
              <w14:schemeClr w14:val="tx1"/>
            </w14:solidFill>
          </w14:textFill>
        </w:rPr>
        <w:t>——</w:t>
      </w:r>
      <w:r>
        <w:rPr>
          <w:color w:val="000000" w:themeColor="text1"/>
          <w:szCs w:val="24"/>
          <w14:textFill>
            <w14:solidFill>
              <w14:schemeClr w14:val="tx1"/>
            </w14:solidFill>
          </w14:textFill>
        </w:rPr>
        <w:t>铁路客站</w:t>
      </w:r>
      <w:r>
        <w:rPr>
          <w:kern w:val="2"/>
          <w:szCs w:val="24"/>
        </w:rPr>
        <w:t>碳排放强度限值</w:t>
      </w:r>
      <w:r>
        <w:rPr>
          <w:color w:val="000000" w:themeColor="text1"/>
          <w:szCs w:val="24"/>
          <w14:textFill>
            <w14:solidFill>
              <w14:schemeClr w14:val="tx1"/>
            </w14:solidFill>
          </w14:textFill>
        </w:rPr>
        <w:t>修正系数，按表4.4.5确定；</w:t>
      </w:r>
    </w:p>
    <w:p>
      <w:pPr>
        <w:pStyle w:val="59"/>
        <w:adjustRightInd w:val="0"/>
        <w:snapToGrid w:val="0"/>
        <w:ind w:firstLine="480"/>
        <w:rPr>
          <w:color w:val="000000" w:themeColor="text1"/>
          <w:szCs w:val="24"/>
          <w14:textFill>
            <w14:solidFill>
              <w14:schemeClr w14:val="tx1"/>
            </w14:solidFill>
          </w14:textFill>
        </w:rPr>
      </w:pPr>
      <w:r>
        <w:rPr>
          <w:i/>
          <w:iCs/>
          <w:color w:val="000000" w:themeColor="text1"/>
          <w:szCs w:val="24"/>
          <w14:textFill>
            <w14:solidFill>
              <w14:schemeClr w14:val="tx1"/>
            </w14:solidFill>
          </w14:textFill>
        </w:rPr>
        <w:t>P</w:t>
      </w:r>
      <w:r>
        <w:rPr>
          <w:color w:val="000000" w:themeColor="text1"/>
          <w:szCs w:val="24"/>
          <w14:textFill>
            <w14:solidFill>
              <w14:schemeClr w14:val="tx1"/>
            </w14:solidFill>
          </w14:textFill>
        </w:rPr>
        <w:t>——铁路客站实际年旅客发送量，万人；</w:t>
      </w:r>
    </w:p>
    <w:p>
      <w:pPr>
        <w:pStyle w:val="59"/>
        <w:adjustRightInd w:val="0"/>
        <w:snapToGrid w:val="0"/>
        <w:ind w:firstLine="480"/>
        <w:rPr>
          <w:color w:val="000000" w:themeColor="text1"/>
          <w:szCs w:val="21"/>
          <w14:textFill>
            <w14:solidFill>
              <w14:schemeClr w14:val="tx1"/>
            </w14:solidFill>
          </w14:textFill>
        </w:rPr>
      </w:pPr>
      <w:r>
        <w:rPr>
          <w:i/>
          <w:iCs/>
          <w:color w:val="000000" w:themeColor="text1"/>
          <w:szCs w:val="24"/>
          <w14:textFill>
            <w14:solidFill>
              <w14:schemeClr w14:val="tx1"/>
            </w14:solidFill>
          </w14:textFill>
        </w:rPr>
        <w:t>P</w:t>
      </w:r>
      <w:r>
        <w:rPr>
          <w:i/>
          <w:iCs/>
          <w:color w:val="000000" w:themeColor="text1"/>
          <w:szCs w:val="24"/>
          <w:vertAlign w:val="subscript"/>
          <w14:textFill>
            <w14:solidFill>
              <w14:schemeClr w14:val="tx1"/>
            </w14:solidFill>
          </w14:textFill>
        </w:rPr>
        <w:t>0</w:t>
      </w:r>
      <w:r>
        <w:rPr>
          <w:color w:val="000000" w:themeColor="text1"/>
          <w:szCs w:val="24"/>
          <w14:textFill>
            <w14:solidFill>
              <w14:schemeClr w14:val="tx1"/>
            </w14:solidFill>
          </w14:textFill>
        </w:rPr>
        <w:t>——铁路客站设计年旅客发送量，万人。</w:t>
      </w:r>
    </w:p>
    <w:p>
      <w:pPr>
        <w:spacing w:before="156" w:beforeLines="50" w:after="156" w:afterLines="50"/>
        <w:jc w:val="center"/>
        <w:rPr>
          <w:kern w:val="2"/>
          <w:sz w:val="21"/>
        </w:rPr>
      </w:pPr>
      <w:r>
        <w:rPr>
          <w:kern w:val="2"/>
          <w:sz w:val="21"/>
        </w:rPr>
        <w:t>表</w:t>
      </w:r>
      <w:bookmarkStart w:id="87" w:name="OLE_LINK14"/>
      <w:r>
        <w:rPr>
          <w:kern w:val="2"/>
          <w:sz w:val="21"/>
        </w:rPr>
        <w:t xml:space="preserve">4.4.5 </w:t>
      </w:r>
      <w:bookmarkEnd w:id="87"/>
      <w:r>
        <w:rPr>
          <w:kern w:val="2"/>
          <w:sz w:val="21"/>
        </w:rPr>
        <w:t>铁路客运站建筑能耗指标修正参数</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10"/>
        <w:gridCol w:w="1997"/>
        <w:gridCol w:w="1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2410" w:type="dxa"/>
            <w:vAlign w:val="center"/>
          </w:tcPr>
          <w:p>
            <w:pPr>
              <w:widowControl/>
              <w:snapToGrid w:val="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气候分区</w:t>
            </w:r>
          </w:p>
        </w:tc>
        <w:tc>
          <w:tcPr>
            <w:tcW w:w="1997" w:type="dxa"/>
            <w:vAlign w:val="center"/>
          </w:tcPr>
          <w:p>
            <w:pPr>
              <w:widowControl/>
              <w:snapToGrid w:val="0"/>
              <w:jc w:val="center"/>
              <w:rPr>
                <w:color w:val="000000" w:themeColor="text1"/>
                <w:sz w:val="21"/>
                <w14:textFill>
                  <w14:solidFill>
                    <w14:schemeClr w14:val="tx1"/>
                  </w14:solidFill>
                </w14:textFill>
              </w:rPr>
            </w:pPr>
            <w:r>
              <w:rPr>
                <w:i/>
                <w:color w:val="000000" w:themeColor="text1"/>
                <w:sz w:val="21"/>
                <w14:textFill>
                  <w14:solidFill>
                    <w14:schemeClr w14:val="tx1"/>
                  </w14:solidFill>
                </w14:textFill>
              </w:rPr>
              <w:t>a</w:t>
            </w:r>
            <w:r>
              <w:rPr>
                <w:i/>
                <w:color w:val="000000" w:themeColor="text1"/>
                <w:sz w:val="21"/>
                <w:vertAlign w:val="subscript"/>
                <w14:textFill>
                  <w14:solidFill>
                    <w14:schemeClr w14:val="tx1"/>
                  </w14:solidFill>
                </w14:textFill>
              </w:rPr>
              <w:t>1</w:t>
            </w:r>
          </w:p>
        </w:tc>
        <w:tc>
          <w:tcPr>
            <w:tcW w:w="1923" w:type="dxa"/>
            <w:vAlign w:val="center"/>
          </w:tcPr>
          <w:p>
            <w:pPr>
              <w:widowControl/>
              <w:snapToGrid w:val="0"/>
              <w:jc w:val="center"/>
              <w:rPr>
                <w:color w:val="000000" w:themeColor="text1"/>
                <w:sz w:val="21"/>
                <w14:textFill>
                  <w14:solidFill>
                    <w14:schemeClr w14:val="tx1"/>
                  </w14:solidFill>
                </w14:textFill>
              </w:rPr>
            </w:pPr>
            <w:r>
              <w:rPr>
                <w:i/>
                <w:color w:val="000000" w:themeColor="text1"/>
                <w:sz w:val="21"/>
                <w14:textFill>
                  <w14:solidFill>
                    <w14:schemeClr w14:val="tx1"/>
                  </w14:solidFill>
                </w14:textFill>
              </w:rPr>
              <w:t>b</w:t>
            </w:r>
            <w:r>
              <w:rPr>
                <w:i/>
                <w:color w:val="000000" w:themeColor="text1"/>
                <w:sz w:val="21"/>
                <w:vertAlign w:val="subscript"/>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2410" w:type="dxa"/>
            <w:vAlign w:val="center"/>
          </w:tcPr>
          <w:p>
            <w:pPr>
              <w:widowControl/>
              <w:snapToGrid w:val="0"/>
              <w:jc w:val="center"/>
              <w:rPr>
                <w:iCs/>
                <w:color w:val="000000" w:themeColor="text1"/>
                <w:sz w:val="21"/>
                <w14:textFill>
                  <w14:solidFill>
                    <w14:schemeClr w14:val="tx1"/>
                  </w14:solidFill>
                </w14:textFill>
              </w:rPr>
            </w:pPr>
            <w:r>
              <w:rPr>
                <w:iCs/>
                <w:color w:val="000000" w:themeColor="text1"/>
                <w:sz w:val="21"/>
                <w14:textFill>
                  <w14:solidFill>
                    <w14:schemeClr w14:val="tx1"/>
                  </w14:solidFill>
                </w14:textFill>
              </w:rPr>
              <w:t>严寒地区</w:t>
            </w:r>
          </w:p>
        </w:tc>
        <w:tc>
          <w:tcPr>
            <w:tcW w:w="1997" w:type="dxa"/>
            <w:vAlign w:val="center"/>
          </w:tcPr>
          <w:p>
            <w:pPr>
              <w:widowControl/>
              <w:snapToGrid w:val="0"/>
              <w:jc w:val="center"/>
              <w:rPr>
                <w:color w:val="000000" w:themeColor="text1"/>
                <w:sz w:val="21"/>
                <w14:textFill>
                  <w14:solidFill>
                    <w14:schemeClr w14:val="tx1"/>
                  </w14:solidFill>
                </w14:textFill>
              </w:rPr>
            </w:pPr>
            <w:r>
              <w:rPr>
                <w:rFonts w:eastAsia="等线"/>
                <w:color w:val="000000" w:themeColor="text1"/>
                <w:sz w:val="21"/>
                <w14:textFill>
                  <w14:solidFill>
                    <w14:schemeClr w14:val="tx1"/>
                  </w14:solidFill>
                </w14:textFill>
              </w:rPr>
              <w:t>0.85</w:t>
            </w:r>
          </w:p>
        </w:tc>
        <w:tc>
          <w:tcPr>
            <w:tcW w:w="1923" w:type="dxa"/>
            <w:vAlign w:val="center"/>
          </w:tcPr>
          <w:p>
            <w:pPr>
              <w:widowControl/>
              <w:snapToGrid w:val="0"/>
              <w:jc w:val="center"/>
              <w:rPr>
                <w:color w:val="000000" w:themeColor="text1"/>
                <w:sz w:val="21"/>
                <w14:textFill>
                  <w14:solidFill>
                    <w14:schemeClr w14:val="tx1"/>
                  </w14:solidFill>
                </w14:textFill>
              </w:rPr>
            </w:pPr>
            <w:r>
              <w:rPr>
                <w:rFonts w:eastAsia="等线"/>
                <w:color w:val="000000" w:themeColor="text1"/>
                <w:sz w:val="21"/>
                <w14:textFill>
                  <w14:solidFill>
                    <w14:schemeClr w14:val="tx1"/>
                  </w14:solidFill>
                </w14:textFill>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2410" w:type="dxa"/>
            <w:vAlign w:val="center"/>
          </w:tcPr>
          <w:p>
            <w:pPr>
              <w:widowControl/>
              <w:snapToGrid w:val="0"/>
              <w:jc w:val="center"/>
              <w:rPr>
                <w:iCs/>
                <w:color w:val="000000" w:themeColor="text1"/>
                <w:sz w:val="21"/>
                <w14:textFill>
                  <w14:solidFill>
                    <w14:schemeClr w14:val="tx1"/>
                  </w14:solidFill>
                </w14:textFill>
              </w:rPr>
            </w:pPr>
            <w:r>
              <w:rPr>
                <w:iCs/>
                <w:color w:val="000000" w:themeColor="text1"/>
                <w:sz w:val="21"/>
                <w14:textFill>
                  <w14:solidFill>
                    <w14:schemeClr w14:val="tx1"/>
                  </w14:solidFill>
                </w14:textFill>
              </w:rPr>
              <w:t>寒冷地区</w:t>
            </w:r>
          </w:p>
        </w:tc>
        <w:tc>
          <w:tcPr>
            <w:tcW w:w="1997" w:type="dxa"/>
            <w:vAlign w:val="center"/>
          </w:tcPr>
          <w:p>
            <w:pPr>
              <w:widowControl/>
              <w:snapToGrid w:val="0"/>
              <w:jc w:val="center"/>
              <w:rPr>
                <w:color w:val="000000" w:themeColor="text1"/>
                <w:sz w:val="21"/>
                <w14:textFill>
                  <w14:solidFill>
                    <w14:schemeClr w14:val="tx1"/>
                  </w14:solidFill>
                </w14:textFill>
              </w:rPr>
            </w:pPr>
            <w:r>
              <w:rPr>
                <w:rFonts w:eastAsia="等线"/>
                <w:color w:val="000000" w:themeColor="text1"/>
                <w:sz w:val="21"/>
                <w14:textFill>
                  <w14:solidFill>
                    <w14:schemeClr w14:val="tx1"/>
                  </w14:solidFill>
                </w14:textFill>
              </w:rPr>
              <w:t>0.72</w:t>
            </w:r>
          </w:p>
        </w:tc>
        <w:tc>
          <w:tcPr>
            <w:tcW w:w="1923" w:type="dxa"/>
            <w:vAlign w:val="center"/>
          </w:tcPr>
          <w:p>
            <w:pPr>
              <w:widowControl/>
              <w:snapToGrid w:val="0"/>
              <w:jc w:val="center"/>
              <w:rPr>
                <w:color w:val="000000" w:themeColor="text1"/>
                <w:sz w:val="21"/>
                <w14:textFill>
                  <w14:solidFill>
                    <w14:schemeClr w14:val="tx1"/>
                  </w14:solidFill>
                </w14:textFill>
              </w:rPr>
            </w:pPr>
            <w:r>
              <w:rPr>
                <w:rFonts w:eastAsia="等线"/>
                <w:color w:val="000000" w:themeColor="text1"/>
                <w:sz w:val="21"/>
                <w14:textFill>
                  <w14:solidFill>
                    <w14:schemeClr w14:val="tx1"/>
                  </w14:solidFill>
                </w14:textFill>
              </w:rPr>
              <w:t>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2410" w:type="dxa"/>
            <w:vAlign w:val="center"/>
          </w:tcPr>
          <w:p>
            <w:pPr>
              <w:widowControl/>
              <w:snapToGrid w:val="0"/>
              <w:jc w:val="center"/>
              <w:rPr>
                <w:iCs/>
                <w:color w:val="000000" w:themeColor="text1"/>
                <w:sz w:val="21"/>
                <w14:textFill>
                  <w14:solidFill>
                    <w14:schemeClr w14:val="tx1"/>
                  </w14:solidFill>
                </w14:textFill>
              </w:rPr>
            </w:pPr>
            <w:r>
              <w:rPr>
                <w:iCs/>
                <w:color w:val="000000" w:themeColor="text1"/>
                <w:sz w:val="21"/>
                <w14:textFill>
                  <w14:solidFill>
                    <w14:schemeClr w14:val="tx1"/>
                  </w14:solidFill>
                </w14:textFill>
              </w:rPr>
              <w:t>夏热冬冷地区</w:t>
            </w:r>
          </w:p>
        </w:tc>
        <w:tc>
          <w:tcPr>
            <w:tcW w:w="1997" w:type="dxa"/>
            <w:vAlign w:val="center"/>
          </w:tcPr>
          <w:p>
            <w:pPr>
              <w:widowControl/>
              <w:snapToGrid w:val="0"/>
              <w:jc w:val="center"/>
              <w:rPr>
                <w:color w:val="000000" w:themeColor="text1"/>
                <w:sz w:val="21"/>
                <w14:textFill>
                  <w14:solidFill>
                    <w14:schemeClr w14:val="tx1"/>
                  </w14:solidFill>
                </w14:textFill>
              </w:rPr>
            </w:pPr>
            <w:r>
              <w:rPr>
                <w:rFonts w:eastAsia="等线"/>
                <w:color w:val="000000" w:themeColor="text1"/>
                <w:sz w:val="21"/>
                <w14:textFill>
                  <w14:solidFill>
                    <w14:schemeClr w14:val="tx1"/>
                  </w14:solidFill>
                </w14:textFill>
              </w:rPr>
              <w:t>0.59</w:t>
            </w:r>
          </w:p>
        </w:tc>
        <w:tc>
          <w:tcPr>
            <w:tcW w:w="1923" w:type="dxa"/>
            <w:vAlign w:val="center"/>
          </w:tcPr>
          <w:p>
            <w:pPr>
              <w:widowControl/>
              <w:snapToGrid w:val="0"/>
              <w:jc w:val="center"/>
              <w:rPr>
                <w:color w:val="000000" w:themeColor="text1"/>
                <w:sz w:val="21"/>
                <w14:textFill>
                  <w14:solidFill>
                    <w14:schemeClr w14:val="tx1"/>
                  </w14:solidFill>
                </w14:textFill>
              </w:rPr>
            </w:pPr>
            <w:r>
              <w:rPr>
                <w:rFonts w:eastAsia="等线"/>
                <w:color w:val="000000" w:themeColor="text1"/>
                <w:sz w:val="21"/>
                <w14:textFill>
                  <w14:solidFill>
                    <w14:schemeClr w14:val="tx1"/>
                  </w14:solidFill>
                </w14:textFill>
              </w:rPr>
              <w:t>0.41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2410" w:type="dxa"/>
            <w:tcBorders>
              <w:top w:val="nil"/>
              <w:left w:val="single" w:color="auto" w:sz="4" w:space="0"/>
              <w:bottom w:val="single" w:color="auto" w:sz="4" w:space="0"/>
              <w:right w:val="single" w:color="auto" w:sz="4" w:space="0"/>
            </w:tcBorders>
            <w:vAlign w:val="center"/>
          </w:tcPr>
          <w:p>
            <w:pPr>
              <w:widowControl/>
              <w:snapToGrid w:val="0"/>
              <w:jc w:val="center"/>
              <w:rPr>
                <w:iCs/>
                <w:color w:val="000000" w:themeColor="text1"/>
                <w:sz w:val="21"/>
                <w14:textFill>
                  <w14:solidFill>
                    <w14:schemeClr w14:val="tx1"/>
                  </w14:solidFill>
                </w14:textFill>
              </w:rPr>
            </w:pPr>
            <w:r>
              <w:rPr>
                <w:color w:val="000000" w:themeColor="text1"/>
                <w:sz w:val="21"/>
                <w14:textFill>
                  <w14:solidFill>
                    <w14:schemeClr w14:val="tx1"/>
                  </w14:solidFill>
                </w14:textFill>
              </w:rPr>
              <w:t>夏热冬暖地区</w:t>
            </w:r>
          </w:p>
        </w:tc>
        <w:tc>
          <w:tcPr>
            <w:tcW w:w="1997" w:type="dxa"/>
            <w:vAlign w:val="center"/>
          </w:tcPr>
          <w:p>
            <w:pPr>
              <w:widowControl/>
              <w:snapToGrid w:val="0"/>
              <w:jc w:val="center"/>
              <w:rPr>
                <w:rFonts w:eastAsia="等线"/>
                <w:color w:val="000000" w:themeColor="text1"/>
                <w:sz w:val="21"/>
                <w14:textFill>
                  <w14:solidFill>
                    <w14:schemeClr w14:val="tx1"/>
                  </w14:solidFill>
                </w14:textFill>
              </w:rPr>
            </w:pPr>
            <w:r>
              <w:rPr>
                <w:rFonts w:eastAsia="等线"/>
                <w:color w:val="000000" w:themeColor="text1"/>
                <w:sz w:val="21"/>
                <w14:textFill>
                  <w14:solidFill>
                    <w14:schemeClr w14:val="tx1"/>
                  </w14:solidFill>
                </w14:textFill>
              </w:rPr>
              <w:t>0.67</w:t>
            </w:r>
          </w:p>
        </w:tc>
        <w:tc>
          <w:tcPr>
            <w:tcW w:w="1923" w:type="dxa"/>
            <w:vAlign w:val="center"/>
          </w:tcPr>
          <w:p>
            <w:pPr>
              <w:widowControl/>
              <w:snapToGrid w:val="0"/>
              <w:jc w:val="center"/>
              <w:rPr>
                <w:rFonts w:eastAsia="等线"/>
                <w:color w:val="000000" w:themeColor="text1"/>
                <w:sz w:val="21"/>
                <w14:textFill>
                  <w14:solidFill>
                    <w14:schemeClr w14:val="tx1"/>
                  </w14:solidFill>
                </w14:textFill>
              </w:rPr>
            </w:pPr>
            <w:r>
              <w:rPr>
                <w:rFonts w:eastAsia="等线"/>
                <w:color w:val="000000" w:themeColor="text1"/>
                <w:sz w:val="21"/>
                <w14:textFill>
                  <w14:solidFill>
                    <w14:schemeClr w14:val="tx1"/>
                  </w14:solidFill>
                </w14:textFill>
              </w:rPr>
              <w:t>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2410" w:type="dxa"/>
            <w:tcBorders>
              <w:top w:val="nil"/>
              <w:left w:val="single" w:color="auto" w:sz="4" w:space="0"/>
              <w:bottom w:val="single" w:color="auto" w:sz="4" w:space="0"/>
              <w:right w:val="single" w:color="auto" w:sz="4" w:space="0"/>
            </w:tcBorders>
            <w:vAlign w:val="center"/>
          </w:tcPr>
          <w:p>
            <w:pPr>
              <w:widowControl/>
              <w:snapToGrid w:val="0"/>
              <w:jc w:val="center"/>
              <w:rPr>
                <w:iCs/>
                <w:color w:val="000000" w:themeColor="text1"/>
                <w:sz w:val="21"/>
                <w14:textFill>
                  <w14:solidFill>
                    <w14:schemeClr w14:val="tx1"/>
                  </w14:solidFill>
                </w14:textFill>
              </w:rPr>
            </w:pPr>
            <w:r>
              <w:rPr>
                <w:color w:val="000000" w:themeColor="text1"/>
                <w:sz w:val="21"/>
                <w14:textFill>
                  <w14:solidFill>
                    <w14:schemeClr w14:val="tx1"/>
                  </w14:solidFill>
                </w14:textFill>
              </w:rPr>
              <w:t>温和地区</w:t>
            </w:r>
          </w:p>
        </w:tc>
        <w:tc>
          <w:tcPr>
            <w:tcW w:w="1997" w:type="dxa"/>
            <w:vAlign w:val="center"/>
          </w:tcPr>
          <w:p>
            <w:pPr>
              <w:widowControl/>
              <w:snapToGrid w:val="0"/>
              <w:jc w:val="center"/>
              <w:rPr>
                <w:rFonts w:eastAsia="等线"/>
                <w:color w:val="000000" w:themeColor="text1"/>
                <w:sz w:val="21"/>
                <w14:textFill>
                  <w14:solidFill>
                    <w14:schemeClr w14:val="tx1"/>
                  </w14:solidFill>
                </w14:textFill>
              </w:rPr>
            </w:pPr>
            <w:r>
              <w:rPr>
                <w:rFonts w:eastAsia="等线"/>
                <w:color w:val="000000" w:themeColor="text1"/>
                <w:sz w:val="21"/>
                <w14:textFill>
                  <w14:solidFill>
                    <w14:schemeClr w14:val="tx1"/>
                  </w14:solidFill>
                </w14:textFill>
              </w:rPr>
              <w:t>0.72</w:t>
            </w:r>
          </w:p>
        </w:tc>
        <w:tc>
          <w:tcPr>
            <w:tcW w:w="1923" w:type="dxa"/>
            <w:vAlign w:val="center"/>
          </w:tcPr>
          <w:p>
            <w:pPr>
              <w:widowControl/>
              <w:snapToGrid w:val="0"/>
              <w:jc w:val="center"/>
              <w:rPr>
                <w:rFonts w:eastAsia="等线"/>
                <w:color w:val="000000" w:themeColor="text1"/>
                <w:sz w:val="21"/>
                <w14:textFill>
                  <w14:solidFill>
                    <w14:schemeClr w14:val="tx1"/>
                  </w14:solidFill>
                </w14:textFill>
              </w:rPr>
            </w:pPr>
            <w:r>
              <w:rPr>
                <w:rFonts w:eastAsia="等线"/>
                <w:color w:val="000000" w:themeColor="text1"/>
                <w:sz w:val="21"/>
                <w14:textFill>
                  <w14:solidFill>
                    <w14:schemeClr w14:val="tx1"/>
                  </w14:solidFill>
                </w14:textFill>
              </w:rPr>
              <w:t>0.28</w:t>
            </w:r>
          </w:p>
        </w:tc>
      </w:tr>
    </w:tbl>
    <w:p>
      <w:pPr>
        <w:pStyle w:val="68"/>
        <w:rPr>
          <w:rFonts w:ascii="Times New Roman" w:hAnsi="Times New Roman" w:cs="Times New Roman"/>
        </w:rPr>
      </w:pPr>
      <w:r>
        <w:rPr>
          <w:rFonts w:ascii="Times New Roman" w:hAnsi="Times New Roman" w:cs="Times New Roman"/>
        </w:rPr>
        <w:t>【条文说明】</w:t>
      </w:r>
    </w:p>
    <w:p>
      <w:pPr>
        <w:pStyle w:val="68"/>
        <w:rPr>
          <w:rFonts w:ascii="Times New Roman" w:hAnsi="Times New Roman" w:cs="Times New Roman"/>
          <w:szCs w:val="24"/>
        </w:rPr>
      </w:pPr>
      <w:r>
        <w:rPr>
          <w:rFonts w:ascii="Times New Roman" w:hAnsi="Times New Roman" w:cs="Times New Roman"/>
          <w:szCs w:val="24"/>
        </w:rPr>
        <w:t>铁路客站的旅客发送量会对运行碳排放产生显著影响。</w:t>
      </w:r>
      <w:r>
        <w:rPr>
          <w:rFonts w:ascii="Times New Roman" w:hAnsi="Times New Roman" w:cs="Times New Roman"/>
          <w:color w:val="000000" w:themeColor="text1"/>
          <w14:textFill>
            <w14:solidFill>
              <w14:schemeClr w14:val="tx1"/>
            </w14:solidFill>
          </w14:textFill>
        </w:rPr>
        <w:t>铁路客站中每增加一位旅客，其对应空调、新风、电梯、饮用水、开水等能耗理论上都会增加，但照明能耗较少受使用人数影响。当</w:t>
      </w:r>
      <w:r>
        <w:rPr>
          <w:rFonts w:ascii="Times New Roman" w:hAnsi="Times New Roman" w:cs="Times New Roman"/>
          <w:szCs w:val="24"/>
        </w:rPr>
        <w:t>旅客发送量</w:t>
      </w:r>
      <w:r>
        <w:rPr>
          <w:rFonts w:ascii="Times New Roman" w:hAnsi="Times New Roman" w:cs="Times New Roman"/>
          <w:color w:val="000000" w:themeColor="text1"/>
          <w14:textFill>
            <w14:solidFill>
              <w14:schemeClr w14:val="tx1"/>
            </w14:solidFill>
          </w14:textFill>
        </w:rPr>
        <w:t>加大时，铁路客站外门累计开启时长增加，造成渗风量增加，但开门导致的渗风量并未随</w:t>
      </w:r>
      <w:r>
        <w:rPr>
          <w:rFonts w:ascii="Times New Roman" w:hAnsi="Times New Roman" w:cs="Times New Roman"/>
          <w:szCs w:val="24"/>
        </w:rPr>
        <w:t>旅客发送量</w:t>
      </w:r>
      <w:r>
        <w:rPr>
          <w:rFonts w:ascii="Times New Roman" w:hAnsi="Times New Roman" w:cs="Times New Roman"/>
          <w:color w:val="000000" w:themeColor="text1"/>
          <w14:textFill>
            <w14:solidFill>
              <w14:schemeClr w14:val="tx1"/>
            </w14:solidFill>
          </w14:textFill>
        </w:rPr>
        <w:t>的增加而等比例增加，导致实际运行能耗并非随</w:t>
      </w:r>
      <w:r>
        <w:rPr>
          <w:rFonts w:ascii="Times New Roman" w:hAnsi="Times New Roman" w:cs="Times New Roman"/>
          <w:szCs w:val="24"/>
        </w:rPr>
        <w:t>旅客发送量</w:t>
      </w:r>
      <w:r>
        <w:rPr>
          <w:rFonts w:ascii="Times New Roman" w:hAnsi="Times New Roman" w:cs="Times New Roman"/>
          <w:color w:val="000000" w:themeColor="text1"/>
          <w14:textFill>
            <w14:solidFill>
              <w14:schemeClr w14:val="tx1"/>
            </w14:solidFill>
          </w14:textFill>
        </w:rPr>
        <w:t>简单地等比例增加，通常会有一个能源消耗的“固定项”。因此，铁路客站</w:t>
      </w:r>
      <w:r>
        <w:rPr>
          <w:rFonts w:ascii="Times New Roman" w:hAnsi="Times New Roman" w:cs="Times New Roman"/>
          <w:szCs w:val="24"/>
        </w:rPr>
        <w:t>碳排放强度限值</w:t>
      </w:r>
      <w:r>
        <w:rPr>
          <w:rFonts w:ascii="Times New Roman" w:hAnsi="Times New Roman" w:cs="Times New Roman"/>
          <w:color w:val="000000" w:themeColor="text1"/>
          <w14:textFill>
            <w14:solidFill>
              <w14:schemeClr w14:val="tx1"/>
            </w14:solidFill>
          </w14:textFill>
        </w:rPr>
        <w:t>修正方法将限值分为与</w:t>
      </w:r>
      <w:r>
        <w:rPr>
          <w:rFonts w:ascii="Times New Roman" w:hAnsi="Times New Roman" w:cs="Times New Roman"/>
          <w:szCs w:val="24"/>
        </w:rPr>
        <w:t>旅客发送量</w:t>
      </w:r>
      <w:r>
        <w:rPr>
          <w:rFonts w:ascii="Times New Roman" w:hAnsi="Times New Roman" w:cs="Times New Roman"/>
          <w:color w:val="000000" w:themeColor="text1"/>
          <w14:textFill>
            <w14:solidFill>
              <w14:schemeClr w14:val="tx1"/>
            </w14:solidFill>
          </w14:textFill>
        </w:rPr>
        <w:t>几乎无关的部分，以及与</w:t>
      </w:r>
      <w:r>
        <w:rPr>
          <w:rFonts w:ascii="Times New Roman" w:hAnsi="Times New Roman" w:cs="Times New Roman"/>
          <w:szCs w:val="24"/>
        </w:rPr>
        <w:t>旅客发送量</w:t>
      </w:r>
      <w:r>
        <w:rPr>
          <w:rFonts w:ascii="Times New Roman" w:hAnsi="Times New Roman" w:cs="Times New Roman"/>
          <w:color w:val="000000" w:themeColor="text1"/>
          <w14:textFill>
            <w14:solidFill>
              <w14:schemeClr w14:val="tx1"/>
            </w14:solidFill>
          </w14:textFill>
        </w:rPr>
        <w:t>有关的部分，即采用“两部制”的线性修正公式。本条修正思路及公式参考了公共交通建筑能耗标准《公共交通建筑能耗标准》T/CECA 20042-2024第5.4.1条。</w:t>
      </w:r>
    </w:p>
    <w:p>
      <w:pPr>
        <w:spacing w:line="360" w:lineRule="auto"/>
        <w:ind w:firstLine="420"/>
        <w:rPr>
          <w:kern w:val="2"/>
          <w:szCs w:val="24"/>
        </w:rPr>
      </w:pPr>
    </w:p>
    <w:p>
      <w:pPr>
        <w:pStyle w:val="28"/>
        <w:ind w:left="357"/>
        <w:jc w:val="center"/>
        <w:outlineLvl w:val="1"/>
        <w:rPr>
          <w:rFonts w:eastAsia="黑体"/>
          <w:b/>
          <w:bCs/>
          <w:sz w:val="28"/>
          <w:szCs w:val="28"/>
        </w:rPr>
      </w:pPr>
      <w:bookmarkStart w:id="88" w:name="_Toc215047931"/>
      <w:r>
        <w:rPr>
          <w:rFonts w:eastAsia="黑体"/>
          <w:b/>
          <w:bCs/>
          <w:sz w:val="28"/>
          <w:szCs w:val="28"/>
        </w:rPr>
        <w:t>4.3 绿色电力与碳排放权交易</w:t>
      </w:r>
      <w:bookmarkEnd w:id="88"/>
    </w:p>
    <w:p>
      <w:pPr>
        <w:pStyle w:val="28"/>
        <w:spacing w:line="360" w:lineRule="auto"/>
        <w:outlineLvl w:val="2"/>
        <w:rPr>
          <w:b/>
          <w:bCs/>
          <w:kern w:val="2"/>
          <w:szCs w:val="24"/>
        </w:rPr>
      </w:pPr>
      <w:bookmarkStart w:id="89" w:name="_Hlk182555395"/>
      <w:r>
        <w:rPr>
          <w:b/>
          <w:bCs/>
          <w:kern w:val="2"/>
          <w:szCs w:val="24"/>
        </w:rPr>
        <w:t xml:space="preserve">4.3.1 </w:t>
      </w:r>
      <w:bookmarkEnd w:id="89"/>
      <w:r>
        <w:rPr>
          <w:kern w:val="2"/>
          <w:szCs w:val="24"/>
        </w:rPr>
        <w:t>绿色电力交易、绿色电力证书交易与碳排放权交易的产品应为中国国内相关交易机制签发或在中国境内开发的减排项目。</w:t>
      </w:r>
    </w:p>
    <w:p>
      <w:pPr>
        <w:pStyle w:val="68"/>
        <w:rPr>
          <w:rFonts w:ascii="Times New Roman" w:hAnsi="Times New Roman" w:cs="Times New Roman"/>
        </w:rPr>
      </w:pPr>
      <w:r>
        <w:rPr>
          <w:rFonts w:ascii="Times New Roman" w:hAnsi="Times New Roman" w:cs="Times New Roman"/>
        </w:rPr>
        <w:t>【条文说明】</w:t>
      </w:r>
    </w:p>
    <w:p>
      <w:pPr>
        <w:pStyle w:val="68"/>
        <w:rPr>
          <w:rFonts w:ascii="Times New Roman" w:hAnsi="Times New Roman" w:cs="Times New Roman"/>
        </w:rPr>
      </w:pPr>
      <w:r>
        <w:rPr>
          <w:rFonts w:ascii="Times New Roman" w:hAnsi="Times New Roman" w:cs="Times New Roman"/>
        </w:rPr>
        <w:t>国际绿色电力证书（可再生能源证书）交易与碳排放权交易机制呈现复杂化态势。国际绿色电力证书交易机制以国际可再生能源证书（International- Renewable Energy Certificates, I-RECs） 为主，在北美被称为可再生能源证书（Renewable Energy Certificates，RECs），在欧洲称为绿色证书或欧洲能源证书系统来源担保证书（Guarantees of Origins，GO）。当前市场上占主导地位的碳排放权交易机制包括美国碳登记（American Carbon Registry, ACR）、气候行动储备方案（Climate Action Reserve，CAR）、黄金标准（Gold Standard，GS）、核证碳标准（Verified Carbon Standard，VCS）。但目前国际社会缺乏统一的碳排放权交易监管，且不同的绿色电力与碳排放权交易平台也无统一的价格机制。为促进国内绿色电力与节能减排的发展，从建筑行业推动全社会碳中和目标的实现，本标准所指零碳建筑应购买国内相关绿色电力产品和碳交易产品，或在中国境内开发的减排项目所形成的减排量。</w:t>
      </w:r>
    </w:p>
    <w:p>
      <w:pPr>
        <w:pStyle w:val="28"/>
        <w:spacing w:line="360" w:lineRule="auto"/>
        <w:outlineLvl w:val="2"/>
        <w:rPr>
          <w:kern w:val="2"/>
          <w:szCs w:val="24"/>
        </w:rPr>
      </w:pPr>
      <w:r>
        <w:rPr>
          <w:b/>
          <w:bCs/>
          <w:kern w:val="2"/>
          <w:szCs w:val="24"/>
        </w:rPr>
        <w:t xml:space="preserve">4.3.2 </w:t>
      </w:r>
      <w:r>
        <w:rPr>
          <w:kern w:val="2"/>
          <w:szCs w:val="24"/>
        </w:rPr>
        <w:t>当零碳铁路客站结合绿色电力交易、绿色电力证书交易或碳排放权交易进行设计阶段预评价时，应提供不少于 5 年运行期的电力用量或碳排放当量的交易产品证明；进行运行评价时，可先使用设计阶段预购买的交易产品进行扣减，当设计阶段预购买的交易产品扣减完时，应购买不少于 1 年运行期的交易产品。</w:t>
      </w:r>
    </w:p>
    <w:p>
      <w:pPr>
        <w:pStyle w:val="68"/>
        <w:rPr>
          <w:rFonts w:ascii="Times New Roman" w:hAnsi="Times New Roman" w:cs="Times New Roman"/>
        </w:rPr>
      </w:pPr>
      <w:bookmarkStart w:id="90" w:name="_Hlk206076812"/>
      <w:r>
        <w:rPr>
          <w:rFonts w:ascii="Times New Roman" w:hAnsi="Times New Roman" w:cs="Times New Roman"/>
        </w:rPr>
        <w:t>【条文说明】</w:t>
      </w:r>
    </w:p>
    <w:bookmarkEnd w:id="90"/>
    <w:p>
      <w:pPr>
        <w:pStyle w:val="68"/>
        <w:rPr>
          <w:rFonts w:ascii="Times New Roman" w:hAnsi="Times New Roman" w:cs="Times New Roman"/>
        </w:rPr>
      </w:pPr>
      <w:r>
        <w:rPr>
          <w:rFonts w:ascii="Times New Roman" w:hAnsi="Times New Roman" w:cs="Times New Roman"/>
        </w:rPr>
        <w:t>2021年9月，国家发改委、国家能源局组织国家电网公司、南方电网公司制定发布《绿色电力交易试点工作方案》，鼓励市场主体之间签订5年以上的长期购电协议，推动市场主体通过长周期协议获得较为稳定的价格，预判市场对绿色能源的诉求，长期购电协议的执行周期可作为绿色能源规划及铁路客站设定碳中和目标的重要依据，是鼓励和引导的方向。需要说明的是，用户参与绿色电力交易需要和发电企业或售电公司签订绿色电力中长期交易协议，能够促进新能源的发展与就地消纳，因此应优先于仅在中国绿色电力证书认购交易平台上购买的“绿色电力购买证明”（绿色电力证书交易）。</w:t>
      </w:r>
    </w:p>
    <w:p>
      <w:pPr>
        <w:pStyle w:val="68"/>
        <w:rPr>
          <w:rFonts w:ascii="Times New Roman" w:hAnsi="Times New Roman" w:cs="Times New Roman"/>
        </w:rPr>
      </w:pPr>
      <w:r>
        <w:rPr>
          <w:rFonts w:ascii="Times New Roman" w:hAnsi="Times New Roman" w:cs="Times New Roman"/>
        </w:rPr>
        <w:t>提前购买覆盖铁路客站5年以上运行期的降碳量对应的交易产品，可实现以下积极影响：一是提升购买量，可提高碳排放权交易市场的活跃性，或支撑绿色能源规划，有助于促进全社会的减排目标；二是锁定长期降碳效果，避免业主通过短期交易获得零碳铁路客站认证后不再承担相应减排责任。</w:t>
      </w:r>
    </w:p>
    <w:p>
      <w:pPr>
        <w:pStyle w:val="68"/>
        <w:rPr>
          <w:rFonts w:ascii="Times New Roman" w:hAnsi="Times New Roman" w:cs="Times New Roman"/>
        </w:rPr>
      </w:pPr>
      <w:r>
        <w:rPr>
          <w:rFonts w:ascii="Times New Roman" w:hAnsi="Times New Roman" w:cs="Times New Roman"/>
        </w:rPr>
        <w:t>考虑到受当前电力交易机制实际情况，现阶段的绿电交易主要为月度至一年期，多年合约难度较大，且实践有限，本标准规定零碳铁路客站进行设计阶段预评价时，可通过提交申报主体前期相关绿电和碳排放交易证明，证明其已经实际发生购买行为的绿电和碳排放量化指标大于铁路客站未来5年运行期的电力用量或碳排放当量。</w:t>
      </w:r>
    </w:p>
    <w:p>
      <w:pPr>
        <w:pStyle w:val="68"/>
        <w:rPr>
          <w:rFonts w:ascii="Times New Roman" w:hAnsi="Times New Roman" w:cs="Times New Roman"/>
        </w:rPr>
      </w:pPr>
      <w:r>
        <w:rPr>
          <w:rFonts w:ascii="Times New Roman" w:hAnsi="Times New Roman" w:cs="Times New Roman"/>
        </w:rPr>
        <w:t>本标准规定零碳铁路客站进行运行判定时，允许仅购买1年期的绿色电力与碳排放交易产品。而设计阶段应鼓励铁路客站尽可能采用降碳设计，为保证零碳铁路客站的中长期降碳效果，避免设计阶段仅以极低的成本购买1年交易产品，取得认证后不再承担降碳责任的情况，以及保证对通过自身降碳技术应用而实现零碳排放铁路客站的公平性。设计阶段应购买长期交易产品，若存在购买困难情况，也可在进行设计判定时将铁路客站物降碳等级判定为近零碳铁路客站，在运行判定时通过购买1年运行期的交易产品，判定为1年期的零碳铁路客站。</w:t>
      </w:r>
    </w:p>
    <w:p>
      <w:pPr>
        <w:pStyle w:val="28"/>
        <w:spacing w:line="360" w:lineRule="auto"/>
        <w:outlineLvl w:val="2"/>
        <w:rPr>
          <w:b/>
          <w:bCs/>
          <w:kern w:val="2"/>
          <w:szCs w:val="24"/>
        </w:rPr>
      </w:pPr>
      <w:r>
        <w:rPr>
          <w:b/>
          <w:bCs/>
          <w:kern w:val="2"/>
          <w:szCs w:val="24"/>
        </w:rPr>
        <w:t>4.3.3</w:t>
      </w:r>
      <w:r>
        <w:rPr>
          <w:kern w:val="2"/>
          <w:szCs w:val="24"/>
        </w:rPr>
        <w:t xml:space="preserve"> 当全过程零碳铁路客站结合绿色电力交易、绿色电力证书交易或碳排放权交易进行全过程评价时，应提供不少于 5 年运行期的电力用量或碳排放当量的交易产品证明，且还应购买建材生产及运输、建造及拆除阶段全部电力用量或碳排放当量的交易产品。</w:t>
      </w:r>
    </w:p>
    <w:p>
      <w:pPr>
        <w:spacing w:line="360" w:lineRule="auto"/>
        <w:rPr>
          <w:kern w:val="2"/>
          <w:szCs w:val="24"/>
        </w:rPr>
      </w:pPr>
    </w:p>
    <w:p>
      <w:pPr>
        <w:tabs>
          <w:tab w:val="left" w:pos="2430"/>
        </w:tabs>
        <w:spacing w:line="360" w:lineRule="auto"/>
        <w:rPr>
          <w:szCs w:val="32"/>
        </w:rPr>
      </w:pPr>
      <w:r>
        <w:rPr>
          <w:szCs w:val="32"/>
        </w:rPr>
        <w:br w:type="page"/>
      </w:r>
    </w:p>
    <w:p>
      <w:pPr>
        <w:spacing w:after="240"/>
        <w:jc w:val="center"/>
        <w:outlineLvl w:val="0"/>
        <w:rPr>
          <w:rFonts w:eastAsia="黑体"/>
          <w:b/>
          <w:bCs/>
          <w:sz w:val="36"/>
          <w:szCs w:val="32"/>
        </w:rPr>
      </w:pPr>
      <w:bookmarkStart w:id="91" w:name="_Toc151917029"/>
      <w:bookmarkStart w:id="92" w:name="_Toc151916759"/>
      <w:bookmarkStart w:id="93" w:name="_Toc153218012"/>
      <w:bookmarkStart w:id="94" w:name="_Toc153217962"/>
      <w:bookmarkStart w:id="95" w:name="_Toc143714310"/>
      <w:bookmarkStart w:id="96" w:name="_Toc152574774"/>
      <w:bookmarkStart w:id="97" w:name="_Toc143714382"/>
      <w:bookmarkStart w:id="98" w:name="_Toc215047932"/>
      <w:r>
        <w:rPr>
          <w:rFonts w:eastAsia="黑体"/>
          <w:bCs/>
          <w:sz w:val="36"/>
          <w:szCs w:val="32"/>
        </w:rPr>
        <w:t xml:space="preserve">5 </w:t>
      </w:r>
      <w:bookmarkEnd w:id="91"/>
      <w:bookmarkEnd w:id="92"/>
      <w:bookmarkEnd w:id="93"/>
      <w:bookmarkEnd w:id="94"/>
      <w:bookmarkEnd w:id="95"/>
      <w:bookmarkEnd w:id="96"/>
      <w:bookmarkEnd w:id="97"/>
      <w:bookmarkStart w:id="99" w:name="_Toc176531108"/>
      <w:bookmarkStart w:id="100" w:name="_Toc176531255"/>
      <w:r>
        <w:rPr>
          <w:rFonts w:eastAsia="黑体"/>
          <w:b/>
          <w:bCs/>
          <w:sz w:val="36"/>
          <w:szCs w:val="32"/>
        </w:rPr>
        <w:t>低碳设计</w:t>
      </w:r>
      <w:bookmarkEnd w:id="98"/>
      <w:bookmarkEnd w:id="99"/>
      <w:bookmarkEnd w:id="100"/>
    </w:p>
    <w:p>
      <w:pPr>
        <w:pStyle w:val="28"/>
        <w:ind w:left="357"/>
        <w:jc w:val="center"/>
        <w:outlineLvl w:val="1"/>
        <w:rPr>
          <w:rFonts w:eastAsia="黑体"/>
          <w:b/>
          <w:bCs/>
          <w:sz w:val="28"/>
          <w:szCs w:val="28"/>
        </w:rPr>
      </w:pPr>
      <w:bookmarkStart w:id="101" w:name="_Toc153218013"/>
      <w:bookmarkStart w:id="102" w:name="_Toc153217963"/>
      <w:bookmarkStart w:id="103" w:name="_Toc215047933"/>
      <w:r>
        <w:rPr>
          <w:rFonts w:eastAsia="黑体"/>
          <w:b/>
          <w:bCs/>
          <w:sz w:val="28"/>
          <w:szCs w:val="28"/>
        </w:rPr>
        <w:t>5.1</w:t>
      </w:r>
      <w:bookmarkEnd w:id="101"/>
      <w:bookmarkEnd w:id="102"/>
      <w:r>
        <w:rPr>
          <w:rFonts w:eastAsia="黑体"/>
          <w:b/>
          <w:bCs/>
          <w:sz w:val="28"/>
          <w:szCs w:val="28"/>
        </w:rPr>
        <w:t>新建、扩建和改建铁路客站</w:t>
      </w:r>
      <w:bookmarkEnd w:id="103"/>
    </w:p>
    <w:p>
      <w:pPr>
        <w:pStyle w:val="28"/>
        <w:numPr>
          <w:ilvl w:val="0"/>
          <w:numId w:val="1"/>
        </w:numPr>
        <w:spacing w:line="360" w:lineRule="auto"/>
        <w:ind w:left="0" w:firstLine="0"/>
        <w:outlineLvl w:val="2"/>
        <w:rPr>
          <w:bCs/>
          <w:kern w:val="2"/>
          <w:szCs w:val="24"/>
        </w:rPr>
      </w:pPr>
      <w:r>
        <w:rPr>
          <w:kern w:val="2"/>
          <w:szCs w:val="24"/>
        </w:rPr>
        <w:t>优化铁路客站围护结构的热工性能，且符合下列规定：</w:t>
      </w:r>
    </w:p>
    <w:p>
      <w:pPr>
        <w:spacing w:line="360" w:lineRule="auto"/>
        <w:ind w:firstLine="420"/>
        <w:rPr>
          <w:b/>
          <w:bCs/>
          <w:kern w:val="2"/>
          <w:szCs w:val="24"/>
        </w:rPr>
      </w:pPr>
      <w:r>
        <w:rPr>
          <w:b/>
          <w:bCs/>
          <w:kern w:val="2"/>
          <w:szCs w:val="24"/>
        </w:rPr>
        <w:t>1</w:t>
      </w:r>
      <w:r>
        <w:rPr>
          <w:kern w:val="2"/>
          <w:szCs w:val="24"/>
        </w:rPr>
        <w:t xml:space="preserve"> 铁路客站全年供暖耗热量与供冷耗冷量的总量应较基准铁路客站降低5%以上；</w:t>
      </w:r>
    </w:p>
    <w:p>
      <w:pPr>
        <w:spacing w:line="360" w:lineRule="auto"/>
        <w:ind w:firstLine="420"/>
        <w:rPr>
          <w:kern w:val="2"/>
          <w:szCs w:val="24"/>
        </w:rPr>
      </w:pPr>
      <w:r>
        <w:rPr>
          <w:b/>
          <w:bCs/>
          <w:kern w:val="2"/>
          <w:szCs w:val="24"/>
        </w:rPr>
        <w:t>2</w:t>
      </w:r>
      <w:r>
        <w:rPr>
          <w:kern w:val="2"/>
          <w:szCs w:val="24"/>
        </w:rPr>
        <w:t xml:space="preserve"> 低碳铁路客站本体节能率应达到10%以上，近零碳、零碳铁路客站本体节能率应达到15%以上。</w:t>
      </w:r>
    </w:p>
    <w:p>
      <w:pPr>
        <w:pStyle w:val="68"/>
        <w:rPr>
          <w:rFonts w:ascii="Times New Roman" w:hAnsi="Times New Roman" w:cs="Times New Roman"/>
        </w:rPr>
      </w:pPr>
      <w:bookmarkStart w:id="104" w:name="_Hlk214630596"/>
      <w:r>
        <w:rPr>
          <w:rFonts w:ascii="Times New Roman" w:hAnsi="Times New Roman" w:cs="Times New Roman"/>
        </w:rPr>
        <w:t>【条文说明】</w:t>
      </w:r>
    </w:p>
    <w:bookmarkEnd w:id="104"/>
    <w:p>
      <w:pPr>
        <w:pStyle w:val="68"/>
        <w:rPr>
          <w:rFonts w:ascii="Times New Roman" w:hAnsi="Times New Roman" w:cs="Times New Roman"/>
        </w:rPr>
      </w:pPr>
      <w:r>
        <w:rPr>
          <w:rFonts w:ascii="Times New Roman" w:hAnsi="Times New Roman" w:cs="Times New Roman"/>
        </w:rPr>
        <w:t>本节所指节能率的计算范围与现行国家标准《近零能耗建筑技术标准》GB/T 51350一致  ，包括年供暖、通风、空调、照明、生活热水与电能耗，本体节能率包含被动式与主动式技术的贡献。本标准规定的本体节能率的比对基准为现行国家标准《建筑节能与可再生能源利用通用规范》GB 55015。</w:t>
      </w:r>
    </w:p>
    <w:p>
      <w:pPr>
        <w:pStyle w:val="28"/>
        <w:numPr>
          <w:ilvl w:val="0"/>
          <w:numId w:val="1"/>
        </w:numPr>
        <w:spacing w:line="360" w:lineRule="auto"/>
        <w:ind w:left="0" w:firstLine="0"/>
        <w:outlineLvl w:val="2"/>
        <w:rPr>
          <w:kern w:val="2"/>
          <w:szCs w:val="24"/>
        </w:rPr>
      </w:pPr>
      <w:r>
        <w:rPr>
          <w:kern w:val="2"/>
          <w:szCs w:val="24"/>
        </w:rPr>
        <w:t>大型、特大型铁路客站应进行高效制冷机房专项设计，且不应低于现行团体标准《高效空调制冷机房评价标准》T/CECS 1100规定的能效等级3级的要求。</w:t>
      </w:r>
    </w:p>
    <w:p>
      <w:pPr>
        <w:pStyle w:val="68"/>
        <w:rPr>
          <w:rFonts w:ascii="Times New Roman" w:hAnsi="Times New Roman" w:cs="Times New Roman"/>
        </w:rPr>
      </w:pPr>
      <w:bookmarkStart w:id="105" w:name="OLE_LINK12"/>
      <w:r>
        <w:rPr>
          <w:rFonts w:ascii="Times New Roman" w:hAnsi="Times New Roman" w:cs="Times New Roman"/>
        </w:rPr>
        <w:t>【条文说明】</w:t>
      </w:r>
    </w:p>
    <w:p>
      <w:pPr>
        <w:pStyle w:val="68"/>
        <w:rPr>
          <w:rFonts w:ascii="Times New Roman" w:hAnsi="Times New Roman" w:cs="Times New Roman"/>
        </w:rPr>
      </w:pPr>
      <w:r>
        <w:rPr>
          <w:rFonts w:ascii="Times New Roman" w:hAnsi="Times New Roman" w:cs="Times New Roman"/>
        </w:rPr>
        <w:t>大型、特大型铁路客站通风空调能耗一般站建筑总能耗的50%左右，其中制冷机房能耗占通风空调能耗的70%左右，因此，提高制冷机房能效对降低大型、特大型铁路客站能耗及碳排放，具有重要意义。设计阶段采用全年制冷机房能耗模拟进行测算。运行阶段应采用整个制冷季实测数据进行测算确定，且制冷机房系统能效比测量结果的计算不确定度宜在±5%以内，在制冷季系统运行时间内，应有不小于 80%的时间，制冷机房系统测量能量平衡系数宜在±5%以内。</w:t>
      </w:r>
    </w:p>
    <w:bookmarkEnd w:id="105"/>
    <w:p>
      <w:pPr>
        <w:pStyle w:val="28"/>
        <w:numPr>
          <w:ilvl w:val="0"/>
          <w:numId w:val="1"/>
        </w:numPr>
        <w:spacing w:line="360" w:lineRule="auto"/>
        <w:ind w:left="0" w:firstLine="0"/>
        <w:outlineLvl w:val="2"/>
        <w:rPr>
          <w:kern w:val="2"/>
          <w:szCs w:val="24"/>
        </w:rPr>
      </w:pPr>
      <w:r>
        <w:rPr>
          <w:kern w:val="2"/>
          <w:szCs w:val="24"/>
        </w:rPr>
        <w:t>供暖空调系统的冷、热源机组能效均优于现行强制性工程建设规范《建筑节能与可再生能源利用通用规范》GB 55015的规定以及国家现行有关标准能效限定值的要求，并应满足表5.1.3的要求。</w:t>
      </w:r>
    </w:p>
    <w:p>
      <w:pPr>
        <w:spacing w:line="360" w:lineRule="auto"/>
        <w:jc w:val="center"/>
        <w:rPr>
          <w:b/>
          <w:bCs/>
          <w:sz w:val="22"/>
          <w:szCs w:val="20"/>
        </w:rPr>
      </w:pPr>
      <w:r>
        <w:rPr>
          <w:b/>
          <w:bCs/>
          <w:sz w:val="22"/>
          <w:szCs w:val="20"/>
        </w:rPr>
        <w:t>表5.1.3 冷、热源机组能效提升幅度要求</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3"/>
        <w:gridCol w:w="1099"/>
        <w:gridCol w:w="1957"/>
        <w:gridCol w:w="1679"/>
        <w:gridCol w:w="1386"/>
        <w:gridCol w:w="9"/>
        <w:gridCol w:w="1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240" w:type="pct"/>
            <w:gridSpan w:val="2"/>
            <w:vAlign w:val="center"/>
          </w:tcPr>
          <w:p>
            <w:pPr>
              <w:jc w:val="center"/>
              <w:rPr>
                <w:bCs/>
              </w:rPr>
            </w:pPr>
            <w:r>
              <w:rPr>
                <w:bCs/>
              </w:rPr>
              <w:t>机组类型</w:t>
            </w:r>
          </w:p>
        </w:tc>
        <w:tc>
          <w:tcPr>
            <w:tcW w:w="1148" w:type="pct"/>
            <w:vAlign w:val="center"/>
          </w:tcPr>
          <w:p>
            <w:pPr>
              <w:jc w:val="center"/>
              <w:rPr>
                <w:bCs/>
              </w:rPr>
            </w:pPr>
            <w:r>
              <w:rPr>
                <w:bCs/>
              </w:rPr>
              <w:t>能效指标</w:t>
            </w:r>
          </w:p>
        </w:tc>
        <w:tc>
          <w:tcPr>
            <w:tcW w:w="985" w:type="pct"/>
            <w:vAlign w:val="center"/>
          </w:tcPr>
          <w:p>
            <w:pPr>
              <w:jc w:val="center"/>
              <w:rPr>
                <w:bCs/>
              </w:rPr>
            </w:pPr>
            <w:r>
              <w:rPr>
                <w:bCs/>
              </w:rPr>
              <w:t>参照标准</w:t>
            </w:r>
          </w:p>
        </w:tc>
        <w:tc>
          <w:tcPr>
            <w:tcW w:w="818" w:type="pct"/>
            <w:gridSpan w:val="2"/>
            <w:vAlign w:val="center"/>
          </w:tcPr>
          <w:p>
            <w:pPr>
              <w:jc w:val="center"/>
              <w:rPr>
                <w:bCs/>
              </w:rPr>
            </w:pPr>
            <w:r>
              <w:rPr>
                <w:bCs/>
              </w:rPr>
              <w:t>低碳铁路客站</w:t>
            </w:r>
          </w:p>
        </w:tc>
        <w:tc>
          <w:tcPr>
            <w:tcW w:w="809" w:type="pct"/>
            <w:vAlign w:val="center"/>
          </w:tcPr>
          <w:p>
            <w:pPr>
              <w:jc w:val="center"/>
              <w:rPr>
                <w:bCs/>
              </w:rPr>
            </w:pPr>
            <w:r>
              <w:rPr>
                <w:bCs/>
              </w:rPr>
              <w:t>近零碳及零碳铁路客站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595" w:type="pct"/>
            <w:vMerge w:val="restart"/>
            <w:vAlign w:val="center"/>
          </w:tcPr>
          <w:p>
            <w:pPr>
              <w:jc w:val="center"/>
              <w:rPr>
                <w:bCs/>
              </w:rPr>
            </w:pPr>
            <w:r>
              <w:rPr>
                <w:bCs/>
              </w:rPr>
              <w:t>电机驱动的蒸气压缩循环冷水（热泵）机组</w:t>
            </w:r>
          </w:p>
        </w:tc>
        <w:tc>
          <w:tcPr>
            <w:tcW w:w="645" w:type="pct"/>
            <w:vAlign w:val="center"/>
          </w:tcPr>
          <w:p>
            <w:pPr>
              <w:jc w:val="center"/>
              <w:rPr>
                <w:bCs/>
              </w:rPr>
            </w:pPr>
            <w:r>
              <w:rPr>
                <w:bCs/>
              </w:rPr>
              <w:t>定频水冷</w:t>
            </w:r>
          </w:p>
        </w:tc>
        <w:tc>
          <w:tcPr>
            <w:tcW w:w="1148" w:type="pct"/>
            <w:vAlign w:val="center"/>
          </w:tcPr>
          <w:p>
            <w:pPr>
              <w:jc w:val="center"/>
              <w:rPr>
                <w:bCs/>
              </w:rPr>
            </w:pPr>
            <w:r>
              <w:rPr>
                <w:bCs/>
              </w:rPr>
              <w:t>制冷性能系数（COP）</w:t>
            </w:r>
          </w:p>
        </w:tc>
        <w:tc>
          <w:tcPr>
            <w:tcW w:w="985" w:type="pct"/>
            <w:vMerge w:val="restart"/>
            <w:vAlign w:val="center"/>
          </w:tcPr>
          <w:p>
            <w:pPr>
              <w:jc w:val="center"/>
              <w:rPr>
                <w:bCs/>
              </w:rPr>
            </w:pPr>
            <w:r>
              <w:rPr>
                <w:bCs/>
              </w:rPr>
              <w:t>现行强制性工程建设规范《建筑节能与可再生能源利用通用规范》GB 55015</w:t>
            </w:r>
          </w:p>
        </w:tc>
        <w:tc>
          <w:tcPr>
            <w:tcW w:w="813" w:type="pct"/>
            <w:vAlign w:val="center"/>
          </w:tcPr>
          <w:p>
            <w:pPr>
              <w:jc w:val="center"/>
              <w:rPr>
                <w:bCs/>
              </w:rPr>
            </w:pPr>
            <w:r>
              <w:rPr>
                <w:bCs/>
              </w:rPr>
              <w:t>提高4%</w:t>
            </w:r>
          </w:p>
        </w:tc>
        <w:tc>
          <w:tcPr>
            <w:tcW w:w="814" w:type="pct"/>
            <w:gridSpan w:val="2"/>
            <w:vAlign w:val="center"/>
          </w:tcPr>
          <w:p>
            <w:pPr>
              <w:jc w:val="center"/>
              <w:rPr>
                <w:bCs/>
              </w:rPr>
            </w:pPr>
            <w:r>
              <w:rPr>
                <w:bCs/>
              </w:rPr>
              <w:t>提高8%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595" w:type="pct"/>
            <w:vMerge w:val="continue"/>
            <w:vAlign w:val="center"/>
          </w:tcPr>
          <w:p>
            <w:pPr>
              <w:jc w:val="center"/>
              <w:rPr>
                <w:bCs/>
              </w:rPr>
            </w:pPr>
          </w:p>
        </w:tc>
        <w:tc>
          <w:tcPr>
            <w:tcW w:w="645" w:type="pct"/>
            <w:vAlign w:val="center"/>
          </w:tcPr>
          <w:p>
            <w:pPr>
              <w:jc w:val="center"/>
              <w:rPr>
                <w:bCs/>
              </w:rPr>
            </w:pPr>
            <w:r>
              <w:rPr>
                <w:bCs/>
              </w:rPr>
              <w:t>变频水冷</w:t>
            </w:r>
          </w:p>
        </w:tc>
        <w:tc>
          <w:tcPr>
            <w:tcW w:w="1148" w:type="pct"/>
            <w:vAlign w:val="center"/>
          </w:tcPr>
          <w:p>
            <w:pPr>
              <w:jc w:val="center"/>
              <w:rPr>
                <w:bCs/>
              </w:rPr>
            </w:pPr>
            <w:r>
              <w:rPr>
                <w:bCs/>
              </w:rPr>
              <w:t>制冷性能系数（COP）</w:t>
            </w:r>
          </w:p>
        </w:tc>
        <w:tc>
          <w:tcPr>
            <w:tcW w:w="985" w:type="pct"/>
            <w:vMerge w:val="continue"/>
            <w:vAlign w:val="center"/>
          </w:tcPr>
          <w:p>
            <w:pPr>
              <w:jc w:val="center"/>
              <w:rPr>
                <w:bCs/>
              </w:rPr>
            </w:pPr>
          </w:p>
        </w:tc>
        <w:tc>
          <w:tcPr>
            <w:tcW w:w="813" w:type="pct"/>
            <w:vAlign w:val="center"/>
          </w:tcPr>
          <w:p>
            <w:pPr>
              <w:jc w:val="center"/>
              <w:rPr>
                <w:bCs/>
              </w:rPr>
            </w:pPr>
            <w:r>
              <w:rPr>
                <w:bCs/>
              </w:rPr>
              <w:t>提高6%</w:t>
            </w:r>
          </w:p>
        </w:tc>
        <w:tc>
          <w:tcPr>
            <w:tcW w:w="814" w:type="pct"/>
            <w:gridSpan w:val="2"/>
            <w:vAlign w:val="center"/>
          </w:tcPr>
          <w:p>
            <w:pPr>
              <w:jc w:val="center"/>
              <w:rPr>
                <w:bCs/>
              </w:rPr>
            </w:pPr>
            <w:r>
              <w:rPr>
                <w:bCs/>
              </w:rPr>
              <w:t>提高12%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595" w:type="pct"/>
            <w:vMerge w:val="continue"/>
            <w:vAlign w:val="center"/>
          </w:tcPr>
          <w:p>
            <w:pPr>
              <w:jc w:val="center"/>
              <w:rPr>
                <w:bCs/>
              </w:rPr>
            </w:pPr>
          </w:p>
        </w:tc>
        <w:tc>
          <w:tcPr>
            <w:tcW w:w="645" w:type="pct"/>
            <w:vAlign w:val="center"/>
          </w:tcPr>
          <w:p>
            <w:pPr>
              <w:jc w:val="center"/>
              <w:rPr>
                <w:bCs/>
              </w:rPr>
            </w:pPr>
            <w:r>
              <w:rPr>
                <w:bCs/>
              </w:rPr>
              <w:t>活塞式/涡旋式风冷或蒸发冷却</w:t>
            </w:r>
          </w:p>
        </w:tc>
        <w:tc>
          <w:tcPr>
            <w:tcW w:w="1148" w:type="pct"/>
            <w:vAlign w:val="center"/>
          </w:tcPr>
          <w:p>
            <w:pPr>
              <w:jc w:val="center"/>
              <w:rPr>
                <w:bCs/>
              </w:rPr>
            </w:pPr>
            <w:r>
              <w:rPr>
                <w:bCs/>
              </w:rPr>
              <w:t>制冷性能系数（COP）</w:t>
            </w:r>
          </w:p>
        </w:tc>
        <w:tc>
          <w:tcPr>
            <w:tcW w:w="985" w:type="pct"/>
            <w:vMerge w:val="continue"/>
            <w:vAlign w:val="center"/>
          </w:tcPr>
          <w:p>
            <w:pPr>
              <w:jc w:val="center"/>
              <w:rPr>
                <w:bCs/>
              </w:rPr>
            </w:pPr>
          </w:p>
        </w:tc>
        <w:tc>
          <w:tcPr>
            <w:tcW w:w="813" w:type="pct"/>
            <w:vAlign w:val="center"/>
          </w:tcPr>
          <w:p>
            <w:pPr>
              <w:jc w:val="center"/>
              <w:rPr>
                <w:bCs/>
              </w:rPr>
            </w:pPr>
            <w:r>
              <w:rPr>
                <w:bCs/>
              </w:rPr>
              <w:t>提高4%</w:t>
            </w:r>
          </w:p>
        </w:tc>
        <w:tc>
          <w:tcPr>
            <w:tcW w:w="814" w:type="pct"/>
            <w:gridSpan w:val="2"/>
            <w:vAlign w:val="center"/>
          </w:tcPr>
          <w:p>
            <w:pPr>
              <w:jc w:val="center"/>
              <w:rPr>
                <w:bCs/>
              </w:rPr>
            </w:pPr>
            <w:r>
              <w:rPr>
                <w:bCs/>
              </w:rPr>
              <w:t>提高8%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595" w:type="pct"/>
            <w:vMerge w:val="continue"/>
            <w:vAlign w:val="center"/>
          </w:tcPr>
          <w:p>
            <w:pPr>
              <w:jc w:val="center"/>
              <w:rPr>
                <w:bCs/>
              </w:rPr>
            </w:pPr>
          </w:p>
        </w:tc>
        <w:tc>
          <w:tcPr>
            <w:tcW w:w="645" w:type="pct"/>
            <w:vAlign w:val="center"/>
          </w:tcPr>
          <w:p>
            <w:pPr>
              <w:jc w:val="center"/>
              <w:rPr>
                <w:bCs/>
              </w:rPr>
            </w:pPr>
            <w:r>
              <w:rPr>
                <w:bCs/>
              </w:rPr>
              <w:t>螺杆式风冷或蒸发冷却</w:t>
            </w:r>
          </w:p>
        </w:tc>
        <w:tc>
          <w:tcPr>
            <w:tcW w:w="1148" w:type="pct"/>
            <w:vAlign w:val="center"/>
          </w:tcPr>
          <w:p>
            <w:pPr>
              <w:jc w:val="center"/>
              <w:rPr>
                <w:bCs/>
              </w:rPr>
            </w:pPr>
            <w:r>
              <w:rPr>
                <w:bCs/>
              </w:rPr>
              <w:t>制冷性能系数（COP）</w:t>
            </w:r>
          </w:p>
        </w:tc>
        <w:tc>
          <w:tcPr>
            <w:tcW w:w="985" w:type="pct"/>
            <w:vMerge w:val="continue"/>
            <w:vAlign w:val="center"/>
          </w:tcPr>
          <w:p>
            <w:pPr>
              <w:jc w:val="center"/>
              <w:rPr>
                <w:bCs/>
              </w:rPr>
            </w:pPr>
          </w:p>
        </w:tc>
        <w:tc>
          <w:tcPr>
            <w:tcW w:w="813" w:type="pct"/>
            <w:vAlign w:val="center"/>
          </w:tcPr>
          <w:p>
            <w:pPr>
              <w:jc w:val="center"/>
              <w:rPr>
                <w:bCs/>
              </w:rPr>
            </w:pPr>
            <w:r>
              <w:rPr>
                <w:bCs/>
              </w:rPr>
              <w:t>提高6%</w:t>
            </w:r>
          </w:p>
        </w:tc>
        <w:tc>
          <w:tcPr>
            <w:tcW w:w="814" w:type="pct"/>
            <w:gridSpan w:val="2"/>
            <w:vAlign w:val="center"/>
          </w:tcPr>
          <w:p>
            <w:pPr>
              <w:jc w:val="center"/>
              <w:rPr>
                <w:bCs/>
              </w:rPr>
            </w:pPr>
            <w:r>
              <w:rPr>
                <w:bCs/>
              </w:rPr>
              <w:t>提高12%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0" w:type="pct"/>
            <w:gridSpan w:val="2"/>
            <w:vAlign w:val="center"/>
          </w:tcPr>
          <w:p>
            <w:pPr>
              <w:jc w:val="center"/>
              <w:rPr>
                <w:bCs/>
              </w:rPr>
            </w:pPr>
            <w:r>
              <w:rPr>
                <w:bCs/>
              </w:rPr>
              <w:t>直燃型溴化锂吸收式冷（温）水机组</w:t>
            </w:r>
          </w:p>
        </w:tc>
        <w:tc>
          <w:tcPr>
            <w:tcW w:w="1148" w:type="pct"/>
            <w:vAlign w:val="center"/>
          </w:tcPr>
          <w:p>
            <w:pPr>
              <w:jc w:val="center"/>
              <w:rPr>
                <w:bCs/>
              </w:rPr>
            </w:pPr>
            <w:r>
              <w:rPr>
                <w:bCs/>
              </w:rPr>
              <w:t>制冷、供热性能系数（COP）</w:t>
            </w:r>
          </w:p>
        </w:tc>
        <w:tc>
          <w:tcPr>
            <w:tcW w:w="985" w:type="pct"/>
            <w:vMerge w:val="continue"/>
            <w:vAlign w:val="center"/>
          </w:tcPr>
          <w:p>
            <w:pPr>
              <w:jc w:val="center"/>
              <w:rPr>
                <w:bCs/>
              </w:rPr>
            </w:pPr>
          </w:p>
        </w:tc>
        <w:tc>
          <w:tcPr>
            <w:tcW w:w="813" w:type="pct"/>
            <w:vAlign w:val="center"/>
          </w:tcPr>
          <w:p>
            <w:pPr>
              <w:jc w:val="center"/>
              <w:rPr>
                <w:bCs/>
              </w:rPr>
            </w:pPr>
            <w:r>
              <w:rPr>
                <w:bCs/>
              </w:rPr>
              <w:t>提高6%</w:t>
            </w:r>
          </w:p>
        </w:tc>
        <w:tc>
          <w:tcPr>
            <w:tcW w:w="814" w:type="pct"/>
            <w:gridSpan w:val="2"/>
            <w:vAlign w:val="center"/>
          </w:tcPr>
          <w:p>
            <w:pPr>
              <w:jc w:val="center"/>
              <w:rPr>
                <w:bCs/>
              </w:rPr>
            </w:pPr>
            <w:r>
              <w:rPr>
                <w:bCs/>
              </w:rPr>
              <w:t>提高12%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1" w:hRule="atLeast"/>
          <w:jc w:val="center"/>
        </w:trPr>
        <w:tc>
          <w:tcPr>
            <w:tcW w:w="595" w:type="pct"/>
            <w:vMerge w:val="restart"/>
            <w:vAlign w:val="center"/>
          </w:tcPr>
          <w:p>
            <w:pPr>
              <w:jc w:val="center"/>
              <w:rPr>
                <w:bCs/>
              </w:rPr>
            </w:pPr>
            <w:r>
              <w:rPr>
                <w:bCs/>
              </w:rPr>
              <w:t>单元式空气调节机、风管送风式空调（热泵）机组</w:t>
            </w:r>
          </w:p>
        </w:tc>
        <w:tc>
          <w:tcPr>
            <w:tcW w:w="645" w:type="pct"/>
            <w:vAlign w:val="center"/>
          </w:tcPr>
          <w:p>
            <w:pPr>
              <w:jc w:val="center"/>
              <w:rPr>
                <w:bCs/>
              </w:rPr>
            </w:pPr>
            <w:r>
              <w:rPr>
                <w:bCs/>
              </w:rPr>
              <w:t>风冷单冷型</w:t>
            </w:r>
          </w:p>
        </w:tc>
        <w:tc>
          <w:tcPr>
            <w:tcW w:w="1148" w:type="pct"/>
            <w:vAlign w:val="center"/>
          </w:tcPr>
          <w:p>
            <w:pPr>
              <w:jc w:val="center"/>
              <w:rPr>
                <w:bCs/>
              </w:rPr>
            </w:pPr>
            <w:r>
              <w:rPr>
                <w:bCs/>
              </w:rPr>
              <w:t>制冷季节能效比（SEER）</w:t>
            </w:r>
          </w:p>
        </w:tc>
        <w:tc>
          <w:tcPr>
            <w:tcW w:w="985" w:type="pct"/>
            <w:vMerge w:val="continue"/>
            <w:vAlign w:val="center"/>
          </w:tcPr>
          <w:p>
            <w:pPr>
              <w:jc w:val="center"/>
              <w:rPr>
                <w:bCs/>
              </w:rPr>
            </w:pPr>
          </w:p>
        </w:tc>
        <w:tc>
          <w:tcPr>
            <w:tcW w:w="813" w:type="pct"/>
            <w:vMerge w:val="restart"/>
            <w:vAlign w:val="center"/>
          </w:tcPr>
          <w:p>
            <w:pPr>
              <w:jc w:val="center"/>
              <w:rPr>
                <w:bCs/>
              </w:rPr>
            </w:pPr>
            <w:r>
              <w:rPr>
                <w:bCs/>
              </w:rPr>
              <w:t>提高8%</w:t>
            </w:r>
          </w:p>
        </w:tc>
        <w:tc>
          <w:tcPr>
            <w:tcW w:w="814" w:type="pct"/>
            <w:gridSpan w:val="2"/>
            <w:vMerge w:val="restart"/>
            <w:vAlign w:val="center"/>
          </w:tcPr>
          <w:p>
            <w:pPr>
              <w:jc w:val="center"/>
              <w:rPr>
                <w:bCs/>
              </w:rPr>
            </w:pPr>
            <w:r>
              <w:rPr>
                <w:bCs/>
              </w:rPr>
              <w:t>提高16%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95" w:type="pct"/>
            <w:vMerge w:val="continue"/>
            <w:vAlign w:val="center"/>
          </w:tcPr>
          <w:p>
            <w:pPr>
              <w:jc w:val="center"/>
              <w:rPr>
                <w:bCs/>
              </w:rPr>
            </w:pPr>
          </w:p>
        </w:tc>
        <w:tc>
          <w:tcPr>
            <w:tcW w:w="645" w:type="pct"/>
            <w:vAlign w:val="center"/>
          </w:tcPr>
          <w:p>
            <w:pPr>
              <w:jc w:val="center"/>
              <w:rPr>
                <w:bCs/>
              </w:rPr>
            </w:pPr>
            <w:r>
              <w:rPr>
                <w:bCs/>
              </w:rPr>
              <w:t>风冷热泵型</w:t>
            </w:r>
          </w:p>
        </w:tc>
        <w:tc>
          <w:tcPr>
            <w:tcW w:w="1148" w:type="pct"/>
            <w:vAlign w:val="center"/>
          </w:tcPr>
          <w:p>
            <w:pPr>
              <w:jc w:val="center"/>
              <w:rPr>
                <w:bCs/>
              </w:rPr>
            </w:pPr>
            <w:r>
              <w:rPr>
                <w:bCs/>
              </w:rPr>
              <w:t>全年性能系数（APF）</w:t>
            </w:r>
          </w:p>
        </w:tc>
        <w:tc>
          <w:tcPr>
            <w:tcW w:w="985" w:type="pct"/>
            <w:vMerge w:val="continue"/>
            <w:vAlign w:val="center"/>
          </w:tcPr>
          <w:p>
            <w:pPr>
              <w:jc w:val="center"/>
              <w:rPr>
                <w:bCs/>
              </w:rPr>
            </w:pPr>
          </w:p>
        </w:tc>
        <w:tc>
          <w:tcPr>
            <w:tcW w:w="813" w:type="pct"/>
            <w:vMerge w:val="continue"/>
            <w:vAlign w:val="center"/>
          </w:tcPr>
          <w:p>
            <w:pPr>
              <w:jc w:val="center"/>
              <w:rPr>
                <w:bCs/>
              </w:rPr>
            </w:pPr>
          </w:p>
        </w:tc>
        <w:tc>
          <w:tcPr>
            <w:tcW w:w="814" w:type="pct"/>
            <w:gridSpan w:val="2"/>
            <w:vMerge w:val="continue"/>
            <w:vAlign w:val="center"/>
          </w:tcPr>
          <w:p>
            <w:pPr>
              <w:jc w:val="center"/>
              <w:rPr>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595" w:type="pct"/>
            <w:vMerge w:val="continue"/>
            <w:vAlign w:val="center"/>
          </w:tcPr>
          <w:p>
            <w:pPr>
              <w:jc w:val="center"/>
              <w:rPr>
                <w:bCs/>
              </w:rPr>
            </w:pPr>
          </w:p>
        </w:tc>
        <w:tc>
          <w:tcPr>
            <w:tcW w:w="645" w:type="pct"/>
            <w:vAlign w:val="center"/>
          </w:tcPr>
          <w:p>
            <w:pPr>
              <w:jc w:val="center"/>
              <w:rPr>
                <w:bCs/>
              </w:rPr>
            </w:pPr>
            <w:r>
              <w:rPr>
                <w:bCs/>
              </w:rPr>
              <w:t>水冷</w:t>
            </w:r>
          </w:p>
        </w:tc>
        <w:tc>
          <w:tcPr>
            <w:tcW w:w="1148" w:type="pct"/>
            <w:vAlign w:val="center"/>
          </w:tcPr>
          <w:p>
            <w:pPr>
              <w:jc w:val="center"/>
              <w:rPr>
                <w:bCs/>
              </w:rPr>
            </w:pPr>
            <w:r>
              <w:rPr>
                <w:bCs/>
              </w:rPr>
              <w:t>制冷综合部分负荷性能系数（IPLV）</w:t>
            </w:r>
          </w:p>
        </w:tc>
        <w:tc>
          <w:tcPr>
            <w:tcW w:w="985" w:type="pct"/>
            <w:vMerge w:val="continue"/>
            <w:vAlign w:val="center"/>
          </w:tcPr>
          <w:p>
            <w:pPr>
              <w:jc w:val="center"/>
              <w:rPr>
                <w:bCs/>
              </w:rPr>
            </w:pPr>
          </w:p>
        </w:tc>
        <w:tc>
          <w:tcPr>
            <w:tcW w:w="813" w:type="pct"/>
            <w:vMerge w:val="continue"/>
            <w:vAlign w:val="center"/>
          </w:tcPr>
          <w:p>
            <w:pPr>
              <w:jc w:val="center"/>
              <w:rPr>
                <w:bCs/>
              </w:rPr>
            </w:pPr>
          </w:p>
        </w:tc>
        <w:tc>
          <w:tcPr>
            <w:tcW w:w="814" w:type="pct"/>
            <w:gridSpan w:val="2"/>
            <w:vMerge w:val="continue"/>
            <w:vAlign w:val="center"/>
          </w:tcPr>
          <w:p>
            <w:pPr>
              <w:jc w:val="center"/>
              <w:rPr>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595" w:type="pct"/>
            <w:vMerge w:val="restart"/>
            <w:vAlign w:val="center"/>
          </w:tcPr>
          <w:p>
            <w:pPr>
              <w:jc w:val="center"/>
              <w:rPr>
                <w:bCs/>
              </w:rPr>
            </w:pPr>
            <w:r>
              <w:rPr>
                <w:bCs/>
              </w:rPr>
              <w:t>多联式空调（热泵）机组</w:t>
            </w:r>
          </w:p>
        </w:tc>
        <w:tc>
          <w:tcPr>
            <w:tcW w:w="645" w:type="pct"/>
            <w:vAlign w:val="center"/>
          </w:tcPr>
          <w:p>
            <w:pPr>
              <w:jc w:val="center"/>
              <w:rPr>
                <w:bCs/>
              </w:rPr>
            </w:pPr>
            <w:r>
              <w:rPr>
                <w:bCs/>
              </w:rPr>
              <w:t>水冷</w:t>
            </w:r>
          </w:p>
        </w:tc>
        <w:tc>
          <w:tcPr>
            <w:tcW w:w="1148" w:type="pct"/>
            <w:vAlign w:val="center"/>
          </w:tcPr>
          <w:p>
            <w:pPr>
              <w:jc w:val="center"/>
              <w:rPr>
                <w:bCs/>
              </w:rPr>
            </w:pPr>
            <w:r>
              <w:rPr>
                <w:bCs/>
              </w:rPr>
              <w:t>制冷综合部分负荷性能系数（IPLV）</w:t>
            </w:r>
          </w:p>
        </w:tc>
        <w:tc>
          <w:tcPr>
            <w:tcW w:w="985" w:type="pct"/>
            <w:vMerge w:val="continue"/>
            <w:vAlign w:val="center"/>
          </w:tcPr>
          <w:p>
            <w:pPr>
              <w:jc w:val="center"/>
              <w:rPr>
                <w:bCs/>
              </w:rPr>
            </w:pPr>
          </w:p>
        </w:tc>
        <w:tc>
          <w:tcPr>
            <w:tcW w:w="813" w:type="pct"/>
            <w:vMerge w:val="restart"/>
            <w:vAlign w:val="center"/>
          </w:tcPr>
          <w:p>
            <w:pPr>
              <w:jc w:val="center"/>
              <w:rPr>
                <w:bCs/>
              </w:rPr>
            </w:pPr>
            <w:r>
              <w:rPr>
                <w:bCs/>
              </w:rPr>
              <w:t>提高8%</w:t>
            </w:r>
          </w:p>
        </w:tc>
        <w:tc>
          <w:tcPr>
            <w:tcW w:w="814" w:type="pct"/>
            <w:gridSpan w:val="2"/>
            <w:vMerge w:val="restart"/>
            <w:vAlign w:val="center"/>
          </w:tcPr>
          <w:p>
            <w:pPr>
              <w:jc w:val="center"/>
              <w:rPr>
                <w:bCs/>
              </w:rPr>
            </w:pPr>
            <w:r>
              <w:rPr>
                <w:bCs/>
              </w:rPr>
              <w:t>提高16%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595" w:type="pct"/>
            <w:vMerge w:val="continue"/>
            <w:vAlign w:val="center"/>
          </w:tcPr>
          <w:p>
            <w:pPr>
              <w:jc w:val="center"/>
              <w:rPr>
                <w:bCs/>
              </w:rPr>
            </w:pPr>
          </w:p>
        </w:tc>
        <w:tc>
          <w:tcPr>
            <w:tcW w:w="645" w:type="pct"/>
            <w:vAlign w:val="center"/>
          </w:tcPr>
          <w:p>
            <w:pPr>
              <w:jc w:val="center"/>
              <w:rPr>
                <w:bCs/>
              </w:rPr>
            </w:pPr>
            <w:r>
              <w:rPr>
                <w:bCs/>
              </w:rPr>
              <w:t>风冷</w:t>
            </w:r>
          </w:p>
        </w:tc>
        <w:tc>
          <w:tcPr>
            <w:tcW w:w="1148" w:type="pct"/>
            <w:vAlign w:val="center"/>
          </w:tcPr>
          <w:p>
            <w:pPr>
              <w:jc w:val="center"/>
              <w:rPr>
                <w:bCs/>
              </w:rPr>
            </w:pPr>
            <w:r>
              <w:rPr>
                <w:bCs/>
              </w:rPr>
              <w:t>全年性能系数（APF）</w:t>
            </w:r>
          </w:p>
        </w:tc>
        <w:tc>
          <w:tcPr>
            <w:tcW w:w="985" w:type="pct"/>
            <w:vMerge w:val="continue"/>
            <w:vAlign w:val="center"/>
          </w:tcPr>
          <w:p>
            <w:pPr>
              <w:jc w:val="center"/>
              <w:rPr>
                <w:bCs/>
              </w:rPr>
            </w:pPr>
          </w:p>
        </w:tc>
        <w:tc>
          <w:tcPr>
            <w:tcW w:w="813" w:type="pct"/>
            <w:vMerge w:val="continue"/>
            <w:vAlign w:val="center"/>
          </w:tcPr>
          <w:p>
            <w:pPr>
              <w:jc w:val="center"/>
              <w:rPr>
                <w:bCs/>
              </w:rPr>
            </w:pPr>
          </w:p>
        </w:tc>
        <w:tc>
          <w:tcPr>
            <w:tcW w:w="814" w:type="pct"/>
            <w:gridSpan w:val="2"/>
            <w:vMerge w:val="continue"/>
            <w:vAlign w:val="center"/>
          </w:tcPr>
          <w:p>
            <w:pPr>
              <w:jc w:val="center"/>
              <w:rPr>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 w:hRule="atLeast"/>
          <w:jc w:val="center"/>
        </w:trPr>
        <w:tc>
          <w:tcPr>
            <w:tcW w:w="1240" w:type="pct"/>
            <w:gridSpan w:val="2"/>
            <w:vAlign w:val="center"/>
          </w:tcPr>
          <w:p>
            <w:pPr>
              <w:jc w:val="center"/>
              <w:rPr>
                <w:bCs/>
              </w:rPr>
            </w:pPr>
            <w:r>
              <w:rPr>
                <w:bCs/>
              </w:rPr>
              <w:t>锅炉</w:t>
            </w:r>
          </w:p>
        </w:tc>
        <w:tc>
          <w:tcPr>
            <w:tcW w:w="1148" w:type="pct"/>
            <w:vAlign w:val="center"/>
          </w:tcPr>
          <w:p>
            <w:pPr>
              <w:jc w:val="center"/>
              <w:rPr>
                <w:bCs/>
              </w:rPr>
            </w:pPr>
            <w:r>
              <w:rPr>
                <w:bCs/>
              </w:rPr>
              <w:t>热效率</w:t>
            </w:r>
          </w:p>
        </w:tc>
        <w:tc>
          <w:tcPr>
            <w:tcW w:w="985" w:type="pct"/>
            <w:vMerge w:val="continue"/>
            <w:vAlign w:val="center"/>
          </w:tcPr>
          <w:p>
            <w:pPr>
              <w:jc w:val="center"/>
              <w:rPr>
                <w:bCs/>
              </w:rPr>
            </w:pPr>
          </w:p>
        </w:tc>
        <w:tc>
          <w:tcPr>
            <w:tcW w:w="813" w:type="pct"/>
            <w:vAlign w:val="center"/>
          </w:tcPr>
          <w:p>
            <w:pPr>
              <w:jc w:val="center"/>
              <w:rPr>
                <w:bCs/>
              </w:rPr>
            </w:pPr>
            <w:r>
              <w:rPr>
                <w:bCs/>
              </w:rPr>
              <w:t>提高1个百分点</w:t>
            </w:r>
          </w:p>
        </w:tc>
        <w:tc>
          <w:tcPr>
            <w:tcW w:w="814" w:type="pct"/>
            <w:gridSpan w:val="2"/>
            <w:vAlign w:val="center"/>
          </w:tcPr>
          <w:p>
            <w:pPr>
              <w:jc w:val="center"/>
              <w:rPr>
                <w:bCs/>
              </w:rPr>
            </w:pPr>
            <w:r>
              <w:rPr>
                <w:bCs/>
              </w:rPr>
              <w:t>提高2个百分点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0" w:type="pct"/>
            <w:gridSpan w:val="2"/>
            <w:vAlign w:val="center"/>
          </w:tcPr>
          <w:p>
            <w:pPr>
              <w:jc w:val="center"/>
              <w:rPr>
                <w:bCs/>
              </w:rPr>
            </w:pPr>
            <w:r>
              <w:rPr>
                <w:bCs/>
              </w:rPr>
              <w:t>房间空气调节器</w:t>
            </w:r>
          </w:p>
        </w:tc>
        <w:tc>
          <w:tcPr>
            <w:tcW w:w="1148" w:type="pct"/>
            <w:vAlign w:val="center"/>
          </w:tcPr>
          <w:p>
            <w:pPr>
              <w:jc w:val="center"/>
              <w:rPr>
                <w:bCs/>
              </w:rPr>
            </w:pPr>
            <w:r>
              <w:rPr>
                <w:bCs/>
              </w:rPr>
              <w:t>制冷季节能源消耗效率（SEER）或全年能源消耗效率（APF）</w:t>
            </w:r>
          </w:p>
        </w:tc>
        <w:tc>
          <w:tcPr>
            <w:tcW w:w="985" w:type="pct"/>
            <w:vAlign w:val="center"/>
          </w:tcPr>
          <w:p>
            <w:pPr>
              <w:jc w:val="center"/>
              <w:rPr>
                <w:bCs/>
              </w:rPr>
            </w:pPr>
            <w:r>
              <w:rPr>
                <w:bCs/>
              </w:rPr>
              <w:t>现行国家标准《房间空气调节器能效限定值及能效等级》GB 21455</w:t>
            </w:r>
          </w:p>
        </w:tc>
        <w:tc>
          <w:tcPr>
            <w:tcW w:w="813" w:type="pct"/>
            <w:vMerge w:val="restart"/>
            <w:vAlign w:val="center"/>
          </w:tcPr>
          <w:p>
            <w:pPr>
              <w:jc w:val="center"/>
              <w:rPr>
                <w:bCs/>
              </w:rPr>
            </w:pPr>
            <w:r>
              <w:rPr>
                <w:bCs/>
              </w:rPr>
              <w:t>2级能效等级限值</w:t>
            </w:r>
          </w:p>
        </w:tc>
        <w:tc>
          <w:tcPr>
            <w:tcW w:w="814" w:type="pct"/>
            <w:gridSpan w:val="2"/>
            <w:vMerge w:val="restart"/>
            <w:vAlign w:val="center"/>
          </w:tcPr>
          <w:p>
            <w:pPr>
              <w:jc w:val="center"/>
              <w:rPr>
                <w:bCs/>
              </w:rPr>
            </w:pPr>
            <w:r>
              <w:rPr>
                <w:bCs/>
              </w:rPr>
              <w:t>1级能效等级限值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0" w:type="pct"/>
            <w:gridSpan w:val="2"/>
            <w:vAlign w:val="center"/>
          </w:tcPr>
          <w:p>
            <w:pPr>
              <w:jc w:val="center"/>
              <w:rPr>
                <w:bCs/>
              </w:rPr>
            </w:pPr>
            <w:r>
              <w:rPr>
                <w:bCs/>
              </w:rPr>
              <w:t>燃气采暖热水炉</w:t>
            </w:r>
          </w:p>
        </w:tc>
        <w:tc>
          <w:tcPr>
            <w:tcW w:w="1148" w:type="pct"/>
            <w:vAlign w:val="center"/>
          </w:tcPr>
          <w:p>
            <w:pPr>
              <w:jc w:val="center"/>
              <w:rPr>
                <w:bCs/>
              </w:rPr>
            </w:pPr>
            <w:r>
              <w:rPr>
                <w:bCs/>
              </w:rPr>
              <w:t>热效率</w:t>
            </w:r>
          </w:p>
        </w:tc>
        <w:tc>
          <w:tcPr>
            <w:tcW w:w="985" w:type="pct"/>
            <w:vAlign w:val="center"/>
          </w:tcPr>
          <w:p>
            <w:pPr>
              <w:jc w:val="center"/>
              <w:rPr>
                <w:bCs/>
              </w:rPr>
            </w:pPr>
            <w:r>
              <w:rPr>
                <w:bCs/>
              </w:rPr>
              <w:t>现行国家标准《家用燃气快速热水器和燃气采暖热水炉能效限定值及能效等级》GB 20665</w:t>
            </w:r>
          </w:p>
        </w:tc>
        <w:tc>
          <w:tcPr>
            <w:tcW w:w="813" w:type="pct"/>
            <w:vMerge w:val="continue"/>
            <w:vAlign w:val="center"/>
          </w:tcPr>
          <w:p>
            <w:pPr>
              <w:jc w:val="center"/>
              <w:rPr>
                <w:bCs/>
              </w:rPr>
            </w:pPr>
          </w:p>
        </w:tc>
        <w:tc>
          <w:tcPr>
            <w:tcW w:w="814" w:type="pct"/>
            <w:gridSpan w:val="2"/>
            <w:vMerge w:val="continue"/>
            <w:vAlign w:val="center"/>
          </w:tcPr>
          <w:p>
            <w:pPr>
              <w:jc w:val="center"/>
              <w:rPr>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0" w:type="pct"/>
            <w:gridSpan w:val="2"/>
            <w:vAlign w:val="center"/>
          </w:tcPr>
          <w:p>
            <w:pPr>
              <w:jc w:val="center"/>
              <w:rPr>
                <w:bCs/>
              </w:rPr>
            </w:pPr>
            <w:r>
              <w:rPr>
                <w:bCs/>
              </w:rPr>
              <w:t>蒸汽型溴化锂吸收式冷水机组</w:t>
            </w:r>
          </w:p>
        </w:tc>
        <w:tc>
          <w:tcPr>
            <w:tcW w:w="1148" w:type="pct"/>
            <w:vAlign w:val="center"/>
          </w:tcPr>
          <w:p>
            <w:pPr>
              <w:jc w:val="center"/>
              <w:rPr>
                <w:bCs/>
              </w:rPr>
            </w:pPr>
            <w:r>
              <w:rPr>
                <w:bCs/>
              </w:rPr>
              <w:t>制冷、供热性能系数（COP）</w:t>
            </w:r>
          </w:p>
        </w:tc>
        <w:tc>
          <w:tcPr>
            <w:tcW w:w="985" w:type="pct"/>
            <w:vAlign w:val="center"/>
          </w:tcPr>
          <w:p>
            <w:pPr>
              <w:jc w:val="center"/>
              <w:rPr>
                <w:bCs/>
              </w:rPr>
            </w:pPr>
            <w:r>
              <w:rPr>
                <w:bCs/>
              </w:rPr>
              <w:t>现行国家标准《热泵和冷水机组能效限定值及能效等级》GB 19577</w:t>
            </w:r>
          </w:p>
        </w:tc>
        <w:tc>
          <w:tcPr>
            <w:tcW w:w="813" w:type="pct"/>
            <w:vMerge w:val="continue"/>
            <w:vAlign w:val="center"/>
          </w:tcPr>
          <w:p>
            <w:pPr>
              <w:jc w:val="center"/>
              <w:rPr>
                <w:bCs/>
              </w:rPr>
            </w:pPr>
          </w:p>
        </w:tc>
        <w:tc>
          <w:tcPr>
            <w:tcW w:w="814" w:type="pct"/>
            <w:gridSpan w:val="2"/>
            <w:vMerge w:val="continue"/>
            <w:vAlign w:val="center"/>
          </w:tcPr>
          <w:p>
            <w:pPr>
              <w:jc w:val="center"/>
              <w:rPr>
                <w:bCs/>
              </w:rPr>
            </w:pPr>
          </w:p>
        </w:tc>
      </w:tr>
    </w:tbl>
    <w:p>
      <w:pPr>
        <w:pStyle w:val="68"/>
        <w:rPr>
          <w:rFonts w:ascii="Times New Roman" w:hAnsi="Times New Roman" w:cs="Times New Roman"/>
        </w:rPr>
      </w:pPr>
      <w:r>
        <w:rPr>
          <w:rFonts w:ascii="Times New Roman" w:hAnsi="Times New Roman" w:cs="Times New Roman"/>
        </w:rPr>
        <w:t>【条文说明】</w:t>
      </w:r>
    </w:p>
    <w:p>
      <w:pPr>
        <w:pStyle w:val="68"/>
        <w:rPr>
          <w:rFonts w:ascii="Times New Roman" w:hAnsi="Times New Roman" w:cs="Times New Roman"/>
        </w:rPr>
      </w:pPr>
      <w:r>
        <w:rPr>
          <w:rFonts w:ascii="Times New Roman" w:hAnsi="Times New Roman" w:cs="Times New Roman"/>
        </w:rPr>
        <w:t>供暖空调系统的冷、热源机组能效直接影响铁路客站的运行能耗和碳排放。本条以比现行强制性工程建设规范《建筑节能与可再生能源利用通用规范》GB 55015规定值提高百分比（锅炉热效率以百分点）的形式，对供暖空调系统冷、热源机组的能源效率提出了更高要求。对于该规范中未予规定的情况，例如蒸汽型溴化锂吸收式冷（温）水机组等其他设备作为供暖空调冷热源，以及在产品设计选型时一般以产品标准中的等级为依据的情况，例如房间空气调节器，则应以现行国家标准《热泵和冷水机组能效限定值及能效等级》GB 19577、《房间空气调节器能效限定值及能效等级》GB 21455等中的能效等级作为依据。上述规定综合考虑了平衡提升机组性能带来的系统初投资、能源及碳排放量下降的关系，结合经济性指标，指导方案优化设计。</w:t>
      </w:r>
    </w:p>
    <w:p>
      <w:pPr>
        <w:pStyle w:val="28"/>
        <w:numPr>
          <w:ilvl w:val="0"/>
          <w:numId w:val="1"/>
        </w:numPr>
        <w:spacing w:line="360" w:lineRule="auto"/>
        <w:ind w:left="0" w:firstLine="0"/>
        <w:outlineLvl w:val="2"/>
        <w:rPr>
          <w:kern w:val="2"/>
          <w:szCs w:val="24"/>
        </w:rPr>
      </w:pPr>
      <w:r>
        <w:rPr>
          <w:kern w:val="2"/>
          <w:szCs w:val="24"/>
        </w:rPr>
        <w:t>生活热水系统</w:t>
      </w:r>
      <w:r>
        <w:rPr>
          <w:rFonts w:hint="eastAsia"/>
          <w:kern w:val="2"/>
          <w:szCs w:val="24"/>
        </w:rPr>
        <w:t>如</w:t>
      </w:r>
      <w:r>
        <w:rPr>
          <w:kern w:val="2"/>
          <w:szCs w:val="24"/>
        </w:rPr>
        <w:t>利用太阳能、空气能等可再生能源或余热、废热作为热源，设备能效水平不应低于能效等级2级的要求，对于近零碳及零碳铁路客站设备能效水平应达到能效等级1级的要求。</w:t>
      </w:r>
    </w:p>
    <w:p>
      <w:pPr>
        <w:pStyle w:val="68"/>
        <w:rPr>
          <w:rFonts w:ascii="Times New Roman" w:hAnsi="Times New Roman" w:cs="Times New Roman"/>
        </w:rPr>
      </w:pPr>
      <w:r>
        <w:rPr>
          <w:rFonts w:ascii="Times New Roman" w:hAnsi="Times New Roman" w:cs="Times New Roman"/>
        </w:rPr>
        <w:t>【条文说明】</w:t>
      </w:r>
    </w:p>
    <w:p>
      <w:pPr>
        <w:pStyle w:val="68"/>
        <w:rPr>
          <w:rFonts w:ascii="Times New Roman" w:hAnsi="Times New Roman" w:cs="Times New Roman"/>
          <w:szCs w:val="24"/>
        </w:rPr>
      </w:pPr>
      <w:r>
        <w:rPr>
          <w:rFonts w:ascii="Times New Roman" w:hAnsi="Times New Roman" w:cs="Times New Roman"/>
        </w:rPr>
        <w:t>生活热水系统能源消耗虽然在铁路客站整体能耗中占比不大，但优先利用太阳能、空气能等可再生能源或余热、废热作为热源，符合国家可持续和绿色低碳发展理念。对热源设备能效水平作出要求，可有效降低生活热水系统热源设备的能源消耗。当以燃气锅炉作为生活热水热源时，其能效水平应符合本规范第5.1.4条的规定；当采用空气源热泵热水机组制备生活热水时，其能效等级应以现行国家标准《热泵热水机（器）能效限定值及能效等级》GB 29541中的能效等级作为依据；当采用储水式电热水器制备生活热水时，其能效等级应以现行国家标准《储水式电热水器能效限定值及能效等级》GB 21519中的能效等级作为依据； 当采用家用太阳能热水器制备生活热水时，其能效等级应以现行国家标准《家用太阳能热水系统能效限定值及能效等级》GB 26969中的能效等级作为依据。</w:t>
      </w:r>
    </w:p>
    <w:p>
      <w:pPr>
        <w:pStyle w:val="28"/>
        <w:numPr>
          <w:ilvl w:val="0"/>
          <w:numId w:val="1"/>
        </w:numPr>
        <w:spacing w:line="360" w:lineRule="auto"/>
        <w:ind w:left="0" w:firstLine="0"/>
        <w:outlineLvl w:val="2"/>
        <w:rPr>
          <w:kern w:val="2"/>
          <w:szCs w:val="24"/>
        </w:rPr>
      </w:pPr>
      <w:r>
        <w:rPr>
          <w:kern w:val="2"/>
          <w:szCs w:val="24"/>
        </w:rPr>
        <w:t>饮用水设备能效水平不应低于能效等级2级的要求，对于近零碳及零碳铁路客站设备能效水平应达到能效等级1级的要求。</w:t>
      </w:r>
    </w:p>
    <w:p>
      <w:pPr>
        <w:pStyle w:val="68"/>
        <w:rPr>
          <w:rFonts w:ascii="Times New Roman" w:hAnsi="Times New Roman" w:cs="Times New Roman"/>
        </w:rPr>
      </w:pPr>
      <w:r>
        <w:rPr>
          <w:rFonts w:ascii="Times New Roman" w:hAnsi="Times New Roman" w:cs="Times New Roman"/>
        </w:rPr>
        <w:t>【条文说明】</w:t>
      </w:r>
    </w:p>
    <w:p>
      <w:pPr>
        <w:pStyle w:val="68"/>
        <w:rPr>
          <w:rFonts w:ascii="Times New Roman" w:hAnsi="Times New Roman" w:cs="Times New Roman"/>
        </w:rPr>
      </w:pPr>
      <w:r>
        <w:rPr>
          <w:rFonts w:ascii="Times New Roman" w:hAnsi="Times New Roman" w:cs="Times New Roman"/>
        </w:rPr>
        <w:t>饮用水设备能效等级应以现行国家标准《饮水机能效限定值及能效等级》GB 30978中的能效等级作为依据。</w:t>
      </w:r>
    </w:p>
    <w:p>
      <w:pPr>
        <w:pStyle w:val="28"/>
        <w:numPr>
          <w:ilvl w:val="0"/>
          <w:numId w:val="1"/>
        </w:numPr>
        <w:spacing w:line="360" w:lineRule="auto"/>
        <w:ind w:left="0" w:firstLine="0"/>
        <w:outlineLvl w:val="2"/>
        <w:rPr>
          <w:szCs w:val="24"/>
          <w:u w:val="single"/>
        </w:rPr>
      </w:pPr>
      <w:r>
        <w:rPr>
          <w:kern w:val="2"/>
          <w:szCs w:val="24"/>
        </w:rPr>
        <w:t>低碳铁路客站电力变压器、电动机、交流接触器、水泵、风机等设备应满足国家现行有关标准的能效等级2级要求，近零碳及零碳铁路客站应满足1级要求。</w:t>
      </w:r>
    </w:p>
    <w:p>
      <w:pPr>
        <w:pStyle w:val="68"/>
        <w:rPr>
          <w:rFonts w:ascii="Times New Roman" w:hAnsi="Times New Roman" w:cs="Times New Roman"/>
        </w:rPr>
      </w:pPr>
      <w:r>
        <w:rPr>
          <w:rFonts w:ascii="Times New Roman" w:hAnsi="Times New Roman" w:cs="Times New Roman"/>
        </w:rPr>
        <w:t>【条文说明】</w:t>
      </w:r>
    </w:p>
    <w:p>
      <w:pPr>
        <w:pStyle w:val="68"/>
        <w:rPr>
          <w:rFonts w:ascii="Times New Roman" w:hAnsi="Times New Roman" w:cs="Times New Roman"/>
        </w:rPr>
      </w:pPr>
      <w:r>
        <w:rPr>
          <w:rFonts w:ascii="Times New Roman" w:hAnsi="Times New Roman" w:cs="Times New Roman"/>
        </w:rPr>
        <w:t>本条规定新建、扩建和改建铁路客站中电力变压器、电动机等关键设备的能效等级要求。低碳铁路客站需满足能效2级，近零碳及零碳客站需满足能效1级，以降低设备运行能耗。依据现行国家标准《电力变压器能效限定值及能效等级》GB 20052、《电动机能效限定值及能效等级》GB 18613、《清水离心泵能效限定值及节能评价值》GB 19762及《通风机能效限定值及能效等级》GB 19761，能效1级为最高效率等级（国际先进水平），能效2级为节能产品准入的最低要求（市场准入门槛）。</w:t>
      </w:r>
    </w:p>
    <w:p>
      <w:pPr>
        <w:pStyle w:val="28"/>
        <w:numPr>
          <w:ilvl w:val="0"/>
          <w:numId w:val="1"/>
        </w:numPr>
        <w:spacing w:line="360" w:lineRule="auto"/>
        <w:ind w:left="0" w:firstLine="0"/>
        <w:outlineLvl w:val="2"/>
        <w:rPr>
          <w:kern w:val="2"/>
          <w:szCs w:val="24"/>
        </w:rPr>
      </w:pPr>
      <w:r>
        <w:rPr>
          <w:kern w:val="2"/>
          <w:szCs w:val="24"/>
        </w:rPr>
        <w:t>照明系统采用节能型设备及控制措施，并应符合下列规定：</w:t>
      </w:r>
    </w:p>
    <w:p>
      <w:pPr>
        <w:spacing w:line="360" w:lineRule="auto"/>
        <w:ind w:firstLine="482" w:firstLineChars="200"/>
        <w:rPr>
          <w:b/>
          <w:bCs/>
          <w:szCs w:val="24"/>
        </w:rPr>
      </w:pPr>
      <w:r>
        <w:rPr>
          <w:b/>
          <w:bCs/>
          <w:szCs w:val="24"/>
        </w:rPr>
        <w:t xml:space="preserve">1 </w:t>
      </w:r>
      <w:r>
        <w:rPr>
          <w:kern w:val="2"/>
          <w:szCs w:val="24"/>
        </w:rPr>
        <w:t>低碳铁路客站照明产品应满足国家现行有关标准的能效等级2级要求，近零碳及零碳铁路客站应满足1级要求；</w:t>
      </w:r>
    </w:p>
    <w:p>
      <w:pPr>
        <w:spacing w:line="360" w:lineRule="auto"/>
        <w:ind w:firstLine="482" w:firstLineChars="200"/>
        <w:rPr>
          <w:szCs w:val="24"/>
        </w:rPr>
      </w:pPr>
      <w:r>
        <w:rPr>
          <w:b/>
          <w:szCs w:val="24"/>
        </w:rPr>
        <w:t>2</w:t>
      </w:r>
      <w:r>
        <w:rPr>
          <w:bCs/>
        </w:rPr>
        <w:t>主要功能房间应选择LED照明产品，且主要功能房间的照明功率密度值</w:t>
      </w:r>
      <w:bookmarkStart w:id="106" w:name="OLE_LINK8"/>
      <w:r>
        <w:rPr>
          <w:bCs/>
        </w:rPr>
        <w:t>达到现行国家标准《建筑照明设计标准》GB/T 50034 规定的目标值</w:t>
      </w:r>
      <w:bookmarkEnd w:id="106"/>
      <w:r>
        <w:rPr>
          <w:szCs w:val="24"/>
        </w:rPr>
        <w:t>；</w:t>
      </w:r>
    </w:p>
    <w:p>
      <w:pPr>
        <w:spacing w:line="360" w:lineRule="auto"/>
        <w:ind w:firstLine="482" w:firstLineChars="200"/>
      </w:pPr>
      <w:r>
        <w:rPr>
          <w:b/>
          <w:szCs w:val="24"/>
        </w:rPr>
        <w:t>3</w:t>
      </w:r>
      <w:r>
        <w:rPr>
          <w:bCs/>
          <w:szCs w:val="24"/>
        </w:rPr>
        <w:t>应</w:t>
      </w:r>
      <w:r>
        <w:t>采用智能照明控制，根据车站形式选择根据自然光、列车到发、客流密度等参数自动调节的照明控制方式。</w:t>
      </w:r>
    </w:p>
    <w:p>
      <w:pPr>
        <w:pStyle w:val="68"/>
        <w:rPr>
          <w:rFonts w:ascii="Times New Roman" w:hAnsi="Times New Roman" w:cs="Times New Roman"/>
        </w:rPr>
      </w:pPr>
      <w:r>
        <w:rPr>
          <w:rFonts w:ascii="Times New Roman" w:hAnsi="Times New Roman" w:cs="Times New Roman"/>
        </w:rPr>
        <w:t>【条文说明】</w:t>
      </w:r>
    </w:p>
    <w:p>
      <w:pPr>
        <w:pStyle w:val="68"/>
        <w:rPr>
          <w:rFonts w:ascii="Times New Roman" w:hAnsi="Times New Roman" w:cs="Times New Roman"/>
        </w:rPr>
      </w:pPr>
      <w:r>
        <w:rPr>
          <w:rFonts w:ascii="Times New Roman" w:hAnsi="Times New Roman" w:cs="Times New Roman"/>
        </w:rPr>
        <w:t>1 能效等级：照明产品能效要求与设备能效分级一致，依据现行国家标准《室内照明用LED产品能效限定值及能效等级》GB 30255，1级为最优能效。</w:t>
      </w:r>
    </w:p>
    <w:p>
      <w:pPr>
        <w:pStyle w:val="68"/>
        <w:rPr>
          <w:rFonts w:ascii="Times New Roman" w:hAnsi="Times New Roman" w:cs="Times New Roman"/>
        </w:rPr>
      </w:pPr>
      <w:r>
        <w:rPr>
          <w:rFonts w:ascii="Times New Roman" w:hAnsi="Times New Roman" w:cs="Times New Roman"/>
        </w:rPr>
        <w:t>2 LED照明与功率密度：主要功能房间采用LED光源，照明功率密度（LPD）需达到现行国家标准《建筑照明设计标准》GB/T 50034规定的目标值，确保照明系统能效优化。</w:t>
      </w:r>
    </w:p>
    <w:p>
      <w:pPr>
        <w:pStyle w:val="68"/>
        <w:rPr>
          <w:rFonts w:ascii="Times New Roman" w:hAnsi="Times New Roman" w:cs="Times New Roman"/>
        </w:rPr>
      </w:pPr>
      <w:r>
        <w:rPr>
          <w:rFonts w:ascii="Times New Roman" w:hAnsi="Times New Roman" w:cs="Times New Roman"/>
        </w:rPr>
        <w:t>3 智能控制：要求通过自然光感应、列车时刻表联动、客流监测等参数自动调节照明，减少无效能耗。</w:t>
      </w:r>
    </w:p>
    <w:p>
      <w:pPr>
        <w:pStyle w:val="28"/>
        <w:numPr>
          <w:ilvl w:val="0"/>
          <w:numId w:val="1"/>
        </w:numPr>
        <w:spacing w:line="360" w:lineRule="auto"/>
        <w:ind w:left="0" w:firstLine="0"/>
        <w:outlineLvl w:val="2"/>
        <w:rPr>
          <w:kern w:val="2"/>
          <w:szCs w:val="24"/>
        </w:rPr>
      </w:pPr>
      <w:r>
        <w:rPr>
          <w:kern w:val="2"/>
          <w:szCs w:val="24"/>
        </w:rPr>
        <w:t>电梯能效等级</w:t>
      </w:r>
      <w:r>
        <w:rPr>
          <w:rFonts w:hint="eastAsia"/>
          <w:kern w:val="2"/>
          <w:szCs w:val="24"/>
        </w:rPr>
        <w:t>应符合下列规定：</w:t>
      </w:r>
    </w:p>
    <w:p>
      <w:pPr>
        <w:spacing w:line="360" w:lineRule="auto"/>
        <w:ind w:firstLine="482" w:firstLineChars="200"/>
        <w:rPr>
          <w:szCs w:val="24"/>
        </w:rPr>
      </w:pPr>
      <w:r>
        <w:rPr>
          <w:b/>
          <w:bCs/>
          <w:szCs w:val="24"/>
        </w:rPr>
        <w:t>1</w:t>
      </w:r>
      <w:r>
        <w:rPr>
          <w:rFonts w:hint="eastAsia"/>
          <w:szCs w:val="24"/>
        </w:rPr>
        <w:t xml:space="preserve"> 电梯不应低于现行国家标准《电梯、自动扶梯和自动人行道的能量性能</w:t>
      </w:r>
      <w:r>
        <w:rPr>
          <w:szCs w:val="24"/>
        </w:rPr>
        <w:t xml:space="preserve"> </w:t>
      </w:r>
      <w:r>
        <w:rPr>
          <w:rFonts w:hint="eastAsia"/>
          <w:szCs w:val="24"/>
        </w:rPr>
        <w:t>第</w:t>
      </w:r>
      <w:r>
        <w:rPr>
          <w:szCs w:val="24"/>
        </w:rPr>
        <w:t xml:space="preserve"> 2 </w:t>
      </w:r>
      <w:r>
        <w:rPr>
          <w:rFonts w:hint="eastAsia"/>
          <w:szCs w:val="24"/>
        </w:rPr>
        <w:t>部分</w:t>
      </w:r>
      <w:r>
        <w:rPr>
          <w:szCs w:val="24"/>
        </w:rPr>
        <w:t xml:space="preserve"> </w:t>
      </w:r>
      <w:r>
        <w:rPr>
          <w:rFonts w:hint="eastAsia"/>
          <w:szCs w:val="24"/>
        </w:rPr>
        <w:t>电梯的能量计算与分级》</w:t>
      </w:r>
      <w:r>
        <w:rPr>
          <w:szCs w:val="24"/>
        </w:rPr>
        <w:t xml:space="preserve">GB/T 30559.2 </w:t>
      </w:r>
      <w:r>
        <w:rPr>
          <w:rFonts w:hint="eastAsia"/>
          <w:szCs w:val="24"/>
        </w:rPr>
        <w:t>和《电梯自动扶梯和自动人行道的能量性能</w:t>
      </w:r>
      <w:r>
        <w:rPr>
          <w:szCs w:val="24"/>
        </w:rPr>
        <w:t xml:space="preserve"> </w:t>
      </w:r>
      <w:r>
        <w:rPr>
          <w:rFonts w:hint="eastAsia"/>
          <w:szCs w:val="24"/>
        </w:rPr>
        <w:t>第</w:t>
      </w:r>
      <w:r>
        <w:rPr>
          <w:szCs w:val="24"/>
        </w:rPr>
        <w:t xml:space="preserve"> 3 </w:t>
      </w:r>
      <w:r>
        <w:rPr>
          <w:rFonts w:hint="eastAsia"/>
          <w:szCs w:val="24"/>
        </w:rPr>
        <w:t>部分</w:t>
      </w:r>
      <w:r>
        <w:rPr>
          <w:szCs w:val="24"/>
        </w:rPr>
        <w:t xml:space="preserve"> </w:t>
      </w:r>
      <w:r>
        <w:rPr>
          <w:rFonts w:hint="eastAsia"/>
          <w:szCs w:val="24"/>
        </w:rPr>
        <w:t>自动扶梯和自动人行道的能量计算与分级》</w:t>
      </w:r>
      <w:r>
        <w:rPr>
          <w:szCs w:val="24"/>
        </w:rPr>
        <w:t xml:space="preserve"> GB/T 30559.3 </w:t>
      </w:r>
      <w:r>
        <w:rPr>
          <w:rFonts w:hint="eastAsia"/>
          <w:szCs w:val="24"/>
        </w:rPr>
        <w:t>的</w:t>
      </w:r>
      <w:r>
        <w:rPr>
          <w:szCs w:val="24"/>
        </w:rPr>
        <w:t xml:space="preserve"> B </w:t>
      </w:r>
      <w:r>
        <w:rPr>
          <w:rFonts w:hint="eastAsia"/>
          <w:szCs w:val="24"/>
        </w:rPr>
        <w:t>级（低碳铁路客站）</w:t>
      </w:r>
      <w:r>
        <w:rPr>
          <w:szCs w:val="24"/>
        </w:rPr>
        <w:t xml:space="preserve">/ A </w:t>
      </w:r>
      <w:r>
        <w:rPr>
          <w:rFonts w:hint="eastAsia"/>
          <w:szCs w:val="24"/>
        </w:rPr>
        <w:t>级（近零碳及零碳铁路客站）能效要求；</w:t>
      </w:r>
    </w:p>
    <w:p>
      <w:pPr>
        <w:spacing w:line="360" w:lineRule="auto"/>
        <w:ind w:firstLine="482" w:firstLineChars="200"/>
        <w:rPr>
          <w:szCs w:val="24"/>
        </w:rPr>
      </w:pPr>
      <w:r>
        <w:rPr>
          <w:b/>
          <w:bCs/>
          <w:szCs w:val="24"/>
        </w:rPr>
        <w:t>2</w:t>
      </w:r>
      <w:r>
        <w:rPr>
          <w:rFonts w:hint="eastAsia"/>
          <w:szCs w:val="24"/>
        </w:rPr>
        <w:t xml:space="preserve"> 电梯电机不应低于现行国家标准《永磁同步电动机能效限定值及能效等级》</w:t>
      </w:r>
      <w:r>
        <w:rPr>
          <w:szCs w:val="24"/>
        </w:rPr>
        <w:t xml:space="preserve">GB 30253 </w:t>
      </w:r>
      <w:r>
        <w:rPr>
          <w:rFonts w:hint="eastAsia"/>
          <w:szCs w:val="24"/>
        </w:rPr>
        <w:t>的</w:t>
      </w:r>
      <w:r>
        <w:rPr>
          <w:szCs w:val="24"/>
        </w:rPr>
        <w:t xml:space="preserve"> 2 </w:t>
      </w:r>
      <w:r>
        <w:rPr>
          <w:rFonts w:hint="eastAsia"/>
          <w:szCs w:val="24"/>
        </w:rPr>
        <w:t>级（低碳铁路客站）</w:t>
      </w:r>
      <w:r>
        <w:rPr>
          <w:szCs w:val="24"/>
        </w:rPr>
        <w:t xml:space="preserve">/1 </w:t>
      </w:r>
      <w:r>
        <w:rPr>
          <w:rFonts w:hint="eastAsia"/>
          <w:szCs w:val="24"/>
        </w:rPr>
        <w:t>级（近零碳及零碳铁路客站）能效的要求。</w:t>
      </w:r>
    </w:p>
    <w:p>
      <w:pPr>
        <w:pStyle w:val="68"/>
        <w:rPr>
          <w:rFonts w:ascii="Times New Roman" w:hAnsi="Times New Roman" w:cs="Times New Roman"/>
        </w:rPr>
      </w:pPr>
      <w:r>
        <w:rPr>
          <w:rFonts w:ascii="Times New Roman" w:hAnsi="Times New Roman" w:cs="Times New Roman"/>
        </w:rPr>
        <w:t>【条文说明】</w:t>
      </w:r>
    </w:p>
    <w:p>
      <w:pPr>
        <w:pStyle w:val="68"/>
        <w:rPr>
          <w:rFonts w:ascii="Times New Roman" w:hAnsi="Times New Roman" w:cs="Times New Roman"/>
        </w:rPr>
      </w:pPr>
      <w:r>
        <w:rPr>
          <w:rFonts w:ascii="Times New Roman" w:hAnsi="Times New Roman" w:cs="Times New Roman"/>
        </w:rPr>
        <w:t>作为交通类建筑，室内客流组织及调配是铁路客站主要功能，作为室内客流运送工具，电梯、自动扶梯能耗构成铁路客站能耗的重要组成部分，其折合碳排放约占铁路客站总碳排放的20%-30%，客站规模越大占比越大。本条文针对低碳、近零碳、零碳铁路客站，分别给出不同等级能效要求。对于电梯扶梯系统，应选择高能效等级产品，合理确定电梯扶梯的型号、台数、配置方案、运行速度、信号控制和管理方案，提高运行效率。</w:t>
      </w:r>
    </w:p>
    <w:p>
      <w:pPr>
        <w:pStyle w:val="68"/>
        <w:rPr>
          <w:rFonts w:ascii="Times New Roman" w:hAnsi="Times New Roman" w:cs="Times New Roman"/>
        </w:rPr>
      </w:pPr>
      <w:r>
        <w:rPr>
          <w:rFonts w:ascii="Times New Roman" w:hAnsi="Times New Roman" w:cs="Times New Roman"/>
        </w:rPr>
        <w:t>根据《绿色低碳转型产业指导目录（2024 年版）》，在1.1高效节能装备制造和1.3节能降碳改造中，对相关产品的能效水平要求为需要到达能效水平1级或 A 级。因此，如相关建筑工程项目申请绿色金融支持，其电梯、电器、变压器、变动机等产品的能效水平不应低于能效水平 1 级或A级能效。</w:t>
      </w:r>
    </w:p>
    <w:p>
      <w:pPr>
        <w:pStyle w:val="28"/>
        <w:numPr>
          <w:ilvl w:val="0"/>
          <w:numId w:val="1"/>
        </w:numPr>
        <w:spacing w:line="360" w:lineRule="auto"/>
        <w:ind w:left="0" w:firstLine="0"/>
        <w:outlineLvl w:val="2"/>
        <w:rPr>
          <w:kern w:val="2"/>
          <w:szCs w:val="24"/>
        </w:rPr>
      </w:pPr>
      <w:r>
        <w:rPr>
          <w:rFonts w:hint="eastAsia"/>
          <w:kern w:val="2"/>
          <w:szCs w:val="24"/>
        </w:rPr>
        <w:t>垂直电梯应采取以下节能措施中的至少2项：群控、变频调速、能量反馈；自动扶梯采取以下节能控制措施中的至少1项：变频感应启动、随客流变化切换运行状态。</w:t>
      </w:r>
    </w:p>
    <w:p>
      <w:pPr>
        <w:pStyle w:val="68"/>
        <w:rPr>
          <w:rFonts w:ascii="Times New Roman" w:hAnsi="Times New Roman" w:cs="Times New Roman"/>
        </w:rPr>
      </w:pPr>
      <w:r>
        <w:rPr>
          <w:rFonts w:hint="eastAsia" w:ascii="Times New Roman" w:hAnsi="Times New Roman" w:cs="Times New Roman"/>
        </w:rPr>
        <w:t>【条文说明】</w:t>
      </w:r>
    </w:p>
    <w:p>
      <w:pPr>
        <w:pStyle w:val="68"/>
        <w:rPr>
          <w:rFonts w:ascii="Times New Roman" w:hAnsi="Times New Roman" w:cs="Times New Roman"/>
        </w:rPr>
      </w:pPr>
      <w:r>
        <w:rPr>
          <w:rFonts w:hint="eastAsia" w:ascii="Times New Roman" w:hAnsi="Times New Roman" w:cs="Times New Roman"/>
        </w:rPr>
        <w:t>电梯、自动扶梯是铁路客站重要用能设备。电梯设置群控功能，可以最大限度地减少等候时间，减少电梯运行次数；电梯通过变频调速，实现平滑启停，并通过“负载-功率”精准匹配，实现变频节能；轿厢内一段时间无预置指令时，电梯自动转为节能方式主要是关闭部分轿厢照明；高速电梯可考虑采用能量再生电梯，回收制动电能，变废为宝。自动扶梯运行受站内客流影响很大，设置感应措施，根据载客情况，使其在载客、空载、低速、待机状态间循环运行，最大程度按需供能，实现节能运行。对于进出站台自动扶梯，在列车到发时间段内载客、空载和低速运行状态居多，主要受列车到发次数和进出站台客流影响；对于站内其余自动扶梯，各状态运行时间受站内客流影响较大。</w:t>
      </w:r>
    </w:p>
    <w:p>
      <w:pPr>
        <w:pStyle w:val="28"/>
        <w:numPr>
          <w:ilvl w:val="0"/>
          <w:numId w:val="1"/>
        </w:numPr>
        <w:spacing w:line="360" w:lineRule="auto"/>
        <w:ind w:left="0" w:firstLine="0"/>
        <w:outlineLvl w:val="2"/>
        <w:rPr>
          <w:kern w:val="2"/>
          <w:szCs w:val="24"/>
        </w:rPr>
      </w:pPr>
      <w:r>
        <w:rPr>
          <w:kern w:val="2"/>
          <w:szCs w:val="24"/>
        </w:rPr>
        <w:t>近零碳及零碳铁路客站应结合当地气候和自然资源条件合理利用可再生能源，可再生能源利用率达到10%以上。</w:t>
      </w:r>
    </w:p>
    <w:p>
      <w:pPr>
        <w:pStyle w:val="68"/>
        <w:rPr>
          <w:rFonts w:ascii="Times New Roman" w:hAnsi="Times New Roman" w:cs="Times New Roman"/>
        </w:rPr>
      </w:pPr>
      <w:r>
        <w:rPr>
          <w:rFonts w:ascii="Times New Roman" w:hAnsi="Times New Roman" w:cs="Times New Roman"/>
        </w:rPr>
        <w:t>【条文说明】</w:t>
      </w:r>
    </w:p>
    <w:p>
      <w:pPr>
        <w:pStyle w:val="68"/>
        <w:rPr>
          <w:rFonts w:ascii="Times New Roman" w:hAnsi="Times New Roman" w:cs="Times New Roman"/>
        </w:rPr>
      </w:pPr>
      <w:r>
        <w:rPr>
          <w:rFonts w:ascii="Times New Roman" w:hAnsi="Times New Roman" w:cs="Times New Roman"/>
        </w:rPr>
        <w:t>可再生能源利用率指的是供暖、通风、空调、照明、生活热水、电梯系统中可再生能源利用量占其能量需求量的比例。可再生能源利用率计算方法参考国家标准《近零能耗建筑技术标准》GB/T 51350-2019附录A。</w:t>
      </w:r>
    </w:p>
    <w:p>
      <w:pPr>
        <w:pStyle w:val="28"/>
        <w:numPr>
          <w:ilvl w:val="0"/>
          <w:numId w:val="1"/>
        </w:numPr>
        <w:spacing w:line="360" w:lineRule="auto"/>
        <w:ind w:left="0" w:firstLine="0"/>
        <w:outlineLvl w:val="2"/>
        <w:rPr>
          <w:kern w:val="2"/>
          <w:szCs w:val="24"/>
        </w:rPr>
      </w:pPr>
      <w:r>
        <w:rPr>
          <w:kern w:val="2"/>
          <w:szCs w:val="24"/>
        </w:rPr>
        <w:t>当</w:t>
      </w:r>
      <w:bookmarkStart w:id="107" w:name="OLE_LINK24"/>
      <w:r>
        <w:rPr>
          <w:kern w:val="2"/>
          <w:szCs w:val="24"/>
        </w:rPr>
        <w:t>铁路客站</w:t>
      </w:r>
      <w:bookmarkEnd w:id="107"/>
      <w:r>
        <w:rPr>
          <w:kern w:val="2"/>
          <w:szCs w:val="24"/>
        </w:rPr>
        <w:t>设置光伏发电系统时，光伏系统发电的铁路客站自消纳比例不应低于20%。</w:t>
      </w:r>
    </w:p>
    <w:p>
      <w:pPr>
        <w:spacing w:line="300" w:lineRule="auto"/>
        <w:ind w:firstLine="420"/>
        <w:rPr>
          <w:rFonts w:eastAsia="楷体"/>
          <w:kern w:val="2"/>
          <w:szCs w:val="24"/>
        </w:rPr>
      </w:pPr>
      <w:r>
        <w:rPr>
          <w:rFonts w:eastAsia="楷体"/>
          <w:kern w:val="2"/>
          <w:szCs w:val="24"/>
        </w:rPr>
        <w:t>【条文说明】</w:t>
      </w:r>
    </w:p>
    <w:p>
      <w:pPr>
        <w:spacing w:line="300" w:lineRule="auto"/>
        <w:ind w:firstLine="420"/>
        <w:rPr>
          <w:rFonts w:eastAsia="楷体"/>
          <w:kern w:val="2"/>
          <w:szCs w:val="24"/>
        </w:rPr>
      </w:pPr>
      <w:r>
        <w:rPr>
          <w:rFonts w:eastAsia="楷体"/>
          <w:kern w:val="2"/>
          <w:szCs w:val="24"/>
        </w:rPr>
        <w:t>鼓励在技术经济分析合理的前提下，采用可再生能源替代部分常规能源使用。零碳铁路客站的可再生能源发电比例较高，需要采取措施提升可再生能源的就地消纳比例，提升自给率与自耗率，减少对外部电网的冲击。对于离网光伏系统，铁路客站自消纳比例为100%，对于并网光伏系统，可按下式计算：</w:t>
      </w:r>
    </w:p>
    <w:p>
      <w:pPr>
        <w:pStyle w:val="6"/>
        <w:adjustRightInd w:val="0"/>
        <w:snapToGrid w:val="0"/>
        <w:ind w:right="84"/>
        <w:jc w:val="right"/>
        <w:rPr>
          <w:rFonts w:ascii="Cambria Math" w:hAnsi="Cambria Math"/>
          <w:iCs/>
          <w:color w:val="000000" w:themeColor="text1"/>
          <w:kern w:val="0"/>
          <w:szCs w:val="28"/>
          <w14:textFill>
            <w14:solidFill>
              <w14:schemeClr w14:val="tx1"/>
            </w14:solidFill>
          </w14:textFill>
        </w:rPr>
      </w:pPr>
      <m:oMath>
        <m:r>
          <m:rPr/>
          <w:rPr>
            <w:rFonts w:ascii="Cambria Math" w:hAnsi="Cambria Math"/>
            <w:color w:val="000000" w:themeColor="text1"/>
            <w:kern w:val="0"/>
            <w:sz w:val="24"/>
            <w:szCs w:val="28"/>
            <w14:textFill>
              <w14:solidFill>
                <w14:schemeClr w14:val="tx1"/>
              </w14:solidFill>
            </w14:textFill>
          </w:rPr>
          <m:t>y=</m:t>
        </m:r>
        <m:f>
          <m:fPr>
            <m:ctrlPr>
              <w:rPr>
                <w:rFonts w:ascii="Cambria Math" w:hAnsi="Cambria Math"/>
                <w:i/>
                <w:color w:val="000000" w:themeColor="text1"/>
                <w:kern w:val="0"/>
                <w:sz w:val="24"/>
                <w:szCs w:val="28"/>
                <w14:textFill>
                  <w14:solidFill>
                    <w14:schemeClr w14:val="tx1"/>
                  </w14:solidFill>
                </w14:textFill>
              </w:rPr>
            </m:ctrlPr>
          </m:fPr>
          <m:num>
            <m:sSub>
              <m:sSubPr>
                <m:ctrlPr>
                  <w:rPr>
                    <w:rFonts w:ascii="Cambria Math" w:hAnsi="Cambria Math"/>
                    <w:i/>
                    <w:color w:val="000000" w:themeColor="text1"/>
                    <w:kern w:val="0"/>
                    <w:sz w:val="24"/>
                    <w:szCs w:val="28"/>
                    <w14:textFill>
                      <w14:solidFill>
                        <w14:schemeClr w14:val="tx1"/>
                      </w14:solidFill>
                    </w14:textFill>
                  </w:rPr>
                </m:ctrlPr>
              </m:sSubPr>
              <m:e>
                <m:r>
                  <m:rPr/>
                  <w:rPr>
                    <w:rFonts w:ascii="Cambria Math" w:hAnsi="Cambria Math"/>
                    <w:color w:val="000000" w:themeColor="text1"/>
                    <w:kern w:val="0"/>
                    <w:sz w:val="24"/>
                    <w:szCs w:val="28"/>
                    <w14:textFill>
                      <w14:solidFill>
                        <w14:schemeClr w14:val="tx1"/>
                      </w14:solidFill>
                    </w14:textFill>
                  </w:rPr>
                  <m:t>E</m:t>
                </m:r>
                <m:ctrlPr>
                  <w:rPr>
                    <w:rFonts w:ascii="Cambria Math" w:hAnsi="Cambria Math"/>
                    <w:i/>
                    <w:color w:val="000000" w:themeColor="text1"/>
                    <w:kern w:val="0"/>
                    <w:sz w:val="24"/>
                    <w:szCs w:val="28"/>
                    <w14:textFill>
                      <w14:solidFill>
                        <w14:schemeClr w14:val="tx1"/>
                      </w14:solidFill>
                    </w14:textFill>
                  </w:rPr>
                </m:ctrlPr>
              </m:e>
              <m:sub>
                <m:r>
                  <m:rPr/>
                  <w:rPr>
                    <w:rFonts w:ascii="Cambria Math" w:hAnsi="Cambria Math"/>
                    <w:color w:val="000000" w:themeColor="text1"/>
                    <w:kern w:val="0"/>
                    <w:sz w:val="24"/>
                    <w:szCs w:val="28"/>
                    <w14:textFill>
                      <w14:solidFill>
                        <w14:schemeClr w14:val="tx1"/>
                      </w14:solidFill>
                    </w14:textFill>
                  </w:rPr>
                  <m:t>i</m:t>
                </m:r>
                <m:ctrlPr>
                  <w:rPr>
                    <w:rFonts w:ascii="Cambria Math" w:hAnsi="Cambria Math"/>
                    <w:i/>
                    <w:color w:val="000000" w:themeColor="text1"/>
                    <w:kern w:val="0"/>
                    <w:sz w:val="24"/>
                    <w:szCs w:val="28"/>
                    <w14:textFill>
                      <w14:solidFill>
                        <w14:schemeClr w14:val="tx1"/>
                      </w14:solidFill>
                    </w14:textFill>
                  </w:rPr>
                </m:ctrlPr>
              </m:sub>
            </m:sSub>
            <m:r>
              <m:rPr/>
              <w:rPr>
                <w:rFonts w:ascii="Cambria Math" w:hAnsi="Cambria Math"/>
                <w:color w:val="000000" w:themeColor="text1"/>
                <w:kern w:val="0"/>
                <w:sz w:val="24"/>
                <w:szCs w:val="28"/>
                <w14:textFill>
                  <w14:solidFill>
                    <w14:schemeClr w14:val="tx1"/>
                  </w14:solidFill>
                </w14:textFill>
              </w:rPr>
              <m:t>−</m:t>
            </m:r>
            <m:sSub>
              <m:sSubPr>
                <m:ctrlPr>
                  <w:rPr>
                    <w:rFonts w:ascii="Cambria Math" w:hAnsi="Cambria Math"/>
                    <w:i/>
                    <w:color w:val="000000" w:themeColor="text1"/>
                    <w:kern w:val="0"/>
                    <w:sz w:val="24"/>
                    <w:szCs w:val="28"/>
                    <w14:textFill>
                      <w14:solidFill>
                        <w14:schemeClr w14:val="tx1"/>
                      </w14:solidFill>
                    </w14:textFill>
                  </w:rPr>
                </m:ctrlPr>
              </m:sSubPr>
              <m:e>
                <m:r>
                  <m:rPr/>
                  <w:rPr>
                    <w:rFonts w:ascii="Cambria Math" w:hAnsi="Cambria Math"/>
                    <w:color w:val="000000" w:themeColor="text1"/>
                    <w:kern w:val="0"/>
                    <w:sz w:val="24"/>
                    <w:szCs w:val="28"/>
                    <w14:textFill>
                      <w14:solidFill>
                        <w14:schemeClr w14:val="tx1"/>
                      </w14:solidFill>
                    </w14:textFill>
                  </w:rPr>
                  <m:t>E</m:t>
                </m:r>
                <m:ctrlPr>
                  <w:rPr>
                    <w:rFonts w:ascii="Cambria Math" w:hAnsi="Cambria Math"/>
                    <w:i/>
                    <w:color w:val="000000" w:themeColor="text1"/>
                    <w:kern w:val="0"/>
                    <w:sz w:val="24"/>
                    <w:szCs w:val="28"/>
                    <w14:textFill>
                      <w14:solidFill>
                        <w14:schemeClr w14:val="tx1"/>
                      </w14:solidFill>
                    </w14:textFill>
                  </w:rPr>
                </m:ctrlPr>
              </m:e>
              <m:sub>
                <m:r>
                  <m:rPr/>
                  <w:rPr>
                    <w:rFonts w:ascii="Cambria Math" w:hAnsi="Cambria Math"/>
                    <w:color w:val="000000" w:themeColor="text1"/>
                    <w:kern w:val="0"/>
                    <w:sz w:val="24"/>
                    <w:szCs w:val="28"/>
                    <w14:textFill>
                      <w14:solidFill>
                        <w14:schemeClr w14:val="tx1"/>
                      </w14:solidFill>
                    </w14:textFill>
                  </w:rPr>
                  <m:t>b</m:t>
                </m:r>
                <m:ctrlPr>
                  <w:rPr>
                    <w:rFonts w:ascii="Cambria Math" w:hAnsi="Cambria Math"/>
                    <w:i/>
                    <w:color w:val="000000" w:themeColor="text1"/>
                    <w:kern w:val="0"/>
                    <w:sz w:val="24"/>
                    <w:szCs w:val="28"/>
                    <w14:textFill>
                      <w14:solidFill>
                        <w14:schemeClr w14:val="tx1"/>
                      </w14:solidFill>
                    </w14:textFill>
                  </w:rPr>
                </m:ctrlPr>
              </m:sub>
            </m:sSub>
            <m:ctrlPr>
              <w:rPr>
                <w:rFonts w:ascii="Cambria Math" w:hAnsi="Cambria Math"/>
                <w:i/>
                <w:color w:val="000000" w:themeColor="text1"/>
                <w:kern w:val="0"/>
                <w:sz w:val="24"/>
                <w:szCs w:val="28"/>
                <w14:textFill>
                  <w14:solidFill>
                    <w14:schemeClr w14:val="tx1"/>
                  </w14:solidFill>
                </w14:textFill>
              </w:rPr>
            </m:ctrlPr>
          </m:num>
          <m:den>
            <m:sSub>
              <m:sSubPr>
                <m:ctrlPr>
                  <w:rPr>
                    <w:rFonts w:ascii="Cambria Math" w:hAnsi="Cambria Math"/>
                    <w:i/>
                    <w:color w:val="000000" w:themeColor="text1"/>
                    <w:kern w:val="0"/>
                    <w:sz w:val="24"/>
                    <w:szCs w:val="28"/>
                    <w14:textFill>
                      <w14:solidFill>
                        <w14:schemeClr w14:val="tx1"/>
                      </w14:solidFill>
                    </w14:textFill>
                  </w:rPr>
                </m:ctrlPr>
              </m:sSubPr>
              <m:e>
                <m:r>
                  <m:rPr/>
                  <w:rPr>
                    <w:rFonts w:ascii="Cambria Math" w:hAnsi="Cambria Math"/>
                    <w:color w:val="000000" w:themeColor="text1"/>
                    <w:kern w:val="0"/>
                    <w:sz w:val="24"/>
                    <w:szCs w:val="28"/>
                    <w14:textFill>
                      <w14:solidFill>
                        <w14:schemeClr w14:val="tx1"/>
                      </w14:solidFill>
                    </w14:textFill>
                  </w:rPr>
                  <m:t>E</m:t>
                </m:r>
                <m:ctrlPr>
                  <w:rPr>
                    <w:rFonts w:ascii="Cambria Math" w:hAnsi="Cambria Math"/>
                    <w:i/>
                    <w:color w:val="000000" w:themeColor="text1"/>
                    <w:kern w:val="0"/>
                    <w:sz w:val="24"/>
                    <w:szCs w:val="28"/>
                    <w14:textFill>
                      <w14:solidFill>
                        <w14:schemeClr w14:val="tx1"/>
                      </w14:solidFill>
                    </w14:textFill>
                  </w:rPr>
                </m:ctrlPr>
              </m:e>
              <m:sub>
                <m:r>
                  <m:rPr/>
                  <w:rPr>
                    <w:rFonts w:ascii="Cambria Math" w:hAnsi="Cambria Math"/>
                    <w:color w:val="000000" w:themeColor="text1"/>
                    <w:kern w:val="0"/>
                    <w:sz w:val="24"/>
                    <w:szCs w:val="28"/>
                    <w14:textFill>
                      <w14:solidFill>
                        <w14:schemeClr w14:val="tx1"/>
                      </w14:solidFill>
                    </w14:textFill>
                  </w:rPr>
                  <m:t>i</m:t>
                </m:r>
                <m:ctrlPr>
                  <w:rPr>
                    <w:rFonts w:ascii="Cambria Math" w:hAnsi="Cambria Math"/>
                    <w:i/>
                    <w:color w:val="000000" w:themeColor="text1"/>
                    <w:kern w:val="0"/>
                    <w:sz w:val="24"/>
                    <w:szCs w:val="28"/>
                    <w14:textFill>
                      <w14:solidFill>
                        <w14:schemeClr w14:val="tx1"/>
                      </w14:solidFill>
                    </w14:textFill>
                  </w:rPr>
                </m:ctrlPr>
              </m:sub>
            </m:sSub>
            <m:ctrlPr>
              <w:rPr>
                <w:rFonts w:ascii="Cambria Math" w:hAnsi="Cambria Math"/>
                <w:i/>
                <w:color w:val="000000" w:themeColor="text1"/>
                <w:kern w:val="0"/>
                <w:sz w:val="24"/>
                <w:szCs w:val="28"/>
                <w14:textFill>
                  <w14:solidFill>
                    <w14:schemeClr w14:val="tx1"/>
                  </w14:solidFill>
                </w14:textFill>
              </w:rPr>
            </m:ctrlPr>
          </m:den>
        </m:f>
        <m:r>
          <m:rPr/>
          <w:rPr>
            <w:rFonts w:ascii="Cambria Math" w:hAnsi="Cambria Math"/>
            <w:color w:val="000000" w:themeColor="text1"/>
            <w:kern w:val="0"/>
            <w:sz w:val="24"/>
            <w:szCs w:val="28"/>
            <w14:textFill>
              <w14:solidFill>
                <w14:schemeClr w14:val="tx1"/>
              </w14:solidFill>
            </w14:textFill>
          </w:rPr>
          <m:t>×100%</m:t>
        </m:r>
      </m:oMath>
      <w:r>
        <w:rPr>
          <w:rFonts w:hint="eastAsia"/>
          <w:color w:val="000000" w:themeColor="text1"/>
          <w:kern w:val="0"/>
          <w:sz w:val="24"/>
          <w:szCs w:val="28"/>
          <w14:textFill>
            <w14:solidFill>
              <w14:schemeClr w14:val="tx1"/>
            </w14:solidFill>
          </w14:textFill>
        </w:rPr>
        <w:t xml:space="preserve">                                        </w:t>
      </w:r>
      <w:r>
        <w:rPr>
          <w:rFonts w:hint="eastAsia"/>
          <w:color w:val="000000" w:themeColor="text1"/>
          <w:kern w:val="0"/>
          <w:szCs w:val="22"/>
          <w14:textFill>
            <w14:solidFill>
              <w14:schemeClr w14:val="tx1"/>
            </w14:solidFill>
          </w14:textFill>
        </w:rPr>
        <w:t>（</w:t>
      </w:r>
      <w:r>
        <w:rPr>
          <w:color w:val="000000" w:themeColor="text1"/>
          <w:kern w:val="0"/>
          <w:szCs w:val="22"/>
          <w14:textFill>
            <w14:solidFill>
              <w14:schemeClr w14:val="tx1"/>
            </w14:solidFill>
          </w14:textFill>
        </w:rPr>
        <w:t>5.1.11</w:t>
      </w:r>
      <w:r>
        <w:rPr>
          <w:rFonts w:hint="eastAsia"/>
          <w:color w:val="000000" w:themeColor="text1"/>
          <w:kern w:val="0"/>
          <w:szCs w:val="22"/>
          <w14:textFill>
            <w14:solidFill>
              <w14:schemeClr w14:val="tx1"/>
            </w14:solidFill>
          </w14:textFill>
        </w:rPr>
        <w:t>）</w:t>
      </w:r>
    </w:p>
    <w:p>
      <w:pPr>
        <w:spacing w:line="300" w:lineRule="auto"/>
        <w:ind w:firstLine="420"/>
        <w:rPr>
          <w:rFonts w:eastAsia="楷体"/>
          <w:kern w:val="2"/>
          <w:szCs w:val="24"/>
        </w:rPr>
      </w:pPr>
      <w:r>
        <w:rPr>
          <w:rFonts w:eastAsia="楷体"/>
          <w:kern w:val="2"/>
          <w:szCs w:val="24"/>
        </w:rPr>
        <w:t>式中：</w:t>
      </w:r>
      <w:r>
        <w:rPr>
          <w:rFonts w:eastAsia="楷体"/>
          <w:i/>
          <w:kern w:val="2"/>
          <w:szCs w:val="24"/>
        </w:rPr>
        <w:t>y</w:t>
      </w:r>
      <w:r>
        <w:rPr>
          <w:rFonts w:eastAsia="楷体"/>
          <w:kern w:val="2"/>
          <w:szCs w:val="24"/>
        </w:rPr>
        <w:t>——光伏发电的铁路客站自消纳比例（%）；</w:t>
      </w:r>
    </w:p>
    <w:p>
      <w:pPr>
        <w:spacing w:line="300" w:lineRule="auto"/>
        <w:ind w:firstLine="420"/>
        <w:rPr>
          <w:rFonts w:eastAsia="楷体"/>
          <w:kern w:val="2"/>
          <w:szCs w:val="24"/>
        </w:rPr>
      </w:pPr>
      <w:r>
        <w:rPr>
          <w:rFonts w:eastAsia="楷体"/>
          <w:kern w:val="2"/>
          <w:szCs w:val="24"/>
        </w:rPr>
        <w:t xml:space="preserve">           </w:t>
      </w:r>
      <w:r>
        <w:rPr>
          <w:rFonts w:eastAsia="楷体"/>
          <w:i/>
          <w:kern w:val="2"/>
          <w:szCs w:val="24"/>
        </w:rPr>
        <w:t>E</w:t>
      </w:r>
      <w:r>
        <w:rPr>
          <w:rFonts w:eastAsia="楷体"/>
          <w:i/>
          <w:kern w:val="2"/>
          <w:szCs w:val="24"/>
          <w:vertAlign w:val="subscript"/>
        </w:rPr>
        <w:t>i</w:t>
      </w:r>
      <w:r>
        <w:rPr>
          <w:rFonts w:eastAsia="楷体"/>
          <w:kern w:val="2"/>
          <w:szCs w:val="24"/>
        </w:rPr>
        <w:t>——铁路客站光伏系统的发电量（kWh）；</w:t>
      </w:r>
    </w:p>
    <w:p>
      <w:pPr>
        <w:spacing w:line="300" w:lineRule="auto"/>
        <w:ind w:firstLine="420"/>
      </w:pPr>
      <w:r>
        <w:rPr>
          <w:rFonts w:eastAsia="楷体"/>
          <w:kern w:val="2"/>
          <w:szCs w:val="24"/>
        </w:rPr>
        <w:t xml:space="preserve">           </w:t>
      </w:r>
      <w:r>
        <w:rPr>
          <w:rFonts w:eastAsia="楷体"/>
          <w:i/>
          <w:kern w:val="2"/>
          <w:szCs w:val="24"/>
        </w:rPr>
        <w:t>E</w:t>
      </w:r>
      <w:r>
        <w:rPr>
          <w:rFonts w:eastAsia="楷体"/>
          <w:kern w:val="2"/>
          <w:szCs w:val="24"/>
          <w:vertAlign w:val="subscript"/>
        </w:rPr>
        <w:t>b</w:t>
      </w:r>
      <w:r>
        <w:rPr>
          <w:rFonts w:eastAsia="楷体"/>
          <w:kern w:val="2"/>
          <w:szCs w:val="24"/>
        </w:rPr>
        <w:t>——由铁路客站向上级电网并入的光伏系统发电量（kWh）。</w:t>
      </w:r>
    </w:p>
    <w:p>
      <w:pPr>
        <w:pStyle w:val="8"/>
        <w:rPr>
          <w:b/>
          <w:bCs/>
        </w:rPr>
      </w:pPr>
    </w:p>
    <w:p>
      <w:pPr>
        <w:pStyle w:val="28"/>
        <w:ind w:left="357"/>
        <w:jc w:val="center"/>
        <w:outlineLvl w:val="1"/>
        <w:rPr>
          <w:rFonts w:eastAsia="黑体"/>
          <w:b/>
          <w:bCs/>
          <w:sz w:val="28"/>
          <w:szCs w:val="28"/>
        </w:rPr>
      </w:pPr>
      <w:bookmarkStart w:id="108" w:name="_Toc153218014"/>
      <w:bookmarkStart w:id="109" w:name="_Toc153217964"/>
      <w:bookmarkStart w:id="110" w:name="_Toc215047934"/>
      <w:r>
        <w:rPr>
          <w:rFonts w:eastAsia="黑体"/>
          <w:b/>
          <w:bCs/>
          <w:sz w:val="28"/>
          <w:szCs w:val="28"/>
        </w:rPr>
        <w:t>5.2</w:t>
      </w:r>
      <w:bookmarkEnd w:id="108"/>
      <w:bookmarkEnd w:id="109"/>
      <w:r>
        <w:rPr>
          <w:rFonts w:eastAsia="黑体"/>
          <w:b/>
          <w:bCs/>
          <w:sz w:val="28"/>
          <w:szCs w:val="28"/>
        </w:rPr>
        <w:t>既有铁路客站降碳改造</w:t>
      </w:r>
      <w:bookmarkEnd w:id="110"/>
    </w:p>
    <w:p>
      <w:pPr>
        <w:pStyle w:val="28"/>
        <w:numPr>
          <w:ilvl w:val="0"/>
          <w:numId w:val="2"/>
        </w:numPr>
        <w:spacing w:line="360" w:lineRule="auto"/>
        <w:ind w:left="0" w:firstLine="0"/>
        <w:outlineLvl w:val="2"/>
        <w:rPr>
          <w:kern w:val="2"/>
          <w:szCs w:val="24"/>
        </w:rPr>
      </w:pPr>
      <w:r>
        <w:rPr>
          <w:kern w:val="2"/>
          <w:szCs w:val="24"/>
        </w:rPr>
        <w:t>既有</w:t>
      </w:r>
      <w:r>
        <w:rPr>
          <w:rFonts w:hint="eastAsia"/>
          <w:kern w:val="2"/>
        </w:rPr>
        <w:t>铁路客站</w:t>
      </w:r>
      <w:r>
        <w:rPr>
          <w:kern w:val="2"/>
          <w:szCs w:val="24"/>
        </w:rPr>
        <w:t>应</w:t>
      </w:r>
      <w:r>
        <w:rPr>
          <w:rFonts w:hint="eastAsia"/>
          <w:kern w:val="2"/>
          <w:szCs w:val="24"/>
        </w:rPr>
        <w:t>开展</w:t>
      </w:r>
      <w:r>
        <w:rPr>
          <w:kern w:val="2"/>
          <w:szCs w:val="24"/>
        </w:rPr>
        <w:t>降碳性能诊断和降碳潜力评估</w:t>
      </w:r>
      <w:r>
        <w:rPr>
          <w:rFonts w:hint="eastAsia"/>
          <w:kern w:val="2"/>
          <w:szCs w:val="24"/>
        </w:rPr>
        <w:t>，并根据诊断和评估</w:t>
      </w:r>
      <w:r>
        <w:rPr>
          <w:kern w:val="2"/>
          <w:szCs w:val="24"/>
        </w:rPr>
        <w:t>结果，从技术可行性、经济实用性等方面进行综合分析，制定合理可行、有针对性的改造设计方案，</w:t>
      </w:r>
      <w:r>
        <w:rPr>
          <w:rFonts w:hint="eastAsia"/>
        </w:rPr>
        <w:t>铁路客站</w:t>
      </w:r>
      <w:r>
        <w:rPr>
          <w:kern w:val="2"/>
          <w:szCs w:val="24"/>
        </w:rPr>
        <w:t>本体能效不应低于基准铁路客站能效水平。</w:t>
      </w:r>
    </w:p>
    <w:p>
      <w:pPr>
        <w:pStyle w:val="68"/>
        <w:rPr>
          <w:rFonts w:ascii="Times New Roman" w:hAnsi="Times New Roman" w:cs="Times New Roman"/>
        </w:rPr>
      </w:pPr>
      <w:r>
        <w:rPr>
          <w:rFonts w:ascii="Times New Roman" w:hAnsi="Times New Roman" w:cs="Times New Roman"/>
        </w:rPr>
        <w:t>【条文说明】</w:t>
      </w:r>
    </w:p>
    <w:p>
      <w:pPr>
        <w:pStyle w:val="68"/>
        <w:rPr>
          <w:rFonts w:ascii="Times New Roman" w:hAnsi="Times New Roman" w:cs="Times New Roman"/>
        </w:rPr>
      </w:pPr>
      <w:r>
        <w:rPr>
          <w:rFonts w:ascii="Times New Roman" w:hAnsi="Times New Roman" w:cs="Times New Roman"/>
        </w:rPr>
        <w:t>通过降碳性能诊断，能够对外围护结构现状及热工性能、暖通空调系统、生活热水系统、供配电与照明系统、室内环境品质、能耗和碳排放现状等进行全面的了解，以此确定既有铁路客站降碳改造的可行性，为改造目标、改造设计、技术措施等提供主要依据。</w:t>
      </w:r>
    </w:p>
    <w:p>
      <w:pPr>
        <w:pStyle w:val="68"/>
        <w:rPr>
          <w:rFonts w:ascii="Times New Roman" w:hAnsi="Times New Roman" w:cs="Times New Roman"/>
        </w:rPr>
      </w:pPr>
      <w:r>
        <w:rPr>
          <w:rFonts w:ascii="Times New Roman" w:hAnsi="Times New Roman" w:cs="Times New Roman"/>
        </w:rPr>
        <w:t>既有铁路客站改造受到的制约因素较多、潜力受限，考虑到国家标准《建筑节能与可再生能源利用通用规范》GB 55015-2021已处于较高节能水平，因此不对既有铁路客站改造工程的本体节能率进行约束，通过改造后的铁路客站终端能耗不高于基准铁路客站即可。</w:t>
      </w:r>
    </w:p>
    <w:p>
      <w:pPr>
        <w:pStyle w:val="28"/>
        <w:numPr>
          <w:ilvl w:val="0"/>
          <w:numId w:val="2"/>
        </w:numPr>
        <w:spacing w:line="360" w:lineRule="auto"/>
        <w:ind w:left="0" w:firstLine="0"/>
        <w:outlineLvl w:val="2"/>
        <w:rPr>
          <w:kern w:val="2"/>
          <w:szCs w:val="24"/>
        </w:rPr>
      </w:pPr>
      <w:r>
        <w:rPr>
          <w:kern w:val="2"/>
          <w:szCs w:val="24"/>
        </w:rPr>
        <w:t>铁路客站冷热源系统的设备改造应结合经济指标，综合确定设备系统改造方案，且符合下列规定：</w:t>
      </w:r>
    </w:p>
    <w:p>
      <w:pPr>
        <w:spacing w:line="360" w:lineRule="auto"/>
        <w:ind w:firstLine="482" w:firstLineChars="200"/>
        <w:rPr>
          <w:szCs w:val="24"/>
        </w:rPr>
      </w:pPr>
      <w:r>
        <w:rPr>
          <w:b/>
          <w:bCs/>
          <w:szCs w:val="24"/>
        </w:rPr>
        <w:t xml:space="preserve">1 </w:t>
      </w:r>
      <w:r>
        <w:t>铁路客站</w:t>
      </w:r>
      <w:r>
        <w:rPr>
          <w:rFonts w:hint="eastAsia"/>
        </w:rPr>
        <w:t>在具备条件时，</w:t>
      </w:r>
      <w:r>
        <w:rPr>
          <w:szCs w:val="24"/>
        </w:rPr>
        <w:t>供暖热源</w:t>
      </w:r>
      <w:r>
        <w:rPr>
          <w:rFonts w:hint="eastAsia"/>
          <w:szCs w:val="24"/>
        </w:rPr>
        <w:t>应</w:t>
      </w:r>
      <w:r>
        <w:rPr>
          <w:szCs w:val="24"/>
        </w:rPr>
        <w:t>优先采用太阳能、空气能、地热、生物质等非化石能源供暖</w:t>
      </w:r>
      <w:r>
        <w:rPr>
          <w:kern w:val="2"/>
          <w:szCs w:val="24"/>
        </w:rPr>
        <w:t>，以及余热、废热资源</w:t>
      </w:r>
      <w:r>
        <w:rPr>
          <w:szCs w:val="24"/>
        </w:rPr>
        <w:t xml:space="preserve">； </w:t>
      </w:r>
    </w:p>
    <w:p>
      <w:pPr>
        <w:spacing w:line="360" w:lineRule="auto"/>
        <w:ind w:firstLine="482" w:firstLineChars="200"/>
        <w:rPr>
          <w:szCs w:val="24"/>
        </w:rPr>
      </w:pPr>
      <w:r>
        <w:rPr>
          <w:b/>
          <w:bCs/>
          <w:szCs w:val="24"/>
        </w:rPr>
        <w:t xml:space="preserve">2 </w:t>
      </w:r>
      <w:r>
        <w:rPr>
          <w:szCs w:val="24"/>
        </w:rPr>
        <w:t>当空调系统冷水机组、多联机及分散式空调设备低于能效水平 2 级的要 求时，应进行设备改造升级使其</w:t>
      </w:r>
      <w:r>
        <w:rPr>
          <w:spacing w:val="-4"/>
        </w:rPr>
        <w:t xml:space="preserve">满足能效水平 </w:t>
      </w:r>
      <w:r>
        <w:rPr>
          <w:rFonts w:eastAsia="Times New Roman"/>
        </w:rPr>
        <w:t>2</w:t>
      </w:r>
      <w:r>
        <w:t>级</w:t>
      </w:r>
      <w:r>
        <w:rPr>
          <w:spacing w:val="-4"/>
        </w:rPr>
        <w:t>的要求</w:t>
      </w:r>
      <w:r>
        <w:rPr>
          <w:szCs w:val="24"/>
        </w:rPr>
        <w:t>。</w:t>
      </w:r>
    </w:p>
    <w:p>
      <w:pPr>
        <w:spacing w:line="300" w:lineRule="auto"/>
        <w:ind w:firstLine="480" w:firstLineChars="200"/>
        <w:rPr>
          <w:rFonts w:eastAsia="楷体"/>
          <w:kern w:val="2"/>
          <w:szCs w:val="22"/>
        </w:rPr>
      </w:pPr>
      <w:r>
        <w:rPr>
          <w:rFonts w:eastAsia="楷体"/>
          <w:kern w:val="2"/>
          <w:szCs w:val="22"/>
        </w:rPr>
        <w:t>【条文说明】</w:t>
      </w:r>
    </w:p>
    <w:p>
      <w:pPr>
        <w:spacing w:line="300" w:lineRule="auto"/>
        <w:ind w:firstLine="480" w:firstLineChars="200"/>
        <w:rPr>
          <w:rFonts w:eastAsia="楷体"/>
          <w:kern w:val="2"/>
          <w:szCs w:val="22"/>
        </w:rPr>
      </w:pPr>
      <w:r>
        <w:rPr>
          <w:rFonts w:eastAsia="楷体"/>
          <w:kern w:val="2"/>
          <w:szCs w:val="22"/>
        </w:rPr>
        <w:t>对于既有铁路客站改造项目，对非化石能源及余热、废热等利用，要求与新建项目相同，均为优先采用，但资源禀赋条件需结合具体项目综合判定。对于既有铁路客站原采用的低效冷热源机组，随着空调技术进步，市面上冷热源机组能效得到很大提升，改造时应采用最新技术能效产品，其中达到能效水平 2级，是对节能产品最低要求。</w:t>
      </w:r>
    </w:p>
    <w:p>
      <w:pPr>
        <w:spacing w:line="300" w:lineRule="auto"/>
        <w:ind w:firstLine="480" w:firstLineChars="200"/>
        <w:rPr>
          <w:b/>
          <w:bCs/>
          <w:szCs w:val="24"/>
        </w:rPr>
      </w:pPr>
      <w:r>
        <w:rPr>
          <w:rFonts w:eastAsia="楷体"/>
          <w:kern w:val="2"/>
          <w:szCs w:val="22"/>
        </w:rPr>
        <w:t>对于既有建筑，其本体节能水平偏低，供暖空调能耗具备较大优化空间，而冷热源机组设备改造升级的可操作性强，改造效果明显，因此对冷热源设备改造能效进行规定。</w:t>
      </w:r>
    </w:p>
    <w:p>
      <w:pPr>
        <w:pStyle w:val="28"/>
        <w:numPr>
          <w:ilvl w:val="0"/>
          <w:numId w:val="2"/>
        </w:numPr>
        <w:tabs>
          <w:tab w:val="left" w:pos="992"/>
        </w:tabs>
        <w:spacing w:line="360" w:lineRule="auto"/>
        <w:ind w:left="0" w:firstLine="0"/>
        <w:outlineLvl w:val="2"/>
        <w:rPr>
          <w:kern w:val="2"/>
          <w:szCs w:val="24"/>
        </w:rPr>
      </w:pPr>
      <w:r>
        <w:rPr>
          <w:kern w:val="2"/>
          <w:szCs w:val="24"/>
        </w:rPr>
        <w:t>当进行生活热水系统升级改造时，更换后的设备能效水平不应低于能效等级2级的要求。</w:t>
      </w:r>
    </w:p>
    <w:p>
      <w:pPr>
        <w:spacing w:line="300" w:lineRule="auto"/>
        <w:ind w:firstLine="480" w:firstLineChars="200"/>
        <w:rPr>
          <w:rFonts w:eastAsia="楷体"/>
          <w:kern w:val="2"/>
          <w:szCs w:val="22"/>
        </w:rPr>
      </w:pPr>
      <w:r>
        <w:rPr>
          <w:rFonts w:eastAsia="楷体"/>
          <w:kern w:val="2"/>
          <w:szCs w:val="22"/>
        </w:rPr>
        <w:t>【条文说明】</w:t>
      </w:r>
    </w:p>
    <w:p>
      <w:pPr>
        <w:spacing w:line="300" w:lineRule="auto"/>
        <w:ind w:firstLine="480" w:firstLineChars="200"/>
        <w:rPr>
          <w:rFonts w:eastAsia="楷体"/>
          <w:kern w:val="2"/>
          <w:szCs w:val="22"/>
        </w:rPr>
      </w:pPr>
      <w:r>
        <w:rPr>
          <w:rFonts w:eastAsia="楷体"/>
          <w:kern w:val="2"/>
          <w:szCs w:val="22"/>
        </w:rPr>
        <w:t>既有铁路客站生活热水系统的改造，应在评估现有系统性能、设备使用寿命及管道布局可行性的基础上，优先采用可再生能源技术或高效设备。改造过程中，应充分考虑既有建筑的结构条件、空间限制及运营需求，合理选择改造技术路线。对于因条件限制无法利用可再生能源的项目，应选用能效等级不低于2级的高效设备，以显著降低系统运行能耗。改造方案应注重经济性与技术可行性的统一，并尽量减少对建筑正常运营的干扰。</w:t>
      </w:r>
    </w:p>
    <w:p>
      <w:pPr>
        <w:pStyle w:val="28"/>
        <w:numPr>
          <w:ilvl w:val="0"/>
          <w:numId w:val="2"/>
        </w:numPr>
        <w:tabs>
          <w:tab w:val="left" w:pos="992"/>
        </w:tabs>
        <w:spacing w:line="360" w:lineRule="auto"/>
        <w:ind w:left="0" w:firstLine="0"/>
        <w:outlineLvl w:val="2"/>
        <w:rPr>
          <w:kern w:val="2"/>
          <w:szCs w:val="24"/>
        </w:rPr>
      </w:pPr>
      <w:r>
        <w:rPr>
          <w:kern w:val="2"/>
          <w:szCs w:val="24"/>
        </w:rPr>
        <w:t>当进行饮用水系统升级改造时，更换后的设备能效水平不应低于能效等级2级的要求。</w:t>
      </w:r>
    </w:p>
    <w:p>
      <w:pPr>
        <w:spacing w:line="300" w:lineRule="auto"/>
        <w:ind w:firstLine="480" w:firstLineChars="200"/>
        <w:rPr>
          <w:rFonts w:eastAsia="楷体"/>
          <w:kern w:val="2"/>
          <w:szCs w:val="22"/>
        </w:rPr>
      </w:pPr>
      <w:r>
        <w:rPr>
          <w:rFonts w:eastAsia="楷体"/>
          <w:kern w:val="2"/>
          <w:szCs w:val="22"/>
        </w:rPr>
        <w:t>【条文说明】</w:t>
      </w:r>
    </w:p>
    <w:p>
      <w:pPr>
        <w:spacing w:line="300" w:lineRule="auto"/>
        <w:ind w:firstLine="480" w:firstLineChars="200"/>
        <w:rPr>
          <w:rFonts w:eastAsia="楷体"/>
          <w:kern w:val="2"/>
          <w:szCs w:val="22"/>
        </w:rPr>
      </w:pPr>
      <w:r>
        <w:rPr>
          <w:rFonts w:eastAsia="楷体"/>
          <w:kern w:val="2"/>
          <w:szCs w:val="22"/>
        </w:rPr>
        <w:t>既有铁路客站饮用水系统的改造，重点在于通过更换老旧、低效的饮用水设备，实现节能降耗。与新建项目不同，改造需结合现有供水管网、设备安装位置和电气条件等约束进行设计，选择适配的高效产品。更换后的饮水机等设备，其能效等级判定应以现行国家标准《饮水机能效限定值及能效等级》GB 30978为依据。此举旨在通过设备更新迭代，在不大幅改变既有系统架构的前提下，直接提升系统能效水平，降低运行成本，是实现既有建筑节能改造的有效措施。改造时应选择安装便捷、维护简单的设备，以缩短工期，减少对建筑使用的影响。</w:t>
      </w:r>
    </w:p>
    <w:p>
      <w:pPr>
        <w:pStyle w:val="28"/>
        <w:numPr>
          <w:ilvl w:val="0"/>
          <w:numId w:val="2"/>
        </w:numPr>
        <w:spacing w:line="360" w:lineRule="auto"/>
        <w:ind w:left="0" w:firstLine="0"/>
        <w:outlineLvl w:val="2"/>
        <w:rPr>
          <w:kern w:val="2"/>
          <w:szCs w:val="24"/>
        </w:rPr>
      </w:pPr>
      <w:r>
        <w:rPr>
          <w:kern w:val="2"/>
          <w:szCs w:val="24"/>
        </w:rPr>
        <w:t xml:space="preserve">当进行机电系统升级改造时，更换后的电力变压器、电动机、交流接触器、水泵、风机等设备的能效水平不应低于能效水平2级的要求。 </w:t>
      </w:r>
    </w:p>
    <w:p>
      <w:pPr>
        <w:pStyle w:val="68"/>
        <w:rPr>
          <w:rFonts w:ascii="Times New Roman" w:hAnsi="Times New Roman" w:cs="Times New Roman"/>
        </w:rPr>
      </w:pPr>
      <w:r>
        <w:rPr>
          <w:rFonts w:ascii="Times New Roman" w:hAnsi="Times New Roman" w:cs="Times New Roman"/>
        </w:rPr>
        <w:t>【条文说明】</w:t>
      </w:r>
    </w:p>
    <w:p>
      <w:pPr>
        <w:pStyle w:val="68"/>
        <w:rPr>
          <w:rFonts w:ascii="Times New Roman" w:hAnsi="Times New Roman" w:cs="Times New Roman"/>
        </w:rPr>
      </w:pPr>
      <w:r>
        <w:rPr>
          <w:rFonts w:ascii="Times New Roman" w:hAnsi="Times New Roman" w:cs="Times New Roman"/>
        </w:rPr>
        <w:t>既有客站改造时，更换的电力变压器、电动机等设备能效不得低于2级，确保改造后设备能效不低于新建低碳客站标准。依据现行国家标准《三相配电变压器能效限定值及能效等级》GB 20052，能效2级为节能产品准入的最低要求（市场准入门槛）。</w:t>
      </w:r>
    </w:p>
    <w:p>
      <w:pPr>
        <w:pStyle w:val="28"/>
        <w:numPr>
          <w:ilvl w:val="0"/>
          <w:numId w:val="2"/>
        </w:numPr>
        <w:spacing w:line="360" w:lineRule="auto"/>
        <w:ind w:left="0" w:firstLine="0"/>
        <w:outlineLvl w:val="2"/>
        <w:rPr>
          <w:kern w:val="2"/>
          <w:szCs w:val="24"/>
        </w:rPr>
      </w:pPr>
      <w:r>
        <w:rPr>
          <w:kern w:val="2"/>
          <w:szCs w:val="24"/>
        </w:rPr>
        <w:t>当进行照明系统升级改造时，改造部分应采用节能型设备及控制措施，并应符合下列规定：</w:t>
      </w:r>
    </w:p>
    <w:p>
      <w:pPr>
        <w:spacing w:line="360" w:lineRule="auto"/>
        <w:ind w:firstLine="482" w:firstLineChars="200"/>
        <w:rPr>
          <w:b/>
          <w:bCs/>
          <w:szCs w:val="24"/>
        </w:rPr>
      </w:pPr>
      <w:r>
        <w:rPr>
          <w:b/>
          <w:bCs/>
          <w:szCs w:val="24"/>
        </w:rPr>
        <w:t>1</w:t>
      </w:r>
      <w:r>
        <w:rPr>
          <w:szCs w:val="24"/>
        </w:rPr>
        <w:t xml:space="preserve"> 低碳铁路客站照明产品应满足国家现行有关标准的能效等级2级要求，近零碳及零碳铁路客站应满足1级要求；</w:t>
      </w:r>
    </w:p>
    <w:p>
      <w:pPr>
        <w:spacing w:line="360" w:lineRule="auto"/>
        <w:ind w:firstLine="482" w:firstLineChars="200"/>
        <w:rPr>
          <w:szCs w:val="24"/>
        </w:rPr>
      </w:pPr>
      <w:r>
        <w:rPr>
          <w:b/>
        </w:rPr>
        <w:t>2</w:t>
      </w:r>
      <w:r>
        <w:rPr>
          <w:bCs/>
        </w:rPr>
        <w:t>主要功能房间应选择LED照明产品，且主要功能房间的照明功率密度值达到现行国家标准《建筑照明设计标准》GB/T 50034 规定的目标值</w:t>
      </w:r>
      <w:r>
        <w:rPr>
          <w:szCs w:val="24"/>
        </w:rPr>
        <w:t>；</w:t>
      </w:r>
    </w:p>
    <w:p>
      <w:pPr>
        <w:spacing w:line="360" w:lineRule="auto"/>
        <w:ind w:firstLine="482" w:firstLineChars="200"/>
        <w:rPr>
          <w:szCs w:val="24"/>
        </w:rPr>
      </w:pPr>
      <w:r>
        <w:rPr>
          <w:b/>
          <w:bCs/>
          <w:szCs w:val="24"/>
        </w:rPr>
        <w:t>3</w:t>
      </w:r>
      <w:r>
        <w:rPr>
          <w:szCs w:val="24"/>
        </w:rPr>
        <w:t>采用智能照明控制，根据车站形式选择根据自然光、列车到发、客流密度等参数自动调节的照明控制方式。</w:t>
      </w:r>
    </w:p>
    <w:p>
      <w:pPr>
        <w:pStyle w:val="68"/>
        <w:rPr>
          <w:rFonts w:ascii="Times New Roman" w:hAnsi="Times New Roman" w:cs="Times New Roman"/>
        </w:rPr>
      </w:pPr>
      <w:r>
        <w:rPr>
          <w:rFonts w:ascii="Times New Roman" w:hAnsi="Times New Roman" w:cs="Times New Roman"/>
        </w:rPr>
        <w:t>【条文说明】</w:t>
      </w:r>
    </w:p>
    <w:p>
      <w:pPr>
        <w:pStyle w:val="68"/>
        <w:rPr>
          <w:rFonts w:ascii="Times New Roman" w:hAnsi="Times New Roman" w:cs="Times New Roman"/>
        </w:rPr>
      </w:pPr>
      <w:r>
        <w:rPr>
          <w:rFonts w:ascii="Times New Roman" w:hAnsi="Times New Roman" w:cs="Times New Roman"/>
        </w:rPr>
        <w:t>1 能效等级：照明产品能效要求与设备能效分级一致，依据现行国家标准《室内照明用LED产品能效限定值及能效等级》GB 30255，1级为最优能效。</w:t>
      </w:r>
    </w:p>
    <w:p>
      <w:pPr>
        <w:pStyle w:val="68"/>
        <w:rPr>
          <w:rFonts w:ascii="Times New Roman" w:hAnsi="Times New Roman" w:cs="Times New Roman"/>
        </w:rPr>
      </w:pPr>
      <w:r>
        <w:rPr>
          <w:rFonts w:ascii="Times New Roman" w:hAnsi="Times New Roman" w:cs="Times New Roman"/>
        </w:rPr>
        <w:t>2 LED照明与功率密度：主要功能房间采用LED光源，照明功率密度（LPD）需达到现行国家标准《建筑照明设计标准》GB/T 50034规定的目标值，确保照明系统能效优化。</w:t>
      </w:r>
    </w:p>
    <w:p>
      <w:pPr>
        <w:pStyle w:val="68"/>
        <w:rPr>
          <w:rFonts w:ascii="Times New Roman" w:hAnsi="Times New Roman" w:cs="Times New Roman"/>
        </w:rPr>
      </w:pPr>
      <w:r>
        <w:rPr>
          <w:rFonts w:ascii="Times New Roman" w:hAnsi="Times New Roman" w:cs="Times New Roman"/>
        </w:rPr>
        <w:t>3 智能控制：要求通过自然光感应、列车时刻表联动、客流监测等参数自动调节照明，减少无效能耗。</w:t>
      </w:r>
    </w:p>
    <w:p>
      <w:pPr>
        <w:pStyle w:val="28"/>
        <w:numPr>
          <w:ilvl w:val="0"/>
          <w:numId w:val="2"/>
        </w:numPr>
        <w:spacing w:line="360" w:lineRule="auto"/>
        <w:ind w:left="0" w:firstLine="0"/>
        <w:outlineLvl w:val="2"/>
        <w:rPr>
          <w:kern w:val="2"/>
          <w:szCs w:val="24"/>
        </w:rPr>
      </w:pPr>
      <w:r>
        <w:rPr>
          <w:kern w:val="2"/>
          <w:szCs w:val="24"/>
        </w:rPr>
        <w:t>当进行电梯系统升级改造时，更换后的电梯、自动扶梯的能效等级不</w:t>
      </w:r>
      <w:r>
        <w:rPr>
          <w:rFonts w:hint="eastAsia"/>
          <w:kern w:val="2"/>
          <w:szCs w:val="24"/>
        </w:rPr>
        <w:t>应</w:t>
      </w:r>
      <w:r>
        <w:rPr>
          <w:kern w:val="2"/>
          <w:szCs w:val="24"/>
        </w:rPr>
        <w:t xml:space="preserve">低于现行国家标准《电梯、自动扶梯和自动人行道的能量性能第2部分电梯的能量计算与分级》GB/T 30559.2和《电梯自动扶梯和自动人行道的能量性能 第3部分自动扶梯和自动人行道的能量计算与分级》GB/T 30559.3的B级能效要求，电梯电机不应低于现行国家标准《永磁同步电动机能效限定值及能效等级》GB 30253的2级能效要求。 </w:t>
      </w:r>
    </w:p>
    <w:p>
      <w:pPr>
        <w:pStyle w:val="68"/>
        <w:rPr>
          <w:rFonts w:ascii="Times New Roman" w:hAnsi="Times New Roman" w:cs="Times New Roman"/>
        </w:rPr>
      </w:pPr>
      <w:r>
        <w:rPr>
          <w:rFonts w:ascii="Times New Roman" w:hAnsi="Times New Roman" w:cs="Times New Roman"/>
        </w:rPr>
        <w:t>【条文说明】</w:t>
      </w:r>
    </w:p>
    <w:p>
      <w:pPr>
        <w:pStyle w:val="68"/>
        <w:rPr>
          <w:rFonts w:ascii="Times New Roman" w:hAnsi="Times New Roman" w:cs="Times New Roman"/>
        </w:rPr>
      </w:pPr>
      <w:r>
        <w:rPr>
          <w:rFonts w:ascii="Times New Roman" w:hAnsi="Times New Roman" w:cs="Times New Roman"/>
        </w:rPr>
        <w:t>对于改造项目，受现场条件限制，对更换后电梯、自动扶梯的能效要求均按照新建项目低碳铁路客站等级执行。</w:t>
      </w:r>
    </w:p>
    <w:p>
      <w:pPr>
        <w:pStyle w:val="28"/>
        <w:numPr>
          <w:ilvl w:val="0"/>
          <w:numId w:val="2"/>
        </w:numPr>
        <w:spacing w:line="360" w:lineRule="auto"/>
        <w:ind w:left="0" w:firstLine="0"/>
        <w:outlineLvl w:val="2"/>
        <w:rPr>
          <w:kern w:val="2"/>
          <w:szCs w:val="24"/>
        </w:rPr>
      </w:pPr>
      <w:r>
        <w:rPr>
          <w:rFonts w:hint="eastAsia"/>
          <w:kern w:val="2"/>
          <w:szCs w:val="24"/>
        </w:rPr>
        <w:t>当进行电梯系统升级改造时，更换后的垂直电梯应采取以下节能措施中的至少2项：群控、变频调速、能量反馈，自动扶梯应采取以下节能控制措施中的至少1项：变频感应启动、随客流变化切换运行状态。</w:t>
      </w:r>
    </w:p>
    <w:p>
      <w:pPr>
        <w:pStyle w:val="68"/>
        <w:rPr>
          <w:rFonts w:ascii="Times New Roman" w:hAnsi="Times New Roman" w:cs="Times New Roman"/>
        </w:rPr>
      </w:pPr>
      <w:r>
        <w:rPr>
          <w:rFonts w:hint="eastAsia" w:ascii="Times New Roman" w:hAnsi="Times New Roman" w:cs="Times New Roman"/>
        </w:rPr>
        <w:t>【条文说明】</w:t>
      </w:r>
    </w:p>
    <w:p>
      <w:pPr>
        <w:pStyle w:val="68"/>
        <w:rPr>
          <w:rFonts w:ascii="Times New Roman" w:hAnsi="Times New Roman" w:cs="Times New Roman"/>
        </w:rPr>
      </w:pPr>
      <w:r>
        <w:rPr>
          <w:rFonts w:hint="eastAsia" w:ascii="Times New Roman" w:hAnsi="Times New Roman" w:cs="Times New Roman"/>
        </w:rPr>
        <w:t>新建、改造对电梯及自动扶梯的节能措施要求一致。</w:t>
      </w:r>
    </w:p>
    <w:p>
      <w:pPr>
        <w:pStyle w:val="28"/>
        <w:numPr>
          <w:ilvl w:val="0"/>
          <w:numId w:val="2"/>
        </w:numPr>
        <w:spacing w:line="360" w:lineRule="auto"/>
        <w:ind w:left="0" w:firstLine="0"/>
        <w:outlineLvl w:val="2"/>
      </w:pPr>
      <w:r>
        <w:rPr>
          <w:kern w:val="2"/>
          <w:szCs w:val="24"/>
        </w:rPr>
        <w:t>当既有铁路客站设置光伏发电系统时，建筑光伏系统发电的建筑自消纳比例不应低于20%。</w:t>
      </w:r>
    </w:p>
    <w:p>
      <w:pPr>
        <w:spacing w:line="300" w:lineRule="auto"/>
        <w:ind w:firstLine="420"/>
        <w:rPr>
          <w:rFonts w:eastAsia="楷体"/>
          <w:kern w:val="2"/>
          <w:szCs w:val="24"/>
        </w:rPr>
      </w:pPr>
      <w:r>
        <w:rPr>
          <w:rFonts w:eastAsia="楷体"/>
          <w:kern w:val="2"/>
          <w:szCs w:val="24"/>
        </w:rPr>
        <w:t>【条文说明】</w:t>
      </w:r>
    </w:p>
    <w:p>
      <w:pPr>
        <w:spacing w:line="300" w:lineRule="auto"/>
        <w:ind w:firstLine="420"/>
        <w:rPr>
          <w:rFonts w:eastAsia="楷体"/>
          <w:kern w:val="2"/>
          <w:szCs w:val="24"/>
        </w:rPr>
      </w:pPr>
      <w:r>
        <w:rPr>
          <w:rFonts w:eastAsia="楷体"/>
          <w:kern w:val="2"/>
          <w:szCs w:val="24"/>
        </w:rPr>
        <w:t>对于离网光伏系统，铁路客站自消纳比例为100%，对于并网光伏系统，可按下式计算：</w:t>
      </w:r>
    </w:p>
    <w:p>
      <w:pPr>
        <w:pStyle w:val="6"/>
        <w:adjustRightInd w:val="0"/>
        <w:snapToGrid w:val="0"/>
        <w:ind w:right="84"/>
        <w:jc w:val="right"/>
        <w:rPr>
          <w:rFonts w:ascii="Cambria Math" w:hAnsi="Cambria Math"/>
          <w:iCs/>
          <w:color w:val="000000" w:themeColor="text1"/>
          <w:kern w:val="0"/>
          <w:sz w:val="24"/>
          <w:szCs w:val="28"/>
          <w14:textFill>
            <w14:solidFill>
              <w14:schemeClr w14:val="tx1"/>
            </w14:solidFill>
          </w14:textFill>
        </w:rPr>
      </w:pPr>
      <m:oMath>
        <m:r>
          <m:rPr/>
          <w:rPr>
            <w:rFonts w:ascii="Cambria Math" w:hAnsi="Cambria Math"/>
            <w:color w:val="000000" w:themeColor="text1"/>
            <w:kern w:val="0"/>
            <w:sz w:val="24"/>
            <w:szCs w:val="28"/>
            <w14:textFill>
              <w14:solidFill>
                <w14:schemeClr w14:val="tx1"/>
              </w14:solidFill>
            </w14:textFill>
          </w:rPr>
          <m:t>y=</m:t>
        </m:r>
        <m:f>
          <m:fPr>
            <m:ctrlPr>
              <w:rPr>
                <w:rFonts w:ascii="Cambria Math" w:hAnsi="Cambria Math"/>
                <w:i/>
                <w:color w:val="000000" w:themeColor="text1"/>
                <w:kern w:val="0"/>
                <w:sz w:val="24"/>
                <w:szCs w:val="28"/>
                <w14:textFill>
                  <w14:solidFill>
                    <w14:schemeClr w14:val="tx1"/>
                  </w14:solidFill>
                </w14:textFill>
              </w:rPr>
            </m:ctrlPr>
          </m:fPr>
          <m:num>
            <m:sSub>
              <m:sSubPr>
                <m:ctrlPr>
                  <w:rPr>
                    <w:rFonts w:ascii="Cambria Math" w:hAnsi="Cambria Math"/>
                    <w:i/>
                    <w:color w:val="000000" w:themeColor="text1"/>
                    <w:kern w:val="0"/>
                    <w:sz w:val="24"/>
                    <w:szCs w:val="28"/>
                    <w14:textFill>
                      <w14:solidFill>
                        <w14:schemeClr w14:val="tx1"/>
                      </w14:solidFill>
                    </w14:textFill>
                  </w:rPr>
                </m:ctrlPr>
              </m:sSubPr>
              <m:e>
                <m:r>
                  <m:rPr/>
                  <w:rPr>
                    <w:rFonts w:ascii="Cambria Math" w:hAnsi="Cambria Math"/>
                    <w:color w:val="000000" w:themeColor="text1"/>
                    <w:kern w:val="0"/>
                    <w:sz w:val="24"/>
                    <w:szCs w:val="28"/>
                    <w14:textFill>
                      <w14:solidFill>
                        <w14:schemeClr w14:val="tx1"/>
                      </w14:solidFill>
                    </w14:textFill>
                  </w:rPr>
                  <m:t>E</m:t>
                </m:r>
                <m:ctrlPr>
                  <w:rPr>
                    <w:rFonts w:ascii="Cambria Math" w:hAnsi="Cambria Math"/>
                    <w:i/>
                    <w:color w:val="000000" w:themeColor="text1"/>
                    <w:kern w:val="0"/>
                    <w:sz w:val="24"/>
                    <w:szCs w:val="28"/>
                    <w14:textFill>
                      <w14:solidFill>
                        <w14:schemeClr w14:val="tx1"/>
                      </w14:solidFill>
                    </w14:textFill>
                  </w:rPr>
                </m:ctrlPr>
              </m:e>
              <m:sub>
                <m:r>
                  <m:rPr/>
                  <w:rPr>
                    <w:rFonts w:ascii="Cambria Math" w:hAnsi="Cambria Math"/>
                    <w:color w:val="000000" w:themeColor="text1"/>
                    <w:kern w:val="0"/>
                    <w:sz w:val="24"/>
                    <w:szCs w:val="28"/>
                    <w14:textFill>
                      <w14:solidFill>
                        <w14:schemeClr w14:val="tx1"/>
                      </w14:solidFill>
                    </w14:textFill>
                  </w:rPr>
                  <m:t>i</m:t>
                </m:r>
                <m:ctrlPr>
                  <w:rPr>
                    <w:rFonts w:ascii="Cambria Math" w:hAnsi="Cambria Math"/>
                    <w:i/>
                    <w:color w:val="000000" w:themeColor="text1"/>
                    <w:kern w:val="0"/>
                    <w:sz w:val="24"/>
                    <w:szCs w:val="28"/>
                    <w14:textFill>
                      <w14:solidFill>
                        <w14:schemeClr w14:val="tx1"/>
                      </w14:solidFill>
                    </w14:textFill>
                  </w:rPr>
                </m:ctrlPr>
              </m:sub>
            </m:sSub>
            <m:r>
              <m:rPr/>
              <w:rPr>
                <w:rFonts w:ascii="Cambria Math" w:hAnsi="Cambria Math"/>
                <w:color w:val="000000" w:themeColor="text1"/>
                <w:kern w:val="0"/>
                <w:sz w:val="24"/>
                <w:szCs w:val="28"/>
                <w14:textFill>
                  <w14:solidFill>
                    <w14:schemeClr w14:val="tx1"/>
                  </w14:solidFill>
                </w14:textFill>
              </w:rPr>
              <m:t>−</m:t>
            </m:r>
            <m:sSub>
              <m:sSubPr>
                <m:ctrlPr>
                  <w:rPr>
                    <w:rFonts w:ascii="Cambria Math" w:hAnsi="Cambria Math"/>
                    <w:i/>
                    <w:color w:val="000000" w:themeColor="text1"/>
                    <w:kern w:val="0"/>
                    <w:sz w:val="24"/>
                    <w:szCs w:val="28"/>
                    <w14:textFill>
                      <w14:solidFill>
                        <w14:schemeClr w14:val="tx1"/>
                      </w14:solidFill>
                    </w14:textFill>
                  </w:rPr>
                </m:ctrlPr>
              </m:sSubPr>
              <m:e>
                <m:r>
                  <m:rPr/>
                  <w:rPr>
                    <w:rFonts w:ascii="Cambria Math" w:hAnsi="Cambria Math"/>
                    <w:color w:val="000000" w:themeColor="text1"/>
                    <w:kern w:val="0"/>
                    <w:sz w:val="24"/>
                    <w:szCs w:val="28"/>
                    <w14:textFill>
                      <w14:solidFill>
                        <w14:schemeClr w14:val="tx1"/>
                      </w14:solidFill>
                    </w14:textFill>
                  </w:rPr>
                  <m:t>E</m:t>
                </m:r>
                <m:ctrlPr>
                  <w:rPr>
                    <w:rFonts w:ascii="Cambria Math" w:hAnsi="Cambria Math"/>
                    <w:i/>
                    <w:color w:val="000000" w:themeColor="text1"/>
                    <w:kern w:val="0"/>
                    <w:sz w:val="24"/>
                    <w:szCs w:val="28"/>
                    <w14:textFill>
                      <w14:solidFill>
                        <w14:schemeClr w14:val="tx1"/>
                      </w14:solidFill>
                    </w14:textFill>
                  </w:rPr>
                </m:ctrlPr>
              </m:e>
              <m:sub>
                <m:r>
                  <m:rPr/>
                  <w:rPr>
                    <w:rFonts w:ascii="Cambria Math" w:hAnsi="Cambria Math"/>
                    <w:color w:val="000000" w:themeColor="text1"/>
                    <w:kern w:val="0"/>
                    <w:sz w:val="24"/>
                    <w:szCs w:val="28"/>
                    <w14:textFill>
                      <w14:solidFill>
                        <w14:schemeClr w14:val="tx1"/>
                      </w14:solidFill>
                    </w14:textFill>
                  </w:rPr>
                  <m:t>b</m:t>
                </m:r>
                <m:ctrlPr>
                  <w:rPr>
                    <w:rFonts w:ascii="Cambria Math" w:hAnsi="Cambria Math"/>
                    <w:i/>
                    <w:color w:val="000000" w:themeColor="text1"/>
                    <w:kern w:val="0"/>
                    <w:sz w:val="24"/>
                    <w:szCs w:val="28"/>
                    <w14:textFill>
                      <w14:solidFill>
                        <w14:schemeClr w14:val="tx1"/>
                      </w14:solidFill>
                    </w14:textFill>
                  </w:rPr>
                </m:ctrlPr>
              </m:sub>
            </m:sSub>
            <m:ctrlPr>
              <w:rPr>
                <w:rFonts w:ascii="Cambria Math" w:hAnsi="Cambria Math"/>
                <w:i/>
                <w:color w:val="000000" w:themeColor="text1"/>
                <w:kern w:val="0"/>
                <w:sz w:val="24"/>
                <w:szCs w:val="28"/>
                <w14:textFill>
                  <w14:solidFill>
                    <w14:schemeClr w14:val="tx1"/>
                  </w14:solidFill>
                </w14:textFill>
              </w:rPr>
            </m:ctrlPr>
          </m:num>
          <m:den>
            <m:sSub>
              <m:sSubPr>
                <m:ctrlPr>
                  <w:rPr>
                    <w:rFonts w:ascii="Cambria Math" w:hAnsi="Cambria Math"/>
                    <w:i/>
                    <w:color w:val="000000" w:themeColor="text1"/>
                    <w:kern w:val="0"/>
                    <w:sz w:val="24"/>
                    <w:szCs w:val="28"/>
                    <w14:textFill>
                      <w14:solidFill>
                        <w14:schemeClr w14:val="tx1"/>
                      </w14:solidFill>
                    </w14:textFill>
                  </w:rPr>
                </m:ctrlPr>
              </m:sSubPr>
              <m:e>
                <m:r>
                  <m:rPr/>
                  <w:rPr>
                    <w:rFonts w:ascii="Cambria Math" w:hAnsi="Cambria Math"/>
                    <w:color w:val="000000" w:themeColor="text1"/>
                    <w:kern w:val="0"/>
                    <w:sz w:val="24"/>
                    <w:szCs w:val="28"/>
                    <w14:textFill>
                      <w14:solidFill>
                        <w14:schemeClr w14:val="tx1"/>
                      </w14:solidFill>
                    </w14:textFill>
                  </w:rPr>
                  <m:t>E</m:t>
                </m:r>
                <m:ctrlPr>
                  <w:rPr>
                    <w:rFonts w:ascii="Cambria Math" w:hAnsi="Cambria Math"/>
                    <w:i/>
                    <w:color w:val="000000" w:themeColor="text1"/>
                    <w:kern w:val="0"/>
                    <w:sz w:val="24"/>
                    <w:szCs w:val="28"/>
                    <w14:textFill>
                      <w14:solidFill>
                        <w14:schemeClr w14:val="tx1"/>
                      </w14:solidFill>
                    </w14:textFill>
                  </w:rPr>
                </m:ctrlPr>
              </m:e>
              <m:sub>
                <m:r>
                  <m:rPr/>
                  <w:rPr>
                    <w:rFonts w:ascii="Cambria Math" w:hAnsi="Cambria Math"/>
                    <w:color w:val="000000" w:themeColor="text1"/>
                    <w:kern w:val="0"/>
                    <w:sz w:val="24"/>
                    <w:szCs w:val="28"/>
                    <w14:textFill>
                      <w14:solidFill>
                        <w14:schemeClr w14:val="tx1"/>
                      </w14:solidFill>
                    </w14:textFill>
                  </w:rPr>
                  <m:t>i</m:t>
                </m:r>
                <m:ctrlPr>
                  <w:rPr>
                    <w:rFonts w:ascii="Cambria Math" w:hAnsi="Cambria Math"/>
                    <w:i/>
                    <w:color w:val="000000" w:themeColor="text1"/>
                    <w:kern w:val="0"/>
                    <w:sz w:val="24"/>
                    <w:szCs w:val="28"/>
                    <w14:textFill>
                      <w14:solidFill>
                        <w14:schemeClr w14:val="tx1"/>
                      </w14:solidFill>
                    </w14:textFill>
                  </w:rPr>
                </m:ctrlPr>
              </m:sub>
            </m:sSub>
            <m:ctrlPr>
              <w:rPr>
                <w:rFonts w:ascii="Cambria Math" w:hAnsi="Cambria Math"/>
                <w:i/>
                <w:color w:val="000000" w:themeColor="text1"/>
                <w:kern w:val="0"/>
                <w:sz w:val="24"/>
                <w:szCs w:val="28"/>
                <w14:textFill>
                  <w14:solidFill>
                    <w14:schemeClr w14:val="tx1"/>
                  </w14:solidFill>
                </w14:textFill>
              </w:rPr>
            </m:ctrlPr>
          </m:den>
        </m:f>
        <m:r>
          <m:rPr/>
          <w:rPr>
            <w:rFonts w:ascii="Cambria Math" w:hAnsi="Cambria Math"/>
            <w:color w:val="000000" w:themeColor="text1"/>
            <w:kern w:val="0"/>
            <w:sz w:val="24"/>
            <w:szCs w:val="28"/>
            <w14:textFill>
              <w14:solidFill>
                <w14:schemeClr w14:val="tx1"/>
              </w14:solidFill>
            </w14:textFill>
          </w:rPr>
          <m:t>×100%</m:t>
        </m:r>
      </m:oMath>
      <w:r>
        <w:rPr>
          <w:rFonts w:hint="eastAsia"/>
          <w:color w:val="000000" w:themeColor="text1"/>
          <w:kern w:val="0"/>
          <w:sz w:val="24"/>
          <w:szCs w:val="28"/>
          <w14:textFill>
            <w14:solidFill>
              <w14:schemeClr w14:val="tx1"/>
            </w14:solidFill>
          </w14:textFill>
        </w:rPr>
        <w:t xml:space="preserve">                                  </w:t>
      </w:r>
      <w:r>
        <w:rPr>
          <w:iCs/>
          <w:color w:val="000000" w:themeColor="text1"/>
          <w:kern w:val="0"/>
          <w:szCs w:val="22"/>
          <w14:textFill>
            <w14:solidFill>
              <w14:schemeClr w14:val="tx1"/>
            </w14:solidFill>
          </w14:textFill>
        </w:rPr>
        <w:t>（5.2.9）</w:t>
      </w:r>
    </w:p>
    <w:p>
      <w:pPr>
        <w:spacing w:line="300" w:lineRule="auto"/>
        <w:ind w:firstLine="420"/>
        <w:rPr>
          <w:rFonts w:eastAsia="楷体"/>
          <w:kern w:val="2"/>
          <w:szCs w:val="24"/>
        </w:rPr>
      </w:pPr>
      <w:r>
        <w:rPr>
          <w:rFonts w:eastAsia="楷体"/>
          <w:kern w:val="2"/>
          <w:szCs w:val="24"/>
        </w:rPr>
        <w:t>式中：</w:t>
      </w:r>
      <w:r>
        <w:rPr>
          <w:rFonts w:eastAsia="楷体"/>
          <w:i/>
          <w:kern w:val="2"/>
          <w:szCs w:val="24"/>
        </w:rPr>
        <w:t>y</w:t>
      </w:r>
      <w:r>
        <w:rPr>
          <w:rFonts w:eastAsia="楷体"/>
          <w:kern w:val="2"/>
          <w:szCs w:val="24"/>
        </w:rPr>
        <w:t>——光伏发电的铁路客站自消纳比例（%）；</w:t>
      </w:r>
    </w:p>
    <w:p>
      <w:pPr>
        <w:spacing w:line="300" w:lineRule="auto"/>
        <w:ind w:firstLine="420"/>
        <w:rPr>
          <w:rFonts w:eastAsia="楷体"/>
          <w:kern w:val="2"/>
          <w:szCs w:val="24"/>
        </w:rPr>
      </w:pPr>
      <w:r>
        <w:rPr>
          <w:rFonts w:eastAsia="楷体"/>
          <w:kern w:val="2"/>
          <w:szCs w:val="24"/>
        </w:rPr>
        <w:t xml:space="preserve">           </w:t>
      </w:r>
      <w:r>
        <w:rPr>
          <w:rFonts w:eastAsia="楷体"/>
          <w:i/>
          <w:kern w:val="2"/>
          <w:szCs w:val="24"/>
        </w:rPr>
        <w:t>E</w:t>
      </w:r>
      <w:r>
        <w:rPr>
          <w:rFonts w:eastAsia="楷体"/>
          <w:i/>
          <w:kern w:val="2"/>
          <w:szCs w:val="24"/>
          <w:vertAlign w:val="subscript"/>
        </w:rPr>
        <w:t>i</w:t>
      </w:r>
      <w:r>
        <w:rPr>
          <w:rFonts w:eastAsia="楷体"/>
          <w:kern w:val="2"/>
          <w:szCs w:val="24"/>
        </w:rPr>
        <w:t>——铁路客站光伏系统的发电量（kWh）；</w:t>
      </w:r>
    </w:p>
    <w:p>
      <w:pPr>
        <w:spacing w:line="300" w:lineRule="auto"/>
        <w:ind w:firstLine="420"/>
        <w:rPr>
          <w:rFonts w:eastAsia="楷体"/>
          <w:kern w:val="2"/>
          <w:szCs w:val="24"/>
        </w:rPr>
      </w:pPr>
      <w:r>
        <w:rPr>
          <w:rFonts w:eastAsia="楷体"/>
          <w:kern w:val="2"/>
          <w:szCs w:val="24"/>
        </w:rPr>
        <w:t xml:space="preserve">           </w:t>
      </w:r>
      <w:r>
        <w:rPr>
          <w:rFonts w:eastAsia="楷体"/>
          <w:i/>
          <w:kern w:val="2"/>
          <w:szCs w:val="24"/>
        </w:rPr>
        <w:t>E</w:t>
      </w:r>
      <w:r>
        <w:rPr>
          <w:rFonts w:eastAsia="楷体"/>
          <w:kern w:val="2"/>
          <w:szCs w:val="24"/>
          <w:vertAlign w:val="subscript"/>
        </w:rPr>
        <w:t>b</w:t>
      </w:r>
      <w:r>
        <w:rPr>
          <w:rFonts w:eastAsia="楷体"/>
          <w:kern w:val="2"/>
          <w:szCs w:val="24"/>
        </w:rPr>
        <w:t>——由铁路客站向上级电网并入的光伏系统发电量（kWh）。</w:t>
      </w:r>
    </w:p>
    <w:p>
      <w:pPr>
        <w:widowControl/>
        <w:jc w:val="left"/>
        <w:rPr>
          <w:szCs w:val="24"/>
        </w:rPr>
      </w:pPr>
      <w:r>
        <w:rPr>
          <w:szCs w:val="24"/>
        </w:rPr>
        <w:br w:type="page"/>
      </w:r>
    </w:p>
    <w:p>
      <w:pPr>
        <w:spacing w:after="240"/>
        <w:jc w:val="center"/>
        <w:outlineLvl w:val="0"/>
        <w:rPr>
          <w:rFonts w:eastAsia="黑体"/>
          <w:bCs/>
          <w:sz w:val="36"/>
          <w:szCs w:val="32"/>
        </w:rPr>
      </w:pPr>
      <w:bookmarkStart w:id="111" w:name="_Toc215047935"/>
      <w:bookmarkStart w:id="112" w:name="_Toc151916760"/>
      <w:bookmarkStart w:id="113" w:name="_Toc153217965"/>
      <w:bookmarkStart w:id="114" w:name="_Toc153218015"/>
      <w:bookmarkStart w:id="115" w:name="_Toc151917030"/>
      <w:bookmarkStart w:id="116" w:name="_Toc152574775"/>
      <w:bookmarkStart w:id="117" w:name="_Toc143714320"/>
      <w:bookmarkStart w:id="118" w:name="_Toc143714392"/>
      <w:r>
        <w:rPr>
          <w:rFonts w:eastAsia="黑体"/>
          <w:bCs/>
          <w:sz w:val="36"/>
          <w:szCs w:val="32"/>
        </w:rPr>
        <w:t>6 低碳</w:t>
      </w:r>
      <w:r>
        <w:rPr>
          <w:rFonts w:hint="eastAsia" w:eastAsia="黑体"/>
          <w:bCs/>
          <w:sz w:val="36"/>
          <w:szCs w:val="32"/>
        </w:rPr>
        <w:t>施工</w:t>
      </w:r>
      <w:r>
        <w:rPr>
          <w:rFonts w:eastAsia="黑体"/>
          <w:bCs/>
          <w:sz w:val="36"/>
          <w:szCs w:val="32"/>
        </w:rPr>
        <w:t>与运行</w:t>
      </w:r>
      <w:bookmarkEnd w:id="111"/>
    </w:p>
    <w:p>
      <w:pPr>
        <w:ind w:left="357"/>
        <w:jc w:val="center"/>
        <w:outlineLvl w:val="1"/>
        <w:rPr>
          <w:rFonts w:eastAsia="黑体"/>
          <w:b/>
          <w:bCs/>
          <w:sz w:val="28"/>
          <w:szCs w:val="28"/>
        </w:rPr>
      </w:pPr>
      <w:bookmarkStart w:id="119" w:name="_Toc196754097"/>
      <w:bookmarkStart w:id="120" w:name="_Toc215047936"/>
      <w:r>
        <w:rPr>
          <w:rFonts w:eastAsia="黑体"/>
          <w:b/>
          <w:bCs/>
          <w:sz w:val="28"/>
          <w:szCs w:val="28"/>
        </w:rPr>
        <w:t>6.1</w:t>
      </w:r>
      <w:bookmarkEnd w:id="119"/>
      <w:r>
        <w:rPr>
          <w:rFonts w:eastAsia="黑体"/>
          <w:b/>
          <w:bCs/>
          <w:sz w:val="28"/>
          <w:szCs w:val="28"/>
        </w:rPr>
        <w:t>低碳</w:t>
      </w:r>
      <w:r>
        <w:rPr>
          <w:rFonts w:hint="eastAsia" w:eastAsia="黑体"/>
          <w:b/>
          <w:bCs/>
          <w:sz w:val="28"/>
          <w:szCs w:val="28"/>
        </w:rPr>
        <w:t>施工</w:t>
      </w:r>
      <w:bookmarkEnd w:id="120"/>
    </w:p>
    <w:bookmarkEnd w:id="112"/>
    <w:bookmarkEnd w:id="113"/>
    <w:bookmarkEnd w:id="114"/>
    <w:bookmarkEnd w:id="115"/>
    <w:bookmarkEnd w:id="116"/>
    <w:bookmarkEnd w:id="117"/>
    <w:bookmarkEnd w:id="118"/>
    <w:p>
      <w:pPr>
        <w:numPr>
          <w:ilvl w:val="0"/>
          <w:numId w:val="3"/>
        </w:numPr>
        <w:spacing w:line="360" w:lineRule="auto"/>
        <w:outlineLvl w:val="2"/>
        <w:rPr>
          <w:rFonts w:eastAsia="楷体"/>
          <w:bCs/>
        </w:rPr>
      </w:pPr>
      <w:r>
        <w:rPr>
          <w:rFonts w:hint="eastAsia"/>
          <w:kern w:val="2"/>
          <w:szCs w:val="24"/>
        </w:rPr>
        <w:t>全过程零碳铁路客站应进行绿色低碳施工策划，制定适宜的低碳施工方案与技术措施，应明确施工建造全过程碳排放目标，建立能源资源消耗台账，开展用电用油及各类能源消耗计量，计算施工过程碳排放量。</w:t>
      </w:r>
    </w:p>
    <w:p>
      <w:pPr>
        <w:spacing w:line="300" w:lineRule="auto"/>
        <w:ind w:firstLine="480" w:firstLineChars="200"/>
        <w:rPr>
          <w:rFonts w:eastAsia="楷体"/>
          <w:kern w:val="2"/>
          <w:szCs w:val="22"/>
        </w:rPr>
      </w:pPr>
      <w:r>
        <w:rPr>
          <w:rFonts w:hint="eastAsia" w:eastAsia="楷体"/>
          <w:kern w:val="2"/>
          <w:szCs w:val="22"/>
        </w:rPr>
        <w:t>【条文说明】</w:t>
      </w:r>
    </w:p>
    <w:p>
      <w:pPr>
        <w:spacing w:line="300" w:lineRule="auto"/>
        <w:ind w:firstLine="480" w:firstLineChars="200"/>
        <w:rPr>
          <w:rFonts w:eastAsia="楷体"/>
          <w:kern w:val="2"/>
          <w:szCs w:val="22"/>
        </w:rPr>
      </w:pPr>
      <w:r>
        <w:rPr>
          <w:rFonts w:hint="eastAsia" w:eastAsia="楷体"/>
          <w:kern w:val="2"/>
          <w:szCs w:val="22"/>
        </w:rPr>
        <w:t>零碳铁路客站的设计和施工标准高于普通铁路客站，每个细部节点需要针对性的精细化设计与更专业化的施工操作，相对于传统施工方式，施工工艺更加复杂，对施工程序和质量的要求也更加严格，需要选择施工经验丰富、技术能力强的专业队伍承担。应建立低碳建造管理体系和管理制度，实施碳减排目标管理，实施前应制定专项低碳建造方案，明确建造过程降碳内容和方法，实现建造全过程碳排放的统筹管理，减少全过程的资源消耗。</w:t>
      </w:r>
    </w:p>
    <w:p>
      <w:pPr>
        <w:spacing w:line="360" w:lineRule="auto"/>
        <w:outlineLvl w:val="2"/>
        <w:rPr>
          <w:kern w:val="2"/>
          <w:szCs w:val="24"/>
        </w:rPr>
      </w:pPr>
      <w:r>
        <w:rPr>
          <w:b/>
          <w:bCs/>
          <w:kern w:val="2"/>
          <w:szCs w:val="24"/>
        </w:rPr>
        <w:t>6.1.2</w:t>
      </w:r>
      <w:r>
        <w:rPr>
          <w:rFonts w:hint="eastAsia"/>
          <w:kern w:val="2"/>
          <w:szCs w:val="24"/>
        </w:rPr>
        <w:t>制定建造垃圾减量化专项方案，提高建筑垃圾回收利用率，且应符合下列规定：</w:t>
      </w:r>
      <w:r>
        <w:rPr>
          <w:kern w:val="2"/>
          <w:szCs w:val="24"/>
        </w:rPr>
        <w:t xml:space="preserve"> </w:t>
      </w:r>
    </w:p>
    <w:p>
      <w:pPr>
        <w:spacing w:line="360" w:lineRule="auto"/>
        <w:ind w:firstLine="482" w:firstLineChars="200"/>
        <w:rPr>
          <w:kern w:val="2"/>
          <w:szCs w:val="24"/>
        </w:rPr>
      </w:pPr>
      <w:r>
        <w:rPr>
          <w:b/>
          <w:bCs/>
          <w:kern w:val="2"/>
          <w:szCs w:val="24"/>
        </w:rPr>
        <w:t>1</w:t>
      </w:r>
      <w:r>
        <w:rPr>
          <w:rFonts w:hint="eastAsia"/>
          <w:kern w:val="2"/>
          <w:szCs w:val="24"/>
        </w:rPr>
        <w:t>建筑垃圾产生量应控制在现浇钢筋混凝土结构每平方米建筑面积不大于</w:t>
      </w:r>
      <w:r>
        <w:rPr>
          <w:kern w:val="2"/>
          <w:szCs w:val="24"/>
        </w:rPr>
        <w:t xml:space="preserve"> 30kg</w:t>
      </w:r>
      <w:r>
        <w:rPr>
          <w:rFonts w:hint="eastAsia"/>
          <w:kern w:val="2"/>
          <w:szCs w:val="24"/>
        </w:rPr>
        <w:t>，装配式建筑每平方米建筑面积不大于</w:t>
      </w:r>
      <w:r>
        <w:rPr>
          <w:kern w:val="2"/>
          <w:szCs w:val="24"/>
        </w:rPr>
        <w:t xml:space="preserve"> 20kg</w:t>
      </w:r>
      <w:r>
        <w:rPr>
          <w:rFonts w:hint="eastAsia"/>
          <w:kern w:val="2"/>
          <w:szCs w:val="24"/>
        </w:rPr>
        <w:t>；</w:t>
      </w:r>
      <w:r>
        <w:rPr>
          <w:kern w:val="2"/>
          <w:szCs w:val="24"/>
        </w:rPr>
        <w:t xml:space="preserve"> </w:t>
      </w:r>
    </w:p>
    <w:p>
      <w:pPr>
        <w:spacing w:line="360" w:lineRule="auto"/>
        <w:ind w:firstLine="482" w:firstLineChars="200"/>
        <w:rPr>
          <w:kern w:val="2"/>
          <w:szCs w:val="24"/>
        </w:rPr>
      </w:pPr>
      <w:r>
        <w:rPr>
          <w:b/>
          <w:bCs/>
          <w:kern w:val="2"/>
          <w:szCs w:val="24"/>
        </w:rPr>
        <w:t>2</w:t>
      </w:r>
      <w:r>
        <w:rPr>
          <w:rFonts w:hint="eastAsia"/>
          <w:kern w:val="2"/>
          <w:szCs w:val="24"/>
        </w:rPr>
        <w:t>施工现场建筑垃圾应分类处理和回收利用，建筑垃圾回收再利用率不应低于</w:t>
      </w:r>
      <w:r>
        <w:rPr>
          <w:kern w:val="2"/>
          <w:szCs w:val="24"/>
        </w:rPr>
        <w:t>60%</w:t>
      </w:r>
      <w:r>
        <w:rPr>
          <w:rFonts w:hint="eastAsia"/>
          <w:kern w:val="2"/>
          <w:szCs w:val="24"/>
        </w:rPr>
        <w:t>。</w:t>
      </w:r>
      <w:r>
        <w:rPr>
          <w:kern w:val="2"/>
          <w:szCs w:val="24"/>
        </w:rPr>
        <w:t xml:space="preserve"> </w:t>
      </w:r>
    </w:p>
    <w:p>
      <w:pPr>
        <w:spacing w:line="300" w:lineRule="auto"/>
        <w:ind w:firstLine="480" w:firstLineChars="200"/>
        <w:rPr>
          <w:rFonts w:eastAsia="楷体"/>
          <w:kern w:val="2"/>
          <w:szCs w:val="22"/>
        </w:rPr>
      </w:pPr>
      <w:r>
        <w:rPr>
          <w:rFonts w:hint="eastAsia" w:eastAsia="楷体"/>
          <w:kern w:val="2"/>
          <w:szCs w:val="22"/>
        </w:rPr>
        <w:t>【条文说明】</w:t>
      </w:r>
    </w:p>
    <w:p>
      <w:pPr>
        <w:spacing w:line="300" w:lineRule="auto"/>
        <w:ind w:firstLine="480" w:firstLineChars="200"/>
        <w:rPr>
          <w:rFonts w:hint="eastAsia" w:ascii="楷体" w:hAnsi="楷体" w:eastAsia="楷体"/>
          <w:kern w:val="2"/>
          <w:szCs w:val="24"/>
        </w:rPr>
      </w:pPr>
      <w:r>
        <w:rPr>
          <w:rFonts w:hint="eastAsia" w:eastAsia="楷体"/>
          <w:kern w:val="2"/>
          <w:szCs w:val="22"/>
        </w:rPr>
        <w:t>施工现场建筑垃圾的减量化工作可按照“估算先行、源头减量、分类管理、就地处置、排放控制”的总体原则，明确建筑垃圾减量化目标和职责分工，编制专项方案，提出源头降碳、分类管理、就地处置、循环利用、排放控制等具体要求和管理措施，并结合工程建造实际情况制定针对性的保障措施。关于建筑垃圾产生量控制指标，由住房和城乡建设部办公厅于</w:t>
      </w:r>
      <w:r>
        <w:rPr>
          <w:rFonts w:eastAsia="楷体"/>
          <w:kern w:val="2"/>
          <w:szCs w:val="22"/>
        </w:rPr>
        <w:t xml:space="preserve"> 2021 </w:t>
      </w:r>
      <w:r>
        <w:rPr>
          <w:rFonts w:hint="eastAsia" w:eastAsia="楷体"/>
          <w:kern w:val="2"/>
          <w:szCs w:val="22"/>
        </w:rPr>
        <w:t>年</w:t>
      </w:r>
      <w:r>
        <w:rPr>
          <w:rFonts w:eastAsia="楷体"/>
          <w:kern w:val="2"/>
          <w:szCs w:val="22"/>
        </w:rPr>
        <w:t xml:space="preserve"> 3 </w:t>
      </w:r>
      <w:r>
        <w:rPr>
          <w:rFonts w:hint="eastAsia" w:eastAsia="楷体"/>
          <w:kern w:val="2"/>
          <w:szCs w:val="22"/>
        </w:rPr>
        <w:t>月</w:t>
      </w:r>
      <w:r>
        <w:rPr>
          <w:rFonts w:eastAsia="楷体"/>
          <w:kern w:val="2"/>
          <w:szCs w:val="22"/>
        </w:rPr>
        <w:t xml:space="preserve"> 16 </w:t>
      </w:r>
      <w:r>
        <w:rPr>
          <w:rFonts w:hint="eastAsia" w:eastAsia="楷体"/>
          <w:kern w:val="2"/>
          <w:szCs w:val="22"/>
        </w:rPr>
        <w:t>日印发实施的《绿色建造技术导则（试行）》中提出，建筑垃圾产生量应控制在现浇钢筋混凝土结构每万平方米不大于</w:t>
      </w:r>
      <w:r>
        <w:rPr>
          <w:rFonts w:eastAsia="楷体"/>
          <w:kern w:val="2"/>
          <w:szCs w:val="22"/>
        </w:rPr>
        <w:t xml:space="preserve"> 300 </w:t>
      </w:r>
      <w:r>
        <w:rPr>
          <w:rFonts w:hint="eastAsia" w:eastAsia="楷体"/>
          <w:kern w:val="2"/>
          <w:szCs w:val="22"/>
        </w:rPr>
        <w:t>吨，装配式建筑每万平方米不大于</w:t>
      </w:r>
      <w:r>
        <w:rPr>
          <w:rFonts w:eastAsia="楷体"/>
          <w:kern w:val="2"/>
          <w:szCs w:val="22"/>
        </w:rPr>
        <w:t xml:space="preserve"> 200 </w:t>
      </w:r>
      <w:r>
        <w:rPr>
          <w:rFonts w:hint="eastAsia" w:eastAsia="楷体"/>
          <w:kern w:val="2"/>
          <w:szCs w:val="22"/>
        </w:rPr>
        <w:t>吨（不包括工程渣土、工程泥浆），住房和城乡建设部印发《“十四五”建筑业发展规划》中提到，积极推进施工现场建筑垃圾减量化，</w:t>
      </w:r>
      <w:r>
        <w:rPr>
          <w:rFonts w:eastAsia="楷体"/>
          <w:kern w:val="2"/>
          <w:szCs w:val="22"/>
        </w:rPr>
        <w:t>2025</w:t>
      </w:r>
      <w:r>
        <w:rPr>
          <w:rFonts w:hint="eastAsia" w:eastAsia="楷体"/>
          <w:kern w:val="2"/>
          <w:szCs w:val="22"/>
        </w:rPr>
        <w:t>年，各地区建筑垃圾减量化工作机制进一步完善，实现新建建筑施工现场建筑垃圾（不包括工程渣土、工程泥浆）排放量每万平方米不高于</w:t>
      </w:r>
      <w:r>
        <w:rPr>
          <w:rFonts w:eastAsia="楷体"/>
          <w:kern w:val="2"/>
          <w:szCs w:val="22"/>
        </w:rPr>
        <w:t xml:space="preserve"> 300t</w:t>
      </w:r>
      <w:r>
        <w:rPr>
          <w:rFonts w:hint="eastAsia" w:eastAsia="楷体"/>
          <w:kern w:val="2"/>
          <w:szCs w:val="22"/>
        </w:rPr>
        <w:t>，其中装配式建筑排放量不高于</w:t>
      </w:r>
      <w:r>
        <w:rPr>
          <w:rFonts w:eastAsia="楷体"/>
          <w:kern w:val="2"/>
          <w:szCs w:val="22"/>
        </w:rPr>
        <w:t>200t</w:t>
      </w:r>
      <w:r>
        <w:rPr>
          <w:rFonts w:hint="eastAsia" w:eastAsia="楷体"/>
          <w:kern w:val="2"/>
          <w:szCs w:val="22"/>
        </w:rPr>
        <w:t>。此外，应加强施工现场建筑垃圾分类处理和回收利用，规范施工现场建筑垃圾分类收集、堆存、中转和资源化处理活动，提高建筑垃圾回收再利用率。其中，建筑垃圾回收再利用率按照下列公式计算：建筑垃圾回收再利用率</w:t>
      </w:r>
      <w:r>
        <w:rPr>
          <w:rFonts w:eastAsia="楷体"/>
          <w:kern w:val="2"/>
          <w:szCs w:val="22"/>
        </w:rPr>
        <w:t>=</w:t>
      </w:r>
      <w:r>
        <w:rPr>
          <w:rFonts w:hint="eastAsia" w:eastAsia="楷体"/>
          <w:kern w:val="2"/>
          <w:szCs w:val="22"/>
        </w:rPr>
        <w:t>建筑垃圾再利用量</w:t>
      </w:r>
      <w:r>
        <w:rPr>
          <w:rFonts w:eastAsia="楷体"/>
          <w:kern w:val="2"/>
          <w:szCs w:val="22"/>
        </w:rPr>
        <w:t>/</w:t>
      </w:r>
      <w:r>
        <w:rPr>
          <w:rFonts w:hint="eastAsia" w:eastAsia="楷体"/>
          <w:kern w:val="2"/>
          <w:szCs w:val="22"/>
        </w:rPr>
        <w:t>建筑垃圾总量×</w:t>
      </w:r>
      <w:r>
        <w:rPr>
          <w:rFonts w:eastAsia="楷体"/>
          <w:kern w:val="2"/>
          <w:szCs w:val="22"/>
        </w:rPr>
        <w:t>100%</w:t>
      </w:r>
      <w:r>
        <w:rPr>
          <w:rFonts w:hint="eastAsia" w:eastAsia="楷体"/>
          <w:kern w:val="2"/>
          <w:szCs w:val="22"/>
        </w:rPr>
        <w:t>，建筑垃圾总量</w:t>
      </w:r>
      <w:r>
        <w:rPr>
          <w:rFonts w:eastAsia="楷体"/>
          <w:kern w:val="2"/>
          <w:szCs w:val="22"/>
        </w:rPr>
        <w:t>=</w:t>
      </w:r>
      <w:r>
        <w:rPr>
          <w:rFonts w:hint="eastAsia" w:eastAsia="楷体"/>
          <w:kern w:val="2"/>
          <w:szCs w:val="22"/>
        </w:rPr>
        <w:t>∑</w:t>
      </w:r>
      <w:r>
        <w:rPr>
          <w:rFonts w:eastAsia="楷体"/>
          <w:kern w:val="2"/>
          <w:szCs w:val="22"/>
        </w:rPr>
        <w:t>[</w:t>
      </w:r>
      <w:r>
        <w:rPr>
          <w:rFonts w:hint="eastAsia" w:eastAsia="楷体"/>
          <w:kern w:val="2"/>
          <w:szCs w:val="22"/>
        </w:rPr>
        <w:t>废弃物排放到消纳场及回收站量</w:t>
      </w:r>
      <w:r>
        <w:rPr>
          <w:rFonts w:eastAsia="楷体"/>
          <w:kern w:val="2"/>
          <w:szCs w:val="22"/>
        </w:rPr>
        <w:t>+</w:t>
      </w:r>
      <w:r>
        <w:rPr>
          <w:rFonts w:hint="eastAsia" w:eastAsia="楷体"/>
          <w:kern w:val="2"/>
          <w:szCs w:val="22"/>
        </w:rPr>
        <w:t>建筑垃圾再利用量</w:t>
      </w:r>
      <w:r>
        <w:rPr>
          <w:rFonts w:eastAsia="楷体"/>
          <w:kern w:val="2"/>
          <w:szCs w:val="22"/>
        </w:rPr>
        <w:t>]</w:t>
      </w:r>
      <w:r>
        <w:rPr>
          <w:rFonts w:hint="eastAsia" w:eastAsia="楷体"/>
          <w:kern w:val="2"/>
          <w:szCs w:val="22"/>
        </w:rPr>
        <w:t>。</w:t>
      </w:r>
      <w:r>
        <w:rPr>
          <w:rFonts w:eastAsia="楷体"/>
          <w:kern w:val="2"/>
          <w:szCs w:val="22"/>
        </w:rPr>
        <w:t xml:space="preserve"> </w:t>
      </w:r>
      <w:r>
        <w:rPr>
          <w:rFonts w:hint="eastAsia" w:eastAsia="楷体"/>
          <w:kern w:val="2"/>
          <w:szCs w:val="22"/>
        </w:rPr>
        <w:t>十三五”以来，我国循环经济发展取得积极成效，</w:t>
      </w:r>
      <w:r>
        <w:rPr>
          <w:rFonts w:eastAsia="楷体"/>
          <w:kern w:val="2"/>
          <w:szCs w:val="22"/>
        </w:rPr>
        <w:t>2020</w:t>
      </w:r>
      <w:r>
        <w:rPr>
          <w:rFonts w:hint="eastAsia" w:eastAsia="楷体"/>
          <w:kern w:val="2"/>
          <w:szCs w:val="22"/>
        </w:rPr>
        <w:t>年建筑垃圾综合利用率达</w:t>
      </w:r>
      <w:r>
        <w:rPr>
          <w:rFonts w:eastAsia="楷体"/>
          <w:kern w:val="2"/>
          <w:szCs w:val="22"/>
        </w:rPr>
        <w:t xml:space="preserve"> 50%</w:t>
      </w:r>
      <w:r>
        <w:rPr>
          <w:rFonts w:hint="eastAsia" w:eastAsia="楷体"/>
          <w:kern w:val="2"/>
          <w:szCs w:val="22"/>
        </w:rPr>
        <w:t>，国家发改委《“十四五”循环经济发展规划》中提出：到</w:t>
      </w:r>
      <w:r>
        <w:rPr>
          <w:rFonts w:eastAsia="楷体"/>
          <w:kern w:val="2"/>
          <w:szCs w:val="22"/>
        </w:rPr>
        <w:t xml:space="preserve"> 2025 </w:t>
      </w:r>
      <w:r>
        <w:rPr>
          <w:rFonts w:hint="eastAsia" w:eastAsia="楷体"/>
          <w:kern w:val="2"/>
          <w:szCs w:val="22"/>
        </w:rPr>
        <w:t>年，资源利用效率大幅提高，再生资源对原生资源的替代比例进一步提高，建筑垃圾综合利用率达到</w:t>
      </w:r>
      <w:r>
        <w:rPr>
          <w:rFonts w:eastAsia="楷体"/>
          <w:kern w:val="2"/>
          <w:szCs w:val="22"/>
        </w:rPr>
        <w:t xml:space="preserve"> 60%</w:t>
      </w:r>
      <w:r>
        <w:rPr>
          <w:rFonts w:hint="eastAsia" w:ascii="楷体" w:hAnsi="楷体" w:eastAsia="楷体"/>
          <w:kern w:val="2"/>
          <w:szCs w:val="22"/>
        </w:rPr>
        <w:t>。</w:t>
      </w:r>
    </w:p>
    <w:p>
      <w:pPr>
        <w:spacing w:line="360" w:lineRule="auto"/>
        <w:outlineLvl w:val="2"/>
        <w:rPr>
          <w:kern w:val="2"/>
          <w:szCs w:val="24"/>
        </w:rPr>
      </w:pPr>
      <w:r>
        <w:rPr>
          <w:b/>
          <w:bCs/>
          <w:kern w:val="2"/>
          <w:szCs w:val="24"/>
        </w:rPr>
        <w:t xml:space="preserve">6.1.3 </w:t>
      </w:r>
      <w:r>
        <w:rPr>
          <w:rFonts w:hint="eastAsia"/>
          <w:kern w:val="2"/>
          <w:szCs w:val="24"/>
        </w:rPr>
        <w:t>制定临时设施和周转材料隐含碳排放降碳专项方案，且应符合下列规定：</w:t>
      </w:r>
    </w:p>
    <w:p>
      <w:pPr>
        <w:spacing w:line="360" w:lineRule="auto"/>
        <w:ind w:firstLine="482" w:firstLineChars="200"/>
        <w:rPr>
          <w:kern w:val="2"/>
          <w:szCs w:val="24"/>
        </w:rPr>
      </w:pPr>
      <w:r>
        <w:rPr>
          <w:b/>
          <w:bCs/>
          <w:kern w:val="2"/>
          <w:szCs w:val="24"/>
        </w:rPr>
        <w:t xml:space="preserve">1 </w:t>
      </w:r>
      <w:r>
        <w:rPr>
          <w:rFonts w:hint="eastAsia"/>
          <w:kern w:val="2"/>
          <w:szCs w:val="24"/>
        </w:rPr>
        <w:t>除现场模板外的非实体材料可重复使用率不应低于</w:t>
      </w:r>
      <w:r>
        <w:rPr>
          <w:kern w:val="2"/>
          <w:szCs w:val="24"/>
        </w:rPr>
        <w:t xml:space="preserve"> 70%</w:t>
      </w:r>
      <w:r>
        <w:rPr>
          <w:rFonts w:hint="eastAsia"/>
          <w:kern w:val="2"/>
          <w:szCs w:val="24"/>
        </w:rPr>
        <w:t>；</w:t>
      </w:r>
      <w:r>
        <w:rPr>
          <w:kern w:val="2"/>
          <w:szCs w:val="24"/>
        </w:rPr>
        <w:t xml:space="preserve"> </w:t>
      </w:r>
    </w:p>
    <w:p>
      <w:pPr>
        <w:spacing w:line="360" w:lineRule="auto"/>
        <w:ind w:firstLine="482" w:firstLineChars="200"/>
        <w:rPr>
          <w:kern w:val="2"/>
          <w:szCs w:val="24"/>
        </w:rPr>
      </w:pPr>
      <w:r>
        <w:rPr>
          <w:rFonts w:hint="eastAsia"/>
          <w:b/>
          <w:bCs/>
          <w:kern w:val="2"/>
          <w:szCs w:val="24"/>
        </w:rPr>
        <w:t>2</w:t>
      </w:r>
      <w:r>
        <w:rPr>
          <w:kern w:val="2"/>
          <w:szCs w:val="24"/>
        </w:rPr>
        <w:t xml:space="preserve"> </w:t>
      </w:r>
      <w:r>
        <w:rPr>
          <w:rFonts w:hint="eastAsia"/>
          <w:kern w:val="2"/>
          <w:szCs w:val="24"/>
        </w:rPr>
        <w:t>办公及生活用房应采用周转次数高的模块化集成房屋。</w:t>
      </w:r>
    </w:p>
    <w:p>
      <w:pPr>
        <w:spacing w:line="300" w:lineRule="auto"/>
        <w:ind w:firstLine="480" w:firstLineChars="200"/>
        <w:rPr>
          <w:rFonts w:eastAsia="楷体"/>
          <w:kern w:val="2"/>
          <w:szCs w:val="22"/>
        </w:rPr>
      </w:pPr>
      <w:r>
        <w:rPr>
          <w:rFonts w:hint="eastAsia" w:eastAsia="楷体"/>
          <w:kern w:val="2"/>
          <w:szCs w:val="22"/>
        </w:rPr>
        <w:t>【条文说明】</w:t>
      </w:r>
    </w:p>
    <w:p>
      <w:pPr>
        <w:spacing w:line="300" w:lineRule="auto"/>
        <w:ind w:firstLine="480" w:firstLineChars="200"/>
        <w:rPr>
          <w:rFonts w:hint="eastAsia" w:ascii="楷体" w:hAnsi="楷体" w:eastAsia="楷体"/>
          <w:kern w:val="2"/>
          <w:szCs w:val="24"/>
        </w:rPr>
      </w:pPr>
      <w:r>
        <w:rPr>
          <w:rFonts w:hint="eastAsia" w:eastAsia="楷体"/>
          <w:kern w:val="2"/>
          <w:szCs w:val="22"/>
        </w:rPr>
        <w:t>施工中的材料除直接构成工程实体的材料外，还有大量的非实体材料。非实体材料是指在施工中必须使用但又不构成工程实体的施工措施性材料，主要是指周转性材料，如模板、脚手架、支撑等。本标准对周转性材料提出以下要求：（</w:t>
      </w:r>
      <w:r>
        <w:rPr>
          <w:rFonts w:eastAsia="楷体"/>
          <w:kern w:val="2"/>
          <w:szCs w:val="22"/>
        </w:rPr>
        <w:t>1</w:t>
      </w:r>
      <w:r>
        <w:rPr>
          <w:rFonts w:hint="eastAsia" w:eastAsia="楷体"/>
          <w:kern w:val="2"/>
          <w:szCs w:val="22"/>
        </w:rPr>
        <w:t>）提高周转材料的重复利用率，可减少施工阶段由于建材带来的隐含碳排放。（2）办公和生活临时用房应采用可重复利用的房屋，可重复利用的房屋包括多层轻钢活动板房、钢骨架多层水泥活动板房、集装箱式用房等。可缩短施工周期，钢构件可重复利用，降低成本，安拆方便，利于环保</w:t>
      </w:r>
      <w:r>
        <w:rPr>
          <w:rFonts w:hint="eastAsia" w:ascii="楷体" w:hAnsi="楷体" w:eastAsia="楷体"/>
          <w:kern w:val="2"/>
          <w:szCs w:val="22"/>
        </w:rPr>
        <w:t>。</w:t>
      </w:r>
    </w:p>
    <w:p>
      <w:pPr>
        <w:spacing w:line="360" w:lineRule="auto"/>
        <w:outlineLvl w:val="2"/>
        <w:rPr>
          <w:kern w:val="2"/>
          <w:szCs w:val="24"/>
        </w:rPr>
      </w:pPr>
      <w:r>
        <w:rPr>
          <w:b/>
          <w:bCs/>
          <w:kern w:val="2"/>
          <w:szCs w:val="24"/>
        </w:rPr>
        <w:t xml:space="preserve">6.1.4 </w:t>
      </w:r>
      <w:r>
        <w:rPr>
          <w:rFonts w:hint="eastAsia"/>
          <w:kern w:val="2"/>
          <w:szCs w:val="24"/>
        </w:rPr>
        <w:t>全过程零碳铁路客站应选用可回收可循环建材、耐久性建材、和本地材料，建材选择应符合下列规定：</w:t>
      </w:r>
      <w:r>
        <w:rPr>
          <w:kern w:val="2"/>
          <w:szCs w:val="24"/>
        </w:rPr>
        <w:t xml:space="preserve"> </w:t>
      </w:r>
    </w:p>
    <w:p>
      <w:pPr>
        <w:spacing w:line="360" w:lineRule="auto"/>
        <w:ind w:firstLine="482" w:firstLineChars="200"/>
        <w:rPr>
          <w:kern w:val="2"/>
          <w:szCs w:val="24"/>
        </w:rPr>
      </w:pPr>
      <w:bookmarkStart w:id="121" w:name="OLE_LINK19"/>
      <w:r>
        <w:rPr>
          <w:b/>
          <w:bCs/>
          <w:kern w:val="2"/>
          <w:szCs w:val="24"/>
        </w:rPr>
        <w:t xml:space="preserve">1 </w:t>
      </w:r>
      <w:r>
        <w:rPr>
          <w:rFonts w:hint="eastAsia"/>
          <w:kern w:val="2"/>
          <w:szCs w:val="24"/>
        </w:rPr>
        <w:t>在满足同等保温水平目标下，应选择全寿命期碳排放更低的保温材料；</w:t>
      </w:r>
      <w:r>
        <w:rPr>
          <w:kern w:val="2"/>
          <w:szCs w:val="24"/>
        </w:rPr>
        <w:t xml:space="preserve"> </w:t>
      </w:r>
    </w:p>
    <w:p>
      <w:pPr>
        <w:spacing w:line="360" w:lineRule="auto"/>
        <w:ind w:firstLine="482" w:firstLineChars="200"/>
        <w:rPr>
          <w:kern w:val="2"/>
          <w:szCs w:val="24"/>
        </w:rPr>
      </w:pPr>
      <w:r>
        <w:rPr>
          <w:b/>
          <w:bCs/>
          <w:kern w:val="2"/>
          <w:szCs w:val="24"/>
        </w:rPr>
        <w:t>2</w:t>
      </w:r>
      <w:r>
        <w:rPr>
          <w:kern w:val="2"/>
          <w:szCs w:val="24"/>
        </w:rPr>
        <w:t xml:space="preserve"> </w:t>
      </w:r>
      <w:r>
        <w:rPr>
          <w:rFonts w:hint="eastAsia"/>
          <w:kern w:val="2"/>
          <w:szCs w:val="24"/>
        </w:rPr>
        <w:t>因地制宜使用本地建筑材料，距现场</w:t>
      </w:r>
      <w:r>
        <w:rPr>
          <w:kern w:val="2"/>
          <w:szCs w:val="24"/>
        </w:rPr>
        <w:t xml:space="preserve"> 500 </w:t>
      </w:r>
      <w:r>
        <w:rPr>
          <w:rFonts w:hint="eastAsia"/>
          <w:kern w:val="2"/>
          <w:szCs w:val="24"/>
        </w:rPr>
        <w:t>公里以内建筑材料采购量占比不</w:t>
      </w:r>
      <w:r>
        <w:rPr>
          <w:rFonts w:hint="eastAsia"/>
        </w:rPr>
        <w:t>应</w:t>
      </w:r>
      <w:r>
        <w:rPr>
          <w:rFonts w:hint="eastAsia"/>
          <w:kern w:val="2"/>
          <w:szCs w:val="24"/>
        </w:rPr>
        <w:t>低于</w:t>
      </w:r>
      <w:r>
        <w:rPr>
          <w:kern w:val="2"/>
          <w:szCs w:val="24"/>
        </w:rPr>
        <w:t xml:space="preserve"> 70</w:t>
      </w:r>
      <w:r>
        <w:rPr>
          <w:rFonts w:hint="eastAsia"/>
          <w:kern w:val="2"/>
          <w:szCs w:val="24"/>
        </w:rPr>
        <w:t>％。</w:t>
      </w:r>
    </w:p>
    <w:bookmarkEnd w:id="121"/>
    <w:p>
      <w:pPr>
        <w:spacing w:line="300" w:lineRule="auto"/>
        <w:ind w:firstLine="480" w:firstLineChars="200"/>
        <w:rPr>
          <w:rFonts w:eastAsia="楷体"/>
          <w:kern w:val="2"/>
          <w:szCs w:val="22"/>
        </w:rPr>
      </w:pPr>
      <w:r>
        <w:rPr>
          <w:rFonts w:hint="eastAsia" w:eastAsia="楷体"/>
          <w:kern w:val="2"/>
          <w:szCs w:val="22"/>
        </w:rPr>
        <w:t>【条文说明】</w:t>
      </w:r>
    </w:p>
    <w:p>
      <w:pPr>
        <w:spacing w:line="300" w:lineRule="auto"/>
        <w:ind w:firstLine="480" w:firstLineChars="200"/>
        <w:rPr>
          <w:rFonts w:hint="eastAsia" w:ascii="楷体" w:hAnsi="楷体" w:eastAsia="楷体"/>
          <w:kern w:val="2"/>
          <w:szCs w:val="24"/>
        </w:rPr>
      </w:pPr>
      <w:r>
        <w:rPr>
          <w:rFonts w:hint="eastAsia" w:eastAsia="楷体"/>
          <w:kern w:val="2"/>
          <w:szCs w:val="22"/>
        </w:rPr>
        <w:t>以降低隐含碳排放为目标，应以绿色、耐久、可核查和本地化的原则选择低碳建筑材料。（</w:t>
      </w:r>
      <w:r>
        <w:rPr>
          <w:rFonts w:eastAsia="楷体"/>
          <w:kern w:val="2"/>
          <w:szCs w:val="22"/>
        </w:rPr>
        <w:t>1</w:t>
      </w:r>
      <w:r>
        <w:rPr>
          <w:rFonts w:hint="eastAsia" w:eastAsia="楷体"/>
          <w:kern w:val="2"/>
          <w:szCs w:val="22"/>
        </w:rPr>
        <w:t>）应注意建筑材料的可追溯性，优先选用碳排放量低的建筑材料，以支撑建筑全过程的定量碳核查。外窗优先选用顺序为玻纤增强聚氨酯窗、塑钢窗、铝木复合窗（原生铝：再生铝</w:t>
      </w:r>
      <w:r>
        <w:rPr>
          <w:rFonts w:eastAsia="楷体"/>
          <w:kern w:val="2"/>
          <w:szCs w:val="22"/>
        </w:rPr>
        <w:t>=7:3</w:t>
      </w:r>
      <w:r>
        <w:rPr>
          <w:rFonts w:hint="eastAsia" w:eastAsia="楷体"/>
          <w:kern w:val="2"/>
          <w:szCs w:val="22"/>
        </w:rPr>
        <w:t>）、铝塑共挤窗、铝木复合窗（</w:t>
      </w:r>
      <w:r>
        <w:rPr>
          <w:rFonts w:eastAsia="楷体"/>
          <w:kern w:val="2"/>
          <w:szCs w:val="22"/>
        </w:rPr>
        <w:t>100%</w:t>
      </w:r>
      <w:r>
        <w:rPr>
          <w:rFonts w:hint="eastAsia" w:eastAsia="楷体"/>
          <w:kern w:val="2"/>
          <w:szCs w:val="22"/>
        </w:rPr>
        <w:t>原生铝）、断桥铝合金窗（原生铝：再生铝</w:t>
      </w:r>
      <w:r>
        <w:rPr>
          <w:rFonts w:eastAsia="楷体"/>
          <w:kern w:val="2"/>
          <w:szCs w:val="22"/>
        </w:rPr>
        <w:t>=7:3</w:t>
      </w:r>
      <w:r>
        <w:rPr>
          <w:rFonts w:hint="eastAsia" w:eastAsia="楷体"/>
          <w:kern w:val="2"/>
          <w:szCs w:val="22"/>
        </w:rPr>
        <w:t>）、断桥铝合金窗（</w:t>
      </w:r>
      <w:r>
        <w:rPr>
          <w:rFonts w:eastAsia="楷体"/>
          <w:kern w:val="2"/>
          <w:szCs w:val="22"/>
        </w:rPr>
        <w:t>100%</w:t>
      </w:r>
      <w:r>
        <w:rPr>
          <w:rFonts w:hint="eastAsia" w:eastAsia="楷体"/>
          <w:kern w:val="2"/>
          <w:szCs w:val="22"/>
        </w:rPr>
        <w:t>原生铝），保温材料优先选用顺序为</w:t>
      </w:r>
      <w:r>
        <w:rPr>
          <w:rFonts w:eastAsia="楷体"/>
          <w:kern w:val="2"/>
          <w:szCs w:val="22"/>
        </w:rPr>
        <w:t>PIR</w:t>
      </w:r>
      <w:r>
        <w:rPr>
          <w:rFonts w:hint="eastAsia" w:eastAsia="楷体"/>
          <w:kern w:val="2"/>
          <w:szCs w:val="22"/>
        </w:rPr>
        <w:t>、</w:t>
      </w:r>
      <w:r>
        <w:rPr>
          <w:rFonts w:eastAsia="楷体"/>
          <w:kern w:val="2"/>
          <w:szCs w:val="22"/>
        </w:rPr>
        <w:t>EPS</w:t>
      </w:r>
      <w:r>
        <w:rPr>
          <w:rFonts w:hint="eastAsia" w:eastAsia="楷体"/>
          <w:kern w:val="2"/>
          <w:szCs w:val="22"/>
        </w:rPr>
        <w:t>、</w:t>
      </w:r>
      <w:r>
        <w:rPr>
          <w:rFonts w:eastAsia="楷体"/>
          <w:kern w:val="2"/>
          <w:szCs w:val="22"/>
        </w:rPr>
        <w:t>XPS</w:t>
      </w:r>
      <w:r>
        <w:rPr>
          <w:rFonts w:hint="eastAsia" w:eastAsia="楷体"/>
          <w:kern w:val="2"/>
          <w:szCs w:val="22"/>
        </w:rPr>
        <w:t>、泡沫玻璃、岩棉、真空绝热板等。在达到同等节能目标下，以上外窗、保温材料碳排放量差异巨大，因此要优先选择碳排放量更低的外窗、保温材料。（</w:t>
      </w:r>
      <w:r>
        <w:rPr>
          <w:rFonts w:eastAsia="楷体"/>
          <w:kern w:val="2"/>
          <w:szCs w:val="22"/>
        </w:rPr>
        <w:t>2</w:t>
      </w:r>
      <w:r>
        <w:rPr>
          <w:rFonts w:hint="eastAsia" w:eastAsia="楷体"/>
          <w:kern w:val="2"/>
          <w:szCs w:val="22"/>
        </w:rPr>
        <w:t>）距现场</w:t>
      </w:r>
      <w:r>
        <w:rPr>
          <w:rFonts w:eastAsia="楷体"/>
          <w:kern w:val="2"/>
          <w:szCs w:val="22"/>
        </w:rPr>
        <w:t xml:space="preserve"> 500 </w:t>
      </w:r>
      <w:r>
        <w:rPr>
          <w:rFonts w:hint="eastAsia" w:eastAsia="楷体"/>
          <w:kern w:val="2"/>
          <w:szCs w:val="22"/>
        </w:rPr>
        <w:t>公里以内建筑材料采购量占比不低于</w:t>
      </w:r>
      <w:r>
        <w:rPr>
          <w:rFonts w:eastAsia="楷体"/>
          <w:kern w:val="2"/>
          <w:szCs w:val="22"/>
        </w:rPr>
        <w:t>70</w:t>
      </w:r>
      <w:r>
        <w:rPr>
          <w:rFonts w:hint="eastAsia" w:eastAsia="楷体"/>
          <w:kern w:val="2"/>
          <w:szCs w:val="22"/>
        </w:rPr>
        <w:t>％，其中</w:t>
      </w:r>
      <w:r>
        <w:rPr>
          <w:rFonts w:eastAsia="楷体"/>
          <w:kern w:val="2"/>
          <w:szCs w:val="22"/>
        </w:rPr>
        <w:t>500</w:t>
      </w:r>
      <w:r>
        <w:rPr>
          <w:rFonts w:hint="eastAsia" w:eastAsia="楷体"/>
          <w:kern w:val="2"/>
          <w:szCs w:val="22"/>
        </w:rPr>
        <w:t>公里指建筑距离建材采购地的距离</w:t>
      </w:r>
      <w:r>
        <w:rPr>
          <w:rFonts w:hint="eastAsia" w:ascii="楷体" w:hAnsi="楷体" w:eastAsia="楷体"/>
          <w:kern w:val="2"/>
          <w:szCs w:val="22"/>
        </w:rPr>
        <w:t>。</w:t>
      </w:r>
    </w:p>
    <w:p>
      <w:pPr>
        <w:spacing w:line="360" w:lineRule="auto"/>
        <w:outlineLvl w:val="2"/>
        <w:rPr>
          <w:kern w:val="2"/>
          <w:szCs w:val="24"/>
        </w:rPr>
      </w:pPr>
      <w:r>
        <w:rPr>
          <w:b/>
          <w:bCs/>
          <w:kern w:val="2"/>
          <w:szCs w:val="24"/>
        </w:rPr>
        <w:t>6.1.5</w:t>
      </w:r>
      <w:r>
        <w:rPr>
          <w:rFonts w:hint="eastAsia"/>
          <w:kern w:val="2"/>
          <w:szCs w:val="24"/>
        </w:rPr>
        <w:t>应加强铁路客站围护结构气密性，提高施工质量，保证气密层的连续性。气密性材料的选用应结合当地气候条件和施工现场条件，气密性材料的适用温度、可施工温度、抗紫外线和抗腐蚀等性能指标应满足相关标准要求。</w:t>
      </w:r>
    </w:p>
    <w:p>
      <w:pPr>
        <w:spacing w:line="300" w:lineRule="auto"/>
        <w:ind w:firstLine="480" w:firstLineChars="200"/>
        <w:rPr>
          <w:rFonts w:eastAsia="楷体"/>
          <w:kern w:val="2"/>
          <w:szCs w:val="22"/>
        </w:rPr>
      </w:pPr>
      <w:r>
        <w:rPr>
          <w:rFonts w:hint="eastAsia" w:eastAsia="楷体"/>
          <w:kern w:val="2"/>
          <w:szCs w:val="22"/>
        </w:rPr>
        <w:t>【条文说明】</w:t>
      </w:r>
    </w:p>
    <w:p>
      <w:pPr>
        <w:spacing w:line="300" w:lineRule="auto"/>
        <w:ind w:firstLine="480" w:firstLineChars="200"/>
        <w:rPr>
          <w:rFonts w:hint="eastAsia" w:ascii="楷体" w:hAnsi="楷体" w:eastAsia="楷体"/>
          <w:kern w:val="2"/>
          <w:szCs w:val="22"/>
        </w:rPr>
      </w:pPr>
      <w:r>
        <w:rPr>
          <w:rFonts w:hint="eastAsia" w:ascii="楷体" w:hAnsi="楷体" w:eastAsia="楷体"/>
          <w:kern w:val="2"/>
          <w:szCs w:val="22"/>
        </w:rPr>
        <w:t>参照国家标准《近零能耗建筑技术标准》GB/T 51350-2019，不同气候区的建筑气密性要求不同，对于铁路客站，若设计中采用了进行了气密性设计，那么在施工中，应严格按照设计要求选购气密性材料，并保证气密性材料的耐久性。</w:t>
      </w:r>
    </w:p>
    <w:p>
      <w:pPr>
        <w:spacing w:line="300" w:lineRule="auto"/>
        <w:ind w:firstLine="480" w:firstLineChars="200"/>
        <w:rPr>
          <w:rFonts w:hint="eastAsia" w:ascii="楷体" w:hAnsi="楷体" w:eastAsia="楷体"/>
          <w:kern w:val="2"/>
          <w:szCs w:val="22"/>
        </w:rPr>
      </w:pPr>
    </w:p>
    <w:p>
      <w:pPr>
        <w:ind w:left="357"/>
        <w:jc w:val="center"/>
        <w:outlineLvl w:val="1"/>
        <w:rPr>
          <w:b/>
          <w:bCs/>
          <w:kern w:val="2"/>
          <w:szCs w:val="24"/>
        </w:rPr>
      </w:pPr>
      <w:bookmarkStart w:id="122" w:name="_Toc153218018"/>
      <w:bookmarkStart w:id="123" w:name="_Toc152574776"/>
      <w:bookmarkStart w:id="124" w:name="_Toc151916761"/>
      <w:bookmarkStart w:id="125" w:name="_Toc143714325"/>
      <w:bookmarkStart w:id="126" w:name="_Toc153217968"/>
      <w:bookmarkStart w:id="127" w:name="_Toc151917031"/>
      <w:bookmarkStart w:id="128" w:name="_Toc143714397"/>
      <w:bookmarkStart w:id="129" w:name="_Toc215047937"/>
      <w:r>
        <w:rPr>
          <w:rFonts w:eastAsia="黑体"/>
          <w:b/>
          <w:bCs/>
          <w:sz w:val="28"/>
          <w:szCs w:val="28"/>
        </w:rPr>
        <w:t>6.2低碳运行</w:t>
      </w:r>
      <w:bookmarkEnd w:id="122"/>
      <w:bookmarkEnd w:id="123"/>
      <w:bookmarkEnd w:id="124"/>
      <w:bookmarkEnd w:id="125"/>
      <w:bookmarkEnd w:id="126"/>
      <w:bookmarkEnd w:id="127"/>
      <w:bookmarkEnd w:id="128"/>
      <w:bookmarkEnd w:id="129"/>
    </w:p>
    <w:p>
      <w:pPr>
        <w:spacing w:line="360" w:lineRule="auto"/>
        <w:outlineLvl w:val="2"/>
        <w:rPr>
          <w:kern w:val="2"/>
          <w:szCs w:val="24"/>
        </w:rPr>
      </w:pPr>
      <w:bookmarkStart w:id="130" w:name="OLE_LINK18"/>
      <w:r>
        <w:rPr>
          <w:rFonts w:hint="eastAsia"/>
          <w:b/>
          <w:bCs/>
          <w:kern w:val="2"/>
          <w:szCs w:val="24"/>
        </w:rPr>
        <w:t>6.2.1</w:t>
      </w:r>
      <w:bookmarkEnd w:id="130"/>
      <w:r>
        <w:rPr>
          <w:rFonts w:hint="eastAsia"/>
          <w:b/>
          <w:bCs/>
          <w:kern w:val="2"/>
          <w:szCs w:val="24"/>
        </w:rPr>
        <w:t xml:space="preserve"> </w:t>
      </w:r>
      <w:bookmarkStart w:id="131" w:name="OLE_LINK17"/>
      <w:r>
        <w:rPr>
          <w:kern w:val="2"/>
          <w:szCs w:val="24"/>
        </w:rPr>
        <w:t>铁路客站设备系统应建立综合调适制度，并进行</w:t>
      </w:r>
      <w:r>
        <w:rPr>
          <w:rFonts w:hint="eastAsia"/>
          <w:kern w:val="2"/>
          <w:szCs w:val="24"/>
        </w:rPr>
        <w:t>1次</w:t>
      </w:r>
      <w:r>
        <w:rPr>
          <w:kern w:val="2"/>
          <w:szCs w:val="24"/>
        </w:rPr>
        <w:t>综合能效调适。</w:t>
      </w:r>
      <w:r>
        <w:rPr>
          <w:rFonts w:hint="eastAsia"/>
          <w:kern w:val="2"/>
          <w:szCs w:val="24"/>
        </w:rPr>
        <w:t>综合调适制度应明确各参与方的职责、调适流程、调适内容、工作范围、调适人员、时间计划及相关配合事宜。</w:t>
      </w:r>
      <w:bookmarkEnd w:id="131"/>
    </w:p>
    <w:p>
      <w:pPr>
        <w:spacing w:line="300" w:lineRule="auto"/>
        <w:rPr>
          <w:rFonts w:eastAsia="楷体"/>
          <w:kern w:val="2"/>
          <w:szCs w:val="22"/>
        </w:rPr>
      </w:pPr>
      <w:r>
        <w:rPr>
          <w:rFonts w:eastAsia="楷体"/>
          <w:kern w:val="2"/>
          <w:szCs w:val="22"/>
        </w:rPr>
        <w:t>【条文说明】</w:t>
      </w:r>
    </w:p>
    <w:p>
      <w:pPr>
        <w:spacing w:line="360" w:lineRule="auto"/>
        <w:ind w:firstLine="480" w:firstLineChars="200"/>
        <w:rPr>
          <w:rFonts w:hint="eastAsia" w:ascii="楷体" w:hAnsi="楷体" w:eastAsia="楷体" w:cstheme="minorBidi"/>
          <w:kern w:val="2"/>
          <w:szCs w:val="22"/>
        </w:rPr>
      </w:pPr>
      <w:r>
        <w:rPr>
          <w:rFonts w:hint="eastAsia" w:eastAsia="楷体"/>
          <w:kern w:val="2"/>
          <w:szCs w:val="22"/>
        </w:rPr>
        <w:t>铁路客站</w:t>
      </w:r>
      <w:r>
        <w:rPr>
          <w:rFonts w:hint="eastAsia" w:ascii="楷体" w:hAnsi="楷体" w:eastAsia="楷体" w:cstheme="minorBidi"/>
          <w:kern w:val="2"/>
          <w:szCs w:val="22"/>
        </w:rPr>
        <w:t>的设备系统调适是指通过设计、施工、验收和运行维护阶段的全过程监督和管理，保证铁路客站物能够按照设计和用户要求，实现舒适、安全、高效地运行和控制的流程管理与技术方法。</w:t>
      </w:r>
    </w:p>
    <w:p>
      <w:pPr>
        <w:spacing w:line="360" w:lineRule="auto"/>
        <w:ind w:firstLine="480" w:firstLineChars="200"/>
        <w:rPr>
          <w:b/>
          <w:bCs/>
          <w:kern w:val="2"/>
          <w:szCs w:val="24"/>
        </w:rPr>
      </w:pPr>
      <w:r>
        <w:rPr>
          <w:rFonts w:ascii="楷体" w:hAnsi="楷体" w:eastAsia="楷体" w:cstheme="minorBidi"/>
          <w:kern w:val="2"/>
          <w:szCs w:val="22"/>
        </w:rPr>
        <w:t>传统的设备调试多为单系统、分阶段的简单功能验证，缺乏从客站整体能源绩效出发的系统性、协同性优化。综合能效调适则是一个高质量、精细化的全过程管理方法，它贯穿于规划、设计、施工、验收和初始运营的全生命周期。其核心目标并非仅仅验证设备能否“正常运行”，而是通过系统的检测、调试与验证，确保各设备系统（如暖通空调、照明、电梯、可再生能源系统等）能够作为一个有机整体协同工作，实现设计意图，并达到最佳的能源利用效率。</w:t>
      </w:r>
    </w:p>
    <w:p>
      <w:pPr>
        <w:spacing w:line="360" w:lineRule="auto"/>
        <w:outlineLvl w:val="2"/>
        <w:rPr>
          <w:kern w:val="2"/>
          <w:szCs w:val="24"/>
        </w:rPr>
      </w:pPr>
      <w:r>
        <w:rPr>
          <w:rFonts w:hint="eastAsia"/>
          <w:b/>
          <w:bCs/>
          <w:kern w:val="2"/>
          <w:szCs w:val="24"/>
        </w:rPr>
        <w:t xml:space="preserve">6.2.2 </w:t>
      </w:r>
      <w:r>
        <w:rPr>
          <w:rFonts w:hint="eastAsia"/>
          <w:kern w:val="2"/>
          <w:szCs w:val="24"/>
        </w:rPr>
        <w:t>铁路客站室内环境监测系统应包含但不限于温度、湿度，且应符合下列规定：</w:t>
      </w:r>
    </w:p>
    <w:p>
      <w:pPr>
        <w:spacing w:line="360" w:lineRule="auto"/>
        <w:ind w:firstLine="482" w:firstLineChars="200"/>
        <w:rPr>
          <w:kern w:val="2"/>
          <w:szCs w:val="24"/>
        </w:rPr>
      </w:pPr>
      <w:r>
        <w:rPr>
          <w:b/>
          <w:bCs/>
          <w:kern w:val="2"/>
          <w:szCs w:val="24"/>
        </w:rPr>
        <w:t>1</w:t>
      </w:r>
      <w:r>
        <w:rPr>
          <w:rFonts w:hint="eastAsia"/>
          <w:kern w:val="2"/>
          <w:szCs w:val="24"/>
        </w:rPr>
        <w:t>具有存储至少1年的监测数据和实时显示功能；</w:t>
      </w:r>
      <w:r>
        <w:rPr>
          <w:kern w:val="2"/>
          <w:szCs w:val="24"/>
        </w:rPr>
        <w:t xml:space="preserve"> </w:t>
      </w:r>
    </w:p>
    <w:p>
      <w:pPr>
        <w:spacing w:line="360" w:lineRule="auto"/>
        <w:ind w:firstLine="482" w:firstLineChars="200"/>
        <w:rPr>
          <w:kern w:val="2"/>
          <w:szCs w:val="24"/>
        </w:rPr>
      </w:pPr>
      <w:r>
        <w:rPr>
          <w:b/>
          <w:bCs/>
          <w:kern w:val="2"/>
          <w:szCs w:val="24"/>
        </w:rPr>
        <w:t>2</w:t>
      </w:r>
      <w:r>
        <w:rPr>
          <w:kern w:val="2"/>
          <w:szCs w:val="24"/>
        </w:rPr>
        <w:t xml:space="preserve"> </w:t>
      </w:r>
      <w:r>
        <w:rPr>
          <w:rFonts w:hint="eastAsia"/>
          <w:kern w:val="2"/>
          <w:szCs w:val="24"/>
        </w:rPr>
        <w:t>室内空气质量监测数据读数时间间隔不</w:t>
      </w:r>
      <w:bookmarkStart w:id="132" w:name="OLE_LINK21"/>
      <w:r>
        <w:rPr>
          <w:rFonts w:hint="eastAsia"/>
          <w:kern w:val="2"/>
          <w:szCs w:val="24"/>
        </w:rPr>
        <w:t>长于10min</w:t>
      </w:r>
      <w:bookmarkEnd w:id="132"/>
      <w:r>
        <w:rPr>
          <w:rFonts w:hint="eastAsia"/>
          <w:kern w:val="2"/>
          <w:szCs w:val="24"/>
        </w:rPr>
        <w:t>，并能实现超标报警。</w:t>
      </w:r>
    </w:p>
    <w:p>
      <w:pPr>
        <w:spacing w:line="300" w:lineRule="auto"/>
        <w:rPr>
          <w:rFonts w:eastAsia="楷体"/>
          <w:kern w:val="2"/>
          <w:szCs w:val="22"/>
        </w:rPr>
      </w:pPr>
      <w:r>
        <w:rPr>
          <w:rFonts w:eastAsia="楷体"/>
          <w:kern w:val="2"/>
          <w:szCs w:val="22"/>
        </w:rPr>
        <w:t>【条文说明】</w:t>
      </w:r>
    </w:p>
    <w:p>
      <w:pPr>
        <w:spacing w:line="360" w:lineRule="auto"/>
        <w:ind w:firstLine="480" w:firstLineChars="200"/>
        <w:rPr>
          <w:rFonts w:eastAsia="楷体"/>
          <w:kern w:val="2"/>
          <w:szCs w:val="22"/>
        </w:rPr>
      </w:pPr>
      <w:r>
        <w:rPr>
          <w:rFonts w:hint="eastAsia" w:ascii="楷体" w:hAnsi="楷体" w:eastAsia="楷体" w:cstheme="minorBidi"/>
          <w:kern w:val="2"/>
          <w:szCs w:val="24"/>
        </w:rPr>
        <w:t>铁路客站</w:t>
      </w:r>
      <w:r>
        <w:rPr>
          <w:rFonts w:ascii="楷体" w:hAnsi="楷体" w:eastAsia="楷体" w:cstheme="minorBidi"/>
          <w:kern w:val="2"/>
          <w:szCs w:val="24"/>
        </w:rPr>
        <w:t>建立覆盖核心室内环境参数的监测系统，旨在为精准调控室内环境、保障旅客舒适体验、并最终实现节能降碳提供关键数据支撑。监测温度、湿度等基本参数是评估热环境舒适度和优化暖通空调（HVAC）系统运行的基础。</w:t>
      </w:r>
      <w:r>
        <w:rPr>
          <w:rFonts w:hint="eastAsia" w:ascii="楷体" w:hAnsi="楷体" w:eastAsia="楷体" w:cstheme="minorBidi"/>
          <w:kern w:val="2"/>
          <w:szCs w:val="24"/>
        </w:rPr>
        <w:t>对监测参数进行连续测量、显示、记录，在使用时间内，室内监测参数的读数时间间隔不长于10min。</w:t>
      </w:r>
      <w:r>
        <w:rPr>
          <w:rFonts w:ascii="楷体" w:hAnsi="楷体" w:eastAsia="楷体" w:cstheme="minorBidi"/>
          <w:kern w:val="2"/>
          <w:szCs w:val="24"/>
        </w:rPr>
        <w:t>监测点应覆盖候车厅、售票厅、进/出站通道、站台等候区、商业区等主要功能房间及人员密集区域。</w:t>
      </w:r>
      <w:r>
        <w:rPr>
          <w:rFonts w:hint="eastAsia" w:eastAsia="楷体"/>
          <w:kern w:val="2"/>
          <w:szCs w:val="22"/>
        </w:rPr>
        <w:t>通过实时数据采集与反馈，可为节能控制策略（如智能空调、自然通风切换）提供决策依据。</w:t>
      </w:r>
    </w:p>
    <w:p>
      <w:pPr>
        <w:spacing w:line="360" w:lineRule="auto"/>
        <w:outlineLvl w:val="2"/>
        <w:rPr>
          <w:kern w:val="2"/>
          <w:szCs w:val="24"/>
        </w:rPr>
      </w:pPr>
      <w:r>
        <w:rPr>
          <w:b/>
          <w:bCs/>
          <w:kern w:val="2"/>
          <w:szCs w:val="24"/>
        </w:rPr>
        <w:t>6.2.</w:t>
      </w:r>
      <w:r>
        <w:rPr>
          <w:rFonts w:hint="eastAsia"/>
          <w:b/>
          <w:bCs/>
          <w:kern w:val="2"/>
          <w:szCs w:val="24"/>
        </w:rPr>
        <w:t>3</w:t>
      </w:r>
      <w:r>
        <w:rPr>
          <w:b/>
          <w:bCs/>
          <w:kern w:val="2"/>
          <w:szCs w:val="24"/>
        </w:rPr>
        <w:t xml:space="preserve"> </w:t>
      </w:r>
      <w:r>
        <w:rPr>
          <w:kern w:val="2"/>
          <w:szCs w:val="24"/>
        </w:rPr>
        <w:t>碳排放管理系统应满足下列要求：</w:t>
      </w:r>
    </w:p>
    <w:p>
      <w:pPr>
        <w:spacing w:line="360" w:lineRule="auto"/>
        <w:ind w:firstLine="482" w:firstLineChars="200"/>
        <w:rPr>
          <w:b/>
          <w:bCs/>
          <w:szCs w:val="24"/>
        </w:rPr>
      </w:pPr>
      <w:r>
        <w:rPr>
          <w:b/>
          <w:bCs/>
          <w:szCs w:val="24"/>
        </w:rPr>
        <w:t>1</w:t>
      </w:r>
      <w:r>
        <w:t xml:space="preserve"> </w:t>
      </w:r>
      <w:r>
        <w:rPr>
          <w:szCs w:val="24"/>
        </w:rPr>
        <w:t>可分类分项动态统计、计算、分析和展示；</w:t>
      </w:r>
    </w:p>
    <w:p>
      <w:pPr>
        <w:spacing w:line="360" w:lineRule="auto"/>
        <w:ind w:firstLine="482" w:firstLineChars="200"/>
        <w:rPr>
          <w:szCs w:val="24"/>
        </w:rPr>
      </w:pPr>
      <w:r>
        <w:rPr>
          <w:b/>
          <w:bCs/>
          <w:szCs w:val="24"/>
        </w:rPr>
        <w:t>2</w:t>
      </w:r>
      <w:r>
        <w:rPr>
          <w:szCs w:val="24"/>
        </w:rPr>
        <w:t xml:space="preserve"> 碳排放数据可查询、预警、记录和下载</w:t>
      </w:r>
      <w:r>
        <w:rPr>
          <w:rFonts w:hint="eastAsia"/>
          <w:szCs w:val="24"/>
        </w:rPr>
        <w:t>。</w:t>
      </w:r>
    </w:p>
    <w:p>
      <w:pPr>
        <w:spacing w:line="300" w:lineRule="auto"/>
        <w:rPr>
          <w:rFonts w:hint="eastAsia" w:ascii="楷体" w:hAnsi="楷体" w:eastAsia="楷体" w:cstheme="minorBidi"/>
          <w:kern w:val="2"/>
          <w:szCs w:val="22"/>
        </w:rPr>
      </w:pPr>
      <w:r>
        <w:rPr>
          <w:rFonts w:ascii="楷体" w:hAnsi="楷体" w:eastAsia="楷体" w:cstheme="minorBidi"/>
          <w:kern w:val="2"/>
          <w:szCs w:val="22"/>
        </w:rPr>
        <w:t>【条文说明】</w:t>
      </w:r>
    </w:p>
    <w:p>
      <w:pPr>
        <w:spacing w:line="360" w:lineRule="auto"/>
        <w:ind w:firstLine="480" w:firstLineChars="200"/>
        <w:rPr>
          <w:szCs w:val="24"/>
        </w:rPr>
      </w:pPr>
      <w:r>
        <w:rPr>
          <w:rFonts w:hint="eastAsia" w:ascii="楷体" w:hAnsi="楷体" w:eastAsia="楷体" w:cstheme="minorBidi"/>
          <w:kern w:val="2"/>
          <w:szCs w:val="22"/>
        </w:rPr>
        <w:t>基于铁路客站分类分项能耗的计量，进行运行阶段碳排放数据的监测、统计和分析。铁路客站运行阶段碳排放量应按照现行国家标准《建筑碳排放计算标准》GB/T51366 进行计算。可再生能源供冷、供热和供电的降碳量应进行独立的计算、分析和展示。为便于分析铁路客站运行碳排放现状，支持碳核查等要求，铁路客站碳排放应能按照运行管理要求进行不同周期（日、月、年）碳排放量报告的生成和下载。当铁路客站碳排放超标时，系统应能提供报警提示。运行碳排放数据为铁路客站零碳运行管理提供基础数据，应具有开放性和集成性。</w:t>
      </w:r>
    </w:p>
    <w:p>
      <w:pPr>
        <w:spacing w:line="360" w:lineRule="auto"/>
        <w:jc w:val="left"/>
        <w:outlineLvl w:val="2"/>
        <w:rPr>
          <w:szCs w:val="24"/>
        </w:rPr>
      </w:pPr>
      <w:r>
        <w:rPr>
          <w:b/>
          <w:bCs/>
          <w:kern w:val="2"/>
          <w:szCs w:val="24"/>
        </w:rPr>
        <w:t>6.2.</w:t>
      </w:r>
      <w:r>
        <w:rPr>
          <w:rFonts w:hint="eastAsia"/>
          <w:b/>
          <w:bCs/>
          <w:kern w:val="2"/>
          <w:szCs w:val="24"/>
        </w:rPr>
        <w:t>4</w:t>
      </w:r>
      <w:r>
        <w:rPr>
          <w:b/>
          <w:bCs/>
          <w:kern w:val="2"/>
          <w:szCs w:val="24"/>
        </w:rPr>
        <w:t xml:space="preserve"> </w:t>
      </w:r>
      <w:bookmarkStart w:id="133" w:name="OLE_LINK2"/>
      <w:r>
        <w:rPr>
          <w:rFonts w:hint="eastAsia"/>
          <w:b/>
          <w:bCs/>
          <w:kern w:val="2"/>
          <w:szCs w:val="24"/>
        </w:rPr>
        <w:t>应</w:t>
      </w:r>
      <w:r>
        <w:rPr>
          <w:kern w:val="2"/>
          <w:szCs w:val="24"/>
        </w:rPr>
        <w:t>每年至少编制1次铁路客站年度碳排放分析报告，分析铁路客站的运行状态，并评估铁路客站的碳排放水平，修正下一季或下一年度的运行策略</w:t>
      </w:r>
      <w:r>
        <w:rPr>
          <w:szCs w:val="24"/>
        </w:rPr>
        <w:t>。</w:t>
      </w:r>
      <w:bookmarkEnd w:id="133"/>
    </w:p>
    <w:p>
      <w:pPr>
        <w:spacing w:line="300" w:lineRule="auto"/>
        <w:rPr>
          <w:rFonts w:eastAsia="楷体"/>
          <w:kern w:val="2"/>
          <w:szCs w:val="22"/>
        </w:rPr>
      </w:pPr>
      <w:r>
        <w:rPr>
          <w:rFonts w:eastAsia="楷体"/>
          <w:kern w:val="2"/>
          <w:szCs w:val="22"/>
        </w:rPr>
        <w:t>【条文说明】</w:t>
      </w:r>
    </w:p>
    <w:p>
      <w:pPr>
        <w:spacing w:line="300" w:lineRule="auto"/>
        <w:ind w:firstLine="480" w:firstLineChars="200"/>
        <w:rPr>
          <w:rFonts w:hint="eastAsia" w:ascii="楷体" w:hAnsi="楷体" w:eastAsia="楷体" w:cstheme="minorBidi"/>
          <w:kern w:val="2"/>
          <w:szCs w:val="22"/>
        </w:rPr>
      </w:pPr>
      <w:r>
        <w:rPr>
          <w:rFonts w:ascii="楷体" w:hAnsi="楷体" w:eastAsia="楷体" w:cstheme="minorBidi"/>
          <w:kern w:val="2"/>
          <w:szCs w:val="22"/>
        </w:rPr>
        <w:t>本条文的制定旨在通过建立常态化的碳排放分析机制，推动铁路客站实现精细化、数据化的碳管理。其核心要求是每年至少编制一次年度碳排放分析报告，这不仅是实现“零碳”目标的基础性工作，更是确保客站低碳运行持续优化的关键环节。</w:t>
      </w:r>
    </w:p>
    <w:p>
      <w:pPr>
        <w:spacing w:line="300" w:lineRule="auto"/>
        <w:ind w:firstLine="480" w:firstLineChars="200"/>
        <w:rPr>
          <w:szCs w:val="24"/>
        </w:rPr>
      </w:pPr>
      <w:r>
        <w:rPr>
          <w:rFonts w:ascii="楷体" w:hAnsi="楷体" w:eastAsia="楷体" w:cstheme="minorBidi"/>
          <w:kern w:val="2"/>
          <w:szCs w:val="22"/>
        </w:rPr>
        <w:t>编制报告的目的在于系统性地梳理和量化客站运行全过程的碳排放数据，从而准确评估其碳排放水平与碳效率。通过对能耗结构、用能规律及关键排放源的深入分析，可以精准诊断客站运行的“碳足迹”与节能降碳潜力。基于此份科学的分析结论，运营管理方能够有针对性地修正和调整下一季或下一年度的运行策略、能效提升措施及节能技术改造计划，形成“监测-分析-评估-优化”的闭环管理，确保客站的低碳运行始终处于受控和持续改进的轨道上，最终支撑零碳目标的稳步实现。</w:t>
      </w:r>
    </w:p>
    <w:p>
      <w:pPr>
        <w:spacing w:line="360" w:lineRule="auto"/>
        <w:outlineLvl w:val="2"/>
      </w:pPr>
      <w:bookmarkStart w:id="134" w:name="OLE_LINK6"/>
      <w:r>
        <w:rPr>
          <w:b/>
          <w:bCs/>
          <w:kern w:val="2"/>
          <w:szCs w:val="24"/>
        </w:rPr>
        <w:t>6.2.</w:t>
      </w:r>
      <w:r>
        <w:rPr>
          <w:rFonts w:hint="eastAsia"/>
          <w:b/>
          <w:bCs/>
          <w:kern w:val="2"/>
          <w:szCs w:val="24"/>
        </w:rPr>
        <w:t>5</w:t>
      </w:r>
      <w:r>
        <w:rPr>
          <w:kern w:val="2"/>
          <w:szCs w:val="24"/>
        </w:rPr>
        <w:t xml:space="preserve"> 铁路客站</w:t>
      </w:r>
      <w:r>
        <w:rPr>
          <w:szCs w:val="24"/>
        </w:rPr>
        <w:t>组织低碳技术宣传、低碳运营引导等低碳教育宣传和实践活动，并有活动记录</w:t>
      </w:r>
      <w:r>
        <w:t>。</w:t>
      </w:r>
      <w:r>
        <w:rPr>
          <w:szCs w:val="24"/>
        </w:rPr>
        <w:t>低碳铁路客站每年不</w:t>
      </w:r>
      <w:r>
        <w:rPr>
          <w:rFonts w:hint="eastAsia"/>
          <w:szCs w:val="24"/>
        </w:rPr>
        <w:t>应</w:t>
      </w:r>
      <w:r>
        <w:rPr>
          <w:szCs w:val="24"/>
        </w:rPr>
        <w:t>少于1次，</w:t>
      </w:r>
      <w:r>
        <w:t>近零碳、零碳铁路客站每年不</w:t>
      </w:r>
      <w:r>
        <w:rPr>
          <w:rFonts w:hint="eastAsia"/>
        </w:rPr>
        <w:t>应</w:t>
      </w:r>
      <w:r>
        <w:t>少于2次。</w:t>
      </w:r>
    </w:p>
    <w:bookmarkEnd w:id="134"/>
    <w:p>
      <w:pPr>
        <w:spacing w:line="300" w:lineRule="auto"/>
        <w:rPr>
          <w:rFonts w:eastAsia="楷体"/>
          <w:kern w:val="2"/>
          <w:szCs w:val="22"/>
        </w:rPr>
      </w:pPr>
      <w:bookmarkStart w:id="135" w:name="OLE_LINK5"/>
      <w:r>
        <w:rPr>
          <w:rFonts w:eastAsia="楷体"/>
          <w:kern w:val="2"/>
          <w:szCs w:val="22"/>
        </w:rPr>
        <w:t>【条文说明】</w:t>
      </w:r>
    </w:p>
    <w:p>
      <w:pPr>
        <w:spacing w:line="300" w:lineRule="auto"/>
        <w:ind w:firstLine="480" w:firstLineChars="200"/>
        <w:rPr>
          <w:rFonts w:hint="eastAsia" w:ascii="楷体" w:hAnsi="楷体" w:eastAsia="楷体" w:cstheme="minorBidi"/>
          <w:kern w:val="2"/>
          <w:szCs w:val="22"/>
        </w:rPr>
      </w:pPr>
      <w:r>
        <w:rPr>
          <w:rFonts w:hint="eastAsia" w:ascii="楷体" w:hAnsi="楷体" w:eastAsia="楷体" w:cstheme="minorBidi"/>
          <w:kern w:val="2"/>
          <w:szCs w:val="22"/>
        </w:rPr>
        <w:t>零碳</w:t>
      </w:r>
      <w:r>
        <w:rPr>
          <w:rFonts w:ascii="楷体" w:hAnsi="楷体" w:eastAsia="楷体" w:cstheme="minorBidi"/>
          <w:kern w:val="2"/>
          <w:szCs w:val="22"/>
        </w:rPr>
        <w:t>铁路客站</w:t>
      </w:r>
      <w:r>
        <w:rPr>
          <w:rFonts w:hint="eastAsia" w:ascii="楷体" w:hAnsi="楷体" w:eastAsia="楷体" w:cstheme="minorBidi"/>
          <w:kern w:val="2"/>
          <w:szCs w:val="22"/>
        </w:rPr>
        <w:t>的实现离不开使用者的参与，通过</w:t>
      </w:r>
      <w:r>
        <w:rPr>
          <w:rFonts w:ascii="楷体" w:hAnsi="楷体" w:eastAsia="楷体" w:cstheme="minorBidi"/>
          <w:kern w:val="2"/>
          <w:szCs w:val="22"/>
        </w:rPr>
        <w:t>铁路客站</w:t>
      </w:r>
      <w:r>
        <w:rPr>
          <w:rFonts w:hint="eastAsia" w:ascii="楷体" w:hAnsi="楷体" w:eastAsia="楷体" w:cstheme="minorBidi"/>
          <w:kern w:val="2"/>
          <w:szCs w:val="22"/>
        </w:rPr>
        <w:t>普及宣传活动使用户了解零碳铁路客站的意义和与自身利益的关系，调动用户积极性，编制零碳铁路客站使用手册，对使用者免费发放，一方面可以宣传零碳概念和意义，传播零碳铁路客站知识，另一方面可以加强用户对铁路客站的认识，以便更好地使用和维护铁路客站。</w:t>
      </w:r>
    </w:p>
    <w:bookmarkEnd w:id="135"/>
    <w:p>
      <w:pPr>
        <w:spacing w:line="360" w:lineRule="auto"/>
        <w:ind w:left="180" w:leftChars="75" w:firstLine="480" w:firstLineChars="200"/>
        <w:rPr>
          <w:szCs w:val="24"/>
        </w:rPr>
      </w:pPr>
    </w:p>
    <w:p>
      <w:pPr>
        <w:widowControl/>
        <w:ind w:left="180" w:leftChars="75"/>
        <w:jc w:val="left"/>
        <w:rPr>
          <w:szCs w:val="24"/>
        </w:rPr>
      </w:pPr>
      <w:r>
        <w:rPr>
          <w:szCs w:val="24"/>
        </w:rPr>
        <w:br w:type="page"/>
      </w:r>
    </w:p>
    <w:p>
      <w:pPr>
        <w:spacing w:after="240"/>
        <w:jc w:val="center"/>
        <w:outlineLvl w:val="0"/>
        <w:rPr>
          <w:rFonts w:eastAsia="黑体"/>
          <w:bCs/>
          <w:sz w:val="36"/>
          <w:szCs w:val="32"/>
        </w:rPr>
      </w:pPr>
      <w:bookmarkStart w:id="136" w:name="_Toc215047938"/>
      <w:r>
        <w:rPr>
          <w:rFonts w:eastAsia="黑体"/>
          <w:bCs/>
          <w:sz w:val="36"/>
          <w:szCs w:val="32"/>
        </w:rPr>
        <w:t>7 碳排放计算与核算</w:t>
      </w:r>
      <w:bookmarkEnd w:id="136"/>
    </w:p>
    <w:p>
      <w:pPr>
        <w:pStyle w:val="28"/>
        <w:spacing w:line="360" w:lineRule="auto"/>
        <w:outlineLvl w:val="2"/>
        <w:rPr>
          <w:b/>
          <w:bCs/>
          <w:kern w:val="2"/>
          <w:szCs w:val="24"/>
        </w:rPr>
      </w:pPr>
      <w:r>
        <w:rPr>
          <w:b/>
          <w:bCs/>
          <w:kern w:val="2"/>
          <w:szCs w:val="24"/>
        </w:rPr>
        <w:t xml:space="preserve">7.0.1 </w:t>
      </w:r>
      <w:r>
        <w:rPr>
          <w:kern w:val="2"/>
          <w:szCs w:val="24"/>
        </w:rPr>
        <w:t>申请设计阶段预评价的铁路客站应以年为周期进行碳排放计算，且应符合下列规定：</w:t>
      </w:r>
    </w:p>
    <w:p>
      <w:pPr>
        <w:spacing w:line="360" w:lineRule="auto"/>
        <w:ind w:firstLine="482" w:firstLineChars="200"/>
        <w:rPr>
          <w:szCs w:val="24"/>
        </w:rPr>
      </w:pPr>
      <w:r>
        <w:rPr>
          <w:b/>
          <w:bCs/>
          <w:szCs w:val="24"/>
        </w:rPr>
        <w:t xml:space="preserve">1 </w:t>
      </w:r>
      <w:r>
        <w:rPr>
          <w:szCs w:val="24"/>
        </w:rPr>
        <w:t>应通过逐时动态模拟软件计算各系统能源消耗量及碳排放，碳排放应根据各用能系统不同类型能源消耗量和不同类型能源的碳排放因子确定；</w:t>
      </w:r>
    </w:p>
    <w:p>
      <w:pPr>
        <w:spacing w:line="360" w:lineRule="auto"/>
        <w:ind w:firstLine="482" w:firstLineChars="200"/>
        <w:rPr>
          <w:szCs w:val="24"/>
        </w:rPr>
      </w:pPr>
      <w:r>
        <w:rPr>
          <w:b/>
          <w:bCs/>
          <w:szCs w:val="24"/>
        </w:rPr>
        <w:t>2</w:t>
      </w:r>
      <w:r>
        <w:rPr>
          <w:szCs w:val="24"/>
        </w:rPr>
        <w:t xml:space="preserve"> </w:t>
      </w:r>
      <w:r>
        <w:rPr>
          <w:szCs w:val="24"/>
        </w:rPr>
        <w:tab/>
      </w:r>
      <w:r>
        <w:rPr>
          <w:szCs w:val="24"/>
        </w:rPr>
        <w:t xml:space="preserve">应通过可再生能源发电逐时动态模拟软件计算确定可再生能源的减排量； </w:t>
      </w:r>
    </w:p>
    <w:p>
      <w:pPr>
        <w:spacing w:line="360" w:lineRule="auto"/>
        <w:ind w:firstLine="482" w:firstLineChars="200"/>
        <w:rPr>
          <w:szCs w:val="24"/>
        </w:rPr>
      </w:pPr>
      <w:r>
        <w:rPr>
          <w:b/>
          <w:bCs/>
          <w:szCs w:val="24"/>
        </w:rPr>
        <w:t xml:space="preserve">3 </w:t>
      </w:r>
      <w:r>
        <w:rPr>
          <w:szCs w:val="24"/>
        </w:rPr>
        <w:t>碳排放计算应以施工图等设计文件为依据；</w:t>
      </w:r>
    </w:p>
    <w:p>
      <w:pPr>
        <w:spacing w:line="360" w:lineRule="auto"/>
        <w:ind w:firstLine="482" w:firstLineChars="200"/>
        <w:rPr>
          <w:szCs w:val="24"/>
        </w:rPr>
      </w:pPr>
      <w:r>
        <w:rPr>
          <w:b/>
          <w:bCs/>
          <w:szCs w:val="24"/>
        </w:rPr>
        <w:t xml:space="preserve">4 </w:t>
      </w:r>
      <w:r>
        <w:rPr>
          <w:szCs w:val="24"/>
        </w:rPr>
        <w:t>碳排放计算应符合现行国家标准《建筑碳排放计算标准》GB/T 51366的要求。</w:t>
      </w:r>
    </w:p>
    <w:p>
      <w:pPr>
        <w:pStyle w:val="28"/>
        <w:spacing w:line="360" w:lineRule="auto"/>
        <w:outlineLvl w:val="2"/>
        <w:rPr>
          <w:b/>
          <w:bCs/>
          <w:kern w:val="2"/>
          <w:szCs w:val="24"/>
        </w:rPr>
      </w:pPr>
      <w:r>
        <w:rPr>
          <w:b/>
          <w:bCs/>
          <w:kern w:val="2"/>
          <w:szCs w:val="24"/>
        </w:rPr>
        <w:t>7.0.2</w:t>
      </w:r>
      <w:r>
        <w:rPr>
          <w:kern w:val="2"/>
          <w:szCs w:val="24"/>
        </w:rPr>
        <w:t>申请运行评价的铁路客站应以年为周期进行碳排放核算，且应符合下列规定：</w:t>
      </w:r>
    </w:p>
    <w:p>
      <w:pPr>
        <w:spacing w:line="360" w:lineRule="auto"/>
        <w:ind w:firstLine="482" w:firstLineChars="200"/>
        <w:rPr>
          <w:szCs w:val="24"/>
        </w:rPr>
      </w:pPr>
      <w:r>
        <w:rPr>
          <w:b/>
          <w:bCs/>
          <w:szCs w:val="24"/>
        </w:rPr>
        <w:t>1</w:t>
      </w:r>
      <w:r>
        <w:rPr>
          <w:szCs w:val="24"/>
        </w:rPr>
        <w:t xml:space="preserve"> 铁路客站碳排放核算所需要的能源消耗数据应通过能耗监测系统获取；</w:t>
      </w:r>
    </w:p>
    <w:p>
      <w:pPr>
        <w:spacing w:line="360" w:lineRule="auto"/>
        <w:ind w:firstLine="482" w:firstLineChars="200"/>
        <w:rPr>
          <w:szCs w:val="24"/>
        </w:rPr>
      </w:pPr>
      <w:r>
        <w:rPr>
          <w:b/>
          <w:bCs/>
          <w:szCs w:val="24"/>
        </w:rPr>
        <w:t>2</w:t>
      </w:r>
      <w:r>
        <w:rPr>
          <w:szCs w:val="24"/>
        </w:rPr>
        <w:t xml:space="preserve"> 可再生能源系统发电量应以监测数据为依据；</w:t>
      </w:r>
    </w:p>
    <w:p>
      <w:pPr>
        <w:spacing w:line="360" w:lineRule="auto"/>
        <w:ind w:firstLine="482" w:firstLineChars="200"/>
        <w:rPr>
          <w:szCs w:val="24"/>
        </w:rPr>
      </w:pPr>
      <w:r>
        <w:rPr>
          <w:b/>
          <w:bCs/>
          <w:szCs w:val="24"/>
        </w:rPr>
        <w:t>3</w:t>
      </w:r>
      <w:r>
        <w:rPr>
          <w:szCs w:val="24"/>
        </w:rPr>
        <w:t xml:space="preserve"> 与铁路客站碳排放相关的数据监测与采集应符合现行国家标准《建筑碳排放计算标准》GB/T 51366 的要求。</w:t>
      </w:r>
    </w:p>
    <w:p>
      <w:pPr>
        <w:pStyle w:val="28"/>
        <w:spacing w:line="360" w:lineRule="auto"/>
        <w:outlineLvl w:val="2"/>
        <w:rPr>
          <w:b/>
          <w:bCs/>
          <w:kern w:val="2"/>
          <w:szCs w:val="24"/>
        </w:rPr>
      </w:pPr>
      <w:r>
        <w:rPr>
          <w:b/>
          <w:bCs/>
          <w:kern w:val="2"/>
          <w:szCs w:val="24"/>
        </w:rPr>
        <w:t>7.0.3</w:t>
      </w:r>
      <w:r>
        <w:rPr>
          <w:kern w:val="2"/>
          <w:szCs w:val="24"/>
        </w:rPr>
        <w:t xml:space="preserve"> 申请全过程评价的铁路客站应以设计文件注明的使用年限为周期进行碳排放核算，当设计文件不能提供使用年限时，应按50年为周期进行碳排放核算，且应符合下列规定：</w:t>
      </w:r>
    </w:p>
    <w:p>
      <w:pPr>
        <w:spacing w:line="360" w:lineRule="auto"/>
        <w:ind w:firstLine="482" w:firstLineChars="200"/>
        <w:rPr>
          <w:szCs w:val="24"/>
        </w:rPr>
      </w:pPr>
      <w:r>
        <w:rPr>
          <w:b/>
          <w:bCs/>
          <w:szCs w:val="24"/>
        </w:rPr>
        <w:t>1</w:t>
      </w:r>
      <w:r>
        <w:rPr>
          <w:szCs w:val="24"/>
        </w:rPr>
        <w:t xml:space="preserve"> 建造</w:t>
      </w:r>
      <w:bookmarkStart w:id="137" w:name="OLE_LINK15"/>
      <w:r>
        <w:rPr>
          <w:szCs w:val="24"/>
        </w:rPr>
        <w:t>阶段</w:t>
      </w:r>
      <w:bookmarkEnd w:id="137"/>
      <w:r>
        <w:rPr>
          <w:szCs w:val="24"/>
        </w:rPr>
        <w:t>的能源用量应优先根据施工阶段能源资源消耗台账，或根据竣工验收材料中的“人材机”表确定，当相关资料数据难以获取或不完整时，也可采用工序能耗估算法确定；</w:t>
      </w:r>
    </w:p>
    <w:p>
      <w:pPr>
        <w:spacing w:line="360" w:lineRule="auto"/>
        <w:ind w:firstLine="482" w:firstLineChars="200"/>
        <w:rPr>
          <w:szCs w:val="24"/>
        </w:rPr>
      </w:pPr>
      <w:r>
        <w:rPr>
          <w:b/>
          <w:bCs/>
          <w:szCs w:val="24"/>
        </w:rPr>
        <w:t>2</w:t>
      </w:r>
      <w:r>
        <w:rPr>
          <w:szCs w:val="24"/>
        </w:rPr>
        <w:t xml:space="preserve"> 建材消耗量应通过材料采购清单、工程内部资料等工程建设相关技术文件确定，建材生产阶段的碳排放因子应优先选用经第三方审核的建材碳足迹数据，当无第三方提供时，建材设备生产阶段的单位碳排放因子可按现行国家标准《建筑碳排放计算标准》GB/T </w:t>
      </w:r>
      <w:bookmarkStart w:id="138" w:name="OLE_LINK20"/>
      <w:r>
        <w:rPr>
          <w:szCs w:val="24"/>
        </w:rPr>
        <w:t>51366</w:t>
      </w:r>
      <w:bookmarkEnd w:id="138"/>
      <w:r>
        <w:rPr>
          <w:szCs w:val="24"/>
        </w:rPr>
        <w:t>进行选取；</w:t>
      </w:r>
    </w:p>
    <w:p>
      <w:pPr>
        <w:spacing w:line="360" w:lineRule="auto"/>
        <w:ind w:firstLine="482" w:firstLineChars="200"/>
        <w:rPr>
          <w:szCs w:val="24"/>
        </w:rPr>
      </w:pPr>
      <w:r>
        <w:rPr>
          <w:b/>
          <w:bCs/>
          <w:szCs w:val="24"/>
        </w:rPr>
        <w:t>3</w:t>
      </w:r>
      <w:r>
        <w:rPr>
          <w:szCs w:val="24"/>
        </w:rPr>
        <w:t xml:space="preserve"> 建材运输阶段的碳排放因子应包含建材从生产地到施工现场运输过程的直接碳排放和运输过程所耗能源产生的间接碳排放，建材运输阶段的单位碳排放因子可按现行国家标准</w:t>
      </w:r>
      <w:bookmarkStart w:id="139" w:name="OLE_LINK9"/>
      <w:r>
        <w:rPr>
          <w:szCs w:val="24"/>
        </w:rPr>
        <w:t xml:space="preserve">《建筑碳排放计算标准》GB/T </w:t>
      </w:r>
      <w:bookmarkStart w:id="140" w:name="OLE_LINK7"/>
      <w:r>
        <w:rPr>
          <w:szCs w:val="24"/>
        </w:rPr>
        <w:t>51366</w:t>
      </w:r>
      <w:bookmarkEnd w:id="140"/>
      <w:r>
        <w:rPr>
          <w:szCs w:val="24"/>
        </w:rPr>
        <w:t xml:space="preserve"> </w:t>
      </w:r>
      <w:bookmarkEnd w:id="139"/>
      <w:r>
        <w:rPr>
          <w:szCs w:val="24"/>
        </w:rPr>
        <w:t>进行选取；</w:t>
      </w:r>
    </w:p>
    <w:p>
      <w:pPr>
        <w:spacing w:line="360" w:lineRule="auto"/>
        <w:ind w:firstLine="482" w:firstLineChars="200"/>
        <w:rPr>
          <w:szCs w:val="24"/>
        </w:rPr>
      </w:pPr>
      <w:r>
        <w:rPr>
          <w:b/>
          <w:bCs/>
          <w:szCs w:val="24"/>
        </w:rPr>
        <w:t>4</w:t>
      </w:r>
      <w:r>
        <w:rPr>
          <w:szCs w:val="24"/>
        </w:rPr>
        <w:t xml:space="preserve"> 铁路客站运行阶段碳排放核算应符合本标准第 7.0.2条的规定。</w:t>
      </w:r>
    </w:p>
    <w:p>
      <w:pPr>
        <w:pStyle w:val="68"/>
        <w:rPr>
          <w:rFonts w:ascii="Times New Roman" w:hAnsi="Times New Roman" w:cs="Times New Roman"/>
        </w:rPr>
      </w:pPr>
      <w:r>
        <w:rPr>
          <w:rFonts w:ascii="Times New Roman" w:hAnsi="Times New Roman" w:cs="Times New Roman"/>
        </w:rPr>
        <w:t>【条文说明】</w:t>
      </w:r>
    </w:p>
    <w:p>
      <w:pPr>
        <w:pStyle w:val="68"/>
        <w:ind w:firstLine="482"/>
        <w:rPr>
          <w:rFonts w:ascii="Times New Roman" w:hAnsi="Times New Roman" w:cs="Times New Roman"/>
        </w:rPr>
      </w:pPr>
      <w:r>
        <w:rPr>
          <w:rFonts w:ascii="Times New Roman" w:hAnsi="Times New Roman" w:cs="Times New Roman"/>
          <w:spacing w:val="1"/>
        </w:rPr>
        <w:t>根据</w:t>
      </w:r>
      <w:r>
        <w:rPr>
          <w:rFonts w:ascii="Times New Roman" w:hAnsi="Times New Roman" w:cs="Times New Roman"/>
          <w:szCs w:val="24"/>
        </w:rPr>
        <w:t>国家标准《建筑碳排放计算标准》GB/T 51366-2019，</w:t>
      </w:r>
      <w:r>
        <w:rPr>
          <w:rFonts w:ascii="Times New Roman" w:hAnsi="Times New Roman" w:cs="Times New Roman"/>
          <w:spacing w:val="1"/>
        </w:rPr>
        <w:t>拆除阶段的碳排放应包括人工拆除和使用小型机具机械拆除使用的机械设备消耗的各种能源动力产生的碳排放。当拆除阶段</w:t>
      </w:r>
      <w:r>
        <w:rPr>
          <w:rFonts w:ascii="Times New Roman" w:hAnsi="Times New Roman" w:cs="Times New Roman"/>
          <w:szCs w:val="24"/>
        </w:rPr>
        <w:t>相关</w:t>
      </w:r>
      <w:r>
        <w:rPr>
          <w:rFonts w:ascii="Times New Roman" w:hAnsi="Times New Roman" w:cs="Times New Roman"/>
          <w:spacing w:val="1"/>
        </w:rPr>
        <w:t>能源消耗</w:t>
      </w:r>
      <w:r>
        <w:rPr>
          <w:rFonts w:ascii="Times New Roman" w:hAnsi="Times New Roman" w:cs="Times New Roman"/>
          <w:szCs w:val="24"/>
        </w:rPr>
        <w:t>数据难以获取或预测时，</w:t>
      </w:r>
      <w:r>
        <w:rPr>
          <w:rFonts w:ascii="Times New Roman" w:hAnsi="Times New Roman" w:cs="Times New Roman"/>
          <w:spacing w:val="1"/>
        </w:rPr>
        <w:t>拆除阶段碳排放量</w:t>
      </w:r>
      <w:r>
        <w:rPr>
          <w:rFonts w:ascii="Times New Roman" w:hAnsi="Times New Roman" w:cs="Times New Roman"/>
          <w:szCs w:val="24"/>
        </w:rPr>
        <w:t>可</w:t>
      </w:r>
      <w:r>
        <w:rPr>
          <w:rFonts w:ascii="Times New Roman" w:hAnsi="Times New Roman" w:cs="Times New Roman"/>
          <w:spacing w:val="1"/>
        </w:rPr>
        <w:t>按建造阶段碳排放量的10%进行估算</w:t>
      </w:r>
      <w:r>
        <w:rPr>
          <w:rFonts w:ascii="Times New Roman" w:hAnsi="Times New Roman" w:cs="Times New Roman"/>
          <w:szCs w:val="24"/>
        </w:rPr>
        <w:t>。</w:t>
      </w:r>
    </w:p>
    <w:p>
      <w:pPr>
        <w:pStyle w:val="28"/>
        <w:spacing w:line="360" w:lineRule="auto"/>
        <w:outlineLvl w:val="2"/>
        <w:rPr>
          <w:b/>
          <w:bCs/>
          <w:kern w:val="2"/>
          <w:szCs w:val="24"/>
        </w:rPr>
      </w:pPr>
      <w:r>
        <w:rPr>
          <w:b/>
          <w:bCs/>
          <w:kern w:val="2"/>
          <w:szCs w:val="24"/>
        </w:rPr>
        <w:t>7.0.4</w:t>
      </w:r>
      <w:r>
        <w:rPr>
          <w:kern w:val="2"/>
          <w:szCs w:val="24"/>
        </w:rPr>
        <w:t xml:space="preserve"> 铁路客站碳排放计算与核算的电力平均二氧化碳排放因子选取应符合下列规定：</w:t>
      </w:r>
    </w:p>
    <w:p>
      <w:pPr>
        <w:spacing w:line="360" w:lineRule="auto"/>
        <w:ind w:firstLine="482" w:firstLineChars="200"/>
        <w:rPr>
          <w:szCs w:val="24"/>
        </w:rPr>
      </w:pPr>
      <w:r>
        <w:rPr>
          <w:b/>
          <w:bCs/>
          <w:szCs w:val="24"/>
        </w:rPr>
        <w:t xml:space="preserve">1 </w:t>
      </w:r>
      <w:r>
        <w:rPr>
          <w:szCs w:val="24"/>
        </w:rPr>
        <w:t>当铁路客站进行设计阶段预评价时：计算基准和设计铁路客站碳排放量以及市场化交易减排量时所采用的电力平均二氧化碳排放因子应采用生态环境部最新发布的全国电力平均二氧化碳排放因子；</w:t>
      </w:r>
    </w:p>
    <w:p>
      <w:pPr>
        <w:spacing w:line="360" w:lineRule="auto"/>
        <w:ind w:firstLine="482" w:firstLineChars="200"/>
        <w:rPr>
          <w:szCs w:val="24"/>
        </w:rPr>
      </w:pPr>
      <w:r>
        <w:rPr>
          <w:b/>
          <w:bCs/>
          <w:szCs w:val="24"/>
        </w:rPr>
        <w:t>2</w:t>
      </w:r>
      <w:r>
        <w:rPr>
          <w:szCs w:val="24"/>
        </w:rPr>
        <w:t xml:space="preserve"> 当铁路客站进行运行评价时，核算所有碳排放指标及市场化交易减排量时所采用的电力平均二氧化碳排放因子应采用生态环境部发布的铁路客站所在区域省级电力平均二氧化碳排放因子或上一年度铁路客站所在区域市级行政主管部门发布的电力平均二氧化碳排放因子。</w:t>
      </w:r>
    </w:p>
    <w:p>
      <w:pPr>
        <w:pStyle w:val="28"/>
        <w:spacing w:line="360" w:lineRule="auto"/>
        <w:outlineLvl w:val="2"/>
      </w:pPr>
      <w:r>
        <w:rPr>
          <w:b/>
          <w:bCs/>
          <w:kern w:val="2"/>
          <w:szCs w:val="24"/>
        </w:rPr>
        <w:t>7.0.5</w:t>
      </w:r>
      <w:r>
        <w:rPr>
          <w:kern w:val="2"/>
          <w:szCs w:val="24"/>
        </w:rPr>
        <w:t xml:space="preserve"> 当铁路客站接入外部冷/热源时，在明确冷/热源形式的情况下，应采用冷/热源实际排放因子计算碳排放。</w:t>
      </w:r>
    </w:p>
    <w:p>
      <w:pPr>
        <w:widowControl/>
        <w:jc w:val="left"/>
      </w:pPr>
      <w:r>
        <w:br w:type="page"/>
      </w:r>
    </w:p>
    <w:p>
      <w:pPr>
        <w:keepNext/>
        <w:keepLines/>
        <w:spacing w:before="156" w:beforeLines="50" w:after="156" w:afterLines="50"/>
        <w:ind w:left="180" w:leftChars="75"/>
        <w:jc w:val="center"/>
        <w:outlineLvl w:val="0"/>
        <w:rPr>
          <w:rFonts w:eastAsia="黑体"/>
          <w:b/>
          <w:kern w:val="44"/>
          <w:sz w:val="30"/>
          <w:szCs w:val="24"/>
        </w:rPr>
      </w:pPr>
      <w:bookmarkStart w:id="141" w:name="_Toc215047939"/>
      <w:r>
        <w:rPr>
          <w:rFonts w:eastAsia="黑体"/>
          <w:b/>
          <w:kern w:val="44"/>
          <w:sz w:val="30"/>
          <w:szCs w:val="24"/>
        </w:rPr>
        <w:t>附录A 评价所需提交材料</w:t>
      </w:r>
      <w:bookmarkEnd w:id="141"/>
    </w:p>
    <w:p>
      <w:pPr>
        <w:pStyle w:val="28"/>
        <w:spacing w:line="360" w:lineRule="auto"/>
        <w:outlineLvl w:val="2"/>
        <w:rPr>
          <w:szCs w:val="24"/>
        </w:rPr>
      </w:pPr>
      <w:r>
        <w:rPr>
          <w:b/>
          <w:bCs/>
          <w:kern w:val="2"/>
          <w:szCs w:val="24"/>
        </w:rPr>
        <w:t>A.0.1</w:t>
      </w:r>
      <w:r>
        <w:rPr>
          <w:szCs w:val="24"/>
        </w:rPr>
        <w:t>设计阶段预评价所需提交材料</w:t>
      </w:r>
      <w:r>
        <w:rPr>
          <w:rFonts w:hint="eastAsia"/>
          <w:szCs w:val="24"/>
        </w:rPr>
        <w:t>应符合下列规定</w:t>
      </w:r>
      <w:r>
        <w:rPr>
          <w:szCs w:val="24"/>
        </w:rPr>
        <w:t>：</w:t>
      </w:r>
    </w:p>
    <w:p>
      <w:pPr>
        <w:pStyle w:val="28"/>
        <w:numPr>
          <w:ilvl w:val="0"/>
          <w:numId w:val="4"/>
        </w:numPr>
        <w:spacing w:line="360" w:lineRule="auto"/>
        <w:ind w:left="180" w:leftChars="75" w:firstLine="480" w:firstLineChars="200"/>
        <w:rPr>
          <w:szCs w:val="24"/>
        </w:rPr>
      </w:pPr>
      <w:r>
        <w:rPr>
          <w:szCs w:val="24"/>
        </w:rPr>
        <w:t>设计阶段预评价基本信息表；</w:t>
      </w:r>
    </w:p>
    <w:p>
      <w:pPr>
        <w:pStyle w:val="28"/>
        <w:numPr>
          <w:ilvl w:val="0"/>
          <w:numId w:val="4"/>
        </w:numPr>
        <w:spacing w:line="360" w:lineRule="auto"/>
        <w:ind w:left="180" w:leftChars="75" w:firstLine="480" w:firstLineChars="200"/>
        <w:rPr>
          <w:szCs w:val="24"/>
        </w:rPr>
      </w:pPr>
      <w:r>
        <w:rPr>
          <w:szCs w:val="24"/>
        </w:rPr>
        <w:t>设计阶段预评价申报书。包括但不限于铁路客站降碳技术方案、铁路客站能耗、光伏系统发电量及用电量、碳排放等模拟计算文件；</w:t>
      </w:r>
    </w:p>
    <w:p>
      <w:pPr>
        <w:pStyle w:val="28"/>
        <w:numPr>
          <w:ilvl w:val="0"/>
          <w:numId w:val="4"/>
        </w:numPr>
        <w:spacing w:line="360" w:lineRule="auto"/>
        <w:ind w:left="180" w:leftChars="75" w:firstLine="480" w:firstLineChars="200"/>
        <w:rPr>
          <w:szCs w:val="24"/>
        </w:rPr>
      </w:pPr>
      <w:r>
        <w:rPr>
          <w:szCs w:val="24"/>
        </w:rPr>
        <w:t>图纸材料及相关计算书。包括但不限于：铁路客站总平面图、建筑专业施工图及设计说明，工程做法表、关键节点大样图；暖通空调专业施工图及计算书；给排水专业施工图及计算书；电气专业施工图及计算书；可再生能源专项施工图及计算书；建筑智能化及能耗监测、碳排放监测系统施工图等；</w:t>
      </w:r>
    </w:p>
    <w:p>
      <w:pPr>
        <w:pStyle w:val="28"/>
        <w:numPr>
          <w:ilvl w:val="0"/>
          <w:numId w:val="4"/>
        </w:numPr>
        <w:spacing w:line="360" w:lineRule="auto"/>
        <w:ind w:left="180" w:leftChars="75" w:firstLine="480" w:firstLineChars="200"/>
        <w:rPr>
          <w:szCs w:val="24"/>
        </w:rPr>
      </w:pPr>
      <w:r>
        <w:rPr>
          <w:szCs w:val="24"/>
        </w:rPr>
        <w:t>绿色电力交易、绿色电力证书交易及碳排放权交易证明材料，包括但不限于购买绿电合同、发票，其他形式碳抵消的合同和发票等。</w:t>
      </w:r>
    </w:p>
    <w:p>
      <w:pPr>
        <w:pStyle w:val="28"/>
        <w:spacing w:line="360" w:lineRule="auto"/>
        <w:ind w:left="180" w:leftChars="75"/>
        <w:outlineLvl w:val="2"/>
        <w:rPr>
          <w:szCs w:val="24"/>
        </w:rPr>
      </w:pPr>
      <w:r>
        <w:rPr>
          <w:b/>
          <w:bCs/>
          <w:kern w:val="2"/>
          <w:szCs w:val="24"/>
        </w:rPr>
        <w:t>A.0.2</w:t>
      </w:r>
      <w:r>
        <w:rPr>
          <w:szCs w:val="24"/>
        </w:rPr>
        <w:t>运行评价所需提交材料</w:t>
      </w:r>
      <w:r>
        <w:rPr>
          <w:rFonts w:hint="eastAsia"/>
          <w:szCs w:val="24"/>
        </w:rPr>
        <w:t>应符合下列规定</w:t>
      </w:r>
      <w:r>
        <w:rPr>
          <w:szCs w:val="24"/>
        </w:rPr>
        <w:t>：</w:t>
      </w:r>
    </w:p>
    <w:p>
      <w:pPr>
        <w:pStyle w:val="28"/>
        <w:numPr>
          <w:ilvl w:val="0"/>
          <w:numId w:val="5"/>
        </w:numPr>
        <w:spacing w:line="360" w:lineRule="auto"/>
        <w:ind w:left="180" w:leftChars="75" w:firstLine="480" w:firstLineChars="200"/>
        <w:rPr>
          <w:szCs w:val="24"/>
        </w:rPr>
      </w:pPr>
      <w:r>
        <w:rPr>
          <w:szCs w:val="24"/>
        </w:rPr>
        <w:t>本标准A.0.1条规定的文件，当铁路客站已取得设计阶段预评价标识时，应提供设计阶段预评价标识作为铁路客站降碳性能证明文件；</w:t>
      </w:r>
    </w:p>
    <w:p>
      <w:pPr>
        <w:pStyle w:val="28"/>
        <w:numPr>
          <w:ilvl w:val="0"/>
          <w:numId w:val="5"/>
        </w:numPr>
        <w:spacing w:line="360" w:lineRule="auto"/>
        <w:ind w:left="180" w:leftChars="75" w:firstLine="480" w:firstLineChars="200"/>
        <w:rPr>
          <w:szCs w:val="24"/>
        </w:rPr>
      </w:pPr>
      <w:r>
        <w:rPr>
          <w:szCs w:val="24"/>
        </w:rPr>
        <w:t>铁路客站竣工验收文件；</w:t>
      </w:r>
    </w:p>
    <w:p>
      <w:pPr>
        <w:pStyle w:val="28"/>
        <w:numPr>
          <w:ilvl w:val="0"/>
          <w:numId w:val="5"/>
        </w:numPr>
        <w:spacing w:line="360" w:lineRule="auto"/>
        <w:ind w:left="180" w:leftChars="75" w:firstLine="480" w:firstLineChars="200"/>
        <w:rPr>
          <w:szCs w:val="24"/>
        </w:rPr>
      </w:pPr>
      <w:r>
        <w:rPr>
          <w:szCs w:val="24"/>
        </w:rPr>
        <w:t>应提供室内环境检测报告、降碳技术方案中所列降碳技术措施进场复验报告；</w:t>
      </w:r>
    </w:p>
    <w:p>
      <w:pPr>
        <w:pStyle w:val="28"/>
        <w:numPr>
          <w:ilvl w:val="0"/>
          <w:numId w:val="5"/>
        </w:numPr>
        <w:spacing w:line="360" w:lineRule="auto"/>
        <w:ind w:left="180" w:leftChars="75" w:firstLine="480" w:firstLineChars="200"/>
        <w:rPr>
          <w:szCs w:val="24"/>
        </w:rPr>
      </w:pPr>
      <w:r>
        <w:rPr>
          <w:szCs w:val="24"/>
        </w:rPr>
        <w:t>运行评价申报书。包括但不限于：降碳技术方案、铁路客站</w:t>
      </w:r>
      <w:r>
        <w:rPr>
          <w:kern w:val="2"/>
          <w:szCs w:val="24"/>
        </w:rPr>
        <w:t>客流量</w:t>
      </w:r>
      <w:r>
        <w:rPr>
          <w:szCs w:val="24"/>
        </w:rPr>
        <w:t>、运行方式等使用情况，铁路客站全年碳排放分析报告，太阳能光伏发电、太阳能光热系统和铁路客站使用人员后评估报告、运行管理资料；</w:t>
      </w:r>
    </w:p>
    <w:p>
      <w:pPr>
        <w:pStyle w:val="28"/>
        <w:numPr>
          <w:ilvl w:val="0"/>
          <w:numId w:val="5"/>
        </w:numPr>
        <w:spacing w:line="360" w:lineRule="auto"/>
        <w:ind w:left="180" w:leftChars="75" w:firstLine="480" w:firstLineChars="200"/>
        <w:rPr>
          <w:szCs w:val="24"/>
        </w:rPr>
      </w:pPr>
      <w:r>
        <w:rPr>
          <w:szCs w:val="24"/>
        </w:rPr>
        <w:t>绿色电力交易、绿色电力证书交易及碳排放权交易证明材料。包括但不限于购买绿电合同、发票，其他形式碳抵消的合同和发票等。</w:t>
      </w:r>
    </w:p>
    <w:p>
      <w:pPr>
        <w:pStyle w:val="28"/>
        <w:numPr>
          <w:ilvl w:val="0"/>
          <w:numId w:val="5"/>
        </w:numPr>
        <w:spacing w:line="360" w:lineRule="auto"/>
        <w:ind w:left="180" w:leftChars="75" w:firstLine="480" w:firstLineChars="200"/>
        <w:rPr>
          <w:szCs w:val="24"/>
        </w:rPr>
      </w:pPr>
      <w:r>
        <w:rPr>
          <w:szCs w:val="24"/>
        </w:rPr>
        <w:t>当铁路客站通过柔性调节与电网形成互动，实现全年碳排放小于零，并申请进行运行评价时，应提供铁路客站全年逐时的各类电力用量，及当地政府机构或政府认可机构发布的逐时电力二氧化碳排放因子。</w:t>
      </w:r>
    </w:p>
    <w:p>
      <w:pPr>
        <w:pStyle w:val="28"/>
        <w:spacing w:line="360" w:lineRule="auto"/>
        <w:ind w:left="180" w:leftChars="75"/>
        <w:outlineLvl w:val="2"/>
        <w:rPr>
          <w:szCs w:val="24"/>
        </w:rPr>
      </w:pPr>
      <w:r>
        <w:rPr>
          <w:b/>
          <w:bCs/>
          <w:kern w:val="2"/>
          <w:szCs w:val="24"/>
        </w:rPr>
        <w:t>A.0.3</w:t>
      </w:r>
      <w:r>
        <w:rPr>
          <w:szCs w:val="24"/>
        </w:rPr>
        <w:t>全过程评价所需提交材料</w:t>
      </w:r>
      <w:r>
        <w:rPr>
          <w:rFonts w:hint="eastAsia"/>
          <w:szCs w:val="24"/>
        </w:rPr>
        <w:t>应符合下列规定</w:t>
      </w:r>
      <w:r>
        <w:rPr>
          <w:szCs w:val="24"/>
        </w:rPr>
        <w:t>：</w:t>
      </w:r>
    </w:p>
    <w:p>
      <w:pPr>
        <w:pStyle w:val="28"/>
        <w:numPr>
          <w:ilvl w:val="0"/>
          <w:numId w:val="6"/>
        </w:numPr>
        <w:spacing w:line="360" w:lineRule="auto"/>
        <w:ind w:left="180" w:leftChars="75" w:firstLine="480" w:firstLineChars="200"/>
        <w:rPr>
          <w:szCs w:val="24"/>
        </w:rPr>
      </w:pPr>
      <w:r>
        <w:rPr>
          <w:szCs w:val="24"/>
        </w:rPr>
        <w:t>本标准A.0.1、A.0.2条规定的文件，当铁路客站已取得设计阶段预评价标识时，应提供设计阶段预评价标识作为铁路客站降碳性能证明文件；</w:t>
      </w:r>
    </w:p>
    <w:p>
      <w:pPr>
        <w:pStyle w:val="28"/>
        <w:numPr>
          <w:ilvl w:val="0"/>
          <w:numId w:val="6"/>
        </w:numPr>
        <w:spacing w:line="360" w:lineRule="auto"/>
        <w:ind w:left="180" w:leftChars="75" w:firstLine="480" w:firstLineChars="200"/>
        <w:rPr>
          <w:szCs w:val="24"/>
        </w:rPr>
      </w:pPr>
      <w:r>
        <w:rPr>
          <w:szCs w:val="24"/>
        </w:rPr>
        <w:t>全过程评价申报书。包括但不限于：铁路客站全过程降碳技术方案，铁路客站全过程碳排放计算书，铁路客站</w:t>
      </w:r>
      <w:r>
        <w:rPr>
          <w:kern w:val="2"/>
          <w:szCs w:val="24"/>
        </w:rPr>
        <w:t>客流量</w:t>
      </w:r>
      <w:r>
        <w:rPr>
          <w:szCs w:val="24"/>
        </w:rPr>
        <w:t>、运行方式等使用情况，太阳能光伏发电、太阳能光热系统和铁路客站使用人员后评估报告、运行管理资料；</w:t>
      </w:r>
    </w:p>
    <w:p>
      <w:pPr>
        <w:pStyle w:val="28"/>
        <w:numPr>
          <w:ilvl w:val="0"/>
          <w:numId w:val="6"/>
        </w:numPr>
        <w:spacing w:line="360" w:lineRule="auto"/>
        <w:ind w:left="180" w:leftChars="75" w:firstLine="480" w:firstLineChars="200"/>
        <w:rPr>
          <w:szCs w:val="24"/>
        </w:rPr>
      </w:pPr>
      <w:r>
        <w:rPr>
          <w:szCs w:val="24"/>
        </w:rPr>
        <w:t>竣工验收资料；</w:t>
      </w:r>
    </w:p>
    <w:p>
      <w:pPr>
        <w:pStyle w:val="28"/>
        <w:numPr>
          <w:ilvl w:val="0"/>
          <w:numId w:val="6"/>
        </w:numPr>
        <w:spacing w:line="360" w:lineRule="auto"/>
        <w:ind w:left="180" w:leftChars="75" w:firstLine="480" w:firstLineChars="200"/>
        <w:rPr>
          <w:szCs w:val="24"/>
        </w:rPr>
      </w:pPr>
      <w:r>
        <w:rPr>
          <w:szCs w:val="24"/>
        </w:rPr>
        <w:t>主要设备材料表；</w:t>
      </w:r>
    </w:p>
    <w:p>
      <w:pPr>
        <w:pStyle w:val="28"/>
        <w:numPr>
          <w:ilvl w:val="0"/>
          <w:numId w:val="6"/>
        </w:numPr>
        <w:spacing w:line="360" w:lineRule="auto"/>
        <w:ind w:left="180" w:leftChars="75" w:firstLine="480" w:firstLineChars="200"/>
        <w:rPr>
          <w:szCs w:val="24"/>
        </w:rPr>
      </w:pPr>
      <w:r>
        <w:rPr>
          <w:szCs w:val="24"/>
        </w:rPr>
        <w:t>绿色建材产品认证标识证明文件；</w:t>
      </w:r>
    </w:p>
    <w:p>
      <w:pPr>
        <w:pStyle w:val="28"/>
        <w:numPr>
          <w:ilvl w:val="0"/>
          <w:numId w:val="6"/>
        </w:numPr>
        <w:spacing w:line="360" w:lineRule="auto"/>
        <w:ind w:left="180" w:leftChars="75" w:firstLine="480" w:firstLineChars="200"/>
        <w:rPr>
          <w:szCs w:val="24"/>
        </w:rPr>
      </w:pPr>
      <w:r>
        <w:rPr>
          <w:szCs w:val="24"/>
        </w:rPr>
        <w:t>高性能设备产品能效认证标识证明文件。</w:t>
      </w:r>
    </w:p>
    <w:p>
      <w:pPr>
        <w:spacing w:line="360" w:lineRule="auto"/>
        <w:rPr>
          <w:szCs w:val="24"/>
        </w:rPr>
        <w:sectPr>
          <w:footerReference r:id="rId11" w:type="default"/>
          <w:pgSz w:w="11906" w:h="16838"/>
          <w:pgMar w:top="1440" w:right="1800" w:bottom="1440" w:left="1800" w:header="851" w:footer="992" w:gutter="0"/>
          <w:pgNumType w:start="1"/>
          <w:cols w:space="425" w:num="1"/>
          <w:docGrid w:type="lines" w:linePitch="312" w:charSpace="0"/>
        </w:sectPr>
      </w:pPr>
    </w:p>
    <w:p>
      <w:pPr>
        <w:keepNext/>
        <w:keepLines/>
        <w:spacing w:before="156" w:beforeLines="50" w:after="156" w:afterLines="50"/>
        <w:jc w:val="center"/>
        <w:outlineLvl w:val="0"/>
        <w:rPr>
          <w:rFonts w:eastAsia="黑体"/>
          <w:b/>
          <w:kern w:val="44"/>
          <w:sz w:val="30"/>
          <w:szCs w:val="24"/>
        </w:rPr>
      </w:pPr>
      <w:bookmarkStart w:id="142" w:name="_Toc153217980"/>
      <w:bookmarkStart w:id="143" w:name="_Toc153218030"/>
      <w:bookmarkStart w:id="144" w:name="_Toc215047940"/>
      <w:r>
        <w:rPr>
          <w:rFonts w:eastAsia="黑体"/>
          <w:b/>
          <w:kern w:val="44"/>
          <w:sz w:val="30"/>
          <w:szCs w:val="24"/>
        </w:rPr>
        <w:t>用词说明</w:t>
      </w:r>
      <w:bookmarkEnd w:id="142"/>
      <w:bookmarkEnd w:id="143"/>
      <w:bookmarkEnd w:id="144"/>
    </w:p>
    <w:p>
      <w:pPr>
        <w:spacing w:line="360" w:lineRule="auto"/>
        <w:ind w:firstLine="487" w:firstLineChars="202"/>
        <w:rPr>
          <w:kern w:val="2"/>
          <w:szCs w:val="24"/>
        </w:rPr>
      </w:pPr>
      <w:r>
        <w:rPr>
          <w:b/>
          <w:bCs/>
          <w:kern w:val="2"/>
          <w:szCs w:val="24"/>
        </w:rPr>
        <w:t>1</w:t>
      </w:r>
      <w:r>
        <w:rPr>
          <w:kern w:val="2"/>
          <w:szCs w:val="24"/>
        </w:rPr>
        <w:t>　为便于在执行本标准条文时区别对待，对要求严格程度不同的用词说明如下：</w:t>
      </w:r>
    </w:p>
    <w:p>
      <w:pPr>
        <w:spacing w:line="360" w:lineRule="auto"/>
        <w:ind w:right="-382" w:rightChars="-159" w:firstLine="812" w:firstLineChars="337"/>
        <w:rPr>
          <w:kern w:val="2"/>
          <w:szCs w:val="24"/>
        </w:rPr>
      </w:pPr>
      <w:r>
        <w:rPr>
          <w:b/>
          <w:bCs/>
          <w:kern w:val="2"/>
          <w:szCs w:val="24"/>
        </w:rPr>
        <w:t>1）</w:t>
      </w:r>
      <w:r>
        <w:rPr>
          <w:kern w:val="2"/>
          <w:szCs w:val="24"/>
        </w:rPr>
        <w:t>表示很严格，非这样做不可的：</w:t>
      </w:r>
    </w:p>
    <w:p>
      <w:pPr>
        <w:spacing w:line="360" w:lineRule="auto"/>
        <w:ind w:right="-382" w:rightChars="-159" w:firstLine="1132" w:firstLineChars="472"/>
        <w:rPr>
          <w:kern w:val="2"/>
          <w:szCs w:val="24"/>
        </w:rPr>
      </w:pPr>
      <w:r>
        <w:rPr>
          <w:kern w:val="2"/>
          <w:szCs w:val="24"/>
        </w:rPr>
        <w:t>正面词采用“必须”，反面词采用“严禁”；</w:t>
      </w:r>
    </w:p>
    <w:p>
      <w:pPr>
        <w:spacing w:line="360" w:lineRule="auto"/>
        <w:ind w:right="-382" w:rightChars="-159" w:firstLine="812" w:firstLineChars="337"/>
        <w:rPr>
          <w:kern w:val="2"/>
          <w:szCs w:val="24"/>
        </w:rPr>
      </w:pPr>
      <w:r>
        <w:rPr>
          <w:b/>
          <w:bCs/>
          <w:kern w:val="2"/>
          <w:szCs w:val="24"/>
        </w:rPr>
        <w:t>2）</w:t>
      </w:r>
      <w:r>
        <w:rPr>
          <w:kern w:val="2"/>
          <w:szCs w:val="24"/>
        </w:rPr>
        <w:t>表示严格，在正常情况下均应这样做的：</w:t>
      </w:r>
    </w:p>
    <w:p>
      <w:pPr>
        <w:spacing w:line="360" w:lineRule="auto"/>
        <w:ind w:right="-382" w:rightChars="-159" w:firstLine="1132" w:firstLineChars="472"/>
        <w:rPr>
          <w:kern w:val="2"/>
          <w:szCs w:val="24"/>
        </w:rPr>
      </w:pPr>
      <w:r>
        <w:rPr>
          <w:kern w:val="2"/>
          <w:szCs w:val="24"/>
        </w:rPr>
        <w:t>正面词采用“应”，反面词采用“不应”或“不得”；</w:t>
      </w:r>
    </w:p>
    <w:p>
      <w:pPr>
        <w:spacing w:line="360" w:lineRule="auto"/>
        <w:ind w:right="-382" w:rightChars="-159" w:firstLine="812" w:firstLineChars="337"/>
        <w:rPr>
          <w:kern w:val="2"/>
          <w:szCs w:val="24"/>
        </w:rPr>
      </w:pPr>
      <w:r>
        <w:rPr>
          <w:b/>
          <w:bCs/>
          <w:kern w:val="2"/>
          <w:szCs w:val="24"/>
        </w:rPr>
        <w:t>3）</w:t>
      </w:r>
      <w:r>
        <w:rPr>
          <w:kern w:val="2"/>
          <w:szCs w:val="24"/>
        </w:rPr>
        <w:t>表示允许稍有选择，在条件许可时首先应这样做的：</w:t>
      </w:r>
    </w:p>
    <w:p>
      <w:pPr>
        <w:spacing w:line="360" w:lineRule="auto"/>
        <w:ind w:right="-382" w:rightChars="-159" w:firstLine="1132" w:firstLineChars="472"/>
        <w:rPr>
          <w:kern w:val="2"/>
          <w:szCs w:val="24"/>
        </w:rPr>
      </w:pPr>
      <w:r>
        <w:rPr>
          <w:kern w:val="2"/>
          <w:szCs w:val="24"/>
        </w:rPr>
        <w:t>正面词采用“宜”，反面词采用“不宜”；</w:t>
      </w:r>
    </w:p>
    <w:p>
      <w:pPr>
        <w:spacing w:line="360" w:lineRule="auto"/>
        <w:ind w:right="-382" w:rightChars="-159" w:firstLine="812" w:firstLineChars="337"/>
        <w:rPr>
          <w:kern w:val="2"/>
          <w:szCs w:val="24"/>
        </w:rPr>
      </w:pPr>
      <w:r>
        <w:rPr>
          <w:b/>
          <w:bCs/>
          <w:kern w:val="2"/>
          <w:szCs w:val="24"/>
        </w:rPr>
        <w:t>4）</w:t>
      </w:r>
      <w:r>
        <w:rPr>
          <w:kern w:val="2"/>
          <w:szCs w:val="24"/>
        </w:rPr>
        <w:t>表示有选择，在一定条件下可以这样做的，采用“可”。</w:t>
      </w:r>
    </w:p>
    <w:p>
      <w:pPr>
        <w:spacing w:line="360" w:lineRule="auto"/>
        <w:ind w:firstLine="487" w:firstLineChars="202"/>
        <w:rPr>
          <w:kern w:val="2"/>
          <w:szCs w:val="24"/>
        </w:rPr>
      </w:pPr>
      <w:r>
        <w:rPr>
          <w:b/>
          <w:bCs/>
          <w:kern w:val="2"/>
          <w:szCs w:val="24"/>
        </w:rPr>
        <w:t>2</w:t>
      </w:r>
      <w:r>
        <w:rPr>
          <w:kern w:val="2"/>
          <w:szCs w:val="24"/>
        </w:rPr>
        <w:t>　条文中指明应按其它有关标准执行时的写法为：“应符合……的规定”或“应按……执行”。</w:t>
      </w:r>
    </w:p>
    <w:p>
      <w:pPr>
        <w:spacing w:line="360" w:lineRule="auto"/>
        <w:ind w:firstLine="420" w:firstLineChars="175"/>
        <w:rPr>
          <w:szCs w:val="24"/>
        </w:rPr>
      </w:pPr>
    </w:p>
    <w:p>
      <w:pPr>
        <w:spacing w:line="360" w:lineRule="auto"/>
        <w:ind w:firstLine="420" w:firstLineChars="175"/>
        <w:rPr>
          <w:szCs w:val="24"/>
        </w:rPr>
      </w:pPr>
    </w:p>
    <w:p>
      <w:pPr>
        <w:spacing w:line="360" w:lineRule="auto"/>
        <w:ind w:firstLine="420" w:firstLineChars="175"/>
        <w:rPr>
          <w:szCs w:val="24"/>
        </w:rPr>
      </w:pPr>
    </w:p>
    <w:p>
      <w:pPr>
        <w:spacing w:line="360" w:lineRule="auto"/>
        <w:ind w:firstLine="420" w:firstLineChars="175"/>
        <w:rPr>
          <w:szCs w:val="24"/>
        </w:rPr>
      </w:pPr>
    </w:p>
    <w:p>
      <w:pPr>
        <w:widowControl/>
        <w:jc w:val="left"/>
        <w:rPr>
          <w:szCs w:val="24"/>
        </w:rPr>
      </w:pPr>
      <w:r>
        <w:rPr>
          <w:szCs w:val="24"/>
        </w:rPr>
        <w:br w:type="page"/>
      </w:r>
    </w:p>
    <w:p>
      <w:pPr>
        <w:keepNext/>
        <w:keepLines/>
        <w:spacing w:before="156" w:beforeLines="50" w:after="156" w:afterLines="50"/>
        <w:jc w:val="center"/>
        <w:outlineLvl w:val="0"/>
        <w:rPr>
          <w:rFonts w:eastAsia="黑体"/>
          <w:b/>
          <w:kern w:val="44"/>
          <w:sz w:val="30"/>
          <w:szCs w:val="24"/>
        </w:rPr>
      </w:pPr>
      <w:bookmarkStart w:id="145" w:name="_Toc153217981"/>
      <w:bookmarkStart w:id="146" w:name="_Toc215047941"/>
      <w:bookmarkStart w:id="147" w:name="_Toc153218031"/>
      <w:r>
        <w:rPr>
          <w:rFonts w:eastAsia="黑体"/>
          <w:b/>
          <w:kern w:val="44"/>
          <w:sz w:val="30"/>
          <w:szCs w:val="24"/>
        </w:rPr>
        <w:t>引用标准名录</w:t>
      </w:r>
      <w:bookmarkEnd w:id="145"/>
      <w:bookmarkEnd w:id="146"/>
      <w:bookmarkEnd w:id="147"/>
    </w:p>
    <w:p>
      <w:pPr>
        <w:widowControl/>
        <w:tabs>
          <w:tab w:val="left" w:pos="312"/>
        </w:tabs>
        <w:adjustRightInd w:val="0"/>
        <w:snapToGrid w:val="0"/>
        <w:spacing w:line="360" w:lineRule="auto"/>
        <w:ind w:firstLine="480" w:firstLineChars="200"/>
        <w:jc w:val="left"/>
        <w:rPr>
          <w:b/>
          <w:sz w:val="30"/>
        </w:rPr>
      </w:pPr>
      <w:r>
        <w:rPr>
          <w:bCs/>
          <w:szCs w:val="24"/>
        </w:rPr>
        <w:t>本标准引用下列标准。其中，注日期的，仅对该日期对应的版本适用本标准；不注日期的，其最新版适用于本标准。</w:t>
      </w:r>
    </w:p>
    <w:p>
      <w:pPr>
        <w:tabs>
          <w:tab w:val="left" w:pos="2430"/>
        </w:tabs>
        <w:spacing w:line="360" w:lineRule="auto"/>
        <w:jc w:val="left"/>
        <w:rPr>
          <w:szCs w:val="32"/>
        </w:rPr>
      </w:pPr>
      <w:r>
        <w:rPr>
          <w:bCs/>
          <w:szCs w:val="24"/>
        </w:rPr>
        <w:t>《建筑节能与可再生能源利用通用规范》GB 55015</w:t>
      </w:r>
    </w:p>
    <w:p>
      <w:pPr>
        <w:tabs>
          <w:tab w:val="left" w:pos="2430"/>
        </w:tabs>
        <w:spacing w:line="360" w:lineRule="auto"/>
        <w:jc w:val="left"/>
        <w:rPr>
          <w:szCs w:val="32"/>
        </w:rPr>
      </w:pPr>
      <w:r>
        <w:rPr>
          <w:bCs/>
          <w:szCs w:val="24"/>
        </w:rPr>
        <w:t>《民用建筑供暖通风与空气调节设计规范》GB 50736</w:t>
      </w:r>
    </w:p>
    <w:p>
      <w:pPr>
        <w:tabs>
          <w:tab w:val="left" w:pos="2430"/>
        </w:tabs>
        <w:spacing w:line="360" w:lineRule="auto"/>
        <w:jc w:val="left"/>
        <w:rPr>
          <w:bCs/>
          <w:szCs w:val="24"/>
        </w:rPr>
      </w:pPr>
      <w:r>
        <w:rPr>
          <w:bCs/>
          <w:szCs w:val="24"/>
        </w:rPr>
        <w:t>《近零能耗建筑技术标准》GB/T 51350</w:t>
      </w:r>
    </w:p>
    <w:p>
      <w:pPr>
        <w:tabs>
          <w:tab w:val="left" w:pos="2430"/>
        </w:tabs>
        <w:spacing w:line="360" w:lineRule="auto"/>
        <w:jc w:val="left"/>
        <w:rPr>
          <w:bCs/>
          <w:szCs w:val="24"/>
        </w:rPr>
      </w:pPr>
      <w:r>
        <w:rPr>
          <w:bCs/>
          <w:szCs w:val="24"/>
        </w:rPr>
        <w:t>《家用燃气快速热水器和燃气采暖热水炉能效限定值及能效等级》GB 20665</w:t>
      </w:r>
    </w:p>
    <w:p>
      <w:pPr>
        <w:tabs>
          <w:tab w:val="left" w:pos="2430"/>
        </w:tabs>
        <w:spacing w:line="360" w:lineRule="auto"/>
        <w:jc w:val="left"/>
        <w:rPr>
          <w:bCs/>
          <w:szCs w:val="24"/>
        </w:rPr>
      </w:pPr>
      <w:r>
        <w:rPr>
          <w:bCs/>
          <w:szCs w:val="24"/>
        </w:rPr>
        <w:t>《房间空气调节器能效限定值及能效等级》GB 21455</w:t>
      </w:r>
    </w:p>
    <w:p>
      <w:pPr>
        <w:tabs>
          <w:tab w:val="left" w:pos="2430"/>
        </w:tabs>
        <w:spacing w:line="360" w:lineRule="auto"/>
        <w:jc w:val="left"/>
        <w:rPr>
          <w:bCs/>
          <w:szCs w:val="24"/>
        </w:rPr>
      </w:pPr>
      <w:r>
        <w:rPr>
          <w:bCs/>
          <w:szCs w:val="24"/>
        </w:rPr>
        <w:t>《热泵和冷水机组能效限定值及能效等级》GB 19577</w:t>
      </w:r>
    </w:p>
    <w:p>
      <w:pPr>
        <w:widowControl/>
        <w:jc w:val="left"/>
        <w:rPr>
          <w:b/>
          <w:sz w:val="30"/>
        </w:rPr>
      </w:pPr>
    </w:p>
    <w:sectPr>
      <w:footerReference r:id="rId12"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left="525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rPr>
        <w:rFonts w:ascii="Times New Roman" w:hAnsi="Times New Roman" w:cs="Times New Roman"/>
      </w:rPr>
    </w:pPr>
  </w:p>
  <w:p>
    <w:pPr>
      <w:pStyle w:val="13"/>
      <w:rPr>
        <w:rFonts w:hint="eastAsi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rPr>
        <w:rFonts w:ascii="Times New Roman" w:hAnsi="Times New Roman" w:cs="Times New Roman"/>
      </w:rPr>
    </w:pPr>
  </w:p>
  <w:p>
    <w:pPr>
      <w:pStyle w:val="13"/>
      <w:rPr>
        <w:rFonts w:hint="eastAsi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29086676"/>
    </w:sdtPr>
    <w:sdtEndPr>
      <w:rPr>
        <w:rFonts w:ascii="Times New Roman" w:hAnsi="Times New Roman" w:cs="Times New Roman"/>
      </w:rPr>
    </w:sdtEndPr>
    <w:sdtContent>
      <w:p>
        <w:pPr>
          <w:pStyle w:val="13"/>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8</w:t>
        </w:r>
        <w:r>
          <w:rPr>
            <w:rFonts w:ascii="Times New Roman" w:hAnsi="Times New Roman" w:cs="Times New Roman"/>
          </w:rPr>
          <w:fldChar w:fldCharType="end"/>
        </w:r>
      </w:p>
    </w:sdtContent>
  </w:sdt>
  <w:p>
    <w:pPr>
      <w:pStyle w:val="13"/>
      <w:rPr>
        <w:rFonts w:hint="eastAsi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95642922"/>
    </w:sdtPr>
    <w:sdtEndPr>
      <w:rPr>
        <w:rFonts w:ascii="Times New Roman" w:hAnsi="Times New Roman" w:cs="Times New Roman"/>
      </w:rPr>
    </w:sdtEndPr>
    <w:sdtContent>
      <w:p>
        <w:pPr>
          <w:pStyle w:val="13"/>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22</w:t>
        </w:r>
        <w:r>
          <w:rPr>
            <w:rFonts w:ascii="Times New Roman" w:hAnsi="Times New Roman" w:cs="Times New Roman"/>
          </w:rPr>
          <w:fldChar w:fldCharType="end"/>
        </w:r>
      </w:p>
    </w:sdtContent>
  </w:sdt>
  <w:p>
    <w:pPr>
      <w:pStyle w:val="13"/>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869C2B"/>
    <w:multiLevelType w:val="multilevel"/>
    <w:tmpl w:val="81869C2B"/>
    <w:lvl w:ilvl="0" w:tentative="0">
      <w:start w:val="1"/>
      <w:numFmt w:val="decimal"/>
      <w:suff w:val="space"/>
      <w:lvlText w:val="5.1.%1"/>
      <w:lvlJc w:val="left"/>
      <w:pPr>
        <w:tabs>
          <w:tab w:val="left" w:pos="992"/>
        </w:tabs>
        <w:ind w:left="1412" w:hanging="420"/>
      </w:pPr>
      <w:rPr>
        <w:rFonts w:hint="default"/>
        <w:b/>
        <w:bCs/>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1">
    <w:nsid w:val="F18846AE"/>
    <w:multiLevelType w:val="multilevel"/>
    <w:tmpl w:val="F18846AE"/>
    <w:lvl w:ilvl="0" w:tentative="0">
      <w:start w:val="1"/>
      <w:numFmt w:val="decimal"/>
      <w:suff w:val="space"/>
      <w:lvlText w:val="5.2.%1"/>
      <w:lvlJc w:val="left"/>
      <w:pPr>
        <w:ind w:left="420" w:hanging="420"/>
      </w:pPr>
      <w:rPr>
        <w:rFonts w:hint="eastAsia"/>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DD13E4E"/>
    <w:multiLevelType w:val="multilevel"/>
    <w:tmpl w:val="0DD13E4E"/>
    <w:lvl w:ilvl="0" w:tentative="0">
      <w:start w:val="1"/>
      <w:numFmt w:val="decimal"/>
      <w:lvlText w:val="%1"/>
      <w:lvlJc w:val="left"/>
      <w:pPr>
        <w:ind w:left="900" w:hanging="420"/>
      </w:pPr>
      <w:rPr>
        <w:rFonts w:hint="default" w:ascii="Times New Roman" w:hAnsi="Times New Roman" w:eastAsia="Times New Roman" w:cs="Times New Roman"/>
        <w:b w:val="0"/>
        <w:bCs w:val="0"/>
        <w:i w:val="0"/>
        <w:iCs w:val="0"/>
        <w:w w:val="100"/>
        <w:sz w:val="24"/>
        <w:szCs w:val="24"/>
        <w:lang w:val="en-US" w:eastAsia="en-US" w:bidi="ar-S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
    <w:nsid w:val="37FC0443"/>
    <w:multiLevelType w:val="multilevel"/>
    <w:tmpl w:val="37FC0443"/>
    <w:lvl w:ilvl="0" w:tentative="0">
      <w:start w:val="1"/>
      <w:numFmt w:val="decimal"/>
      <w:suff w:val="space"/>
      <w:lvlText w:val="6.1.%1 "/>
      <w:lvlJc w:val="left"/>
      <w:pPr>
        <w:ind w:left="0" w:firstLine="0"/>
      </w:pPr>
      <w:rPr>
        <w:rFonts w:hint="default" w:ascii="Times New Roman" w:hAnsi="Times New Roman"/>
        <w:b/>
        <w:bCs/>
        <w:i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801730B"/>
    <w:multiLevelType w:val="multilevel"/>
    <w:tmpl w:val="5801730B"/>
    <w:lvl w:ilvl="0" w:tentative="0">
      <w:start w:val="1"/>
      <w:numFmt w:val="decimal"/>
      <w:lvlText w:val="%1"/>
      <w:lvlJc w:val="left"/>
      <w:pPr>
        <w:ind w:left="900" w:hanging="420"/>
      </w:pPr>
      <w:rPr>
        <w:rFonts w:hint="default" w:ascii="Times New Roman" w:hAnsi="Times New Roman" w:eastAsia="Times New Roman" w:cs="Times New Roman"/>
        <w:b w:val="0"/>
        <w:bCs w:val="0"/>
        <w:i w:val="0"/>
        <w:iCs w:val="0"/>
        <w:w w:val="100"/>
        <w:sz w:val="24"/>
        <w:szCs w:val="24"/>
        <w:lang w:val="en-US" w:eastAsia="en-US" w:bidi="ar-S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
    <w:nsid w:val="799228F5"/>
    <w:multiLevelType w:val="multilevel"/>
    <w:tmpl w:val="799228F5"/>
    <w:lvl w:ilvl="0" w:tentative="0">
      <w:start w:val="1"/>
      <w:numFmt w:val="decimal"/>
      <w:lvlText w:val="%1"/>
      <w:lvlJc w:val="left"/>
      <w:pPr>
        <w:ind w:left="900" w:hanging="420"/>
      </w:pPr>
      <w:rPr>
        <w:rFonts w:hint="default" w:ascii="Times New Roman" w:hAnsi="Times New Roman" w:eastAsia="Times New Roman" w:cs="Times New Roman"/>
        <w:b w:val="0"/>
        <w:bCs w:val="0"/>
        <w:i w:val="0"/>
        <w:iCs w:val="0"/>
        <w:w w:val="100"/>
        <w:sz w:val="24"/>
        <w:szCs w:val="24"/>
        <w:lang w:val="en-US" w:eastAsia="en-US" w:bidi="ar-S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 w:numId="2">
    <w:abstractNumId w:val="1"/>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noPunctuationKerning w:val="1"/>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QxMmIyNjIwMThlZDEzZjhkOTc5MDRkZWY2MTQ2ZDcifQ=="/>
  </w:docVars>
  <w:rsids>
    <w:rsidRoot w:val="00396523"/>
    <w:rsid w:val="000000C1"/>
    <w:rsid w:val="000020C4"/>
    <w:rsid w:val="000022BC"/>
    <w:rsid w:val="00002FDE"/>
    <w:rsid w:val="000031F8"/>
    <w:rsid w:val="00003C86"/>
    <w:rsid w:val="00004BEC"/>
    <w:rsid w:val="000058F3"/>
    <w:rsid w:val="00005E06"/>
    <w:rsid w:val="00007471"/>
    <w:rsid w:val="00010FD1"/>
    <w:rsid w:val="0001129B"/>
    <w:rsid w:val="00012781"/>
    <w:rsid w:val="00013ABD"/>
    <w:rsid w:val="00014635"/>
    <w:rsid w:val="00015558"/>
    <w:rsid w:val="000162DA"/>
    <w:rsid w:val="000168BB"/>
    <w:rsid w:val="000174FA"/>
    <w:rsid w:val="00022317"/>
    <w:rsid w:val="000226A4"/>
    <w:rsid w:val="00022C14"/>
    <w:rsid w:val="00022ECC"/>
    <w:rsid w:val="000246D2"/>
    <w:rsid w:val="0002619F"/>
    <w:rsid w:val="00026AF3"/>
    <w:rsid w:val="000278C4"/>
    <w:rsid w:val="00030E04"/>
    <w:rsid w:val="00031A77"/>
    <w:rsid w:val="00032464"/>
    <w:rsid w:val="000326B5"/>
    <w:rsid w:val="000326FD"/>
    <w:rsid w:val="00034323"/>
    <w:rsid w:val="00035194"/>
    <w:rsid w:val="00035F00"/>
    <w:rsid w:val="00036050"/>
    <w:rsid w:val="00036D74"/>
    <w:rsid w:val="00037422"/>
    <w:rsid w:val="000408AB"/>
    <w:rsid w:val="00042450"/>
    <w:rsid w:val="00043D7C"/>
    <w:rsid w:val="00044B38"/>
    <w:rsid w:val="00044C4F"/>
    <w:rsid w:val="00045267"/>
    <w:rsid w:val="00045EFA"/>
    <w:rsid w:val="000461D5"/>
    <w:rsid w:val="0004628D"/>
    <w:rsid w:val="000463A5"/>
    <w:rsid w:val="00047808"/>
    <w:rsid w:val="000505CF"/>
    <w:rsid w:val="000515BE"/>
    <w:rsid w:val="00052357"/>
    <w:rsid w:val="00052F2D"/>
    <w:rsid w:val="00053AF2"/>
    <w:rsid w:val="00054B57"/>
    <w:rsid w:val="00055C81"/>
    <w:rsid w:val="00057412"/>
    <w:rsid w:val="000575C6"/>
    <w:rsid w:val="00060FB4"/>
    <w:rsid w:val="000618DD"/>
    <w:rsid w:val="0006289B"/>
    <w:rsid w:val="00063593"/>
    <w:rsid w:val="00063DBA"/>
    <w:rsid w:val="00064146"/>
    <w:rsid w:val="000649A9"/>
    <w:rsid w:val="00064D6A"/>
    <w:rsid w:val="00065FD9"/>
    <w:rsid w:val="0006650E"/>
    <w:rsid w:val="00066A30"/>
    <w:rsid w:val="000704D6"/>
    <w:rsid w:val="000716FA"/>
    <w:rsid w:val="00071748"/>
    <w:rsid w:val="000718E6"/>
    <w:rsid w:val="00072B02"/>
    <w:rsid w:val="000731EA"/>
    <w:rsid w:val="00075AB6"/>
    <w:rsid w:val="0007600B"/>
    <w:rsid w:val="00076600"/>
    <w:rsid w:val="00076E63"/>
    <w:rsid w:val="000774F6"/>
    <w:rsid w:val="00080008"/>
    <w:rsid w:val="000805C9"/>
    <w:rsid w:val="0008094F"/>
    <w:rsid w:val="00082164"/>
    <w:rsid w:val="0008219A"/>
    <w:rsid w:val="00082257"/>
    <w:rsid w:val="00082847"/>
    <w:rsid w:val="0008308C"/>
    <w:rsid w:val="000830F9"/>
    <w:rsid w:val="000838BC"/>
    <w:rsid w:val="00083DFC"/>
    <w:rsid w:val="00083E39"/>
    <w:rsid w:val="00084A2A"/>
    <w:rsid w:val="00084D32"/>
    <w:rsid w:val="00084E27"/>
    <w:rsid w:val="00084EC1"/>
    <w:rsid w:val="00085BDC"/>
    <w:rsid w:val="00086760"/>
    <w:rsid w:val="00093C5A"/>
    <w:rsid w:val="00095354"/>
    <w:rsid w:val="000957B7"/>
    <w:rsid w:val="00095837"/>
    <w:rsid w:val="000975A4"/>
    <w:rsid w:val="000A1714"/>
    <w:rsid w:val="000A1EDE"/>
    <w:rsid w:val="000A2113"/>
    <w:rsid w:val="000A2C3D"/>
    <w:rsid w:val="000A3937"/>
    <w:rsid w:val="000A3DFC"/>
    <w:rsid w:val="000A717B"/>
    <w:rsid w:val="000A7777"/>
    <w:rsid w:val="000B0701"/>
    <w:rsid w:val="000B0934"/>
    <w:rsid w:val="000B0B77"/>
    <w:rsid w:val="000B18C8"/>
    <w:rsid w:val="000B37BC"/>
    <w:rsid w:val="000B5D74"/>
    <w:rsid w:val="000B5ED1"/>
    <w:rsid w:val="000B5F5E"/>
    <w:rsid w:val="000C09E0"/>
    <w:rsid w:val="000C118E"/>
    <w:rsid w:val="000C1A3A"/>
    <w:rsid w:val="000C3A26"/>
    <w:rsid w:val="000C4916"/>
    <w:rsid w:val="000C5206"/>
    <w:rsid w:val="000C6099"/>
    <w:rsid w:val="000C610F"/>
    <w:rsid w:val="000C6C14"/>
    <w:rsid w:val="000C7513"/>
    <w:rsid w:val="000C76AA"/>
    <w:rsid w:val="000C7CBD"/>
    <w:rsid w:val="000D0074"/>
    <w:rsid w:val="000D092F"/>
    <w:rsid w:val="000D0EB1"/>
    <w:rsid w:val="000D31EB"/>
    <w:rsid w:val="000D35A1"/>
    <w:rsid w:val="000D3904"/>
    <w:rsid w:val="000D431B"/>
    <w:rsid w:val="000D44C0"/>
    <w:rsid w:val="000D6650"/>
    <w:rsid w:val="000D6A44"/>
    <w:rsid w:val="000D7405"/>
    <w:rsid w:val="000E02C6"/>
    <w:rsid w:val="000E0422"/>
    <w:rsid w:val="000E0FCC"/>
    <w:rsid w:val="000E295D"/>
    <w:rsid w:val="000E3401"/>
    <w:rsid w:val="000E40E6"/>
    <w:rsid w:val="000E44DC"/>
    <w:rsid w:val="000E47B9"/>
    <w:rsid w:val="000E51CC"/>
    <w:rsid w:val="000E5F37"/>
    <w:rsid w:val="000F0564"/>
    <w:rsid w:val="000F098D"/>
    <w:rsid w:val="000F09B6"/>
    <w:rsid w:val="000F26CF"/>
    <w:rsid w:val="000F70C8"/>
    <w:rsid w:val="000F73D5"/>
    <w:rsid w:val="00100191"/>
    <w:rsid w:val="001023D1"/>
    <w:rsid w:val="001025D0"/>
    <w:rsid w:val="00103357"/>
    <w:rsid w:val="001041CA"/>
    <w:rsid w:val="00104F25"/>
    <w:rsid w:val="00106163"/>
    <w:rsid w:val="0010687A"/>
    <w:rsid w:val="001069AF"/>
    <w:rsid w:val="00107A25"/>
    <w:rsid w:val="001103F5"/>
    <w:rsid w:val="00110432"/>
    <w:rsid w:val="00110D6F"/>
    <w:rsid w:val="001114A1"/>
    <w:rsid w:val="001124A5"/>
    <w:rsid w:val="00113F77"/>
    <w:rsid w:val="00116B0C"/>
    <w:rsid w:val="00117152"/>
    <w:rsid w:val="001232B3"/>
    <w:rsid w:val="0012451C"/>
    <w:rsid w:val="00126485"/>
    <w:rsid w:val="0013021D"/>
    <w:rsid w:val="00130418"/>
    <w:rsid w:val="001316E8"/>
    <w:rsid w:val="001318A2"/>
    <w:rsid w:val="00132629"/>
    <w:rsid w:val="0013271A"/>
    <w:rsid w:val="001333D0"/>
    <w:rsid w:val="00133943"/>
    <w:rsid w:val="00135724"/>
    <w:rsid w:val="00136EFB"/>
    <w:rsid w:val="00137D50"/>
    <w:rsid w:val="001405B4"/>
    <w:rsid w:val="001417F5"/>
    <w:rsid w:val="00142542"/>
    <w:rsid w:val="00142876"/>
    <w:rsid w:val="00144462"/>
    <w:rsid w:val="00144A39"/>
    <w:rsid w:val="00146901"/>
    <w:rsid w:val="00146E3D"/>
    <w:rsid w:val="00150B1E"/>
    <w:rsid w:val="00150DE7"/>
    <w:rsid w:val="00151061"/>
    <w:rsid w:val="00151A5F"/>
    <w:rsid w:val="00151EB4"/>
    <w:rsid w:val="001526EA"/>
    <w:rsid w:val="001528F8"/>
    <w:rsid w:val="00154FFD"/>
    <w:rsid w:val="00155715"/>
    <w:rsid w:val="00156389"/>
    <w:rsid w:val="00156AB0"/>
    <w:rsid w:val="00156DA5"/>
    <w:rsid w:val="00156F97"/>
    <w:rsid w:val="0015731E"/>
    <w:rsid w:val="001579A3"/>
    <w:rsid w:val="00157FCD"/>
    <w:rsid w:val="0016020D"/>
    <w:rsid w:val="00160C8A"/>
    <w:rsid w:val="00160EEC"/>
    <w:rsid w:val="00161022"/>
    <w:rsid w:val="00161656"/>
    <w:rsid w:val="00164E6D"/>
    <w:rsid w:val="0016502F"/>
    <w:rsid w:val="00165064"/>
    <w:rsid w:val="00165514"/>
    <w:rsid w:val="001667C0"/>
    <w:rsid w:val="001669CD"/>
    <w:rsid w:val="00170370"/>
    <w:rsid w:val="001705EA"/>
    <w:rsid w:val="00170D36"/>
    <w:rsid w:val="0017139F"/>
    <w:rsid w:val="00171AD3"/>
    <w:rsid w:val="00172485"/>
    <w:rsid w:val="001734C7"/>
    <w:rsid w:val="001747AC"/>
    <w:rsid w:val="00174CD8"/>
    <w:rsid w:val="0017519A"/>
    <w:rsid w:val="00175870"/>
    <w:rsid w:val="001765E8"/>
    <w:rsid w:val="00177932"/>
    <w:rsid w:val="0017799F"/>
    <w:rsid w:val="00177DD1"/>
    <w:rsid w:val="00182497"/>
    <w:rsid w:val="00182748"/>
    <w:rsid w:val="00182D6D"/>
    <w:rsid w:val="00182D76"/>
    <w:rsid w:val="00182E09"/>
    <w:rsid w:val="00183E9F"/>
    <w:rsid w:val="00184CEC"/>
    <w:rsid w:val="00185A19"/>
    <w:rsid w:val="00187D72"/>
    <w:rsid w:val="00190051"/>
    <w:rsid w:val="00190514"/>
    <w:rsid w:val="00190BDC"/>
    <w:rsid w:val="00191A4A"/>
    <w:rsid w:val="00192DC1"/>
    <w:rsid w:val="00192DD0"/>
    <w:rsid w:val="001932F1"/>
    <w:rsid w:val="001A07AB"/>
    <w:rsid w:val="001A14FD"/>
    <w:rsid w:val="001A181F"/>
    <w:rsid w:val="001A20D2"/>
    <w:rsid w:val="001A21F7"/>
    <w:rsid w:val="001A24FA"/>
    <w:rsid w:val="001A377C"/>
    <w:rsid w:val="001A3A34"/>
    <w:rsid w:val="001A4A6C"/>
    <w:rsid w:val="001A576A"/>
    <w:rsid w:val="001A7614"/>
    <w:rsid w:val="001A7BF7"/>
    <w:rsid w:val="001B0355"/>
    <w:rsid w:val="001B12AA"/>
    <w:rsid w:val="001B2F3F"/>
    <w:rsid w:val="001B3469"/>
    <w:rsid w:val="001B431C"/>
    <w:rsid w:val="001B4524"/>
    <w:rsid w:val="001B4849"/>
    <w:rsid w:val="001B4D90"/>
    <w:rsid w:val="001B53EA"/>
    <w:rsid w:val="001B5DDC"/>
    <w:rsid w:val="001B6074"/>
    <w:rsid w:val="001B6485"/>
    <w:rsid w:val="001B670A"/>
    <w:rsid w:val="001B73C5"/>
    <w:rsid w:val="001B7483"/>
    <w:rsid w:val="001B7EC5"/>
    <w:rsid w:val="001C1254"/>
    <w:rsid w:val="001C1F13"/>
    <w:rsid w:val="001C2226"/>
    <w:rsid w:val="001C44EB"/>
    <w:rsid w:val="001C5152"/>
    <w:rsid w:val="001C6B00"/>
    <w:rsid w:val="001C6D93"/>
    <w:rsid w:val="001D0022"/>
    <w:rsid w:val="001D0EDC"/>
    <w:rsid w:val="001D155F"/>
    <w:rsid w:val="001D15A3"/>
    <w:rsid w:val="001D16FC"/>
    <w:rsid w:val="001D192D"/>
    <w:rsid w:val="001D1FB7"/>
    <w:rsid w:val="001D3604"/>
    <w:rsid w:val="001D463B"/>
    <w:rsid w:val="001D463E"/>
    <w:rsid w:val="001D5A1A"/>
    <w:rsid w:val="001D6307"/>
    <w:rsid w:val="001D6CFF"/>
    <w:rsid w:val="001E0521"/>
    <w:rsid w:val="001E0C50"/>
    <w:rsid w:val="001E0E89"/>
    <w:rsid w:val="001E0FCD"/>
    <w:rsid w:val="001E10B5"/>
    <w:rsid w:val="001E2B7B"/>
    <w:rsid w:val="001E3887"/>
    <w:rsid w:val="001E4A7A"/>
    <w:rsid w:val="001E4B0D"/>
    <w:rsid w:val="001E4C0E"/>
    <w:rsid w:val="001E4FAF"/>
    <w:rsid w:val="001E572D"/>
    <w:rsid w:val="001E6097"/>
    <w:rsid w:val="001E60CE"/>
    <w:rsid w:val="001E7622"/>
    <w:rsid w:val="001F11C9"/>
    <w:rsid w:val="001F1AA5"/>
    <w:rsid w:val="001F33C5"/>
    <w:rsid w:val="001F4ED9"/>
    <w:rsid w:val="001F79A5"/>
    <w:rsid w:val="00202E19"/>
    <w:rsid w:val="00203126"/>
    <w:rsid w:val="0020497E"/>
    <w:rsid w:val="00205AA9"/>
    <w:rsid w:val="00207FDD"/>
    <w:rsid w:val="00210D71"/>
    <w:rsid w:val="00211502"/>
    <w:rsid w:val="002132C8"/>
    <w:rsid w:val="00214700"/>
    <w:rsid w:val="00214C1A"/>
    <w:rsid w:val="00217DBF"/>
    <w:rsid w:val="00217EFE"/>
    <w:rsid w:val="00220285"/>
    <w:rsid w:val="002205F0"/>
    <w:rsid w:val="002208BF"/>
    <w:rsid w:val="00221D51"/>
    <w:rsid w:val="00222782"/>
    <w:rsid w:val="00223C12"/>
    <w:rsid w:val="00224453"/>
    <w:rsid w:val="00224581"/>
    <w:rsid w:val="00226AF1"/>
    <w:rsid w:val="00226F39"/>
    <w:rsid w:val="00227EEC"/>
    <w:rsid w:val="00230863"/>
    <w:rsid w:val="0023396B"/>
    <w:rsid w:val="0023516D"/>
    <w:rsid w:val="0023683F"/>
    <w:rsid w:val="00236A52"/>
    <w:rsid w:val="00237C05"/>
    <w:rsid w:val="00237D1C"/>
    <w:rsid w:val="00237DEF"/>
    <w:rsid w:val="002431A0"/>
    <w:rsid w:val="00243398"/>
    <w:rsid w:val="00243819"/>
    <w:rsid w:val="00243C66"/>
    <w:rsid w:val="002452F0"/>
    <w:rsid w:val="0024555E"/>
    <w:rsid w:val="002457D5"/>
    <w:rsid w:val="00246635"/>
    <w:rsid w:val="00247813"/>
    <w:rsid w:val="002547F7"/>
    <w:rsid w:val="00254854"/>
    <w:rsid w:val="00254FAF"/>
    <w:rsid w:val="00255BE1"/>
    <w:rsid w:val="002562CA"/>
    <w:rsid w:val="0025658D"/>
    <w:rsid w:val="00256590"/>
    <w:rsid w:val="00257727"/>
    <w:rsid w:val="0026023F"/>
    <w:rsid w:val="00264628"/>
    <w:rsid w:val="002649E2"/>
    <w:rsid w:val="002655BC"/>
    <w:rsid w:val="00265A9D"/>
    <w:rsid w:val="002662E2"/>
    <w:rsid w:val="0026692D"/>
    <w:rsid w:val="00266EB7"/>
    <w:rsid w:val="002677E0"/>
    <w:rsid w:val="002713D9"/>
    <w:rsid w:val="002732A5"/>
    <w:rsid w:val="00273617"/>
    <w:rsid w:val="00273CB4"/>
    <w:rsid w:val="00274910"/>
    <w:rsid w:val="00276837"/>
    <w:rsid w:val="00276ACC"/>
    <w:rsid w:val="00276DDC"/>
    <w:rsid w:val="00276E5E"/>
    <w:rsid w:val="002775C5"/>
    <w:rsid w:val="00277608"/>
    <w:rsid w:val="00280083"/>
    <w:rsid w:val="002805A9"/>
    <w:rsid w:val="0028069B"/>
    <w:rsid w:val="00281DF8"/>
    <w:rsid w:val="00282CB6"/>
    <w:rsid w:val="00282CB8"/>
    <w:rsid w:val="002832A2"/>
    <w:rsid w:val="0028387B"/>
    <w:rsid w:val="00283A11"/>
    <w:rsid w:val="00283C1F"/>
    <w:rsid w:val="00283F84"/>
    <w:rsid w:val="002851D4"/>
    <w:rsid w:val="002859B0"/>
    <w:rsid w:val="002859E6"/>
    <w:rsid w:val="00286BAE"/>
    <w:rsid w:val="00287797"/>
    <w:rsid w:val="00290270"/>
    <w:rsid w:val="00290498"/>
    <w:rsid w:val="0029247F"/>
    <w:rsid w:val="002937B7"/>
    <w:rsid w:val="00294B5A"/>
    <w:rsid w:val="00295272"/>
    <w:rsid w:val="00296AD7"/>
    <w:rsid w:val="00297316"/>
    <w:rsid w:val="002974DE"/>
    <w:rsid w:val="002A0526"/>
    <w:rsid w:val="002A0E66"/>
    <w:rsid w:val="002A3360"/>
    <w:rsid w:val="002A4362"/>
    <w:rsid w:val="002A609D"/>
    <w:rsid w:val="002A7972"/>
    <w:rsid w:val="002A7E63"/>
    <w:rsid w:val="002B0423"/>
    <w:rsid w:val="002B044C"/>
    <w:rsid w:val="002B11F2"/>
    <w:rsid w:val="002B1831"/>
    <w:rsid w:val="002B1B11"/>
    <w:rsid w:val="002B2B41"/>
    <w:rsid w:val="002B3D7B"/>
    <w:rsid w:val="002B48A4"/>
    <w:rsid w:val="002B49B8"/>
    <w:rsid w:val="002B4E07"/>
    <w:rsid w:val="002B5922"/>
    <w:rsid w:val="002B6728"/>
    <w:rsid w:val="002C0263"/>
    <w:rsid w:val="002C0689"/>
    <w:rsid w:val="002C0743"/>
    <w:rsid w:val="002C1273"/>
    <w:rsid w:val="002C2810"/>
    <w:rsid w:val="002C2CDE"/>
    <w:rsid w:val="002C34FF"/>
    <w:rsid w:val="002C35FA"/>
    <w:rsid w:val="002C3CD7"/>
    <w:rsid w:val="002C48B4"/>
    <w:rsid w:val="002C4AEC"/>
    <w:rsid w:val="002C6D3E"/>
    <w:rsid w:val="002C6E0D"/>
    <w:rsid w:val="002C6FD9"/>
    <w:rsid w:val="002C7706"/>
    <w:rsid w:val="002D0B55"/>
    <w:rsid w:val="002D1F5D"/>
    <w:rsid w:val="002D41B9"/>
    <w:rsid w:val="002D4A51"/>
    <w:rsid w:val="002D54BD"/>
    <w:rsid w:val="002D54CE"/>
    <w:rsid w:val="002D5A3E"/>
    <w:rsid w:val="002D6327"/>
    <w:rsid w:val="002D65F0"/>
    <w:rsid w:val="002D6B11"/>
    <w:rsid w:val="002D7B1A"/>
    <w:rsid w:val="002E02BB"/>
    <w:rsid w:val="002E1968"/>
    <w:rsid w:val="002E225A"/>
    <w:rsid w:val="002E2BB7"/>
    <w:rsid w:val="002E33E3"/>
    <w:rsid w:val="002E37CB"/>
    <w:rsid w:val="002E4FB6"/>
    <w:rsid w:val="002E64A0"/>
    <w:rsid w:val="002E7B7B"/>
    <w:rsid w:val="002F04CA"/>
    <w:rsid w:val="002F30B0"/>
    <w:rsid w:val="002F5C00"/>
    <w:rsid w:val="002F6152"/>
    <w:rsid w:val="003006A4"/>
    <w:rsid w:val="00301152"/>
    <w:rsid w:val="00301F80"/>
    <w:rsid w:val="00303320"/>
    <w:rsid w:val="003034CA"/>
    <w:rsid w:val="00305040"/>
    <w:rsid w:val="0030535D"/>
    <w:rsid w:val="0030593A"/>
    <w:rsid w:val="00305E6A"/>
    <w:rsid w:val="00307A42"/>
    <w:rsid w:val="00307C7D"/>
    <w:rsid w:val="00310303"/>
    <w:rsid w:val="00312353"/>
    <w:rsid w:val="00312680"/>
    <w:rsid w:val="003129FC"/>
    <w:rsid w:val="0031379C"/>
    <w:rsid w:val="00313999"/>
    <w:rsid w:val="00314C75"/>
    <w:rsid w:val="00314CB0"/>
    <w:rsid w:val="00316821"/>
    <w:rsid w:val="00317033"/>
    <w:rsid w:val="00317311"/>
    <w:rsid w:val="0031766A"/>
    <w:rsid w:val="00317963"/>
    <w:rsid w:val="00317D14"/>
    <w:rsid w:val="003204E5"/>
    <w:rsid w:val="003206BA"/>
    <w:rsid w:val="00320777"/>
    <w:rsid w:val="00320FAD"/>
    <w:rsid w:val="00322500"/>
    <w:rsid w:val="0032440B"/>
    <w:rsid w:val="003244E6"/>
    <w:rsid w:val="00324AF4"/>
    <w:rsid w:val="00326805"/>
    <w:rsid w:val="00327106"/>
    <w:rsid w:val="00327201"/>
    <w:rsid w:val="003277B6"/>
    <w:rsid w:val="00327804"/>
    <w:rsid w:val="0033139C"/>
    <w:rsid w:val="0033172C"/>
    <w:rsid w:val="00331987"/>
    <w:rsid w:val="0033277B"/>
    <w:rsid w:val="003329A6"/>
    <w:rsid w:val="00333985"/>
    <w:rsid w:val="003340D7"/>
    <w:rsid w:val="00335BFF"/>
    <w:rsid w:val="00335E28"/>
    <w:rsid w:val="00336442"/>
    <w:rsid w:val="003378E3"/>
    <w:rsid w:val="003379CB"/>
    <w:rsid w:val="00337F0A"/>
    <w:rsid w:val="003400D8"/>
    <w:rsid w:val="00340CBF"/>
    <w:rsid w:val="003411A6"/>
    <w:rsid w:val="003414FA"/>
    <w:rsid w:val="00341799"/>
    <w:rsid w:val="00342181"/>
    <w:rsid w:val="00342B9F"/>
    <w:rsid w:val="00342EAD"/>
    <w:rsid w:val="00343646"/>
    <w:rsid w:val="003442D6"/>
    <w:rsid w:val="00344763"/>
    <w:rsid w:val="003453EA"/>
    <w:rsid w:val="00345871"/>
    <w:rsid w:val="003461CE"/>
    <w:rsid w:val="003464B5"/>
    <w:rsid w:val="00347BF3"/>
    <w:rsid w:val="00352238"/>
    <w:rsid w:val="00353149"/>
    <w:rsid w:val="00354FA2"/>
    <w:rsid w:val="00355BB1"/>
    <w:rsid w:val="00355CFA"/>
    <w:rsid w:val="0035649D"/>
    <w:rsid w:val="00357083"/>
    <w:rsid w:val="00360370"/>
    <w:rsid w:val="00361244"/>
    <w:rsid w:val="003615E1"/>
    <w:rsid w:val="003628F6"/>
    <w:rsid w:val="003631A6"/>
    <w:rsid w:val="00363336"/>
    <w:rsid w:val="00364EFC"/>
    <w:rsid w:val="003653BA"/>
    <w:rsid w:val="00366A04"/>
    <w:rsid w:val="00366A51"/>
    <w:rsid w:val="00367A2B"/>
    <w:rsid w:val="00370DE4"/>
    <w:rsid w:val="0037204D"/>
    <w:rsid w:val="00372152"/>
    <w:rsid w:val="00373057"/>
    <w:rsid w:val="00373E48"/>
    <w:rsid w:val="003748FC"/>
    <w:rsid w:val="00374F95"/>
    <w:rsid w:val="0037588E"/>
    <w:rsid w:val="00375B82"/>
    <w:rsid w:val="003770BB"/>
    <w:rsid w:val="00377BD6"/>
    <w:rsid w:val="00380084"/>
    <w:rsid w:val="003806EF"/>
    <w:rsid w:val="003840AD"/>
    <w:rsid w:val="00386F3D"/>
    <w:rsid w:val="003873B6"/>
    <w:rsid w:val="00390934"/>
    <w:rsid w:val="00394F1A"/>
    <w:rsid w:val="0039518C"/>
    <w:rsid w:val="00396523"/>
    <w:rsid w:val="00396825"/>
    <w:rsid w:val="003A04B4"/>
    <w:rsid w:val="003A154A"/>
    <w:rsid w:val="003A234B"/>
    <w:rsid w:val="003A289F"/>
    <w:rsid w:val="003A2BAD"/>
    <w:rsid w:val="003A37AA"/>
    <w:rsid w:val="003A3AC5"/>
    <w:rsid w:val="003A556C"/>
    <w:rsid w:val="003A5723"/>
    <w:rsid w:val="003A60FF"/>
    <w:rsid w:val="003A6688"/>
    <w:rsid w:val="003A6917"/>
    <w:rsid w:val="003A6BCD"/>
    <w:rsid w:val="003B274F"/>
    <w:rsid w:val="003B33BC"/>
    <w:rsid w:val="003B33EF"/>
    <w:rsid w:val="003B3FD5"/>
    <w:rsid w:val="003B4F14"/>
    <w:rsid w:val="003B590F"/>
    <w:rsid w:val="003B65ED"/>
    <w:rsid w:val="003B70AD"/>
    <w:rsid w:val="003B7768"/>
    <w:rsid w:val="003C1147"/>
    <w:rsid w:val="003C1440"/>
    <w:rsid w:val="003C3782"/>
    <w:rsid w:val="003C406D"/>
    <w:rsid w:val="003C4F74"/>
    <w:rsid w:val="003C52D2"/>
    <w:rsid w:val="003C60F3"/>
    <w:rsid w:val="003C665F"/>
    <w:rsid w:val="003C72B3"/>
    <w:rsid w:val="003D00AD"/>
    <w:rsid w:val="003D08A6"/>
    <w:rsid w:val="003D0FE6"/>
    <w:rsid w:val="003D2340"/>
    <w:rsid w:val="003D2773"/>
    <w:rsid w:val="003D3BFB"/>
    <w:rsid w:val="003D65B8"/>
    <w:rsid w:val="003D65FA"/>
    <w:rsid w:val="003D67F3"/>
    <w:rsid w:val="003D6A27"/>
    <w:rsid w:val="003D6B3A"/>
    <w:rsid w:val="003D796E"/>
    <w:rsid w:val="003D7B18"/>
    <w:rsid w:val="003E021F"/>
    <w:rsid w:val="003E102D"/>
    <w:rsid w:val="003E2244"/>
    <w:rsid w:val="003E2A00"/>
    <w:rsid w:val="003E2F09"/>
    <w:rsid w:val="003E2F93"/>
    <w:rsid w:val="003E2FBD"/>
    <w:rsid w:val="003E3FC5"/>
    <w:rsid w:val="003E4345"/>
    <w:rsid w:val="003E5EB5"/>
    <w:rsid w:val="003E626E"/>
    <w:rsid w:val="003E6BDE"/>
    <w:rsid w:val="003E7F4D"/>
    <w:rsid w:val="003F0BBF"/>
    <w:rsid w:val="003F195D"/>
    <w:rsid w:val="003F2954"/>
    <w:rsid w:val="003F2A08"/>
    <w:rsid w:val="003F2D69"/>
    <w:rsid w:val="003F31CF"/>
    <w:rsid w:val="003F3370"/>
    <w:rsid w:val="003F34A0"/>
    <w:rsid w:val="003F3566"/>
    <w:rsid w:val="003F35B3"/>
    <w:rsid w:val="003F384E"/>
    <w:rsid w:val="003F5120"/>
    <w:rsid w:val="003F6B12"/>
    <w:rsid w:val="003F790E"/>
    <w:rsid w:val="003F7BE4"/>
    <w:rsid w:val="004008FE"/>
    <w:rsid w:val="00402A7B"/>
    <w:rsid w:val="00402DD8"/>
    <w:rsid w:val="0040351E"/>
    <w:rsid w:val="004040C9"/>
    <w:rsid w:val="004063F1"/>
    <w:rsid w:val="00411CAF"/>
    <w:rsid w:val="004135FD"/>
    <w:rsid w:val="00415B87"/>
    <w:rsid w:val="0041654D"/>
    <w:rsid w:val="00416B86"/>
    <w:rsid w:val="004176E1"/>
    <w:rsid w:val="00417C9F"/>
    <w:rsid w:val="00417FB0"/>
    <w:rsid w:val="00420276"/>
    <w:rsid w:val="004203FC"/>
    <w:rsid w:val="00421666"/>
    <w:rsid w:val="00421C65"/>
    <w:rsid w:val="004226DB"/>
    <w:rsid w:val="00422A4F"/>
    <w:rsid w:val="004244EA"/>
    <w:rsid w:val="00424702"/>
    <w:rsid w:val="00424A19"/>
    <w:rsid w:val="004255E7"/>
    <w:rsid w:val="0042592C"/>
    <w:rsid w:val="004259B6"/>
    <w:rsid w:val="004266E5"/>
    <w:rsid w:val="00427167"/>
    <w:rsid w:val="00431CFC"/>
    <w:rsid w:val="004320BB"/>
    <w:rsid w:val="00433D54"/>
    <w:rsid w:val="00434077"/>
    <w:rsid w:val="004340A3"/>
    <w:rsid w:val="00435CC9"/>
    <w:rsid w:val="004369AD"/>
    <w:rsid w:val="00437588"/>
    <w:rsid w:val="0043779F"/>
    <w:rsid w:val="00440D40"/>
    <w:rsid w:val="0044146B"/>
    <w:rsid w:val="00441821"/>
    <w:rsid w:val="00441C33"/>
    <w:rsid w:val="00442B92"/>
    <w:rsid w:val="00442D37"/>
    <w:rsid w:val="00443791"/>
    <w:rsid w:val="00446E75"/>
    <w:rsid w:val="0044710A"/>
    <w:rsid w:val="00447BA6"/>
    <w:rsid w:val="004501D6"/>
    <w:rsid w:val="00450D45"/>
    <w:rsid w:val="004513B4"/>
    <w:rsid w:val="00451DFA"/>
    <w:rsid w:val="00452D1E"/>
    <w:rsid w:val="004530E2"/>
    <w:rsid w:val="00455ACF"/>
    <w:rsid w:val="00457319"/>
    <w:rsid w:val="0046012F"/>
    <w:rsid w:val="00460E8B"/>
    <w:rsid w:val="004617FF"/>
    <w:rsid w:val="00461A12"/>
    <w:rsid w:val="00461CF3"/>
    <w:rsid w:val="00462473"/>
    <w:rsid w:val="00463697"/>
    <w:rsid w:val="004643AE"/>
    <w:rsid w:val="0046584B"/>
    <w:rsid w:val="00467AE1"/>
    <w:rsid w:val="00467FEB"/>
    <w:rsid w:val="0047003C"/>
    <w:rsid w:val="00471836"/>
    <w:rsid w:val="00472914"/>
    <w:rsid w:val="00472B3C"/>
    <w:rsid w:val="00472D81"/>
    <w:rsid w:val="00473291"/>
    <w:rsid w:val="004733FB"/>
    <w:rsid w:val="00474D5D"/>
    <w:rsid w:val="0047543A"/>
    <w:rsid w:val="004760F8"/>
    <w:rsid w:val="00476F58"/>
    <w:rsid w:val="004774B4"/>
    <w:rsid w:val="004800C7"/>
    <w:rsid w:val="00480515"/>
    <w:rsid w:val="004810E0"/>
    <w:rsid w:val="00482A8E"/>
    <w:rsid w:val="00483ABB"/>
    <w:rsid w:val="0048475D"/>
    <w:rsid w:val="00484FBE"/>
    <w:rsid w:val="00485164"/>
    <w:rsid w:val="00485BA1"/>
    <w:rsid w:val="00487B25"/>
    <w:rsid w:val="0049037C"/>
    <w:rsid w:val="00491CD7"/>
    <w:rsid w:val="0049257C"/>
    <w:rsid w:val="0049291F"/>
    <w:rsid w:val="00492EF9"/>
    <w:rsid w:val="004937A0"/>
    <w:rsid w:val="00493A43"/>
    <w:rsid w:val="004947BE"/>
    <w:rsid w:val="00494DEC"/>
    <w:rsid w:val="00495275"/>
    <w:rsid w:val="004966B1"/>
    <w:rsid w:val="004969AF"/>
    <w:rsid w:val="00497050"/>
    <w:rsid w:val="00497266"/>
    <w:rsid w:val="00497BD8"/>
    <w:rsid w:val="004A11A2"/>
    <w:rsid w:val="004A1545"/>
    <w:rsid w:val="004A154E"/>
    <w:rsid w:val="004A1837"/>
    <w:rsid w:val="004A2229"/>
    <w:rsid w:val="004A39CE"/>
    <w:rsid w:val="004A4082"/>
    <w:rsid w:val="004A4512"/>
    <w:rsid w:val="004A4517"/>
    <w:rsid w:val="004A4689"/>
    <w:rsid w:val="004A5D8F"/>
    <w:rsid w:val="004A6A7E"/>
    <w:rsid w:val="004A6FE0"/>
    <w:rsid w:val="004A7428"/>
    <w:rsid w:val="004A7F4C"/>
    <w:rsid w:val="004B0006"/>
    <w:rsid w:val="004B08B4"/>
    <w:rsid w:val="004B2EC2"/>
    <w:rsid w:val="004B314E"/>
    <w:rsid w:val="004B4A9D"/>
    <w:rsid w:val="004B4B55"/>
    <w:rsid w:val="004B5EE9"/>
    <w:rsid w:val="004B60C6"/>
    <w:rsid w:val="004B613F"/>
    <w:rsid w:val="004C00CA"/>
    <w:rsid w:val="004C1199"/>
    <w:rsid w:val="004C31D8"/>
    <w:rsid w:val="004C4593"/>
    <w:rsid w:val="004C508A"/>
    <w:rsid w:val="004C596C"/>
    <w:rsid w:val="004C6E48"/>
    <w:rsid w:val="004C724D"/>
    <w:rsid w:val="004C7B6D"/>
    <w:rsid w:val="004C7F0D"/>
    <w:rsid w:val="004D07FA"/>
    <w:rsid w:val="004D15F2"/>
    <w:rsid w:val="004D3679"/>
    <w:rsid w:val="004D4828"/>
    <w:rsid w:val="004D6A7F"/>
    <w:rsid w:val="004D6C2F"/>
    <w:rsid w:val="004D6F18"/>
    <w:rsid w:val="004D75CD"/>
    <w:rsid w:val="004D76E3"/>
    <w:rsid w:val="004D7D60"/>
    <w:rsid w:val="004E03B0"/>
    <w:rsid w:val="004E0B3C"/>
    <w:rsid w:val="004E141A"/>
    <w:rsid w:val="004E1588"/>
    <w:rsid w:val="004E1893"/>
    <w:rsid w:val="004E195F"/>
    <w:rsid w:val="004E1D7D"/>
    <w:rsid w:val="004E23AF"/>
    <w:rsid w:val="004E2557"/>
    <w:rsid w:val="004E4767"/>
    <w:rsid w:val="004E48CF"/>
    <w:rsid w:val="004E4FDD"/>
    <w:rsid w:val="004E5550"/>
    <w:rsid w:val="004E5E2D"/>
    <w:rsid w:val="004E7737"/>
    <w:rsid w:val="004E7B34"/>
    <w:rsid w:val="004F1B37"/>
    <w:rsid w:val="004F1BD3"/>
    <w:rsid w:val="004F1FB4"/>
    <w:rsid w:val="004F2754"/>
    <w:rsid w:val="004F4266"/>
    <w:rsid w:val="004F4270"/>
    <w:rsid w:val="004F514F"/>
    <w:rsid w:val="004F58D4"/>
    <w:rsid w:val="004F600E"/>
    <w:rsid w:val="004F7501"/>
    <w:rsid w:val="004F762D"/>
    <w:rsid w:val="00500876"/>
    <w:rsid w:val="00500D71"/>
    <w:rsid w:val="00501376"/>
    <w:rsid w:val="00501D4B"/>
    <w:rsid w:val="00502AE5"/>
    <w:rsid w:val="005032E6"/>
    <w:rsid w:val="00504FBF"/>
    <w:rsid w:val="00505A51"/>
    <w:rsid w:val="0050635C"/>
    <w:rsid w:val="00506CAB"/>
    <w:rsid w:val="00506DFE"/>
    <w:rsid w:val="00510411"/>
    <w:rsid w:val="005111FC"/>
    <w:rsid w:val="0051144F"/>
    <w:rsid w:val="00511D8D"/>
    <w:rsid w:val="00512A8D"/>
    <w:rsid w:val="00512CCE"/>
    <w:rsid w:val="00512D8B"/>
    <w:rsid w:val="0051311B"/>
    <w:rsid w:val="00513CC6"/>
    <w:rsid w:val="00513E3C"/>
    <w:rsid w:val="00514533"/>
    <w:rsid w:val="005157A5"/>
    <w:rsid w:val="00515A2D"/>
    <w:rsid w:val="00515AC5"/>
    <w:rsid w:val="00517319"/>
    <w:rsid w:val="005218CE"/>
    <w:rsid w:val="00521AD1"/>
    <w:rsid w:val="00521DBA"/>
    <w:rsid w:val="0052214C"/>
    <w:rsid w:val="005229C9"/>
    <w:rsid w:val="00522C8F"/>
    <w:rsid w:val="0052335D"/>
    <w:rsid w:val="00524ABB"/>
    <w:rsid w:val="00524D2B"/>
    <w:rsid w:val="00525DCE"/>
    <w:rsid w:val="00527AF6"/>
    <w:rsid w:val="005304AC"/>
    <w:rsid w:val="00530901"/>
    <w:rsid w:val="005348BD"/>
    <w:rsid w:val="00534A2E"/>
    <w:rsid w:val="00534C3C"/>
    <w:rsid w:val="00535000"/>
    <w:rsid w:val="00535F8A"/>
    <w:rsid w:val="00535FE7"/>
    <w:rsid w:val="00536052"/>
    <w:rsid w:val="005371DD"/>
    <w:rsid w:val="00540087"/>
    <w:rsid w:val="0054291F"/>
    <w:rsid w:val="005429F3"/>
    <w:rsid w:val="00542CC5"/>
    <w:rsid w:val="005434F1"/>
    <w:rsid w:val="00543549"/>
    <w:rsid w:val="0054363D"/>
    <w:rsid w:val="00543944"/>
    <w:rsid w:val="005443BB"/>
    <w:rsid w:val="0054442B"/>
    <w:rsid w:val="00544457"/>
    <w:rsid w:val="00545356"/>
    <w:rsid w:val="005457AF"/>
    <w:rsid w:val="00546C59"/>
    <w:rsid w:val="00546DF7"/>
    <w:rsid w:val="00547612"/>
    <w:rsid w:val="00547F42"/>
    <w:rsid w:val="00550E19"/>
    <w:rsid w:val="00550EAE"/>
    <w:rsid w:val="005517CD"/>
    <w:rsid w:val="0055378A"/>
    <w:rsid w:val="005547D8"/>
    <w:rsid w:val="0055515D"/>
    <w:rsid w:val="00555636"/>
    <w:rsid w:val="00556643"/>
    <w:rsid w:val="005573FF"/>
    <w:rsid w:val="00557953"/>
    <w:rsid w:val="0056155A"/>
    <w:rsid w:val="005635D0"/>
    <w:rsid w:val="00563EBB"/>
    <w:rsid w:val="00563F63"/>
    <w:rsid w:val="00564768"/>
    <w:rsid w:val="005648B3"/>
    <w:rsid w:val="00564E79"/>
    <w:rsid w:val="00565ABD"/>
    <w:rsid w:val="005667AD"/>
    <w:rsid w:val="00567FC6"/>
    <w:rsid w:val="00571269"/>
    <w:rsid w:val="00571337"/>
    <w:rsid w:val="00571ABA"/>
    <w:rsid w:val="005737F5"/>
    <w:rsid w:val="00573AE1"/>
    <w:rsid w:val="00573B1B"/>
    <w:rsid w:val="00574062"/>
    <w:rsid w:val="00575899"/>
    <w:rsid w:val="00577BCD"/>
    <w:rsid w:val="005808D5"/>
    <w:rsid w:val="00580AE4"/>
    <w:rsid w:val="00580E13"/>
    <w:rsid w:val="00582501"/>
    <w:rsid w:val="00582DBF"/>
    <w:rsid w:val="00583323"/>
    <w:rsid w:val="00585534"/>
    <w:rsid w:val="00585804"/>
    <w:rsid w:val="00586D99"/>
    <w:rsid w:val="00586EC8"/>
    <w:rsid w:val="00592238"/>
    <w:rsid w:val="00593425"/>
    <w:rsid w:val="00593BCE"/>
    <w:rsid w:val="0059489C"/>
    <w:rsid w:val="00595964"/>
    <w:rsid w:val="005961AE"/>
    <w:rsid w:val="00596F47"/>
    <w:rsid w:val="005A0138"/>
    <w:rsid w:val="005A08CA"/>
    <w:rsid w:val="005A0AC0"/>
    <w:rsid w:val="005A0FCF"/>
    <w:rsid w:val="005A1ED0"/>
    <w:rsid w:val="005A2396"/>
    <w:rsid w:val="005A356B"/>
    <w:rsid w:val="005A3ACF"/>
    <w:rsid w:val="005A41E1"/>
    <w:rsid w:val="005A4B04"/>
    <w:rsid w:val="005A4D53"/>
    <w:rsid w:val="005A6502"/>
    <w:rsid w:val="005A7029"/>
    <w:rsid w:val="005A7630"/>
    <w:rsid w:val="005A7E5F"/>
    <w:rsid w:val="005B0650"/>
    <w:rsid w:val="005B1D81"/>
    <w:rsid w:val="005B3D0D"/>
    <w:rsid w:val="005B559E"/>
    <w:rsid w:val="005C027F"/>
    <w:rsid w:val="005C05F9"/>
    <w:rsid w:val="005C062C"/>
    <w:rsid w:val="005C2001"/>
    <w:rsid w:val="005C28BA"/>
    <w:rsid w:val="005C2E58"/>
    <w:rsid w:val="005C3131"/>
    <w:rsid w:val="005C32AC"/>
    <w:rsid w:val="005C33C0"/>
    <w:rsid w:val="005C3AE4"/>
    <w:rsid w:val="005C5C1C"/>
    <w:rsid w:val="005C640F"/>
    <w:rsid w:val="005C6518"/>
    <w:rsid w:val="005C6583"/>
    <w:rsid w:val="005C72E4"/>
    <w:rsid w:val="005D1DD0"/>
    <w:rsid w:val="005D2A41"/>
    <w:rsid w:val="005D2AC3"/>
    <w:rsid w:val="005D498A"/>
    <w:rsid w:val="005D4C46"/>
    <w:rsid w:val="005D50AD"/>
    <w:rsid w:val="005D5141"/>
    <w:rsid w:val="005D6184"/>
    <w:rsid w:val="005D6925"/>
    <w:rsid w:val="005D6EE1"/>
    <w:rsid w:val="005D7718"/>
    <w:rsid w:val="005D7EB8"/>
    <w:rsid w:val="005E16FF"/>
    <w:rsid w:val="005E32FC"/>
    <w:rsid w:val="005E36AC"/>
    <w:rsid w:val="005E3AB4"/>
    <w:rsid w:val="005E4244"/>
    <w:rsid w:val="005E466C"/>
    <w:rsid w:val="005E4711"/>
    <w:rsid w:val="005E5E41"/>
    <w:rsid w:val="005F082A"/>
    <w:rsid w:val="005F0D67"/>
    <w:rsid w:val="005F1112"/>
    <w:rsid w:val="005F213D"/>
    <w:rsid w:val="005F2D52"/>
    <w:rsid w:val="005F4E9B"/>
    <w:rsid w:val="005F5736"/>
    <w:rsid w:val="005F5876"/>
    <w:rsid w:val="005F5B89"/>
    <w:rsid w:val="005F661E"/>
    <w:rsid w:val="005F6B0A"/>
    <w:rsid w:val="005F72A1"/>
    <w:rsid w:val="006005CE"/>
    <w:rsid w:val="00600F5D"/>
    <w:rsid w:val="006017E9"/>
    <w:rsid w:val="00601CF7"/>
    <w:rsid w:val="00602469"/>
    <w:rsid w:val="006029A4"/>
    <w:rsid w:val="00604102"/>
    <w:rsid w:val="00604AC9"/>
    <w:rsid w:val="006057CC"/>
    <w:rsid w:val="00605A65"/>
    <w:rsid w:val="006062FA"/>
    <w:rsid w:val="006063A4"/>
    <w:rsid w:val="006075F6"/>
    <w:rsid w:val="00610626"/>
    <w:rsid w:val="00610CE6"/>
    <w:rsid w:val="006117FB"/>
    <w:rsid w:val="00611ED9"/>
    <w:rsid w:val="00611FD0"/>
    <w:rsid w:val="00613902"/>
    <w:rsid w:val="0061476F"/>
    <w:rsid w:val="0061523E"/>
    <w:rsid w:val="00615EA8"/>
    <w:rsid w:val="00616DA9"/>
    <w:rsid w:val="00620586"/>
    <w:rsid w:val="00620CA9"/>
    <w:rsid w:val="00620D5C"/>
    <w:rsid w:val="006215C7"/>
    <w:rsid w:val="0062273D"/>
    <w:rsid w:val="006229B0"/>
    <w:rsid w:val="00623228"/>
    <w:rsid w:val="006239D3"/>
    <w:rsid w:val="00623D21"/>
    <w:rsid w:val="00623E48"/>
    <w:rsid w:val="00625F29"/>
    <w:rsid w:val="006270B4"/>
    <w:rsid w:val="006306CD"/>
    <w:rsid w:val="006320E0"/>
    <w:rsid w:val="00632798"/>
    <w:rsid w:val="006329E3"/>
    <w:rsid w:val="00633254"/>
    <w:rsid w:val="006333DE"/>
    <w:rsid w:val="00633C0E"/>
    <w:rsid w:val="00635158"/>
    <w:rsid w:val="0063679C"/>
    <w:rsid w:val="00636BA3"/>
    <w:rsid w:val="00637C15"/>
    <w:rsid w:val="00640668"/>
    <w:rsid w:val="00640942"/>
    <w:rsid w:val="006411BC"/>
    <w:rsid w:val="00641A86"/>
    <w:rsid w:val="00642416"/>
    <w:rsid w:val="00642515"/>
    <w:rsid w:val="00642DF8"/>
    <w:rsid w:val="00643024"/>
    <w:rsid w:val="006438EA"/>
    <w:rsid w:val="0064414B"/>
    <w:rsid w:val="00645327"/>
    <w:rsid w:val="006464EB"/>
    <w:rsid w:val="00646865"/>
    <w:rsid w:val="006471FD"/>
    <w:rsid w:val="00650B3E"/>
    <w:rsid w:val="00652C85"/>
    <w:rsid w:val="00654AC9"/>
    <w:rsid w:val="00654C56"/>
    <w:rsid w:val="00656FEF"/>
    <w:rsid w:val="00657AAA"/>
    <w:rsid w:val="006604CD"/>
    <w:rsid w:val="00663670"/>
    <w:rsid w:val="00663A00"/>
    <w:rsid w:val="00664F36"/>
    <w:rsid w:val="0066522F"/>
    <w:rsid w:val="00666E70"/>
    <w:rsid w:val="00670722"/>
    <w:rsid w:val="00670923"/>
    <w:rsid w:val="00671725"/>
    <w:rsid w:val="00671A54"/>
    <w:rsid w:val="0067369F"/>
    <w:rsid w:val="006741EC"/>
    <w:rsid w:val="0067478D"/>
    <w:rsid w:val="00676C7E"/>
    <w:rsid w:val="006779E3"/>
    <w:rsid w:val="006802EC"/>
    <w:rsid w:val="006802F5"/>
    <w:rsid w:val="00680760"/>
    <w:rsid w:val="00680ED9"/>
    <w:rsid w:val="00681432"/>
    <w:rsid w:val="0068239A"/>
    <w:rsid w:val="006844E7"/>
    <w:rsid w:val="00685339"/>
    <w:rsid w:val="006856E8"/>
    <w:rsid w:val="00685889"/>
    <w:rsid w:val="00687AE6"/>
    <w:rsid w:val="006918C7"/>
    <w:rsid w:val="00691C6C"/>
    <w:rsid w:val="0069680C"/>
    <w:rsid w:val="006A1994"/>
    <w:rsid w:val="006A2DFD"/>
    <w:rsid w:val="006A3790"/>
    <w:rsid w:val="006A3F1F"/>
    <w:rsid w:val="006A5383"/>
    <w:rsid w:val="006A637A"/>
    <w:rsid w:val="006A6B13"/>
    <w:rsid w:val="006A7936"/>
    <w:rsid w:val="006B00A3"/>
    <w:rsid w:val="006B0330"/>
    <w:rsid w:val="006B0F0F"/>
    <w:rsid w:val="006B25B2"/>
    <w:rsid w:val="006B352D"/>
    <w:rsid w:val="006B3C22"/>
    <w:rsid w:val="006B40B5"/>
    <w:rsid w:val="006B497E"/>
    <w:rsid w:val="006B568A"/>
    <w:rsid w:val="006B5F6D"/>
    <w:rsid w:val="006B6461"/>
    <w:rsid w:val="006B6F4B"/>
    <w:rsid w:val="006C076D"/>
    <w:rsid w:val="006C0E6F"/>
    <w:rsid w:val="006C107E"/>
    <w:rsid w:val="006C16BC"/>
    <w:rsid w:val="006C249B"/>
    <w:rsid w:val="006C30F5"/>
    <w:rsid w:val="006C32FF"/>
    <w:rsid w:val="006C4378"/>
    <w:rsid w:val="006C4D31"/>
    <w:rsid w:val="006C751F"/>
    <w:rsid w:val="006C75AC"/>
    <w:rsid w:val="006C768C"/>
    <w:rsid w:val="006C7D5A"/>
    <w:rsid w:val="006C7E8C"/>
    <w:rsid w:val="006D18FB"/>
    <w:rsid w:val="006D1B17"/>
    <w:rsid w:val="006D30BC"/>
    <w:rsid w:val="006D310D"/>
    <w:rsid w:val="006D372F"/>
    <w:rsid w:val="006D3EB8"/>
    <w:rsid w:val="006D4D7A"/>
    <w:rsid w:val="006D4ECF"/>
    <w:rsid w:val="006D5419"/>
    <w:rsid w:val="006D5543"/>
    <w:rsid w:val="006D5ACD"/>
    <w:rsid w:val="006D5AF1"/>
    <w:rsid w:val="006D64C0"/>
    <w:rsid w:val="006D752B"/>
    <w:rsid w:val="006D7BA3"/>
    <w:rsid w:val="006E07BA"/>
    <w:rsid w:val="006E0C7E"/>
    <w:rsid w:val="006E2587"/>
    <w:rsid w:val="006E2ADF"/>
    <w:rsid w:val="006E2DCB"/>
    <w:rsid w:val="006E5330"/>
    <w:rsid w:val="006E57E2"/>
    <w:rsid w:val="006E5ABF"/>
    <w:rsid w:val="006E6686"/>
    <w:rsid w:val="006E725A"/>
    <w:rsid w:val="006F0AE1"/>
    <w:rsid w:val="006F0F31"/>
    <w:rsid w:val="006F0F35"/>
    <w:rsid w:val="006F1264"/>
    <w:rsid w:val="006F1537"/>
    <w:rsid w:val="006F3131"/>
    <w:rsid w:val="006F3FF2"/>
    <w:rsid w:val="006F4194"/>
    <w:rsid w:val="006F4683"/>
    <w:rsid w:val="006F4C4A"/>
    <w:rsid w:val="006F5D70"/>
    <w:rsid w:val="006F787B"/>
    <w:rsid w:val="00700D12"/>
    <w:rsid w:val="007016BD"/>
    <w:rsid w:val="00701724"/>
    <w:rsid w:val="00702150"/>
    <w:rsid w:val="0070265E"/>
    <w:rsid w:val="007026A9"/>
    <w:rsid w:val="0070394E"/>
    <w:rsid w:val="00704B89"/>
    <w:rsid w:val="00705AAC"/>
    <w:rsid w:val="007108C1"/>
    <w:rsid w:val="00710E62"/>
    <w:rsid w:val="00711973"/>
    <w:rsid w:val="007135D7"/>
    <w:rsid w:val="00713B43"/>
    <w:rsid w:val="0071470C"/>
    <w:rsid w:val="00715594"/>
    <w:rsid w:val="00715EB6"/>
    <w:rsid w:val="007174BD"/>
    <w:rsid w:val="007204A7"/>
    <w:rsid w:val="00721ABC"/>
    <w:rsid w:val="00725A50"/>
    <w:rsid w:val="00725ABB"/>
    <w:rsid w:val="00725D35"/>
    <w:rsid w:val="0072721C"/>
    <w:rsid w:val="00727501"/>
    <w:rsid w:val="007307E8"/>
    <w:rsid w:val="00732709"/>
    <w:rsid w:val="0073345A"/>
    <w:rsid w:val="00733E5E"/>
    <w:rsid w:val="00734DCD"/>
    <w:rsid w:val="00735550"/>
    <w:rsid w:val="007361BD"/>
    <w:rsid w:val="00736CD8"/>
    <w:rsid w:val="00736D46"/>
    <w:rsid w:val="0073771D"/>
    <w:rsid w:val="00741060"/>
    <w:rsid w:val="007416EF"/>
    <w:rsid w:val="00741AB7"/>
    <w:rsid w:val="00743CCF"/>
    <w:rsid w:val="00744B7C"/>
    <w:rsid w:val="00745643"/>
    <w:rsid w:val="0074685E"/>
    <w:rsid w:val="00746CF9"/>
    <w:rsid w:val="0074718F"/>
    <w:rsid w:val="00747277"/>
    <w:rsid w:val="00747692"/>
    <w:rsid w:val="00747695"/>
    <w:rsid w:val="00751072"/>
    <w:rsid w:val="007517C5"/>
    <w:rsid w:val="00753ECB"/>
    <w:rsid w:val="00755702"/>
    <w:rsid w:val="0075635B"/>
    <w:rsid w:val="0075745F"/>
    <w:rsid w:val="007575E6"/>
    <w:rsid w:val="00757F0E"/>
    <w:rsid w:val="00761F76"/>
    <w:rsid w:val="0076306F"/>
    <w:rsid w:val="0076391F"/>
    <w:rsid w:val="007645F1"/>
    <w:rsid w:val="00766AD5"/>
    <w:rsid w:val="00767C82"/>
    <w:rsid w:val="00767F6A"/>
    <w:rsid w:val="00771634"/>
    <w:rsid w:val="00771699"/>
    <w:rsid w:val="00772031"/>
    <w:rsid w:val="00772155"/>
    <w:rsid w:val="00773F1C"/>
    <w:rsid w:val="007742C3"/>
    <w:rsid w:val="007743D8"/>
    <w:rsid w:val="00776236"/>
    <w:rsid w:val="0077652A"/>
    <w:rsid w:val="00776539"/>
    <w:rsid w:val="00776DFD"/>
    <w:rsid w:val="00776E87"/>
    <w:rsid w:val="00777157"/>
    <w:rsid w:val="0077758F"/>
    <w:rsid w:val="00782993"/>
    <w:rsid w:val="00782EC6"/>
    <w:rsid w:val="00783F87"/>
    <w:rsid w:val="007846F8"/>
    <w:rsid w:val="007849DD"/>
    <w:rsid w:val="00785445"/>
    <w:rsid w:val="007868E0"/>
    <w:rsid w:val="00786E4D"/>
    <w:rsid w:val="00787521"/>
    <w:rsid w:val="007877DF"/>
    <w:rsid w:val="00790068"/>
    <w:rsid w:val="007901BD"/>
    <w:rsid w:val="00790832"/>
    <w:rsid w:val="00790DB3"/>
    <w:rsid w:val="007911D4"/>
    <w:rsid w:val="0079127D"/>
    <w:rsid w:val="00791C2D"/>
    <w:rsid w:val="00792EA0"/>
    <w:rsid w:val="00793BCC"/>
    <w:rsid w:val="00793DC2"/>
    <w:rsid w:val="00794780"/>
    <w:rsid w:val="00794BDD"/>
    <w:rsid w:val="00795FB5"/>
    <w:rsid w:val="007972AA"/>
    <w:rsid w:val="0079745D"/>
    <w:rsid w:val="00797E52"/>
    <w:rsid w:val="007A0F62"/>
    <w:rsid w:val="007A5280"/>
    <w:rsid w:val="007A5BBB"/>
    <w:rsid w:val="007A6027"/>
    <w:rsid w:val="007A687E"/>
    <w:rsid w:val="007A695F"/>
    <w:rsid w:val="007A7235"/>
    <w:rsid w:val="007A74AD"/>
    <w:rsid w:val="007A7E44"/>
    <w:rsid w:val="007B104F"/>
    <w:rsid w:val="007B174E"/>
    <w:rsid w:val="007B18EC"/>
    <w:rsid w:val="007B1980"/>
    <w:rsid w:val="007B23DD"/>
    <w:rsid w:val="007B2616"/>
    <w:rsid w:val="007B2674"/>
    <w:rsid w:val="007B278D"/>
    <w:rsid w:val="007B4876"/>
    <w:rsid w:val="007B4B1D"/>
    <w:rsid w:val="007B5621"/>
    <w:rsid w:val="007B585A"/>
    <w:rsid w:val="007C04EA"/>
    <w:rsid w:val="007C0820"/>
    <w:rsid w:val="007C0CC4"/>
    <w:rsid w:val="007C1349"/>
    <w:rsid w:val="007C2ADA"/>
    <w:rsid w:val="007C2F6D"/>
    <w:rsid w:val="007C5BEA"/>
    <w:rsid w:val="007D01BD"/>
    <w:rsid w:val="007D08FE"/>
    <w:rsid w:val="007D0AA4"/>
    <w:rsid w:val="007D1A88"/>
    <w:rsid w:val="007D2772"/>
    <w:rsid w:val="007D2870"/>
    <w:rsid w:val="007D2B35"/>
    <w:rsid w:val="007D2C4A"/>
    <w:rsid w:val="007D37A2"/>
    <w:rsid w:val="007D420E"/>
    <w:rsid w:val="007D440D"/>
    <w:rsid w:val="007D50E7"/>
    <w:rsid w:val="007D62BE"/>
    <w:rsid w:val="007D67DF"/>
    <w:rsid w:val="007D7D2C"/>
    <w:rsid w:val="007E120F"/>
    <w:rsid w:val="007E1D75"/>
    <w:rsid w:val="007E20A7"/>
    <w:rsid w:val="007E2307"/>
    <w:rsid w:val="007E3CAE"/>
    <w:rsid w:val="007E4106"/>
    <w:rsid w:val="007E4120"/>
    <w:rsid w:val="007E4275"/>
    <w:rsid w:val="007E45AC"/>
    <w:rsid w:val="007E4BCD"/>
    <w:rsid w:val="007E54A4"/>
    <w:rsid w:val="007E6319"/>
    <w:rsid w:val="007E6CD5"/>
    <w:rsid w:val="007F0587"/>
    <w:rsid w:val="007F2DF2"/>
    <w:rsid w:val="007F4BAC"/>
    <w:rsid w:val="007F6B0D"/>
    <w:rsid w:val="007F736B"/>
    <w:rsid w:val="007F7A2D"/>
    <w:rsid w:val="0080290B"/>
    <w:rsid w:val="00803F6E"/>
    <w:rsid w:val="00805151"/>
    <w:rsid w:val="008053ED"/>
    <w:rsid w:val="00806383"/>
    <w:rsid w:val="0080661B"/>
    <w:rsid w:val="008072FF"/>
    <w:rsid w:val="00807FB0"/>
    <w:rsid w:val="00810263"/>
    <w:rsid w:val="00810607"/>
    <w:rsid w:val="008108C5"/>
    <w:rsid w:val="00810CE8"/>
    <w:rsid w:val="00811CE4"/>
    <w:rsid w:val="00811E7E"/>
    <w:rsid w:val="008125F1"/>
    <w:rsid w:val="008141CA"/>
    <w:rsid w:val="00815B20"/>
    <w:rsid w:val="00815DF4"/>
    <w:rsid w:val="00816654"/>
    <w:rsid w:val="0081680F"/>
    <w:rsid w:val="0081681A"/>
    <w:rsid w:val="00820834"/>
    <w:rsid w:val="008209A3"/>
    <w:rsid w:val="008245BA"/>
    <w:rsid w:val="00824AA7"/>
    <w:rsid w:val="00824D7C"/>
    <w:rsid w:val="0082519A"/>
    <w:rsid w:val="0082636B"/>
    <w:rsid w:val="00826AA0"/>
    <w:rsid w:val="00826DA4"/>
    <w:rsid w:val="0082752D"/>
    <w:rsid w:val="0083073B"/>
    <w:rsid w:val="00830BFA"/>
    <w:rsid w:val="00831800"/>
    <w:rsid w:val="00832416"/>
    <w:rsid w:val="00832FCB"/>
    <w:rsid w:val="00834827"/>
    <w:rsid w:val="00834F0F"/>
    <w:rsid w:val="008354A0"/>
    <w:rsid w:val="00835B8E"/>
    <w:rsid w:val="00835CC5"/>
    <w:rsid w:val="008360A8"/>
    <w:rsid w:val="008363ED"/>
    <w:rsid w:val="008372A8"/>
    <w:rsid w:val="0083736F"/>
    <w:rsid w:val="00837BDC"/>
    <w:rsid w:val="00843F26"/>
    <w:rsid w:val="00844B67"/>
    <w:rsid w:val="008454C8"/>
    <w:rsid w:val="008458C6"/>
    <w:rsid w:val="00845A89"/>
    <w:rsid w:val="00845AA4"/>
    <w:rsid w:val="00850B94"/>
    <w:rsid w:val="00851D01"/>
    <w:rsid w:val="008527F6"/>
    <w:rsid w:val="00852D0C"/>
    <w:rsid w:val="00853E28"/>
    <w:rsid w:val="00855A1E"/>
    <w:rsid w:val="008564C0"/>
    <w:rsid w:val="008577CE"/>
    <w:rsid w:val="00860B2B"/>
    <w:rsid w:val="00862636"/>
    <w:rsid w:val="00862B44"/>
    <w:rsid w:val="00863565"/>
    <w:rsid w:val="008642CF"/>
    <w:rsid w:val="0086457C"/>
    <w:rsid w:val="00864602"/>
    <w:rsid w:val="00864819"/>
    <w:rsid w:val="00865BA3"/>
    <w:rsid w:val="00865D67"/>
    <w:rsid w:val="00865DAF"/>
    <w:rsid w:val="008707BA"/>
    <w:rsid w:val="00870809"/>
    <w:rsid w:val="00871215"/>
    <w:rsid w:val="008720CC"/>
    <w:rsid w:val="00873235"/>
    <w:rsid w:val="0087342A"/>
    <w:rsid w:val="008734F5"/>
    <w:rsid w:val="00873F1C"/>
    <w:rsid w:val="00877745"/>
    <w:rsid w:val="00880025"/>
    <w:rsid w:val="008803B0"/>
    <w:rsid w:val="008808CB"/>
    <w:rsid w:val="0088169A"/>
    <w:rsid w:val="008818E2"/>
    <w:rsid w:val="00881E7E"/>
    <w:rsid w:val="0088280C"/>
    <w:rsid w:val="008831DD"/>
    <w:rsid w:val="00885356"/>
    <w:rsid w:val="00885424"/>
    <w:rsid w:val="00886F75"/>
    <w:rsid w:val="00891207"/>
    <w:rsid w:val="00891295"/>
    <w:rsid w:val="00891345"/>
    <w:rsid w:val="008913E6"/>
    <w:rsid w:val="008918B8"/>
    <w:rsid w:val="008923D0"/>
    <w:rsid w:val="00892601"/>
    <w:rsid w:val="008929A5"/>
    <w:rsid w:val="00893DBF"/>
    <w:rsid w:val="00894EFB"/>
    <w:rsid w:val="00895276"/>
    <w:rsid w:val="008954C0"/>
    <w:rsid w:val="00896787"/>
    <w:rsid w:val="008968D8"/>
    <w:rsid w:val="00897ABF"/>
    <w:rsid w:val="008A135E"/>
    <w:rsid w:val="008A22F4"/>
    <w:rsid w:val="008A2904"/>
    <w:rsid w:val="008A31DD"/>
    <w:rsid w:val="008A4215"/>
    <w:rsid w:val="008A4362"/>
    <w:rsid w:val="008A5305"/>
    <w:rsid w:val="008A54FE"/>
    <w:rsid w:val="008A637A"/>
    <w:rsid w:val="008A692C"/>
    <w:rsid w:val="008A7A02"/>
    <w:rsid w:val="008B0A76"/>
    <w:rsid w:val="008B0F07"/>
    <w:rsid w:val="008B1C76"/>
    <w:rsid w:val="008B2840"/>
    <w:rsid w:val="008B36DD"/>
    <w:rsid w:val="008B4695"/>
    <w:rsid w:val="008B4CE6"/>
    <w:rsid w:val="008B5A63"/>
    <w:rsid w:val="008B7949"/>
    <w:rsid w:val="008C08B0"/>
    <w:rsid w:val="008C0B19"/>
    <w:rsid w:val="008C0E5C"/>
    <w:rsid w:val="008C100C"/>
    <w:rsid w:val="008C23CA"/>
    <w:rsid w:val="008C372D"/>
    <w:rsid w:val="008C4EAD"/>
    <w:rsid w:val="008C501D"/>
    <w:rsid w:val="008C64B2"/>
    <w:rsid w:val="008C6CF8"/>
    <w:rsid w:val="008C6E78"/>
    <w:rsid w:val="008C7155"/>
    <w:rsid w:val="008C72B4"/>
    <w:rsid w:val="008C7DF8"/>
    <w:rsid w:val="008D2047"/>
    <w:rsid w:val="008D239C"/>
    <w:rsid w:val="008D29F2"/>
    <w:rsid w:val="008D2BA6"/>
    <w:rsid w:val="008D395C"/>
    <w:rsid w:val="008D4B87"/>
    <w:rsid w:val="008D7146"/>
    <w:rsid w:val="008D75A1"/>
    <w:rsid w:val="008E4341"/>
    <w:rsid w:val="008E62F9"/>
    <w:rsid w:val="008E70F1"/>
    <w:rsid w:val="008E7266"/>
    <w:rsid w:val="008F15E1"/>
    <w:rsid w:val="008F22B9"/>
    <w:rsid w:val="008F522F"/>
    <w:rsid w:val="008F56D4"/>
    <w:rsid w:val="008F5978"/>
    <w:rsid w:val="008F5F56"/>
    <w:rsid w:val="008F6B0D"/>
    <w:rsid w:val="008F76BD"/>
    <w:rsid w:val="00900019"/>
    <w:rsid w:val="00900101"/>
    <w:rsid w:val="00900500"/>
    <w:rsid w:val="00901247"/>
    <w:rsid w:val="00901DB4"/>
    <w:rsid w:val="00902765"/>
    <w:rsid w:val="009043D1"/>
    <w:rsid w:val="009049E0"/>
    <w:rsid w:val="00906092"/>
    <w:rsid w:val="00910441"/>
    <w:rsid w:val="00910BF5"/>
    <w:rsid w:val="00910DE6"/>
    <w:rsid w:val="00911130"/>
    <w:rsid w:val="00913014"/>
    <w:rsid w:val="00914ED8"/>
    <w:rsid w:val="00916A72"/>
    <w:rsid w:val="00917EDA"/>
    <w:rsid w:val="00921BAE"/>
    <w:rsid w:val="009220A9"/>
    <w:rsid w:val="00923D4A"/>
    <w:rsid w:val="00924383"/>
    <w:rsid w:val="0092474E"/>
    <w:rsid w:val="00925A93"/>
    <w:rsid w:val="00926010"/>
    <w:rsid w:val="0092688C"/>
    <w:rsid w:val="00927418"/>
    <w:rsid w:val="009279CF"/>
    <w:rsid w:val="00930805"/>
    <w:rsid w:val="00931230"/>
    <w:rsid w:val="0093158D"/>
    <w:rsid w:val="00931D07"/>
    <w:rsid w:val="00933223"/>
    <w:rsid w:val="009334A8"/>
    <w:rsid w:val="0093384D"/>
    <w:rsid w:val="00933BE7"/>
    <w:rsid w:val="0093412F"/>
    <w:rsid w:val="009348B2"/>
    <w:rsid w:val="0093529B"/>
    <w:rsid w:val="009359A7"/>
    <w:rsid w:val="00935CFF"/>
    <w:rsid w:val="009361E0"/>
    <w:rsid w:val="009367EC"/>
    <w:rsid w:val="0093692F"/>
    <w:rsid w:val="00937987"/>
    <w:rsid w:val="00937D9E"/>
    <w:rsid w:val="00940647"/>
    <w:rsid w:val="0094076C"/>
    <w:rsid w:val="009409F5"/>
    <w:rsid w:val="00940A83"/>
    <w:rsid w:val="00941E21"/>
    <w:rsid w:val="00944843"/>
    <w:rsid w:val="009454A0"/>
    <w:rsid w:val="0094586A"/>
    <w:rsid w:val="00945D50"/>
    <w:rsid w:val="00945E27"/>
    <w:rsid w:val="009469F3"/>
    <w:rsid w:val="00947413"/>
    <w:rsid w:val="00947E7B"/>
    <w:rsid w:val="0095283C"/>
    <w:rsid w:val="0095332B"/>
    <w:rsid w:val="00953AF2"/>
    <w:rsid w:val="00954108"/>
    <w:rsid w:val="0095452B"/>
    <w:rsid w:val="00954A73"/>
    <w:rsid w:val="00954B1F"/>
    <w:rsid w:val="009557D9"/>
    <w:rsid w:val="0095703B"/>
    <w:rsid w:val="00957698"/>
    <w:rsid w:val="00957769"/>
    <w:rsid w:val="0095781E"/>
    <w:rsid w:val="00957E71"/>
    <w:rsid w:val="00960438"/>
    <w:rsid w:val="0096124C"/>
    <w:rsid w:val="00961813"/>
    <w:rsid w:val="00961B2A"/>
    <w:rsid w:val="0096246B"/>
    <w:rsid w:val="00962992"/>
    <w:rsid w:val="00962E59"/>
    <w:rsid w:val="0096325D"/>
    <w:rsid w:val="0096393E"/>
    <w:rsid w:val="00964ACC"/>
    <w:rsid w:val="00964E8F"/>
    <w:rsid w:val="00964EF7"/>
    <w:rsid w:val="00966A68"/>
    <w:rsid w:val="00966ADA"/>
    <w:rsid w:val="009678F1"/>
    <w:rsid w:val="0097182F"/>
    <w:rsid w:val="00971884"/>
    <w:rsid w:val="00971B5E"/>
    <w:rsid w:val="009722D2"/>
    <w:rsid w:val="00972646"/>
    <w:rsid w:val="00972B13"/>
    <w:rsid w:val="00974469"/>
    <w:rsid w:val="009748E3"/>
    <w:rsid w:val="009756DB"/>
    <w:rsid w:val="009765B9"/>
    <w:rsid w:val="0097718C"/>
    <w:rsid w:val="009807AE"/>
    <w:rsid w:val="00981C8F"/>
    <w:rsid w:val="0098408B"/>
    <w:rsid w:val="009862AB"/>
    <w:rsid w:val="00991732"/>
    <w:rsid w:val="009926CD"/>
    <w:rsid w:val="00994210"/>
    <w:rsid w:val="009946BF"/>
    <w:rsid w:val="009951EC"/>
    <w:rsid w:val="00995C10"/>
    <w:rsid w:val="00996976"/>
    <w:rsid w:val="00996D38"/>
    <w:rsid w:val="009A0424"/>
    <w:rsid w:val="009A0767"/>
    <w:rsid w:val="009A09E2"/>
    <w:rsid w:val="009A0D99"/>
    <w:rsid w:val="009A1118"/>
    <w:rsid w:val="009A22C2"/>
    <w:rsid w:val="009A3B20"/>
    <w:rsid w:val="009A4BBD"/>
    <w:rsid w:val="009A544A"/>
    <w:rsid w:val="009A6100"/>
    <w:rsid w:val="009A6CD3"/>
    <w:rsid w:val="009A72CF"/>
    <w:rsid w:val="009A7887"/>
    <w:rsid w:val="009A7C5B"/>
    <w:rsid w:val="009B0203"/>
    <w:rsid w:val="009B1DDE"/>
    <w:rsid w:val="009B28C7"/>
    <w:rsid w:val="009B6AD3"/>
    <w:rsid w:val="009B76CC"/>
    <w:rsid w:val="009C1026"/>
    <w:rsid w:val="009C1B83"/>
    <w:rsid w:val="009C1BAC"/>
    <w:rsid w:val="009C1E2C"/>
    <w:rsid w:val="009C227F"/>
    <w:rsid w:val="009C310A"/>
    <w:rsid w:val="009C3438"/>
    <w:rsid w:val="009C4717"/>
    <w:rsid w:val="009C4DC5"/>
    <w:rsid w:val="009C58CF"/>
    <w:rsid w:val="009C5AE6"/>
    <w:rsid w:val="009C7152"/>
    <w:rsid w:val="009C7606"/>
    <w:rsid w:val="009C7B62"/>
    <w:rsid w:val="009D069F"/>
    <w:rsid w:val="009D1510"/>
    <w:rsid w:val="009D17E3"/>
    <w:rsid w:val="009D37E5"/>
    <w:rsid w:val="009D3B76"/>
    <w:rsid w:val="009D4078"/>
    <w:rsid w:val="009D6608"/>
    <w:rsid w:val="009D695F"/>
    <w:rsid w:val="009D7503"/>
    <w:rsid w:val="009D7DB7"/>
    <w:rsid w:val="009E02E5"/>
    <w:rsid w:val="009E0C4E"/>
    <w:rsid w:val="009E317E"/>
    <w:rsid w:val="009E3D6F"/>
    <w:rsid w:val="009E44C8"/>
    <w:rsid w:val="009E4594"/>
    <w:rsid w:val="009E496E"/>
    <w:rsid w:val="009E5BD6"/>
    <w:rsid w:val="009E6046"/>
    <w:rsid w:val="009E69DD"/>
    <w:rsid w:val="009E6B54"/>
    <w:rsid w:val="009E6C8C"/>
    <w:rsid w:val="009E7135"/>
    <w:rsid w:val="009E71C6"/>
    <w:rsid w:val="009F00A3"/>
    <w:rsid w:val="009F0AD7"/>
    <w:rsid w:val="009F1262"/>
    <w:rsid w:val="009F14EF"/>
    <w:rsid w:val="009F17E3"/>
    <w:rsid w:val="009F1817"/>
    <w:rsid w:val="009F1DC1"/>
    <w:rsid w:val="009F21E8"/>
    <w:rsid w:val="009F3254"/>
    <w:rsid w:val="009F3683"/>
    <w:rsid w:val="009F3B79"/>
    <w:rsid w:val="009F5B9B"/>
    <w:rsid w:val="009F5BAB"/>
    <w:rsid w:val="009F6A7F"/>
    <w:rsid w:val="009F6F8F"/>
    <w:rsid w:val="009F771D"/>
    <w:rsid w:val="00A000A6"/>
    <w:rsid w:val="00A00573"/>
    <w:rsid w:val="00A005EA"/>
    <w:rsid w:val="00A0062D"/>
    <w:rsid w:val="00A01EB9"/>
    <w:rsid w:val="00A025B1"/>
    <w:rsid w:val="00A0265E"/>
    <w:rsid w:val="00A053FD"/>
    <w:rsid w:val="00A057A8"/>
    <w:rsid w:val="00A0598C"/>
    <w:rsid w:val="00A05E68"/>
    <w:rsid w:val="00A1021E"/>
    <w:rsid w:val="00A117BE"/>
    <w:rsid w:val="00A11C28"/>
    <w:rsid w:val="00A12F74"/>
    <w:rsid w:val="00A13CFC"/>
    <w:rsid w:val="00A140A0"/>
    <w:rsid w:val="00A1502D"/>
    <w:rsid w:val="00A2067E"/>
    <w:rsid w:val="00A20C0C"/>
    <w:rsid w:val="00A21C82"/>
    <w:rsid w:val="00A223FB"/>
    <w:rsid w:val="00A22C3C"/>
    <w:rsid w:val="00A23027"/>
    <w:rsid w:val="00A2361E"/>
    <w:rsid w:val="00A273BB"/>
    <w:rsid w:val="00A30C2E"/>
    <w:rsid w:val="00A31313"/>
    <w:rsid w:val="00A31A47"/>
    <w:rsid w:val="00A32CF4"/>
    <w:rsid w:val="00A332C2"/>
    <w:rsid w:val="00A34233"/>
    <w:rsid w:val="00A35A29"/>
    <w:rsid w:val="00A36E1B"/>
    <w:rsid w:val="00A37B61"/>
    <w:rsid w:val="00A37E44"/>
    <w:rsid w:val="00A40506"/>
    <w:rsid w:val="00A40FA4"/>
    <w:rsid w:val="00A4141E"/>
    <w:rsid w:val="00A41AB5"/>
    <w:rsid w:val="00A4212E"/>
    <w:rsid w:val="00A42686"/>
    <w:rsid w:val="00A42820"/>
    <w:rsid w:val="00A42AB4"/>
    <w:rsid w:val="00A42CFF"/>
    <w:rsid w:val="00A43D3D"/>
    <w:rsid w:val="00A4720F"/>
    <w:rsid w:val="00A476A6"/>
    <w:rsid w:val="00A479D2"/>
    <w:rsid w:val="00A47A9B"/>
    <w:rsid w:val="00A47ED0"/>
    <w:rsid w:val="00A506EE"/>
    <w:rsid w:val="00A52022"/>
    <w:rsid w:val="00A524DA"/>
    <w:rsid w:val="00A5300C"/>
    <w:rsid w:val="00A53D7D"/>
    <w:rsid w:val="00A55788"/>
    <w:rsid w:val="00A56F32"/>
    <w:rsid w:val="00A57878"/>
    <w:rsid w:val="00A60243"/>
    <w:rsid w:val="00A60FBE"/>
    <w:rsid w:val="00A619DA"/>
    <w:rsid w:val="00A61E63"/>
    <w:rsid w:val="00A62345"/>
    <w:rsid w:val="00A62DF1"/>
    <w:rsid w:val="00A653AC"/>
    <w:rsid w:val="00A66EEB"/>
    <w:rsid w:val="00A66FA0"/>
    <w:rsid w:val="00A6787D"/>
    <w:rsid w:val="00A67EC9"/>
    <w:rsid w:val="00A70495"/>
    <w:rsid w:val="00A73165"/>
    <w:rsid w:val="00A74F5A"/>
    <w:rsid w:val="00A756A4"/>
    <w:rsid w:val="00A75E84"/>
    <w:rsid w:val="00A7672C"/>
    <w:rsid w:val="00A77262"/>
    <w:rsid w:val="00A77822"/>
    <w:rsid w:val="00A81FC9"/>
    <w:rsid w:val="00A821CD"/>
    <w:rsid w:val="00A8240E"/>
    <w:rsid w:val="00A828D6"/>
    <w:rsid w:val="00A8468F"/>
    <w:rsid w:val="00A90E38"/>
    <w:rsid w:val="00A92427"/>
    <w:rsid w:val="00A9284F"/>
    <w:rsid w:val="00A9382E"/>
    <w:rsid w:val="00A93A06"/>
    <w:rsid w:val="00A93A4C"/>
    <w:rsid w:val="00A93C8A"/>
    <w:rsid w:val="00A94DCA"/>
    <w:rsid w:val="00A95DC4"/>
    <w:rsid w:val="00A967A5"/>
    <w:rsid w:val="00A96F76"/>
    <w:rsid w:val="00AA0531"/>
    <w:rsid w:val="00AA0F1D"/>
    <w:rsid w:val="00AA1544"/>
    <w:rsid w:val="00AA77C1"/>
    <w:rsid w:val="00AB0904"/>
    <w:rsid w:val="00AB09CD"/>
    <w:rsid w:val="00AB09E8"/>
    <w:rsid w:val="00AB1992"/>
    <w:rsid w:val="00AC01BC"/>
    <w:rsid w:val="00AC04C5"/>
    <w:rsid w:val="00AC0E78"/>
    <w:rsid w:val="00AC1625"/>
    <w:rsid w:val="00AC2145"/>
    <w:rsid w:val="00AC22F3"/>
    <w:rsid w:val="00AC403E"/>
    <w:rsid w:val="00AC6790"/>
    <w:rsid w:val="00AC70C7"/>
    <w:rsid w:val="00AC77F8"/>
    <w:rsid w:val="00AD208F"/>
    <w:rsid w:val="00AD35BD"/>
    <w:rsid w:val="00AD4208"/>
    <w:rsid w:val="00AD446E"/>
    <w:rsid w:val="00AD4FA7"/>
    <w:rsid w:val="00AD5CF1"/>
    <w:rsid w:val="00AE0048"/>
    <w:rsid w:val="00AE1CD5"/>
    <w:rsid w:val="00AE21EC"/>
    <w:rsid w:val="00AE29B6"/>
    <w:rsid w:val="00AE2A31"/>
    <w:rsid w:val="00AE2CCE"/>
    <w:rsid w:val="00AE4E01"/>
    <w:rsid w:val="00AE5084"/>
    <w:rsid w:val="00AE62BB"/>
    <w:rsid w:val="00AE7669"/>
    <w:rsid w:val="00AF0C58"/>
    <w:rsid w:val="00AF0F1B"/>
    <w:rsid w:val="00AF0FED"/>
    <w:rsid w:val="00AF17B9"/>
    <w:rsid w:val="00AF1E0F"/>
    <w:rsid w:val="00AF210E"/>
    <w:rsid w:val="00AF221E"/>
    <w:rsid w:val="00AF41FA"/>
    <w:rsid w:val="00AF4B9D"/>
    <w:rsid w:val="00AF5C6C"/>
    <w:rsid w:val="00AF6118"/>
    <w:rsid w:val="00AF6C6F"/>
    <w:rsid w:val="00AF72A7"/>
    <w:rsid w:val="00B01385"/>
    <w:rsid w:val="00B01A62"/>
    <w:rsid w:val="00B020D6"/>
    <w:rsid w:val="00B034B1"/>
    <w:rsid w:val="00B0513D"/>
    <w:rsid w:val="00B053D3"/>
    <w:rsid w:val="00B06E28"/>
    <w:rsid w:val="00B073F5"/>
    <w:rsid w:val="00B10F31"/>
    <w:rsid w:val="00B10F92"/>
    <w:rsid w:val="00B11AF2"/>
    <w:rsid w:val="00B11EB0"/>
    <w:rsid w:val="00B13968"/>
    <w:rsid w:val="00B1465F"/>
    <w:rsid w:val="00B152F9"/>
    <w:rsid w:val="00B1670A"/>
    <w:rsid w:val="00B16DFD"/>
    <w:rsid w:val="00B178F5"/>
    <w:rsid w:val="00B17D49"/>
    <w:rsid w:val="00B17DBC"/>
    <w:rsid w:val="00B21944"/>
    <w:rsid w:val="00B22369"/>
    <w:rsid w:val="00B22F08"/>
    <w:rsid w:val="00B23114"/>
    <w:rsid w:val="00B2330A"/>
    <w:rsid w:val="00B2440F"/>
    <w:rsid w:val="00B26F59"/>
    <w:rsid w:val="00B27BB8"/>
    <w:rsid w:val="00B3193B"/>
    <w:rsid w:val="00B351E6"/>
    <w:rsid w:val="00B3639F"/>
    <w:rsid w:val="00B37646"/>
    <w:rsid w:val="00B379DF"/>
    <w:rsid w:val="00B37F64"/>
    <w:rsid w:val="00B4050F"/>
    <w:rsid w:val="00B40B79"/>
    <w:rsid w:val="00B42A1C"/>
    <w:rsid w:val="00B440BA"/>
    <w:rsid w:val="00B45B3F"/>
    <w:rsid w:val="00B4612C"/>
    <w:rsid w:val="00B4697C"/>
    <w:rsid w:val="00B46A48"/>
    <w:rsid w:val="00B503C2"/>
    <w:rsid w:val="00B51961"/>
    <w:rsid w:val="00B521E0"/>
    <w:rsid w:val="00B52E55"/>
    <w:rsid w:val="00B53214"/>
    <w:rsid w:val="00B53A02"/>
    <w:rsid w:val="00B53AA0"/>
    <w:rsid w:val="00B53BA8"/>
    <w:rsid w:val="00B53F87"/>
    <w:rsid w:val="00B546DF"/>
    <w:rsid w:val="00B55AA7"/>
    <w:rsid w:val="00B60568"/>
    <w:rsid w:val="00B60FFD"/>
    <w:rsid w:val="00B61300"/>
    <w:rsid w:val="00B6131D"/>
    <w:rsid w:val="00B6131E"/>
    <w:rsid w:val="00B61507"/>
    <w:rsid w:val="00B61612"/>
    <w:rsid w:val="00B62542"/>
    <w:rsid w:val="00B64F4B"/>
    <w:rsid w:val="00B6503A"/>
    <w:rsid w:val="00B654E0"/>
    <w:rsid w:val="00B66753"/>
    <w:rsid w:val="00B6677F"/>
    <w:rsid w:val="00B66A71"/>
    <w:rsid w:val="00B66D21"/>
    <w:rsid w:val="00B67AE0"/>
    <w:rsid w:val="00B704F7"/>
    <w:rsid w:val="00B71543"/>
    <w:rsid w:val="00B7235B"/>
    <w:rsid w:val="00B735B3"/>
    <w:rsid w:val="00B74593"/>
    <w:rsid w:val="00B74EFD"/>
    <w:rsid w:val="00B7507E"/>
    <w:rsid w:val="00B75125"/>
    <w:rsid w:val="00B75E8A"/>
    <w:rsid w:val="00B7737B"/>
    <w:rsid w:val="00B7751A"/>
    <w:rsid w:val="00B77A73"/>
    <w:rsid w:val="00B77AFA"/>
    <w:rsid w:val="00B80011"/>
    <w:rsid w:val="00B800EF"/>
    <w:rsid w:val="00B804BB"/>
    <w:rsid w:val="00B80631"/>
    <w:rsid w:val="00B806CA"/>
    <w:rsid w:val="00B80892"/>
    <w:rsid w:val="00B80D17"/>
    <w:rsid w:val="00B80EC2"/>
    <w:rsid w:val="00B81FAF"/>
    <w:rsid w:val="00B82FD8"/>
    <w:rsid w:val="00B8312C"/>
    <w:rsid w:val="00B8360A"/>
    <w:rsid w:val="00B84087"/>
    <w:rsid w:val="00B85F56"/>
    <w:rsid w:val="00B862B1"/>
    <w:rsid w:val="00B8647C"/>
    <w:rsid w:val="00B86686"/>
    <w:rsid w:val="00B87216"/>
    <w:rsid w:val="00B87927"/>
    <w:rsid w:val="00B87C73"/>
    <w:rsid w:val="00B903D8"/>
    <w:rsid w:val="00B90487"/>
    <w:rsid w:val="00B90A20"/>
    <w:rsid w:val="00B91846"/>
    <w:rsid w:val="00B91EC8"/>
    <w:rsid w:val="00B91FF6"/>
    <w:rsid w:val="00B92202"/>
    <w:rsid w:val="00B942B2"/>
    <w:rsid w:val="00B953DB"/>
    <w:rsid w:val="00B95C6E"/>
    <w:rsid w:val="00BA06C8"/>
    <w:rsid w:val="00BA0CFA"/>
    <w:rsid w:val="00BA1621"/>
    <w:rsid w:val="00BA1D28"/>
    <w:rsid w:val="00BA21F8"/>
    <w:rsid w:val="00BA2E40"/>
    <w:rsid w:val="00BA31E0"/>
    <w:rsid w:val="00BA3A60"/>
    <w:rsid w:val="00BA6876"/>
    <w:rsid w:val="00BA6882"/>
    <w:rsid w:val="00BA6C3C"/>
    <w:rsid w:val="00BA7B2D"/>
    <w:rsid w:val="00BB014A"/>
    <w:rsid w:val="00BB0409"/>
    <w:rsid w:val="00BB140B"/>
    <w:rsid w:val="00BB160A"/>
    <w:rsid w:val="00BB2138"/>
    <w:rsid w:val="00BB2531"/>
    <w:rsid w:val="00BB2B4E"/>
    <w:rsid w:val="00BB2DAC"/>
    <w:rsid w:val="00BB33A3"/>
    <w:rsid w:val="00BB37EB"/>
    <w:rsid w:val="00BB38F1"/>
    <w:rsid w:val="00BB4B5C"/>
    <w:rsid w:val="00BB6F0D"/>
    <w:rsid w:val="00BB722A"/>
    <w:rsid w:val="00BB79B4"/>
    <w:rsid w:val="00BB7DB3"/>
    <w:rsid w:val="00BC0E68"/>
    <w:rsid w:val="00BC1776"/>
    <w:rsid w:val="00BC1F05"/>
    <w:rsid w:val="00BC2F4C"/>
    <w:rsid w:val="00BC39F7"/>
    <w:rsid w:val="00BC6EC1"/>
    <w:rsid w:val="00BC6F9A"/>
    <w:rsid w:val="00BC75F1"/>
    <w:rsid w:val="00BC7A37"/>
    <w:rsid w:val="00BD007C"/>
    <w:rsid w:val="00BD1E15"/>
    <w:rsid w:val="00BD2180"/>
    <w:rsid w:val="00BD2681"/>
    <w:rsid w:val="00BD38E3"/>
    <w:rsid w:val="00BD3D6D"/>
    <w:rsid w:val="00BD4137"/>
    <w:rsid w:val="00BD42B8"/>
    <w:rsid w:val="00BD57D2"/>
    <w:rsid w:val="00BD7351"/>
    <w:rsid w:val="00BE26F4"/>
    <w:rsid w:val="00BE2A66"/>
    <w:rsid w:val="00BE3010"/>
    <w:rsid w:val="00BE3054"/>
    <w:rsid w:val="00BE4DDA"/>
    <w:rsid w:val="00BE591D"/>
    <w:rsid w:val="00BE6811"/>
    <w:rsid w:val="00BE7376"/>
    <w:rsid w:val="00BF0DC5"/>
    <w:rsid w:val="00BF1F79"/>
    <w:rsid w:val="00BF207E"/>
    <w:rsid w:val="00BF27DD"/>
    <w:rsid w:val="00BF4215"/>
    <w:rsid w:val="00BF46FB"/>
    <w:rsid w:val="00BF6283"/>
    <w:rsid w:val="00BF6AE0"/>
    <w:rsid w:val="00BF73C9"/>
    <w:rsid w:val="00BF79CB"/>
    <w:rsid w:val="00BF7AEF"/>
    <w:rsid w:val="00BF7C39"/>
    <w:rsid w:val="00BF7D08"/>
    <w:rsid w:val="00C01288"/>
    <w:rsid w:val="00C014EC"/>
    <w:rsid w:val="00C01BBA"/>
    <w:rsid w:val="00C02E06"/>
    <w:rsid w:val="00C02F14"/>
    <w:rsid w:val="00C031BD"/>
    <w:rsid w:val="00C03389"/>
    <w:rsid w:val="00C046B6"/>
    <w:rsid w:val="00C04E09"/>
    <w:rsid w:val="00C04E12"/>
    <w:rsid w:val="00C05545"/>
    <w:rsid w:val="00C064A3"/>
    <w:rsid w:val="00C073E2"/>
    <w:rsid w:val="00C077F7"/>
    <w:rsid w:val="00C07ACF"/>
    <w:rsid w:val="00C07D87"/>
    <w:rsid w:val="00C07EA7"/>
    <w:rsid w:val="00C10C3B"/>
    <w:rsid w:val="00C11466"/>
    <w:rsid w:val="00C11951"/>
    <w:rsid w:val="00C11AEB"/>
    <w:rsid w:val="00C12390"/>
    <w:rsid w:val="00C128E5"/>
    <w:rsid w:val="00C12BA4"/>
    <w:rsid w:val="00C12BB4"/>
    <w:rsid w:val="00C1319E"/>
    <w:rsid w:val="00C1326D"/>
    <w:rsid w:val="00C132B6"/>
    <w:rsid w:val="00C139D3"/>
    <w:rsid w:val="00C1619D"/>
    <w:rsid w:val="00C16E63"/>
    <w:rsid w:val="00C20112"/>
    <w:rsid w:val="00C2067A"/>
    <w:rsid w:val="00C23A50"/>
    <w:rsid w:val="00C24600"/>
    <w:rsid w:val="00C2476C"/>
    <w:rsid w:val="00C248BC"/>
    <w:rsid w:val="00C264A5"/>
    <w:rsid w:val="00C275F3"/>
    <w:rsid w:val="00C3004B"/>
    <w:rsid w:val="00C30230"/>
    <w:rsid w:val="00C31049"/>
    <w:rsid w:val="00C3143B"/>
    <w:rsid w:val="00C32517"/>
    <w:rsid w:val="00C328A5"/>
    <w:rsid w:val="00C32968"/>
    <w:rsid w:val="00C32C76"/>
    <w:rsid w:val="00C33E05"/>
    <w:rsid w:val="00C3472A"/>
    <w:rsid w:val="00C35145"/>
    <w:rsid w:val="00C36475"/>
    <w:rsid w:val="00C3754F"/>
    <w:rsid w:val="00C40A5F"/>
    <w:rsid w:val="00C40B9D"/>
    <w:rsid w:val="00C433D1"/>
    <w:rsid w:val="00C43D22"/>
    <w:rsid w:val="00C43E26"/>
    <w:rsid w:val="00C4448C"/>
    <w:rsid w:val="00C45FCC"/>
    <w:rsid w:val="00C4713B"/>
    <w:rsid w:val="00C4747B"/>
    <w:rsid w:val="00C4786A"/>
    <w:rsid w:val="00C47BE4"/>
    <w:rsid w:val="00C500B3"/>
    <w:rsid w:val="00C5177A"/>
    <w:rsid w:val="00C53C06"/>
    <w:rsid w:val="00C57AEB"/>
    <w:rsid w:val="00C607DA"/>
    <w:rsid w:val="00C60B33"/>
    <w:rsid w:val="00C60B48"/>
    <w:rsid w:val="00C61B8C"/>
    <w:rsid w:val="00C62FB8"/>
    <w:rsid w:val="00C63812"/>
    <w:rsid w:val="00C6406D"/>
    <w:rsid w:val="00C64770"/>
    <w:rsid w:val="00C65869"/>
    <w:rsid w:val="00C65C2A"/>
    <w:rsid w:val="00C6787F"/>
    <w:rsid w:val="00C70258"/>
    <w:rsid w:val="00C709E6"/>
    <w:rsid w:val="00C713A6"/>
    <w:rsid w:val="00C714B4"/>
    <w:rsid w:val="00C74DC7"/>
    <w:rsid w:val="00C76FF9"/>
    <w:rsid w:val="00C77CD9"/>
    <w:rsid w:val="00C804D4"/>
    <w:rsid w:val="00C80E1D"/>
    <w:rsid w:val="00C83543"/>
    <w:rsid w:val="00C83ED3"/>
    <w:rsid w:val="00C845C7"/>
    <w:rsid w:val="00C84B98"/>
    <w:rsid w:val="00C84CD6"/>
    <w:rsid w:val="00C861F8"/>
    <w:rsid w:val="00C86205"/>
    <w:rsid w:val="00C867A3"/>
    <w:rsid w:val="00C86959"/>
    <w:rsid w:val="00C86E3B"/>
    <w:rsid w:val="00C87029"/>
    <w:rsid w:val="00C87565"/>
    <w:rsid w:val="00C87C5E"/>
    <w:rsid w:val="00C907C4"/>
    <w:rsid w:val="00C90B9C"/>
    <w:rsid w:val="00C91427"/>
    <w:rsid w:val="00C91B34"/>
    <w:rsid w:val="00C9357B"/>
    <w:rsid w:val="00C94275"/>
    <w:rsid w:val="00C946B8"/>
    <w:rsid w:val="00C9477A"/>
    <w:rsid w:val="00C95934"/>
    <w:rsid w:val="00C9694B"/>
    <w:rsid w:val="00CA04B2"/>
    <w:rsid w:val="00CA1637"/>
    <w:rsid w:val="00CA1675"/>
    <w:rsid w:val="00CA1D67"/>
    <w:rsid w:val="00CA1F99"/>
    <w:rsid w:val="00CA1FA7"/>
    <w:rsid w:val="00CA2180"/>
    <w:rsid w:val="00CA2693"/>
    <w:rsid w:val="00CA26DF"/>
    <w:rsid w:val="00CA2A1A"/>
    <w:rsid w:val="00CA3361"/>
    <w:rsid w:val="00CA4B07"/>
    <w:rsid w:val="00CA4F5D"/>
    <w:rsid w:val="00CA6005"/>
    <w:rsid w:val="00CA784D"/>
    <w:rsid w:val="00CB00AE"/>
    <w:rsid w:val="00CB0777"/>
    <w:rsid w:val="00CB1577"/>
    <w:rsid w:val="00CB27BE"/>
    <w:rsid w:val="00CB2F86"/>
    <w:rsid w:val="00CB313D"/>
    <w:rsid w:val="00CB343C"/>
    <w:rsid w:val="00CB402B"/>
    <w:rsid w:val="00CB44D2"/>
    <w:rsid w:val="00CB4AAD"/>
    <w:rsid w:val="00CB6567"/>
    <w:rsid w:val="00CB6B22"/>
    <w:rsid w:val="00CB6E6F"/>
    <w:rsid w:val="00CC0477"/>
    <w:rsid w:val="00CC1019"/>
    <w:rsid w:val="00CC205D"/>
    <w:rsid w:val="00CC23C1"/>
    <w:rsid w:val="00CC3013"/>
    <w:rsid w:val="00CC3A08"/>
    <w:rsid w:val="00CC4971"/>
    <w:rsid w:val="00CC4D1B"/>
    <w:rsid w:val="00CC5336"/>
    <w:rsid w:val="00CC53A9"/>
    <w:rsid w:val="00CC54BB"/>
    <w:rsid w:val="00CC5746"/>
    <w:rsid w:val="00CC6BA3"/>
    <w:rsid w:val="00CC711F"/>
    <w:rsid w:val="00CC737D"/>
    <w:rsid w:val="00CC75FB"/>
    <w:rsid w:val="00CC7723"/>
    <w:rsid w:val="00CD005C"/>
    <w:rsid w:val="00CD05A3"/>
    <w:rsid w:val="00CD0ACC"/>
    <w:rsid w:val="00CD1EB0"/>
    <w:rsid w:val="00CD32A2"/>
    <w:rsid w:val="00CD449C"/>
    <w:rsid w:val="00CD51DD"/>
    <w:rsid w:val="00CD5B1D"/>
    <w:rsid w:val="00CD6FEC"/>
    <w:rsid w:val="00CD70DE"/>
    <w:rsid w:val="00CD755C"/>
    <w:rsid w:val="00CD7B9E"/>
    <w:rsid w:val="00CE0955"/>
    <w:rsid w:val="00CE278D"/>
    <w:rsid w:val="00CE32D8"/>
    <w:rsid w:val="00CE4782"/>
    <w:rsid w:val="00CE507D"/>
    <w:rsid w:val="00CE5172"/>
    <w:rsid w:val="00CE6226"/>
    <w:rsid w:val="00CE64E6"/>
    <w:rsid w:val="00CE70DE"/>
    <w:rsid w:val="00CE73A1"/>
    <w:rsid w:val="00CF1EE2"/>
    <w:rsid w:val="00CF30DC"/>
    <w:rsid w:val="00CF326E"/>
    <w:rsid w:val="00CF37AE"/>
    <w:rsid w:val="00CF3E48"/>
    <w:rsid w:val="00CF4914"/>
    <w:rsid w:val="00CF4CE8"/>
    <w:rsid w:val="00CF53EB"/>
    <w:rsid w:val="00CF5B34"/>
    <w:rsid w:val="00CF7124"/>
    <w:rsid w:val="00CF7D82"/>
    <w:rsid w:val="00D017D2"/>
    <w:rsid w:val="00D025F5"/>
    <w:rsid w:val="00D037F0"/>
    <w:rsid w:val="00D03B84"/>
    <w:rsid w:val="00D04174"/>
    <w:rsid w:val="00D05876"/>
    <w:rsid w:val="00D0599E"/>
    <w:rsid w:val="00D05A96"/>
    <w:rsid w:val="00D0684A"/>
    <w:rsid w:val="00D06B0A"/>
    <w:rsid w:val="00D10934"/>
    <w:rsid w:val="00D11122"/>
    <w:rsid w:val="00D120DD"/>
    <w:rsid w:val="00D128F3"/>
    <w:rsid w:val="00D1328F"/>
    <w:rsid w:val="00D1335A"/>
    <w:rsid w:val="00D1362A"/>
    <w:rsid w:val="00D14F8A"/>
    <w:rsid w:val="00D15D43"/>
    <w:rsid w:val="00D20CFC"/>
    <w:rsid w:val="00D21ABC"/>
    <w:rsid w:val="00D21CA9"/>
    <w:rsid w:val="00D223C8"/>
    <w:rsid w:val="00D23336"/>
    <w:rsid w:val="00D240F9"/>
    <w:rsid w:val="00D243EB"/>
    <w:rsid w:val="00D2549B"/>
    <w:rsid w:val="00D25A80"/>
    <w:rsid w:val="00D262A4"/>
    <w:rsid w:val="00D322DD"/>
    <w:rsid w:val="00D3450A"/>
    <w:rsid w:val="00D34FD6"/>
    <w:rsid w:val="00D35919"/>
    <w:rsid w:val="00D36B60"/>
    <w:rsid w:val="00D370C0"/>
    <w:rsid w:val="00D375A0"/>
    <w:rsid w:val="00D376D8"/>
    <w:rsid w:val="00D37742"/>
    <w:rsid w:val="00D41B51"/>
    <w:rsid w:val="00D4317A"/>
    <w:rsid w:val="00D43AD6"/>
    <w:rsid w:val="00D4476C"/>
    <w:rsid w:val="00D45E0E"/>
    <w:rsid w:val="00D45EE6"/>
    <w:rsid w:val="00D46A99"/>
    <w:rsid w:val="00D46B52"/>
    <w:rsid w:val="00D46C2C"/>
    <w:rsid w:val="00D4714E"/>
    <w:rsid w:val="00D47793"/>
    <w:rsid w:val="00D51638"/>
    <w:rsid w:val="00D51DB9"/>
    <w:rsid w:val="00D53C22"/>
    <w:rsid w:val="00D571D9"/>
    <w:rsid w:val="00D57587"/>
    <w:rsid w:val="00D60AE8"/>
    <w:rsid w:val="00D60F58"/>
    <w:rsid w:val="00D61A8E"/>
    <w:rsid w:val="00D63392"/>
    <w:rsid w:val="00D6378A"/>
    <w:rsid w:val="00D6479E"/>
    <w:rsid w:val="00D64A5E"/>
    <w:rsid w:val="00D656FE"/>
    <w:rsid w:val="00D65D50"/>
    <w:rsid w:val="00D66635"/>
    <w:rsid w:val="00D66A2B"/>
    <w:rsid w:val="00D672C3"/>
    <w:rsid w:val="00D67CBE"/>
    <w:rsid w:val="00D70AD8"/>
    <w:rsid w:val="00D7124B"/>
    <w:rsid w:val="00D71C1C"/>
    <w:rsid w:val="00D723BE"/>
    <w:rsid w:val="00D72558"/>
    <w:rsid w:val="00D735C6"/>
    <w:rsid w:val="00D75E51"/>
    <w:rsid w:val="00D76A3B"/>
    <w:rsid w:val="00D76F76"/>
    <w:rsid w:val="00D7748D"/>
    <w:rsid w:val="00D77C69"/>
    <w:rsid w:val="00D806B7"/>
    <w:rsid w:val="00D80AB7"/>
    <w:rsid w:val="00D82301"/>
    <w:rsid w:val="00D8268E"/>
    <w:rsid w:val="00D8307C"/>
    <w:rsid w:val="00D83498"/>
    <w:rsid w:val="00D8376E"/>
    <w:rsid w:val="00D85C1F"/>
    <w:rsid w:val="00D86636"/>
    <w:rsid w:val="00D87013"/>
    <w:rsid w:val="00D87CA4"/>
    <w:rsid w:val="00D906E6"/>
    <w:rsid w:val="00D93717"/>
    <w:rsid w:val="00D9375D"/>
    <w:rsid w:val="00D93BAE"/>
    <w:rsid w:val="00D94BFE"/>
    <w:rsid w:val="00D964F1"/>
    <w:rsid w:val="00D966BD"/>
    <w:rsid w:val="00D975C8"/>
    <w:rsid w:val="00D97C05"/>
    <w:rsid w:val="00DA14E8"/>
    <w:rsid w:val="00DA2007"/>
    <w:rsid w:val="00DA30CE"/>
    <w:rsid w:val="00DA3333"/>
    <w:rsid w:val="00DA4016"/>
    <w:rsid w:val="00DA503B"/>
    <w:rsid w:val="00DA5EAE"/>
    <w:rsid w:val="00DA67FF"/>
    <w:rsid w:val="00DA777F"/>
    <w:rsid w:val="00DB029D"/>
    <w:rsid w:val="00DB0BE0"/>
    <w:rsid w:val="00DB0C98"/>
    <w:rsid w:val="00DB126F"/>
    <w:rsid w:val="00DB145B"/>
    <w:rsid w:val="00DB167A"/>
    <w:rsid w:val="00DB28F7"/>
    <w:rsid w:val="00DB2DA3"/>
    <w:rsid w:val="00DB3612"/>
    <w:rsid w:val="00DB4B36"/>
    <w:rsid w:val="00DB4EC2"/>
    <w:rsid w:val="00DB5285"/>
    <w:rsid w:val="00DC03FE"/>
    <w:rsid w:val="00DC1099"/>
    <w:rsid w:val="00DC13CC"/>
    <w:rsid w:val="00DC1BA9"/>
    <w:rsid w:val="00DC482A"/>
    <w:rsid w:val="00DC5BC3"/>
    <w:rsid w:val="00DC69B5"/>
    <w:rsid w:val="00DC6D84"/>
    <w:rsid w:val="00DC71F1"/>
    <w:rsid w:val="00DD17D3"/>
    <w:rsid w:val="00DD45C4"/>
    <w:rsid w:val="00DD4A4E"/>
    <w:rsid w:val="00DD5985"/>
    <w:rsid w:val="00DD6CFB"/>
    <w:rsid w:val="00DD6ED3"/>
    <w:rsid w:val="00DD77A8"/>
    <w:rsid w:val="00DD7D31"/>
    <w:rsid w:val="00DE1364"/>
    <w:rsid w:val="00DE1558"/>
    <w:rsid w:val="00DE2266"/>
    <w:rsid w:val="00DE3161"/>
    <w:rsid w:val="00DE44E4"/>
    <w:rsid w:val="00DE5B9F"/>
    <w:rsid w:val="00DE5EF5"/>
    <w:rsid w:val="00DE6879"/>
    <w:rsid w:val="00DE6CB5"/>
    <w:rsid w:val="00DE6EF5"/>
    <w:rsid w:val="00DF0D23"/>
    <w:rsid w:val="00DF1A19"/>
    <w:rsid w:val="00DF2B31"/>
    <w:rsid w:val="00DF3F08"/>
    <w:rsid w:val="00DF4D72"/>
    <w:rsid w:val="00DF517E"/>
    <w:rsid w:val="00DF530A"/>
    <w:rsid w:val="00DF5FFD"/>
    <w:rsid w:val="00DF6B98"/>
    <w:rsid w:val="00DF7CA0"/>
    <w:rsid w:val="00E00B10"/>
    <w:rsid w:val="00E00E6E"/>
    <w:rsid w:val="00E00EBC"/>
    <w:rsid w:val="00E01013"/>
    <w:rsid w:val="00E0333E"/>
    <w:rsid w:val="00E03C80"/>
    <w:rsid w:val="00E0560D"/>
    <w:rsid w:val="00E0567A"/>
    <w:rsid w:val="00E0585C"/>
    <w:rsid w:val="00E05C4D"/>
    <w:rsid w:val="00E100ED"/>
    <w:rsid w:val="00E11166"/>
    <w:rsid w:val="00E1132A"/>
    <w:rsid w:val="00E11C64"/>
    <w:rsid w:val="00E1311F"/>
    <w:rsid w:val="00E13963"/>
    <w:rsid w:val="00E13AAF"/>
    <w:rsid w:val="00E143AA"/>
    <w:rsid w:val="00E15621"/>
    <w:rsid w:val="00E1565F"/>
    <w:rsid w:val="00E156D3"/>
    <w:rsid w:val="00E1609D"/>
    <w:rsid w:val="00E171A6"/>
    <w:rsid w:val="00E17808"/>
    <w:rsid w:val="00E223A1"/>
    <w:rsid w:val="00E22DA1"/>
    <w:rsid w:val="00E254AA"/>
    <w:rsid w:val="00E263E3"/>
    <w:rsid w:val="00E3083A"/>
    <w:rsid w:val="00E30880"/>
    <w:rsid w:val="00E30911"/>
    <w:rsid w:val="00E3095E"/>
    <w:rsid w:val="00E3102C"/>
    <w:rsid w:val="00E32AFD"/>
    <w:rsid w:val="00E3354E"/>
    <w:rsid w:val="00E33A4A"/>
    <w:rsid w:val="00E33C96"/>
    <w:rsid w:val="00E3508A"/>
    <w:rsid w:val="00E350E8"/>
    <w:rsid w:val="00E354B1"/>
    <w:rsid w:val="00E36313"/>
    <w:rsid w:val="00E36C46"/>
    <w:rsid w:val="00E40B99"/>
    <w:rsid w:val="00E40D04"/>
    <w:rsid w:val="00E432F5"/>
    <w:rsid w:val="00E43663"/>
    <w:rsid w:val="00E43901"/>
    <w:rsid w:val="00E43E8B"/>
    <w:rsid w:val="00E44944"/>
    <w:rsid w:val="00E44F15"/>
    <w:rsid w:val="00E46E76"/>
    <w:rsid w:val="00E474EE"/>
    <w:rsid w:val="00E500B6"/>
    <w:rsid w:val="00E508D6"/>
    <w:rsid w:val="00E516AC"/>
    <w:rsid w:val="00E51D3B"/>
    <w:rsid w:val="00E52321"/>
    <w:rsid w:val="00E52624"/>
    <w:rsid w:val="00E535E6"/>
    <w:rsid w:val="00E5393A"/>
    <w:rsid w:val="00E539DE"/>
    <w:rsid w:val="00E53CEB"/>
    <w:rsid w:val="00E555EE"/>
    <w:rsid w:val="00E559AD"/>
    <w:rsid w:val="00E573D4"/>
    <w:rsid w:val="00E57E30"/>
    <w:rsid w:val="00E61592"/>
    <w:rsid w:val="00E617F5"/>
    <w:rsid w:val="00E61C41"/>
    <w:rsid w:val="00E61FAB"/>
    <w:rsid w:val="00E62518"/>
    <w:rsid w:val="00E64B9F"/>
    <w:rsid w:val="00E651F7"/>
    <w:rsid w:val="00E65278"/>
    <w:rsid w:val="00E663B0"/>
    <w:rsid w:val="00E676CC"/>
    <w:rsid w:val="00E679FB"/>
    <w:rsid w:val="00E67B44"/>
    <w:rsid w:val="00E67C41"/>
    <w:rsid w:val="00E707DF"/>
    <w:rsid w:val="00E71022"/>
    <w:rsid w:val="00E72386"/>
    <w:rsid w:val="00E72A8C"/>
    <w:rsid w:val="00E7320D"/>
    <w:rsid w:val="00E74393"/>
    <w:rsid w:val="00E749BF"/>
    <w:rsid w:val="00E74BED"/>
    <w:rsid w:val="00E76379"/>
    <w:rsid w:val="00E77C90"/>
    <w:rsid w:val="00E81910"/>
    <w:rsid w:val="00E82103"/>
    <w:rsid w:val="00E82721"/>
    <w:rsid w:val="00E84815"/>
    <w:rsid w:val="00E84BDB"/>
    <w:rsid w:val="00E85F31"/>
    <w:rsid w:val="00E8705D"/>
    <w:rsid w:val="00E8737D"/>
    <w:rsid w:val="00E87AC3"/>
    <w:rsid w:val="00E87E27"/>
    <w:rsid w:val="00E902CE"/>
    <w:rsid w:val="00E91DAE"/>
    <w:rsid w:val="00E9204E"/>
    <w:rsid w:val="00E94645"/>
    <w:rsid w:val="00E975F9"/>
    <w:rsid w:val="00EA0075"/>
    <w:rsid w:val="00EA024C"/>
    <w:rsid w:val="00EA0450"/>
    <w:rsid w:val="00EA0BA0"/>
    <w:rsid w:val="00EA141F"/>
    <w:rsid w:val="00EA1D2C"/>
    <w:rsid w:val="00EA2247"/>
    <w:rsid w:val="00EA4AB3"/>
    <w:rsid w:val="00EA4ADA"/>
    <w:rsid w:val="00EA50A9"/>
    <w:rsid w:val="00EA68A3"/>
    <w:rsid w:val="00EA767D"/>
    <w:rsid w:val="00EA7D90"/>
    <w:rsid w:val="00EB2A00"/>
    <w:rsid w:val="00EB3110"/>
    <w:rsid w:val="00EB3157"/>
    <w:rsid w:val="00EB3AC8"/>
    <w:rsid w:val="00EB3E79"/>
    <w:rsid w:val="00EB46CF"/>
    <w:rsid w:val="00EB648B"/>
    <w:rsid w:val="00EB7AEF"/>
    <w:rsid w:val="00EC1398"/>
    <w:rsid w:val="00EC1B0F"/>
    <w:rsid w:val="00EC264A"/>
    <w:rsid w:val="00EC28F8"/>
    <w:rsid w:val="00EC3A35"/>
    <w:rsid w:val="00EC3AA0"/>
    <w:rsid w:val="00EC6C0F"/>
    <w:rsid w:val="00EC6EBE"/>
    <w:rsid w:val="00EC7499"/>
    <w:rsid w:val="00ED0020"/>
    <w:rsid w:val="00ED1571"/>
    <w:rsid w:val="00ED1973"/>
    <w:rsid w:val="00ED2F3A"/>
    <w:rsid w:val="00ED33FF"/>
    <w:rsid w:val="00ED364C"/>
    <w:rsid w:val="00ED368A"/>
    <w:rsid w:val="00ED4251"/>
    <w:rsid w:val="00ED4CAE"/>
    <w:rsid w:val="00ED7019"/>
    <w:rsid w:val="00ED73D8"/>
    <w:rsid w:val="00EE0D8B"/>
    <w:rsid w:val="00EE2DD4"/>
    <w:rsid w:val="00EE2F71"/>
    <w:rsid w:val="00EE4442"/>
    <w:rsid w:val="00EE5558"/>
    <w:rsid w:val="00EE6206"/>
    <w:rsid w:val="00EE6A9A"/>
    <w:rsid w:val="00EE707B"/>
    <w:rsid w:val="00EE7F6B"/>
    <w:rsid w:val="00EF1142"/>
    <w:rsid w:val="00EF1148"/>
    <w:rsid w:val="00EF1277"/>
    <w:rsid w:val="00EF343D"/>
    <w:rsid w:val="00EF46BD"/>
    <w:rsid w:val="00EF4B05"/>
    <w:rsid w:val="00EF56B7"/>
    <w:rsid w:val="00EF6B66"/>
    <w:rsid w:val="00EF6C81"/>
    <w:rsid w:val="00EF7F61"/>
    <w:rsid w:val="00F00230"/>
    <w:rsid w:val="00F028BA"/>
    <w:rsid w:val="00F02965"/>
    <w:rsid w:val="00F03743"/>
    <w:rsid w:val="00F03CA0"/>
    <w:rsid w:val="00F0559B"/>
    <w:rsid w:val="00F0609A"/>
    <w:rsid w:val="00F06CFD"/>
    <w:rsid w:val="00F10E1A"/>
    <w:rsid w:val="00F13312"/>
    <w:rsid w:val="00F1341A"/>
    <w:rsid w:val="00F137D5"/>
    <w:rsid w:val="00F143D9"/>
    <w:rsid w:val="00F155B0"/>
    <w:rsid w:val="00F161F6"/>
    <w:rsid w:val="00F16910"/>
    <w:rsid w:val="00F1717A"/>
    <w:rsid w:val="00F17281"/>
    <w:rsid w:val="00F179FF"/>
    <w:rsid w:val="00F20BA2"/>
    <w:rsid w:val="00F21969"/>
    <w:rsid w:val="00F21A76"/>
    <w:rsid w:val="00F22260"/>
    <w:rsid w:val="00F24030"/>
    <w:rsid w:val="00F27105"/>
    <w:rsid w:val="00F27712"/>
    <w:rsid w:val="00F302D6"/>
    <w:rsid w:val="00F30444"/>
    <w:rsid w:val="00F30982"/>
    <w:rsid w:val="00F31263"/>
    <w:rsid w:val="00F32BB1"/>
    <w:rsid w:val="00F34569"/>
    <w:rsid w:val="00F36238"/>
    <w:rsid w:val="00F36709"/>
    <w:rsid w:val="00F37E2F"/>
    <w:rsid w:val="00F400A7"/>
    <w:rsid w:val="00F4184B"/>
    <w:rsid w:val="00F41E0E"/>
    <w:rsid w:val="00F438DA"/>
    <w:rsid w:val="00F445A3"/>
    <w:rsid w:val="00F44CA7"/>
    <w:rsid w:val="00F478D9"/>
    <w:rsid w:val="00F51695"/>
    <w:rsid w:val="00F51EE6"/>
    <w:rsid w:val="00F52159"/>
    <w:rsid w:val="00F53714"/>
    <w:rsid w:val="00F53E4E"/>
    <w:rsid w:val="00F53F71"/>
    <w:rsid w:val="00F54B98"/>
    <w:rsid w:val="00F55B61"/>
    <w:rsid w:val="00F55E28"/>
    <w:rsid w:val="00F57CE4"/>
    <w:rsid w:val="00F57F6B"/>
    <w:rsid w:val="00F60B63"/>
    <w:rsid w:val="00F61D5B"/>
    <w:rsid w:val="00F653F9"/>
    <w:rsid w:val="00F66E97"/>
    <w:rsid w:val="00F70770"/>
    <w:rsid w:val="00F716BB"/>
    <w:rsid w:val="00F71C87"/>
    <w:rsid w:val="00F71EB4"/>
    <w:rsid w:val="00F72E40"/>
    <w:rsid w:val="00F736C7"/>
    <w:rsid w:val="00F7451D"/>
    <w:rsid w:val="00F74777"/>
    <w:rsid w:val="00F76F15"/>
    <w:rsid w:val="00F808FC"/>
    <w:rsid w:val="00F8147A"/>
    <w:rsid w:val="00F82393"/>
    <w:rsid w:val="00F82E5D"/>
    <w:rsid w:val="00F83F5F"/>
    <w:rsid w:val="00F842E0"/>
    <w:rsid w:val="00F843D2"/>
    <w:rsid w:val="00F846BC"/>
    <w:rsid w:val="00F84893"/>
    <w:rsid w:val="00F857DE"/>
    <w:rsid w:val="00F85F03"/>
    <w:rsid w:val="00F869FB"/>
    <w:rsid w:val="00F87378"/>
    <w:rsid w:val="00F87D98"/>
    <w:rsid w:val="00F911F5"/>
    <w:rsid w:val="00F91925"/>
    <w:rsid w:val="00F91CEB"/>
    <w:rsid w:val="00F91E98"/>
    <w:rsid w:val="00F924C0"/>
    <w:rsid w:val="00F926EA"/>
    <w:rsid w:val="00F928C9"/>
    <w:rsid w:val="00F93002"/>
    <w:rsid w:val="00F936AA"/>
    <w:rsid w:val="00F93946"/>
    <w:rsid w:val="00F95913"/>
    <w:rsid w:val="00F96856"/>
    <w:rsid w:val="00F96F1E"/>
    <w:rsid w:val="00F9709B"/>
    <w:rsid w:val="00FA0062"/>
    <w:rsid w:val="00FA126C"/>
    <w:rsid w:val="00FA2390"/>
    <w:rsid w:val="00FA2F8D"/>
    <w:rsid w:val="00FA3E1C"/>
    <w:rsid w:val="00FA450B"/>
    <w:rsid w:val="00FA4DFE"/>
    <w:rsid w:val="00FA7F06"/>
    <w:rsid w:val="00FB06D3"/>
    <w:rsid w:val="00FB11A0"/>
    <w:rsid w:val="00FB1E1D"/>
    <w:rsid w:val="00FB2206"/>
    <w:rsid w:val="00FB3122"/>
    <w:rsid w:val="00FB36CB"/>
    <w:rsid w:val="00FB3E0C"/>
    <w:rsid w:val="00FB415D"/>
    <w:rsid w:val="00FB42C8"/>
    <w:rsid w:val="00FB60DA"/>
    <w:rsid w:val="00FB6C0A"/>
    <w:rsid w:val="00FB73C6"/>
    <w:rsid w:val="00FB7DF7"/>
    <w:rsid w:val="00FB7F95"/>
    <w:rsid w:val="00FC0744"/>
    <w:rsid w:val="00FC1715"/>
    <w:rsid w:val="00FC1812"/>
    <w:rsid w:val="00FC461E"/>
    <w:rsid w:val="00FC4A16"/>
    <w:rsid w:val="00FC61BA"/>
    <w:rsid w:val="00FC667F"/>
    <w:rsid w:val="00FD0186"/>
    <w:rsid w:val="00FD0528"/>
    <w:rsid w:val="00FD1C10"/>
    <w:rsid w:val="00FD32FF"/>
    <w:rsid w:val="00FD3AFF"/>
    <w:rsid w:val="00FD5C76"/>
    <w:rsid w:val="00FD79B2"/>
    <w:rsid w:val="00FD7D5D"/>
    <w:rsid w:val="00FE1F6C"/>
    <w:rsid w:val="00FE2C4E"/>
    <w:rsid w:val="00FE3374"/>
    <w:rsid w:val="00FE4B72"/>
    <w:rsid w:val="00FE5853"/>
    <w:rsid w:val="00FE636A"/>
    <w:rsid w:val="00FF0115"/>
    <w:rsid w:val="00FF132E"/>
    <w:rsid w:val="00FF17A8"/>
    <w:rsid w:val="00FF1F2E"/>
    <w:rsid w:val="00FF2B42"/>
    <w:rsid w:val="00FF470C"/>
    <w:rsid w:val="00FF4B34"/>
    <w:rsid w:val="00FF503E"/>
    <w:rsid w:val="00FF6A72"/>
    <w:rsid w:val="01325A8F"/>
    <w:rsid w:val="02DE5ECF"/>
    <w:rsid w:val="03327FC8"/>
    <w:rsid w:val="03A82039"/>
    <w:rsid w:val="041F054D"/>
    <w:rsid w:val="042F4508"/>
    <w:rsid w:val="04545D1C"/>
    <w:rsid w:val="04D1736D"/>
    <w:rsid w:val="04F73278"/>
    <w:rsid w:val="05F477B7"/>
    <w:rsid w:val="06720FDD"/>
    <w:rsid w:val="08523527"/>
    <w:rsid w:val="0B0678A4"/>
    <w:rsid w:val="0B9E444D"/>
    <w:rsid w:val="0BAD5549"/>
    <w:rsid w:val="0DD423A8"/>
    <w:rsid w:val="0E2D7D0A"/>
    <w:rsid w:val="0F4731AF"/>
    <w:rsid w:val="0F865924"/>
    <w:rsid w:val="11A6405B"/>
    <w:rsid w:val="12AA1929"/>
    <w:rsid w:val="12C22947"/>
    <w:rsid w:val="14292F91"/>
    <w:rsid w:val="14830684"/>
    <w:rsid w:val="14D07641"/>
    <w:rsid w:val="15785D0F"/>
    <w:rsid w:val="16582A6F"/>
    <w:rsid w:val="16F21AF1"/>
    <w:rsid w:val="17620A24"/>
    <w:rsid w:val="184E2D57"/>
    <w:rsid w:val="18B3123D"/>
    <w:rsid w:val="1917583F"/>
    <w:rsid w:val="1E4A684B"/>
    <w:rsid w:val="1F1D16D5"/>
    <w:rsid w:val="21786F46"/>
    <w:rsid w:val="21F42BC1"/>
    <w:rsid w:val="22AD1173"/>
    <w:rsid w:val="23362D65"/>
    <w:rsid w:val="237D6BE6"/>
    <w:rsid w:val="26A2263A"/>
    <w:rsid w:val="26BE379D"/>
    <w:rsid w:val="284E0B51"/>
    <w:rsid w:val="2A2B114A"/>
    <w:rsid w:val="2A32072A"/>
    <w:rsid w:val="2C016606"/>
    <w:rsid w:val="2CAC2575"/>
    <w:rsid w:val="2F6C7A55"/>
    <w:rsid w:val="2FC27A6F"/>
    <w:rsid w:val="30422D49"/>
    <w:rsid w:val="31093867"/>
    <w:rsid w:val="324234D5"/>
    <w:rsid w:val="32A14960"/>
    <w:rsid w:val="340053F5"/>
    <w:rsid w:val="36EA5A89"/>
    <w:rsid w:val="37691503"/>
    <w:rsid w:val="385C6972"/>
    <w:rsid w:val="3862042D"/>
    <w:rsid w:val="38AE3672"/>
    <w:rsid w:val="39BD1693"/>
    <w:rsid w:val="3A466D00"/>
    <w:rsid w:val="3A97318D"/>
    <w:rsid w:val="3B4E4C98"/>
    <w:rsid w:val="3F93536F"/>
    <w:rsid w:val="3FE43E1D"/>
    <w:rsid w:val="404448BC"/>
    <w:rsid w:val="40CF0629"/>
    <w:rsid w:val="42F500EF"/>
    <w:rsid w:val="43A7763B"/>
    <w:rsid w:val="443B7D84"/>
    <w:rsid w:val="4492209A"/>
    <w:rsid w:val="463A4797"/>
    <w:rsid w:val="46BF2EEE"/>
    <w:rsid w:val="47BC11DC"/>
    <w:rsid w:val="47DE1152"/>
    <w:rsid w:val="47EB386F"/>
    <w:rsid w:val="48547666"/>
    <w:rsid w:val="48FA645F"/>
    <w:rsid w:val="49262DB0"/>
    <w:rsid w:val="49555444"/>
    <w:rsid w:val="4D333CEE"/>
    <w:rsid w:val="4D9724CF"/>
    <w:rsid w:val="4EA50C1B"/>
    <w:rsid w:val="4F4035E6"/>
    <w:rsid w:val="4FBF7ABB"/>
    <w:rsid w:val="51937451"/>
    <w:rsid w:val="519A07DF"/>
    <w:rsid w:val="5257047F"/>
    <w:rsid w:val="52A64F62"/>
    <w:rsid w:val="52C35B14"/>
    <w:rsid w:val="5435659E"/>
    <w:rsid w:val="54696247"/>
    <w:rsid w:val="547A3FE7"/>
    <w:rsid w:val="56020701"/>
    <w:rsid w:val="577D2735"/>
    <w:rsid w:val="583D3C73"/>
    <w:rsid w:val="58975A79"/>
    <w:rsid w:val="59D16D68"/>
    <w:rsid w:val="5B2F1F99"/>
    <w:rsid w:val="5DF72B16"/>
    <w:rsid w:val="5E2751A9"/>
    <w:rsid w:val="60A82A3E"/>
    <w:rsid w:val="62B40D80"/>
    <w:rsid w:val="632E6FDA"/>
    <w:rsid w:val="637A221F"/>
    <w:rsid w:val="65DF280D"/>
    <w:rsid w:val="68BC3CF0"/>
    <w:rsid w:val="68C006D4"/>
    <w:rsid w:val="6B2036AC"/>
    <w:rsid w:val="6BFF1513"/>
    <w:rsid w:val="6C5F0204"/>
    <w:rsid w:val="6E2A65EF"/>
    <w:rsid w:val="6E4C2A0A"/>
    <w:rsid w:val="6F1E6154"/>
    <w:rsid w:val="6FA81EC2"/>
    <w:rsid w:val="71E74F23"/>
    <w:rsid w:val="73BA21C4"/>
    <w:rsid w:val="75905670"/>
    <w:rsid w:val="75D05CCE"/>
    <w:rsid w:val="75D64973"/>
    <w:rsid w:val="75EF134A"/>
    <w:rsid w:val="78866B18"/>
    <w:rsid w:val="79AB2CDA"/>
    <w:rsid w:val="79FC7092"/>
    <w:rsid w:val="7AB160CE"/>
    <w:rsid w:val="7AE51A4D"/>
    <w:rsid w:val="7B6F0CBB"/>
    <w:rsid w:val="7CEC5447"/>
    <w:rsid w:val="7D0F3580"/>
    <w:rsid w:val="7E290854"/>
    <w:rsid w:val="7F5E25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z w:val="24"/>
      <w:szCs w:val="21"/>
      <w:lang w:val="en-US" w:eastAsia="zh-CN" w:bidi="ar-SA"/>
    </w:rPr>
  </w:style>
  <w:style w:type="paragraph" w:styleId="2">
    <w:name w:val="heading 1"/>
    <w:basedOn w:val="1"/>
    <w:next w:val="1"/>
    <w:link w:val="36"/>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3"/>
    <w:qFormat/>
    <w:uiPriority w:val="9"/>
    <w:pPr>
      <w:keepNext/>
      <w:keepLines/>
      <w:spacing w:line="415" w:lineRule="auto"/>
      <w:jc w:val="center"/>
      <w:outlineLvl w:val="1"/>
    </w:pPr>
    <w:rPr>
      <w:rFonts w:ascii="宋体"/>
      <w:b/>
      <w:bCs/>
      <w:kern w:val="2"/>
      <w:sz w:val="28"/>
      <w:szCs w:val="28"/>
      <w:lang w:val="zh-CN"/>
    </w:rPr>
  </w:style>
  <w:style w:type="paragraph" w:styleId="4">
    <w:name w:val="heading 3"/>
    <w:basedOn w:val="1"/>
    <w:next w:val="1"/>
    <w:link w:val="35"/>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63"/>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1">
    <w:name w:val="Default Paragraph Font"/>
    <w:semiHidden/>
    <w:unhideWhenUsed/>
    <w:uiPriority w:val="1"/>
  </w:style>
  <w:style w:type="table" w:default="1" w:styleId="19">
    <w:name w:val="Normal Table"/>
    <w:semiHidden/>
    <w:unhideWhenUsed/>
    <w:uiPriority w:val="99"/>
    <w:tblPr>
      <w:tblCellMar>
        <w:top w:w="0" w:type="dxa"/>
        <w:left w:w="108" w:type="dxa"/>
        <w:bottom w:w="0" w:type="dxa"/>
        <w:right w:w="108" w:type="dxa"/>
      </w:tblCellMar>
    </w:tblPr>
  </w:style>
  <w:style w:type="paragraph" w:styleId="6">
    <w:name w:val="caption"/>
    <w:basedOn w:val="1"/>
    <w:next w:val="1"/>
    <w:link w:val="65"/>
    <w:unhideWhenUsed/>
    <w:qFormat/>
    <w:uiPriority w:val="35"/>
    <w:pPr>
      <w:spacing w:line="360" w:lineRule="auto"/>
      <w:jc w:val="center"/>
    </w:pPr>
    <w:rPr>
      <w:kern w:val="2"/>
      <w:sz w:val="21"/>
      <w:szCs w:val="20"/>
    </w:rPr>
  </w:style>
  <w:style w:type="paragraph" w:styleId="7">
    <w:name w:val="annotation text"/>
    <w:basedOn w:val="1"/>
    <w:link w:val="40"/>
    <w:unhideWhenUsed/>
    <w:qFormat/>
    <w:uiPriority w:val="0"/>
    <w:pPr>
      <w:jc w:val="left"/>
    </w:pPr>
  </w:style>
  <w:style w:type="paragraph" w:styleId="8">
    <w:name w:val="Body Text"/>
    <w:basedOn w:val="1"/>
    <w:link w:val="37"/>
    <w:qFormat/>
    <w:uiPriority w:val="1"/>
    <w:rPr>
      <w:sz w:val="25"/>
      <w:szCs w:val="25"/>
    </w:rPr>
  </w:style>
  <w:style w:type="paragraph" w:styleId="9">
    <w:name w:val="toc 3"/>
    <w:basedOn w:val="1"/>
    <w:next w:val="1"/>
    <w:unhideWhenUsed/>
    <w:qFormat/>
    <w:uiPriority w:val="39"/>
    <w:pPr>
      <w:ind w:left="840" w:leftChars="400"/>
    </w:pPr>
  </w:style>
  <w:style w:type="paragraph" w:styleId="10">
    <w:name w:val="Plain Text"/>
    <w:basedOn w:val="1"/>
    <w:link w:val="47"/>
    <w:semiHidden/>
    <w:unhideWhenUsed/>
    <w:qFormat/>
    <w:uiPriority w:val="99"/>
    <w:rPr>
      <w:rFonts w:ascii="宋体" w:hAnsi="Courier New" w:cs="Courier New"/>
    </w:rPr>
  </w:style>
  <w:style w:type="paragraph" w:styleId="11">
    <w:name w:val="Date"/>
    <w:basedOn w:val="1"/>
    <w:next w:val="1"/>
    <w:link w:val="30"/>
    <w:semiHidden/>
    <w:unhideWhenUsed/>
    <w:qFormat/>
    <w:uiPriority w:val="99"/>
    <w:pPr>
      <w:ind w:left="100" w:leftChars="2500"/>
    </w:pPr>
  </w:style>
  <w:style w:type="paragraph" w:styleId="12">
    <w:name w:val="Balloon Text"/>
    <w:basedOn w:val="1"/>
    <w:link w:val="31"/>
    <w:semiHidden/>
    <w:unhideWhenUsed/>
    <w:qFormat/>
    <w:uiPriority w:val="99"/>
    <w:rPr>
      <w:sz w:val="18"/>
      <w:szCs w:val="18"/>
    </w:rPr>
  </w:style>
  <w:style w:type="paragraph" w:styleId="13">
    <w:name w:val="footer"/>
    <w:basedOn w:val="1"/>
    <w:link w:val="27"/>
    <w:unhideWhenUsed/>
    <w:qFormat/>
    <w:uiPriority w:val="99"/>
    <w:pPr>
      <w:tabs>
        <w:tab w:val="center" w:pos="4153"/>
        <w:tab w:val="right" w:pos="8306"/>
      </w:tabs>
      <w:snapToGrid w:val="0"/>
      <w:jc w:val="left"/>
    </w:pPr>
    <w:rPr>
      <w:rFonts w:asciiTheme="minorHAnsi" w:hAnsiTheme="minorHAnsi" w:eastAsiaTheme="minorEastAsia" w:cstheme="minorBidi"/>
      <w:kern w:val="2"/>
      <w:sz w:val="18"/>
      <w:szCs w:val="18"/>
    </w:rPr>
  </w:style>
  <w:style w:type="paragraph" w:styleId="14">
    <w:name w:val="header"/>
    <w:basedOn w:val="1"/>
    <w:link w:val="2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kern w:val="2"/>
      <w:sz w:val="18"/>
      <w:szCs w:val="18"/>
    </w:rPr>
  </w:style>
  <w:style w:type="paragraph" w:styleId="15">
    <w:name w:val="toc 1"/>
    <w:basedOn w:val="1"/>
    <w:next w:val="1"/>
    <w:unhideWhenUsed/>
    <w:qFormat/>
    <w:uiPriority w:val="39"/>
    <w:pPr>
      <w:tabs>
        <w:tab w:val="right" w:leader="dot" w:pos="8296"/>
      </w:tabs>
      <w:spacing w:line="276" w:lineRule="auto"/>
    </w:pPr>
    <w:rPr>
      <w:rFonts w:ascii="宋体" w:hAnsi="宋体"/>
    </w:rPr>
  </w:style>
  <w:style w:type="paragraph" w:styleId="16">
    <w:name w:val="toc 2"/>
    <w:basedOn w:val="1"/>
    <w:next w:val="1"/>
    <w:unhideWhenUsed/>
    <w:qFormat/>
    <w:uiPriority w:val="39"/>
    <w:pPr>
      <w:tabs>
        <w:tab w:val="right" w:leader="dot" w:pos="8296"/>
      </w:tabs>
      <w:spacing w:line="276" w:lineRule="auto"/>
      <w:ind w:left="420" w:leftChars="200"/>
    </w:pPr>
  </w:style>
  <w:style w:type="paragraph" w:styleId="17">
    <w:name w:val="Normal (Web)"/>
    <w:basedOn w:val="1"/>
    <w:qFormat/>
    <w:uiPriority w:val="99"/>
    <w:pPr>
      <w:spacing w:before="100" w:beforeAutospacing="1" w:after="100" w:afterAutospacing="1"/>
      <w:jc w:val="left"/>
    </w:pPr>
  </w:style>
  <w:style w:type="paragraph" w:styleId="18">
    <w:name w:val="annotation subject"/>
    <w:basedOn w:val="7"/>
    <w:next w:val="7"/>
    <w:link w:val="41"/>
    <w:semiHidden/>
    <w:unhideWhenUsed/>
    <w:qFormat/>
    <w:uiPriority w:val="99"/>
    <w:rPr>
      <w:b/>
      <w:bCs/>
    </w:rPr>
  </w:style>
  <w:style w:type="table" w:styleId="20">
    <w:name w:val="Table Grid"/>
    <w:basedOn w:val="1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22"/>
    <w:rPr>
      <w:b/>
      <w:bCs/>
    </w:rPr>
  </w:style>
  <w:style w:type="character" w:styleId="23">
    <w:name w:val="FollowedHyperlink"/>
    <w:basedOn w:val="21"/>
    <w:semiHidden/>
    <w:unhideWhenUsed/>
    <w:qFormat/>
    <w:uiPriority w:val="99"/>
    <w:rPr>
      <w:color w:val="954F72" w:themeColor="followedHyperlink"/>
      <w:u w:val="single"/>
      <w14:textFill>
        <w14:solidFill>
          <w14:schemeClr w14:val="folHlink"/>
        </w14:solidFill>
      </w14:textFill>
    </w:rPr>
  </w:style>
  <w:style w:type="character" w:styleId="24">
    <w:name w:val="Hyperlink"/>
    <w:basedOn w:val="21"/>
    <w:unhideWhenUsed/>
    <w:qFormat/>
    <w:uiPriority w:val="99"/>
    <w:rPr>
      <w:rFonts w:ascii="Times New Roman" w:hAnsi="Times New Roman" w:eastAsia="黑体"/>
      <w:color w:val="0000FF"/>
      <w:u w:val="single"/>
    </w:rPr>
  </w:style>
  <w:style w:type="character" w:styleId="25">
    <w:name w:val="annotation reference"/>
    <w:basedOn w:val="21"/>
    <w:unhideWhenUsed/>
    <w:qFormat/>
    <w:uiPriority w:val="0"/>
    <w:rPr>
      <w:sz w:val="21"/>
      <w:szCs w:val="21"/>
    </w:rPr>
  </w:style>
  <w:style w:type="character" w:customStyle="1" w:styleId="26">
    <w:name w:val="页眉 字符"/>
    <w:basedOn w:val="21"/>
    <w:link w:val="14"/>
    <w:qFormat/>
    <w:uiPriority w:val="99"/>
    <w:rPr>
      <w:sz w:val="18"/>
      <w:szCs w:val="18"/>
    </w:rPr>
  </w:style>
  <w:style w:type="character" w:customStyle="1" w:styleId="27">
    <w:name w:val="页脚 字符"/>
    <w:basedOn w:val="21"/>
    <w:link w:val="13"/>
    <w:qFormat/>
    <w:uiPriority w:val="99"/>
    <w:rPr>
      <w:sz w:val="18"/>
      <w:szCs w:val="18"/>
    </w:rPr>
  </w:style>
  <w:style w:type="paragraph" w:styleId="28">
    <w:name w:val="List Paragraph"/>
    <w:basedOn w:val="1"/>
    <w:qFormat/>
    <w:uiPriority w:val="34"/>
  </w:style>
  <w:style w:type="paragraph" w:customStyle="1" w:styleId="29">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character" w:customStyle="1" w:styleId="30">
    <w:name w:val="日期 字符"/>
    <w:basedOn w:val="21"/>
    <w:link w:val="11"/>
    <w:semiHidden/>
    <w:qFormat/>
    <w:uiPriority w:val="99"/>
    <w:rPr>
      <w:rFonts w:ascii="Times New Roman" w:hAnsi="Times New Roman" w:eastAsia="宋体" w:cs="Times New Roman"/>
      <w:color w:val="0000FF"/>
      <w:sz w:val="21"/>
      <w:szCs w:val="21"/>
    </w:rPr>
  </w:style>
  <w:style w:type="character" w:customStyle="1" w:styleId="31">
    <w:name w:val="批注框文本 字符"/>
    <w:basedOn w:val="21"/>
    <w:link w:val="12"/>
    <w:semiHidden/>
    <w:qFormat/>
    <w:uiPriority w:val="99"/>
    <w:rPr>
      <w:rFonts w:ascii="Times New Roman" w:hAnsi="Times New Roman" w:eastAsia="宋体" w:cs="Times New Roman"/>
      <w:color w:val="0000FF"/>
      <w:sz w:val="18"/>
      <w:szCs w:val="18"/>
    </w:rPr>
  </w:style>
  <w:style w:type="character" w:customStyle="1" w:styleId="32">
    <w:name w:val="标题 2 字符"/>
    <w:basedOn w:val="21"/>
    <w:semiHidden/>
    <w:qFormat/>
    <w:uiPriority w:val="9"/>
    <w:rPr>
      <w:rFonts w:asciiTheme="majorHAnsi" w:hAnsiTheme="majorHAnsi" w:eastAsiaTheme="majorEastAsia" w:cstheme="majorBidi"/>
      <w:b/>
      <w:bCs/>
      <w:color w:val="0000FF"/>
      <w:sz w:val="32"/>
      <w:szCs w:val="32"/>
    </w:rPr>
  </w:style>
  <w:style w:type="character" w:customStyle="1" w:styleId="33">
    <w:name w:val="标题 2 字符1"/>
    <w:link w:val="3"/>
    <w:qFormat/>
    <w:uiPriority w:val="0"/>
    <w:rPr>
      <w:rFonts w:ascii="宋体" w:hAnsi="Times New Roman" w:eastAsia="宋体" w:cs="Times New Roman"/>
      <w:b/>
      <w:bCs/>
      <w:kern w:val="2"/>
      <w:sz w:val="28"/>
      <w:szCs w:val="28"/>
      <w:lang w:val="zh-CN" w:eastAsia="zh-CN"/>
    </w:rPr>
  </w:style>
  <w:style w:type="character" w:styleId="34">
    <w:name w:val="Placeholder Text"/>
    <w:basedOn w:val="21"/>
    <w:semiHidden/>
    <w:qFormat/>
    <w:uiPriority w:val="99"/>
    <w:rPr>
      <w:color w:val="808080"/>
    </w:rPr>
  </w:style>
  <w:style w:type="character" w:customStyle="1" w:styleId="35">
    <w:name w:val="标题 3 字符"/>
    <w:basedOn w:val="21"/>
    <w:link w:val="4"/>
    <w:qFormat/>
    <w:uiPriority w:val="9"/>
    <w:rPr>
      <w:rFonts w:ascii="Times New Roman" w:hAnsi="Times New Roman" w:eastAsia="宋体" w:cs="Times New Roman"/>
      <w:b/>
      <w:bCs/>
      <w:color w:val="0000FF"/>
      <w:sz w:val="32"/>
      <w:szCs w:val="32"/>
    </w:rPr>
  </w:style>
  <w:style w:type="character" w:customStyle="1" w:styleId="36">
    <w:name w:val="标题 1 字符"/>
    <w:basedOn w:val="21"/>
    <w:link w:val="2"/>
    <w:qFormat/>
    <w:uiPriority w:val="9"/>
    <w:rPr>
      <w:rFonts w:ascii="Times New Roman" w:hAnsi="Times New Roman" w:eastAsia="宋体" w:cs="Times New Roman"/>
      <w:b/>
      <w:bCs/>
      <w:color w:val="0000FF"/>
      <w:kern w:val="44"/>
      <w:sz w:val="44"/>
      <w:szCs w:val="44"/>
    </w:rPr>
  </w:style>
  <w:style w:type="character" w:customStyle="1" w:styleId="37">
    <w:name w:val="正文文本 字符"/>
    <w:basedOn w:val="21"/>
    <w:link w:val="8"/>
    <w:qFormat/>
    <w:uiPriority w:val="1"/>
    <w:rPr>
      <w:rFonts w:ascii="Times New Roman" w:hAnsi="Times New Roman" w:eastAsia="宋体" w:cs="Times New Roman"/>
      <w:sz w:val="25"/>
      <w:szCs w:val="25"/>
    </w:rPr>
  </w:style>
  <w:style w:type="character" w:customStyle="1" w:styleId="38">
    <w:name w:val="ss2"/>
    <w:basedOn w:val="21"/>
    <w:qFormat/>
    <w:uiPriority w:val="0"/>
  </w:style>
  <w:style w:type="paragraph" w:customStyle="1" w:styleId="39">
    <w:name w:val="TOC 标题1"/>
    <w:basedOn w:val="2"/>
    <w:next w:val="1"/>
    <w:semiHidden/>
    <w:unhideWhenUsed/>
    <w:qFormat/>
    <w:uiPriority w:val="39"/>
    <w:pPr>
      <w:outlineLvl w:val="9"/>
    </w:pPr>
  </w:style>
  <w:style w:type="character" w:customStyle="1" w:styleId="40">
    <w:name w:val="批注文字 字符"/>
    <w:basedOn w:val="21"/>
    <w:link w:val="7"/>
    <w:qFormat/>
    <w:uiPriority w:val="0"/>
    <w:rPr>
      <w:rFonts w:ascii="Times New Roman" w:hAnsi="Times New Roman" w:eastAsia="宋体" w:cs="Times New Roman"/>
      <w:color w:val="0000FF"/>
      <w:sz w:val="21"/>
      <w:szCs w:val="21"/>
    </w:rPr>
  </w:style>
  <w:style w:type="character" w:customStyle="1" w:styleId="41">
    <w:name w:val="批注主题 字符"/>
    <w:basedOn w:val="40"/>
    <w:link w:val="18"/>
    <w:semiHidden/>
    <w:qFormat/>
    <w:uiPriority w:val="99"/>
    <w:rPr>
      <w:rFonts w:ascii="Times New Roman" w:hAnsi="Times New Roman" w:eastAsia="宋体" w:cs="Times New Roman"/>
      <w:b/>
      <w:bCs/>
      <w:color w:val="0000FF"/>
      <w:sz w:val="21"/>
      <w:szCs w:val="21"/>
    </w:rPr>
  </w:style>
  <w:style w:type="paragraph" w:customStyle="1" w:styleId="42">
    <w:name w:val="修订1"/>
    <w:hidden/>
    <w:semiHidden/>
    <w:qFormat/>
    <w:uiPriority w:val="99"/>
    <w:rPr>
      <w:rFonts w:ascii="Times New Roman" w:hAnsi="Times New Roman" w:eastAsia="宋体" w:cs="Times New Roman"/>
      <w:color w:val="0000FF"/>
      <w:sz w:val="21"/>
      <w:szCs w:val="21"/>
      <w:lang w:val="en-US" w:eastAsia="zh-CN" w:bidi="ar-SA"/>
    </w:rPr>
  </w:style>
  <w:style w:type="paragraph" w:customStyle="1" w:styleId="43">
    <w:name w:val="扉页（出版时间地点）"/>
    <w:basedOn w:val="1"/>
    <w:qFormat/>
    <w:uiPriority w:val="0"/>
    <w:pPr>
      <w:jc w:val="center"/>
    </w:pPr>
    <w:rPr>
      <w:rFonts w:eastAsia="黑体" w:cs="宋体"/>
      <w:kern w:val="2"/>
      <w:szCs w:val="20"/>
    </w:rPr>
  </w:style>
  <w:style w:type="paragraph" w:customStyle="1" w:styleId="44">
    <w:name w:val="规程英文名称（封面）"/>
    <w:basedOn w:val="10"/>
    <w:qFormat/>
    <w:uiPriority w:val="0"/>
    <w:pPr>
      <w:widowControl/>
      <w:snapToGrid w:val="0"/>
      <w:spacing w:line="360" w:lineRule="auto"/>
      <w:ind w:left="178" w:leftChars="85"/>
      <w:jc w:val="center"/>
    </w:pPr>
    <w:rPr>
      <w:rFonts w:ascii="Times New Roman" w:hAnsi="Times New Roman" w:eastAsia="黑体" w:cs="Times New Roman"/>
      <w:sz w:val="44"/>
      <w:szCs w:val="44"/>
    </w:rPr>
  </w:style>
  <w:style w:type="paragraph" w:customStyle="1" w:styleId="45">
    <w:name w:val="标准扉页（标准名称）"/>
    <w:basedOn w:val="1"/>
    <w:qFormat/>
    <w:uiPriority w:val="0"/>
    <w:pPr>
      <w:jc w:val="center"/>
    </w:pPr>
    <w:rPr>
      <w:rFonts w:eastAsia="黑体"/>
      <w:kern w:val="2"/>
      <w:sz w:val="30"/>
      <w:szCs w:val="20"/>
    </w:rPr>
  </w:style>
  <w:style w:type="paragraph" w:customStyle="1" w:styleId="46">
    <w:name w:val="标准扉页（福建省工程建设地方标准）"/>
    <w:basedOn w:val="1"/>
    <w:qFormat/>
    <w:uiPriority w:val="0"/>
    <w:pPr>
      <w:jc w:val="center"/>
    </w:pPr>
    <w:rPr>
      <w:rFonts w:eastAsia="黑体"/>
      <w:kern w:val="2"/>
      <w:sz w:val="28"/>
      <w:szCs w:val="20"/>
    </w:rPr>
  </w:style>
  <w:style w:type="character" w:customStyle="1" w:styleId="47">
    <w:name w:val="纯文本 字符"/>
    <w:basedOn w:val="21"/>
    <w:link w:val="10"/>
    <w:semiHidden/>
    <w:qFormat/>
    <w:uiPriority w:val="99"/>
    <w:rPr>
      <w:rFonts w:ascii="宋体" w:hAnsi="Courier New" w:eastAsia="宋体" w:cs="Courier New"/>
      <w:color w:val="0000FF"/>
      <w:sz w:val="21"/>
      <w:szCs w:val="21"/>
    </w:rPr>
  </w:style>
  <w:style w:type="paragraph" w:customStyle="1" w:styleId="48">
    <w:name w:val="修订2"/>
    <w:hidden/>
    <w:unhideWhenUsed/>
    <w:qFormat/>
    <w:uiPriority w:val="99"/>
    <w:rPr>
      <w:rFonts w:ascii="Times New Roman" w:hAnsi="Times New Roman" w:eastAsia="宋体" w:cs="Times New Roman"/>
      <w:color w:val="0000FF"/>
      <w:sz w:val="21"/>
      <w:szCs w:val="21"/>
      <w:lang w:val="en-US" w:eastAsia="zh-CN" w:bidi="ar-SA"/>
    </w:rPr>
  </w:style>
  <w:style w:type="paragraph" w:customStyle="1" w:styleId="49">
    <w:name w:val="MTDisplayEquation"/>
    <w:basedOn w:val="1"/>
    <w:next w:val="1"/>
    <w:link w:val="50"/>
    <w:qFormat/>
    <w:uiPriority w:val="0"/>
    <w:pPr>
      <w:tabs>
        <w:tab w:val="center" w:pos="4160"/>
        <w:tab w:val="right" w:pos="8300"/>
      </w:tabs>
      <w:spacing w:line="360" w:lineRule="auto"/>
      <w:ind w:firstLine="480" w:firstLineChars="200"/>
    </w:pPr>
    <w:rPr>
      <w:rFonts w:eastAsia="楷体" w:cstheme="minorBidi"/>
      <w:kern w:val="2"/>
      <w:szCs w:val="24"/>
    </w:rPr>
  </w:style>
  <w:style w:type="character" w:customStyle="1" w:styleId="50">
    <w:name w:val="MTDisplayEquation 字符"/>
    <w:basedOn w:val="21"/>
    <w:link w:val="49"/>
    <w:qFormat/>
    <w:uiPriority w:val="0"/>
    <w:rPr>
      <w:rFonts w:ascii="Times New Roman" w:hAnsi="Times New Roman" w:eastAsia="楷体"/>
      <w:kern w:val="2"/>
      <w:sz w:val="24"/>
      <w:szCs w:val="24"/>
    </w:rPr>
  </w:style>
  <w:style w:type="paragraph" w:customStyle="1" w:styleId="51">
    <w:name w:val="修订21"/>
    <w:hidden/>
    <w:semiHidden/>
    <w:qFormat/>
    <w:uiPriority w:val="99"/>
    <w:rPr>
      <w:rFonts w:asciiTheme="minorHAnsi" w:hAnsiTheme="minorHAnsi" w:eastAsiaTheme="minorEastAsia" w:cstheme="minorBidi"/>
      <w:kern w:val="2"/>
      <w:sz w:val="21"/>
      <w:szCs w:val="22"/>
      <w:lang w:val="en-US" w:eastAsia="zh-CN" w:bidi="ar-SA"/>
    </w:rPr>
  </w:style>
  <w:style w:type="table" w:customStyle="1" w:styleId="52">
    <w:name w:val="Table Normal"/>
    <w:semiHidden/>
    <w:unhideWhenUsed/>
    <w:qFormat/>
    <w:uiPriority w:val="0"/>
    <w:tblPr>
      <w:tblCellMar>
        <w:top w:w="0" w:type="dxa"/>
        <w:left w:w="0" w:type="dxa"/>
        <w:bottom w:w="0" w:type="dxa"/>
        <w:right w:w="0" w:type="dxa"/>
      </w:tblCellMar>
    </w:tblPr>
  </w:style>
  <w:style w:type="paragraph" w:customStyle="1" w:styleId="53">
    <w:name w:val="修订3"/>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54">
    <w:name w:val="TOC 标题2"/>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55">
    <w:name w:val="MTEquationSection"/>
    <w:basedOn w:val="21"/>
    <w:qFormat/>
    <w:uiPriority w:val="0"/>
    <w:rPr>
      <w:rFonts w:ascii="宋体" w:hAnsi="宋体"/>
      <w:b/>
      <w:bCs/>
      <w:vanish/>
      <w:color w:val="FF0000"/>
      <w:sz w:val="40"/>
      <w:szCs w:val="40"/>
    </w:rPr>
  </w:style>
  <w:style w:type="paragraph" w:customStyle="1" w:styleId="56">
    <w:name w:val="1"/>
    <w:basedOn w:val="1"/>
    <w:link w:val="57"/>
    <w:qFormat/>
    <w:uiPriority w:val="0"/>
    <w:pPr>
      <w:spacing w:line="300" w:lineRule="auto"/>
      <w:ind w:firstLine="482" w:firstLineChars="200"/>
    </w:pPr>
    <w:rPr>
      <w:kern w:val="2"/>
      <w:szCs w:val="24"/>
    </w:rPr>
  </w:style>
  <w:style w:type="character" w:customStyle="1" w:styleId="57">
    <w:name w:val="1 Char"/>
    <w:link w:val="56"/>
    <w:qFormat/>
    <w:uiPriority w:val="0"/>
    <w:rPr>
      <w:rFonts w:ascii="Times New Roman" w:hAnsi="Times New Roman" w:eastAsia="宋体" w:cs="Times New Roman"/>
      <w:kern w:val="2"/>
      <w:sz w:val="24"/>
      <w:szCs w:val="24"/>
    </w:rPr>
  </w:style>
  <w:style w:type="table" w:customStyle="1" w:styleId="58">
    <w:name w:val="网格型1"/>
    <w:basedOn w:val="19"/>
    <w:qFormat/>
    <w:uiPriority w:val="3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59">
    <w:name w:val="段"/>
    <w:link w:val="60"/>
    <w:qFormat/>
    <w:uiPriority w:val="0"/>
    <w:pPr>
      <w:tabs>
        <w:tab w:val="center" w:pos="4201"/>
        <w:tab w:val="right" w:leader="dot" w:pos="9298"/>
      </w:tabs>
      <w:autoSpaceDE w:val="0"/>
      <w:autoSpaceDN w:val="0"/>
      <w:spacing w:line="360" w:lineRule="auto"/>
      <w:ind w:firstLine="200" w:firstLineChars="200"/>
      <w:jc w:val="both"/>
    </w:pPr>
    <w:rPr>
      <w:rFonts w:ascii="Times New Roman" w:hAnsi="Times New Roman" w:eastAsia="宋体" w:cs="Times New Roman"/>
      <w:sz w:val="24"/>
      <w:lang w:val="en-US" w:eastAsia="zh-CN" w:bidi="ar-SA"/>
    </w:rPr>
  </w:style>
  <w:style w:type="character" w:customStyle="1" w:styleId="60">
    <w:name w:val="段 Char"/>
    <w:link w:val="59"/>
    <w:qFormat/>
    <w:uiPriority w:val="0"/>
    <w:rPr>
      <w:rFonts w:ascii="Times New Roman" w:hAnsi="Times New Roman" w:eastAsia="宋体" w:cs="Times New Roman"/>
      <w:sz w:val="24"/>
    </w:rPr>
  </w:style>
  <w:style w:type="paragraph" w:customStyle="1" w:styleId="61">
    <w:name w:val="二级条标题"/>
    <w:basedOn w:val="1"/>
    <w:next w:val="59"/>
    <w:qFormat/>
    <w:uiPriority w:val="99"/>
    <w:pPr>
      <w:widowControl/>
      <w:spacing w:before="50" w:beforeLines="50" w:after="50" w:afterLines="50" w:line="360" w:lineRule="auto"/>
      <w:jc w:val="left"/>
      <w:outlineLvl w:val="3"/>
    </w:pPr>
    <w:rPr>
      <w:rFonts w:eastAsia="黑体"/>
    </w:rPr>
  </w:style>
  <w:style w:type="paragraph" w:customStyle="1" w:styleId="62">
    <w:name w:val="二级无"/>
    <w:basedOn w:val="61"/>
    <w:qFormat/>
    <w:uiPriority w:val="99"/>
    <w:pPr>
      <w:spacing w:beforeLines="0" w:afterLines="0"/>
    </w:pPr>
    <w:rPr>
      <w:rFonts w:ascii="宋体" w:eastAsia="宋体"/>
    </w:rPr>
  </w:style>
  <w:style w:type="character" w:customStyle="1" w:styleId="63">
    <w:name w:val="标题 4 字符"/>
    <w:basedOn w:val="21"/>
    <w:link w:val="5"/>
    <w:semiHidden/>
    <w:uiPriority w:val="9"/>
    <w:rPr>
      <w:rFonts w:asciiTheme="majorHAnsi" w:hAnsiTheme="majorHAnsi" w:eastAsiaTheme="majorEastAsia" w:cstheme="majorBidi"/>
      <w:b/>
      <w:bCs/>
      <w:sz w:val="28"/>
      <w:szCs w:val="28"/>
    </w:rPr>
  </w:style>
  <w:style w:type="paragraph" w:customStyle="1" w:styleId="64">
    <w:name w:val="Revision"/>
    <w:hidden/>
    <w:semiHidden/>
    <w:uiPriority w:val="99"/>
    <w:rPr>
      <w:rFonts w:ascii="Times New Roman" w:hAnsi="Times New Roman" w:eastAsia="宋体" w:cs="Times New Roman"/>
      <w:sz w:val="24"/>
      <w:szCs w:val="21"/>
      <w:lang w:val="en-US" w:eastAsia="zh-CN" w:bidi="ar-SA"/>
    </w:rPr>
  </w:style>
  <w:style w:type="character" w:customStyle="1" w:styleId="65">
    <w:name w:val="题注 字符"/>
    <w:link w:val="6"/>
    <w:qFormat/>
    <w:uiPriority w:val="35"/>
    <w:rPr>
      <w:kern w:val="2"/>
      <w:sz w:val="21"/>
    </w:rPr>
  </w:style>
  <w:style w:type="paragraph" w:customStyle="1" w:styleId="66">
    <w:name w:val="条文"/>
    <w:basedOn w:val="1"/>
    <w:link w:val="67"/>
    <w:qFormat/>
    <w:uiPriority w:val="99"/>
    <w:pPr>
      <w:adjustRightInd w:val="0"/>
      <w:spacing w:line="300" w:lineRule="auto"/>
      <w:ind w:firstLine="200" w:firstLineChars="200"/>
      <w:outlineLvl w:val="2"/>
    </w:pPr>
    <w:rPr>
      <w:kern w:val="2"/>
      <w:szCs w:val="24"/>
    </w:rPr>
  </w:style>
  <w:style w:type="character" w:customStyle="1" w:styleId="67">
    <w:name w:val="条文 Char"/>
    <w:link w:val="66"/>
    <w:qFormat/>
    <w:uiPriority w:val="99"/>
    <w:rPr>
      <w:kern w:val="2"/>
      <w:sz w:val="24"/>
      <w:szCs w:val="24"/>
    </w:rPr>
  </w:style>
  <w:style w:type="paragraph" w:customStyle="1" w:styleId="68">
    <w:name w:val="条文说明"/>
    <w:basedOn w:val="1"/>
    <w:qFormat/>
    <w:uiPriority w:val="99"/>
    <w:pPr>
      <w:spacing w:line="300" w:lineRule="auto"/>
      <w:ind w:firstLine="480" w:firstLineChars="200"/>
    </w:pPr>
    <w:rPr>
      <w:rFonts w:ascii="楷体" w:hAnsi="楷体" w:eastAsia="楷体" w:cstheme="minorBidi"/>
      <w:kern w:val="2"/>
      <w:szCs w:val="22"/>
    </w:rPr>
  </w:style>
  <w:style w:type="paragraph" w:customStyle="1" w:styleId="69">
    <w:name w:val="ds-markdown-paragraph"/>
    <w:basedOn w:val="1"/>
    <w:uiPriority w:val="0"/>
    <w:pPr>
      <w:widowControl/>
      <w:spacing w:before="100" w:beforeAutospacing="1" w:after="100" w:afterAutospacing="1"/>
      <w:jc w:val="left"/>
    </w:pPr>
    <w:rPr>
      <w:rFonts w:ascii="宋体" w:hAnsi="宋体" w:cs="宋体"/>
      <w:szCs w:val="24"/>
    </w:rPr>
  </w:style>
  <w:style w:type="table" w:customStyle="1" w:styleId="70">
    <w:name w:val="网格型2"/>
    <w:basedOn w:val="19"/>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emf"/><Relationship Id="rId13" Type="http://schemas.openxmlformats.org/officeDocument/2006/relationships/theme" Target="theme/theme1.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628D5D-739B-4696-9F00-000AF1DD8D6B}">
  <ds:schemaRefs/>
</ds:datastoreItem>
</file>

<file path=docProps/app.xml><?xml version="1.0" encoding="utf-8"?>
<Properties xmlns="http://schemas.openxmlformats.org/officeDocument/2006/extended-properties" xmlns:vt="http://schemas.openxmlformats.org/officeDocument/2006/docPropsVTypes">
  <Template>Normal.dotm</Template>
  <Pages>39</Pages>
  <Words>12873</Words>
  <Characters>14290</Characters>
  <Lines>893</Lines>
  <Paragraphs>776</Paragraphs>
  <TotalTime>161</TotalTime>
  <ScaleCrop>false</ScaleCrop>
  <LinksUpToDate>false</LinksUpToDate>
  <CharactersWithSpaces>26387</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2025-11-24T06:09:00Z</dcterms:created>
  <dc:creator>聂垚</dc:creator>
  <cp:lastModifiedBy>78164</cp:lastModifiedBy>
  <cp:lastPrinted>2025-11-24T08:05:00Z</cp:lastPrinted>
  <dcterms:modified xsi:type="dcterms:W3CDTF">2025-12-05T02:15:37Z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6632397202BF4080B83B74DEE8CEC041_13</vt:lpwstr>
  </property>
</Properties>
</file>