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jpeg" ContentType="image/jpeg"/>
  <Default Extension="JPG" ContentType="image/.jpg"/>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8F1AF7">
      <w:pPr>
        <w:rPr>
          <w:rFonts w:ascii="Times New Roman" w:hAnsi="Times New Roman" w:cs="Times New Roman"/>
          <w:b/>
          <w:bCs/>
          <w:sz w:val="52"/>
          <w:szCs w:val="84"/>
        </w:rPr>
      </w:pPr>
      <w:bookmarkStart w:id="0" w:name="_Hlk209874759"/>
      <w:bookmarkStart w:id="1" w:name="_Toc332974258"/>
      <w:bookmarkStart w:id="2" w:name="_Toc337542146"/>
      <w:bookmarkStart w:id="3" w:name="OLE_LINK1"/>
      <w:r>
        <w:rPr>
          <w:rFonts w:ascii="Times New Roman" w:hAnsi="Times New Roman" w:cs="Times New Roman"/>
        </w:rPr>
        <w:drawing>
          <wp:anchor distT="0" distB="0" distL="114300" distR="114300" simplePos="0" relativeHeight="251659264" behindDoc="0" locked="0" layoutInCell="1" allowOverlap="1">
            <wp:simplePos x="0" y="0"/>
            <wp:positionH relativeFrom="column">
              <wp:posOffset>0</wp:posOffset>
            </wp:positionH>
            <wp:positionV relativeFrom="paragraph">
              <wp:posOffset>38100</wp:posOffset>
            </wp:positionV>
            <wp:extent cx="1737995" cy="1149350"/>
            <wp:effectExtent l="0" t="0" r="0" b="0"/>
            <wp:wrapNone/>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0E5AF3DC">
      <w:pPr>
        <w:rPr>
          <w:rFonts w:ascii="Times New Roman" w:hAnsi="Times New Roman" w:cs="Times New Roman"/>
          <w:b/>
          <w:bCs/>
          <w:sz w:val="52"/>
          <w:szCs w:val="84"/>
        </w:rPr>
      </w:pPr>
    </w:p>
    <w:p w14:paraId="1D273CC4">
      <w:pPr>
        <w:jc w:val="right"/>
        <w:rPr>
          <w:rFonts w:ascii="Times New Roman" w:hAnsi="Times New Roman" w:cs="Times New Roman"/>
          <w:sz w:val="24"/>
          <w:szCs w:val="32"/>
        </w:rPr>
      </w:pPr>
      <w:r>
        <w:rPr>
          <w:rFonts w:ascii="Times New Roman" w:hAnsi="Times New Roman" w:cs="Times New Roman"/>
          <w:b/>
          <w:bCs/>
          <w:sz w:val="28"/>
          <w:szCs w:val="36"/>
        </w:rPr>
        <w:t xml:space="preserve">T/CECS </w:t>
      </w:r>
      <w:r>
        <w:rPr>
          <w:rFonts w:ascii="Times New Roman" w:hAnsi="Times New Roman" w:cs="Times New Roman"/>
          <w:sz w:val="28"/>
          <w:szCs w:val="36"/>
        </w:rPr>
        <w:t>XXX—202X</w:t>
      </w:r>
    </w:p>
    <w:p w14:paraId="185A29CE">
      <w:pPr>
        <w:jc w:val="center"/>
        <w:rPr>
          <w:rFonts w:ascii="Times New Roman" w:hAnsi="Times New Roman" w:cs="Times New Roman"/>
          <w:szCs w:val="32"/>
        </w:rPr>
      </w:pPr>
      <w:r>
        <w:rPr>
          <w:rFonts w:ascii="Times New Roman" w:hAnsi="Times New Roman" w:cs="Times New Roman"/>
        </w:rPr>
        <mc:AlternateContent>
          <mc:Choice Requires="wps">
            <w:drawing>
              <wp:anchor distT="0" distB="0" distL="114300" distR="114300" simplePos="0" relativeHeight="251663360" behindDoc="0" locked="0" layoutInCell="1" allowOverlap="1">
                <wp:simplePos x="0" y="0"/>
                <wp:positionH relativeFrom="column">
                  <wp:posOffset>2540</wp:posOffset>
                </wp:positionH>
                <wp:positionV relativeFrom="paragraph">
                  <wp:posOffset>120650</wp:posOffset>
                </wp:positionV>
                <wp:extent cx="5422265" cy="0"/>
                <wp:effectExtent l="0" t="0" r="0" b="0"/>
                <wp:wrapNone/>
                <wp:docPr id="31" name="直接连接符 23"/>
                <wp:cNvGraphicFramePr/>
                <a:graphic xmlns:a="http://schemas.openxmlformats.org/drawingml/2006/main">
                  <a:graphicData uri="http://schemas.microsoft.com/office/word/2010/wordprocessingShape">
                    <wps:wsp>
                      <wps:cNvCnPr/>
                      <wps:spPr>
                        <a:xfrm>
                          <a:off x="0" y="0"/>
                          <a:ext cx="542226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23" o:spid="_x0000_s1026" o:spt="20" style="position:absolute;left:0pt;margin-left:0.2pt;margin-top:9.5pt;height:0pt;width:426.95pt;z-index:251663360;mso-width-relative:page;mso-height-relative:page;" filled="f" stroked="t" coordsize="21600,21600" o:gfxdata="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WU2kVtUAAAAG&#10;AQAADwAAAAAAAAABACAAAAAiAAAAZHJzL2Rvd25yZXYueG1sUEsBAhQAFAAAAAgAh07iQAlJgRjm&#10;AQAAtAMAAA4AAAAAAAAAAQAgAAAAJAEAAGRycy9lMm9Eb2MueG1sUEsFBgAAAAAGAAYAWQEAAHwF&#10;AAAAAA==&#10;">
                <v:fill on="f" focussize="0,0"/>
                <v:stroke weight="1.5pt" color="#000000 [3200]" miterlimit="8" joinstyle="miter"/>
                <v:imagedata o:title=""/>
                <o:lock v:ext="edit" aspectratio="f"/>
              </v:line>
            </w:pict>
          </mc:Fallback>
        </mc:AlternateContent>
      </w:r>
    </w:p>
    <w:p w14:paraId="5F28E86F">
      <w:pPr>
        <w:widowControl/>
        <w:tabs>
          <w:tab w:val="left" w:pos="3510"/>
        </w:tabs>
        <w:jc w:val="left"/>
        <w:rPr>
          <w:rFonts w:ascii="Times New Roman" w:hAnsi="Times New Roman" w:cs="Times New Roman"/>
          <w:color w:val="000000" w:themeColor="text1"/>
          <w14:textFill>
            <w14:solidFill>
              <w14:schemeClr w14:val="tx1"/>
            </w14:solidFill>
          </w14:textFill>
        </w:rPr>
      </w:pPr>
    </w:p>
    <w:p w14:paraId="7CAFEAEB">
      <w:pPr>
        <w:rPr>
          <w:rFonts w:ascii="Times New Roman" w:hAnsi="Times New Roman" w:cs="Times New Roman"/>
          <w:color w:val="000000" w:themeColor="text1"/>
          <w14:textFill>
            <w14:solidFill>
              <w14:schemeClr w14:val="tx1"/>
            </w14:solidFill>
          </w14:textFill>
        </w:rPr>
      </w:pPr>
    </w:p>
    <w:p w14:paraId="0966B197">
      <w:pPr>
        <w:jc w:val="center"/>
        <w:rPr>
          <w:rFonts w:ascii="Times New Roman" w:hAnsi="Times New Roman" w:cs="Times New Roman"/>
          <w:b/>
          <w:color w:val="000000" w:themeColor="text1"/>
          <w:sz w:val="32"/>
          <w:szCs w:val="36"/>
          <w14:textFill>
            <w14:solidFill>
              <w14:schemeClr w14:val="tx1"/>
            </w14:solidFill>
          </w14:textFill>
        </w:rPr>
      </w:pPr>
      <w:r>
        <w:rPr>
          <w:rFonts w:ascii="Times New Roman" w:hAnsi="Times New Roman" w:cs="Times New Roman"/>
          <w:b/>
          <w:color w:val="000000" w:themeColor="text1"/>
          <w:sz w:val="32"/>
          <w:szCs w:val="36"/>
          <w14:textFill>
            <w14:solidFill>
              <w14:schemeClr w14:val="tx1"/>
            </w14:solidFill>
          </w14:textFill>
        </w:rPr>
        <w:t>中国工程建设标准化协会标准</w:t>
      </w:r>
    </w:p>
    <w:p w14:paraId="44789011">
      <w:pPr>
        <w:snapToGrid w:val="0"/>
        <w:spacing w:line="312" w:lineRule="auto"/>
        <w:jc w:val="center"/>
        <w:rPr>
          <w:rFonts w:ascii="Times New Roman" w:hAnsi="Times New Roman" w:cs="Times New Roman"/>
          <w:color w:val="000000" w:themeColor="text1"/>
          <w:sz w:val="44"/>
          <w:szCs w:val="44"/>
          <w14:textFill>
            <w14:solidFill>
              <w14:schemeClr w14:val="tx1"/>
            </w14:solidFill>
          </w14:textFill>
        </w:rPr>
      </w:pPr>
    </w:p>
    <w:p w14:paraId="13B301E3">
      <w:pPr>
        <w:pStyle w:val="28"/>
        <w:widowControl w:val="0"/>
        <w:shd w:val="clear" w:color="auto" w:fill="FFFFFF"/>
        <w:snapToGrid w:val="0"/>
        <w:spacing w:before="0" w:beforeAutospacing="0" w:after="0" w:line="312" w:lineRule="auto"/>
        <w:jc w:val="center"/>
        <w:rPr>
          <w:rFonts w:ascii="Times New Roman" w:hAnsi="Times New Roman" w:eastAsia="黑体" w:cs="Times New Roman"/>
          <w:bCs/>
          <w:color w:val="000000" w:themeColor="text1"/>
          <w:sz w:val="52"/>
          <w:szCs w:val="36"/>
          <w14:textFill>
            <w14:solidFill>
              <w14:schemeClr w14:val="tx1"/>
            </w14:solidFill>
          </w14:textFill>
        </w:rPr>
      </w:pPr>
      <w:r>
        <w:rPr>
          <w:rFonts w:hint="eastAsia" w:ascii="Times New Roman" w:hAnsi="Times New Roman" w:eastAsia="黑体" w:cs="Times New Roman"/>
          <w:bCs/>
          <w:color w:val="000000" w:themeColor="text1"/>
          <w:sz w:val="52"/>
          <w:szCs w:val="36"/>
          <w:lang w:val="zh-CN"/>
          <w14:textFill>
            <w14:solidFill>
              <w14:schemeClr w14:val="tx1"/>
            </w14:solidFill>
          </w14:textFill>
        </w:rPr>
        <w:t>混凝土地面用耐磨硬化材料应用技术规程</w:t>
      </w:r>
    </w:p>
    <w:p w14:paraId="415C778A">
      <w:pPr>
        <w:pStyle w:val="28"/>
        <w:widowControl w:val="0"/>
        <w:shd w:val="clear" w:color="auto" w:fill="FFFFFF"/>
        <w:snapToGrid w:val="0"/>
        <w:spacing w:before="0" w:beforeAutospacing="0" w:after="0" w:line="312" w:lineRule="auto"/>
        <w:jc w:val="center"/>
        <w:rPr>
          <w:rFonts w:ascii="Times New Roman" w:hAnsi="Times New Roman" w:cs="Times New Roman"/>
          <w:color w:val="000000" w:themeColor="text1"/>
          <w:sz w:val="36"/>
          <w:szCs w:val="36"/>
          <w14:textFill>
            <w14:solidFill>
              <w14:schemeClr w14:val="tx1"/>
            </w14:solidFill>
          </w14:textFill>
        </w:rPr>
      </w:pPr>
    </w:p>
    <w:p w14:paraId="66ABA054">
      <w:pPr>
        <w:snapToGrid w:val="0"/>
        <w:spacing w:line="312" w:lineRule="auto"/>
        <w:jc w:val="center"/>
        <w:rPr>
          <w:rFonts w:ascii="Times New Roman" w:hAnsi="Times New Roman" w:eastAsia="宋体" w:cs="Times New Roman"/>
          <w:color w:val="000000" w:themeColor="text1"/>
          <w:kern w:val="0"/>
          <w:sz w:val="28"/>
          <w:szCs w:val="28"/>
          <w14:textFill>
            <w14:solidFill>
              <w14:schemeClr w14:val="tx1"/>
            </w14:solidFill>
          </w14:textFill>
        </w:rPr>
      </w:pPr>
      <w:r>
        <w:rPr>
          <w:rFonts w:ascii="Times New Roman" w:hAnsi="Times New Roman" w:eastAsia="宋体" w:cs="Times New Roman"/>
          <w:color w:val="000000" w:themeColor="text1"/>
          <w:kern w:val="0"/>
          <w:sz w:val="28"/>
          <w:szCs w:val="28"/>
          <w14:textFill>
            <w14:solidFill>
              <w14:schemeClr w14:val="tx1"/>
            </w14:solidFill>
          </w14:textFill>
        </w:rPr>
        <w:t>Technical specification for application of</w:t>
      </w:r>
      <w:r>
        <w:rPr>
          <w:rFonts w:hint="eastAsia" w:ascii="Times New Roman" w:hAnsi="Times New Roman" w:eastAsia="宋体" w:cs="Times New Roman"/>
          <w:color w:val="000000" w:themeColor="text1"/>
          <w:kern w:val="0"/>
          <w:sz w:val="28"/>
          <w:szCs w:val="28"/>
          <w14:textFill>
            <w14:solidFill>
              <w14:schemeClr w14:val="tx1"/>
            </w14:solidFill>
          </w14:textFill>
        </w:rPr>
        <w:t xml:space="preserve"> </w:t>
      </w:r>
      <w:r>
        <w:rPr>
          <w:rFonts w:ascii="Times New Roman" w:hAnsi="Times New Roman" w:eastAsia="宋体" w:cs="Times New Roman"/>
          <w:color w:val="000000" w:themeColor="text1"/>
          <w:kern w:val="0"/>
          <w:sz w:val="28"/>
          <w:szCs w:val="28"/>
          <w14:textFill>
            <w14:solidFill>
              <w14:schemeClr w14:val="tx1"/>
            </w14:solidFill>
          </w14:textFill>
        </w:rPr>
        <w:t xml:space="preserve">wear-resistant </w:t>
      </w:r>
      <w:r>
        <w:rPr>
          <w:rFonts w:hint="eastAsia" w:ascii="Times New Roman" w:hAnsi="Times New Roman" w:eastAsia="宋体" w:cs="Times New Roman"/>
          <w:color w:val="000000" w:themeColor="text1"/>
          <w:kern w:val="0"/>
          <w:sz w:val="28"/>
          <w:szCs w:val="28"/>
          <w14:textFill>
            <w14:solidFill>
              <w14:schemeClr w14:val="tx1"/>
            </w14:solidFill>
          </w14:textFill>
        </w:rPr>
        <w:t>harding</w:t>
      </w:r>
      <w:r>
        <w:rPr>
          <w:rFonts w:ascii="Times New Roman" w:hAnsi="Times New Roman" w:eastAsia="宋体" w:cs="Times New Roman"/>
          <w:color w:val="000000" w:themeColor="text1"/>
          <w:kern w:val="0"/>
          <w:sz w:val="28"/>
          <w:szCs w:val="28"/>
          <w14:textFill>
            <w14:solidFill>
              <w14:schemeClr w14:val="tx1"/>
            </w14:solidFill>
          </w14:textFill>
        </w:rPr>
        <w:t xml:space="preserve"> materials </w:t>
      </w:r>
      <w:r>
        <w:rPr>
          <w:rFonts w:hint="eastAsia" w:ascii="Times New Roman" w:hAnsi="Times New Roman" w:eastAsia="宋体" w:cs="Times New Roman"/>
          <w:color w:val="000000" w:themeColor="text1"/>
          <w:kern w:val="0"/>
          <w:sz w:val="28"/>
          <w:szCs w:val="28"/>
          <w14:textFill>
            <w14:solidFill>
              <w14:schemeClr w14:val="tx1"/>
            </w14:solidFill>
          </w14:textFill>
        </w:rPr>
        <w:t>for</w:t>
      </w:r>
      <w:r>
        <w:rPr>
          <w:rFonts w:ascii="Times New Roman" w:hAnsi="Times New Roman" w:eastAsia="宋体" w:cs="Times New Roman"/>
          <w:color w:val="000000" w:themeColor="text1"/>
          <w:kern w:val="0"/>
          <w:sz w:val="28"/>
          <w:szCs w:val="28"/>
          <w14:textFill>
            <w14:solidFill>
              <w14:schemeClr w14:val="tx1"/>
            </w14:solidFill>
          </w14:textFill>
        </w:rPr>
        <w:t xml:space="preserve"> </w:t>
      </w:r>
      <w:r>
        <w:rPr>
          <w:rFonts w:hint="eastAsia" w:ascii="Times New Roman" w:hAnsi="Times New Roman" w:eastAsia="宋体" w:cs="Times New Roman"/>
          <w:color w:val="000000" w:themeColor="text1"/>
          <w:kern w:val="0"/>
          <w:sz w:val="28"/>
          <w:szCs w:val="28"/>
          <w14:textFill>
            <w14:solidFill>
              <w14:schemeClr w14:val="tx1"/>
            </w14:solidFill>
          </w14:textFill>
        </w:rPr>
        <w:t>concrete</w:t>
      </w:r>
    </w:p>
    <w:p w14:paraId="219219B8">
      <w:pPr>
        <w:snapToGrid w:val="0"/>
        <w:spacing w:line="312" w:lineRule="auto"/>
        <w:jc w:val="center"/>
        <w:rPr>
          <w:rFonts w:ascii="Times New Roman" w:hAnsi="Times New Roman" w:cs="Times New Roman"/>
          <w:color w:val="000000" w:themeColor="text1"/>
          <w:sz w:val="28"/>
          <w:szCs w:val="28"/>
          <w14:textFill>
            <w14:solidFill>
              <w14:schemeClr w14:val="tx1"/>
            </w14:solidFill>
          </w14:textFill>
        </w:rPr>
      </w:pPr>
    </w:p>
    <w:p w14:paraId="2D8B2B9C">
      <w:pPr>
        <w:snapToGrid w:val="0"/>
        <w:spacing w:line="312" w:lineRule="auto"/>
        <w:rPr>
          <w:rFonts w:ascii="Times New Roman" w:hAnsi="Times New Roman" w:cs="Times New Roman"/>
          <w:color w:val="000000" w:themeColor="text1"/>
          <w14:textFill>
            <w14:solidFill>
              <w14:schemeClr w14:val="tx1"/>
            </w14:solidFill>
          </w14:textFill>
        </w:rPr>
      </w:pPr>
    </w:p>
    <w:p w14:paraId="5E01F39E">
      <w:pPr>
        <w:snapToGrid w:val="0"/>
        <w:spacing w:line="312" w:lineRule="auto"/>
        <w:rPr>
          <w:rFonts w:ascii="Times New Roman" w:hAnsi="Times New Roman" w:cs="Times New Roman"/>
          <w:color w:val="000000" w:themeColor="text1"/>
          <w14:textFill>
            <w14:solidFill>
              <w14:schemeClr w14:val="tx1"/>
            </w14:solidFill>
          </w14:textFill>
        </w:rPr>
      </w:pPr>
      <w:bookmarkStart w:id="4" w:name="OLE_LINK18"/>
      <w:bookmarkStart w:id="5" w:name="_Hlk209877975"/>
    </w:p>
    <w:p w14:paraId="5B5338C1">
      <w:pPr>
        <w:snapToGrid w:val="0"/>
        <w:spacing w:line="312" w:lineRule="auto"/>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（提交反馈意见时，请将有关专利连同支持性文件一并附上）</w:t>
      </w:r>
    </w:p>
    <w:p w14:paraId="5571E882">
      <w:pPr>
        <w:snapToGrid w:val="0"/>
        <w:spacing w:line="312" w:lineRule="auto"/>
        <w:rPr>
          <w:rFonts w:ascii="Times New Roman" w:hAnsi="Times New Roman" w:cs="Times New Roman"/>
          <w:color w:val="000000" w:themeColor="text1"/>
          <w14:textFill>
            <w14:solidFill>
              <w14:schemeClr w14:val="tx1"/>
            </w14:solidFill>
          </w14:textFill>
        </w:rPr>
      </w:pPr>
    </w:p>
    <w:p w14:paraId="149FD65C">
      <w:pPr>
        <w:snapToGrid w:val="0"/>
        <w:spacing w:line="312" w:lineRule="auto"/>
        <w:rPr>
          <w:rFonts w:ascii="Times New Roman" w:hAnsi="Times New Roman" w:cs="Times New Roman"/>
          <w:color w:val="000000" w:themeColor="text1"/>
          <w14:textFill>
            <w14:solidFill>
              <w14:schemeClr w14:val="tx1"/>
            </w14:solidFill>
          </w14:textFill>
        </w:rPr>
      </w:pPr>
    </w:p>
    <w:p w14:paraId="2A4768BE">
      <w:pPr>
        <w:snapToGrid w:val="0"/>
        <w:spacing w:line="312" w:lineRule="auto"/>
        <w:rPr>
          <w:rFonts w:ascii="Times New Roman" w:hAnsi="Times New Roman" w:cs="Times New Roman"/>
          <w:color w:val="000000" w:themeColor="text1"/>
          <w14:textFill>
            <w14:solidFill>
              <w14:schemeClr w14:val="tx1"/>
            </w14:solidFill>
          </w14:textFill>
        </w:rPr>
      </w:pPr>
    </w:p>
    <w:p w14:paraId="5F943F81">
      <w:pPr>
        <w:snapToGrid w:val="0"/>
        <w:spacing w:line="312" w:lineRule="auto"/>
        <w:jc w:val="center"/>
        <w:rPr>
          <w:rFonts w:ascii="Times New Roman" w:hAnsi="Times New Roman" w:cs="Times New Roman"/>
          <w:color w:val="000000" w:themeColor="text1"/>
          <w:sz w:val="28"/>
          <w14:textFill>
            <w14:solidFill>
              <w14:schemeClr w14:val="tx1"/>
            </w14:solidFill>
          </w14:textFill>
        </w:rPr>
      </w:pPr>
      <w:r>
        <w:rPr>
          <w:rFonts w:hint="eastAsia" w:ascii="Times New Roman" w:hAnsi="Times New Roman" w:cs="Times New Roman"/>
          <w:color w:val="000000" w:themeColor="text1"/>
          <w:sz w:val="28"/>
          <w14:textFill>
            <w14:solidFill>
              <w14:schemeClr w14:val="tx1"/>
            </w14:solidFill>
          </w14:textFill>
        </w:rPr>
        <w:t>（征求意见稿）</w:t>
      </w:r>
    </w:p>
    <w:bookmarkEnd w:id="4"/>
    <w:bookmarkEnd w:id="5"/>
    <w:p w14:paraId="70321BA7">
      <w:pPr>
        <w:snapToGrid w:val="0"/>
        <w:spacing w:line="312" w:lineRule="auto"/>
        <w:rPr>
          <w:rFonts w:ascii="Times New Roman" w:hAnsi="Times New Roman" w:cs="Times New Roman"/>
          <w:color w:val="000000" w:themeColor="text1"/>
          <w14:textFill>
            <w14:solidFill>
              <w14:schemeClr w14:val="tx1"/>
            </w14:solidFill>
          </w14:textFill>
        </w:rPr>
      </w:pPr>
    </w:p>
    <w:p w14:paraId="3A281889">
      <w:pPr>
        <w:snapToGrid w:val="0"/>
        <w:spacing w:line="312" w:lineRule="auto"/>
        <w:rPr>
          <w:rFonts w:ascii="Times New Roman" w:hAnsi="Times New Roman" w:cs="Times New Roman"/>
          <w:color w:val="000000" w:themeColor="text1"/>
          <w14:textFill>
            <w14:solidFill>
              <w14:schemeClr w14:val="tx1"/>
            </w14:solidFill>
          </w14:textFill>
        </w:rPr>
      </w:pPr>
    </w:p>
    <w:p w14:paraId="0E1D9D8F">
      <w:pPr>
        <w:snapToGrid w:val="0"/>
        <w:spacing w:line="312" w:lineRule="auto"/>
        <w:rPr>
          <w:rFonts w:ascii="Times New Roman" w:hAnsi="Times New Roman" w:cs="Times New Roman"/>
          <w:color w:val="000000" w:themeColor="text1"/>
          <w14:textFill>
            <w14:solidFill>
              <w14:schemeClr w14:val="tx1"/>
            </w14:solidFill>
          </w14:textFill>
        </w:rPr>
      </w:pPr>
    </w:p>
    <w:p w14:paraId="6FC61E8A">
      <w:pPr>
        <w:snapToGrid w:val="0"/>
        <w:spacing w:line="312" w:lineRule="auto"/>
        <w:rPr>
          <w:rFonts w:ascii="Times New Roman" w:hAnsi="Times New Roman" w:cs="Times New Roman"/>
          <w:color w:val="000000" w:themeColor="text1"/>
          <w14:textFill>
            <w14:solidFill>
              <w14:schemeClr w14:val="tx1"/>
            </w14:solidFill>
          </w14:textFill>
        </w:rPr>
      </w:pPr>
    </w:p>
    <w:p w14:paraId="5F6FAEA2">
      <w:pPr>
        <w:snapToGrid w:val="0"/>
        <w:spacing w:line="312" w:lineRule="auto"/>
        <w:rPr>
          <w:rFonts w:ascii="Times New Roman" w:hAnsi="Times New Roman" w:cs="Times New Roman"/>
          <w:color w:val="000000" w:themeColor="text1"/>
          <w14:textFill>
            <w14:solidFill>
              <w14:schemeClr w14:val="tx1"/>
            </w14:solidFill>
          </w14:textFill>
        </w:rPr>
      </w:pPr>
    </w:p>
    <w:p w14:paraId="63D19247">
      <w:pPr>
        <w:snapToGrid w:val="0"/>
        <w:spacing w:line="312" w:lineRule="auto"/>
        <w:rPr>
          <w:rFonts w:ascii="Times New Roman" w:hAnsi="Times New Roman" w:cs="Times New Roman"/>
          <w:color w:val="000000" w:themeColor="text1"/>
          <w14:textFill>
            <w14:solidFill>
              <w14:schemeClr w14:val="tx1"/>
            </w14:solidFill>
          </w14:textFill>
        </w:rPr>
      </w:pPr>
    </w:p>
    <w:p w14:paraId="5E0097F5">
      <w:pPr>
        <w:snapToGrid w:val="0"/>
        <w:spacing w:line="312" w:lineRule="auto"/>
        <w:rPr>
          <w:rFonts w:ascii="Times New Roman" w:hAnsi="Times New Roman" w:cs="Times New Roman"/>
          <w:color w:val="000000" w:themeColor="text1"/>
          <w14:textFill>
            <w14:solidFill>
              <w14:schemeClr w14:val="tx1"/>
            </w14:solidFill>
          </w14:textFill>
        </w:rPr>
      </w:pPr>
    </w:p>
    <w:p w14:paraId="1811E622">
      <w:pPr>
        <w:snapToGrid w:val="0"/>
        <w:spacing w:line="312" w:lineRule="auto"/>
        <w:rPr>
          <w:rFonts w:ascii="Times New Roman" w:hAnsi="Times New Roman" w:cs="Times New Roman"/>
          <w:color w:val="000000" w:themeColor="text1"/>
          <w14:textFill>
            <w14:solidFill>
              <w14:schemeClr w14:val="tx1"/>
            </w14:solidFill>
          </w14:textFill>
        </w:rPr>
      </w:pPr>
    </w:p>
    <w:p w14:paraId="30911C36">
      <w:pPr>
        <w:snapToGrid w:val="0"/>
        <w:spacing w:line="312" w:lineRule="auto"/>
        <w:rPr>
          <w:rFonts w:ascii="Times New Roman" w:hAnsi="Times New Roman" w:cs="Times New Roman"/>
          <w:color w:val="000000" w:themeColor="text1"/>
          <w14:textFill>
            <w14:solidFill>
              <w14:schemeClr w14:val="tx1"/>
            </w14:solidFill>
          </w14:textFill>
        </w:rPr>
      </w:pPr>
    </w:p>
    <w:p w14:paraId="1B0FEA35">
      <w:pPr>
        <w:ind w:left="360" w:hanging="360"/>
        <w:rPr>
          <w:rFonts w:ascii="Times New Roman" w:eastAsia="宋体"/>
          <w:sz w:val="28"/>
          <w:szCs w:val="28"/>
          <w:u w:val="single"/>
        </w:rPr>
      </w:pPr>
      <w:r>
        <w:rPr>
          <w:rFonts w:ascii="黑体"/>
          <w:sz w:val="28"/>
          <w:szCs w:val="28"/>
          <w:u w:val="single"/>
        </w:rPr>
        <w:fldChar w:fldCharType="begin">
          <w:ffData>
            <w:name w:val="FY"/>
            <w:enabled/>
            <w:calcOnExit w:val="0"/>
            <w:textInput>
              <w:default w:val="202X"/>
              <w:maxLength w:val="4"/>
            </w:textInput>
          </w:ffData>
        </w:fldChar>
      </w:r>
      <w:r>
        <w:rPr>
          <w:rFonts w:ascii="黑体"/>
          <w:sz w:val="28"/>
          <w:szCs w:val="28"/>
          <w:u w:val="single"/>
        </w:rPr>
        <w:instrText xml:space="preserve"> FORMTEXT </w:instrText>
      </w:r>
      <w:r>
        <w:rPr>
          <w:rFonts w:ascii="黑体"/>
          <w:sz w:val="28"/>
          <w:szCs w:val="28"/>
          <w:u w:val="single"/>
        </w:rPr>
        <w:fldChar w:fldCharType="separate"/>
      </w:r>
      <w:r>
        <w:rPr>
          <w:rFonts w:ascii="黑体"/>
          <w:sz w:val="28"/>
          <w:szCs w:val="28"/>
          <w:u w:val="single"/>
        </w:rPr>
        <w:t>202X</w:t>
      </w:r>
      <w:r>
        <w:rPr>
          <w:rFonts w:ascii="黑体"/>
          <w:sz w:val="28"/>
          <w:szCs w:val="28"/>
          <w:u w:val="single"/>
        </w:rPr>
        <w:fldChar w:fldCharType="end"/>
      </w:r>
      <w:r>
        <w:rPr>
          <w:rFonts w:ascii="黑体"/>
          <w:sz w:val="28"/>
          <w:szCs w:val="28"/>
          <w:u w:val="single"/>
        </w:rPr>
        <w:t>-</w:t>
      </w:r>
      <w:r>
        <w:rPr>
          <w:rFonts w:ascii="黑体"/>
          <w:sz w:val="28"/>
          <w:szCs w:val="28"/>
          <w:u w:val="single"/>
        </w:rPr>
        <w:fldChar w:fldCharType="begin">
          <w:ffData>
            <w:enabled/>
            <w:calcOnExit w:val="0"/>
            <w:textInput>
              <w:default w:val="XX"/>
              <w:maxLength w:val="2"/>
            </w:textInput>
          </w:ffData>
        </w:fldChar>
      </w:r>
      <w:r>
        <w:rPr>
          <w:rFonts w:ascii="黑体"/>
          <w:sz w:val="28"/>
          <w:szCs w:val="28"/>
          <w:u w:val="single"/>
        </w:rPr>
        <w:instrText xml:space="preserve"> FORMTEXT </w:instrText>
      </w:r>
      <w:r>
        <w:rPr>
          <w:rFonts w:ascii="黑体"/>
          <w:sz w:val="28"/>
          <w:szCs w:val="28"/>
          <w:u w:val="single"/>
        </w:rPr>
        <w:fldChar w:fldCharType="separate"/>
      </w:r>
      <w:r>
        <w:rPr>
          <w:rFonts w:ascii="黑体"/>
          <w:sz w:val="28"/>
          <w:szCs w:val="28"/>
          <w:u w:val="single"/>
        </w:rPr>
        <w:t>XX</w:t>
      </w:r>
      <w:r>
        <w:rPr>
          <w:rFonts w:ascii="黑体"/>
          <w:sz w:val="28"/>
          <w:szCs w:val="28"/>
          <w:u w:val="single"/>
        </w:rPr>
        <w:fldChar w:fldCharType="end"/>
      </w:r>
      <w:r>
        <w:rPr>
          <w:rFonts w:ascii="黑体"/>
          <w:sz w:val="28"/>
          <w:szCs w:val="28"/>
          <w:u w:val="single"/>
        </w:rPr>
        <w:t>-</w:t>
      </w:r>
      <w:r>
        <w:rPr>
          <w:rFonts w:ascii="黑体"/>
          <w:sz w:val="28"/>
          <w:szCs w:val="28"/>
          <w:u w:val="single"/>
        </w:rPr>
        <w:fldChar w:fldCharType="begin">
          <w:ffData>
            <w:enabled/>
            <w:calcOnExit w:val="0"/>
            <w:textInput>
              <w:default w:val="XX"/>
              <w:maxLength w:val="2"/>
            </w:textInput>
          </w:ffData>
        </w:fldChar>
      </w:r>
      <w:r>
        <w:rPr>
          <w:rFonts w:ascii="黑体"/>
          <w:sz w:val="28"/>
          <w:szCs w:val="28"/>
          <w:u w:val="single"/>
        </w:rPr>
        <w:instrText xml:space="preserve"> FORMTEXT </w:instrText>
      </w:r>
      <w:r>
        <w:rPr>
          <w:rFonts w:ascii="黑体"/>
          <w:sz w:val="28"/>
          <w:szCs w:val="28"/>
          <w:u w:val="single"/>
        </w:rPr>
        <w:fldChar w:fldCharType="separate"/>
      </w:r>
      <w:r>
        <w:rPr>
          <w:rFonts w:ascii="黑体"/>
          <w:sz w:val="28"/>
          <w:szCs w:val="28"/>
          <w:u w:val="single"/>
        </w:rPr>
        <w:t>XX</w:t>
      </w:r>
      <w:r>
        <w:rPr>
          <w:rFonts w:ascii="黑体"/>
          <w:sz w:val="28"/>
          <w:szCs w:val="28"/>
          <w:u w:val="single"/>
        </w:rPr>
        <w:fldChar w:fldCharType="end"/>
      </w:r>
      <w:r>
        <w:rPr>
          <w:rFonts w:hint="eastAsia"/>
          <w:sz w:val="28"/>
          <w:szCs w:val="28"/>
          <w:u w:val="single"/>
        </w:rPr>
        <w:t xml:space="preserve">发布                             </w:t>
      </w:r>
      <w:r>
        <w:rPr>
          <w:rFonts w:ascii="黑体"/>
          <w:sz w:val="28"/>
          <w:szCs w:val="28"/>
          <w:u w:val="single"/>
        </w:rPr>
        <w:fldChar w:fldCharType="begin">
          <w:ffData>
            <w:name w:val="FY"/>
            <w:enabled/>
            <w:calcOnExit w:val="0"/>
            <w:textInput>
              <w:default w:val="202X"/>
              <w:maxLength w:val="4"/>
            </w:textInput>
          </w:ffData>
        </w:fldChar>
      </w:r>
      <w:r>
        <w:rPr>
          <w:rFonts w:ascii="黑体"/>
          <w:sz w:val="28"/>
          <w:szCs w:val="28"/>
          <w:u w:val="single"/>
        </w:rPr>
        <w:instrText xml:space="preserve"> FORMTEXT </w:instrText>
      </w:r>
      <w:r>
        <w:rPr>
          <w:rFonts w:ascii="黑体"/>
          <w:sz w:val="28"/>
          <w:szCs w:val="28"/>
          <w:u w:val="single"/>
        </w:rPr>
        <w:fldChar w:fldCharType="separate"/>
      </w:r>
      <w:r>
        <w:rPr>
          <w:rFonts w:ascii="黑体"/>
          <w:sz w:val="28"/>
          <w:szCs w:val="28"/>
          <w:u w:val="single"/>
        </w:rPr>
        <w:t>202X</w:t>
      </w:r>
      <w:r>
        <w:rPr>
          <w:rFonts w:ascii="黑体"/>
          <w:sz w:val="28"/>
          <w:szCs w:val="28"/>
          <w:u w:val="single"/>
        </w:rPr>
        <w:fldChar w:fldCharType="end"/>
      </w:r>
      <w:r>
        <w:rPr>
          <w:rFonts w:ascii="黑体"/>
          <w:sz w:val="28"/>
          <w:szCs w:val="28"/>
          <w:u w:val="single"/>
        </w:rPr>
        <w:t>-</w:t>
      </w:r>
      <w:r>
        <w:rPr>
          <w:rFonts w:ascii="黑体"/>
          <w:sz w:val="28"/>
          <w:szCs w:val="28"/>
          <w:u w:val="single"/>
        </w:rPr>
        <w:fldChar w:fldCharType="begin">
          <w:ffData>
            <w:enabled/>
            <w:calcOnExit w:val="0"/>
            <w:textInput>
              <w:default w:val="XX"/>
              <w:maxLength w:val="2"/>
            </w:textInput>
          </w:ffData>
        </w:fldChar>
      </w:r>
      <w:r>
        <w:rPr>
          <w:rFonts w:ascii="黑体"/>
          <w:sz w:val="28"/>
          <w:szCs w:val="28"/>
          <w:u w:val="single"/>
        </w:rPr>
        <w:instrText xml:space="preserve"> FORMTEXT </w:instrText>
      </w:r>
      <w:r>
        <w:rPr>
          <w:rFonts w:ascii="黑体"/>
          <w:sz w:val="28"/>
          <w:szCs w:val="28"/>
          <w:u w:val="single"/>
        </w:rPr>
        <w:fldChar w:fldCharType="separate"/>
      </w:r>
      <w:r>
        <w:rPr>
          <w:rFonts w:ascii="黑体"/>
          <w:sz w:val="28"/>
          <w:szCs w:val="28"/>
          <w:u w:val="single"/>
        </w:rPr>
        <w:t>XX</w:t>
      </w:r>
      <w:r>
        <w:rPr>
          <w:rFonts w:ascii="黑体"/>
          <w:sz w:val="28"/>
          <w:szCs w:val="28"/>
          <w:u w:val="single"/>
        </w:rPr>
        <w:fldChar w:fldCharType="end"/>
      </w:r>
      <w:r>
        <w:rPr>
          <w:rFonts w:ascii="黑体"/>
          <w:sz w:val="28"/>
          <w:szCs w:val="28"/>
          <w:u w:val="single"/>
        </w:rPr>
        <w:t>-</w:t>
      </w:r>
      <w:r>
        <w:rPr>
          <w:rFonts w:ascii="黑体"/>
          <w:b/>
          <w:sz w:val="28"/>
          <w:szCs w:val="28"/>
          <w:u w:val="single"/>
        </w:rPr>
        <w:fldChar w:fldCharType="begin">
          <w:ffData>
            <w:enabled/>
            <w:calcOnExit w:val="0"/>
            <w:textInput>
              <w:default w:val="XX"/>
              <w:maxLength w:val="2"/>
            </w:textInput>
          </w:ffData>
        </w:fldChar>
      </w:r>
      <w:r>
        <w:rPr>
          <w:rFonts w:ascii="黑体"/>
          <w:b/>
          <w:sz w:val="28"/>
          <w:szCs w:val="28"/>
          <w:u w:val="single"/>
        </w:rPr>
        <w:instrText xml:space="preserve"> FORMTEXT </w:instrText>
      </w:r>
      <w:r>
        <w:rPr>
          <w:rFonts w:ascii="黑体"/>
          <w:b/>
          <w:sz w:val="28"/>
          <w:szCs w:val="28"/>
          <w:u w:val="single"/>
        </w:rPr>
        <w:fldChar w:fldCharType="separate"/>
      </w:r>
      <w:r>
        <w:rPr>
          <w:rFonts w:ascii="黑体"/>
          <w:b/>
          <w:sz w:val="28"/>
          <w:szCs w:val="28"/>
          <w:u w:val="single"/>
        </w:rPr>
        <w:t>XX</w:t>
      </w:r>
      <w:r>
        <w:rPr>
          <w:rFonts w:ascii="黑体"/>
          <w:b/>
          <w:sz w:val="28"/>
          <w:szCs w:val="28"/>
          <w:u w:val="single"/>
        </w:rPr>
        <w:fldChar w:fldCharType="end"/>
      </w:r>
      <w:r>
        <w:rPr>
          <w:rFonts w:hint="eastAsia"/>
          <w:sz w:val="28"/>
          <w:szCs w:val="28"/>
          <w:u w:val="single"/>
        </w:rPr>
        <w:t>实施</w:t>
      </w:r>
    </w:p>
    <w:p w14:paraId="01D28A59">
      <w:pPr>
        <w:pStyle w:val="49"/>
        <w:framePr w:x="2096" w:y="15041"/>
      </w:pPr>
      <w:bookmarkStart w:id="6" w:name="fm"/>
      <w:r>
        <w:rPr>
          <w:w w:val="100"/>
          <w:shd w:val="clear" w:color="auto" w:fill="E7E6E6" w:themeFill="background2"/>
        </w:rPr>
        <mc:AlternateContent>
          <mc:Choice Requires="wps">
            <w:drawing>
              <wp:anchor distT="0" distB="0" distL="114300" distR="114300" simplePos="0" relativeHeight="251664384" behindDoc="1" locked="1" layoutInCell="1" allowOverlap="1">
                <wp:simplePos x="0" y="0"/>
                <wp:positionH relativeFrom="column">
                  <wp:posOffset>4413885</wp:posOffset>
                </wp:positionH>
                <wp:positionV relativeFrom="paragraph">
                  <wp:posOffset>-7435215</wp:posOffset>
                </wp:positionV>
                <wp:extent cx="1143000" cy="228600"/>
                <wp:effectExtent l="0" t="0" r="3175" b="0"/>
                <wp:wrapNone/>
                <wp:docPr id="949513593" name="矩形 3"/>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矩形 3" o:spid="_x0000_s1026" o:spt="1" style="position:absolute;left:0pt;margin-left:347.55pt;margin-top:-585.45pt;height:18pt;width:90pt;z-index:-251652096;mso-width-relative:page;mso-height-relative:page;" fillcolor="#FFFFFF" filled="t" stroked="f" coordsize="21600,21600" o:gfxdata="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N/J&#10;ihHaAAAADwEAAA8AAAAAAAAAAQAgAAAAIgAAAGRycy9kb3ducmV2LnhtbFBLAQIUABQAAAAIAIdO&#10;4kANFW01IQIAAC4EAAAOAAAAAAAAAAEAIAAAACkBAABkcnMvZTJvRG9jLnhtbFBLBQYAAAAABgAG&#10;AFkBAAC8BQAAAAA=&#10;">
                <v:fill on="t" focussize="0,0"/>
                <v:stroke on="f"/>
                <v:imagedata o:title=""/>
                <o:lock v:ext="edit" aspectratio="f"/>
                <w10:anchorlock/>
              </v:rect>
            </w:pict>
          </mc:Fallback>
        </mc:AlternateContent>
      </w:r>
      <w:r>
        <w:rPr>
          <w:shd w:val="clear" w:color="auto" w:fill="E7E6E6" w:themeFill="background2"/>
        </w:rPr>
        <w:fldChar w:fldCharType="begin">
          <w:ffData>
            <w:enabled/>
            <w:calcOnExit w:val="0"/>
            <w:textInput>
              <w:default w:val="中国工程建设标准化协会"/>
            </w:textInput>
          </w:ffData>
        </w:fldChar>
      </w:r>
      <w:r>
        <w:rPr>
          <w:shd w:val="clear" w:color="auto" w:fill="E7E6E6" w:themeFill="background2"/>
        </w:rPr>
        <w:instrText xml:space="preserve"> FORMTEXT </w:instrText>
      </w:r>
      <w:r>
        <w:rPr>
          <w:shd w:val="clear" w:color="auto" w:fill="E7E6E6" w:themeFill="background2"/>
        </w:rPr>
        <w:fldChar w:fldCharType="separate"/>
      </w:r>
      <w:r>
        <w:rPr>
          <w:rFonts w:hint="eastAsia"/>
          <w:shd w:val="clear" w:color="auto" w:fill="E7E6E6" w:themeFill="background2"/>
        </w:rPr>
        <w:t>中国工程建设标准化协会</w:t>
      </w:r>
      <w:r>
        <w:rPr>
          <w:shd w:val="clear" w:color="auto" w:fill="E7E6E6" w:themeFill="background2"/>
        </w:rPr>
        <w:fldChar w:fldCharType="end"/>
      </w:r>
      <w:bookmarkEnd w:id="6"/>
      <w:r>
        <w:rPr>
          <w:rFonts w:hint="eastAsia" w:hAnsi="黑体"/>
        </w:rPr>
        <w:t> </w:t>
      </w:r>
      <w:r>
        <w:rPr>
          <w:rStyle w:val="48"/>
          <w:rFonts w:hint="eastAsia"/>
          <w:szCs w:val="28"/>
        </w:rPr>
        <w:t>发布</w:t>
      </w:r>
    </w:p>
    <w:p w14:paraId="37B51400">
      <w:pPr>
        <w:snapToGrid w:val="0"/>
        <w:spacing w:line="312" w:lineRule="auto"/>
        <w:rPr>
          <w:rFonts w:ascii="Times New Roman" w:hAnsi="Times New Roman" w:cs="Times New Roman"/>
          <w:color w:val="000000" w:themeColor="text1"/>
          <w14:textFill>
            <w14:solidFill>
              <w14:schemeClr w14:val="tx1"/>
            </w14:solidFill>
          </w14:textFill>
        </w:rPr>
      </w:pPr>
      <w:bookmarkStart w:id="7" w:name="OLE_LINK21"/>
      <w:bookmarkStart w:id="8" w:name="OLE_LINK20"/>
    </w:p>
    <w:bookmarkEnd w:id="0"/>
    <w:p w14:paraId="4DDD1476">
      <w:pPr>
        <w:tabs>
          <w:tab w:val="left" w:pos="3510"/>
        </w:tabs>
        <w:snapToGrid w:val="0"/>
        <w:spacing w:line="312" w:lineRule="auto"/>
        <w:jc w:val="left"/>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ab/>
      </w:r>
    </w:p>
    <w:p w14:paraId="78BA3A62">
      <w:pPr>
        <w:snapToGrid w:val="0"/>
        <w:spacing w:line="312" w:lineRule="auto"/>
        <w:rPr>
          <w:rFonts w:ascii="Times New Roman" w:hAnsi="Times New Roman" w:cs="Times New Roman"/>
          <w:color w:val="000000" w:themeColor="text1"/>
          <w14:textFill>
            <w14:solidFill>
              <w14:schemeClr w14:val="tx1"/>
            </w14:solidFill>
          </w14:textFill>
        </w:rPr>
      </w:pPr>
    </w:p>
    <w:p w14:paraId="747E8655">
      <w:pPr>
        <w:snapToGrid w:val="0"/>
        <w:spacing w:line="312" w:lineRule="auto"/>
        <w:rPr>
          <w:rFonts w:ascii="Times New Roman" w:hAnsi="Times New Roman" w:cs="Times New Roman"/>
          <w:color w:val="000000" w:themeColor="text1"/>
          <w14:textFill>
            <w14:solidFill>
              <w14:schemeClr w14:val="tx1"/>
            </w14:solidFill>
          </w14:textFill>
        </w:rPr>
      </w:pPr>
    </w:p>
    <w:p w14:paraId="035CC6D4">
      <w:pPr>
        <w:snapToGrid w:val="0"/>
        <w:spacing w:line="312" w:lineRule="auto"/>
        <w:jc w:val="center"/>
        <w:rPr>
          <w:rFonts w:ascii="Times New Roman" w:hAnsi="Times New Roman" w:eastAsia="黑体" w:cs="Times New Roman"/>
          <w:color w:val="000000" w:themeColor="text1"/>
          <w:sz w:val="32"/>
          <w:szCs w:val="36"/>
          <w14:textFill>
            <w14:solidFill>
              <w14:schemeClr w14:val="tx1"/>
            </w14:solidFill>
          </w14:textFill>
        </w:rPr>
      </w:pPr>
      <w:r>
        <w:rPr>
          <w:rFonts w:ascii="Times New Roman" w:hAnsi="Times New Roman" w:eastAsia="黑体" w:cs="Times New Roman"/>
          <w:color w:val="000000" w:themeColor="text1"/>
          <w:sz w:val="32"/>
          <w:szCs w:val="36"/>
          <w14:textFill>
            <w14:solidFill>
              <w14:schemeClr w14:val="tx1"/>
            </w14:solidFill>
          </w14:textFill>
        </w:rPr>
        <w:t>中国工程建设标准化协会标准</w:t>
      </w:r>
    </w:p>
    <w:p w14:paraId="540BBA7E">
      <w:pPr>
        <w:snapToGrid w:val="0"/>
        <w:spacing w:line="312" w:lineRule="auto"/>
        <w:jc w:val="center"/>
        <w:rPr>
          <w:rFonts w:ascii="Times New Roman" w:hAnsi="Times New Roman" w:cs="Times New Roman"/>
          <w:color w:val="000000" w:themeColor="text1"/>
          <w:sz w:val="36"/>
          <w:szCs w:val="36"/>
          <w14:textFill>
            <w14:solidFill>
              <w14:schemeClr w14:val="tx1"/>
            </w14:solidFill>
          </w14:textFill>
        </w:rPr>
      </w:pPr>
    </w:p>
    <w:p w14:paraId="09AB2BCF">
      <w:pPr>
        <w:snapToGrid w:val="0"/>
        <w:spacing w:line="312" w:lineRule="auto"/>
        <w:jc w:val="center"/>
        <w:rPr>
          <w:rFonts w:ascii="Times New Roman" w:hAnsi="Times New Roman" w:cs="Times New Roman"/>
          <w:color w:val="000000" w:themeColor="text1"/>
          <w:sz w:val="44"/>
          <w:szCs w:val="44"/>
          <w14:textFill>
            <w14:solidFill>
              <w14:schemeClr w14:val="tx1"/>
            </w14:solidFill>
          </w14:textFill>
        </w:rPr>
      </w:pPr>
    </w:p>
    <w:p w14:paraId="4C2DE9BD">
      <w:pPr>
        <w:pStyle w:val="28"/>
        <w:widowControl w:val="0"/>
        <w:shd w:val="clear" w:color="auto" w:fill="FFFFFF"/>
        <w:snapToGrid w:val="0"/>
        <w:spacing w:before="0" w:beforeAutospacing="0" w:after="0" w:line="312" w:lineRule="auto"/>
        <w:jc w:val="center"/>
        <w:rPr>
          <w:rFonts w:ascii="Times New Roman" w:hAnsi="Times New Roman" w:cs="Times New Roman"/>
          <w:b/>
          <w:color w:val="000000" w:themeColor="text1"/>
          <w:sz w:val="52"/>
          <w:szCs w:val="36"/>
          <w14:textFill>
            <w14:solidFill>
              <w14:schemeClr w14:val="tx1"/>
            </w14:solidFill>
          </w14:textFill>
        </w:rPr>
      </w:pPr>
      <w:r>
        <w:rPr>
          <w:rFonts w:hint="eastAsia" w:ascii="Times New Roman" w:hAnsi="Times New Roman" w:cs="Times New Roman"/>
          <w:b/>
          <w:color w:val="000000" w:themeColor="text1"/>
          <w:sz w:val="52"/>
          <w:szCs w:val="36"/>
          <w:lang w:val="zh-CN"/>
          <w14:textFill>
            <w14:solidFill>
              <w14:schemeClr w14:val="tx1"/>
            </w14:solidFill>
          </w14:textFill>
        </w:rPr>
        <w:t>混凝土地面用耐磨硬化材料应用技术规程</w:t>
      </w:r>
    </w:p>
    <w:p w14:paraId="096560E8">
      <w:pPr>
        <w:pStyle w:val="28"/>
        <w:widowControl w:val="0"/>
        <w:shd w:val="clear" w:color="auto" w:fill="FFFFFF"/>
        <w:snapToGrid w:val="0"/>
        <w:spacing w:before="0" w:beforeAutospacing="0" w:after="0" w:line="312" w:lineRule="auto"/>
        <w:jc w:val="center"/>
        <w:rPr>
          <w:rFonts w:ascii="Times New Roman" w:hAnsi="Times New Roman" w:cs="Times New Roman"/>
          <w:color w:val="000000" w:themeColor="text1"/>
          <w:sz w:val="36"/>
          <w:szCs w:val="36"/>
          <w14:textFill>
            <w14:solidFill>
              <w14:schemeClr w14:val="tx1"/>
            </w14:solidFill>
          </w14:textFill>
        </w:rPr>
      </w:pPr>
    </w:p>
    <w:p w14:paraId="6A4B9CAF">
      <w:pPr>
        <w:snapToGrid w:val="0"/>
        <w:spacing w:line="312" w:lineRule="auto"/>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Technical specification for application of </w:t>
      </w:r>
      <w:bookmarkStart w:id="9" w:name="OLE_LINK99"/>
      <w:bookmarkStart w:id="10" w:name="OLE_LINK98"/>
      <w:r>
        <w:rPr>
          <w:rFonts w:ascii="Times New Roman" w:hAnsi="Times New Roman" w:cs="Times New Roman"/>
          <w:color w:val="000000" w:themeColor="text1"/>
          <w:sz w:val="28"/>
          <w:szCs w:val="28"/>
          <w14:textFill>
            <w14:solidFill>
              <w14:schemeClr w14:val="tx1"/>
            </w14:solidFill>
          </w14:textFill>
        </w:rPr>
        <w:t>wear-resistant harding materials for concrete</w:t>
      </w:r>
      <w:bookmarkEnd w:id="9"/>
      <w:bookmarkEnd w:id="10"/>
    </w:p>
    <w:p w14:paraId="23D0137A">
      <w:pPr>
        <w:snapToGrid w:val="0"/>
        <w:spacing w:line="312" w:lineRule="auto"/>
        <w:jc w:val="center"/>
        <w:rPr>
          <w:rFonts w:ascii="Times New Roman" w:hAnsi="Times New Roman" w:eastAsia="宋体" w:cs="Times New Roman"/>
          <w:b/>
          <w:color w:val="000000" w:themeColor="text1"/>
          <w:sz w:val="28"/>
          <w14:textFill>
            <w14:solidFill>
              <w14:schemeClr w14:val="tx1"/>
            </w14:solidFill>
          </w14:textFill>
        </w:rPr>
      </w:pPr>
      <w:r>
        <w:rPr>
          <w:rFonts w:ascii="Times New Roman" w:hAnsi="Times New Roman" w:cs="Times New Roman"/>
          <w:b/>
          <w:color w:val="000000" w:themeColor="text1"/>
          <w:sz w:val="28"/>
          <w14:textFill>
            <w14:solidFill>
              <w14:schemeClr w14:val="tx1"/>
            </w14:solidFill>
          </w14:textFill>
        </w:rPr>
        <w:t>T/CECS xxx</w:t>
      </w:r>
      <w:r>
        <w:rPr>
          <w:rFonts w:ascii="Times New Roman" w:hAnsi="Times New Roman" w:eastAsia="宋体" w:cs="Times New Roman"/>
          <w:b/>
          <w:color w:val="000000" w:themeColor="text1"/>
          <w:sz w:val="28"/>
          <w14:textFill>
            <w14:solidFill>
              <w14:schemeClr w14:val="tx1"/>
            </w14:solidFill>
          </w14:textFill>
        </w:rPr>
        <w:t>－20xx</w:t>
      </w:r>
    </w:p>
    <w:p w14:paraId="3DB41E09">
      <w:pPr>
        <w:snapToGrid w:val="0"/>
        <w:spacing w:line="312" w:lineRule="auto"/>
        <w:ind w:firstLine="1600" w:firstLineChars="500"/>
        <w:rPr>
          <w:rFonts w:ascii="Times New Roman" w:hAnsi="Times New Roman" w:cs="Times New Roman"/>
          <w:color w:val="000000" w:themeColor="text1"/>
          <w:sz w:val="32"/>
          <w:szCs w:val="32"/>
          <w14:textFill>
            <w14:solidFill>
              <w14:schemeClr w14:val="tx1"/>
            </w14:solidFill>
          </w14:textFill>
        </w:rPr>
      </w:pPr>
    </w:p>
    <w:p w14:paraId="18978275">
      <w:pPr>
        <w:snapToGrid w:val="0"/>
        <w:spacing w:line="312" w:lineRule="auto"/>
        <w:ind w:firstLine="1600" w:firstLineChars="500"/>
        <w:rPr>
          <w:rFonts w:ascii="Times New Roman" w:hAnsi="Times New Roman" w:cs="Times New Roman"/>
          <w:color w:val="000000" w:themeColor="text1"/>
          <w:sz w:val="32"/>
          <w:szCs w:val="32"/>
          <w14:textFill>
            <w14:solidFill>
              <w14:schemeClr w14:val="tx1"/>
            </w14:solidFill>
          </w14:textFill>
        </w:rPr>
      </w:pPr>
    </w:p>
    <w:p w14:paraId="1015986B">
      <w:pPr>
        <w:snapToGrid w:val="0"/>
        <w:spacing w:line="312" w:lineRule="auto"/>
        <w:ind w:firstLine="1600" w:firstLineChars="500"/>
        <w:rPr>
          <w:rFonts w:ascii="Times New Roman" w:hAnsi="Times New Roman" w:cs="Times New Roman"/>
          <w:color w:val="000000" w:themeColor="text1"/>
          <w:sz w:val="32"/>
          <w:szCs w:val="32"/>
          <w14:textFill>
            <w14:solidFill>
              <w14:schemeClr w14:val="tx1"/>
            </w14:solidFill>
          </w14:textFill>
        </w:rPr>
      </w:pPr>
    </w:p>
    <w:p w14:paraId="4C963341">
      <w:pPr>
        <w:snapToGrid w:val="0"/>
        <w:spacing w:line="312" w:lineRule="auto"/>
        <w:ind w:firstLine="1400" w:firstLineChars="500"/>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主编单位：中国国检测试控股集团股份有限公司</w:t>
      </w:r>
    </w:p>
    <w:p w14:paraId="7BBE122E">
      <w:pPr>
        <w:snapToGrid w:val="0"/>
        <w:spacing w:line="312" w:lineRule="auto"/>
        <w:ind w:firstLine="1400" w:firstLineChars="500"/>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批准单位：中国工程建设标准化协会</w:t>
      </w:r>
    </w:p>
    <w:p w14:paraId="22F765DF">
      <w:pPr>
        <w:snapToGrid w:val="0"/>
        <w:spacing w:line="312" w:lineRule="auto"/>
        <w:ind w:firstLine="1400" w:firstLineChars="500"/>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施行日期：20XX年XX月XX日</w:t>
      </w:r>
    </w:p>
    <w:p w14:paraId="5F230276">
      <w:pPr>
        <w:snapToGrid w:val="0"/>
        <w:spacing w:line="312" w:lineRule="auto"/>
        <w:rPr>
          <w:rFonts w:ascii="Times New Roman" w:hAnsi="Times New Roman" w:cs="Times New Roman"/>
          <w:color w:val="000000" w:themeColor="text1"/>
          <w14:textFill>
            <w14:solidFill>
              <w14:schemeClr w14:val="tx1"/>
            </w14:solidFill>
          </w14:textFill>
        </w:rPr>
      </w:pPr>
    </w:p>
    <w:p w14:paraId="7E0936A4">
      <w:pPr>
        <w:snapToGrid w:val="0"/>
        <w:spacing w:line="312" w:lineRule="auto"/>
        <w:rPr>
          <w:rFonts w:ascii="Times New Roman" w:hAnsi="Times New Roman" w:cs="Times New Roman"/>
          <w:color w:val="000000" w:themeColor="text1"/>
          <w14:textFill>
            <w14:solidFill>
              <w14:schemeClr w14:val="tx1"/>
            </w14:solidFill>
          </w14:textFill>
        </w:rPr>
      </w:pPr>
    </w:p>
    <w:p w14:paraId="40B49D63">
      <w:pPr>
        <w:snapToGrid w:val="0"/>
        <w:spacing w:line="312" w:lineRule="auto"/>
        <w:jc w:val="center"/>
        <w:rPr>
          <w:rFonts w:ascii="Times New Roman" w:hAnsi="Times New Roman" w:cs="Times New Roman"/>
          <w:color w:val="000000" w:themeColor="text1"/>
          <w:sz w:val="30"/>
          <w:szCs w:val="30"/>
          <w14:textFill>
            <w14:solidFill>
              <w14:schemeClr w14:val="tx1"/>
            </w14:solidFill>
          </w14:textFill>
        </w:rPr>
      </w:pPr>
    </w:p>
    <w:p w14:paraId="19A8A929">
      <w:pPr>
        <w:snapToGrid w:val="0"/>
        <w:spacing w:line="312" w:lineRule="auto"/>
        <w:jc w:val="center"/>
        <w:rPr>
          <w:rFonts w:ascii="Times New Roman" w:hAnsi="Times New Roman" w:cs="Times New Roman"/>
          <w:color w:val="000000" w:themeColor="text1"/>
          <w:sz w:val="30"/>
          <w:szCs w:val="30"/>
          <w14:textFill>
            <w14:solidFill>
              <w14:schemeClr w14:val="tx1"/>
            </w14:solidFill>
          </w14:textFill>
        </w:rPr>
      </w:pPr>
    </w:p>
    <w:p w14:paraId="621D75E0">
      <w:pPr>
        <w:snapToGrid w:val="0"/>
        <w:spacing w:line="312" w:lineRule="auto"/>
        <w:jc w:val="center"/>
        <w:rPr>
          <w:rFonts w:ascii="Times New Roman" w:hAnsi="Times New Roman" w:cs="Times New Roman"/>
          <w:color w:val="000000" w:themeColor="text1"/>
          <w:sz w:val="30"/>
          <w:szCs w:val="30"/>
          <w14:textFill>
            <w14:solidFill>
              <w14:schemeClr w14:val="tx1"/>
            </w14:solidFill>
          </w14:textFill>
        </w:rPr>
      </w:pPr>
    </w:p>
    <w:p w14:paraId="4D420819">
      <w:pPr>
        <w:snapToGrid w:val="0"/>
        <w:spacing w:line="312" w:lineRule="auto"/>
        <w:jc w:val="center"/>
        <w:rPr>
          <w:rFonts w:ascii="Times New Roman" w:hAnsi="Times New Roman" w:cs="Times New Roman"/>
          <w:color w:val="000000" w:themeColor="text1"/>
          <w:sz w:val="30"/>
          <w:szCs w:val="30"/>
          <w14:textFill>
            <w14:solidFill>
              <w14:schemeClr w14:val="tx1"/>
            </w14:solidFill>
          </w14:textFill>
        </w:rPr>
      </w:pPr>
    </w:p>
    <w:p w14:paraId="182ADFA1">
      <w:pPr>
        <w:snapToGrid w:val="0"/>
        <w:spacing w:line="312" w:lineRule="auto"/>
        <w:jc w:val="center"/>
        <w:rPr>
          <w:rFonts w:ascii="Times New Roman" w:hAnsi="Times New Roman" w:cs="Times New Roman"/>
          <w:color w:val="000000" w:themeColor="text1"/>
          <w:sz w:val="30"/>
          <w:szCs w:val="30"/>
          <w14:textFill>
            <w14:solidFill>
              <w14:schemeClr w14:val="tx1"/>
            </w14:solidFill>
          </w14:textFill>
        </w:rPr>
      </w:pPr>
    </w:p>
    <w:p w14:paraId="3FB534DB">
      <w:pPr>
        <w:snapToGrid w:val="0"/>
        <w:spacing w:line="312" w:lineRule="auto"/>
        <w:jc w:val="center"/>
        <w:rPr>
          <w:rFonts w:ascii="仿宋" w:hAnsi="仿宋" w:eastAsia="仿宋" w:cs="Times New Roman"/>
          <w:b/>
          <w:color w:val="000000" w:themeColor="text1"/>
          <w:sz w:val="30"/>
          <w:szCs w:val="30"/>
          <w14:textFill>
            <w14:solidFill>
              <w14:schemeClr w14:val="tx1"/>
            </w14:solidFill>
          </w14:textFill>
        </w:rPr>
      </w:pPr>
      <w:r>
        <w:rPr>
          <w:rFonts w:hint="eastAsia" w:ascii="仿宋" w:hAnsi="仿宋" w:eastAsia="仿宋" w:cs="Times New Roman"/>
          <w:b/>
          <w:color w:val="000000" w:themeColor="text1"/>
          <w:sz w:val="30"/>
          <w:szCs w:val="30"/>
          <w14:textFill>
            <w14:solidFill>
              <w14:schemeClr w14:val="tx1"/>
            </w14:solidFill>
          </w14:textFill>
        </w:rPr>
        <w:t>XXXX</w:t>
      </w:r>
      <w:r>
        <w:rPr>
          <w:rFonts w:ascii="仿宋" w:hAnsi="仿宋" w:eastAsia="仿宋" w:cs="Times New Roman"/>
          <w:b/>
          <w:color w:val="000000" w:themeColor="text1"/>
          <w:sz w:val="30"/>
          <w:szCs w:val="30"/>
          <w14:textFill>
            <w14:solidFill>
              <w14:schemeClr w14:val="tx1"/>
            </w14:solidFill>
          </w14:textFill>
        </w:rPr>
        <w:t>出版社</w:t>
      </w:r>
    </w:p>
    <w:p w14:paraId="6912E396">
      <w:pPr>
        <w:snapToGrid w:val="0"/>
        <w:spacing w:line="312" w:lineRule="auto"/>
        <w:jc w:val="center"/>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20xx　北　　京</w:t>
      </w:r>
    </w:p>
    <w:bookmarkEnd w:id="7"/>
    <w:bookmarkEnd w:id="8"/>
    <w:p w14:paraId="1E0B3678">
      <w:pPr>
        <w:snapToGrid w:val="0"/>
        <w:spacing w:line="312" w:lineRule="auto"/>
        <w:jc w:val="left"/>
        <w:rPr>
          <w:rFonts w:ascii="Times New Roman" w:hAnsi="Times New Roman" w:cs="Times New Roman"/>
          <w:color w:val="000000" w:themeColor="text1"/>
          <w:sz w:val="28"/>
          <w:szCs w:val="28"/>
          <w14:textFill>
            <w14:solidFill>
              <w14:schemeClr w14:val="tx1"/>
            </w14:solidFill>
          </w14:textFill>
        </w:rPr>
        <w:sectPr>
          <w:footerReference r:id="rId4" w:type="first"/>
          <w:footerReference r:id="rId3" w:type="default"/>
          <w:pgSz w:w="11907" w:h="16840"/>
          <w:pgMar w:top="1440" w:right="1797" w:bottom="1440" w:left="1797" w:header="851" w:footer="992" w:gutter="0"/>
          <w:pgBorders>
            <w:top w:val="none" w:sz="0" w:space="0"/>
            <w:left w:val="none" w:sz="0" w:space="0"/>
            <w:bottom w:val="none" w:sz="0" w:space="0"/>
            <w:right w:val="none" w:sz="0" w:space="0"/>
          </w:pgBorders>
          <w:cols w:space="720" w:num="1"/>
          <w:titlePg/>
          <w:docGrid w:type="lines" w:linePitch="312" w:charSpace="0"/>
        </w:sectPr>
      </w:pPr>
    </w:p>
    <w:p w14:paraId="2B63D2F6">
      <w:pPr>
        <w:snapToGrid w:val="0"/>
        <w:spacing w:line="312" w:lineRule="auto"/>
        <w:jc w:val="center"/>
        <w:rPr>
          <w:rFonts w:ascii="Times New Roman" w:hAnsi="Times New Roman" w:eastAsia="黑体" w:cs="Times New Roman"/>
          <w:color w:val="000000" w:themeColor="text1"/>
          <w:sz w:val="32"/>
          <w:szCs w:val="32"/>
          <w14:textFill>
            <w14:solidFill>
              <w14:schemeClr w14:val="tx1"/>
            </w14:solidFill>
          </w14:textFill>
        </w:rPr>
      </w:pPr>
    </w:p>
    <w:p w14:paraId="2310BE9D">
      <w:pPr>
        <w:snapToGrid w:val="0"/>
        <w:spacing w:line="312" w:lineRule="auto"/>
        <w:jc w:val="center"/>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前　　言</w:t>
      </w:r>
    </w:p>
    <w:p w14:paraId="0D47466A">
      <w:pPr>
        <w:snapToGrid w:val="0"/>
        <w:spacing w:line="312" w:lineRule="auto"/>
        <w:jc w:val="left"/>
        <w:rPr>
          <w:rFonts w:ascii="Times New Roman" w:hAnsi="Times New Roman" w:cs="Times New Roman"/>
          <w:color w:val="000000" w:themeColor="text1"/>
          <w:sz w:val="32"/>
          <w:szCs w:val="32"/>
          <w14:textFill>
            <w14:solidFill>
              <w14:schemeClr w14:val="tx1"/>
            </w14:solidFill>
          </w14:textFill>
        </w:rPr>
      </w:pPr>
    </w:p>
    <w:p w14:paraId="08861C9B">
      <w:pPr>
        <w:tabs>
          <w:tab w:val="left" w:pos="720"/>
        </w:tabs>
        <w:spacing w:line="400" w:lineRule="exact"/>
        <w:ind w:firstLine="480" w:firstLineChars="200"/>
        <w:rPr>
          <w:rFonts w:ascii="Times New Roman" w:hAnsi="Times New Roman" w:cs="Times New Roman"/>
          <w:sz w:val="24"/>
        </w:rPr>
      </w:pPr>
      <w:r>
        <w:rPr>
          <w:rFonts w:ascii="Times New Roman" w:hAnsi="Times New Roman" w:cs="Times New Roman"/>
          <w:sz w:val="24"/>
        </w:rPr>
        <w:t>根据中国工程建设标准化协会《关于印发〈2021年第</w:t>
      </w:r>
      <w:r>
        <w:rPr>
          <w:rFonts w:hint="eastAsia" w:ascii="Times New Roman" w:hAnsi="Times New Roman" w:cs="Times New Roman"/>
          <w:sz w:val="24"/>
        </w:rPr>
        <w:t>一</w:t>
      </w:r>
      <w:r>
        <w:rPr>
          <w:rFonts w:ascii="Times New Roman" w:hAnsi="Times New Roman" w:cs="Times New Roman"/>
          <w:sz w:val="24"/>
        </w:rPr>
        <w:t>批工程建设协会标准制</w:t>
      </w:r>
      <w:r>
        <w:rPr>
          <w:rFonts w:hint="eastAsia" w:ascii="Times New Roman" w:hAnsi="Times New Roman" w:cs="Times New Roman"/>
          <w:sz w:val="24"/>
        </w:rPr>
        <w:t>订</w:t>
      </w:r>
      <w:r>
        <w:rPr>
          <w:rFonts w:ascii="Times New Roman" w:hAnsi="Times New Roman" w:cs="Times New Roman"/>
          <w:sz w:val="24"/>
        </w:rPr>
        <w:t>、修订计划〉的通知》（建标协字</w:t>
      </w:r>
      <w:bookmarkStart w:id="11" w:name="_Hlk209878308"/>
      <w:r>
        <w:rPr>
          <w:rFonts w:ascii="Times New Roman" w:hAnsi="Times New Roman" w:cs="Times New Roman"/>
          <w:sz w:val="24"/>
        </w:rPr>
        <w:t>﹝</w:t>
      </w:r>
      <w:bookmarkEnd w:id="11"/>
      <w:r>
        <w:rPr>
          <w:rFonts w:ascii="Times New Roman" w:hAnsi="Times New Roman" w:cs="Times New Roman"/>
          <w:sz w:val="24"/>
        </w:rPr>
        <w:t>2021</w:t>
      </w:r>
      <w:bookmarkStart w:id="12" w:name="_Hlk209878315"/>
      <w:bookmarkStart w:id="13" w:name="OLE_LINK22"/>
      <w:r>
        <w:rPr>
          <w:rFonts w:ascii="Times New Roman" w:hAnsi="Times New Roman" w:cs="Times New Roman"/>
          <w:sz w:val="24"/>
        </w:rPr>
        <w:t>﹞</w:t>
      </w:r>
      <w:bookmarkEnd w:id="12"/>
      <w:bookmarkEnd w:id="13"/>
      <w:r>
        <w:rPr>
          <w:rFonts w:ascii="Times New Roman" w:hAnsi="Times New Roman" w:cs="Times New Roman"/>
          <w:sz w:val="24"/>
        </w:rPr>
        <w:t>011号）的要求，编制组经过</w:t>
      </w:r>
      <w:r>
        <w:rPr>
          <w:rFonts w:hint="eastAsia" w:ascii="Times New Roman" w:hAnsi="Times New Roman" w:cs="Times New Roman"/>
          <w:sz w:val="24"/>
        </w:rPr>
        <w:t>深入</w:t>
      </w:r>
      <w:r>
        <w:rPr>
          <w:rFonts w:ascii="Times New Roman" w:hAnsi="Times New Roman" w:cs="Times New Roman"/>
          <w:sz w:val="24"/>
        </w:rPr>
        <w:t>调查研究，认真总结实践经验，并在广泛征求意见的基础上，制定本规程。</w:t>
      </w:r>
    </w:p>
    <w:p w14:paraId="3E81B0CF">
      <w:pPr>
        <w:tabs>
          <w:tab w:val="left" w:pos="720"/>
        </w:tabs>
        <w:spacing w:line="400" w:lineRule="exact"/>
        <w:ind w:firstLine="480" w:firstLineChars="200"/>
        <w:rPr>
          <w:rFonts w:ascii="Times New Roman" w:hAnsi="Times New Roman" w:cs="Times New Roman"/>
          <w:sz w:val="24"/>
        </w:rPr>
      </w:pPr>
      <w:r>
        <w:rPr>
          <w:rFonts w:ascii="Times New Roman" w:hAnsi="Times New Roman" w:cs="Times New Roman"/>
          <w:sz w:val="24"/>
        </w:rPr>
        <w:t>本规程共分7章和3个附录</w:t>
      </w:r>
      <w:r>
        <w:rPr>
          <w:rFonts w:hint="eastAsia" w:ascii="Times New Roman" w:hAnsi="Times New Roman" w:cs="Times New Roman"/>
          <w:sz w:val="24"/>
        </w:rPr>
        <w:t>，</w:t>
      </w:r>
      <w:r>
        <w:rPr>
          <w:rFonts w:ascii="Times New Roman" w:hAnsi="Times New Roman" w:cs="Times New Roman"/>
          <w:sz w:val="24"/>
        </w:rPr>
        <w:t>主要</w:t>
      </w:r>
      <w:r>
        <w:rPr>
          <w:rFonts w:hint="eastAsia" w:ascii="Times New Roman" w:hAnsi="Times New Roman" w:cs="Times New Roman"/>
          <w:sz w:val="24"/>
        </w:rPr>
        <w:t>技术</w:t>
      </w:r>
      <w:r>
        <w:rPr>
          <w:rFonts w:ascii="Times New Roman" w:hAnsi="Times New Roman" w:cs="Times New Roman"/>
          <w:sz w:val="24"/>
        </w:rPr>
        <w:t>内容包括</w:t>
      </w:r>
      <w:r>
        <w:rPr>
          <w:rFonts w:hint="eastAsia" w:ascii="Times New Roman" w:hAnsi="Times New Roman" w:cs="Times New Roman"/>
          <w:sz w:val="24"/>
        </w:rPr>
        <w:t>：</w:t>
      </w:r>
      <w:r>
        <w:rPr>
          <w:rFonts w:ascii="Times New Roman" w:hAnsi="Times New Roman" w:cs="Times New Roman"/>
          <w:sz w:val="24"/>
        </w:rPr>
        <w:t>总则、术语、材料、设计、基面</w:t>
      </w:r>
      <w:r>
        <w:rPr>
          <w:rFonts w:hint="eastAsia" w:ascii="Times New Roman" w:hAnsi="Times New Roman" w:cs="Times New Roman"/>
          <w:sz w:val="24"/>
        </w:rPr>
        <w:t>检查</w:t>
      </w:r>
      <w:r>
        <w:rPr>
          <w:rFonts w:ascii="Times New Roman" w:hAnsi="Times New Roman" w:cs="Times New Roman"/>
          <w:sz w:val="24"/>
        </w:rPr>
        <w:t>和处理、施工</w:t>
      </w:r>
      <w:r>
        <w:rPr>
          <w:rFonts w:hint="eastAsia" w:ascii="Times New Roman" w:hAnsi="Times New Roman" w:cs="Times New Roman"/>
          <w:sz w:val="24"/>
        </w:rPr>
        <w:t>和</w:t>
      </w:r>
      <w:r>
        <w:rPr>
          <w:rFonts w:ascii="Times New Roman" w:hAnsi="Times New Roman" w:cs="Times New Roman"/>
          <w:sz w:val="24"/>
        </w:rPr>
        <w:t>验收等。</w:t>
      </w:r>
    </w:p>
    <w:p w14:paraId="3703D591">
      <w:pPr>
        <w:tabs>
          <w:tab w:val="left" w:pos="720"/>
        </w:tabs>
        <w:spacing w:line="400" w:lineRule="exact"/>
        <w:ind w:firstLine="480" w:firstLineChars="200"/>
        <w:rPr>
          <w:rFonts w:ascii="Times New Roman" w:hAnsi="Times New Roman" w:cs="Times New Roman"/>
          <w:sz w:val="24"/>
        </w:rPr>
      </w:pPr>
      <w:r>
        <w:rPr>
          <w:rFonts w:ascii="Times New Roman" w:hAnsi="Times New Roman" w:cs="Times New Roman"/>
          <w:sz w:val="24"/>
        </w:rPr>
        <w:t>本规程的某些内容可能直接或间接涉及专利。本规程的发布机构不承担识别这些专利的责任。</w:t>
      </w:r>
    </w:p>
    <w:p w14:paraId="6DF3AB5B">
      <w:pPr>
        <w:tabs>
          <w:tab w:val="left" w:pos="720"/>
        </w:tabs>
        <w:spacing w:line="400" w:lineRule="exact"/>
        <w:ind w:firstLine="480" w:firstLineChars="200"/>
        <w:rPr>
          <w:rFonts w:ascii="Times New Roman" w:hAnsi="Times New Roman" w:cs="Times New Roman"/>
          <w:sz w:val="24"/>
        </w:rPr>
      </w:pPr>
      <w:bookmarkStart w:id="14" w:name="OLE_LINK23"/>
      <w:bookmarkStart w:id="15" w:name="_Hlk209878355"/>
      <w:r>
        <w:rPr>
          <w:rFonts w:ascii="Times New Roman" w:hAnsi="Times New Roman" w:cs="Times New Roman"/>
          <w:sz w:val="24"/>
        </w:rPr>
        <w:t>本规程由中国工程建设标准化协会建筑与市政工程产品应用分会归口管理，由</w:t>
      </w:r>
      <w:r>
        <w:rPr>
          <w:rFonts w:ascii="Times New Roman" w:hAnsi="Times New Roman" w:cs="Times New Roman"/>
          <w:bCs/>
          <w:sz w:val="24"/>
        </w:rPr>
        <w:t>中国</w:t>
      </w:r>
      <w:r>
        <w:rPr>
          <w:rFonts w:hint="eastAsia" w:ascii="Times New Roman" w:hAnsi="Times New Roman" w:cs="Times New Roman"/>
          <w:bCs/>
          <w:sz w:val="24"/>
        </w:rPr>
        <w:t>国检测试控股</w:t>
      </w:r>
      <w:r>
        <w:rPr>
          <w:rFonts w:ascii="Times New Roman" w:hAnsi="Times New Roman" w:cs="Times New Roman"/>
          <w:bCs/>
          <w:sz w:val="24"/>
        </w:rPr>
        <w:t>集团股份有限公司负责具体技术内容的解释。</w:t>
      </w:r>
      <w:r>
        <w:rPr>
          <w:rFonts w:hint="eastAsia" w:ascii="Times New Roman" w:hAnsi="Times New Roman" w:cs="Times New Roman"/>
          <w:bCs/>
          <w:sz w:val="24"/>
        </w:rPr>
        <w:t>执行</w:t>
      </w:r>
      <w:r>
        <w:rPr>
          <w:rFonts w:ascii="Times New Roman" w:hAnsi="Times New Roman" w:cs="Times New Roman"/>
          <w:bCs/>
          <w:sz w:val="24"/>
        </w:rPr>
        <w:t>过程中如有</w:t>
      </w:r>
      <w:r>
        <w:rPr>
          <w:rFonts w:hint="eastAsia" w:ascii="Times New Roman" w:hAnsi="Times New Roman" w:cs="Times New Roman"/>
          <w:bCs/>
          <w:sz w:val="24"/>
        </w:rPr>
        <w:t>意见或建议，请反馈至</w:t>
      </w:r>
      <w:r>
        <w:rPr>
          <w:rFonts w:ascii="Times New Roman" w:hAnsi="Times New Roman" w:cs="Times New Roman"/>
          <w:bCs/>
          <w:sz w:val="24"/>
        </w:rPr>
        <w:t>中国</w:t>
      </w:r>
      <w:r>
        <w:rPr>
          <w:rFonts w:hint="eastAsia" w:ascii="Times New Roman" w:hAnsi="Times New Roman" w:cs="Times New Roman"/>
          <w:bCs/>
          <w:sz w:val="24"/>
        </w:rPr>
        <w:t>国检测试控股</w:t>
      </w:r>
      <w:r>
        <w:rPr>
          <w:rFonts w:ascii="Times New Roman" w:hAnsi="Times New Roman" w:cs="Times New Roman"/>
          <w:bCs/>
          <w:sz w:val="24"/>
        </w:rPr>
        <w:t>集团股份有限公司</w:t>
      </w:r>
      <w:r>
        <w:rPr>
          <w:rFonts w:ascii="Times New Roman" w:hAnsi="Times New Roman" w:cs="Times New Roman"/>
          <w:sz w:val="24"/>
        </w:rPr>
        <w:t>（地址：北京市朝阳区管庄东里1号，邮编：100027，邮箱：</w:t>
      </w:r>
      <w:r>
        <w:rPr>
          <w:rFonts w:hint="eastAsia" w:ascii="Times New Roman" w:hAnsi="Times New Roman" w:cs="Times New Roman"/>
          <w:sz w:val="24"/>
        </w:rPr>
        <w:t>zhuhailong@</w:t>
      </w:r>
      <w:r>
        <w:rPr>
          <w:rFonts w:ascii="Times New Roman" w:hAnsi="Times New Roman" w:cs="Times New Roman"/>
          <w:sz w:val="24"/>
        </w:rPr>
        <w:t>ctc.ac.cn）。</w:t>
      </w:r>
    </w:p>
    <w:p w14:paraId="53747B12">
      <w:pPr>
        <w:spacing w:line="360" w:lineRule="auto"/>
        <w:ind w:firstLine="560" w:firstLineChars="200"/>
        <w:rPr>
          <w:rFonts w:ascii="Times New Roman" w:hAnsi="Times New Roman" w:cs="Times New Roman"/>
          <w:sz w:val="24"/>
        </w:rPr>
      </w:pPr>
      <w:r>
        <w:rPr>
          <w:rFonts w:ascii="Times New Roman" w:hAnsi="Times New Roman" w:eastAsia="黑体" w:cs="Times New Roman"/>
          <w:spacing w:val="20"/>
          <w:sz w:val="24"/>
        </w:rPr>
        <w:t>主编单位：</w:t>
      </w:r>
      <w:r>
        <w:rPr>
          <w:rFonts w:ascii="Times New Roman" w:hAnsi="Times New Roman" w:cs="Times New Roman"/>
          <w:bCs/>
          <w:sz w:val="24"/>
        </w:rPr>
        <w:t>中国</w:t>
      </w:r>
      <w:r>
        <w:rPr>
          <w:rFonts w:hint="eastAsia" w:ascii="Times New Roman" w:hAnsi="Times New Roman" w:cs="Times New Roman"/>
          <w:bCs/>
          <w:sz w:val="24"/>
        </w:rPr>
        <w:t>国检测试控股</w:t>
      </w:r>
      <w:r>
        <w:rPr>
          <w:rFonts w:ascii="Times New Roman" w:hAnsi="Times New Roman" w:cs="Times New Roman"/>
          <w:bCs/>
          <w:sz w:val="24"/>
        </w:rPr>
        <w:t>集团股份有限公司</w:t>
      </w:r>
    </w:p>
    <w:p w14:paraId="21D41E22">
      <w:pPr>
        <w:spacing w:line="300" w:lineRule="auto"/>
        <w:ind w:firstLine="565" w:firstLineChars="202"/>
        <w:rPr>
          <w:rFonts w:ascii="Times New Roman" w:hAnsi="Times New Roman" w:cs="Times New Roman"/>
          <w:bCs/>
          <w:sz w:val="24"/>
        </w:rPr>
      </w:pPr>
      <w:r>
        <w:rPr>
          <w:rFonts w:ascii="Times New Roman" w:hAnsi="Times New Roman" w:eastAsia="黑体" w:cs="Times New Roman"/>
          <w:spacing w:val="20"/>
          <w:sz w:val="24"/>
        </w:rPr>
        <w:t>参编单位：</w:t>
      </w:r>
    </w:p>
    <w:p w14:paraId="5081FD15">
      <w:pPr>
        <w:spacing w:line="360" w:lineRule="auto"/>
        <w:ind w:firstLine="560" w:firstLineChars="200"/>
        <w:rPr>
          <w:rFonts w:ascii="Times New Roman" w:hAnsi="Times New Roman" w:eastAsia="黑体" w:cs="Times New Roman"/>
          <w:spacing w:val="20"/>
          <w:sz w:val="24"/>
        </w:rPr>
      </w:pPr>
      <w:r>
        <w:rPr>
          <w:rFonts w:ascii="Times New Roman" w:hAnsi="Times New Roman" w:eastAsia="黑体" w:cs="Times New Roman"/>
          <w:spacing w:val="20"/>
          <w:sz w:val="24"/>
        </w:rPr>
        <w:t>主要起草人：</w:t>
      </w:r>
    </w:p>
    <w:p w14:paraId="53ACF014">
      <w:pPr>
        <w:spacing w:line="360" w:lineRule="auto"/>
        <w:ind w:firstLine="560" w:firstLineChars="200"/>
        <w:rPr>
          <w:rFonts w:ascii="Times New Roman" w:hAnsi="Times New Roman" w:eastAsia="黑体" w:cs="Times New Roman"/>
          <w:spacing w:val="20"/>
          <w:sz w:val="24"/>
        </w:rPr>
      </w:pPr>
      <w:r>
        <w:rPr>
          <w:rFonts w:ascii="Times New Roman" w:hAnsi="Times New Roman" w:eastAsia="黑体" w:cs="Times New Roman"/>
          <w:spacing w:val="20"/>
          <w:sz w:val="24"/>
        </w:rPr>
        <w:t xml:space="preserve">主要审查人： </w:t>
      </w:r>
    </w:p>
    <w:bookmarkEnd w:id="14"/>
    <w:bookmarkEnd w:id="15"/>
    <w:p w14:paraId="5A7B04FA">
      <w:pPr>
        <w:tabs>
          <w:tab w:val="left" w:pos="0"/>
          <w:tab w:val="left" w:pos="2160"/>
          <w:tab w:val="left" w:pos="4680"/>
        </w:tabs>
        <w:spacing w:line="360" w:lineRule="auto"/>
        <w:ind w:left="490" w:firstLine="1260" w:firstLineChars="600"/>
        <w:jc w:val="left"/>
        <w:rPr>
          <w:rFonts w:ascii="Times New Roman" w:hAnsi="Times New Roman" w:cs="Times New Roman"/>
        </w:rPr>
      </w:pPr>
    </w:p>
    <w:p w14:paraId="63499969">
      <w:pPr>
        <w:snapToGrid w:val="0"/>
        <w:spacing w:line="312" w:lineRule="auto"/>
        <w:ind w:firstLine="420" w:firstLineChars="200"/>
        <w:jc w:val="left"/>
        <w:rPr>
          <w:rFonts w:ascii="Times New Roman" w:hAnsi="Times New Roman" w:cs="Times New Roman"/>
          <w:color w:val="000000" w:themeColor="text1"/>
          <w:szCs w:val="21"/>
          <w14:textFill>
            <w14:solidFill>
              <w14:schemeClr w14:val="tx1"/>
            </w14:solidFill>
          </w14:textFill>
        </w:rPr>
      </w:pPr>
    </w:p>
    <w:p w14:paraId="6240F60D">
      <w:pPr>
        <w:snapToGrid w:val="0"/>
        <w:spacing w:line="312" w:lineRule="auto"/>
        <w:ind w:firstLine="422" w:firstLineChars="200"/>
        <w:jc w:val="left"/>
        <w:rPr>
          <w:rFonts w:ascii="Times New Roman" w:hAnsi="Times New Roman" w:cs="Times New Roman"/>
          <w:b/>
          <w:color w:val="000000" w:themeColor="text1"/>
          <w:szCs w:val="21"/>
          <w14:textFill>
            <w14:solidFill>
              <w14:schemeClr w14:val="tx1"/>
            </w14:solidFill>
          </w14:textFill>
        </w:rPr>
      </w:pPr>
    </w:p>
    <w:p w14:paraId="0920D943">
      <w:pPr>
        <w:snapToGrid w:val="0"/>
        <w:spacing w:line="312" w:lineRule="auto"/>
        <w:ind w:firstLine="422" w:firstLineChars="200"/>
        <w:jc w:val="left"/>
        <w:rPr>
          <w:rFonts w:ascii="Times New Roman" w:hAnsi="Times New Roman" w:cs="Times New Roman"/>
          <w:b/>
          <w:color w:val="000000" w:themeColor="text1"/>
          <w:szCs w:val="21"/>
          <w14:textFill>
            <w14:solidFill>
              <w14:schemeClr w14:val="tx1"/>
            </w14:solidFill>
          </w14:textFill>
        </w:rPr>
      </w:pPr>
    </w:p>
    <w:p w14:paraId="0E997DE5">
      <w:pPr>
        <w:snapToGrid w:val="0"/>
        <w:spacing w:line="312" w:lineRule="auto"/>
        <w:ind w:firstLine="422" w:firstLineChars="200"/>
        <w:jc w:val="left"/>
        <w:rPr>
          <w:rFonts w:ascii="Times New Roman" w:hAnsi="Times New Roman" w:cs="Times New Roman"/>
          <w:b/>
          <w:color w:val="000000" w:themeColor="text1"/>
          <w:szCs w:val="21"/>
          <w14:textFill>
            <w14:solidFill>
              <w14:schemeClr w14:val="tx1"/>
            </w14:solidFill>
          </w14:textFill>
        </w:rPr>
      </w:pPr>
    </w:p>
    <w:p w14:paraId="678A1D9D">
      <w:pPr>
        <w:snapToGrid w:val="0"/>
        <w:spacing w:line="312" w:lineRule="auto"/>
        <w:rPr>
          <w:rFonts w:ascii="Times New Roman" w:hAnsi="Times New Roman" w:cs="Times New Roman"/>
          <w:color w:val="000000" w:themeColor="text1"/>
          <w14:textFill>
            <w14:solidFill>
              <w14:schemeClr w14:val="tx1"/>
            </w14:solidFill>
          </w14:textFill>
        </w:rPr>
      </w:pPr>
    </w:p>
    <w:p w14:paraId="586CBB41">
      <w:pPr>
        <w:snapToGrid w:val="0"/>
        <w:spacing w:line="312" w:lineRule="auto"/>
        <w:jc w:val="right"/>
        <w:rPr>
          <w:rFonts w:ascii="Times New Roman" w:hAnsi="Times New Roman" w:cs="Times New Roman"/>
          <w:b/>
          <w:color w:val="000000" w:themeColor="text1"/>
          <w:sz w:val="24"/>
          <w14:textFill>
            <w14:solidFill>
              <w14:schemeClr w14:val="tx1"/>
            </w14:solidFill>
          </w14:textFill>
        </w:rPr>
      </w:pPr>
    </w:p>
    <w:p w14:paraId="4A801B0F">
      <w:pPr>
        <w:snapToGrid w:val="0"/>
        <w:spacing w:line="312" w:lineRule="auto"/>
        <w:jc w:val="left"/>
        <w:rPr>
          <w:rFonts w:ascii="Times New Roman" w:hAnsi="Times New Roman" w:cs="Times New Roman"/>
          <w:b/>
          <w:color w:val="000000" w:themeColor="text1"/>
          <w:sz w:val="24"/>
          <w14:textFill>
            <w14:solidFill>
              <w14:schemeClr w14:val="tx1"/>
            </w14:solidFill>
          </w14:textFill>
        </w:rPr>
      </w:pPr>
    </w:p>
    <w:p w14:paraId="3987EEAE">
      <w:pPr>
        <w:snapToGrid w:val="0"/>
        <w:spacing w:line="312" w:lineRule="auto"/>
        <w:jc w:val="left"/>
        <w:rPr>
          <w:rFonts w:ascii="Times New Roman" w:hAnsi="Times New Roman" w:cs="Times New Roman"/>
          <w:color w:val="000000" w:themeColor="text1"/>
          <w14:textFill>
            <w14:solidFill>
              <w14:schemeClr w14:val="tx1"/>
            </w14:solidFill>
          </w14:textFill>
        </w:rPr>
        <w:sectPr>
          <w:pgSz w:w="11907" w:h="16840"/>
          <w:pgMar w:top="1440" w:right="1797" w:bottom="1440" w:left="1797" w:header="851" w:footer="992" w:gutter="0"/>
          <w:pgBorders>
            <w:top w:val="none" w:sz="0" w:space="0"/>
            <w:left w:val="none" w:sz="0" w:space="0"/>
            <w:bottom w:val="none" w:sz="0" w:space="0"/>
            <w:right w:val="none" w:sz="0" w:space="0"/>
          </w:pgBorders>
          <w:cols w:space="720" w:num="1"/>
          <w:docGrid w:type="lines" w:linePitch="312" w:charSpace="0"/>
        </w:sectPr>
      </w:pPr>
    </w:p>
    <w:bookmarkEnd w:id="1"/>
    <w:bookmarkEnd w:id="2"/>
    <w:bookmarkEnd w:id="3"/>
    <w:p w14:paraId="40345D4B">
      <w:pPr>
        <w:jc w:val="center"/>
        <w:rPr>
          <w:rFonts w:ascii="Times New Roman" w:hAnsi="Times New Roman" w:eastAsia="仿宋" w:cs="Times New Roman"/>
          <w:b/>
          <w:sz w:val="32"/>
          <w:lang w:val="zh-CN"/>
        </w:rPr>
      </w:pPr>
      <w:bookmarkStart w:id="16" w:name="_Toc91419926"/>
      <w:r>
        <w:rPr>
          <w:rFonts w:ascii="Times New Roman" w:hAnsi="Times New Roman" w:eastAsia="仿宋" w:cs="Times New Roman"/>
          <w:b/>
          <w:sz w:val="32"/>
          <w:lang w:val="zh-CN"/>
        </w:rPr>
        <w:t>目　　次</w:t>
      </w:r>
      <w:bookmarkEnd w:id="16"/>
    </w:p>
    <w:sdt>
      <w:sdtPr>
        <w:rPr>
          <w:rFonts w:ascii="Times New Roman" w:hAnsi="Times New Roman" w:cs="Times New Roman"/>
          <w:color w:val="000000" w:themeColor="text1"/>
          <w:lang w:val="zh-CN"/>
          <w14:textFill>
            <w14:solidFill>
              <w14:schemeClr w14:val="tx1"/>
            </w14:solidFill>
          </w14:textFill>
        </w:rPr>
        <w:id w:val="2073688673"/>
        <w:docPartObj>
          <w:docPartGallery w:val="Table of Contents"/>
          <w:docPartUnique/>
        </w:docPartObj>
      </w:sdtPr>
      <w:sdtEndPr>
        <w:rPr>
          <w:rStyle w:val="21"/>
          <w:rFonts w:ascii="Times New Roman" w:hAnsi="Times New Roman" w:cs="Times New Roman"/>
          <w:color w:val="0563C1" w:themeColor="hyperlink"/>
          <w:sz w:val="24"/>
          <w:u w:val="single"/>
          <w:lang w:val="en-US"/>
          <w14:textFill>
            <w14:solidFill>
              <w14:schemeClr w14:val="hlink"/>
            </w14:solidFill>
          </w14:textFill>
        </w:rPr>
      </w:sdtEndPr>
      <w:sdtContent>
        <w:p w14:paraId="62623BAC">
          <w:pPr>
            <w:pStyle w:val="11"/>
            <w:tabs>
              <w:tab w:val="right" w:leader="dot" w:pos="8296"/>
            </w:tabs>
            <w:rPr>
              <w:rFonts w:ascii="Times New Roman" w:hAnsi="Times New Roman" w:eastAsia="宋体" w:cs="Times New Roman"/>
              <w:color w:val="0563C1" w:themeColor="hyperlink"/>
              <w:kern w:val="2"/>
              <w:sz w:val="24"/>
              <w:szCs w:val="24"/>
              <w:u w:val="single"/>
              <w:lang w:val="en-US" w:eastAsia="zh-CN" w:bidi="ar-SA"/>
              <w14:textFill>
                <w14:solidFill>
                  <w14:schemeClr w14:val="hlink"/>
                </w14:solidFill>
              </w14:textFill>
            </w:rPr>
          </w:pPr>
          <w:r>
            <w:rPr>
              <w:rStyle w:val="21"/>
              <w:rFonts w:ascii="Times New Roman" w:hAnsi="Times New Roman" w:eastAsia="宋体" w:cs="Times New Roman"/>
              <w:sz w:val="24"/>
              <w:lang w:val="zh-CN"/>
            </w:rPr>
            <w:fldChar w:fldCharType="begin"/>
          </w:r>
          <w:r>
            <w:rPr>
              <w:rStyle w:val="21"/>
              <w:rFonts w:ascii="Times New Roman" w:hAnsi="Times New Roman" w:eastAsia="宋体" w:cs="Times New Roman"/>
              <w:sz w:val="24"/>
              <w:lang w:val="zh-CN"/>
            </w:rPr>
            <w:instrText xml:space="preserve"> TOC \o "1-3" \h \z \u </w:instrText>
          </w:r>
          <w:r>
            <w:rPr>
              <w:rStyle w:val="21"/>
              <w:rFonts w:ascii="Times New Roman" w:hAnsi="Times New Roman" w:eastAsia="宋体" w:cs="Times New Roman"/>
              <w:sz w:val="24"/>
              <w:lang w:val="zh-CN"/>
            </w:rPr>
            <w:fldChar w:fldCharType="separate"/>
          </w:r>
        </w:p>
        <w:p w14:paraId="4B00BA94">
          <w:pPr>
            <w:pStyle w:val="11"/>
            <w:tabs>
              <w:tab w:val="right" w:leader="dot" w:pos="8306"/>
            </w:tabs>
          </w:pPr>
          <w:r>
            <w:rPr>
              <w:rFonts w:ascii="Times New Roman" w:hAnsi="Times New Roman" w:eastAsia="宋体" w:cs="Times New Roman"/>
            </w:rPr>
            <w:fldChar w:fldCharType="begin"/>
          </w:r>
          <w:r>
            <w:rPr>
              <w:rFonts w:ascii="Times New Roman" w:hAnsi="Times New Roman" w:eastAsia="宋体" w:cs="Times New Roman"/>
            </w:rPr>
            <w:instrText xml:space="preserve"> HYPERLINK \l _Toc21207 </w:instrText>
          </w:r>
          <w:r>
            <w:rPr>
              <w:rFonts w:ascii="Times New Roman" w:hAnsi="Times New Roman" w:eastAsia="宋体" w:cs="Times New Roman"/>
            </w:rPr>
            <w:fldChar w:fldCharType="separate"/>
          </w:r>
          <w:r>
            <w:rPr>
              <w:rFonts w:ascii="Times New Roman" w:hAnsi="Times New Roman" w:eastAsia="宋体" w:cs="Times New Roman"/>
              <w:szCs w:val="28"/>
              <w:lang w:val="zh-CN"/>
            </w:rPr>
            <w:t>1　总　　则</w:t>
          </w:r>
          <w:r>
            <w:tab/>
          </w:r>
          <w:r>
            <w:fldChar w:fldCharType="begin"/>
          </w:r>
          <w:r>
            <w:instrText xml:space="preserve"> PAGEREF _Toc21207 \h </w:instrText>
          </w:r>
          <w:r>
            <w:fldChar w:fldCharType="separate"/>
          </w:r>
          <w:r>
            <w:t>1</w:t>
          </w:r>
          <w:r>
            <w:fldChar w:fldCharType="end"/>
          </w:r>
          <w:r>
            <w:rPr>
              <w:rFonts w:ascii="Times New Roman" w:hAnsi="Times New Roman" w:eastAsia="宋体" w:cs="Times New Roman"/>
            </w:rPr>
            <w:fldChar w:fldCharType="end"/>
          </w:r>
        </w:p>
        <w:p w14:paraId="095CC95B">
          <w:pPr>
            <w:pStyle w:val="11"/>
            <w:tabs>
              <w:tab w:val="right" w:leader="dot" w:pos="8306"/>
            </w:tabs>
          </w:pPr>
          <w:r>
            <w:rPr>
              <w:rFonts w:ascii="Times New Roman" w:hAnsi="Times New Roman" w:eastAsia="宋体" w:cs="Times New Roman"/>
            </w:rPr>
            <w:fldChar w:fldCharType="begin"/>
          </w:r>
          <w:r>
            <w:rPr>
              <w:rFonts w:ascii="Times New Roman" w:hAnsi="Times New Roman" w:eastAsia="宋体" w:cs="Times New Roman"/>
            </w:rPr>
            <w:instrText xml:space="preserve"> HYPERLINK \l _Toc9258 </w:instrText>
          </w:r>
          <w:r>
            <w:rPr>
              <w:rFonts w:ascii="Times New Roman" w:hAnsi="Times New Roman" w:eastAsia="宋体" w:cs="Times New Roman"/>
            </w:rPr>
            <w:fldChar w:fldCharType="separate"/>
          </w:r>
          <w:r>
            <w:rPr>
              <w:rFonts w:ascii="Times New Roman" w:hAnsi="Times New Roman" w:eastAsia="宋体" w:cs="Times New Roman"/>
              <w:szCs w:val="28"/>
            </w:rPr>
            <w:t>2</w:t>
          </w:r>
          <w:r>
            <w:rPr>
              <w:rFonts w:ascii="Times New Roman" w:hAnsi="Times New Roman" w:eastAsia="宋体" w:cs="Times New Roman"/>
              <w:szCs w:val="28"/>
              <w:lang w:val="zh-CN"/>
            </w:rPr>
            <w:t>　术　　语</w:t>
          </w:r>
          <w:r>
            <w:tab/>
          </w:r>
          <w:r>
            <w:fldChar w:fldCharType="begin"/>
          </w:r>
          <w:r>
            <w:instrText xml:space="preserve"> PAGEREF _Toc9258 \h </w:instrText>
          </w:r>
          <w:r>
            <w:fldChar w:fldCharType="separate"/>
          </w:r>
          <w:r>
            <w:t>2</w:t>
          </w:r>
          <w:r>
            <w:fldChar w:fldCharType="end"/>
          </w:r>
          <w:r>
            <w:rPr>
              <w:rFonts w:ascii="Times New Roman" w:hAnsi="Times New Roman" w:eastAsia="宋体" w:cs="Times New Roman"/>
            </w:rPr>
            <w:fldChar w:fldCharType="end"/>
          </w:r>
        </w:p>
        <w:p w14:paraId="6EE56439">
          <w:pPr>
            <w:pStyle w:val="11"/>
            <w:tabs>
              <w:tab w:val="right" w:leader="dot" w:pos="8306"/>
            </w:tabs>
          </w:pPr>
          <w:r>
            <w:rPr>
              <w:rFonts w:ascii="Times New Roman" w:hAnsi="Times New Roman" w:eastAsia="宋体" w:cs="Times New Roman"/>
            </w:rPr>
            <w:fldChar w:fldCharType="begin"/>
          </w:r>
          <w:r>
            <w:rPr>
              <w:rFonts w:ascii="Times New Roman" w:hAnsi="Times New Roman" w:eastAsia="宋体" w:cs="Times New Roman"/>
            </w:rPr>
            <w:instrText xml:space="preserve"> HYPERLINK \l _Toc25229 </w:instrText>
          </w:r>
          <w:r>
            <w:rPr>
              <w:rFonts w:ascii="Times New Roman" w:hAnsi="Times New Roman" w:eastAsia="宋体" w:cs="Times New Roman"/>
            </w:rPr>
            <w:fldChar w:fldCharType="separate"/>
          </w:r>
          <w:r>
            <w:rPr>
              <w:rFonts w:ascii="Times New Roman" w:hAnsi="Times New Roman" w:eastAsia="宋体" w:cs="Times New Roman"/>
              <w:szCs w:val="28"/>
            </w:rPr>
            <w:t>3</w:t>
          </w:r>
          <w:r>
            <w:rPr>
              <w:rFonts w:ascii="Times New Roman" w:hAnsi="Times New Roman" w:eastAsia="宋体" w:cs="Times New Roman"/>
              <w:szCs w:val="28"/>
              <w:lang w:val="zh-CN"/>
            </w:rPr>
            <w:t>　</w:t>
          </w:r>
          <w:r>
            <w:rPr>
              <w:rFonts w:hint="eastAsia" w:ascii="Times New Roman" w:hAnsi="Times New Roman" w:eastAsia="宋体" w:cs="Times New Roman"/>
              <w:szCs w:val="28"/>
            </w:rPr>
            <w:t>基本规定</w:t>
          </w:r>
          <w:r>
            <w:tab/>
          </w:r>
          <w:r>
            <w:fldChar w:fldCharType="begin"/>
          </w:r>
          <w:r>
            <w:instrText xml:space="preserve"> PAGEREF _Toc25229 \h </w:instrText>
          </w:r>
          <w:r>
            <w:fldChar w:fldCharType="separate"/>
          </w:r>
          <w:r>
            <w:t>3</w:t>
          </w:r>
          <w:r>
            <w:fldChar w:fldCharType="end"/>
          </w:r>
          <w:r>
            <w:rPr>
              <w:rFonts w:ascii="Times New Roman" w:hAnsi="Times New Roman" w:eastAsia="宋体" w:cs="Times New Roman"/>
            </w:rPr>
            <w:fldChar w:fldCharType="end"/>
          </w:r>
        </w:p>
        <w:p w14:paraId="53E0B25F">
          <w:pPr>
            <w:pStyle w:val="11"/>
            <w:tabs>
              <w:tab w:val="right" w:leader="dot" w:pos="8306"/>
            </w:tabs>
          </w:pPr>
          <w:r>
            <w:rPr>
              <w:rFonts w:ascii="Times New Roman" w:hAnsi="Times New Roman" w:eastAsia="宋体" w:cs="Times New Roman"/>
            </w:rPr>
            <w:fldChar w:fldCharType="begin"/>
          </w:r>
          <w:r>
            <w:rPr>
              <w:rFonts w:ascii="Times New Roman" w:hAnsi="Times New Roman" w:eastAsia="宋体" w:cs="Times New Roman"/>
            </w:rPr>
            <w:instrText xml:space="preserve"> HYPERLINK \l _Toc8770 </w:instrText>
          </w:r>
          <w:r>
            <w:rPr>
              <w:rFonts w:ascii="Times New Roman" w:hAnsi="Times New Roman" w:eastAsia="宋体" w:cs="Times New Roman"/>
            </w:rPr>
            <w:fldChar w:fldCharType="separate"/>
          </w:r>
          <w:r>
            <w:rPr>
              <w:rFonts w:ascii="Times New Roman" w:hAnsi="Times New Roman" w:eastAsia="宋体" w:cs="Times New Roman"/>
              <w:szCs w:val="28"/>
            </w:rPr>
            <w:t>4</w:t>
          </w:r>
          <w:r>
            <w:rPr>
              <w:rFonts w:ascii="Times New Roman" w:hAnsi="Times New Roman" w:eastAsia="宋体" w:cs="Times New Roman"/>
              <w:szCs w:val="28"/>
              <w:lang w:val="zh-CN"/>
            </w:rPr>
            <w:t>　材　　料</w:t>
          </w:r>
          <w:r>
            <w:tab/>
          </w:r>
          <w:r>
            <w:fldChar w:fldCharType="begin"/>
          </w:r>
          <w:r>
            <w:instrText xml:space="preserve"> PAGEREF _Toc8770 \h </w:instrText>
          </w:r>
          <w:r>
            <w:fldChar w:fldCharType="separate"/>
          </w:r>
          <w:r>
            <w:t>4</w:t>
          </w:r>
          <w:r>
            <w:fldChar w:fldCharType="end"/>
          </w:r>
          <w:r>
            <w:rPr>
              <w:rFonts w:ascii="Times New Roman" w:hAnsi="Times New Roman" w:eastAsia="宋体" w:cs="Times New Roman"/>
            </w:rPr>
            <w:fldChar w:fldCharType="end"/>
          </w:r>
        </w:p>
        <w:p w14:paraId="4DA81D4C">
          <w:pPr>
            <w:pStyle w:val="11"/>
            <w:tabs>
              <w:tab w:val="right" w:leader="dot" w:pos="8306"/>
            </w:tabs>
          </w:pPr>
          <w:r>
            <w:rPr>
              <w:rFonts w:ascii="Times New Roman" w:hAnsi="Times New Roman" w:eastAsia="宋体" w:cs="Times New Roman"/>
            </w:rPr>
            <w:fldChar w:fldCharType="begin"/>
          </w:r>
          <w:r>
            <w:rPr>
              <w:rFonts w:ascii="Times New Roman" w:hAnsi="Times New Roman" w:eastAsia="宋体" w:cs="Times New Roman"/>
            </w:rPr>
            <w:instrText xml:space="preserve"> HYPERLINK \l _Toc31932 </w:instrText>
          </w:r>
          <w:r>
            <w:rPr>
              <w:rFonts w:ascii="Times New Roman" w:hAnsi="Times New Roman" w:eastAsia="宋体" w:cs="Times New Roman"/>
            </w:rPr>
            <w:fldChar w:fldCharType="separate"/>
          </w:r>
          <w:r>
            <w:rPr>
              <w:rFonts w:ascii="Times New Roman" w:hAnsi="Times New Roman" w:eastAsia="宋体" w:cs="Times New Roman"/>
              <w:szCs w:val="28"/>
              <w:lang w:val="zh-CN"/>
            </w:rPr>
            <w:t>5　设　　计</w:t>
          </w:r>
          <w:r>
            <w:tab/>
          </w:r>
          <w:r>
            <w:fldChar w:fldCharType="begin"/>
          </w:r>
          <w:r>
            <w:instrText xml:space="preserve"> PAGEREF _Toc31932 \h </w:instrText>
          </w:r>
          <w:r>
            <w:fldChar w:fldCharType="separate"/>
          </w:r>
          <w:r>
            <w:t>5</w:t>
          </w:r>
          <w:r>
            <w:fldChar w:fldCharType="end"/>
          </w:r>
          <w:r>
            <w:rPr>
              <w:rFonts w:ascii="Times New Roman" w:hAnsi="Times New Roman" w:eastAsia="宋体" w:cs="Times New Roman"/>
            </w:rPr>
            <w:fldChar w:fldCharType="end"/>
          </w:r>
        </w:p>
        <w:p w14:paraId="469FF996">
          <w:pPr>
            <w:pStyle w:val="12"/>
            <w:tabs>
              <w:tab w:val="right" w:leader="dot" w:pos="8306"/>
            </w:tabs>
          </w:pPr>
          <w:r>
            <w:rPr>
              <w:rFonts w:ascii="Times New Roman" w:hAnsi="Times New Roman" w:eastAsia="宋体" w:cs="Times New Roman"/>
            </w:rPr>
            <w:fldChar w:fldCharType="begin"/>
          </w:r>
          <w:r>
            <w:rPr>
              <w:rFonts w:ascii="Times New Roman" w:hAnsi="Times New Roman" w:eastAsia="宋体" w:cs="Times New Roman"/>
            </w:rPr>
            <w:instrText xml:space="preserve"> HYPERLINK \l _Toc16880 </w:instrText>
          </w:r>
          <w:r>
            <w:rPr>
              <w:rFonts w:ascii="Times New Roman" w:hAnsi="Times New Roman" w:eastAsia="宋体" w:cs="Times New Roman"/>
            </w:rPr>
            <w:fldChar w:fldCharType="separate"/>
          </w:r>
          <w:r>
            <w:rPr>
              <w:rFonts w:ascii="Times New Roman" w:hAnsi="Times New Roman" w:eastAsia="黑体" w:cs="Times New Roman"/>
              <w:iCs/>
              <w:kern w:val="0"/>
            </w:rPr>
            <w:t xml:space="preserve">5.1 </w:t>
          </w:r>
          <w:r>
            <w:rPr>
              <w:rFonts w:hint="eastAsia" w:ascii="Times New Roman" w:hAnsi="Times New Roman" w:eastAsia="黑体" w:cs="Times New Roman"/>
              <w:iCs/>
              <w:kern w:val="0"/>
              <w:lang w:val="en-US" w:eastAsia="zh-CN"/>
            </w:rPr>
            <w:t xml:space="preserve"> </w:t>
          </w:r>
          <w:r>
            <w:rPr>
              <w:rFonts w:hint="eastAsia" w:ascii="Times New Roman" w:hAnsi="Times New Roman" w:eastAsia="黑体" w:cs="Times New Roman"/>
              <w:iCs/>
              <w:kern w:val="0"/>
            </w:rPr>
            <w:t>一般规定</w:t>
          </w:r>
          <w:r>
            <w:tab/>
          </w:r>
          <w:r>
            <w:fldChar w:fldCharType="begin"/>
          </w:r>
          <w:r>
            <w:instrText xml:space="preserve"> PAGEREF _Toc16880 \h </w:instrText>
          </w:r>
          <w:r>
            <w:fldChar w:fldCharType="separate"/>
          </w:r>
          <w:r>
            <w:t>5</w:t>
          </w:r>
          <w:r>
            <w:fldChar w:fldCharType="end"/>
          </w:r>
          <w:r>
            <w:rPr>
              <w:rFonts w:ascii="Times New Roman" w:hAnsi="Times New Roman" w:eastAsia="宋体" w:cs="Times New Roman"/>
            </w:rPr>
            <w:fldChar w:fldCharType="end"/>
          </w:r>
        </w:p>
        <w:p w14:paraId="51FAE724">
          <w:pPr>
            <w:pStyle w:val="12"/>
            <w:tabs>
              <w:tab w:val="right" w:leader="dot" w:pos="8306"/>
            </w:tabs>
          </w:pPr>
          <w:r>
            <w:rPr>
              <w:rFonts w:ascii="Times New Roman" w:hAnsi="Times New Roman" w:eastAsia="宋体" w:cs="Times New Roman"/>
            </w:rPr>
            <w:fldChar w:fldCharType="begin"/>
          </w:r>
          <w:r>
            <w:rPr>
              <w:rFonts w:ascii="Times New Roman" w:hAnsi="Times New Roman" w:eastAsia="宋体" w:cs="Times New Roman"/>
            </w:rPr>
            <w:instrText xml:space="preserve"> HYPERLINK \l _Toc20508 </w:instrText>
          </w:r>
          <w:r>
            <w:rPr>
              <w:rFonts w:ascii="Times New Roman" w:hAnsi="Times New Roman" w:eastAsia="宋体" w:cs="Times New Roman"/>
            </w:rPr>
            <w:fldChar w:fldCharType="separate"/>
          </w:r>
          <w:r>
            <w:rPr>
              <w:rFonts w:ascii="Times New Roman" w:hAnsi="Times New Roman" w:eastAsia="黑体" w:cs="Times New Roman"/>
              <w:iCs/>
              <w:kern w:val="0"/>
            </w:rPr>
            <w:t>5.2　设计选用</w:t>
          </w:r>
          <w:r>
            <w:tab/>
          </w:r>
          <w:r>
            <w:fldChar w:fldCharType="begin"/>
          </w:r>
          <w:r>
            <w:instrText xml:space="preserve"> PAGEREF _Toc20508 \h </w:instrText>
          </w:r>
          <w:r>
            <w:fldChar w:fldCharType="separate"/>
          </w:r>
          <w:r>
            <w:t>5</w:t>
          </w:r>
          <w:r>
            <w:fldChar w:fldCharType="end"/>
          </w:r>
          <w:r>
            <w:rPr>
              <w:rFonts w:ascii="Times New Roman" w:hAnsi="Times New Roman" w:eastAsia="宋体" w:cs="Times New Roman"/>
            </w:rPr>
            <w:fldChar w:fldCharType="end"/>
          </w:r>
        </w:p>
        <w:p w14:paraId="2E92F24D">
          <w:pPr>
            <w:pStyle w:val="12"/>
            <w:tabs>
              <w:tab w:val="right" w:leader="dot" w:pos="8306"/>
            </w:tabs>
          </w:pPr>
          <w:r>
            <w:rPr>
              <w:rFonts w:ascii="Times New Roman" w:hAnsi="Times New Roman" w:eastAsia="宋体" w:cs="Times New Roman"/>
            </w:rPr>
            <w:fldChar w:fldCharType="begin"/>
          </w:r>
          <w:r>
            <w:rPr>
              <w:rFonts w:ascii="Times New Roman" w:hAnsi="Times New Roman" w:eastAsia="宋体" w:cs="Times New Roman"/>
            </w:rPr>
            <w:instrText xml:space="preserve"> HYPERLINK \l _Toc19566 </w:instrText>
          </w:r>
          <w:r>
            <w:rPr>
              <w:rFonts w:ascii="Times New Roman" w:hAnsi="Times New Roman" w:eastAsia="宋体" w:cs="Times New Roman"/>
            </w:rPr>
            <w:fldChar w:fldCharType="separate"/>
          </w:r>
          <w:r>
            <w:rPr>
              <w:rFonts w:ascii="Times New Roman" w:hAnsi="Times New Roman" w:eastAsia="黑体" w:cs="Times New Roman"/>
              <w:iCs/>
              <w:kern w:val="0"/>
            </w:rPr>
            <w:t>5.3　构造设计</w:t>
          </w:r>
          <w:r>
            <w:tab/>
          </w:r>
          <w:r>
            <w:fldChar w:fldCharType="begin"/>
          </w:r>
          <w:r>
            <w:instrText xml:space="preserve"> PAGEREF _Toc19566 \h </w:instrText>
          </w:r>
          <w:r>
            <w:fldChar w:fldCharType="separate"/>
          </w:r>
          <w:r>
            <w:t>6</w:t>
          </w:r>
          <w:r>
            <w:fldChar w:fldCharType="end"/>
          </w:r>
          <w:r>
            <w:rPr>
              <w:rFonts w:ascii="Times New Roman" w:hAnsi="Times New Roman" w:eastAsia="宋体" w:cs="Times New Roman"/>
            </w:rPr>
            <w:fldChar w:fldCharType="end"/>
          </w:r>
        </w:p>
        <w:p w14:paraId="5E0694CE">
          <w:pPr>
            <w:pStyle w:val="12"/>
            <w:tabs>
              <w:tab w:val="right" w:leader="dot" w:pos="8306"/>
            </w:tabs>
          </w:pPr>
          <w:r>
            <w:rPr>
              <w:rFonts w:ascii="Times New Roman" w:hAnsi="Times New Roman" w:eastAsia="宋体" w:cs="Times New Roman"/>
            </w:rPr>
            <w:fldChar w:fldCharType="begin"/>
          </w:r>
          <w:r>
            <w:rPr>
              <w:rFonts w:ascii="Times New Roman" w:hAnsi="Times New Roman" w:eastAsia="宋体" w:cs="Times New Roman"/>
            </w:rPr>
            <w:instrText xml:space="preserve"> HYPERLINK \l _Toc4741 </w:instrText>
          </w:r>
          <w:r>
            <w:rPr>
              <w:rFonts w:ascii="Times New Roman" w:hAnsi="Times New Roman" w:eastAsia="宋体" w:cs="Times New Roman"/>
            </w:rPr>
            <w:fldChar w:fldCharType="separate"/>
          </w:r>
          <w:r>
            <w:rPr>
              <w:rFonts w:ascii="Times New Roman" w:hAnsi="Times New Roman" w:eastAsia="黑体" w:cs="Times New Roman"/>
              <w:iCs/>
              <w:kern w:val="0"/>
            </w:rPr>
            <w:t>5.</w:t>
          </w:r>
          <w:r>
            <w:rPr>
              <w:rFonts w:hint="eastAsia" w:ascii="Times New Roman" w:hAnsi="Times New Roman" w:eastAsia="黑体" w:cs="Times New Roman"/>
              <w:iCs/>
              <w:kern w:val="0"/>
              <w:lang w:val="en-US" w:eastAsia="zh-CN"/>
            </w:rPr>
            <w:t>4</w:t>
          </w:r>
          <w:r>
            <w:rPr>
              <w:rFonts w:ascii="Times New Roman" w:hAnsi="Times New Roman" w:eastAsia="黑体" w:cs="Times New Roman"/>
              <w:iCs/>
              <w:kern w:val="0"/>
            </w:rPr>
            <w:t>　</w:t>
          </w:r>
          <w:r>
            <w:rPr>
              <w:rFonts w:hint="eastAsia" w:ascii="Times New Roman" w:hAnsi="Times New Roman" w:eastAsia="黑体" w:cs="Times New Roman"/>
              <w:iCs/>
              <w:kern w:val="0"/>
              <w:lang w:val="en-US" w:eastAsia="zh-CN"/>
            </w:rPr>
            <w:t>节点</w:t>
          </w:r>
          <w:r>
            <w:rPr>
              <w:rFonts w:ascii="Times New Roman" w:hAnsi="Times New Roman" w:eastAsia="黑体" w:cs="Times New Roman"/>
              <w:iCs/>
              <w:kern w:val="0"/>
            </w:rPr>
            <w:t>设计</w:t>
          </w:r>
          <w:r>
            <w:tab/>
          </w:r>
          <w:r>
            <w:fldChar w:fldCharType="begin"/>
          </w:r>
          <w:r>
            <w:instrText xml:space="preserve"> PAGEREF _Toc4741 \h </w:instrText>
          </w:r>
          <w:r>
            <w:fldChar w:fldCharType="separate"/>
          </w:r>
          <w:r>
            <w:t>7</w:t>
          </w:r>
          <w:r>
            <w:fldChar w:fldCharType="end"/>
          </w:r>
          <w:r>
            <w:rPr>
              <w:rFonts w:ascii="Times New Roman" w:hAnsi="Times New Roman" w:eastAsia="宋体" w:cs="Times New Roman"/>
            </w:rPr>
            <w:fldChar w:fldCharType="end"/>
          </w:r>
        </w:p>
        <w:p w14:paraId="5FE8A3D6">
          <w:pPr>
            <w:pStyle w:val="11"/>
            <w:tabs>
              <w:tab w:val="right" w:leader="dot" w:pos="8306"/>
            </w:tabs>
          </w:pPr>
          <w:r>
            <w:rPr>
              <w:rFonts w:ascii="Times New Roman" w:hAnsi="Times New Roman" w:eastAsia="宋体" w:cs="Times New Roman"/>
            </w:rPr>
            <w:fldChar w:fldCharType="begin"/>
          </w:r>
          <w:r>
            <w:rPr>
              <w:rFonts w:ascii="Times New Roman" w:hAnsi="Times New Roman" w:eastAsia="宋体" w:cs="Times New Roman"/>
            </w:rPr>
            <w:instrText xml:space="preserve"> HYPERLINK \l _Toc21641 </w:instrText>
          </w:r>
          <w:r>
            <w:rPr>
              <w:rFonts w:ascii="Times New Roman" w:hAnsi="Times New Roman" w:eastAsia="宋体" w:cs="Times New Roman"/>
            </w:rPr>
            <w:fldChar w:fldCharType="separate"/>
          </w:r>
          <w:r>
            <w:rPr>
              <w:rFonts w:ascii="Times New Roman" w:hAnsi="Times New Roman" w:eastAsia="宋体" w:cs="Times New Roman"/>
              <w:szCs w:val="28"/>
              <w:lang w:val="zh-CN"/>
            </w:rPr>
            <w:t>6　施　　工</w:t>
          </w:r>
          <w:r>
            <w:tab/>
          </w:r>
          <w:r>
            <w:fldChar w:fldCharType="begin"/>
          </w:r>
          <w:r>
            <w:instrText xml:space="preserve"> PAGEREF _Toc21641 \h </w:instrText>
          </w:r>
          <w:r>
            <w:fldChar w:fldCharType="separate"/>
          </w:r>
          <w:r>
            <w:t>8</w:t>
          </w:r>
          <w:r>
            <w:fldChar w:fldCharType="end"/>
          </w:r>
          <w:r>
            <w:rPr>
              <w:rFonts w:ascii="Times New Roman" w:hAnsi="Times New Roman" w:eastAsia="宋体" w:cs="Times New Roman"/>
            </w:rPr>
            <w:fldChar w:fldCharType="end"/>
          </w:r>
        </w:p>
        <w:p w14:paraId="3CB0F663">
          <w:pPr>
            <w:pStyle w:val="12"/>
            <w:tabs>
              <w:tab w:val="right" w:leader="dot" w:pos="8306"/>
            </w:tabs>
          </w:pPr>
          <w:r>
            <w:rPr>
              <w:rFonts w:ascii="Times New Roman" w:hAnsi="Times New Roman" w:eastAsia="宋体" w:cs="Times New Roman"/>
            </w:rPr>
            <w:fldChar w:fldCharType="begin"/>
          </w:r>
          <w:r>
            <w:rPr>
              <w:rFonts w:ascii="Times New Roman" w:hAnsi="Times New Roman" w:eastAsia="宋体" w:cs="Times New Roman"/>
            </w:rPr>
            <w:instrText xml:space="preserve"> HYPERLINK \l _Toc27094 </w:instrText>
          </w:r>
          <w:r>
            <w:rPr>
              <w:rFonts w:ascii="Times New Roman" w:hAnsi="Times New Roman" w:eastAsia="宋体" w:cs="Times New Roman"/>
            </w:rPr>
            <w:fldChar w:fldCharType="separate"/>
          </w:r>
          <w:r>
            <w:rPr>
              <w:rFonts w:ascii="Times New Roman" w:hAnsi="Times New Roman" w:eastAsia="黑体" w:cs="Times New Roman"/>
              <w:iCs/>
              <w:kern w:val="0"/>
            </w:rPr>
            <w:t>6.1　一般规定</w:t>
          </w:r>
          <w:r>
            <w:tab/>
          </w:r>
          <w:r>
            <w:fldChar w:fldCharType="begin"/>
          </w:r>
          <w:r>
            <w:instrText xml:space="preserve"> PAGEREF _Toc27094 \h </w:instrText>
          </w:r>
          <w:r>
            <w:fldChar w:fldCharType="separate"/>
          </w:r>
          <w:r>
            <w:t>8</w:t>
          </w:r>
          <w:r>
            <w:fldChar w:fldCharType="end"/>
          </w:r>
          <w:r>
            <w:rPr>
              <w:rFonts w:ascii="Times New Roman" w:hAnsi="Times New Roman" w:eastAsia="宋体" w:cs="Times New Roman"/>
            </w:rPr>
            <w:fldChar w:fldCharType="end"/>
          </w:r>
        </w:p>
        <w:p w14:paraId="6EEB5F76">
          <w:pPr>
            <w:pStyle w:val="12"/>
            <w:tabs>
              <w:tab w:val="right" w:leader="dot" w:pos="8306"/>
            </w:tabs>
          </w:pPr>
          <w:r>
            <w:rPr>
              <w:rFonts w:ascii="Times New Roman" w:hAnsi="Times New Roman" w:eastAsia="宋体" w:cs="Times New Roman"/>
            </w:rPr>
            <w:fldChar w:fldCharType="begin"/>
          </w:r>
          <w:r>
            <w:rPr>
              <w:rFonts w:ascii="Times New Roman" w:hAnsi="Times New Roman" w:eastAsia="宋体" w:cs="Times New Roman"/>
            </w:rPr>
            <w:instrText xml:space="preserve"> HYPERLINK \l _Toc3929 </w:instrText>
          </w:r>
          <w:r>
            <w:rPr>
              <w:rFonts w:ascii="Times New Roman" w:hAnsi="Times New Roman" w:eastAsia="宋体" w:cs="Times New Roman"/>
            </w:rPr>
            <w:fldChar w:fldCharType="separate"/>
          </w:r>
          <w:r>
            <w:rPr>
              <w:rFonts w:ascii="Times New Roman" w:hAnsi="Times New Roman" w:eastAsia="黑体" w:cs="Times New Roman"/>
              <w:iCs/>
              <w:kern w:val="0"/>
            </w:rPr>
            <w:t>6.2　施工条件</w:t>
          </w:r>
          <w:r>
            <w:tab/>
          </w:r>
          <w:r>
            <w:fldChar w:fldCharType="begin"/>
          </w:r>
          <w:r>
            <w:instrText xml:space="preserve"> PAGEREF _Toc3929 \h </w:instrText>
          </w:r>
          <w:r>
            <w:fldChar w:fldCharType="separate"/>
          </w:r>
          <w:r>
            <w:t>8</w:t>
          </w:r>
          <w:r>
            <w:fldChar w:fldCharType="end"/>
          </w:r>
          <w:r>
            <w:rPr>
              <w:rFonts w:ascii="Times New Roman" w:hAnsi="Times New Roman" w:eastAsia="宋体" w:cs="Times New Roman"/>
            </w:rPr>
            <w:fldChar w:fldCharType="end"/>
          </w:r>
        </w:p>
        <w:p w14:paraId="46B76C5B">
          <w:pPr>
            <w:pStyle w:val="12"/>
            <w:tabs>
              <w:tab w:val="right" w:leader="dot" w:pos="8306"/>
            </w:tabs>
            <w:rPr>
              <w:rFonts w:ascii="Times New Roman" w:hAnsi="Times New Roman" w:eastAsia="宋体" w:cs="Times New Roman"/>
            </w:rPr>
          </w:pPr>
          <w:r>
            <w:rPr>
              <w:rFonts w:ascii="Times New Roman" w:hAnsi="Times New Roman" w:eastAsia="宋体" w:cs="Times New Roman"/>
            </w:rPr>
            <w:fldChar w:fldCharType="begin"/>
          </w:r>
          <w:r>
            <w:rPr>
              <w:rFonts w:ascii="Times New Roman" w:hAnsi="Times New Roman" w:eastAsia="宋体" w:cs="Times New Roman"/>
            </w:rPr>
            <w:instrText xml:space="preserve"> HYPERLINK \l _Toc18495 </w:instrText>
          </w:r>
          <w:r>
            <w:rPr>
              <w:rFonts w:ascii="Times New Roman" w:hAnsi="Times New Roman" w:eastAsia="宋体" w:cs="Times New Roman"/>
            </w:rPr>
            <w:fldChar w:fldCharType="separate"/>
          </w:r>
          <w:r>
            <w:rPr>
              <w:rFonts w:ascii="Times New Roman" w:hAnsi="Times New Roman" w:eastAsia="黑体" w:cs="Times New Roman"/>
              <w:iCs/>
              <w:kern w:val="0"/>
            </w:rPr>
            <w:t>6.3　</w:t>
          </w:r>
          <w:r>
            <w:rPr>
              <w:rFonts w:hint="eastAsia" w:ascii="Times New Roman" w:hAnsi="Times New Roman" w:eastAsia="黑体" w:cs="Times New Roman"/>
              <w:iCs/>
              <w:kern w:val="0"/>
            </w:rPr>
            <w:t>基层</w:t>
          </w:r>
          <w:r>
            <w:rPr>
              <w:rFonts w:hint="eastAsia" w:ascii="Times New Roman" w:hAnsi="Times New Roman" w:eastAsia="黑体" w:cs="Times New Roman"/>
              <w:iCs/>
              <w:kern w:val="0"/>
              <w:lang w:val="en-US" w:eastAsia="zh-CN"/>
            </w:rPr>
            <w:t>准备和处理</w:t>
          </w:r>
          <w:r>
            <w:tab/>
          </w:r>
          <w:r>
            <w:fldChar w:fldCharType="begin"/>
          </w:r>
          <w:r>
            <w:instrText xml:space="preserve"> PAGEREF _Toc18495 \h </w:instrText>
          </w:r>
          <w:r>
            <w:fldChar w:fldCharType="separate"/>
          </w:r>
          <w:r>
            <w:t>8</w:t>
          </w:r>
          <w:r>
            <w:fldChar w:fldCharType="end"/>
          </w:r>
          <w:r>
            <w:rPr>
              <w:rFonts w:ascii="Times New Roman" w:hAnsi="Times New Roman" w:eastAsia="宋体" w:cs="Times New Roman"/>
            </w:rPr>
            <w:fldChar w:fldCharType="end"/>
          </w:r>
        </w:p>
        <w:p w14:paraId="089EF953">
          <w:pPr>
            <w:pStyle w:val="12"/>
            <w:tabs>
              <w:tab w:val="right" w:leader="dot" w:pos="8306"/>
            </w:tabs>
          </w:pPr>
          <w:r>
            <w:rPr>
              <w:rFonts w:ascii="Times New Roman" w:hAnsi="Times New Roman" w:eastAsia="宋体" w:cs="Times New Roman"/>
            </w:rPr>
            <w:fldChar w:fldCharType="begin"/>
          </w:r>
          <w:r>
            <w:rPr>
              <w:rFonts w:ascii="Times New Roman" w:hAnsi="Times New Roman" w:eastAsia="宋体" w:cs="Times New Roman"/>
            </w:rPr>
            <w:instrText xml:space="preserve"> HYPERLINK \l _Toc18495 </w:instrText>
          </w:r>
          <w:r>
            <w:rPr>
              <w:rFonts w:ascii="Times New Roman" w:hAnsi="Times New Roman" w:eastAsia="宋体" w:cs="Times New Roman"/>
            </w:rPr>
            <w:fldChar w:fldCharType="separate"/>
          </w:r>
          <w:r>
            <w:rPr>
              <w:rFonts w:ascii="Times New Roman" w:hAnsi="Times New Roman" w:eastAsia="黑体" w:cs="Times New Roman"/>
              <w:iCs/>
              <w:kern w:val="0"/>
            </w:rPr>
            <w:t>6.</w:t>
          </w:r>
          <w:r>
            <w:rPr>
              <w:rFonts w:hint="eastAsia" w:ascii="Times New Roman" w:hAnsi="Times New Roman" w:eastAsia="黑体" w:cs="Times New Roman"/>
              <w:iCs/>
              <w:kern w:val="0"/>
              <w:lang w:val="en-US" w:eastAsia="zh-CN"/>
            </w:rPr>
            <w:t>4</w:t>
          </w:r>
          <w:r>
            <w:rPr>
              <w:rFonts w:ascii="Times New Roman" w:hAnsi="Times New Roman" w:eastAsia="黑体" w:cs="Times New Roman"/>
              <w:iCs/>
              <w:kern w:val="0"/>
            </w:rPr>
            <w:t>　</w:t>
          </w:r>
          <w:r>
            <w:rPr>
              <w:rFonts w:hint="eastAsia" w:ascii="Times New Roman" w:hAnsi="Times New Roman" w:eastAsia="黑体" w:cs="Times New Roman"/>
              <w:iCs/>
              <w:kern w:val="0"/>
              <w:lang w:val="en-US" w:eastAsia="zh-CN"/>
            </w:rPr>
            <w:t>耐磨材料施工</w:t>
          </w:r>
          <w:r>
            <w:tab/>
          </w:r>
          <w:r>
            <w:fldChar w:fldCharType="begin"/>
          </w:r>
          <w:r>
            <w:instrText xml:space="preserve"> PAGEREF _Toc18495 \h </w:instrText>
          </w:r>
          <w:r>
            <w:fldChar w:fldCharType="separate"/>
          </w:r>
          <w:r>
            <w:t>8</w:t>
          </w:r>
          <w:r>
            <w:fldChar w:fldCharType="end"/>
          </w:r>
          <w:r>
            <w:rPr>
              <w:rFonts w:ascii="Times New Roman" w:hAnsi="Times New Roman" w:eastAsia="宋体" w:cs="Times New Roman"/>
            </w:rPr>
            <w:fldChar w:fldCharType="end"/>
          </w:r>
        </w:p>
        <w:p w14:paraId="74A68410">
          <w:pPr>
            <w:pStyle w:val="12"/>
            <w:tabs>
              <w:tab w:val="right" w:leader="dot" w:pos="8306"/>
            </w:tabs>
          </w:pPr>
          <w:r>
            <w:rPr>
              <w:rFonts w:ascii="Times New Roman" w:hAnsi="Times New Roman" w:eastAsia="宋体" w:cs="Times New Roman"/>
            </w:rPr>
            <w:fldChar w:fldCharType="begin"/>
          </w:r>
          <w:r>
            <w:rPr>
              <w:rFonts w:ascii="Times New Roman" w:hAnsi="Times New Roman" w:eastAsia="宋体" w:cs="Times New Roman"/>
            </w:rPr>
            <w:instrText xml:space="preserve"> HYPERLINK \l _Toc21549 </w:instrText>
          </w:r>
          <w:r>
            <w:rPr>
              <w:rFonts w:ascii="Times New Roman" w:hAnsi="Times New Roman" w:eastAsia="宋体" w:cs="Times New Roman"/>
            </w:rPr>
            <w:fldChar w:fldCharType="separate"/>
          </w:r>
          <w:r>
            <w:rPr>
              <w:rFonts w:ascii="Times New Roman" w:hAnsi="Times New Roman" w:eastAsia="黑体" w:cs="Times New Roman"/>
              <w:iCs/>
              <w:kern w:val="0"/>
            </w:rPr>
            <w:t>6.5　渗透型液体硬化</w:t>
          </w:r>
          <w:r>
            <w:rPr>
              <w:rFonts w:hint="eastAsia" w:ascii="Times New Roman" w:hAnsi="Times New Roman" w:eastAsia="黑体" w:cs="Times New Roman"/>
              <w:iCs/>
              <w:kern w:val="0"/>
              <w:lang w:val="en-US" w:eastAsia="zh-CN"/>
            </w:rPr>
            <w:t>剂施工</w:t>
          </w:r>
          <w:r>
            <w:tab/>
          </w:r>
          <w:r>
            <w:fldChar w:fldCharType="begin"/>
          </w:r>
          <w:r>
            <w:instrText xml:space="preserve"> PAGEREF _Toc21549 \h </w:instrText>
          </w:r>
          <w:r>
            <w:fldChar w:fldCharType="separate"/>
          </w:r>
          <w:r>
            <w:t>10</w:t>
          </w:r>
          <w:r>
            <w:fldChar w:fldCharType="end"/>
          </w:r>
          <w:r>
            <w:rPr>
              <w:rFonts w:ascii="Times New Roman" w:hAnsi="Times New Roman" w:eastAsia="宋体" w:cs="Times New Roman"/>
            </w:rPr>
            <w:fldChar w:fldCharType="end"/>
          </w:r>
        </w:p>
        <w:p w14:paraId="36092495">
          <w:pPr>
            <w:pStyle w:val="11"/>
            <w:tabs>
              <w:tab w:val="right" w:leader="dot" w:pos="8306"/>
            </w:tabs>
          </w:pPr>
          <w:r>
            <w:rPr>
              <w:rFonts w:ascii="Times New Roman" w:hAnsi="Times New Roman" w:eastAsia="宋体" w:cs="Times New Roman"/>
            </w:rPr>
            <w:fldChar w:fldCharType="begin"/>
          </w:r>
          <w:r>
            <w:rPr>
              <w:rFonts w:ascii="Times New Roman" w:hAnsi="Times New Roman" w:eastAsia="宋体" w:cs="Times New Roman"/>
            </w:rPr>
            <w:instrText xml:space="preserve"> HYPERLINK \l _Toc13236 </w:instrText>
          </w:r>
          <w:r>
            <w:rPr>
              <w:rFonts w:ascii="Times New Roman" w:hAnsi="Times New Roman" w:eastAsia="宋体" w:cs="Times New Roman"/>
            </w:rPr>
            <w:fldChar w:fldCharType="separate"/>
          </w:r>
          <w:r>
            <w:rPr>
              <w:rFonts w:ascii="Times New Roman" w:hAnsi="Times New Roman" w:eastAsia="宋体" w:cs="Times New Roman"/>
              <w:szCs w:val="28"/>
              <w:lang w:val="zh-CN"/>
            </w:rPr>
            <w:t>7　验　　收</w:t>
          </w:r>
          <w:r>
            <w:tab/>
          </w:r>
          <w:r>
            <w:fldChar w:fldCharType="begin"/>
          </w:r>
          <w:r>
            <w:instrText xml:space="preserve"> PAGEREF _Toc13236 \h </w:instrText>
          </w:r>
          <w:r>
            <w:fldChar w:fldCharType="separate"/>
          </w:r>
          <w:r>
            <w:t>11</w:t>
          </w:r>
          <w:r>
            <w:fldChar w:fldCharType="end"/>
          </w:r>
          <w:r>
            <w:rPr>
              <w:rFonts w:ascii="Times New Roman" w:hAnsi="Times New Roman" w:eastAsia="宋体" w:cs="Times New Roman"/>
            </w:rPr>
            <w:fldChar w:fldCharType="end"/>
          </w:r>
        </w:p>
        <w:p w14:paraId="37537FE5">
          <w:pPr>
            <w:pStyle w:val="12"/>
            <w:tabs>
              <w:tab w:val="right" w:leader="dot" w:pos="8306"/>
            </w:tabs>
          </w:pPr>
          <w:r>
            <w:rPr>
              <w:rFonts w:ascii="Times New Roman" w:hAnsi="Times New Roman" w:eastAsia="宋体" w:cs="Times New Roman"/>
            </w:rPr>
            <w:fldChar w:fldCharType="begin"/>
          </w:r>
          <w:r>
            <w:rPr>
              <w:rFonts w:ascii="Times New Roman" w:hAnsi="Times New Roman" w:eastAsia="宋体" w:cs="Times New Roman"/>
            </w:rPr>
            <w:instrText xml:space="preserve"> HYPERLINK \l _Toc21918 </w:instrText>
          </w:r>
          <w:r>
            <w:rPr>
              <w:rFonts w:ascii="Times New Roman" w:hAnsi="Times New Roman" w:eastAsia="宋体" w:cs="Times New Roman"/>
            </w:rPr>
            <w:fldChar w:fldCharType="separate"/>
          </w:r>
          <w:r>
            <w:rPr>
              <w:rFonts w:ascii="Times New Roman" w:hAnsi="Times New Roman" w:eastAsia="黑体" w:cs="Times New Roman"/>
              <w:iCs/>
              <w:kern w:val="0"/>
            </w:rPr>
            <w:t>7.1　</w:t>
          </w:r>
          <w:r>
            <w:rPr>
              <w:rFonts w:hint="eastAsia" w:ascii="Times New Roman" w:hAnsi="Times New Roman" w:eastAsia="黑体" w:cs="Times New Roman"/>
              <w:iCs/>
              <w:kern w:val="0"/>
            </w:rPr>
            <w:t>一般规定</w:t>
          </w:r>
          <w:r>
            <w:tab/>
          </w:r>
          <w:r>
            <w:fldChar w:fldCharType="begin"/>
          </w:r>
          <w:r>
            <w:instrText xml:space="preserve"> PAGEREF _Toc21918 \h </w:instrText>
          </w:r>
          <w:r>
            <w:fldChar w:fldCharType="separate"/>
          </w:r>
          <w:r>
            <w:t>11</w:t>
          </w:r>
          <w:r>
            <w:fldChar w:fldCharType="end"/>
          </w:r>
          <w:r>
            <w:rPr>
              <w:rFonts w:ascii="Times New Roman" w:hAnsi="Times New Roman" w:eastAsia="宋体" w:cs="Times New Roman"/>
            </w:rPr>
            <w:fldChar w:fldCharType="end"/>
          </w:r>
        </w:p>
        <w:p w14:paraId="170C1693">
          <w:pPr>
            <w:pStyle w:val="12"/>
            <w:tabs>
              <w:tab w:val="right" w:leader="dot" w:pos="8306"/>
            </w:tabs>
          </w:pPr>
          <w:r>
            <w:rPr>
              <w:rFonts w:ascii="Times New Roman" w:hAnsi="Times New Roman" w:eastAsia="宋体" w:cs="Times New Roman"/>
            </w:rPr>
            <w:fldChar w:fldCharType="begin"/>
          </w:r>
          <w:r>
            <w:rPr>
              <w:rFonts w:ascii="Times New Roman" w:hAnsi="Times New Roman" w:eastAsia="宋体" w:cs="Times New Roman"/>
            </w:rPr>
            <w:instrText xml:space="preserve"> HYPERLINK \l _Toc3854 </w:instrText>
          </w:r>
          <w:r>
            <w:rPr>
              <w:rFonts w:ascii="Times New Roman" w:hAnsi="Times New Roman" w:eastAsia="宋体" w:cs="Times New Roman"/>
            </w:rPr>
            <w:fldChar w:fldCharType="separate"/>
          </w:r>
          <w:r>
            <w:rPr>
              <w:rFonts w:ascii="Times New Roman" w:hAnsi="Times New Roman" w:eastAsia="黑体" w:cs="Times New Roman"/>
              <w:iCs/>
              <w:kern w:val="0"/>
            </w:rPr>
            <w:t>7.2　</w:t>
          </w:r>
          <w:r>
            <w:rPr>
              <w:rFonts w:hint="eastAsia" w:ascii="Times New Roman" w:hAnsi="Times New Roman" w:eastAsia="黑体" w:cs="Times New Roman"/>
              <w:iCs/>
              <w:kern w:val="0"/>
            </w:rPr>
            <w:t>材料</w:t>
          </w:r>
          <w:r>
            <w:rPr>
              <w:rFonts w:hint="eastAsia" w:ascii="Times New Roman" w:hAnsi="Times New Roman" w:eastAsia="黑体" w:cs="Times New Roman"/>
              <w:iCs/>
              <w:kern w:val="0"/>
              <w:lang w:val="en-US" w:eastAsia="zh-CN"/>
            </w:rPr>
            <w:t>复验</w:t>
          </w:r>
          <w:r>
            <w:tab/>
          </w:r>
          <w:r>
            <w:fldChar w:fldCharType="begin"/>
          </w:r>
          <w:r>
            <w:instrText xml:space="preserve"> PAGEREF _Toc3854 \h </w:instrText>
          </w:r>
          <w:r>
            <w:fldChar w:fldCharType="separate"/>
          </w:r>
          <w:r>
            <w:t>12</w:t>
          </w:r>
          <w:r>
            <w:fldChar w:fldCharType="end"/>
          </w:r>
          <w:r>
            <w:rPr>
              <w:rFonts w:ascii="Times New Roman" w:hAnsi="Times New Roman" w:eastAsia="宋体" w:cs="Times New Roman"/>
            </w:rPr>
            <w:fldChar w:fldCharType="end"/>
          </w:r>
        </w:p>
        <w:p w14:paraId="5DE7E278">
          <w:pPr>
            <w:pStyle w:val="12"/>
            <w:tabs>
              <w:tab w:val="right" w:leader="dot" w:pos="8306"/>
            </w:tabs>
          </w:pPr>
          <w:r>
            <w:rPr>
              <w:rFonts w:ascii="Times New Roman" w:hAnsi="Times New Roman" w:eastAsia="宋体" w:cs="Times New Roman"/>
            </w:rPr>
            <w:fldChar w:fldCharType="begin"/>
          </w:r>
          <w:r>
            <w:rPr>
              <w:rFonts w:ascii="Times New Roman" w:hAnsi="Times New Roman" w:eastAsia="宋体" w:cs="Times New Roman"/>
            </w:rPr>
            <w:instrText xml:space="preserve"> HYPERLINK \l _Toc8993 </w:instrText>
          </w:r>
          <w:r>
            <w:rPr>
              <w:rFonts w:ascii="Times New Roman" w:hAnsi="Times New Roman" w:eastAsia="宋体" w:cs="Times New Roman"/>
            </w:rPr>
            <w:fldChar w:fldCharType="separate"/>
          </w:r>
          <w:r>
            <w:rPr>
              <w:rFonts w:ascii="Times New Roman" w:hAnsi="Times New Roman" w:eastAsia="黑体" w:cs="Times New Roman"/>
              <w:iCs/>
              <w:kern w:val="0"/>
            </w:rPr>
            <w:t>7.3　</w:t>
          </w:r>
          <w:r>
            <w:rPr>
              <w:rFonts w:hint="eastAsia" w:ascii="Times New Roman" w:hAnsi="Times New Roman" w:eastAsia="黑体" w:cs="Times New Roman"/>
              <w:iCs/>
              <w:kern w:val="0"/>
            </w:rPr>
            <w:t>主控项目</w:t>
          </w:r>
          <w:r>
            <w:tab/>
          </w:r>
          <w:r>
            <w:fldChar w:fldCharType="begin"/>
          </w:r>
          <w:r>
            <w:instrText xml:space="preserve"> PAGEREF _Toc8993 \h </w:instrText>
          </w:r>
          <w:r>
            <w:fldChar w:fldCharType="separate"/>
          </w:r>
          <w:r>
            <w:t>12</w:t>
          </w:r>
          <w:r>
            <w:fldChar w:fldCharType="end"/>
          </w:r>
          <w:r>
            <w:rPr>
              <w:rFonts w:ascii="Times New Roman" w:hAnsi="Times New Roman" w:eastAsia="宋体" w:cs="Times New Roman"/>
            </w:rPr>
            <w:fldChar w:fldCharType="end"/>
          </w:r>
        </w:p>
        <w:p w14:paraId="64FB019D">
          <w:pPr>
            <w:pStyle w:val="12"/>
            <w:tabs>
              <w:tab w:val="right" w:leader="dot" w:pos="8306"/>
            </w:tabs>
          </w:pPr>
          <w:r>
            <w:rPr>
              <w:rFonts w:ascii="Times New Roman" w:hAnsi="Times New Roman" w:eastAsia="宋体" w:cs="Times New Roman"/>
            </w:rPr>
            <w:fldChar w:fldCharType="begin"/>
          </w:r>
          <w:r>
            <w:rPr>
              <w:rFonts w:ascii="Times New Roman" w:hAnsi="Times New Roman" w:eastAsia="宋体" w:cs="Times New Roman"/>
            </w:rPr>
            <w:instrText xml:space="preserve"> HYPERLINK \l _Toc3053 </w:instrText>
          </w:r>
          <w:r>
            <w:rPr>
              <w:rFonts w:ascii="Times New Roman" w:hAnsi="Times New Roman" w:eastAsia="宋体" w:cs="Times New Roman"/>
            </w:rPr>
            <w:fldChar w:fldCharType="separate"/>
          </w:r>
          <w:r>
            <w:rPr>
              <w:rFonts w:ascii="Times New Roman" w:hAnsi="Times New Roman" w:eastAsia="黑体" w:cs="Times New Roman"/>
              <w:iCs/>
              <w:kern w:val="0"/>
            </w:rPr>
            <w:t>7.4　</w:t>
          </w:r>
          <w:r>
            <w:rPr>
              <w:rFonts w:hint="eastAsia" w:ascii="Times New Roman" w:hAnsi="Times New Roman" w:eastAsia="黑体" w:cs="Times New Roman"/>
              <w:iCs/>
              <w:kern w:val="0"/>
            </w:rPr>
            <w:t>一般项目</w:t>
          </w:r>
          <w:r>
            <w:tab/>
          </w:r>
          <w:r>
            <w:fldChar w:fldCharType="begin"/>
          </w:r>
          <w:r>
            <w:instrText xml:space="preserve"> PAGEREF _Toc3053 \h </w:instrText>
          </w:r>
          <w:r>
            <w:fldChar w:fldCharType="separate"/>
          </w:r>
          <w:r>
            <w:t>12</w:t>
          </w:r>
          <w:r>
            <w:fldChar w:fldCharType="end"/>
          </w:r>
          <w:r>
            <w:rPr>
              <w:rFonts w:ascii="Times New Roman" w:hAnsi="Times New Roman" w:eastAsia="宋体" w:cs="Times New Roman"/>
            </w:rPr>
            <w:fldChar w:fldCharType="end"/>
          </w:r>
        </w:p>
        <w:p w14:paraId="3A3A21E0">
          <w:pPr>
            <w:pStyle w:val="11"/>
            <w:tabs>
              <w:tab w:val="right" w:leader="dot" w:pos="8306"/>
            </w:tabs>
          </w:pPr>
          <w:r>
            <w:rPr>
              <w:rFonts w:ascii="Times New Roman" w:hAnsi="Times New Roman" w:eastAsia="宋体" w:cs="Times New Roman"/>
            </w:rPr>
            <w:fldChar w:fldCharType="begin"/>
          </w:r>
          <w:r>
            <w:rPr>
              <w:rFonts w:ascii="Times New Roman" w:hAnsi="Times New Roman" w:eastAsia="宋体" w:cs="Times New Roman"/>
            </w:rPr>
            <w:instrText xml:space="preserve"> HYPERLINK \l _Toc28652 </w:instrText>
          </w:r>
          <w:r>
            <w:rPr>
              <w:rFonts w:ascii="Times New Roman" w:hAnsi="Times New Roman" w:eastAsia="宋体" w:cs="Times New Roman"/>
            </w:rPr>
            <w:fldChar w:fldCharType="separate"/>
          </w:r>
          <w:r>
            <w:rPr>
              <w:rFonts w:hint="eastAsia" w:ascii="Times New Roman" w:hAnsi="Times New Roman" w:eastAsia="宋体" w:cs="Times New Roman"/>
              <w:szCs w:val="28"/>
              <w:lang w:val="zh-CN"/>
            </w:rPr>
            <w:t>附录A 渗透型液体硬化剂锂元素含量测试方法</w:t>
          </w:r>
          <w:r>
            <w:tab/>
          </w:r>
          <w:r>
            <w:fldChar w:fldCharType="begin"/>
          </w:r>
          <w:r>
            <w:instrText xml:space="preserve"> PAGEREF _Toc28652 \h </w:instrText>
          </w:r>
          <w:r>
            <w:fldChar w:fldCharType="separate"/>
          </w:r>
          <w:r>
            <w:t>13</w:t>
          </w:r>
          <w:r>
            <w:fldChar w:fldCharType="end"/>
          </w:r>
          <w:r>
            <w:rPr>
              <w:rFonts w:ascii="Times New Roman" w:hAnsi="Times New Roman" w:eastAsia="宋体" w:cs="Times New Roman"/>
            </w:rPr>
            <w:fldChar w:fldCharType="end"/>
          </w:r>
        </w:p>
        <w:p w14:paraId="4BE33AAD">
          <w:pPr>
            <w:pStyle w:val="11"/>
            <w:tabs>
              <w:tab w:val="right" w:leader="dot" w:pos="8306"/>
            </w:tabs>
          </w:pPr>
          <w:r>
            <w:rPr>
              <w:rFonts w:ascii="Times New Roman" w:hAnsi="Times New Roman" w:eastAsia="宋体" w:cs="Times New Roman"/>
            </w:rPr>
            <w:fldChar w:fldCharType="begin"/>
          </w:r>
          <w:r>
            <w:rPr>
              <w:rFonts w:ascii="Times New Roman" w:hAnsi="Times New Roman" w:eastAsia="宋体" w:cs="Times New Roman"/>
            </w:rPr>
            <w:instrText xml:space="preserve"> HYPERLINK \l _Toc122 </w:instrText>
          </w:r>
          <w:r>
            <w:rPr>
              <w:rFonts w:ascii="Times New Roman" w:hAnsi="Times New Roman" w:eastAsia="宋体" w:cs="Times New Roman"/>
            </w:rPr>
            <w:fldChar w:fldCharType="separate"/>
          </w:r>
          <w:r>
            <w:rPr>
              <w:rFonts w:ascii="Times New Roman" w:hAnsi="Times New Roman" w:eastAsia="宋体" w:cs="Times New Roman"/>
              <w:szCs w:val="28"/>
              <w:lang w:val="zh-CN"/>
            </w:rPr>
            <w:t>用词说明</w:t>
          </w:r>
          <w:r>
            <w:tab/>
          </w:r>
          <w:r>
            <w:fldChar w:fldCharType="begin"/>
          </w:r>
          <w:r>
            <w:instrText xml:space="preserve"> PAGEREF _Toc122 \h </w:instrText>
          </w:r>
          <w:r>
            <w:fldChar w:fldCharType="separate"/>
          </w:r>
          <w:r>
            <w:t>15</w:t>
          </w:r>
          <w:r>
            <w:fldChar w:fldCharType="end"/>
          </w:r>
          <w:r>
            <w:rPr>
              <w:rFonts w:ascii="Times New Roman" w:hAnsi="Times New Roman" w:eastAsia="宋体" w:cs="Times New Roman"/>
            </w:rPr>
            <w:fldChar w:fldCharType="end"/>
          </w:r>
        </w:p>
        <w:p w14:paraId="79A80C14">
          <w:pPr>
            <w:pStyle w:val="11"/>
            <w:tabs>
              <w:tab w:val="right" w:leader="dot" w:pos="8306"/>
            </w:tabs>
          </w:pPr>
          <w:r>
            <w:rPr>
              <w:rFonts w:ascii="Times New Roman" w:hAnsi="Times New Roman" w:eastAsia="宋体" w:cs="Times New Roman"/>
            </w:rPr>
            <w:fldChar w:fldCharType="begin"/>
          </w:r>
          <w:r>
            <w:rPr>
              <w:rFonts w:ascii="Times New Roman" w:hAnsi="Times New Roman" w:eastAsia="宋体" w:cs="Times New Roman"/>
            </w:rPr>
            <w:instrText xml:space="preserve"> HYPERLINK \l _Toc4642 </w:instrText>
          </w:r>
          <w:r>
            <w:rPr>
              <w:rFonts w:ascii="Times New Roman" w:hAnsi="Times New Roman" w:eastAsia="宋体" w:cs="Times New Roman"/>
            </w:rPr>
            <w:fldChar w:fldCharType="separate"/>
          </w:r>
          <w:r>
            <w:rPr>
              <w:rFonts w:ascii="Times New Roman" w:hAnsi="Times New Roman" w:eastAsia="宋体" w:cs="Times New Roman"/>
              <w:szCs w:val="28"/>
              <w:lang w:val="zh-CN"/>
            </w:rPr>
            <w:t>引用标准名录</w:t>
          </w:r>
          <w:r>
            <w:tab/>
          </w:r>
          <w:r>
            <w:fldChar w:fldCharType="begin"/>
          </w:r>
          <w:r>
            <w:instrText xml:space="preserve"> PAGEREF _Toc4642 \h </w:instrText>
          </w:r>
          <w:r>
            <w:fldChar w:fldCharType="separate"/>
          </w:r>
          <w:r>
            <w:t>16</w:t>
          </w:r>
          <w:r>
            <w:fldChar w:fldCharType="end"/>
          </w:r>
          <w:r>
            <w:rPr>
              <w:rFonts w:ascii="Times New Roman" w:hAnsi="Times New Roman" w:eastAsia="宋体" w:cs="Times New Roman"/>
            </w:rPr>
            <w:fldChar w:fldCharType="end"/>
          </w:r>
        </w:p>
        <w:p w14:paraId="11EB09B9">
          <w:pPr>
            <w:pStyle w:val="12"/>
            <w:tabs>
              <w:tab w:val="right" w:leader="dot" w:pos="8306"/>
            </w:tabs>
          </w:pPr>
        </w:p>
        <w:p w14:paraId="03478B57">
          <w:pPr>
            <w:pStyle w:val="11"/>
            <w:tabs>
              <w:tab w:val="right" w:leader="dot" w:pos="8296"/>
            </w:tabs>
            <w:rPr>
              <w:rStyle w:val="21"/>
              <w:rFonts w:ascii="Times New Roman" w:hAnsi="Times New Roman" w:cs="Times New Roman"/>
              <w:sz w:val="24"/>
              <w:lang w:val="zh-CN"/>
            </w:rPr>
          </w:pPr>
          <w:r>
            <w:rPr>
              <w:rStyle w:val="21"/>
              <w:rFonts w:ascii="Times New Roman" w:hAnsi="Times New Roman" w:eastAsia="宋体" w:cs="Times New Roman"/>
              <w:sz w:val="24"/>
            </w:rPr>
            <w:fldChar w:fldCharType="end"/>
          </w:r>
        </w:p>
      </w:sdtContent>
    </w:sdt>
    <w:p w14:paraId="5F443BDA">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sectPr>
          <w:headerReference r:id="rId5"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sdt>
      <w:sdtPr>
        <w:rPr>
          <w:rFonts w:ascii="Times New Roman" w:hAnsi="Times New Roman" w:cs="Times New Roman"/>
          <w:color w:val="000000" w:themeColor="text1"/>
          <w:lang w:val="zh-CN"/>
          <w14:textFill>
            <w14:solidFill>
              <w14:schemeClr w14:val="tx1"/>
            </w14:solidFill>
          </w14:textFill>
        </w:rPr>
        <w:id w:val="-1786487964"/>
        <w:docPartObj>
          <w:docPartGallery w:val="Table of Contents"/>
          <w:docPartUnique/>
        </w:docPartObj>
      </w:sdtPr>
      <w:sdtEndPr>
        <w:rPr>
          <w:rFonts w:ascii="Times New Roman" w:hAnsi="Times New Roman" w:cs="Times New Roman"/>
          <w:b/>
          <w:bCs/>
          <w:color w:val="000000" w:themeColor="text1"/>
          <w:lang w:val="zh-CN"/>
          <w14:textFill>
            <w14:solidFill>
              <w14:schemeClr w14:val="tx1"/>
            </w14:solidFill>
          </w14:textFill>
        </w:rPr>
      </w:sdtEndPr>
      <w:sdtContent>
        <w:p w14:paraId="08762605">
          <w:pPr>
            <w:snapToGrid w:val="0"/>
            <w:spacing w:line="312" w:lineRule="auto"/>
            <w:jc w:val="center"/>
            <w:rPr>
              <w:rFonts w:ascii="Times New Roman" w:hAnsi="Times New Roman" w:eastAsia="宋体" w:cs="Times New Roman"/>
              <w:b/>
              <w:color w:val="000000" w:themeColor="text1"/>
              <w:sz w:val="32"/>
              <w:szCs w:val="32"/>
              <w:lang w:val="zh-CN"/>
              <w14:textFill>
                <w14:solidFill>
                  <w14:schemeClr w14:val="tx1"/>
                </w14:solidFill>
              </w14:textFill>
            </w:rPr>
          </w:pPr>
          <w:r>
            <w:rPr>
              <w:rFonts w:ascii="Times New Roman" w:hAnsi="Times New Roman" w:eastAsia="宋体" w:cs="Times New Roman"/>
              <w:b/>
              <w:color w:val="000000" w:themeColor="text1"/>
              <w:sz w:val="32"/>
              <w:szCs w:val="32"/>
              <w:lang w:val="zh-CN"/>
              <w14:textFill>
                <w14:solidFill>
                  <w14:schemeClr w14:val="tx1"/>
                </w14:solidFill>
              </w14:textFill>
            </w:rPr>
            <w:t>Contents</w:t>
          </w:r>
        </w:p>
        <w:p w14:paraId="0EEF2D32">
          <w:pPr>
            <w:pStyle w:val="11"/>
            <w:tabs>
              <w:tab w:val="right" w:leader="dot" w:pos="8296"/>
            </w:tabs>
            <w:snapToGrid w:val="0"/>
            <w:spacing w:line="312" w:lineRule="auto"/>
            <w:rPr>
              <w:rFonts w:ascii="Times New Roman" w:hAnsi="Times New Roman" w:cs="Times New Roman"/>
              <w:color w:val="000000" w:themeColor="text1"/>
              <w:lang w:val="zh-CN"/>
              <w14:textFill>
                <w14:solidFill>
                  <w14:schemeClr w14:val="tx1"/>
                </w14:solidFill>
              </w14:textFill>
            </w:rPr>
          </w:pPr>
        </w:p>
        <w:p w14:paraId="353A27EE">
          <w:pPr>
            <w:pStyle w:val="11"/>
            <w:tabs>
              <w:tab w:val="right" w:leader="dot" w:pos="8296"/>
            </w:tabs>
            <w:snapToGrid w:val="0"/>
            <w:spacing w:line="288"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fldChar w:fldCharType="begin"/>
          </w:r>
          <w:r>
            <w:rPr>
              <w:rFonts w:ascii="Times New Roman" w:hAnsi="Times New Roman" w:cs="Times New Roman"/>
              <w:color w:val="000000" w:themeColor="text1"/>
              <w:sz w:val="24"/>
              <w14:textFill>
                <w14:solidFill>
                  <w14:schemeClr w14:val="tx1"/>
                </w14:solidFill>
              </w14:textFill>
            </w:rPr>
            <w:instrText xml:space="preserve"> TOC \o "1-3" \h \z \u </w:instrText>
          </w:r>
          <w:r>
            <w:rPr>
              <w:rFonts w:ascii="Times New Roman" w:hAnsi="Times New Roman" w:cs="Times New Roman"/>
              <w:color w:val="000000" w:themeColor="text1"/>
              <w:sz w:val="24"/>
              <w14:textFill>
                <w14:solidFill>
                  <w14:schemeClr w14:val="tx1"/>
                </w14:solidFill>
              </w14:textFill>
            </w:rPr>
            <w:fldChar w:fldCharType="separate"/>
          </w:r>
          <w:r>
            <w:fldChar w:fldCharType="begin"/>
          </w:r>
          <w:r>
            <w:instrText xml:space="preserve"> HYPERLINK \l "_Toc524941232" </w:instrText>
          </w:r>
          <w:r>
            <w:fldChar w:fldCharType="separate"/>
          </w:r>
          <w:r>
            <w:rPr>
              <w:rStyle w:val="21"/>
              <w:rFonts w:ascii="Times New Roman" w:hAnsi="Times New Roman" w:cs="Times New Roman"/>
              <w:color w:val="000000" w:themeColor="text1"/>
              <w:sz w:val="24"/>
              <w:lang w:val="zh-CN"/>
              <w14:textFill>
                <w14:solidFill>
                  <w14:schemeClr w14:val="tx1"/>
                </w14:solidFill>
              </w14:textFill>
            </w:rPr>
            <w:t>1　</w:t>
          </w:r>
          <w:r>
            <w:rPr>
              <w:rFonts w:ascii="Times New Roman" w:hAnsi="Times New Roman" w:cs="Times New Roman"/>
              <w:color w:val="000000" w:themeColor="text1"/>
              <w:sz w:val="24"/>
              <w14:textFill>
                <w14:solidFill>
                  <w14:schemeClr w14:val="tx1"/>
                </w14:solidFill>
              </w14:textFill>
            </w:rPr>
            <w:t>General provisions</w:t>
          </w:r>
          <w:r>
            <w:rPr>
              <w:rFonts w:ascii="Times New Roman" w:hAnsi="Times New Roman" w:cs="Times New Roman"/>
              <w:color w:val="000000" w:themeColor="text1"/>
              <w:sz w:val="24"/>
              <w14:textFill>
                <w14:solidFill>
                  <w14:schemeClr w14:val="tx1"/>
                </w14:solidFill>
              </w14:textFill>
            </w:rPr>
            <w:tab/>
          </w:r>
          <w:r>
            <w:rPr>
              <w:rFonts w:ascii="Times New Roman" w:hAnsi="Times New Roman" w:cs="Times New Roman"/>
              <w:color w:val="000000" w:themeColor="text1"/>
              <w:sz w:val="24"/>
              <w14:textFill>
                <w14:solidFill>
                  <w14:schemeClr w14:val="tx1"/>
                </w14:solidFill>
              </w14:textFill>
            </w:rPr>
            <w:fldChar w:fldCharType="end"/>
          </w:r>
          <w:r>
            <w:rPr>
              <w:rFonts w:ascii="Times New Roman" w:hAnsi="Times New Roman" w:cs="Times New Roman"/>
              <w:color w:val="000000" w:themeColor="text1"/>
              <w:sz w:val="24"/>
              <w14:textFill>
                <w14:solidFill>
                  <w14:schemeClr w14:val="tx1"/>
                </w14:solidFill>
              </w14:textFill>
            </w:rPr>
            <w:t>1</w:t>
          </w:r>
        </w:p>
        <w:p w14:paraId="6F6504AB">
          <w:pPr>
            <w:pStyle w:val="11"/>
            <w:tabs>
              <w:tab w:val="right" w:leader="dot" w:pos="8296"/>
            </w:tabs>
            <w:snapToGrid w:val="0"/>
            <w:spacing w:line="288" w:lineRule="auto"/>
            <w:rPr>
              <w:rFonts w:ascii="Times New Roman" w:hAnsi="Times New Roman" w:cs="Times New Roman"/>
              <w:color w:val="000000" w:themeColor="text1"/>
              <w:sz w:val="24"/>
              <w14:textFill>
                <w14:solidFill>
                  <w14:schemeClr w14:val="tx1"/>
                </w14:solidFill>
              </w14:textFill>
            </w:rPr>
          </w:pPr>
          <w:r>
            <w:fldChar w:fldCharType="begin"/>
          </w:r>
          <w:r>
            <w:instrText xml:space="preserve"> HYPERLINK \l "_Toc524941233" </w:instrText>
          </w:r>
          <w:r>
            <w:fldChar w:fldCharType="separate"/>
          </w:r>
          <w:r>
            <w:rPr>
              <w:rStyle w:val="21"/>
              <w:rFonts w:ascii="Times New Roman" w:hAnsi="Times New Roman" w:cs="Times New Roman"/>
              <w:color w:val="000000" w:themeColor="text1"/>
              <w:sz w:val="24"/>
              <w14:textFill>
                <w14:solidFill>
                  <w14:schemeClr w14:val="tx1"/>
                </w14:solidFill>
              </w14:textFill>
            </w:rPr>
            <w:t>2　</w:t>
          </w:r>
          <w:r>
            <w:rPr>
              <w:rFonts w:ascii="Times New Roman" w:hAnsi="Times New Roman" w:cs="Times New Roman"/>
              <w:color w:val="000000" w:themeColor="text1"/>
              <w:sz w:val="24"/>
              <w14:textFill>
                <w14:solidFill>
                  <w14:schemeClr w14:val="tx1"/>
                </w14:solidFill>
              </w14:textFill>
            </w:rPr>
            <w:t xml:space="preserve">Terms </w:t>
          </w:r>
          <w:r>
            <w:rPr>
              <w:rFonts w:ascii="Times New Roman" w:hAnsi="Times New Roman" w:cs="Times New Roman"/>
              <w:color w:val="000000" w:themeColor="text1"/>
              <w:sz w:val="24"/>
              <w14:textFill>
                <w14:solidFill>
                  <w14:schemeClr w14:val="tx1"/>
                </w14:solidFill>
              </w14:textFill>
            </w:rPr>
            <w:tab/>
          </w:r>
          <w:r>
            <w:rPr>
              <w:rFonts w:ascii="Times New Roman" w:hAnsi="Times New Roman" w:cs="Times New Roman"/>
              <w:color w:val="000000" w:themeColor="text1"/>
              <w:sz w:val="24"/>
              <w14:textFill>
                <w14:solidFill>
                  <w14:schemeClr w14:val="tx1"/>
                </w14:solidFill>
              </w14:textFill>
            </w:rPr>
            <w:fldChar w:fldCharType="end"/>
          </w:r>
          <w:r>
            <w:rPr>
              <w:rFonts w:ascii="Times New Roman" w:hAnsi="Times New Roman" w:cs="Times New Roman"/>
              <w:color w:val="000000" w:themeColor="text1"/>
              <w:sz w:val="24"/>
              <w14:textFill>
                <w14:solidFill>
                  <w14:schemeClr w14:val="tx1"/>
                </w14:solidFill>
              </w14:textFill>
            </w:rPr>
            <w:t>2</w:t>
          </w:r>
        </w:p>
        <w:p w14:paraId="22DE75E3">
          <w:pPr>
            <w:pStyle w:val="11"/>
            <w:tabs>
              <w:tab w:val="right" w:leader="dot" w:pos="8296"/>
            </w:tabs>
            <w:snapToGrid w:val="0"/>
            <w:spacing w:line="288" w:lineRule="auto"/>
            <w:rPr>
              <w:rFonts w:ascii="Times New Roman" w:hAnsi="Times New Roman" w:cs="Times New Roman"/>
              <w:color w:val="000000" w:themeColor="text1"/>
              <w:sz w:val="24"/>
              <w14:textFill>
                <w14:solidFill>
                  <w14:schemeClr w14:val="tx1"/>
                </w14:solidFill>
              </w14:textFill>
            </w:rPr>
          </w:pPr>
          <w:r>
            <w:fldChar w:fldCharType="begin"/>
          </w:r>
          <w:r>
            <w:instrText xml:space="preserve"> HYPERLINK \l "_Toc524941236" </w:instrText>
          </w:r>
          <w:r>
            <w:fldChar w:fldCharType="separate"/>
          </w:r>
          <w:r>
            <w:rPr>
              <w:rStyle w:val="21"/>
              <w:rFonts w:ascii="Times New Roman" w:hAnsi="Times New Roman" w:cs="Times New Roman"/>
              <w:color w:val="000000" w:themeColor="text1"/>
              <w:sz w:val="24"/>
              <w:lang w:val="zh-CN"/>
              <w14:textFill>
                <w14:solidFill>
                  <w14:schemeClr w14:val="tx1"/>
                </w14:solidFill>
              </w14:textFill>
            </w:rPr>
            <w:t>3　</w:t>
          </w:r>
          <w:r>
            <w:rPr>
              <w:rStyle w:val="21"/>
              <w:rFonts w:hint="eastAsia" w:ascii="Times New Roman" w:hAnsi="Times New Roman" w:cs="Times New Roman"/>
              <w:color w:val="000000" w:themeColor="text1"/>
              <w:sz w:val="24"/>
              <w:lang w:val="zh-CN"/>
              <w14:textFill>
                <w14:solidFill>
                  <w14:schemeClr w14:val="tx1"/>
                </w14:solidFill>
              </w14:textFill>
            </w:rPr>
            <w:t>Basic requirements</w:t>
          </w:r>
          <w:r>
            <w:rPr>
              <w:rFonts w:ascii="Times New Roman" w:hAnsi="Times New Roman" w:cs="Times New Roman"/>
              <w:color w:val="000000" w:themeColor="text1"/>
              <w:sz w:val="24"/>
              <w14:textFill>
                <w14:solidFill>
                  <w14:schemeClr w14:val="tx1"/>
                </w14:solidFill>
              </w14:textFill>
            </w:rPr>
            <w:tab/>
          </w:r>
          <w:r>
            <w:rPr>
              <w:rFonts w:ascii="Times New Roman" w:hAnsi="Times New Roman" w:cs="Times New Roman"/>
              <w:color w:val="000000" w:themeColor="text1"/>
              <w:sz w:val="24"/>
              <w14:textFill>
                <w14:solidFill>
                  <w14:schemeClr w14:val="tx1"/>
                </w14:solidFill>
              </w14:textFill>
            </w:rPr>
            <w:t>4</w:t>
          </w:r>
          <w:r>
            <w:rPr>
              <w:rFonts w:ascii="Times New Roman" w:hAnsi="Times New Roman" w:cs="Times New Roman"/>
              <w:color w:val="000000" w:themeColor="text1"/>
              <w:sz w:val="24"/>
              <w14:textFill>
                <w14:solidFill>
                  <w14:schemeClr w14:val="tx1"/>
                </w14:solidFill>
              </w14:textFill>
            </w:rPr>
            <w:fldChar w:fldCharType="end"/>
          </w:r>
        </w:p>
        <w:p w14:paraId="0D3A68DB">
          <w:pPr>
            <w:pStyle w:val="11"/>
            <w:tabs>
              <w:tab w:val="right" w:leader="dot" w:pos="8296"/>
            </w:tabs>
            <w:snapToGrid w:val="0"/>
            <w:spacing w:line="288" w:lineRule="auto"/>
            <w:rPr>
              <w:rFonts w:ascii="Times New Roman" w:hAnsi="Times New Roman" w:cs="Times New Roman"/>
              <w:color w:val="000000" w:themeColor="text1"/>
              <w:sz w:val="24"/>
              <w14:textFill>
                <w14:solidFill>
                  <w14:schemeClr w14:val="tx1"/>
                </w14:solidFill>
              </w14:textFill>
            </w:rPr>
          </w:pPr>
          <w:r>
            <w:fldChar w:fldCharType="begin"/>
          </w:r>
          <w:r>
            <w:instrText xml:space="preserve"> HYPERLINK \l "_Toc524941244" </w:instrText>
          </w:r>
          <w:r>
            <w:fldChar w:fldCharType="separate"/>
          </w:r>
          <w:r>
            <w:rPr>
              <w:rStyle w:val="21"/>
              <w:rFonts w:ascii="Times New Roman" w:hAnsi="Times New Roman" w:cs="Times New Roman"/>
              <w:color w:val="000000" w:themeColor="text1"/>
              <w:sz w:val="24"/>
              <w:lang w:val="zh-CN"/>
              <w14:textFill>
                <w14:solidFill>
                  <w14:schemeClr w14:val="tx1"/>
                </w14:solidFill>
              </w14:textFill>
            </w:rPr>
            <w:t>4　</w:t>
          </w:r>
          <w:r>
            <w:rPr>
              <w:rFonts w:ascii="Times New Roman" w:hAnsi="Times New Roman" w:cs="Times New Roman"/>
              <w:color w:val="000000" w:themeColor="text1"/>
              <w:sz w:val="24"/>
              <w14:textFill>
                <w14:solidFill>
                  <w14:schemeClr w14:val="tx1"/>
                </w14:solidFill>
              </w14:textFill>
            </w:rPr>
            <w:t>Materials</w:t>
          </w:r>
          <w:r>
            <w:rPr>
              <w:rFonts w:ascii="Times New Roman" w:hAnsi="Times New Roman" w:cs="Times New Roman"/>
              <w:color w:val="000000" w:themeColor="text1"/>
              <w:sz w:val="24"/>
              <w14:textFill>
                <w14:solidFill>
                  <w14:schemeClr w14:val="tx1"/>
                </w14:solidFill>
              </w14:textFill>
            </w:rPr>
            <w:tab/>
          </w:r>
          <w:r>
            <w:rPr>
              <w:rFonts w:ascii="Times New Roman" w:hAnsi="Times New Roman" w:cs="Times New Roman"/>
              <w:color w:val="000000" w:themeColor="text1"/>
              <w:sz w:val="24"/>
              <w14:textFill>
                <w14:solidFill>
                  <w14:schemeClr w14:val="tx1"/>
                </w14:solidFill>
              </w14:textFill>
            </w:rPr>
            <w:t>6</w:t>
          </w:r>
          <w:r>
            <w:rPr>
              <w:rFonts w:ascii="Times New Roman" w:hAnsi="Times New Roman" w:cs="Times New Roman"/>
              <w:color w:val="000000" w:themeColor="text1"/>
              <w:sz w:val="24"/>
              <w14:textFill>
                <w14:solidFill>
                  <w14:schemeClr w14:val="tx1"/>
                </w14:solidFill>
              </w14:textFill>
            </w:rPr>
            <w:fldChar w:fldCharType="end"/>
          </w:r>
        </w:p>
        <w:p w14:paraId="7E0FAA77">
          <w:pPr>
            <w:pStyle w:val="11"/>
            <w:tabs>
              <w:tab w:val="right" w:leader="dot" w:pos="8296"/>
            </w:tabs>
            <w:snapToGrid w:val="0"/>
            <w:spacing w:line="288" w:lineRule="auto"/>
            <w:rPr>
              <w:rFonts w:ascii="Times New Roman" w:hAnsi="Times New Roman" w:cs="Times New Roman"/>
              <w:color w:val="000000" w:themeColor="text1"/>
              <w:sz w:val="24"/>
              <w14:textFill>
                <w14:solidFill>
                  <w14:schemeClr w14:val="tx1"/>
                </w14:solidFill>
              </w14:textFill>
            </w:rPr>
          </w:pPr>
          <w:r>
            <w:fldChar w:fldCharType="begin"/>
          </w:r>
          <w:r>
            <w:instrText xml:space="preserve"> HYPERLINK \l "_Toc524941244" </w:instrText>
          </w:r>
          <w:r>
            <w:fldChar w:fldCharType="separate"/>
          </w:r>
          <w:r>
            <w:rPr>
              <w:rStyle w:val="21"/>
              <w:rFonts w:ascii="Times New Roman" w:hAnsi="Times New Roman" w:cs="Times New Roman"/>
              <w:color w:val="000000" w:themeColor="text1"/>
              <w:sz w:val="24"/>
              <w:lang w:val="zh-CN"/>
              <w14:textFill>
                <w14:solidFill>
                  <w14:schemeClr w14:val="tx1"/>
                </w14:solidFill>
              </w14:textFill>
            </w:rPr>
            <w:t>5　</w:t>
          </w:r>
          <w:r>
            <w:rPr>
              <w:rFonts w:ascii="Times New Roman" w:hAnsi="Times New Roman" w:cs="Times New Roman"/>
              <w:color w:val="000000" w:themeColor="text1"/>
              <w:sz w:val="24"/>
              <w14:textFill>
                <w14:solidFill>
                  <w14:schemeClr w14:val="tx1"/>
                </w14:solidFill>
              </w14:textFill>
            </w:rPr>
            <w:t>Design</w:t>
          </w:r>
          <w:r>
            <w:rPr>
              <w:rFonts w:ascii="Times New Roman" w:hAnsi="Times New Roman" w:cs="Times New Roman"/>
              <w:color w:val="000000" w:themeColor="text1"/>
              <w:sz w:val="24"/>
              <w14:textFill>
                <w14:solidFill>
                  <w14:schemeClr w14:val="tx1"/>
                </w14:solidFill>
              </w14:textFill>
            </w:rPr>
            <w:tab/>
          </w:r>
          <w:r>
            <w:rPr>
              <w:rFonts w:ascii="Times New Roman" w:hAnsi="Times New Roman" w:cs="Times New Roman"/>
              <w:color w:val="000000" w:themeColor="text1"/>
              <w:sz w:val="24"/>
              <w14:textFill>
                <w14:solidFill>
                  <w14:schemeClr w14:val="tx1"/>
                </w14:solidFill>
              </w14:textFill>
            </w:rPr>
            <w:t>11</w:t>
          </w:r>
          <w:r>
            <w:rPr>
              <w:rFonts w:ascii="Times New Roman" w:hAnsi="Times New Roman" w:cs="Times New Roman"/>
              <w:color w:val="000000" w:themeColor="text1"/>
              <w:sz w:val="24"/>
              <w14:textFill>
                <w14:solidFill>
                  <w14:schemeClr w14:val="tx1"/>
                </w14:solidFill>
              </w14:textFill>
            </w:rPr>
            <w:fldChar w:fldCharType="end"/>
          </w:r>
        </w:p>
        <w:p w14:paraId="13FC3FFD">
          <w:pPr>
            <w:pStyle w:val="12"/>
            <w:tabs>
              <w:tab w:val="right" w:leader="dot" w:pos="8296"/>
            </w:tabs>
            <w:snapToGrid w:val="0"/>
            <w:spacing w:line="288" w:lineRule="auto"/>
            <w:rPr>
              <w:rFonts w:ascii="Times New Roman" w:hAnsi="Times New Roman" w:cs="Times New Roman"/>
              <w:color w:val="000000" w:themeColor="text1"/>
              <w:sz w:val="24"/>
              <w14:textFill>
                <w14:solidFill>
                  <w14:schemeClr w14:val="tx1"/>
                </w14:solidFill>
              </w14:textFill>
            </w:rPr>
          </w:pPr>
          <w:r>
            <w:fldChar w:fldCharType="begin"/>
          </w:r>
          <w:r>
            <w:instrText xml:space="preserve"> HYPERLINK \l "_Toc524941245" </w:instrText>
          </w:r>
          <w:r>
            <w:fldChar w:fldCharType="separate"/>
          </w:r>
          <w:r>
            <w:rPr>
              <w:rStyle w:val="21"/>
              <w:rFonts w:ascii="Times New Roman" w:hAnsi="Times New Roman" w:cs="Times New Roman"/>
              <w:bCs/>
              <w:iCs/>
              <w:color w:val="000000" w:themeColor="text1"/>
              <w:kern w:val="0"/>
              <w:sz w:val="24"/>
              <w:lang w:val="zh-CN"/>
              <w14:textFill>
                <w14:solidFill>
                  <w14:schemeClr w14:val="tx1"/>
                </w14:solidFill>
              </w14:textFill>
            </w:rPr>
            <w:t>5.1　General requirements</w:t>
          </w:r>
          <w:r>
            <w:rPr>
              <w:rFonts w:ascii="Times New Roman" w:hAnsi="Times New Roman" w:cs="Times New Roman"/>
              <w:color w:val="000000" w:themeColor="text1"/>
              <w:sz w:val="24"/>
              <w14:textFill>
                <w14:solidFill>
                  <w14:schemeClr w14:val="tx1"/>
                </w14:solidFill>
              </w14:textFill>
            </w:rPr>
            <w:tab/>
          </w:r>
          <w:r>
            <w:rPr>
              <w:rFonts w:ascii="Times New Roman" w:hAnsi="Times New Roman" w:cs="Times New Roman"/>
              <w:color w:val="000000" w:themeColor="text1"/>
              <w:sz w:val="24"/>
              <w14:textFill>
                <w14:solidFill>
                  <w14:schemeClr w14:val="tx1"/>
                </w14:solidFill>
              </w14:textFill>
            </w:rPr>
            <w:t>11</w:t>
          </w:r>
          <w:r>
            <w:rPr>
              <w:rFonts w:ascii="Times New Roman" w:hAnsi="Times New Roman" w:cs="Times New Roman"/>
              <w:color w:val="000000" w:themeColor="text1"/>
              <w:sz w:val="24"/>
              <w14:textFill>
                <w14:solidFill>
                  <w14:schemeClr w14:val="tx1"/>
                </w14:solidFill>
              </w14:textFill>
            </w:rPr>
            <w:fldChar w:fldCharType="end"/>
          </w:r>
        </w:p>
        <w:p w14:paraId="0DFD7F60">
          <w:pPr>
            <w:pStyle w:val="12"/>
            <w:tabs>
              <w:tab w:val="right" w:leader="dot" w:pos="8296"/>
            </w:tabs>
            <w:snapToGrid w:val="0"/>
            <w:spacing w:line="288" w:lineRule="auto"/>
            <w:rPr>
              <w:rFonts w:ascii="Times New Roman" w:hAnsi="Times New Roman" w:cs="Times New Roman"/>
              <w:color w:val="000000" w:themeColor="text1"/>
              <w:sz w:val="24"/>
              <w14:textFill>
                <w14:solidFill>
                  <w14:schemeClr w14:val="tx1"/>
                </w14:solidFill>
              </w14:textFill>
            </w:rPr>
          </w:pPr>
          <w:r>
            <w:fldChar w:fldCharType="begin"/>
          </w:r>
          <w:r>
            <w:instrText xml:space="preserve"> HYPERLINK \l "_Toc524941246" </w:instrText>
          </w:r>
          <w:r>
            <w:fldChar w:fldCharType="separate"/>
          </w:r>
          <w:r>
            <w:rPr>
              <w:rStyle w:val="21"/>
              <w:rFonts w:ascii="Times New Roman" w:hAnsi="Times New Roman" w:cs="Times New Roman"/>
              <w:bCs/>
              <w:iCs/>
              <w:color w:val="000000" w:themeColor="text1"/>
              <w:kern w:val="0"/>
              <w:sz w:val="24"/>
              <w:lang w:val="zh-CN"/>
              <w14:textFill>
                <w14:solidFill>
                  <w14:schemeClr w14:val="tx1"/>
                </w14:solidFill>
              </w14:textFill>
            </w:rPr>
            <w:t>5.2　</w:t>
          </w:r>
          <w:r>
            <w:rPr>
              <w:rStyle w:val="21"/>
              <w:rFonts w:hint="eastAsia" w:ascii="Times New Roman" w:hAnsi="Times New Roman" w:cs="Times New Roman"/>
              <w:bCs/>
              <w:iCs/>
              <w:color w:val="000000" w:themeColor="text1"/>
              <w:kern w:val="0"/>
              <w:sz w:val="24"/>
              <w:lang w:val="zh-CN"/>
              <w14:textFill>
                <w14:solidFill>
                  <w14:schemeClr w14:val="tx1"/>
                </w14:solidFill>
              </w14:textFill>
            </w:rPr>
            <w:t>Design and Selection</w:t>
          </w:r>
          <w:r>
            <w:rPr>
              <w:rFonts w:ascii="Times New Roman" w:hAnsi="Times New Roman" w:cs="Times New Roman"/>
              <w:color w:val="000000" w:themeColor="text1"/>
              <w:sz w:val="24"/>
              <w14:textFill>
                <w14:solidFill>
                  <w14:schemeClr w14:val="tx1"/>
                </w14:solidFill>
              </w14:textFill>
            </w:rPr>
            <w:tab/>
          </w:r>
          <w:r>
            <w:rPr>
              <w:rFonts w:ascii="Times New Roman" w:hAnsi="Times New Roman" w:cs="Times New Roman"/>
              <w:color w:val="000000" w:themeColor="text1"/>
              <w:sz w:val="24"/>
              <w14:textFill>
                <w14:solidFill>
                  <w14:schemeClr w14:val="tx1"/>
                </w14:solidFill>
              </w14:textFill>
            </w:rPr>
            <w:t>11</w:t>
          </w:r>
          <w:r>
            <w:rPr>
              <w:rFonts w:ascii="Times New Roman" w:hAnsi="Times New Roman" w:cs="Times New Roman"/>
              <w:color w:val="000000" w:themeColor="text1"/>
              <w:sz w:val="24"/>
              <w14:textFill>
                <w14:solidFill>
                  <w14:schemeClr w14:val="tx1"/>
                </w14:solidFill>
              </w14:textFill>
            </w:rPr>
            <w:fldChar w:fldCharType="end"/>
          </w:r>
        </w:p>
        <w:p w14:paraId="15D2A70F">
          <w:pPr>
            <w:pStyle w:val="12"/>
            <w:tabs>
              <w:tab w:val="right" w:leader="dot" w:pos="8296"/>
            </w:tabs>
            <w:snapToGrid w:val="0"/>
            <w:spacing w:line="288" w:lineRule="auto"/>
            <w:rPr>
              <w:rFonts w:ascii="Times New Roman" w:hAnsi="Times New Roman" w:cs="Times New Roman"/>
              <w:color w:val="000000" w:themeColor="text1"/>
              <w:sz w:val="24"/>
              <w14:textFill>
                <w14:solidFill>
                  <w14:schemeClr w14:val="tx1"/>
                </w14:solidFill>
              </w14:textFill>
            </w:rPr>
          </w:pPr>
          <w:r>
            <w:fldChar w:fldCharType="begin"/>
          </w:r>
          <w:r>
            <w:instrText xml:space="preserve"> HYPERLINK \l "_Toc524941246" </w:instrText>
          </w:r>
          <w:r>
            <w:fldChar w:fldCharType="separate"/>
          </w:r>
          <w:r>
            <w:rPr>
              <w:rStyle w:val="21"/>
              <w:rFonts w:ascii="Times New Roman" w:hAnsi="Times New Roman" w:cs="Times New Roman"/>
              <w:bCs/>
              <w:iCs/>
              <w:color w:val="000000" w:themeColor="text1"/>
              <w:kern w:val="0"/>
              <w:sz w:val="24"/>
              <w:lang w:val="zh-CN"/>
              <w14:textFill>
                <w14:solidFill>
                  <w14:schemeClr w14:val="tx1"/>
                </w14:solidFill>
              </w14:textFill>
            </w:rPr>
            <w:t>5.3　</w:t>
          </w:r>
          <w:r>
            <w:rPr>
              <w:rStyle w:val="21"/>
              <w:rFonts w:hint="eastAsia" w:ascii="Times New Roman" w:hAnsi="Times New Roman" w:cs="Times New Roman"/>
              <w:bCs/>
              <w:iCs/>
              <w:color w:val="000000" w:themeColor="text1"/>
              <w:kern w:val="0"/>
              <w:sz w:val="24"/>
              <w:lang w:val="zh-CN"/>
              <w14:textFill>
                <w14:solidFill>
                  <w14:schemeClr w14:val="tx1"/>
                </w14:solidFill>
              </w14:textFill>
            </w:rPr>
            <w:t>Structural design</w:t>
          </w:r>
          <w:r>
            <w:rPr>
              <w:rFonts w:ascii="Times New Roman" w:hAnsi="Times New Roman" w:cs="Times New Roman"/>
              <w:color w:val="000000" w:themeColor="text1"/>
              <w:sz w:val="24"/>
              <w14:textFill>
                <w14:solidFill>
                  <w14:schemeClr w14:val="tx1"/>
                </w14:solidFill>
              </w14:textFill>
            </w:rPr>
            <w:tab/>
          </w:r>
          <w:r>
            <w:rPr>
              <w:rFonts w:ascii="Times New Roman" w:hAnsi="Times New Roman" w:cs="Times New Roman"/>
              <w:color w:val="000000" w:themeColor="text1"/>
              <w:sz w:val="24"/>
              <w14:textFill>
                <w14:solidFill>
                  <w14:schemeClr w14:val="tx1"/>
                </w14:solidFill>
              </w14:textFill>
            </w:rPr>
            <w:t>12</w:t>
          </w:r>
          <w:r>
            <w:rPr>
              <w:rFonts w:ascii="Times New Roman" w:hAnsi="Times New Roman" w:cs="Times New Roman"/>
              <w:color w:val="000000" w:themeColor="text1"/>
              <w:sz w:val="24"/>
              <w14:textFill>
                <w14:solidFill>
                  <w14:schemeClr w14:val="tx1"/>
                </w14:solidFill>
              </w14:textFill>
            </w:rPr>
            <w:fldChar w:fldCharType="end"/>
          </w:r>
        </w:p>
        <w:p w14:paraId="008ACF58">
          <w:pPr>
            <w:pStyle w:val="12"/>
            <w:tabs>
              <w:tab w:val="right" w:leader="dot" w:pos="8296"/>
            </w:tabs>
            <w:snapToGrid w:val="0"/>
            <w:spacing w:line="288" w:lineRule="auto"/>
            <w:rPr>
              <w:rFonts w:ascii="Times New Roman" w:hAnsi="Times New Roman" w:cs="Times New Roman"/>
              <w:color w:val="000000" w:themeColor="text1"/>
              <w:sz w:val="24"/>
              <w14:textFill>
                <w14:solidFill>
                  <w14:schemeClr w14:val="tx1"/>
                </w14:solidFill>
              </w14:textFill>
            </w:rPr>
          </w:pPr>
          <w:r>
            <w:fldChar w:fldCharType="begin"/>
          </w:r>
          <w:r>
            <w:instrText xml:space="preserve"> HYPERLINK \l "_Toc524941246" </w:instrText>
          </w:r>
          <w:r>
            <w:fldChar w:fldCharType="separate"/>
          </w:r>
          <w:r>
            <w:rPr>
              <w:rStyle w:val="21"/>
              <w:rFonts w:ascii="Times New Roman" w:hAnsi="Times New Roman" w:cs="Times New Roman"/>
              <w:bCs/>
              <w:iCs/>
              <w:color w:val="000000" w:themeColor="text1"/>
              <w:kern w:val="0"/>
              <w:sz w:val="24"/>
              <w:lang w:val="zh-CN"/>
              <w14:textFill>
                <w14:solidFill>
                  <w14:schemeClr w14:val="tx1"/>
                </w14:solidFill>
              </w14:textFill>
            </w:rPr>
            <w:t>5.</w:t>
          </w:r>
          <w:r>
            <w:rPr>
              <w:rStyle w:val="21"/>
              <w:rFonts w:hint="eastAsia" w:ascii="Times New Roman" w:hAnsi="Times New Roman" w:cs="Times New Roman"/>
              <w:bCs/>
              <w:iCs/>
              <w:color w:val="000000" w:themeColor="text1"/>
              <w:kern w:val="0"/>
              <w:sz w:val="24"/>
              <w:lang w:val="en-US" w:eastAsia="zh-CN"/>
              <w14:textFill>
                <w14:solidFill>
                  <w14:schemeClr w14:val="tx1"/>
                </w14:solidFill>
              </w14:textFill>
            </w:rPr>
            <w:t>4</w:t>
          </w:r>
          <w:r>
            <w:rPr>
              <w:rStyle w:val="21"/>
              <w:rFonts w:ascii="Times New Roman" w:hAnsi="Times New Roman" w:cs="Times New Roman"/>
              <w:bCs/>
              <w:iCs/>
              <w:color w:val="000000" w:themeColor="text1"/>
              <w:kern w:val="0"/>
              <w:sz w:val="24"/>
              <w:lang w:val="zh-CN"/>
              <w14:textFill>
                <w14:solidFill>
                  <w14:schemeClr w14:val="tx1"/>
                </w14:solidFill>
              </w14:textFill>
            </w:rPr>
            <w:t>　</w:t>
          </w:r>
          <w:r>
            <w:rPr>
              <w:rStyle w:val="21"/>
              <w:rFonts w:hint="eastAsia" w:ascii="Times New Roman" w:hAnsi="Times New Roman" w:cs="Times New Roman"/>
              <w:bCs/>
              <w:iCs/>
              <w:color w:val="000000" w:themeColor="text1"/>
              <w:kern w:val="0"/>
              <w:sz w:val="24"/>
              <w:lang w:val="zh-CN"/>
              <w14:textFill>
                <w14:solidFill>
                  <w14:schemeClr w14:val="tx1"/>
                </w14:solidFill>
              </w14:textFill>
            </w:rPr>
            <w:t>Detail design</w:t>
          </w:r>
          <w:r>
            <w:rPr>
              <w:rFonts w:ascii="Times New Roman" w:hAnsi="Times New Roman" w:cs="Times New Roman"/>
              <w:color w:val="000000" w:themeColor="text1"/>
              <w:sz w:val="24"/>
              <w14:textFill>
                <w14:solidFill>
                  <w14:schemeClr w14:val="tx1"/>
                </w14:solidFill>
              </w14:textFill>
            </w:rPr>
            <w:tab/>
          </w:r>
          <w:r>
            <w:rPr>
              <w:rFonts w:ascii="Times New Roman" w:hAnsi="Times New Roman" w:cs="Times New Roman"/>
              <w:color w:val="000000" w:themeColor="text1"/>
              <w:sz w:val="24"/>
              <w14:textFill>
                <w14:solidFill>
                  <w14:schemeClr w14:val="tx1"/>
                </w14:solidFill>
              </w14:textFill>
            </w:rPr>
            <w:t>12</w:t>
          </w:r>
          <w:r>
            <w:rPr>
              <w:rFonts w:ascii="Times New Roman" w:hAnsi="Times New Roman" w:cs="Times New Roman"/>
              <w:color w:val="000000" w:themeColor="text1"/>
              <w:sz w:val="24"/>
              <w14:textFill>
                <w14:solidFill>
                  <w14:schemeClr w14:val="tx1"/>
                </w14:solidFill>
              </w14:textFill>
            </w:rPr>
            <w:fldChar w:fldCharType="end"/>
          </w:r>
        </w:p>
        <w:p w14:paraId="41C1E49C">
          <w:pPr>
            <w:pStyle w:val="11"/>
            <w:tabs>
              <w:tab w:val="right" w:leader="dot" w:pos="8296"/>
            </w:tabs>
            <w:snapToGrid w:val="0"/>
            <w:spacing w:line="288" w:lineRule="auto"/>
            <w:rPr>
              <w:rFonts w:ascii="Times New Roman" w:hAnsi="Times New Roman" w:cs="Times New Roman"/>
              <w:color w:val="000000" w:themeColor="text1"/>
              <w:sz w:val="24"/>
              <w14:textFill>
                <w14:solidFill>
                  <w14:schemeClr w14:val="tx1"/>
                </w14:solidFill>
              </w14:textFill>
            </w:rPr>
          </w:pPr>
          <w:r>
            <w:fldChar w:fldCharType="begin"/>
          </w:r>
          <w:r>
            <w:instrText xml:space="preserve"> HYPERLINK \l "_Toc524941254" </w:instrText>
          </w:r>
          <w:r>
            <w:fldChar w:fldCharType="separate"/>
          </w:r>
          <w:r>
            <w:rPr>
              <w:rStyle w:val="21"/>
              <w:rFonts w:ascii="Times New Roman" w:hAnsi="Times New Roman" w:cs="Times New Roman"/>
              <w:color w:val="000000" w:themeColor="text1"/>
              <w:sz w:val="24"/>
              <w:lang w:val="zh-CN"/>
              <w14:textFill>
                <w14:solidFill>
                  <w14:schemeClr w14:val="tx1"/>
                </w14:solidFill>
              </w14:textFill>
            </w:rPr>
            <w:t>6　</w:t>
          </w:r>
          <w:r>
            <w:rPr>
              <w:rFonts w:ascii="Times New Roman" w:hAnsi="Times New Roman" w:cs="Times New Roman"/>
              <w:color w:val="000000" w:themeColor="text1"/>
              <w:sz w:val="24"/>
              <w14:textFill>
                <w14:solidFill>
                  <w14:schemeClr w14:val="tx1"/>
                </w14:solidFill>
              </w14:textFill>
            </w:rPr>
            <w:t>Construction</w:t>
          </w:r>
          <w:r>
            <w:rPr>
              <w:rFonts w:ascii="Times New Roman" w:hAnsi="Times New Roman" w:cs="Times New Roman"/>
              <w:color w:val="000000" w:themeColor="text1"/>
              <w:sz w:val="24"/>
              <w14:textFill>
                <w14:solidFill>
                  <w14:schemeClr w14:val="tx1"/>
                </w14:solidFill>
              </w14:textFill>
            </w:rPr>
            <w:tab/>
          </w:r>
          <w:r>
            <w:rPr>
              <w:rFonts w:ascii="Times New Roman" w:hAnsi="Times New Roman" w:cs="Times New Roman"/>
              <w:color w:val="000000" w:themeColor="text1"/>
              <w:sz w:val="24"/>
              <w14:textFill>
                <w14:solidFill>
                  <w14:schemeClr w14:val="tx1"/>
                </w14:solidFill>
              </w14:textFill>
            </w:rPr>
            <w:t>13</w:t>
          </w:r>
          <w:r>
            <w:rPr>
              <w:rFonts w:ascii="Times New Roman" w:hAnsi="Times New Roman" w:cs="Times New Roman"/>
              <w:color w:val="000000" w:themeColor="text1"/>
              <w:sz w:val="24"/>
              <w14:textFill>
                <w14:solidFill>
                  <w14:schemeClr w14:val="tx1"/>
                </w14:solidFill>
              </w14:textFill>
            </w:rPr>
            <w:fldChar w:fldCharType="end"/>
          </w:r>
        </w:p>
        <w:p w14:paraId="635576C7">
          <w:pPr>
            <w:pStyle w:val="12"/>
            <w:tabs>
              <w:tab w:val="right" w:leader="dot" w:pos="8296"/>
            </w:tabs>
            <w:snapToGrid w:val="0"/>
            <w:spacing w:line="288" w:lineRule="auto"/>
            <w:rPr>
              <w:rFonts w:ascii="Times New Roman" w:hAnsi="Times New Roman" w:cs="Times New Roman"/>
              <w:color w:val="000000" w:themeColor="text1"/>
              <w:sz w:val="24"/>
              <w14:textFill>
                <w14:solidFill>
                  <w14:schemeClr w14:val="tx1"/>
                </w14:solidFill>
              </w14:textFill>
            </w:rPr>
          </w:pPr>
          <w:r>
            <w:fldChar w:fldCharType="begin"/>
          </w:r>
          <w:r>
            <w:instrText xml:space="preserve"> HYPERLINK \l "_Toc524941255" </w:instrText>
          </w:r>
          <w:r>
            <w:fldChar w:fldCharType="separate"/>
          </w:r>
          <w:r>
            <w:rPr>
              <w:rStyle w:val="21"/>
              <w:rFonts w:ascii="Times New Roman" w:hAnsi="Times New Roman" w:cs="Times New Roman"/>
              <w:bCs/>
              <w:iCs/>
              <w:color w:val="000000" w:themeColor="text1"/>
              <w:kern w:val="0"/>
              <w:sz w:val="24"/>
              <w:lang w:val="zh-CN"/>
              <w14:textFill>
                <w14:solidFill>
                  <w14:schemeClr w14:val="tx1"/>
                </w14:solidFill>
              </w14:textFill>
            </w:rPr>
            <w:t>6.1　General requirements</w:t>
          </w:r>
          <w:r>
            <w:rPr>
              <w:rFonts w:ascii="Times New Roman" w:hAnsi="Times New Roman" w:cs="Times New Roman"/>
              <w:color w:val="000000" w:themeColor="text1"/>
              <w:sz w:val="24"/>
              <w14:textFill>
                <w14:solidFill>
                  <w14:schemeClr w14:val="tx1"/>
                </w14:solidFill>
              </w14:textFill>
            </w:rPr>
            <w:tab/>
          </w:r>
          <w:r>
            <w:rPr>
              <w:rFonts w:ascii="Times New Roman" w:hAnsi="Times New Roman" w:cs="Times New Roman"/>
              <w:color w:val="000000" w:themeColor="text1"/>
              <w:sz w:val="24"/>
              <w14:textFill>
                <w14:solidFill>
                  <w14:schemeClr w14:val="tx1"/>
                </w14:solidFill>
              </w14:textFill>
            </w:rPr>
            <w:t>13</w:t>
          </w:r>
          <w:r>
            <w:rPr>
              <w:rFonts w:ascii="Times New Roman" w:hAnsi="Times New Roman" w:cs="Times New Roman"/>
              <w:color w:val="000000" w:themeColor="text1"/>
              <w:sz w:val="24"/>
              <w14:textFill>
                <w14:solidFill>
                  <w14:schemeClr w14:val="tx1"/>
                </w14:solidFill>
              </w14:textFill>
            </w:rPr>
            <w:fldChar w:fldCharType="end"/>
          </w:r>
        </w:p>
        <w:p w14:paraId="1311ED4C">
          <w:pPr>
            <w:pStyle w:val="12"/>
            <w:tabs>
              <w:tab w:val="right" w:leader="dot" w:pos="8296"/>
            </w:tabs>
            <w:snapToGrid w:val="0"/>
            <w:spacing w:line="288" w:lineRule="auto"/>
            <w:rPr>
              <w:rFonts w:ascii="Times New Roman" w:hAnsi="Times New Roman" w:cs="Times New Roman"/>
              <w:color w:val="000000" w:themeColor="text1"/>
              <w:sz w:val="24"/>
              <w14:textFill>
                <w14:solidFill>
                  <w14:schemeClr w14:val="tx1"/>
                </w14:solidFill>
              </w14:textFill>
            </w:rPr>
          </w:pPr>
          <w:r>
            <w:fldChar w:fldCharType="begin"/>
          </w:r>
          <w:r>
            <w:instrText xml:space="preserve"> HYPERLINK \l "_Toc524941256" </w:instrText>
          </w:r>
          <w:r>
            <w:fldChar w:fldCharType="separate"/>
          </w:r>
          <w:r>
            <w:rPr>
              <w:rStyle w:val="21"/>
              <w:rFonts w:ascii="Times New Roman" w:hAnsi="Times New Roman" w:cs="Times New Roman"/>
              <w:bCs/>
              <w:iCs/>
              <w:color w:val="000000" w:themeColor="text1"/>
              <w:kern w:val="0"/>
              <w:sz w:val="24"/>
              <w:lang w:val="zh-CN"/>
              <w14:textFill>
                <w14:solidFill>
                  <w14:schemeClr w14:val="tx1"/>
                </w14:solidFill>
              </w14:textFill>
            </w:rPr>
            <w:t>6.2　Construction conditions</w:t>
          </w:r>
          <w:r>
            <w:rPr>
              <w:rFonts w:ascii="Times New Roman" w:hAnsi="Times New Roman" w:cs="Times New Roman"/>
              <w:color w:val="000000" w:themeColor="text1"/>
              <w:sz w:val="24"/>
              <w14:textFill>
                <w14:solidFill>
                  <w14:schemeClr w14:val="tx1"/>
                </w14:solidFill>
              </w14:textFill>
            </w:rPr>
            <w:tab/>
          </w:r>
          <w:r>
            <w:rPr>
              <w:rFonts w:ascii="Times New Roman" w:hAnsi="Times New Roman" w:cs="Times New Roman"/>
              <w:color w:val="000000" w:themeColor="text1"/>
              <w:sz w:val="24"/>
              <w14:textFill>
                <w14:solidFill>
                  <w14:schemeClr w14:val="tx1"/>
                </w14:solidFill>
              </w14:textFill>
            </w:rPr>
            <w:t>13</w:t>
          </w:r>
          <w:r>
            <w:rPr>
              <w:rFonts w:ascii="Times New Roman" w:hAnsi="Times New Roman" w:cs="Times New Roman"/>
              <w:color w:val="000000" w:themeColor="text1"/>
              <w:sz w:val="24"/>
              <w14:textFill>
                <w14:solidFill>
                  <w14:schemeClr w14:val="tx1"/>
                </w14:solidFill>
              </w14:textFill>
            </w:rPr>
            <w:fldChar w:fldCharType="end"/>
          </w:r>
        </w:p>
        <w:p w14:paraId="4A74A5C3">
          <w:pPr>
            <w:pStyle w:val="12"/>
            <w:tabs>
              <w:tab w:val="right" w:leader="dot" w:pos="8296"/>
            </w:tabs>
            <w:snapToGrid w:val="0"/>
            <w:spacing w:line="288" w:lineRule="auto"/>
            <w:rPr>
              <w:rFonts w:ascii="Times New Roman" w:hAnsi="Times New Roman" w:cs="Times New Roman"/>
              <w:color w:val="000000" w:themeColor="text1"/>
              <w:sz w:val="24"/>
              <w14:textFill>
                <w14:solidFill>
                  <w14:schemeClr w14:val="tx1"/>
                </w14:solidFill>
              </w14:textFill>
            </w:rPr>
          </w:pPr>
          <w:r>
            <w:fldChar w:fldCharType="begin"/>
          </w:r>
          <w:r>
            <w:instrText xml:space="preserve"> HYPERLINK \l "_Toc524941257" </w:instrText>
          </w:r>
          <w:r>
            <w:fldChar w:fldCharType="separate"/>
          </w:r>
          <w:r>
            <w:rPr>
              <w:rStyle w:val="21"/>
              <w:rFonts w:ascii="Times New Roman" w:hAnsi="Times New Roman" w:cs="Times New Roman"/>
              <w:bCs/>
              <w:iCs/>
              <w:color w:val="000000" w:themeColor="text1"/>
              <w:kern w:val="0"/>
              <w:sz w:val="24"/>
              <w:lang w:val="zh-CN"/>
              <w14:textFill>
                <w14:solidFill>
                  <w14:schemeClr w14:val="tx1"/>
                </w14:solidFill>
              </w14:textFill>
            </w:rPr>
            <w:t>6.3　</w:t>
          </w:r>
          <w:r>
            <w:rPr>
              <w:rStyle w:val="21"/>
              <w:rFonts w:hint="eastAsia" w:ascii="Times New Roman" w:hAnsi="Times New Roman" w:cs="Times New Roman"/>
              <w:bCs/>
              <w:iCs/>
              <w:color w:val="000000" w:themeColor="text1"/>
              <w:kern w:val="0"/>
              <w:sz w:val="24"/>
              <w:lang w:val="zh-CN"/>
              <w14:textFill>
                <w14:solidFill>
                  <w14:schemeClr w14:val="tx1"/>
                </w14:solidFill>
              </w14:textFill>
            </w:rPr>
            <w:t>Base Course Preparation</w:t>
          </w:r>
          <w:r>
            <w:rPr>
              <w:rFonts w:ascii="Times New Roman" w:hAnsi="Times New Roman" w:cs="Times New Roman"/>
              <w:color w:val="000000" w:themeColor="text1"/>
              <w:sz w:val="24"/>
              <w14:textFill>
                <w14:solidFill>
                  <w14:schemeClr w14:val="tx1"/>
                </w14:solidFill>
              </w14:textFill>
            </w:rPr>
            <w:tab/>
          </w:r>
          <w:r>
            <w:rPr>
              <w:rFonts w:ascii="Times New Roman" w:hAnsi="Times New Roman" w:cs="Times New Roman"/>
              <w:color w:val="000000" w:themeColor="text1"/>
              <w:sz w:val="24"/>
              <w14:textFill>
                <w14:solidFill>
                  <w14:schemeClr w14:val="tx1"/>
                </w14:solidFill>
              </w14:textFill>
            </w:rPr>
            <w:t>14</w:t>
          </w:r>
          <w:r>
            <w:rPr>
              <w:rFonts w:ascii="Times New Roman" w:hAnsi="Times New Roman" w:cs="Times New Roman"/>
              <w:color w:val="000000" w:themeColor="text1"/>
              <w:sz w:val="24"/>
              <w14:textFill>
                <w14:solidFill>
                  <w14:schemeClr w14:val="tx1"/>
                </w14:solidFill>
              </w14:textFill>
            </w:rPr>
            <w:fldChar w:fldCharType="end"/>
          </w:r>
        </w:p>
        <w:p w14:paraId="61FB6838">
          <w:pPr>
            <w:pStyle w:val="12"/>
            <w:tabs>
              <w:tab w:val="right" w:leader="dot" w:pos="8296"/>
            </w:tabs>
            <w:snapToGrid w:val="0"/>
            <w:spacing w:line="288" w:lineRule="auto"/>
            <w:rPr>
              <w:rFonts w:ascii="Times New Roman" w:hAnsi="Times New Roman" w:cs="Times New Roman"/>
              <w:color w:val="000000" w:themeColor="text1"/>
              <w:sz w:val="24"/>
              <w14:textFill>
                <w14:solidFill>
                  <w14:schemeClr w14:val="tx1"/>
                </w14:solidFill>
              </w14:textFill>
            </w:rPr>
          </w:pPr>
          <w:r>
            <w:fldChar w:fldCharType="begin"/>
          </w:r>
          <w:r>
            <w:instrText xml:space="preserve"> HYPERLINK \l "_Toc524941258" </w:instrText>
          </w:r>
          <w:r>
            <w:fldChar w:fldCharType="separate"/>
          </w:r>
          <w:r>
            <w:rPr>
              <w:rStyle w:val="21"/>
              <w:rFonts w:ascii="Times New Roman" w:hAnsi="Times New Roman" w:cs="Times New Roman"/>
              <w:bCs/>
              <w:iCs/>
              <w:color w:val="000000" w:themeColor="text1"/>
              <w:kern w:val="0"/>
              <w:sz w:val="24"/>
              <w:lang w:val="zh-CN"/>
              <w14:textFill>
                <w14:solidFill>
                  <w14:schemeClr w14:val="tx1"/>
                </w14:solidFill>
              </w14:textFill>
            </w:rPr>
            <w:t xml:space="preserve">6.4　Construction of </w:t>
          </w:r>
          <w:r>
            <w:rPr>
              <w:rStyle w:val="21"/>
              <w:rFonts w:hint="eastAsia" w:ascii="Times New Roman" w:hAnsi="Times New Roman" w:cs="Times New Roman"/>
              <w:bCs/>
              <w:iCs/>
              <w:color w:val="000000" w:themeColor="text1"/>
              <w:kern w:val="0"/>
              <w:sz w:val="24"/>
              <w:lang w:val="zh-CN"/>
              <w14:textFill>
                <w14:solidFill>
                  <w14:schemeClr w14:val="tx1"/>
                </w14:solidFill>
              </w14:textFill>
            </w:rPr>
            <w:t>wear-resistant harding materials</w:t>
          </w:r>
          <w:r>
            <w:rPr>
              <w:rFonts w:ascii="Times New Roman" w:hAnsi="Times New Roman" w:cs="Times New Roman"/>
              <w:color w:val="000000" w:themeColor="text1"/>
              <w:sz w:val="24"/>
              <w14:textFill>
                <w14:solidFill>
                  <w14:schemeClr w14:val="tx1"/>
                </w14:solidFill>
              </w14:textFill>
            </w:rPr>
            <w:tab/>
          </w:r>
          <w:r>
            <w:rPr>
              <w:rFonts w:ascii="Times New Roman" w:hAnsi="Times New Roman" w:cs="Times New Roman"/>
              <w:color w:val="000000" w:themeColor="text1"/>
              <w:sz w:val="24"/>
              <w14:textFill>
                <w14:solidFill>
                  <w14:schemeClr w14:val="tx1"/>
                </w14:solidFill>
              </w14:textFill>
            </w:rPr>
            <w:t>1</w:t>
          </w:r>
          <w:r>
            <w:rPr>
              <w:rFonts w:ascii="Times New Roman" w:hAnsi="Times New Roman" w:cs="Times New Roman"/>
              <w:color w:val="000000" w:themeColor="text1"/>
              <w:sz w:val="24"/>
              <w14:textFill>
                <w14:solidFill>
                  <w14:schemeClr w14:val="tx1"/>
                </w14:solidFill>
              </w14:textFill>
            </w:rPr>
            <w:fldChar w:fldCharType="end"/>
          </w:r>
          <w:r>
            <w:rPr>
              <w:rFonts w:ascii="Times New Roman" w:hAnsi="Times New Roman" w:cs="Times New Roman"/>
              <w:color w:val="000000" w:themeColor="text1"/>
              <w:sz w:val="24"/>
              <w14:textFill>
                <w14:solidFill>
                  <w14:schemeClr w14:val="tx1"/>
                </w14:solidFill>
              </w14:textFill>
            </w:rPr>
            <w:t>5</w:t>
          </w:r>
        </w:p>
        <w:p w14:paraId="5C5A2B57">
          <w:pPr>
            <w:pStyle w:val="12"/>
            <w:tabs>
              <w:tab w:val="right" w:leader="dot" w:pos="8296"/>
            </w:tabs>
            <w:snapToGrid w:val="0"/>
            <w:spacing w:line="288" w:lineRule="auto"/>
            <w:rPr>
              <w:rFonts w:ascii="Times New Roman" w:hAnsi="Times New Roman" w:cs="Times New Roman"/>
              <w:color w:val="000000" w:themeColor="text1"/>
              <w:sz w:val="24"/>
              <w14:textFill>
                <w14:solidFill>
                  <w14:schemeClr w14:val="tx1"/>
                </w14:solidFill>
              </w14:textFill>
            </w:rPr>
          </w:pPr>
          <w:r>
            <w:fldChar w:fldCharType="begin"/>
          </w:r>
          <w:r>
            <w:instrText xml:space="preserve"> HYPERLINK \l "_Toc524941258" </w:instrText>
          </w:r>
          <w:r>
            <w:fldChar w:fldCharType="separate"/>
          </w:r>
          <w:r>
            <w:rPr>
              <w:rStyle w:val="21"/>
              <w:rFonts w:ascii="Times New Roman" w:hAnsi="Times New Roman" w:cs="Times New Roman"/>
              <w:bCs/>
              <w:iCs/>
              <w:color w:val="000000" w:themeColor="text1"/>
              <w:kern w:val="0"/>
              <w:sz w:val="24"/>
              <w:lang w:val="zh-CN"/>
              <w14:textFill>
                <w14:solidFill>
                  <w14:schemeClr w14:val="tx1"/>
                </w14:solidFill>
              </w14:textFill>
            </w:rPr>
            <w:t>6.</w:t>
          </w:r>
          <w:r>
            <w:rPr>
              <w:rStyle w:val="21"/>
              <w:rFonts w:ascii="Times New Roman" w:hAnsi="Times New Roman" w:cs="Times New Roman"/>
              <w:bCs/>
              <w:iCs/>
              <w:color w:val="000000" w:themeColor="text1"/>
              <w:kern w:val="0"/>
              <w:sz w:val="24"/>
              <w14:textFill>
                <w14:solidFill>
                  <w14:schemeClr w14:val="tx1"/>
                </w14:solidFill>
              </w14:textFill>
            </w:rPr>
            <w:t>5　</w:t>
          </w:r>
          <w:r>
            <w:rPr>
              <w:rStyle w:val="21"/>
              <w:rFonts w:ascii="Times New Roman" w:hAnsi="Times New Roman" w:cs="Times New Roman"/>
              <w:bCs/>
              <w:iCs/>
              <w:color w:val="000000" w:themeColor="text1"/>
              <w:kern w:val="0"/>
              <w:sz w:val="24"/>
              <w:lang w:val="zh-CN"/>
              <w14:textFill>
                <w14:solidFill>
                  <w14:schemeClr w14:val="tx1"/>
                </w14:solidFill>
              </w14:textFill>
            </w:rPr>
            <w:t xml:space="preserve">Construction of </w:t>
          </w:r>
          <w:r>
            <w:rPr>
              <w:rFonts w:ascii="Times New Roman" w:hAnsi="Times New Roman" w:cs="Times New Roman"/>
              <w:sz w:val="24"/>
            </w:rPr>
            <w:t>liquid hard</w:t>
          </w:r>
          <w:r>
            <w:rPr>
              <w:rFonts w:hint="eastAsia" w:ascii="Times New Roman" w:hAnsi="Times New Roman" w:cs="Times New Roman"/>
              <w:sz w:val="24"/>
              <w:lang w:val="en-US" w:eastAsia="zh-CN"/>
            </w:rPr>
            <w:t>er</w:t>
          </w:r>
          <w:r>
            <w:rPr>
              <w:rFonts w:ascii="Times New Roman" w:hAnsi="Times New Roman" w:cs="Times New Roman"/>
              <w:sz w:val="24"/>
            </w:rPr>
            <w:t xml:space="preserve"> </w:t>
          </w:r>
          <w:r>
            <w:rPr>
              <w:rFonts w:ascii="Times New Roman" w:hAnsi="Times New Roman" w:cs="Times New Roman"/>
              <w:color w:val="000000" w:themeColor="text1"/>
              <w:sz w:val="24"/>
              <w14:textFill>
                <w14:solidFill>
                  <w14:schemeClr w14:val="tx1"/>
                </w14:solidFill>
              </w14:textFill>
            </w:rPr>
            <w:tab/>
          </w:r>
          <w:r>
            <w:rPr>
              <w:rFonts w:ascii="Times New Roman" w:hAnsi="Times New Roman" w:cs="Times New Roman"/>
              <w:color w:val="000000" w:themeColor="text1"/>
              <w:sz w:val="24"/>
              <w14:textFill>
                <w14:solidFill>
                  <w14:schemeClr w14:val="tx1"/>
                </w14:solidFill>
              </w14:textFill>
            </w:rPr>
            <w:t>1</w:t>
          </w:r>
          <w:r>
            <w:rPr>
              <w:rFonts w:ascii="Times New Roman" w:hAnsi="Times New Roman" w:cs="Times New Roman"/>
              <w:color w:val="000000" w:themeColor="text1"/>
              <w:sz w:val="24"/>
              <w14:textFill>
                <w14:solidFill>
                  <w14:schemeClr w14:val="tx1"/>
                </w14:solidFill>
              </w14:textFill>
            </w:rPr>
            <w:fldChar w:fldCharType="end"/>
          </w:r>
          <w:r>
            <w:rPr>
              <w:rFonts w:ascii="Times New Roman" w:hAnsi="Times New Roman" w:cs="Times New Roman"/>
              <w:color w:val="000000" w:themeColor="text1"/>
              <w:sz w:val="24"/>
              <w14:textFill>
                <w14:solidFill>
                  <w14:schemeClr w14:val="tx1"/>
                </w14:solidFill>
              </w14:textFill>
            </w:rPr>
            <w:t>5</w:t>
          </w:r>
        </w:p>
        <w:p w14:paraId="706C08CF">
          <w:pPr>
            <w:pStyle w:val="11"/>
            <w:tabs>
              <w:tab w:val="right" w:leader="dot" w:pos="8296"/>
            </w:tabs>
            <w:snapToGrid w:val="0"/>
            <w:spacing w:line="288" w:lineRule="auto"/>
            <w:rPr>
              <w:rFonts w:ascii="Times New Roman" w:hAnsi="Times New Roman" w:cs="Times New Roman"/>
              <w:color w:val="000000" w:themeColor="text1"/>
              <w:sz w:val="24"/>
              <w14:textFill>
                <w14:solidFill>
                  <w14:schemeClr w14:val="tx1"/>
                </w14:solidFill>
              </w14:textFill>
            </w:rPr>
          </w:pPr>
          <w:bookmarkStart w:id="219" w:name="_GoBack"/>
          <w:bookmarkEnd w:id="219"/>
          <w:r>
            <w:fldChar w:fldCharType="begin"/>
          </w:r>
          <w:r>
            <w:instrText xml:space="preserve"> HYPERLINK \l "_Toc524941263" </w:instrText>
          </w:r>
          <w:r>
            <w:fldChar w:fldCharType="separate"/>
          </w:r>
          <w:r>
            <w:rPr>
              <w:rStyle w:val="21"/>
              <w:rFonts w:ascii="Times New Roman" w:hAnsi="Times New Roman" w:cs="Times New Roman"/>
              <w:color w:val="000000" w:themeColor="text1"/>
              <w:sz w:val="24"/>
              <w:lang w:val="zh-CN"/>
              <w14:textFill>
                <w14:solidFill>
                  <w14:schemeClr w14:val="tx1"/>
                </w14:solidFill>
              </w14:textFill>
            </w:rPr>
            <w:t>7　</w:t>
          </w:r>
          <w:r>
            <w:rPr>
              <w:rFonts w:ascii="Times New Roman" w:hAnsi="Times New Roman" w:cs="Times New Roman"/>
              <w:color w:val="000000" w:themeColor="text1"/>
              <w:sz w:val="24"/>
              <w14:textFill>
                <w14:solidFill>
                  <w14:schemeClr w14:val="tx1"/>
                </w14:solidFill>
              </w14:textFill>
            </w:rPr>
            <w:t>Acceptance</w:t>
          </w:r>
          <w:r>
            <w:rPr>
              <w:rFonts w:ascii="Times New Roman" w:hAnsi="Times New Roman" w:cs="Times New Roman"/>
              <w:color w:val="000000" w:themeColor="text1"/>
              <w:sz w:val="24"/>
              <w14:textFill>
                <w14:solidFill>
                  <w14:schemeClr w14:val="tx1"/>
                </w14:solidFill>
              </w14:textFill>
            </w:rPr>
            <w:tab/>
          </w:r>
          <w:r>
            <w:rPr>
              <w:rFonts w:hint="eastAsia" w:ascii="Times New Roman" w:hAnsi="Times New Roman" w:cs="Times New Roman"/>
              <w:color w:val="000000" w:themeColor="text1"/>
              <w:sz w:val="24"/>
              <w:lang w:val="en-US" w:eastAsia="zh-CN"/>
              <w14:textFill>
                <w14:solidFill>
                  <w14:schemeClr w14:val="tx1"/>
                </w14:solidFill>
              </w14:textFill>
            </w:rPr>
            <w:t>1</w:t>
          </w:r>
          <w:r>
            <w:rPr>
              <w:rFonts w:ascii="Times New Roman" w:hAnsi="Times New Roman" w:cs="Times New Roman"/>
              <w:color w:val="000000" w:themeColor="text1"/>
              <w:sz w:val="24"/>
              <w14:textFill>
                <w14:solidFill>
                  <w14:schemeClr w14:val="tx1"/>
                </w14:solidFill>
              </w14:textFill>
            </w:rPr>
            <w:t>1</w:t>
          </w:r>
          <w:r>
            <w:rPr>
              <w:rFonts w:ascii="Times New Roman" w:hAnsi="Times New Roman" w:cs="Times New Roman"/>
              <w:color w:val="000000" w:themeColor="text1"/>
              <w:sz w:val="24"/>
              <w14:textFill>
                <w14:solidFill>
                  <w14:schemeClr w14:val="tx1"/>
                </w14:solidFill>
              </w14:textFill>
            </w:rPr>
            <w:fldChar w:fldCharType="end"/>
          </w:r>
        </w:p>
        <w:p w14:paraId="162B80D6">
          <w:pPr>
            <w:pStyle w:val="12"/>
            <w:tabs>
              <w:tab w:val="right" w:leader="dot" w:pos="8296"/>
            </w:tabs>
            <w:snapToGrid w:val="0"/>
            <w:spacing w:line="288" w:lineRule="auto"/>
            <w:rPr>
              <w:rFonts w:ascii="Times New Roman" w:hAnsi="Times New Roman" w:cs="Times New Roman"/>
              <w:color w:val="000000" w:themeColor="text1"/>
              <w:sz w:val="24"/>
              <w14:textFill>
                <w14:solidFill>
                  <w14:schemeClr w14:val="tx1"/>
                </w14:solidFill>
              </w14:textFill>
            </w:rPr>
          </w:pPr>
          <w:r>
            <w:fldChar w:fldCharType="begin"/>
          </w:r>
          <w:r>
            <w:instrText xml:space="preserve"> HYPERLINK \l "_Toc524941264" </w:instrText>
          </w:r>
          <w:r>
            <w:fldChar w:fldCharType="separate"/>
          </w:r>
          <w:r>
            <w:rPr>
              <w:rStyle w:val="21"/>
              <w:rFonts w:ascii="Times New Roman" w:hAnsi="Times New Roman" w:cs="Times New Roman"/>
              <w:bCs/>
              <w:iCs/>
              <w:color w:val="000000" w:themeColor="text1"/>
              <w:kern w:val="0"/>
              <w:sz w:val="24"/>
              <w:lang w:val="zh-CN"/>
              <w14:textFill>
                <w14:solidFill>
                  <w14:schemeClr w14:val="tx1"/>
                </w14:solidFill>
              </w14:textFill>
            </w:rPr>
            <w:t>7.1　General requirements</w:t>
          </w:r>
          <w:r>
            <w:rPr>
              <w:rFonts w:ascii="Times New Roman" w:hAnsi="Times New Roman" w:cs="Times New Roman"/>
              <w:color w:val="000000" w:themeColor="text1"/>
              <w:sz w:val="24"/>
              <w14:textFill>
                <w14:solidFill>
                  <w14:schemeClr w14:val="tx1"/>
                </w14:solidFill>
              </w14:textFill>
            </w:rPr>
            <w:tab/>
          </w:r>
          <w:r>
            <w:rPr>
              <w:rFonts w:ascii="Times New Roman" w:hAnsi="Times New Roman" w:cs="Times New Roman"/>
              <w:color w:val="000000" w:themeColor="text1"/>
              <w:sz w:val="24"/>
              <w14:textFill>
                <w14:solidFill>
                  <w14:schemeClr w14:val="tx1"/>
                </w14:solidFill>
              </w14:textFill>
            </w:rPr>
            <w:fldChar w:fldCharType="end"/>
          </w:r>
          <w:r>
            <w:rPr>
              <w:rFonts w:hint="eastAsia" w:ascii="Times New Roman" w:hAnsi="Times New Roman" w:cs="Times New Roman"/>
              <w:color w:val="000000" w:themeColor="text1"/>
              <w:sz w:val="24"/>
              <w:lang w:val="en-US" w:eastAsia="zh-CN"/>
              <w14:textFill>
                <w14:solidFill>
                  <w14:schemeClr w14:val="tx1"/>
                </w14:solidFill>
              </w14:textFill>
            </w:rPr>
            <w:t>1</w:t>
          </w:r>
          <w:r>
            <w:rPr>
              <w:rFonts w:ascii="Times New Roman" w:hAnsi="Times New Roman" w:cs="Times New Roman"/>
              <w:color w:val="000000" w:themeColor="text1"/>
              <w:sz w:val="24"/>
              <w14:textFill>
                <w14:solidFill>
                  <w14:schemeClr w14:val="tx1"/>
                </w14:solidFill>
              </w14:textFill>
            </w:rPr>
            <w:t>1</w:t>
          </w:r>
        </w:p>
        <w:p w14:paraId="08D491E0">
          <w:pPr>
            <w:pStyle w:val="12"/>
            <w:tabs>
              <w:tab w:val="right" w:leader="dot" w:pos="8296"/>
            </w:tabs>
            <w:snapToGrid w:val="0"/>
            <w:spacing w:line="288" w:lineRule="auto"/>
          </w:pPr>
          <w:r>
            <w:fldChar w:fldCharType="begin"/>
          </w:r>
          <w:r>
            <w:instrText xml:space="preserve"> HYPERLINK \l "_Toc524941265" </w:instrText>
          </w:r>
          <w:r>
            <w:fldChar w:fldCharType="separate"/>
          </w:r>
          <w:r>
            <w:rPr>
              <w:rStyle w:val="21"/>
              <w:rFonts w:ascii="Times New Roman" w:hAnsi="Times New Roman" w:cs="Times New Roman"/>
              <w:bCs/>
              <w:iCs/>
              <w:color w:val="000000" w:themeColor="text1"/>
              <w:kern w:val="0"/>
              <w:sz w:val="24"/>
              <w:lang w:val="zh-CN"/>
              <w14:textFill>
                <w14:solidFill>
                  <w14:schemeClr w14:val="tx1"/>
                </w14:solidFill>
              </w14:textFill>
            </w:rPr>
            <w:t>7.2　</w:t>
          </w:r>
          <w:r>
            <w:rPr>
              <w:rStyle w:val="21"/>
              <w:rFonts w:hint="eastAsia" w:ascii="Times New Roman" w:hAnsi="Times New Roman" w:cs="Times New Roman"/>
              <w:bCs/>
              <w:iCs/>
              <w:color w:val="000000" w:themeColor="text1"/>
              <w:kern w:val="0"/>
              <w:sz w:val="24"/>
              <w:lang w:val="zh-CN"/>
              <w14:textFill>
                <w14:solidFill>
                  <w14:schemeClr w14:val="tx1"/>
                </w14:solidFill>
              </w14:textFill>
            </w:rPr>
            <w:t>Material Re-inspection</w:t>
          </w:r>
          <w:r>
            <w:rPr>
              <w:rFonts w:ascii="Times New Roman" w:hAnsi="Times New Roman" w:cs="Times New Roman"/>
              <w:color w:val="000000" w:themeColor="text1"/>
              <w:sz w:val="24"/>
              <w14:textFill>
                <w14:solidFill>
                  <w14:schemeClr w14:val="tx1"/>
                </w14:solidFill>
              </w14:textFill>
            </w:rPr>
            <w:tab/>
          </w:r>
          <w:r>
            <w:rPr>
              <w:rFonts w:ascii="Times New Roman" w:hAnsi="Times New Roman" w:cs="Times New Roman"/>
              <w:color w:val="000000" w:themeColor="text1"/>
              <w:sz w:val="24"/>
              <w14:textFill>
                <w14:solidFill>
                  <w14:schemeClr w14:val="tx1"/>
                </w14:solidFill>
              </w14:textFill>
            </w:rPr>
            <w:fldChar w:fldCharType="end"/>
          </w:r>
          <w:r>
            <w:rPr>
              <w:rFonts w:ascii="Times New Roman" w:hAnsi="Times New Roman" w:cs="Times New Roman"/>
              <w:color w:val="000000" w:themeColor="text1"/>
              <w:sz w:val="24"/>
              <w14:textFill>
                <w14:solidFill>
                  <w14:schemeClr w14:val="tx1"/>
                </w14:solidFill>
              </w14:textFill>
            </w:rPr>
            <w:t>12</w:t>
          </w:r>
        </w:p>
        <w:p w14:paraId="427B449F">
          <w:pPr>
            <w:pStyle w:val="12"/>
            <w:tabs>
              <w:tab w:val="right" w:leader="dot" w:pos="8296"/>
            </w:tabs>
            <w:snapToGrid w:val="0"/>
            <w:spacing w:line="288" w:lineRule="auto"/>
            <w:rPr>
              <w:rFonts w:ascii="Times New Roman" w:hAnsi="Times New Roman" w:cs="Times New Roman"/>
              <w:color w:val="000000" w:themeColor="text1"/>
              <w:sz w:val="24"/>
              <w14:textFill>
                <w14:solidFill>
                  <w14:schemeClr w14:val="tx1"/>
                </w14:solidFill>
              </w14:textFill>
            </w:rPr>
          </w:pPr>
          <w:r>
            <w:fldChar w:fldCharType="begin"/>
          </w:r>
          <w:r>
            <w:instrText xml:space="preserve"> HYPERLINK \l "_Toc524941265" </w:instrText>
          </w:r>
          <w:r>
            <w:fldChar w:fldCharType="separate"/>
          </w:r>
          <w:r>
            <w:rPr>
              <w:rStyle w:val="21"/>
              <w:rFonts w:ascii="Times New Roman" w:hAnsi="Times New Roman" w:cs="Times New Roman"/>
              <w:bCs/>
              <w:iCs/>
              <w:color w:val="000000" w:themeColor="text1"/>
              <w:kern w:val="0"/>
              <w:sz w:val="24"/>
              <w:lang w:val="zh-CN"/>
              <w14:textFill>
                <w14:solidFill>
                  <w14:schemeClr w14:val="tx1"/>
                </w14:solidFill>
              </w14:textFill>
            </w:rPr>
            <w:t>7.</w:t>
          </w:r>
          <w:r>
            <w:rPr>
              <w:rStyle w:val="21"/>
              <w:rFonts w:hint="eastAsia" w:ascii="Times New Roman" w:hAnsi="Times New Roman" w:cs="Times New Roman"/>
              <w:bCs/>
              <w:iCs/>
              <w:color w:val="000000" w:themeColor="text1"/>
              <w:kern w:val="0"/>
              <w:sz w:val="24"/>
              <w:lang w:val="en-US" w:eastAsia="zh-CN"/>
              <w14:textFill>
                <w14:solidFill>
                  <w14:schemeClr w14:val="tx1"/>
                </w14:solidFill>
              </w14:textFill>
            </w:rPr>
            <w:t>3</w:t>
          </w:r>
          <w:r>
            <w:rPr>
              <w:rStyle w:val="21"/>
              <w:rFonts w:ascii="Times New Roman" w:hAnsi="Times New Roman" w:cs="Times New Roman"/>
              <w:bCs/>
              <w:iCs/>
              <w:color w:val="000000" w:themeColor="text1"/>
              <w:kern w:val="0"/>
              <w:sz w:val="24"/>
              <w:lang w:val="zh-CN"/>
              <w14:textFill>
                <w14:solidFill>
                  <w14:schemeClr w14:val="tx1"/>
                </w14:solidFill>
              </w14:textFill>
            </w:rPr>
            <w:t>　Dominant item</w:t>
          </w:r>
          <w:r>
            <w:rPr>
              <w:rStyle w:val="21"/>
              <w:rFonts w:hint="eastAsia" w:ascii="Times New Roman" w:hAnsi="Times New Roman" w:cs="Times New Roman"/>
              <w:bCs/>
              <w:iCs/>
              <w:color w:val="000000" w:themeColor="text1"/>
              <w:kern w:val="0"/>
              <w:sz w:val="24"/>
              <w:lang w:val="zh-CN"/>
              <w14:textFill>
                <w14:solidFill>
                  <w14:schemeClr w14:val="tx1"/>
                </w14:solidFill>
              </w14:textFill>
            </w:rPr>
            <w:t>s</w:t>
          </w:r>
          <w:r>
            <w:rPr>
              <w:rFonts w:ascii="Times New Roman" w:hAnsi="Times New Roman" w:cs="Times New Roman"/>
              <w:color w:val="000000" w:themeColor="text1"/>
              <w:sz w:val="24"/>
              <w14:textFill>
                <w14:solidFill>
                  <w14:schemeClr w14:val="tx1"/>
                </w14:solidFill>
              </w14:textFill>
            </w:rPr>
            <w:tab/>
          </w:r>
          <w:r>
            <w:rPr>
              <w:rFonts w:ascii="Times New Roman" w:hAnsi="Times New Roman" w:cs="Times New Roman"/>
              <w:color w:val="000000" w:themeColor="text1"/>
              <w:sz w:val="24"/>
              <w14:textFill>
                <w14:solidFill>
                  <w14:schemeClr w14:val="tx1"/>
                </w14:solidFill>
              </w14:textFill>
            </w:rPr>
            <w:fldChar w:fldCharType="end"/>
          </w:r>
          <w:r>
            <w:rPr>
              <w:rFonts w:ascii="Times New Roman" w:hAnsi="Times New Roman" w:cs="Times New Roman"/>
              <w:color w:val="000000" w:themeColor="text1"/>
              <w:sz w:val="24"/>
              <w14:textFill>
                <w14:solidFill>
                  <w14:schemeClr w14:val="tx1"/>
                </w14:solidFill>
              </w14:textFill>
            </w:rPr>
            <w:t>12</w:t>
          </w:r>
        </w:p>
        <w:p w14:paraId="708EA7CC">
          <w:pPr>
            <w:pStyle w:val="12"/>
            <w:tabs>
              <w:tab w:val="right" w:leader="dot" w:pos="8296"/>
            </w:tabs>
            <w:snapToGrid w:val="0"/>
            <w:spacing w:line="288" w:lineRule="auto"/>
            <w:rPr>
              <w:rFonts w:ascii="Times New Roman" w:hAnsi="Times New Roman" w:cs="Times New Roman"/>
              <w:color w:val="000000" w:themeColor="text1"/>
              <w:sz w:val="24"/>
              <w14:textFill>
                <w14:solidFill>
                  <w14:schemeClr w14:val="tx1"/>
                </w14:solidFill>
              </w14:textFill>
            </w:rPr>
          </w:pPr>
          <w:r>
            <w:fldChar w:fldCharType="begin"/>
          </w:r>
          <w:r>
            <w:instrText xml:space="preserve"> HYPERLINK \l "_Toc524941265" </w:instrText>
          </w:r>
          <w:r>
            <w:fldChar w:fldCharType="separate"/>
          </w:r>
          <w:r>
            <w:rPr>
              <w:rStyle w:val="21"/>
              <w:rFonts w:ascii="Times New Roman" w:hAnsi="Times New Roman" w:cs="Times New Roman"/>
              <w:bCs/>
              <w:iCs/>
              <w:color w:val="000000" w:themeColor="text1"/>
              <w:kern w:val="0"/>
              <w:sz w:val="24"/>
              <w:lang w:val="zh-CN"/>
              <w14:textFill>
                <w14:solidFill>
                  <w14:schemeClr w14:val="tx1"/>
                </w14:solidFill>
              </w14:textFill>
            </w:rPr>
            <w:t>7.</w:t>
          </w:r>
          <w:r>
            <w:rPr>
              <w:rStyle w:val="21"/>
              <w:rFonts w:hint="eastAsia" w:ascii="Times New Roman" w:hAnsi="Times New Roman" w:cs="Times New Roman"/>
              <w:bCs/>
              <w:iCs/>
              <w:color w:val="000000" w:themeColor="text1"/>
              <w:kern w:val="0"/>
              <w:sz w:val="24"/>
              <w:lang w:val="en-US" w:eastAsia="zh-CN"/>
              <w14:textFill>
                <w14:solidFill>
                  <w14:schemeClr w14:val="tx1"/>
                </w14:solidFill>
              </w14:textFill>
            </w:rPr>
            <w:t>4</w:t>
          </w:r>
          <w:r>
            <w:rPr>
              <w:rStyle w:val="21"/>
              <w:rFonts w:ascii="Times New Roman" w:hAnsi="Times New Roman" w:cs="Times New Roman"/>
              <w:bCs/>
              <w:iCs/>
              <w:color w:val="000000" w:themeColor="text1"/>
              <w:kern w:val="0"/>
              <w:sz w:val="24"/>
              <w:lang w:val="zh-CN"/>
              <w14:textFill>
                <w14:solidFill>
                  <w14:schemeClr w14:val="tx1"/>
                </w14:solidFill>
              </w14:textFill>
            </w:rPr>
            <w:t>　General item</w:t>
          </w:r>
          <w:r>
            <w:rPr>
              <w:rStyle w:val="21"/>
              <w:rFonts w:hint="eastAsia" w:ascii="Times New Roman" w:hAnsi="Times New Roman" w:cs="Times New Roman"/>
              <w:bCs/>
              <w:iCs/>
              <w:color w:val="000000" w:themeColor="text1"/>
              <w:kern w:val="0"/>
              <w:sz w:val="24"/>
              <w:lang w:val="zh-CN"/>
              <w14:textFill>
                <w14:solidFill>
                  <w14:schemeClr w14:val="tx1"/>
                </w14:solidFill>
              </w14:textFill>
            </w:rPr>
            <w:t>s</w:t>
          </w:r>
          <w:r>
            <w:rPr>
              <w:rFonts w:ascii="Times New Roman" w:hAnsi="Times New Roman" w:cs="Times New Roman"/>
              <w:color w:val="000000" w:themeColor="text1"/>
              <w:sz w:val="24"/>
              <w14:textFill>
                <w14:solidFill>
                  <w14:schemeClr w14:val="tx1"/>
                </w14:solidFill>
              </w14:textFill>
            </w:rPr>
            <w:tab/>
          </w:r>
          <w:r>
            <w:rPr>
              <w:rFonts w:ascii="Times New Roman" w:hAnsi="Times New Roman" w:cs="Times New Roman"/>
              <w:color w:val="000000" w:themeColor="text1"/>
              <w:sz w:val="24"/>
              <w14:textFill>
                <w14:solidFill>
                  <w14:schemeClr w14:val="tx1"/>
                </w14:solidFill>
              </w14:textFill>
            </w:rPr>
            <w:fldChar w:fldCharType="end"/>
          </w:r>
          <w:r>
            <w:rPr>
              <w:rFonts w:hint="eastAsia" w:ascii="Times New Roman" w:hAnsi="Times New Roman" w:cs="Times New Roman"/>
              <w:color w:val="000000" w:themeColor="text1"/>
              <w:sz w:val="24"/>
              <w:lang w:val="en-US" w:eastAsia="zh-CN"/>
              <w14:textFill>
                <w14:solidFill>
                  <w14:schemeClr w14:val="tx1"/>
                </w14:solidFill>
              </w14:textFill>
            </w:rPr>
            <w:t>1</w:t>
          </w:r>
          <w:r>
            <w:rPr>
              <w:rFonts w:ascii="Times New Roman" w:hAnsi="Times New Roman" w:cs="Times New Roman"/>
              <w:color w:val="000000" w:themeColor="text1"/>
              <w:sz w:val="24"/>
              <w14:textFill>
                <w14:solidFill>
                  <w14:schemeClr w14:val="tx1"/>
                </w14:solidFill>
              </w14:textFill>
            </w:rPr>
            <w:t>2</w:t>
          </w:r>
        </w:p>
        <w:p w14:paraId="6C5A7016">
          <w:pPr>
            <w:pStyle w:val="11"/>
            <w:tabs>
              <w:tab w:val="right" w:leader="dot" w:pos="8296"/>
            </w:tabs>
            <w:snapToGrid w:val="0"/>
            <w:spacing w:line="288" w:lineRule="auto"/>
            <w:rPr>
              <w:rFonts w:hint="eastAsia" w:ascii="Times New Roman" w:hAnsi="Times New Roman" w:cs="Times New Roman" w:eastAsiaTheme="minorEastAsia"/>
              <w:color w:val="000000" w:themeColor="text1"/>
              <w:sz w:val="24"/>
              <w:lang w:val="en-US" w:eastAsia="zh-CN"/>
              <w14:textFill>
                <w14:solidFill>
                  <w14:schemeClr w14:val="tx1"/>
                </w14:solidFill>
              </w14:textFill>
            </w:rPr>
          </w:pPr>
          <w:r>
            <w:fldChar w:fldCharType="begin"/>
          </w:r>
          <w:r>
            <w:instrText xml:space="preserve"> HYPERLINK \l "_Toc524941268" </w:instrText>
          </w:r>
          <w:r>
            <w:fldChar w:fldCharType="separate"/>
          </w:r>
          <w:r>
            <w:rPr>
              <w:rFonts w:ascii="Times New Roman" w:hAnsi="Times New Roman" w:cs="Times New Roman"/>
              <w:sz w:val="24"/>
            </w:rPr>
            <w:t>Appendix A</w:t>
          </w:r>
          <w:r>
            <w:rPr>
              <w:rFonts w:hint="eastAsia" w:ascii="Times New Roman" w:hAnsi="Times New Roman" w:cs="Times New Roman"/>
              <w:sz w:val="24"/>
              <w:lang w:val="en-US" w:eastAsia="zh-CN"/>
            </w:rPr>
            <w:t xml:space="preserve"> </w:t>
          </w:r>
          <w:r>
            <w:rPr>
              <w:rFonts w:hint="eastAsia" w:ascii="Times New Roman" w:hAnsi="Times New Roman" w:cs="Times New Roman"/>
              <w:sz w:val="24"/>
            </w:rPr>
            <w:t>Chemical composition analysis method of liquid harder for concrete</w:t>
          </w:r>
          <w:r>
            <w:rPr>
              <w:rFonts w:ascii="Times New Roman" w:hAnsi="Times New Roman" w:cs="Times New Roman"/>
              <w:color w:val="000000" w:themeColor="text1"/>
              <w:sz w:val="24"/>
              <w14:textFill>
                <w14:solidFill>
                  <w14:schemeClr w14:val="tx1"/>
                </w14:solidFill>
              </w14:textFill>
            </w:rPr>
            <w:tab/>
          </w:r>
          <w:r>
            <w:rPr>
              <w:rFonts w:hint="eastAsia" w:ascii="Times New Roman" w:hAnsi="Times New Roman" w:cs="Times New Roman"/>
              <w:color w:val="000000" w:themeColor="text1"/>
              <w:sz w:val="24"/>
              <w:lang w:val="en-US" w:eastAsia="zh-CN"/>
              <w14:textFill>
                <w14:solidFill>
                  <w14:schemeClr w14:val="tx1"/>
                </w14:solidFill>
              </w14:textFill>
            </w:rPr>
            <w:t>1</w:t>
          </w:r>
          <w:r>
            <w:rPr>
              <w:rFonts w:ascii="Times New Roman" w:hAnsi="Times New Roman" w:cs="Times New Roman"/>
              <w:color w:val="000000" w:themeColor="text1"/>
              <w:sz w:val="24"/>
              <w14:textFill>
                <w14:solidFill>
                  <w14:schemeClr w14:val="tx1"/>
                </w14:solidFill>
              </w14:textFill>
            </w:rPr>
            <w:fldChar w:fldCharType="end"/>
          </w:r>
          <w:r>
            <w:rPr>
              <w:rFonts w:hint="eastAsia" w:ascii="Times New Roman" w:hAnsi="Times New Roman" w:cs="Times New Roman"/>
              <w:color w:val="000000" w:themeColor="text1"/>
              <w:sz w:val="24"/>
              <w:lang w:val="en-US" w:eastAsia="zh-CN"/>
              <w14:textFill>
                <w14:solidFill>
                  <w14:schemeClr w14:val="tx1"/>
                </w14:solidFill>
              </w14:textFill>
            </w:rPr>
            <w:t>2</w:t>
          </w:r>
        </w:p>
        <w:p w14:paraId="5EDDAB60">
          <w:pPr>
            <w:pStyle w:val="11"/>
            <w:tabs>
              <w:tab w:val="right" w:leader="dot" w:pos="8296"/>
            </w:tabs>
            <w:snapToGrid w:val="0"/>
            <w:spacing w:line="288" w:lineRule="auto"/>
            <w:rPr>
              <w:rFonts w:hint="default" w:ascii="Times New Roman" w:hAnsi="Times New Roman" w:cs="Times New Roman" w:eastAsiaTheme="minorEastAsia"/>
              <w:color w:val="000000" w:themeColor="text1"/>
              <w:sz w:val="24"/>
              <w:u w:val="single"/>
              <w:lang w:val="en-US" w:eastAsia="zh-CN"/>
              <w14:textFill>
                <w14:solidFill>
                  <w14:schemeClr w14:val="tx1"/>
                </w14:solidFill>
              </w14:textFill>
            </w:rPr>
          </w:pPr>
          <w:r>
            <w:rPr>
              <w:rFonts w:ascii="Times New Roman" w:hAnsi="Times New Roman" w:cs="Times New Roman"/>
              <w:sz w:val="24"/>
            </w:rPr>
            <w:t>Explanation of wording</w:t>
          </w:r>
          <w:r>
            <w:rPr>
              <w:rFonts w:ascii="Times New Roman" w:hAnsi="Times New Roman" w:cs="Times New Roman"/>
              <w:color w:val="000000" w:themeColor="text1"/>
              <w:sz w:val="24"/>
              <w14:textFill>
                <w14:solidFill>
                  <w14:schemeClr w14:val="tx1"/>
                </w14:solidFill>
              </w14:textFill>
            </w:rPr>
            <w:tab/>
          </w:r>
          <w:r>
            <w:rPr>
              <w:rFonts w:hint="eastAsia" w:ascii="Times New Roman" w:hAnsi="Times New Roman" w:cs="Times New Roman"/>
              <w:color w:val="000000" w:themeColor="text1"/>
              <w:sz w:val="24"/>
              <w:lang w:val="en-US" w:eastAsia="zh-CN"/>
              <w14:textFill>
                <w14:solidFill>
                  <w14:schemeClr w14:val="tx1"/>
                </w14:solidFill>
              </w14:textFill>
            </w:rPr>
            <w:t>13</w:t>
          </w:r>
        </w:p>
        <w:p w14:paraId="4ADAF416">
          <w:pPr>
            <w:pStyle w:val="11"/>
            <w:tabs>
              <w:tab w:val="right" w:leader="dot" w:pos="8296"/>
            </w:tabs>
            <w:snapToGrid w:val="0"/>
            <w:spacing w:line="288" w:lineRule="auto"/>
            <w:rPr>
              <w:rStyle w:val="21"/>
              <w:rFonts w:hint="default" w:ascii="Times New Roman" w:hAnsi="Times New Roman" w:cs="Times New Roman" w:eastAsiaTheme="minorEastAsia"/>
              <w:color w:val="000000" w:themeColor="text1"/>
              <w:sz w:val="24"/>
              <w:lang w:val="en-US" w:eastAsia="zh-CN"/>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List of quoted standards</w:t>
          </w:r>
          <w:r>
            <w:rPr>
              <w:rFonts w:ascii="Times New Roman" w:hAnsi="Times New Roman" w:cs="Times New Roman"/>
              <w:color w:val="000000" w:themeColor="text1"/>
              <w:sz w:val="24"/>
              <w14:textFill>
                <w14:solidFill>
                  <w14:schemeClr w14:val="tx1"/>
                </w14:solidFill>
              </w14:textFill>
            </w:rPr>
            <w:tab/>
          </w:r>
          <w:r>
            <w:rPr>
              <w:rFonts w:hint="eastAsia" w:ascii="Times New Roman" w:hAnsi="Times New Roman" w:cs="Times New Roman"/>
              <w:color w:val="000000" w:themeColor="text1"/>
              <w:sz w:val="24"/>
              <w:lang w:val="en-US" w:eastAsia="zh-CN"/>
              <w14:textFill>
                <w14:solidFill>
                  <w14:schemeClr w14:val="tx1"/>
                </w14:solidFill>
              </w14:textFill>
            </w:rPr>
            <w:t>15</w:t>
          </w:r>
        </w:p>
        <w:p w14:paraId="74151845">
          <w:pPr>
            <w:pStyle w:val="11"/>
            <w:tabs>
              <w:tab w:val="right" w:leader="dot" w:pos="8296"/>
            </w:tabs>
            <w:snapToGrid w:val="0"/>
            <w:spacing w:line="288" w:lineRule="auto"/>
            <w:rPr>
              <w:rStyle w:val="21"/>
              <w:rFonts w:hint="eastAsia" w:ascii="Times New Roman" w:hAnsi="Times New Roman" w:cs="Times New Roman" w:eastAsiaTheme="minorEastAsia"/>
              <w:color w:val="000000" w:themeColor="text1"/>
              <w:sz w:val="24"/>
              <w:lang w:val="en-US" w:eastAsia="zh-CN"/>
              <w14:textFill>
                <w14:solidFill>
                  <w14:schemeClr w14:val="tx1"/>
                </w14:solidFill>
              </w14:textFill>
            </w:rPr>
          </w:pPr>
          <w:r>
            <w:fldChar w:fldCharType="begin"/>
          </w:r>
          <w:r>
            <w:instrText xml:space="preserve"> HYPERLINK \l "_Toc524941269" </w:instrText>
          </w:r>
          <w:r>
            <w:fldChar w:fldCharType="separate"/>
          </w:r>
          <w:r>
            <w:rPr>
              <w:rFonts w:ascii="Times New Roman" w:hAnsi="Times New Roman" w:cs="Times New Roman"/>
              <w:color w:val="000000" w:themeColor="text1"/>
              <w:sz w:val="24"/>
              <w14:textFill>
                <w14:solidFill>
                  <w14:schemeClr w14:val="tx1"/>
                </w14:solidFill>
              </w14:textFill>
            </w:rPr>
            <w:t>Addition：Explanation of provisions</w:t>
          </w:r>
          <w:r>
            <w:rPr>
              <w:rFonts w:ascii="Times New Roman" w:hAnsi="Times New Roman" w:cs="Times New Roman"/>
              <w:color w:val="000000" w:themeColor="text1"/>
              <w:sz w:val="24"/>
              <w14:textFill>
                <w14:solidFill>
                  <w14:schemeClr w14:val="tx1"/>
                </w14:solidFill>
              </w14:textFill>
            </w:rPr>
            <w:tab/>
          </w:r>
          <w:r>
            <w:rPr>
              <w:rFonts w:hint="eastAsia" w:ascii="Times New Roman" w:hAnsi="Times New Roman" w:cs="Times New Roman"/>
              <w:color w:val="000000" w:themeColor="text1"/>
              <w:sz w:val="24"/>
              <w:lang w:val="en-US" w:eastAsia="zh-CN"/>
              <w14:textFill>
                <w14:solidFill>
                  <w14:schemeClr w14:val="tx1"/>
                </w14:solidFill>
              </w14:textFill>
            </w:rPr>
            <w:t>1</w:t>
          </w:r>
          <w:r>
            <w:rPr>
              <w:rFonts w:ascii="Times New Roman" w:hAnsi="Times New Roman" w:cs="Times New Roman"/>
              <w:color w:val="000000" w:themeColor="text1"/>
              <w:sz w:val="24"/>
              <w14:textFill>
                <w14:solidFill>
                  <w14:schemeClr w14:val="tx1"/>
                </w14:solidFill>
              </w14:textFill>
            </w:rPr>
            <w:fldChar w:fldCharType="end"/>
          </w:r>
          <w:r>
            <w:rPr>
              <w:rFonts w:hint="eastAsia" w:ascii="Times New Roman" w:hAnsi="Times New Roman" w:cs="Times New Roman"/>
              <w:color w:val="000000" w:themeColor="text1"/>
              <w:sz w:val="24"/>
              <w:lang w:val="en-US" w:eastAsia="zh-CN"/>
              <w14:textFill>
                <w14:solidFill>
                  <w14:schemeClr w14:val="tx1"/>
                </w14:solidFill>
              </w14:textFill>
            </w:rPr>
            <w:t>6</w:t>
          </w:r>
        </w:p>
        <w:p w14:paraId="06818950">
          <w:pPr>
            <w:snapToGrid w:val="0"/>
            <w:spacing w:line="288" w:lineRule="auto"/>
            <w:rPr>
              <w:rFonts w:ascii="Times New Roman" w:hAnsi="Times New Roman" w:cs="Times New Roman"/>
              <w:b/>
              <w:bCs/>
              <w:color w:val="000000" w:themeColor="text1"/>
              <w:lang w:val="zh-CN"/>
              <w14:textFill>
                <w14:solidFill>
                  <w14:schemeClr w14:val="tx1"/>
                </w14:solidFill>
              </w14:textFill>
            </w:rPr>
          </w:pPr>
          <w:r>
            <w:rPr>
              <w:rFonts w:ascii="Times New Roman" w:hAnsi="Times New Roman" w:cs="Times New Roman"/>
              <w:b/>
              <w:bCs/>
              <w:color w:val="000000" w:themeColor="text1"/>
              <w:sz w:val="24"/>
              <w:lang w:val="zh-CN"/>
              <w14:textFill>
                <w14:solidFill>
                  <w14:schemeClr w14:val="tx1"/>
                </w14:solidFill>
              </w14:textFill>
            </w:rPr>
            <w:fldChar w:fldCharType="end"/>
          </w:r>
        </w:p>
      </w:sdtContent>
    </w:sdt>
    <w:p w14:paraId="4F285C65">
      <w:pPr>
        <w:pStyle w:val="2"/>
        <w:keepNext w:val="0"/>
        <w:keepLines w:val="0"/>
        <w:snapToGrid w:val="0"/>
        <w:spacing w:before="0" w:after="0" w:line="312" w:lineRule="auto"/>
        <w:jc w:val="center"/>
        <w:rPr>
          <w:rFonts w:ascii="Times New Roman" w:hAnsi="Times New Roman" w:eastAsia="宋体" w:cs="Times New Roman"/>
          <w:b/>
          <w:color w:val="000000" w:themeColor="text1"/>
          <w:sz w:val="28"/>
          <w:szCs w:val="28"/>
          <w:lang w:val="zh-CN"/>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1A67533E">
      <w:pPr>
        <w:pStyle w:val="2"/>
        <w:keepNext w:val="0"/>
        <w:keepLines w:val="0"/>
        <w:snapToGrid w:val="0"/>
        <w:spacing w:before="312" w:beforeLines="100" w:after="312" w:afterLines="100" w:line="360" w:lineRule="auto"/>
        <w:jc w:val="center"/>
        <w:rPr>
          <w:rFonts w:ascii="Times New Roman" w:hAnsi="Times New Roman" w:eastAsia="宋体" w:cs="Times New Roman"/>
          <w:b/>
          <w:color w:val="000000" w:themeColor="text1"/>
          <w:sz w:val="32"/>
          <w:szCs w:val="28"/>
          <w:lang w:val="zh-CN"/>
          <w14:textFill>
            <w14:solidFill>
              <w14:schemeClr w14:val="tx1"/>
            </w14:solidFill>
          </w14:textFill>
        </w:rPr>
      </w:pPr>
      <w:bookmarkStart w:id="17" w:name="_Toc533422967"/>
      <w:bookmarkStart w:id="18" w:name="_Toc533422607"/>
      <w:bookmarkStart w:id="19" w:name="_Toc99353158"/>
      <w:bookmarkStart w:id="20" w:name="_Toc533422737"/>
      <w:bookmarkStart w:id="21" w:name="_Toc21207"/>
      <w:bookmarkStart w:id="22" w:name="OLE_LINK2"/>
      <w:r>
        <w:rPr>
          <w:rFonts w:ascii="Times New Roman" w:hAnsi="Times New Roman" w:eastAsia="宋体" w:cs="Times New Roman"/>
          <w:b/>
          <w:color w:val="000000" w:themeColor="text1"/>
          <w:sz w:val="32"/>
          <w:szCs w:val="28"/>
          <w:lang w:val="zh-CN"/>
          <w14:textFill>
            <w14:solidFill>
              <w14:schemeClr w14:val="tx1"/>
            </w14:solidFill>
          </w14:textFill>
        </w:rPr>
        <w:t>1　总　　则</w:t>
      </w:r>
      <w:bookmarkEnd w:id="17"/>
      <w:bookmarkEnd w:id="18"/>
      <w:bookmarkEnd w:id="19"/>
      <w:bookmarkEnd w:id="20"/>
      <w:bookmarkEnd w:id="21"/>
    </w:p>
    <w:p w14:paraId="1DA2C0F0">
      <w:pPr>
        <w:spacing w:line="360"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1.0.1　</w:t>
      </w:r>
      <w:r>
        <w:rPr>
          <w:rFonts w:ascii="Times New Roman" w:hAnsi="Times New Roman" w:cs="Times New Roman"/>
          <w:sz w:val="24"/>
        </w:rPr>
        <w:t>为</w:t>
      </w:r>
      <w:r>
        <w:rPr>
          <w:rFonts w:hint="eastAsia" w:ascii="Times New Roman" w:hAnsi="Times New Roman" w:cs="Times New Roman"/>
          <w:sz w:val="24"/>
        </w:rPr>
        <w:t>使</w:t>
      </w:r>
      <w:bookmarkStart w:id="23" w:name="OLE_LINK4"/>
      <w:r>
        <w:rPr>
          <w:rFonts w:hint="eastAsia" w:ascii="Times New Roman" w:hAnsi="Times New Roman" w:cs="Times New Roman"/>
          <w:sz w:val="24"/>
        </w:rPr>
        <w:t>混凝土地面用水泥基耐磨硬化材料</w:t>
      </w:r>
      <w:bookmarkEnd w:id="23"/>
      <w:r>
        <w:rPr>
          <w:rFonts w:hint="eastAsia" w:ascii="Times New Roman" w:hAnsi="Times New Roman" w:cs="Times New Roman"/>
          <w:sz w:val="24"/>
        </w:rPr>
        <w:t>在工程</w:t>
      </w:r>
      <w:r>
        <w:rPr>
          <w:rFonts w:ascii="Times New Roman" w:hAnsi="Times New Roman" w:cs="Times New Roman"/>
          <w:sz w:val="24"/>
        </w:rPr>
        <w:t>做到技术先进、安全适用、经济合理</w:t>
      </w:r>
      <w:r>
        <w:rPr>
          <w:rFonts w:hint="eastAsia" w:ascii="Times New Roman" w:hAnsi="Times New Roman" w:cs="Times New Roman"/>
          <w:sz w:val="24"/>
        </w:rPr>
        <w:t>、确保质量</w:t>
      </w:r>
      <w:r>
        <w:rPr>
          <w:rFonts w:ascii="Times New Roman" w:hAnsi="Times New Roman" w:cs="Times New Roman"/>
          <w:sz w:val="24"/>
        </w:rPr>
        <w:t>，制定本规程。</w:t>
      </w:r>
    </w:p>
    <w:p w14:paraId="547FC628">
      <w:pPr>
        <w:spacing w:line="360"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1.0.2</w:t>
      </w:r>
      <w:r>
        <w:rPr>
          <w:rFonts w:ascii="Times New Roman" w:hAnsi="Times New Roman" w:cs="Times New Roman"/>
          <w:color w:val="000000" w:themeColor="text1"/>
          <w:sz w:val="24"/>
          <w14:textFill>
            <w14:solidFill>
              <w14:schemeClr w14:val="tx1"/>
            </w14:solidFill>
          </w14:textFill>
        </w:rPr>
        <w:t>　本规程适用于</w:t>
      </w:r>
      <w:r>
        <w:rPr>
          <w:rFonts w:hint="eastAsia" w:ascii="Times New Roman" w:hAnsi="Times New Roman" w:cs="Times New Roman"/>
          <w:sz w:val="24"/>
        </w:rPr>
        <w:t>混凝土地面用水泥基耐磨硬化材料在</w:t>
      </w:r>
      <w:r>
        <w:rPr>
          <w:rFonts w:ascii="Times New Roman" w:hAnsi="Times New Roman" w:cs="Times New Roman"/>
          <w:color w:val="000000" w:themeColor="text1"/>
          <w:sz w:val="24"/>
          <w14:textFill>
            <w14:solidFill>
              <w14:schemeClr w14:val="tx1"/>
            </w14:solidFill>
          </w14:textFill>
        </w:rPr>
        <w:t>新建、改建和扩建的地坪</w:t>
      </w:r>
      <w:r>
        <w:rPr>
          <w:rFonts w:ascii="Times New Roman" w:hAnsi="Times New Roman" w:cs="Times New Roman"/>
          <w:sz w:val="24"/>
        </w:rPr>
        <w:t>工程</w:t>
      </w:r>
      <w:r>
        <w:rPr>
          <w:rFonts w:hint="eastAsia" w:ascii="Times New Roman" w:hAnsi="Times New Roman" w:cs="Times New Roman"/>
          <w:sz w:val="24"/>
        </w:rPr>
        <w:t>应用过程中的工程</w:t>
      </w:r>
      <w:r>
        <w:rPr>
          <w:rFonts w:ascii="Times New Roman" w:hAnsi="Times New Roman" w:cs="Times New Roman"/>
          <w:sz w:val="24"/>
        </w:rPr>
        <w:t>设计、施工</w:t>
      </w:r>
      <w:r>
        <w:rPr>
          <w:rFonts w:hint="eastAsia" w:ascii="Times New Roman" w:hAnsi="Times New Roman" w:cs="Times New Roman"/>
          <w:sz w:val="24"/>
        </w:rPr>
        <w:t>和</w:t>
      </w:r>
      <w:r>
        <w:rPr>
          <w:rFonts w:ascii="Times New Roman" w:hAnsi="Times New Roman" w:cs="Times New Roman"/>
          <w:sz w:val="24"/>
        </w:rPr>
        <w:t>质量验收</w:t>
      </w:r>
      <w:r>
        <w:rPr>
          <w:rFonts w:hint="eastAsia" w:ascii="Times New Roman" w:hAnsi="Times New Roman" w:cs="Times New Roman"/>
          <w:sz w:val="24"/>
        </w:rPr>
        <w:t>。</w:t>
      </w:r>
    </w:p>
    <w:p w14:paraId="06BD14A4">
      <w:pPr>
        <w:spacing w:line="360"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1.0.3　</w:t>
      </w:r>
      <w:r>
        <w:rPr>
          <w:rFonts w:hint="eastAsia" w:ascii="Times New Roman" w:hAnsi="Times New Roman" w:cs="Times New Roman"/>
          <w:sz w:val="24"/>
        </w:rPr>
        <w:t>混凝土地面用水泥基耐磨硬化</w:t>
      </w:r>
      <w:r>
        <w:rPr>
          <w:rFonts w:hint="eastAsia" w:ascii="Times New Roman" w:hAnsi="Times New Roman" w:cs="Times New Roman"/>
          <w:sz w:val="24"/>
          <w:lang w:val="en-US" w:eastAsia="zh-CN"/>
        </w:rPr>
        <w:t>地坪</w:t>
      </w:r>
      <w:r>
        <w:rPr>
          <w:rFonts w:ascii="Times New Roman" w:hAnsi="Times New Roman" w:cs="Times New Roman"/>
          <w:sz w:val="24"/>
        </w:rPr>
        <w:t>的</w:t>
      </w:r>
      <w:r>
        <w:rPr>
          <w:rFonts w:hint="eastAsia"/>
          <w:sz w:val="24"/>
        </w:rPr>
        <w:t>材料、设计、施工、验收、维护和保养</w:t>
      </w:r>
      <w:r>
        <w:rPr>
          <w:rFonts w:ascii="Times New Roman" w:hAnsi="Times New Roman" w:cs="Times New Roman"/>
          <w:sz w:val="24"/>
        </w:rPr>
        <w:t>除</w:t>
      </w:r>
      <w:r>
        <w:rPr>
          <w:rFonts w:hint="eastAsia" w:ascii="Times New Roman" w:hAnsi="Times New Roman" w:cs="Times New Roman"/>
          <w:sz w:val="24"/>
        </w:rPr>
        <w:t>应</w:t>
      </w:r>
      <w:r>
        <w:rPr>
          <w:rFonts w:ascii="Times New Roman" w:hAnsi="Times New Roman" w:cs="Times New Roman"/>
          <w:sz w:val="24"/>
        </w:rPr>
        <w:t>符合本规程</w:t>
      </w:r>
      <w:r>
        <w:rPr>
          <w:rFonts w:hint="eastAsia" w:ascii="Times New Roman" w:hAnsi="Times New Roman" w:cs="Times New Roman"/>
          <w:sz w:val="24"/>
        </w:rPr>
        <w:t>规定</w:t>
      </w:r>
      <w:r>
        <w:rPr>
          <w:rFonts w:ascii="Times New Roman" w:hAnsi="Times New Roman" w:cs="Times New Roman"/>
          <w:sz w:val="24"/>
        </w:rPr>
        <w:t>外，尚应符合国家现行有关标准</w:t>
      </w:r>
      <w:bookmarkStart w:id="24" w:name="OLE_LINK27"/>
      <w:bookmarkStart w:id="25" w:name="OLE_LINK26"/>
      <w:r>
        <w:rPr>
          <w:rFonts w:hint="eastAsia" w:ascii="Times New Roman" w:hAnsi="Times New Roman" w:cs="Times New Roman"/>
          <w:sz w:val="24"/>
        </w:rPr>
        <w:t>和现行中国工程建设标准化协会</w:t>
      </w:r>
      <w:bookmarkEnd w:id="24"/>
      <w:bookmarkEnd w:id="25"/>
      <w:r>
        <w:rPr>
          <w:rFonts w:hint="eastAsia" w:ascii="Times New Roman" w:hAnsi="Times New Roman" w:cs="Times New Roman"/>
          <w:sz w:val="24"/>
        </w:rPr>
        <w:t>有关标准</w:t>
      </w:r>
      <w:r>
        <w:rPr>
          <w:rFonts w:ascii="Times New Roman" w:hAnsi="Times New Roman" w:cs="Times New Roman"/>
          <w:sz w:val="24"/>
        </w:rPr>
        <w:t>的规定。</w:t>
      </w:r>
    </w:p>
    <w:p w14:paraId="61B4095E">
      <w:pPr>
        <w:spacing w:line="312" w:lineRule="auto"/>
        <w:jc w:val="left"/>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br w:type="page"/>
      </w:r>
    </w:p>
    <w:p w14:paraId="3B476999">
      <w:pPr>
        <w:pStyle w:val="2"/>
        <w:keepNext w:val="0"/>
        <w:keepLines w:val="0"/>
        <w:snapToGrid w:val="0"/>
        <w:spacing w:before="312" w:beforeLines="100" w:after="312" w:afterLines="100" w:line="360" w:lineRule="auto"/>
        <w:jc w:val="center"/>
        <w:rPr>
          <w:rFonts w:ascii="Times New Roman" w:hAnsi="Times New Roman" w:eastAsia="宋体" w:cs="Times New Roman"/>
          <w:b/>
          <w:color w:val="000000" w:themeColor="text1"/>
          <w:sz w:val="32"/>
          <w:szCs w:val="28"/>
          <w14:textFill>
            <w14:solidFill>
              <w14:schemeClr w14:val="tx1"/>
            </w14:solidFill>
          </w14:textFill>
        </w:rPr>
      </w:pPr>
      <w:bookmarkStart w:id="26" w:name="_Toc533422608"/>
      <w:bookmarkStart w:id="27" w:name="_Toc99353159"/>
      <w:bookmarkStart w:id="28" w:name="_Toc533422968"/>
      <w:bookmarkStart w:id="29" w:name="_Toc533422738"/>
      <w:bookmarkStart w:id="30" w:name="_Toc9258"/>
      <w:bookmarkStart w:id="31" w:name="_Hlk209878896"/>
      <w:bookmarkStart w:id="32" w:name="OLE_LINK28"/>
      <w:r>
        <w:rPr>
          <w:rFonts w:ascii="Times New Roman" w:hAnsi="Times New Roman" w:eastAsia="宋体" w:cs="Times New Roman"/>
          <w:b/>
          <w:color w:val="000000" w:themeColor="text1"/>
          <w:sz w:val="32"/>
          <w:szCs w:val="28"/>
          <w14:textFill>
            <w14:solidFill>
              <w14:schemeClr w14:val="tx1"/>
            </w14:solidFill>
          </w14:textFill>
        </w:rPr>
        <w:t>2</w:t>
      </w:r>
      <w:r>
        <w:rPr>
          <w:rFonts w:ascii="Times New Roman" w:hAnsi="Times New Roman" w:eastAsia="宋体" w:cs="Times New Roman"/>
          <w:b/>
          <w:color w:val="000000" w:themeColor="text1"/>
          <w:sz w:val="32"/>
          <w:szCs w:val="28"/>
          <w:lang w:val="zh-CN"/>
          <w14:textFill>
            <w14:solidFill>
              <w14:schemeClr w14:val="tx1"/>
            </w14:solidFill>
          </w14:textFill>
        </w:rPr>
        <w:t>　术　　语</w:t>
      </w:r>
      <w:bookmarkEnd w:id="26"/>
      <w:bookmarkEnd w:id="27"/>
      <w:bookmarkEnd w:id="28"/>
      <w:bookmarkEnd w:id="29"/>
      <w:bookmarkEnd w:id="30"/>
    </w:p>
    <w:bookmarkEnd w:id="31"/>
    <w:bookmarkEnd w:id="32"/>
    <w:p w14:paraId="2EC4C18F">
      <w:pPr>
        <w:pStyle w:val="35"/>
        <w:numPr>
          <w:ilvl w:val="0"/>
          <w:numId w:val="3"/>
        </w:numPr>
        <w:spacing w:line="312" w:lineRule="auto"/>
        <w:ind w:firstLineChars="0"/>
        <w:rPr>
          <w:rFonts w:ascii="Times New Roman" w:hAnsi="Times New Roman" w:cs="Times New Roman"/>
          <w:color w:val="000000" w:themeColor="text1"/>
          <w:sz w:val="24"/>
          <w14:textFill>
            <w14:solidFill>
              <w14:schemeClr w14:val="tx1"/>
            </w14:solidFill>
          </w14:textFill>
        </w:rPr>
      </w:pPr>
      <w:bookmarkStart w:id="33" w:name="OLE_LINK100"/>
      <w:bookmarkStart w:id="34" w:name="OLE_LINK101"/>
      <w:bookmarkStart w:id="35" w:name="_Hlk209879044"/>
      <w:r>
        <w:rPr>
          <w:rFonts w:hint="eastAsia" w:ascii="Times New Roman" w:hAnsi="Times New Roman" w:cs="Times New Roman"/>
          <w:color w:val="000000" w:themeColor="text1"/>
          <w:sz w:val="24"/>
          <w14:textFill>
            <w14:solidFill>
              <w14:schemeClr w14:val="tx1"/>
            </w14:solidFill>
          </w14:textFill>
        </w:rPr>
        <w:t>混凝土地面用</w:t>
      </w:r>
      <w:bookmarkStart w:id="36" w:name="OLE_LINK15"/>
      <w:bookmarkStart w:id="37" w:name="OLE_LINK16"/>
      <w:r>
        <w:rPr>
          <w:rFonts w:hint="eastAsia" w:ascii="Times New Roman" w:hAnsi="Times New Roman" w:cs="Times New Roman"/>
          <w:color w:val="000000" w:themeColor="text1"/>
          <w:sz w:val="24"/>
          <w14:textFill>
            <w14:solidFill>
              <w14:schemeClr w14:val="tx1"/>
            </w14:solidFill>
          </w14:textFill>
        </w:rPr>
        <w:t>耐磨硬化地坪</w:t>
      </w:r>
      <w:bookmarkEnd w:id="33"/>
      <w:bookmarkEnd w:id="34"/>
      <w:bookmarkEnd w:id="36"/>
      <w:bookmarkEnd w:id="37"/>
      <w:r>
        <w:rPr>
          <w:rFonts w:ascii="Times New Roman" w:hAnsi="Times New Roman" w:cs="Times New Roman"/>
          <w:color w:val="000000" w:themeColor="text1"/>
          <w:sz w:val="24"/>
          <w14:textFill>
            <w14:solidFill>
              <w14:schemeClr w14:val="tx1"/>
            </w14:solidFill>
          </w14:textFill>
        </w:rPr>
        <w:t>wear-resistant harding materials for concrete</w:t>
      </w:r>
    </w:p>
    <w:p w14:paraId="29ECD896">
      <w:pPr>
        <w:spacing w:line="312" w:lineRule="auto"/>
        <w:ind w:firstLine="480" w:firstLineChars="200"/>
        <w:rPr>
          <w:rFonts w:hint="eastAsia" w:ascii="Times New Roman" w:hAnsi="Times New Roman" w:cs="Times New Roman"/>
          <w:sz w:val="24"/>
        </w:rPr>
      </w:pPr>
      <w:r>
        <w:rPr>
          <w:rFonts w:hint="eastAsia" w:ascii="Times New Roman" w:hAnsi="Times New Roman" w:cs="Times New Roman"/>
          <w:sz w:val="24"/>
          <w:lang w:val="en-US" w:eastAsia="zh-CN"/>
        </w:rPr>
        <w:t>在</w:t>
      </w:r>
      <w:r>
        <w:rPr>
          <w:rFonts w:hint="eastAsia" w:ascii="Times New Roman" w:hAnsi="Times New Roman" w:cs="Times New Roman"/>
          <w:sz w:val="24"/>
        </w:rPr>
        <w:t>混凝土</w:t>
      </w:r>
      <w:r>
        <w:rPr>
          <w:rFonts w:hint="eastAsia" w:ascii="Times New Roman" w:hAnsi="Times New Roman" w:cs="Times New Roman"/>
          <w:sz w:val="24"/>
          <w:lang w:val="en-US" w:eastAsia="zh-CN"/>
        </w:rPr>
        <w:t>上干撒或湿拌摊铺</w:t>
      </w:r>
      <w:r>
        <w:rPr>
          <w:rFonts w:hint="eastAsia" w:ascii="Times New Roman" w:hAnsi="Times New Roman" w:cs="Times New Roman"/>
          <w:sz w:val="24"/>
        </w:rPr>
        <w:t>混凝土地面用水泥基耐磨材料</w:t>
      </w:r>
      <w:r>
        <w:rPr>
          <w:rFonts w:hint="eastAsia" w:ascii="Times New Roman" w:hAnsi="Times New Roman" w:cs="Times New Roman"/>
          <w:sz w:val="24"/>
          <w:lang w:eastAsia="zh-CN"/>
        </w:rPr>
        <w:t>（</w:t>
      </w:r>
      <w:r>
        <w:rPr>
          <w:rFonts w:hint="eastAsia" w:ascii="Times New Roman" w:hAnsi="Times New Roman" w:cs="Times New Roman"/>
          <w:sz w:val="24"/>
          <w:lang w:val="en-US" w:eastAsia="zh-CN"/>
        </w:rPr>
        <w:t>简称耐磨材料</w:t>
      </w:r>
      <w:r>
        <w:rPr>
          <w:rFonts w:hint="eastAsia" w:ascii="Times New Roman" w:hAnsi="Times New Roman" w:cs="Times New Roman"/>
          <w:sz w:val="24"/>
          <w:lang w:eastAsia="zh-CN"/>
        </w:rPr>
        <w:t>），</w:t>
      </w:r>
      <w:r>
        <w:rPr>
          <w:rFonts w:hint="eastAsia" w:ascii="Times New Roman" w:hAnsi="Times New Roman" w:cs="Times New Roman"/>
          <w:sz w:val="24"/>
          <w:lang w:val="en-US" w:eastAsia="zh-CN"/>
        </w:rPr>
        <w:t>需要时可配套使用</w:t>
      </w:r>
      <w:r>
        <w:rPr>
          <w:rFonts w:hint="eastAsia" w:ascii="Times New Roman" w:hAnsi="Times New Roman" w:cs="Times New Roman"/>
          <w:sz w:val="24"/>
        </w:rPr>
        <w:t>渗透型液体硬化剂</w:t>
      </w:r>
      <w:r>
        <w:rPr>
          <w:rFonts w:hint="eastAsia" w:ascii="Times New Roman" w:hAnsi="Times New Roman" w:cs="Times New Roman"/>
          <w:sz w:val="24"/>
          <w:lang w:val="en-US" w:eastAsia="zh-CN"/>
        </w:rPr>
        <w:t>进行</w:t>
      </w:r>
      <w:r>
        <w:rPr>
          <w:rFonts w:hint="eastAsia" w:ascii="Times New Roman" w:hAnsi="Times New Roman" w:cs="Times New Roman"/>
          <w:sz w:val="24"/>
        </w:rPr>
        <w:t>硬化处理</w:t>
      </w:r>
      <w:r>
        <w:rPr>
          <w:rFonts w:hint="eastAsia" w:ascii="Times New Roman" w:hAnsi="Times New Roman" w:cs="Times New Roman"/>
          <w:sz w:val="24"/>
          <w:lang w:val="en-US" w:eastAsia="zh-CN"/>
        </w:rPr>
        <w:t>形成</w:t>
      </w:r>
      <w:r>
        <w:rPr>
          <w:rFonts w:hint="eastAsia" w:ascii="Times New Roman" w:hAnsi="Times New Roman" w:cs="Times New Roman"/>
          <w:sz w:val="24"/>
        </w:rPr>
        <w:t>的地面。</w:t>
      </w:r>
    </w:p>
    <w:p w14:paraId="39DAE362">
      <w:pPr>
        <w:pStyle w:val="35"/>
        <w:numPr>
          <w:ilvl w:val="0"/>
          <w:numId w:val="3"/>
        </w:numPr>
        <w:spacing w:line="312" w:lineRule="auto"/>
        <w:ind w:firstLineChars="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渗透型液体硬化剂 liquid</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hardener</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for</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concrete</w:t>
      </w:r>
    </w:p>
    <w:bookmarkEnd w:id="35"/>
    <w:p w14:paraId="380147E3">
      <w:pPr>
        <w:ind w:firstLine="480" w:firstLineChars="200"/>
        <w:rPr>
          <w:rFonts w:ascii="Times New Roman" w:hAnsi="Times New Roman" w:cs="Times New Roman"/>
          <w:sz w:val="24"/>
        </w:rPr>
      </w:pPr>
      <w:bookmarkStart w:id="38" w:name="_Hlk209879019"/>
      <w:r>
        <w:rPr>
          <w:rFonts w:hint="eastAsia" w:ascii="Times New Roman" w:hAnsi="Times New Roman" w:cs="Times New Roman"/>
          <w:sz w:val="24"/>
        </w:rPr>
        <w:t>应用于水泥基材料表面，通过渗透与表层水泥水化产物发生反应来填补水泥基材料表层孔隙，提高水泥基材料表层硬度和耐磨性的液体型材料。</w:t>
      </w:r>
    </w:p>
    <w:p w14:paraId="128DE35A">
      <w:pPr>
        <w:ind w:firstLine="480" w:firstLineChars="200"/>
        <w:rPr>
          <w:rFonts w:ascii="Times New Roman" w:hAnsi="Times New Roman" w:cs="Times New Roman"/>
          <w:sz w:val="24"/>
        </w:rPr>
      </w:pPr>
      <w:r>
        <w:rPr>
          <w:rFonts w:hint="eastAsia"/>
          <w:sz w:val="24"/>
        </w:rPr>
        <w:t>［来源：JC/T 2158—2021 渗透型液体硬化剂］</w:t>
      </w:r>
    </w:p>
    <w:bookmarkEnd w:id="38"/>
    <w:p w14:paraId="21B39B29">
      <w:pPr>
        <w:pStyle w:val="35"/>
        <w:numPr>
          <w:ilvl w:val="0"/>
          <w:numId w:val="3"/>
        </w:numPr>
        <w:spacing w:line="312" w:lineRule="auto"/>
        <w:ind w:firstLineChars="0"/>
        <w:rPr>
          <w:rFonts w:ascii="Times New Roman" w:hAnsi="Times New Roman" w:cs="Times New Roman"/>
          <w:color w:val="000000" w:themeColor="text1"/>
          <w:sz w:val="24"/>
          <w14:textFill>
            <w14:solidFill>
              <w14:schemeClr w14:val="tx1"/>
            </w14:solidFill>
          </w14:textFill>
        </w:rPr>
      </w:pPr>
      <w:bookmarkStart w:id="39" w:name="OLE_LINK48"/>
      <w:bookmarkStart w:id="40" w:name="OLE_LINK49"/>
      <w:r>
        <w:rPr>
          <w:rFonts w:hint="eastAsia" w:ascii="Times New Roman" w:hAnsi="Times New Roman" w:cs="Times New Roman"/>
          <w:sz w:val="24"/>
        </w:rPr>
        <w:t>混凝土地面用水泥基耐磨材料</w:t>
      </w:r>
      <w:bookmarkEnd w:id="39"/>
      <w:bookmarkEnd w:id="40"/>
      <w:bookmarkStart w:id="41" w:name="OLE_LINK14"/>
      <w:r>
        <w:rPr>
          <w:rFonts w:ascii="Times New Roman" w:hAnsi="Times New Roman" w:cs="Times New Roman"/>
          <w:sz w:val="24"/>
        </w:rPr>
        <w:t>cement based wear-resisting material for concrete floor</w:t>
      </w:r>
      <w:bookmarkEnd w:id="41"/>
    </w:p>
    <w:p w14:paraId="46F84CF7">
      <w:pPr>
        <w:spacing w:line="312" w:lineRule="auto"/>
        <w:ind w:firstLine="480" w:firstLineChars="200"/>
        <w:rPr>
          <w:rFonts w:ascii="Times New Roman" w:hAnsi="Times New Roman" w:cs="Times New Roman"/>
          <w:sz w:val="24"/>
        </w:rPr>
      </w:pPr>
      <w:r>
        <w:rPr>
          <w:rFonts w:hint="eastAsia" w:ascii="Times New Roman" w:hAnsi="Times New Roman" w:cs="Times New Roman"/>
          <w:sz w:val="24"/>
        </w:rPr>
        <w:t>由耐磨骨料、硅酸盐水泥或普通硅酸盐水泥或白色硅酸盐水泥为基料，加入掺合料、外加剂、颜料等材料组成的干混砂浆材料。</w:t>
      </w:r>
    </w:p>
    <w:p w14:paraId="6B1BE353">
      <w:pPr>
        <w:ind w:firstLine="480" w:firstLineChars="200"/>
        <w:rPr>
          <w:rFonts w:hint="eastAsia"/>
          <w:sz w:val="24"/>
        </w:rPr>
      </w:pPr>
      <w:r>
        <w:rPr>
          <w:rFonts w:hint="eastAsia"/>
          <w:sz w:val="24"/>
        </w:rPr>
        <w:t xml:space="preserve">［来源：JC/T </w:t>
      </w:r>
      <w:r>
        <w:rPr>
          <w:sz w:val="24"/>
        </w:rPr>
        <w:t>906</w:t>
      </w:r>
      <w:r>
        <w:rPr>
          <w:rFonts w:hint="eastAsia"/>
          <w:sz w:val="24"/>
        </w:rPr>
        <w:t>—</w:t>
      </w:r>
      <w:r>
        <w:rPr>
          <w:sz w:val="24"/>
        </w:rPr>
        <w:t>2023</w:t>
      </w:r>
      <w:r>
        <w:rPr>
          <w:rFonts w:hint="eastAsia"/>
          <w:sz w:val="24"/>
        </w:rPr>
        <w:t xml:space="preserve"> </w:t>
      </w:r>
      <w:r>
        <w:rPr>
          <w:rFonts w:hint="eastAsia" w:ascii="Times New Roman" w:hAnsi="Times New Roman" w:cs="Times New Roman"/>
          <w:sz w:val="24"/>
        </w:rPr>
        <w:t>混凝土地面用水泥基耐磨材料</w:t>
      </w:r>
      <w:r>
        <w:rPr>
          <w:rFonts w:hint="eastAsia"/>
          <w:sz w:val="24"/>
        </w:rPr>
        <w:t>］</w:t>
      </w:r>
    </w:p>
    <w:p w14:paraId="2F1C4B5A">
      <w:pPr>
        <w:ind w:firstLine="480" w:firstLineChars="200"/>
        <w:rPr>
          <w:rFonts w:hint="eastAsia"/>
          <w:sz w:val="24"/>
          <w:highlight w:val="none"/>
        </w:rPr>
      </w:pPr>
    </w:p>
    <w:p w14:paraId="6BC90BA2">
      <w:pPr>
        <w:pStyle w:val="35"/>
        <w:numPr>
          <w:ilvl w:val="0"/>
          <w:numId w:val="3"/>
        </w:numPr>
        <w:spacing w:line="312" w:lineRule="auto"/>
        <w:ind w:firstLineChars="0"/>
        <w:rPr>
          <w:rFonts w:hint="eastAsia" w:ascii="Times New Roman" w:hAnsi="Times New Roman" w:cs="Times New Roman"/>
          <w:sz w:val="24"/>
          <w:highlight w:val="none"/>
        </w:rPr>
      </w:pPr>
      <w:r>
        <w:rPr>
          <w:rFonts w:hint="eastAsia"/>
          <w:sz w:val="24"/>
          <w:highlight w:val="none"/>
          <w:lang w:val="en-US" w:eastAsia="zh-CN"/>
        </w:rPr>
        <w:t>干撒型</w:t>
      </w:r>
      <w:r>
        <w:rPr>
          <w:rFonts w:hint="eastAsia" w:ascii="Times New Roman" w:hAnsi="Times New Roman" w:cs="Times New Roman"/>
          <w:sz w:val="24"/>
          <w:highlight w:val="none"/>
        </w:rPr>
        <w:t>混凝土地面用水泥基耐磨材料dry shake application</w:t>
      </w:r>
      <w:r>
        <w:rPr>
          <w:rFonts w:hint="eastAsia" w:ascii="Times New Roman" w:hAnsi="Times New Roman" w:cs="Times New Roman"/>
          <w:sz w:val="24"/>
          <w:highlight w:val="none"/>
          <w:lang w:val="en-US" w:eastAsia="zh-CN"/>
        </w:rPr>
        <w:t xml:space="preserve"> </w:t>
      </w:r>
      <w:r>
        <w:rPr>
          <w:rFonts w:ascii="Times New Roman" w:hAnsi="Times New Roman" w:cs="Times New Roman"/>
          <w:sz w:val="24"/>
          <w:highlight w:val="none"/>
        </w:rPr>
        <w:t>cement based wear-resisting material for concrete floor</w:t>
      </w:r>
    </w:p>
    <w:p w14:paraId="05C60B1E">
      <w:pPr>
        <w:ind w:firstLine="480" w:firstLineChars="200"/>
        <w:rPr>
          <w:rFonts w:hint="eastAsia" w:ascii="Times New Roman" w:hAnsi="Times New Roman" w:cs="Times New Roman" w:eastAsiaTheme="minorEastAsia"/>
          <w:sz w:val="24"/>
          <w:highlight w:val="none"/>
          <w:lang w:eastAsia="zh-CN"/>
        </w:rPr>
      </w:pPr>
      <w:r>
        <w:rPr>
          <w:rFonts w:hint="eastAsia" w:ascii="Times New Roman" w:hAnsi="Times New Roman" w:cs="Times New Roman"/>
          <w:sz w:val="24"/>
          <w:highlight w:val="none"/>
        </w:rPr>
        <w:t>在未硬化的混凝土表面</w:t>
      </w:r>
      <w:r>
        <w:rPr>
          <w:rFonts w:hint="eastAsia" w:ascii="Times New Roman" w:hAnsi="Times New Roman" w:cs="Times New Roman"/>
          <w:sz w:val="24"/>
          <w:highlight w:val="none"/>
          <w:lang w:val="en-US" w:eastAsia="zh-CN"/>
        </w:rPr>
        <w:t>直接</w:t>
      </w:r>
      <w:r>
        <w:rPr>
          <w:rFonts w:hint="eastAsia" w:ascii="Times New Roman" w:hAnsi="Times New Roman" w:cs="Times New Roman"/>
          <w:sz w:val="24"/>
          <w:highlight w:val="none"/>
        </w:rPr>
        <w:t>抛洒</w:t>
      </w:r>
      <w:r>
        <w:rPr>
          <w:rFonts w:hint="eastAsia" w:ascii="Times New Roman" w:hAnsi="Times New Roman" w:cs="Times New Roman"/>
          <w:sz w:val="24"/>
          <w:highlight w:val="none"/>
          <w:lang w:eastAsia="zh-CN"/>
        </w:rPr>
        <w:t>的</w:t>
      </w:r>
      <w:r>
        <w:rPr>
          <w:rFonts w:hint="eastAsia" w:ascii="Times New Roman" w:hAnsi="Times New Roman" w:cs="Times New Roman"/>
          <w:sz w:val="24"/>
          <w:highlight w:val="none"/>
        </w:rPr>
        <w:t>水泥基耐磨材料</w:t>
      </w:r>
      <w:r>
        <w:rPr>
          <w:rFonts w:hint="eastAsia" w:ascii="Times New Roman" w:hAnsi="Times New Roman" w:cs="Times New Roman"/>
          <w:sz w:val="24"/>
          <w:highlight w:val="none"/>
          <w:lang w:eastAsia="zh-CN"/>
        </w:rPr>
        <w:t>。</w:t>
      </w:r>
    </w:p>
    <w:p w14:paraId="01D0437F">
      <w:pPr>
        <w:pStyle w:val="35"/>
        <w:numPr>
          <w:ilvl w:val="0"/>
          <w:numId w:val="3"/>
        </w:numPr>
        <w:spacing w:line="312" w:lineRule="auto"/>
        <w:ind w:firstLineChars="0"/>
        <w:rPr>
          <w:rFonts w:ascii="Times New Roman" w:hAnsi="Times New Roman" w:cs="Times New Roman"/>
          <w:sz w:val="24"/>
          <w:highlight w:val="none"/>
        </w:rPr>
      </w:pPr>
      <w:r>
        <w:rPr>
          <w:rFonts w:hint="eastAsia" w:ascii="Times New Roman" w:hAnsi="Times New Roman" w:cs="Times New Roman"/>
          <w:sz w:val="24"/>
          <w:highlight w:val="none"/>
          <w:lang w:val="en-US" w:eastAsia="zh-CN"/>
        </w:rPr>
        <w:t>湿拌摊铺型</w:t>
      </w:r>
      <w:r>
        <w:rPr>
          <w:rFonts w:hint="eastAsia" w:ascii="Times New Roman" w:hAnsi="Times New Roman" w:cs="Times New Roman"/>
          <w:sz w:val="24"/>
          <w:highlight w:val="none"/>
        </w:rPr>
        <w:t>混凝土地面用水泥基耐磨材料</w:t>
      </w:r>
      <w:r>
        <w:rPr>
          <w:rFonts w:hint="eastAsia" w:ascii="Times New Roman" w:hAnsi="Times New Roman" w:cs="Times New Roman"/>
          <w:sz w:val="24"/>
          <w:highlight w:val="none"/>
          <w:lang w:val="en-US" w:eastAsia="zh-CN"/>
        </w:rPr>
        <w:t xml:space="preserve">paving </w:t>
      </w:r>
      <w:r>
        <w:rPr>
          <w:rFonts w:ascii="Times New Roman" w:hAnsi="Times New Roman" w:cs="Times New Roman"/>
          <w:sz w:val="24"/>
          <w:highlight w:val="none"/>
        </w:rPr>
        <w:t>cement based wear-resisting material for concrete floor</w:t>
      </w:r>
    </w:p>
    <w:p w14:paraId="7BC6D713">
      <w:pPr>
        <w:ind w:firstLine="480" w:firstLineChars="200"/>
        <w:rPr>
          <w:rFonts w:hint="default" w:ascii="Times New Roman" w:hAnsi="Times New Roman" w:cs="Times New Roman" w:eastAsiaTheme="minorEastAsia"/>
          <w:sz w:val="24"/>
          <w:highlight w:val="none"/>
          <w:lang w:val="en-US" w:eastAsia="zh-CN"/>
        </w:rPr>
      </w:pPr>
      <w:r>
        <w:rPr>
          <w:rFonts w:hint="eastAsia" w:ascii="Times New Roman" w:hAnsi="Times New Roman" w:cs="Times New Roman"/>
          <w:sz w:val="24"/>
          <w:highlight w:val="none"/>
          <w:lang w:val="en-US" w:eastAsia="zh-CN"/>
        </w:rPr>
        <w:t>加水搅拌后摊铺在已硬化的</w:t>
      </w:r>
      <w:r>
        <w:rPr>
          <w:rFonts w:hint="eastAsia" w:ascii="Times New Roman" w:hAnsi="Times New Roman" w:cs="Times New Roman"/>
          <w:sz w:val="24"/>
          <w:highlight w:val="none"/>
        </w:rPr>
        <w:t>混凝土表面</w:t>
      </w:r>
      <w:r>
        <w:rPr>
          <w:rFonts w:hint="eastAsia" w:ascii="Times New Roman" w:hAnsi="Times New Roman" w:cs="Times New Roman"/>
          <w:sz w:val="24"/>
          <w:highlight w:val="none"/>
          <w:lang w:eastAsia="zh-CN"/>
        </w:rPr>
        <w:t>的</w:t>
      </w:r>
      <w:r>
        <w:rPr>
          <w:rFonts w:hint="eastAsia" w:ascii="Times New Roman" w:hAnsi="Times New Roman" w:cs="Times New Roman"/>
          <w:sz w:val="24"/>
          <w:highlight w:val="none"/>
        </w:rPr>
        <w:t>水泥基耐磨材料</w:t>
      </w:r>
      <w:r>
        <w:rPr>
          <w:rFonts w:hint="eastAsia" w:ascii="Times New Roman" w:hAnsi="Times New Roman" w:cs="Times New Roman"/>
          <w:sz w:val="24"/>
          <w:highlight w:val="none"/>
          <w:lang w:eastAsia="zh-CN"/>
        </w:rPr>
        <w:t>。</w:t>
      </w:r>
    </w:p>
    <w:p w14:paraId="6969B86E">
      <w:pPr>
        <w:pStyle w:val="35"/>
        <w:numPr>
          <w:ilvl w:val="0"/>
          <w:numId w:val="3"/>
        </w:numPr>
        <w:spacing w:line="312" w:lineRule="auto"/>
        <w:ind w:firstLineChars="0"/>
        <w:rPr>
          <w:rFonts w:hint="eastAsia" w:ascii="Times New Roman" w:hAnsi="Times New Roman" w:cs="Times New Roman"/>
          <w:sz w:val="24"/>
        </w:rPr>
      </w:pPr>
      <w:r>
        <w:rPr>
          <w:rFonts w:hint="eastAsia" w:ascii="Times New Roman" w:hAnsi="Times New Roman" w:cs="Times New Roman"/>
          <w:sz w:val="24"/>
        </w:rPr>
        <w:t>基层混凝土</w:t>
      </w:r>
      <w:r>
        <w:rPr>
          <w:rFonts w:hint="eastAsia" w:ascii="Times New Roman" w:hAnsi="Times New Roman" w:cs="Times New Roman"/>
          <w:sz w:val="24"/>
          <w:lang w:val="en-US" w:eastAsia="zh-CN"/>
        </w:rPr>
        <w:t xml:space="preserve"> base </w:t>
      </w:r>
      <w:r>
        <w:rPr>
          <w:rFonts w:ascii="Times New Roman" w:hAnsi="Times New Roman" w:cs="Times New Roman"/>
          <w:color w:val="000000" w:themeColor="text1"/>
          <w:sz w:val="24"/>
          <w14:textFill>
            <w14:solidFill>
              <w14:schemeClr w14:val="tx1"/>
            </w14:solidFill>
          </w14:textFill>
        </w:rPr>
        <w:t>concrete</w:t>
      </w:r>
    </w:p>
    <w:p w14:paraId="37034F2F">
      <w:pPr>
        <w:spacing w:line="312" w:lineRule="auto"/>
        <w:ind w:firstLine="480" w:firstLineChars="200"/>
        <w:rPr>
          <w:rFonts w:hint="eastAsia" w:ascii="Times New Roman" w:hAnsi="Times New Roman" w:cs="Times New Roman"/>
          <w:sz w:val="24"/>
          <w:lang w:val="en-US" w:eastAsia="zh-CN"/>
        </w:rPr>
      </w:pPr>
      <w:r>
        <w:rPr>
          <w:rFonts w:hint="eastAsia" w:ascii="Times New Roman" w:hAnsi="Times New Roman" w:cs="Times New Roman"/>
          <w:sz w:val="24"/>
          <w:lang w:val="en-US" w:eastAsia="zh-CN"/>
        </w:rPr>
        <w:t>经配合比设计的具有一定厚度的，进行耐磨材料干撒施工的现浇筑混凝土或耐磨材料湿拌摊铺施工的既有混凝土。</w:t>
      </w:r>
    </w:p>
    <w:p w14:paraId="7B9196C8">
      <w:pPr>
        <w:pStyle w:val="35"/>
        <w:numPr>
          <w:ilvl w:val="0"/>
          <w:numId w:val="3"/>
        </w:numPr>
        <w:spacing w:line="312" w:lineRule="auto"/>
        <w:ind w:firstLineChars="0"/>
        <w:rPr>
          <w:rFonts w:ascii="Times New Roman" w:hAnsi="Times New Roman" w:cs="Times New Roman"/>
          <w:color w:val="000000" w:themeColor="text1"/>
          <w:sz w:val="24"/>
          <w14:textFill>
            <w14:solidFill>
              <w14:schemeClr w14:val="tx1"/>
            </w14:solidFill>
          </w14:textFill>
        </w:rPr>
      </w:pPr>
      <w:bookmarkStart w:id="42" w:name="OLE_LINK19"/>
      <w:r>
        <w:rPr>
          <w:rFonts w:hint="eastAsia" w:ascii="Times New Roman" w:hAnsi="Times New Roman" w:cs="Times New Roman"/>
          <w:sz w:val="24"/>
        </w:rPr>
        <w:t>特高耐磨性地坪special ultra-high wear-resistant floor</w:t>
      </w:r>
    </w:p>
    <w:p w14:paraId="44591642">
      <w:pPr>
        <w:spacing w:line="312" w:lineRule="auto"/>
        <w:ind w:firstLine="480" w:firstLineChars="200"/>
        <w:rPr>
          <w:rFonts w:ascii="Times New Roman" w:hAnsi="Times New Roman"/>
          <w:color w:val="000000"/>
          <w:sz w:val="24"/>
          <w:szCs w:val="20"/>
        </w:rPr>
      </w:pPr>
      <w:r>
        <w:rPr>
          <w:rFonts w:hint="eastAsia" w:ascii="Times New Roman" w:hAnsi="Times New Roman"/>
          <w:color w:val="000000"/>
          <w:sz w:val="24"/>
          <w:szCs w:val="20"/>
        </w:rPr>
        <w:t>用于有钢轮或硬质塑料轮带来强烈磨损</w:t>
      </w:r>
      <w:r>
        <w:rPr>
          <w:rFonts w:hint="eastAsia" w:ascii="Times New Roman" w:hAnsi="Times New Roman"/>
          <w:color w:val="000000"/>
          <w:sz w:val="24"/>
          <w:szCs w:val="20"/>
          <w:lang w:eastAsia="zh-CN"/>
        </w:rPr>
        <w:t>，</w:t>
      </w:r>
      <w:r>
        <w:rPr>
          <w:rFonts w:hint="eastAsia" w:ascii="Times New Roman" w:hAnsi="Times New Roman"/>
          <w:color w:val="000000"/>
          <w:sz w:val="24"/>
          <w:szCs w:val="20"/>
        </w:rPr>
        <w:t>或金属拖动带来的划伤的场合的耐磨硬化地坪。</w:t>
      </w:r>
    </w:p>
    <w:p w14:paraId="2EC1B130">
      <w:pPr>
        <w:pStyle w:val="35"/>
        <w:numPr>
          <w:ilvl w:val="0"/>
          <w:numId w:val="3"/>
        </w:numPr>
        <w:spacing w:line="312" w:lineRule="auto"/>
        <w:ind w:firstLineChars="0"/>
        <w:rPr>
          <w:rFonts w:ascii="Times New Roman" w:hAnsi="Times New Roman" w:cs="Times New Roman"/>
          <w:color w:val="000000" w:themeColor="text1"/>
          <w:sz w:val="24"/>
          <w14:textFill>
            <w14:solidFill>
              <w14:schemeClr w14:val="tx1"/>
            </w14:solidFill>
          </w14:textFill>
        </w:rPr>
      </w:pPr>
      <w:bookmarkStart w:id="43" w:name="OLE_LINK5"/>
      <w:r>
        <w:rPr>
          <w:rFonts w:hint="eastAsia" w:ascii="Times New Roman" w:hAnsi="Times New Roman"/>
          <w:color w:val="000000"/>
          <w:sz w:val="24"/>
          <w:szCs w:val="20"/>
        </w:rPr>
        <w:t>超高耐磨</w:t>
      </w:r>
      <w:r>
        <w:rPr>
          <w:rFonts w:hint="eastAsia" w:ascii="Times New Roman" w:hAnsi="Times New Roman" w:cs="Times New Roman"/>
          <w:sz w:val="24"/>
        </w:rPr>
        <w:t>地坪</w:t>
      </w:r>
      <w:bookmarkEnd w:id="43"/>
      <w:r>
        <w:rPr>
          <w:rFonts w:hint="eastAsia" w:ascii="Times New Roman" w:hAnsi="Times New Roman" w:cs="Times New Roman"/>
          <w:sz w:val="24"/>
        </w:rPr>
        <w:t xml:space="preserve">ultra-high </w:t>
      </w:r>
      <w:r>
        <w:rPr>
          <w:rFonts w:ascii="Times New Roman" w:hAnsi="Times New Roman" w:cs="Times New Roman"/>
          <w:color w:val="000000" w:themeColor="text1"/>
          <w:sz w:val="24"/>
          <w14:textFill>
            <w14:solidFill>
              <w14:schemeClr w14:val="tx1"/>
            </w14:solidFill>
          </w14:textFill>
        </w:rPr>
        <w:t>wear-resistant</w:t>
      </w:r>
      <w:r>
        <w:rPr>
          <w:rFonts w:hint="eastAsia" w:ascii="Times New Roman" w:hAnsi="Times New Roman" w:cs="Times New Roman"/>
          <w:color w:val="000000" w:themeColor="text1"/>
          <w:sz w:val="24"/>
          <w14:textFill>
            <w14:solidFill>
              <w14:schemeClr w14:val="tx1"/>
            </w14:solidFill>
          </w14:textFill>
        </w:rPr>
        <w:t xml:space="preserve"> floor </w:t>
      </w:r>
    </w:p>
    <w:p w14:paraId="5FA395B6">
      <w:pPr>
        <w:spacing w:line="312" w:lineRule="auto"/>
        <w:ind w:firstLine="480" w:firstLineChars="2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olor w:val="000000"/>
          <w:sz w:val="24"/>
          <w:szCs w:val="20"/>
        </w:rPr>
        <w:t>用于有钢轮带来磨损或撞击场合的耐磨硬化地坪。</w:t>
      </w:r>
    </w:p>
    <w:p w14:paraId="353CC5AE">
      <w:pPr>
        <w:pStyle w:val="35"/>
        <w:numPr>
          <w:ilvl w:val="0"/>
          <w:numId w:val="3"/>
        </w:numPr>
        <w:spacing w:line="312" w:lineRule="auto"/>
        <w:ind w:firstLineChars="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olor w:val="000000"/>
          <w:sz w:val="24"/>
          <w:szCs w:val="20"/>
        </w:rPr>
        <w:t>高耐磨</w:t>
      </w:r>
      <w:r>
        <w:rPr>
          <w:rFonts w:hint="eastAsia" w:ascii="Times New Roman" w:hAnsi="Times New Roman" w:cs="Times New Roman"/>
          <w:sz w:val="24"/>
        </w:rPr>
        <w:t>地坪 high wear-resistant floor</w:t>
      </w:r>
    </w:p>
    <w:p w14:paraId="00CF46BF">
      <w:pPr>
        <w:spacing w:line="312" w:lineRule="auto"/>
        <w:ind w:firstLine="480" w:firstLineChars="2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olor w:val="000000"/>
          <w:sz w:val="24"/>
          <w:szCs w:val="20"/>
        </w:rPr>
        <w:t>用于硬质塑料轮带来磨损场合的耐磨硬化地坪。</w:t>
      </w:r>
    </w:p>
    <w:p w14:paraId="44FCE677">
      <w:pPr>
        <w:pStyle w:val="35"/>
        <w:numPr>
          <w:ilvl w:val="0"/>
          <w:numId w:val="3"/>
        </w:numPr>
        <w:spacing w:line="312" w:lineRule="auto"/>
        <w:ind w:firstLineChars="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olor w:val="000000"/>
          <w:sz w:val="24"/>
          <w:szCs w:val="20"/>
        </w:rPr>
        <w:t>中耐磨</w:t>
      </w:r>
      <w:r>
        <w:rPr>
          <w:rFonts w:hint="eastAsia" w:ascii="Times New Roman" w:hAnsi="Times New Roman" w:cs="Times New Roman"/>
          <w:sz w:val="24"/>
        </w:rPr>
        <w:t>地坪 medium wear-resistant floor</w:t>
      </w:r>
    </w:p>
    <w:p w14:paraId="09FEE6EE">
      <w:pPr>
        <w:spacing w:line="312" w:lineRule="auto"/>
        <w:ind w:firstLine="480" w:firstLineChars="2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olor w:val="000000"/>
          <w:sz w:val="24"/>
          <w:szCs w:val="20"/>
        </w:rPr>
        <w:t>用于有橡胶轮带来磨损场合的耐磨硬化地坪。</w:t>
      </w:r>
    </w:p>
    <w:p w14:paraId="6533EF4E">
      <w:pPr>
        <w:pStyle w:val="35"/>
        <w:numPr>
          <w:ilvl w:val="0"/>
          <w:numId w:val="3"/>
        </w:numPr>
        <w:spacing w:line="312" w:lineRule="auto"/>
        <w:ind w:firstLineChars="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olor w:val="000000"/>
          <w:sz w:val="24"/>
          <w:szCs w:val="20"/>
        </w:rPr>
        <w:t>普通耐磨</w:t>
      </w:r>
      <w:r>
        <w:rPr>
          <w:rFonts w:hint="eastAsia" w:ascii="Times New Roman" w:hAnsi="Times New Roman" w:cs="Times New Roman"/>
          <w:sz w:val="24"/>
        </w:rPr>
        <w:t>地坪ordinary wear-resistant floor</w:t>
      </w:r>
    </w:p>
    <w:p w14:paraId="4FE2E9B8">
      <w:pPr>
        <w:spacing w:line="312" w:lineRule="auto"/>
        <w:ind w:firstLine="480" w:firstLineChars="200"/>
        <w:rPr>
          <w:rFonts w:hint="eastAsia" w:ascii="Times New Roman" w:hAnsi="Times New Roman"/>
          <w:color w:val="000000"/>
          <w:sz w:val="24"/>
          <w:szCs w:val="20"/>
        </w:rPr>
      </w:pPr>
      <w:r>
        <w:rPr>
          <w:rFonts w:hint="eastAsia" w:ascii="Times New Roman" w:hAnsi="Times New Roman"/>
          <w:color w:val="000000"/>
          <w:sz w:val="24"/>
          <w:szCs w:val="20"/>
        </w:rPr>
        <w:t>用于无特殊要求的场合的耐磨硬化地坪。</w:t>
      </w:r>
    </w:p>
    <w:bookmarkEnd w:id="42"/>
    <w:p w14:paraId="4723FE95">
      <w:pPr>
        <w:snapToGrid w:val="0"/>
        <w:spacing w:line="312" w:lineRule="auto"/>
        <w:jc w:val="left"/>
        <w:rPr>
          <w:rFonts w:ascii="Times New Roman" w:hAnsi="Times New Roman" w:cs="Times New Roman"/>
          <w:b/>
          <w:color w:val="000000" w:themeColor="text1"/>
          <w:szCs w:val="21"/>
          <w14:textFill>
            <w14:solidFill>
              <w14:schemeClr w14:val="tx1"/>
            </w14:solidFill>
          </w14:textFill>
        </w:rPr>
      </w:pPr>
      <w:r>
        <w:rPr>
          <w:rFonts w:ascii="Times New Roman" w:hAnsi="Times New Roman" w:cs="Times New Roman"/>
          <w:b/>
          <w:color w:val="000000" w:themeColor="text1"/>
          <w:szCs w:val="21"/>
          <w14:textFill>
            <w14:solidFill>
              <w14:schemeClr w14:val="tx1"/>
            </w14:solidFill>
          </w14:textFill>
        </w:rPr>
        <w:br w:type="page"/>
      </w:r>
    </w:p>
    <w:p w14:paraId="3450744D">
      <w:pPr>
        <w:pStyle w:val="2"/>
        <w:keepNext w:val="0"/>
        <w:keepLines w:val="0"/>
        <w:snapToGrid w:val="0"/>
        <w:spacing w:before="312" w:beforeLines="100" w:after="312" w:afterLines="100" w:line="360" w:lineRule="auto"/>
        <w:jc w:val="center"/>
        <w:rPr>
          <w:rFonts w:ascii="Times New Roman" w:hAnsi="Times New Roman" w:eastAsia="宋体" w:cs="Times New Roman"/>
          <w:b/>
          <w:color w:val="000000" w:themeColor="text1"/>
          <w:sz w:val="32"/>
          <w:szCs w:val="28"/>
          <w14:textFill>
            <w14:solidFill>
              <w14:schemeClr w14:val="tx1"/>
            </w14:solidFill>
          </w14:textFill>
        </w:rPr>
      </w:pPr>
      <w:bookmarkStart w:id="44" w:name="_Toc25229"/>
      <w:bookmarkStart w:id="45" w:name="_Toc533422739"/>
      <w:bookmarkStart w:id="46" w:name="_Toc533422609"/>
      <w:bookmarkStart w:id="47" w:name="_Toc533422969"/>
      <w:bookmarkStart w:id="48" w:name="_Toc99353160"/>
      <w:bookmarkStart w:id="49" w:name="_Hlk209879705"/>
      <w:bookmarkStart w:id="50" w:name="OLE_LINK31"/>
      <w:r>
        <w:rPr>
          <w:rFonts w:ascii="Times New Roman" w:hAnsi="Times New Roman" w:eastAsia="宋体" w:cs="Times New Roman"/>
          <w:b/>
          <w:color w:val="000000" w:themeColor="text1"/>
          <w:sz w:val="32"/>
          <w:szCs w:val="28"/>
          <w14:textFill>
            <w14:solidFill>
              <w14:schemeClr w14:val="tx1"/>
            </w14:solidFill>
          </w14:textFill>
        </w:rPr>
        <w:t>3</w:t>
      </w:r>
      <w:r>
        <w:rPr>
          <w:rFonts w:ascii="Times New Roman" w:hAnsi="Times New Roman" w:eastAsia="宋体" w:cs="Times New Roman"/>
          <w:b/>
          <w:color w:val="000000" w:themeColor="text1"/>
          <w:sz w:val="32"/>
          <w:szCs w:val="28"/>
          <w:lang w:val="zh-CN"/>
          <w14:textFill>
            <w14:solidFill>
              <w14:schemeClr w14:val="tx1"/>
            </w14:solidFill>
          </w14:textFill>
        </w:rPr>
        <w:t>　</w:t>
      </w:r>
      <w:r>
        <w:rPr>
          <w:rFonts w:hint="eastAsia" w:ascii="Times New Roman" w:hAnsi="Times New Roman" w:eastAsia="宋体" w:cs="Times New Roman"/>
          <w:b/>
          <w:color w:val="000000" w:themeColor="text1"/>
          <w:sz w:val="32"/>
          <w:szCs w:val="28"/>
          <w14:textFill>
            <w14:solidFill>
              <w14:schemeClr w14:val="tx1"/>
            </w14:solidFill>
          </w14:textFill>
        </w:rPr>
        <w:t>基本规定</w:t>
      </w:r>
      <w:bookmarkEnd w:id="44"/>
    </w:p>
    <w:p w14:paraId="384FEDE9">
      <w:pPr>
        <w:spacing w:line="312" w:lineRule="auto"/>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b/>
          <w:color w:val="000000" w:themeColor="text1"/>
          <w:sz w:val="24"/>
          <w14:textFill>
            <w14:solidFill>
              <w14:schemeClr w14:val="tx1"/>
            </w14:solidFill>
          </w14:textFill>
        </w:rPr>
        <w:t>3.0.1</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混凝土地面用耐磨硬化地坪</w:t>
      </w:r>
      <w:r>
        <w:rPr>
          <w:rFonts w:hint="eastAsia" w:ascii="Times New Roman" w:hAnsi="Times New Roman" w:eastAsia="宋体" w:cs="Times New Roman"/>
          <w:bCs/>
          <w:color w:val="000000" w:themeColor="text1"/>
          <w:sz w:val="24"/>
          <w14:textFill>
            <w14:solidFill>
              <w14:schemeClr w14:val="tx1"/>
            </w14:solidFill>
          </w14:textFill>
        </w:rPr>
        <w:t>的</w:t>
      </w:r>
      <w:r>
        <w:rPr>
          <w:rFonts w:hint="eastAsia" w:ascii="Times New Roman" w:hAnsi="Times New Roman" w:cs="Times New Roman"/>
          <w:color w:val="000000" w:themeColor="text1"/>
          <w:sz w:val="24"/>
          <w14:textFill>
            <w14:solidFill>
              <w14:schemeClr w14:val="tx1"/>
            </w14:solidFill>
          </w14:textFill>
        </w:rPr>
        <w:t>的选择，应根据建筑功能、使用要求、工程特征和技术经济条件，经综合技术经济比较后确定。</w:t>
      </w:r>
    </w:p>
    <w:p w14:paraId="5396CF2C">
      <w:pPr>
        <w:spacing w:line="312" w:lineRule="auto"/>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b/>
          <w:color w:val="000000" w:themeColor="text1"/>
          <w:sz w:val="24"/>
          <w14:textFill>
            <w14:solidFill>
              <w14:schemeClr w14:val="tx1"/>
            </w14:solidFill>
          </w14:textFill>
        </w:rPr>
        <w:t>3.0.</w:t>
      </w:r>
      <w:r>
        <w:rPr>
          <w:rFonts w:hint="eastAsia" w:ascii="Times New Roman" w:hAnsi="Times New Roman" w:eastAsia="宋体" w:cs="Times New Roman"/>
          <w:b/>
          <w:color w:val="000000" w:themeColor="text1"/>
          <w:sz w:val="24"/>
          <w:lang w:val="en-US" w:eastAsia="zh-CN"/>
          <w14:textFill>
            <w14:solidFill>
              <w14:schemeClr w14:val="tx1"/>
            </w14:solidFill>
          </w14:textFill>
        </w:rPr>
        <w:t>2</w:t>
      </w:r>
      <w:r>
        <w:rPr>
          <w:rFonts w:hint="eastAsia" w:ascii="Times New Roman" w:hAnsi="Times New Roman" w:eastAsia="宋体" w:cs="Times New Roman"/>
          <w:bCs/>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混凝土地面用耐磨硬化地坪</w:t>
      </w:r>
      <w:r>
        <w:rPr>
          <w:rFonts w:hint="eastAsia" w:ascii="Times New Roman" w:hAnsi="Times New Roman" w:cs="Times New Roman"/>
          <w:bCs/>
          <w:color w:val="000000" w:themeColor="text1"/>
          <w:sz w:val="24"/>
          <w14:textFill>
            <w14:solidFill>
              <w14:schemeClr w14:val="tx1"/>
            </w14:solidFill>
          </w14:textFill>
        </w:rPr>
        <w:t>中所使用的材料，应根据</w:t>
      </w:r>
      <w:r>
        <w:rPr>
          <w:rFonts w:hint="eastAsia" w:ascii="Times New Roman" w:hAnsi="Times New Roman" w:cs="Times New Roman"/>
          <w:bCs/>
          <w:sz w:val="24"/>
        </w:rPr>
        <w:t>工作环境</w:t>
      </w:r>
      <w:r>
        <w:rPr>
          <w:rFonts w:hint="eastAsia" w:ascii="Times New Roman" w:hAnsi="Times New Roman" w:cs="Times New Roman"/>
          <w:bCs/>
          <w:color w:val="000000" w:themeColor="text1"/>
          <w:sz w:val="24"/>
          <w14:textFill>
            <w14:solidFill>
              <w14:schemeClr w14:val="tx1"/>
            </w14:solidFill>
          </w14:textFill>
        </w:rPr>
        <w:t>、荷载、设计寿命以及施工性能等要求综合确定。</w:t>
      </w:r>
      <w:r>
        <w:rPr>
          <w:rFonts w:hint="eastAsia"/>
          <w:sz w:val="24"/>
        </w:rPr>
        <w:t>工程宜选用绿色环保、节约资源以及可循环利用的材料，所</w:t>
      </w:r>
      <w:r>
        <w:rPr>
          <w:sz w:val="24"/>
        </w:rPr>
        <w:t>用材料</w:t>
      </w:r>
      <w:r>
        <w:rPr>
          <w:rFonts w:hint="eastAsia"/>
          <w:sz w:val="24"/>
        </w:rPr>
        <w:t>的品种、规格和质量</w:t>
      </w:r>
      <w:r>
        <w:rPr>
          <w:sz w:val="24"/>
        </w:rPr>
        <w:t>应符合设计要求和国家现行有关标准的规定</w:t>
      </w:r>
      <w:r>
        <w:rPr>
          <w:rFonts w:hint="eastAsia" w:ascii="Times New Roman" w:hAnsi="Times New Roman"/>
          <w:sz w:val="24"/>
        </w:rPr>
        <w:t>。不得使用国家明令淘汰的材料</w:t>
      </w:r>
      <w:r>
        <w:rPr>
          <w:rFonts w:ascii="Times New Roman" w:hAnsi="Times New Roman" w:eastAsia="宋体" w:cs="Times New Roman"/>
          <w:color w:val="000000" w:themeColor="text1"/>
          <w:sz w:val="24"/>
          <w14:textFill>
            <w14:solidFill>
              <w14:schemeClr w14:val="tx1"/>
            </w14:solidFill>
          </w14:textFill>
        </w:rPr>
        <w:t>。</w:t>
      </w:r>
    </w:p>
    <w:p w14:paraId="57A14C05">
      <w:pPr>
        <w:spacing w:line="312" w:lineRule="auto"/>
        <w:rPr>
          <w:rFonts w:ascii="Times New Roman" w:hAnsi="Times New Roman" w:eastAsia="宋体" w:cs="Times New Roman"/>
          <w:color w:val="000000" w:themeColor="text1"/>
          <w:sz w:val="24"/>
          <w14:textFill>
            <w14:solidFill>
              <w14:schemeClr w14:val="tx1"/>
            </w14:solidFill>
          </w14:textFill>
        </w:rPr>
      </w:pPr>
      <w:bookmarkStart w:id="51" w:name="OLE_LINK25"/>
      <w:bookmarkStart w:id="52" w:name="OLE_LINK24"/>
      <w:r>
        <w:rPr>
          <w:rFonts w:ascii="Times New Roman" w:hAnsi="Times New Roman" w:eastAsia="宋体" w:cs="Times New Roman"/>
          <w:b/>
          <w:color w:val="000000" w:themeColor="text1"/>
          <w:sz w:val="24"/>
          <w14:textFill>
            <w14:solidFill>
              <w14:schemeClr w14:val="tx1"/>
            </w14:solidFill>
          </w14:textFill>
        </w:rPr>
        <w:t>3.0.</w:t>
      </w:r>
      <w:r>
        <w:rPr>
          <w:rFonts w:hint="eastAsia" w:ascii="Times New Roman" w:hAnsi="Times New Roman" w:eastAsia="宋体" w:cs="Times New Roman"/>
          <w:b/>
          <w:color w:val="000000" w:themeColor="text1"/>
          <w:sz w:val="24"/>
          <w:lang w:val="en-US" w:eastAsia="zh-CN"/>
          <w14:textFill>
            <w14:solidFill>
              <w14:schemeClr w14:val="tx1"/>
            </w14:solidFill>
          </w14:textFill>
        </w:rPr>
        <w:t>3</w:t>
      </w:r>
      <w:r>
        <w:rPr>
          <w:rFonts w:ascii="Times New Roman" w:hAnsi="Times New Roman" w:eastAsia="宋体" w:cs="Times New Roman"/>
          <w:b/>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混凝土地面用耐磨硬化地坪</w:t>
      </w:r>
      <w:r>
        <w:rPr>
          <w:rFonts w:hint="eastAsia" w:ascii="Times New Roman" w:hAnsi="Times New Roman" w:eastAsia="宋体" w:cs="Times New Roman"/>
          <w:color w:val="000000" w:themeColor="text1"/>
          <w:sz w:val="24"/>
          <w14:textFill>
            <w14:solidFill>
              <w14:schemeClr w14:val="tx1"/>
            </w14:solidFill>
          </w14:textFill>
        </w:rPr>
        <w:t>按照使用场合所需要耐磨</w:t>
      </w:r>
      <w:bookmarkEnd w:id="51"/>
      <w:bookmarkEnd w:id="52"/>
      <w:r>
        <w:rPr>
          <w:rFonts w:hint="eastAsia" w:ascii="Times New Roman" w:hAnsi="Times New Roman" w:eastAsia="宋体" w:cs="Times New Roman"/>
          <w:color w:val="000000" w:themeColor="text1"/>
          <w:sz w:val="24"/>
          <w:lang w:val="en-US" w:eastAsia="zh-CN"/>
          <w14:textFill>
            <w14:solidFill>
              <w14:schemeClr w14:val="tx1"/>
            </w14:solidFill>
          </w14:textFill>
        </w:rPr>
        <w:t>等级</w:t>
      </w:r>
      <w:r>
        <w:rPr>
          <w:rFonts w:hint="eastAsia" w:ascii="Times New Roman" w:hAnsi="Times New Roman" w:eastAsia="宋体" w:cs="Times New Roman"/>
          <w:color w:val="000000" w:themeColor="text1"/>
          <w:sz w:val="24"/>
          <w14:textFill>
            <w14:solidFill>
              <w14:schemeClr w14:val="tx1"/>
            </w14:solidFill>
          </w14:textFill>
        </w:rPr>
        <w:t>分为特高耐磨性地坪、超高耐磨地坪、高耐磨地坪、中耐磨地坪和普通耐磨地坪。</w:t>
      </w:r>
    </w:p>
    <w:p w14:paraId="33E782C0">
      <w:pPr>
        <w:spacing w:line="312" w:lineRule="auto"/>
        <w:rPr>
          <w:rFonts w:ascii="Times New Roman" w:hAnsi="Times New Roman" w:cs="Times New Roman"/>
          <w:sz w:val="24"/>
        </w:rPr>
      </w:pPr>
      <w:r>
        <w:rPr>
          <w:rFonts w:ascii="Times New Roman" w:hAnsi="Times New Roman" w:eastAsia="宋体" w:cs="Times New Roman"/>
          <w:b/>
          <w:color w:val="000000" w:themeColor="text1"/>
          <w:sz w:val="24"/>
          <w14:textFill>
            <w14:solidFill>
              <w14:schemeClr w14:val="tx1"/>
            </w14:solidFill>
          </w14:textFill>
        </w:rPr>
        <w:t>3.0.</w:t>
      </w:r>
      <w:r>
        <w:rPr>
          <w:rFonts w:hint="eastAsia" w:ascii="Times New Roman" w:hAnsi="Times New Roman" w:eastAsia="宋体" w:cs="Times New Roman"/>
          <w:b/>
          <w:color w:val="000000" w:themeColor="text1"/>
          <w:sz w:val="24"/>
          <w:lang w:val="en-US" w:eastAsia="zh-CN"/>
          <w14:textFill>
            <w14:solidFill>
              <w14:schemeClr w14:val="tx1"/>
            </w14:solidFill>
          </w14:textFill>
        </w:rPr>
        <w:t>4</w:t>
      </w:r>
      <w:r>
        <w:rPr>
          <w:rFonts w:ascii="Times New Roman" w:hAnsi="Times New Roman" w:eastAsia="宋体" w:cs="Times New Roman"/>
          <w:b/>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混凝土地面用耐磨硬化地坪</w:t>
      </w:r>
      <w:r>
        <w:rPr>
          <w:rFonts w:hint="eastAsia" w:ascii="Times New Roman" w:hAnsi="Times New Roman" w:eastAsia="宋体" w:cs="Times New Roman"/>
          <w:color w:val="000000" w:themeColor="text1"/>
          <w:sz w:val="24"/>
          <w14:textFill>
            <w14:solidFill>
              <w14:schemeClr w14:val="tx1"/>
            </w14:solidFill>
          </w14:textFill>
        </w:rPr>
        <w:t>按照使用场合所需要承载的载荷分为</w:t>
      </w:r>
      <w:r>
        <w:rPr>
          <w:rFonts w:hint="eastAsia" w:ascii="Times New Roman" w:hAnsi="Times New Roman"/>
          <w:color w:val="000000"/>
          <w:sz w:val="24"/>
          <w:szCs w:val="20"/>
        </w:rPr>
        <w:t>超重载耐磨</w:t>
      </w:r>
      <w:r>
        <w:rPr>
          <w:rFonts w:hint="eastAsia" w:ascii="Times New Roman" w:hAnsi="Times New Roman" w:cs="Times New Roman"/>
          <w:sz w:val="24"/>
        </w:rPr>
        <w:t>地坪</w:t>
      </w:r>
      <w:r>
        <w:rPr>
          <w:rFonts w:hint="eastAsia" w:ascii="Times New Roman" w:hAnsi="Times New Roman" w:cs="Times New Roman"/>
          <w:sz w:val="24"/>
          <w:lang w:eastAsia="zh-CN"/>
        </w:rPr>
        <w:t>、</w:t>
      </w:r>
      <w:r>
        <w:rPr>
          <w:rFonts w:hint="eastAsia" w:ascii="Times New Roman" w:hAnsi="Times New Roman"/>
          <w:color w:val="000000"/>
          <w:sz w:val="24"/>
          <w:szCs w:val="20"/>
        </w:rPr>
        <w:t>重载耐磨</w:t>
      </w:r>
      <w:r>
        <w:rPr>
          <w:rFonts w:hint="eastAsia" w:ascii="Times New Roman" w:hAnsi="Times New Roman" w:cs="Times New Roman"/>
          <w:sz w:val="24"/>
        </w:rPr>
        <w:t>地坪、</w:t>
      </w:r>
      <w:r>
        <w:rPr>
          <w:rFonts w:hint="eastAsia" w:ascii="Times New Roman" w:hAnsi="Times New Roman"/>
          <w:color w:val="000000"/>
          <w:sz w:val="24"/>
          <w:szCs w:val="20"/>
        </w:rPr>
        <w:t>中载耐磨</w:t>
      </w:r>
      <w:r>
        <w:rPr>
          <w:rFonts w:hint="eastAsia" w:ascii="Times New Roman" w:hAnsi="Times New Roman" w:cs="Times New Roman"/>
          <w:sz w:val="24"/>
        </w:rPr>
        <w:t>地坪和</w:t>
      </w:r>
      <w:r>
        <w:rPr>
          <w:rFonts w:hint="eastAsia" w:ascii="Times New Roman" w:hAnsi="Times New Roman"/>
          <w:color w:val="000000"/>
          <w:sz w:val="24"/>
          <w:szCs w:val="20"/>
        </w:rPr>
        <w:t>轻载耐磨</w:t>
      </w:r>
      <w:r>
        <w:rPr>
          <w:rFonts w:hint="eastAsia" w:ascii="Times New Roman" w:hAnsi="Times New Roman" w:cs="Times New Roman"/>
          <w:sz w:val="24"/>
        </w:rPr>
        <w:t>地坪。</w:t>
      </w:r>
    </w:p>
    <w:p w14:paraId="0FB3D695">
      <w:pPr>
        <w:spacing w:line="360" w:lineRule="auto"/>
        <w:rPr>
          <w:rFonts w:ascii="Times New Roman" w:hAnsi="Times New Roman" w:cs="Times New Roman"/>
          <w:strike w:val="0"/>
          <w:dstrike w:val="0"/>
          <w:sz w:val="24"/>
        </w:rPr>
      </w:pPr>
      <w:r>
        <w:rPr>
          <w:rFonts w:ascii="Times New Roman" w:hAnsi="Times New Roman" w:cs="Times New Roman"/>
          <w:b/>
          <w:strike w:val="0"/>
          <w:dstrike w:val="0"/>
          <w:color w:val="000000" w:themeColor="text1"/>
          <w:sz w:val="24"/>
          <w14:textFill>
            <w14:solidFill>
              <w14:schemeClr w14:val="tx1"/>
            </w14:solidFill>
          </w14:textFill>
        </w:rPr>
        <w:t>3.</w:t>
      </w:r>
      <w:r>
        <w:rPr>
          <w:rFonts w:hint="eastAsia" w:ascii="Times New Roman" w:hAnsi="Times New Roman" w:cs="Times New Roman"/>
          <w:b/>
          <w:strike w:val="0"/>
          <w:dstrike w:val="0"/>
          <w:color w:val="000000" w:themeColor="text1"/>
          <w:sz w:val="24"/>
          <w:lang w:val="en-US" w:eastAsia="zh-CN"/>
          <w14:textFill>
            <w14:solidFill>
              <w14:schemeClr w14:val="tx1"/>
            </w14:solidFill>
          </w14:textFill>
        </w:rPr>
        <w:t>0</w:t>
      </w:r>
      <w:r>
        <w:rPr>
          <w:rFonts w:ascii="Times New Roman" w:hAnsi="Times New Roman" w:cs="Times New Roman"/>
          <w:b/>
          <w:strike w:val="0"/>
          <w:dstrike w:val="0"/>
          <w:color w:val="000000" w:themeColor="text1"/>
          <w:sz w:val="24"/>
          <w14:textFill>
            <w14:solidFill>
              <w14:schemeClr w14:val="tx1"/>
            </w14:solidFill>
          </w14:textFill>
        </w:rPr>
        <w:t>.</w:t>
      </w:r>
      <w:r>
        <w:rPr>
          <w:rFonts w:hint="eastAsia" w:ascii="Times New Roman" w:hAnsi="Times New Roman" w:cs="Times New Roman"/>
          <w:b/>
          <w:strike w:val="0"/>
          <w:dstrike w:val="0"/>
          <w:color w:val="000000" w:themeColor="text1"/>
          <w:sz w:val="24"/>
          <w:lang w:val="en-US" w:eastAsia="zh-CN"/>
          <w14:textFill>
            <w14:solidFill>
              <w14:schemeClr w14:val="tx1"/>
            </w14:solidFill>
          </w14:textFill>
        </w:rPr>
        <w:t>5</w:t>
      </w:r>
      <w:r>
        <w:rPr>
          <w:rFonts w:ascii="Times New Roman" w:hAnsi="Times New Roman" w:cs="Times New Roman"/>
          <w:b/>
          <w:strike w:val="0"/>
          <w:dstrike w:val="0"/>
          <w:color w:val="000000" w:themeColor="text1"/>
          <w:sz w:val="24"/>
          <w14:textFill>
            <w14:solidFill>
              <w14:schemeClr w14:val="tx1"/>
            </w14:solidFill>
          </w14:textFill>
        </w:rPr>
        <w:t xml:space="preserve"> </w:t>
      </w:r>
      <w:r>
        <w:rPr>
          <w:rFonts w:hint="eastAsia" w:ascii="Times New Roman" w:hAnsi="Times New Roman" w:cs="Times New Roman"/>
          <w:strike w:val="0"/>
          <w:dstrike w:val="0"/>
          <w:sz w:val="24"/>
        </w:rPr>
        <w:t>冬季施工应符合</w:t>
      </w:r>
      <w:r>
        <w:rPr>
          <w:rFonts w:hint="eastAsia" w:ascii="Times New Roman" w:hAnsi="Times New Roman" w:cs="Times New Roman"/>
          <w:strike w:val="0"/>
          <w:dstrike w:val="0"/>
          <w:color w:val="000000" w:themeColor="text1"/>
          <w:sz w:val="24"/>
          <w:lang w:val="en-US" w:eastAsia="zh-CN"/>
          <w14:textFill>
            <w14:solidFill>
              <w14:schemeClr w14:val="tx1"/>
            </w14:solidFill>
          </w14:textFill>
        </w:rPr>
        <w:t>现行行业标准</w:t>
      </w:r>
      <w:r>
        <w:rPr>
          <w:rFonts w:hint="eastAsia" w:ascii="Times New Roman" w:hAnsi="Times New Roman" w:cs="Times New Roman"/>
          <w:strike w:val="0"/>
          <w:dstrike w:val="0"/>
          <w:sz w:val="24"/>
        </w:rPr>
        <w:t>《建筑工程冬期施工规程》JGJ</w:t>
      </w:r>
      <w:r>
        <w:rPr>
          <w:rFonts w:hint="eastAsia" w:ascii="Times New Roman" w:hAnsi="Times New Roman" w:cs="Times New Roman"/>
          <w:strike w:val="0"/>
          <w:dstrike w:val="0"/>
          <w:sz w:val="24"/>
          <w:lang w:val="en-US" w:eastAsia="zh-CN"/>
        </w:rPr>
        <w:t xml:space="preserve"> </w:t>
      </w:r>
      <w:r>
        <w:rPr>
          <w:rFonts w:hint="eastAsia" w:ascii="Times New Roman" w:hAnsi="Times New Roman" w:cs="Times New Roman"/>
          <w:strike w:val="0"/>
          <w:dstrike w:val="0"/>
          <w:sz w:val="24"/>
        </w:rPr>
        <w:t>104的有关规定。</w:t>
      </w:r>
    </w:p>
    <w:p w14:paraId="78AA310E">
      <w:pPr>
        <w:spacing w:line="360" w:lineRule="auto"/>
        <w:rPr>
          <w:rFonts w:ascii="Times New Roman" w:hAnsi="Times New Roman" w:cs="Times New Roman"/>
          <w:sz w:val="24"/>
        </w:rPr>
      </w:pPr>
      <w:r>
        <w:rPr>
          <w:rFonts w:ascii="Times New Roman" w:hAnsi="Times New Roman" w:cs="Times New Roman"/>
          <w:b/>
          <w:color w:val="000000" w:themeColor="text1"/>
          <w:sz w:val="24"/>
          <w14:textFill>
            <w14:solidFill>
              <w14:schemeClr w14:val="tx1"/>
            </w14:solidFill>
          </w14:textFill>
        </w:rPr>
        <w:t>3.</w:t>
      </w:r>
      <w:r>
        <w:rPr>
          <w:rFonts w:hint="eastAsia" w:ascii="Times New Roman" w:hAnsi="Times New Roman" w:cs="Times New Roman"/>
          <w:b/>
          <w:color w:val="000000" w:themeColor="text1"/>
          <w:sz w:val="24"/>
          <w:lang w:val="en-US" w:eastAsia="zh-CN"/>
          <w14:textFill>
            <w14:solidFill>
              <w14:schemeClr w14:val="tx1"/>
            </w14:solidFill>
          </w14:textFill>
        </w:rPr>
        <w:t>0</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 xml:space="preserve"> </w:t>
      </w:r>
      <w:bookmarkStart w:id="53" w:name="OLE_LINK51"/>
      <w:bookmarkStart w:id="54" w:name="OLE_LINK50"/>
      <w:r>
        <w:rPr>
          <w:rFonts w:hint="eastAsia" w:ascii="Times New Roman" w:hAnsi="Times New Roman" w:cs="Times New Roman"/>
          <w:color w:val="000000" w:themeColor="text1"/>
          <w:sz w:val="24"/>
          <w14:textFill>
            <w14:solidFill>
              <w14:schemeClr w14:val="tx1"/>
            </w14:solidFill>
          </w14:textFill>
        </w:rPr>
        <w:t>混凝土地面用耐磨硬化地坪有不发火要求的，不发火性能应满足</w:t>
      </w:r>
      <w:r>
        <w:rPr>
          <w:rFonts w:hint="eastAsia" w:ascii="Times New Roman" w:hAnsi="Times New Roman" w:cs="Times New Roman"/>
          <w:color w:val="000000" w:themeColor="text1"/>
          <w:sz w:val="24"/>
          <w:lang w:val="en-US" w:eastAsia="zh-CN"/>
          <w14:textFill>
            <w14:solidFill>
              <w14:schemeClr w14:val="tx1"/>
            </w14:solidFill>
          </w14:textFill>
        </w:rPr>
        <w:t>现行国家标准</w:t>
      </w:r>
      <w:r>
        <w:rPr>
          <w:rFonts w:hint="eastAsia" w:ascii="Times New Roman" w:hAnsi="Times New Roman" w:cs="Times New Roman"/>
          <w:color w:val="000000" w:themeColor="text1"/>
          <w:sz w:val="24"/>
          <w14:textFill>
            <w14:solidFill>
              <w14:schemeClr w14:val="tx1"/>
            </w14:solidFill>
          </w14:textFill>
        </w:rPr>
        <w:t>GB</w:t>
      </w:r>
      <w:r>
        <w:rPr>
          <w:rFonts w:hint="eastAsia" w:ascii="Times New Roman" w:hAnsi="Times New Roman" w:cs="Times New Roman"/>
          <w:color w:val="000000" w:themeColor="text1"/>
          <w:sz w:val="24"/>
          <w:lang w:val="en-US" w:eastAsia="zh-CN"/>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50209</w:t>
      </w:r>
      <w:r>
        <w:rPr>
          <w:rFonts w:hint="eastAsia" w:ascii="Times New Roman" w:hAnsi="Times New Roman" w:cs="Times New Roman"/>
          <w:sz w:val="24"/>
        </w:rPr>
        <w:t>的有关规定。</w:t>
      </w:r>
    </w:p>
    <w:p w14:paraId="4E371F11">
      <w:pPr>
        <w:spacing w:line="312"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3.</w:t>
      </w:r>
      <w:r>
        <w:rPr>
          <w:rFonts w:hint="eastAsia" w:ascii="Times New Roman" w:hAnsi="Times New Roman" w:cs="Times New Roman"/>
          <w:b/>
          <w:color w:val="000000" w:themeColor="text1"/>
          <w:sz w:val="24"/>
          <w:lang w:val="en-US" w:eastAsia="zh-CN"/>
          <w14:textFill>
            <w14:solidFill>
              <w14:schemeClr w14:val="tx1"/>
            </w14:solidFill>
          </w14:textFill>
        </w:rPr>
        <w:t>0</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7</w:t>
      </w:r>
      <w:r>
        <w:rPr>
          <w:rFonts w:ascii="Times New Roman" w:hAnsi="Times New Roman" w:cs="Times New Roman"/>
          <w:b/>
          <w:color w:val="000000" w:themeColor="text1"/>
          <w:sz w:val="24"/>
          <w14:textFill>
            <w14:solidFill>
              <w14:schemeClr w14:val="tx1"/>
            </w14:solidFill>
          </w14:textFill>
        </w:rPr>
        <w:t xml:space="preserve"> </w:t>
      </w:r>
      <w:bookmarkEnd w:id="53"/>
      <w:bookmarkEnd w:id="54"/>
      <w:r>
        <w:rPr>
          <w:rFonts w:hint="eastAsia" w:ascii="Times New Roman" w:hAnsi="Times New Roman" w:cs="Times New Roman"/>
          <w:color w:val="000000" w:themeColor="text1"/>
          <w:sz w:val="24"/>
          <w14:textFill>
            <w14:solidFill>
              <w14:schemeClr w14:val="tx1"/>
            </w14:solidFill>
          </w14:textFill>
        </w:rPr>
        <w:t>混凝土地面用耐磨硬化地坪有防静电要求的，</w:t>
      </w:r>
      <w:r>
        <w:rPr>
          <w:rFonts w:hint="eastAsia" w:ascii="Times New Roman" w:hAnsi="Times New Roman" w:cs="Times New Roman"/>
          <w:color w:val="000000" w:themeColor="text1"/>
          <w:sz w:val="24"/>
          <w:lang w:val="en-US" w:eastAsia="zh-CN"/>
          <w14:textFill>
            <w14:solidFill>
              <w14:schemeClr w14:val="tx1"/>
            </w14:solidFill>
          </w14:textFill>
        </w:rPr>
        <w:t>防静电性能</w:t>
      </w:r>
      <w:r>
        <w:rPr>
          <w:rFonts w:hint="eastAsia" w:ascii="Times New Roman" w:hAnsi="Times New Roman" w:cs="Times New Roman"/>
          <w:color w:val="000000" w:themeColor="text1"/>
          <w:sz w:val="24"/>
          <w14:textFill>
            <w14:solidFill>
              <w14:schemeClr w14:val="tx1"/>
            </w14:solidFill>
          </w14:textFill>
        </w:rPr>
        <w:t>应满足</w:t>
      </w:r>
      <w:r>
        <w:rPr>
          <w:rFonts w:hint="eastAsia" w:ascii="Times New Roman" w:hAnsi="Times New Roman" w:cs="Times New Roman"/>
          <w:color w:val="000000" w:themeColor="text1"/>
          <w:sz w:val="24"/>
          <w:lang w:val="en-US" w:eastAsia="zh-CN"/>
          <w14:textFill>
            <w14:solidFill>
              <w14:schemeClr w14:val="tx1"/>
            </w14:solidFill>
          </w14:textFill>
        </w:rPr>
        <w:t>现行行业标准</w:t>
      </w:r>
      <w:r>
        <w:rPr>
          <w:rFonts w:hint="eastAsia" w:ascii="Times New Roman" w:hAnsi="Times New Roman" w:cs="Times New Roman"/>
          <w:color w:val="000000" w:themeColor="text1"/>
          <w:sz w:val="24"/>
          <w14:textFill>
            <w14:solidFill>
              <w14:schemeClr w14:val="tx1"/>
            </w14:solidFill>
          </w14:textFill>
        </w:rPr>
        <w:t>SJ/T</w:t>
      </w:r>
      <w:r>
        <w:rPr>
          <w:rFonts w:hint="eastAsia" w:ascii="Times New Roman" w:hAnsi="Times New Roman" w:cs="Times New Roman"/>
          <w:color w:val="000000" w:themeColor="text1"/>
          <w:sz w:val="24"/>
          <w:lang w:val="en-US" w:eastAsia="zh-CN"/>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10694</w:t>
      </w:r>
      <w:r>
        <w:rPr>
          <w:rFonts w:hint="eastAsia" w:ascii="Times New Roman" w:hAnsi="Times New Roman" w:cs="Times New Roman"/>
          <w:sz w:val="24"/>
        </w:rPr>
        <w:t>的有关规定。</w:t>
      </w:r>
    </w:p>
    <w:p w14:paraId="4201332D">
      <w:pPr>
        <w:spacing w:line="312" w:lineRule="auto"/>
        <w:rPr>
          <w:rFonts w:ascii="Times New Roman" w:hAnsi="Times New Roman" w:eastAsia="新宋体" w:cs="Times New Roman"/>
          <w:bCs/>
          <w:sz w:val="24"/>
        </w:rPr>
      </w:pPr>
    </w:p>
    <w:p w14:paraId="179C4C4F">
      <w:pPr>
        <w:spacing w:line="312" w:lineRule="auto"/>
        <w:rPr>
          <w:rFonts w:ascii="Times New Roman" w:hAnsi="Times New Roman" w:eastAsia="宋体" w:cs="Times New Roman"/>
          <w:color w:val="000000" w:themeColor="text1"/>
          <w:sz w:val="24"/>
          <w14:textFill>
            <w14:solidFill>
              <w14:schemeClr w14:val="tx1"/>
            </w14:solidFill>
          </w14:textFill>
        </w:rPr>
      </w:pPr>
    </w:p>
    <w:p w14:paraId="21F593FB">
      <w:pPr>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br w:type="page"/>
      </w:r>
    </w:p>
    <w:bookmarkEnd w:id="45"/>
    <w:bookmarkEnd w:id="46"/>
    <w:bookmarkEnd w:id="47"/>
    <w:p w14:paraId="3BBDD28D">
      <w:pPr>
        <w:pStyle w:val="2"/>
        <w:keepNext w:val="0"/>
        <w:keepLines w:val="0"/>
        <w:snapToGrid w:val="0"/>
        <w:spacing w:before="312" w:beforeLines="100" w:after="312" w:afterLines="100" w:line="360" w:lineRule="auto"/>
        <w:jc w:val="center"/>
        <w:rPr>
          <w:rFonts w:ascii="Times New Roman" w:hAnsi="Times New Roman" w:eastAsia="宋体" w:cs="Times New Roman"/>
          <w:b/>
          <w:color w:val="000000" w:themeColor="text1"/>
          <w:sz w:val="32"/>
          <w:szCs w:val="28"/>
          <w14:textFill>
            <w14:solidFill>
              <w14:schemeClr w14:val="tx1"/>
            </w14:solidFill>
          </w14:textFill>
        </w:rPr>
      </w:pPr>
      <w:bookmarkStart w:id="55" w:name="_Toc8770"/>
      <w:r>
        <w:rPr>
          <w:rFonts w:ascii="Times New Roman" w:hAnsi="Times New Roman" w:eastAsia="宋体" w:cs="Times New Roman"/>
          <w:b/>
          <w:color w:val="000000" w:themeColor="text1"/>
          <w:sz w:val="32"/>
          <w:szCs w:val="28"/>
          <w14:textFill>
            <w14:solidFill>
              <w14:schemeClr w14:val="tx1"/>
            </w14:solidFill>
          </w14:textFill>
        </w:rPr>
        <w:t>4</w:t>
      </w:r>
      <w:r>
        <w:rPr>
          <w:rFonts w:ascii="Times New Roman" w:hAnsi="Times New Roman" w:eastAsia="宋体" w:cs="Times New Roman"/>
          <w:b/>
          <w:color w:val="000000" w:themeColor="text1"/>
          <w:sz w:val="32"/>
          <w:szCs w:val="28"/>
          <w:lang w:val="zh-CN"/>
          <w14:textFill>
            <w14:solidFill>
              <w14:schemeClr w14:val="tx1"/>
            </w14:solidFill>
          </w14:textFill>
        </w:rPr>
        <w:t>　材　　料</w:t>
      </w:r>
      <w:bookmarkEnd w:id="48"/>
      <w:bookmarkEnd w:id="55"/>
    </w:p>
    <w:bookmarkEnd w:id="49"/>
    <w:bookmarkEnd w:id="50"/>
    <w:p w14:paraId="72B00384">
      <w:pPr>
        <w:spacing w:line="312" w:lineRule="auto"/>
        <w:rPr>
          <w:rFonts w:ascii="Times New Roman" w:hAnsi="Times New Roman"/>
          <w:sz w:val="24"/>
        </w:rPr>
      </w:pPr>
      <w:bookmarkStart w:id="56" w:name="_Hlk209879768"/>
      <w:bookmarkStart w:id="57" w:name="OLE_LINK32"/>
      <w:bookmarkStart w:id="58" w:name="_Hlk209880886"/>
      <w:bookmarkStart w:id="59" w:name="OLE_LINK37"/>
      <w:bookmarkStart w:id="60" w:name="_Toc97932345"/>
      <w:r>
        <w:rPr>
          <w:rFonts w:hint="eastAsia" w:ascii="Times New Roman" w:hAnsi="Times New Roman" w:cs="Times New Roman"/>
          <w:b/>
          <w:color w:val="000000" w:themeColor="text1"/>
          <w:sz w:val="24"/>
          <w:lang w:val="en-US" w:eastAsia="zh-CN"/>
          <w14:textFill>
            <w14:solidFill>
              <w14:schemeClr w14:val="tx1"/>
            </w14:solidFill>
          </w14:textFill>
        </w:rPr>
        <w:t>4.0.1</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sz w:val="24"/>
        </w:rPr>
        <w:t>混凝土</w:t>
      </w:r>
      <w:r>
        <w:rPr>
          <w:rFonts w:hint="eastAsia" w:ascii="Times New Roman" w:hAnsi="Times New Roman" w:cs="Times New Roman"/>
          <w:bCs/>
          <w:sz w:val="24"/>
        </w:rPr>
        <w:t>应符合现行国家标准《预拌混凝土》GB/T 14902规定的预拌混凝土，</w:t>
      </w:r>
      <w:r>
        <w:rPr>
          <w:rFonts w:hint="eastAsia" w:ascii="Times New Roman" w:hAnsi="Times New Roman" w:cs="Times New Roman"/>
          <w:sz w:val="24"/>
        </w:rPr>
        <w:t>强度等级应在C25-C40之间。混凝土</w:t>
      </w:r>
      <w:r>
        <w:rPr>
          <w:rFonts w:hint="eastAsia" w:ascii="Times New Roman" w:hAnsi="Times New Roman"/>
          <w:sz w:val="24"/>
        </w:rPr>
        <w:t>所用水泥除应符合设计要求外，尚应符合现行国家标准《混凝土结构工程施工质量验收规范》GB</w:t>
      </w:r>
      <w:r>
        <w:rPr>
          <w:rFonts w:ascii="Times New Roman" w:hAnsi="Times New Roman"/>
          <w:sz w:val="24"/>
        </w:rPr>
        <w:t xml:space="preserve"> 50204</w:t>
      </w:r>
      <w:r>
        <w:rPr>
          <w:rFonts w:hint="eastAsia" w:ascii="Times New Roman" w:hAnsi="Times New Roman"/>
          <w:sz w:val="24"/>
        </w:rPr>
        <w:t>的有关规定。</w:t>
      </w:r>
    </w:p>
    <w:p w14:paraId="5AFB987E">
      <w:pPr>
        <w:spacing w:line="312"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4.0.2　</w:t>
      </w:r>
      <w:r>
        <w:rPr>
          <w:rFonts w:ascii="Times New Roman" w:hAnsi="Times New Roman" w:cs="Times New Roman"/>
          <w:sz w:val="24"/>
        </w:rPr>
        <w:t>耐磨材料应符合现行行业标准《混凝土地面用水泥基耐磨材料》JC/T 906的有关规定</w:t>
      </w:r>
      <w:r>
        <w:rPr>
          <w:rFonts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14:textFill>
            <w14:solidFill>
              <w14:schemeClr w14:val="tx1"/>
            </w14:solidFill>
          </w14:textFill>
        </w:rPr>
        <w:t>混凝土地面用耐磨硬化地坪有不发火要求的，</w:t>
      </w:r>
      <w:r>
        <w:rPr>
          <w:rFonts w:hint="eastAsia" w:ascii="Times New Roman" w:hAnsi="Times New Roman" w:cs="Times New Roman"/>
          <w:color w:val="000000" w:themeColor="text1"/>
          <w:sz w:val="24"/>
          <w:lang w:val="en-US" w:eastAsia="zh-CN"/>
          <w14:textFill>
            <w14:solidFill>
              <w14:schemeClr w14:val="tx1"/>
            </w14:solidFill>
          </w14:textFill>
        </w:rPr>
        <w:t>材料的</w:t>
      </w:r>
      <w:r>
        <w:rPr>
          <w:rFonts w:hint="eastAsia" w:ascii="Times New Roman" w:hAnsi="Times New Roman" w:cs="Times New Roman"/>
          <w:color w:val="000000" w:themeColor="text1"/>
          <w:sz w:val="24"/>
          <w14:textFill>
            <w14:solidFill>
              <w14:schemeClr w14:val="tx1"/>
            </w14:solidFill>
          </w14:textFill>
        </w:rPr>
        <w:t>不发火性能应满足</w:t>
      </w:r>
      <w:r>
        <w:rPr>
          <w:rFonts w:hint="eastAsia" w:ascii="Times New Roman" w:hAnsi="Times New Roman" w:cs="Times New Roman"/>
          <w:color w:val="000000" w:themeColor="text1"/>
          <w:sz w:val="24"/>
          <w:lang w:val="en-US" w:eastAsia="zh-CN"/>
          <w14:textFill>
            <w14:solidFill>
              <w14:schemeClr w14:val="tx1"/>
            </w14:solidFill>
          </w14:textFill>
        </w:rPr>
        <w:t>现行国家标准</w:t>
      </w:r>
      <w:r>
        <w:rPr>
          <w:rFonts w:hint="eastAsia" w:ascii="Times New Roman" w:hAnsi="Times New Roman" w:cs="Times New Roman"/>
          <w:color w:val="000000" w:themeColor="text1"/>
          <w:sz w:val="24"/>
          <w14:textFill>
            <w14:solidFill>
              <w14:schemeClr w14:val="tx1"/>
            </w14:solidFill>
          </w14:textFill>
        </w:rPr>
        <w:t>GB50209</w:t>
      </w:r>
      <w:r>
        <w:rPr>
          <w:rFonts w:hint="eastAsia" w:ascii="Times New Roman" w:hAnsi="Times New Roman" w:cs="Times New Roman"/>
          <w:sz w:val="24"/>
        </w:rPr>
        <w:t>的有关规定。</w:t>
      </w:r>
      <w:r>
        <w:rPr>
          <w:rFonts w:hint="eastAsia" w:ascii="Times New Roman" w:hAnsi="Times New Roman" w:cs="Times New Roman"/>
          <w:color w:val="000000" w:themeColor="text1"/>
          <w:sz w:val="24"/>
          <w14:textFill>
            <w14:solidFill>
              <w14:schemeClr w14:val="tx1"/>
            </w14:solidFill>
          </w14:textFill>
        </w:rPr>
        <w:t>混凝土地面用耐磨硬化地坪有防静电要求的，</w:t>
      </w:r>
      <w:r>
        <w:rPr>
          <w:rFonts w:hint="eastAsia" w:ascii="Times New Roman" w:hAnsi="Times New Roman" w:cs="Times New Roman"/>
          <w:color w:val="000000" w:themeColor="text1"/>
          <w:sz w:val="24"/>
          <w:lang w:val="en-US" w:eastAsia="zh-CN"/>
          <w14:textFill>
            <w14:solidFill>
              <w14:schemeClr w14:val="tx1"/>
            </w14:solidFill>
          </w14:textFill>
        </w:rPr>
        <w:t>材料防静电性能</w:t>
      </w:r>
      <w:r>
        <w:rPr>
          <w:rFonts w:hint="eastAsia" w:ascii="Times New Roman" w:hAnsi="Times New Roman" w:cs="Times New Roman"/>
          <w:color w:val="000000" w:themeColor="text1"/>
          <w:sz w:val="24"/>
          <w14:textFill>
            <w14:solidFill>
              <w14:schemeClr w14:val="tx1"/>
            </w14:solidFill>
          </w14:textFill>
        </w:rPr>
        <w:t>应满足</w:t>
      </w:r>
      <w:r>
        <w:rPr>
          <w:rFonts w:hint="eastAsia" w:ascii="Times New Roman" w:hAnsi="Times New Roman" w:cs="Times New Roman"/>
          <w:color w:val="000000" w:themeColor="text1"/>
          <w:sz w:val="24"/>
          <w:lang w:val="en-US" w:eastAsia="zh-CN"/>
          <w14:textFill>
            <w14:solidFill>
              <w14:schemeClr w14:val="tx1"/>
            </w14:solidFill>
          </w14:textFill>
        </w:rPr>
        <w:t>现行行业标准</w:t>
      </w:r>
      <w:r>
        <w:rPr>
          <w:rFonts w:hint="eastAsia" w:ascii="Times New Roman" w:hAnsi="Times New Roman" w:cs="Times New Roman"/>
          <w:color w:val="000000" w:themeColor="text1"/>
          <w:sz w:val="24"/>
          <w14:textFill>
            <w14:solidFill>
              <w14:schemeClr w14:val="tx1"/>
            </w14:solidFill>
          </w14:textFill>
        </w:rPr>
        <w:t>SJ/T10694</w:t>
      </w:r>
      <w:r>
        <w:rPr>
          <w:rFonts w:hint="eastAsia" w:ascii="Times New Roman" w:hAnsi="Times New Roman" w:cs="Times New Roman"/>
          <w:sz w:val="24"/>
        </w:rPr>
        <w:t>的有关规定。</w:t>
      </w:r>
    </w:p>
    <w:p w14:paraId="76A364A6">
      <w:pPr>
        <w:spacing w:line="312" w:lineRule="auto"/>
        <w:rPr>
          <w:rFonts w:hint="default" w:ascii="Times New Roman" w:hAnsi="Times New Roman" w:cs="Times New Roman" w:eastAsiaTheme="minorEastAsia"/>
          <w:sz w:val="24"/>
          <w:highlight w:val="none"/>
          <w:lang w:val="en-US" w:eastAsia="zh-CN"/>
        </w:rPr>
      </w:pPr>
      <w:r>
        <w:rPr>
          <w:rFonts w:ascii="Times New Roman" w:hAnsi="Times New Roman" w:cs="Times New Roman"/>
          <w:b/>
          <w:color w:val="000000" w:themeColor="text1"/>
          <w:sz w:val="24"/>
          <w14:textFill>
            <w14:solidFill>
              <w14:schemeClr w14:val="tx1"/>
            </w14:solidFill>
          </w14:textFill>
        </w:rPr>
        <w:t>4.0.3</w:t>
      </w:r>
      <w:r>
        <w:rPr>
          <w:rFonts w:ascii="Times New Roman" w:hAnsi="Times New Roman" w:cs="Times New Roman"/>
          <w:sz w:val="24"/>
        </w:rPr>
        <w:t>　渗透型液体硬化剂应符合现行行业标准《渗透型液体硬化剂》JC/T 2158的有关规定</w:t>
      </w:r>
      <w:r>
        <w:rPr>
          <w:rFonts w:hint="eastAsia" w:ascii="Times New Roman" w:hAnsi="Times New Roman" w:cs="Times New Roman"/>
          <w:sz w:val="24"/>
        </w:rPr>
        <w:t>。锂基渗透型液体硬化剂</w:t>
      </w:r>
      <w:r>
        <w:rPr>
          <w:rFonts w:hint="eastAsia" w:ascii="Times New Roman" w:hAnsi="Times New Roman" w:cs="Times New Roman"/>
          <w:sz w:val="24"/>
          <w:lang w:val="en-US" w:eastAsia="zh-CN"/>
        </w:rPr>
        <w:t>中锂元素含量应不</w:t>
      </w:r>
      <w:r>
        <w:rPr>
          <w:rFonts w:hint="eastAsia" w:ascii="Times New Roman" w:hAnsi="Times New Roman" w:cs="Times New Roman"/>
          <w:sz w:val="24"/>
          <w:highlight w:val="none"/>
          <w:lang w:val="en-US" w:eastAsia="zh-CN"/>
        </w:rPr>
        <w:t>低于0.37%，检测方法见附录A。</w:t>
      </w:r>
    </w:p>
    <w:bookmarkEnd w:id="56"/>
    <w:bookmarkEnd w:id="57"/>
    <w:bookmarkEnd w:id="58"/>
    <w:bookmarkEnd w:id="59"/>
    <w:bookmarkEnd w:id="60"/>
    <w:p w14:paraId="1FF7AAD7">
      <w:pPr>
        <w:spacing w:line="360" w:lineRule="auto"/>
        <w:rPr>
          <w:rFonts w:hint="eastAsia" w:ascii="Times New Roman" w:hAnsi="Times New Roman" w:cs="Times New Roman"/>
          <w:sz w:val="24"/>
        </w:rPr>
      </w:pPr>
      <w:bookmarkStart w:id="61" w:name="_Toc97932346"/>
      <w:bookmarkStart w:id="62" w:name="_Toc533422971"/>
      <w:bookmarkStart w:id="63" w:name="_Toc533422741"/>
      <w:bookmarkStart w:id="64" w:name="_Toc533422611"/>
      <w:r>
        <w:rPr>
          <w:rFonts w:ascii="Times New Roman" w:hAnsi="Times New Roman" w:cs="Times New Roman"/>
          <w:b/>
          <w:color w:val="000000" w:themeColor="text1"/>
          <w:sz w:val="24"/>
          <w14:textFill>
            <w14:solidFill>
              <w14:schemeClr w14:val="tx1"/>
            </w14:solidFill>
          </w14:textFill>
        </w:rPr>
        <w:t>4.</w:t>
      </w:r>
      <w:bookmarkEnd w:id="61"/>
      <w:r>
        <w:rPr>
          <w:rFonts w:ascii="Times New Roman" w:hAnsi="Times New Roman" w:cs="Times New Roman"/>
          <w:b/>
          <w:color w:val="000000" w:themeColor="text1"/>
          <w:sz w:val="24"/>
          <w14:textFill>
            <w14:solidFill>
              <w14:schemeClr w14:val="tx1"/>
            </w14:solidFill>
          </w14:textFill>
        </w:rPr>
        <w:t>0.4</w:t>
      </w:r>
      <w:r>
        <w:rPr>
          <w:rFonts w:ascii="Times New Roman" w:hAnsi="Times New Roman" w:cs="Times New Roman"/>
          <w:sz w:val="24"/>
        </w:rPr>
        <w:t>　</w:t>
      </w:r>
      <w:bookmarkStart w:id="65" w:name="_Hlk209886573"/>
      <w:r>
        <w:rPr>
          <w:rFonts w:hint="eastAsia" w:ascii="Times New Roman" w:hAnsi="Times New Roman" w:cs="Times New Roman"/>
          <w:sz w:val="24"/>
        </w:rPr>
        <w:t>界面剂应符合现行行业标准《混凝土界面处理剂》JC/T 907的技术要求</w:t>
      </w:r>
      <w:r>
        <w:rPr>
          <w:rFonts w:hint="eastAsia" w:ascii="Times New Roman" w:hAnsi="Times New Roman" w:cs="Times New Roman"/>
          <w:sz w:val="24"/>
          <w:lang w:val="en-US" w:eastAsia="zh-CN"/>
        </w:rPr>
        <w:t>或</w:t>
      </w:r>
      <w:r>
        <w:rPr>
          <w:rFonts w:hint="eastAsia" w:ascii="Times New Roman" w:hAnsi="Times New Roman" w:cs="Times New Roman"/>
          <w:sz w:val="24"/>
        </w:rPr>
        <w:t>现行行业标准《</w:t>
      </w:r>
      <w:r>
        <w:rPr>
          <w:rFonts w:hint="eastAsia" w:ascii="Times New Roman" w:hAnsi="Times New Roman" w:cs="Times New Roman"/>
          <w:sz w:val="24"/>
          <w:lang w:val="en-US" w:eastAsia="zh-CN"/>
        </w:rPr>
        <w:t>水泥基自流平砂浆用界面剂</w:t>
      </w:r>
      <w:r>
        <w:rPr>
          <w:rFonts w:hint="eastAsia" w:ascii="Times New Roman" w:hAnsi="Times New Roman" w:cs="Times New Roman"/>
          <w:sz w:val="24"/>
        </w:rPr>
        <w:t>》J</w:t>
      </w:r>
      <w:r>
        <w:rPr>
          <w:rFonts w:hint="eastAsia" w:ascii="Times New Roman" w:hAnsi="Times New Roman" w:cs="Times New Roman"/>
          <w:sz w:val="24"/>
          <w:lang w:val="en-US" w:eastAsia="zh-CN"/>
        </w:rPr>
        <w:t>C</w:t>
      </w:r>
      <w:r>
        <w:rPr>
          <w:rFonts w:hint="eastAsia" w:ascii="Times New Roman" w:hAnsi="Times New Roman" w:cs="Times New Roman"/>
          <w:sz w:val="24"/>
        </w:rPr>
        <w:t xml:space="preserve">/T </w:t>
      </w:r>
      <w:r>
        <w:rPr>
          <w:rFonts w:hint="eastAsia" w:ascii="Times New Roman" w:hAnsi="Times New Roman" w:cs="Times New Roman"/>
          <w:sz w:val="24"/>
          <w:lang w:val="en-US" w:eastAsia="zh-CN"/>
        </w:rPr>
        <w:t>2329</w:t>
      </w:r>
      <w:r>
        <w:rPr>
          <w:rFonts w:hint="eastAsia" w:ascii="Times New Roman" w:hAnsi="Times New Roman" w:cs="Times New Roman"/>
          <w:sz w:val="24"/>
        </w:rPr>
        <w:t>的技术要求。</w:t>
      </w:r>
      <w:bookmarkStart w:id="66" w:name="OLE_LINK6"/>
    </w:p>
    <w:p w14:paraId="3C3CC6E9">
      <w:pPr>
        <w:spacing w:line="360" w:lineRule="auto"/>
        <w:rPr>
          <w:rFonts w:hint="eastAsia" w:ascii="Times New Roman" w:hAnsi="Times New Roman" w:cs="Times New Roman"/>
          <w:sz w:val="24"/>
          <w:lang w:val="en-US" w:eastAsia="zh-CN"/>
        </w:rPr>
      </w:pPr>
      <w:r>
        <w:rPr>
          <w:rFonts w:ascii="Times New Roman" w:hAnsi="Times New Roman" w:cs="Times New Roman"/>
          <w:b/>
          <w:color w:val="000000" w:themeColor="text1"/>
          <w:sz w:val="24"/>
          <w14:textFill>
            <w14:solidFill>
              <w14:schemeClr w14:val="tx1"/>
            </w14:solidFill>
          </w14:textFill>
        </w:rPr>
        <w:t xml:space="preserve">4.0.5 </w:t>
      </w:r>
      <w:r>
        <w:rPr>
          <w:rFonts w:hint="eastAsia" w:ascii="Times New Roman" w:hAnsi="Times New Roman" w:cs="Times New Roman"/>
          <w:sz w:val="24"/>
        </w:rPr>
        <w:t>填缝胶应符合现行行业标准《聚氨酯建筑密封胶》JC/T 482的技术要求</w:t>
      </w:r>
      <w:r>
        <w:rPr>
          <w:rFonts w:hint="eastAsia" w:ascii="Times New Roman" w:hAnsi="Times New Roman" w:cs="Times New Roman"/>
          <w:sz w:val="24"/>
          <w:lang w:eastAsia="zh-CN"/>
        </w:rPr>
        <w:t>，</w:t>
      </w:r>
      <w:r>
        <w:rPr>
          <w:rFonts w:hint="eastAsia" w:ascii="Times New Roman" w:hAnsi="Times New Roman" w:cs="Times New Roman"/>
          <w:sz w:val="24"/>
        </w:rPr>
        <w:t xml:space="preserve"> </w:t>
      </w:r>
      <w:r>
        <w:rPr>
          <w:rFonts w:hint="eastAsia" w:ascii="Times New Roman" w:hAnsi="Times New Roman" w:cs="Times New Roman"/>
          <w:sz w:val="24"/>
          <w:lang w:val="en-US" w:eastAsia="zh-CN"/>
        </w:rPr>
        <w:t>宜选用硬度（邵氏A型）为40~50的高模量聚氨酯建筑密封胶。</w:t>
      </w:r>
    </w:p>
    <w:bookmarkEnd w:id="62"/>
    <w:bookmarkEnd w:id="63"/>
    <w:bookmarkEnd w:id="64"/>
    <w:bookmarkEnd w:id="65"/>
    <w:bookmarkEnd w:id="66"/>
    <w:p w14:paraId="5C5104C2">
      <w:pPr>
        <w:rPr>
          <w:rFonts w:ascii="Times New Roman" w:hAnsi="Times New Roman" w:cs="Times New Roman"/>
          <w:color w:val="000000" w:themeColor="text1"/>
          <w:szCs w:val="21"/>
          <w14:textFill>
            <w14:solidFill>
              <w14:schemeClr w14:val="tx1"/>
            </w14:solidFill>
          </w14:textFill>
        </w:rPr>
      </w:pPr>
      <w:bookmarkStart w:id="67" w:name="_Toc533422744"/>
      <w:bookmarkStart w:id="68" w:name="_Toc533422614"/>
      <w:bookmarkStart w:id="69" w:name="_Toc533422974"/>
      <w:r>
        <w:rPr>
          <w:rFonts w:ascii="Times New Roman" w:hAnsi="Times New Roman" w:cs="Times New Roman"/>
          <w:color w:val="000000" w:themeColor="text1"/>
          <w:szCs w:val="21"/>
          <w14:textFill>
            <w14:solidFill>
              <w14:schemeClr w14:val="tx1"/>
            </w14:solidFill>
          </w14:textFill>
        </w:rPr>
        <w:br w:type="page"/>
      </w:r>
    </w:p>
    <w:p w14:paraId="3B15CCD0">
      <w:pPr>
        <w:pStyle w:val="2"/>
        <w:keepNext w:val="0"/>
        <w:keepLines w:val="0"/>
        <w:snapToGrid w:val="0"/>
        <w:spacing w:before="312" w:beforeLines="100" w:after="312" w:afterLines="100" w:line="360" w:lineRule="auto"/>
        <w:jc w:val="center"/>
        <w:rPr>
          <w:rFonts w:ascii="Times New Roman" w:hAnsi="Times New Roman" w:eastAsia="宋体" w:cs="Times New Roman"/>
          <w:b/>
          <w:color w:val="000000" w:themeColor="text1"/>
          <w:sz w:val="32"/>
          <w:szCs w:val="28"/>
          <w:lang w:val="zh-CN"/>
          <w14:textFill>
            <w14:solidFill>
              <w14:schemeClr w14:val="tx1"/>
            </w14:solidFill>
          </w14:textFill>
        </w:rPr>
      </w:pPr>
      <w:bookmarkStart w:id="70" w:name="_Toc99353161"/>
      <w:bookmarkStart w:id="71" w:name="_Toc31932"/>
      <w:r>
        <w:rPr>
          <w:rFonts w:ascii="Times New Roman" w:hAnsi="Times New Roman" w:eastAsia="宋体" w:cs="Times New Roman"/>
          <w:b/>
          <w:color w:val="000000" w:themeColor="text1"/>
          <w:sz w:val="32"/>
          <w:szCs w:val="28"/>
          <w:lang w:val="zh-CN"/>
          <w14:textFill>
            <w14:solidFill>
              <w14:schemeClr w14:val="tx1"/>
            </w14:solidFill>
          </w14:textFill>
        </w:rPr>
        <w:t>5　设　　计</w:t>
      </w:r>
      <w:bookmarkEnd w:id="67"/>
      <w:bookmarkEnd w:id="68"/>
      <w:bookmarkEnd w:id="69"/>
      <w:bookmarkEnd w:id="70"/>
      <w:bookmarkEnd w:id="71"/>
    </w:p>
    <w:p w14:paraId="614A7199">
      <w:pPr>
        <w:snapToGrid w:val="0"/>
        <w:spacing w:before="156" w:beforeLines="50" w:after="156" w:afterLines="50" w:line="312" w:lineRule="auto"/>
        <w:jc w:val="center"/>
        <w:outlineLvl w:val="1"/>
        <w:rPr>
          <w:rFonts w:ascii="Times New Roman" w:hAnsi="Times New Roman" w:eastAsia="黑体" w:cs="Times New Roman"/>
          <w:iCs/>
          <w:color w:val="000000" w:themeColor="text1"/>
          <w:kern w:val="0"/>
          <w:sz w:val="28"/>
          <w14:textFill>
            <w14:solidFill>
              <w14:schemeClr w14:val="tx1"/>
            </w14:solidFill>
          </w14:textFill>
        </w:rPr>
      </w:pPr>
      <w:bookmarkStart w:id="72" w:name="_Toc16880"/>
      <w:bookmarkStart w:id="73" w:name="_Hlk209880179"/>
      <w:bookmarkStart w:id="74" w:name="OLE_LINK38"/>
      <w:bookmarkStart w:id="75" w:name="OLE_LINK33"/>
      <w:r>
        <w:rPr>
          <w:rFonts w:ascii="Times New Roman" w:hAnsi="Times New Roman" w:eastAsia="黑体" w:cs="Times New Roman"/>
          <w:iCs/>
          <w:color w:val="000000" w:themeColor="text1"/>
          <w:kern w:val="0"/>
          <w:sz w:val="28"/>
          <w14:textFill>
            <w14:solidFill>
              <w14:schemeClr w14:val="tx1"/>
            </w14:solidFill>
          </w14:textFill>
        </w:rPr>
        <w:t xml:space="preserve">5.1 </w:t>
      </w:r>
      <w:r>
        <w:rPr>
          <w:rFonts w:hint="eastAsia" w:ascii="Times New Roman" w:hAnsi="Times New Roman" w:eastAsia="黑体" w:cs="Times New Roman"/>
          <w:iCs/>
          <w:color w:val="000000" w:themeColor="text1"/>
          <w:kern w:val="0"/>
          <w:sz w:val="28"/>
          <w14:textFill>
            <w14:solidFill>
              <w14:schemeClr w14:val="tx1"/>
            </w14:solidFill>
          </w14:textFill>
        </w:rPr>
        <w:t>一般规定</w:t>
      </w:r>
      <w:bookmarkEnd w:id="72"/>
    </w:p>
    <w:bookmarkEnd w:id="73"/>
    <w:bookmarkEnd w:id="74"/>
    <w:bookmarkEnd w:id="75"/>
    <w:p w14:paraId="5BF6E127">
      <w:pPr>
        <w:spacing w:line="312" w:lineRule="auto"/>
        <w:rPr>
          <w:rFonts w:hint="eastAsia" w:ascii="Times New Roman" w:hAnsi="Times New Roman" w:cs="Times New Roman"/>
          <w:sz w:val="24"/>
        </w:rPr>
      </w:pPr>
      <w:r>
        <w:rPr>
          <w:rFonts w:ascii="Times New Roman" w:hAnsi="Times New Roman" w:cs="Times New Roman"/>
          <w:b/>
          <w:color w:val="000000" w:themeColor="text1"/>
          <w:sz w:val="24"/>
          <w14:textFill>
            <w14:solidFill>
              <w14:schemeClr w14:val="tx1"/>
            </w14:solidFill>
          </w14:textFill>
        </w:rPr>
        <w:t>5.1.1</w:t>
      </w:r>
      <w:r>
        <w:rPr>
          <w:rFonts w:hint="eastAsia" w:ascii="Times New Roman" w:hAnsi="Times New Roman" w:cs="Times New Roman"/>
          <w:b/>
          <w:color w:val="000000" w:themeColor="text1"/>
          <w:sz w:val="24"/>
          <w:lang w:val="en-US" w:eastAsia="zh-CN"/>
          <w14:textFill>
            <w14:solidFill>
              <w14:schemeClr w14:val="tx1"/>
            </w14:solidFill>
          </w14:textFill>
        </w:rPr>
        <w:t xml:space="preserve"> </w:t>
      </w:r>
      <w:r>
        <w:rPr>
          <w:rFonts w:hint="eastAsia" w:ascii="Times New Roman" w:hAnsi="Times New Roman" w:cs="Times New Roman"/>
          <w:sz w:val="24"/>
          <w:lang w:eastAsia="zh-CN"/>
        </w:rPr>
        <w:t>混凝土地面用耐磨硬化地坪</w:t>
      </w:r>
      <w:r>
        <w:rPr>
          <w:rFonts w:hint="eastAsia" w:ascii="Times New Roman" w:hAnsi="Times New Roman" w:cs="Times New Roman"/>
          <w:sz w:val="24"/>
        </w:rPr>
        <w:t>的设计应满足</w:t>
      </w:r>
      <w:r>
        <w:rPr>
          <w:rFonts w:hint="eastAsia" w:ascii="Times New Roman" w:hAnsi="Times New Roman" w:cs="Times New Roman"/>
          <w:sz w:val="24"/>
          <w:lang w:val="en-US" w:eastAsia="zh-CN"/>
        </w:rPr>
        <w:t>平整</w:t>
      </w:r>
      <w:r>
        <w:rPr>
          <w:rFonts w:hint="eastAsia" w:ascii="Times New Roman" w:hAnsi="Times New Roman" w:cs="Times New Roman"/>
          <w:sz w:val="24"/>
        </w:rPr>
        <w:t>、耐磨、防滑</w:t>
      </w:r>
      <w:r>
        <w:rPr>
          <w:rFonts w:hint="eastAsia" w:ascii="Times New Roman" w:hAnsi="Times New Roman" w:cs="Times New Roman"/>
          <w:sz w:val="24"/>
          <w:lang w:val="en-US" w:eastAsia="zh-CN"/>
        </w:rPr>
        <w:t>等</w:t>
      </w:r>
      <w:r>
        <w:rPr>
          <w:rFonts w:hint="eastAsia" w:ascii="Times New Roman" w:hAnsi="Times New Roman" w:cs="Times New Roman"/>
          <w:sz w:val="24"/>
        </w:rPr>
        <w:t>的要求，应具备人员、物流搬运设备通行所需的安全性、舒适性、耐久性的要求。</w:t>
      </w:r>
    </w:p>
    <w:p w14:paraId="407E45FE">
      <w:pPr>
        <w:spacing w:line="360" w:lineRule="auto"/>
        <w:rPr>
          <w:rFonts w:hint="eastAsia" w:ascii="Times New Roman" w:hAnsi="Times New Roman" w:cs="Times New Roman"/>
          <w:sz w:val="24"/>
        </w:rPr>
      </w:pPr>
      <w:r>
        <w:rPr>
          <w:rFonts w:hint="eastAsia" w:ascii="Times New Roman" w:hAnsi="Times New Roman" w:cs="Times New Roman"/>
          <w:b/>
          <w:color w:val="000000" w:themeColor="text1"/>
          <w:sz w:val="24"/>
          <w:lang w:val="en-US" w:eastAsia="zh-CN"/>
          <w14:textFill>
            <w14:solidFill>
              <w14:schemeClr w14:val="tx1"/>
            </w14:solidFill>
          </w14:textFill>
        </w:rPr>
        <w:t xml:space="preserve">5.1.2 </w:t>
      </w:r>
      <w:r>
        <w:rPr>
          <w:rFonts w:hint="eastAsia" w:ascii="Times New Roman" w:hAnsi="Times New Roman" w:cs="Times New Roman"/>
          <w:bCs/>
          <w:sz w:val="24"/>
          <w:lang w:eastAsia="zh-CN"/>
        </w:rPr>
        <w:t>混凝土地面用耐磨硬化地坪</w:t>
      </w:r>
      <w:r>
        <w:rPr>
          <w:rFonts w:hint="eastAsia" w:ascii="Times New Roman" w:hAnsi="Times New Roman" w:cs="Times New Roman"/>
          <w:bCs/>
          <w:sz w:val="24"/>
        </w:rPr>
        <w:t>的基层混凝土</w:t>
      </w:r>
      <w:r>
        <w:rPr>
          <w:rFonts w:hint="eastAsia" w:ascii="Times New Roman" w:hAnsi="Times New Roman" w:cs="Times New Roman"/>
          <w:sz w:val="24"/>
        </w:rPr>
        <w:t>强度等级应根据</w:t>
      </w:r>
      <w:r>
        <w:rPr>
          <w:rFonts w:hint="eastAsia" w:ascii="Times New Roman" w:hAnsi="Times New Roman" w:cs="Times New Roman"/>
          <w:sz w:val="24"/>
          <w:lang w:val="en-US" w:eastAsia="zh-CN"/>
        </w:rPr>
        <w:t>承载</w:t>
      </w:r>
      <w:r>
        <w:rPr>
          <w:rFonts w:hint="eastAsia" w:ascii="Times New Roman" w:hAnsi="Times New Roman" w:cs="Times New Roman"/>
          <w:sz w:val="24"/>
        </w:rPr>
        <w:t>需求、建筑功能、环境条件、地面结构、施工工艺和使用寿命等进行系统设计。</w:t>
      </w:r>
    </w:p>
    <w:p w14:paraId="1BDDCFC1">
      <w:pPr>
        <w:spacing w:line="312" w:lineRule="auto"/>
        <w:rPr>
          <w:rFonts w:ascii="Times New Roman" w:hAnsi="Times New Roman" w:cs="Times New Roman"/>
          <w:sz w:val="24"/>
        </w:rPr>
      </w:pPr>
      <w:r>
        <w:rPr>
          <w:rFonts w:ascii="Times New Roman" w:hAnsi="Times New Roman" w:cs="Times New Roman"/>
          <w:b/>
          <w:color w:val="000000" w:themeColor="text1"/>
          <w:sz w:val="24"/>
          <w14:textFill>
            <w14:solidFill>
              <w14:schemeClr w14:val="tx1"/>
            </w14:solidFill>
          </w14:textFill>
        </w:rPr>
        <w:t>5.1.</w:t>
      </w:r>
      <w:r>
        <w:rPr>
          <w:rFonts w:hint="eastAsia" w:ascii="Times New Roman" w:hAnsi="Times New Roman" w:cs="Times New Roman"/>
          <w:b/>
          <w:color w:val="000000" w:themeColor="text1"/>
          <w:sz w:val="24"/>
          <w:lang w:val="en-US" w:eastAsia="zh-CN"/>
          <w14:textFill>
            <w14:solidFill>
              <w14:schemeClr w14:val="tx1"/>
            </w14:solidFill>
          </w14:textFill>
        </w:rPr>
        <w:t xml:space="preserve">3 </w:t>
      </w:r>
      <w:r>
        <w:rPr>
          <w:rFonts w:hint="eastAsia" w:ascii="Times New Roman" w:hAnsi="Times New Roman" w:cs="Times New Roman"/>
          <w:sz w:val="24"/>
          <w:lang w:eastAsia="zh-CN"/>
        </w:rPr>
        <w:t>混凝土地面用耐磨硬化地坪</w:t>
      </w:r>
      <w:r>
        <w:rPr>
          <w:rFonts w:hint="eastAsia" w:ascii="Times New Roman" w:hAnsi="Times New Roman" w:cs="Times New Roman"/>
          <w:sz w:val="24"/>
        </w:rPr>
        <w:t>的</w:t>
      </w:r>
      <w:r>
        <w:rPr>
          <w:rFonts w:ascii="Times New Roman" w:hAnsi="Times New Roman" w:cs="Times New Roman"/>
          <w:bCs/>
          <w:sz w:val="24"/>
        </w:rPr>
        <w:t>防滑性设计应符合现行行业标准《建筑地面工程防滑技术规程》JGJ/T 331的有关规定。</w:t>
      </w:r>
    </w:p>
    <w:p w14:paraId="3C0EC526">
      <w:pPr>
        <w:spacing w:line="360" w:lineRule="auto"/>
        <w:rPr>
          <w:rFonts w:hint="eastAsia" w:ascii="Times New Roman" w:hAnsi="Times New Roman" w:cs="Times New Roman"/>
          <w:sz w:val="24"/>
        </w:rPr>
      </w:pPr>
      <w:r>
        <w:rPr>
          <w:rFonts w:ascii="Times New Roman" w:hAnsi="Times New Roman" w:cs="Times New Roman"/>
          <w:b/>
          <w:color w:val="000000" w:themeColor="text1"/>
          <w:sz w:val="24"/>
          <w14:textFill>
            <w14:solidFill>
              <w14:schemeClr w14:val="tx1"/>
            </w14:solidFill>
          </w14:textFill>
        </w:rPr>
        <w:t>5.1.</w:t>
      </w:r>
      <w:r>
        <w:rPr>
          <w:rFonts w:hint="eastAsia" w:ascii="Times New Roman" w:hAnsi="Times New Roman" w:cs="Times New Roman"/>
          <w:b/>
          <w:color w:val="000000" w:themeColor="text1"/>
          <w:sz w:val="24"/>
          <w:lang w:val="en-US" w:eastAsia="zh-CN"/>
          <w14:textFill>
            <w14:solidFill>
              <w14:schemeClr w14:val="tx1"/>
            </w14:solidFill>
          </w14:textFill>
        </w:rPr>
        <w:t>4</w:t>
      </w:r>
      <w:bookmarkStart w:id="76" w:name="OLE_LINK12"/>
      <w:r>
        <w:rPr>
          <w:rFonts w:hint="eastAsia" w:ascii="Times New Roman" w:hAnsi="Times New Roman" w:cs="Times New Roman"/>
          <w:b/>
          <w:color w:val="000000" w:themeColor="text1"/>
          <w:sz w:val="24"/>
          <w:lang w:val="en-US" w:eastAsia="zh-CN"/>
          <w14:textFill>
            <w14:solidFill>
              <w14:schemeClr w14:val="tx1"/>
            </w14:solidFill>
          </w14:textFill>
        </w:rPr>
        <w:t xml:space="preserve"> </w:t>
      </w:r>
      <w:r>
        <w:rPr>
          <w:rFonts w:hint="eastAsia" w:ascii="Times New Roman" w:hAnsi="Times New Roman" w:cs="Times New Roman"/>
          <w:sz w:val="24"/>
          <w:lang w:eastAsia="zh-CN"/>
        </w:rPr>
        <w:t>混凝土地面用耐磨硬化地坪</w:t>
      </w:r>
      <w:r>
        <w:rPr>
          <w:rFonts w:hint="eastAsia" w:ascii="Times New Roman" w:hAnsi="Times New Roman" w:cs="Times New Roman"/>
          <w:sz w:val="24"/>
        </w:rPr>
        <w:t>的</w:t>
      </w:r>
      <w:bookmarkEnd w:id="76"/>
      <w:r>
        <w:rPr>
          <w:rFonts w:hint="eastAsia" w:ascii="Times New Roman" w:hAnsi="Times New Roman" w:cs="Times New Roman"/>
          <w:sz w:val="24"/>
        </w:rPr>
        <w:t>平整度，若无特殊要求，</w:t>
      </w:r>
      <w:r>
        <w:rPr>
          <w:rFonts w:hint="eastAsia" w:ascii="Times New Roman" w:hAnsi="Times New Roman" w:cs="Times New Roman"/>
          <w:sz w:val="24"/>
          <w:lang w:val="en-US" w:eastAsia="zh-CN"/>
        </w:rPr>
        <w:t>应</w:t>
      </w:r>
      <w:r>
        <w:rPr>
          <w:rFonts w:hint="eastAsia" w:ascii="Times New Roman" w:hAnsi="Times New Roman" w:cs="Times New Roman"/>
          <w:strike w:val="0"/>
          <w:dstrike w:val="0"/>
          <w:sz w:val="24"/>
          <w:lang w:val="en-US" w:eastAsia="zh-CN"/>
        </w:rPr>
        <w:t>符合现行国家标准GB 50209的有关规定</w:t>
      </w:r>
      <w:r>
        <w:rPr>
          <w:rFonts w:hint="eastAsia" w:ascii="Times New Roman" w:hAnsi="Times New Roman" w:cs="Times New Roman"/>
          <w:sz w:val="24"/>
        </w:rPr>
        <w:t>。</w:t>
      </w:r>
    </w:p>
    <w:p w14:paraId="094D48D6">
      <w:pPr>
        <w:spacing w:line="312" w:lineRule="auto"/>
        <w:rPr>
          <w:highlight w:val="none"/>
        </w:rPr>
      </w:pPr>
      <w:r>
        <w:rPr>
          <w:rFonts w:hint="eastAsia" w:ascii="Times New Roman" w:hAnsi="Times New Roman" w:cs="Times New Roman"/>
          <w:b/>
          <w:color w:val="000000" w:themeColor="text1"/>
          <w:sz w:val="24"/>
          <w:highlight w:val="none"/>
          <w:lang w:val="en-US" w:eastAsia="zh-CN"/>
          <w14:textFill>
            <w14:solidFill>
              <w14:schemeClr w14:val="tx1"/>
            </w14:solidFill>
          </w14:textFill>
        </w:rPr>
        <w:t>5</w:t>
      </w:r>
      <w:r>
        <w:rPr>
          <w:rFonts w:ascii="Times New Roman" w:hAnsi="Times New Roman" w:cs="Times New Roman"/>
          <w:b/>
          <w:color w:val="000000" w:themeColor="text1"/>
          <w:sz w:val="24"/>
          <w:highlight w:val="none"/>
          <w14:textFill>
            <w14:solidFill>
              <w14:schemeClr w14:val="tx1"/>
            </w14:solidFill>
          </w14:textFill>
        </w:rPr>
        <w:t>.</w:t>
      </w:r>
      <w:r>
        <w:rPr>
          <w:rFonts w:hint="eastAsia" w:ascii="Times New Roman" w:hAnsi="Times New Roman" w:cs="Times New Roman"/>
          <w:b/>
          <w:color w:val="000000" w:themeColor="text1"/>
          <w:sz w:val="24"/>
          <w:highlight w:val="none"/>
          <w:lang w:val="en-US" w:eastAsia="zh-CN"/>
          <w14:textFill>
            <w14:solidFill>
              <w14:schemeClr w14:val="tx1"/>
            </w14:solidFill>
          </w14:textFill>
        </w:rPr>
        <w:t>1.5</w:t>
      </w:r>
      <w:r>
        <w:rPr>
          <w:rFonts w:hint="eastAsia" w:ascii="Times New Roman" w:hAnsi="Times New Roman" w:cs="Times New Roman"/>
          <w:color w:val="000000" w:themeColor="text1"/>
          <w:sz w:val="24"/>
          <w:highlight w:val="none"/>
          <w14:textFill>
            <w14:solidFill>
              <w14:schemeClr w14:val="tx1"/>
            </w14:solidFill>
          </w14:textFill>
        </w:rPr>
        <w:t>超大面积无缝</w:t>
      </w:r>
      <w:r>
        <w:rPr>
          <w:rFonts w:hint="eastAsia" w:ascii="Times New Roman" w:hAnsi="Times New Roman" w:cs="Times New Roman"/>
          <w:color w:val="000000" w:themeColor="text1"/>
          <w:sz w:val="24"/>
          <w:highlight w:val="none"/>
          <w:lang w:val="en-US" w:eastAsia="zh-CN"/>
          <w14:textFill>
            <w14:solidFill>
              <w14:schemeClr w14:val="tx1"/>
            </w14:solidFill>
          </w14:textFill>
        </w:rPr>
        <w:t>混凝土地面用水泥基</w:t>
      </w:r>
      <w:r>
        <w:rPr>
          <w:rFonts w:ascii="Times New Roman" w:hAnsi="Times New Roman" w:cs="Times New Roman"/>
          <w:color w:val="000000" w:themeColor="text1"/>
          <w:sz w:val="24"/>
          <w:highlight w:val="none"/>
          <w14:textFill>
            <w14:solidFill>
              <w14:schemeClr w14:val="tx1"/>
            </w14:solidFill>
          </w14:textFill>
        </w:rPr>
        <w:t>耐磨地坪</w:t>
      </w:r>
      <w:r>
        <w:rPr>
          <w:rFonts w:hint="eastAsia" w:ascii="Times New Roman" w:hAnsi="Times New Roman" w:cs="Times New Roman"/>
          <w:color w:val="000000" w:themeColor="text1"/>
          <w:sz w:val="24"/>
          <w:highlight w:val="none"/>
          <w14:textFill>
            <w14:solidFill>
              <w14:schemeClr w14:val="tx1"/>
            </w14:solidFill>
          </w14:textFill>
        </w:rPr>
        <w:t>应设置抗裂构造钢筋或掺钢纤维，钢纤维混凝土应符合国家现行标准《钢纤维混凝土》JG</w:t>
      </w:r>
      <w:r>
        <w:rPr>
          <w:rFonts w:hint="eastAsia" w:ascii="Times New Roman" w:hAnsi="Times New Roman" w:cs="Times New Roman"/>
          <w:color w:val="000000" w:themeColor="text1"/>
          <w:sz w:val="24"/>
          <w:highlight w:val="none"/>
          <w:lang w:val="en-US" w:eastAsia="zh-CN"/>
          <w14:textFill>
            <w14:solidFill>
              <w14:schemeClr w14:val="tx1"/>
            </w14:solidFill>
          </w14:textFill>
        </w:rPr>
        <w:t>/</w:t>
      </w:r>
      <w:r>
        <w:rPr>
          <w:rFonts w:hint="eastAsia" w:ascii="Times New Roman" w:hAnsi="Times New Roman" w:cs="Times New Roman"/>
          <w:color w:val="000000" w:themeColor="text1"/>
          <w:sz w:val="24"/>
          <w:highlight w:val="none"/>
          <w14:textFill>
            <w14:solidFill>
              <w14:schemeClr w14:val="tx1"/>
            </w14:solidFill>
          </w14:textFill>
        </w:rPr>
        <w:t>T 472的规定，垫层上应设置滑动层。</w:t>
      </w:r>
    </w:p>
    <w:p w14:paraId="5150B7D4">
      <w:pPr>
        <w:snapToGrid w:val="0"/>
        <w:spacing w:before="156" w:beforeLines="50" w:after="156" w:afterLines="50" w:line="312" w:lineRule="auto"/>
        <w:jc w:val="center"/>
        <w:outlineLvl w:val="1"/>
        <w:rPr>
          <w:rFonts w:ascii="Times New Roman" w:hAnsi="Times New Roman" w:eastAsia="黑体" w:cs="Times New Roman"/>
          <w:iCs/>
          <w:color w:val="000000" w:themeColor="text1"/>
          <w:kern w:val="0"/>
          <w:sz w:val="28"/>
          <w14:textFill>
            <w14:solidFill>
              <w14:schemeClr w14:val="tx1"/>
            </w14:solidFill>
          </w14:textFill>
        </w:rPr>
      </w:pPr>
      <w:bookmarkStart w:id="77" w:name="_Toc20508"/>
      <w:r>
        <w:rPr>
          <w:rFonts w:ascii="Times New Roman" w:hAnsi="Times New Roman" w:eastAsia="黑体" w:cs="Times New Roman"/>
          <w:iCs/>
          <w:color w:val="000000" w:themeColor="text1"/>
          <w:kern w:val="0"/>
          <w:sz w:val="28"/>
          <w14:textFill>
            <w14:solidFill>
              <w14:schemeClr w14:val="tx1"/>
            </w14:solidFill>
          </w14:textFill>
        </w:rPr>
        <w:t>5.2　设计选用</w:t>
      </w:r>
      <w:bookmarkEnd w:id="77"/>
    </w:p>
    <w:p w14:paraId="5CA4C222">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1"/>
        <w:rPr>
          <w:rFonts w:hint="default" w:ascii="Times New Roman" w:hAnsi="Times New Roman" w:eastAsia="微软雅黑" w:cs="Times New Roman"/>
          <w:iCs/>
          <w:color w:val="000000" w:themeColor="text1"/>
          <w:kern w:val="0"/>
          <w:sz w:val="28"/>
          <w14:textFill>
            <w14:solidFill>
              <w14:schemeClr w14:val="tx1"/>
            </w14:solidFill>
          </w14:textFill>
        </w:rPr>
      </w:pPr>
      <w:bookmarkStart w:id="78" w:name="_Toc15956"/>
      <w:bookmarkStart w:id="79" w:name="_Toc9463"/>
      <w:bookmarkStart w:id="80" w:name="_Toc14644"/>
      <w:r>
        <w:rPr>
          <w:rFonts w:hint="default" w:ascii="Times New Roman" w:hAnsi="Times New Roman" w:eastAsia="微软雅黑" w:cs="Times New Roman"/>
          <w:iCs/>
          <w:color w:val="000000" w:themeColor="text1"/>
          <w:kern w:val="0"/>
          <w:sz w:val="28"/>
          <w14:textFill>
            <w14:solidFill>
              <w14:schemeClr w14:val="tx1"/>
            </w14:solidFill>
          </w14:textFill>
        </w:rPr>
        <w:t>Ⅰ</w:t>
      </w:r>
      <w:r>
        <w:rPr>
          <w:rFonts w:hint="eastAsia" w:ascii="Times New Roman" w:hAnsi="Times New Roman" w:eastAsia="微软雅黑" w:cs="Times New Roman"/>
          <w:iCs/>
          <w:color w:val="000000" w:themeColor="text1"/>
          <w:kern w:val="0"/>
          <w:sz w:val="28"/>
          <w:lang w:val="en-US" w:eastAsia="zh-CN"/>
          <w14:textFill>
            <w14:solidFill>
              <w14:schemeClr w14:val="tx1"/>
            </w14:solidFill>
          </w14:textFill>
        </w:rPr>
        <w:t xml:space="preserve"> 新建地面</w:t>
      </w:r>
      <w:bookmarkEnd w:id="78"/>
      <w:bookmarkEnd w:id="79"/>
      <w:bookmarkEnd w:id="80"/>
    </w:p>
    <w:p w14:paraId="271797EA">
      <w:pPr>
        <w:spacing w:line="312" w:lineRule="auto"/>
        <w:rPr>
          <w:rFonts w:hint="eastAsia" w:ascii="Times New Roman" w:hAnsi="Times New Roman" w:cs="Times New Roman"/>
          <w:bCs/>
          <w:sz w:val="24"/>
          <w:lang w:eastAsia="zh-CN"/>
        </w:rPr>
      </w:pPr>
      <w:r>
        <w:rPr>
          <w:rFonts w:ascii="Times New Roman" w:hAnsi="Times New Roman" w:cs="Times New Roman"/>
          <w:b/>
          <w:color w:val="000000" w:themeColor="text1"/>
          <w:sz w:val="24"/>
          <w14:textFill>
            <w14:solidFill>
              <w14:schemeClr w14:val="tx1"/>
            </w14:solidFill>
          </w14:textFill>
        </w:rPr>
        <w:t>5.2.1</w:t>
      </w:r>
      <w:bookmarkStart w:id="81" w:name="OLE_LINK46"/>
      <w:bookmarkStart w:id="82" w:name="OLE_LINK45"/>
      <w:r>
        <w:rPr>
          <w:rFonts w:hint="eastAsia" w:ascii="Times New Roman" w:hAnsi="Times New Roman" w:cs="Times New Roman"/>
          <w:b/>
          <w:color w:val="000000" w:themeColor="text1"/>
          <w:sz w:val="24"/>
          <w14:textFill>
            <w14:solidFill>
              <w14:schemeClr w14:val="tx1"/>
            </w14:solidFill>
          </w14:textFill>
        </w:rPr>
        <w:t xml:space="preserve"> </w:t>
      </w:r>
      <w:bookmarkEnd w:id="81"/>
      <w:bookmarkEnd w:id="82"/>
      <w:bookmarkStart w:id="83" w:name="OLE_LINK43"/>
      <w:bookmarkStart w:id="84" w:name="OLE_LINK44"/>
      <w:r>
        <w:rPr>
          <w:rFonts w:hint="eastAsia" w:ascii="Times New Roman" w:hAnsi="Times New Roman" w:cs="Times New Roman"/>
          <w:bCs/>
          <w:sz w:val="24"/>
          <w:lang w:eastAsia="zh-CN"/>
        </w:rPr>
        <w:t>混凝土地面用耐磨硬化地坪</w:t>
      </w:r>
      <w:r>
        <w:rPr>
          <w:rFonts w:hint="eastAsia" w:ascii="Times New Roman" w:hAnsi="Times New Roman" w:cs="Times New Roman"/>
          <w:bCs/>
          <w:sz w:val="24"/>
        </w:rPr>
        <w:t>的</w:t>
      </w:r>
      <w:r>
        <w:rPr>
          <w:rFonts w:hint="eastAsia" w:ascii="Times New Roman" w:hAnsi="Times New Roman" w:cs="Times New Roman"/>
          <w:bCs/>
          <w:sz w:val="24"/>
          <w:lang w:val="en-US" w:eastAsia="zh-CN"/>
        </w:rPr>
        <w:t>基层</w:t>
      </w:r>
      <w:r>
        <w:rPr>
          <w:rFonts w:hint="eastAsia" w:ascii="Times New Roman" w:hAnsi="Times New Roman" w:cs="Times New Roman"/>
          <w:bCs/>
          <w:sz w:val="24"/>
        </w:rPr>
        <w:t>混凝土不宜掺入超过胶凝材料质量比5%的粉煤灰</w:t>
      </w:r>
      <w:bookmarkEnd w:id="83"/>
      <w:bookmarkEnd w:id="84"/>
      <w:r>
        <w:rPr>
          <w:rFonts w:hint="eastAsia" w:ascii="Times New Roman" w:hAnsi="Times New Roman" w:cs="Times New Roman"/>
          <w:bCs/>
          <w:sz w:val="24"/>
          <w:lang w:eastAsia="zh-CN"/>
        </w:rPr>
        <w:t>。</w:t>
      </w:r>
    </w:p>
    <w:p w14:paraId="60FA064A">
      <w:pPr>
        <w:spacing w:line="312"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5.2.</w:t>
      </w:r>
      <w:r>
        <w:rPr>
          <w:rFonts w:hint="eastAsia" w:ascii="Times New Roman" w:hAnsi="Times New Roman" w:cs="Times New Roman"/>
          <w:b/>
          <w:color w:val="000000" w:themeColor="text1"/>
          <w:sz w:val="24"/>
          <w:lang w:val="en-US" w:eastAsia="zh-CN"/>
          <w14:textFill>
            <w14:solidFill>
              <w14:schemeClr w14:val="tx1"/>
            </w14:solidFill>
          </w14:textFill>
        </w:rPr>
        <w:t>2</w:t>
      </w:r>
      <w:r>
        <w:rPr>
          <w:rFonts w:hint="eastAsia" w:ascii="Times New Roman" w:hAnsi="Times New Roman" w:cs="Times New Roman"/>
          <w:bCs/>
          <w:sz w:val="24"/>
          <w:lang w:val="en-US" w:eastAsia="zh-CN"/>
        </w:rPr>
        <w:t>若一次性浇筑成型的混凝土地面</w:t>
      </w:r>
      <w:r>
        <w:rPr>
          <w:rFonts w:hint="eastAsia" w:ascii="Times New Roman" w:hAnsi="Times New Roman" w:cs="Times New Roman"/>
          <w:color w:val="000000" w:themeColor="text1"/>
          <w:sz w:val="24"/>
          <w14:textFill>
            <w14:solidFill>
              <w14:schemeClr w14:val="tx1"/>
            </w14:solidFill>
          </w14:textFill>
        </w:rPr>
        <w:t>，其混凝土强度等级不应低于C30。</w:t>
      </w:r>
      <w:r>
        <w:rPr>
          <w:rFonts w:ascii="Times New Roman" w:hAnsi="Times New Roman" w:cs="Times New Roman"/>
          <w:color w:val="000000" w:themeColor="text1"/>
          <w:sz w:val="24"/>
          <w14:textFill>
            <w14:solidFill>
              <w14:schemeClr w14:val="tx1"/>
            </w14:solidFill>
          </w14:textFill>
        </w:rPr>
        <w:t xml:space="preserve"> </w:t>
      </w:r>
    </w:p>
    <w:p w14:paraId="53AF2435">
      <w:pPr>
        <w:spacing w:line="312" w:lineRule="auto"/>
        <w:rPr>
          <w:rFonts w:hint="eastAsia" w:ascii="Times New Roman" w:hAnsi="Times New Roman" w:cs="Times New Roman"/>
          <w:sz w:val="24"/>
          <w:lang w:val="en-US" w:eastAsia="zh-CN"/>
        </w:rPr>
      </w:pPr>
      <w:r>
        <w:rPr>
          <w:rFonts w:ascii="Times New Roman" w:hAnsi="Times New Roman" w:cs="Times New Roman"/>
          <w:b/>
          <w:color w:val="000000" w:themeColor="text1"/>
          <w:sz w:val="24"/>
          <w14:textFill>
            <w14:solidFill>
              <w14:schemeClr w14:val="tx1"/>
            </w14:solidFill>
          </w14:textFill>
        </w:rPr>
        <w:t>5.2.</w:t>
      </w:r>
      <w:r>
        <w:rPr>
          <w:rFonts w:hint="eastAsia" w:ascii="Times New Roman" w:hAnsi="Times New Roman" w:cs="Times New Roman"/>
          <w:b/>
          <w:color w:val="000000" w:themeColor="text1"/>
          <w:sz w:val="24"/>
          <w:lang w:val="en-US" w:eastAsia="zh-CN"/>
          <w14:textFill>
            <w14:solidFill>
              <w14:schemeClr w14:val="tx1"/>
            </w14:solidFill>
          </w14:textFill>
        </w:rPr>
        <w:t>3</w:t>
      </w:r>
      <w:r>
        <w:rPr>
          <w:rFonts w:hint="eastAsia"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sz w:val="24"/>
        </w:rPr>
        <w:t>应根据使用</w:t>
      </w:r>
      <w:r>
        <w:rPr>
          <w:rFonts w:hint="eastAsia" w:ascii="Times New Roman" w:hAnsi="Times New Roman" w:cs="Times New Roman"/>
          <w:sz w:val="24"/>
          <w:lang w:val="en-US" w:eastAsia="zh-CN"/>
        </w:rPr>
        <w:t>场合</w:t>
      </w:r>
      <w:r>
        <w:rPr>
          <w:rFonts w:hint="eastAsia" w:ascii="Times New Roman" w:hAnsi="Times New Roman" w:cs="Times New Roman"/>
          <w:sz w:val="24"/>
        </w:rPr>
        <w:t>的荷载、工况</w:t>
      </w:r>
      <w:r>
        <w:rPr>
          <w:rFonts w:hint="eastAsia" w:ascii="Times New Roman" w:hAnsi="Times New Roman" w:cs="Times New Roman"/>
          <w:sz w:val="24"/>
          <w:lang w:val="en-US" w:eastAsia="zh-CN"/>
        </w:rPr>
        <w:t>选择不同强度等级的</w:t>
      </w:r>
      <w:r>
        <w:rPr>
          <w:rFonts w:hint="eastAsia" w:ascii="Times New Roman" w:hAnsi="Times New Roman" w:cs="Times New Roman"/>
          <w:sz w:val="24"/>
        </w:rPr>
        <w:t>耐磨材料</w:t>
      </w:r>
      <w:r>
        <w:rPr>
          <w:rFonts w:hint="eastAsia" w:ascii="Times New Roman" w:hAnsi="Times New Roman" w:cs="Times New Roman"/>
          <w:sz w:val="24"/>
          <w:lang w:eastAsia="zh-CN"/>
        </w:rPr>
        <w:t>，</w:t>
      </w:r>
      <w:r>
        <w:rPr>
          <w:rFonts w:hint="eastAsia" w:ascii="Times New Roman" w:hAnsi="Times New Roman" w:cs="Times New Roman"/>
          <w:sz w:val="24"/>
          <w:lang w:val="en-US" w:eastAsia="zh-CN"/>
        </w:rPr>
        <w:t>具体见表5.2.3。</w:t>
      </w:r>
    </w:p>
    <w:p w14:paraId="206B184F">
      <w:pPr>
        <w:spacing w:line="312" w:lineRule="auto"/>
        <w:jc w:val="center"/>
        <w:rPr>
          <w:rFonts w:hint="default" w:ascii="Times New Roman" w:hAnsi="Times New Roman" w:cs="Times New Roman"/>
          <w:b/>
          <w:color w:val="000000" w:themeColor="text1"/>
          <w:sz w:val="24"/>
          <w:szCs w:val="24"/>
          <w:lang w:val="en-US" w:eastAsia="zh-CN"/>
          <w14:textFill>
            <w14:solidFill>
              <w14:schemeClr w14:val="tx1"/>
            </w14:solidFill>
          </w14:textFill>
        </w:rPr>
      </w:pPr>
      <w:r>
        <w:rPr>
          <w:rFonts w:ascii="Times New Roman" w:hAnsi="Times New Roman" w:cs="Times New Roman"/>
          <w:b/>
          <w:color w:val="000000" w:themeColor="text1"/>
          <w:sz w:val="24"/>
          <w:szCs w:val="24"/>
          <w14:textFill>
            <w14:solidFill>
              <w14:schemeClr w14:val="tx1"/>
            </w14:solidFill>
          </w14:textFill>
        </w:rPr>
        <w:t>表</w:t>
      </w:r>
      <w:r>
        <w:rPr>
          <w:rFonts w:hint="eastAsia" w:ascii="Times New Roman" w:hAnsi="Times New Roman" w:cs="Times New Roman"/>
          <w:b/>
          <w:color w:val="000000" w:themeColor="text1"/>
          <w:sz w:val="24"/>
          <w:szCs w:val="24"/>
          <w:lang w:val="en-US" w:eastAsia="zh-CN"/>
          <w14:textFill>
            <w14:solidFill>
              <w14:schemeClr w14:val="tx1"/>
            </w14:solidFill>
          </w14:textFill>
        </w:rPr>
        <w:t>5</w:t>
      </w:r>
      <w:r>
        <w:rPr>
          <w:rFonts w:ascii="Times New Roman" w:hAnsi="Times New Roman" w:cs="Times New Roman"/>
          <w:b/>
          <w:color w:val="000000" w:themeColor="text1"/>
          <w:sz w:val="24"/>
          <w:szCs w:val="24"/>
          <w14:textFill>
            <w14:solidFill>
              <w14:schemeClr w14:val="tx1"/>
            </w14:solidFill>
          </w14:textFill>
        </w:rPr>
        <w:t>.2.</w:t>
      </w:r>
      <w:r>
        <w:rPr>
          <w:rFonts w:hint="eastAsia" w:ascii="Times New Roman" w:hAnsi="Times New Roman" w:cs="Times New Roman"/>
          <w:b/>
          <w:color w:val="000000" w:themeColor="text1"/>
          <w:sz w:val="24"/>
          <w:szCs w:val="24"/>
          <w:lang w:val="en-US" w:eastAsia="zh-CN"/>
          <w14:textFill>
            <w14:solidFill>
              <w14:schemeClr w14:val="tx1"/>
            </w14:solidFill>
          </w14:textFill>
        </w:rPr>
        <w:t>3</w:t>
      </w:r>
      <w:r>
        <w:rPr>
          <w:rFonts w:hint="eastAsia" w:ascii="Times New Roman" w:hAnsi="Times New Roman" w:cs="Times New Roman"/>
          <w:b/>
          <w:color w:val="000000" w:themeColor="text1"/>
          <w:sz w:val="24"/>
          <w:szCs w:val="24"/>
          <w14:textFill>
            <w14:solidFill>
              <w14:schemeClr w14:val="tx1"/>
            </w14:solidFill>
          </w14:textFill>
        </w:rPr>
        <w:t>耐磨材料</w:t>
      </w:r>
      <w:r>
        <w:rPr>
          <w:rFonts w:hint="eastAsia" w:ascii="Times New Roman" w:hAnsi="Times New Roman" w:cs="Times New Roman"/>
          <w:b/>
          <w:color w:val="000000" w:themeColor="text1"/>
          <w:sz w:val="24"/>
          <w:szCs w:val="24"/>
          <w:lang w:eastAsia="zh-CN"/>
          <w14:textFill>
            <w14:solidFill>
              <w14:schemeClr w14:val="tx1"/>
            </w14:solidFill>
          </w14:textFill>
        </w:rPr>
        <w:t>的</w:t>
      </w:r>
      <w:r>
        <w:rPr>
          <w:rFonts w:hint="eastAsia" w:ascii="Times New Roman" w:hAnsi="Times New Roman" w:cs="Times New Roman"/>
          <w:b/>
          <w:color w:val="000000" w:themeColor="text1"/>
          <w:sz w:val="24"/>
          <w:szCs w:val="24"/>
          <w14:textFill>
            <w14:solidFill>
              <w14:schemeClr w14:val="tx1"/>
            </w14:solidFill>
          </w14:textFill>
        </w:rPr>
        <w:t>强度等级</w:t>
      </w:r>
    </w:p>
    <w:tbl>
      <w:tblPr>
        <w:tblStyle w:val="16"/>
        <w:tblW w:w="4998" w:type="pct"/>
        <w:tblInd w:w="0" w:type="dxa"/>
        <w:tblLayout w:type="autofit"/>
        <w:tblCellMar>
          <w:top w:w="0" w:type="dxa"/>
          <w:left w:w="108" w:type="dxa"/>
          <w:bottom w:w="0" w:type="dxa"/>
          <w:right w:w="108" w:type="dxa"/>
        </w:tblCellMar>
      </w:tblPr>
      <w:tblGrid>
        <w:gridCol w:w="3003"/>
        <w:gridCol w:w="2758"/>
        <w:gridCol w:w="2758"/>
      </w:tblGrid>
      <w:tr w14:paraId="3394F0F8">
        <w:tblPrEx>
          <w:tblCellMar>
            <w:top w:w="0" w:type="dxa"/>
            <w:left w:w="108" w:type="dxa"/>
            <w:bottom w:w="0" w:type="dxa"/>
            <w:right w:w="108" w:type="dxa"/>
          </w:tblCellMar>
        </w:tblPrEx>
        <w:trPr>
          <w:trHeight w:val="309" w:hRule="atLeast"/>
        </w:trPr>
        <w:tc>
          <w:tcPr>
            <w:tcW w:w="176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76A9262">
            <w:pPr>
              <w:spacing w:line="360" w:lineRule="auto"/>
              <w:jc w:val="center"/>
              <w:rPr>
                <w:rFonts w:hint="default" w:ascii="宋体" w:hAnsi="宋体" w:eastAsia="宋体"/>
                <w:szCs w:val="21"/>
                <w:lang w:val="en-US" w:eastAsia="zh-CN"/>
              </w:rPr>
            </w:pPr>
            <w:r>
              <w:rPr>
                <w:rFonts w:hint="eastAsia" w:ascii="宋体" w:hAnsi="宋体" w:eastAsia="宋体"/>
                <w:szCs w:val="21"/>
                <w:lang w:val="en-US" w:eastAsia="zh-CN"/>
              </w:rPr>
              <w:t>使用场合</w:t>
            </w:r>
          </w:p>
        </w:tc>
        <w:tc>
          <w:tcPr>
            <w:tcW w:w="1618" w:type="pct"/>
            <w:tcBorders>
              <w:top w:val="single" w:color="auto" w:sz="4" w:space="0"/>
              <w:left w:val="nil"/>
              <w:bottom w:val="single" w:color="auto" w:sz="4" w:space="0"/>
              <w:right w:val="single" w:color="auto" w:sz="4" w:space="0"/>
            </w:tcBorders>
            <w:shd w:val="clear" w:color="auto" w:fill="auto"/>
            <w:noWrap/>
            <w:vAlign w:val="center"/>
          </w:tcPr>
          <w:p w14:paraId="63C87E86">
            <w:pPr>
              <w:spacing w:line="360" w:lineRule="auto"/>
              <w:jc w:val="center"/>
              <w:rPr>
                <w:rFonts w:hint="default" w:ascii="宋体" w:hAnsi="宋体" w:eastAsia="宋体"/>
                <w:szCs w:val="21"/>
                <w:lang w:val="en-US" w:eastAsia="zh-CN"/>
              </w:rPr>
            </w:pPr>
            <w:r>
              <w:rPr>
                <w:rFonts w:hint="eastAsia" w:ascii="宋体" w:hAnsi="宋体" w:eastAsia="宋体"/>
                <w:szCs w:val="21"/>
                <w:highlight w:val="none"/>
                <w:lang w:val="en-US" w:eastAsia="zh-CN"/>
              </w:rPr>
              <w:t>耐磨材料类型</w:t>
            </w:r>
          </w:p>
        </w:tc>
        <w:tc>
          <w:tcPr>
            <w:tcW w:w="1618" w:type="pct"/>
            <w:tcBorders>
              <w:top w:val="single" w:color="auto" w:sz="4" w:space="0"/>
              <w:left w:val="nil"/>
              <w:bottom w:val="single" w:color="auto" w:sz="4" w:space="0"/>
              <w:right w:val="single" w:color="auto" w:sz="4" w:space="0"/>
            </w:tcBorders>
            <w:shd w:val="clear" w:color="auto" w:fill="auto"/>
            <w:noWrap/>
            <w:vAlign w:val="center"/>
          </w:tcPr>
          <w:p w14:paraId="1CD1E005">
            <w:pPr>
              <w:spacing w:line="360" w:lineRule="auto"/>
              <w:jc w:val="center"/>
              <w:rPr>
                <w:rFonts w:hint="eastAsia" w:ascii="宋体" w:hAnsi="宋体" w:eastAsia="宋体" w:cstheme="minorBidi"/>
                <w:kern w:val="2"/>
                <w:sz w:val="21"/>
                <w:szCs w:val="21"/>
                <w:lang w:val="en-US" w:eastAsia="zh-CN" w:bidi="ar-SA"/>
              </w:rPr>
            </w:pPr>
            <w:r>
              <w:rPr>
                <w:rFonts w:hint="eastAsia" w:ascii="宋体" w:hAnsi="宋体" w:eastAsia="宋体"/>
                <w:szCs w:val="21"/>
              </w:rPr>
              <w:t>耐磨材料的强度等级</w:t>
            </w:r>
          </w:p>
        </w:tc>
      </w:tr>
      <w:tr w14:paraId="5E624118">
        <w:tblPrEx>
          <w:tblCellMar>
            <w:top w:w="0" w:type="dxa"/>
            <w:left w:w="108" w:type="dxa"/>
            <w:bottom w:w="0" w:type="dxa"/>
            <w:right w:w="108" w:type="dxa"/>
          </w:tblCellMar>
        </w:tblPrEx>
        <w:trPr>
          <w:trHeight w:val="470" w:hRule="atLeast"/>
        </w:trPr>
        <w:tc>
          <w:tcPr>
            <w:tcW w:w="1762" w:type="pct"/>
            <w:vMerge w:val="restart"/>
            <w:tcBorders>
              <w:top w:val="nil"/>
              <w:left w:val="single" w:color="auto" w:sz="4" w:space="0"/>
              <w:right w:val="single" w:color="auto" w:sz="4" w:space="0"/>
            </w:tcBorders>
            <w:shd w:val="clear" w:color="auto" w:fill="auto"/>
            <w:noWrap/>
            <w:vAlign w:val="center"/>
          </w:tcPr>
          <w:p w14:paraId="4B33F5FE">
            <w:pPr>
              <w:spacing w:line="360" w:lineRule="auto"/>
              <w:jc w:val="center"/>
              <w:rPr>
                <w:rFonts w:hint="eastAsia" w:ascii="宋体" w:hAnsi="宋体" w:eastAsia="宋体"/>
                <w:szCs w:val="21"/>
                <w:lang w:eastAsia="zh-CN"/>
              </w:rPr>
            </w:pPr>
            <w:r>
              <w:rPr>
                <w:rFonts w:hint="eastAsia" w:ascii="宋体" w:hAnsi="宋体" w:eastAsia="宋体"/>
                <w:szCs w:val="21"/>
              </w:rPr>
              <w:t>轻载</w:t>
            </w:r>
            <w:r>
              <w:rPr>
                <w:rFonts w:hint="eastAsia" w:ascii="宋体" w:hAnsi="宋体" w:eastAsia="宋体"/>
                <w:szCs w:val="21"/>
                <w:lang w:val="en-US" w:eastAsia="zh-CN"/>
              </w:rPr>
              <w:t>地面</w:t>
            </w:r>
          </w:p>
        </w:tc>
        <w:tc>
          <w:tcPr>
            <w:tcW w:w="1618" w:type="pct"/>
            <w:tcBorders>
              <w:top w:val="nil"/>
              <w:left w:val="nil"/>
              <w:bottom w:val="single" w:color="auto" w:sz="4" w:space="0"/>
              <w:right w:val="single" w:color="auto" w:sz="4" w:space="0"/>
            </w:tcBorders>
            <w:shd w:val="clear" w:color="auto" w:fill="auto"/>
            <w:noWrap/>
            <w:vAlign w:val="center"/>
          </w:tcPr>
          <w:p w14:paraId="5D502DEB">
            <w:pPr>
              <w:spacing w:line="360" w:lineRule="auto"/>
              <w:jc w:val="center"/>
              <w:rPr>
                <w:rFonts w:hint="default" w:ascii="宋体" w:hAnsi="宋体" w:eastAsia="宋体"/>
                <w:szCs w:val="21"/>
                <w:highlight w:val="none"/>
                <w:lang w:val="en-US" w:eastAsia="zh-CN"/>
              </w:rPr>
            </w:pPr>
            <w:r>
              <w:rPr>
                <w:rFonts w:hint="eastAsia" w:ascii="宋体" w:hAnsi="宋体" w:eastAsia="宋体"/>
                <w:szCs w:val="21"/>
                <w:highlight w:val="none"/>
                <w:lang w:val="en-US" w:eastAsia="zh-CN"/>
              </w:rPr>
              <w:t>干撒型</w:t>
            </w:r>
          </w:p>
        </w:tc>
        <w:tc>
          <w:tcPr>
            <w:tcW w:w="1618" w:type="pct"/>
            <w:tcBorders>
              <w:top w:val="nil"/>
              <w:left w:val="nil"/>
              <w:bottom w:val="single" w:color="auto" w:sz="4" w:space="0"/>
              <w:right w:val="single" w:color="auto" w:sz="4" w:space="0"/>
            </w:tcBorders>
            <w:shd w:val="clear" w:color="auto" w:fill="auto"/>
            <w:noWrap/>
            <w:vAlign w:val="center"/>
          </w:tcPr>
          <w:p w14:paraId="0B899B86">
            <w:pPr>
              <w:spacing w:line="360" w:lineRule="auto"/>
              <w:jc w:val="center"/>
              <w:rPr>
                <w:rFonts w:hint="eastAsia" w:ascii="宋体" w:hAnsi="宋体" w:eastAsia="宋体"/>
                <w:szCs w:val="21"/>
                <w:lang w:val="en-US" w:eastAsia="zh-CN"/>
              </w:rPr>
            </w:pPr>
            <w:r>
              <w:rPr>
                <w:rFonts w:hint="eastAsia" w:ascii="宋体" w:hAnsi="宋体" w:eastAsia="宋体"/>
                <w:szCs w:val="21"/>
                <w:lang w:val="en-US" w:eastAsia="zh-CN"/>
              </w:rPr>
              <w:t>不低于Mc70</w:t>
            </w:r>
          </w:p>
        </w:tc>
      </w:tr>
      <w:tr w14:paraId="434BE76A">
        <w:tblPrEx>
          <w:tblCellMar>
            <w:top w:w="0" w:type="dxa"/>
            <w:left w:w="108" w:type="dxa"/>
            <w:bottom w:w="0" w:type="dxa"/>
            <w:right w:w="108" w:type="dxa"/>
          </w:tblCellMar>
        </w:tblPrEx>
        <w:trPr>
          <w:trHeight w:val="309" w:hRule="atLeast"/>
        </w:trPr>
        <w:tc>
          <w:tcPr>
            <w:tcW w:w="1762" w:type="pct"/>
            <w:vMerge w:val="continue"/>
            <w:tcBorders>
              <w:left w:val="single" w:color="auto" w:sz="4" w:space="0"/>
              <w:bottom w:val="single" w:color="auto" w:sz="4" w:space="0"/>
              <w:right w:val="single" w:color="auto" w:sz="4" w:space="0"/>
            </w:tcBorders>
            <w:shd w:val="clear" w:color="auto" w:fill="auto"/>
            <w:noWrap/>
            <w:vAlign w:val="center"/>
          </w:tcPr>
          <w:p w14:paraId="355557A1">
            <w:pPr>
              <w:spacing w:line="360" w:lineRule="auto"/>
              <w:jc w:val="center"/>
              <w:rPr>
                <w:rFonts w:hint="eastAsia" w:ascii="宋体" w:hAnsi="宋体" w:eastAsia="宋体"/>
                <w:szCs w:val="21"/>
              </w:rPr>
            </w:pPr>
          </w:p>
        </w:tc>
        <w:tc>
          <w:tcPr>
            <w:tcW w:w="1618" w:type="pct"/>
            <w:tcBorders>
              <w:top w:val="nil"/>
              <w:left w:val="nil"/>
              <w:bottom w:val="single" w:color="auto" w:sz="4" w:space="0"/>
              <w:right w:val="single" w:color="auto" w:sz="4" w:space="0"/>
            </w:tcBorders>
            <w:shd w:val="clear" w:color="auto" w:fill="auto"/>
            <w:noWrap/>
            <w:vAlign w:val="center"/>
          </w:tcPr>
          <w:p w14:paraId="7E8CBB39">
            <w:pPr>
              <w:spacing w:line="360" w:lineRule="auto"/>
              <w:jc w:val="center"/>
              <w:rPr>
                <w:rFonts w:hint="eastAsia" w:ascii="宋体" w:hAnsi="宋体" w:eastAsia="宋体"/>
                <w:szCs w:val="21"/>
                <w:highlight w:val="none"/>
                <w:lang w:val="en-US" w:eastAsia="zh-CN"/>
              </w:rPr>
            </w:pPr>
            <w:r>
              <w:rPr>
                <w:rFonts w:hint="eastAsia" w:ascii="宋体" w:hAnsi="宋体" w:eastAsia="宋体"/>
                <w:szCs w:val="21"/>
                <w:highlight w:val="none"/>
                <w:lang w:val="en-US" w:eastAsia="zh-CN"/>
              </w:rPr>
              <w:t>湿拌摊铺型</w:t>
            </w:r>
          </w:p>
        </w:tc>
        <w:tc>
          <w:tcPr>
            <w:tcW w:w="1618" w:type="pct"/>
            <w:tcBorders>
              <w:top w:val="nil"/>
              <w:left w:val="nil"/>
              <w:bottom w:val="single" w:color="auto" w:sz="4" w:space="0"/>
              <w:right w:val="single" w:color="auto" w:sz="4" w:space="0"/>
            </w:tcBorders>
            <w:shd w:val="clear" w:color="auto" w:fill="auto"/>
            <w:noWrap/>
            <w:vAlign w:val="center"/>
          </w:tcPr>
          <w:p w14:paraId="03F4181E">
            <w:pPr>
              <w:spacing w:line="360" w:lineRule="auto"/>
              <w:jc w:val="center"/>
              <w:rPr>
                <w:rFonts w:hint="eastAsia" w:ascii="宋体" w:hAnsi="宋体" w:eastAsia="宋体"/>
                <w:szCs w:val="21"/>
                <w:lang w:val="en-US" w:eastAsia="zh-CN"/>
              </w:rPr>
            </w:pPr>
            <w:r>
              <w:rPr>
                <w:rFonts w:hint="eastAsia" w:ascii="宋体" w:hAnsi="宋体" w:eastAsia="宋体"/>
                <w:szCs w:val="21"/>
                <w:lang w:val="en-US" w:eastAsia="zh-CN"/>
              </w:rPr>
              <w:t>不低于Mc60</w:t>
            </w:r>
          </w:p>
        </w:tc>
      </w:tr>
      <w:tr w14:paraId="608D9E76">
        <w:tblPrEx>
          <w:tblCellMar>
            <w:top w:w="0" w:type="dxa"/>
            <w:left w:w="108" w:type="dxa"/>
            <w:bottom w:w="0" w:type="dxa"/>
            <w:right w:w="108" w:type="dxa"/>
          </w:tblCellMar>
        </w:tblPrEx>
        <w:trPr>
          <w:trHeight w:val="309" w:hRule="atLeast"/>
        </w:trPr>
        <w:tc>
          <w:tcPr>
            <w:tcW w:w="1762" w:type="pct"/>
            <w:tcBorders>
              <w:top w:val="nil"/>
              <w:left w:val="single" w:color="auto" w:sz="4" w:space="0"/>
              <w:bottom w:val="single" w:color="auto" w:sz="4" w:space="0"/>
              <w:right w:val="single" w:color="auto" w:sz="4" w:space="0"/>
            </w:tcBorders>
            <w:shd w:val="clear" w:color="auto" w:fill="auto"/>
            <w:noWrap/>
            <w:vAlign w:val="center"/>
          </w:tcPr>
          <w:p w14:paraId="3395E0D2">
            <w:pPr>
              <w:spacing w:line="360" w:lineRule="auto"/>
              <w:jc w:val="center"/>
              <w:rPr>
                <w:rFonts w:ascii="宋体" w:hAnsi="宋体" w:eastAsia="宋体"/>
                <w:szCs w:val="21"/>
              </w:rPr>
            </w:pPr>
            <w:r>
              <w:rPr>
                <w:rFonts w:hint="eastAsia" w:ascii="宋体" w:hAnsi="宋体" w:eastAsia="宋体"/>
                <w:szCs w:val="21"/>
              </w:rPr>
              <w:t>中载</w:t>
            </w:r>
            <w:r>
              <w:rPr>
                <w:rFonts w:hint="eastAsia" w:ascii="宋体" w:hAnsi="宋体" w:eastAsia="宋体"/>
                <w:szCs w:val="21"/>
                <w:lang w:val="en-US" w:eastAsia="zh-CN"/>
              </w:rPr>
              <w:t>地面</w:t>
            </w:r>
          </w:p>
        </w:tc>
        <w:tc>
          <w:tcPr>
            <w:tcW w:w="1618" w:type="pct"/>
            <w:tcBorders>
              <w:top w:val="nil"/>
              <w:left w:val="nil"/>
              <w:bottom w:val="single" w:color="auto" w:sz="4" w:space="0"/>
              <w:right w:val="single" w:color="auto" w:sz="4" w:space="0"/>
            </w:tcBorders>
            <w:shd w:val="clear" w:color="auto" w:fill="auto"/>
            <w:noWrap/>
            <w:vAlign w:val="center"/>
          </w:tcPr>
          <w:p w14:paraId="701A15E2">
            <w:pPr>
              <w:spacing w:line="360" w:lineRule="auto"/>
              <w:jc w:val="center"/>
              <w:rPr>
                <w:rFonts w:hint="eastAsia" w:ascii="宋体" w:hAnsi="宋体" w:eastAsia="宋体"/>
                <w:szCs w:val="21"/>
                <w:highlight w:val="none"/>
                <w:lang w:val="en-US" w:eastAsia="zh-CN"/>
              </w:rPr>
            </w:pPr>
            <w:r>
              <w:rPr>
                <w:rFonts w:hint="eastAsia" w:ascii="宋体" w:hAnsi="宋体" w:eastAsia="宋体"/>
                <w:szCs w:val="21"/>
                <w:highlight w:val="none"/>
                <w:lang w:val="en-US" w:eastAsia="zh-CN"/>
              </w:rPr>
              <w:t>干撒型或湿拌摊铺型</w:t>
            </w:r>
          </w:p>
        </w:tc>
        <w:tc>
          <w:tcPr>
            <w:tcW w:w="1618" w:type="pct"/>
            <w:tcBorders>
              <w:top w:val="nil"/>
              <w:left w:val="nil"/>
              <w:bottom w:val="single" w:color="auto" w:sz="4" w:space="0"/>
              <w:right w:val="single" w:color="auto" w:sz="4" w:space="0"/>
            </w:tcBorders>
            <w:shd w:val="clear" w:color="auto" w:fill="auto"/>
            <w:noWrap/>
            <w:vAlign w:val="center"/>
          </w:tcPr>
          <w:p w14:paraId="26E4EE18">
            <w:pPr>
              <w:spacing w:line="360" w:lineRule="auto"/>
              <w:jc w:val="center"/>
              <w:rPr>
                <w:rFonts w:hint="eastAsia" w:ascii="宋体" w:hAnsi="宋体" w:eastAsia="宋体"/>
                <w:szCs w:val="21"/>
                <w:lang w:val="en-US" w:eastAsia="zh-CN"/>
              </w:rPr>
            </w:pPr>
            <w:r>
              <w:rPr>
                <w:rFonts w:hint="eastAsia" w:ascii="宋体" w:hAnsi="宋体" w:eastAsia="宋体"/>
                <w:szCs w:val="21"/>
                <w:lang w:val="en-US" w:eastAsia="zh-CN"/>
              </w:rPr>
              <w:t>不低于Mc70</w:t>
            </w:r>
          </w:p>
        </w:tc>
      </w:tr>
      <w:tr w14:paraId="7F901E24">
        <w:tblPrEx>
          <w:tblCellMar>
            <w:top w:w="0" w:type="dxa"/>
            <w:left w:w="108" w:type="dxa"/>
            <w:bottom w:w="0" w:type="dxa"/>
            <w:right w:w="108" w:type="dxa"/>
          </w:tblCellMar>
        </w:tblPrEx>
        <w:trPr>
          <w:trHeight w:val="309" w:hRule="atLeast"/>
        </w:trPr>
        <w:tc>
          <w:tcPr>
            <w:tcW w:w="1762" w:type="pct"/>
            <w:tcBorders>
              <w:top w:val="nil"/>
              <w:left w:val="single" w:color="auto" w:sz="4" w:space="0"/>
              <w:bottom w:val="single" w:color="auto" w:sz="4" w:space="0"/>
              <w:right w:val="single" w:color="auto" w:sz="4" w:space="0"/>
            </w:tcBorders>
            <w:shd w:val="clear" w:color="auto" w:fill="auto"/>
            <w:noWrap/>
            <w:vAlign w:val="center"/>
          </w:tcPr>
          <w:p w14:paraId="28E3A057">
            <w:pPr>
              <w:spacing w:line="360" w:lineRule="auto"/>
              <w:jc w:val="center"/>
              <w:rPr>
                <w:rFonts w:ascii="宋体" w:hAnsi="宋体" w:eastAsia="宋体"/>
                <w:szCs w:val="21"/>
              </w:rPr>
            </w:pPr>
            <w:r>
              <w:rPr>
                <w:rFonts w:hint="eastAsia" w:ascii="宋体" w:hAnsi="宋体" w:eastAsia="宋体"/>
                <w:szCs w:val="21"/>
              </w:rPr>
              <w:t>重载</w:t>
            </w:r>
            <w:r>
              <w:rPr>
                <w:rFonts w:hint="eastAsia" w:ascii="宋体" w:hAnsi="宋体" w:eastAsia="宋体"/>
                <w:szCs w:val="21"/>
                <w:lang w:val="en-US" w:eastAsia="zh-CN"/>
              </w:rPr>
              <w:t>地面</w:t>
            </w:r>
          </w:p>
        </w:tc>
        <w:tc>
          <w:tcPr>
            <w:tcW w:w="1618" w:type="pct"/>
            <w:tcBorders>
              <w:top w:val="nil"/>
              <w:left w:val="nil"/>
              <w:bottom w:val="single" w:color="auto" w:sz="4" w:space="0"/>
              <w:right w:val="single" w:color="auto" w:sz="4" w:space="0"/>
            </w:tcBorders>
            <w:shd w:val="clear" w:color="auto" w:fill="auto"/>
            <w:noWrap/>
            <w:vAlign w:val="center"/>
          </w:tcPr>
          <w:p w14:paraId="1DA1823C">
            <w:pPr>
              <w:spacing w:line="360" w:lineRule="auto"/>
              <w:jc w:val="center"/>
              <w:rPr>
                <w:rFonts w:hint="eastAsia" w:ascii="宋体" w:hAnsi="宋体" w:eastAsia="宋体"/>
                <w:szCs w:val="21"/>
                <w:highlight w:val="none"/>
                <w:lang w:val="en-US" w:eastAsia="zh-CN"/>
              </w:rPr>
            </w:pPr>
            <w:r>
              <w:rPr>
                <w:rFonts w:hint="eastAsia" w:ascii="宋体" w:hAnsi="宋体" w:eastAsia="宋体"/>
                <w:szCs w:val="21"/>
                <w:highlight w:val="none"/>
                <w:lang w:val="en-US" w:eastAsia="zh-CN"/>
              </w:rPr>
              <w:t>干撒型或湿拌摊铺型</w:t>
            </w:r>
          </w:p>
        </w:tc>
        <w:tc>
          <w:tcPr>
            <w:tcW w:w="1618" w:type="pct"/>
            <w:tcBorders>
              <w:top w:val="nil"/>
              <w:left w:val="nil"/>
              <w:bottom w:val="single" w:color="auto" w:sz="4" w:space="0"/>
              <w:right w:val="single" w:color="auto" w:sz="4" w:space="0"/>
            </w:tcBorders>
            <w:shd w:val="clear" w:color="auto" w:fill="auto"/>
            <w:noWrap/>
            <w:vAlign w:val="center"/>
          </w:tcPr>
          <w:p w14:paraId="1486EEEC">
            <w:pPr>
              <w:spacing w:line="360" w:lineRule="auto"/>
              <w:jc w:val="center"/>
              <w:rPr>
                <w:rFonts w:hint="eastAsia" w:ascii="宋体" w:hAnsi="宋体" w:eastAsia="宋体"/>
                <w:szCs w:val="21"/>
                <w:lang w:val="en-US" w:eastAsia="zh-CN"/>
              </w:rPr>
            </w:pPr>
            <w:r>
              <w:rPr>
                <w:rFonts w:hint="eastAsia" w:ascii="宋体" w:hAnsi="宋体" w:eastAsia="宋体"/>
                <w:szCs w:val="21"/>
                <w:lang w:val="en-US" w:eastAsia="zh-CN"/>
              </w:rPr>
              <w:t>不低于Mc80</w:t>
            </w:r>
          </w:p>
        </w:tc>
      </w:tr>
      <w:tr w14:paraId="448CE2C0">
        <w:tblPrEx>
          <w:tblCellMar>
            <w:top w:w="0" w:type="dxa"/>
            <w:left w:w="108" w:type="dxa"/>
            <w:bottom w:w="0" w:type="dxa"/>
            <w:right w:w="108" w:type="dxa"/>
          </w:tblCellMar>
        </w:tblPrEx>
        <w:trPr>
          <w:trHeight w:val="309" w:hRule="atLeast"/>
        </w:trPr>
        <w:tc>
          <w:tcPr>
            <w:tcW w:w="1762" w:type="pct"/>
            <w:tcBorders>
              <w:top w:val="nil"/>
              <w:left w:val="single" w:color="auto" w:sz="4" w:space="0"/>
              <w:bottom w:val="single" w:color="auto" w:sz="4" w:space="0"/>
              <w:right w:val="single" w:color="auto" w:sz="4" w:space="0"/>
            </w:tcBorders>
            <w:shd w:val="clear" w:color="auto" w:fill="auto"/>
            <w:noWrap/>
            <w:vAlign w:val="center"/>
          </w:tcPr>
          <w:p w14:paraId="642370B0">
            <w:pPr>
              <w:spacing w:line="360" w:lineRule="auto"/>
              <w:jc w:val="center"/>
              <w:rPr>
                <w:rFonts w:ascii="宋体" w:hAnsi="宋体" w:eastAsia="宋体"/>
                <w:szCs w:val="21"/>
              </w:rPr>
            </w:pPr>
            <w:r>
              <w:rPr>
                <w:rFonts w:hint="eastAsia" w:ascii="宋体" w:hAnsi="宋体" w:eastAsia="宋体"/>
                <w:szCs w:val="21"/>
              </w:rPr>
              <w:t>超重载</w:t>
            </w:r>
            <w:r>
              <w:rPr>
                <w:rFonts w:hint="eastAsia" w:ascii="宋体" w:hAnsi="宋体" w:eastAsia="宋体"/>
                <w:szCs w:val="21"/>
                <w:lang w:val="en-US" w:eastAsia="zh-CN"/>
              </w:rPr>
              <w:t>地面</w:t>
            </w:r>
          </w:p>
        </w:tc>
        <w:tc>
          <w:tcPr>
            <w:tcW w:w="1618" w:type="pct"/>
            <w:tcBorders>
              <w:top w:val="nil"/>
              <w:left w:val="nil"/>
              <w:bottom w:val="single" w:color="auto" w:sz="4" w:space="0"/>
              <w:right w:val="single" w:color="auto" w:sz="4" w:space="0"/>
            </w:tcBorders>
            <w:shd w:val="clear" w:color="auto" w:fill="auto"/>
            <w:noWrap/>
            <w:vAlign w:val="center"/>
          </w:tcPr>
          <w:p w14:paraId="5B176372">
            <w:pPr>
              <w:spacing w:line="360" w:lineRule="auto"/>
              <w:jc w:val="center"/>
              <w:rPr>
                <w:rFonts w:hint="eastAsia" w:ascii="宋体" w:hAnsi="宋体" w:eastAsia="宋体"/>
                <w:szCs w:val="21"/>
                <w:highlight w:val="none"/>
                <w:lang w:val="en-US" w:eastAsia="zh-CN"/>
              </w:rPr>
            </w:pPr>
            <w:r>
              <w:rPr>
                <w:rFonts w:hint="eastAsia" w:ascii="宋体" w:hAnsi="宋体" w:eastAsia="宋体"/>
                <w:szCs w:val="21"/>
                <w:highlight w:val="none"/>
                <w:lang w:val="en-US" w:eastAsia="zh-CN"/>
              </w:rPr>
              <w:t>干撒型</w:t>
            </w:r>
          </w:p>
        </w:tc>
        <w:tc>
          <w:tcPr>
            <w:tcW w:w="1618" w:type="pct"/>
            <w:tcBorders>
              <w:top w:val="nil"/>
              <w:left w:val="nil"/>
              <w:bottom w:val="single" w:color="auto" w:sz="4" w:space="0"/>
              <w:right w:val="single" w:color="auto" w:sz="4" w:space="0"/>
            </w:tcBorders>
            <w:shd w:val="clear" w:color="auto" w:fill="auto"/>
            <w:noWrap/>
            <w:vAlign w:val="center"/>
          </w:tcPr>
          <w:p w14:paraId="47A55BF3">
            <w:pPr>
              <w:spacing w:line="360" w:lineRule="auto"/>
              <w:jc w:val="center"/>
              <w:rPr>
                <w:rFonts w:hint="eastAsia" w:ascii="宋体" w:hAnsi="宋体" w:eastAsia="宋体"/>
                <w:szCs w:val="21"/>
                <w:lang w:val="en-US" w:eastAsia="zh-CN"/>
              </w:rPr>
            </w:pPr>
            <w:r>
              <w:rPr>
                <w:rFonts w:hint="eastAsia" w:ascii="宋体" w:hAnsi="宋体" w:eastAsia="宋体"/>
                <w:szCs w:val="21"/>
                <w:lang w:val="en-US" w:eastAsia="zh-CN"/>
              </w:rPr>
              <w:t>不低于Mc90</w:t>
            </w:r>
          </w:p>
        </w:tc>
      </w:tr>
    </w:tbl>
    <w:p w14:paraId="3677C653">
      <w:pPr>
        <w:spacing w:line="312" w:lineRule="auto"/>
        <w:rPr>
          <w:rFonts w:hint="default" w:ascii="Times New Roman" w:hAnsi="Times New Roman" w:cs="Times New Roman"/>
          <w:b/>
          <w:color w:val="000000" w:themeColor="text1"/>
          <w:sz w:val="24"/>
          <w:lang w:val="en-US"/>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5.2.</w:t>
      </w:r>
      <w:r>
        <w:rPr>
          <w:rFonts w:hint="eastAsia" w:ascii="Times New Roman" w:hAnsi="Times New Roman" w:cs="Times New Roman"/>
          <w:b/>
          <w:color w:val="000000" w:themeColor="text1"/>
          <w:sz w:val="24"/>
          <w:lang w:val="en-US" w:eastAsia="zh-CN"/>
          <w14:textFill>
            <w14:solidFill>
              <w14:schemeClr w14:val="tx1"/>
            </w14:solidFill>
          </w14:textFill>
        </w:rPr>
        <w:t>4</w:t>
      </w:r>
      <w:r>
        <w:rPr>
          <w:rFonts w:hint="eastAsia"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sz w:val="24"/>
        </w:rPr>
        <w:t>应根据使用场合</w:t>
      </w:r>
      <w:r>
        <w:rPr>
          <w:rFonts w:hint="eastAsia" w:ascii="Times New Roman" w:hAnsi="Times New Roman" w:cs="Times New Roman"/>
          <w:sz w:val="24"/>
          <w:lang w:eastAsia="zh-CN"/>
        </w:rPr>
        <w:t>的</w:t>
      </w:r>
      <w:r>
        <w:rPr>
          <w:rFonts w:hint="eastAsia" w:ascii="Times New Roman" w:hAnsi="Times New Roman" w:cs="Times New Roman"/>
          <w:sz w:val="24"/>
          <w:lang w:val="en-US" w:eastAsia="zh-CN"/>
        </w:rPr>
        <w:t>耐磨要求设计选用不同耐磨等级</w:t>
      </w:r>
      <w:r>
        <w:rPr>
          <w:rFonts w:hint="eastAsia" w:ascii="Times New Roman" w:hAnsi="Times New Roman" w:cs="Times New Roman"/>
          <w:sz w:val="24"/>
          <w:lang w:eastAsia="zh-CN"/>
        </w:rPr>
        <w:t>的</w:t>
      </w:r>
      <w:r>
        <w:rPr>
          <w:rFonts w:hint="eastAsia" w:ascii="Times New Roman" w:hAnsi="Times New Roman" w:cs="Times New Roman"/>
          <w:sz w:val="24"/>
        </w:rPr>
        <w:t>耐磨材料</w:t>
      </w:r>
      <w:r>
        <w:rPr>
          <w:rFonts w:hint="eastAsia" w:ascii="Times New Roman" w:hAnsi="Times New Roman" w:cs="Times New Roman"/>
          <w:sz w:val="24"/>
          <w:lang w:val="en-US" w:eastAsia="zh-CN"/>
        </w:rPr>
        <w:t>，具体见表5.2.4</w:t>
      </w:r>
      <w:r>
        <w:rPr>
          <w:rFonts w:ascii="Times New Roman" w:hAnsi="Times New Roman" w:cs="Times New Roman"/>
          <w:sz w:val="24"/>
        </w:rPr>
        <w:t>。</w:t>
      </w:r>
    </w:p>
    <w:tbl>
      <w:tblPr>
        <w:tblStyle w:val="16"/>
        <w:tblpPr w:leftFromText="180" w:rightFromText="180" w:vertAnchor="text" w:horzAnchor="page" w:tblpX="1793" w:tblpY="403"/>
        <w:tblOverlap w:val="never"/>
        <w:tblW w:w="4995" w:type="pct"/>
        <w:tblInd w:w="0" w:type="dxa"/>
        <w:tblBorders>
          <w:top w:val="single" w:color="080000" w:sz="8" w:space="0"/>
          <w:left w:val="single" w:color="080000" w:sz="8" w:space="0"/>
          <w:bottom w:val="single" w:color="080000" w:sz="8" w:space="0"/>
          <w:right w:val="single" w:color="080000" w:sz="8" w:space="0"/>
          <w:insideH w:val="single" w:color="080000" w:sz="8" w:space="0"/>
          <w:insideV w:val="single" w:color="080000" w:sz="8" w:space="0"/>
        </w:tblBorders>
        <w:tblLayout w:type="autofit"/>
        <w:tblCellMar>
          <w:top w:w="0" w:type="dxa"/>
          <w:left w:w="0" w:type="dxa"/>
          <w:bottom w:w="0" w:type="dxa"/>
          <w:right w:w="0" w:type="dxa"/>
        </w:tblCellMar>
      </w:tblPr>
      <w:tblGrid>
        <w:gridCol w:w="4872"/>
        <w:gridCol w:w="2001"/>
        <w:gridCol w:w="1450"/>
      </w:tblGrid>
      <w:tr w14:paraId="2F39EE99">
        <w:tblPrEx>
          <w:tblBorders>
            <w:top w:val="single" w:color="080000" w:sz="8" w:space="0"/>
            <w:left w:val="single" w:color="080000" w:sz="8" w:space="0"/>
            <w:bottom w:val="single" w:color="080000" w:sz="8" w:space="0"/>
            <w:right w:val="single" w:color="080000" w:sz="8" w:space="0"/>
            <w:insideH w:val="single" w:color="080000" w:sz="8" w:space="0"/>
            <w:insideV w:val="single" w:color="080000" w:sz="8" w:space="0"/>
          </w:tblBorders>
          <w:tblCellMar>
            <w:top w:w="0" w:type="dxa"/>
            <w:left w:w="0" w:type="dxa"/>
            <w:bottom w:w="0" w:type="dxa"/>
            <w:right w:w="0" w:type="dxa"/>
          </w:tblCellMar>
        </w:tblPrEx>
        <w:trPr>
          <w:trHeight w:val="355" w:hRule="atLeast"/>
        </w:trPr>
        <w:tc>
          <w:tcPr>
            <w:tcW w:w="2926" w:type="pct"/>
            <w:tcBorders>
              <w:tl2br w:val="nil"/>
              <w:tr2bl w:val="nil"/>
            </w:tcBorders>
            <w:shd w:val="clear" w:color="auto" w:fill="auto"/>
            <w:tcMar>
              <w:top w:w="15" w:type="dxa"/>
              <w:left w:w="15" w:type="dxa"/>
              <w:bottom w:w="0" w:type="dxa"/>
              <w:right w:w="15" w:type="dxa"/>
            </w:tcMar>
            <w:vAlign w:val="top"/>
          </w:tcPr>
          <w:p w14:paraId="5023C193">
            <w:pPr>
              <w:jc w:val="center"/>
              <w:rPr>
                <w:rFonts w:hint="eastAsia" w:ascii="Times New Roman" w:hAnsi="Times New Roman" w:eastAsiaTheme="minorEastAsia" w:cstheme="minorBidi"/>
                <w:color w:val="000000"/>
                <w:kern w:val="2"/>
                <w:sz w:val="24"/>
                <w:szCs w:val="20"/>
                <w:lang w:val="en-US" w:eastAsia="zh-CN" w:bidi="ar-SA"/>
              </w:rPr>
            </w:pPr>
            <w:r>
              <w:rPr>
                <w:rFonts w:hint="eastAsia" w:ascii="Times New Roman" w:hAnsi="Times New Roman"/>
                <w:color w:val="000000"/>
                <w:sz w:val="24"/>
                <w:szCs w:val="20"/>
                <w:lang w:val="en-US" w:eastAsia="zh-CN"/>
              </w:rPr>
              <w:t>使用</w:t>
            </w:r>
            <w:r>
              <w:rPr>
                <w:rFonts w:hint="eastAsia" w:ascii="Times New Roman" w:hAnsi="Times New Roman"/>
                <w:color w:val="000000"/>
                <w:sz w:val="24"/>
                <w:szCs w:val="20"/>
              </w:rPr>
              <w:t>场合</w:t>
            </w:r>
          </w:p>
        </w:tc>
        <w:tc>
          <w:tcPr>
            <w:tcW w:w="1202" w:type="pct"/>
            <w:tcBorders>
              <w:tl2br w:val="nil"/>
              <w:tr2bl w:val="nil"/>
            </w:tcBorders>
            <w:shd w:val="clear" w:color="auto" w:fill="auto"/>
            <w:tcMar>
              <w:top w:w="15" w:type="dxa"/>
              <w:left w:w="15" w:type="dxa"/>
              <w:bottom w:w="0" w:type="dxa"/>
              <w:right w:w="15" w:type="dxa"/>
            </w:tcMar>
            <w:vAlign w:val="top"/>
          </w:tcPr>
          <w:p w14:paraId="73E75FA2">
            <w:pPr>
              <w:jc w:val="center"/>
              <w:rPr>
                <w:rFonts w:hint="eastAsia" w:ascii="Times New Roman" w:hAnsi="Times New Roman" w:eastAsiaTheme="minorEastAsia"/>
                <w:color w:val="000000"/>
                <w:sz w:val="24"/>
                <w:szCs w:val="20"/>
                <w:lang w:val="en-US" w:eastAsia="zh-CN"/>
              </w:rPr>
            </w:pPr>
            <w:r>
              <w:rPr>
                <w:rFonts w:hint="eastAsia" w:ascii="Times New Roman" w:hAnsi="Times New Roman"/>
                <w:color w:val="000000"/>
                <w:sz w:val="24"/>
                <w:szCs w:val="20"/>
                <w:lang w:val="en-US" w:eastAsia="zh-CN"/>
              </w:rPr>
              <w:t>等级及代号</w:t>
            </w:r>
          </w:p>
        </w:tc>
        <w:tc>
          <w:tcPr>
            <w:tcW w:w="871" w:type="pct"/>
            <w:tcBorders>
              <w:tl2br w:val="nil"/>
              <w:tr2bl w:val="nil"/>
            </w:tcBorders>
            <w:vAlign w:val="top"/>
          </w:tcPr>
          <w:p w14:paraId="64A80A94">
            <w:pPr>
              <w:jc w:val="center"/>
              <w:rPr>
                <w:rFonts w:ascii="Times New Roman" w:hAnsi="Times New Roman"/>
                <w:color w:val="000000"/>
                <w:sz w:val="24"/>
                <w:szCs w:val="20"/>
              </w:rPr>
            </w:pPr>
            <w:r>
              <w:rPr>
                <w:rFonts w:hint="eastAsia" w:ascii="Times New Roman" w:hAnsi="Times New Roman"/>
                <w:color w:val="000000"/>
                <w:sz w:val="24"/>
                <w:szCs w:val="20"/>
              </w:rPr>
              <w:t>磨损深度</w:t>
            </w:r>
          </w:p>
        </w:tc>
      </w:tr>
      <w:tr w14:paraId="4563D81B">
        <w:tblPrEx>
          <w:tblBorders>
            <w:top w:val="single" w:color="080000" w:sz="8" w:space="0"/>
            <w:left w:val="single" w:color="080000" w:sz="8" w:space="0"/>
            <w:bottom w:val="single" w:color="080000" w:sz="8" w:space="0"/>
            <w:right w:val="single" w:color="080000" w:sz="8" w:space="0"/>
            <w:insideH w:val="single" w:color="080000" w:sz="8" w:space="0"/>
            <w:insideV w:val="single" w:color="080000" w:sz="8" w:space="0"/>
          </w:tblBorders>
          <w:tblCellMar>
            <w:top w:w="0" w:type="dxa"/>
            <w:left w:w="0" w:type="dxa"/>
            <w:bottom w:w="0" w:type="dxa"/>
            <w:right w:w="0" w:type="dxa"/>
          </w:tblCellMar>
        </w:tblPrEx>
        <w:trPr>
          <w:trHeight w:val="333" w:hRule="atLeast"/>
        </w:trPr>
        <w:tc>
          <w:tcPr>
            <w:tcW w:w="2926" w:type="pct"/>
            <w:tcBorders>
              <w:tl2br w:val="nil"/>
              <w:tr2bl w:val="nil"/>
            </w:tcBorders>
            <w:shd w:val="clear" w:color="auto" w:fill="auto"/>
            <w:tcMar>
              <w:top w:w="15" w:type="dxa"/>
              <w:left w:w="15" w:type="dxa"/>
              <w:bottom w:w="0" w:type="dxa"/>
              <w:right w:w="15" w:type="dxa"/>
            </w:tcMar>
            <w:vAlign w:val="top"/>
          </w:tcPr>
          <w:p w14:paraId="48F314BE">
            <w:pPr>
              <w:jc w:val="center"/>
              <w:rPr>
                <w:rFonts w:hint="eastAsia" w:ascii="Times New Roman" w:hAnsi="Times New Roman" w:eastAsiaTheme="minorEastAsia" w:cstheme="minorBidi"/>
                <w:color w:val="000000"/>
                <w:kern w:val="2"/>
                <w:sz w:val="24"/>
                <w:szCs w:val="20"/>
                <w:lang w:val="en-US" w:eastAsia="zh-CN" w:bidi="ar-SA"/>
              </w:rPr>
            </w:pPr>
            <w:r>
              <w:rPr>
                <w:rFonts w:hint="eastAsia" w:ascii="Times New Roman" w:hAnsi="Times New Roman"/>
                <w:color w:val="000000"/>
                <w:sz w:val="24"/>
                <w:szCs w:val="20"/>
              </w:rPr>
              <w:t>有钢轮或硬质塑料轮带来强烈磨损</w:t>
            </w:r>
            <w:r>
              <w:rPr>
                <w:rFonts w:hint="eastAsia" w:ascii="Times New Roman" w:hAnsi="Times New Roman"/>
                <w:color w:val="000000"/>
                <w:sz w:val="24"/>
                <w:szCs w:val="20"/>
                <w:lang w:eastAsia="zh-CN"/>
              </w:rPr>
              <w:t>，</w:t>
            </w:r>
            <w:r>
              <w:rPr>
                <w:rFonts w:hint="eastAsia" w:ascii="Times New Roman" w:hAnsi="Times New Roman"/>
                <w:color w:val="000000"/>
                <w:sz w:val="24"/>
                <w:szCs w:val="20"/>
              </w:rPr>
              <w:t>或金属拖动带来的划伤的场合</w:t>
            </w:r>
          </w:p>
        </w:tc>
        <w:tc>
          <w:tcPr>
            <w:tcW w:w="1202" w:type="pct"/>
            <w:tcBorders>
              <w:tl2br w:val="nil"/>
              <w:tr2bl w:val="nil"/>
            </w:tcBorders>
            <w:shd w:val="clear" w:color="auto" w:fill="auto"/>
            <w:tcMar>
              <w:top w:w="15" w:type="dxa"/>
              <w:left w:w="15" w:type="dxa"/>
              <w:bottom w:w="0" w:type="dxa"/>
              <w:right w:w="15" w:type="dxa"/>
            </w:tcMar>
            <w:vAlign w:val="top"/>
          </w:tcPr>
          <w:p w14:paraId="74415ACE">
            <w:pPr>
              <w:jc w:val="center"/>
              <w:rPr>
                <w:rFonts w:ascii="Times New Roman" w:hAnsi="Times New Roman"/>
                <w:color w:val="000000"/>
                <w:sz w:val="24"/>
                <w:szCs w:val="20"/>
              </w:rPr>
            </w:pPr>
            <w:r>
              <w:rPr>
                <w:rFonts w:hint="eastAsia" w:ascii="Times New Roman" w:hAnsi="Times New Roman"/>
                <w:color w:val="000000"/>
                <w:sz w:val="24"/>
                <w:szCs w:val="20"/>
                <w:lang w:val="en-US" w:eastAsia="zh-CN"/>
              </w:rPr>
              <w:t>特</w:t>
            </w:r>
            <w:r>
              <w:rPr>
                <w:rFonts w:hint="eastAsia" w:ascii="Times New Roman" w:hAnsi="Times New Roman"/>
                <w:color w:val="000000"/>
                <w:sz w:val="24"/>
                <w:szCs w:val="20"/>
              </w:rPr>
              <w:t>高耐磨性AR0.5</w:t>
            </w:r>
          </w:p>
        </w:tc>
        <w:tc>
          <w:tcPr>
            <w:tcW w:w="871" w:type="pct"/>
            <w:tcBorders>
              <w:tl2br w:val="nil"/>
              <w:tr2bl w:val="nil"/>
            </w:tcBorders>
            <w:shd w:val="clear" w:color="auto" w:fill="auto"/>
            <w:tcMar>
              <w:top w:w="15" w:type="dxa"/>
              <w:left w:w="15" w:type="dxa"/>
              <w:bottom w:w="0" w:type="dxa"/>
              <w:right w:w="15" w:type="dxa"/>
            </w:tcMar>
            <w:vAlign w:val="top"/>
          </w:tcPr>
          <w:p w14:paraId="51DBAE3A">
            <w:pPr>
              <w:jc w:val="center"/>
              <w:rPr>
                <w:rFonts w:ascii="Times New Roman" w:hAnsi="Times New Roman"/>
                <w:color w:val="000000"/>
                <w:sz w:val="24"/>
                <w:szCs w:val="20"/>
              </w:rPr>
            </w:pPr>
            <w:r>
              <w:rPr>
                <w:rFonts w:hint="eastAsia" w:ascii="Times New Roman" w:hAnsi="Times New Roman"/>
                <w:color w:val="000000"/>
                <w:sz w:val="24"/>
                <w:szCs w:val="20"/>
              </w:rPr>
              <w:t>≤0.05mm</w:t>
            </w:r>
          </w:p>
        </w:tc>
      </w:tr>
      <w:tr w14:paraId="338821B7">
        <w:tblPrEx>
          <w:tblBorders>
            <w:top w:val="single" w:color="080000" w:sz="8" w:space="0"/>
            <w:left w:val="single" w:color="080000" w:sz="8" w:space="0"/>
            <w:bottom w:val="single" w:color="080000" w:sz="8" w:space="0"/>
            <w:right w:val="single" w:color="080000" w:sz="8" w:space="0"/>
            <w:insideH w:val="single" w:color="080000" w:sz="8" w:space="0"/>
            <w:insideV w:val="single" w:color="080000" w:sz="8" w:space="0"/>
          </w:tblBorders>
          <w:tblCellMar>
            <w:top w:w="0" w:type="dxa"/>
            <w:left w:w="0" w:type="dxa"/>
            <w:bottom w:w="0" w:type="dxa"/>
            <w:right w:w="0" w:type="dxa"/>
          </w:tblCellMar>
        </w:tblPrEx>
        <w:trPr>
          <w:trHeight w:val="213" w:hRule="atLeast"/>
        </w:trPr>
        <w:tc>
          <w:tcPr>
            <w:tcW w:w="2926" w:type="pct"/>
            <w:tcBorders>
              <w:tl2br w:val="nil"/>
              <w:tr2bl w:val="nil"/>
            </w:tcBorders>
            <w:shd w:val="clear" w:color="auto" w:fill="auto"/>
            <w:tcMar>
              <w:top w:w="15" w:type="dxa"/>
              <w:left w:w="15" w:type="dxa"/>
              <w:bottom w:w="0" w:type="dxa"/>
              <w:right w:w="15" w:type="dxa"/>
            </w:tcMar>
            <w:vAlign w:val="top"/>
          </w:tcPr>
          <w:p w14:paraId="1AB73A31">
            <w:pPr>
              <w:jc w:val="center"/>
              <w:rPr>
                <w:rFonts w:hint="eastAsia" w:ascii="Times New Roman" w:hAnsi="Times New Roman" w:eastAsiaTheme="minorEastAsia" w:cstheme="minorBidi"/>
                <w:color w:val="000000"/>
                <w:kern w:val="2"/>
                <w:sz w:val="24"/>
                <w:szCs w:val="20"/>
                <w:lang w:val="en-US" w:eastAsia="zh-CN" w:bidi="ar-SA"/>
              </w:rPr>
            </w:pPr>
            <w:r>
              <w:rPr>
                <w:rFonts w:hint="eastAsia" w:ascii="Times New Roman" w:hAnsi="Times New Roman"/>
                <w:color w:val="000000"/>
                <w:sz w:val="24"/>
                <w:szCs w:val="20"/>
              </w:rPr>
              <w:t>有钢轮带来磨损的场合</w:t>
            </w:r>
          </w:p>
        </w:tc>
        <w:tc>
          <w:tcPr>
            <w:tcW w:w="1202" w:type="pct"/>
            <w:tcBorders>
              <w:tl2br w:val="nil"/>
              <w:tr2bl w:val="nil"/>
            </w:tcBorders>
            <w:shd w:val="clear" w:color="auto" w:fill="auto"/>
            <w:tcMar>
              <w:top w:w="15" w:type="dxa"/>
              <w:left w:w="15" w:type="dxa"/>
              <w:bottom w:w="0" w:type="dxa"/>
              <w:right w:w="15" w:type="dxa"/>
            </w:tcMar>
            <w:vAlign w:val="top"/>
          </w:tcPr>
          <w:p w14:paraId="73DFA1EA">
            <w:pPr>
              <w:jc w:val="center"/>
              <w:rPr>
                <w:rFonts w:hint="eastAsia" w:ascii="Times New Roman" w:hAnsi="Times New Roman" w:eastAsiaTheme="minorEastAsia"/>
                <w:color w:val="000000"/>
                <w:sz w:val="24"/>
                <w:szCs w:val="20"/>
                <w:lang w:eastAsia="zh-CN"/>
              </w:rPr>
            </w:pPr>
            <w:r>
              <w:rPr>
                <w:rFonts w:hint="eastAsia" w:ascii="Times New Roman" w:hAnsi="Times New Roman"/>
                <w:color w:val="000000"/>
                <w:sz w:val="24"/>
                <w:szCs w:val="20"/>
              </w:rPr>
              <w:t>超高耐磨性AR</w:t>
            </w:r>
            <w:r>
              <w:rPr>
                <w:rFonts w:hint="eastAsia" w:ascii="Times New Roman" w:hAnsi="Times New Roman"/>
                <w:color w:val="000000"/>
                <w:sz w:val="24"/>
                <w:szCs w:val="20"/>
                <w:lang w:val="en-US" w:eastAsia="zh-CN"/>
              </w:rPr>
              <w:t>1</w:t>
            </w:r>
          </w:p>
        </w:tc>
        <w:tc>
          <w:tcPr>
            <w:tcW w:w="871" w:type="pct"/>
            <w:tcBorders>
              <w:tl2br w:val="nil"/>
              <w:tr2bl w:val="nil"/>
            </w:tcBorders>
            <w:shd w:val="clear" w:color="auto" w:fill="auto"/>
            <w:tcMar>
              <w:top w:w="15" w:type="dxa"/>
              <w:left w:w="15" w:type="dxa"/>
              <w:bottom w:w="0" w:type="dxa"/>
              <w:right w:w="15" w:type="dxa"/>
            </w:tcMar>
            <w:vAlign w:val="top"/>
          </w:tcPr>
          <w:p w14:paraId="0A943A8E">
            <w:pPr>
              <w:jc w:val="center"/>
              <w:rPr>
                <w:rFonts w:ascii="Times New Roman" w:hAnsi="Times New Roman"/>
                <w:color w:val="000000"/>
                <w:sz w:val="24"/>
                <w:szCs w:val="20"/>
              </w:rPr>
            </w:pPr>
            <w:r>
              <w:rPr>
                <w:rFonts w:hint="eastAsia" w:ascii="Times New Roman" w:hAnsi="Times New Roman"/>
                <w:color w:val="000000"/>
                <w:sz w:val="24"/>
                <w:szCs w:val="20"/>
              </w:rPr>
              <w:t>≤0.10mm</w:t>
            </w:r>
          </w:p>
        </w:tc>
      </w:tr>
      <w:tr w14:paraId="50EBD28F">
        <w:tblPrEx>
          <w:tblBorders>
            <w:top w:val="single" w:color="080000" w:sz="8" w:space="0"/>
            <w:left w:val="single" w:color="080000" w:sz="8" w:space="0"/>
            <w:bottom w:val="single" w:color="080000" w:sz="8" w:space="0"/>
            <w:right w:val="single" w:color="080000" w:sz="8" w:space="0"/>
            <w:insideH w:val="single" w:color="080000" w:sz="8" w:space="0"/>
            <w:insideV w:val="single" w:color="080000" w:sz="8" w:space="0"/>
          </w:tblBorders>
          <w:tblCellMar>
            <w:top w:w="0" w:type="dxa"/>
            <w:left w:w="0" w:type="dxa"/>
            <w:bottom w:w="0" w:type="dxa"/>
            <w:right w:w="0" w:type="dxa"/>
          </w:tblCellMar>
        </w:tblPrEx>
        <w:trPr>
          <w:trHeight w:val="90" w:hRule="atLeast"/>
        </w:trPr>
        <w:tc>
          <w:tcPr>
            <w:tcW w:w="2926" w:type="pct"/>
            <w:tcBorders>
              <w:tl2br w:val="nil"/>
              <w:tr2bl w:val="nil"/>
            </w:tcBorders>
            <w:shd w:val="clear" w:color="auto" w:fill="auto"/>
            <w:tcMar>
              <w:top w:w="15" w:type="dxa"/>
              <w:left w:w="15" w:type="dxa"/>
              <w:bottom w:w="0" w:type="dxa"/>
              <w:right w:w="15" w:type="dxa"/>
            </w:tcMar>
            <w:vAlign w:val="top"/>
          </w:tcPr>
          <w:p w14:paraId="04516132">
            <w:pPr>
              <w:jc w:val="center"/>
              <w:rPr>
                <w:rFonts w:hint="eastAsia" w:ascii="Times New Roman" w:hAnsi="Times New Roman" w:eastAsiaTheme="minorEastAsia" w:cstheme="minorBidi"/>
                <w:color w:val="000000"/>
                <w:kern w:val="2"/>
                <w:sz w:val="24"/>
                <w:szCs w:val="20"/>
                <w:lang w:val="en-US" w:eastAsia="zh-CN" w:bidi="ar-SA"/>
              </w:rPr>
            </w:pPr>
            <w:r>
              <w:rPr>
                <w:rFonts w:hint="eastAsia" w:ascii="Times New Roman" w:hAnsi="Times New Roman"/>
                <w:color w:val="000000"/>
                <w:sz w:val="24"/>
                <w:szCs w:val="20"/>
              </w:rPr>
              <w:t>有硬质塑料轮带来磨损的场合</w:t>
            </w:r>
          </w:p>
        </w:tc>
        <w:tc>
          <w:tcPr>
            <w:tcW w:w="1202" w:type="pct"/>
            <w:tcBorders>
              <w:tl2br w:val="nil"/>
              <w:tr2bl w:val="nil"/>
            </w:tcBorders>
            <w:shd w:val="clear" w:color="auto" w:fill="auto"/>
            <w:tcMar>
              <w:top w:w="15" w:type="dxa"/>
              <w:left w:w="15" w:type="dxa"/>
              <w:bottom w:w="0" w:type="dxa"/>
              <w:right w:w="15" w:type="dxa"/>
            </w:tcMar>
            <w:vAlign w:val="top"/>
          </w:tcPr>
          <w:p w14:paraId="2F7F7281">
            <w:pPr>
              <w:jc w:val="center"/>
              <w:rPr>
                <w:rFonts w:ascii="Times New Roman" w:hAnsi="Times New Roman"/>
                <w:color w:val="000000"/>
                <w:sz w:val="24"/>
                <w:szCs w:val="20"/>
              </w:rPr>
            </w:pPr>
            <w:r>
              <w:rPr>
                <w:rFonts w:hint="eastAsia" w:ascii="Times New Roman" w:hAnsi="Times New Roman"/>
                <w:color w:val="000000"/>
                <w:sz w:val="24"/>
                <w:szCs w:val="20"/>
              </w:rPr>
              <w:t>高耐磨性AR</w:t>
            </w:r>
            <w:r>
              <w:rPr>
                <w:rFonts w:hint="eastAsia" w:ascii="Times New Roman" w:hAnsi="Times New Roman"/>
                <w:color w:val="000000"/>
                <w:sz w:val="24"/>
                <w:szCs w:val="20"/>
                <w:lang w:val="en-US" w:eastAsia="zh-CN"/>
              </w:rPr>
              <w:t>2</w:t>
            </w:r>
          </w:p>
        </w:tc>
        <w:tc>
          <w:tcPr>
            <w:tcW w:w="871" w:type="pct"/>
            <w:tcBorders>
              <w:tl2br w:val="nil"/>
              <w:tr2bl w:val="nil"/>
            </w:tcBorders>
            <w:shd w:val="clear" w:color="auto" w:fill="auto"/>
            <w:tcMar>
              <w:top w:w="15" w:type="dxa"/>
              <w:left w:w="15" w:type="dxa"/>
              <w:bottom w:w="0" w:type="dxa"/>
              <w:right w:w="15" w:type="dxa"/>
            </w:tcMar>
            <w:vAlign w:val="top"/>
          </w:tcPr>
          <w:p w14:paraId="747380D1">
            <w:pPr>
              <w:jc w:val="center"/>
              <w:rPr>
                <w:rFonts w:ascii="Times New Roman" w:hAnsi="Times New Roman"/>
                <w:color w:val="000000"/>
                <w:sz w:val="24"/>
                <w:szCs w:val="20"/>
              </w:rPr>
            </w:pPr>
            <w:r>
              <w:rPr>
                <w:rFonts w:hint="eastAsia" w:ascii="Times New Roman" w:hAnsi="Times New Roman"/>
                <w:color w:val="000000"/>
                <w:sz w:val="24"/>
                <w:szCs w:val="20"/>
              </w:rPr>
              <w:t>≤0.20mm</w:t>
            </w:r>
          </w:p>
        </w:tc>
      </w:tr>
      <w:tr w14:paraId="2CC4FA0B">
        <w:tblPrEx>
          <w:tblBorders>
            <w:top w:val="single" w:color="080000" w:sz="8" w:space="0"/>
            <w:left w:val="single" w:color="080000" w:sz="8" w:space="0"/>
            <w:bottom w:val="single" w:color="080000" w:sz="8" w:space="0"/>
            <w:right w:val="single" w:color="080000" w:sz="8" w:space="0"/>
            <w:insideH w:val="single" w:color="080000" w:sz="8" w:space="0"/>
            <w:insideV w:val="single" w:color="080000" w:sz="8" w:space="0"/>
          </w:tblBorders>
          <w:tblCellMar>
            <w:top w:w="0" w:type="dxa"/>
            <w:left w:w="0" w:type="dxa"/>
            <w:bottom w:w="0" w:type="dxa"/>
            <w:right w:w="0" w:type="dxa"/>
          </w:tblCellMar>
        </w:tblPrEx>
        <w:trPr>
          <w:trHeight w:val="241" w:hRule="atLeast"/>
        </w:trPr>
        <w:tc>
          <w:tcPr>
            <w:tcW w:w="2926" w:type="pct"/>
            <w:tcBorders>
              <w:tl2br w:val="nil"/>
              <w:tr2bl w:val="nil"/>
            </w:tcBorders>
            <w:shd w:val="clear" w:color="auto" w:fill="auto"/>
            <w:tcMar>
              <w:top w:w="15" w:type="dxa"/>
              <w:left w:w="15" w:type="dxa"/>
              <w:bottom w:w="0" w:type="dxa"/>
              <w:right w:w="15" w:type="dxa"/>
            </w:tcMar>
            <w:vAlign w:val="top"/>
          </w:tcPr>
          <w:p w14:paraId="038A7BCE">
            <w:pPr>
              <w:jc w:val="center"/>
              <w:rPr>
                <w:rFonts w:hint="eastAsia" w:ascii="Times New Roman" w:hAnsi="Times New Roman" w:eastAsiaTheme="minorEastAsia" w:cstheme="minorBidi"/>
                <w:color w:val="000000"/>
                <w:kern w:val="2"/>
                <w:sz w:val="24"/>
                <w:szCs w:val="20"/>
                <w:lang w:val="en-US" w:eastAsia="zh-CN" w:bidi="ar-SA"/>
              </w:rPr>
            </w:pPr>
            <w:r>
              <w:rPr>
                <w:rFonts w:hint="eastAsia" w:ascii="Times New Roman" w:hAnsi="Times New Roman"/>
                <w:color w:val="000000"/>
                <w:sz w:val="24"/>
                <w:szCs w:val="20"/>
              </w:rPr>
              <w:t>有橡胶轮带来磨损的场合</w:t>
            </w:r>
          </w:p>
        </w:tc>
        <w:tc>
          <w:tcPr>
            <w:tcW w:w="1202" w:type="pct"/>
            <w:tcBorders>
              <w:tl2br w:val="nil"/>
              <w:tr2bl w:val="nil"/>
            </w:tcBorders>
            <w:shd w:val="clear" w:color="auto" w:fill="auto"/>
            <w:tcMar>
              <w:top w:w="15" w:type="dxa"/>
              <w:left w:w="15" w:type="dxa"/>
              <w:bottom w:w="0" w:type="dxa"/>
              <w:right w:w="15" w:type="dxa"/>
            </w:tcMar>
            <w:vAlign w:val="top"/>
          </w:tcPr>
          <w:p w14:paraId="4561CAD2">
            <w:pPr>
              <w:jc w:val="center"/>
              <w:rPr>
                <w:rFonts w:hint="eastAsia" w:ascii="Times New Roman" w:hAnsi="Times New Roman" w:eastAsiaTheme="minorEastAsia"/>
                <w:color w:val="000000"/>
                <w:sz w:val="24"/>
                <w:szCs w:val="20"/>
                <w:lang w:eastAsia="zh-CN"/>
              </w:rPr>
            </w:pPr>
            <w:r>
              <w:rPr>
                <w:rFonts w:hint="eastAsia" w:ascii="Times New Roman" w:hAnsi="Times New Roman"/>
                <w:color w:val="000000"/>
                <w:sz w:val="24"/>
                <w:szCs w:val="20"/>
              </w:rPr>
              <w:t>中耐磨性AR</w:t>
            </w:r>
            <w:r>
              <w:rPr>
                <w:rFonts w:hint="eastAsia" w:ascii="Times New Roman" w:hAnsi="Times New Roman"/>
                <w:color w:val="000000"/>
                <w:sz w:val="24"/>
                <w:szCs w:val="20"/>
                <w:lang w:val="en-US" w:eastAsia="zh-CN"/>
              </w:rPr>
              <w:t>4</w:t>
            </w:r>
          </w:p>
        </w:tc>
        <w:tc>
          <w:tcPr>
            <w:tcW w:w="871" w:type="pct"/>
            <w:tcBorders>
              <w:tl2br w:val="nil"/>
              <w:tr2bl w:val="nil"/>
            </w:tcBorders>
            <w:shd w:val="clear" w:color="auto" w:fill="auto"/>
            <w:tcMar>
              <w:top w:w="15" w:type="dxa"/>
              <w:left w:w="15" w:type="dxa"/>
              <w:bottom w:w="0" w:type="dxa"/>
              <w:right w:w="15" w:type="dxa"/>
            </w:tcMar>
            <w:vAlign w:val="top"/>
          </w:tcPr>
          <w:p w14:paraId="669B0405">
            <w:pPr>
              <w:jc w:val="center"/>
              <w:rPr>
                <w:rFonts w:ascii="Times New Roman" w:hAnsi="Times New Roman"/>
                <w:color w:val="000000"/>
                <w:sz w:val="24"/>
                <w:szCs w:val="20"/>
              </w:rPr>
            </w:pPr>
            <w:r>
              <w:rPr>
                <w:rFonts w:hint="eastAsia" w:ascii="Times New Roman" w:hAnsi="Times New Roman"/>
                <w:color w:val="000000"/>
                <w:sz w:val="24"/>
                <w:szCs w:val="20"/>
              </w:rPr>
              <w:t>≤0.40mm</w:t>
            </w:r>
          </w:p>
        </w:tc>
      </w:tr>
      <w:tr w14:paraId="10C17F6C">
        <w:tblPrEx>
          <w:tblBorders>
            <w:top w:val="single" w:color="080000" w:sz="8" w:space="0"/>
            <w:left w:val="single" w:color="080000" w:sz="8" w:space="0"/>
            <w:bottom w:val="single" w:color="080000" w:sz="8" w:space="0"/>
            <w:right w:val="single" w:color="080000" w:sz="8" w:space="0"/>
            <w:insideH w:val="single" w:color="080000" w:sz="8" w:space="0"/>
            <w:insideV w:val="single" w:color="080000" w:sz="8" w:space="0"/>
          </w:tblBorders>
          <w:tblCellMar>
            <w:top w:w="0" w:type="dxa"/>
            <w:left w:w="0" w:type="dxa"/>
            <w:bottom w:w="0" w:type="dxa"/>
            <w:right w:w="0" w:type="dxa"/>
          </w:tblCellMar>
        </w:tblPrEx>
        <w:trPr>
          <w:trHeight w:val="22" w:hRule="atLeast"/>
        </w:trPr>
        <w:tc>
          <w:tcPr>
            <w:tcW w:w="2926" w:type="pct"/>
            <w:tcBorders>
              <w:tl2br w:val="nil"/>
              <w:tr2bl w:val="nil"/>
            </w:tcBorders>
            <w:shd w:val="clear" w:color="auto" w:fill="auto"/>
            <w:tcMar>
              <w:top w:w="15" w:type="dxa"/>
              <w:left w:w="15" w:type="dxa"/>
              <w:bottom w:w="0" w:type="dxa"/>
              <w:right w:w="15" w:type="dxa"/>
            </w:tcMar>
            <w:vAlign w:val="top"/>
          </w:tcPr>
          <w:p w14:paraId="1B80B0E3">
            <w:pPr>
              <w:jc w:val="center"/>
              <w:rPr>
                <w:rFonts w:hint="eastAsia" w:ascii="Times New Roman" w:hAnsi="Times New Roman" w:eastAsiaTheme="minorEastAsia" w:cstheme="minorBidi"/>
                <w:color w:val="000000"/>
                <w:kern w:val="2"/>
                <w:sz w:val="24"/>
                <w:szCs w:val="20"/>
                <w:lang w:val="en-US" w:eastAsia="zh-CN" w:bidi="ar-SA"/>
              </w:rPr>
            </w:pPr>
            <w:r>
              <w:rPr>
                <w:rFonts w:hint="eastAsia" w:ascii="Times New Roman" w:hAnsi="Times New Roman"/>
                <w:color w:val="000000"/>
                <w:sz w:val="24"/>
                <w:szCs w:val="20"/>
              </w:rPr>
              <w:t>无特殊要求的场合</w:t>
            </w:r>
          </w:p>
        </w:tc>
        <w:tc>
          <w:tcPr>
            <w:tcW w:w="1202" w:type="pct"/>
            <w:tcBorders>
              <w:tl2br w:val="nil"/>
              <w:tr2bl w:val="nil"/>
            </w:tcBorders>
            <w:shd w:val="clear" w:color="auto" w:fill="auto"/>
            <w:tcMar>
              <w:top w:w="15" w:type="dxa"/>
              <w:left w:w="15" w:type="dxa"/>
              <w:bottom w:w="0" w:type="dxa"/>
              <w:right w:w="15" w:type="dxa"/>
            </w:tcMar>
            <w:vAlign w:val="top"/>
          </w:tcPr>
          <w:p w14:paraId="5BF0CB29">
            <w:pPr>
              <w:jc w:val="center"/>
              <w:rPr>
                <w:rFonts w:hint="eastAsia" w:ascii="Times New Roman" w:hAnsi="Times New Roman" w:eastAsiaTheme="minorEastAsia"/>
                <w:color w:val="000000"/>
                <w:sz w:val="24"/>
                <w:szCs w:val="20"/>
                <w:lang w:eastAsia="zh-CN"/>
              </w:rPr>
            </w:pPr>
            <w:r>
              <w:rPr>
                <w:rFonts w:hint="eastAsia" w:ascii="Times New Roman" w:hAnsi="Times New Roman"/>
                <w:color w:val="000000"/>
                <w:sz w:val="24"/>
                <w:szCs w:val="20"/>
              </w:rPr>
              <w:t>普通耐磨性AR</w:t>
            </w:r>
            <w:r>
              <w:rPr>
                <w:rFonts w:hint="eastAsia" w:ascii="Times New Roman" w:hAnsi="Times New Roman"/>
                <w:color w:val="000000"/>
                <w:sz w:val="24"/>
                <w:szCs w:val="20"/>
                <w:lang w:val="en-US" w:eastAsia="zh-CN"/>
              </w:rPr>
              <w:t>6</w:t>
            </w:r>
          </w:p>
        </w:tc>
        <w:tc>
          <w:tcPr>
            <w:tcW w:w="871" w:type="pct"/>
            <w:tcBorders>
              <w:tl2br w:val="nil"/>
              <w:tr2bl w:val="nil"/>
            </w:tcBorders>
            <w:shd w:val="clear" w:color="auto" w:fill="auto"/>
            <w:tcMar>
              <w:top w:w="15" w:type="dxa"/>
              <w:left w:w="15" w:type="dxa"/>
              <w:bottom w:w="0" w:type="dxa"/>
              <w:right w:w="15" w:type="dxa"/>
            </w:tcMar>
            <w:vAlign w:val="top"/>
          </w:tcPr>
          <w:p w14:paraId="14E4AEF2">
            <w:pPr>
              <w:jc w:val="center"/>
              <w:rPr>
                <w:rFonts w:ascii="Times New Roman" w:hAnsi="Times New Roman"/>
                <w:color w:val="000000"/>
                <w:sz w:val="24"/>
                <w:szCs w:val="20"/>
              </w:rPr>
            </w:pPr>
            <w:r>
              <w:rPr>
                <w:rFonts w:hint="eastAsia" w:ascii="Times New Roman" w:hAnsi="Times New Roman"/>
                <w:color w:val="000000"/>
                <w:sz w:val="24"/>
                <w:szCs w:val="20"/>
              </w:rPr>
              <w:t>≤0.</w:t>
            </w:r>
            <w:r>
              <w:rPr>
                <w:rFonts w:ascii="Times New Roman" w:hAnsi="Times New Roman"/>
                <w:color w:val="000000"/>
                <w:sz w:val="24"/>
                <w:szCs w:val="20"/>
              </w:rPr>
              <w:t>6</w:t>
            </w:r>
            <w:r>
              <w:rPr>
                <w:rFonts w:hint="eastAsia" w:ascii="Times New Roman" w:hAnsi="Times New Roman"/>
                <w:color w:val="000000"/>
                <w:sz w:val="24"/>
                <w:szCs w:val="20"/>
              </w:rPr>
              <w:t>0mm</w:t>
            </w:r>
          </w:p>
        </w:tc>
      </w:tr>
    </w:tbl>
    <w:p w14:paraId="78E8C339">
      <w:pPr>
        <w:tabs>
          <w:tab w:val="center" w:pos="4213"/>
          <w:tab w:val="left" w:pos="6868"/>
        </w:tabs>
        <w:spacing w:line="312" w:lineRule="auto"/>
        <w:jc w:val="left"/>
        <w:rPr>
          <w:rFonts w:hint="default" w:ascii="Times New Roman" w:hAnsi="Times New Roman" w:cs="Times New Roman" w:eastAsiaTheme="minorEastAsia"/>
          <w:b/>
          <w:color w:val="000000" w:themeColor="text1"/>
          <w:sz w:val="24"/>
          <w:szCs w:val="24"/>
          <w:lang w:val="en-US" w:eastAsia="zh-CN"/>
          <w14:textFill>
            <w14:solidFill>
              <w14:schemeClr w14:val="tx1"/>
            </w14:solidFill>
          </w14:textFill>
        </w:rPr>
      </w:pPr>
      <w:r>
        <w:rPr>
          <w:rFonts w:hint="eastAsia" w:ascii="Times New Roman" w:hAnsi="Times New Roman" w:cs="Times New Roman"/>
          <w:b/>
          <w:color w:val="000000" w:themeColor="text1"/>
          <w:sz w:val="24"/>
          <w:szCs w:val="24"/>
          <w:lang w:eastAsia="zh-CN"/>
          <w14:textFill>
            <w14:solidFill>
              <w14:schemeClr w14:val="tx1"/>
            </w14:solidFill>
          </w14:textFill>
        </w:rPr>
        <w:tab/>
      </w:r>
      <w:r>
        <w:rPr>
          <w:rFonts w:ascii="Times New Roman" w:hAnsi="Times New Roman" w:cs="Times New Roman"/>
          <w:b/>
          <w:color w:val="000000" w:themeColor="text1"/>
          <w:sz w:val="24"/>
          <w:szCs w:val="24"/>
          <w14:textFill>
            <w14:solidFill>
              <w14:schemeClr w14:val="tx1"/>
            </w14:solidFill>
          </w14:textFill>
        </w:rPr>
        <w:t>表5.2.</w:t>
      </w:r>
      <w:r>
        <w:rPr>
          <w:rFonts w:hint="eastAsia" w:ascii="Times New Roman" w:hAnsi="Times New Roman" w:cs="Times New Roman"/>
          <w:b/>
          <w:color w:val="000000" w:themeColor="text1"/>
          <w:sz w:val="24"/>
          <w:szCs w:val="24"/>
          <w:lang w:val="en-US" w:eastAsia="zh-CN"/>
          <w14:textFill>
            <w14:solidFill>
              <w14:schemeClr w14:val="tx1"/>
            </w14:solidFill>
          </w14:textFill>
        </w:rPr>
        <w:t>4</w:t>
      </w:r>
      <w:r>
        <w:rPr>
          <w:rFonts w:ascii="Times New Roman" w:hAnsi="Times New Roman" w:cs="Times New Roman"/>
          <w:b/>
          <w:color w:val="000000" w:themeColor="text1"/>
          <w:sz w:val="24"/>
          <w:szCs w:val="24"/>
          <w14:textFill>
            <w14:solidFill>
              <w14:schemeClr w14:val="tx1"/>
            </w14:solidFill>
          </w14:textFill>
        </w:rPr>
        <w:t>　</w:t>
      </w:r>
      <w:r>
        <w:rPr>
          <w:rFonts w:hint="eastAsia" w:ascii="Times New Roman" w:hAnsi="Times New Roman" w:cs="Times New Roman"/>
          <w:b/>
          <w:color w:val="000000" w:themeColor="text1"/>
          <w:sz w:val="24"/>
          <w:szCs w:val="24"/>
          <w:lang w:val="en-US" w:eastAsia="zh-CN"/>
          <w14:textFill>
            <w14:solidFill>
              <w14:schemeClr w14:val="tx1"/>
            </w14:solidFill>
          </w14:textFill>
        </w:rPr>
        <w:t>耐磨材料</w:t>
      </w:r>
      <w:r>
        <w:rPr>
          <w:rFonts w:hint="eastAsia" w:ascii="Times New Roman" w:hAnsi="Times New Roman" w:cs="Times New Roman"/>
          <w:b/>
          <w:color w:val="000000" w:themeColor="text1"/>
          <w:sz w:val="24"/>
          <w:szCs w:val="24"/>
          <w14:textFill>
            <w14:solidFill>
              <w14:schemeClr w14:val="tx1"/>
            </w14:solidFill>
          </w14:textFill>
        </w:rPr>
        <w:t>耐磨等级</w:t>
      </w:r>
      <w:r>
        <w:rPr>
          <w:rFonts w:hint="eastAsia" w:ascii="Times New Roman" w:hAnsi="Times New Roman" w:cs="Times New Roman"/>
          <w:b/>
          <w:color w:val="000000" w:themeColor="text1"/>
          <w:sz w:val="24"/>
          <w:szCs w:val="24"/>
          <w:lang w:eastAsia="zh-CN"/>
          <w14:textFill>
            <w14:solidFill>
              <w14:schemeClr w14:val="tx1"/>
            </w14:solidFill>
          </w14:textFill>
        </w:rPr>
        <w:t>的</w:t>
      </w:r>
      <w:r>
        <w:rPr>
          <w:rFonts w:hint="eastAsia" w:ascii="Times New Roman" w:hAnsi="Times New Roman" w:cs="Times New Roman"/>
          <w:b/>
          <w:color w:val="000000" w:themeColor="text1"/>
          <w:sz w:val="24"/>
          <w:szCs w:val="24"/>
          <w:lang w:val="en-US" w:eastAsia="zh-CN"/>
          <w14:textFill>
            <w14:solidFill>
              <w14:schemeClr w14:val="tx1"/>
            </w14:solidFill>
          </w14:textFill>
        </w:rPr>
        <w:t>设计选用</w:t>
      </w:r>
    </w:p>
    <w:p w14:paraId="02EF6E5A">
      <w:pPr>
        <w:spacing w:line="312" w:lineRule="auto"/>
        <w:rPr>
          <w:rFonts w:hint="default" w:ascii="Times New Roman" w:hAnsi="Times New Roman" w:cs="Times New Roman"/>
          <w:b/>
          <w:color w:val="000000" w:themeColor="text1"/>
          <w:sz w:val="24"/>
          <w:lang w:val="en-US"/>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5.2.</w:t>
      </w:r>
      <w:r>
        <w:rPr>
          <w:rFonts w:hint="eastAsia" w:ascii="Times New Roman" w:hAnsi="Times New Roman" w:cs="Times New Roman"/>
          <w:b/>
          <w:color w:val="000000" w:themeColor="text1"/>
          <w:sz w:val="24"/>
          <w:lang w:val="en-US" w:eastAsia="zh-CN"/>
          <w14:textFill>
            <w14:solidFill>
              <w14:schemeClr w14:val="tx1"/>
            </w14:solidFill>
          </w14:textFill>
        </w:rPr>
        <w:t>5</w:t>
      </w:r>
      <w:r>
        <w:rPr>
          <w:rFonts w:hint="eastAsia"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sz w:val="24"/>
        </w:rPr>
        <w:t>应根据使用场合</w:t>
      </w:r>
      <w:r>
        <w:rPr>
          <w:rFonts w:hint="eastAsia" w:ascii="Times New Roman" w:hAnsi="Times New Roman" w:cs="Times New Roman"/>
          <w:sz w:val="24"/>
          <w:lang w:eastAsia="zh-CN"/>
        </w:rPr>
        <w:t>的</w:t>
      </w:r>
      <w:r>
        <w:rPr>
          <w:rFonts w:hint="eastAsia" w:ascii="Times New Roman" w:hAnsi="Times New Roman" w:cs="Times New Roman"/>
          <w:sz w:val="24"/>
          <w:lang w:val="en-US" w:eastAsia="zh-CN"/>
        </w:rPr>
        <w:t>硬度要求进行设计选用不同表面硬度等级</w:t>
      </w:r>
      <w:r>
        <w:rPr>
          <w:rFonts w:hint="eastAsia" w:ascii="Times New Roman" w:hAnsi="Times New Roman" w:cs="Times New Roman"/>
          <w:sz w:val="24"/>
          <w:lang w:eastAsia="zh-CN"/>
        </w:rPr>
        <w:t>的</w:t>
      </w:r>
      <w:r>
        <w:rPr>
          <w:rFonts w:hint="eastAsia" w:ascii="Times New Roman" w:hAnsi="Times New Roman" w:cs="Times New Roman"/>
          <w:sz w:val="24"/>
        </w:rPr>
        <w:t>耐磨材料</w:t>
      </w:r>
      <w:r>
        <w:rPr>
          <w:rFonts w:hint="eastAsia" w:ascii="Times New Roman" w:hAnsi="Times New Roman" w:cs="Times New Roman"/>
          <w:sz w:val="24"/>
          <w:lang w:val="en-US" w:eastAsia="zh-CN"/>
        </w:rPr>
        <w:t>，具体见表5.2.5</w:t>
      </w:r>
      <w:r>
        <w:rPr>
          <w:rFonts w:ascii="Times New Roman" w:hAnsi="Times New Roman" w:cs="Times New Roman"/>
          <w:sz w:val="24"/>
        </w:rPr>
        <w:t>。</w:t>
      </w:r>
    </w:p>
    <w:p w14:paraId="3FDD4418">
      <w:pPr>
        <w:spacing w:line="312" w:lineRule="auto"/>
        <w:jc w:val="center"/>
        <w:rPr>
          <w:rFonts w:ascii="Times New Roman" w:hAnsi="Times New Roman"/>
          <w:color w:val="000000"/>
          <w:sz w:val="24"/>
          <w:szCs w:val="24"/>
        </w:rPr>
      </w:pPr>
      <w:r>
        <w:rPr>
          <w:rFonts w:ascii="Times New Roman" w:hAnsi="Times New Roman" w:cs="Times New Roman"/>
          <w:b/>
          <w:color w:val="000000" w:themeColor="text1"/>
          <w:sz w:val="24"/>
          <w:szCs w:val="24"/>
          <w14:textFill>
            <w14:solidFill>
              <w14:schemeClr w14:val="tx1"/>
            </w14:solidFill>
          </w14:textFill>
        </w:rPr>
        <w:t>表5.2.</w:t>
      </w:r>
      <w:r>
        <w:rPr>
          <w:rFonts w:hint="eastAsia" w:ascii="Times New Roman" w:hAnsi="Times New Roman" w:cs="Times New Roman"/>
          <w:b/>
          <w:color w:val="000000" w:themeColor="text1"/>
          <w:sz w:val="24"/>
          <w:szCs w:val="24"/>
          <w:lang w:val="en-US" w:eastAsia="zh-CN"/>
          <w14:textFill>
            <w14:solidFill>
              <w14:schemeClr w14:val="tx1"/>
            </w14:solidFill>
          </w14:textFill>
        </w:rPr>
        <w:t>5</w:t>
      </w:r>
      <w:r>
        <w:rPr>
          <w:rFonts w:ascii="Times New Roman" w:hAnsi="Times New Roman" w:cs="Times New Roman"/>
          <w:b/>
          <w:color w:val="000000" w:themeColor="text1"/>
          <w:sz w:val="24"/>
          <w:szCs w:val="24"/>
          <w14:textFill>
            <w14:solidFill>
              <w14:schemeClr w14:val="tx1"/>
            </w14:solidFill>
          </w14:textFill>
        </w:rPr>
        <w:t>　</w:t>
      </w:r>
      <w:r>
        <w:rPr>
          <w:rFonts w:hint="eastAsia" w:ascii="Times New Roman" w:hAnsi="Times New Roman" w:cs="Times New Roman"/>
          <w:b/>
          <w:color w:val="000000" w:themeColor="text1"/>
          <w:sz w:val="24"/>
          <w:szCs w:val="24"/>
          <w:lang w:val="en-US" w:eastAsia="zh-CN"/>
          <w14:textFill>
            <w14:solidFill>
              <w14:schemeClr w14:val="tx1"/>
            </w14:solidFill>
          </w14:textFill>
        </w:rPr>
        <w:t>耐磨材料</w:t>
      </w:r>
      <w:r>
        <w:rPr>
          <w:rFonts w:hint="eastAsia" w:ascii="Times New Roman" w:hAnsi="Times New Roman" w:cs="Times New Roman"/>
          <w:b/>
          <w:color w:val="000000" w:themeColor="text1"/>
          <w:sz w:val="24"/>
          <w:szCs w:val="24"/>
          <w14:textFill>
            <w14:solidFill>
              <w14:schemeClr w14:val="tx1"/>
            </w14:solidFill>
          </w14:textFill>
        </w:rPr>
        <w:t>表面硬度等级</w:t>
      </w:r>
      <w:r>
        <w:rPr>
          <w:rFonts w:hint="eastAsia" w:ascii="Times New Roman" w:hAnsi="Times New Roman" w:cs="Times New Roman"/>
          <w:b/>
          <w:color w:val="000000" w:themeColor="text1"/>
          <w:sz w:val="24"/>
          <w:szCs w:val="24"/>
          <w:lang w:eastAsia="zh-CN"/>
          <w14:textFill>
            <w14:solidFill>
              <w14:schemeClr w14:val="tx1"/>
            </w14:solidFill>
          </w14:textFill>
        </w:rPr>
        <w:t>的</w:t>
      </w:r>
      <w:r>
        <w:rPr>
          <w:rFonts w:hint="eastAsia" w:ascii="Times New Roman" w:hAnsi="Times New Roman" w:cs="Times New Roman"/>
          <w:b/>
          <w:color w:val="000000" w:themeColor="text1"/>
          <w:sz w:val="24"/>
          <w:szCs w:val="24"/>
          <w:lang w:val="en-US" w:eastAsia="zh-CN"/>
          <w14:textFill>
            <w14:solidFill>
              <w14:schemeClr w14:val="tx1"/>
            </w14:solidFill>
          </w14:textFill>
        </w:rPr>
        <w:t>设计选用</w:t>
      </w:r>
    </w:p>
    <w:tbl>
      <w:tblPr>
        <w:tblStyle w:val="16"/>
        <w:tblW w:w="4998" w:type="pct"/>
        <w:jc w:val="center"/>
        <w:tblBorders>
          <w:top w:val="single" w:color="080000" w:sz="8" w:space="0"/>
          <w:left w:val="single" w:color="080000" w:sz="8" w:space="0"/>
          <w:bottom w:val="single" w:color="080000" w:sz="8" w:space="0"/>
          <w:right w:val="single" w:color="080000" w:sz="8" w:space="0"/>
          <w:insideH w:val="single" w:color="080000" w:sz="8" w:space="0"/>
          <w:insideV w:val="single" w:color="080000" w:sz="8" w:space="0"/>
        </w:tblBorders>
        <w:tblLayout w:type="autofit"/>
        <w:tblCellMar>
          <w:top w:w="0" w:type="dxa"/>
          <w:left w:w="0" w:type="dxa"/>
          <w:bottom w:w="0" w:type="dxa"/>
          <w:right w:w="0" w:type="dxa"/>
        </w:tblCellMar>
      </w:tblPr>
      <w:tblGrid>
        <w:gridCol w:w="4872"/>
        <w:gridCol w:w="1984"/>
        <w:gridCol w:w="1477"/>
      </w:tblGrid>
      <w:tr w14:paraId="2957E999">
        <w:tblPrEx>
          <w:tblBorders>
            <w:top w:val="single" w:color="080000" w:sz="8" w:space="0"/>
            <w:left w:val="single" w:color="080000" w:sz="8" w:space="0"/>
            <w:bottom w:val="single" w:color="080000" w:sz="8" w:space="0"/>
            <w:right w:val="single" w:color="080000" w:sz="8" w:space="0"/>
            <w:insideH w:val="single" w:color="080000" w:sz="8" w:space="0"/>
            <w:insideV w:val="single" w:color="080000" w:sz="8" w:space="0"/>
          </w:tblBorders>
          <w:tblCellMar>
            <w:top w:w="0" w:type="dxa"/>
            <w:left w:w="0" w:type="dxa"/>
            <w:bottom w:w="0" w:type="dxa"/>
            <w:right w:w="0" w:type="dxa"/>
          </w:tblCellMar>
        </w:tblPrEx>
        <w:trPr>
          <w:trHeight w:val="145" w:hRule="atLeast"/>
          <w:jc w:val="center"/>
        </w:trPr>
        <w:tc>
          <w:tcPr>
            <w:tcW w:w="2923" w:type="pct"/>
            <w:tcBorders>
              <w:tl2br w:val="nil"/>
              <w:tr2bl w:val="nil"/>
            </w:tcBorders>
            <w:shd w:val="clear" w:color="auto" w:fill="auto"/>
            <w:tcMar>
              <w:top w:w="15" w:type="dxa"/>
              <w:left w:w="15" w:type="dxa"/>
              <w:bottom w:w="0" w:type="dxa"/>
              <w:right w:w="15" w:type="dxa"/>
            </w:tcMar>
            <w:vAlign w:val="center"/>
          </w:tcPr>
          <w:p w14:paraId="2CA7BF26">
            <w:pPr>
              <w:jc w:val="center"/>
              <w:rPr>
                <w:rFonts w:hint="default" w:ascii="Times New Roman" w:hAnsi="Times New Roman" w:eastAsiaTheme="minorEastAsia" w:cstheme="minorBidi"/>
                <w:color w:val="000000"/>
                <w:kern w:val="2"/>
                <w:sz w:val="24"/>
                <w:szCs w:val="20"/>
                <w:lang w:val="en-US" w:eastAsia="zh-CN" w:bidi="ar-SA"/>
              </w:rPr>
            </w:pPr>
            <w:r>
              <w:rPr>
                <w:rFonts w:hint="eastAsia" w:ascii="Times New Roman" w:hAnsi="Times New Roman"/>
                <w:color w:val="000000"/>
                <w:sz w:val="24"/>
                <w:szCs w:val="20"/>
                <w:lang w:val="en-US" w:eastAsia="zh-CN"/>
              </w:rPr>
              <w:t>使用</w:t>
            </w:r>
            <w:r>
              <w:rPr>
                <w:rFonts w:hint="eastAsia" w:ascii="Times New Roman" w:hAnsi="Times New Roman"/>
                <w:color w:val="000000"/>
                <w:sz w:val="24"/>
                <w:szCs w:val="20"/>
              </w:rPr>
              <w:t>场合</w:t>
            </w:r>
          </w:p>
        </w:tc>
        <w:tc>
          <w:tcPr>
            <w:tcW w:w="1190" w:type="pct"/>
            <w:tcBorders>
              <w:tl2br w:val="nil"/>
              <w:tr2bl w:val="nil"/>
            </w:tcBorders>
            <w:shd w:val="clear" w:color="auto" w:fill="auto"/>
            <w:tcMar>
              <w:top w:w="15" w:type="dxa"/>
              <w:left w:w="15" w:type="dxa"/>
              <w:bottom w:w="0" w:type="dxa"/>
              <w:right w:w="15" w:type="dxa"/>
            </w:tcMar>
            <w:vAlign w:val="center"/>
          </w:tcPr>
          <w:p w14:paraId="7A110290">
            <w:pPr>
              <w:jc w:val="center"/>
              <w:rPr>
                <w:rFonts w:hint="eastAsia" w:ascii="Times New Roman" w:hAnsi="Times New Roman"/>
                <w:color w:val="000000"/>
                <w:sz w:val="24"/>
                <w:szCs w:val="20"/>
                <w:lang w:val="en-US" w:eastAsia="zh-CN"/>
              </w:rPr>
            </w:pPr>
            <w:r>
              <w:rPr>
                <w:rFonts w:hint="eastAsia" w:ascii="Times New Roman" w:hAnsi="Times New Roman"/>
                <w:color w:val="000000"/>
                <w:sz w:val="24"/>
                <w:szCs w:val="20"/>
                <w:lang w:val="en-US" w:eastAsia="zh-CN"/>
              </w:rPr>
              <w:t>等级代号</w:t>
            </w:r>
          </w:p>
        </w:tc>
        <w:tc>
          <w:tcPr>
            <w:tcW w:w="886" w:type="pct"/>
            <w:tcBorders>
              <w:tl2br w:val="nil"/>
              <w:tr2bl w:val="nil"/>
            </w:tcBorders>
            <w:shd w:val="clear" w:color="auto" w:fill="auto"/>
            <w:tcMar>
              <w:top w:w="15" w:type="dxa"/>
              <w:left w:w="15" w:type="dxa"/>
              <w:bottom w:w="0" w:type="dxa"/>
              <w:right w:w="15" w:type="dxa"/>
            </w:tcMar>
            <w:vAlign w:val="center"/>
          </w:tcPr>
          <w:p w14:paraId="6F64646A">
            <w:pPr>
              <w:jc w:val="center"/>
              <w:rPr>
                <w:rFonts w:hint="default" w:ascii="Times New Roman" w:hAnsi="Times New Roman" w:eastAsiaTheme="minorEastAsia"/>
                <w:color w:val="000000"/>
                <w:sz w:val="24"/>
                <w:szCs w:val="20"/>
                <w:lang w:val="en-US" w:eastAsia="zh-CN"/>
              </w:rPr>
            </w:pPr>
            <w:r>
              <w:rPr>
                <w:rFonts w:hint="eastAsia" w:ascii="Times New Roman" w:hAnsi="Times New Roman"/>
                <w:color w:val="000000"/>
                <w:sz w:val="24"/>
                <w:szCs w:val="20"/>
                <w:lang w:val="en-US" w:eastAsia="zh-CN"/>
              </w:rPr>
              <w:t>表面硬度</w:t>
            </w:r>
          </w:p>
        </w:tc>
      </w:tr>
      <w:tr w14:paraId="042E6967">
        <w:tblPrEx>
          <w:tblBorders>
            <w:top w:val="single" w:color="080000" w:sz="8" w:space="0"/>
            <w:left w:val="single" w:color="080000" w:sz="8" w:space="0"/>
            <w:bottom w:val="single" w:color="080000" w:sz="8" w:space="0"/>
            <w:right w:val="single" w:color="080000" w:sz="8" w:space="0"/>
            <w:insideH w:val="single" w:color="080000" w:sz="8" w:space="0"/>
            <w:insideV w:val="single" w:color="080000" w:sz="8" w:space="0"/>
          </w:tblBorders>
          <w:tblCellMar>
            <w:top w:w="0" w:type="dxa"/>
            <w:left w:w="0" w:type="dxa"/>
            <w:bottom w:w="0" w:type="dxa"/>
            <w:right w:w="0" w:type="dxa"/>
          </w:tblCellMar>
        </w:tblPrEx>
        <w:trPr>
          <w:trHeight w:val="368" w:hRule="atLeast"/>
          <w:jc w:val="center"/>
        </w:trPr>
        <w:tc>
          <w:tcPr>
            <w:tcW w:w="2923" w:type="pct"/>
            <w:tcBorders>
              <w:tl2br w:val="nil"/>
              <w:tr2bl w:val="nil"/>
            </w:tcBorders>
            <w:shd w:val="clear" w:color="auto" w:fill="auto"/>
            <w:tcMar>
              <w:top w:w="15" w:type="dxa"/>
              <w:left w:w="15" w:type="dxa"/>
              <w:bottom w:w="0" w:type="dxa"/>
              <w:right w:w="15" w:type="dxa"/>
            </w:tcMar>
            <w:vAlign w:val="center"/>
          </w:tcPr>
          <w:p w14:paraId="7B0AEA41">
            <w:pPr>
              <w:jc w:val="center"/>
              <w:rPr>
                <w:rFonts w:hint="default" w:ascii="Times New Roman" w:hAnsi="Times New Roman" w:eastAsiaTheme="minorEastAsia" w:cstheme="minorBidi"/>
                <w:color w:val="000000"/>
                <w:kern w:val="2"/>
                <w:sz w:val="24"/>
                <w:szCs w:val="20"/>
                <w:lang w:val="en-US" w:eastAsia="zh-CN" w:bidi="ar-SA"/>
              </w:rPr>
            </w:pPr>
            <w:r>
              <w:rPr>
                <w:rFonts w:hint="eastAsia" w:ascii="Times New Roman" w:hAnsi="Times New Roman"/>
                <w:color w:val="000000"/>
                <w:sz w:val="24"/>
                <w:szCs w:val="20"/>
                <w:lang w:val="en-US" w:eastAsia="zh-CN"/>
              </w:rPr>
              <w:t>频繁遭受猛烈撞击的场合</w:t>
            </w:r>
          </w:p>
        </w:tc>
        <w:tc>
          <w:tcPr>
            <w:tcW w:w="1190" w:type="pct"/>
            <w:tcBorders>
              <w:tl2br w:val="nil"/>
              <w:tr2bl w:val="nil"/>
            </w:tcBorders>
            <w:shd w:val="clear" w:color="auto" w:fill="auto"/>
            <w:tcMar>
              <w:top w:w="15" w:type="dxa"/>
              <w:left w:w="15" w:type="dxa"/>
              <w:bottom w:w="0" w:type="dxa"/>
              <w:right w:w="15" w:type="dxa"/>
            </w:tcMar>
            <w:vAlign w:val="center"/>
          </w:tcPr>
          <w:p w14:paraId="52A03CAA">
            <w:pPr>
              <w:jc w:val="center"/>
              <w:rPr>
                <w:rFonts w:hint="eastAsia" w:ascii="Times New Roman" w:hAnsi="Times New Roman" w:eastAsiaTheme="minorEastAsia"/>
                <w:color w:val="000000"/>
                <w:sz w:val="24"/>
                <w:szCs w:val="20"/>
                <w:lang w:val="en-US" w:eastAsia="zh-CN"/>
              </w:rPr>
            </w:pPr>
            <w:r>
              <w:rPr>
                <w:rFonts w:hint="eastAsia" w:ascii="Times New Roman" w:hAnsi="Times New Roman"/>
                <w:color w:val="000000"/>
                <w:sz w:val="24"/>
                <w:szCs w:val="20"/>
                <w:lang w:val="en-US" w:eastAsia="zh-CN"/>
              </w:rPr>
              <w:t>高硬度</w:t>
            </w:r>
            <w:r>
              <w:rPr>
                <w:rFonts w:hint="eastAsia" w:ascii="Times New Roman" w:hAnsi="Times New Roman" w:cstheme="minorBidi"/>
                <w:color w:val="000000"/>
                <w:kern w:val="2"/>
                <w:sz w:val="24"/>
                <w:szCs w:val="20"/>
                <w:lang w:val="en-US" w:eastAsia="zh-CN" w:bidi="ar-SA"/>
              </w:rPr>
              <w:t>SH</w:t>
            </w:r>
          </w:p>
        </w:tc>
        <w:tc>
          <w:tcPr>
            <w:tcW w:w="886" w:type="pct"/>
            <w:tcBorders>
              <w:tl2br w:val="nil"/>
              <w:tr2bl w:val="nil"/>
            </w:tcBorders>
            <w:vAlign w:val="center"/>
          </w:tcPr>
          <w:p w14:paraId="654AD2F5">
            <w:pPr>
              <w:jc w:val="center"/>
              <w:rPr>
                <w:rFonts w:ascii="Times New Roman" w:hAnsi="Times New Roman"/>
                <w:color w:val="000000"/>
                <w:sz w:val="24"/>
                <w:szCs w:val="20"/>
              </w:rPr>
            </w:pPr>
            <w:r>
              <w:rPr>
                <w:rFonts w:hint="eastAsia" w:ascii="Times New Roman" w:hAnsi="Times New Roman"/>
                <w:color w:val="000000"/>
                <w:sz w:val="24"/>
                <w:szCs w:val="20"/>
              </w:rPr>
              <w:t>≤</w:t>
            </w:r>
            <w:r>
              <w:rPr>
                <w:rFonts w:ascii="Times New Roman" w:hAnsi="Times New Roman"/>
                <w:color w:val="000000"/>
                <w:sz w:val="24"/>
                <w:szCs w:val="20"/>
              </w:rPr>
              <w:t>4.0</w:t>
            </w:r>
            <w:r>
              <w:rPr>
                <w:rFonts w:hint="eastAsia" w:ascii="Times New Roman" w:hAnsi="Times New Roman"/>
                <w:color w:val="000000"/>
                <w:sz w:val="24"/>
                <w:szCs w:val="20"/>
              </w:rPr>
              <w:t>mm</w:t>
            </w:r>
          </w:p>
        </w:tc>
      </w:tr>
      <w:tr w14:paraId="2128A181">
        <w:tblPrEx>
          <w:tblBorders>
            <w:top w:val="single" w:color="080000" w:sz="8" w:space="0"/>
            <w:left w:val="single" w:color="080000" w:sz="8" w:space="0"/>
            <w:bottom w:val="single" w:color="080000" w:sz="8" w:space="0"/>
            <w:right w:val="single" w:color="080000" w:sz="8" w:space="0"/>
            <w:insideH w:val="single" w:color="080000" w:sz="8" w:space="0"/>
            <w:insideV w:val="single" w:color="080000" w:sz="8" w:space="0"/>
          </w:tblBorders>
          <w:tblCellMar>
            <w:top w:w="0" w:type="dxa"/>
            <w:left w:w="0" w:type="dxa"/>
            <w:bottom w:w="0" w:type="dxa"/>
            <w:right w:w="0" w:type="dxa"/>
          </w:tblCellMar>
        </w:tblPrEx>
        <w:trPr>
          <w:trHeight w:val="309" w:hRule="atLeast"/>
          <w:jc w:val="center"/>
        </w:trPr>
        <w:tc>
          <w:tcPr>
            <w:tcW w:w="2923" w:type="pct"/>
            <w:tcBorders>
              <w:tl2br w:val="nil"/>
              <w:tr2bl w:val="nil"/>
            </w:tcBorders>
            <w:shd w:val="clear" w:color="auto" w:fill="auto"/>
            <w:tcMar>
              <w:top w:w="15" w:type="dxa"/>
              <w:left w:w="15" w:type="dxa"/>
              <w:bottom w:w="0" w:type="dxa"/>
              <w:right w:w="15" w:type="dxa"/>
            </w:tcMar>
            <w:vAlign w:val="top"/>
          </w:tcPr>
          <w:p w14:paraId="7E1C23A9">
            <w:pPr>
              <w:jc w:val="center"/>
              <w:rPr>
                <w:rFonts w:hint="default" w:ascii="Times New Roman" w:hAnsi="Times New Roman" w:eastAsiaTheme="minorEastAsia" w:cstheme="minorBidi"/>
                <w:color w:val="000000"/>
                <w:kern w:val="2"/>
                <w:sz w:val="24"/>
                <w:szCs w:val="20"/>
                <w:lang w:val="en-US" w:eastAsia="zh-CN" w:bidi="ar-SA"/>
              </w:rPr>
            </w:pPr>
            <w:r>
              <w:rPr>
                <w:rFonts w:hint="eastAsia" w:ascii="Times New Roman" w:hAnsi="Times New Roman"/>
                <w:color w:val="000000"/>
                <w:sz w:val="24"/>
                <w:szCs w:val="20"/>
                <w:lang w:val="en-US" w:eastAsia="zh-CN"/>
              </w:rPr>
              <w:t>频繁</w:t>
            </w:r>
            <w:r>
              <w:rPr>
                <w:rFonts w:hint="eastAsia" w:ascii="Times New Roman" w:hAnsi="Times New Roman"/>
                <w:strike w:val="0"/>
                <w:dstrike w:val="0"/>
                <w:color w:val="000000"/>
                <w:sz w:val="24"/>
                <w:szCs w:val="20"/>
                <w:lang w:val="en-US" w:eastAsia="zh-CN"/>
              </w:rPr>
              <w:t>遭受</w:t>
            </w:r>
            <w:r>
              <w:rPr>
                <w:rFonts w:hint="eastAsia" w:ascii="Times New Roman" w:hAnsi="Times New Roman"/>
                <w:color w:val="000000"/>
                <w:sz w:val="24"/>
                <w:szCs w:val="20"/>
                <w:lang w:val="en-US" w:eastAsia="zh-CN"/>
              </w:rPr>
              <w:t>撞击</w:t>
            </w:r>
            <w:r>
              <w:rPr>
                <w:rFonts w:hint="eastAsia" w:ascii="Times New Roman" w:hAnsi="Times New Roman"/>
                <w:color w:val="000000"/>
                <w:sz w:val="24"/>
                <w:szCs w:val="20"/>
              </w:rPr>
              <w:t>的场合</w:t>
            </w:r>
          </w:p>
        </w:tc>
        <w:tc>
          <w:tcPr>
            <w:tcW w:w="1190" w:type="pct"/>
            <w:tcBorders>
              <w:tl2br w:val="nil"/>
              <w:tr2bl w:val="nil"/>
            </w:tcBorders>
            <w:shd w:val="clear" w:color="auto" w:fill="auto"/>
            <w:tcMar>
              <w:top w:w="15" w:type="dxa"/>
              <w:left w:w="15" w:type="dxa"/>
              <w:bottom w:w="0" w:type="dxa"/>
              <w:right w:w="15" w:type="dxa"/>
            </w:tcMar>
            <w:vAlign w:val="center"/>
          </w:tcPr>
          <w:p w14:paraId="6608394A">
            <w:pPr>
              <w:jc w:val="center"/>
              <w:rPr>
                <w:rFonts w:hint="eastAsia" w:ascii="Times New Roman" w:hAnsi="Times New Roman" w:eastAsiaTheme="minorEastAsia"/>
                <w:color w:val="000000"/>
                <w:sz w:val="24"/>
                <w:szCs w:val="20"/>
                <w:lang w:val="en-US" w:eastAsia="zh-CN"/>
              </w:rPr>
            </w:pPr>
            <w:r>
              <w:rPr>
                <w:rFonts w:hint="eastAsia" w:ascii="Times New Roman" w:hAnsi="Times New Roman"/>
                <w:color w:val="000000"/>
                <w:sz w:val="24"/>
                <w:szCs w:val="20"/>
                <w:lang w:val="en-US" w:eastAsia="zh-CN"/>
              </w:rPr>
              <w:t>中硬度</w:t>
            </w:r>
            <w:r>
              <w:rPr>
                <w:rFonts w:hint="eastAsia" w:ascii="Times New Roman" w:hAnsi="Times New Roman" w:cstheme="minorBidi"/>
                <w:color w:val="000000"/>
                <w:kern w:val="2"/>
                <w:sz w:val="24"/>
                <w:szCs w:val="20"/>
                <w:lang w:val="en-US" w:eastAsia="zh-CN" w:bidi="ar-SA"/>
              </w:rPr>
              <w:t>MH</w:t>
            </w:r>
          </w:p>
        </w:tc>
        <w:tc>
          <w:tcPr>
            <w:tcW w:w="886" w:type="pct"/>
            <w:tcBorders>
              <w:tl2br w:val="nil"/>
              <w:tr2bl w:val="nil"/>
            </w:tcBorders>
          </w:tcPr>
          <w:p w14:paraId="662A69F6">
            <w:pPr>
              <w:jc w:val="center"/>
              <w:rPr>
                <w:rFonts w:ascii="Times New Roman" w:hAnsi="Times New Roman"/>
                <w:color w:val="000000"/>
                <w:sz w:val="24"/>
                <w:szCs w:val="20"/>
              </w:rPr>
            </w:pPr>
            <w:r>
              <w:rPr>
                <w:rFonts w:hint="eastAsia" w:ascii="Times New Roman" w:hAnsi="Times New Roman"/>
                <w:color w:val="000000"/>
                <w:sz w:val="24"/>
                <w:szCs w:val="20"/>
              </w:rPr>
              <w:t>≤4</w:t>
            </w:r>
            <w:r>
              <w:rPr>
                <w:rFonts w:ascii="Times New Roman" w:hAnsi="Times New Roman"/>
                <w:color w:val="000000"/>
                <w:sz w:val="24"/>
                <w:szCs w:val="20"/>
              </w:rPr>
              <w:t>.</w:t>
            </w:r>
            <w:r>
              <w:rPr>
                <w:rFonts w:hint="eastAsia" w:ascii="Times New Roman" w:hAnsi="Times New Roman"/>
                <w:color w:val="000000"/>
                <w:sz w:val="24"/>
                <w:szCs w:val="20"/>
                <w:lang w:val="en-US" w:eastAsia="zh-CN"/>
              </w:rPr>
              <w:t>5</w:t>
            </w:r>
            <w:r>
              <w:rPr>
                <w:rFonts w:hint="eastAsia" w:ascii="Times New Roman" w:hAnsi="Times New Roman"/>
                <w:color w:val="000000"/>
                <w:sz w:val="24"/>
                <w:szCs w:val="20"/>
              </w:rPr>
              <w:t>mm</w:t>
            </w:r>
          </w:p>
        </w:tc>
      </w:tr>
      <w:tr w14:paraId="00170031">
        <w:tblPrEx>
          <w:tblBorders>
            <w:top w:val="single" w:color="080000" w:sz="8" w:space="0"/>
            <w:left w:val="single" w:color="080000" w:sz="8" w:space="0"/>
            <w:bottom w:val="single" w:color="080000" w:sz="8" w:space="0"/>
            <w:right w:val="single" w:color="080000" w:sz="8" w:space="0"/>
            <w:insideH w:val="single" w:color="080000" w:sz="8" w:space="0"/>
            <w:insideV w:val="single" w:color="080000" w:sz="8" w:space="0"/>
          </w:tblBorders>
          <w:tblCellMar>
            <w:top w:w="0" w:type="dxa"/>
            <w:left w:w="0" w:type="dxa"/>
            <w:bottom w:w="0" w:type="dxa"/>
            <w:right w:w="0" w:type="dxa"/>
          </w:tblCellMar>
        </w:tblPrEx>
        <w:trPr>
          <w:trHeight w:val="309" w:hRule="atLeast"/>
          <w:jc w:val="center"/>
        </w:trPr>
        <w:tc>
          <w:tcPr>
            <w:tcW w:w="2923" w:type="pct"/>
            <w:tcBorders>
              <w:tl2br w:val="nil"/>
              <w:tr2bl w:val="nil"/>
            </w:tcBorders>
            <w:shd w:val="clear" w:color="auto" w:fill="auto"/>
            <w:tcMar>
              <w:top w:w="15" w:type="dxa"/>
              <w:left w:w="15" w:type="dxa"/>
              <w:bottom w:w="0" w:type="dxa"/>
              <w:right w:w="15" w:type="dxa"/>
            </w:tcMar>
            <w:vAlign w:val="top"/>
          </w:tcPr>
          <w:p w14:paraId="33458A0F">
            <w:pPr>
              <w:jc w:val="center"/>
              <w:rPr>
                <w:rFonts w:hint="default" w:ascii="Times New Roman" w:hAnsi="Times New Roman" w:eastAsiaTheme="minorEastAsia" w:cstheme="minorBidi"/>
                <w:color w:val="000000"/>
                <w:kern w:val="2"/>
                <w:sz w:val="24"/>
                <w:szCs w:val="20"/>
                <w:lang w:val="en-US" w:eastAsia="zh-CN" w:bidi="ar-SA"/>
              </w:rPr>
            </w:pPr>
            <w:r>
              <w:rPr>
                <w:rFonts w:hint="eastAsia" w:ascii="Times New Roman" w:hAnsi="Times New Roman"/>
                <w:color w:val="000000"/>
                <w:sz w:val="24"/>
                <w:szCs w:val="20"/>
              </w:rPr>
              <w:t>无</w:t>
            </w:r>
            <w:r>
              <w:rPr>
                <w:rFonts w:hint="eastAsia" w:ascii="Times New Roman" w:hAnsi="Times New Roman"/>
                <w:color w:val="000000"/>
                <w:sz w:val="24"/>
                <w:szCs w:val="20"/>
                <w:lang w:val="en-US" w:eastAsia="zh-CN"/>
              </w:rPr>
              <w:t>撞击或偶尔有轻微撞击</w:t>
            </w:r>
            <w:r>
              <w:rPr>
                <w:rFonts w:hint="eastAsia" w:ascii="Times New Roman" w:hAnsi="Times New Roman"/>
                <w:color w:val="000000"/>
                <w:sz w:val="24"/>
                <w:szCs w:val="20"/>
              </w:rPr>
              <w:t>要求的场合</w:t>
            </w:r>
          </w:p>
        </w:tc>
        <w:tc>
          <w:tcPr>
            <w:tcW w:w="1190" w:type="pct"/>
            <w:tcBorders>
              <w:tl2br w:val="nil"/>
              <w:tr2bl w:val="nil"/>
            </w:tcBorders>
            <w:shd w:val="clear" w:color="auto" w:fill="auto"/>
            <w:tcMar>
              <w:top w:w="15" w:type="dxa"/>
              <w:left w:w="15" w:type="dxa"/>
              <w:bottom w:w="0" w:type="dxa"/>
              <w:right w:w="15" w:type="dxa"/>
            </w:tcMar>
            <w:vAlign w:val="center"/>
          </w:tcPr>
          <w:p w14:paraId="533235BD">
            <w:pPr>
              <w:jc w:val="center"/>
              <w:rPr>
                <w:rFonts w:hint="default" w:ascii="Times New Roman" w:hAnsi="Times New Roman" w:eastAsiaTheme="minorEastAsia"/>
                <w:color w:val="000000"/>
                <w:sz w:val="24"/>
                <w:szCs w:val="20"/>
                <w:lang w:val="en-US" w:eastAsia="zh-CN"/>
              </w:rPr>
            </w:pPr>
            <w:r>
              <w:rPr>
                <w:rFonts w:hint="eastAsia" w:ascii="Times New Roman" w:hAnsi="Times New Roman"/>
                <w:color w:val="000000"/>
                <w:sz w:val="24"/>
                <w:szCs w:val="20"/>
                <w:lang w:val="en-US" w:eastAsia="zh-CN"/>
              </w:rPr>
              <w:t>一般硬度</w:t>
            </w:r>
            <w:r>
              <w:rPr>
                <w:rFonts w:hint="eastAsia" w:ascii="Times New Roman" w:hAnsi="Times New Roman" w:cstheme="minorBidi"/>
                <w:color w:val="000000"/>
                <w:kern w:val="2"/>
                <w:sz w:val="24"/>
                <w:szCs w:val="20"/>
                <w:lang w:val="en-US" w:eastAsia="zh-CN" w:bidi="ar-SA"/>
              </w:rPr>
              <w:t>H</w:t>
            </w:r>
          </w:p>
        </w:tc>
        <w:tc>
          <w:tcPr>
            <w:tcW w:w="886" w:type="pct"/>
            <w:tcBorders>
              <w:tl2br w:val="nil"/>
              <w:tr2bl w:val="nil"/>
            </w:tcBorders>
          </w:tcPr>
          <w:p w14:paraId="5474D3EF">
            <w:pPr>
              <w:jc w:val="center"/>
              <w:rPr>
                <w:rFonts w:ascii="Times New Roman" w:hAnsi="Times New Roman"/>
                <w:color w:val="000000"/>
                <w:sz w:val="24"/>
                <w:szCs w:val="20"/>
              </w:rPr>
            </w:pPr>
            <w:r>
              <w:rPr>
                <w:rFonts w:hint="eastAsia" w:ascii="Times New Roman" w:hAnsi="Times New Roman"/>
                <w:color w:val="000000"/>
                <w:sz w:val="24"/>
                <w:szCs w:val="20"/>
              </w:rPr>
              <w:t>≤5</w:t>
            </w:r>
            <w:r>
              <w:rPr>
                <w:rFonts w:ascii="Times New Roman" w:hAnsi="Times New Roman"/>
                <w:color w:val="000000"/>
                <w:sz w:val="24"/>
                <w:szCs w:val="20"/>
              </w:rPr>
              <w:t>.4</w:t>
            </w:r>
            <w:r>
              <w:rPr>
                <w:rFonts w:hint="eastAsia" w:ascii="Times New Roman" w:hAnsi="Times New Roman"/>
                <w:color w:val="000000"/>
                <w:sz w:val="24"/>
                <w:szCs w:val="20"/>
              </w:rPr>
              <w:t>mm</w:t>
            </w:r>
          </w:p>
        </w:tc>
      </w:tr>
    </w:tbl>
    <w:p w14:paraId="1FCBD2FA">
      <w:pPr>
        <w:spacing w:line="360" w:lineRule="auto"/>
        <w:rPr>
          <w:rFonts w:hint="eastAsia" w:ascii="Times New Roman" w:hAnsi="Times New Roman" w:cs="Times New Roman"/>
          <w:sz w:val="24"/>
        </w:rPr>
      </w:pPr>
      <w:bookmarkStart w:id="85" w:name="OLE_LINK7"/>
      <w:r>
        <w:rPr>
          <w:rFonts w:hint="eastAsia" w:ascii="Times New Roman" w:hAnsi="Times New Roman" w:cs="Times New Roman"/>
          <w:b/>
          <w:color w:val="000000" w:themeColor="text1"/>
          <w:sz w:val="24"/>
          <w:lang w:val="en-US" w:eastAsia="zh-CN"/>
          <w14:textFill>
            <w14:solidFill>
              <w14:schemeClr w14:val="tx1"/>
            </w14:solidFill>
          </w14:textFill>
        </w:rPr>
        <w:t>5.2</w:t>
      </w:r>
      <w:r>
        <w:rPr>
          <w:rFonts w:ascii="Times New Roman" w:hAnsi="Times New Roman" w:cs="Times New Roman"/>
          <w:b/>
          <w:color w:val="000000" w:themeColor="text1"/>
          <w:sz w:val="24"/>
          <w14:textFill>
            <w14:solidFill>
              <w14:schemeClr w14:val="tx1"/>
            </w14:solidFill>
          </w14:textFill>
        </w:rPr>
        <w:t>.</w:t>
      </w:r>
      <w:bookmarkEnd w:id="85"/>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Cs/>
          <w:strike w:val="0"/>
          <w:dstrike w:val="0"/>
          <w:sz w:val="24"/>
          <w:lang w:val="en-US" w:eastAsia="zh-CN"/>
        </w:rPr>
        <w:t>耐磨等级高于AR4、表面硬度等级高于MH等级的场合或有防起尘要求的场合，耐磨材料表面应配套使用</w:t>
      </w:r>
      <w:r>
        <w:rPr>
          <w:rFonts w:hint="eastAsia" w:ascii="Times New Roman" w:hAnsi="Times New Roman" w:cs="Times New Roman"/>
          <w:sz w:val="24"/>
        </w:rPr>
        <w:t>锂基或纳米二氧化硅渗透型液体硬化剂</w:t>
      </w:r>
      <w:r>
        <w:rPr>
          <w:rFonts w:hint="eastAsia" w:ascii="Times New Roman" w:hAnsi="Times New Roman" w:cs="Times New Roman"/>
          <w:bCs/>
          <w:strike w:val="0"/>
          <w:dstrike w:val="0"/>
          <w:sz w:val="24"/>
          <w:lang w:val="en-US" w:eastAsia="zh-CN"/>
        </w:rPr>
        <w:t>。</w:t>
      </w:r>
    </w:p>
    <w:p w14:paraId="5096F6A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1"/>
        <w:rPr>
          <w:rFonts w:hint="default" w:ascii="Times New Roman" w:hAnsi="Times New Roman" w:eastAsia="微软雅黑" w:cs="Times New Roman"/>
          <w:iCs/>
          <w:color w:val="000000" w:themeColor="text1"/>
          <w:kern w:val="0"/>
          <w:sz w:val="28"/>
          <w:lang w:val="en-US" w:eastAsia="zh-CN"/>
          <w14:textFill>
            <w14:solidFill>
              <w14:schemeClr w14:val="tx1"/>
            </w14:solidFill>
          </w14:textFill>
        </w:rPr>
      </w:pPr>
      <w:bookmarkStart w:id="86" w:name="_Toc4163"/>
      <w:bookmarkStart w:id="87" w:name="_Toc26661"/>
      <w:bookmarkStart w:id="88" w:name="_Toc31815"/>
      <w:r>
        <w:rPr>
          <w:rFonts w:hint="default" w:ascii="Times New Roman" w:hAnsi="Times New Roman" w:eastAsia="微软雅黑" w:cs="Times New Roman"/>
          <w:iCs/>
          <w:color w:val="000000" w:themeColor="text1"/>
          <w:kern w:val="0"/>
          <w:sz w:val="28"/>
          <w14:textFill>
            <w14:solidFill>
              <w14:schemeClr w14:val="tx1"/>
            </w14:solidFill>
          </w14:textFill>
        </w:rPr>
        <w:t>Ⅱ</w:t>
      </w:r>
      <w:r>
        <w:rPr>
          <w:rFonts w:hint="eastAsia" w:ascii="Times New Roman" w:hAnsi="Times New Roman" w:eastAsia="微软雅黑" w:cs="Times New Roman"/>
          <w:iCs/>
          <w:color w:val="000000" w:themeColor="text1"/>
          <w:kern w:val="0"/>
          <w:sz w:val="28"/>
          <w:lang w:val="en-US" w:eastAsia="zh-CN"/>
          <w14:textFill>
            <w14:solidFill>
              <w14:schemeClr w14:val="tx1"/>
            </w14:solidFill>
          </w14:textFill>
        </w:rPr>
        <w:t xml:space="preserve"> 既有地面</w:t>
      </w:r>
      <w:bookmarkEnd w:id="86"/>
      <w:bookmarkEnd w:id="87"/>
      <w:bookmarkEnd w:id="88"/>
    </w:p>
    <w:p w14:paraId="70CBA932">
      <w:pPr>
        <w:spacing w:line="360" w:lineRule="auto"/>
        <w:rPr>
          <w:rFonts w:hint="default" w:ascii="Times New Roman" w:hAnsi="Times New Roman" w:cs="Times New Roman"/>
          <w:sz w:val="24"/>
          <w:lang w:val="en-US" w:eastAsia="zh-CN"/>
        </w:rPr>
      </w:pPr>
      <w:r>
        <w:rPr>
          <w:rFonts w:hint="eastAsia" w:ascii="Times New Roman" w:hAnsi="Times New Roman" w:cs="Times New Roman"/>
          <w:b/>
          <w:color w:val="000000" w:themeColor="text1"/>
          <w:sz w:val="24"/>
          <w:lang w:val="en-US" w:eastAsia="zh-CN"/>
          <w14:textFill>
            <w14:solidFill>
              <w14:schemeClr w14:val="tx1"/>
            </w14:solidFill>
          </w14:textFill>
        </w:rPr>
        <w:t>5.2</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7</w:t>
      </w:r>
      <w:r>
        <w:rPr>
          <w:rFonts w:hint="default" w:ascii="Times New Roman" w:hAnsi="Times New Roman" w:cs="Times New Roman"/>
          <w:sz w:val="24"/>
          <w:lang w:val="en-US" w:eastAsia="zh-CN"/>
        </w:rPr>
        <w:t>既有</w:t>
      </w:r>
      <w:r>
        <w:rPr>
          <w:rFonts w:hint="eastAsia" w:ascii="Times New Roman" w:hAnsi="Times New Roman" w:cs="Times New Roman"/>
          <w:sz w:val="24"/>
          <w:lang w:val="en-US" w:eastAsia="zh-CN"/>
        </w:rPr>
        <w:t>地面的</w:t>
      </w:r>
      <w:r>
        <w:rPr>
          <w:rFonts w:hint="default" w:ascii="Times New Roman" w:hAnsi="Times New Roman" w:cs="Times New Roman"/>
          <w:sz w:val="24"/>
          <w:lang w:val="en-US" w:eastAsia="zh-CN"/>
        </w:rPr>
        <w:t>混凝土强度等级不应低于C20</w:t>
      </w:r>
      <w:r>
        <w:rPr>
          <w:rFonts w:hint="eastAsia" w:ascii="Times New Roman" w:hAnsi="Times New Roman" w:cs="Times New Roman"/>
          <w:sz w:val="24"/>
          <w:lang w:val="en-US" w:eastAsia="zh-CN"/>
        </w:rPr>
        <w:t>，表面拉拔强度不应低于1.0MPa。</w:t>
      </w:r>
    </w:p>
    <w:p w14:paraId="66C55865">
      <w:pPr>
        <w:spacing w:line="360" w:lineRule="auto"/>
        <w:rPr>
          <w:rFonts w:hint="eastAsia" w:ascii="Times New Roman" w:hAnsi="Times New Roman" w:cs="Times New Roman"/>
          <w:sz w:val="24"/>
          <w:lang w:val="en-US" w:eastAsia="zh-CN"/>
        </w:rPr>
      </w:pPr>
      <w:r>
        <w:rPr>
          <w:rFonts w:hint="eastAsia" w:ascii="Times New Roman" w:hAnsi="Times New Roman" w:cs="Times New Roman"/>
          <w:b/>
          <w:color w:val="000000" w:themeColor="text1"/>
          <w:sz w:val="24"/>
          <w:lang w:val="en-US" w:eastAsia="zh-CN"/>
          <w14:textFill>
            <w14:solidFill>
              <w14:schemeClr w14:val="tx1"/>
            </w14:solidFill>
          </w14:textFill>
        </w:rPr>
        <w:t>5.2</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8</w:t>
      </w:r>
      <w:r>
        <w:rPr>
          <w:rFonts w:hint="eastAsia" w:ascii="Times New Roman" w:hAnsi="Times New Roman" w:cs="Times New Roman"/>
          <w:sz w:val="24"/>
          <w:lang w:val="en-US" w:eastAsia="zh-CN"/>
        </w:rPr>
        <w:t>既有地面应选择湿拌摊铺型耐磨材料，其厚度</w:t>
      </w:r>
      <w:r>
        <w:rPr>
          <w:rFonts w:hint="eastAsia" w:ascii="Times New Roman" w:hAnsi="Times New Roman" w:cs="Times New Roman"/>
          <w:sz w:val="24"/>
          <w:highlight w:val="none"/>
          <w:lang w:val="en-US" w:eastAsia="zh-CN"/>
        </w:rPr>
        <w:t>不应小于</w:t>
      </w:r>
      <w:r>
        <w:rPr>
          <w:rFonts w:hint="eastAsia" w:ascii="Times New Roman" w:hAnsi="Times New Roman" w:cs="Times New Roman"/>
          <w:sz w:val="24"/>
          <w:lang w:val="en-US" w:eastAsia="zh-CN"/>
        </w:rPr>
        <w:t>10mm。</w:t>
      </w:r>
    </w:p>
    <w:p w14:paraId="57FCF75A">
      <w:pPr>
        <w:spacing w:line="360" w:lineRule="auto"/>
        <w:rPr>
          <w:rFonts w:hint="default" w:ascii="Times New Roman" w:hAnsi="Times New Roman" w:cs="Times New Roman"/>
          <w:sz w:val="24"/>
          <w:highlight w:val="yellow"/>
          <w:lang w:val="en-US" w:eastAsia="zh-CN"/>
        </w:rPr>
      </w:pPr>
      <w:r>
        <w:rPr>
          <w:rFonts w:hint="eastAsia" w:ascii="Times New Roman" w:hAnsi="Times New Roman" w:cs="Times New Roman"/>
          <w:b/>
          <w:bCs/>
          <w:sz w:val="24"/>
          <w:lang w:val="en-US" w:eastAsia="zh-CN"/>
        </w:rPr>
        <w:t>5.2.9</w:t>
      </w:r>
      <w:r>
        <w:rPr>
          <w:rFonts w:hint="eastAsia" w:ascii="Times New Roman" w:hAnsi="Times New Roman" w:cs="Times New Roman"/>
          <w:sz w:val="24"/>
          <w:lang w:val="en-US" w:eastAsia="zh-CN"/>
        </w:rPr>
        <w:t>当既有地面用于重载和超重载时应进行论证。</w:t>
      </w:r>
    </w:p>
    <w:p w14:paraId="0F2E2443">
      <w:pPr>
        <w:snapToGrid w:val="0"/>
        <w:spacing w:before="156" w:beforeLines="50" w:after="156" w:afterLines="50" w:line="312" w:lineRule="auto"/>
        <w:jc w:val="center"/>
        <w:outlineLvl w:val="1"/>
        <w:rPr>
          <w:rFonts w:ascii="Times New Roman" w:hAnsi="Times New Roman" w:eastAsia="黑体" w:cs="Times New Roman"/>
          <w:iCs/>
          <w:color w:val="000000" w:themeColor="text1"/>
          <w:kern w:val="0"/>
          <w:sz w:val="28"/>
          <w14:textFill>
            <w14:solidFill>
              <w14:schemeClr w14:val="tx1"/>
            </w14:solidFill>
          </w14:textFill>
        </w:rPr>
      </w:pPr>
      <w:bookmarkStart w:id="89" w:name="_Toc99353164"/>
      <w:bookmarkStart w:id="90" w:name="_Toc19566"/>
      <w:r>
        <w:rPr>
          <w:rFonts w:ascii="Times New Roman" w:hAnsi="Times New Roman" w:eastAsia="黑体" w:cs="Times New Roman"/>
          <w:iCs/>
          <w:color w:val="000000" w:themeColor="text1"/>
          <w:kern w:val="0"/>
          <w:sz w:val="28"/>
          <w14:textFill>
            <w14:solidFill>
              <w14:schemeClr w14:val="tx1"/>
            </w14:solidFill>
          </w14:textFill>
        </w:rPr>
        <w:t>5.3　构造设计</w:t>
      </w:r>
      <w:bookmarkEnd w:id="89"/>
      <w:bookmarkEnd w:id="90"/>
    </w:p>
    <w:p w14:paraId="04016C10">
      <w:pPr>
        <w:spacing w:line="312"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5.3.1　</w:t>
      </w:r>
      <w:r>
        <w:rPr>
          <w:rFonts w:hint="eastAsia" w:ascii="Times New Roman" w:hAnsi="Times New Roman" w:cs="Times New Roman"/>
          <w:color w:val="000000" w:themeColor="text1"/>
          <w:sz w:val="24"/>
          <w:lang w:val="en-US" w:eastAsia="zh-CN"/>
          <w14:textFill>
            <w14:solidFill>
              <w14:schemeClr w14:val="tx1"/>
            </w14:solidFill>
          </w14:textFill>
        </w:rPr>
        <w:t>干撒型</w:t>
      </w:r>
      <w:r>
        <w:rPr>
          <w:rFonts w:ascii="Times New Roman" w:hAnsi="Times New Roman" w:cs="Times New Roman"/>
          <w:color w:val="000000" w:themeColor="text1"/>
          <w:sz w:val="24"/>
          <w14:textFill>
            <w14:solidFill>
              <w14:schemeClr w14:val="tx1"/>
            </w14:solidFill>
          </w14:textFill>
        </w:rPr>
        <w:t>水泥基耐磨地坪应由基层</w:t>
      </w:r>
      <w:r>
        <w:rPr>
          <w:rFonts w:hint="eastAsia" w:ascii="Times New Roman" w:hAnsi="Times New Roman" w:cs="Times New Roman"/>
          <w:color w:val="000000" w:themeColor="text1"/>
          <w:sz w:val="24"/>
          <w14:textFill>
            <w14:solidFill>
              <w14:schemeClr w14:val="tx1"/>
            </w14:solidFill>
          </w14:textFill>
        </w:rPr>
        <w:t>混凝土</w:t>
      </w:r>
      <w:r>
        <w:rPr>
          <w:rFonts w:ascii="Times New Roman" w:hAnsi="Times New Roman" w:cs="Times New Roman"/>
          <w:color w:val="000000" w:themeColor="text1"/>
          <w:sz w:val="24"/>
          <w14:textFill>
            <w14:solidFill>
              <w14:schemeClr w14:val="tx1"/>
            </w14:solidFill>
          </w14:textFill>
        </w:rPr>
        <w:t>、水泥基耐磨层</w:t>
      </w:r>
      <w:r>
        <w:rPr>
          <w:rFonts w:hint="eastAsia" w:ascii="Times New Roman" w:hAnsi="Times New Roman" w:cs="Times New Roman"/>
          <w:color w:val="000000" w:themeColor="text1"/>
          <w:sz w:val="24"/>
          <w14:textFill>
            <w14:solidFill>
              <w14:schemeClr w14:val="tx1"/>
            </w14:solidFill>
          </w14:textFill>
        </w:rPr>
        <w:t>（图</w:t>
      </w:r>
      <w:r>
        <w:rPr>
          <w:rFonts w:hint="eastAsia" w:ascii="Times New Roman" w:hAnsi="Times New Roman" w:cs="Times New Roman"/>
          <w:color w:val="000000" w:themeColor="text1"/>
          <w:sz w:val="24"/>
          <w:lang w:val="en-US" w:eastAsia="zh-CN"/>
          <w14:textFill>
            <w14:solidFill>
              <w14:schemeClr w14:val="tx1"/>
            </w14:solidFill>
          </w14:textFill>
        </w:rPr>
        <w:t>5</w:t>
      </w:r>
      <w:r>
        <w:rPr>
          <w:rFonts w:ascii="Times New Roman" w:hAnsi="Times New Roman" w:cs="Times New Roman"/>
          <w:color w:val="000000" w:themeColor="text1"/>
          <w:sz w:val="24"/>
          <w14:textFill>
            <w14:solidFill>
              <w14:schemeClr w14:val="tx1"/>
            </w14:solidFill>
          </w14:textFill>
        </w:rPr>
        <w:t>.3.1-1</w:t>
      </w:r>
      <w:r>
        <w:rPr>
          <w:rFonts w:hint="eastAsia"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干撒型</w:t>
      </w:r>
      <w:r>
        <w:rPr>
          <w:rFonts w:ascii="Times New Roman" w:hAnsi="Times New Roman" w:cs="Times New Roman"/>
          <w:color w:val="000000" w:themeColor="text1"/>
          <w:sz w:val="24"/>
          <w14:textFill>
            <w14:solidFill>
              <w14:schemeClr w14:val="tx1"/>
            </w14:solidFill>
          </w14:textFill>
        </w:rPr>
        <w:t>水泥基耐磨</w:t>
      </w:r>
      <w:r>
        <w:rPr>
          <w:rFonts w:hint="eastAsia" w:ascii="Times New Roman" w:hAnsi="Times New Roman" w:cs="Times New Roman"/>
          <w:color w:val="000000" w:themeColor="text1"/>
          <w:sz w:val="24"/>
          <w:lang w:val="en-US" w:eastAsia="zh-CN"/>
          <w14:textFill>
            <w14:solidFill>
              <w14:schemeClr w14:val="tx1"/>
            </w14:solidFill>
          </w14:textFill>
        </w:rPr>
        <w:t>硬化</w:t>
      </w:r>
      <w:r>
        <w:rPr>
          <w:rFonts w:ascii="Times New Roman" w:hAnsi="Times New Roman" w:cs="Times New Roman"/>
          <w:color w:val="000000" w:themeColor="text1"/>
          <w:sz w:val="24"/>
          <w14:textFill>
            <w14:solidFill>
              <w14:schemeClr w14:val="tx1"/>
            </w14:solidFill>
          </w14:textFill>
        </w:rPr>
        <w:t>地坪</w:t>
      </w:r>
      <w:r>
        <w:rPr>
          <w:rFonts w:hint="eastAsia" w:ascii="Times New Roman" w:hAnsi="Times New Roman" w:cs="Times New Roman"/>
          <w:color w:val="000000" w:themeColor="text1"/>
          <w:sz w:val="24"/>
          <w:lang w:val="en-US" w:eastAsia="zh-CN"/>
          <w14:textFill>
            <w14:solidFill>
              <w14:schemeClr w14:val="tx1"/>
            </w14:solidFill>
          </w14:textFill>
        </w:rPr>
        <w:t>应由</w:t>
      </w:r>
      <w:r>
        <w:rPr>
          <w:rFonts w:ascii="Times New Roman" w:hAnsi="Times New Roman" w:cs="Times New Roman"/>
          <w:color w:val="000000" w:themeColor="text1"/>
          <w:sz w:val="24"/>
          <w14:textFill>
            <w14:solidFill>
              <w14:schemeClr w14:val="tx1"/>
            </w14:solidFill>
          </w14:textFill>
        </w:rPr>
        <w:t>基层</w:t>
      </w:r>
      <w:r>
        <w:rPr>
          <w:rFonts w:hint="eastAsia" w:ascii="Times New Roman" w:hAnsi="Times New Roman" w:cs="Times New Roman"/>
          <w:color w:val="000000" w:themeColor="text1"/>
          <w:sz w:val="24"/>
          <w:lang w:val="en-US" w:eastAsia="zh-CN"/>
          <w14:textFill>
            <w14:solidFill>
              <w14:schemeClr w14:val="tx1"/>
            </w14:solidFill>
          </w14:textFill>
        </w:rPr>
        <w:t>混凝土</w:t>
      </w:r>
      <w:r>
        <w:rPr>
          <w:rFonts w:ascii="Times New Roman" w:hAnsi="Times New Roman" w:cs="Times New Roman"/>
          <w:color w:val="000000" w:themeColor="text1"/>
          <w:sz w:val="24"/>
          <w14:textFill>
            <w14:solidFill>
              <w14:schemeClr w14:val="tx1"/>
            </w14:solidFill>
          </w14:textFill>
        </w:rPr>
        <w:t>、水泥基耐磨层、渗透型液体硬化层构成（图</w:t>
      </w:r>
      <w:r>
        <w:rPr>
          <w:rFonts w:hint="eastAsia" w:ascii="Times New Roman" w:hAnsi="Times New Roman" w:cs="Times New Roman"/>
          <w:color w:val="000000" w:themeColor="text1"/>
          <w:sz w:val="24"/>
          <w:lang w:val="en-US" w:eastAsia="zh-CN"/>
          <w14:textFill>
            <w14:solidFill>
              <w14:schemeClr w14:val="tx1"/>
            </w14:solidFill>
          </w14:textFill>
        </w:rPr>
        <w:t>5</w:t>
      </w:r>
      <w:r>
        <w:rPr>
          <w:rFonts w:ascii="Times New Roman" w:hAnsi="Times New Roman" w:cs="Times New Roman"/>
          <w:color w:val="000000" w:themeColor="text1"/>
          <w:sz w:val="24"/>
          <w14:textFill>
            <w14:solidFill>
              <w14:schemeClr w14:val="tx1"/>
            </w14:solidFill>
          </w14:textFill>
        </w:rPr>
        <w:t>.3.1-2）。</w:t>
      </w: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936"/>
        <w:gridCol w:w="4536"/>
      </w:tblGrid>
      <w:tr w14:paraId="7C9A5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6" w:type="dxa"/>
          </w:tcPr>
          <w:p w14:paraId="4436CB3D">
            <w:pPr>
              <w:snapToGrid w:val="0"/>
              <w:spacing w:line="312" w:lineRule="auto"/>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rPr>
              <w:drawing>
                <wp:inline distT="0" distB="0" distL="0" distR="0">
                  <wp:extent cx="2039620" cy="1196340"/>
                  <wp:effectExtent l="0" t="0" r="254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039620" cy="1196340"/>
                          </a:xfrm>
                          <a:prstGeom prst="rect">
                            <a:avLst/>
                          </a:prstGeom>
                          <a:noFill/>
                          <a:ln>
                            <a:noFill/>
                          </a:ln>
                        </pic:spPr>
                      </pic:pic>
                    </a:graphicData>
                  </a:graphic>
                </wp:inline>
              </w:drawing>
            </w:r>
          </w:p>
        </w:tc>
        <w:tc>
          <w:tcPr>
            <w:tcW w:w="4536" w:type="dxa"/>
          </w:tcPr>
          <w:p w14:paraId="2D1DA5F3">
            <w:pPr>
              <w:snapToGrid w:val="0"/>
              <w:spacing w:line="312" w:lineRule="auto"/>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rPr>
              <w:drawing>
                <wp:inline distT="0" distB="0" distL="0" distR="0">
                  <wp:extent cx="1624965" cy="112839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656911" cy="1150488"/>
                          </a:xfrm>
                          <a:prstGeom prst="rect">
                            <a:avLst/>
                          </a:prstGeom>
                          <a:noFill/>
                          <a:ln>
                            <a:noFill/>
                          </a:ln>
                        </pic:spPr>
                      </pic:pic>
                    </a:graphicData>
                  </a:graphic>
                </wp:inline>
              </w:drawing>
            </w:r>
          </w:p>
        </w:tc>
      </w:tr>
      <w:tr w14:paraId="63B56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6" w:type="dxa"/>
          </w:tcPr>
          <w:p w14:paraId="1C38B2DE">
            <w:pPr>
              <w:pStyle w:val="35"/>
              <w:widowControl/>
              <w:ind w:firstLine="0" w:firstLineChars="0"/>
              <w:jc w:val="center"/>
              <w:rPr>
                <w:rFonts w:ascii="Times New Roman" w:hAnsi="Times New Roman" w:cs="Times New Roman"/>
                <w:color w:val="333333"/>
                <w:kern w:val="0"/>
                <w:highlight w:val="none"/>
                <w:shd w:val="clear" w:color="auto" w:fill="FFFFFF"/>
              </w:rPr>
            </w:pPr>
            <w:r>
              <w:rPr>
                <w:rFonts w:ascii="Times New Roman" w:hAnsi="Times New Roman" w:cs="Times New Roman"/>
                <w:color w:val="333333"/>
                <w:kern w:val="0"/>
                <w:highlight w:val="none"/>
                <w:shd w:val="clear" w:color="auto" w:fill="FFFFFF"/>
              </w:rPr>
              <w:t>图</w:t>
            </w:r>
            <w:r>
              <w:rPr>
                <w:rFonts w:hint="eastAsia" w:ascii="Times New Roman" w:hAnsi="Times New Roman" w:cs="Times New Roman"/>
                <w:color w:val="333333"/>
                <w:kern w:val="0"/>
                <w:highlight w:val="none"/>
                <w:shd w:val="clear" w:color="auto" w:fill="FFFFFF"/>
                <w:lang w:val="en-US" w:eastAsia="zh-CN"/>
              </w:rPr>
              <w:t>5</w:t>
            </w:r>
            <w:r>
              <w:rPr>
                <w:rFonts w:ascii="Times New Roman" w:hAnsi="Times New Roman" w:cs="Times New Roman"/>
                <w:color w:val="333333"/>
                <w:kern w:val="0"/>
                <w:highlight w:val="none"/>
                <w:shd w:val="clear" w:color="auto" w:fill="FFFFFF"/>
              </w:rPr>
              <w:t>.3.1-1　</w:t>
            </w:r>
            <w:r>
              <w:rPr>
                <w:rFonts w:hint="eastAsia" w:ascii="Times New Roman" w:hAnsi="Times New Roman" w:cs="Times New Roman"/>
                <w:color w:val="333333"/>
                <w:kern w:val="0"/>
                <w:highlight w:val="none"/>
                <w:shd w:val="clear" w:color="auto" w:fill="FFFFFF"/>
                <w:lang w:val="en-US" w:eastAsia="zh-CN"/>
              </w:rPr>
              <w:t>干撒型</w:t>
            </w:r>
            <w:r>
              <w:rPr>
                <w:rFonts w:ascii="Times New Roman" w:hAnsi="Times New Roman" w:cs="Times New Roman"/>
                <w:color w:val="000000" w:themeColor="text1"/>
                <w:highlight w:val="none"/>
                <w14:textFill>
                  <w14:solidFill>
                    <w14:schemeClr w14:val="tx1"/>
                  </w14:solidFill>
                </w14:textFill>
              </w:rPr>
              <w:t>水泥基耐磨地坪</w:t>
            </w:r>
            <w:r>
              <w:rPr>
                <w:rFonts w:ascii="Times New Roman" w:hAnsi="Times New Roman" w:cs="Times New Roman"/>
                <w:color w:val="333333"/>
                <w:kern w:val="0"/>
                <w:highlight w:val="none"/>
                <w:shd w:val="clear" w:color="auto" w:fill="FFFFFF"/>
              </w:rPr>
              <w:t>构造示意图</w:t>
            </w:r>
          </w:p>
          <w:p w14:paraId="4B5A6FCF">
            <w:pPr>
              <w:snapToGrid w:val="0"/>
              <w:spacing w:line="312" w:lineRule="auto"/>
              <w:jc w:val="center"/>
              <w:rPr>
                <w:rFonts w:hint="eastAsia" w:ascii="Times New Roman" w:hAnsi="Times New Roman" w:cs="Times New Roman" w:eastAsiaTheme="minorEastAsia"/>
                <w:b/>
                <w:color w:val="000000" w:themeColor="text1"/>
                <w:szCs w:val="21"/>
                <w:highlight w:val="none"/>
                <w:lang w:eastAsia="zh-CN"/>
                <w14:textFill>
                  <w14:solidFill>
                    <w14:schemeClr w14:val="tx1"/>
                  </w14:solidFill>
                </w14:textFill>
              </w:rPr>
            </w:pPr>
            <w:r>
              <w:rPr>
                <w:rFonts w:ascii="Times New Roman" w:hAnsi="Times New Roman" w:cs="Times New Roman"/>
                <w:sz w:val="18"/>
                <w:szCs w:val="21"/>
                <w:highlight w:val="none"/>
              </w:rPr>
              <w:t>1—</w:t>
            </w:r>
            <w:r>
              <w:rPr>
                <w:rFonts w:hint="eastAsia" w:ascii="Times New Roman" w:hAnsi="Times New Roman" w:cs="Times New Roman"/>
                <w:sz w:val="18"/>
                <w:szCs w:val="21"/>
                <w:highlight w:val="none"/>
                <w:lang w:val="en-US" w:eastAsia="zh-CN"/>
              </w:rPr>
              <w:t>干撒型</w:t>
            </w:r>
            <w:r>
              <w:rPr>
                <w:rFonts w:ascii="Times New Roman" w:hAnsi="Times New Roman" w:cs="Times New Roman"/>
                <w:sz w:val="18"/>
                <w:szCs w:val="21"/>
                <w:highlight w:val="none"/>
              </w:rPr>
              <w:t>水泥基耐磨层；2—</w:t>
            </w:r>
            <w:r>
              <w:rPr>
                <w:rFonts w:hint="eastAsia" w:ascii="Times New Roman" w:hAnsi="Times New Roman" w:cs="Times New Roman"/>
                <w:sz w:val="18"/>
                <w:szCs w:val="21"/>
                <w:highlight w:val="none"/>
                <w:lang w:eastAsia="zh-CN"/>
              </w:rPr>
              <w:t>基层混凝土</w:t>
            </w:r>
          </w:p>
        </w:tc>
        <w:tc>
          <w:tcPr>
            <w:tcW w:w="4536" w:type="dxa"/>
          </w:tcPr>
          <w:p w14:paraId="6BC5F8AB">
            <w:pPr>
              <w:pStyle w:val="35"/>
              <w:widowControl/>
              <w:ind w:firstLine="0" w:firstLineChars="0"/>
              <w:jc w:val="center"/>
              <w:rPr>
                <w:rFonts w:ascii="Times New Roman" w:hAnsi="Times New Roman" w:cs="Times New Roman"/>
                <w:color w:val="333333"/>
                <w:kern w:val="0"/>
                <w:highlight w:val="none"/>
                <w:shd w:val="clear" w:color="auto" w:fill="FFFFFF"/>
              </w:rPr>
            </w:pPr>
            <w:r>
              <w:rPr>
                <w:rFonts w:ascii="Times New Roman" w:hAnsi="Times New Roman" w:cs="Times New Roman"/>
                <w:color w:val="333333"/>
                <w:kern w:val="0"/>
                <w:highlight w:val="none"/>
                <w:shd w:val="clear" w:color="auto" w:fill="FFFFFF"/>
              </w:rPr>
              <w:t>图</w:t>
            </w:r>
            <w:r>
              <w:rPr>
                <w:rFonts w:hint="eastAsia" w:ascii="Times New Roman" w:hAnsi="Times New Roman" w:cs="Times New Roman"/>
                <w:color w:val="333333"/>
                <w:kern w:val="0"/>
                <w:highlight w:val="none"/>
                <w:shd w:val="clear" w:color="auto" w:fill="FFFFFF"/>
                <w:lang w:val="en-US" w:eastAsia="zh-CN"/>
              </w:rPr>
              <w:t>5</w:t>
            </w:r>
            <w:r>
              <w:rPr>
                <w:rFonts w:ascii="Times New Roman" w:hAnsi="Times New Roman" w:cs="Times New Roman"/>
                <w:color w:val="333333"/>
                <w:kern w:val="0"/>
                <w:highlight w:val="none"/>
                <w:shd w:val="clear" w:color="auto" w:fill="FFFFFF"/>
              </w:rPr>
              <w:t>.3.1-2　</w:t>
            </w:r>
            <w:r>
              <w:rPr>
                <w:rFonts w:hint="eastAsia" w:ascii="Times New Roman" w:hAnsi="Times New Roman" w:cs="Times New Roman"/>
                <w:color w:val="333333"/>
                <w:kern w:val="0"/>
                <w:highlight w:val="none"/>
                <w:shd w:val="clear" w:color="auto" w:fill="FFFFFF"/>
                <w:lang w:val="en-US" w:eastAsia="zh-CN"/>
              </w:rPr>
              <w:t>干撒型</w:t>
            </w:r>
            <w:r>
              <w:rPr>
                <w:rFonts w:ascii="Times New Roman" w:hAnsi="Times New Roman" w:cs="Times New Roman"/>
                <w:color w:val="000000" w:themeColor="text1"/>
                <w:highlight w:val="none"/>
                <w14:textFill>
                  <w14:solidFill>
                    <w14:schemeClr w14:val="tx1"/>
                  </w14:solidFill>
                </w14:textFill>
              </w:rPr>
              <w:t>水泥基耐磨</w:t>
            </w:r>
            <w:r>
              <w:rPr>
                <w:rFonts w:hint="eastAsia" w:ascii="Times New Roman" w:hAnsi="Times New Roman" w:cs="Times New Roman"/>
                <w:color w:val="000000" w:themeColor="text1"/>
                <w:highlight w:val="none"/>
                <w:lang w:val="en-US" w:eastAsia="zh-CN"/>
                <w14:textFill>
                  <w14:solidFill>
                    <w14:schemeClr w14:val="tx1"/>
                  </w14:solidFill>
                </w14:textFill>
              </w:rPr>
              <w:t>硬化</w:t>
            </w:r>
            <w:r>
              <w:rPr>
                <w:rFonts w:ascii="Times New Roman" w:hAnsi="Times New Roman" w:cs="Times New Roman"/>
                <w:color w:val="000000" w:themeColor="text1"/>
                <w:highlight w:val="none"/>
                <w14:textFill>
                  <w14:solidFill>
                    <w14:schemeClr w14:val="tx1"/>
                  </w14:solidFill>
                </w14:textFill>
              </w:rPr>
              <w:t>地坪</w:t>
            </w:r>
            <w:r>
              <w:rPr>
                <w:rFonts w:ascii="Times New Roman" w:hAnsi="Times New Roman" w:cs="Times New Roman"/>
                <w:color w:val="333333"/>
                <w:kern w:val="0"/>
                <w:highlight w:val="none"/>
                <w:shd w:val="clear" w:color="auto" w:fill="FFFFFF"/>
              </w:rPr>
              <w:t>构造示意图</w:t>
            </w:r>
          </w:p>
          <w:p w14:paraId="0A71F251">
            <w:pPr>
              <w:snapToGrid w:val="0"/>
              <w:spacing w:line="312" w:lineRule="auto"/>
              <w:jc w:val="center"/>
              <w:rPr>
                <w:rFonts w:hint="eastAsia" w:ascii="Times New Roman" w:hAnsi="Times New Roman" w:cs="Times New Roman" w:eastAsiaTheme="minorEastAsia"/>
                <w:b/>
                <w:color w:val="000000" w:themeColor="text1"/>
                <w:szCs w:val="21"/>
                <w:highlight w:val="none"/>
                <w:lang w:eastAsia="zh-CN"/>
                <w14:textFill>
                  <w14:solidFill>
                    <w14:schemeClr w14:val="tx1"/>
                  </w14:solidFill>
                </w14:textFill>
              </w:rPr>
            </w:pPr>
            <w:r>
              <w:rPr>
                <w:rFonts w:ascii="Times New Roman" w:hAnsi="Times New Roman" w:cs="Times New Roman"/>
                <w:sz w:val="18"/>
                <w:szCs w:val="21"/>
                <w:highlight w:val="none"/>
              </w:rPr>
              <w:t>1—</w:t>
            </w:r>
            <w:r>
              <w:rPr>
                <w:rFonts w:ascii="Times New Roman" w:hAnsi="Times New Roman" w:cs="Times New Roman"/>
                <w:color w:val="000000" w:themeColor="text1"/>
                <w:sz w:val="18"/>
                <w:szCs w:val="21"/>
                <w:highlight w:val="none"/>
                <w14:textFill>
                  <w14:solidFill>
                    <w14:schemeClr w14:val="tx1"/>
                  </w14:solidFill>
                </w14:textFill>
              </w:rPr>
              <w:t>渗透型液体硬化</w:t>
            </w:r>
            <w:r>
              <w:rPr>
                <w:rFonts w:ascii="Times New Roman" w:hAnsi="Times New Roman" w:cs="Times New Roman"/>
                <w:sz w:val="18"/>
                <w:szCs w:val="21"/>
                <w:highlight w:val="none"/>
              </w:rPr>
              <w:t>层；2—</w:t>
            </w:r>
            <w:r>
              <w:rPr>
                <w:rFonts w:hint="eastAsia" w:ascii="Times New Roman" w:hAnsi="Times New Roman" w:cs="Times New Roman"/>
                <w:sz w:val="18"/>
                <w:szCs w:val="21"/>
                <w:highlight w:val="none"/>
                <w:lang w:val="en-US" w:eastAsia="zh-CN"/>
              </w:rPr>
              <w:t>干撒型</w:t>
            </w:r>
            <w:r>
              <w:rPr>
                <w:rFonts w:ascii="Times New Roman" w:hAnsi="Times New Roman" w:cs="Times New Roman"/>
                <w:sz w:val="18"/>
                <w:szCs w:val="21"/>
                <w:highlight w:val="none"/>
              </w:rPr>
              <w:t>水泥基耐磨层；3—</w:t>
            </w:r>
            <w:r>
              <w:rPr>
                <w:rFonts w:hint="eastAsia" w:ascii="Times New Roman" w:hAnsi="Times New Roman" w:cs="Times New Roman"/>
                <w:sz w:val="18"/>
                <w:szCs w:val="21"/>
                <w:highlight w:val="none"/>
                <w:lang w:eastAsia="zh-CN"/>
              </w:rPr>
              <w:t>基层混凝土</w:t>
            </w:r>
          </w:p>
        </w:tc>
      </w:tr>
    </w:tbl>
    <w:p w14:paraId="79C035FC">
      <w:pPr>
        <w:spacing w:line="312" w:lineRule="auto"/>
        <w:rPr>
          <w:rFonts w:ascii="Times New Roman" w:hAnsi="Times New Roman" w:cs="Times New Roman"/>
          <w:color w:val="000000" w:themeColor="text1"/>
          <w:sz w:val="24"/>
          <w14:textFill>
            <w14:solidFill>
              <w14:schemeClr w14:val="tx1"/>
            </w14:solidFill>
          </w14:textFill>
        </w:rPr>
      </w:pPr>
      <w:bookmarkStart w:id="91" w:name="_Toc533422978"/>
      <w:bookmarkStart w:id="92" w:name="_Toc533422618"/>
      <w:bookmarkStart w:id="93" w:name="_Toc533422748"/>
      <w:r>
        <w:rPr>
          <w:rFonts w:hint="eastAsia" w:ascii="Times New Roman" w:hAnsi="Times New Roman" w:cs="Times New Roman"/>
          <w:szCs w:val="21"/>
          <w:lang w:val="en-US" w:eastAsia="zh-CN"/>
        </w:rPr>
        <w:t xml:space="preserve"> </w:t>
      </w:r>
      <w:r>
        <w:rPr>
          <w:rFonts w:ascii="Times New Roman" w:hAnsi="Times New Roman" w:cs="Times New Roman"/>
          <w:b/>
          <w:color w:val="000000" w:themeColor="text1"/>
          <w:sz w:val="24"/>
          <w14:textFill>
            <w14:solidFill>
              <w14:schemeClr w14:val="tx1"/>
            </w14:solidFill>
          </w14:textFill>
        </w:rPr>
        <w:t>5.3.</w:t>
      </w:r>
      <w:r>
        <w:rPr>
          <w:rFonts w:hint="eastAsia" w:ascii="Times New Roman" w:hAnsi="Times New Roman" w:cs="Times New Roman"/>
          <w:b/>
          <w:color w:val="000000" w:themeColor="text1"/>
          <w:sz w:val="24"/>
          <w:lang w:val="en-US" w:eastAsia="zh-CN"/>
          <w14:textFill>
            <w14:solidFill>
              <w14:schemeClr w14:val="tx1"/>
            </w14:solidFill>
          </w14:textFill>
        </w:rPr>
        <w:t>2</w:t>
      </w:r>
      <w:r>
        <w:rPr>
          <w:rFonts w:ascii="Times New Roman" w:hAnsi="Times New Roman" w:cs="Times New Roman"/>
          <w:b/>
          <w:color w:val="000000" w:themeColor="text1"/>
          <w:sz w:val="24"/>
          <w14:textFill>
            <w14:solidFill>
              <w14:schemeClr w14:val="tx1"/>
            </w14:solidFill>
          </w14:textFill>
        </w:rPr>
        <w:t>　</w:t>
      </w:r>
      <w:r>
        <w:rPr>
          <w:rFonts w:hint="eastAsia" w:ascii="Times New Roman" w:hAnsi="Times New Roman" w:cs="Times New Roman"/>
          <w:color w:val="000000" w:themeColor="text1"/>
          <w:sz w:val="24"/>
          <w:lang w:val="en-US" w:eastAsia="zh-CN"/>
          <w14:textFill>
            <w14:solidFill>
              <w14:schemeClr w14:val="tx1"/>
            </w14:solidFill>
          </w14:textFill>
        </w:rPr>
        <w:t>湿拌摊铺型水泥基</w:t>
      </w:r>
      <w:r>
        <w:rPr>
          <w:rFonts w:ascii="Times New Roman" w:hAnsi="Times New Roman" w:cs="Times New Roman"/>
          <w:color w:val="000000" w:themeColor="text1"/>
          <w:sz w:val="24"/>
          <w14:textFill>
            <w14:solidFill>
              <w14:schemeClr w14:val="tx1"/>
            </w14:solidFill>
          </w14:textFill>
        </w:rPr>
        <w:t>耐磨地坪应由基层</w:t>
      </w:r>
      <w:r>
        <w:rPr>
          <w:rFonts w:hint="eastAsia" w:ascii="Times New Roman" w:hAnsi="Times New Roman" w:cs="Times New Roman"/>
          <w:color w:val="000000" w:themeColor="text1"/>
          <w:sz w:val="24"/>
          <w14:textFill>
            <w14:solidFill>
              <w14:schemeClr w14:val="tx1"/>
            </w14:solidFill>
          </w14:textFill>
        </w:rPr>
        <w:t>混凝土</w:t>
      </w:r>
      <w:r>
        <w:rPr>
          <w:rFonts w:ascii="Times New Roman" w:hAnsi="Times New Roman" w:cs="Times New Roman"/>
          <w:color w:val="000000" w:themeColor="text1"/>
          <w:sz w:val="24"/>
          <w14:textFill>
            <w14:solidFill>
              <w14:schemeClr w14:val="tx1"/>
            </w14:solidFill>
          </w14:textFill>
        </w:rPr>
        <w:t>、</w:t>
      </w:r>
      <w:bookmarkStart w:id="94" w:name="OLE_LINK13"/>
      <w:r>
        <w:rPr>
          <w:rFonts w:hint="eastAsia" w:ascii="Times New Roman" w:hAnsi="Times New Roman" w:cs="Times New Roman"/>
          <w:color w:val="000000" w:themeColor="text1"/>
          <w:sz w:val="24"/>
          <w:lang w:val="en-US" w:eastAsia="zh-CN"/>
          <w14:textFill>
            <w14:solidFill>
              <w14:schemeClr w14:val="tx1"/>
            </w14:solidFill>
          </w14:textFill>
        </w:rPr>
        <w:t>界面层、</w:t>
      </w:r>
      <w:bookmarkEnd w:id="94"/>
      <w:r>
        <w:rPr>
          <w:rFonts w:ascii="Times New Roman" w:hAnsi="Times New Roman" w:cs="Times New Roman"/>
          <w:color w:val="000000" w:themeColor="text1"/>
          <w:sz w:val="24"/>
          <w14:textFill>
            <w14:solidFill>
              <w14:schemeClr w14:val="tx1"/>
            </w14:solidFill>
          </w14:textFill>
        </w:rPr>
        <w:t>水泥基耐磨层</w:t>
      </w:r>
      <w:r>
        <w:rPr>
          <w:rFonts w:hint="eastAsia" w:ascii="Times New Roman" w:hAnsi="Times New Roman" w:cs="Times New Roman"/>
          <w:color w:val="000000" w:themeColor="text1"/>
          <w:sz w:val="24"/>
          <w14:textFill>
            <w14:solidFill>
              <w14:schemeClr w14:val="tx1"/>
            </w14:solidFill>
          </w14:textFill>
        </w:rPr>
        <w:t>（图</w:t>
      </w:r>
      <w:r>
        <w:rPr>
          <w:rFonts w:hint="eastAsia" w:ascii="Times New Roman" w:hAnsi="Times New Roman" w:cs="Times New Roman"/>
          <w:color w:val="000000" w:themeColor="text1"/>
          <w:sz w:val="24"/>
          <w:lang w:val="en-US" w:eastAsia="zh-CN"/>
          <w14:textFill>
            <w14:solidFill>
              <w14:schemeClr w14:val="tx1"/>
            </w14:solidFill>
          </w14:textFill>
        </w:rPr>
        <w:t>5</w:t>
      </w:r>
      <w:r>
        <w:rPr>
          <w:rFonts w:ascii="Times New Roman" w:hAnsi="Times New Roman" w:cs="Times New Roman"/>
          <w:color w:val="000000" w:themeColor="text1"/>
          <w:sz w:val="24"/>
          <w14:textFill>
            <w14:solidFill>
              <w14:schemeClr w14:val="tx1"/>
            </w14:solidFill>
          </w14:textFill>
        </w:rPr>
        <w:t>.3.</w:t>
      </w:r>
      <w:r>
        <w:rPr>
          <w:rFonts w:hint="eastAsia" w:ascii="Times New Roman" w:hAnsi="Times New Roman" w:cs="Times New Roman"/>
          <w:color w:val="000000" w:themeColor="text1"/>
          <w:sz w:val="24"/>
          <w:lang w:val="en-US" w:eastAsia="zh-CN"/>
          <w14:textFill>
            <w14:solidFill>
              <w14:schemeClr w14:val="tx1"/>
            </w14:solidFill>
          </w14:textFill>
        </w:rPr>
        <w:t>2</w:t>
      </w:r>
      <w:r>
        <w:rPr>
          <w:rFonts w:ascii="Times New Roman" w:hAnsi="Times New Roman" w:cs="Times New Roman"/>
          <w:color w:val="000000" w:themeColor="text1"/>
          <w:sz w:val="24"/>
          <w14:textFill>
            <w14:solidFill>
              <w14:schemeClr w14:val="tx1"/>
            </w14:solidFill>
          </w14:textFill>
        </w:rPr>
        <w:t>-1</w:t>
      </w:r>
      <w:r>
        <w:rPr>
          <w:rFonts w:hint="eastAsia"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湿拌摊铺型水泥基</w:t>
      </w:r>
      <w:r>
        <w:rPr>
          <w:rFonts w:ascii="Times New Roman" w:hAnsi="Times New Roman" w:cs="Times New Roman"/>
          <w:color w:val="000000" w:themeColor="text1"/>
          <w:sz w:val="24"/>
          <w14:textFill>
            <w14:solidFill>
              <w14:schemeClr w14:val="tx1"/>
            </w14:solidFill>
          </w14:textFill>
        </w:rPr>
        <w:t>耐磨</w:t>
      </w:r>
      <w:r>
        <w:rPr>
          <w:rFonts w:hint="eastAsia" w:ascii="Times New Roman" w:hAnsi="Times New Roman" w:cs="Times New Roman"/>
          <w:color w:val="000000" w:themeColor="text1"/>
          <w:sz w:val="24"/>
          <w:lang w:val="en-US" w:eastAsia="zh-CN"/>
          <w14:textFill>
            <w14:solidFill>
              <w14:schemeClr w14:val="tx1"/>
            </w14:solidFill>
          </w14:textFill>
        </w:rPr>
        <w:t>硬化</w:t>
      </w:r>
      <w:r>
        <w:rPr>
          <w:rFonts w:ascii="Times New Roman" w:hAnsi="Times New Roman" w:cs="Times New Roman"/>
          <w:color w:val="000000" w:themeColor="text1"/>
          <w:sz w:val="24"/>
          <w14:textFill>
            <w14:solidFill>
              <w14:schemeClr w14:val="tx1"/>
            </w14:solidFill>
          </w14:textFill>
        </w:rPr>
        <w:t>地坪应由基层</w:t>
      </w:r>
      <w:r>
        <w:rPr>
          <w:rFonts w:hint="eastAsia" w:ascii="Times New Roman" w:hAnsi="Times New Roman" w:cs="Times New Roman"/>
          <w:color w:val="000000" w:themeColor="text1"/>
          <w:sz w:val="24"/>
          <w:lang w:val="en-US" w:eastAsia="zh-CN"/>
          <w14:textFill>
            <w14:solidFill>
              <w14:schemeClr w14:val="tx1"/>
            </w14:solidFill>
          </w14:textFill>
        </w:rPr>
        <w:t>混凝土</w:t>
      </w:r>
      <w:r>
        <w:rPr>
          <w:rFonts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界面层、</w:t>
      </w:r>
      <w:r>
        <w:rPr>
          <w:rFonts w:ascii="Times New Roman" w:hAnsi="Times New Roman" w:cs="Times New Roman"/>
          <w:color w:val="000000" w:themeColor="text1"/>
          <w:sz w:val="24"/>
          <w14:textFill>
            <w14:solidFill>
              <w14:schemeClr w14:val="tx1"/>
            </w14:solidFill>
          </w14:textFill>
        </w:rPr>
        <w:t>水泥基耐磨层、渗透型液体硬化层构成（图</w:t>
      </w:r>
      <w:r>
        <w:rPr>
          <w:rFonts w:hint="eastAsia" w:ascii="Times New Roman" w:hAnsi="Times New Roman" w:cs="Times New Roman"/>
          <w:color w:val="000000" w:themeColor="text1"/>
          <w:sz w:val="24"/>
          <w:lang w:val="en-US" w:eastAsia="zh-CN"/>
          <w14:textFill>
            <w14:solidFill>
              <w14:schemeClr w14:val="tx1"/>
            </w14:solidFill>
          </w14:textFill>
        </w:rPr>
        <w:t>5</w:t>
      </w:r>
      <w:r>
        <w:rPr>
          <w:rFonts w:ascii="Times New Roman" w:hAnsi="Times New Roman" w:cs="Times New Roman"/>
          <w:color w:val="000000" w:themeColor="text1"/>
          <w:sz w:val="24"/>
          <w14:textFill>
            <w14:solidFill>
              <w14:schemeClr w14:val="tx1"/>
            </w14:solidFill>
          </w14:textFill>
        </w:rPr>
        <w:t>.3.</w:t>
      </w:r>
      <w:r>
        <w:rPr>
          <w:rFonts w:hint="eastAsia" w:ascii="Times New Roman" w:hAnsi="Times New Roman" w:cs="Times New Roman"/>
          <w:color w:val="000000" w:themeColor="text1"/>
          <w:sz w:val="24"/>
          <w:lang w:val="en-US" w:eastAsia="zh-CN"/>
          <w14:textFill>
            <w14:solidFill>
              <w14:schemeClr w14:val="tx1"/>
            </w14:solidFill>
          </w14:textFill>
        </w:rPr>
        <w:t>2-2</w:t>
      </w:r>
      <w:r>
        <w:rPr>
          <w:rFonts w:ascii="Times New Roman" w:hAnsi="Times New Roman" w:cs="Times New Roman"/>
          <w:color w:val="000000" w:themeColor="text1"/>
          <w:sz w:val="24"/>
          <w14:textFill>
            <w14:solidFill>
              <w14:schemeClr w14:val="tx1"/>
            </w14:solidFill>
          </w14:textFill>
        </w:rPr>
        <w:t>）。</w:t>
      </w: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936"/>
        <w:gridCol w:w="4536"/>
      </w:tblGrid>
      <w:tr w14:paraId="7B1765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6" w:type="dxa"/>
          </w:tcPr>
          <w:p w14:paraId="5F635D25">
            <w:pPr>
              <w:snapToGrid w:val="0"/>
              <w:spacing w:line="312" w:lineRule="auto"/>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rPr>
              <w:drawing>
                <wp:inline distT="0" distB="0" distL="0" distR="0">
                  <wp:extent cx="2039620" cy="1196340"/>
                  <wp:effectExtent l="0" t="0" r="2540" b="762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039620" cy="1196340"/>
                          </a:xfrm>
                          <a:prstGeom prst="rect">
                            <a:avLst/>
                          </a:prstGeom>
                          <a:noFill/>
                          <a:ln>
                            <a:noFill/>
                          </a:ln>
                        </pic:spPr>
                      </pic:pic>
                    </a:graphicData>
                  </a:graphic>
                </wp:inline>
              </w:drawing>
            </w:r>
          </w:p>
        </w:tc>
        <w:tc>
          <w:tcPr>
            <w:tcW w:w="4536" w:type="dxa"/>
          </w:tcPr>
          <w:p w14:paraId="0A5B6F36">
            <w:pPr>
              <w:snapToGrid w:val="0"/>
              <w:spacing w:line="312" w:lineRule="auto"/>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rPr>
              <w:drawing>
                <wp:inline distT="0" distB="0" distL="0" distR="0">
                  <wp:extent cx="1757045" cy="1220470"/>
                  <wp:effectExtent l="0" t="0" r="10795" b="1397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757045" cy="1220470"/>
                          </a:xfrm>
                          <a:prstGeom prst="rect">
                            <a:avLst/>
                          </a:prstGeom>
                          <a:noFill/>
                          <a:ln>
                            <a:noFill/>
                          </a:ln>
                        </pic:spPr>
                      </pic:pic>
                    </a:graphicData>
                  </a:graphic>
                </wp:inline>
              </w:drawing>
            </w:r>
          </w:p>
        </w:tc>
      </w:tr>
      <w:tr w14:paraId="10585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6" w:type="dxa"/>
          </w:tcPr>
          <w:p w14:paraId="3203651C">
            <w:pPr>
              <w:pStyle w:val="35"/>
              <w:widowControl/>
              <w:ind w:firstLine="0" w:firstLineChars="0"/>
              <w:jc w:val="center"/>
              <w:rPr>
                <w:rFonts w:ascii="Times New Roman" w:hAnsi="Times New Roman" w:cs="Times New Roman"/>
                <w:color w:val="333333"/>
                <w:kern w:val="0"/>
                <w:shd w:val="clear" w:color="auto" w:fill="FFFFFF"/>
              </w:rPr>
            </w:pPr>
            <w:r>
              <w:rPr>
                <w:rFonts w:ascii="Times New Roman" w:hAnsi="Times New Roman" w:cs="Times New Roman"/>
                <w:color w:val="333333"/>
                <w:kern w:val="0"/>
                <w:shd w:val="clear" w:color="auto" w:fill="FFFFFF"/>
              </w:rPr>
              <w:t>图</w:t>
            </w:r>
            <w:r>
              <w:rPr>
                <w:rFonts w:hint="eastAsia" w:ascii="Times New Roman" w:hAnsi="Times New Roman" w:cs="Times New Roman"/>
                <w:color w:val="333333"/>
                <w:kern w:val="0"/>
                <w:shd w:val="clear" w:color="auto" w:fill="FFFFFF"/>
                <w:lang w:val="en-US" w:eastAsia="zh-CN"/>
              </w:rPr>
              <w:t>5</w:t>
            </w:r>
            <w:r>
              <w:rPr>
                <w:rFonts w:ascii="Times New Roman" w:hAnsi="Times New Roman" w:cs="Times New Roman"/>
                <w:color w:val="333333"/>
                <w:kern w:val="0"/>
                <w:shd w:val="clear" w:color="auto" w:fill="FFFFFF"/>
              </w:rPr>
              <w:t>.3.1-1　</w:t>
            </w:r>
            <w:r>
              <w:rPr>
                <w:rFonts w:hint="eastAsia" w:ascii="Times New Roman" w:hAnsi="Times New Roman" w:cs="Times New Roman"/>
                <w:color w:val="000000" w:themeColor="text1"/>
                <w:lang w:val="en-US" w:eastAsia="zh-CN"/>
                <w14:textFill>
                  <w14:solidFill>
                    <w14:schemeClr w14:val="tx1"/>
                  </w14:solidFill>
                </w14:textFill>
              </w:rPr>
              <w:t>湿拌摊铺型</w:t>
            </w:r>
            <w:r>
              <w:rPr>
                <w:rFonts w:ascii="Times New Roman" w:hAnsi="Times New Roman" w:cs="Times New Roman"/>
                <w:color w:val="000000" w:themeColor="text1"/>
                <w14:textFill>
                  <w14:solidFill>
                    <w14:schemeClr w14:val="tx1"/>
                  </w14:solidFill>
                </w14:textFill>
              </w:rPr>
              <w:t>水泥基耐磨地坪</w:t>
            </w:r>
            <w:r>
              <w:rPr>
                <w:rFonts w:ascii="Times New Roman" w:hAnsi="Times New Roman" w:cs="Times New Roman"/>
                <w:color w:val="333333"/>
                <w:kern w:val="0"/>
                <w:shd w:val="clear" w:color="auto" w:fill="FFFFFF"/>
              </w:rPr>
              <w:t>构造示意图</w:t>
            </w:r>
          </w:p>
          <w:p w14:paraId="2F42C2CA">
            <w:pPr>
              <w:snapToGrid w:val="0"/>
              <w:spacing w:line="312" w:lineRule="auto"/>
              <w:jc w:val="center"/>
              <w:rPr>
                <w:rFonts w:hint="eastAsia" w:ascii="Times New Roman" w:hAnsi="Times New Roman" w:cs="Times New Roman" w:eastAsiaTheme="minorEastAsia"/>
                <w:b/>
                <w:color w:val="000000" w:themeColor="text1"/>
                <w:szCs w:val="21"/>
                <w:lang w:eastAsia="zh-CN"/>
                <w14:textFill>
                  <w14:solidFill>
                    <w14:schemeClr w14:val="tx1"/>
                  </w14:solidFill>
                </w14:textFill>
              </w:rPr>
            </w:pPr>
            <w:r>
              <w:rPr>
                <w:rFonts w:ascii="Times New Roman" w:hAnsi="Times New Roman" w:cs="Times New Roman"/>
                <w:sz w:val="18"/>
                <w:szCs w:val="21"/>
              </w:rPr>
              <w:t>1—</w:t>
            </w:r>
            <w:r>
              <w:rPr>
                <w:rFonts w:hint="eastAsia" w:ascii="Times New Roman" w:hAnsi="Times New Roman" w:cs="Times New Roman"/>
                <w:sz w:val="18"/>
                <w:szCs w:val="21"/>
                <w:lang w:val="en-US" w:eastAsia="zh-CN"/>
              </w:rPr>
              <w:t>湿拌摊铺型</w:t>
            </w:r>
            <w:r>
              <w:rPr>
                <w:rFonts w:ascii="Times New Roman" w:hAnsi="Times New Roman" w:cs="Times New Roman"/>
                <w:sz w:val="18"/>
                <w:szCs w:val="21"/>
              </w:rPr>
              <w:t>水泥基耐磨层；2—</w:t>
            </w:r>
            <w:r>
              <w:rPr>
                <w:rFonts w:hint="eastAsia" w:ascii="Times New Roman" w:hAnsi="Times New Roman" w:cs="Times New Roman"/>
                <w:sz w:val="18"/>
                <w:szCs w:val="21"/>
                <w:lang w:val="en-US" w:eastAsia="zh-CN"/>
              </w:rPr>
              <w:t>界面层、3</w:t>
            </w:r>
            <w:r>
              <w:rPr>
                <w:rFonts w:ascii="Times New Roman" w:hAnsi="Times New Roman" w:cs="Times New Roman"/>
                <w:sz w:val="18"/>
                <w:szCs w:val="21"/>
              </w:rPr>
              <w:t>—</w:t>
            </w:r>
            <w:r>
              <w:rPr>
                <w:rFonts w:hint="eastAsia" w:ascii="Times New Roman" w:hAnsi="Times New Roman" w:cs="Times New Roman"/>
                <w:sz w:val="18"/>
                <w:szCs w:val="21"/>
                <w:lang w:eastAsia="zh-CN"/>
              </w:rPr>
              <w:t>基层混凝土</w:t>
            </w:r>
          </w:p>
        </w:tc>
        <w:tc>
          <w:tcPr>
            <w:tcW w:w="4536" w:type="dxa"/>
          </w:tcPr>
          <w:p w14:paraId="291827C2">
            <w:pPr>
              <w:pStyle w:val="35"/>
              <w:widowControl/>
              <w:ind w:firstLine="0" w:firstLineChars="0"/>
              <w:jc w:val="center"/>
              <w:rPr>
                <w:rFonts w:ascii="Times New Roman" w:hAnsi="Times New Roman" w:cs="Times New Roman"/>
                <w:color w:val="333333"/>
                <w:kern w:val="0"/>
                <w:shd w:val="clear" w:color="auto" w:fill="FFFFFF"/>
              </w:rPr>
            </w:pPr>
            <w:r>
              <w:rPr>
                <w:rFonts w:ascii="Times New Roman" w:hAnsi="Times New Roman" w:cs="Times New Roman"/>
                <w:color w:val="333333"/>
                <w:kern w:val="0"/>
                <w:shd w:val="clear" w:color="auto" w:fill="FFFFFF"/>
              </w:rPr>
              <w:t>图</w:t>
            </w:r>
            <w:r>
              <w:rPr>
                <w:rFonts w:hint="eastAsia" w:ascii="Times New Roman" w:hAnsi="Times New Roman" w:cs="Times New Roman"/>
                <w:color w:val="333333"/>
                <w:kern w:val="0"/>
                <w:shd w:val="clear" w:color="auto" w:fill="FFFFFF"/>
                <w:lang w:val="en-US" w:eastAsia="zh-CN"/>
              </w:rPr>
              <w:t>5</w:t>
            </w:r>
            <w:r>
              <w:rPr>
                <w:rFonts w:ascii="Times New Roman" w:hAnsi="Times New Roman" w:cs="Times New Roman"/>
                <w:color w:val="333333"/>
                <w:kern w:val="0"/>
                <w:shd w:val="clear" w:color="auto" w:fill="FFFFFF"/>
              </w:rPr>
              <w:t>.3.1-2　</w:t>
            </w:r>
            <w:r>
              <w:rPr>
                <w:rFonts w:hint="eastAsia" w:ascii="Times New Roman" w:hAnsi="Times New Roman" w:cs="Times New Roman"/>
                <w:color w:val="000000" w:themeColor="text1"/>
                <w:lang w:val="en-US" w:eastAsia="zh-CN"/>
                <w14:textFill>
                  <w14:solidFill>
                    <w14:schemeClr w14:val="tx1"/>
                  </w14:solidFill>
                </w14:textFill>
              </w:rPr>
              <w:t>湿拌摊铺型</w:t>
            </w:r>
            <w:r>
              <w:rPr>
                <w:rFonts w:ascii="Times New Roman" w:hAnsi="Times New Roman" w:cs="Times New Roman"/>
                <w:color w:val="000000" w:themeColor="text1"/>
                <w14:textFill>
                  <w14:solidFill>
                    <w14:schemeClr w14:val="tx1"/>
                  </w14:solidFill>
                </w14:textFill>
              </w:rPr>
              <w:t>水泥基耐磨</w:t>
            </w:r>
            <w:r>
              <w:rPr>
                <w:rFonts w:hint="eastAsia" w:ascii="Times New Roman" w:hAnsi="Times New Roman" w:cs="Times New Roman"/>
                <w:color w:val="000000" w:themeColor="text1"/>
                <w:lang w:val="en-US" w:eastAsia="zh-CN"/>
                <w14:textFill>
                  <w14:solidFill>
                    <w14:schemeClr w14:val="tx1"/>
                  </w14:solidFill>
                </w14:textFill>
              </w:rPr>
              <w:t>硬化</w:t>
            </w:r>
            <w:r>
              <w:rPr>
                <w:rFonts w:ascii="Times New Roman" w:hAnsi="Times New Roman" w:cs="Times New Roman"/>
                <w:color w:val="000000" w:themeColor="text1"/>
                <w14:textFill>
                  <w14:solidFill>
                    <w14:schemeClr w14:val="tx1"/>
                  </w14:solidFill>
                </w14:textFill>
              </w:rPr>
              <w:t>地坪</w:t>
            </w:r>
            <w:r>
              <w:rPr>
                <w:rFonts w:ascii="Times New Roman" w:hAnsi="Times New Roman" w:cs="Times New Roman"/>
                <w:color w:val="333333"/>
                <w:kern w:val="0"/>
                <w:shd w:val="clear" w:color="auto" w:fill="FFFFFF"/>
              </w:rPr>
              <w:t>构造示意图</w:t>
            </w:r>
          </w:p>
          <w:p w14:paraId="48AC7009">
            <w:pPr>
              <w:snapToGrid w:val="0"/>
              <w:spacing w:line="312" w:lineRule="auto"/>
              <w:jc w:val="center"/>
              <w:rPr>
                <w:rFonts w:hint="eastAsia" w:ascii="Times New Roman" w:hAnsi="Times New Roman" w:cs="Times New Roman" w:eastAsiaTheme="minorEastAsia"/>
                <w:b/>
                <w:color w:val="000000" w:themeColor="text1"/>
                <w:szCs w:val="21"/>
                <w:lang w:eastAsia="zh-CN"/>
                <w14:textFill>
                  <w14:solidFill>
                    <w14:schemeClr w14:val="tx1"/>
                  </w14:solidFill>
                </w14:textFill>
              </w:rPr>
            </w:pPr>
            <w:r>
              <w:rPr>
                <w:rFonts w:ascii="Times New Roman" w:hAnsi="Times New Roman" w:cs="Times New Roman"/>
                <w:sz w:val="18"/>
                <w:szCs w:val="21"/>
              </w:rPr>
              <w:t>1—</w:t>
            </w:r>
            <w:r>
              <w:rPr>
                <w:rFonts w:ascii="Times New Roman" w:hAnsi="Times New Roman" w:cs="Times New Roman"/>
                <w:color w:val="000000" w:themeColor="text1"/>
                <w:sz w:val="18"/>
                <w:szCs w:val="21"/>
                <w14:textFill>
                  <w14:solidFill>
                    <w14:schemeClr w14:val="tx1"/>
                  </w14:solidFill>
                </w14:textFill>
              </w:rPr>
              <w:t>渗透型液体硬化</w:t>
            </w:r>
            <w:r>
              <w:rPr>
                <w:rFonts w:ascii="Times New Roman" w:hAnsi="Times New Roman" w:cs="Times New Roman"/>
                <w:sz w:val="18"/>
                <w:szCs w:val="21"/>
              </w:rPr>
              <w:t>层；2—</w:t>
            </w:r>
            <w:r>
              <w:rPr>
                <w:rFonts w:hint="eastAsia" w:ascii="Times New Roman" w:hAnsi="Times New Roman" w:cs="Times New Roman"/>
                <w:sz w:val="18"/>
                <w:szCs w:val="21"/>
                <w:lang w:val="en-US" w:eastAsia="zh-CN"/>
              </w:rPr>
              <w:t>湿拌摊铺型水</w:t>
            </w:r>
            <w:r>
              <w:rPr>
                <w:rFonts w:ascii="Times New Roman" w:hAnsi="Times New Roman" w:cs="Times New Roman"/>
                <w:sz w:val="18"/>
                <w:szCs w:val="21"/>
              </w:rPr>
              <w:t>泥基耐磨层；</w:t>
            </w:r>
            <w:r>
              <w:rPr>
                <w:rFonts w:hint="eastAsia" w:ascii="Times New Roman" w:hAnsi="Times New Roman" w:cs="Times New Roman"/>
                <w:sz w:val="18"/>
                <w:szCs w:val="21"/>
                <w:lang w:val="en-US" w:eastAsia="zh-CN"/>
              </w:rPr>
              <w:t>3</w:t>
            </w:r>
            <w:r>
              <w:rPr>
                <w:rFonts w:ascii="Times New Roman" w:hAnsi="Times New Roman" w:cs="Times New Roman"/>
                <w:sz w:val="18"/>
                <w:szCs w:val="21"/>
              </w:rPr>
              <w:t>—</w:t>
            </w:r>
            <w:r>
              <w:rPr>
                <w:rFonts w:hint="eastAsia" w:ascii="Times New Roman" w:hAnsi="Times New Roman" w:cs="Times New Roman"/>
                <w:sz w:val="18"/>
                <w:szCs w:val="21"/>
                <w:lang w:val="en-US" w:eastAsia="zh-CN"/>
              </w:rPr>
              <w:t>界面层、4</w:t>
            </w:r>
            <w:r>
              <w:rPr>
                <w:rFonts w:ascii="Times New Roman" w:hAnsi="Times New Roman" w:cs="Times New Roman"/>
                <w:sz w:val="18"/>
                <w:szCs w:val="21"/>
              </w:rPr>
              <w:t>—</w:t>
            </w:r>
            <w:r>
              <w:rPr>
                <w:rFonts w:hint="eastAsia" w:ascii="Times New Roman" w:hAnsi="Times New Roman" w:cs="Times New Roman"/>
                <w:sz w:val="18"/>
                <w:szCs w:val="21"/>
                <w:lang w:eastAsia="zh-CN"/>
              </w:rPr>
              <w:t>基层混凝土</w:t>
            </w:r>
          </w:p>
        </w:tc>
      </w:tr>
    </w:tbl>
    <w:p w14:paraId="23B3E9E6">
      <w:pPr>
        <w:spacing w:line="312" w:lineRule="auto"/>
      </w:pPr>
    </w:p>
    <w:p w14:paraId="588A8AC0">
      <w:pPr>
        <w:snapToGrid w:val="0"/>
        <w:spacing w:before="156" w:beforeLines="50" w:after="156" w:afterLines="50" w:line="312" w:lineRule="auto"/>
        <w:jc w:val="center"/>
        <w:outlineLvl w:val="1"/>
        <w:rPr>
          <w:rFonts w:ascii="Times New Roman" w:hAnsi="Times New Roman" w:eastAsia="黑体" w:cs="Times New Roman"/>
          <w:iCs/>
          <w:color w:val="000000" w:themeColor="text1"/>
          <w:kern w:val="0"/>
          <w:sz w:val="28"/>
          <w14:textFill>
            <w14:solidFill>
              <w14:schemeClr w14:val="tx1"/>
            </w14:solidFill>
          </w14:textFill>
        </w:rPr>
      </w:pPr>
      <w:bookmarkStart w:id="95" w:name="_Toc4741"/>
      <w:r>
        <w:rPr>
          <w:rFonts w:ascii="Times New Roman" w:hAnsi="Times New Roman" w:eastAsia="黑体" w:cs="Times New Roman"/>
          <w:iCs/>
          <w:color w:val="000000" w:themeColor="text1"/>
          <w:kern w:val="0"/>
          <w:sz w:val="28"/>
          <w14:textFill>
            <w14:solidFill>
              <w14:schemeClr w14:val="tx1"/>
            </w14:solidFill>
          </w14:textFill>
        </w:rPr>
        <w:t>5.</w:t>
      </w:r>
      <w:r>
        <w:rPr>
          <w:rFonts w:hint="eastAsia" w:ascii="Times New Roman" w:hAnsi="Times New Roman" w:eastAsia="黑体" w:cs="Times New Roman"/>
          <w:iCs/>
          <w:color w:val="000000" w:themeColor="text1"/>
          <w:kern w:val="0"/>
          <w:sz w:val="28"/>
          <w:lang w:val="en-US" w:eastAsia="zh-CN"/>
          <w14:textFill>
            <w14:solidFill>
              <w14:schemeClr w14:val="tx1"/>
            </w14:solidFill>
          </w14:textFill>
        </w:rPr>
        <w:t>4</w:t>
      </w:r>
      <w:r>
        <w:rPr>
          <w:rFonts w:ascii="Times New Roman" w:hAnsi="Times New Roman" w:eastAsia="黑体" w:cs="Times New Roman"/>
          <w:iCs/>
          <w:color w:val="000000" w:themeColor="text1"/>
          <w:kern w:val="0"/>
          <w:sz w:val="28"/>
          <w14:textFill>
            <w14:solidFill>
              <w14:schemeClr w14:val="tx1"/>
            </w14:solidFill>
          </w14:textFill>
        </w:rPr>
        <w:t>　</w:t>
      </w:r>
      <w:r>
        <w:rPr>
          <w:rFonts w:hint="eastAsia" w:ascii="Times New Roman" w:hAnsi="Times New Roman" w:eastAsia="黑体" w:cs="Times New Roman"/>
          <w:iCs/>
          <w:color w:val="000000" w:themeColor="text1"/>
          <w:kern w:val="0"/>
          <w:sz w:val="28"/>
          <w:lang w:val="en-US" w:eastAsia="zh-CN"/>
          <w14:textFill>
            <w14:solidFill>
              <w14:schemeClr w14:val="tx1"/>
            </w14:solidFill>
          </w14:textFill>
        </w:rPr>
        <w:t>节点</w:t>
      </w:r>
      <w:r>
        <w:rPr>
          <w:rFonts w:ascii="Times New Roman" w:hAnsi="Times New Roman" w:eastAsia="黑体" w:cs="Times New Roman"/>
          <w:iCs/>
          <w:color w:val="000000" w:themeColor="text1"/>
          <w:kern w:val="0"/>
          <w:sz w:val="28"/>
          <w14:textFill>
            <w14:solidFill>
              <w14:schemeClr w14:val="tx1"/>
            </w14:solidFill>
          </w14:textFill>
        </w:rPr>
        <w:t>设计</w:t>
      </w:r>
      <w:bookmarkEnd w:id="95"/>
    </w:p>
    <w:p w14:paraId="31E9018B">
      <w:pPr>
        <w:pStyle w:val="14"/>
        <w:spacing w:beforeAutospacing="0" w:afterAutospacing="0" w:line="360" w:lineRule="auto"/>
        <w:rPr>
          <w:color w:val="000000" w:themeColor="text1"/>
          <w14:textFill>
            <w14:solidFill>
              <w14:schemeClr w14:val="tx1"/>
            </w14:solidFill>
          </w14:textFill>
        </w:rPr>
      </w:pPr>
      <w:bookmarkStart w:id="96" w:name="OLE_LINK36"/>
      <w:r>
        <w:rPr>
          <w:rFonts w:hint="eastAsia" w:ascii="Times New Roman" w:hAnsi="Times New Roman"/>
          <w:b/>
          <w:bCs/>
          <w:color w:val="000000" w:themeColor="text1"/>
          <w:lang w:val="en-US" w:eastAsia="zh-CN"/>
          <w14:textFill>
            <w14:solidFill>
              <w14:schemeClr w14:val="tx1"/>
            </w14:solidFill>
          </w14:textFill>
        </w:rPr>
        <w:t>5.4.1</w:t>
      </w:r>
      <w:bookmarkEnd w:id="96"/>
      <w:r>
        <w:rPr>
          <w:rFonts w:ascii="Times New Roman" w:hAnsi="Times New Roman"/>
          <w:color w:val="000000" w:themeColor="text1"/>
          <w:highlight w:val="none"/>
          <w14:textFill>
            <w14:solidFill>
              <w14:schemeClr w14:val="tx1"/>
            </w14:solidFill>
          </w14:textFill>
        </w:rPr>
        <w:t>水泥基耐磨地坪</w:t>
      </w:r>
      <w:r>
        <w:rPr>
          <w:rFonts w:hint="eastAsia" w:ascii="Times New Roman" w:hAnsi="Times New Roman"/>
          <w:color w:val="000000" w:themeColor="text1"/>
          <w14:textFill>
            <w14:solidFill>
              <w14:schemeClr w14:val="tx1"/>
            </w14:solidFill>
          </w14:textFill>
        </w:rPr>
        <w:t>的分缝宜美观整齐，混凝土应力分布应合理，</w:t>
      </w:r>
      <w:r>
        <w:rPr>
          <w:color w:val="000000" w:themeColor="text1"/>
          <w14:textFill>
            <w14:solidFill>
              <w14:schemeClr w14:val="tx1"/>
            </w14:solidFill>
          </w14:textFill>
        </w:rPr>
        <w:t>地面变形缝的设置，应符合下列要求：</w:t>
      </w:r>
    </w:p>
    <w:p w14:paraId="26234C37">
      <w:pPr>
        <w:pStyle w:val="14"/>
        <w:spacing w:beforeAutospacing="0" w:afterAutospacing="0"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1底层地面的沉降缝和楼层地面的沉降缝、伸缩缝、防震缝的设置，均应与结构相应的缝位置一致，且应贯通地面的各构造层，并做盖缝处理；</w:t>
      </w:r>
    </w:p>
    <w:p w14:paraId="16A5BAAD">
      <w:pPr>
        <w:pStyle w:val="14"/>
        <w:spacing w:beforeAutospacing="0" w:afterAutospacing="0" w:line="360" w:lineRule="auto"/>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2变形缝应设在排水坡的分水线上，不应通过有液体流经或聚集的部位；</w:t>
      </w:r>
    </w:p>
    <w:p w14:paraId="2EE55342">
      <w:pPr>
        <w:pStyle w:val="14"/>
        <w:spacing w:beforeAutospacing="0" w:afterAutospacing="0" w:line="360" w:lineRule="auto"/>
        <w:ind w:firstLine="480" w:firstLineChars="200"/>
        <w:rPr>
          <w:color w:val="000000" w:themeColor="text1"/>
          <w:highlight w:val="none"/>
          <w14:textFill>
            <w14:solidFill>
              <w14:schemeClr w14:val="tx1"/>
            </w14:solidFill>
          </w14:textFill>
        </w:rPr>
      </w:pPr>
      <w:r>
        <w:rPr>
          <w:rFonts w:hint="eastAsia"/>
          <w:color w:val="000000" w:themeColor="text1"/>
          <w14:textFill>
            <w14:solidFill>
              <w14:schemeClr w14:val="tx1"/>
            </w14:solidFill>
          </w14:textFill>
        </w:rPr>
        <w:t>3变形缝的构造应能使其产生位移或变形时，不受阻、不被破坏，且不破坏地面；变形缝的材料，应按不同要求分别选用具有防火、防水、保温、防油渗、防</w:t>
      </w:r>
      <w:r>
        <w:rPr>
          <w:rFonts w:hint="eastAsia"/>
          <w:color w:val="000000" w:themeColor="text1"/>
          <w:highlight w:val="none"/>
          <w14:textFill>
            <w14:solidFill>
              <w14:schemeClr w14:val="tx1"/>
            </w14:solidFill>
          </w14:textFill>
        </w:rPr>
        <w:t>腐蚀、防虫害性能的材料。</w:t>
      </w:r>
    </w:p>
    <w:p w14:paraId="679D0557">
      <w:pPr>
        <w:pStyle w:val="14"/>
        <w:spacing w:beforeAutospacing="0" w:afterAutospacing="0" w:line="360" w:lineRule="auto"/>
        <w:rPr>
          <w:rFonts w:hint="eastAsia"/>
          <w:color w:val="000000" w:themeColor="text1"/>
          <w:highlight w:val="none"/>
          <w14:textFill>
            <w14:solidFill>
              <w14:schemeClr w14:val="tx1"/>
            </w14:solidFill>
          </w14:textFill>
        </w:rPr>
      </w:pPr>
      <w:r>
        <w:rPr>
          <w:rFonts w:hint="eastAsia" w:ascii="Times New Roman" w:hAnsi="Times New Roman"/>
          <w:b/>
          <w:color w:val="000000" w:themeColor="text1"/>
          <w:kern w:val="2"/>
          <w:highlight w:val="none"/>
          <w:lang w:val="en-US" w:eastAsia="zh-CN"/>
          <w14:textFill>
            <w14:solidFill>
              <w14:schemeClr w14:val="tx1"/>
            </w14:solidFill>
          </w14:textFill>
        </w:rPr>
        <w:t>5</w:t>
      </w:r>
      <w:r>
        <w:rPr>
          <w:rFonts w:ascii="Times New Roman" w:hAnsi="Times New Roman"/>
          <w:b/>
          <w:color w:val="000000" w:themeColor="text1"/>
          <w:kern w:val="2"/>
          <w:highlight w:val="none"/>
          <w14:textFill>
            <w14:solidFill>
              <w14:schemeClr w14:val="tx1"/>
            </w14:solidFill>
          </w14:textFill>
        </w:rPr>
        <w:t>.</w:t>
      </w:r>
      <w:r>
        <w:rPr>
          <w:rFonts w:hint="eastAsia" w:ascii="Times New Roman" w:hAnsi="Times New Roman"/>
          <w:b/>
          <w:color w:val="000000" w:themeColor="text1"/>
          <w:kern w:val="2"/>
          <w:highlight w:val="none"/>
          <w:lang w:val="en-US" w:eastAsia="zh-CN"/>
          <w14:textFill>
            <w14:solidFill>
              <w14:schemeClr w14:val="tx1"/>
            </w14:solidFill>
          </w14:textFill>
        </w:rPr>
        <w:t>4.2</w:t>
      </w:r>
      <w:r>
        <w:rPr>
          <w:color w:val="000000" w:themeColor="text1"/>
          <w:highlight w:val="none"/>
          <w14:textFill>
            <w14:solidFill>
              <w14:schemeClr w14:val="tx1"/>
            </w14:solidFill>
          </w14:textFill>
        </w:rPr>
        <w:t xml:space="preserve"> </w:t>
      </w:r>
      <w:r>
        <w:rPr>
          <w:rFonts w:hint="eastAsia"/>
          <w:color w:val="000000" w:themeColor="text1"/>
          <w:highlight w:val="none"/>
          <w:lang w:val="en-US" w:eastAsia="zh-CN"/>
          <w14:textFill>
            <w14:solidFill>
              <w14:schemeClr w14:val="tx1"/>
            </w14:solidFill>
          </w14:textFill>
        </w:rPr>
        <w:t>地面层的</w:t>
      </w:r>
      <w:r>
        <w:rPr>
          <w:color w:val="000000" w:themeColor="text1"/>
          <w:highlight w:val="none"/>
          <w14:textFill>
            <w14:solidFill>
              <w14:schemeClr w14:val="tx1"/>
            </w14:solidFill>
          </w14:textFill>
        </w:rPr>
        <w:t>混凝土垫层，应设置纵向缩缝和横向缩缝，并应符合</w:t>
      </w:r>
      <w:r>
        <w:rPr>
          <w:rFonts w:hint="eastAsia"/>
          <w:color w:val="000000" w:themeColor="text1"/>
          <w:highlight w:val="none"/>
          <w14:textFill>
            <w14:solidFill>
              <w14:schemeClr w14:val="tx1"/>
            </w14:solidFill>
          </w14:textFill>
        </w:rPr>
        <w:t>现行国家规范GB</w:t>
      </w:r>
      <w:r>
        <w:rPr>
          <w:color w:val="000000" w:themeColor="text1"/>
          <w:highlight w:val="none"/>
          <w14:textFill>
            <w14:solidFill>
              <w14:schemeClr w14:val="tx1"/>
            </w14:solidFill>
          </w14:textFill>
        </w:rPr>
        <w:t>50037</w:t>
      </w:r>
      <w:r>
        <w:rPr>
          <w:rFonts w:hint="eastAsia"/>
          <w:color w:val="000000" w:themeColor="text1"/>
          <w:highlight w:val="none"/>
          <w14:textFill>
            <w14:solidFill>
              <w14:schemeClr w14:val="tx1"/>
            </w14:solidFill>
          </w14:textFill>
        </w:rPr>
        <w:t>规定要</w:t>
      </w:r>
      <w:r>
        <w:rPr>
          <w:rFonts w:hint="eastAsia" w:ascii="Times New Roman" w:hAnsi="Times New Roman"/>
          <w:bCs/>
          <w:color w:val="000000" w:themeColor="text1"/>
          <w:highlight w:val="none"/>
          <w14:textFill>
            <w14:solidFill>
              <w14:schemeClr w14:val="tx1"/>
            </w14:solidFill>
          </w14:textFill>
        </w:rPr>
        <w:t>求。</w:t>
      </w:r>
    </w:p>
    <w:p w14:paraId="4F43A15C">
      <w:pPr>
        <w:pStyle w:val="14"/>
        <w:spacing w:beforeAutospacing="0" w:afterAutospacing="0" w:line="360" w:lineRule="auto"/>
        <w:rPr>
          <w:rFonts w:hint="eastAsia"/>
          <w:color w:val="000000" w:themeColor="text1"/>
          <w:highlight w:val="none"/>
          <w14:textFill>
            <w14:solidFill>
              <w14:schemeClr w14:val="tx1"/>
            </w14:solidFill>
          </w14:textFill>
        </w:rPr>
      </w:pPr>
      <w:r>
        <w:rPr>
          <w:rFonts w:hint="eastAsia" w:ascii="Times New Roman" w:hAnsi="Times New Roman" w:cs="Times New Roman"/>
          <w:b/>
          <w:color w:val="000000" w:themeColor="text1"/>
          <w:sz w:val="24"/>
          <w:highlight w:val="none"/>
          <w:lang w:val="en-US" w:eastAsia="zh-CN"/>
          <w14:textFill>
            <w14:solidFill>
              <w14:schemeClr w14:val="tx1"/>
            </w14:solidFill>
          </w14:textFill>
        </w:rPr>
        <w:t>5</w:t>
      </w:r>
      <w:r>
        <w:rPr>
          <w:rFonts w:ascii="Times New Roman" w:hAnsi="Times New Roman" w:cs="Times New Roman"/>
          <w:b/>
          <w:color w:val="000000" w:themeColor="text1"/>
          <w:sz w:val="24"/>
          <w:highlight w:val="none"/>
          <w14:textFill>
            <w14:solidFill>
              <w14:schemeClr w14:val="tx1"/>
            </w14:solidFill>
          </w14:textFill>
        </w:rPr>
        <w:t>.</w:t>
      </w:r>
      <w:r>
        <w:rPr>
          <w:rFonts w:hint="eastAsia" w:ascii="Times New Roman" w:hAnsi="Times New Roman" w:cs="Times New Roman"/>
          <w:b/>
          <w:color w:val="000000" w:themeColor="text1"/>
          <w:sz w:val="24"/>
          <w:highlight w:val="none"/>
          <w:lang w:val="en-US" w:eastAsia="zh-CN"/>
          <w14:textFill>
            <w14:solidFill>
              <w14:schemeClr w14:val="tx1"/>
            </w14:solidFill>
          </w14:textFill>
        </w:rPr>
        <w:t>4.3</w:t>
      </w:r>
      <w:r>
        <w:rPr>
          <w:rFonts w:hint="eastAsia"/>
          <w:color w:val="000000" w:themeColor="text1"/>
          <w:highlight w:val="none"/>
          <w14:textFill>
            <w14:solidFill>
              <w14:schemeClr w14:val="tx1"/>
            </w14:solidFill>
          </w14:textFill>
        </w:rPr>
        <w:t>有强烈冲击、磨损</w:t>
      </w:r>
      <w:r>
        <w:rPr>
          <w:rFonts w:hint="eastAsia"/>
          <w:color w:val="000000" w:themeColor="text1"/>
          <w:highlight w:val="none"/>
          <w:lang w:val="en-US" w:eastAsia="zh-CN"/>
          <w14:textFill>
            <w14:solidFill>
              <w14:schemeClr w14:val="tx1"/>
            </w14:solidFill>
          </w14:textFill>
        </w:rPr>
        <w:t>处</w:t>
      </w:r>
      <w:r>
        <w:rPr>
          <w:rFonts w:hint="eastAsia"/>
          <w:color w:val="000000" w:themeColor="text1"/>
          <w:highlight w:val="none"/>
          <w14:textFill>
            <w14:solidFill>
              <w14:schemeClr w14:val="tx1"/>
            </w14:solidFill>
          </w14:textFill>
        </w:rPr>
        <w:t>的沟、坑边缘以及经常受磕碰、撞击、摩擦的坡道、台阶的边缘，应采取加强措施。</w:t>
      </w:r>
    </w:p>
    <w:p w14:paraId="17AC8197">
      <w:pPr>
        <w:pStyle w:val="14"/>
        <w:spacing w:beforeAutospacing="0" w:afterAutospacing="0" w:line="360" w:lineRule="auto"/>
        <w:ind w:firstLine="480" w:firstLineChars="200"/>
        <w:rPr>
          <w:rFonts w:hint="eastAsia"/>
          <w:color w:val="000000" w:themeColor="text1"/>
          <w14:textFill>
            <w14:solidFill>
              <w14:schemeClr w14:val="tx1"/>
            </w14:solidFill>
          </w14:textFill>
        </w:rPr>
      </w:pPr>
    </w:p>
    <w:p w14:paraId="261C3259">
      <w:pPr>
        <w:widowControl/>
        <w:jc w:val="left"/>
        <w:rPr>
          <w:rFonts w:ascii="Times New Roman" w:hAnsi="Times New Roman" w:cs="Times New Roman"/>
          <w:szCs w:val="21"/>
        </w:rPr>
      </w:pPr>
      <w:r>
        <w:rPr>
          <w:rFonts w:ascii="Times New Roman" w:hAnsi="Times New Roman" w:cs="Times New Roman"/>
          <w:szCs w:val="21"/>
        </w:rPr>
        <w:br w:type="page"/>
      </w:r>
    </w:p>
    <w:bookmarkEnd w:id="91"/>
    <w:bookmarkEnd w:id="92"/>
    <w:bookmarkEnd w:id="93"/>
    <w:p w14:paraId="3D7ACCC0">
      <w:pPr>
        <w:pStyle w:val="2"/>
        <w:keepNext w:val="0"/>
        <w:keepLines w:val="0"/>
        <w:snapToGrid w:val="0"/>
        <w:spacing w:before="312" w:beforeLines="100" w:after="312" w:afterLines="100" w:line="360" w:lineRule="auto"/>
        <w:jc w:val="center"/>
        <w:rPr>
          <w:rFonts w:ascii="Times New Roman" w:hAnsi="Times New Roman" w:eastAsia="宋体" w:cs="Times New Roman"/>
          <w:b/>
          <w:color w:val="000000" w:themeColor="text1"/>
          <w:sz w:val="32"/>
          <w:szCs w:val="28"/>
          <w:lang w:val="zh-CN"/>
          <w14:textFill>
            <w14:solidFill>
              <w14:schemeClr w14:val="tx1"/>
            </w14:solidFill>
          </w14:textFill>
        </w:rPr>
      </w:pPr>
      <w:bookmarkStart w:id="97" w:name="_Toc99353169"/>
      <w:bookmarkStart w:id="98" w:name="_Toc21641"/>
      <w:bookmarkStart w:id="99" w:name="_Toc533422622"/>
      <w:bookmarkStart w:id="100" w:name="_Toc533422982"/>
      <w:bookmarkStart w:id="101" w:name="_Toc533422752"/>
      <w:r>
        <w:rPr>
          <w:rFonts w:ascii="Times New Roman" w:hAnsi="Times New Roman" w:eastAsia="宋体" w:cs="Times New Roman"/>
          <w:b/>
          <w:color w:val="000000" w:themeColor="text1"/>
          <w:sz w:val="32"/>
          <w:szCs w:val="28"/>
          <w:lang w:val="zh-CN"/>
          <w14:textFill>
            <w14:solidFill>
              <w14:schemeClr w14:val="tx1"/>
            </w14:solidFill>
          </w14:textFill>
        </w:rPr>
        <w:t>6　施　　工</w:t>
      </w:r>
      <w:bookmarkEnd w:id="97"/>
      <w:bookmarkEnd w:id="98"/>
    </w:p>
    <w:p w14:paraId="3C6F4C75">
      <w:pPr>
        <w:snapToGrid w:val="0"/>
        <w:spacing w:before="156" w:beforeLines="50" w:after="156" w:afterLines="50" w:line="312" w:lineRule="auto"/>
        <w:jc w:val="center"/>
        <w:outlineLvl w:val="1"/>
        <w:rPr>
          <w:rFonts w:ascii="Times New Roman" w:hAnsi="Times New Roman" w:eastAsia="黑体" w:cs="Times New Roman"/>
          <w:iCs/>
          <w:color w:val="000000" w:themeColor="text1"/>
          <w:kern w:val="0"/>
          <w:sz w:val="28"/>
          <w14:textFill>
            <w14:solidFill>
              <w14:schemeClr w14:val="tx1"/>
            </w14:solidFill>
          </w14:textFill>
        </w:rPr>
      </w:pPr>
      <w:bookmarkStart w:id="102" w:name="_Toc99353170"/>
      <w:bookmarkStart w:id="103" w:name="_Toc27094"/>
      <w:r>
        <w:rPr>
          <w:rFonts w:ascii="Times New Roman" w:hAnsi="Times New Roman" w:eastAsia="黑体" w:cs="Times New Roman"/>
          <w:iCs/>
          <w:color w:val="000000" w:themeColor="text1"/>
          <w:kern w:val="0"/>
          <w:sz w:val="28"/>
          <w14:textFill>
            <w14:solidFill>
              <w14:schemeClr w14:val="tx1"/>
            </w14:solidFill>
          </w14:textFill>
        </w:rPr>
        <w:t>6.1　一般规定</w:t>
      </w:r>
      <w:bookmarkEnd w:id="102"/>
      <w:bookmarkEnd w:id="103"/>
    </w:p>
    <w:p w14:paraId="53A0093B">
      <w:pPr>
        <w:spacing w:line="312" w:lineRule="auto"/>
        <w:rPr>
          <w:rFonts w:hint="eastAsia" w:ascii="Times New Roman" w:hAnsi="Times New Roman" w:cs="Times New Roman"/>
          <w:strike/>
          <w:dstrike w:val="0"/>
          <w:sz w:val="24"/>
        </w:rPr>
      </w:pPr>
      <w:r>
        <w:rPr>
          <w:rFonts w:ascii="Times New Roman" w:hAnsi="Times New Roman" w:cs="Times New Roman"/>
          <w:b/>
          <w:color w:val="000000" w:themeColor="text1"/>
          <w:sz w:val="24"/>
          <w14:textFill>
            <w14:solidFill>
              <w14:schemeClr w14:val="tx1"/>
            </w14:solidFill>
          </w14:textFill>
        </w:rPr>
        <w:t>6.1.1　</w:t>
      </w:r>
      <w:r>
        <w:rPr>
          <w:rFonts w:ascii="Times New Roman" w:hAnsi="Times New Roman" w:cs="Times New Roman"/>
          <w:sz w:val="24"/>
        </w:rPr>
        <w:t>施工前应根据设计</w:t>
      </w:r>
      <w:r>
        <w:rPr>
          <w:rFonts w:hint="eastAsia" w:ascii="Times New Roman" w:hAnsi="Times New Roman" w:cs="Times New Roman"/>
          <w:sz w:val="24"/>
        </w:rPr>
        <w:t>规定</w:t>
      </w:r>
      <w:r>
        <w:rPr>
          <w:rFonts w:ascii="Times New Roman" w:hAnsi="Times New Roman" w:cs="Times New Roman"/>
          <w:sz w:val="24"/>
        </w:rPr>
        <w:t>和材料使用说明编</w:t>
      </w:r>
      <w:r>
        <w:rPr>
          <w:rFonts w:hint="eastAsia" w:ascii="Times New Roman" w:hAnsi="Times New Roman" w:cs="Times New Roman"/>
          <w:sz w:val="24"/>
          <w:lang w:val="en-US" w:eastAsia="zh-CN"/>
        </w:rPr>
        <w:t>写</w:t>
      </w:r>
      <w:r>
        <w:rPr>
          <w:rFonts w:ascii="Times New Roman" w:hAnsi="Times New Roman" w:cs="Times New Roman"/>
          <w:sz w:val="24"/>
        </w:rPr>
        <w:t>施工方案</w:t>
      </w:r>
      <w:r>
        <w:rPr>
          <w:rFonts w:hint="eastAsia" w:ascii="Times New Roman" w:hAnsi="Times New Roman" w:cs="Times New Roman"/>
          <w:sz w:val="24"/>
          <w:lang w:eastAsia="zh-CN"/>
        </w:rPr>
        <w:t>，</w:t>
      </w:r>
      <w:r>
        <w:rPr>
          <w:rFonts w:hint="eastAsia" w:ascii="Times New Roman" w:hAnsi="Times New Roman" w:cs="Times New Roman"/>
          <w:sz w:val="24"/>
          <w:lang w:val="en-US" w:eastAsia="zh-CN"/>
        </w:rPr>
        <w:t>并</w:t>
      </w:r>
      <w:r>
        <w:rPr>
          <w:rFonts w:hint="eastAsia" w:ascii="Times New Roman" w:hAnsi="Times New Roman" w:cs="Times New Roman"/>
          <w:sz w:val="24"/>
          <w:lang w:eastAsia="zh-CN"/>
        </w:rPr>
        <w:t>进行技术及安全交底</w:t>
      </w:r>
      <w:r>
        <w:rPr>
          <w:rFonts w:ascii="Times New Roman" w:hAnsi="Times New Roman" w:cs="Times New Roman"/>
          <w:color w:val="000000" w:themeColor="text1"/>
          <w:sz w:val="24"/>
          <w14:textFill>
            <w14:solidFill>
              <w14:schemeClr w14:val="tx1"/>
            </w14:solidFill>
          </w14:textFill>
        </w:rPr>
        <w:t>。</w:t>
      </w:r>
    </w:p>
    <w:p w14:paraId="218C06B7">
      <w:pPr>
        <w:spacing w:line="312" w:lineRule="auto"/>
        <w:rPr>
          <w:rFonts w:ascii="Times New Roman" w:hAnsi="Times New Roman" w:cs="Times New Roman"/>
          <w:color w:val="000000" w:themeColor="text1"/>
          <w:sz w:val="24"/>
          <w:highlight w:val="none"/>
          <w14:textFill>
            <w14:solidFill>
              <w14:schemeClr w14:val="tx1"/>
            </w14:solidFill>
          </w14:textFill>
        </w:rPr>
      </w:pPr>
      <w:r>
        <w:rPr>
          <w:rFonts w:ascii="Times New Roman" w:hAnsi="Times New Roman" w:cs="Times New Roman"/>
          <w:b/>
          <w:color w:val="000000" w:themeColor="text1"/>
          <w:sz w:val="24"/>
          <w:highlight w:val="none"/>
          <w14:textFill>
            <w14:solidFill>
              <w14:schemeClr w14:val="tx1"/>
            </w14:solidFill>
          </w14:textFill>
        </w:rPr>
        <w:t>6.1.2　</w:t>
      </w:r>
      <w:r>
        <w:rPr>
          <w:rFonts w:hint="eastAsia" w:ascii="Times New Roman" w:hAnsi="Times New Roman" w:cs="Times New Roman"/>
          <w:sz w:val="24"/>
          <w:highlight w:val="none"/>
        </w:rPr>
        <w:t>大面积施工前宜选择适当位置进行小面积的局部施工</w:t>
      </w:r>
      <w:r>
        <w:rPr>
          <w:rFonts w:hint="eastAsia" w:ascii="Times New Roman" w:hAnsi="Times New Roman" w:cs="Times New Roman"/>
          <w:sz w:val="24"/>
          <w:highlight w:val="none"/>
          <w:lang w:eastAsia="zh-CN"/>
        </w:rPr>
        <w:t>，</w:t>
      </w:r>
      <w:r>
        <w:rPr>
          <w:rFonts w:ascii="Times New Roman" w:hAnsi="Times New Roman" w:cs="Times New Roman"/>
          <w:sz w:val="24"/>
          <w:highlight w:val="none"/>
        </w:rPr>
        <w:t>选择不低于20m</w:t>
      </w:r>
      <w:r>
        <w:rPr>
          <w:rFonts w:ascii="Times New Roman" w:hAnsi="Times New Roman" w:cs="Times New Roman"/>
          <w:sz w:val="24"/>
          <w:highlight w:val="none"/>
          <w:vertAlign w:val="superscript"/>
        </w:rPr>
        <w:t>2</w:t>
      </w:r>
      <w:r>
        <w:rPr>
          <w:rFonts w:ascii="Times New Roman" w:hAnsi="Times New Roman" w:cs="Times New Roman"/>
          <w:sz w:val="24"/>
          <w:highlight w:val="none"/>
        </w:rPr>
        <w:t>面积进行样板施工，对所用的材料、施工工艺及施工质量等进行验证</w:t>
      </w:r>
      <w:r>
        <w:rPr>
          <w:rFonts w:ascii="Times New Roman" w:hAnsi="Times New Roman" w:cs="Times New Roman"/>
          <w:color w:val="000000" w:themeColor="text1"/>
          <w:sz w:val="24"/>
          <w:highlight w:val="none"/>
          <w14:textFill>
            <w14:solidFill>
              <w14:schemeClr w14:val="tx1"/>
            </w14:solidFill>
          </w14:textFill>
        </w:rPr>
        <w:t>。</w:t>
      </w:r>
    </w:p>
    <w:p w14:paraId="1A0B306E">
      <w:pPr>
        <w:spacing w:line="312" w:lineRule="auto"/>
        <w:rPr>
          <w:rFonts w:hint="eastAsia" w:ascii="Times New Roman" w:hAnsi="Times New Roman" w:cs="Times New Roman" w:eastAsiaTheme="minorEastAsia"/>
          <w:color w:val="000000" w:themeColor="text1"/>
          <w:sz w:val="24"/>
          <w:highlight w:val="none"/>
          <w:lang w:eastAsia="zh-CN"/>
          <w14:textFill>
            <w14:solidFill>
              <w14:schemeClr w14:val="tx1"/>
            </w14:solidFill>
          </w14:textFill>
        </w:rPr>
      </w:pPr>
      <w:r>
        <w:rPr>
          <w:rFonts w:ascii="Times New Roman" w:hAnsi="Times New Roman" w:cs="Times New Roman"/>
          <w:b/>
          <w:color w:val="000000" w:themeColor="text1"/>
          <w:sz w:val="24"/>
          <w:highlight w:val="none"/>
          <w14:textFill>
            <w14:solidFill>
              <w14:schemeClr w14:val="tx1"/>
            </w14:solidFill>
          </w14:textFill>
        </w:rPr>
        <w:t>6.1.3　</w:t>
      </w:r>
      <w:r>
        <w:rPr>
          <w:rFonts w:ascii="Times New Roman" w:hAnsi="Times New Roman" w:cs="Times New Roman"/>
          <w:sz w:val="24"/>
          <w:highlight w:val="none"/>
        </w:rPr>
        <w:t>施工应在主体结构及地面基层、线槽等隐蔽工程验收合格后进行。应按规定的工序进行，</w:t>
      </w:r>
      <w:r>
        <w:rPr>
          <w:rFonts w:hint="eastAsia" w:ascii="Times New Roman" w:hAnsi="Times New Roman" w:cs="Times New Roman"/>
          <w:sz w:val="24"/>
          <w:highlight w:val="none"/>
        </w:rPr>
        <w:t>并应</w:t>
      </w:r>
      <w:r>
        <w:rPr>
          <w:rFonts w:ascii="Times New Roman" w:hAnsi="Times New Roman" w:cs="Times New Roman"/>
          <w:sz w:val="24"/>
          <w:highlight w:val="none"/>
        </w:rPr>
        <w:t>在上一道工序完成并</w:t>
      </w:r>
      <w:r>
        <w:rPr>
          <w:rFonts w:hint="eastAsia" w:ascii="Times New Roman" w:hAnsi="Times New Roman" w:cs="Times New Roman"/>
          <w:sz w:val="24"/>
          <w:highlight w:val="none"/>
          <w:lang w:val="en-US" w:eastAsia="zh-CN"/>
        </w:rPr>
        <w:t>验收</w:t>
      </w:r>
      <w:r>
        <w:rPr>
          <w:rFonts w:ascii="Times New Roman" w:hAnsi="Times New Roman" w:cs="Times New Roman"/>
          <w:sz w:val="24"/>
          <w:highlight w:val="none"/>
        </w:rPr>
        <w:t>合格后方可进行下一道工序施工。各道工序应有完整施工检查记录</w:t>
      </w:r>
      <w:r>
        <w:rPr>
          <w:rFonts w:hint="eastAsia" w:ascii="Times New Roman" w:hAnsi="Times New Roman" w:cs="Times New Roman"/>
          <w:sz w:val="24"/>
          <w:highlight w:val="none"/>
          <w:lang w:eastAsia="zh-CN"/>
        </w:rPr>
        <w:t>。</w:t>
      </w:r>
    </w:p>
    <w:p w14:paraId="16966C25">
      <w:pPr>
        <w:spacing w:line="312" w:lineRule="auto"/>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highlight w:val="none"/>
          <w14:textFill>
            <w14:solidFill>
              <w14:schemeClr w14:val="tx1"/>
            </w14:solidFill>
          </w14:textFill>
        </w:rPr>
        <w:t>6.1.4</w:t>
      </w:r>
      <w:r>
        <w:rPr>
          <w:rFonts w:ascii="Times New Roman" w:hAnsi="Times New Roman" w:cs="Times New Roman"/>
          <w:b/>
          <w:color w:val="000000" w:themeColor="text1"/>
          <w:sz w:val="24"/>
          <w14:textFill>
            <w14:solidFill>
              <w14:schemeClr w14:val="tx1"/>
            </w14:solidFill>
          </w14:textFill>
        </w:rPr>
        <w:t>　</w:t>
      </w:r>
      <w:r>
        <w:rPr>
          <w:rFonts w:ascii="Times New Roman" w:hAnsi="Times New Roman" w:cs="Times New Roman"/>
          <w:sz w:val="24"/>
        </w:rPr>
        <w:t>现场配料应</w:t>
      </w:r>
      <w:r>
        <w:rPr>
          <w:rFonts w:hint="eastAsia" w:ascii="Times New Roman" w:hAnsi="Times New Roman" w:cs="Times New Roman"/>
          <w:sz w:val="24"/>
          <w:lang w:val="en-US" w:eastAsia="zh-CN"/>
        </w:rPr>
        <w:t>按照</w:t>
      </w:r>
      <w:r>
        <w:rPr>
          <w:rFonts w:ascii="Times New Roman" w:hAnsi="Times New Roman" w:cs="Times New Roman"/>
          <w:sz w:val="24"/>
        </w:rPr>
        <w:t>产品使用说明</w:t>
      </w:r>
      <w:r>
        <w:rPr>
          <w:rFonts w:hint="eastAsia" w:ascii="Times New Roman" w:hAnsi="Times New Roman" w:cs="Times New Roman"/>
          <w:sz w:val="24"/>
          <w:lang w:val="en-US" w:eastAsia="zh-CN"/>
        </w:rPr>
        <w:t>书</w:t>
      </w:r>
      <w:r>
        <w:rPr>
          <w:rFonts w:ascii="Times New Roman" w:hAnsi="Times New Roman" w:cs="Times New Roman"/>
          <w:sz w:val="24"/>
        </w:rPr>
        <w:t>的规定</w:t>
      </w:r>
      <w:r>
        <w:rPr>
          <w:rFonts w:hint="eastAsia" w:ascii="Times New Roman" w:hAnsi="Times New Roman" w:cs="Times New Roman"/>
          <w:sz w:val="24"/>
          <w:lang w:val="en-US" w:eastAsia="zh-CN"/>
        </w:rPr>
        <w:t>进行</w:t>
      </w:r>
      <w:r>
        <w:rPr>
          <w:rFonts w:ascii="Times New Roman" w:hAnsi="Times New Roman" w:cs="Times New Roman"/>
          <w:sz w:val="24"/>
        </w:rPr>
        <w:t>，施工后的</w:t>
      </w:r>
      <w:r>
        <w:rPr>
          <w:rFonts w:hint="eastAsia" w:ascii="Times New Roman" w:hAnsi="Times New Roman" w:cs="Times New Roman"/>
          <w:sz w:val="24"/>
          <w:lang w:val="en-US" w:eastAsia="zh-CN"/>
        </w:rPr>
        <w:t>剩余</w:t>
      </w:r>
      <w:r>
        <w:rPr>
          <w:rFonts w:ascii="Times New Roman" w:hAnsi="Times New Roman" w:cs="Times New Roman"/>
          <w:sz w:val="24"/>
        </w:rPr>
        <w:t>材料及包装</w:t>
      </w:r>
      <w:r>
        <w:rPr>
          <w:rFonts w:hint="eastAsia" w:ascii="Times New Roman" w:hAnsi="Times New Roman" w:cs="Times New Roman"/>
          <w:sz w:val="24"/>
        </w:rPr>
        <w:t>物</w:t>
      </w:r>
      <w:r>
        <w:rPr>
          <w:rFonts w:ascii="Times New Roman" w:hAnsi="Times New Roman" w:cs="Times New Roman"/>
          <w:sz w:val="24"/>
        </w:rPr>
        <w:t>应回收，不得随意倾倒或丢弃。施工后地坪的养护及成品保护应按材料使用说明</w:t>
      </w:r>
      <w:r>
        <w:rPr>
          <w:rFonts w:hint="eastAsia" w:ascii="Times New Roman" w:hAnsi="Times New Roman" w:cs="Times New Roman"/>
          <w:sz w:val="24"/>
          <w:lang w:val="en-US" w:eastAsia="zh-CN"/>
        </w:rPr>
        <w:t>书的规定</w:t>
      </w:r>
      <w:r>
        <w:rPr>
          <w:rFonts w:ascii="Times New Roman" w:hAnsi="Times New Roman" w:cs="Times New Roman"/>
          <w:sz w:val="24"/>
        </w:rPr>
        <w:t>进行</w:t>
      </w:r>
      <w:r>
        <w:rPr>
          <w:rFonts w:ascii="Times New Roman" w:hAnsi="Times New Roman" w:cs="Times New Roman"/>
          <w:bCs/>
          <w:color w:val="000000" w:themeColor="text1"/>
          <w:sz w:val="24"/>
          <w14:textFill>
            <w14:solidFill>
              <w14:schemeClr w14:val="tx1"/>
            </w14:solidFill>
          </w14:textFill>
        </w:rPr>
        <w:t>。</w:t>
      </w:r>
    </w:p>
    <w:p w14:paraId="5655C7CC">
      <w:pPr>
        <w:tabs>
          <w:tab w:val="right" w:pos="8306"/>
        </w:tabs>
        <w:spacing w:line="312" w:lineRule="auto"/>
        <w:rPr>
          <w:rFonts w:hint="eastAsia" w:ascii="Times New Roman" w:hAnsi="Times New Roman" w:cs="Times New Roman"/>
          <w:sz w:val="24"/>
          <w:highlight w:val="yellow"/>
          <w:lang w:eastAsia="zh-CN"/>
        </w:rPr>
      </w:pPr>
      <w:r>
        <w:rPr>
          <w:rFonts w:ascii="Times New Roman" w:hAnsi="Times New Roman" w:cs="Times New Roman"/>
          <w:b/>
          <w:color w:val="000000" w:themeColor="text1"/>
          <w:sz w:val="24"/>
          <w14:textFill>
            <w14:solidFill>
              <w14:schemeClr w14:val="tx1"/>
            </w14:solidFill>
          </w14:textFill>
        </w:rPr>
        <w:t>6.1.5　</w:t>
      </w:r>
      <w:r>
        <w:rPr>
          <w:rFonts w:ascii="Times New Roman" w:hAnsi="Times New Roman" w:cs="Times New Roman"/>
          <w:sz w:val="24"/>
        </w:rPr>
        <w:t>同一连续施工面</w:t>
      </w:r>
      <w:r>
        <w:rPr>
          <w:rFonts w:hint="eastAsia" w:ascii="Times New Roman" w:hAnsi="Times New Roman" w:cs="Times New Roman"/>
          <w:sz w:val="24"/>
          <w:lang w:val="en-US" w:eastAsia="zh-CN"/>
        </w:rPr>
        <w:t>宜采用</w:t>
      </w:r>
      <w:r>
        <w:rPr>
          <w:rFonts w:ascii="Times New Roman" w:hAnsi="Times New Roman" w:cs="Times New Roman"/>
          <w:sz w:val="24"/>
        </w:rPr>
        <w:t>同一批次材料。</w:t>
      </w:r>
      <w:r>
        <w:rPr>
          <w:rFonts w:hint="eastAsia" w:ascii="Times New Roman" w:hAnsi="Times New Roman" w:eastAsia="宋体" w:cs="Times New Roman"/>
          <w:color w:val="000000" w:themeColor="text1"/>
          <w:sz w:val="24"/>
          <w14:textFill>
            <w14:solidFill>
              <w14:schemeClr w14:val="tx1"/>
            </w14:solidFill>
          </w14:textFill>
        </w:rPr>
        <w:t>应对</w:t>
      </w:r>
      <w:r>
        <w:rPr>
          <w:rFonts w:hint="eastAsia" w:ascii="Times New Roman" w:hAnsi="Times New Roman" w:eastAsia="宋体" w:cs="Times New Roman"/>
          <w:color w:val="000000" w:themeColor="text1"/>
          <w:sz w:val="24"/>
          <w:lang w:val="en-US" w:eastAsia="zh-CN"/>
          <w14:textFill>
            <w14:solidFill>
              <w14:schemeClr w14:val="tx1"/>
            </w14:solidFill>
          </w14:textFill>
        </w:rPr>
        <w:t>批次、</w:t>
      </w:r>
      <w:r>
        <w:rPr>
          <w:rFonts w:hint="eastAsia" w:ascii="Times New Roman" w:hAnsi="Times New Roman" w:eastAsia="宋体" w:cs="Times New Roman"/>
          <w:color w:val="000000" w:themeColor="text1"/>
          <w:sz w:val="24"/>
          <w14:textFill>
            <w14:solidFill>
              <w14:schemeClr w14:val="tx1"/>
            </w14:solidFill>
          </w14:textFill>
        </w:rPr>
        <w:t>型号、规格、外观等进行验收</w:t>
      </w:r>
      <w:r>
        <w:rPr>
          <w:rFonts w:hint="eastAsia" w:ascii="Times New Roman" w:hAnsi="Times New Roman" w:eastAsia="宋体" w:cs="Times New Roman"/>
          <w:color w:val="000000" w:themeColor="text1"/>
          <w:sz w:val="24"/>
          <w:lang w:eastAsia="zh-CN"/>
          <w14:textFill>
            <w14:solidFill>
              <w14:schemeClr w14:val="tx1"/>
            </w14:solidFill>
          </w14:textFill>
        </w:rPr>
        <w:t>。</w:t>
      </w:r>
    </w:p>
    <w:p w14:paraId="38DAB09A">
      <w:pPr>
        <w:spacing w:line="312" w:lineRule="auto"/>
        <w:rPr>
          <w:rFonts w:hint="eastAsia"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b/>
          <w:color w:val="000000" w:themeColor="text1"/>
          <w:sz w:val="24"/>
          <w:lang w:val="en-US" w:eastAsia="zh-CN"/>
          <w14:textFill>
            <w14:solidFill>
              <w14:schemeClr w14:val="tx1"/>
            </w14:solidFill>
          </w14:textFill>
        </w:rPr>
        <w:t>6.1</w:t>
      </w:r>
      <w:r>
        <w:rPr>
          <w:rFonts w:ascii="Times New Roman" w:hAnsi="Times New Roman" w:eastAsia="宋体" w:cs="Times New Roman"/>
          <w:b/>
          <w:color w:val="000000" w:themeColor="text1"/>
          <w:sz w:val="24"/>
          <w14:textFill>
            <w14:solidFill>
              <w14:schemeClr w14:val="tx1"/>
            </w14:solidFill>
          </w14:textFill>
        </w:rPr>
        <w:t xml:space="preserve">.6 </w:t>
      </w:r>
      <w:r>
        <w:rPr>
          <w:rFonts w:hint="eastAsia" w:ascii="Times New Roman" w:hAnsi="Times New Roman" w:eastAsia="宋体" w:cs="Times New Roman"/>
          <w:bCs/>
          <w:color w:val="000000" w:themeColor="text1"/>
          <w:sz w:val="24"/>
          <w14:textFill>
            <w14:solidFill>
              <w14:schemeClr w14:val="tx1"/>
            </w14:solidFill>
          </w14:textFill>
        </w:rPr>
        <w:t>材料进场</w:t>
      </w:r>
      <w:r>
        <w:rPr>
          <w:rFonts w:hint="eastAsia" w:ascii="Times New Roman" w:hAnsi="Times New Roman" w:eastAsia="宋体" w:cs="Times New Roman"/>
          <w:color w:val="000000" w:themeColor="text1"/>
          <w:sz w:val="24"/>
          <w14:textFill>
            <w14:solidFill>
              <w14:schemeClr w14:val="tx1"/>
            </w14:solidFill>
          </w14:textFill>
        </w:rPr>
        <w:t>应提供品合格证、出厂检验报告及有效期内的型式检验报告。</w:t>
      </w:r>
    </w:p>
    <w:p w14:paraId="0BA180F7">
      <w:pPr>
        <w:spacing w:line="312" w:lineRule="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eastAsia="宋体" w:cs="Times New Roman"/>
          <w:b/>
          <w:color w:val="000000" w:themeColor="text1"/>
          <w:sz w:val="24"/>
          <w:lang w:val="en-US" w:eastAsia="zh-CN"/>
          <w14:textFill>
            <w14:solidFill>
              <w14:schemeClr w14:val="tx1"/>
            </w14:solidFill>
          </w14:textFill>
        </w:rPr>
        <w:t>6.1</w:t>
      </w:r>
      <w:r>
        <w:rPr>
          <w:rFonts w:ascii="Times New Roman" w:hAnsi="Times New Roman" w:eastAsia="宋体" w:cs="Times New Roman"/>
          <w:b/>
          <w:color w:val="000000" w:themeColor="text1"/>
          <w:sz w:val="24"/>
          <w14:textFill>
            <w14:solidFill>
              <w14:schemeClr w14:val="tx1"/>
            </w14:solidFill>
          </w14:textFill>
        </w:rPr>
        <w:t>.7</w:t>
      </w:r>
      <w:r>
        <w:rPr>
          <w:rFonts w:hint="eastAsia" w:ascii="Times New Roman" w:hAnsi="Times New Roman" w:eastAsia="宋体" w:cs="Times New Roman"/>
          <w:b/>
          <w:color w:val="000000" w:themeColor="text1"/>
          <w:sz w:val="24"/>
          <w:lang w:val="en-US" w:eastAsia="zh-CN"/>
          <w14:textFill>
            <w14:solidFill>
              <w14:schemeClr w14:val="tx1"/>
            </w14:solidFill>
          </w14:textFill>
        </w:rPr>
        <w:t xml:space="preserve"> </w:t>
      </w:r>
      <w:r>
        <w:rPr>
          <w:rFonts w:ascii="Times New Roman" w:hAnsi="Times New Roman" w:cs="Times New Roman"/>
          <w:sz w:val="24"/>
        </w:rPr>
        <w:t>材料应贮存在阴凉、干燥、通风、远离火源和热源的场所，不得露天存放，贮存温度应符合产品说明书的规定</w:t>
      </w:r>
      <w:r>
        <w:rPr>
          <w:rFonts w:ascii="Times New Roman" w:hAnsi="Times New Roman" w:cs="Times New Roman"/>
          <w:color w:val="000000" w:themeColor="text1"/>
          <w:sz w:val="24"/>
          <w14:textFill>
            <w14:solidFill>
              <w14:schemeClr w14:val="tx1"/>
            </w14:solidFill>
          </w14:textFill>
        </w:rPr>
        <w:t>。</w:t>
      </w:r>
    </w:p>
    <w:p w14:paraId="4148CF12">
      <w:pPr>
        <w:snapToGrid w:val="0"/>
        <w:spacing w:before="156" w:beforeLines="50" w:after="156" w:afterLines="50" w:line="312" w:lineRule="auto"/>
        <w:jc w:val="center"/>
        <w:outlineLvl w:val="1"/>
        <w:rPr>
          <w:rFonts w:ascii="Times New Roman" w:hAnsi="Times New Roman" w:eastAsia="黑体" w:cs="Times New Roman"/>
          <w:iCs/>
          <w:color w:val="000000" w:themeColor="text1"/>
          <w:kern w:val="0"/>
          <w:sz w:val="28"/>
          <w14:textFill>
            <w14:solidFill>
              <w14:schemeClr w14:val="tx1"/>
            </w14:solidFill>
          </w14:textFill>
        </w:rPr>
      </w:pPr>
      <w:bookmarkStart w:id="104" w:name="_Toc99353171"/>
      <w:bookmarkStart w:id="105" w:name="_Toc3929"/>
      <w:r>
        <w:rPr>
          <w:rFonts w:ascii="Times New Roman" w:hAnsi="Times New Roman" w:eastAsia="黑体" w:cs="Times New Roman"/>
          <w:iCs/>
          <w:color w:val="000000" w:themeColor="text1"/>
          <w:kern w:val="0"/>
          <w:sz w:val="28"/>
          <w14:textFill>
            <w14:solidFill>
              <w14:schemeClr w14:val="tx1"/>
            </w14:solidFill>
          </w14:textFill>
        </w:rPr>
        <w:t>6.2　施工条件</w:t>
      </w:r>
      <w:bookmarkEnd w:id="104"/>
      <w:bookmarkEnd w:id="105"/>
    </w:p>
    <w:p w14:paraId="2F4D409D">
      <w:pPr>
        <w:spacing w:line="312" w:lineRule="auto"/>
        <w:rPr>
          <w:rFonts w:ascii="Times New Roman" w:hAnsi="Times New Roman" w:cs="Times New Roman"/>
          <w:b/>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6.2.1　</w:t>
      </w:r>
      <w:r>
        <w:rPr>
          <w:rFonts w:ascii="Times New Roman" w:hAnsi="Times New Roman" w:cs="Times New Roman"/>
          <w:sz w:val="24"/>
        </w:rPr>
        <w:t>施工环境温度宜为5</w:t>
      </w:r>
      <w:r>
        <w:rPr>
          <w:rFonts w:ascii="Times New Roman" w:hAnsi="Times New Roman" w:eastAsia="微软雅黑" w:cs="Times New Roman"/>
          <w:sz w:val="24"/>
        </w:rPr>
        <w:t>℃</w:t>
      </w:r>
      <w:r>
        <w:rPr>
          <w:rFonts w:ascii="Times New Roman" w:hAnsi="Times New Roman" w:cs="Times New Roman"/>
          <w:sz w:val="24"/>
        </w:rPr>
        <w:t>～30</w:t>
      </w:r>
      <w:r>
        <w:rPr>
          <w:rFonts w:ascii="Times New Roman" w:hAnsi="Times New Roman" w:eastAsia="微软雅黑" w:cs="Times New Roman"/>
          <w:sz w:val="24"/>
        </w:rPr>
        <w:t>℃</w:t>
      </w:r>
      <w:r>
        <w:rPr>
          <w:rFonts w:ascii="Times New Roman" w:hAnsi="Times New Roman" w:cs="Times New Roman"/>
          <w:color w:val="000000" w:themeColor="text1"/>
          <w:sz w:val="24"/>
          <w14:textFill>
            <w14:solidFill>
              <w14:schemeClr w14:val="tx1"/>
            </w14:solidFill>
          </w14:textFill>
        </w:rPr>
        <w:t>；</w:t>
      </w:r>
      <w:r>
        <w:rPr>
          <w:rFonts w:ascii="Times New Roman" w:hAnsi="Times New Roman" w:cs="Times New Roman"/>
          <w:b/>
          <w:color w:val="000000" w:themeColor="text1"/>
          <w:sz w:val="24"/>
          <w14:textFill>
            <w14:solidFill>
              <w14:schemeClr w14:val="tx1"/>
            </w14:solidFill>
          </w14:textFill>
        </w:rPr>
        <w:t xml:space="preserve"> </w:t>
      </w:r>
    </w:p>
    <w:p w14:paraId="3FD6A725">
      <w:pPr>
        <w:spacing w:line="312" w:lineRule="auto"/>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6.2.2　</w:t>
      </w:r>
      <w:r>
        <w:rPr>
          <w:rFonts w:ascii="Times New Roman" w:hAnsi="Times New Roman" w:cs="Times New Roman"/>
          <w:sz w:val="24"/>
        </w:rPr>
        <w:t>施工现场应封闭，不得交叉作业</w:t>
      </w:r>
      <w:r>
        <w:rPr>
          <w:rFonts w:ascii="Times New Roman" w:hAnsi="Times New Roman" w:cs="Times New Roman"/>
          <w:bCs/>
          <w:color w:val="000000" w:themeColor="text1"/>
          <w:sz w:val="24"/>
          <w14:textFill>
            <w14:solidFill>
              <w14:schemeClr w14:val="tx1"/>
            </w14:solidFill>
          </w14:textFill>
        </w:rPr>
        <w:t>。</w:t>
      </w:r>
    </w:p>
    <w:p w14:paraId="7E1A85FA">
      <w:pPr>
        <w:spacing w:line="312" w:lineRule="auto"/>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6.2.3　</w:t>
      </w:r>
      <w:r>
        <w:rPr>
          <w:rFonts w:ascii="Times New Roman" w:hAnsi="Times New Roman" w:cs="Times New Roman"/>
          <w:sz w:val="24"/>
        </w:rPr>
        <w:t>施工人员应</w:t>
      </w:r>
      <w:r>
        <w:rPr>
          <w:rFonts w:hint="eastAsia" w:ascii="Times New Roman" w:hAnsi="Times New Roman" w:cs="Times New Roman"/>
          <w:sz w:val="24"/>
          <w:lang w:val="en-US" w:eastAsia="zh-CN"/>
        </w:rPr>
        <w:t>做好</w:t>
      </w:r>
      <w:r>
        <w:rPr>
          <w:rFonts w:ascii="Times New Roman" w:hAnsi="Times New Roman" w:cs="Times New Roman"/>
          <w:sz w:val="24"/>
        </w:rPr>
        <w:t>防护措施，</w:t>
      </w:r>
      <w:r>
        <w:rPr>
          <w:rFonts w:hint="eastAsia" w:ascii="Times New Roman" w:hAnsi="Times New Roman" w:cs="Times New Roman"/>
          <w:sz w:val="24"/>
        </w:rPr>
        <w:t>并应</w:t>
      </w:r>
      <w:r>
        <w:rPr>
          <w:rFonts w:ascii="Times New Roman" w:hAnsi="Times New Roman" w:cs="Times New Roman"/>
          <w:sz w:val="24"/>
        </w:rPr>
        <w:t>采用专用机具进行作业</w:t>
      </w:r>
      <w:r>
        <w:rPr>
          <w:rFonts w:ascii="Times New Roman" w:hAnsi="Times New Roman" w:cs="Times New Roman"/>
          <w:bCs/>
          <w:color w:val="000000" w:themeColor="text1"/>
          <w:sz w:val="24"/>
          <w14:textFill>
            <w14:solidFill>
              <w14:schemeClr w14:val="tx1"/>
            </w14:solidFill>
          </w14:textFill>
        </w:rPr>
        <w:t>。</w:t>
      </w:r>
    </w:p>
    <w:p w14:paraId="41E4B2CE">
      <w:pPr>
        <w:snapToGrid w:val="0"/>
        <w:spacing w:before="156" w:beforeLines="50" w:after="156" w:afterLines="50" w:line="312" w:lineRule="auto"/>
        <w:jc w:val="center"/>
        <w:outlineLvl w:val="1"/>
        <w:rPr>
          <w:rFonts w:hint="eastAsia" w:ascii="Times New Roman" w:hAnsi="Times New Roman" w:eastAsia="黑体" w:cs="Times New Roman"/>
          <w:iCs/>
          <w:color w:val="000000" w:themeColor="text1"/>
          <w:kern w:val="0"/>
          <w:sz w:val="28"/>
          <w:highlight w:val="yellow"/>
          <w:lang w:eastAsia="zh-CN"/>
          <w14:textFill>
            <w14:solidFill>
              <w14:schemeClr w14:val="tx1"/>
            </w14:solidFill>
          </w14:textFill>
        </w:rPr>
      </w:pPr>
      <w:bookmarkStart w:id="106" w:name="_Toc99353172"/>
      <w:bookmarkStart w:id="107" w:name="_Toc18495"/>
      <w:r>
        <w:rPr>
          <w:rFonts w:ascii="Times New Roman" w:hAnsi="Times New Roman" w:eastAsia="黑体" w:cs="Times New Roman"/>
          <w:iCs/>
          <w:color w:val="000000" w:themeColor="text1"/>
          <w:kern w:val="0"/>
          <w:sz w:val="28"/>
          <w14:textFill>
            <w14:solidFill>
              <w14:schemeClr w14:val="tx1"/>
            </w14:solidFill>
          </w14:textFill>
        </w:rPr>
        <w:t>6.3　</w:t>
      </w:r>
      <w:bookmarkEnd w:id="106"/>
      <w:r>
        <w:rPr>
          <w:rFonts w:hint="eastAsia" w:ascii="Times New Roman" w:hAnsi="Times New Roman" w:eastAsia="黑体" w:cs="Times New Roman"/>
          <w:iCs/>
          <w:color w:val="000000" w:themeColor="text1"/>
          <w:kern w:val="0"/>
          <w:sz w:val="28"/>
          <w14:textFill>
            <w14:solidFill>
              <w14:schemeClr w14:val="tx1"/>
            </w14:solidFill>
          </w14:textFill>
        </w:rPr>
        <w:t>基层</w:t>
      </w:r>
      <w:r>
        <w:rPr>
          <w:rFonts w:hint="eastAsia" w:ascii="Times New Roman" w:hAnsi="Times New Roman" w:eastAsia="黑体" w:cs="Times New Roman"/>
          <w:iCs/>
          <w:color w:val="000000" w:themeColor="text1"/>
          <w:kern w:val="0"/>
          <w:sz w:val="28"/>
          <w:lang w:val="en-US" w:eastAsia="zh-CN"/>
          <w14:textFill>
            <w14:solidFill>
              <w14:schemeClr w14:val="tx1"/>
            </w14:solidFill>
          </w14:textFill>
        </w:rPr>
        <w:t>准备和处理</w:t>
      </w:r>
      <w:bookmarkEnd w:id="107"/>
    </w:p>
    <w:p w14:paraId="3F54F6CE">
      <w:pPr>
        <w:spacing w:line="312" w:lineRule="auto"/>
        <w:rPr>
          <w:rFonts w:hint="default"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6.3.1</w:t>
      </w:r>
      <w:r>
        <w:rPr>
          <w:rFonts w:hint="eastAsia" w:ascii="Times New Roman" w:hAnsi="Times New Roman" w:cs="Times New Roman"/>
          <w:b w:val="0"/>
          <w:bCs/>
          <w:color w:val="000000" w:themeColor="text1"/>
          <w:sz w:val="24"/>
          <w:lang w:val="en-US" w:eastAsia="zh-CN"/>
          <w14:textFill>
            <w14:solidFill>
              <w14:schemeClr w14:val="tx1"/>
            </w14:solidFill>
          </w14:textFill>
        </w:rPr>
        <w:t>干撒型耐磨材料施工前基层混凝土浇筑应符合下列要求：</w:t>
      </w:r>
    </w:p>
    <w:p w14:paraId="2F08469B">
      <w:pPr>
        <w:spacing w:line="312" w:lineRule="auto"/>
        <w:ind w:firstLine="480" w:firstLineChars="200"/>
        <w:rPr>
          <w:rFonts w:hint="eastAsia"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val="0"/>
          <w:bCs/>
          <w:color w:val="000000" w:themeColor="text1"/>
          <w:sz w:val="24"/>
          <w:lang w:val="en-US" w:eastAsia="zh-CN"/>
          <w14:textFill>
            <w14:solidFill>
              <w14:schemeClr w14:val="tx1"/>
            </w14:solidFill>
          </w14:textFill>
        </w:rPr>
        <w:t>1 施工前应现场浇筑基层混凝土，</w:t>
      </w:r>
      <w:r>
        <w:rPr>
          <w:rFonts w:hint="eastAsia" w:ascii="Times New Roman" w:hAnsi="Times New Roman" w:cs="Times New Roman"/>
          <w:color w:val="000000" w:themeColor="text1"/>
          <w:sz w:val="24"/>
          <w:lang w:val="en-US" w:eastAsia="zh-CN"/>
          <w14:textFill>
            <w14:solidFill>
              <w14:schemeClr w14:val="tx1"/>
            </w14:solidFill>
          </w14:textFill>
        </w:rPr>
        <w:t>并控制</w:t>
      </w:r>
      <w:r>
        <w:rPr>
          <w:rFonts w:hint="eastAsia" w:ascii="Times New Roman" w:hAnsi="Times New Roman" w:cs="Times New Roman"/>
          <w:color w:val="000000" w:themeColor="text1"/>
          <w:sz w:val="24"/>
          <w14:textFill>
            <w14:solidFill>
              <w14:schemeClr w14:val="tx1"/>
            </w14:solidFill>
          </w14:textFill>
        </w:rPr>
        <w:t>混凝土的塌落度</w:t>
      </w:r>
      <w:r>
        <w:rPr>
          <w:rFonts w:hint="eastAsia" w:ascii="Times New Roman" w:hAnsi="Times New Roman" w:cs="Times New Roman"/>
          <w:b w:val="0"/>
          <w:bCs/>
          <w:color w:val="000000" w:themeColor="text1"/>
          <w:sz w:val="24"/>
          <w:lang w:val="en-US" w:eastAsia="zh-CN"/>
          <w14:textFill>
            <w14:solidFill>
              <w14:schemeClr w14:val="tx1"/>
            </w14:solidFill>
          </w14:textFill>
        </w:rPr>
        <w:t>。</w:t>
      </w:r>
    </w:p>
    <w:p w14:paraId="5A5E140C">
      <w:pPr>
        <w:spacing w:line="312" w:lineRule="auto"/>
        <w:ind w:firstLine="480" w:firstLineChars="200"/>
        <w:rPr>
          <w:rFonts w:hint="eastAsia" w:ascii="Times New Roman" w:hAnsi="Times New Roman" w:cs="Times New Roman"/>
          <w:sz w:val="24"/>
        </w:rPr>
      </w:pPr>
      <w:r>
        <w:rPr>
          <w:rFonts w:hint="eastAsia" w:ascii="Times New Roman" w:hAnsi="Times New Roman" w:cs="Times New Roman"/>
          <w:b w:val="0"/>
          <w:bCs/>
          <w:color w:val="000000" w:themeColor="text1"/>
          <w:sz w:val="24"/>
          <w:lang w:val="en-US" w:eastAsia="zh-CN"/>
          <w14:textFill>
            <w14:solidFill>
              <w14:schemeClr w14:val="tx1"/>
            </w14:solidFill>
          </w14:textFill>
        </w:rPr>
        <w:t>2 现场浇筑基层混凝土时，</w:t>
      </w:r>
      <w:r>
        <w:rPr>
          <w:rFonts w:hint="eastAsia" w:ascii="Times New Roman" w:hAnsi="Times New Roman" w:cs="Times New Roman"/>
          <w:sz w:val="24"/>
        </w:rPr>
        <w:t>混凝土摊铺</w:t>
      </w:r>
      <w:r>
        <w:rPr>
          <w:rFonts w:hint="eastAsia" w:ascii="Times New Roman" w:hAnsi="Times New Roman" w:cs="Times New Roman"/>
          <w:sz w:val="24"/>
          <w:lang w:val="en-US" w:eastAsia="zh-CN"/>
        </w:rPr>
        <w:t>厚度应超出标高。若</w:t>
      </w:r>
      <w:r>
        <w:rPr>
          <w:rFonts w:hint="eastAsia" w:ascii="Times New Roman" w:hAnsi="Times New Roman" w:cs="Times New Roman"/>
          <w:sz w:val="24"/>
        </w:rPr>
        <w:t>采用激光整平，</w:t>
      </w:r>
      <w:r>
        <w:rPr>
          <w:rFonts w:hint="eastAsia" w:ascii="Times New Roman" w:hAnsi="Times New Roman" w:cs="Times New Roman"/>
          <w:sz w:val="24"/>
          <w:lang w:val="en-US" w:eastAsia="zh-CN"/>
        </w:rPr>
        <w:t>应</w:t>
      </w:r>
      <w:r>
        <w:rPr>
          <w:rFonts w:hint="eastAsia" w:ascii="Times New Roman" w:hAnsi="Times New Roman" w:cs="Times New Roman"/>
          <w:sz w:val="24"/>
        </w:rPr>
        <w:t>超出标高1</w:t>
      </w:r>
      <w:r>
        <w:rPr>
          <w:rFonts w:hint="eastAsia" w:ascii="Times New Roman" w:hAnsi="Times New Roman" w:cs="Times New Roman"/>
          <w:sz w:val="24"/>
          <w:lang w:val="en-US" w:eastAsia="zh-CN"/>
        </w:rPr>
        <w:t>0mm</w:t>
      </w:r>
      <w:r>
        <w:rPr>
          <w:rFonts w:hint="eastAsia" w:ascii="Times New Roman" w:hAnsi="Times New Roman" w:cs="Times New Roman"/>
          <w:sz w:val="24"/>
        </w:rPr>
        <w:t>~2</w:t>
      </w:r>
      <w:r>
        <w:rPr>
          <w:rFonts w:hint="eastAsia" w:ascii="Times New Roman" w:hAnsi="Times New Roman" w:cs="Times New Roman"/>
          <w:sz w:val="24"/>
          <w:lang w:val="en-US" w:eastAsia="zh-CN"/>
        </w:rPr>
        <w:t>0m</w:t>
      </w:r>
      <w:r>
        <w:rPr>
          <w:rFonts w:hint="eastAsia" w:ascii="Times New Roman" w:hAnsi="Times New Roman" w:cs="Times New Roman"/>
          <w:sz w:val="24"/>
        </w:rPr>
        <w:t>m</w:t>
      </w:r>
      <w:r>
        <w:rPr>
          <w:rFonts w:hint="eastAsia" w:ascii="Times New Roman" w:hAnsi="Times New Roman" w:cs="Times New Roman"/>
          <w:sz w:val="24"/>
          <w:lang w:eastAsia="zh-CN"/>
        </w:rPr>
        <w:t>，</w:t>
      </w:r>
      <w:r>
        <w:rPr>
          <w:rFonts w:hint="eastAsia" w:ascii="Times New Roman" w:hAnsi="Times New Roman" w:cs="Times New Roman"/>
          <w:sz w:val="24"/>
          <w:lang w:val="en-US" w:eastAsia="zh-CN"/>
        </w:rPr>
        <w:t>若</w:t>
      </w:r>
      <w:r>
        <w:rPr>
          <w:rFonts w:hint="eastAsia" w:ascii="Times New Roman" w:hAnsi="Times New Roman" w:cs="Times New Roman"/>
          <w:sz w:val="24"/>
        </w:rPr>
        <w:t>采用人工刮板整平，</w:t>
      </w:r>
      <w:r>
        <w:rPr>
          <w:rFonts w:hint="eastAsia" w:ascii="Times New Roman" w:hAnsi="Times New Roman" w:cs="Times New Roman"/>
          <w:sz w:val="24"/>
          <w:lang w:val="en-US" w:eastAsia="zh-CN"/>
        </w:rPr>
        <w:t>应</w:t>
      </w:r>
      <w:r>
        <w:rPr>
          <w:rFonts w:hint="eastAsia" w:ascii="Times New Roman" w:hAnsi="Times New Roman" w:cs="Times New Roman"/>
          <w:sz w:val="24"/>
        </w:rPr>
        <w:t>超出标高</w:t>
      </w:r>
      <w:r>
        <w:rPr>
          <w:rFonts w:hint="eastAsia" w:ascii="Times New Roman" w:hAnsi="Times New Roman" w:cs="Times New Roman"/>
          <w:sz w:val="24"/>
          <w:lang w:val="en-US" w:eastAsia="zh-CN"/>
        </w:rPr>
        <w:t>10m</w:t>
      </w:r>
      <w:r>
        <w:rPr>
          <w:rFonts w:hint="eastAsia" w:ascii="Times New Roman" w:hAnsi="Times New Roman" w:cs="Times New Roman"/>
          <w:sz w:val="24"/>
        </w:rPr>
        <w:t>m</w:t>
      </w:r>
      <w:r>
        <w:rPr>
          <w:rFonts w:hint="eastAsia" w:ascii="Times New Roman" w:hAnsi="Times New Roman" w:cs="Times New Roman"/>
          <w:sz w:val="24"/>
          <w:lang w:val="en-US" w:eastAsia="zh-CN"/>
        </w:rPr>
        <w:t>以内</w:t>
      </w:r>
      <w:r>
        <w:rPr>
          <w:rFonts w:hint="eastAsia" w:ascii="Times New Roman" w:hAnsi="Times New Roman" w:cs="Times New Roman"/>
          <w:sz w:val="24"/>
        </w:rPr>
        <w:t>。</w:t>
      </w:r>
    </w:p>
    <w:p w14:paraId="5F5280D9">
      <w:pPr>
        <w:spacing w:line="312" w:lineRule="auto"/>
        <w:ind w:firstLine="480" w:firstLineChars="200"/>
        <w:rPr>
          <w:rFonts w:ascii="Times New Roman" w:hAnsi="Times New Roman" w:cs="Times New Roman"/>
          <w:sz w:val="24"/>
        </w:rPr>
      </w:pPr>
      <w:r>
        <w:rPr>
          <w:rFonts w:hint="eastAsia" w:ascii="Times New Roman" w:hAnsi="Times New Roman" w:cs="Times New Roman"/>
          <w:sz w:val="24"/>
          <w:lang w:val="en-US" w:eastAsia="zh-CN"/>
        </w:rPr>
        <w:t>3使用</w:t>
      </w:r>
      <w:r>
        <w:rPr>
          <w:rFonts w:hint="eastAsia" w:ascii="Times New Roman" w:hAnsi="Times New Roman" w:cs="Times New Roman"/>
          <w:sz w:val="24"/>
        </w:rPr>
        <w:t>激光整平机或振捣梁振捣密实，边角处应通过振捣棒等</w:t>
      </w:r>
      <w:r>
        <w:rPr>
          <w:rFonts w:hint="eastAsia" w:ascii="Times New Roman" w:hAnsi="Times New Roman" w:cs="Times New Roman"/>
          <w:sz w:val="24"/>
          <w:lang w:val="en-US" w:eastAsia="zh-CN"/>
        </w:rPr>
        <w:t>工具</w:t>
      </w:r>
      <w:r>
        <w:rPr>
          <w:rFonts w:hint="eastAsia" w:ascii="Times New Roman" w:hAnsi="Times New Roman" w:cs="Times New Roman"/>
          <w:sz w:val="24"/>
        </w:rPr>
        <w:t>振捣密实</w:t>
      </w:r>
      <w:r>
        <w:rPr>
          <w:rFonts w:hint="eastAsia" w:ascii="Times New Roman" w:hAnsi="Times New Roman" w:cs="Times New Roman"/>
          <w:sz w:val="24"/>
          <w:lang w:eastAsia="zh-CN"/>
        </w:rPr>
        <w:t>，</w:t>
      </w:r>
      <w:r>
        <w:rPr>
          <w:rFonts w:hint="eastAsia" w:ascii="Times New Roman" w:hAnsi="Times New Roman" w:cs="Times New Roman"/>
          <w:sz w:val="24"/>
          <w:lang w:val="en-US" w:eastAsia="zh-CN"/>
        </w:rPr>
        <w:t>并进行1次提浆</w:t>
      </w:r>
      <w:r>
        <w:rPr>
          <w:rFonts w:hint="eastAsia" w:ascii="Times New Roman" w:hAnsi="Times New Roman" w:cs="Times New Roman"/>
          <w:sz w:val="24"/>
        </w:rPr>
        <w:t>。</w:t>
      </w:r>
    </w:p>
    <w:p w14:paraId="08490A31">
      <w:pPr>
        <w:spacing w:line="312" w:lineRule="auto"/>
        <w:ind w:firstLine="480" w:firstLineChars="200"/>
        <w:rPr>
          <w:rFonts w:hint="eastAsia"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val="0"/>
          <w:bCs/>
          <w:color w:val="000000" w:themeColor="text1"/>
          <w:sz w:val="24"/>
          <w:lang w:val="en-US" w:eastAsia="zh-CN"/>
          <w14:textFill>
            <w14:solidFill>
              <w14:schemeClr w14:val="tx1"/>
            </w14:solidFill>
          </w14:textFill>
        </w:rPr>
        <w:t>4 现场浇筑的基层混凝土表面应无浮水。</w:t>
      </w:r>
    </w:p>
    <w:p w14:paraId="1FD4ACA0">
      <w:pPr>
        <w:spacing w:line="312" w:lineRule="auto"/>
        <w:ind w:firstLine="480" w:firstLineChars="200"/>
        <w:rPr>
          <w:rFonts w:hint="default" w:ascii="Times New Roman" w:hAnsi="Times New Roman" w:cs="Times New Roman"/>
          <w:b w:val="0"/>
          <w:bCs/>
          <w:color w:val="000000" w:themeColor="text1"/>
          <w:sz w:val="24"/>
          <w:highlight w:val="none"/>
          <w:lang w:val="en-US" w:eastAsia="zh-CN"/>
          <w14:textFill>
            <w14:solidFill>
              <w14:schemeClr w14:val="tx1"/>
            </w14:solidFill>
          </w14:textFill>
        </w:rPr>
      </w:pPr>
      <w:r>
        <w:rPr>
          <w:rFonts w:hint="eastAsia" w:ascii="Times New Roman" w:hAnsi="Times New Roman" w:cs="Times New Roman"/>
          <w:b w:val="0"/>
          <w:bCs/>
          <w:color w:val="000000" w:themeColor="text1"/>
          <w:sz w:val="24"/>
          <w:highlight w:val="none"/>
          <w:lang w:val="en-US" w:eastAsia="zh-CN"/>
          <w14:textFill>
            <w14:solidFill>
              <w14:schemeClr w14:val="tx1"/>
            </w14:solidFill>
          </w14:textFill>
        </w:rPr>
        <w:t>5有防水要求的地面，应在浇筑混凝土前进行防水处理。</w:t>
      </w:r>
    </w:p>
    <w:p w14:paraId="538ED413">
      <w:pPr>
        <w:spacing w:line="312" w:lineRule="auto"/>
        <w:rPr>
          <w:rFonts w:hint="default" w:ascii="Times New Roman" w:hAnsi="Times New Roman" w:cs="Times New Roman"/>
          <w:b/>
          <w:color w:val="000000" w:themeColor="text1"/>
          <w:sz w:val="24"/>
          <w:highlight w:val="yellow"/>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6.3.2</w:t>
      </w:r>
      <w:r>
        <w:rPr>
          <w:rFonts w:hint="eastAsia" w:ascii="Times New Roman" w:hAnsi="Times New Roman" w:cs="Times New Roman"/>
          <w:b w:val="0"/>
          <w:bCs/>
          <w:color w:val="000000" w:themeColor="text1"/>
          <w:sz w:val="24"/>
          <w:lang w:val="en-US" w:eastAsia="zh-CN"/>
          <w14:textFill>
            <w14:solidFill>
              <w14:schemeClr w14:val="tx1"/>
            </w14:solidFill>
          </w14:textFill>
        </w:rPr>
        <w:t>湿拌摊铺型耐磨材料施工前基层混凝土处理应符合下列要求：</w:t>
      </w:r>
    </w:p>
    <w:p w14:paraId="57254D18">
      <w:pPr>
        <w:spacing w:line="312" w:lineRule="auto"/>
        <w:ind w:firstLine="480" w:firstLineChars="200"/>
        <w:rPr>
          <w:rFonts w:hint="eastAsia"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val="0"/>
          <w:bCs/>
          <w:color w:val="000000" w:themeColor="text1"/>
          <w:sz w:val="24"/>
          <w:lang w:val="en-US" w:eastAsia="zh-CN"/>
          <w14:textFill>
            <w14:solidFill>
              <w14:schemeClr w14:val="tx1"/>
            </w14:solidFill>
          </w14:textFill>
        </w:rPr>
        <w:t>1 检查基层混凝土浇筑时间，应不少于28d。</w:t>
      </w:r>
    </w:p>
    <w:p w14:paraId="05C6487C">
      <w:pPr>
        <w:spacing w:line="312" w:lineRule="auto"/>
        <w:ind w:firstLine="480" w:firstLineChars="200"/>
        <w:rPr>
          <w:rFonts w:hint="eastAsia"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val="0"/>
          <w:bCs/>
          <w:color w:val="000000" w:themeColor="text1"/>
          <w:sz w:val="24"/>
          <w:lang w:val="en-US" w:eastAsia="zh-CN"/>
          <w14:textFill>
            <w14:solidFill>
              <w14:schemeClr w14:val="tx1"/>
            </w14:solidFill>
          </w14:textFill>
        </w:rPr>
        <w:t>2 基层应为坚固、密实的混凝土层，表面不得有起砂、空鼓、起壳、脱皮、疏松、麻面、油脂、灰尘、裂纹等缺陷，如有应进行抛丸、铣刨等方法，必要时应补强或重新施工，直至达到施工要求。</w:t>
      </w:r>
    </w:p>
    <w:p w14:paraId="016E9D72">
      <w:pPr>
        <w:spacing w:line="312" w:lineRule="auto"/>
        <w:ind w:firstLine="480" w:firstLineChars="200"/>
        <w:rPr>
          <w:rFonts w:hint="eastAsia"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val="0"/>
          <w:bCs/>
          <w:color w:val="000000" w:themeColor="text1"/>
          <w:sz w:val="24"/>
          <w:lang w:val="en-US" w:eastAsia="zh-CN"/>
          <w14:textFill>
            <w14:solidFill>
              <w14:schemeClr w14:val="tx1"/>
            </w14:solidFill>
          </w14:textFill>
        </w:rPr>
        <w:t>3 基层的抗压强度的强度等级应不小于C30，轻载和中载耐磨地坪的表面抗拉强度不低于1.0MPa，重载和超重载耐磨地坪的表面抗拉强度不低于1.5MPa，否则应进行表面加固处理或重新施工。</w:t>
      </w:r>
    </w:p>
    <w:p w14:paraId="6F557154">
      <w:pPr>
        <w:spacing w:line="312" w:lineRule="auto"/>
        <w:ind w:firstLine="480" w:firstLineChars="200"/>
        <w:rPr>
          <w:rFonts w:hint="default"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val="0"/>
          <w:bCs/>
          <w:color w:val="000000" w:themeColor="text1"/>
          <w:sz w:val="24"/>
          <w:lang w:val="en-US" w:eastAsia="zh-CN"/>
          <w14:textFill>
            <w14:solidFill>
              <w14:schemeClr w14:val="tx1"/>
            </w14:solidFill>
          </w14:textFill>
        </w:rPr>
        <w:t>4</w:t>
      </w:r>
      <w:r>
        <w:rPr>
          <w:rFonts w:hint="default" w:ascii="Times New Roman" w:hAnsi="Times New Roman" w:cs="Times New Roman"/>
          <w:b w:val="0"/>
          <w:bCs/>
          <w:color w:val="000000" w:themeColor="text1"/>
          <w:sz w:val="24"/>
          <w:lang w:val="en-US" w:eastAsia="zh-CN"/>
          <w14:textFill>
            <w14:solidFill>
              <w14:schemeClr w14:val="tx1"/>
            </w14:solidFill>
          </w14:textFill>
        </w:rPr>
        <w:t>基层裂缝修补时，宜先采用机械切割，切割深度宜为基层混凝土厚度的1/2~2/3，宽度宜为10mm~20mm，然后采用修补材料通过灌注、找平、密封进行加强。</w:t>
      </w:r>
    </w:p>
    <w:p w14:paraId="06EC0DE0">
      <w:pPr>
        <w:spacing w:line="312" w:lineRule="auto"/>
        <w:ind w:firstLine="480" w:firstLineChars="200"/>
        <w:rPr>
          <w:rFonts w:hint="default"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val="0"/>
          <w:bCs/>
          <w:color w:val="000000" w:themeColor="text1"/>
          <w:sz w:val="24"/>
          <w:lang w:val="en-US" w:eastAsia="zh-CN"/>
          <w14:textFill>
            <w14:solidFill>
              <w14:schemeClr w14:val="tx1"/>
            </w14:solidFill>
          </w14:textFill>
        </w:rPr>
        <w:t>5</w:t>
      </w:r>
      <w:r>
        <w:rPr>
          <w:rFonts w:hint="default" w:ascii="Times New Roman" w:hAnsi="Times New Roman" w:cs="Times New Roman"/>
          <w:b w:val="0"/>
          <w:bCs/>
          <w:color w:val="000000" w:themeColor="text1"/>
          <w:sz w:val="24"/>
          <w:lang w:val="en-US" w:eastAsia="zh-CN"/>
          <w14:textFill>
            <w14:solidFill>
              <w14:schemeClr w14:val="tx1"/>
            </w14:solidFill>
          </w14:textFill>
        </w:rPr>
        <w:t>当基层的空鼓面积不大于1m</w:t>
      </w:r>
      <w:r>
        <w:rPr>
          <w:rFonts w:hint="eastAsia" w:ascii="Times New Roman" w:hAnsi="Times New Roman" w:cs="Times New Roman"/>
          <w:b w:val="0"/>
          <w:bCs/>
          <w:color w:val="000000" w:themeColor="text1"/>
          <w:sz w:val="24"/>
          <w:vertAlign w:val="superscript"/>
          <w:lang w:val="en-US" w:eastAsia="zh-CN"/>
          <w14:textFill>
            <w14:solidFill>
              <w14:schemeClr w14:val="tx1"/>
            </w14:solidFill>
          </w14:textFill>
        </w:rPr>
        <w:t>2</w:t>
      </w:r>
      <w:r>
        <w:rPr>
          <w:rFonts w:hint="default" w:ascii="Times New Roman" w:hAnsi="Times New Roman" w:cs="Times New Roman"/>
          <w:b w:val="0"/>
          <w:bCs/>
          <w:color w:val="000000" w:themeColor="text1"/>
          <w:sz w:val="24"/>
          <w:lang w:val="en-US" w:eastAsia="zh-CN"/>
          <w14:textFill>
            <w14:solidFill>
              <w14:schemeClr w14:val="tx1"/>
            </w14:solidFill>
          </w14:textFill>
        </w:rPr>
        <w:t>时，可采用灌浆法处理</w:t>
      </w:r>
      <w:r>
        <w:rPr>
          <w:rFonts w:hint="eastAsia" w:ascii="Times New Roman" w:hAnsi="Times New Roman" w:cs="Times New Roman"/>
          <w:b w:val="0"/>
          <w:bCs/>
          <w:color w:val="000000" w:themeColor="text1"/>
          <w:sz w:val="24"/>
          <w:lang w:val="en-US" w:eastAsia="zh-CN"/>
          <w14:textFill>
            <w14:solidFill>
              <w14:schemeClr w14:val="tx1"/>
            </w14:solidFill>
          </w14:textFill>
        </w:rPr>
        <w:t>；</w:t>
      </w:r>
      <w:r>
        <w:rPr>
          <w:rFonts w:hint="default" w:ascii="Times New Roman" w:hAnsi="Times New Roman" w:cs="Times New Roman"/>
          <w:b w:val="0"/>
          <w:bCs/>
          <w:color w:val="000000" w:themeColor="text1"/>
          <w:sz w:val="24"/>
          <w:lang w:val="en-US" w:eastAsia="zh-CN"/>
          <w14:textFill>
            <w14:solidFill>
              <w14:schemeClr w14:val="tx1"/>
            </w14:solidFill>
          </w14:textFill>
        </w:rPr>
        <w:t>当基层的空鼓面积大于1m</w:t>
      </w:r>
      <w:r>
        <w:rPr>
          <w:rFonts w:hint="eastAsia" w:ascii="Times New Roman" w:hAnsi="Times New Roman" w:cs="Times New Roman"/>
          <w:b w:val="0"/>
          <w:bCs/>
          <w:color w:val="000000" w:themeColor="text1"/>
          <w:sz w:val="24"/>
          <w:vertAlign w:val="superscript"/>
          <w:lang w:val="en-US" w:eastAsia="zh-CN"/>
          <w14:textFill>
            <w14:solidFill>
              <w14:schemeClr w14:val="tx1"/>
            </w14:solidFill>
          </w14:textFill>
        </w:rPr>
        <w:t>2</w:t>
      </w:r>
      <w:r>
        <w:rPr>
          <w:rFonts w:hint="default" w:ascii="Times New Roman" w:hAnsi="Times New Roman" w:cs="Times New Roman"/>
          <w:b w:val="0"/>
          <w:bCs/>
          <w:color w:val="000000" w:themeColor="text1"/>
          <w:sz w:val="24"/>
          <w:lang w:val="en-US" w:eastAsia="zh-CN"/>
          <w14:textFill>
            <w14:solidFill>
              <w14:schemeClr w14:val="tx1"/>
            </w14:solidFill>
          </w14:textFill>
        </w:rPr>
        <w:t>时，应剔除并重新施工。</w:t>
      </w:r>
    </w:p>
    <w:p w14:paraId="137373EC">
      <w:pPr>
        <w:spacing w:line="312" w:lineRule="auto"/>
        <w:ind w:firstLine="480" w:firstLineChars="200"/>
        <w:rPr>
          <w:rFonts w:hint="eastAsia"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val="0"/>
          <w:bCs/>
          <w:color w:val="000000" w:themeColor="text1"/>
          <w:sz w:val="24"/>
          <w:lang w:val="en-US" w:eastAsia="zh-CN"/>
          <w14:textFill>
            <w14:solidFill>
              <w14:schemeClr w14:val="tx1"/>
            </w14:solidFill>
          </w14:textFill>
        </w:rPr>
        <w:t>6基层含水率不应大于8%，当基面含水率大于8%时，应采用防潮层处理。</w:t>
      </w:r>
    </w:p>
    <w:p w14:paraId="0E244DC0">
      <w:pPr>
        <w:spacing w:line="312" w:lineRule="auto"/>
        <w:ind w:firstLine="480" w:firstLineChars="200"/>
        <w:rPr>
          <w:rFonts w:hint="eastAsia"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val="0"/>
          <w:bCs/>
          <w:color w:val="000000" w:themeColor="text1"/>
          <w:sz w:val="24"/>
          <w:lang w:val="en-US" w:eastAsia="zh-CN"/>
          <w14:textFill>
            <w14:solidFill>
              <w14:schemeClr w14:val="tx1"/>
            </w14:solidFill>
          </w14:textFill>
        </w:rPr>
        <w:t>7楼地面与墙面交接部位、穿楼(地)面的套管等细部构造处，应采用防护处理并验收合格后进行地面施工。</w:t>
      </w:r>
    </w:p>
    <w:p w14:paraId="5C29031F">
      <w:pPr>
        <w:snapToGrid w:val="0"/>
        <w:spacing w:before="156" w:beforeLines="50" w:after="156" w:afterLines="50" w:line="312" w:lineRule="auto"/>
        <w:jc w:val="center"/>
        <w:outlineLvl w:val="1"/>
        <w:rPr>
          <w:rFonts w:hint="eastAsia" w:ascii="Times New Roman" w:hAnsi="Times New Roman" w:eastAsia="黑体" w:cs="Times New Roman"/>
          <w:iCs/>
          <w:color w:val="000000" w:themeColor="text1"/>
          <w:kern w:val="0"/>
          <w:sz w:val="28"/>
          <w:highlight w:val="yellow"/>
          <w:lang w:eastAsia="zh-CN"/>
          <w14:textFill>
            <w14:solidFill>
              <w14:schemeClr w14:val="tx1"/>
            </w14:solidFill>
          </w14:textFill>
        </w:rPr>
      </w:pPr>
      <w:r>
        <w:rPr>
          <w:rFonts w:ascii="Times New Roman" w:hAnsi="Times New Roman" w:eastAsia="黑体" w:cs="Times New Roman"/>
          <w:iCs/>
          <w:color w:val="000000" w:themeColor="text1"/>
          <w:kern w:val="0"/>
          <w:sz w:val="28"/>
          <w14:textFill>
            <w14:solidFill>
              <w14:schemeClr w14:val="tx1"/>
            </w14:solidFill>
          </w14:textFill>
        </w:rPr>
        <w:t>6.</w:t>
      </w:r>
      <w:r>
        <w:rPr>
          <w:rFonts w:hint="eastAsia" w:ascii="Times New Roman" w:hAnsi="Times New Roman" w:eastAsia="黑体" w:cs="Times New Roman"/>
          <w:iCs/>
          <w:color w:val="000000" w:themeColor="text1"/>
          <w:kern w:val="0"/>
          <w:sz w:val="28"/>
          <w:lang w:val="en-US" w:eastAsia="zh-CN"/>
          <w14:textFill>
            <w14:solidFill>
              <w14:schemeClr w14:val="tx1"/>
            </w14:solidFill>
          </w14:textFill>
        </w:rPr>
        <w:t>4</w:t>
      </w:r>
      <w:r>
        <w:rPr>
          <w:rFonts w:ascii="Times New Roman" w:hAnsi="Times New Roman" w:eastAsia="黑体" w:cs="Times New Roman"/>
          <w:iCs/>
          <w:color w:val="000000" w:themeColor="text1"/>
          <w:kern w:val="0"/>
          <w:sz w:val="28"/>
          <w14:textFill>
            <w14:solidFill>
              <w14:schemeClr w14:val="tx1"/>
            </w14:solidFill>
          </w14:textFill>
        </w:rPr>
        <w:t>　</w:t>
      </w:r>
      <w:r>
        <w:rPr>
          <w:rFonts w:hint="eastAsia" w:ascii="Times New Roman" w:hAnsi="Times New Roman" w:eastAsia="黑体" w:cs="Times New Roman"/>
          <w:iCs/>
          <w:color w:val="000000" w:themeColor="text1"/>
          <w:kern w:val="0"/>
          <w:sz w:val="28"/>
          <w14:textFill>
            <w14:solidFill>
              <w14:schemeClr w14:val="tx1"/>
            </w14:solidFill>
          </w14:textFill>
        </w:rPr>
        <w:t>耐磨材料施工</w:t>
      </w:r>
    </w:p>
    <w:p w14:paraId="6F99ED14">
      <w:pPr>
        <w:spacing w:line="312" w:lineRule="auto"/>
        <w:rPr>
          <w:rFonts w:hint="eastAsia" w:ascii="Times New Roman" w:hAnsi="Times New Roman" w:cs="Times New Roman"/>
          <w:sz w:val="24"/>
        </w:rPr>
      </w:pPr>
      <w:r>
        <w:rPr>
          <w:rFonts w:hint="eastAsia" w:ascii="Times New Roman" w:hAnsi="Times New Roman" w:cs="Times New Roman"/>
          <w:b/>
          <w:color w:val="000000" w:themeColor="text1"/>
          <w:sz w:val="24"/>
          <w:lang w:val="en-US" w:eastAsia="zh-CN"/>
          <w14:textFill>
            <w14:solidFill>
              <w14:schemeClr w14:val="tx1"/>
            </w14:solidFill>
          </w14:textFill>
        </w:rPr>
        <w:t xml:space="preserve">6.4.1 </w:t>
      </w:r>
      <w:r>
        <w:rPr>
          <w:rFonts w:hint="eastAsia" w:ascii="Times New Roman" w:hAnsi="Times New Roman" w:cs="Times New Roman"/>
          <w:sz w:val="24"/>
        </w:rPr>
        <w:t>干撒</w:t>
      </w:r>
      <w:r>
        <w:rPr>
          <w:rFonts w:hint="eastAsia" w:ascii="Times New Roman" w:hAnsi="Times New Roman" w:cs="Times New Roman"/>
          <w:sz w:val="24"/>
          <w:lang w:val="en-US" w:eastAsia="zh-CN"/>
        </w:rPr>
        <w:t>型</w:t>
      </w:r>
      <w:r>
        <w:rPr>
          <w:rFonts w:ascii="Times New Roman" w:hAnsi="Times New Roman" w:cs="Times New Roman"/>
          <w:strike w:val="0"/>
          <w:dstrike w:val="0"/>
          <w:sz w:val="24"/>
        </w:rPr>
        <w:t>耐磨材料</w:t>
      </w:r>
      <w:r>
        <w:rPr>
          <w:rFonts w:hint="eastAsia" w:ascii="Times New Roman" w:hAnsi="Times New Roman" w:cs="Times New Roman"/>
          <w:strike w:val="0"/>
          <w:dstrike w:val="0"/>
          <w:sz w:val="24"/>
          <w:lang w:eastAsia="zh-CN"/>
        </w:rPr>
        <w:t>的</w:t>
      </w:r>
      <w:r>
        <w:rPr>
          <w:rFonts w:hint="eastAsia" w:ascii="Times New Roman" w:hAnsi="Times New Roman" w:cs="Times New Roman"/>
          <w:sz w:val="24"/>
        </w:rPr>
        <w:t>施工应符合下列规定：</w:t>
      </w:r>
    </w:p>
    <w:p w14:paraId="04D54616">
      <w:pPr>
        <w:spacing w:line="312" w:lineRule="auto"/>
        <w:ind w:firstLine="480" w:firstLineChars="200"/>
        <w:rPr>
          <w:rFonts w:hint="eastAsia" w:ascii="Times New Roman" w:hAnsi="Times New Roman" w:cs="Times New Roman" w:eastAsiaTheme="minorEastAsia"/>
          <w:sz w:val="24"/>
          <w:highlight w:val="yellow"/>
          <w:lang w:eastAsia="zh-CN"/>
        </w:rPr>
      </w:pPr>
      <w:bookmarkStart w:id="108" w:name="OLE_LINK78"/>
      <w:bookmarkStart w:id="109" w:name="OLE_LINK79"/>
      <w:r>
        <w:rPr>
          <w:rFonts w:ascii="Times New Roman" w:hAnsi="Times New Roman" w:cs="Times New Roman"/>
          <w:sz w:val="24"/>
        </w:rPr>
        <w:t>1</w:t>
      </w:r>
      <w:r>
        <w:rPr>
          <w:rFonts w:hint="eastAsia" w:ascii="Times New Roman" w:hAnsi="Times New Roman" w:cs="Times New Roman"/>
          <w:sz w:val="24"/>
          <w:lang w:val="en-US" w:eastAsia="zh-CN"/>
        </w:rPr>
        <w:t xml:space="preserve"> </w:t>
      </w:r>
      <w:r>
        <w:rPr>
          <w:rFonts w:ascii="Times New Roman" w:hAnsi="Times New Roman" w:cs="Times New Roman"/>
          <w:sz w:val="24"/>
        </w:rPr>
        <w:t>应在</w:t>
      </w:r>
      <w:r>
        <w:rPr>
          <w:rFonts w:hint="eastAsia" w:ascii="Times New Roman" w:hAnsi="Times New Roman" w:cs="Times New Roman"/>
          <w:sz w:val="24"/>
          <w:lang w:val="en-US" w:eastAsia="zh-CN"/>
        </w:rPr>
        <w:t>基层</w:t>
      </w:r>
      <w:r>
        <w:rPr>
          <w:rFonts w:ascii="Times New Roman" w:hAnsi="Times New Roman" w:cs="Times New Roman"/>
          <w:sz w:val="24"/>
        </w:rPr>
        <w:t>混凝土达到初凝时进行撒布</w:t>
      </w:r>
      <w:r>
        <w:rPr>
          <w:rFonts w:hint="eastAsia" w:ascii="Times New Roman" w:hAnsi="Times New Roman" w:cs="Times New Roman"/>
          <w:sz w:val="24"/>
          <w:lang w:val="en-US" w:eastAsia="zh-CN"/>
        </w:rPr>
        <w:t>，宜采用机械撒布。</w:t>
      </w:r>
    </w:p>
    <w:p w14:paraId="0FCFFE8E">
      <w:pPr>
        <w:spacing w:line="312" w:lineRule="auto"/>
        <w:ind w:firstLine="480" w:firstLineChars="200"/>
        <w:rPr>
          <w:rFonts w:hint="eastAsia" w:ascii="Times New Roman" w:hAnsi="Times New Roman" w:cs="Times New Roman"/>
          <w:sz w:val="24"/>
        </w:rPr>
      </w:pPr>
      <w:r>
        <w:rPr>
          <w:rFonts w:ascii="Times New Roman" w:hAnsi="Times New Roman" w:cs="Times New Roman"/>
          <w:sz w:val="24"/>
        </w:rPr>
        <w:t>2</w:t>
      </w:r>
      <w:r>
        <w:rPr>
          <w:rFonts w:hint="eastAsia" w:ascii="Times New Roman" w:hAnsi="Times New Roman" w:cs="Times New Roman"/>
          <w:sz w:val="24"/>
          <w:lang w:val="en-US" w:eastAsia="zh-CN"/>
        </w:rPr>
        <w:t xml:space="preserve"> 撒布</w:t>
      </w:r>
      <w:r>
        <w:rPr>
          <w:rFonts w:ascii="Times New Roman" w:hAnsi="Times New Roman" w:cs="Times New Roman"/>
          <w:sz w:val="24"/>
        </w:rPr>
        <w:t>分两次</w:t>
      </w:r>
      <w:r>
        <w:rPr>
          <w:rFonts w:hint="eastAsia" w:ascii="Times New Roman" w:hAnsi="Times New Roman" w:cs="Times New Roman"/>
          <w:sz w:val="24"/>
          <w:lang w:val="en-US" w:eastAsia="zh-CN"/>
        </w:rPr>
        <w:t>进行</w:t>
      </w:r>
      <w:r>
        <w:rPr>
          <w:rFonts w:ascii="Times New Roman" w:hAnsi="Times New Roman" w:cs="Times New Roman"/>
          <w:sz w:val="24"/>
        </w:rPr>
        <w:t>，</w:t>
      </w:r>
      <w:r>
        <w:rPr>
          <w:rFonts w:hint="eastAsia" w:ascii="Times New Roman" w:hAnsi="Times New Roman" w:eastAsia="宋体" w:cs="Times New Roman"/>
          <w:sz w:val="24"/>
          <w:lang w:val="en-US" w:eastAsia="zh-CN"/>
        </w:rPr>
        <w:t>首次</w:t>
      </w:r>
      <w:r>
        <w:rPr>
          <w:rFonts w:ascii="Times New Roman" w:hAnsi="Times New Roman" w:cs="Times New Roman"/>
          <w:sz w:val="24"/>
        </w:rPr>
        <w:t>撒布</w:t>
      </w:r>
      <w:r>
        <w:rPr>
          <w:rFonts w:hint="eastAsia" w:ascii="Times New Roman" w:hAnsi="Times New Roman" w:eastAsia="宋体" w:cs="Times New Roman"/>
          <w:sz w:val="24"/>
          <w:lang w:val="en-US" w:eastAsia="zh-CN"/>
        </w:rPr>
        <w:t>耐磨材料用量</w:t>
      </w:r>
      <w:r>
        <w:rPr>
          <w:rFonts w:ascii="Times New Roman" w:hAnsi="Times New Roman" w:eastAsia="宋体" w:cs="Times New Roman"/>
          <w:sz w:val="24"/>
        </w:rPr>
        <w:t>的2/3，然后进行机械抹平、提浆，</w:t>
      </w:r>
      <w:r>
        <w:rPr>
          <w:rFonts w:hint="eastAsia" w:ascii="Times New Roman" w:hAnsi="Times New Roman" w:eastAsia="宋体" w:cs="Times New Roman"/>
          <w:sz w:val="24"/>
          <w:lang w:val="en-US" w:eastAsia="zh-CN"/>
        </w:rPr>
        <w:t>提浆后</w:t>
      </w:r>
      <w:r>
        <w:rPr>
          <w:rFonts w:ascii="Times New Roman" w:hAnsi="Times New Roman" w:cs="Times New Roman"/>
          <w:sz w:val="24"/>
        </w:rPr>
        <w:t>撒布</w:t>
      </w:r>
      <w:r>
        <w:rPr>
          <w:rFonts w:hint="eastAsia" w:ascii="Times New Roman" w:hAnsi="Times New Roman" w:cs="Times New Roman"/>
          <w:sz w:val="24"/>
        </w:rPr>
        <w:t>剩余</w:t>
      </w:r>
      <w:r>
        <w:rPr>
          <w:rFonts w:hint="eastAsia" w:ascii="Times New Roman" w:hAnsi="Times New Roman" w:cs="Times New Roman"/>
          <w:sz w:val="24"/>
          <w:lang w:eastAsia="zh-CN"/>
        </w:rPr>
        <w:t>的</w:t>
      </w:r>
      <w:r>
        <w:rPr>
          <w:rFonts w:hint="eastAsia" w:ascii="Times New Roman" w:hAnsi="Times New Roman" w:eastAsia="宋体" w:cs="Times New Roman"/>
          <w:sz w:val="24"/>
          <w:lang w:val="en-US" w:eastAsia="zh-CN"/>
        </w:rPr>
        <w:t>耐磨材料</w:t>
      </w:r>
      <w:r>
        <w:rPr>
          <w:rFonts w:ascii="Times New Roman" w:hAnsi="Times New Roman" w:eastAsia="宋体" w:cs="Times New Roman"/>
          <w:sz w:val="24"/>
        </w:rPr>
        <w:t>，再进行机械抹平</w:t>
      </w:r>
      <w:bookmarkStart w:id="110" w:name="_Hlk32004357"/>
      <w:r>
        <w:rPr>
          <w:rFonts w:hint="eastAsia" w:ascii="Times New Roman" w:hAnsi="Times New Roman" w:eastAsia="宋体" w:cs="Times New Roman"/>
          <w:sz w:val="24"/>
          <w:lang w:eastAsia="zh-CN"/>
        </w:rPr>
        <w:t>。</w:t>
      </w:r>
      <w:r>
        <w:rPr>
          <w:rFonts w:ascii="Times New Roman" w:hAnsi="Times New Roman" w:eastAsia="宋体" w:cs="Times New Roman"/>
          <w:sz w:val="24"/>
        </w:rPr>
        <w:t>机械抹平</w:t>
      </w:r>
      <w:r>
        <w:rPr>
          <w:rFonts w:hint="eastAsia" w:ascii="Times New Roman" w:hAnsi="Times New Roman" w:eastAsia="宋体" w:cs="Times New Roman"/>
          <w:sz w:val="24"/>
          <w:lang w:val="en-US" w:eastAsia="zh-CN"/>
        </w:rPr>
        <w:t>前</w:t>
      </w:r>
      <w:r>
        <w:rPr>
          <w:rFonts w:ascii="Times New Roman" w:hAnsi="Times New Roman" w:cs="Times New Roman"/>
          <w:sz w:val="24"/>
        </w:rPr>
        <w:t>应先对边角处辅以人工修饰，大面积区域</w:t>
      </w:r>
      <w:r>
        <w:rPr>
          <w:rFonts w:hint="eastAsia" w:ascii="Times New Roman" w:hAnsi="Times New Roman" w:cs="Times New Roman"/>
          <w:sz w:val="24"/>
        </w:rPr>
        <w:t>应</w:t>
      </w:r>
      <w:r>
        <w:rPr>
          <w:rFonts w:ascii="Times New Roman" w:hAnsi="Times New Roman" w:cs="Times New Roman"/>
          <w:sz w:val="24"/>
        </w:rPr>
        <w:t>采用机械镘抹后再进行收光</w:t>
      </w:r>
      <w:bookmarkEnd w:id="110"/>
      <w:r>
        <w:rPr>
          <w:rFonts w:ascii="Times New Roman" w:hAnsi="Times New Roman" w:cs="Times New Roman"/>
          <w:sz w:val="24"/>
        </w:rPr>
        <w:t>抹平</w:t>
      </w:r>
      <w:r>
        <w:rPr>
          <w:rFonts w:hint="eastAsia" w:ascii="Times New Roman" w:hAnsi="Times New Roman" w:cs="Times New Roman"/>
          <w:sz w:val="24"/>
        </w:rPr>
        <w:t>。</w:t>
      </w:r>
    </w:p>
    <w:p w14:paraId="67FB4E1F">
      <w:pPr>
        <w:spacing w:line="312" w:lineRule="auto"/>
        <w:ind w:firstLine="480" w:firstLineChars="200"/>
        <w:rPr>
          <w:rFonts w:hint="eastAsia" w:ascii="Times New Roman" w:hAnsi="Times New Roman" w:cs="Times New Roman"/>
          <w:strike w:val="0"/>
          <w:dstrike w:val="0"/>
          <w:sz w:val="24"/>
        </w:rPr>
      </w:pPr>
      <w:r>
        <w:rPr>
          <w:rFonts w:hint="eastAsia" w:ascii="Times New Roman" w:hAnsi="Times New Roman" w:cs="Times New Roman"/>
          <w:sz w:val="24"/>
          <w:lang w:val="en-US" w:eastAsia="zh-CN"/>
        </w:rPr>
        <w:t>3以</w:t>
      </w:r>
      <w:r>
        <w:rPr>
          <w:rFonts w:ascii="Times New Roman" w:hAnsi="Times New Roman" w:cs="Times New Roman"/>
          <w:strike w:val="0"/>
          <w:dstrike w:val="0"/>
          <w:sz w:val="24"/>
        </w:rPr>
        <w:t>非金属</w:t>
      </w:r>
      <w:r>
        <w:rPr>
          <w:rFonts w:hint="eastAsia" w:ascii="Times New Roman" w:hAnsi="Times New Roman" w:cs="Times New Roman"/>
          <w:strike w:val="0"/>
          <w:dstrike w:val="0"/>
          <w:sz w:val="24"/>
          <w:lang w:val="en-US" w:eastAsia="zh-CN"/>
        </w:rPr>
        <w:t>材料为骨料的</w:t>
      </w:r>
      <w:r>
        <w:rPr>
          <w:rFonts w:ascii="Times New Roman" w:hAnsi="Times New Roman" w:cs="Times New Roman"/>
          <w:strike w:val="0"/>
          <w:dstrike w:val="0"/>
          <w:sz w:val="24"/>
        </w:rPr>
        <w:t>耐磨材料用量不应小于5kg/m</w:t>
      </w:r>
      <w:r>
        <w:rPr>
          <w:rFonts w:ascii="Times New Roman" w:hAnsi="Times New Roman" w:cs="Times New Roman"/>
          <w:strike w:val="0"/>
          <w:dstrike w:val="0"/>
          <w:sz w:val="24"/>
          <w:vertAlign w:val="superscript"/>
        </w:rPr>
        <w:t>2</w:t>
      </w:r>
      <w:r>
        <w:rPr>
          <w:rFonts w:ascii="Times New Roman" w:hAnsi="Times New Roman" w:cs="Times New Roman"/>
          <w:strike w:val="0"/>
          <w:dstrike w:val="0"/>
          <w:sz w:val="24"/>
        </w:rPr>
        <w:t>，</w:t>
      </w:r>
      <w:r>
        <w:rPr>
          <w:rFonts w:hint="eastAsia" w:ascii="Times New Roman" w:hAnsi="Times New Roman" w:cs="Times New Roman"/>
          <w:strike w:val="0"/>
          <w:dstrike w:val="0"/>
          <w:sz w:val="24"/>
          <w:lang w:val="en-US" w:eastAsia="zh-CN"/>
        </w:rPr>
        <w:t>以</w:t>
      </w:r>
      <w:r>
        <w:rPr>
          <w:rFonts w:ascii="Times New Roman" w:hAnsi="Times New Roman" w:cs="Times New Roman"/>
          <w:strike w:val="0"/>
          <w:dstrike w:val="0"/>
          <w:sz w:val="24"/>
        </w:rPr>
        <w:t>金属</w:t>
      </w:r>
      <w:r>
        <w:rPr>
          <w:rFonts w:hint="eastAsia" w:ascii="Times New Roman" w:hAnsi="Times New Roman" w:cs="Times New Roman"/>
          <w:strike w:val="0"/>
          <w:dstrike w:val="0"/>
          <w:sz w:val="24"/>
          <w:lang w:val="en-US" w:eastAsia="zh-CN"/>
        </w:rPr>
        <w:t>材料为骨料</w:t>
      </w:r>
      <w:r>
        <w:rPr>
          <w:rFonts w:ascii="Times New Roman" w:hAnsi="Times New Roman" w:cs="Times New Roman"/>
          <w:strike w:val="0"/>
          <w:dstrike w:val="0"/>
          <w:sz w:val="24"/>
        </w:rPr>
        <w:t>耐磨材料用量不应小于7kg/m</w:t>
      </w:r>
      <w:r>
        <w:rPr>
          <w:rFonts w:ascii="Times New Roman" w:hAnsi="Times New Roman" w:cs="Times New Roman"/>
          <w:strike w:val="0"/>
          <w:dstrike w:val="0"/>
          <w:sz w:val="24"/>
          <w:vertAlign w:val="superscript"/>
        </w:rPr>
        <w:t>2</w:t>
      </w:r>
      <w:r>
        <w:rPr>
          <w:rFonts w:hint="eastAsia" w:ascii="Times New Roman" w:hAnsi="Times New Roman" w:cs="Times New Roman"/>
          <w:strike w:val="0"/>
          <w:dstrike w:val="0"/>
          <w:sz w:val="24"/>
        </w:rPr>
        <w:t>；耐磨层厚度应不低于3mm。</w:t>
      </w:r>
    </w:p>
    <w:p w14:paraId="1EECCDF8">
      <w:pPr>
        <w:spacing w:line="312" w:lineRule="auto"/>
        <w:rPr>
          <w:rFonts w:ascii="Times New Roman" w:hAnsi="Times New Roman" w:cs="Times New Roman"/>
          <w:sz w:val="24"/>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 xml:space="preserve">6.4.3 </w:t>
      </w:r>
      <w:r>
        <w:rPr>
          <w:rFonts w:ascii="Times New Roman" w:hAnsi="Times New Roman" w:cs="Times New Roman"/>
          <w:sz w:val="24"/>
        </w:rPr>
        <w:t>收光后应</w:t>
      </w:r>
      <w:r>
        <w:rPr>
          <w:rFonts w:hint="eastAsia" w:ascii="Times New Roman" w:hAnsi="Times New Roman" w:cs="Times New Roman"/>
          <w:sz w:val="24"/>
        </w:rPr>
        <w:t>随即</w:t>
      </w:r>
      <w:r>
        <w:rPr>
          <w:rFonts w:ascii="Times New Roman" w:hAnsi="Times New Roman" w:cs="Times New Roman"/>
          <w:sz w:val="24"/>
        </w:rPr>
        <w:t>进行养护，养护方法宜采</w:t>
      </w:r>
      <w:r>
        <w:rPr>
          <w:rFonts w:ascii="Times New Roman" w:hAnsi="Times New Roman" w:cs="Times New Roman"/>
          <w:sz w:val="24"/>
          <w:highlight w:val="none"/>
        </w:rPr>
        <w:t>用涂敷养护剂，也可采用薄膜</w:t>
      </w:r>
      <w:r>
        <w:rPr>
          <w:rFonts w:hint="eastAsia" w:ascii="Times New Roman" w:hAnsi="Times New Roman" w:cs="Times New Roman"/>
          <w:sz w:val="24"/>
          <w:highlight w:val="none"/>
          <w:lang w:val="en-US" w:eastAsia="zh-CN"/>
        </w:rPr>
        <w:t>养护</w:t>
      </w:r>
      <w:r>
        <w:rPr>
          <w:rFonts w:ascii="Times New Roman" w:hAnsi="Times New Roman" w:cs="Times New Roman"/>
          <w:sz w:val="24"/>
          <w:highlight w:val="none"/>
        </w:rPr>
        <w:t>。</w:t>
      </w:r>
      <w:r>
        <w:rPr>
          <w:rFonts w:hint="eastAsia" w:ascii="Times New Roman" w:hAnsi="Times New Roman" w:cs="Times New Roman"/>
          <w:sz w:val="24"/>
          <w:highlight w:val="none"/>
        </w:rPr>
        <w:t>养护时间宜14d以上，不应低于7d，养护期间应保持湿润，避</w:t>
      </w:r>
      <w:r>
        <w:rPr>
          <w:rFonts w:hint="eastAsia" w:ascii="Times New Roman" w:hAnsi="Times New Roman" w:cs="Times New Roman"/>
          <w:sz w:val="24"/>
        </w:rPr>
        <w:t>免阳光直射和风干过快，导致表面水份流失，应及时记录并专人负责。在养护期间，当面层混凝土强度低于5MPa，严禁上人。</w:t>
      </w:r>
    </w:p>
    <w:p w14:paraId="674DDD8A">
      <w:pPr>
        <w:spacing w:line="312" w:lineRule="auto"/>
        <w:ind w:firstLine="480" w:firstLineChars="200"/>
        <w:rPr>
          <w:rFonts w:ascii="Times New Roman" w:hAnsi="Times New Roman" w:cs="Times New Roman"/>
          <w:sz w:val="24"/>
        </w:rPr>
      </w:pPr>
      <w:r>
        <w:rPr>
          <w:rFonts w:hint="eastAsia" w:ascii="Times New Roman" w:hAnsi="Times New Roman" w:cs="Times New Roman"/>
          <w:sz w:val="24"/>
        </w:rPr>
        <w:t>养护期间严禁交叉作业；如必须有其他施工作业时，应确保施工作业的荷载不会损环混凝土地坪且在整个地面满铺纤维板防护，防止地面受损。禁止在已完工的地面上拖运钢筋、拌和砂浆，揉制油灰，调制油漆等，防止地面污染受损。</w:t>
      </w:r>
    </w:p>
    <w:p w14:paraId="1C691C2E">
      <w:pPr>
        <w:spacing w:line="312" w:lineRule="auto"/>
        <w:rPr>
          <w:rFonts w:hint="eastAsia" w:ascii="Times New Roman" w:hAnsi="Times New Roman" w:cs="Times New Roman" w:eastAsiaTheme="minorEastAsia"/>
          <w:sz w:val="24"/>
          <w:lang w:eastAsia="zh-CN"/>
        </w:rPr>
      </w:pPr>
      <w:r>
        <w:rPr>
          <w:rFonts w:ascii="Times New Roman" w:hAnsi="Times New Roman" w:cs="Times New Roman"/>
          <w:b/>
          <w:color w:val="000000" w:themeColor="text1"/>
          <w:sz w:val="24"/>
          <w:lang w:val="zh-CN"/>
          <w14:textFill>
            <w14:solidFill>
              <w14:schemeClr w14:val="tx1"/>
            </w14:solidFill>
          </w14:textFill>
        </w:rPr>
        <w:t>6.4.</w:t>
      </w: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color w:val="000000" w:themeColor="text1"/>
          <w:sz w:val="24"/>
          <w:lang w:val="zh-CN"/>
          <w14:textFill>
            <w14:solidFill>
              <w14:schemeClr w14:val="tx1"/>
            </w14:solidFill>
          </w14:textFill>
        </w:rPr>
        <w:t>　</w:t>
      </w:r>
      <w:r>
        <w:rPr>
          <w:rFonts w:hint="eastAsia" w:ascii="Times New Roman" w:hAnsi="Times New Roman" w:cs="Times New Roman"/>
          <w:color w:val="000000" w:themeColor="text1"/>
          <w:sz w:val="24"/>
          <w:lang w:val="en-US" w:eastAsia="zh-CN"/>
          <w14:textFill>
            <w14:solidFill>
              <w14:schemeClr w14:val="tx1"/>
            </w14:solidFill>
          </w14:textFill>
        </w:rPr>
        <w:t>干撒型</w:t>
      </w:r>
      <w:r>
        <w:rPr>
          <w:rFonts w:ascii="Times New Roman" w:hAnsi="Times New Roman" w:cs="Times New Roman"/>
          <w:sz w:val="24"/>
        </w:rPr>
        <w:t>水泥基耐磨材料施工完成后，养护</w:t>
      </w:r>
      <w:r>
        <w:rPr>
          <w:rFonts w:hint="eastAsia" w:ascii="Times New Roman" w:hAnsi="Times New Roman" w:cs="Times New Roman"/>
          <w:sz w:val="24"/>
        </w:rPr>
        <w:t>（24～72）h</w:t>
      </w:r>
      <w:r>
        <w:rPr>
          <w:rFonts w:ascii="Times New Roman" w:hAnsi="Times New Roman" w:cs="Times New Roman"/>
          <w:sz w:val="24"/>
        </w:rPr>
        <w:t>内应按设计</w:t>
      </w:r>
      <w:r>
        <w:rPr>
          <w:rFonts w:hint="eastAsia" w:ascii="Times New Roman" w:hAnsi="Times New Roman" w:cs="Times New Roman"/>
          <w:sz w:val="24"/>
        </w:rPr>
        <w:t>文件的规定</w:t>
      </w:r>
      <w:r>
        <w:rPr>
          <w:rFonts w:ascii="Times New Roman" w:hAnsi="Times New Roman" w:cs="Times New Roman"/>
          <w:sz w:val="24"/>
        </w:rPr>
        <w:t>进</w:t>
      </w:r>
      <w:r>
        <w:rPr>
          <w:rFonts w:hint="eastAsia" w:ascii="Times New Roman" w:hAnsi="Times New Roman" w:cs="Times New Roman"/>
          <w:sz w:val="24"/>
        </w:rPr>
        <w:t>行切缝，并应符合下列规定：</w:t>
      </w:r>
    </w:p>
    <w:p w14:paraId="60E64C49">
      <w:pPr>
        <w:spacing w:line="312" w:lineRule="auto"/>
        <w:ind w:left="1202" w:leftChars="405" w:hanging="352" w:hangingChars="147"/>
        <w:rPr>
          <w:rFonts w:ascii="Times New Roman" w:hAnsi="Times New Roman" w:eastAsia="新宋体" w:cs="Times New Roman"/>
          <w:bCs/>
          <w:sz w:val="24"/>
        </w:rPr>
      </w:pPr>
      <w:r>
        <w:rPr>
          <w:rFonts w:ascii="Times New Roman" w:hAnsi="Times New Roman" w:eastAsia="新宋体" w:cs="Times New Roman"/>
          <w:bCs/>
          <w:sz w:val="24"/>
        </w:rPr>
        <w:t>1</w:t>
      </w:r>
      <w:r>
        <w:rPr>
          <w:rFonts w:hint="eastAsia" w:ascii="Times New Roman" w:hAnsi="Times New Roman" w:eastAsia="新宋体" w:cs="Times New Roman"/>
          <w:bCs/>
          <w:sz w:val="24"/>
        </w:rPr>
        <w:t>）</w:t>
      </w:r>
      <w:r>
        <w:rPr>
          <w:rFonts w:ascii="Times New Roman" w:hAnsi="Times New Roman" w:eastAsia="新宋体" w:cs="Times New Roman"/>
          <w:bCs/>
          <w:sz w:val="24"/>
        </w:rPr>
        <w:t>切缝前宜使用经纬仪和紧线器放线，标出缝的位置</w:t>
      </w:r>
      <w:r>
        <w:rPr>
          <w:rFonts w:hint="eastAsia" w:ascii="Times New Roman" w:hAnsi="Times New Roman" w:eastAsia="新宋体" w:cs="Times New Roman"/>
          <w:bCs/>
          <w:sz w:val="24"/>
        </w:rPr>
        <w:t>；</w:t>
      </w:r>
    </w:p>
    <w:p w14:paraId="06F3F916">
      <w:pPr>
        <w:spacing w:line="312" w:lineRule="auto"/>
        <w:ind w:left="1202" w:leftChars="405" w:hanging="352" w:hangingChars="147"/>
        <w:rPr>
          <w:rFonts w:ascii="Times New Roman" w:hAnsi="Times New Roman" w:eastAsia="新宋体" w:cs="Times New Roman"/>
          <w:bCs/>
          <w:sz w:val="24"/>
        </w:rPr>
      </w:pPr>
      <w:r>
        <w:rPr>
          <w:rFonts w:ascii="Times New Roman" w:hAnsi="Times New Roman" w:eastAsia="新宋体" w:cs="Times New Roman"/>
          <w:bCs/>
          <w:sz w:val="24"/>
        </w:rPr>
        <w:t>2</w:t>
      </w:r>
      <w:r>
        <w:rPr>
          <w:rFonts w:hint="eastAsia" w:ascii="Times New Roman" w:hAnsi="Times New Roman" w:eastAsia="新宋体" w:cs="Times New Roman"/>
          <w:bCs/>
          <w:sz w:val="24"/>
        </w:rPr>
        <w:t>）</w:t>
      </w:r>
      <w:r>
        <w:rPr>
          <w:rFonts w:ascii="Times New Roman" w:hAnsi="Times New Roman" w:eastAsia="新宋体" w:cs="Times New Roman"/>
          <w:bCs/>
          <w:sz w:val="24"/>
        </w:rPr>
        <w:t>若无特殊要求，可沿柱线设置切缝，</w:t>
      </w:r>
      <w:r>
        <w:rPr>
          <w:rFonts w:ascii="Times New Roman" w:hAnsi="Times New Roman" w:eastAsia="新宋体" w:cs="Times New Roman"/>
          <w:bCs/>
          <w:sz w:val="24"/>
          <w:highlight w:val="none"/>
        </w:rPr>
        <w:t>切缝间距不宜超过6m×6m，对</w:t>
      </w:r>
      <w:r>
        <w:rPr>
          <w:rFonts w:ascii="Times New Roman" w:hAnsi="Times New Roman" w:eastAsia="新宋体" w:cs="Times New Roman"/>
          <w:bCs/>
          <w:sz w:val="24"/>
        </w:rPr>
        <w:t>柱子部位宜采用菱形设缝</w:t>
      </w:r>
      <w:r>
        <w:rPr>
          <w:rFonts w:hint="eastAsia" w:ascii="Times New Roman" w:hAnsi="Times New Roman" w:eastAsia="新宋体" w:cs="Times New Roman"/>
          <w:bCs/>
          <w:sz w:val="24"/>
        </w:rPr>
        <w:t>；</w:t>
      </w:r>
    </w:p>
    <w:p w14:paraId="7DDC7096">
      <w:pPr>
        <w:spacing w:line="312" w:lineRule="auto"/>
        <w:ind w:left="1202" w:leftChars="405" w:hanging="352" w:hangingChars="147"/>
        <w:rPr>
          <w:rFonts w:ascii="Times New Roman" w:hAnsi="Times New Roman" w:eastAsia="新宋体" w:cs="Times New Roman"/>
          <w:bCs/>
          <w:sz w:val="24"/>
        </w:rPr>
      </w:pPr>
      <w:r>
        <w:rPr>
          <w:rFonts w:ascii="Times New Roman" w:hAnsi="Times New Roman" w:cs="Times New Roman"/>
          <w:sz w:val="24"/>
        </w:rPr>
        <w:t>3</w:t>
      </w:r>
      <w:r>
        <w:rPr>
          <w:rFonts w:hint="eastAsia" w:ascii="Times New Roman" w:hAnsi="Times New Roman" w:cs="Times New Roman"/>
          <w:sz w:val="24"/>
        </w:rPr>
        <w:t>）</w:t>
      </w:r>
      <w:r>
        <w:rPr>
          <w:rFonts w:ascii="Times New Roman" w:hAnsi="Times New Roman" w:cs="Times New Roman"/>
          <w:sz w:val="24"/>
        </w:rPr>
        <w:t>切缝宜采用湿法切割，缝宽宜为5mm，</w:t>
      </w:r>
      <w:r>
        <w:rPr>
          <w:rFonts w:ascii="Times New Roman" w:hAnsi="Times New Roman" w:cs="Times New Roman"/>
          <w:bCs/>
          <w:sz w:val="24"/>
        </w:rPr>
        <w:t>切割</w:t>
      </w:r>
      <w:r>
        <w:rPr>
          <w:rFonts w:ascii="Times New Roman" w:hAnsi="Times New Roman" w:eastAsia="新宋体" w:cs="Times New Roman"/>
          <w:bCs/>
          <w:sz w:val="24"/>
        </w:rPr>
        <w:t>深度宜为混凝土板厚度的1/3</w:t>
      </w:r>
      <w:r>
        <w:rPr>
          <w:rFonts w:hint="eastAsia" w:ascii="Times New Roman" w:hAnsi="Times New Roman" w:eastAsia="新宋体" w:cs="Times New Roman"/>
          <w:bCs/>
          <w:sz w:val="24"/>
        </w:rPr>
        <w:t>；</w:t>
      </w:r>
    </w:p>
    <w:p w14:paraId="1438538B">
      <w:pPr>
        <w:spacing w:line="312" w:lineRule="auto"/>
        <w:ind w:left="1202" w:leftChars="405" w:hanging="352" w:hangingChars="147"/>
        <w:rPr>
          <w:rFonts w:ascii="Times New Roman" w:hAnsi="Times New Roman" w:cs="Times New Roman"/>
          <w:sz w:val="24"/>
        </w:rPr>
      </w:pPr>
      <w:r>
        <w:rPr>
          <w:rFonts w:ascii="Times New Roman" w:hAnsi="Times New Roman" w:eastAsia="宋体" w:cs="Times New Roman"/>
          <w:sz w:val="24"/>
        </w:rPr>
        <w:t>4</w:t>
      </w:r>
      <w:r>
        <w:rPr>
          <w:rFonts w:hint="eastAsia" w:ascii="Times New Roman" w:hAnsi="Times New Roman" w:eastAsia="宋体" w:cs="Times New Roman"/>
          <w:sz w:val="24"/>
        </w:rPr>
        <w:t>）</w:t>
      </w:r>
      <w:r>
        <w:rPr>
          <w:rFonts w:ascii="Times New Roman" w:hAnsi="Times New Roman" w:eastAsia="宋体" w:cs="Times New Roman"/>
          <w:sz w:val="24"/>
        </w:rPr>
        <w:t>切缝</w:t>
      </w:r>
      <w:r>
        <w:rPr>
          <w:rFonts w:hint="eastAsia" w:ascii="Times New Roman" w:hAnsi="Times New Roman" w:eastAsia="宋体" w:cs="Times New Roman"/>
          <w:sz w:val="24"/>
        </w:rPr>
        <w:t>完成后</w:t>
      </w:r>
      <w:r>
        <w:rPr>
          <w:rFonts w:ascii="Times New Roman" w:hAnsi="Times New Roman" w:eastAsia="宋体" w:cs="Times New Roman"/>
          <w:sz w:val="24"/>
        </w:rPr>
        <w:t>应清理缝内的废屑及表面</w:t>
      </w:r>
      <w:r>
        <w:rPr>
          <w:rFonts w:ascii="Times New Roman" w:hAnsi="Times New Roman" w:cs="Times New Roman"/>
          <w:sz w:val="24"/>
        </w:rPr>
        <w:t>泥浆</w:t>
      </w:r>
      <w:r>
        <w:rPr>
          <w:rFonts w:ascii="Times New Roman" w:hAnsi="Times New Roman" w:eastAsia="宋体" w:cs="Times New Roman"/>
          <w:sz w:val="24"/>
        </w:rPr>
        <w:t>，</w:t>
      </w:r>
      <w:r>
        <w:rPr>
          <w:rFonts w:ascii="Times New Roman" w:hAnsi="Times New Roman" w:cs="Times New Roman"/>
          <w:sz w:val="24"/>
        </w:rPr>
        <w:t>并</w:t>
      </w:r>
      <w:r>
        <w:rPr>
          <w:rFonts w:hint="eastAsia" w:ascii="Times New Roman" w:hAnsi="Times New Roman" w:cs="Times New Roman"/>
          <w:sz w:val="24"/>
        </w:rPr>
        <w:t>应</w:t>
      </w:r>
      <w:r>
        <w:rPr>
          <w:rFonts w:ascii="Times New Roman" w:hAnsi="Times New Roman" w:cs="Times New Roman"/>
          <w:sz w:val="24"/>
        </w:rPr>
        <w:t>使用填缝胶进行填缝；</w:t>
      </w:r>
      <w:r>
        <w:rPr>
          <w:rFonts w:hint="eastAsia" w:ascii="Times New Roman" w:hAnsi="Times New Roman" w:cs="Times New Roman"/>
          <w:sz w:val="24"/>
        </w:rPr>
        <w:t>填胶时，混凝土宜干燥；须将所有接缝内壁清理干净，并塞入接缝宽度约1.2倍的闭口PE泡沫棒，根据设计要求留出填胶高度，在接缝两侧用美纹纸进行保护，打入</w:t>
      </w:r>
      <w:r>
        <w:rPr>
          <w:rFonts w:ascii="Times New Roman" w:hAnsi="Times New Roman" w:cs="Times New Roman"/>
          <w:sz w:val="24"/>
        </w:rPr>
        <w:t>填缝胶</w:t>
      </w:r>
      <w:r>
        <w:rPr>
          <w:rFonts w:hint="eastAsia" w:ascii="Times New Roman" w:hAnsi="Times New Roman" w:cs="Times New Roman"/>
          <w:sz w:val="24"/>
        </w:rPr>
        <w:t>进行填充并刮平后，撕掉美纹纸。</w:t>
      </w:r>
    </w:p>
    <w:p w14:paraId="31DEC23C">
      <w:pPr>
        <w:spacing w:line="312" w:lineRule="auto"/>
        <w:rPr>
          <w:rFonts w:ascii="Times New Roman" w:hAnsi="Times New Roman" w:cs="Times New Roman"/>
          <w:sz w:val="24"/>
        </w:rPr>
      </w:pPr>
      <w:r>
        <w:rPr>
          <w:rFonts w:ascii="Times New Roman" w:hAnsi="Times New Roman" w:cs="Times New Roman"/>
          <w:b/>
          <w:sz w:val="24"/>
        </w:rPr>
        <w:t>6.4.</w:t>
      </w:r>
      <w:r>
        <w:rPr>
          <w:rFonts w:hint="eastAsia" w:ascii="Times New Roman" w:hAnsi="Times New Roman" w:cs="Times New Roman"/>
          <w:b/>
          <w:sz w:val="24"/>
          <w:lang w:val="en-US" w:eastAsia="zh-CN"/>
        </w:rPr>
        <w:t xml:space="preserve">5 </w:t>
      </w:r>
      <w:r>
        <w:rPr>
          <w:rFonts w:hint="eastAsia" w:ascii="Times New Roman" w:hAnsi="Times New Roman" w:cs="Times New Roman"/>
          <w:sz w:val="24"/>
        </w:rPr>
        <w:t>成品保护期间</w:t>
      </w:r>
      <w:r>
        <w:rPr>
          <w:rFonts w:ascii="Times New Roman" w:hAnsi="Times New Roman" w:cs="Times New Roman"/>
          <w:sz w:val="24"/>
        </w:rPr>
        <w:t>应封闭现场</w:t>
      </w:r>
      <w:r>
        <w:rPr>
          <w:rFonts w:hint="eastAsia" w:ascii="Times New Roman" w:hAnsi="Times New Roman" w:cs="Times New Roman"/>
          <w:sz w:val="24"/>
          <w:lang w:eastAsia="zh-CN"/>
        </w:rPr>
        <w:t>，</w:t>
      </w:r>
      <w:r>
        <w:rPr>
          <w:rFonts w:hint="eastAsia" w:ascii="Times New Roman" w:hAnsi="Times New Roman" w:cs="Times New Roman"/>
          <w:sz w:val="24"/>
          <w:lang w:val="en-US" w:eastAsia="zh-CN"/>
        </w:rPr>
        <w:t>若需要渗透型液体硬化剂进行硬化处理，应在耐磨材料施工养护到期后方可进行</w:t>
      </w:r>
      <w:r>
        <w:rPr>
          <w:rFonts w:ascii="Times New Roman" w:hAnsi="Times New Roman" w:cs="Times New Roman"/>
          <w:sz w:val="24"/>
        </w:rPr>
        <w:t>。</w:t>
      </w:r>
    </w:p>
    <w:p w14:paraId="46EAA9B6">
      <w:pPr>
        <w:spacing w:line="312" w:lineRule="auto"/>
        <w:rPr>
          <w:rFonts w:ascii="Times New Roman" w:hAnsi="Times New Roman" w:cs="Times New Roman"/>
          <w:sz w:val="24"/>
        </w:rPr>
      </w:pPr>
      <w:r>
        <w:rPr>
          <w:rFonts w:hint="eastAsia" w:ascii="Times New Roman" w:hAnsi="Times New Roman" w:cs="Times New Roman"/>
          <w:b/>
          <w:bCs/>
          <w:sz w:val="24"/>
          <w:lang w:val="en-US" w:eastAsia="zh-CN"/>
        </w:rPr>
        <w:t>6.4.6</w:t>
      </w:r>
      <w:r>
        <w:rPr>
          <w:rFonts w:hint="eastAsia" w:ascii="Times New Roman" w:hAnsi="Times New Roman" w:cs="Times New Roman"/>
          <w:sz w:val="24"/>
          <w:lang w:val="en-US" w:eastAsia="zh-CN"/>
        </w:rPr>
        <w:t xml:space="preserve"> </w:t>
      </w:r>
      <w:r>
        <w:rPr>
          <w:rFonts w:hint="eastAsia" w:ascii="Times New Roman" w:hAnsi="Times New Roman" w:cs="Times New Roman"/>
          <w:color w:val="000000" w:themeColor="text1"/>
          <w:sz w:val="24"/>
          <w:szCs w:val="24"/>
          <w:lang w:val="en-US" w:eastAsia="zh-CN"/>
          <w14:textFill>
            <w14:solidFill>
              <w14:schemeClr w14:val="tx1"/>
            </w14:solidFill>
          </w14:textFill>
        </w:rPr>
        <w:t>湿拌摊铺型</w:t>
      </w:r>
      <w:r>
        <w:rPr>
          <w:rFonts w:ascii="Times New Roman" w:hAnsi="Times New Roman" w:cs="Times New Roman"/>
          <w:strike w:val="0"/>
          <w:dstrike w:val="0"/>
          <w:sz w:val="24"/>
        </w:rPr>
        <w:t>耐磨材料</w:t>
      </w:r>
      <w:r>
        <w:rPr>
          <w:rFonts w:hint="eastAsia" w:ascii="Times New Roman" w:hAnsi="Times New Roman" w:cs="Times New Roman"/>
          <w:strike w:val="0"/>
          <w:dstrike w:val="0"/>
          <w:sz w:val="24"/>
          <w:lang w:eastAsia="zh-CN"/>
        </w:rPr>
        <w:t>的</w:t>
      </w:r>
      <w:r>
        <w:rPr>
          <w:rFonts w:hint="eastAsia" w:ascii="Times New Roman" w:hAnsi="Times New Roman" w:cs="Times New Roman"/>
          <w:sz w:val="24"/>
        </w:rPr>
        <w:t>施工应符合下列规定：</w:t>
      </w:r>
    </w:p>
    <w:p w14:paraId="63EC07C1">
      <w:pPr>
        <w:spacing w:line="312" w:lineRule="auto"/>
        <w:ind w:firstLine="720" w:firstLineChars="300"/>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 按照6.3.2进行基层混凝土的准备和处理；</w:t>
      </w:r>
    </w:p>
    <w:p w14:paraId="13C198AC">
      <w:pPr>
        <w:spacing w:line="312" w:lineRule="auto"/>
        <w:ind w:firstLine="720" w:firstLineChars="300"/>
        <w:rPr>
          <w:rFonts w:hint="eastAsia" w:ascii="Times New Roman" w:hAnsi="Times New Roman" w:cs="Times New Roman" w:eastAsiaTheme="minorEastAsia"/>
          <w:sz w:val="24"/>
          <w:szCs w:val="24"/>
          <w:lang w:eastAsia="zh-CN"/>
        </w:rPr>
      </w:pPr>
      <w:r>
        <w:rPr>
          <w:rFonts w:hint="eastAsia" w:ascii="Times New Roman" w:hAnsi="Times New Roman" w:cs="Times New Roman"/>
          <w:sz w:val="24"/>
          <w:szCs w:val="24"/>
          <w:lang w:val="en-US" w:eastAsia="zh-CN"/>
        </w:rPr>
        <w:t>2 按照界面剂使用说明，在基层混凝土表面</w:t>
      </w:r>
      <w:r>
        <w:rPr>
          <w:rFonts w:hint="eastAsia" w:ascii="Times New Roman" w:hAnsi="Times New Roman" w:cs="Times New Roman"/>
          <w:sz w:val="24"/>
          <w:szCs w:val="24"/>
        </w:rPr>
        <w:t>刷涂界面剂</w:t>
      </w:r>
      <w:r>
        <w:rPr>
          <w:rFonts w:hint="eastAsia" w:ascii="Times New Roman" w:hAnsi="Times New Roman" w:cs="Times New Roman"/>
          <w:sz w:val="24"/>
          <w:szCs w:val="24"/>
          <w:lang w:eastAsia="zh-CN"/>
        </w:rPr>
        <w:t>；</w:t>
      </w:r>
    </w:p>
    <w:p w14:paraId="2304EB57">
      <w:pPr>
        <w:spacing w:line="312" w:lineRule="auto"/>
        <w:ind w:firstLine="720" w:firstLineChars="300"/>
        <w:rPr>
          <w:rFonts w:ascii="Times New Roman" w:hAnsi="Times New Roman" w:cs="Times New Roman"/>
          <w:sz w:val="24"/>
          <w:szCs w:val="24"/>
        </w:rPr>
      </w:pPr>
      <w:r>
        <w:rPr>
          <w:rFonts w:hint="eastAsia" w:ascii="Times New Roman" w:hAnsi="Times New Roman" w:cs="Times New Roman"/>
          <w:sz w:val="24"/>
          <w:szCs w:val="24"/>
          <w:lang w:val="en-US" w:eastAsia="zh-CN"/>
        </w:rPr>
        <w:t xml:space="preserve">3 </w:t>
      </w:r>
      <w:r>
        <w:rPr>
          <w:rFonts w:hint="eastAsia" w:ascii="Times New Roman" w:hAnsi="Times New Roman" w:cs="Times New Roman"/>
          <w:sz w:val="24"/>
          <w:szCs w:val="24"/>
        </w:rPr>
        <w:t>按</w:t>
      </w:r>
      <w:bookmarkStart w:id="111" w:name="OLE_LINK81"/>
      <w:bookmarkStart w:id="112" w:name="OLE_LINK80"/>
      <w:r>
        <w:rPr>
          <w:rFonts w:hint="eastAsia" w:ascii="Times New Roman" w:hAnsi="Times New Roman" w:cs="Times New Roman"/>
          <w:sz w:val="24"/>
          <w:szCs w:val="24"/>
        </w:rPr>
        <w:t>耐磨材料</w:t>
      </w:r>
      <w:bookmarkEnd w:id="111"/>
      <w:bookmarkEnd w:id="112"/>
      <w:r>
        <w:rPr>
          <w:rFonts w:hint="eastAsia" w:ascii="Times New Roman" w:hAnsi="Times New Roman" w:cs="Times New Roman"/>
          <w:sz w:val="24"/>
          <w:szCs w:val="24"/>
        </w:rPr>
        <w:t>产品使用说明，将粉料与水混凝土搅拌；</w:t>
      </w:r>
    </w:p>
    <w:p w14:paraId="33708104">
      <w:pPr>
        <w:spacing w:line="312" w:lineRule="auto"/>
        <w:ind w:left="1092" w:leftChars="343" w:hanging="372" w:hangingChars="155"/>
        <w:rPr>
          <w:rFonts w:ascii="Times New Roman" w:hAnsi="Times New Roman" w:cs="Times New Roman"/>
          <w:sz w:val="24"/>
          <w:szCs w:val="24"/>
        </w:rPr>
      </w:pPr>
      <w:r>
        <w:rPr>
          <w:rFonts w:hint="eastAsia" w:ascii="Times New Roman" w:hAnsi="Times New Roman" w:cs="Times New Roman"/>
          <w:sz w:val="24"/>
          <w:szCs w:val="24"/>
          <w:lang w:val="en-US" w:eastAsia="zh-CN"/>
        </w:rPr>
        <w:t xml:space="preserve">4 </w:t>
      </w:r>
      <w:r>
        <w:rPr>
          <w:rFonts w:hint="eastAsia" w:ascii="Times New Roman" w:hAnsi="Times New Roman" w:cs="Times New Roman"/>
          <w:sz w:val="24"/>
          <w:szCs w:val="24"/>
        </w:rPr>
        <w:t>将拌合好的水泥基耐磨层一次性摊铺、压实、抹平</w:t>
      </w:r>
      <w:r>
        <w:rPr>
          <w:rFonts w:hint="eastAsia" w:ascii="Times New Roman" w:hAnsi="Times New Roman" w:eastAsia="宋体" w:cs="Times New Roman"/>
          <w:sz w:val="24"/>
          <w:szCs w:val="24"/>
        </w:rPr>
        <w:t>；</w:t>
      </w:r>
      <w:r>
        <w:rPr>
          <w:rFonts w:ascii="Times New Roman" w:hAnsi="Times New Roman" w:cs="Times New Roman"/>
          <w:sz w:val="24"/>
          <w:szCs w:val="24"/>
        </w:rPr>
        <w:t>应先对边角处辅以人工修饰，大面积区域</w:t>
      </w:r>
      <w:r>
        <w:rPr>
          <w:rFonts w:hint="eastAsia" w:ascii="Times New Roman" w:hAnsi="Times New Roman" w:cs="Times New Roman"/>
          <w:sz w:val="24"/>
          <w:szCs w:val="24"/>
        </w:rPr>
        <w:t>应</w:t>
      </w:r>
      <w:r>
        <w:rPr>
          <w:rFonts w:ascii="Times New Roman" w:hAnsi="Times New Roman" w:cs="Times New Roman"/>
          <w:sz w:val="24"/>
          <w:szCs w:val="24"/>
        </w:rPr>
        <w:t>采用机械镘抹后再进行收光抹平</w:t>
      </w:r>
      <w:r>
        <w:rPr>
          <w:rFonts w:hint="eastAsia" w:ascii="Times New Roman" w:hAnsi="Times New Roman" w:cs="Times New Roman"/>
          <w:sz w:val="24"/>
          <w:szCs w:val="24"/>
        </w:rPr>
        <w:t>。</w:t>
      </w:r>
    </w:p>
    <w:p w14:paraId="08FB30D5">
      <w:pPr>
        <w:spacing w:line="312" w:lineRule="auto"/>
        <w:ind w:left="1092" w:leftChars="343" w:hanging="372" w:hangingChars="155"/>
        <w:rPr>
          <w:rFonts w:hint="eastAsia" w:ascii="Times New Roman" w:hAnsi="Times New Roman" w:cs="Times New Roman"/>
          <w:strike w:val="0"/>
          <w:dstrike w:val="0"/>
          <w:sz w:val="24"/>
        </w:rPr>
      </w:pPr>
      <w:r>
        <w:rPr>
          <w:rFonts w:hint="eastAsia" w:ascii="Times New Roman" w:hAnsi="Times New Roman" w:cs="Times New Roman"/>
          <w:sz w:val="24"/>
          <w:szCs w:val="24"/>
          <w:lang w:val="en-US" w:eastAsia="zh-CN"/>
        </w:rPr>
        <w:t xml:space="preserve">5 </w:t>
      </w:r>
      <w:r>
        <w:rPr>
          <w:rFonts w:hint="eastAsia" w:ascii="Times New Roman" w:hAnsi="Times New Roman" w:cs="Times New Roman"/>
          <w:sz w:val="24"/>
          <w:lang w:val="en-US" w:eastAsia="zh-CN"/>
        </w:rPr>
        <w:t>以</w:t>
      </w:r>
      <w:r>
        <w:rPr>
          <w:rFonts w:ascii="Times New Roman" w:hAnsi="Times New Roman" w:cs="Times New Roman"/>
          <w:strike w:val="0"/>
          <w:dstrike w:val="0"/>
          <w:sz w:val="24"/>
        </w:rPr>
        <w:t>非金属</w:t>
      </w:r>
      <w:r>
        <w:rPr>
          <w:rFonts w:hint="eastAsia" w:ascii="Times New Roman" w:hAnsi="Times New Roman" w:cs="Times New Roman"/>
          <w:strike w:val="0"/>
          <w:dstrike w:val="0"/>
          <w:sz w:val="24"/>
          <w:lang w:val="en-US" w:eastAsia="zh-CN"/>
        </w:rPr>
        <w:t>材料为骨料的</w:t>
      </w:r>
      <w:r>
        <w:rPr>
          <w:rFonts w:ascii="Times New Roman" w:hAnsi="Times New Roman" w:cs="Times New Roman"/>
          <w:strike w:val="0"/>
          <w:dstrike w:val="0"/>
          <w:sz w:val="24"/>
        </w:rPr>
        <w:t>耐磨材料用量不应小于</w:t>
      </w:r>
      <w:r>
        <w:rPr>
          <w:rFonts w:hint="eastAsia" w:ascii="Times New Roman" w:hAnsi="Times New Roman" w:cs="Times New Roman"/>
          <w:strike w:val="0"/>
          <w:dstrike w:val="0"/>
          <w:sz w:val="24"/>
          <w:lang w:val="en-US" w:eastAsia="zh-CN"/>
        </w:rPr>
        <w:t>20</w:t>
      </w:r>
      <w:r>
        <w:rPr>
          <w:rFonts w:ascii="Times New Roman" w:hAnsi="Times New Roman" w:cs="Times New Roman"/>
          <w:strike w:val="0"/>
          <w:dstrike w:val="0"/>
          <w:sz w:val="24"/>
        </w:rPr>
        <w:t>kg/m</w:t>
      </w:r>
      <w:r>
        <w:rPr>
          <w:rFonts w:ascii="Times New Roman" w:hAnsi="Times New Roman" w:cs="Times New Roman"/>
          <w:strike w:val="0"/>
          <w:dstrike w:val="0"/>
          <w:sz w:val="24"/>
          <w:vertAlign w:val="superscript"/>
        </w:rPr>
        <w:t>2</w:t>
      </w:r>
      <w:bookmarkStart w:id="113" w:name="OLE_LINK8"/>
      <w:r>
        <w:rPr>
          <w:rFonts w:ascii="Times New Roman" w:hAnsi="Times New Roman" w:cs="Times New Roman"/>
          <w:strike w:val="0"/>
          <w:dstrike w:val="0"/>
          <w:sz w:val="24"/>
        </w:rPr>
        <w:t>，</w:t>
      </w:r>
      <w:r>
        <w:rPr>
          <w:rFonts w:hint="eastAsia" w:ascii="Times New Roman" w:hAnsi="Times New Roman" w:cs="Times New Roman"/>
          <w:strike w:val="0"/>
          <w:dstrike w:val="0"/>
          <w:sz w:val="24"/>
          <w:lang w:val="en-US" w:eastAsia="zh-CN"/>
        </w:rPr>
        <w:t>以（20~40）</w:t>
      </w:r>
      <w:r>
        <w:rPr>
          <w:rFonts w:ascii="Times New Roman" w:hAnsi="Times New Roman" w:cs="Times New Roman"/>
          <w:strike w:val="0"/>
          <w:dstrike w:val="0"/>
          <w:sz w:val="24"/>
        </w:rPr>
        <w:t>kg/m</w:t>
      </w:r>
      <w:r>
        <w:rPr>
          <w:rFonts w:ascii="Times New Roman" w:hAnsi="Times New Roman" w:cs="Times New Roman"/>
          <w:strike w:val="0"/>
          <w:dstrike w:val="0"/>
          <w:sz w:val="24"/>
          <w:vertAlign w:val="superscript"/>
        </w:rPr>
        <w:t>2</w:t>
      </w:r>
      <w:r>
        <w:rPr>
          <w:rFonts w:hint="eastAsia" w:ascii="Times New Roman" w:hAnsi="Times New Roman" w:cs="Times New Roman"/>
          <w:strike w:val="0"/>
          <w:dstrike w:val="0"/>
          <w:sz w:val="24"/>
          <w:lang w:val="en-US" w:eastAsia="zh-CN"/>
        </w:rPr>
        <w:t>为宜</w:t>
      </w:r>
      <w:bookmarkEnd w:id="113"/>
      <w:r>
        <w:rPr>
          <w:rFonts w:hint="eastAsia" w:ascii="Times New Roman" w:hAnsi="Times New Roman" w:cs="Times New Roman"/>
          <w:strike w:val="0"/>
          <w:dstrike w:val="0"/>
          <w:sz w:val="24"/>
          <w:lang w:val="en-US" w:eastAsia="zh-CN"/>
        </w:rPr>
        <w:t>；以</w:t>
      </w:r>
      <w:r>
        <w:rPr>
          <w:rFonts w:ascii="Times New Roman" w:hAnsi="Times New Roman" w:cs="Times New Roman"/>
          <w:strike w:val="0"/>
          <w:dstrike w:val="0"/>
          <w:sz w:val="24"/>
        </w:rPr>
        <w:t>金属</w:t>
      </w:r>
      <w:r>
        <w:rPr>
          <w:rFonts w:hint="eastAsia" w:ascii="Times New Roman" w:hAnsi="Times New Roman" w:cs="Times New Roman"/>
          <w:strike w:val="0"/>
          <w:dstrike w:val="0"/>
          <w:sz w:val="24"/>
          <w:lang w:val="en-US" w:eastAsia="zh-CN"/>
        </w:rPr>
        <w:t>材料为骨料的</w:t>
      </w:r>
      <w:r>
        <w:rPr>
          <w:rFonts w:ascii="Times New Roman" w:hAnsi="Times New Roman" w:cs="Times New Roman"/>
          <w:strike w:val="0"/>
          <w:dstrike w:val="0"/>
          <w:sz w:val="24"/>
        </w:rPr>
        <w:t>耐磨材料用量不应小于</w:t>
      </w:r>
      <w:r>
        <w:rPr>
          <w:rFonts w:hint="eastAsia" w:ascii="Times New Roman" w:hAnsi="Times New Roman" w:cs="Times New Roman"/>
          <w:strike w:val="0"/>
          <w:dstrike w:val="0"/>
          <w:sz w:val="24"/>
          <w:lang w:val="en-US" w:eastAsia="zh-CN"/>
        </w:rPr>
        <w:t>30</w:t>
      </w:r>
      <w:r>
        <w:rPr>
          <w:rFonts w:ascii="Times New Roman" w:hAnsi="Times New Roman" w:cs="Times New Roman"/>
          <w:strike w:val="0"/>
          <w:dstrike w:val="0"/>
          <w:sz w:val="24"/>
        </w:rPr>
        <w:t>kg/m</w:t>
      </w:r>
      <w:r>
        <w:rPr>
          <w:rFonts w:ascii="Times New Roman" w:hAnsi="Times New Roman" w:cs="Times New Roman"/>
          <w:strike w:val="0"/>
          <w:dstrike w:val="0"/>
          <w:sz w:val="24"/>
          <w:vertAlign w:val="superscript"/>
        </w:rPr>
        <w:t>2</w:t>
      </w:r>
      <w:r>
        <w:rPr>
          <w:rFonts w:ascii="Times New Roman" w:hAnsi="Times New Roman" w:cs="Times New Roman"/>
          <w:strike w:val="0"/>
          <w:dstrike w:val="0"/>
          <w:sz w:val="24"/>
        </w:rPr>
        <w:t>，</w:t>
      </w:r>
      <w:r>
        <w:rPr>
          <w:rFonts w:hint="eastAsia" w:ascii="Times New Roman" w:hAnsi="Times New Roman" w:cs="Times New Roman"/>
          <w:strike w:val="0"/>
          <w:dstrike w:val="0"/>
          <w:sz w:val="24"/>
          <w:lang w:val="en-US" w:eastAsia="zh-CN"/>
        </w:rPr>
        <w:t>以（30~50）</w:t>
      </w:r>
      <w:r>
        <w:rPr>
          <w:rFonts w:ascii="Times New Roman" w:hAnsi="Times New Roman" w:cs="Times New Roman"/>
          <w:strike w:val="0"/>
          <w:dstrike w:val="0"/>
          <w:sz w:val="24"/>
        </w:rPr>
        <w:t>kg/m</w:t>
      </w:r>
      <w:r>
        <w:rPr>
          <w:rFonts w:ascii="Times New Roman" w:hAnsi="Times New Roman" w:cs="Times New Roman"/>
          <w:strike w:val="0"/>
          <w:dstrike w:val="0"/>
          <w:sz w:val="24"/>
          <w:vertAlign w:val="superscript"/>
        </w:rPr>
        <w:t>2</w:t>
      </w:r>
      <w:r>
        <w:rPr>
          <w:rFonts w:hint="eastAsia" w:ascii="Times New Roman" w:hAnsi="Times New Roman" w:cs="Times New Roman"/>
          <w:strike w:val="0"/>
          <w:dstrike w:val="0"/>
          <w:sz w:val="24"/>
          <w:lang w:val="en-US" w:eastAsia="zh-CN"/>
        </w:rPr>
        <w:t>为宜</w:t>
      </w:r>
      <w:r>
        <w:rPr>
          <w:rFonts w:hint="eastAsia" w:ascii="Times New Roman" w:hAnsi="Times New Roman" w:cs="Times New Roman"/>
          <w:strike w:val="0"/>
          <w:dstrike w:val="0"/>
          <w:sz w:val="24"/>
        </w:rPr>
        <w:t>；耐磨层厚度应不低于</w:t>
      </w:r>
      <w:r>
        <w:rPr>
          <w:rFonts w:hint="eastAsia" w:ascii="Times New Roman" w:hAnsi="Times New Roman" w:cs="Times New Roman"/>
          <w:strike w:val="0"/>
          <w:dstrike w:val="0"/>
          <w:sz w:val="24"/>
          <w:lang w:val="en-US" w:eastAsia="zh-CN"/>
        </w:rPr>
        <w:t>10</w:t>
      </w:r>
      <w:r>
        <w:rPr>
          <w:rFonts w:hint="eastAsia" w:ascii="Times New Roman" w:hAnsi="Times New Roman" w:cs="Times New Roman"/>
          <w:strike w:val="0"/>
          <w:dstrike w:val="0"/>
          <w:sz w:val="24"/>
        </w:rPr>
        <w:t>mm。</w:t>
      </w:r>
    </w:p>
    <w:bookmarkEnd w:id="108"/>
    <w:bookmarkEnd w:id="109"/>
    <w:p w14:paraId="15473C79">
      <w:pPr>
        <w:spacing w:line="312" w:lineRule="auto"/>
        <w:ind w:left="1092" w:leftChars="343" w:hanging="372" w:hangingChars="155"/>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6按6.4.3~6.4.5规定进行切缝、养护和成品保护。</w:t>
      </w:r>
    </w:p>
    <w:p w14:paraId="7EECC681">
      <w:pPr>
        <w:snapToGrid w:val="0"/>
        <w:spacing w:before="156" w:beforeLines="50" w:after="156" w:afterLines="50" w:line="312" w:lineRule="auto"/>
        <w:jc w:val="center"/>
        <w:outlineLvl w:val="1"/>
        <w:rPr>
          <w:rFonts w:hint="eastAsia" w:ascii="Times New Roman" w:hAnsi="Times New Roman" w:eastAsia="黑体" w:cs="Times New Roman"/>
          <w:iCs/>
          <w:color w:val="000000" w:themeColor="text1"/>
          <w:kern w:val="0"/>
          <w:sz w:val="28"/>
          <w:lang w:eastAsia="zh-CN"/>
          <w14:textFill>
            <w14:solidFill>
              <w14:schemeClr w14:val="tx1"/>
            </w14:solidFill>
          </w14:textFill>
        </w:rPr>
      </w:pPr>
      <w:bookmarkStart w:id="114" w:name="_Toc99353174"/>
      <w:bookmarkStart w:id="115" w:name="_Toc21549"/>
      <w:r>
        <w:rPr>
          <w:rFonts w:ascii="Times New Roman" w:hAnsi="Times New Roman" w:eastAsia="黑体" w:cs="Times New Roman"/>
          <w:iCs/>
          <w:color w:val="000000" w:themeColor="text1"/>
          <w:kern w:val="0"/>
          <w:sz w:val="28"/>
          <w14:textFill>
            <w14:solidFill>
              <w14:schemeClr w14:val="tx1"/>
            </w14:solidFill>
          </w14:textFill>
        </w:rPr>
        <w:t>6.5　渗透型液体硬化</w:t>
      </w:r>
      <w:bookmarkEnd w:id="114"/>
      <w:r>
        <w:rPr>
          <w:rFonts w:hint="eastAsia" w:ascii="Times New Roman" w:hAnsi="Times New Roman" w:eastAsia="黑体" w:cs="Times New Roman"/>
          <w:iCs/>
          <w:color w:val="000000" w:themeColor="text1"/>
          <w:kern w:val="0"/>
          <w:sz w:val="28"/>
          <w:lang w:val="en-US" w:eastAsia="zh-CN"/>
          <w14:textFill>
            <w14:solidFill>
              <w14:schemeClr w14:val="tx1"/>
            </w14:solidFill>
          </w14:textFill>
        </w:rPr>
        <w:t>剂施工</w:t>
      </w:r>
      <w:bookmarkEnd w:id="115"/>
    </w:p>
    <w:p w14:paraId="35754F01">
      <w:pPr>
        <w:pStyle w:val="35"/>
        <w:spacing w:line="312" w:lineRule="auto"/>
        <w:ind w:firstLine="0" w:firstLineChars="0"/>
        <w:rPr>
          <w:rFonts w:ascii="Times New Roman" w:hAnsi="Times New Roman" w:cs="Times New Roman"/>
          <w:sz w:val="24"/>
        </w:rPr>
      </w:pPr>
      <w:r>
        <w:rPr>
          <w:rFonts w:ascii="Times New Roman" w:hAnsi="Times New Roman" w:cs="Times New Roman"/>
          <w:b/>
          <w:color w:val="000000" w:themeColor="text1"/>
          <w:sz w:val="24"/>
          <w14:textFill>
            <w14:solidFill>
              <w14:schemeClr w14:val="tx1"/>
            </w14:solidFill>
          </w14:textFill>
        </w:rPr>
        <w:t>6.5.1　</w:t>
      </w:r>
      <w:r>
        <w:rPr>
          <w:rFonts w:ascii="Times New Roman" w:hAnsi="Times New Roman" w:cs="Times New Roman"/>
          <w:sz w:val="24"/>
        </w:rPr>
        <w:t>渗透型液体硬化地坪施工应按下列工序进行：</w:t>
      </w:r>
    </w:p>
    <w:p w14:paraId="44A76386">
      <w:pPr>
        <w:tabs>
          <w:tab w:val="left" w:pos="420"/>
          <w:tab w:val="left" w:pos="425"/>
        </w:tabs>
        <w:spacing w:line="312" w:lineRule="auto"/>
        <w:ind w:firstLine="424" w:firstLineChars="176"/>
        <w:rPr>
          <w:rFonts w:ascii="Times New Roman" w:hAnsi="Times New Roman" w:cs="Times New Roman"/>
          <w:sz w:val="24"/>
          <w:highlight w:val="none"/>
        </w:rPr>
      </w:pPr>
      <w:r>
        <w:rPr>
          <w:rFonts w:ascii="Times New Roman" w:hAnsi="Times New Roman" w:cs="Times New Roman"/>
          <w:b/>
          <w:sz w:val="24"/>
        </w:rPr>
        <w:t>1　</w:t>
      </w:r>
      <w:r>
        <w:rPr>
          <w:rFonts w:hint="eastAsia" w:ascii="Times New Roman" w:hAnsi="Times New Roman" w:cs="Times New Roman"/>
          <w:sz w:val="24"/>
          <w:highlight w:val="none"/>
        </w:rPr>
        <w:t>清理地面。</w:t>
      </w:r>
    </w:p>
    <w:p w14:paraId="340C40F3">
      <w:pPr>
        <w:tabs>
          <w:tab w:val="left" w:pos="420"/>
          <w:tab w:val="left" w:pos="425"/>
        </w:tabs>
        <w:spacing w:line="312" w:lineRule="auto"/>
        <w:ind w:firstLine="424" w:firstLineChars="176"/>
        <w:rPr>
          <w:rFonts w:ascii="Times New Roman" w:hAnsi="Times New Roman" w:cs="Times New Roman"/>
          <w:sz w:val="24"/>
        </w:rPr>
      </w:pPr>
      <w:r>
        <w:rPr>
          <w:rFonts w:ascii="Times New Roman" w:hAnsi="Times New Roman" w:cs="Times New Roman"/>
          <w:b/>
          <w:sz w:val="24"/>
          <w:highlight w:val="none"/>
        </w:rPr>
        <w:t>2　</w:t>
      </w:r>
      <w:r>
        <w:rPr>
          <w:rFonts w:ascii="Times New Roman" w:hAnsi="Times New Roman" w:cs="Times New Roman"/>
          <w:color w:val="000000" w:themeColor="text1"/>
          <w:sz w:val="24"/>
          <w:highlight w:val="none"/>
          <w14:textFill>
            <w14:solidFill>
              <w14:schemeClr w14:val="tx1"/>
            </w14:solidFill>
          </w14:textFill>
        </w:rPr>
        <w:t>地面</w:t>
      </w:r>
      <w:r>
        <w:rPr>
          <w:rFonts w:ascii="Times New Roman" w:hAnsi="Times New Roman" w:cs="Times New Roman"/>
          <w:sz w:val="24"/>
          <w:highlight w:val="none"/>
        </w:rPr>
        <w:t>喷</w:t>
      </w:r>
      <w:r>
        <w:rPr>
          <w:rFonts w:ascii="Times New Roman" w:hAnsi="Times New Roman" w:cs="Times New Roman"/>
          <w:color w:val="000000" w:themeColor="text1"/>
          <w:sz w:val="24"/>
          <w:highlight w:val="none"/>
          <w14:textFill>
            <w14:solidFill>
              <w14:schemeClr w14:val="tx1"/>
            </w14:solidFill>
          </w14:textFill>
        </w:rPr>
        <w:t>洒或滚涂</w:t>
      </w:r>
      <w:r>
        <w:rPr>
          <w:rFonts w:ascii="Times New Roman" w:hAnsi="Times New Roman" w:cs="Times New Roman"/>
          <w:sz w:val="24"/>
          <w:highlight w:val="none"/>
        </w:rPr>
        <w:t>渗透型液体硬化剂</w:t>
      </w:r>
      <w:r>
        <w:rPr>
          <w:rFonts w:hint="eastAsia" w:ascii="Times New Roman" w:hAnsi="Times New Roman" w:cs="Times New Roman"/>
          <w:sz w:val="24"/>
          <w:highlight w:val="none"/>
          <w:lang w:eastAsia="zh-CN"/>
        </w:rPr>
        <w:t>，</w:t>
      </w:r>
      <w:r>
        <w:rPr>
          <w:rFonts w:hint="eastAsia" w:ascii="Times New Roman" w:hAnsi="Times New Roman" w:cs="Times New Roman"/>
          <w:sz w:val="24"/>
          <w:highlight w:val="none"/>
          <w:lang w:val="en-US" w:eastAsia="zh-CN"/>
        </w:rPr>
        <w:t>确保地面完全润湿</w:t>
      </w:r>
      <w:r>
        <w:rPr>
          <w:rFonts w:hint="eastAsia" w:ascii="Times New Roman" w:hAnsi="Times New Roman" w:cs="Times New Roman"/>
          <w:sz w:val="24"/>
          <w:highlight w:val="none"/>
          <w:lang w:eastAsia="zh-CN"/>
        </w:rPr>
        <w:t>，</w:t>
      </w:r>
      <w:r>
        <w:rPr>
          <w:rFonts w:hint="eastAsia" w:ascii="Times New Roman" w:hAnsi="Times New Roman" w:cs="Times New Roman"/>
          <w:sz w:val="24"/>
          <w:highlight w:val="none"/>
          <w:lang w:val="en-US" w:eastAsia="zh-CN"/>
        </w:rPr>
        <w:t>同时进行</w:t>
      </w:r>
      <w:r>
        <w:rPr>
          <w:rFonts w:ascii="Times New Roman" w:hAnsi="Times New Roman" w:cs="Times New Roman"/>
          <w:color w:val="000000" w:themeColor="text1"/>
          <w:sz w:val="24"/>
          <w:highlight w:val="none"/>
          <w14:textFill>
            <w14:solidFill>
              <w14:schemeClr w14:val="tx1"/>
            </w14:solidFill>
          </w14:textFill>
        </w:rPr>
        <w:t>机械打磨抛光；</w:t>
      </w:r>
      <w:r>
        <w:rPr>
          <w:rFonts w:hint="eastAsia" w:ascii="Times New Roman" w:hAnsi="Times New Roman" w:cs="Times New Roman"/>
          <w:color w:val="000000" w:themeColor="text1"/>
          <w:sz w:val="24"/>
          <w:highlight w:val="none"/>
          <w:lang w:val="en-US" w:eastAsia="zh-CN"/>
          <w14:textFill>
            <w14:solidFill>
              <w14:schemeClr w14:val="tx1"/>
            </w14:solidFill>
          </w14:textFill>
        </w:rPr>
        <w:t>机械打磨机的抛光片目数不低于500目。</w:t>
      </w:r>
      <w:r>
        <w:rPr>
          <w:rFonts w:ascii="Times New Roman" w:hAnsi="Times New Roman" w:cs="Times New Roman"/>
          <w:sz w:val="24"/>
          <w:highlight w:val="none"/>
        </w:rPr>
        <w:t xml:space="preserve"> </w:t>
      </w:r>
      <w:r>
        <w:rPr>
          <w:rFonts w:ascii="Times New Roman" w:hAnsi="Times New Roman" w:cs="Times New Roman"/>
          <w:color w:val="000000" w:themeColor="text1"/>
          <w:sz w:val="24"/>
          <w14:textFill>
            <w14:solidFill>
              <w14:schemeClr w14:val="tx1"/>
            </w14:solidFill>
          </w14:textFill>
        </w:rPr>
        <w:t>宜采用低压喷枪、洒壶等喷洒工具，</w:t>
      </w:r>
      <w:r>
        <w:rPr>
          <w:rFonts w:ascii="Times New Roman" w:hAnsi="Times New Roman" w:cs="Times New Roman"/>
          <w:sz w:val="24"/>
        </w:rPr>
        <w:t>将渗透型液体硬化剂均匀喷洒或滚涂在地面上，不得漏涂，并</w:t>
      </w:r>
      <w:r>
        <w:rPr>
          <w:rFonts w:hint="eastAsia" w:ascii="Times New Roman" w:hAnsi="Times New Roman" w:cs="Times New Roman"/>
          <w:sz w:val="24"/>
        </w:rPr>
        <w:t>宜</w:t>
      </w:r>
      <w:r>
        <w:rPr>
          <w:rFonts w:ascii="Times New Roman" w:hAnsi="Times New Roman" w:cs="Times New Roman"/>
          <w:sz w:val="24"/>
        </w:rPr>
        <w:t>保持地面湿润</w:t>
      </w:r>
      <w:r>
        <w:rPr>
          <w:rFonts w:hint="eastAsia" w:ascii="Times New Roman" w:hAnsi="Times New Roman" w:cs="Times New Roman"/>
          <w:sz w:val="24"/>
        </w:rPr>
        <w:t>不少于</w:t>
      </w:r>
      <w:r>
        <w:rPr>
          <w:rFonts w:ascii="Times New Roman" w:hAnsi="Times New Roman" w:cs="Times New Roman"/>
          <w:sz w:val="24"/>
        </w:rPr>
        <w:t>4</w:t>
      </w:r>
      <w:r>
        <w:rPr>
          <w:rFonts w:hint="eastAsia" w:ascii="Times New Roman" w:hAnsi="Times New Roman" w:cs="Times New Roman"/>
          <w:sz w:val="24"/>
        </w:rPr>
        <w:t>h；</w:t>
      </w:r>
      <w:r>
        <w:rPr>
          <w:rFonts w:ascii="Times New Roman" w:hAnsi="Times New Roman" w:cs="Times New Roman"/>
          <w:sz w:val="24"/>
        </w:rPr>
        <w:t>湿润期间可用中硬度的长毛推刷或滚筒来回推动</w:t>
      </w:r>
      <w:r>
        <w:rPr>
          <w:rFonts w:hint="eastAsia" w:ascii="Times New Roman" w:hAnsi="Times New Roman" w:cs="Times New Roman"/>
          <w:sz w:val="24"/>
        </w:rPr>
        <w:t>，可用机械抛光机进一步进行打磨；</w:t>
      </w:r>
    </w:p>
    <w:p w14:paraId="696C6D8F">
      <w:pPr>
        <w:tabs>
          <w:tab w:val="left" w:pos="420"/>
          <w:tab w:val="left" w:pos="425"/>
        </w:tabs>
        <w:spacing w:line="312" w:lineRule="auto"/>
        <w:ind w:firstLine="424" w:firstLineChars="176"/>
        <w:rPr>
          <w:rFonts w:ascii="Times New Roman" w:hAnsi="Times New Roman" w:cs="Times New Roman"/>
          <w:color w:val="000000" w:themeColor="text1"/>
          <w:sz w:val="24"/>
          <w:highlight w:val="none"/>
          <w14:textFill>
            <w14:solidFill>
              <w14:schemeClr w14:val="tx1"/>
            </w14:solidFill>
          </w14:textFill>
        </w:rPr>
      </w:pPr>
      <w:r>
        <w:rPr>
          <w:rFonts w:hint="eastAsia" w:ascii="Times New Roman" w:hAnsi="Times New Roman" w:cs="Times New Roman"/>
          <w:b/>
          <w:sz w:val="24"/>
          <w:lang w:val="en-US" w:eastAsia="zh-CN"/>
        </w:rPr>
        <w:t>3</w:t>
      </w:r>
      <w:r>
        <w:rPr>
          <w:rFonts w:ascii="Times New Roman" w:hAnsi="Times New Roman" w:cs="Times New Roman"/>
          <w:b/>
          <w:sz w:val="24"/>
        </w:rPr>
        <w:t>　</w:t>
      </w:r>
      <w:r>
        <w:rPr>
          <w:rFonts w:hint="eastAsia" w:ascii="Times New Roman" w:hAnsi="Times New Roman" w:cs="Times New Roman"/>
          <w:color w:val="000000" w:themeColor="text1"/>
          <w:sz w:val="24"/>
          <w:lang w:val="en-US" w:eastAsia="zh-CN"/>
          <w14:textFill>
            <w14:solidFill>
              <w14:schemeClr w14:val="tx1"/>
            </w14:solidFill>
          </w14:textFill>
        </w:rPr>
        <w:t>打磨后立即用</w:t>
      </w:r>
      <w:r>
        <w:rPr>
          <w:rFonts w:ascii="Times New Roman" w:hAnsi="Times New Roman" w:cs="Times New Roman"/>
          <w:color w:val="000000" w:themeColor="text1"/>
          <w:sz w:val="24"/>
          <w14:textFill>
            <w14:solidFill>
              <w14:schemeClr w14:val="tx1"/>
            </w14:solidFill>
          </w14:textFill>
        </w:rPr>
        <w:t>清水冲洗地面，去除残留</w:t>
      </w:r>
      <w:r>
        <w:rPr>
          <w:rFonts w:hint="eastAsia" w:ascii="Times New Roman" w:hAnsi="Times New Roman" w:cs="Times New Roman"/>
          <w:color w:val="000000" w:themeColor="text1"/>
          <w:sz w:val="24"/>
          <w:lang w:val="en-US" w:eastAsia="zh-CN"/>
          <w14:textFill>
            <w14:solidFill>
              <w14:schemeClr w14:val="tx1"/>
            </w14:solidFill>
          </w14:textFill>
        </w:rPr>
        <w:t>渗透型液体硬化剂</w:t>
      </w:r>
      <w:r>
        <w:rPr>
          <w:rFonts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sz w:val="24"/>
        </w:rPr>
        <w:t>液体</w:t>
      </w:r>
      <w:r>
        <w:rPr>
          <w:rFonts w:ascii="Times New Roman" w:hAnsi="Times New Roman" w:cs="Times New Roman"/>
          <w:sz w:val="24"/>
        </w:rPr>
        <w:t>硬化剂</w:t>
      </w:r>
      <w:r>
        <w:rPr>
          <w:rFonts w:hint="eastAsia" w:ascii="Times New Roman" w:hAnsi="Times New Roman" w:cs="Times New Roman"/>
          <w:sz w:val="24"/>
        </w:rPr>
        <w:t>润湿地面完成后</w:t>
      </w:r>
      <w:r>
        <w:rPr>
          <w:rFonts w:ascii="Times New Roman" w:hAnsi="Times New Roman" w:cs="Times New Roman"/>
          <w:sz w:val="24"/>
        </w:rPr>
        <w:t>，</w:t>
      </w:r>
      <w:r>
        <w:rPr>
          <w:rFonts w:hint="eastAsia" w:ascii="Times New Roman" w:hAnsi="Times New Roman" w:cs="Times New Roman"/>
          <w:sz w:val="24"/>
        </w:rPr>
        <w:t>宜立即</w:t>
      </w:r>
      <w:r>
        <w:rPr>
          <w:rFonts w:ascii="Times New Roman" w:hAnsi="Times New Roman" w:cs="Times New Roman"/>
          <w:sz w:val="24"/>
        </w:rPr>
        <w:t>用清水冲洗地面，并用吸尘器去除残留的硬化剂和污水，然后擦干地</w:t>
      </w:r>
      <w:r>
        <w:rPr>
          <w:rFonts w:ascii="Times New Roman" w:hAnsi="Times New Roman" w:cs="Times New Roman"/>
          <w:sz w:val="24"/>
          <w:highlight w:val="none"/>
        </w:rPr>
        <w:t>面</w:t>
      </w:r>
      <w:r>
        <w:rPr>
          <w:rFonts w:hint="eastAsia" w:ascii="Times New Roman" w:hAnsi="Times New Roman" w:cs="Times New Roman"/>
          <w:sz w:val="24"/>
          <w:highlight w:val="none"/>
        </w:rPr>
        <w:t>；</w:t>
      </w:r>
    </w:p>
    <w:p w14:paraId="3AF056BD">
      <w:pPr>
        <w:tabs>
          <w:tab w:val="left" w:pos="420"/>
          <w:tab w:val="left" w:pos="425"/>
        </w:tabs>
        <w:spacing w:line="312" w:lineRule="auto"/>
        <w:ind w:firstLine="424" w:firstLineChars="176"/>
        <w:rPr>
          <w:rFonts w:ascii="Times New Roman" w:hAnsi="Times New Roman" w:cs="Times New Roman"/>
          <w:sz w:val="24"/>
        </w:rPr>
      </w:pPr>
      <w:r>
        <w:rPr>
          <w:rFonts w:hint="eastAsia" w:ascii="Times New Roman" w:hAnsi="Times New Roman" w:cs="Times New Roman"/>
          <w:b/>
          <w:sz w:val="24"/>
          <w:highlight w:val="none"/>
          <w:lang w:val="en-US" w:eastAsia="zh-CN"/>
        </w:rPr>
        <w:t>4</w:t>
      </w:r>
      <w:r>
        <w:rPr>
          <w:rFonts w:ascii="Times New Roman" w:hAnsi="Times New Roman" w:cs="Times New Roman"/>
          <w:b/>
          <w:sz w:val="24"/>
          <w:highlight w:val="none"/>
        </w:rPr>
        <w:t>　</w:t>
      </w:r>
      <w:r>
        <w:rPr>
          <w:rFonts w:hint="eastAsia" w:ascii="Times New Roman" w:hAnsi="Times New Roman" w:cs="Times New Roman"/>
          <w:color w:val="000000" w:themeColor="text1"/>
          <w:sz w:val="24"/>
          <w:highlight w:val="none"/>
          <w:lang w:val="en-US" w:eastAsia="zh-CN"/>
          <w14:textFill>
            <w14:solidFill>
              <w14:schemeClr w14:val="tx1"/>
            </w14:solidFill>
          </w14:textFill>
        </w:rPr>
        <w:t>封闭现场进行</w:t>
      </w:r>
      <w:r>
        <w:rPr>
          <w:rFonts w:ascii="Times New Roman" w:hAnsi="Times New Roman" w:cs="Times New Roman"/>
          <w:sz w:val="24"/>
          <w:highlight w:val="none"/>
        </w:rPr>
        <w:t>成品保</w:t>
      </w:r>
      <w:r>
        <w:rPr>
          <w:rFonts w:ascii="Times New Roman" w:hAnsi="Times New Roman" w:cs="Times New Roman"/>
          <w:sz w:val="24"/>
        </w:rPr>
        <w:t>护</w:t>
      </w:r>
      <w:r>
        <w:rPr>
          <w:rFonts w:hint="eastAsia" w:ascii="Times New Roman" w:hAnsi="Times New Roman" w:cs="Times New Roman"/>
          <w:sz w:val="24"/>
          <w:highlight w:val="none"/>
          <w:lang w:eastAsia="zh-CN"/>
        </w:rPr>
        <w:t>，</w:t>
      </w:r>
      <w:r>
        <w:rPr>
          <w:rFonts w:hint="eastAsia" w:ascii="Times New Roman" w:hAnsi="Times New Roman" w:cs="Times New Roman"/>
          <w:sz w:val="24"/>
          <w:highlight w:val="none"/>
          <w:lang w:val="en-US" w:eastAsia="zh-CN"/>
        </w:rPr>
        <w:t>养护时间不少于72h，</w:t>
      </w:r>
      <w:r>
        <w:rPr>
          <w:rFonts w:ascii="Times New Roman" w:hAnsi="Times New Roman" w:cs="Times New Roman"/>
          <w:sz w:val="24"/>
        </w:rPr>
        <w:t>。</w:t>
      </w:r>
    </w:p>
    <w:p w14:paraId="292CE502">
      <w:pPr>
        <w:widowControl/>
        <w:jc w:val="left"/>
        <w:rPr>
          <w:rFonts w:ascii="Times New Roman" w:hAnsi="Times New Roman" w:cs="Times New Roman"/>
          <w:sz w:val="24"/>
        </w:rPr>
      </w:pPr>
      <w:r>
        <w:rPr>
          <w:rFonts w:ascii="Times New Roman" w:hAnsi="Times New Roman" w:cs="Times New Roman"/>
          <w:sz w:val="24"/>
        </w:rPr>
        <w:br w:type="page"/>
      </w:r>
    </w:p>
    <w:p w14:paraId="50A037EF">
      <w:pPr>
        <w:pStyle w:val="2"/>
        <w:keepNext w:val="0"/>
        <w:keepLines w:val="0"/>
        <w:snapToGrid w:val="0"/>
        <w:spacing w:before="312" w:beforeLines="100" w:after="312" w:afterLines="100" w:line="360" w:lineRule="auto"/>
        <w:jc w:val="center"/>
        <w:rPr>
          <w:rFonts w:ascii="Times New Roman" w:hAnsi="Times New Roman" w:eastAsia="宋体" w:cs="Times New Roman"/>
          <w:b/>
          <w:color w:val="000000" w:themeColor="text1"/>
          <w:sz w:val="32"/>
          <w:szCs w:val="28"/>
          <w:lang w:val="zh-CN"/>
          <w14:textFill>
            <w14:solidFill>
              <w14:schemeClr w14:val="tx1"/>
            </w14:solidFill>
          </w14:textFill>
        </w:rPr>
      </w:pPr>
      <w:bookmarkStart w:id="116" w:name="_Toc99353182"/>
      <w:bookmarkStart w:id="117" w:name="_Toc13236"/>
      <w:r>
        <w:rPr>
          <w:rFonts w:ascii="Times New Roman" w:hAnsi="Times New Roman" w:eastAsia="宋体" w:cs="Times New Roman"/>
          <w:b/>
          <w:color w:val="000000" w:themeColor="text1"/>
          <w:sz w:val="32"/>
          <w:szCs w:val="28"/>
          <w:lang w:val="zh-CN"/>
          <w14:textFill>
            <w14:solidFill>
              <w14:schemeClr w14:val="tx1"/>
            </w14:solidFill>
          </w14:textFill>
        </w:rPr>
        <w:t>7　验　　收</w:t>
      </w:r>
      <w:bookmarkEnd w:id="99"/>
      <w:bookmarkEnd w:id="100"/>
      <w:bookmarkEnd w:id="101"/>
      <w:bookmarkEnd w:id="116"/>
      <w:bookmarkEnd w:id="117"/>
    </w:p>
    <w:p w14:paraId="7B48D9FA">
      <w:pPr>
        <w:snapToGrid w:val="0"/>
        <w:spacing w:before="156" w:beforeLines="50" w:after="156" w:afterLines="50" w:line="312" w:lineRule="auto"/>
        <w:jc w:val="center"/>
        <w:outlineLvl w:val="1"/>
        <w:rPr>
          <w:rFonts w:ascii="Times New Roman" w:hAnsi="Times New Roman" w:eastAsia="黑体" w:cs="Times New Roman"/>
          <w:iCs/>
          <w:color w:val="000000" w:themeColor="text1"/>
          <w:kern w:val="0"/>
          <w:sz w:val="28"/>
          <w14:textFill>
            <w14:solidFill>
              <w14:schemeClr w14:val="tx1"/>
            </w14:solidFill>
          </w14:textFill>
        </w:rPr>
      </w:pPr>
      <w:bookmarkStart w:id="118" w:name="_Toc99353183"/>
      <w:bookmarkStart w:id="119" w:name="_Toc21918"/>
      <w:r>
        <w:rPr>
          <w:rFonts w:ascii="Times New Roman" w:hAnsi="Times New Roman" w:eastAsia="黑体" w:cs="Times New Roman"/>
          <w:iCs/>
          <w:color w:val="000000" w:themeColor="text1"/>
          <w:kern w:val="0"/>
          <w:sz w:val="28"/>
          <w14:textFill>
            <w14:solidFill>
              <w14:schemeClr w14:val="tx1"/>
            </w14:solidFill>
          </w14:textFill>
        </w:rPr>
        <w:t>7.1　</w:t>
      </w:r>
      <w:bookmarkEnd w:id="118"/>
      <w:r>
        <w:rPr>
          <w:rFonts w:hint="eastAsia" w:ascii="Times New Roman" w:hAnsi="Times New Roman" w:eastAsia="黑体" w:cs="Times New Roman"/>
          <w:iCs/>
          <w:color w:val="000000" w:themeColor="text1"/>
          <w:kern w:val="0"/>
          <w:sz w:val="28"/>
          <w14:textFill>
            <w14:solidFill>
              <w14:schemeClr w14:val="tx1"/>
            </w14:solidFill>
          </w14:textFill>
        </w:rPr>
        <w:t>一般规定</w:t>
      </w:r>
      <w:bookmarkEnd w:id="119"/>
    </w:p>
    <w:p w14:paraId="2E13C726">
      <w:pPr>
        <w:spacing w:line="312" w:lineRule="auto"/>
        <w:rPr>
          <w:rFonts w:ascii="Times New Roman" w:hAnsi="Times New Roman" w:cs="Times New Roman"/>
          <w:b/>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 xml:space="preserve">7.1.1　 </w:t>
      </w:r>
      <w:r>
        <w:rPr>
          <w:rFonts w:hint="eastAsia" w:ascii="Times New Roman" w:hAnsi="Times New Roman" w:cs="Times New Roman"/>
          <w:sz w:val="24"/>
        </w:rPr>
        <w:t>基层混凝土强度应符合本文件4</w:t>
      </w:r>
      <w:r>
        <w:rPr>
          <w:rFonts w:ascii="Times New Roman" w:hAnsi="Times New Roman" w:cs="Times New Roman"/>
          <w:sz w:val="24"/>
        </w:rPr>
        <w:t>.2.2</w:t>
      </w:r>
      <w:r>
        <w:rPr>
          <w:rFonts w:hint="eastAsia" w:ascii="Times New Roman" w:hAnsi="Times New Roman" w:cs="Times New Roman"/>
          <w:sz w:val="24"/>
        </w:rPr>
        <w:t>规定。</w:t>
      </w:r>
    </w:p>
    <w:p w14:paraId="1D231525">
      <w:pPr>
        <w:spacing w:line="312" w:lineRule="auto"/>
        <w:rPr>
          <w:rFonts w:ascii="Times New Roman" w:hAnsi="Times New Roman" w:cs="Times New Roman"/>
          <w:kern w:val="0"/>
          <w:sz w:val="24"/>
        </w:rPr>
      </w:pPr>
      <w:r>
        <w:rPr>
          <w:rFonts w:ascii="Times New Roman" w:hAnsi="Times New Roman" w:cs="Times New Roman"/>
          <w:b/>
          <w:color w:val="000000" w:themeColor="text1"/>
          <w:sz w:val="24"/>
          <w14:textFill>
            <w14:solidFill>
              <w14:schemeClr w14:val="tx1"/>
            </w14:solidFill>
          </w14:textFill>
        </w:rPr>
        <w:t xml:space="preserve">7.1.2　 </w:t>
      </w:r>
      <w:r>
        <w:rPr>
          <w:rFonts w:hint="eastAsia" w:ascii="Times New Roman" w:hAnsi="Times New Roman" w:cs="Times New Roman"/>
          <w:kern w:val="0"/>
          <w:sz w:val="24"/>
          <w:lang w:eastAsia="zh-CN"/>
        </w:rPr>
        <w:t>混凝土地面用耐磨硬化地坪</w:t>
      </w:r>
      <w:r>
        <w:rPr>
          <w:rFonts w:ascii="Times New Roman" w:hAnsi="Times New Roman" w:cs="Times New Roman"/>
          <w:kern w:val="0"/>
          <w:sz w:val="24"/>
        </w:rPr>
        <w:t>地坪工程检验批的划分应按每一层划分检验批。当单层面积大于5000m</w:t>
      </w:r>
      <w:r>
        <w:rPr>
          <w:rFonts w:ascii="Times New Roman" w:hAnsi="Times New Roman" w:cs="Times New Roman"/>
          <w:kern w:val="0"/>
          <w:sz w:val="24"/>
          <w:vertAlign w:val="superscript"/>
        </w:rPr>
        <w:t>2</w:t>
      </w:r>
      <w:r>
        <w:rPr>
          <w:rFonts w:ascii="Times New Roman" w:hAnsi="Times New Roman" w:cs="Times New Roman"/>
          <w:kern w:val="0"/>
          <w:sz w:val="24"/>
        </w:rPr>
        <w:t>时，</w:t>
      </w:r>
      <w:r>
        <w:rPr>
          <w:rFonts w:hint="eastAsia" w:ascii="Times New Roman" w:hAnsi="Times New Roman" w:cs="Times New Roman"/>
          <w:kern w:val="0"/>
          <w:sz w:val="24"/>
        </w:rPr>
        <w:t>应</w:t>
      </w:r>
      <w:r>
        <w:rPr>
          <w:rFonts w:ascii="Times New Roman" w:hAnsi="Times New Roman" w:cs="Times New Roman"/>
          <w:kern w:val="0"/>
          <w:sz w:val="24"/>
        </w:rPr>
        <w:t>按每5000m</w:t>
      </w:r>
      <w:r>
        <w:rPr>
          <w:rFonts w:ascii="Times New Roman" w:hAnsi="Times New Roman" w:cs="Times New Roman"/>
          <w:kern w:val="0"/>
          <w:sz w:val="24"/>
          <w:vertAlign w:val="superscript"/>
        </w:rPr>
        <w:t>2</w:t>
      </w:r>
      <w:r>
        <w:rPr>
          <w:rFonts w:ascii="Times New Roman" w:hAnsi="Times New Roman" w:cs="Times New Roman"/>
          <w:kern w:val="0"/>
          <w:sz w:val="24"/>
        </w:rPr>
        <w:t>为一个检验批，不足5000m</w:t>
      </w:r>
      <w:r>
        <w:rPr>
          <w:rFonts w:ascii="Times New Roman" w:hAnsi="Times New Roman" w:cs="Times New Roman"/>
          <w:kern w:val="0"/>
          <w:sz w:val="24"/>
          <w:vertAlign w:val="superscript"/>
        </w:rPr>
        <w:t>2</w:t>
      </w:r>
      <w:r>
        <w:rPr>
          <w:rFonts w:hint="eastAsia" w:ascii="Times New Roman" w:hAnsi="Times New Roman" w:cs="Times New Roman"/>
          <w:kern w:val="0"/>
          <w:sz w:val="24"/>
        </w:rPr>
        <w:t>时也应</w:t>
      </w:r>
      <w:r>
        <w:rPr>
          <w:rFonts w:ascii="Times New Roman" w:hAnsi="Times New Roman" w:cs="Times New Roman"/>
          <w:kern w:val="0"/>
          <w:sz w:val="24"/>
        </w:rPr>
        <w:t>为一个检验批。</w:t>
      </w:r>
      <w:r>
        <w:rPr>
          <w:rFonts w:hint="eastAsia" w:ascii="Times New Roman" w:hAnsi="Times New Roman" w:cs="Times New Roman"/>
          <w:kern w:val="0"/>
          <w:sz w:val="24"/>
        </w:rPr>
        <w:t>每个检验批的取样处数量应符合表</w:t>
      </w:r>
      <w:r>
        <w:rPr>
          <w:rFonts w:ascii="Times New Roman" w:hAnsi="Times New Roman" w:cs="Times New Roman"/>
          <w:kern w:val="0"/>
          <w:sz w:val="24"/>
        </w:rPr>
        <w:t>7.1.2</w:t>
      </w:r>
      <w:r>
        <w:rPr>
          <w:rFonts w:hint="eastAsia" w:ascii="Times New Roman" w:hAnsi="Times New Roman" w:cs="Times New Roman"/>
          <w:kern w:val="0"/>
          <w:sz w:val="24"/>
        </w:rPr>
        <w:t>规定。</w:t>
      </w:r>
    </w:p>
    <w:p w14:paraId="1A4C50BB">
      <w:pPr>
        <w:spacing w:line="312" w:lineRule="auto"/>
        <w:jc w:val="center"/>
        <w:rPr>
          <w:rFonts w:ascii="Times New Roman" w:hAnsi="Times New Roman" w:cs="Times New Roman"/>
          <w:b/>
          <w:sz w:val="24"/>
        </w:rPr>
      </w:pPr>
      <w:r>
        <w:rPr>
          <w:rFonts w:hint="eastAsia" w:ascii="Times New Roman" w:hAnsi="Times New Roman" w:cs="Times New Roman"/>
          <w:b/>
          <w:sz w:val="24"/>
        </w:rPr>
        <w:t>表</w:t>
      </w:r>
      <w:r>
        <w:rPr>
          <w:rFonts w:ascii="Times New Roman" w:hAnsi="Times New Roman" w:cs="Times New Roman"/>
          <w:b/>
          <w:sz w:val="24"/>
        </w:rPr>
        <w:t>7.1.2</w:t>
      </w:r>
      <w:r>
        <w:rPr>
          <w:rFonts w:hint="eastAsia" w:ascii="Times New Roman" w:hAnsi="Times New Roman" w:cs="Times New Roman"/>
          <w:b/>
          <w:sz w:val="24"/>
        </w:rPr>
        <w:t>检验批的取样处数量</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42"/>
        <w:gridCol w:w="5580"/>
      </w:tblGrid>
      <w:tr w14:paraId="6019A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trPr>
        <w:tc>
          <w:tcPr>
            <w:tcW w:w="1726" w:type="pct"/>
            <w:vAlign w:val="center"/>
          </w:tcPr>
          <w:p w14:paraId="4DC7F545">
            <w:pPr>
              <w:spacing w:line="264"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检验项目</w:t>
            </w:r>
          </w:p>
        </w:tc>
        <w:tc>
          <w:tcPr>
            <w:tcW w:w="3273" w:type="pct"/>
            <w:vAlign w:val="center"/>
          </w:tcPr>
          <w:p w14:paraId="474CF86A">
            <w:pPr>
              <w:spacing w:line="264"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取样处数量</w:t>
            </w:r>
          </w:p>
        </w:tc>
      </w:tr>
      <w:tr w14:paraId="0FC9C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trPr>
        <w:tc>
          <w:tcPr>
            <w:tcW w:w="1726" w:type="pct"/>
            <w:vAlign w:val="center"/>
          </w:tcPr>
          <w:p w14:paraId="2242E2AF">
            <w:pPr>
              <w:spacing w:line="288" w:lineRule="auto"/>
              <w:jc w:val="cente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表面颜色</w:t>
            </w:r>
          </w:p>
        </w:tc>
        <w:tc>
          <w:tcPr>
            <w:tcW w:w="3273" w:type="pct"/>
            <w:vAlign w:val="center"/>
          </w:tcPr>
          <w:p w14:paraId="6A364606">
            <w:pPr>
              <w:spacing w:line="288" w:lineRule="auto"/>
              <w:jc w:val="cente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每2</w:t>
            </w:r>
            <w:r>
              <w:rPr>
                <w:rFonts w:ascii="Times New Roman" w:hAnsi="Times New Roman" w:cs="Times New Roman"/>
                <w:color w:val="000000" w:themeColor="text1"/>
                <w:szCs w:val="21"/>
                <w14:textFill>
                  <w14:solidFill>
                    <w14:schemeClr w14:val="tx1"/>
                  </w14:solidFill>
                </w14:textFill>
              </w:rPr>
              <w:t>0</w:t>
            </w:r>
            <w:r>
              <w:rPr>
                <w:rFonts w:hint="eastAsia" w:ascii="Times New Roman" w:hAnsi="Times New Roman" w:cs="Times New Roman"/>
                <w:color w:val="000000" w:themeColor="text1"/>
                <w:szCs w:val="21"/>
                <w14:textFill>
                  <w14:solidFill>
                    <w14:schemeClr w14:val="tx1"/>
                  </w14:solidFill>
                </w14:textFill>
              </w:rPr>
              <w:t>㎡检验1个</w:t>
            </w:r>
          </w:p>
        </w:tc>
      </w:tr>
      <w:tr w14:paraId="245E3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trPr>
        <w:tc>
          <w:tcPr>
            <w:tcW w:w="1726" w:type="pct"/>
            <w:vAlign w:val="center"/>
          </w:tcPr>
          <w:p w14:paraId="4DE8690F">
            <w:pPr>
              <w:spacing w:line="288" w:lineRule="auto"/>
              <w:jc w:val="cente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平整度</w:t>
            </w:r>
          </w:p>
        </w:tc>
        <w:tc>
          <w:tcPr>
            <w:tcW w:w="3273" w:type="pct"/>
            <w:vAlign w:val="center"/>
          </w:tcPr>
          <w:p w14:paraId="2BC70BA6">
            <w:pPr>
              <w:spacing w:line="288" w:lineRule="auto"/>
              <w:jc w:val="cente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3个</w:t>
            </w:r>
          </w:p>
        </w:tc>
      </w:tr>
      <w:tr w14:paraId="504CD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trPr>
        <w:tc>
          <w:tcPr>
            <w:tcW w:w="1726" w:type="pct"/>
            <w:vAlign w:val="center"/>
          </w:tcPr>
          <w:p w14:paraId="7890759D">
            <w:pPr>
              <w:spacing w:line="288" w:lineRule="auto"/>
              <w:jc w:val="cente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面层与基层结合</w:t>
            </w:r>
          </w:p>
        </w:tc>
        <w:tc>
          <w:tcPr>
            <w:tcW w:w="3273" w:type="pct"/>
            <w:vAlign w:val="center"/>
          </w:tcPr>
          <w:p w14:paraId="63CF0B89">
            <w:pPr>
              <w:spacing w:line="288" w:lineRule="auto"/>
              <w:jc w:val="cente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每2</w:t>
            </w:r>
            <w:r>
              <w:rPr>
                <w:rFonts w:ascii="Times New Roman" w:hAnsi="Times New Roman" w:cs="Times New Roman"/>
                <w:color w:val="000000" w:themeColor="text1"/>
                <w:szCs w:val="21"/>
                <w14:textFill>
                  <w14:solidFill>
                    <w14:schemeClr w14:val="tx1"/>
                  </w14:solidFill>
                </w14:textFill>
              </w:rPr>
              <w:t>0</w:t>
            </w:r>
            <w:r>
              <w:rPr>
                <w:rFonts w:hint="eastAsia" w:ascii="Times New Roman" w:hAnsi="Times New Roman" w:cs="Times New Roman"/>
                <w:color w:val="000000" w:themeColor="text1"/>
                <w:szCs w:val="21"/>
                <w14:textFill>
                  <w14:solidFill>
                    <w14:schemeClr w14:val="tx1"/>
                  </w14:solidFill>
                </w14:textFill>
              </w:rPr>
              <w:t>㎡检验1个</w:t>
            </w:r>
          </w:p>
        </w:tc>
      </w:tr>
      <w:tr w14:paraId="5A128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trPr>
        <w:tc>
          <w:tcPr>
            <w:tcW w:w="1726" w:type="pct"/>
            <w:vAlign w:val="center"/>
          </w:tcPr>
          <w:p w14:paraId="166A03F6">
            <w:pPr>
              <w:spacing w:line="288" w:lineRule="auto"/>
              <w:jc w:val="cente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防滑性</w:t>
            </w:r>
          </w:p>
        </w:tc>
        <w:tc>
          <w:tcPr>
            <w:tcW w:w="3273" w:type="pct"/>
            <w:vAlign w:val="center"/>
          </w:tcPr>
          <w:p w14:paraId="12ADB0DD">
            <w:pPr>
              <w:spacing w:line="288" w:lineRule="auto"/>
              <w:jc w:val="cente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3个</w:t>
            </w:r>
          </w:p>
        </w:tc>
      </w:tr>
      <w:tr w14:paraId="430DF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6" w:type="pct"/>
            <w:vAlign w:val="center"/>
          </w:tcPr>
          <w:p w14:paraId="1C8FEB1B">
            <w:pPr>
              <w:spacing w:line="288"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耐磨性</w:t>
            </w:r>
          </w:p>
        </w:tc>
        <w:tc>
          <w:tcPr>
            <w:tcW w:w="3273" w:type="pct"/>
            <w:vAlign w:val="center"/>
          </w:tcPr>
          <w:p w14:paraId="0C60693F">
            <w:pPr>
              <w:spacing w:line="288"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3</w:t>
            </w:r>
            <w:bookmarkStart w:id="120" w:name="OLE_LINK57"/>
            <w:bookmarkStart w:id="121" w:name="OLE_LINK58"/>
            <w:r>
              <w:rPr>
                <w:rFonts w:hint="eastAsia" w:ascii="Times New Roman" w:hAnsi="Times New Roman" w:cs="Times New Roman"/>
                <w:color w:val="000000" w:themeColor="text1"/>
                <w:szCs w:val="21"/>
                <w14:textFill>
                  <w14:solidFill>
                    <w14:schemeClr w14:val="tx1"/>
                  </w14:solidFill>
                </w14:textFill>
              </w:rPr>
              <w:t>个</w:t>
            </w:r>
            <w:bookmarkEnd w:id="120"/>
            <w:bookmarkEnd w:id="121"/>
          </w:p>
        </w:tc>
      </w:tr>
      <w:tr w14:paraId="547F4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6" w:type="pct"/>
            <w:vAlign w:val="center"/>
          </w:tcPr>
          <w:p w14:paraId="27310D0D">
            <w:pPr>
              <w:spacing w:line="288"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表面硬度</w:t>
            </w:r>
          </w:p>
        </w:tc>
        <w:tc>
          <w:tcPr>
            <w:tcW w:w="3273" w:type="pct"/>
            <w:vAlign w:val="center"/>
          </w:tcPr>
          <w:p w14:paraId="60D73358">
            <w:pPr>
              <w:spacing w:line="288"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w:t>
            </w:r>
            <w:r>
              <w:rPr>
                <w:rFonts w:ascii="Times New Roman" w:hAnsi="Times New Roman" w:cs="Times New Roman"/>
                <w:color w:val="000000" w:themeColor="text1"/>
                <w:szCs w:val="21"/>
                <w14:textFill>
                  <w14:solidFill>
                    <w14:schemeClr w14:val="tx1"/>
                  </w14:solidFill>
                </w14:textFill>
              </w:rPr>
              <w:t>0</w:t>
            </w:r>
            <w:r>
              <w:rPr>
                <w:rFonts w:hint="eastAsia" w:ascii="Times New Roman" w:hAnsi="Times New Roman" w:cs="Times New Roman"/>
                <w:color w:val="000000" w:themeColor="text1"/>
                <w:szCs w:val="21"/>
                <w14:textFill>
                  <w14:solidFill>
                    <w14:schemeClr w14:val="tx1"/>
                  </w14:solidFill>
                </w14:textFill>
              </w:rPr>
              <w:t>个</w:t>
            </w:r>
          </w:p>
        </w:tc>
      </w:tr>
      <w:tr w14:paraId="1A7A4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1726" w:type="pct"/>
            <w:vAlign w:val="center"/>
          </w:tcPr>
          <w:p w14:paraId="11F1286A">
            <w:pPr>
              <w:spacing w:line="288" w:lineRule="auto"/>
              <w:jc w:val="cente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耐磨硬化层厚度</w:t>
            </w:r>
          </w:p>
        </w:tc>
        <w:tc>
          <w:tcPr>
            <w:tcW w:w="3273" w:type="pct"/>
            <w:vAlign w:val="center"/>
          </w:tcPr>
          <w:p w14:paraId="2D77BC06">
            <w:pPr>
              <w:spacing w:line="288" w:lineRule="auto"/>
              <w:jc w:val="center"/>
              <w:rPr>
                <w:rFonts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w:t>
            </w:r>
            <w:r>
              <w:rPr>
                <w:rFonts w:ascii="Times New Roman" w:hAnsi="Times New Roman" w:cs="Times New Roman"/>
                <w:color w:val="000000" w:themeColor="text1"/>
                <w:szCs w:val="21"/>
                <w14:textFill>
                  <w14:solidFill>
                    <w14:schemeClr w14:val="tx1"/>
                  </w14:solidFill>
                </w14:textFill>
              </w:rPr>
              <w:t>0</w:t>
            </w:r>
            <w:r>
              <w:rPr>
                <w:rFonts w:hint="eastAsia" w:ascii="Times New Roman" w:hAnsi="Times New Roman" w:cs="Times New Roman"/>
                <w:color w:val="000000" w:themeColor="text1"/>
                <w:szCs w:val="21"/>
                <w14:textFill>
                  <w14:solidFill>
                    <w14:schemeClr w14:val="tx1"/>
                  </w14:solidFill>
                </w14:textFill>
              </w:rPr>
              <w:t>个</w:t>
            </w:r>
          </w:p>
        </w:tc>
      </w:tr>
      <w:tr w14:paraId="2F534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8" w:hRule="atLeast"/>
        </w:trPr>
        <w:tc>
          <w:tcPr>
            <w:tcW w:w="1726" w:type="pct"/>
            <w:vAlign w:val="center"/>
          </w:tcPr>
          <w:p w14:paraId="3CDF9766">
            <w:pPr>
              <w:spacing w:line="288" w:lineRule="auto"/>
              <w:jc w:val="center"/>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不发火</w:t>
            </w:r>
            <w:r>
              <w:rPr>
                <w:rFonts w:hint="eastAsia" w:ascii="Times New Roman" w:hAnsi="Times New Roman" w:cs="Times New Roman"/>
                <w:color w:val="000000" w:themeColor="text1"/>
                <w:szCs w:val="21"/>
                <w:vertAlign w:val="superscript"/>
                <w:lang w:val="en-US" w:eastAsia="zh-CN"/>
                <w14:textFill>
                  <w14:solidFill>
                    <w14:schemeClr w14:val="tx1"/>
                  </w14:solidFill>
                </w14:textFill>
              </w:rPr>
              <w:t>a</w:t>
            </w:r>
          </w:p>
        </w:tc>
        <w:tc>
          <w:tcPr>
            <w:tcW w:w="3273" w:type="pct"/>
            <w:vAlign w:val="center"/>
          </w:tcPr>
          <w:p w14:paraId="586C97F9">
            <w:pPr>
              <w:spacing w:line="288" w:lineRule="auto"/>
              <w:jc w:val="center"/>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10个</w:t>
            </w:r>
          </w:p>
        </w:tc>
      </w:tr>
      <w:tr w14:paraId="2A6F4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1726" w:type="pct"/>
            <w:vAlign w:val="center"/>
          </w:tcPr>
          <w:p w14:paraId="22996875">
            <w:pPr>
              <w:spacing w:line="288" w:lineRule="auto"/>
              <w:jc w:val="center"/>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防静电</w:t>
            </w:r>
            <w:r>
              <w:rPr>
                <w:rFonts w:hint="eastAsia" w:ascii="Times New Roman" w:hAnsi="Times New Roman" w:cs="Times New Roman"/>
                <w:color w:val="000000" w:themeColor="text1"/>
                <w:szCs w:val="21"/>
                <w:vertAlign w:val="superscript"/>
                <w:lang w:val="en-US" w:eastAsia="zh-CN"/>
                <w14:textFill>
                  <w14:solidFill>
                    <w14:schemeClr w14:val="tx1"/>
                  </w14:solidFill>
                </w14:textFill>
              </w:rPr>
              <w:t>a</w:t>
            </w:r>
          </w:p>
        </w:tc>
        <w:tc>
          <w:tcPr>
            <w:tcW w:w="3273" w:type="pct"/>
            <w:vAlign w:val="center"/>
          </w:tcPr>
          <w:p w14:paraId="598FD141">
            <w:pPr>
              <w:spacing w:line="288" w:lineRule="auto"/>
              <w:jc w:val="left"/>
              <w:rPr>
                <w:rFonts w:hint="eastAsia"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单批次面积≤800m</w:t>
            </w:r>
            <w:bookmarkStart w:id="122" w:name="OLE_LINK11"/>
            <w:r>
              <w:rPr>
                <w:rFonts w:hint="eastAsia" w:ascii="Times New Roman" w:hAnsi="Times New Roman" w:cs="Times New Roman"/>
                <w:color w:val="000000" w:themeColor="text1"/>
                <w:szCs w:val="21"/>
                <w:vertAlign w:val="superscript"/>
                <w:lang w:val="en-US" w:eastAsia="zh-CN"/>
                <w14:textFill>
                  <w14:solidFill>
                    <w14:schemeClr w14:val="tx1"/>
                  </w14:solidFill>
                </w14:textFill>
              </w:rPr>
              <w:t>2</w:t>
            </w:r>
            <w:bookmarkEnd w:id="122"/>
            <w:r>
              <w:rPr>
                <w:rFonts w:hint="eastAsia" w:ascii="Times New Roman" w:hAnsi="Times New Roman" w:cs="Times New Roman"/>
                <w:color w:val="000000" w:themeColor="text1"/>
                <w:szCs w:val="21"/>
                <w:lang w:val="en-US" w:eastAsia="zh-CN"/>
                <w14:textFill>
                  <w14:solidFill>
                    <w14:schemeClr w14:val="tx1"/>
                  </w14:solidFill>
                </w14:textFill>
              </w:rPr>
              <w:t>的房间：每10m</w:t>
            </w:r>
            <w:r>
              <w:rPr>
                <w:rFonts w:hint="eastAsia" w:ascii="Times New Roman" w:hAnsi="Times New Roman" w:cs="Times New Roman"/>
                <w:color w:val="000000" w:themeColor="text1"/>
                <w:szCs w:val="21"/>
                <w:vertAlign w:val="superscript"/>
                <w:lang w:val="en-US" w:eastAsia="zh-CN"/>
                <w14:textFill>
                  <w14:solidFill>
                    <w14:schemeClr w14:val="tx1"/>
                  </w14:solidFill>
                </w14:textFill>
              </w:rPr>
              <w:t>2</w:t>
            </w:r>
            <w:r>
              <w:rPr>
                <w:rFonts w:hint="eastAsia" w:ascii="Times New Roman" w:hAnsi="Times New Roman" w:cs="Times New Roman"/>
                <w:color w:val="000000" w:themeColor="text1"/>
                <w:szCs w:val="21"/>
                <w:lang w:val="en-US" w:eastAsia="zh-CN"/>
                <w14:textFill>
                  <w14:solidFill>
                    <w14:schemeClr w14:val="tx1"/>
                  </w14:solidFill>
                </w14:textFill>
              </w:rPr>
              <w:t>1个，不少于6个。</w:t>
            </w:r>
          </w:p>
          <w:p w14:paraId="7E983DC4">
            <w:pPr>
              <w:spacing w:line="288" w:lineRule="auto"/>
              <w:jc w:val="left"/>
              <w:rPr>
                <w:rFonts w:hint="eastAsia"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单批次面积＞800m</w:t>
            </w:r>
            <w:r>
              <w:rPr>
                <w:rFonts w:hint="eastAsia" w:ascii="Times New Roman" w:hAnsi="Times New Roman" w:cs="Times New Roman"/>
                <w:color w:val="000000" w:themeColor="text1"/>
                <w:szCs w:val="21"/>
                <w:vertAlign w:val="superscript"/>
                <w:lang w:val="en-US" w:eastAsia="zh-CN"/>
                <w14:textFill>
                  <w14:solidFill>
                    <w14:schemeClr w14:val="tx1"/>
                  </w14:solidFill>
                </w14:textFill>
              </w:rPr>
              <w:t>2</w:t>
            </w:r>
            <w:r>
              <w:rPr>
                <w:rFonts w:hint="eastAsia" w:ascii="Times New Roman" w:hAnsi="Times New Roman" w:cs="Times New Roman"/>
                <w:color w:val="000000" w:themeColor="text1"/>
                <w:szCs w:val="21"/>
                <w:lang w:val="en-US" w:eastAsia="zh-CN"/>
                <w14:textFill>
                  <w14:solidFill>
                    <w14:schemeClr w14:val="tx1"/>
                  </w14:solidFill>
                </w14:textFill>
              </w:rPr>
              <w:t>且≤1200m</w:t>
            </w:r>
            <w:r>
              <w:rPr>
                <w:rFonts w:hint="eastAsia" w:ascii="Times New Roman" w:hAnsi="Times New Roman" w:cs="Times New Roman"/>
                <w:color w:val="000000" w:themeColor="text1"/>
                <w:szCs w:val="21"/>
                <w:vertAlign w:val="superscript"/>
                <w:lang w:val="en-US" w:eastAsia="zh-CN"/>
                <w14:textFill>
                  <w14:solidFill>
                    <w14:schemeClr w14:val="tx1"/>
                  </w14:solidFill>
                </w14:textFill>
              </w:rPr>
              <w:t>2</w:t>
            </w:r>
            <w:r>
              <w:rPr>
                <w:rFonts w:hint="eastAsia" w:ascii="Times New Roman" w:hAnsi="Times New Roman" w:cs="Times New Roman"/>
                <w:color w:val="000000" w:themeColor="text1"/>
                <w:szCs w:val="21"/>
                <w:lang w:val="en-US" w:eastAsia="zh-CN"/>
                <w14:textFill>
                  <w14:solidFill>
                    <w14:schemeClr w14:val="tx1"/>
                  </w14:solidFill>
                </w14:textFill>
              </w:rPr>
              <w:t>：80到100个。</w:t>
            </w:r>
          </w:p>
          <w:p w14:paraId="477D8B7C">
            <w:pPr>
              <w:spacing w:line="288" w:lineRule="auto"/>
              <w:jc w:val="left"/>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单批次面积＞1200m</w:t>
            </w:r>
            <w:r>
              <w:rPr>
                <w:rFonts w:hint="eastAsia" w:ascii="Times New Roman" w:hAnsi="Times New Roman" w:cs="Times New Roman"/>
                <w:color w:val="000000" w:themeColor="text1"/>
                <w:szCs w:val="21"/>
                <w:vertAlign w:val="superscript"/>
                <w:lang w:val="en-US" w:eastAsia="zh-CN"/>
                <w14:textFill>
                  <w14:solidFill>
                    <w14:schemeClr w14:val="tx1"/>
                  </w14:solidFill>
                </w14:textFill>
              </w:rPr>
              <w:t>2</w:t>
            </w:r>
            <w:r>
              <w:rPr>
                <w:rFonts w:hint="eastAsia" w:ascii="Times New Roman" w:hAnsi="Times New Roman" w:cs="Times New Roman"/>
                <w:color w:val="000000" w:themeColor="text1"/>
                <w:szCs w:val="21"/>
                <w:lang w:val="en-US" w:eastAsia="zh-CN"/>
                <w14:textFill>
                  <w14:solidFill>
                    <w14:schemeClr w14:val="tx1"/>
                  </w14:solidFill>
                </w14:textFill>
              </w:rPr>
              <w:t>以上，不少于 120个，不多于200个。</w:t>
            </w:r>
          </w:p>
        </w:tc>
      </w:tr>
      <w:tr w14:paraId="26857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5000" w:type="pct"/>
            <w:gridSpan w:val="2"/>
            <w:vAlign w:val="center"/>
          </w:tcPr>
          <w:p w14:paraId="47892AFB">
            <w:pPr>
              <w:spacing w:line="288" w:lineRule="auto"/>
              <w:jc w:val="both"/>
              <w:rPr>
                <w:rFonts w:hint="default" w:ascii="Times New Roman" w:hAnsi="Times New Roman" w:cs="Times New Roman"/>
                <w:color w:val="000000" w:themeColor="text1"/>
                <w:szCs w:val="21"/>
                <w:lang w:val="en-US"/>
                <w14:textFill>
                  <w14:solidFill>
                    <w14:schemeClr w14:val="tx1"/>
                  </w14:solidFill>
                </w14:textFill>
              </w:rPr>
            </w:pPr>
            <w:r>
              <w:rPr>
                <w:rFonts w:hint="eastAsia" w:ascii="Times New Roman" w:hAnsi="Times New Roman" w:cs="Times New Roman"/>
                <w:color w:val="000000" w:themeColor="text1"/>
                <w:szCs w:val="21"/>
                <w:vertAlign w:val="superscript"/>
                <w:lang w:val="en-US" w:eastAsia="zh-CN"/>
                <w14:textFill>
                  <w14:solidFill>
                    <w14:schemeClr w14:val="tx1"/>
                  </w14:solidFill>
                </w14:textFill>
              </w:rPr>
              <w:t>a</w:t>
            </w:r>
            <w:r>
              <w:rPr>
                <w:rFonts w:hint="eastAsia" w:ascii="Times New Roman" w:hAnsi="Times New Roman" w:cs="Times New Roman"/>
                <w:color w:val="000000" w:themeColor="text1"/>
                <w:szCs w:val="21"/>
                <w:lang w:val="en-US" w:eastAsia="zh-CN"/>
                <w14:textFill>
                  <w14:solidFill>
                    <w14:schemeClr w14:val="tx1"/>
                  </w14:solidFill>
                </w14:textFill>
              </w:rPr>
              <w:t>对有不发火或防静电要求的场合，应分别进行防静电和不发火测试。</w:t>
            </w:r>
          </w:p>
        </w:tc>
      </w:tr>
    </w:tbl>
    <w:p w14:paraId="5115542E">
      <w:pPr>
        <w:spacing w:line="312" w:lineRule="auto"/>
        <w:rPr>
          <w:rFonts w:ascii="Times New Roman" w:hAnsi="Times New Roman" w:cs="Times New Roman"/>
          <w:sz w:val="24"/>
        </w:rPr>
      </w:pPr>
      <w:r>
        <w:rPr>
          <w:rFonts w:ascii="Times New Roman" w:hAnsi="Times New Roman" w:cs="Times New Roman"/>
          <w:b/>
          <w:color w:val="000000" w:themeColor="text1"/>
          <w:sz w:val="24"/>
          <w14:textFill>
            <w14:solidFill>
              <w14:schemeClr w14:val="tx1"/>
            </w14:solidFill>
          </w14:textFill>
        </w:rPr>
        <w:t>7.1.3　</w:t>
      </w:r>
      <w:r>
        <w:rPr>
          <w:rFonts w:ascii="Times New Roman" w:hAnsi="Times New Roman" w:cs="Times New Roman"/>
          <w:kern w:val="0"/>
          <w:sz w:val="24"/>
        </w:rPr>
        <w:t xml:space="preserve"> </w:t>
      </w:r>
      <w:r>
        <w:rPr>
          <w:rFonts w:hint="eastAsia" w:ascii="Times New Roman" w:hAnsi="Times New Roman" w:cs="Times New Roman"/>
          <w:kern w:val="0"/>
          <w:sz w:val="24"/>
          <w:lang w:eastAsia="zh-CN"/>
        </w:rPr>
        <w:t>混凝土地面用耐磨硬化地坪</w:t>
      </w:r>
      <w:r>
        <w:rPr>
          <w:rFonts w:ascii="Times New Roman" w:hAnsi="Times New Roman" w:cs="Times New Roman"/>
          <w:sz w:val="24"/>
        </w:rPr>
        <w:t>的</w:t>
      </w:r>
      <w:r>
        <w:rPr>
          <w:rFonts w:hint="eastAsia" w:ascii="Times New Roman" w:hAnsi="Times New Roman" w:cs="Times New Roman"/>
          <w:sz w:val="24"/>
        </w:rPr>
        <w:t>质量</w:t>
      </w:r>
      <w:r>
        <w:rPr>
          <w:rFonts w:ascii="Times New Roman" w:hAnsi="Times New Roman" w:cs="Times New Roman"/>
          <w:sz w:val="24"/>
        </w:rPr>
        <w:t>检验应按主控项目和一般项目</w:t>
      </w:r>
      <w:r>
        <w:rPr>
          <w:rFonts w:hint="eastAsia" w:ascii="Times New Roman" w:hAnsi="Times New Roman" w:cs="Times New Roman"/>
          <w:sz w:val="24"/>
        </w:rPr>
        <w:t>分别</w:t>
      </w:r>
      <w:r>
        <w:rPr>
          <w:rFonts w:ascii="Times New Roman" w:hAnsi="Times New Roman" w:cs="Times New Roman"/>
          <w:sz w:val="24"/>
        </w:rPr>
        <w:t>检验，施工质量验收合格应</w:t>
      </w:r>
      <w:r>
        <w:rPr>
          <w:rFonts w:hint="eastAsia" w:ascii="Times New Roman" w:hAnsi="Times New Roman" w:cs="Times New Roman"/>
          <w:sz w:val="24"/>
        </w:rPr>
        <w:t>符合下列规定</w:t>
      </w:r>
      <w:r>
        <w:rPr>
          <w:rFonts w:ascii="Times New Roman" w:hAnsi="Times New Roman" w:cs="Times New Roman"/>
          <w:sz w:val="24"/>
        </w:rPr>
        <w:t>：</w:t>
      </w:r>
    </w:p>
    <w:p w14:paraId="5660C3AF">
      <w:pPr>
        <w:spacing w:line="312" w:lineRule="auto"/>
        <w:ind w:firstLine="42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1</w:t>
      </w:r>
      <w:r>
        <w:rPr>
          <w:rFonts w:ascii="Times New Roman" w:hAnsi="Times New Roman" w:cs="Times New Roman"/>
          <w:color w:val="000000" w:themeColor="text1"/>
          <w:sz w:val="24"/>
          <w14:textFill>
            <w14:solidFill>
              <w14:schemeClr w14:val="tx1"/>
            </w14:solidFill>
          </w14:textFill>
        </w:rPr>
        <w:t>　</w:t>
      </w:r>
      <w:r>
        <w:rPr>
          <w:rFonts w:ascii="Times New Roman" w:hAnsi="Times New Roman" w:cs="Times New Roman"/>
          <w:sz w:val="24"/>
        </w:rPr>
        <w:t>主控项目的抽样检验质量应</w:t>
      </w:r>
      <w:r>
        <w:rPr>
          <w:rFonts w:hint="eastAsia" w:ascii="Times New Roman" w:hAnsi="Times New Roman" w:cs="Times New Roman"/>
          <w:sz w:val="24"/>
        </w:rPr>
        <w:t>全部</w:t>
      </w:r>
      <w:r>
        <w:rPr>
          <w:rFonts w:ascii="Times New Roman" w:hAnsi="Times New Roman" w:cs="Times New Roman"/>
          <w:sz w:val="24"/>
        </w:rPr>
        <w:t>合格</w:t>
      </w:r>
      <w:r>
        <w:rPr>
          <w:rFonts w:ascii="Times New Roman" w:hAnsi="Times New Roman" w:cs="Times New Roman"/>
          <w:color w:val="000000" w:themeColor="text1"/>
          <w:sz w:val="24"/>
          <w14:textFill>
            <w14:solidFill>
              <w14:schemeClr w14:val="tx1"/>
            </w14:solidFill>
          </w14:textFill>
        </w:rPr>
        <w:t>；</w:t>
      </w:r>
    </w:p>
    <w:p w14:paraId="08F7F77B">
      <w:pPr>
        <w:spacing w:line="312" w:lineRule="auto"/>
        <w:ind w:firstLine="420"/>
        <w:rPr>
          <w:rFonts w:ascii="Times New Roman" w:hAnsi="Times New Roman" w:cs="Times New Roman"/>
          <w:sz w:val="24"/>
        </w:rPr>
      </w:pPr>
      <w:r>
        <w:rPr>
          <w:rFonts w:ascii="Times New Roman" w:hAnsi="Times New Roman" w:cs="Times New Roman"/>
          <w:b/>
          <w:color w:val="000000" w:themeColor="text1"/>
          <w:sz w:val="24"/>
          <w14:textFill>
            <w14:solidFill>
              <w14:schemeClr w14:val="tx1"/>
            </w14:solidFill>
          </w14:textFill>
        </w:rPr>
        <w:t>2</w:t>
      </w:r>
      <w:r>
        <w:rPr>
          <w:rFonts w:ascii="Times New Roman" w:hAnsi="Times New Roman" w:cs="Times New Roman"/>
          <w:color w:val="000000" w:themeColor="text1"/>
          <w:sz w:val="24"/>
          <w14:textFill>
            <w14:solidFill>
              <w14:schemeClr w14:val="tx1"/>
            </w14:solidFill>
          </w14:textFill>
        </w:rPr>
        <w:t>　</w:t>
      </w:r>
      <w:r>
        <w:rPr>
          <w:rFonts w:ascii="Times New Roman" w:hAnsi="Times New Roman" w:cs="Times New Roman"/>
          <w:sz w:val="24"/>
        </w:rPr>
        <w:t>一般项目应至少有80%以上的检验点合格，且不合格点不得影响使用。</w:t>
      </w:r>
    </w:p>
    <w:p w14:paraId="6BE487AE">
      <w:pPr>
        <w:spacing w:line="312" w:lineRule="auto"/>
        <w:rPr>
          <w:rFonts w:ascii="Times New Roman" w:hAnsi="Times New Roman" w:cs="Times New Roman"/>
          <w:bCs/>
          <w:sz w:val="24"/>
        </w:rPr>
      </w:pPr>
      <w:r>
        <w:rPr>
          <w:rFonts w:ascii="Times New Roman" w:hAnsi="Times New Roman" w:cs="Times New Roman"/>
          <w:b/>
          <w:color w:val="000000" w:themeColor="text1"/>
          <w:sz w:val="24"/>
          <w14:textFill>
            <w14:solidFill>
              <w14:schemeClr w14:val="tx1"/>
            </w14:solidFill>
          </w14:textFill>
        </w:rPr>
        <w:t>7.1.4　</w:t>
      </w:r>
      <w:r>
        <w:rPr>
          <w:rFonts w:ascii="Times New Roman" w:hAnsi="Times New Roman" w:cs="Times New Roman"/>
          <w:bCs/>
          <w:sz w:val="24"/>
        </w:rPr>
        <w:t xml:space="preserve"> </w:t>
      </w:r>
      <w:r>
        <w:rPr>
          <w:rFonts w:ascii="Times New Roman" w:hAnsi="Times New Roman" w:cs="Times New Roman"/>
          <w:kern w:val="0"/>
          <w:sz w:val="24"/>
        </w:rPr>
        <w:t>当检验批施工质量不符合本规程或设计文件规定时，应进行补救或返工。</w:t>
      </w:r>
    </w:p>
    <w:p w14:paraId="043E70D1">
      <w:pPr>
        <w:spacing w:line="312" w:lineRule="auto"/>
        <w:rPr>
          <w:rFonts w:ascii="Times New Roman" w:hAnsi="Times New Roman" w:cs="Times New Roman"/>
          <w:kern w:val="0"/>
          <w:sz w:val="24"/>
        </w:rPr>
      </w:pPr>
      <w:r>
        <w:rPr>
          <w:rFonts w:ascii="Times New Roman" w:hAnsi="Times New Roman" w:cs="Times New Roman"/>
          <w:b/>
          <w:color w:val="000000" w:themeColor="text1"/>
          <w:sz w:val="24"/>
          <w14:textFill>
            <w14:solidFill>
              <w14:schemeClr w14:val="tx1"/>
            </w14:solidFill>
          </w14:textFill>
        </w:rPr>
        <w:t>7.1.5　</w:t>
      </w:r>
      <w:r>
        <w:rPr>
          <w:rFonts w:ascii="Times New Roman" w:hAnsi="Times New Roman" w:cs="Times New Roman"/>
          <w:sz w:val="24"/>
        </w:rPr>
        <w:t>地</w:t>
      </w:r>
      <w:r>
        <w:rPr>
          <w:rFonts w:ascii="Times New Roman" w:hAnsi="Times New Roman" w:cs="Times New Roman"/>
          <w:kern w:val="0"/>
          <w:sz w:val="24"/>
        </w:rPr>
        <w:t>坪工程验收应检查下列工程质量文件和记录：</w:t>
      </w:r>
    </w:p>
    <w:p w14:paraId="51F7945A">
      <w:pPr>
        <w:spacing w:line="312" w:lineRule="auto"/>
        <w:ind w:firstLine="42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1</w:t>
      </w:r>
      <w:r>
        <w:rPr>
          <w:rFonts w:ascii="Times New Roman" w:hAnsi="Times New Roman" w:cs="Times New Roman"/>
          <w:color w:val="000000" w:themeColor="text1"/>
          <w:sz w:val="24"/>
          <w14:textFill>
            <w14:solidFill>
              <w14:schemeClr w14:val="tx1"/>
            </w14:solidFill>
          </w14:textFill>
        </w:rPr>
        <w:t>　</w:t>
      </w:r>
      <w:r>
        <w:rPr>
          <w:rFonts w:ascii="Times New Roman" w:hAnsi="Times New Roman" w:cs="Times New Roman"/>
          <w:bCs/>
          <w:sz w:val="24"/>
        </w:rPr>
        <w:t>地坪设计和变更文件等</w:t>
      </w:r>
      <w:r>
        <w:rPr>
          <w:rFonts w:ascii="Times New Roman" w:hAnsi="Times New Roman" w:cs="Times New Roman"/>
          <w:color w:val="000000" w:themeColor="text1"/>
          <w:sz w:val="24"/>
          <w14:textFill>
            <w14:solidFill>
              <w14:schemeClr w14:val="tx1"/>
            </w14:solidFill>
          </w14:textFill>
        </w:rPr>
        <w:t>；</w:t>
      </w:r>
    </w:p>
    <w:p w14:paraId="6219EEFB">
      <w:pPr>
        <w:spacing w:line="312" w:lineRule="auto"/>
        <w:ind w:firstLine="420"/>
        <w:rPr>
          <w:rFonts w:ascii="Times New Roman" w:hAnsi="Times New Roman" w:cs="Times New Roman"/>
          <w:sz w:val="24"/>
        </w:rPr>
      </w:pPr>
      <w:r>
        <w:rPr>
          <w:rFonts w:ascii="Times New Roman" w:hAnsi="Times New Roman" w:cs="Times New Roman"/>
          <w:b/>
          <w:color w:val="000000" w:themeColor="text1"/>
          <w:sz w:val="24"/>
          <w14:textFill>
            <w14:solidFill>
              <w14:schemeClr w14:val="tx1"/>
            </w14:solidFill>
          </w14:textFill>
        </w:rPr>
        <w:t>2</w:t>
      </w:r>
      <w:r>
        <w:rPr>
          <w:rFonts w:ascii="Times New Roman" w:hAnsi="Times New Roman" w:cs="Times New Roman"/>
          <w:color w:val="000000" w:themeColor="text1"/>
          <w:sz w:val="24"/>
          <w14:textFill>
            <w14:solidFill>
              <w14:schemeClr w14:val="tx1"/>
            </w14:solidFill>
          </w14:textFill>
        </w:rPr>
        <w:t>　</w:t>
      </w:r>
      <w:r>
        <w:rPr>
          <w:rFonts w:ascii="Times New Roman" w:hAnsi="Times New Roman" w:cs="Times New Roman"/>
          <w:bCs/>
          <w:sz w:val="24"/>
        </w:rPr>
        <w:t>地坪材料的质量合格证明文件、主要材料的进场及复验合格报告</w:t>
      </w:r>
      <w:r>
        <w:rPr>
          <w:rFonts w:ascii="Times New Roman" w:hAnsi="Times New Roman" w:cs="Times New Roman"/>
          <w:sz w:val="24"/>
        </w:rPr>
        <w:t>；</w:t>
      </w:r>
    </w:p>
    <w:p w14:paraId="1F0ED099">
      <w:pPr>
        <w:spacing w:line="312" w:lineRule="auto"/>
        <w:ind w:firstLine="420"/>
        <w:rPr>
          <w:rFonts w:ascii="Times New Roman" w:hAnsi="Times New Roman" w:cs="Times New Roman"/>
          <w:sz w:val="24"/>
        </w:rPr>
      </w:pPr>
      <w:r>
        <w:rPr>
          <w:rFonts w:ascii="Times New Roman" w:hAnsi="Times New Roman" w:cs="Times New Roman"/>
          <w:b/>
          <w:sz w:val="24"/>
        </w:rPr>
        <w:t>3</w:t>
      </w:r>
      <w:r>
        <w:rPr>
          <w:rFonts w:ascii="Times New Roman" w:hAnsi="Times New Roman" w:cs="Times New Roman"/>
          <w:sz w:val="24"/>
        </w:rPr>
        <w:t>　样板施工质量验收记录；</w:t>
      </w:r>
    </w:p>
    <w:p w14:paraId="0A554CF9">
      <w:pPr>
        <w:spacing w:line="312" w:lineRule="auto"/>
        <w:ind w:firstLine="420"/>
        <w:rPr>
          <w:rFonts w:ascii="Times New Roman" w:hAnsi="Times New Roman" w:cs="Times New Roman"/>
          <w:sz w:val="24"/>
        </w:rPr>
      </w:pPr>
      <w:r>
        <w:rPr>
          <w:rFonts w:ascii="Times New Roman" w:hAnsi="Times New Roman" w:cs="Times New Roman"/>
          <w:b/>
          <w:sz w:val="24"/>
        </w:rPr>
        <w:t>4</w:t>
      </w:r>
      <w:r>
        <w:rPr>
          <w:rFonts w:ascii="Times New Roman" w:hAnsi="Times New Roman" w:cs="Times New Roman"/>
          <w:sz w:val="24"/>
        </w:rPr>
        <w:t>　</w:t>
      </w:r>
      <w:r>
        <w:rPr>
          <w:rFonts w:ascii="Times New Roman" w:hAnsi="Times New Roman" w:cs="Times New Roman"/>
          <w:bCs/>
          <w:sz w:val="24"/>
        </w:rPr>
        <w:t>隐蔽工程验收记录</w:t>
      </w:r>
      <w:r>
        <w:rPr>
          <w:rFonts w:ascii="Times New Roman" w:hAnsi="Times New Roman" w:cs="Times New Roman"/>
          <w:sz w:val="24"/>
        </w:rPr>
        <w:t>；</w:t>
      </w:r>
    </w:p>
    <w:p w14:paraId="1A538BFB">
      <w:pPr>
        <w:spacing w:line="312" w:lineRule="auto"/>
        <w:ind w:firstLine="42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sz w:val="24"/>
        </w:rPr>
        <w:t>5</w:t>
      </w:r>
      <w:r>
        <w:rPr>
          <w:rFonts w:ascii="Times New Roman" w:hAnsi="Times New Roman" w:cs="Times New Roman"/>
          <w:sz w:val="24"/>
        </w:rPr>
        <w:t>　</w:t>
      </w:r>
      <w:r>
        <w:rPr>
          <w:rFonts w:ascii="Times New Roman" w:hAnsi="Times New Roman" w:cs="Times New Roman"/>
          <w:bCs/>
          <w:sz w:val="24"/>
        </w:rPr>
        <w:t>基面质量验收记录</w:t>
      </w:r>
      <w:r>
        <w:rPr>
          <w:rFonts w:ascii="Times New Roman" w:hAnsi="Times New Roman" w:cs="Times New Roman"/>
          <w:color w:val="000000" w:themeColor="text1"/>
          <w:sz w:val="24"/>
          <w14:textFill>
            <w14:solidFill>
              <w14:schemeClr w14:val="tx1"/>
            </w14:solidFill>
          </w14:textFill>
        </w:rPr>
        <w:t>；</w:t>
      </w:r>
    </w:p>
    <w:p w14:paraId="66EED2E1">
      <w:pPr>
        <w:spacing w:line="312" w:lineRule="auto"/>
        <w:ind w:firstLine="420"/>
        <w:rPr>
          <w:rFonts w:ascii="Times New Roman" w:hAnsi="Times New Roman" w:cs="Times New Roman"/>
          <w:bCs/>
          <w:sz w:val="24"/>
        </w:rPr>
      </w:pPr>
      <w:r>
        <w:rPr>
          <w:rFonts w:ascii="Times New Roman" w:hAnsi="Times New Roman" w:cs="Times New Roman"/>
          <w:b/>
          <w:color w:val="000000" w:themeColor="text1"/>
          <w:sz w:val="24"/>
          <w14:textFill>
            <w14:solidFill>
              <w14:schemeClr w14:val="tx1"/>
            </w14:solidFill>
          </w14:textFill>
        </w:rPr>
        <w:t>6</w:t>
      </w:r>
      <w:r>
        <w:rPr>
          <w:rFonts w:ascii="Times New Roman" w:hAnsi="Times New Roman" w:cs="Times New Roman"/>
          <w:color w:val="000000" w:themeColor="text1"/>
          <w:sz w:val="24"/>
          <w14:textFill>
            <w14:solidFill>
              <w14:schemeClr w14:val="tx1"/>
            </w14:solidFill>
          </w14:textFill>
        </w:rPr>
        <w:t>　</w:t>
      </w:r>
      <w:r>
        <w:rPr>
          <w:rFonts w:ascii="Times New Roman" w:hAnsi="Times New Roman" w:cs="Times New Roman"/>
          <w:bCs/>
          <w:sz w:val="24"/>
        </w:rPr>
        <w:t>施工环境、温度、气象及施工工序记录；</w:t>
      </w:r>
    </w:p>
    <w:p w14:paraId="1C845DE2">
      <w:pPr>
        <w:spacing w:line="312" w:lineRule="auto"/>
        <w:ind w:firstLine="42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ascii="Times New Roman" w:hAnsi="Times New Roman" w:cs="Times New Roman"/>
          <w:color w:val="000000" w:themeColor="text1"/>
          <w:sz w:val="24"/>
          <w14:textFill>
            <w14:solidFill>
              <w14:schemeClr w14:val="tx1"/>
            </w14:solidFill>
          </w14:textFill>
        </w:rPr>
        <w:t>　监理记录；</w:t>
      </w:r>
    </w:p>
    <w:p w14:paraId="164CBA1D">
      <w:pPr>
        <w:spacing w:line="312" w:lineRule="auto"/>
        <w:ind w:firstLine="420"/>
        <w:rPr>
          <w:rFonts w:ascii="Times New Roman" w:hAnsi="Times New Roman" w:cs="Times New Roman"/>
          <w:bCs/>
          <w:sz w:val="24"/>
        </w:rPr>
      </w:pPr>
      <w:r>
        <w:rPr>
          <w:rFonts w:ascii="Times New Roman" w:hAnsi="Times New Roman" w:cs="Times New Roman"/>
          <w:b/>
          <w:color w:val="000000" w:themeColor="text1"/>
          <w:sz w:val="24"/>
          <w14:textFill>
            <w14:solidFill>
              <w14:schemeClr w14:val="tx1"/>
            </w14:solidFill>
          </w14:textFill>
        </w:rPr>
        <w:t>8</w:t>
      </w:r>
      <w:r>
        <w:rPr>
          <w:rFonts w:ascii="Times New Roman" w:hAnsi="Times New Roman" w:cs="Times New Roman"/>
          <w:color w:val="000000" w:themeColor="text1"/>
          <w:sz w:val="24"/>
          <w14:textFill>
            <w14:solidFill>
              <w14:schemeClr w14:val="tx1"/>
            </w14:solidFill>
          </w14:textFill>
        </w:rPr>
        <w:t>　所有检验批</w:t>
      </w:r>
      <w:r>
        <w:rPr>
          <w:rFonts w:ascii="Times New Roman" w:hAnsi="Times New Roman" w:cs="Times New Roman"/>
          <w:bCs/>
          <w:sz w:val="24"/>
        </w:rPr>
        <w:t>施工质量验收记录。</w:t>
      </w:r>
    </w:p>
    <w:p w14:paraId="4C686E5A">
      <w:pPr>
        <w:snapToGrid w:val="0"/>
        <w:spacing w:before="156" w:beforeLines="50" w:after="156" w:afterLines="50" w:line="312" w:lineRule="auto"/>
        <w:jc w:val="center"/>
        <w:outlineLvl w:val="1"/>
        <w:rPr>
          <w:rFonts w:hint="default" w:ascii="Times New Roman" w:hAnsi="Times New Roman" w:eastAsia="黑体" w:cs="Times New Roman"/>
          <w:iCs/>
          <w:color w:val="000000" w:themeColor="text1"/>
          <w:kern w:val="0"/>
          <w:sz w:val="28"/>
          <w:lang w:val="en-US" w:eastAsia="zh-CN"/>
          <w14:textFill>
            <w14:solidFill>
              <w14:schemeClr w14:val="tx1"/>
            </w14:solidFill>
          </w14:textFill>
        </w:rPr>
      </w:pPr>
      <w:bookmarkStart w:id="123" w:name="_Toc3854"/>
      <w:r>
        <w:rPr>
          <w:rFonts w:ascii="Times New Roman" w:hAnsi="Times New Roman" w:eastAsia="黑体" w:cs="Times New Roman"/>
          <w:iCs/>
          <w:color w:val="000000" w:themeColor="text1"/>
          <w:kern w:val="0"/>
          <w:sz w:val="28"/>
          <w14:textFill>
            <w14:solidFill>
              <w14:schemeClr w14:val="tx1"/>
            </w14:solidFill>
          </w14:textFill>
        </w:rPr>
        <w:t>7.2　</w:t>
      </w:r>
      <w:r>
        <w:rPr>
          <w:rFonts w:hint="eastAsia" w:ascii="Times New Roman" w:hAnsi="Times New Roman" w:eastAsia="黑体" w:cs="Times New Roman"/>
          <w:iCs/>
          <w:color w:val="000000" w:themeColor="text1"/>
          <w:kern w:val="0"/>
          <w:sz w:val="28"/>
          <w14:textFill>
            <w14:solidFill>
              <w14:schemeClr w14:val="tx1"/>
            </w14:solidFill>
          </w14:textFill>
        </w:rPr>
        <w:t>材料</w:t>
      </w:r>
      <w:r>
        <w:rPr>
          <w:rFonts w:hint="eastAsia" w:ascii="Times New Roman" w:hAnsi="Times New Roman" w:eastAsia="黑体" w:cs="Times New Roman"/>
          <w:iCs/>
          <w:color w:val="000000" w:themeColor="text1"/>
          <w:kern w:val="0"/>
          <w:sz w:val="28"/>
          <w:lang w:val="en-US" w:eastAsia="zh-CN"/>
          <w14:textFill>
            <w14:solidFill>
              <w14:schemeClr w14:val="tx1"/>
            </w14:solidFill>
          </w14:textFill>
        </w:rPr>
        <w:t>复验</w:t>
      </w:r>
      <w:bookmarkEnd w:id="123"/>
    </w:p>
    <w:p w14:paraId="6185D03E">
      <w:pPr>
        <w:spacing w:line="312" w:lineRule="auto"/>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7.2.1　</w:t>
      </w:r>
      <w:r>
        <w:rPr>
          <w:rFonts w:ascii="Times New Roman" w:hAnsi="Times New Roman" w:eastAsia="宋体" w:cs="Times New Roman"/>
          <w:color w:val="000000" w:themeColor="text1"/>
          <w:sz w:val="24"/>
          <w14:textFill>
            <w14:solidFill>
              <w14:schemeClr w14:val="tx1"/>
            </w14:solidFill>
          </w14:textFill>
        </w:rPr>
        <w:t>当</w:t>
      </w:r>
      <w:r>
        <w:rPr>
          <w:rFonts w:hint="eastAsia" w:ascii="Times New Roman" w:hAnsi="Times New Roman" w:eastAsia="宋体" w:cs="Times New Roman"/>
          <w:color w:val="000000" w:themeColor="text1"/>
          <w:sz w:val="24"/>
          <w:lang w:val="en-US" w:eastAsia="zh-CN"/>
          <w14:textFill>
            <w14:solidFill>
              <w14:schemeClr w14:val="tx1"/>
            </w14:solidFill>
          </w14:textFill>
        </w:rPr>
        <w:t>出现</w:t>
      </w:r>
      <w:r>
        <w:rPr>
          <w:rFonts w:ascii="Times New Roman" w:hAnsi="Times New Roman" w:eastAsia="宋体" w:cs="Times New Roman"/>
          <w:color w:val="000000" w:themeColor="text1"/>
          <w:sz w:val="24"/>
          <w14:textFill>
            <w14:solidFill>
              <w14:schemeClr w14:val="tx1"/>
            </w14:solidFill>
          </w14:textFill>
        </w:rPr>
        <w:t>争议时应复</w:t>
      </w:r>
      <w:r>
        <w:rPr>
          <w:rFonts w:hint="eastAsia" w:ascii="Times New Roman" w:hAnsi="Times New Roman" w:eastAsia="宋体" w:cs="Times New Roman"/>
          <w:color w:val="000000" w:themeColor="text1"/>
          <w:sz w:val="24"/>
          <w14:textFill>
            <w14:solidFill>
              <w14:schemeClr w14:val="tx1"/>
            </w14:solidFill>
          </w14:textFill>
        </w:rPr>
        <w:t>验</w:t>
      </w:r>
      <w:r>
        <w:rPr>
          <w:rFonts w:ascii="Times New Roman" w:hAnsi="Times New Roman" w:eastAsia="宋体" w:cs="Times New Roman"/>
          <w:color w:val="000000" w:themeColor="text1"/>
          <w:sz w:val="24"/>
          <w14:textFill>
            <w14:solidFill>
              <w14:schemeClr w14:val="tx1"/>
            </w14:solidFill>
          </w14:textFill>
        </w:rPr>
        <w:t>，</w:t>
      </w:r>
      <w:r>
        <w:rPr>
          <w:rFonts w:ascii="Times New Roman" w:hAnsi="Times New Roman" w:eastAsia="宋体" w:cs="Times New Roman"/>
          <w:sz w:val="24"/>
        </w:rPr>
        <w:t>复</w:t>
      </w:r>
      <w:r>
        <w:rPr>
          <w:rFonts w:hint="eastAsia" w:ascii="Times New Roman" w:hAnsi="Times New Roman" w:eastAsia="宋体" w:cs="Times New Roman"/>
          <w:sz w:val="24"/>
        </w:rPr>
        <w:t>验</w:t>
      </w:r>
      <w:r>
        <w:rPr>
          <w:rFonts w:ascii="Times New Roman" w:hAnsi="Times New Roman" w:eastAsia="宋体" w:cs="Times New Roman"/>
          <w:sz w:val="24"/>
        </w:rPr>
        <w:t>项目应符合表7.2.1的规定</w:t>
      </w:r>
      <w:r>
        <w:rPr>
          <w:rFonts w:ascii="Times New Roman" w:hAnsi="Times New Roman" w:eastAsia="宋体" w:cs="Times New Roman"/>
          <w:color w:val="000000" w:themeColor="text1"/>
          <w:sz w:val="24"/>
          <w14:textFill>
            <w14:solidFill>
              <w14:schemeClr w14:val="tx1"/>
            </w14:solidFill>
          </w14:textFill>
        </w:rPr>
        <w:t>。</w:t>
      </w:r>
    </w:p>
    <w:p w14:paraId="5B833772">
      <w:pPr>
        <w:spacing w:line="312" w:lineRule="auto"/>
        <w:jc w:val="center"/>
        <w:rPr>
          <w:rFonts w:ascii="Times New Roman" w:hAnsi="Times New Roman" w:cs="Times New Roman"/>
          <w:b/>
          <w:sz w:val="24"/>
        </w:rPr>
      </w:pPr>
      <w:r>
        <w:rPr>
          <w:rFonts w:ascii="Times New Roman" w:hAnsi="Times New Roman" w:cs="Times New Roman"/>
          <w:b/>
          <w:sz w:val="24"/>
        </w:rPr>
        <w:t>表7.2.1　复验项目</w:t>
      </w:r>
    </w:p>
    <w:tbl>
      <w:tblPr>
        <w:tblStyle w:val="1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0"/>
        <w:gridCol w:w="4678"/>
        <w:gridCol w:w="850"/>
        <w:gridCol w:w="930"/>
      </w:tblGrid>
      <w:tr w14:paraId="37DA4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trPr>
        <w:tc>
          <w:tcPr>
            <w:tcW w:w="1730" w:type="dxa"/>
            <w:vAlign w:val="center"/>
          </w:tcPr>
          <w:p w14:paraId="2D4BCC25">
            <w:pPr>
              <w:spacing w:line="264"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材料类型</w:t>
            </w:r>
          </w:p>
        </w:tc>
        <w:tc>
          <w:tcPr>
            <w:tcW w:w="4678" w:type="dxa"/>
            <w:vAlign w:val="center"/>
          </w:tcPr>
          <w:p w14:paraId="62DACC85">
            <w:pPr>
              <w:spacing w:line="264"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复验项目</w:t>
            </w:r>
          </w:p>
        </w:tc>
        <w:tc>
          <w:tcPr>
            <w:tcW w:w="850" w:type="dxa"/>
            <w:vAlign w:val="center"/>
          </w:tcPr>
          <w:p w14:paraId="226A2D2D">
            <w:pPr>
              <w:spacing w:line="264"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组批</w:t>
            </w:r>
            <w:r>
              <w:rPr>
                <w:rFonts w:hint="eastAsia" w:ascii="Times New Roman" w:hAnsi="Times New Roman" w:cs="Times New Roman"/>
                <w:color w:val="000000" w:themeColor="text1"/>
                <w:szCs w:val="21"/>
                <w14:textFill>
                  <w14:solidFill>
                    <w14:schemeClr w14:val="tx1"/>
                  </w14:solidFill>
                </w14:textFill>
              </w:rPr>
              <w:t>（t）</w:t>
            </w:r>
          </w:p>
        </w:tc>
        <w:tc>
          <w:tcPr>
            <w:tcW w:w="930" w:type="dxa"/>
            <w:vAlign w:val="center"/>
          </w:tcPr>
          <w:p w14:paraId="2D617A7A">
            <w:pPr>
              <w:spacing w:line="264"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抽样量</w:t>
            </w:r>
          </w:p>
          <w:p w14:paraId="29ADDEA7">
            <w:pPr>
              <w:spacing w:line="264"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w:t>
            </w:r>
            <w:r>
              <w:rPr>
                <w:rFonts w:ascii="Times New Roman" w:hAnsi="Times New Roman" w:cs="Times New Roman"/>
                <w:color w:val="000000" w:themeColor="text1"/>
                <w:szCs w:val="21"/>
                <w14:textFill>
                  <w14:solidFill>
                    <w14:schemeClr w14:val="tx1"/>
                  </w14:solidFill>
                </w14:textFill>
              </w:rPr>
              <w:t>kg</w:t>
            </w:r>
            <w:r>
              <w:rPr>
                <w:rFonts w:hint="eastAsia" w:ascii="Times New Roman" w:hAnsi="Times New Roman" w:cs="Times New Roman"/>
                <w:color w:val="000000" w:themeColor="text1"/>
                <w:szCs w:val="21"/>
                <w14:textFill>
                  <w14:solidFill>
                    <w14:schemeClr w14:val="tx1"/>
                  </w14:solidFill>
                </w14:textFill>
              </w:rPr>
              <w:t>）</w:t>
            </w:r>
          </w:p>
        </w:tc>
      </w:tr>
      <w:tr w14:paraId="1B244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0" w:type="dxa"/>
            <w:vAlign w:val="center"/>
          </w:tcPr>
          <w:p w14:paraId="65926083">
            <w:pPr>
              <w:spacing w:line="288"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耐磨材料</w:t>
            </w:r>
          </w:p>
        </w:tc>
        <w:tc>
          <w:tcPr>
            <w:tcW w:w="4678" w:type="dxa"/>
            <w:vAlign w:val="center"/>
          </w:tcPr>
          <w:p w14:paraId="1AF2F412">
            <w:pPr>
              <w:spacing w:line="288" w:lineRule="auto"/>
              <w:jc w:val="lef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外观、耐磨</w:t>
            </w:r>
            <w:r>
              <w:rPr>
                <w:rFonts w:hint="eastAsia" w:ascii="Times New Roman" w:hAnsi="Times New Roman" w:cs="Times New Roman"/>
                <w:color w:val="000000" w:themeColor="text1"/>
                <w:szCs w:val="21"/>
                <w14:textFill>
                  <w14:solidFill>
                    <w14:schemeClr w14:val="tx1"/>
                  </w14:solidFill>
                </w14:textFill>
              </w:rPr>
              <w:t>性</w:t>
            </w:r>
            <w:r>
              <w:rPr>
                <w:rFonts w:ascii="Times New Roman" w:hAnsi="Times New Roman" w:cs="Times New Roman"/>
                <w:color w:val="000000" w:themeColor="text1"/>
                <w:szCs w:val="21"/>
                <w14:textFill>
                  <w14:solidFill>
                    <w14:schemeClr w14:val="tx1"/>
                  </w14:solidFill>
                </w14:textFill>
              </w:rPr>
              <w:t>、抗折强度、抗压强度</w:t>
            </w:r>
            <w:r>
              <w:rPr>
                <w:rFonts w:hint="eastAsia" w:ascii="Times New Roman" w:hAnsi="Times New Roman" w:cs="Times New Roman"/>
                <w:color w:val="000000" w:themeColor="text1"/>
                <w:szCs w:val="21"/>
                <w14:textFill>
                  <w14:solidFill>
                    <w14:schemeClr w14:val="tx1"/>
                  </w14:solidFill>
                </w14:textFill>
              </w:rPr>
              <w:t>、粘结强度</w:t>
            </w:r>
          </w:p>
        </w:tc>
        <w:tc>
          <w:tcPr>
            <w:tcW w:w="850" w:type="dxa"/>
            <w:vAlign w:val="center"/>
          </w:tcPr>
          <w:p w14:paraId="3F5399A7">
            <w:pPr>
              <w:spacing w:line="288"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50</w:t>
            </w:r>
          </w:p>
        </w:tc>
        <w:tc>
          <w:tcPr>
            <w:tcW w:w="930" w:type="dxa"/>
            <w:vAlign w:val="center"/>
          </w:tcPr>
          <w:p w14:paraId="18369AA3">
            <w:pPr>
              <w:spacing w:line="288"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12</w:t>
            </w:r>
          </w:p>
        </w:tc>
      </w:tr>
      <w:tr w14:paraId="07E10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0" w:type="dxa"/>
            <w:vAlign w:val="center"/>
          </w:tcPr>
          <w:p w14:paraId="3C00F239">
            <w:pPr>
              <w:spacing w:line="288"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渗透型液体硬化剂</w:t>
            </w:r>
          </w:p>
        </w:tc>
        <w:tc>
          <w:tcPr>
            <w:tcW w:w="4678" w:type="dxa"/>
            <w:vAlign w:val="center"/>
          </w:tcPr>
          <w:p w14:paraId="6C4A921D">
            <w:pPr>
              <w:spacing w:line="288" w:lineRule="auto"/>
              <w:jc w:val="left"/>
              <w:rPr>
                <w:rFonts w:ascii="Times New Roman" w:hAnsi="Times New Roman" w:cs="Times New Roman"/>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耐磨性、表面硬度、</w:t>
            </w:r>
            <w:r>
              <w:rPr>
                <w:color w:val="000000" w:themeColor="text1"/>
                <w:kern w:val="0"/>
                <w:szCs w:val="21"/>
                <w14:textFill>
                  <w14:solidFill>
                    <w14:schemeClr w14:val="tx1"/>
                  </w14:solidFill>
                </w14:textFill>
              </w:rPr>
              <w:t>24h</w:t>
            </w:r>
            <w:r>
              <w:rPr>
                <w:rFonts w:hint="eastAsia"/>
                <w:color w:val="000000" w:themeColor="text1"/>
                <w:kern w:val="0"/>
                <w:szCs w:val="21"/>
                <w14:textFill>
                  <w14:solidFill>
                    <w14:schemeClr w14:val="tx1"/>
                  </w14:solidFill>
                </w14:textFill>
              </w:rPr>
              <w:t>表面吸水量、</w:t>
            </w:r>
            <w:r>
              <w:rPr>
                <w:color w:val="000000" w:themeColor="text1"/>
                <w:kern w:val="0"/>
                <w:szCs w:val="21"/>
                <w14:textFill>
                  <w14:solidFill>
                    <w14:schemeClr w14:val="tx1"/>
                  </w14:solidFill>
                </w14:textFill>
              </w:rPr>
              <w:t>VOC</w:t>
            </w:r>
            <w:r>
              <w:rPr>
                <w:rFonts w:hint="eastAsia"/>
                <w:color w:val="000000" w:themeColor="text1"/>
                <w:kern w:val="0"/>
                <w:szCs w:val="21"/>
                <w14:textFill>
                  <w14:solidFill>
                    <w14:schemeClr w14:val="tx1"/>
                  </w14:solidFill>
                </w14:textFill>
              </w:rPr>
              <w:t>、</w:t>
            </w:r>
            <w:r>
              <w:rPr>
                <w:rFonts w:ascii="Times New Roman" w:hAnsi="Times New Roman" w:cs="Times New Roman"/>
                <w:color w:val="000000" w:themeColor="text1"/>
                <w:szCs w:val="21"/>
                <w14:textFill>
                  <w14:solidFill>
                    <w14:schemeClr w14:val="tx1"/>
                  </w14:solidFill>
                </w14:textFill>
              </w:rPr>
              <w:t>固体含量</w:t>
            </w:r>
          </w:p>
        </w:tc>
        <w:tc>
          <w:tcPr>
            <w:tcW w:w="850" w:type="dxa"/>
            <w:vAlign w:val="center"/>
          </w:tcPr>
          <w:p w14:paraId="1BA1CCA5">
            <w:pPr>
              <w:spacing w:line="288"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5</w:t>
            </w:r>
          </w:p>
        </w:tc>
        <w:tc>
          <w:tcPr>
            <w:tcW w:w="930" w:type="dxa"/>
            <w:vAlign w:val="center"/>
          </w:tcPr>
          <w:p w14:paraId="4B4F3FC3">
            <w:pPr>
              <w:spacing w:line="288"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10</w:t>
            </w:r>
          </w:p>
        </w:tc>
      </w:tr>
      <w:tr w14:paraId="76D65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0" w:type="dxa"/>
            <w:vAlign w:val="center"/>
          </w:tcPr>
          <w:p w14:paraId="1559670C">
            <w:pPr>
              <w:spacing w:line="288" w:lineRule="auto"/>
              <w:jc w:val="center"/>
              <w:rPr>
                <w:rFonts w:ascii="Times New Roman" w:hAnsi="Times New Roman" w:cs="Times New Roman"/>
                <w:color w:val="000000" w:themeColor="text1"/>
                <w:szCs w:val="21"/>
                <w14:textFill>
                  <w14:solidFill>
                    <w14:schemeClr w14:val="tx1"/>
                  </w14:solidFill>
                </w14:textFill>
              </w:rPr>
            </w:pPr>
            <w:r>
              <w:rPr>
                <w:rFonts w:hint="eastAsia"/>
                <w:szCs w:val="21"/>
              </w:rPr>
              <w:t>预拌混凝土</w:t>
            </w:r>
          </w:p>
        </w:tc>
        <w:tc>
          <w:tcPr>
            <w:tcW w:w="4678" w:type="dxa"/>
            <w:vAlign w:val="center"/>
          </w:tcPr>
          <w:p w14:paraId="50AACF16">
            <w:pPr>
              <w:spacing w:line="288" w:lineRule="auto"/>
              <w:jc w:val="left"/>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szCs w:val="21"/>
              </w:rPr>
              <w:t>强度、坍落度、耐久性能</w:t>
            </w:r>
          </w:p>
        </w:tc>
        <w:tc>
          <w:tcPr>
            <w:tcW w:w="850" w:type="dxa"/>
            <w:vAlign w:val="center"/>
          </w:tcPr>
          <w:p w14:paraId="4FBD44BB">
            <w:pPr>
              <w:spacing w:line="288"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szCs w:val="21"/>
              </w:rPr>
              <w:t>1</w:t>
            </w:r>
            <w:r>
              <w:rPr>
                <w:rFonts w:ascii="Times New Roman" w:hAnsi="Times New Roman"/>
                <w:szCs w:val="21"/>
              </w:rPr>
              <w:t>00</w:t>
            </w:r>
          </w:p>
        </w:tc>
        <w:tc>
          <w:tcPr>
            <w:tcW w:w="930" w:type="dxa"/>
            <w:vAlign w:val="center"/>
          </w:tcPr>
          <w:p w14:paraId="698AE3C6">
            <w:pPr>
              <w:spacing w:line="288"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szCs w:val="21"/>
              </w:rPr>
              <w:t>2</w:t>
            </w:r>
            <w:r>
              <w:rPr>
                <w:rFonts w:ascii="Times New Roman" w:hAnsi="Times New Roman"/>
                <w:szCs w:val="21"/>
              </w:rPr>
              <w:t>0</w:t>
            </w:r>
          </w:p>
        </w:tc>
      </w:tr>
      <w:tr w14:paraId="6F829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0" w:type="dxa"/>
            <w:vAlign w:val="center"/>
          </w:tcPr>
          <w:p w14:paraId="5A30BD00">
            <w:pPr>
              <w:spacing w:line="288"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界面剂</w:t>
            </w:r>
          </w:p>
        </w:tc>
        <w:tc>
          <w:tcPr>
            <w:tcW w:w="4678" w:type="dxa"/>
            <w:vAlign w:val="center"/>
          </w:tcPr>
          <w:p w14:paraId="334AAE90">
            <w:pPr>
              <w:spacing w:line="288" w:lineRule="auto"/>
              <w:jc w:val="left"/>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拉伸粘结强度</w:t>
            </w:r>
          </w:p>
        </w:tc>
        <w:tc>
          <w:tcPr>
            <w:tcW w:w="850" w:type="dxa"/>
            <w:vAlign w:val="center"/>
          </w:tcPr>
          <w:p w14:paraId="1938B350">
            <w:pPr>
              <w:spacing w:line="288"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3</w:t>
            </w:r>
            <w:r>
              <w:rPr>
                <w:rFonts w:ascii="Times New Roman" w:hAnsi="Times New Roman" w:cs="Times New Roman"/>
                <w:color w:val="000000" w:themeColor="text1"/>
                <w:szCs w:val="21"/>
                <w14:textFill>
                  <w14:solidFill>
                    <w14:schemeClr w14:val="tx1"/>
                  </w14:solidFill>
                </w14:textFill>
              </w:rPr>
              <w:t>0</w:t>
            </w:r>
          </w:p>
        </w:tc>
        <w:tc>
          <w:tcPr>
            <w:tcW w:w="930" w:type="dxa"/>
            <w:vAlign w:val="center"/>
          </w:tcPr>
          <w:p w14:paraId="2F6B2D6C">
            <w:pPr>
              <w:spacing w:line="288"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5</w:t>
            </w:r>
          </w:p>
        </w:tc>
      </w:tr>
    </w:tbl>
    <w:p w14:paraId="46A3E6A0">
      <w:pPr>
        <w:snapToGrid w:val="0"/>
        <w:spacing w:before="156" w:beforeLines="50" w:after="156" w:afterLines="50" w:line="312" w:lineRule="auto"/>
        <w:jc w:val="center"/>
        <w:outlineLvl w:val="1"/>
        <w:rPr>
          <w:rFonts w:ascii="Times New Roman" w:hAnsi="Times New Roman" w:eastAsia="黑体" w:cs="Times New Roman"/>
          <w:iCs/>
          <w:color w:val="000000" w:themeColor="text1"/>
          <w:kern w:val="0"/>
          <w:sz w:val="28"/>
          <w14:textFill>
            <w14:solidFill>
              <w14:schemeClr w14:val="tx1"/>
            </w14:solidFill>
          </w14:textFill>
        </w:rPr>
      </w:pPr>
      <w:bookmarkStart w:id="124" w:name="_Toc8993"/>
      <w:r>
        <w:rPr>
          <w:rFonts w:ascii="Times New Roman" w:hAnsi="Times New Roman" w:eastAsia="黑体" w:cs="Times New Roman"/>
          <w:iCs/>
          <w:color w:val="000000" w:themeColor="text1"/>
          <w:kern w:val="0"/>
          <w:sz w:val="28"/>
          <w14:textFill>
            <w14:solidFill>
              <w14:schemeClr w14:val="tx1"/>
            </w14:solidFill>
          </w14:textFill>
        </w:rPr>
        <w:t>7.3　</w:t>
      </w:r>
      <w:r>
        <w:rPr>
          <w:rFonts w:hint="eastAsia" w:ascii="Times New Roman" w:hAnsi="Times New Roman" w:eastAsia="黑体" w:cs="Times New Roman"/>
          <w:iCs/>
          <w:color w:val="000000" w:themeColor="text1"/>
          <w:kern w:val="0"/>
          <w:sz w:val="28"/>
          <w14:textFill>
            <w14:solidFill>
              <w14:schemeClr w14:val="tx1"/>
            </w14:solidFill>
          </w14:textFill>
        </w:rPr>
        <w:t>主控项目</w:t>
      </w:r>
      <w:bookmarkEnd w:id="124"/>
    </w:p>
    <w:p w14:paraId="6383D06E">
      <w:pPr>
        <w:spacing w:line="312" w:lineRule="auto"/>
        <w:rPr>
          <w:rFonts w:ascii="Times New Roman" w:hAnsi="Times New Roman" w:cs="Times New Roman"/>
          <w:sz w:val="24"/>
        </w:rPr>
      </w:pPr>
      <w:r>
        <w:rPr>
          <w:rFonts w:ascii="Times New Roman" w:hAnsi="Times New Roman" w:cs="Times New Roman"/>
          <w:b/>
          <w:color w:val="000000" w:themeColor="text1"/>
          <w:sz w:val="24"/>
          <w14:textFill>
            <w14:solidFill>
              <w14:schemeClr w14:val="tx1"/>
            </w14:solidFill>
          </w14:textFill>
        </w:rPr>
        <w:t>7.3.</w:t>
      </w:r>
      <w:r>
        <w:rPr>
          <w:rFonts w:hint="eastAsia" w:ascii="Times New Roman" w:hAnsi="Times New Roman" w:cs="Times New Roman"/>
          <w:b/>
          <w:color w:val="000000" w:themeColor="text1"/>
          <w:sz w:val="24"/>
          <w:lang w:val="en-US" w:eastAsia="zh-CN"/>
          <w14:textFill>
            <w14:solidFill>
              <w14:schemeClr w14:val="tx1"/>
            </w14:solidFill>
          </w14:textFill>
        </w:rPr>
        <w:t xml:space="preserve">1 </w:t>
      </w:r>
      <w:r>
        <w:rPr>
          <w:rFonts w:hint="eastAsia" w:ascii="Times New Roman" w:hAnsi="Times New Roman" w:cs="Times New Roman"/>
          <w:b w:val="0"/>
          <w:bCs/>
          <w:color w:val="000000" w:themeColor="text1"/>
          <w:sz w:val="24"/>
          <w:lang w:val="en-US" w:eastAsia="zh-CN"/>
          <w14:textFill>
            <w14:solidFill>
              <w14:schemeClr w14:val="tx1"/>
            </w14:solidFill>
          </w14:textFill>
        </w:rPr>
        <w:t>耐磨地坪的</w:t>
      </w:r>
      <w:r>
        <w:rPr>
          <w:rFonts w:hint="eastAsia" w:ascii="Times New Roman" w:hAnsi="Times New Roman" w:cs="Times New Roman"/>
          <w:sz w:val="24"/>
        </w:rPr>
        <w:t>耐磨性应符合</w:t>
      </w:r>
      <w:r>
        <w:rPr>
          <w:rFonts w:ascii="Times New Roman" w:hAnsi="Times New Roman" w:cs="Times New Roman"/>
          <w:sz w:val="24"/>
        </w:rPr>
        <w:t>5.2.</w:t>
      </w:r>
      <w:r>
        <w:rPr>
          <w:rFonts w:hint="eastAsia" w:ascii="Times New Roman" w:hAnsi="Times New Roman" w:cs="Times New Roman"/>
          <w:sz w:val="24"/>
          <w:lang w:val="en-US" w:eastAsia="zh-CN"/>
        </w:rPr>
        <w:t>4</w:t>
      </w:r>
      <w:r>
        <w:rPr>
          <w:rFonts w:hint="eastAsia" w:ascii="Times New Roman" w:hAnsi="Times New Roman" w:cs="Times New Roman"/>
          <w:sz w:val="24"/>
        </w:rPr>
        <w:t>规定。</w:t>
      </w:r>
    </w:p>
    <w:p w14:paraId="41DD5B8D">
      <w:pPr>
        <w:spacing w:line="312"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ab/>
      </w:r>
      <w:r>
        <w:rPr>
          <w:rFonts w:hint="eastAsia" w:ascii="Times New Roman" w:hAnsi="Times New Roman" w:cs="Times New Roman"/>
          <w:color w:val="000000" w:themeColor="text1"/>
          <w:sz w:val="24"/>
          <w14:textFill>
            <w14:solidFill>
              <w14:schemeClr w14:val="tx1"/>
            </w14:solidFill>
          </w14:textFill>
        </w:rPr>
        <w:t>检验方法：《自流平地面工程技术规程》JGJ/T 175。</w:t>
      </w:r>
    </w:p>
    <w:p w14:paraId="7056EEE9">
      <w:pPr>
        <w:spacing w:line="312" w:lineRule="auto"/>
        <w:rPr>
          <w:rFonts w:ascii="Times New Roman" w:hAnsi="Times New Roman" w:cs="Times New Roman"/>
          <w:sz w:val="20"/>
          <w:szCs w:val="20"/>
        </w:rPr>
      </w:pPr>
      <w:r>
        <w:rPr>
          <w:rFonts w:ascii="Times New Roman" w:hAnsi="Times New Roman" w:cs="Times New Roman"/>
          <w:b/>
          <w:color w:val="000000" w:themeColor="text1"/>
          <w:sz w:val="24"/>
          <w14:textFill>
            <w14:solidFill>
              <w14:schemeClr w14:val="tx1"/>
            </w14:solidFill>
          </w14:textFill>
        </w:rPr>
        <w:t>7.3.</w:t>
      </w:r>
      <w:r>
        <w:rPr>
          <w:rFonts w:hint="eastAsia" w:ascii="Times New Roman" w:hAnsi="Times New Roman" w:cs="Times New Roman"/>
          <w:b/>
          <w:color w:val="000000" w:themeColor="text1"/>
          <w:sz w:val="24"/>
          <w:lang w:val="en-US" w:eastAsia="zh-CN"/>
          <w14:textFill>
            <w14:solidFill>
              <w14:schemeClr w14:val="tx1"/>
            </w14:solidFill>
          </w14:textFill>
        </w:rPr>
        <w:t>2</w:t>
      </w:r>
      <w:r>
        <w:rPr>
          <w:rFonts w:hint="eastAsia" w:ascii="Times New Roman" w:hAnsi="Times New Roman" w:cs="Times New Roman"/>
          <w:sz w:val="24"/>
          <w:lang w:val="en-US" w:eastAsia="zh-CN"/>
        </w:rPr>
        <w:t xml:space="preserve"> </w:t>
      </w:r>
      <w:r>
        <w:rPr>
          <w:rFonts w:hint="eastAsia" w:ascii="Times New Roman" w:hAnsi="Times New Roman" w:cs="Times New Roman"/>
          <w:b w:val="0"/>
          <w:bCs/>
          <w:color w:val="000000" w:themeColor="text1"/>
          <w:sz w:val="24"/>
          <w:lang w:val="en-US" w:eastAsia="zh-CN"/>
          <w14:textFill>
            <w14:solidFill>
              <w14:schemeClr w14:val="tx1"/>
            </w14:solidFill>
          </w14:textFill>
        </w:rPr>
        <w:t>耐磨地坪的</w:t>
      </w:r>
      <w:r>
        <w:rPr>
          <w:rFonts w:hint="eastAsia" w:ascii="Times New Roman" w:hAnsi="Times New Roman" w:cs="Times New Roman"/>
          <w:sz w:val="24"/>
        </w:rPr>
        <w:t>表面硬度应符合</w:t>
      </w:r>
      <w:r>
        <w:rPr>
          <w:rFonts w:ascii="Times New Roman" w:hAnsi="Times New Roman" w:cs="Times New Roman"/>
          <w:sz w:val="24"/>
        </w:rPr>
        <w:t>5.2.5</w:t>
      </w:r>
      <w:r>
        <w:rPr>
          <w:rFonts w:hint="eastAsia" w:ascii="Times New Roman" w:hAnsi="Times New Roman" w:cs="Times New Roman"/>
          <w:sz w:val="24"/>
        </w:rPr>
        <w:t>规定。</w:t>
      </w:r>
    </w:p>
    <w:p w14:paraId="1B8695B8">
      <w:pPr>
        <w:spacing w:line="312"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ab/>
      </w:r>
      <w:r>
        <w:rPr>
          <w:rFonts w:hint="eastAsia" w:ascii="Times New Roman" w:hAnsi="Times New Roman" w:cs="Times New Roman"/>
          <w:color w:val="000000" w:themeColor="text1"/>
          <w:sz w:val="24"/>
          <w14:textFill>
            <w14:solidFill>
              <w14:schemeClr w14:val="tx1"/>
            </w14:solidFill>
          </w14:textFill>
        </w:rPr>
        <w:t>检验方法：</w:t>
      </w:r>
      <w:r>
        <w:rPr>
          <w:rFonts w:hint="eastAsia" w:ascii="Times New Roman" w:hAnsi="Times New Roman" w:cs="Times New Roman"/>
          <w:sz w:val="24"/>
        </w:rPr>
        <w:t>《渗透型液体硬化剂》</w:t>
      </w:r>
      <w:r>
        <w:rPr>
          <w:rFonts w:ascii="Times New Roman" w:hAnsi="Times New Roman" w:cs="Times New Roman"/>
          <w:sz w:val="24"/>
        </w:rPr>
        <w:t>JC/T 2158</w:t>
      </w:r>
      <w:r>
        <w:rPr>
          <w:rFonts w:hint="eastAsia" w:ascii="Times New Roman" w:hAnsi="Times New Roman" w:cs="Times New Roman"/>
          <w:sz w:val="24"/>
        </w:rPr>
        <w:t>。</w:t>
      </w:r>
    </w:p>
    <w:p w14:paraId="0586DA6B">
      <w:pPr>
        <w:snapToGrid w:val="0"/>
        <w:spacing w:before="156" w:beforeLines="50" w:after="156" w:afterLines="50" w:line="312" w:lineRule="auto"/>
        <w:jc w:val="center"/>
        <w:outlineLvl w:val="1"/>
        <w:rPr>
          <w:rFonts w:ascii="仿宋" w:hAnsi="仿宋" w:eastAsia="仿宋" w:cs="Times New Roman"/>
          <w:b/>
          <w:iCs/>
          <w:color w:val="000000" w:themeColor="text1"/>
          <w:kern w:val="0"/>
          <w:sz w:val="24"/>
          <w:lang w:val="zh-CN"/>
          <w14:textFill>
            <w14:solidFill>
              <w14:schemeClr w14:val="tx1"/>
            </w14:solidFill>
          </w14:textFill>
        </w:rPr>
      </w:pPr>
      <w:bookmarkStart w:id="125" w:name="_Toc99353185"/>
      <w:bookmarkStart w:id="126" w:name="_Toc3053"/>
      <w:r>
        <w:rPr>
          <w:rFonts w:ascii="Times New Roman" w:hAnsi="Times New Roman" w:eastAsia="黑体" w:cs="Times New Roman"/>
          <w:iCs/>
          <w:color w:val="000000" w:themeColor="text1"/>
          <w:kern w:val="0"/>
          <w:sz w:val="28"/>
          <w14:textFill>
            <w14:solidFill>
              <w14:schemeClr w14:val="tx1"/>
            </w14:solidFill>
          </w14:textFill>
        </w:rPr>
        <w:t>7.4　</w:t>
      </w:r>
      <w:r>
        <w:rPr>
          <w:rFonts w:hint="eastAsia" w:ascii="Times New Roman" w:hAnsi="Times New Roman" w:eastAsia="黑体" w:cs="Times New Roman"/>
          <w:iCs/>
          <w:color w:val="000000" w:themeColor="text1"/>
          <w:kern w:val="0"/>
          <w:sz w:val="28"/>
          <w14:textFill>
            <w14:solidFill>
              <w14:schemeClr w14:val="tx1"/>
            </w14:solidFill>
          </w14:textFill>
        </w:rPr>
        <w:t>一般项目</w:t>
      </w:r>
      <w:bookmarkEnd w:id="125"/>
      <w:bookmarkEnd w:id="126"/>
    </w:p>
    <w:p w14:paraId="6CA26E73">
      <w:pPr>
        <w:spacing w:line="312" w:lineRule="auto"/>
        <w:rPr>
          <w:rFonts w:ascii="Times New Roman" w:hAnsi="Times New Roman" w:cs="Times New Roman"/>
          <w:kern w:val="0"/>
          <w:sz w:val="24"/>
        </w:rPr>
      </w:pPr>
      <w:r>
        <w:rPr>
          <w:rFonts w:ascii="Times New Roman" w:hAnsi="Times New Roman" w:cs="Times New Roman"/>
          <w:b/>
          <w:color w:val="000000" w:themeColor="text1"/>
          <w:sz w:val="24"/>
          <w14:textFill>
            <w14:solidFill>
              <w14:schemeClr w14:val="tx1"/>
            </w14:solidFill>
          </w14:textFill>
        </w:rPr>
        <w:t>7.4.1</w:t>
      </w:r>
      <w:r>
        <w:rPr>
          <w:rFonts w:hint="eastAsia" w:ascii="Times New Roman" w:hAnsi="Times New Roman" w:cs="Times New Roman"/>
          <w:b/>
          <w:color w:val="000000" w:themeColor="text1"/>
          <w:sz w:val="24"/>
          <w:lang w:val="en-US" w:eastAsia="zh-CN"/>
          <w14:textFill>
            <w14:solidFill>
              <w14:schemeClr w14:val="tx1"/>
            </w14:solidFill>
          </w14:textFill>
        </w:rPr>
        <w:t xml:space="preserve"> </w:t>
      </w:r>
      <w:r>
        <w:rPr>
          <w:rFonts w:hint="eastAsia" w:ascii="Times New Roman" w:hAnsi="Times New Roman" w:cs="Times New Roman"/>
          <w:b w:val="0"/>
          <w:bCs/>
          <w:color w:val="000000" w:themeColor="text1"/>
          <w:sz w:val="24"/>
          <w:lang w:val="en-US" w:eastAsia="zh-CN"/>
          <w14:textFill>
            <w14:solidFill>
              <w14:schemeClr w14:val="tx1"/>
            </w14:solidFill>
          </w14:textFill>
        </w:rPr>
        <w:t>耐磨地坪的</w:t>
      </w:r>
      <w:r>
        <w:rPr>
          <w:rFonts w:hint="eastAsia" w:ascii="Times New Roman" w:hAnsi="Times New Roman" w:cs="Times New Roman"/>
          <w:kern w:val="0"/>
          <w:sz w:val="24"/>
        </w:rPr>
        <w:t>表面颜色应均匀，无返碱、贯穿裂纹、脱皮、麻面等缺陷</w:t>
      </w:r>
      <w:r>
        <w:rPr>
          <w:rFonts w:ascii="Times New Roman" w:hAnsi="Times New Roman" w:cs="Times New Roman"/>
          <w:kern w:val="0"/>
          <w:sz w:val="24"/>
        </w:rPr>
        <w:t>。</w:t>
      </w:r>
    </w:p>
    <w:p w14:paraId="18FCA9CE">
      <w:pPr>
        <w:spacing w:line="312"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ab/>
      </w:r>
      <w:r>
        <w:rPr>
          <w:rFonts w:hint="eastAsia" w:ascii="Times New Roman" w:hAnsi="Times New Roman" w:cs="Times New Roman"/>
          <w:color w:val="000000" w:themeColor="text1"/>
          <w:sz w:val="24"/>
          <w14:textFill>
            <w14:solidFill>
              <w14:schemeClr w14:val="tx1"/>
            </w14:solidFill>
          </w14:textFill>
        </w:rPr>
        <w:t>检验方法：观察检查</w:t>
      </w:r>
    </w:p>
    <w:p w14:paraId="6FE81595">
      <w:pPr>
        <w:spacing w:line="312" w:lineRule="auto"/>
        <w:rPr>
          <w:rFonts w:ascii="Times New Roman" w:hAnsi="Times New Roman" w:cs="Times New Roman"/>
          <w:sz w:val="20"/>
          <w:szCs w:val="20"/>
        </w:rPr>
      </w:pPr>
      <w:r>
        <w:rPr>
          <w:rFonts w:ascii="Times New Roman" w:hAnsi="Times New Roman" w:cs="Times New Roman"/>
          <w:b/>
          <w:color w:val="000000" w:themeColor="text1"/>
          <w:sz w:val="24"/>
          <w14:textFill>
            <w14:solidFill>
              <w14:schemeClr w14:val="tx1"/>
            </w14:solidFill>
          </w14:textFill>
        </w:rPr>
        <w:t>7.4.2</w:t>
      </w:r>
      <w:r>
        <w:rPr>
          <w:rFonts w:ascii="Times New Roman" w:hAnsi="Times New Roman" w:cs="Times New Roman"/>
          <w:sz w:val="20"/>
          <w:szCs w:val="20"/>
        </w:rPr>
        <w:t xml:space="preserve"> </w:t>
      </w:r>
      <w:bookmarkStart w:id="127" w:name="OLE_LINK56"/>
      <w:bookmarkStart w:id="128" w:name="OLE_LINK55"/>
      <w:bookmarkStart w:id="129" w:name="OLE_LINK54"/>
      <w:r>
        <w:rPr>
          <w:rFonts w:hint="eastAsia" w:ascii="Times New Roman" w:hAnsi="Times New Roman" w:cs="Times New Roman"/>
          <w:b w:val="0"/>
          <w:bCs/>
          <w:color w:val="000000" w:themeColor="text1"/>
          <w:sz w:val="24"/>
          <w:lang w:val="en-US" w:eastAsia="zh-CN"/>
          <w14:textFill>
            <w14:solidFill>
              <w14:schemeClr w14:val="tx1"/>
            </w14:solidFill>
          </w14:textFill>
        </w:rPr>
        <w:t>耐磨地坪的</w:t>
      </w:r>
      <w:r>
        <w:rPr>
          <w:rFonts w:hint="eastAsia" w:ascii="Times New Roman" w:hAnsi="Times New Roman" w:cs="Times New Roman"/>
          <w:kern w:val="0"/>
          <w:sz w:val="24"/>
        </w:rPr>
        <w:t>面层与基层牢固结合</w:t>
      </w:r>
      <w:bookmarkEnd w:id="127"/>
      <w:bookmarkEnd w:id="128"/>
      <w:bookmarkEnd w:id="129"/>
      <w:r>
        <w:rPr>
          <w:rFonts w:hint="eastAsia" w:ascii="Times New Roman" w:hAnsi="Times New Roman" w:cs="Times New Roman"/>
          <w:kern w:val="0"/>
          <w:sz w:val="24"/>
        </w:rPr>
        <w:t>，无空隙。</w:t>
      </w:r>
    </w:p>
    <w:p w14:paraId="0A7D7A7F">
      <w:pPr>
        <w:spacing w:line="312" w:lineRule="auto"/>
        <w:ind w:firstLine="420"/>
        <w:rPr>
          <w:rFonts w:hint="eastAsia"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检验方法：用小锤轻击检查。</w:t>
      </w:r>
    </w:p>
    <w:p w14:paraId="518DC62A">
      <w:pPr>
        <w:spacing w:line="312" w:lineRule="auto"/>
        <w:rPr>
          <w:rFonts w:ascii="Times New Roman" w:hAnsi="Times New Roman" w:cs="Times New Roman"/>
          <w:sz w:val="20"/>
          <w:szCs w:val="20"/>
        </w:rPr>
      </w:pPr>
      <w:r>
        <w:rPr>
          <w:rFonts w:ascii="Times New Roman" w:hAnsi="Times New Roman" w:cs="Times New Roman"/>
          <w:b/>
          <w:color w:val="000000" w:themeColor="text1"/>
          <w:sz w:val="24"/>
          <w14:textFill>
            <w14:solidFill>
              <w14:schemeClr w14:val="tx1"/>
            </w14:solidFill>
          </w14:textFill>
        </w:rPr>
        <w:t>7.4.</w:t>
      </w:r>
      <w:r>
        <w:rPr>
          <w:rFonts w:hint="eastAsia" w:ascii="Times New Roman" w:hAnsi="Times New Roman" w:cs="Times New Roman"/>
          <w:b/>
          <w:color w:val="000000" w:themeColor="text1"/>
          <w:sz w:val="24"/>
          <w:lang w:val="en-US" w:eastAsia="zh-CN"/>
          <w14:textFill>
            <w14:solidFill>
              <w14:schemeClr w14:val="tx1"/>
            </w14:solidFill>
          </w14:textFill>
        </w:rPr>
        <w:t>3</w:t>
      </w:r>
      <w:r>
        <w:rPr>
          <w:rFonts w:ascii="Times New Roman" w:hAnsi="Times New Roman" w:cs="Times New Roman"/>
          <w:sz w:val="20"/>
          <w:szCs w:val="20"/>
        </w:rPr>
        <w:t xml:space="preserve"> </w:t>
      </w:r>
      <w:r>
        <w:rPr>
          <w:rFonts w:hint="eastAsia" w:ascii="Times New Roman" w:hAnsi="Times New Roman" w:cs="Times New Roman"/>
          <w:b w:val="0"/>
          <w:bCs/>
          <w:color w:val="000000" w:themeColor="text1"/>
          <w:sz w:val="24"/>
          <w:lang w:val="en-US" w:eastAsia="zh-CN"/>
          <w14:textFill>
            <w14:solidFill>
              <w14:schemeClr w14:val="tx1"/>
            </w14:solidFill>
          </w14:textFill>
        </w:rPr>
        <w:t>耐磨地坪的</w:t>
      </w:r>
      <w:r>
        <w:rPr>
          <w:rFonts w:hint="eastAsia" w:ascii="Times New Roman" w:hAnsi="Times New Roman" w:cs="Times New Roman"/>
          <w:sz w:val="24"/>
        </w:rPr>
        <w:t>平整度应符合</w:t>
      </w:r>
      <w:r>
        <w:rPr>
          <w:rFonts w:ascii="Times New Roman" w:hAnsi="Times New Roman" w:cs="Times New Roman"/>
          <w:sz w:val="24"/>
        </w:rPr>
        <w:t>5.1.3</w:t>
      </w:r>
      <w:r>
        <w:rPr>
          <w:rFonts w:hint="eastAsia" w:ascii="Times New Roman" w:hAnsi="Times New Roman" w:cs="Times New Roman"/>
          <w:sz w:val="24"/>
        </w:rPr>
        <w:t>规定。</w:t>
      </w:r>
    </w:p>
    <w:p w14:paraId="2359AC56">
      <w:pPr>
        <w:spacing w:line="312"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ab/>
      </w:r>
      <w:r>
        <w:rPr>
          <w:rFonts w:hint="eastAsia" w:ascii="Times New Roman" w:hAnsi="Times New Roman" w:cs="Times New Roman"/>
          <w:color w:val="000000" w:themeColor="text1"/>
          <w:sz w:val="24"/>
          <w14:textFill>
            <w14:solidFill>
              <w14:schemeClr w14:val="tx1"/>
            </w14:solidFill>
          </w14:textFill>
        </w:rPr>
        <w:t>检验方法：用2m靠尺和塞尺检查</w:t>
      </w:r>
      <w:r>
        <w:rPr>
          <w:rFonts w:hint="eastAsia" w:ascii="Times New Roman" w:hAnsi="Times New Roman" w:cs="Times New Roman"/>
          <w:color w:val="000000" w:themeColor="text1"/>
          <w:sz w:val="24"/>
          <w:highlight w:val="none"/>
          <w14:textFill>
            <w14:solidFill>
              <w14:schemeClr w14:val="tx1"/>
            </w14:solidFill>
          </w14:textFill>
        </w:rPr>
        <w:t>。</w:t>
      </w:r>
      <w:r>
        <w:rPr>
          <w:rFonts w:hint="eastAsia" w:ascii="Times New Roman" w:hAnsi="Times New Roman" w:cs="Times New Roman"/>
          <w:color w:val="000000" w:themeColor="text1"/>
          <w:sz w:val="24"/>
          <w:highlight w:val="none"/>
          <w:lang w:val="en-US" w:eastAsia="zh-CN"/>
          <w14:textFill>
            <w14:solidFill>
              <w14:schemeClr w14:val="tx1"/>
            </w14:solidFill>
          </w14:textFill>
        </w:rPr>
        <w:t>用于物流仓储的耐磨硬化地坪</w:t>
      </w:r>
      <w:r>
        <w:rPr>
          <w:rFonts w:hint="eastAsia" w:ascii="Times New Roman" w:hAnsi="Times New Roman" w:cs="Times New Roman"/>
          <w:color w:val="000000" w:themeColor="text1"/>
          <w:sz w:val="24"/>
          <w:highlight w:val="none"/>
          <w14:textFill>
            <w14:solidFill>
              <w14:schemeClr w14:val="tx1"/>
            </w14:solidFill>
          </w14:textFill>
        </w:rPr>
        <w:t>平</w:t>
      </w:r>
      <w:r>
        <w:rPr>
          <w:rFonts w:hint="eastAsia" w:ascii="Times New Roman" w:hAnsi="Times New Roman" w:cs="Times New Roman"/>
          <w:color w:val="000000" w:themeColor="text1"/>
          <w:sz w:val="24"/>
          <w14:textFill>
            <w14:solidFill>
              <w14:schemeClr w14:val="tx1"/>
            </w14:solidFill>
          </w14:textFill>
        </w:rPr>
        <w:t>整度按T/CECS 1253-2023《物流仓储地坪工程技术规程》进行。</w:t>
      </w:r>
    </w:p>
    <w:p w14:paraId="3A764603">
      <w:pPr>
        <w:spacing w:line="312" w:lineRule="auto"/>
        <w:rPr>
          <w:rFonts w:ascii="Times New Roman" w:hAnsi="Times New Roman" w:cs="Times New Roman"/>
          <w:sz w:val="20"/>
          <w:szCs w:val="20"/>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sz w:val="20"/>
          <w:szCs w:val="20"/>
        </w:rPr>
        <w:t xml:space="preserve"> </w:t>
      </w:r>
      <w:r>
        <w:rPr>
          <w:rFonts w:hint="eastAsia" w:ascii="Times New Roman" w:hAnsi="Times New Roman" w:cs="Times New Roman"/>
          <w:b w:val="0"/>
          <w:bCs/>
          <w:color w:val="000000" w:themeColor="text1"/>
          <w:sz w:val="24"/>
          <w:lang w:val="en-US" w:eastAsia="zh-CN"/>
          <w14:textFill>
            <w14:solidFill>
              <w14:schemeClr w14:val="tx1"/>
            </w14:solidFill>
          </w14:textFill>
        </w:rPr>
        <w:t>耐磨地坪的</w:t>
      </w:r>
      <w:r>
        <w:rPr>
          <w:rFonts w:hint="eastAsia" w:ascii="Times New Roman" w:hAnsi="Times New Roman" w:cs="Times New Roman"/>
          <w:sz w:val="24"/>
        </w:rPr>
        <w:t>防滑性应符合</w:t>
      </w:r>
      <w:r>
        <w:rPr>
          <w:rFonts w:ascii="Times New Roman" w:hAnsi="Times New Roman" w:cs="Times New Roman"/>
          <w:bCs/>
          <w:sz w:val="24"/>
        </w:rPr>
        <w:t>JGJ/T 331</w:t>
      </w:r>
      <w:r>
        <w:rPr>
          <w:rFonts w:hint="eastAsia" w:ascii="Times New Roman" w:hAnsi="Times New Roman" w:cs="Times New Roman"/>
          <w:sz w:val="24"/>
        </w:rPr>
        <w:t>规定。</w:t>
      </w:r>
    </w:p>
    <w:p w14:paraId="44A295D4">
      <w:pPr>
        <w:spacing w:line="312" w:lineRule="auto"/>
        <w:rPr>
          <w:rFonts w:hint="eastAsia" w:ascii="Times New Roman" w:hAnsi="Times New Roman" w:cs="Times New Roman" w:eastAsiaTheme="minorEastAsia"/>
          <w:bCs/>
          <w:sz w:val="24"/>
          <w:lang w:eastAsia="zh-CN"/>
        </w:rPr>
      </w:pPr>
      <w:r>
        <w:rPr>
          <w:rFonts w:ascii="Times New Roman" w:hAnsi="Times New Roman" w:cs="Times New Roman"/>
          <w:b/>
          <w:color w:val="000000" w:themeColor="text1"/>
          <w:sz w:val="24"/>
          <w14:textFill>
            <w14:solidFill>
              <w14:schemeClr w14:val="tx1"/>
            </w14:solidFill>
          </w14:textFill>
        </w:rPr>
        <w:tab/>
      </w:r>
      <w:r>
        <w:rPr>
          <w:rFonts w:hint="eastAsia" w:ascii="Times New Roman" w:hAnsi="Times New Roman" w:cs="Times New Roman"/>
          <w:color w:val="000000" w:themeColor="text1"/>
          <w:sz w:val="24"/>
          <w14:textFill>
            <w14:solidFill>
              <w14:schemeClr w14:val="tx1"/>
            </w14:solidFill>
          </w14:textFill>
        </w:rPr>
        <w:t>检验方法：</w:t>
      </w:r>
      <w:r>
        <w:rPr>
          <w:rFonts w:ascii="Times New Roman" w:hAnsi="Times New Roman" w:cs="Times New Roman"/>
          <w:bCs/>
          <w:sz w:val="24"/>
        </w:rPr>
        <w:t>《建筑地面工程防滑技术规程》</w:t>
      </w:r>
      <w:bookmarkStart w:id="130" w:name="OLE_LINK59"/>
      <w:bookmarkStart w:id="131" w:name="OLE_LINK61"/>
      <w:r>
        <w:rPr>
          <w:rFonts w:ascii="Times New Roman" w:hAnsi="Times New Roman" w:cs="Times New Roman"/>
          <w:bCs/>
          <w:sz w:val="24"/>
        </w:rPr>
        <w:t>JGJ/T 331</w:t>
      </w:r>
      <w:bookmarkEnd w:id="130"/>
      <w:bookmarkEnd w:id="131"/>
      <w:r>
        <w:rPr>
          <w:rFonts w:hint="eastAsia" w:ascii="Times New Roman" w:hAnsi="Times New Roman" w:cs="Times New Roman"/>
          <w:bCs/>
          <w:sz w:val="24"/>
          <w:lang w:eastAsia="zh-CN"/>
        </w:rPr>
        <w:t>。</w:t>
      </w:r>
    </w:p>
    <w:p w14:paraId="1994EF59">
      <w:pPr>
        <w:spacing w:line="312" w:lineRule="auto"/>
        <w:rPr>
          <w:rFonts w:ascii="Times New Roman" w:hAnsi="Times New Roman" w:cs="Times New Roman"/>
          <w:sz w:val="20"/>
          <w:szCs w:val="20"/>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b/>
          <w:color w:val="000000" w:themeColor="text1"/>
          <w:sz w:val="24"/>
          <w14:textFill>
            <w14:solidFill>
              <w14:schemeClr w14:val="tx1"/>
            </w14:solidFill>
          </w14:textFill>
        </w:rPr>
        <w:t>.5</w:t>
      </w:r>
      <w:r>
        <w:rPr>
          <w:rFonts w:hint="eastAsia" w:ascii="Times New Roman" w:hAnsi="Times New Roman" w:cs="Times New Roman"/>
          <w:sz w:val="24"/>
          <w:lang w:val="en-US" w:eastAsia="zh-CN"/>
        </w:rPr>
        <w:t xml:space="preserve"> </w:t>
      </w:r>
      <w:r>
        <w:rPr>
          <w:rFonts w:hint="eastAsia" w:ascii="Times New Roman" w:hAnsi="Times New Roman" w:cs="Times New Roman"/>
          <w:b w:val="0"/>
          <w:bCs/>
          <w:color w:val="000000" w:themeColor="text1"/>
          <w:sz w:val="24"/>
          <w:lang w:val="en-US" w:eastAsia="zh-CN"/>
          <w14:textFill>
            <w14:solidFill>
              <w14:schemeClr w14:val="tx1"/>
            </w14:solidFill>
          </w14:textFill>
        </w:rPr>
        <w:t>耐磨地坪的</w:t>
      </w:r>
      <w:r>
        <w:rPr>
          <w:rFonts w:hint="eastAsia" w:ascii="Times New Roman" w:hAnsi="Times New Roman" w:cs="Times New Roman"/>
          <w:sz w:val="24"/>
        </w:rPr>
        <w:t>耐磨</w:t>
      </w:r>
      <w:r>
        <w:rPr>
          <w:rFonts w:hint="eastAsia" w:ascii="Times New Roman" w:hAnsi="Times New Roman" w:cs="Times New Roman"/>
          <w:sz w:val="24"/>
          <w:lang w:val="en-US" w:eastAsia="zh-CN"/>
        </w:rPr>
        <w:t>层</w:t>
      </w:r>
      <w:r>
        <w:rPr>
          <w:rFonts w:hint="eastAsia" w:ascii="Times New Roman" w:hAnsi="Times New Roman" w:cs="Times New Roman"/>
          <w:sz w:val="24"/>
        </w:rPr>
        <w:t>厚度应符合相关设计要求。</w:t>
      </w:r>
    </w:p>
    <w:p w14:paraId="68CABA2B">
      <w:pPr>
        <w:spacing w:line="312" w:lineRule="auto"/>
        <w:rPr>
          <w:rFonts w:hint="eastAsia"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ab/>
      </w:r>
      <w:r>
        <w:rPr>
          <w:rFonts w:hint="eastAsia" w:ascii="Times New Roman" w:hAnsi="Times New Roman" w:cs="Times New Roman"/>
          <w:color w:val="000000" w:themeColor="text1"/>
          <w:sz w:val="24"/>
          <w14:textFill>
            <w14:solidFill>
              <w14:schemeClr w14:val="tx1"/>
            </w14:solidFill>
          </w14:textFill>
        </w:rPr>
        <w:t>检验方法：</w:t>
      </w:r>
      <w:r>
        <w:rPr>
          <w:rFonts w:hint="eastAsia" w:ascii="Times New Roman" w:hAnsi="Times New Roman" w:cs="Times New Roman"/>
          <w:color w:val="000000" w:themeColor="text1"/>
          <w:sz w:val="24"/>
          <w:lang w:val="en-US" w:eastAsia="zh-CN"/>
          <w14:textFill>
            <w14:solidFill>
              <w14:schemeClr w14:val="tx1"/>
            </w14:solidFill>
          </w14:textFill>
        </w:rPr>
        <w:t>用钢直尺测量</w:t>
      </w:r>
      <w:r>
        <w:rPr>
          <w:rFonts w:hint="eastAsia" w:ascii="Times New Roman" w:hAnsi="Times New Roman" w:cs="Times New Roman"/>
          <w:color w:val="000000" w:themeColor="text1"/>
          <w:sz w:val="24"/>
          <w14:textFill>
            <w14:solidFill>
              <w14:schemeClr w14:val="tx1"/>
            </w14:solidFill>
          </w14:textFill>
        </w:rPr>
        <w:t>。</w:t>
      </w:r>
    </w:p>
    <w:p w14:paraId="64260368">
      <w:pPr>
        <w:spacing w:line="312" w:lineRule="auto"/>
        <w:rPr>
          <w:rFonts w:ascii="Times New Roman" w:hAnsi="Times New Roman" w:cs="Times New Roman"/>
          <w:bCs/>
          <w:sz w:val="24"/>
        </w:rPr>
      </w:pPr>
    </w:p>
    <w:p w14:paraId="7A2F825A">
      <w:pPr>
        <w:spacing w:line="312" w:lineRule="auto"/>
        <w:ind w:firstLine="420"/>
        <w:rPr>
          <w:rFonts w:hint="eastAsia" w:ascii="Times New Roman" w:hAnsi="Times New Roman" w:cs="Times New Roman"/>
          <w:color w:val="000000" w:themeColor="text1"/>
          <w:sz w:val="24"/>
          <w14:textFill>
            <w14:solidFill>
              <w14:schemeClr w14:val="tx1"/>
            </w14:solidFill>
          </w14:textFill>
        </w:rPr>
      </w:pPr>
    </w:p>
    <w:bookmarkEnd w:id="22"/>
    <w:p w14:paraId="60C08345">
      <w:pPr>
        <w:widowControl/>
        <w:jc w:val="left"/>
        <w:rPr>
          <w:rFonts w:ascii="Times New Roman" w:hAnsi="Times New Roman" w:cs="Times New Roman"/>
          <w:b/>
          <w:color w:val="000000" w:themeColor="text1"/>
          <w:szCs w:val="21"/>
          <w14:textFill>
            <w14:solidFill>
              <w14:schemeClr w14:val="tx1"/>
            </w14:solidFill>
          </w14:textFill>
        </w:rPr>
      </w:pPr>
      <w:r>
        <w:rPr>
          <w:rFonts w:ascii="Times New Roman" w:hAnsi="Times New Roman" w:cs="Times New Roman"/>
          <w:b/>
          <w:color w:val="000000" w:themeColor="text1"/>
          <w:szCs w:val="21"/>
          <w14:textFill>
            <w14:solidFill>
              <w14:schemeClr w14:val="tx1"/>
            </w14:solidFill>
          </w14:textFill>
        </w:rPr>
        <w:br w:type="page"/>
      </w:r>
    </w:p>
    <w:p w14:paraId="2061CCF6">
      <w:pPr>
        <w:pStyle w:val="2"/>
        <w:keepNext w:val="0"/>
        <w:keepLines w:val="0"/>
        <w:snapToGrid w:val="0"/>
        <w:spacing w:before="312" w:beforeLines="100" w:after="312" w:afterLines="100" w:line="360" w:lineRule="auto"/>
        <w:jc w:val="center"/>
        <w:rPr>
          <w:rFonts w:hint="eastAsia" w:ascii="Times New Roman" w:hAnsi="Times New Roman" w:eastAsia="宋体" w:cs="Times New Roman"/>
          <w:b/>
          <w:color w:val="000000" w:themeColor="text1"/>
          <w:sz w:val="32"/>
          <w:szCs w:val="28"/>
          <w:lang w:val="zh-CN"/>
          <w14:textFill>
            <w14:solidFill>
              <w14:schemeClr w14:val="tx1"/>
            </w14:solidFill>
          </w14:textFill>
        </w:rPr>
      </w:pPr>
      <w:bookmarkStart w:id="132" w:name="_Toc28652"/>
      <w:bookmarkStart w:id="133" w:name="_Toc99353186"/>
      <w:r>
        <w:rPr>
          <w:rFonts w:hint="eastAsia" w:ascii="Times New Roman" w:hAnsi="Times New Roman" w:eastAsia="宋体" w:cs="Times New Roman"/>
          <w:b/>
          <w:color w:val="000000" w:themeColor="text1"/>
          <w:sz w:val="32"/>
          <w:szCs w:val="28"/>
          <w:lang w:val="zh-CN"/>
          <w14:textFill>
            <w14:solidFill>
              <w14:schemeClr w14:val="tx1"/>
            </w14:solidFill>
          </w14:textFill>
        </w:rPr>
        <w:t>附录A 渗透型液体硬化剂锂元素含量测试方法</w:t>
      </w:r>
      <w:bookmarkEnd w:id="132"/>
    </w:p>
    <w:p w14:paraId="6D65A1D9">
      <w:pPr>
        <w:spacing w:line="360" w:lineRule="auto"/>
        <w:rPr>
          <w:rFonts w:hint="eastAsia" w:ascii="Times New Roman" w:hAnsi="Times New Roman" w:cs="Times New Roman"/>
          <w:sz w:val="24"/>
          <w:lang w:val="en-US" w:eastAsia="zh-CN"/>
        </w:rPr>
      </w:pPr>
      <w:r>
        <w:rPr>
          <w:rFonts w:hint="eastAsia" w:ascii="Times New Roman" w:hAnsi="Times New Roman" w:cs="Times New Roman"/>
          <w:b/>
          <w:color w:val="000000" w:themeColor="text1"/>
          <w:sz w:val="24"/>
          <w:lang w:val="en-US" w:eastAsia="zh-CN"/>
          <w14:textFill>
            <w14:solidFill>
              <w14:schemeClr w14:val="tx1"/>
            </w14:solidFill>
          </w14:textFill>
        </w:rPr>
        <w:t>A</w:t>
      </w:r>
      <w:r>
        <w:rPr>
          <w:rFonts w:ascii="Times New Roman" w:hAnsi="Times New Roman" w:cs="Times New Roman"/>
          <w:b/>
          <w:color w:val="000000" w:themeColor="text1"/>
          <w:sz w:val="24"/>
          <w14:textFill>
            <w14:solidFill>
              <w14:schemeClr w14:val="tx1"/>
            </w14:solidFill>
          </w14:textFill>
        </w:rPr>
        <w:t>.0.1</w:t>
      </w:r>
      <w:r>
        <w:rPr>
          <w:rFonts w:hint="eastAsia" w:ascii="Times New Roman" w:hAnsi="Times New Roman" w:cs="Times New Roman"/>
          <w:b/>
          <w:color w:val="000000" w:themeColor="text1"/>
          <w:sz w:val="24"/>
          <w:lang w:val="en-US" w:eastAsia="zh-CN"/>
          <w14:textFill>
            <w14:solidFill>
              <w14:schemeClr w14:val="tx1"/>
            </w14:solidFill>
          </w14:textFill>
        </w:rPr>
        <w:t xml:space="preserve"> </w:t>
      </w:r>
      <w:r>
        <w:rPr>
          <w:rFonts w:hint="eastAsia" w:ascii="Times New Roman" w:hAnsi="Times New Roman" w:cs="Times New Roman"/>
          <w:sz w:val="24"/>
          <w:lang w:val="en-US" w:eastAsia="zh-CN"/>
        </w:rPr>
        <w:t>检测设备和材料应符合下列规定：</w:t>
      </w:r>
    </w:p>
    <w:p w14:paraId="13FC4122">
      <w:pPr>
        <w:pStyle w:val="43"/>
        <w:keepNext w:val="0"/>
        <w:keepLines w:val="0"/>
        <w:pageBreakBefore w:val="0"/>
        <w:widowControl/>
        <w:numPr>
          <w:ilvl w:val="1"/>
          <w:numId w:val="0"/>
        </w:numPr>
        <w:kinsoku/>
        <w:wordWrap/>
        <w:overflowPunct/>
        <w:topLinePunct w:val="0"/>
        <w:autoSpaceDE/>
        <w:autoSpaceDN/>
        <w:bidi w:val="0"/>
        <w:adjustRightInd/>
        <w:snapToGrid/>
        <w:spacing w:beforeLines="0" w:afterLines="0" w:line="240" w:lineRule="auto"/>
        <w:ind w:left="420" w:leftChars="0"/>
        <w:textAlignment w:val="auto"/>
        <w:outlineLvl w:val="9"/>
        <w:rPr>
          <w:rFonts w:hint="eastAsia" w:ascii="宋体" w:hAnsi="宋体" w:eastAsia="宋体" w:cs="宋体"/>
          <w:lang w:eastAsia="zh-CN"/>
        </w:rPr>
      </w:pPr>
      <w:bookmarkStart w:id="134" w:name="_Toc14459"/>
      <w:bookmarkStart w:id="135" w:name="_Toc19553"/>
      <w:bookmarkStart w:id="136" w:name="_Toc12643"/>
      <w:bookmarkStart w:id="137" w:name="_Hlk83199051"/>
      <w:r>
        <w:rPr>
          <w:rFonts w:hint="eastAsia" w:ascii="宋体" w:hAnsi="宋体" w:eastAsia="宋体" w:cs="宋体"/>
          <w:lang w:val="en-US" w:eastAsia="zh-CN"/>
        </w:rPr>
        <w:t xml:space="preserve">1 </w:t>
      </w:r>
      <w:r>
        <w:rPr>
          <w:rFonts w:hint="eastAsia" w:ascii="宋体" w:hAnsi="宋体" w:eastAsia="宋体" w:cs="宋体"/>
        </w:rPr>
        <w:t>电子天平量程不小于100 g，分度值不大于0.0001g</w:t>
      </w:r>
      <w:bookmarkEnd w:id="134"/>
      <w:bookmarkEnd w:id="135"/>
      <w:bookmarkEnd w:id="136"/>
      <w:r>
        <w:rPr>
          <w:rFonts w:hint="eastAsia" w:ascii="宋体" w:hAnsi="宋体" w:eastAsia="宋体" w:cs="宋体"/>
          <w:lang w:eastAsia="zh-CN"/>
        </w:rPr>
        <w:t>；</w:t>
      </w:r>
    </w:p>
    <w:p w14:paraId="588A47D7">
      <w:pPr>
        <w:pStyle w:val="43"/>
        <w:keepNext w:val="0"/>
        <w:keepLines w:val="0"/>
        <w:pageBreakBefore w:val="0"/>
        <w:widowControl/>
        <w:numPr>
          <w:ilvl w:val="1"/>
          <w:numId w:val="0"/>
        </w:numPr>
        <w:kinsoku/>
        <w:wordWrap/>
        <w:overflowPunct/>
        <w:topLinePunct w:val="0"/>
        <w:autoSpaceDE/>
        <w:autoSpaceDN/>
        <w:bidi w:val="0"/>
        <w:adjustRightInd/>
        <w:snapToGrid/>
        <w:spacing w:beforeLines="0" w:afterLines="0" w:line="240" w:lineRule="auto"/>
        <w:ind w:left="420" w:leftChars="0"/>
        <w:textAlignment w:val="auto"/>
        <w:outlineLvl w:val="9"/>
        <w:rPr>
          <w:rFonts w:hint="eastAsia" w:ascii="宋体" w:hAnsi="宋体" w:eastAsia="宋体" w:cs="宋体"/>
          <w:lang w:eastAsia="zh-CN"/>
        </w:rPr>
      </w:pPr>
      <w:bookmarkStart w:id="138" w:name="_Toc18749"/>
      <w:bookmarkStart w:id="139" w:name="_Toc26977"/>
      <w:bookmarkStart w:id="140" w:name="_Toc4620"/>
      <w:r>
        <w:rPr>
          <w:rFonts w:hint="eastAsia" w:ascii="宋体" w:hAnsi="宋体" w:eastAsia="宋体" w:cs="宋体"/>
          <w:lang w:val="en-US" w:eastAsia="zh-CN"/>
        </w:rPr>
        <w:t xml:space="preserve">2 </w:t>
      </w:r>
      <w:r>
        <w:rPr>
          <w:rFonts w:hint="eastAsia" w:ascii="宋体" w:hAnsi="宋体" w:eastAsia="宋体" w:cs="宋体"/>
        </w:rPr>
        <w:t>移液管：1 mL、5 mL、10 mL、25 mL、50 mL</w:t>
      </w:r>
      <w:bookmarkEnd w:id="138"/>
      <w:bookmarkEnd w:id="139"/>
      <w:bookmarkEnd w:id="140"/>
      <w:r>
        <w:rPr>
          <w:rFonts w:hint="eastAsia" w:ascii="宋体" w:hAnsi="宋体" w:eastAsia="宋体" w:cs="宋体"/>
          <w:lang w:eastAsia="zh-CN"/>
        </w:rPr>
        <w:t>；</w:t>
      </w:r>
    </w:p>
    <w:p w14:paraId="13778E30">
      <w:pPr>
        <w:pStyle w:val="43"/>
        <w:keepNext w:val="0"/>
        <w:keepLines w:val="0"/>
        <w:pageBreakBefore w:val="0"/>
        <w:widowControl/>
        <w:numPr>
          <w:ilvl w:val="1"/>
          <w:numId w:val="0"/>
        </w:numPr>
        <w:kinsoku/>
        <w:wordWrap/>
        <w:overflowPunct/>
        <w:topLinePunct w:val="0"/>
        <w:autoSpaceDE/>
        <w:autoSpaceDN/>
        <w:bidi w:val="0"/>
        <w:adjustRightInd/>
        <w:snapToGrid/>
        <w:spacing w:beforeLines="0" w:afterLines="0" w:line="240" w:lineRule="auto"/>
        <w:ind w:left="420" w:leftChars="0"/>
        <w:textAlignment w:val="auto"/>
        <w:outlineLvl w:val="9"/>
        <w:rPr>
          <w:rFonts w:hint="eastAsia"/>
        </w:rPr>
      </w:pPr>
      <w:bookmarkStart w:id="141" w:name="_Toc19201"/>
      <w:bookmarkStart w:id="142" w:name="_Toc30599"/>
      <w:bookmarkStart w:id="143" w:name="_Toc24285"/>
      <w:r>
        <w:rPr>
          <w:rFonts w:hint="eastAsia" w:ascii="宋体" w:hAnsi="宋体" w:eastAsia="宋体" w:cs="宋体"/>
          <w:lang w:val="en-US" w:eastAsia="zh-CN"/>
        </w:rPr>
        <w:t xml:space="preserve">3 </w:t>
      </w:r>
      <w:r>
        <w:rPr>
          <w:rFonts w:hint="eastAsia" w:ascii="宋体" w:hAnsi="宋体" w:eastAsia="宋体" w:cs="宋体"/>
        </w:rPr>
        <w:t>烧杯：250 mL、300 mL</w:t>
      </w:r>
      <w:r>
        <w:rPr>
          <w:rFonts w:hint="eastAsia" w:ascii="宋体" w:hAnsi="宋体" w:eastAsia="宋体" w:cs="宋体"/>
          <w:lang w:eastAsia="zh-CN"/>
        </w:rPr>
        <w:t>；</w:t>
      </w:r>
      <w:bookmarkEnd w:id="141"/>
      <w:bookmarkEnd w:id="142"/>
      <w:bookmarkEnd w:id="143"/>
    </w:p>
    <w:p w14:paraId="76829E24">
      <w:pPr>
        <w:pStyle w:val="43"/>
        <w:keepNext w:val="0"/>
        <w:keepLines w:val="0"/>
        <w:pageBreakBefore w:val="0"/>
        <w:widowControl/>
        <w:numPr>
          <w:ilvl w:val="1"/>
          <w:numId w:val="0"/>
        </w:numPr>
        <w:kinsoku/>
        <w:wordWrap/>
        <w:overflowPunct/>
        <w:topLinePunct w:val="0"/>
        <w:autoSpaceDE/>
        <w:autoSpaceDN/>
        <w:bidi w:val="0"/>
        <w:adjustRightInd/>
        <w:snapToGrid/>
        <w:spacing w:beforeLines="0" w:afterLines="0" w:line="240" w:lineRule="auto"/>
        <w:ind w:left="420" w:leftChars="0"/>
        <w:textAlignment w:val="auto"/>
        <w:outlineLvl w:val="9"/>
        <w:rPr>
          <w:rFonts w:hint="eastAsia" w:ascii="宋体" w:hAnsi="宋体" w:eastAsia="宋体" w:cs="宋体"/>
          <w:lang w:eastAsia="zh-CN"/>
        </w:rPr>
      </w:pPr>
      <w:bookmarkStart w:id="144" w:name="_Toc8761"/>
      <w:bookmarkStart w:id="145" w:name="_Toc22449"/>
      <w:bookmarkStart w:id="146" w:name="_Toc5599"/>
      <w:r>
        <w:rPr>
          <w:rFonts w:hint="eastAsia" w:ascii="宋体" w:hAnsi="宋体" w:eastAsia="宋体" w:cs="宋体"/>
          <w:lang w:val="en-US" w:eastAsia="zh-CN"/>
        </w:rPr>
        <w:t xml:space="preserve">4 </w:t>
      </w:r>
      <w:r>
        <w:rPr>
          <w:rFonts w:hint="eastAsia" w:ascii="宋体" w:hAnsi="宋体" w:eastAsia="宋体" w:cs="宋体"/>
        </w:rPr>
        <w:t>容量瓶：50 mL、100 mL、250 mL、500 mL、1000 mL</w:t>
      </w:r>
      <w:bookmarkEnd w:id="144"/>
      <w:bookmarkEnd w:id="145"/>
      <w:bookmarkEnd w:id="146"/>
      <w:r>
        <w:rPr>
          <w:rFonts w:hint="eastAsia" w:ascii="宋体" w:hAnsi="宋体" w:eastAsia="宋体" w:cs="宋体"/>
          <w:lang w:eastAsia="zh-CN"/>
        </w:rPr>
        <w:t>；</w:t>
      </w:r>
    </w:p>
    <w:p w14:paraId="3149C183">
      <w:pPr>
        <w:pStyle w:val="43"/>
        <w:keepNext w:val="0"/>
        <w:keepLines w:val="0"/>
        <w:pageBreakBefore w:val="0"/>
        <w:widowControl/>
        <w:numPr>
          <w:ilvl w:val="1"/>
          <w:numId w:val="0"/>
        </w:numPr>
        <w:kinsoku/>
        <w:wordWrap/>
        <w:overflowPunct/>
        <w:topLinePunct w:val="0"/>
        <w:autoSpaceDE/>
        <w:autoSpaceDN/>
        <w:bidi w:val="0"/>
        <w:adjustRightInd/>
        <w:snapToGrid/>
        <w:spacing w:beforeLines="0" w:afterLines="0" w:line="240" w:lineRule="auto"/>
        <w:ind w:left="420" w:leftChars="0"/>
        <w:textAlignment w:val="auto"/>
        <w:outlineLvl w:val="9"/>
        <w:rPr>
          <w:rFonts w:hint="eastAsia" w:ascii="宋体" w:hAnsi="宋体" w:eastAsia="宋体" w:cs="宋体"/>
          <w:lang w:eastAsia="zh-CN"/>
        </w:rPr>
      </w:pPr>
      <w:bookmarkStart w:id="147" w:name="_Toc19106"/>
      <w:bookmarkStart w:id="148" w:name="_Toc24299"/>
      <w:bookmarkStart w:id="149" w:name="_Toc30621"/>
      <w:r>
        <w:rPr>
          <w:rFonts w:hint="eastAsia" w:ascii="宋体" w:hAnsi="宋体" w:eastAsia="宋体" w:cs="宋体"/>
          <w:lang w:val="en-US" w:eastAsia="zh-CN"/>
        </w:rPr>
        <w:t xml:space="preserve">5 </w:t>
      </w:r>
      <w:r>
        <w:rPr>
          <w:rFonts w:hint="eastAsia" w:ascii="宋体" w:hAnsi="宋体" w:eastAsia="宋体" w:cs="宋体"/>
        </w:rPr>
        <w:t>坩埚：铂金坩埚，带盖，容量20 mL～50 mL</w:t>
      </w:r>
      <w:bookmarkEnd w:id="147"/>
      <w:bookmarkEnd w:id="148"/>
      <w:bookmarkEnd w:id="149"/>
      <w:r>
        <w:rPr>
          <w:rFonts w:hint="eastAsia" w:ascii="宋体" w:hAnsi="宋体" w:eastAsia="宋体" w:cs="宋体"/>
          <w:lang w:eastAsia="zh-CN"/>
        </w:rPr>
        <w:t>；</w:t>
      </w:r>
    </w:p>
    <w:p w14:paraId="18E48926">
      <w:pPr>
        <w:pStyle w:val="43"/>
        <w:keepNext w:val="0"/>
        <w:keepLines w:val="0"/>
        <w:pageBreakBefore w:val="0"/>
        <w:widowControl/>
        <w:numPr>
          <w:ilvl w:val="1"/>
          <w:numId w:val="0"/>
        </w:numPr>
        <w:kinsoku/>
        <w:wordWrap/>
        <w:overflowPunct/>
        <w:topLinePunct w:val="0"/>
        <w:autoSpaceDE/>
        <w:autoSpaceDN/>
        <w:bidi w:val="0"/>
        <w:adjustRightInd/>
        <w:snapToGrid/>
        <w:spacing w:beforeLines="0" w:afterLines="0" w:line="240" w:lineRule="auto"/>
        <w:ind w:left="420" w:leftChars="0"/>
        <w:textAlignment w:val="auto"/>
        <w:outlineLvl w:val="9"/>
        <w:rPr>
          <w:rFonts w:hint="eastAsia" w:ascii="宋体" w:hAnsi="宋体" w:eastAsia="宋体" w:cs="宋体"/>
          <w:lang w:eastAsia="zh-CN"/>
        </w:rPr>
      </w:pPr>
      <w:bookmarkStart w:id="150" w:name="_Toc9789"/>
      <w:bookmarkStart w:id="151" w:name="_Toc21624"/>
      <w:bookmarkStart w:id="152" w:name="_Toc23996"/>
      <w:r>
        <w:rPr>
          <w:rFonts w:hint="eastAsia" w:ascii="宋体" w:hAnsi="宋体" w:eastAsia="宋体" w:cs="宋体"/>
          <w:lang w:val="en-US" w:eastAsia="zh-CN"/>
        </w:rPr>
        <w:t xml:space="preserve">6 </w:t>
      </w:r>
      <w:r>
        <w:rPr>
          <w:rFonts w:hint="eastAsia" w:ascii="宋体" w:hAnsi="宋体" w:eastAsia="宋体" w:cs="宋体"/>
        </w:rPr>
        <w:t>高温电阻炉：可控制温度（1000±50）℃</w:t>
      </w:r>
      <w:bookmarkEnd w:id="150"/>
      <w:bookmarkEnd w:id="151"/>
      <w:bookmarkEnd w:id="152"/>
      <w:r>
        <w:rPr>
          <w:rFonts w:hint="eastAsia" w:ascii="宋体" w:hAnsi="宋体" w:eastAsia="宋体" w:cs="宋体"/>
          <w:lang w:eastAsia="zh-CN"/>
        </w:rPr>
        <w:t>；</w:t>
      </w:r>
    </w:p>
    <w:p w14:paraId="389F7319">
      <w:pPr>
        <w:pStyle w:val="43"/>
        <w:keepNext w:val="0"/>
        <w:keepLines w:val="0"/>
        <w:pageBreakBefore w:val="0"/>
        <w:widowControl/>
        <w:numPr>
          <w:ilvl w:val="1"/>
          <w:numId w:val="0"/>
        </w:numPr>
        <w:kinsoku/>
        <w:wordWrap/>
        <w:overflowPunct/>
        <w:topLinePunct w:val="0"/>
        <w:autoSpaceDE/>
        <w:autoSpaceDN/>
        <w:bidi w:val="0"/>
        <w:adjustRightInd/>
        <w:snapToGrid/>
        <w:spacing w:beforeLines="0" w:afterLines="0" w:line="240" w:lineRule="auto"/>
        <w:ind w:left="420" w:leftChars="0"/>
        <w:textAlignment w:val="auto"/>
        <w:outlineLvl w:val="9"/>
        <w:rPr>
          <w:rFonts w:hint="eastAsia" w:ascii="宋体" w:hAnsi="宋体" w:eastAsia="宋体" w:cs="宋体"/>
          <w:lang w:eastAsia="zh-CN"/>
        </w:rPr>
      </w:pPr>
      <w:bookmarkStart w:id="153" w:name="_Toc31572"/>
      <w:bookmarkStart w:id="154" w:name="_Toc35355201"/>
      <w:bookmarkStart w:id="155" w:name="_Toc27566901"/>
      <w:bookmarkStart w:id="156" w:name="_Toc27567228"/>
      <w:bookmarkStart w:id="157" w:name="_Toc31961"/>
      <w:bookmarkStart w:id="158" w:name="_Toc13441"/>
      <w:bookmarkStart w:id="159" w:name="_Toc31704"/>
      <w:r>
        <w:rPr>
          <w:rFonts w:hint="eastAsia" w:ascii="宋体" w:hAnsi="宋体" w:eastAsia="宋体" w:cs="宋体"/>
          <w:lang w:val="en-US" w:eastAsia="zh-CN"/>
        </w:rPr>
        <w:t xml:space="preserve">7 </w:t>
      </w:r>
      <w:r>
        <w:rPr>
          <w:rFonts w:hint="eastAsia" w:ascii="宋体" w:hAnsi="宋体" w:eastAsia="宋体" w:cs="宋体"/>
        </w:rPr>
        <w:t>电感耦合等离子体原子发射光谱仪</w:t>
      </w:r>
      <w:bookmarkEnd w:id="153"/>
      <w:bookmarkEnd w:id="154"/>
      <w:bookmarkEnd w:id="155"/>
      <w:bookmarkEnd w:id="156"/>
      <w:r>
        <w:rPr>
          <w:rFonts w:hint="eastAsia" w:ascii="宋体" w:hAnsi="宋体" w:eastAsia="宋体" w:cs="宋体"/>
        </w:rPr>
        <w:t>（ICP-OES）</w:t>
      </w:r>
      <w:bookmarkEnd w:id="157"/>
      <w:bookmarkEnd w:id="158"/>
      <w:bookmarkEnd w:id="159"/>
      <w:r>
        <w:rPr>
          <w:rFonts w:hint="eastAsia" w:ascii="宋体" w:hAnsi="宋体" w:eastAsia="宋体" w:cs="宋体"/>
          <w:lang w:eastAsia="zh-CN"/>
        </w:rPr>
        <w:t>；</w:t>
      </w:r>
    </w:p>
    <w:p w14:paraId="5CCCEDE2">
      <w:pPr>
        <w:pStyle w:val="43"/>
        <w:keepNext w:val="0"/>
        <w:keepLines w:val="0"/>
        <w:pageBreakBefore w:val="0"/>
        <w:widowControl/>
        <w:numPr>
          <w:ilvl w:val="1"/>
          <w:numId w:val="0"/>
        </w:numPr>
        <w:kinsoku/>
        <w:wordWrap/>
        <w:overflowPunct/>
        <w:topLinePunct w:val="0"/>
        <w:autoSpaceDE/>
        <w:autoSpaceDN/>
        <w:bidi w:val="0"/>
        <w:adjustRightInd/>
        <w:snapToGrid/>
        <w:spacing w:beforeLines="0" w:afterLines="0" w:line="240" w:lineRule="auto"/>
        <w:ind w:left="420" w:leftChars="0"/>
        <w:textAlignment w:val="auto"/>
        <w:outlineLvl w:val="9"/>
        <w:rPr>
          <w:rFonts w:hint="eastAsia" w:ascii="宋体" w:hAnsi="宋体" w:eastAsia="宋体" w:cs="宋体"/>
          <w:lang w:eastAsia="zh-CN"/>
        </w:rPr>
      </w:pPr>
      <w:r>
        <w:rPr>
          <w:rFonts w:hint="eastAsia" w:ascii="宋体" w:hAnsi="宋体" w:eastAsia="宋体" w:cs="宋体"/>
          <w:lang w:val="en-US" w:eastAsia="zh-CN"/>
        </w:rPr>
        <w:t xml:space="preserve">8 </w:t>
      </w:r>
      <w:r>
        <w:rPr>
          <w:rFonts w:hint="eastAsia" w:ascii="宋体" w:hAnsi="宋体" w:eastAsia="宋体" w:cs="宋体"/>
        </w:rPr>
        <w:t>实验室用水：所用水应符合GB/T 6682</w:t>
      </w:r>
      <w:r>
        <w:rPr>
          <w:rFonts w:hint="eastAsia" w:ascii="宋体" w:hAnsi="宋体" w:eastAsia="宋体" w:cs="宋体"/>
          <w:lang w:eastAsia="zh-CN"/>
        </w:rPr>
        <w:t>—</w:t>
      </w:r>
      <w:r>
        <w:rPr>
          <w:rFonts w:hint="eastAsia" w:ascii="宋体" w:hAnsi="宋体" w:eastAsia="宋体" w:cs="宋体"/>
        </w:rPr>
        <w:t>2008中规定的二级水要求</w:t>
      </w:r>
      <w:r>
        <w:rPr>
          <w:rFonts w:hint="eastAsia" w:ascii="宋体" w:hAnsi="宋体" w:eastAsia="宋体" w:cs="宋体"/>
          <w:lang w:eastAsia="zh-CN"/>
        </w:rPr>
        <w:t>；</w:t>
      </w:r>
    </w:p>
    <w:p w14:paraId="5E8079A1">
      <w:pPr>
        <w:pStyle w:val="43"/>
        <w:keepNext w:val="0"/>
        <w:keepLines w:val="0"/>
        <w:pageBreakBefore w:val="0"/>
        <w:widowControl/>
        <w:numPr>
          <w:ilvl w:val="1"/>
          <w:numId w:val="0"/>
        </w:numPr>
        <w:kinsoku/>
        <w:wordWrap/>
        <w:overflowPunct/>
        <w:topLinePunct w:val="0"/>
        <w:autoSpaceDE/>
        <w:autoSpaceDN/>
        <w:bidi w:val="0"/>
        <w:adjustRightInd/>
        <w:snapToGrid/>
        <w:spacing w:beforeLines="0" w:afterLines="0" w:line="240" w:lineRule="auto"/>
        <w:ind w:left="420" w:leftChars="0"/>
        <w:textAlignment w:val="auto"/>
        <w:outlineLvl w:val="9"/>
        <w:rPr>
          <w:rFonts w:hint="eastAsia" w:ascii="宋体" w:hAnsi="宋体" w:eastAsia="宋体" w:cs="宋体"/>
          <w:lang w:eastAsia="zh-CN"/>
        </w:rPr>
      </w:pPr>
      <w:r>
        <w:rPr>
          <w:rFonts w:hint="eastAsia" w:ascii="宋体" w:hAnsi="宋体" w:eastAsia="宋体" w:cs="宋体"/>
          <w:lang w:val="en-US" w:eastAsia="zh-CN"/>
        </w:rPr>
        <w:t xml:space="preserve">9 </w:t>
      </w:r>
      <w:r>
        <w:rPr>
          <w:rFonts w:hint="eastAsia" w:ascii="宋体" w:hAnsi="宋体" w:eastAsia="宋体" w:cs="宋体"/>
        </w:rPr>
        <w:t>盐酸：分析纯及以上，1.18 g/cm</w:t>
      </w:r>
      <w:r>
        <w:rPr>
          <w:rFonts w:hint="eastAsia" w:ascii="宋体" w:hAnsi="宋体" w:eastAsia="宋体" w:cs="宋体"/>
          <w:vertAlign w:val="superscript"/>
        </w:rPr>
        <w:t>3</w:t>
      </w:r>
      <w:r>
        <w:rPr>
          <w:rFonts w:hint="eastAsia" w:ascii="宋体" w:hAnsi="宋体" w:eastAsia="宋体" w:cs="宋体"/>
        </w:rPr>
        <w:t>～1.19 g/cm</w:t>
      </w:r>
      <w:r>
        <w:rPr>
          <w:rFonts w:hint="eastAsia" w:ascii="宋体" w:hAnsi="宋体" w:eastAsia="宋体" w:cs="宋体"/>
          <w:vertAlign w:val="superscript"/>
        </w:rPr>
        <w:t>3</w:t>
      </w:r>
      <w:r>
        <w:rPr>
          <w:rFonts w:hint="eastAsia" w:ascii="宋体" w:hAnsi="宋体" w:eastAsia="宋体" w:cs="宋体"/>
        </w:rPr>
        <w:t>,质量分数36%～38%</w:t>
      </w:r>
      <w:r>
        <w:rPr>
          <w:rFonts w:hint="eastAsia" w:ascii="宋体" w:hAnsi="宋体" w:eastAsia="宋体" w:cs="宋体"/>
          <w:lang w:eastAsia="zh-CN"/>
        </w:rPr>
        <w:t>；</w:t>
      </w:r>
    </w:p>
    <w:p w14:paraId="0B660FA7">
      <w:pPr>
        <w:pStyle w:val="43"/>
        <w:keepNext w:val="0"/>
        <w:keepLines w:val="0"/>
        <w:pageBreakBefore w:val="0"/>
        <w:widowControl/>
        <w:numPr>
          <w:ilvl w:val="1"/>
          <w:numId w:val="0"/>
        </w:numPr>
        <w:kinsoku/>
        <w:wordWrap/>
        <w:overflowPunct/>
        <w:topLinePunct w:val="0"/>
        <w:autoSpaceDE/>
        <w:autoSpaceDN/>
        <w:bidi w:val="0"/>
        <w:adjustRightInd/>
        <w:snapToGrid/>
        <w:spacing w:beforeLines="0" w:afterLines="0" w:line="240" w:lineRule="auto"/>
        <w:ind w:left="420" w:leftChars="0"/>
        <w:textAlignment w:val="auto"/>
        <w:outlineLvl w:val="9"/>
        <w:rPr>
          <w:rFonts w:hint="eastAsia" w:ascii="宋体" w:hAnsi="宋体" w:eastAsia="宋体" w:cs="宋体"/>
          <w:lang w:eastAsia="zh-CN"/>
        </w:rPr>
      </w:pPr>
      <w:r>
        <w:rPr>
          <w:rFonts w:hint="eastAsia" w:ascii="宋体" w:hAnsi="宋体" w:eastAsia="宋体" w:cs="宋体"/>
          <w:lang w:val="en-US" w:eastAsia="zh-CN"/>
        </w:rPr>
        <w:t xml:space="preserve">10 </w:t>
      </w:r>
      <w:r>
        <w:rPr>
          <w:rFonts w:hint="eastAsia" w:ascii="宋体" w:hAnsi="宋体" w:eastAsia="宋体" w:cs="宋体"/>
        </w:rPr>
        <w:t>4%的盐酸盐酸：量取4mL盐酸，与96mL水混合</w:t>
      </w:r>
      <w:r>
        <w:rPr>
          <w:rFonts w:hint="eastAsia" w:ascii="宋体" w:hAnsi="宋体" w:eastAsia="宋体" w:cs="宋体"/>
          <w:lang w:eastAsia="zh-CN"/>
        </w:rPr>
        <w:t>；</w:t>
      </w:r>
    </w:p>
    <w:p w14:paraId="338AC93F">
      <w:pPr>
        <w:pStyle w:val="43"/>
        <w:keepNext w:val="0"/>
        <w:keepLines w:val="0"/>
        <w:pageBreakBefore w:val="0"/>
        <w:widowControl/>
        <w:numPr>
          <w:ilvl w:val="1"/>
          <w:numId w:val="0"/>
        </w:numPr>
        <w:kinsoku/>
        <w:wordWrap/>
        <w:overflowPunct/>
        <w:topLinePunct w:val="0"/>
        <w:autoSpaceDE/>
        <w:autoSpaceDN/>
        <w:bidi w:val="0"/>
        <w:adjustRightInd/>
        <w:snapToGrid/>
        <w:spacing w:beforeLines="0" w:afterLines="0" w:line="240" w:lineRule="auto"/>
        <w:ind w:left="420" w:leftChars="0"/>
        <w:textAlignment w:val="auto"/>
        <w:outlineLvl w:val="9"/>
        <w:rPr>
          <w:rFonts w:hint="eastAsia" w:ascii="宋体" w:hAnsi="宋体" w:eastAsia="宋体" w:cs="宋体"/>
          <w:lang w:eastAsia="zh-CN"/>
        </w:rPr>
      </w:pPr>
      <w:bookmarkStart w:id="160" w:name="OLE_LINK17"/>
      <w:r>
        <w:rPr>
          <w:rFonts w:hint="eastAsia" w:ascii="宋体" w:hAnsi="宋体" w:eastAsia="宋体" w:cs="宋体"/>
          <w:lang w:val="en-US" w:eastAsia="zh-CN"/>
        </w:rPr>
        <w:t xml:space="preserve">11 </w:t>
      </w:r>
      <w:r>
        <w:rPr>
          <w:rFonts w:hint="eastAsia" w:ascii="宋体" w:hAnsi="宋体" w:eastAsia="宋体" w:cs="宋体"/>
        </w:rPr>
        <w:t>Li标准储备溶液：1000mg/L</w:t>
      </w:r>
      <w:bookmarkEnd w:id="160"/>
      <w:r>
        <w:rPr>
          <w:rFonts w:hint="eastAsia" w:ascii="宋体" w:hAnsi="宋体" w:eastAsia="宋体" w:cs="宋体"/>
          <w:lang w:eastAsia="zh-CN"/>
        </w:rPr>
        <w:t>；</w:t>
      </w:r>
    </w:p>
    <w:p w14:paraId="724271DF">
      <w:pPr>
        <w:pStyle w:val="36"/>
        <w:rPr>
          <w:rFonts w:hint="eastAsia" w:hAnsi="宋体" w:eastAsia="宋体" w:cs="宋体"/>
          <w:lang w:val="en-US" w:eastAsia="zh-CN"/>
        </w:rPr>
      </w:pPr>
      <w:r>
        <w:rPr>
          <w:rFonts w:hint="eastAsia" w:hAnsi="宋体" w:eastAsia="宋体" w:cs="宋体"/>
          <w:lang w:val="en-US" w:eastAsia="zh-CN"/>
        </w:rPr>
        <w:t>12 混合标准储备溶液：1000mg/L，K、Na、Li、Si标准储备溶液，使用市售有证标准溶液；</w:t>
      </w:r>
    </w:p>
    <w:p w14:paraId="5FEA5F2A">
      <w:pPr>
        <w:pStyle w:val="36"/>
        <w:rPr>
          <w:rFonts w:hint="default" w:hAnsi="宋体" w:eastAsia="宋体" w:cs="宋体"/>
          <w:lang w:val="en-US" w:eastAsia="zh-CN"/>
        </w:rPr>
      </w:pPr>
      <w:r>
        <w:rPr>
          <w:rFonts w:hint="eastAsia" w:hAnsi="宋体" w:eastAsia="宋体" w:cs="宋体"/>
          <w:lang w:val="en-US" w:eastAsia="zh-CN"/>
        </w:rPr>
        <w:t>13 K、Na、Li系列标准溶液，使用标准储备溶液配制系列标准溶液，介质为体积分数约4%的盐酸系列标准溶液浓度建议为0 mg/L、1 mg/L、5 mg/L、10 mg/L、25 mg/L、50 mg/L。</w:t>
      </w:r>
    </w:p>
    <w:p w14:paraId="661C1016">
      <w:pPr>
        <w:pStyle w:val="43"/>
        <w:keepNext w:val="0"/>
        <w:keepLines w:val="0"/>
        <w:pageBreakBefore w:val="0"/>
        <w:widowControl/>
        <w:numPr>
          <w:ilvl w:val="1"/>
          <w:numId w:val="0"/>
        </w:numPr>
        <w:kinsoku/>
        <w:wordWrap/>
        <w:overflowPunct/>
        <w:topLinePunct w:val="0"/>
        <w:autoSpaceDE/>
        <w:autoSpaceDN/>
        <w:bidi w:val="0"/>
        <w:adjustRightInd/>
        <w:snapToGrid/>
        <w:spacing w:beforeLines="0" w:afterLines="0" w:line="240" w:lineRule="auto"/>
        <w:textAlignment w:val="auto"/>
        <w:outlineLvl w:val="9"/>
        <w:rPr>
          <w:rFonts w:ascii="Times New Roman"/>
          <w:kern w:val="2"/>
          <w:szCs w:val="21"/>
        </w:rPr>
      </w:pPr>
      <w:r>
        <w:rPr>
          <w:rFonts w:hint="eastAsia" w:ascii="Times New Roman" w:hAnsi="Times New Roman" w:cs="Times New Roman"/>
          <w:b/>
          <w:color w:val="000000" w:themeColor="text1"/>
          <w:sz w:val="24"/>
          <w:lang w:val="en-US" w:eastAsia="zh-CN"/>
          <w14:textFill>
            <w14:solidFill>
              <w14:schemeClr w14:val="tx1"/>
            </w14:solidFill>
          </w14:textFill>
        </w:rPr>
        <w:t>A</w:t>
      </w:r>
      <w:r>
        <w:rPr>
          <w:rFonts w:ascii="Times New Roman" w:hAnsi="Times New Roman" w:cs="Times New Roman"/>
          <w:b/>
          <w:color w:val="000000" w:themeColor="text1"/>
          <w:sz w:val="24"/>
          <w14:textFill>
            <w14:solidFill>
              <w14:schemeClr w14:val="tx1"/>
            </w14:solidFill>
          </w14:textFill>
        </w:rPr>
        <w:t>.0.</w:t>
      </w:r>
      <w:r>
        <w:rPr>
          <w:rFonts w:hint="eastAsia" w:ascii="Times New Roman" w:cs="Times New Roman"/>
          <w:b/>
          <w:color w:val="000000" w:themeColor="text1"/>
          <w:sz w:val="24"/>
          <w:lang w:val="en-US" w:eastAsia="zh-CN"/>
          <w14:textFill>
            <w14:solidFill>
              <w14:schemeClr w14:val="tx1"/>
            </w14:solidFill>
          </w14:textFill>
        </w:rPr>
        <w:t xml:space="preserve">2 </w:t>
      </w:r>
      <w:r>
        <w:rPr>
          <w:rFonts w:hint="eastAsia"/>
          <w:szCs w:val="21"/>
        </w:rPr>
        <w:t>试样制备</w:t>
      </w:r>
    </w:p>
    <w:p w14:paraId="629635D6">
      <w:pPr>
        <w:pStyle w:val="36"/>
        <w:keepNext w:val="0"/>
        <w:keepLines w:val="0"/>
        <w:pageBreakBefore w:val="0"/>
        <w:tabs>
          <w:tab w:val="center" w:pos="4201"/>
          <w:tab w:val="right" w:leader="dot" w:pos="9298"/>
        </w:tabs>
        <w:kinsoku/>
        <w:wordWrap/>
        <w:overflowPunct/>
        <w:topLinePunct w:val="0"/>
        <w:bidi w:val="0"/>
        <w:adjustRightInd/>
        <w:snapToGrid/>
        <w:spacing w:line="240" w:lineRule="auto"/>
        <w:textAlignment w:val="auto"/>
        <w:rPr>
          <w:rFonts w:hint="eastAsia"/>
          <w:szCs w:val="21"/>
        </w:rPr>
      </w:pPr>
      <w:r>
        <w:rPr>
          <w:rFonts w:hint="eastAsia"/>
          <w:szCs w:val="21"/>
          <w:lang w:val="en-US" w:eastAsia="zh-CN"/>
        </w:rPr>
        <w:t xml:space="preserve">1 </w:t>
      </w:r>
      <w:r>
        <w:rPr>
          <w:rFonts w:hint="eastAsia"/>
          <w:szCs w:val="21"/>
        </w:rPr>
        <w:t>样品量不少于100</w:t>
      </w:r>
      <w:r>
        <w:rPr>
          <w:rFonts w:ascii="Times New Roman"/>
          <w:szCs w:val="21"/>
        </w:rPr>
        <w:t>mL</w:t>
      </w:r>
      <w:r>
        <w:rPr>
          <w:rFonts w:hint="eastAsia"/>
          <w:szCs w:val="21"/>
        </w:rPr>
        <w:t>，将试样摇匀供测定用。</w:t>
      </w:r>
    </w:p>
    <w:bookmarkEnd w:id="137"/>
    <w:p w14:paraId="2134F618">
      <w:pPr>
        <w:pStyle w:val="36"/>
        <w:keepNext w:val="0"/>
        <w:keepLines w:val="0"/>
        <w:pageBreakBefore w:val="0"/>
        <w:tabs>
          <w:tab w:val="center" w:pos="4201"/>
          <w:tab w:val="right" w:leader="dot" w:pos="9298"/>
        </w:tabs>
        <w:kinsoku/>
        <w:wordWrap/>
        <w:overflowPunct/>
        <w:topLinePunct w:val="0"/>
        <w:bidi w:val="0"/>
        <w:adjustRightInd/>
        <w:snapToGrid/>
        <w:spacing w:line="240" w:lineRule="auto"/>
        <w:textAlignment w:val="auto"/>
        <w:rPr>
          <w:rFonts w:hAnsi="宋体"/>
        </w:rPr>
      </w:pPr>
      <w:bookmarkStart w:id="161" w:name="_Hlk76893296"/>
      <w:r>
        <w:rPr>
          <w:rFonts w:hint="eastAsia"/>
          <w:lang w:val="en-US" w:eastAsia="zh-CN"/>
        </w:rPr>
        <w:t xml:space="preserve">2 </w:t>
      </w:r>
      <w:r>
        <w:rPr>
          <w:rFonts w:hint="eastAsia"/>
        </w:rPr>
        <w:t>称取5.3228</w:t>
      </w:r>
      <w:r>
        <w:t xml:space="preserve"> </w:t>
      </w:r>
      <w:r>
        <w:rPr>
          <w:rFonts w:hint="eastAsia"/>
        </w:rPr>
        <w:t>g预先经105℃</w:t>
      </w:r>
      <w:r>
        <w:rPr>
          <w:rFonts w:hint="eastAsia" w:hAnsi="宋体"/>
        </w:rPr>
        <w:t>～</w:t>
      </w:r>
      <w:r>
        <w:rPr>
          <w:rFonts w:hint="eastAsia"/>
        </w:rPr>
        <w:t>110℃烘干至恒重的碳酸锂（基准试剂或光谱纯）于300ml烧杯中，溶于水，滴加盐酸1+1溶解，煮沸去除二氧化碳，冷却至室温，移人1000ml容量瓶中，</w:t>
      </w:r>
      <w:r>
        <w:rPr>
          <w:rFonts w:hint="eastAsia" w:hAnsi="宋体"/>
        </w:rPr>
        <w:t>稀释至标线，摇匀，储于塑料瓶中备用。或使用市售有证标准溶液。</w:t>
      </w:r>
    </w:p>
    <w:p w14:paraId="72E37C65">
      <w:pPr>
        <w:pStyle w:val="43"/>
        <w:keepNext w:val="0"/>
        <w:keepLines w:val="0"/>
        <w:pageBreakBefore w:val="0"/>
        <w:widowControl/>
        <w:numPr>
          <w:ilvl w:val="1"/>
          <w:numId w:val="0"/>
        </w:numPr>
        <w:kinsoku/>
        <w:wordWrap/>
        <w:overflowPunct/>
        <w:topLinePunct w:val="0"/>
        <w:autoSpaceDE/>
        <w:autoSpaceDN/>
        <w:bidi w:val="0"/>
        <w:adjustRightInd/>
        <w:snapToGrid/>
        <w:spacing w:beforeLines="0" w:afterLines="0" w:line="360" w:lineRule="auto"/>
        <w:ind w:leftChars="0"/>
        <w:textAlignment w:val="auto"/>
        <w:outlineLvl w:val="9"/>
        <w:rPr>
          <w:rFonts w:hint="eastAsia"/>
        </w:rPr>
      </w:pPr>
      <w:bookmarkStart w:id="162" w:name="_Toc30339"/>
      <w:bookmarkStart w:id="163" w:name="_Toc16087"/>
      <w:bookmarkStart w:id="164" w:name="_Toc26323"/>
      <w:r>
        <w:rPr>
          <w:rFonts w:hint="eastAsia" w:ascii="Times New Roman" w:hAnsi="Times New Roman" w:cs="Times New Roman"/>
          <w:b/>
          <w:color w:val="000000" w:themeColor="text1"/>
          <w:sz w:val="24"/>
          <w:lang w:val="en-US" w:eastAsia="zh-CN"/>
          <w14:textFill>
            <w14:solidFill>
              <w14:schemeClr w14:val="tx1"/>
            </w14:solidFill>
          </w14:textFill>
        </w:rPr>
        <w:t>A</w:t>
      </w:r>
      <w:r>
        <w:rPr>
          <w:rFonts w:ascii="Times New Roman" w:hAnsi="Times New Roman" w:cs="Times New Roman"/>
          <w:b/>
          <w:color w:val="000000" w:themeColor="text1"/>
          <w:sz w:val="24"/>
          <w14:textFill>
            <w14:solidFill>
              <w14:schemeClr w14:val="tx1"/>
            </w14:solidFill>
          </w14:textFill>
        </w:rPr>
        <w:t>.0.</w:t>
      </w:r>
      <w:r>
        <w:rPr>
          <w:rFonts w:hint="eastAsia" w:ascii="Times New Roman" w:cs="Times New Roman"/>
          <w:b/>
          <w:color w:val="000000" w:themeColor="text1"/>
          <w:sz w:val="24"/>
          <w:lang w:val="en-US" w:eastAsia="zh-CN"/>
          <w14:textFill>
            <w14:solidFill>
              <w14:schemeClr w14:val="tx1"/>
            </w14:solidFill>
          </w14:textFill>
        </w:rPr>
        <w:t xml:space="preserve">3 </w:t>
      </w:r>
      <w:r>
        <w:rPr>
          <w:rFonts w:hint="eastAsia"/>
        </w:rPr>
        <w:t>试样前处理</w:t>
      </w:r>
      <w:bookmarkEnd w:id="162"/>
      <w:bookmarkEnd w:id="163"/>
      <w:bookmarkEnd w:id="164"/>
    </w:p>
    <w:p w14:paraId="063B61CD">
      <w:pPr>
        <w:keepNext w:val="0"/>
        <w:keepLines w:val="0"/>
        <w:pageBreakBefore w:val="0"/>
        <w:kinsoku/>
        <w:wordWrap/>
        <w:overflowPunct/>
        <w:topLinePunct w:val="0"/>
        <w:bidi w:val="0"/>
        <w:adjustRightInd/>
        <w:snapToGrid/>
        <w:spacing w:line="240" w:lineRule="auto"/>
        <w:ind w:firstLine="420" w:firstLineChars="200"/>
        <w:textAlignment w:val="auto"/>
      </w:pPr>
      <w:r>
        <w:rPr>
          <w:rFonts w:hAnsi="宋体"/>
        </w:rPr>
        <w:t>称取试样</w:t>
      </w:r>
      <w:r>
        <w:rPr>
          <w:rFonts w:hint="eastAsia"/>
        </w:rPr>
        <w:t>0</w:t>
      </w:r>
      <w:r>
        <w:t>.1g</w:t>
      </w:r>
      <w:r>
        <w:rPr>
          <w:rFonts w:hAnsi="宋体"/>
        </w:rPr>
        <w:t>，精确至</w:t>
      </w:r>
      <w:r>
        <w:t>0.0001g</w:t>
      </w:r>
      <w:r>
        <w:rPr>
          <w:rFonts w:hAnsi="宋体"/>
        </w:rPr>
        <w:t>。放入</w:t>
      </w:r>
      <w:r>
        <w:t>100mL</w:t>
      </w:r>
      <w:r>
        <w:rPr>
          <w:rFonts w:hAnsi="宋体"/>
        </w:rPr>
        <w:t>烧杯中，加</w:t>
      </w:r>
      <w:r>
        <w:t>25mL</w:t>
      </w:r>
      <w:r>
        <w:rPr>
          <w:rFonts w:hAnsi="宋体"/>
        </w:rPr>
        <w:t>水和</w:t>
      </w:r>
      <w:r>
        <w:t>8mL</w:t>
      </w:r>
      <w:r>
        <w:rPr>
          <w:rFonts w:hAnsi="宋体"/>
        </w:rPr>
        <w:t>盐酸（</w:t>
      </w:r>
      <w:r>
        <w:rPr>
          <w:rFonts w:hint="eastAsia"/>
        </w:rPr>
        <w:t>7</w:t>
      </w:r>
      <w:r>
        <w:t>.2.3</w:t>
      </w:r>
      <w:r>
        <w:rPr>
          <w:rFonts w:hAnsi="宋体"/>
        </w:rPr>
        <w:t>）溶解试样，直接移入</w:t>
      </w:r>
      <w:r>
        <w:t>250mL</w:t>
      </w:r>
      <w:r>
        <w:rPr>
          <w:rFonts w:hAnsi="宋体"/>
        </w:rPr>
        <w:t>容量瓶，</w:t>
      </w:r>
      <w:r>
        <w:rPr>
          <w:rFonts w:hint="eastAsia" w:hAnsi="宋体"/>
        </w:rPr>
        <w:t>用水</w:t>
      </w:r>
      <w:r>
        <w:rPr>
          <w:rFonts w:hAnsi="宋体"/>
        </w:rPr>
        <w:t>稀释至</w:t>
      </w:r>
      <w:r>
        <w:rPr>
          <w:rFonts w:hint="eastAsia" w:hAnsi="宋体"/>
        </w:rPr>
        <w:t>标线，摇匀待测</w:t>
      </w:r>
      <w:r>
        <w:rPr>
          <w:rFonts w:hAnsi="宋体"/>
        </w:rPr>
        <w:t>。</w:t>
      </w:r>
    </w:p>
    <w:p w14:paraId="7305966C">
      <w:pPr>
        <w:keepNext w:val="0"/>
        <w:keepLines w:val="0"/>
        <w:pageBreakBefore w:val="0"/>
        <w:kinsoku/>
        <w:wordWrap/>
        <w:overflowPunct/>
        <w:topLinePunct w:val="0"/>
        <w:bidi w:val="0"/>
        <w:adjustRightInd/>
        <w:snapToGrid/>
        <w:spacing w:line="240" w:lineRule="auto"/>
        <w:ind w:firstLine="420" w:firstLineChars="200"/>
        <w:textAlignment w:val="auto"/>
      </w:pPr>
      <w:r>
        <w:rPr>
          <w:rFonts w:hAnsi="宋体"/>
        </w:rPr>
        <w:t>按上述相同的操作步骤制备空白溶液。</w:t>
      </w:r>
    </w:p>
    <w:p w14:paraId="7EF6610D">
      <w:pPr>
        <w:pStyle w:val="50"/>
        <w:keepNext w:val="0"/>
        <w:keepLines w:val="0"/>
        <w:pageBreakBefore w:val="0"/>
        <w:kinsoku/>
        <w:wordWrap/>
        <w:overflowPunct/>
        <w:topLinePunct w:val="0"/>
        <w:bidi w:val="0"/>
        <w:adjustRightInd/>
        <w:snapToGrid/>
        <w:spacing w:line="240" w:lineRule="auto"/>
        <w:textAlignment w:val="auto"/>
      </w:pPr>
      <w:r>
        <w:rPr>
          <w:rFonts w:hint="eastAsia"/>
        </w:rPr>
        <w:t>可根据元素含量调整称样量和定容体积。</w:t>
      </w:r>
    </w:p>
    <w:p w14:paraId="303D5422">
      <w:pPr>
        <w:pStyle w:val="43"/>
        <w:keepNext w:val="0"/>
        <w:keepLines w:val="0"/>
        <w:pageBreakBefore w:val="0"/>
        <w:widowControl/>
        <w:numPr>
          <w:ilvl w:val="1"/>
          <w:numId w:val="0"/>
        </w:numPr>
        <w:kinsoku/>
        <w:wordWrap/>
        <w:overflowPunct/>
        <w:topLinePunct w:val="0"/>
        <w:autoSpaceDE/>
        <w:autoSpaceDN/>
        <w:bidi w:val="0"/>
        <w:adjustRightInd/>
        <w:snapToGrid/>
        <w:spacing w:beforeLines="0" w:afterLines="0" w:line="360" w:lineRule="auto"/>
        <w:ind w:leftChars="0"/>
        <w:textAlignment w:val="auto"/>
        <w:outlineLvl w:val="9"/>
        <w:rPr>
          <w:rFonts w:hint="eastAsia"/>
        </w:rPr>
      </w:pPr>
      <w:bookmarkStart w:id="165" w:name="_Toc27569"/>
      <w:bookmarkStart w:id="166" w:name="_Toc728"/>
      <w:bookmarkStart w:id="167" w:name="_Toc6621"/>
      <w:r>
        <w:rPr>
          <w:rFonts w:hint="eastAsia" w:ascii="Times New Roman" w:hAnsi="Times New Roman" w:cs="Times New Roman"/>
          <w:b/>
          <w:color w:val="000000" w:themeColor="text1"/>
          <w:sz w:val="24"/>
          <w:lang w:val="en-US" w:eastAsia="zh-CN"/>
          <w14:textFill>
            <w14:solidFill>
              <w14:schemeClr w14:val="tx1"/>
            </w14:solidFill>
          </w14:textFill>
        </w:rPr>
        <w:t>A</w:t>
      </w:r>
      <w:r>
        <w:rPr>
          <w:rFonts w:ascii="Times New Roman" w:hAnsi="Times New Roman" w:cs="Times New Roman"/>
          <w:b/>
          <w:color w:val="000000" w:themeColor="text1"/>
          <w:sz w:val="24"/>
          <w14:textFill>
            <w14:solidFill>
              <w14:schemeClr w14:val="tx1"/>
            </w14:solidFill>
          </w14:textFill>
        </w:rPr>
        <w:t>.0.</w:t>
      </w:r>
      <w:r>
        <w:rPr>
          <w:rFonts w:hint="eastAsia" w:ascii="Times New Roman" w:cs="Times New Roman"/>
          <w:b/>
          <w:color w:val="000000" w:themeColor="text1"/>
          <w:sz w:val="24"/>
          <w:lang w:val="en-US" w:eastAsia="zh-CN"/>
          <w14:textFill>
            <w14:solidFill>
              <w14:schemeClr w14:val="tx1"/>
            </w14:solidFill>
          </w14:textFill>
        </w:rPr>
        <w:t xml:space="preserve">4 </w:t>
      </w:r>
      <w:r>
        <w:rPr>
          <w:rFonts w:hint="eastAsia"/>
        </w:rPr>
        <w:t>标准曲线绘制</w:t>
      </w:r>
      <w:bookmarkEnd w:id="165"/>
      <w:bookmarkEnd w:id="166"/>
      <w:bookmarkEnd w:id="167"/>
    </w:p>
    <w:p w14:paraId="2F6742BC">
      <w:pPr>
        <w:keepNext w:val="0"/>
        <w:keepLines w:val="0"/>
        <w:pageBreakBefore w:val="0"/>
        <w:kinsoku/>
        <w:wordWrap/>
        <w:overflowPunct/>
        <w:topLinePunct w:val="0"/>
        <w:bidi w:val="0"/>
        <w:adjustRightInd/>
        <w:snapToGrid/>
        <w:spacing w:line="240" w:lineRule="auto"/>
        <w:ind w:firstLine="420" w:firstLineChars="200"/>
        <w:textAlignment w:val="auto"/>
        <w:rPr>
          <w:highlight w:val="yellow"/>
        </w:rPr>
      </w:pPr>
      <w:r>
        <w:t>在确定的仪器工作条件下，按浓度由低至高依次测定系列标准溶液，绘制</w:t>
      </w:r>
      <w:r>
        <w:rPr>
          <w:rFonts w:hint="eastAsia"/>
        </w:rPr>
        <w:t>标</w:t>
      </w:r>
      <w:r>
        <w:t>准曲线</w:t>
      </w:r>
      <w:r>
        <w:rPr>
          <w:rFonts w:hint="eastAsia"/>
        </w:rPr>
        <w:t>。</w:t>
      </w:r>
    </w:p>
    <w:p w14:paraId="5F053DD9">
      <w:pPr>
        <w:keepNext w:val="0"/>
        <w:keepLines w:val="0"/>
        <w:pageBreakBefore w:val="0"/>
        <w:kinsoku/>
        <w:wordWrap/>
        <w:overflowPunct/>
        <w:topLinePunct w:val="0"/>
        <w:bidi w:val="0"/>
        <w:adjustRightInd/>
        <w:snapToGrid/>
        <w:spacing w:line="240" w:lineRule="auto"/>
        <w:ind w:firstLine="420" w:firstLineChars="200"/>
        <w:textAlignment w:val="auto"/>
      </w:pPr>
      <w:r>
        <w:rPr>
          <w:rFonts w:hint="eastAsia"/>
        </w:rPr>
        <w:t>根据样品中待测元素含量的高低不同，选择合适的浓度点范围，浓度点宜不少于5个。</w:t>
      </w:r>
    </w:p>
    <w:p w14:paraId="691ED883">
      <w:pPr>
        <w:pStyle w:val="43"/>
        <w:keepNext w:val="0"/>
        <w:keepLines w:val="0"/>
        <w:pageBreakBefore w:val="0"/>
        <w:widowControl/>
        <w:numPr>
          <w:ilvl w:val="1"/>
          <w:numId w:val="0"/>
        </w:numPr>
        <w:kinsoku/>
        <w:wordWrap/>
        <w:overflowPunct/>
        <w:topLinePunct w:val="0"/>
        <w:autoSpaceDE/>
        <w:autoSpaceDN/>
        <w:bidi w:val="0"/>
        <w:adjustRightInd/>
        <w:snapToGrid/>
        <w:spacing w:beforeLines="0" w:afterLines="0" w:line="240" w:lineRule="auto"/>
        <w:ind w:leftChars="0"/>
        <w:textAlignment w:val="auto"/>
        <w:outlineLvl w:val="9"/>
        <w:rPr>
          <w:rFonts w:hint="eastAsia"/>
        </w:rPr>
      </w:pPr>
      <w:bookmarkStart w:id="168" w:name="_Toc18316"/>
      <w:bookmarkStart w:id="169" w:name="_Toc19355"/>
      <w:bookmarkStart w:id="170" w:name="_Toc21993"/>
      <w:r>
        <w:rPr>
          <w:rFonts w:hint="eastAsia" w:ascii="Times New Roman" w:hAnsi="Times New Roman" w:cs="Times New Roman"/>
          <w:b/>
          <w:color w:val="000000" w:themeColor="text1"/>
          <w:sz w:val="24"/>
          <w:lang w:val="en-US" w:eastAsia="zh-CN"/>
          <w14:textFill>
            <w14:solidFill>
              <w14:schemeClr w14:val="tx1"/>
            </w14:solidFill>
          </w14:textFill>
        </w:rPr>
        <w:t>A</w:t>
      </w:r>
      <w:r>
        <w:rPr>
          <w:rFonts w:ascii="Times New Roman" w:hAnsi="Times New Roman" w:cs="Times New Roman"/>
          <w:b/>
          <w:color w:val="000000" w:themeColor="text1"/>
          <w:sz w:val="24"/>
          <w14:textFill>
            <w14:solidFill>
              <w14:schemeClr w14:val="tx1"/>
            </w14:solidFill>
          </w14:textFill>
        </w:rPr>
        <w:t>.0.</w:t>
      </w:r>
      <w:r>
        <w:rPr>
          <w:rFonts w:hint="eastAsia" w:ascii="Times New Roman" w:cs="Times New Roman"/>
          <w:b/>
          <w:color w:val="000000" w:themeColor="text1"/>
          <w:sz w:val="24"/>
          <w:lang w:val="en-US" w:eastAsia="zh-CN"/>
          <w14:textFill>
            <w14:solidFill>
              <w14:schemeClr w14:val="tx1"/>
            </w14:solidFill>
          </w14:textFill>
        </w:rPr>
        <w:t xml:space="preserve">5 </w:t>
      </w:r>
      <w:r>
        <w:rPr>
          <w:rFonts w:hint="eastAsia"/>
        </w:rPr>
        <w:t>试样测定</w:t>
      </w:r>
      <w:bookmarkEnd w:id="168"/>
      <w:bookmarkEnd w:id="169"/>
      <w:bookmarkEnd w:id="170"/>
    </w:p>
    <w:p w14:paraId="6B1639C7">
      <w:pPr>
        <w:keepNext w:val="0"/>
        <w:keepLines w:val="0"/>
        <w:pageBreakBefore w:val="0"/>
        <w:kinsoku/>
        <w:wordWrap/>
        <w:overflowPunct/>
        <w:topLinePunct w:val="0"/>
        <w:bidi w:val="0"/>
        <w:adjustRightInd/>
        <w:snapToGrid/>
        <w:spacing w:line="240" w:lineRule="auto"/>
        <w:ind w:firstLine="420" w:firstLineChars="200"/>
        <w:textAlignment w:val="auto"/>
      </w:pPr>
      <w:r>
        <w:rPr>
          <w:rFonts w:hint="eastAsia"/>
        </w:rPr>
        <w:t>分别</w:t>
      </w:r>
      <w:r>
        <w:t>测定空白</w:t>
      </w:r>
      <w:r>
        <w:rPr>
          <w:rFonts w:hint="eastAsia"/>
        </w:rPr>
        <w:t>溶</w:t>
      </w:r>
      <w:r>
        <w:t>液和试样溶液中各被测元素的</w:t>
      </w:r>
      <w:r>
        <w:rPr>
          <w:rFonts w:hint="eastAsia"/>
        </w:rPr>
        <w:t>谱线</w:t>
      </w:r>
      <w:r>
        <w:t>强度，从</w:t>
      </w:r>
      <w:r>
        <w:rPr>
          <w:rFonts w:hint="eastAsia"/>
        </w:rPr>
        <w:t>标准</w:t>
      </w:r>
      <w:r>
        <w:t>曲线上查出被测元素的</w:t>
      </w:r>
      <w:r>
        <w:rPr>
          <w:rFonts w:hint="eastAsia"/>
        </w:rPr>
        <w:t>浓度</w:t>
      </w:r>
      <w:r>
        <w:t>。</w:t>
      </w:r>
      <w:r>
        <w:rPr>
          <w:rFonts w:hint="eastAsia"/>
        </w:rPr>
        <w:t>当待测元素浓度超过标准曲线范围时，稀释待测溶液后进行测定。</w:t>
      </w:r>
    </w:p>
    <w:p w14:paraId="2461C582">
      <w:pPr>
        <w:keepNext w:val="0"/>
        <w:keepLines w:val="0"/>
        <w:pageBreakBefore w:val="0"/>
        <w:kinsoku/>
        <w:wordWrap/>
        <w:overflowPunct/>
        <w:topLinePunct w:val="0"/>
        <w:bidi w:val="0"/>
        <w:adjustRightInd/>
        <w:snapToGrid/>
        <w:spacing w:line="240" w:lineRule="auto"/>
        <w:ind w:firstLine="420" w:firstLineChars="200"/>
        <w:textAlignment w:val="auto"/>
        <w:rPr>
          <w:rFonts w:hint="eastAsia"/>
        </w:rPr>
      </w:pPr>
      <w:r>
        <w:rPr>
          <w:rFonts w:hint="eastAsia"/>
          <w:lang w:val="en-US" w:eastAsia="zh-CN"/>
        </w:rPr>
        <w:t>氧化锂的</w:t>
      </w:r>
      <w:r>
        <w:rPr>
          <w:rFonts w:hint="eastAsia"/>
        </w:rPr>
        <w:t>I</w:t>
      </w:r>
      <w:r>
        <w:t>CP-OES</w:t>
      </w:r>
      <w:r>
        <w:rPr>
          <w:rFonts w:hint="eastAsia"/>
        </w:rPr>
        <w:t>推荐使用波长</w:t>
      </w:r>
      <w:r>
        <w:rPr>
          <w:rFonts w:hint="eastAsia"/>
          <w:lang w:val="en-US" w:eastAsia="zh-CN"/>
        </w:rPr>
        <w:t>为</w:t>
      </w:r>
      <w:r>
        <w:rPr>
          <w:rFonts w:hint="eastAsia"/>
        </w:rPr>
        <w:t>670.784</w:t>
      </w:r>
      <w:r>
        <w:rPr>
          <w:rFonts w:ascii="Times New Roman"/>
          <w:szCs w:val="21"/>
        </w:rPr>
        <w:t>nm</w:t>
      </w:r>
      <w:r>
        <w:rPr>
          <w:rFonts w:hint="eastAsia" w:ascii="Times New Roman"/>
          <w:szCs w:val="21"/>
          <w:lang w:val="en-US" w:eastAsia="zh-CN"/>
        </w:rPr>
        <w:t>和</w:t>
      </w:r>
      <w:r>
        <w:rPr>
          <w:rFonts w:hint="eastAsia"/>
        </w:rPr>
        <w:t>610.362</w:t>
      </w:r>
      <w:r>
        <w:rPr>
          <w:rFonts w:ascii="Times New Roman"/>
          <w:szCs w:val="21"/>
        </w:rPr>
        <w:t>nm</w:t>
      </w:r>
      <w:r>
        <w:rPr>
          <w:rFonts w:hint="eastAsia"/>
        </w:rPr>
        <w:t>。</w:t>
      </w:r>
    </w:p>
    <w:p w14:paraId="2F004CB3">
      <w:pPr>
        <w:pStyle w:val="43"/>
        <w:keepNext w:val="0"/>
        <w:keepLines w:val="0"/>
        <w:pageBreakBefore w:val="0"/>
        <w:widowControl/>
        <w:numPr>
          <w:ilvl w:val="1"/>
          <w:numId w:val="0"/>
        </w:numPr>
        <w:kinsoku/>
        <w:wordWrap/>
        <w:overflowPunct/>
        <w:topLinePunct w:val="0"/>
        <w:autoSpaceDE/>
        <w:autoSpaceDN/>
        <w:bidi w:val="0"/>
        <w:adjustRightInd/>
        <w:snapToGrid/>
        <w:spacing w:beforeLines="0" w:afterLines="0" w:line="240" w:lineRule="auto"/>
        <w:ind w:leftChars="0"/>
        <w:textAlignment w:val="auto"/>
        <w:outlineLvl w:val="9"/>
        <w:rPr>
          <w:rFonts w:hint="eastAsia"/>
        </w:rPr>
      </w:pPr>
      <w:bookmarkStart w:id="171" w:name="_Toc28298"/>
      <w:bookmarkStart w:id="172" w:name="_Toc1561"/>
      <w:bookmarkStart w:id="173" w:name="_Toc28992"/>
      <w:r>
        <w:rPr>
          <w:rFonts w:hint="eastAsia" w:ascii="Times New Roman" w:hAnsi="Times New Roman" w:cs="Times New Roman"/>
          <w:b/>
          <w:color w:val="000000" w:themeColor="text1"/>
          <w:sz w:val="24"/>
          <w:lang w:val="en-US" w:eastAsia="zh-CN"/>
          <w14:textFill>
            <w14:solidFill>
              <w14:schemeClr w14:val="tx1"/>
            </w14:solidFill>
          </w14:textFill>
        </w:rPr>
        <w:t>A</w:t>
      </w:r>
      <w:r>
        <w:rPr>
          <w:rFonts w:ascii="Times New Roman" w:hAnsi="Times New Roman" w:cs="Times New Roman"/>
          <w:b/>
          <w:color w:val="000000" w:themeColor="text1"/>
          <w:sz w:val="24"/>
          <w14:textFill>
            <w14:solidFill>
              <w14:schemeClr w14:val="tx1"/>
            </w14:solidFill>
          </w14:textFill>
        </w:rPr>
        <w:t>.0.</w:t>
      </w:r>
      <w:r>
        <w:rPr>
          <w:rFonts w:hint="eastAsia" w:ascii="Times New Roman" w:cs="Times New Roman"/>
          <w:b/>
          <w:color w:val="000000" w:themeColor="text1"/>
          <w:sz w:val="24"/>
          <w:lang w:val="en-US" w:eastAsia="zh-CN"/>
          <w14:textFill>
            <w14:solidFill>
              <w14:schemeClr w14:val="tx1"/>
            </w14:solidFill>
          </w14:textFill>
        </w:rPr>
        <w:t xml:space="preserve">6 </w:t>
      </w:r>
      <w:r>
        <w:rPr>
          <w:rFonts w:hint="eastAsia"/>
        </w:rPr>
        <w:t>结果计算</w:t>
      </w:r>
      <w:bookmarkEnd w:id="171"/>
      <w:bookmarkEnd w:id="172"/>
      <w:bookmarkEnd w:id="173"/>
    </w:p>
    <w:p w14:paraId="03BFEA6F">
      <w:pPr>
        <w:keepNext w:val="0"/>
        <w:keepLines w:val="0"/>
        <w:pageBreakBefore w:val="0"/>
        <w:kinsoku/>
        <w:wordWrap/>
        <w:overflowPunct/>
        <w:topLinePunct w:val="0"/>
        <w:bidi w:val="0"/>
        <w:adjustRightInd/>
        <w:snapToGrid/>
        <w:spacing w:line="240" w:lineRule="auto"/>
        <w:ind w:firstLine="480" w:firstLineChars="229"/>
        <w:textAlignment w:val="auto"/>
      </w:pPr>
      <w:r>
        <w:t>按公式（</w:t>
      </w:r>
      <w:r>
        <w:rPr>
          <w:rFonts w:hint="eastAsia"/>
          <w:lang w:val="en-US" w:eastAsia="zh-CN"/>
        </w:rPr>
        <w:t>A.0.6</w:t>
      </w:r>
      <w:r>
        <w:t>）计算各待测元素的质量分数：</w:t>
      </w:r>
    </w:p>
    <w:p w14:paraId="5A722879">
      <w:pPr>
        <w:keepNext w:val="0"/>
        <w:keepLines w:val="0"/>
        <w:pageBreakBefore w:val="0"/>
        <w:kinsoku/>
        <w:wordWrap/>
        <w:overflowPunct/>
        <w:topLinePunct w:val="0"/>
        <w:bidi w:val="0"/>
        <w:adjustRightInd/>
        <w:snapToGrid/>
        <w:spacing w:line="240" w:lineRule="auto"/>
        <w:ind w:firstLine="482"/>
        <w:jc w:val="right"/>
        <w:textAlignment w:val="auto"/>
        <w:rPr>
          <w:color w:val="000000"/>
          <w:szCs w:val="21"/>
        </w:rPr>
      </w:pPr>
      <w:r>
        <w:rPr>
          <w:color w:val="FF0000"/>
          <w:position w:val="-18"/>
          <w:szCs w:val="21"/>
        </w:rPr>
        <w:object>
          <v:shape id="_x0000_i1025" o:spt="75" type="#_x0000_t75" style="height:33.55pt;width:196pt;" o:ole="t" filled="f" o:preferrelative="t" stroked="f" coordsize="21600,21600">
            <v:path/>
            <v:fill on="f" alignshape="1" focussize="0,0"/>
            <v:stroke on="f"/>
            <v:imagedata r:id="rId13" grayscale="f" bilevel="f" o:title=""/>
            <o:lock v:ext="edit" aspectratio="t"/>
            <w10:wrap type="none"/>
            <w10:anchorlock/>
          </v:shape>
          <o:OLEObject Type="Embed" ProgID="Equation.3" ShapeID="_x0000_i1025" DrawAspect="Content" ObjectID="_1468075725" r:id="rId12">
            <o:LockedField>false</o:LockedField>
          </o:OLEObject>
        </w:object>
      </w:r>
      <w:r>
        <w:rPr>
          <w:color w:val="000000"/>
          <w:sz w:val="24"/>
        </w:rPr>
        <w:fldChar w:fldCharType="begin"/>
      </w:r>
      <w:r>
        <w:rPr>
          <w:color w:val="000000"/>
          <w:sz w:val="24"/>
        </w:rPr>
        <w:instrText xml:space="preserve"> QUOTE </w:instrText>
      </w:r>
      <w:r>
        <w:rPr>
          <w:color w:val="000000"/>
          <w:sz w:val="24"/>
        </w:rPr>
        <w:fldChar w:fldCharType="begin"/>
      </w:r>
      <w:r>
        <w:rPr>
          <w:color w:val="000000"/>
          <w:sz w:val="24"/>
        </w:rPr>
        <w:instrText xml:space="preserve"> QUOTE </w:instrText>
      </w:r>
      <w:r>
        <w:rPr>
          <w:color w:val="000000"/>
          <w:sz w:val="24"/>
        </w:rPr>
        <w:drawing>
          <wp:inline distT="0" distB="0" distL="114300" distR="114300">
            <wp:extent cx="5939790" cy="396240"/>
            <wp:effectExtent l="0" t="0" r="0" b="0"/>
            <wp:docPr id="7" name="图片 8"/>
            <wp:cNvGraphicFramePr/>
            <a:graphic xmlns:a="http://schemas.openxmlformats.org/drawingml/2006/main">
              <a:graphicData uri="http://schemas.openxmlformats.org/drawingml/2006/picture">
                <pic:pic xmlns:pic="http://schemas.openxmlformats.org/drawingml/2006/picture">
                  <pic:nvPicPr>
                    <pic:cNvPr id="7" name="图片 8"/>
                    <pic:cNvPicPr/>
                  </pic:nvPicPr>
                  <pic:blipFill>
                    <a:blip r:embed="rId14"/>
                    <a:stretch>
                      <a:fillRect/>
                    </a:stretch>
                  </pic:blipFill>
                  <pic:spPr>
                    <a:xfrm>
                      <a:off x="0" y="0"/>
                      <a:ext cx="5939790" cy="396240"/>
                    </a:xfrm>
                    <a:prstGeom prst="rect">
                      <a:avLst/>
                    </a:prstGeom>
                    <a:noFill/>
                    <a:ln>
                      <a:noFill/>
                    </a:ln>
                  </pic:spPr>
                </pic:pic>
              </a:graphicData>
            </a:graphic>
          </wp:inline>
        </w:drawing>
      </w:r>
      <w:r>
        <w:rPr>
          <w:color w:val="000000"/>
          <w:sz w:val="24"/>
        </w:rPr>
        <w:fldChar w:fldCharType="separate"/>
      </w:r>
      <w:r>
        <w:rPr>
          <w:color w:val="000000"/>
          <w:sz w:val="24"/>
        </w:rPr>
        <w:drawing>
          <wp:inline distT="0" distB="0" distL="114300" distR="114300">
            <wp:extent cx="5939790" cy="396240"/>
            <wp:effectExtent l="0" t="0" r="0" b="0"/>
            <wp:docPr id="9" name="图片 9"/>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4"/>
                    <a:stretch>
                      <a:fillRect/>
                    </a:stretch>
                  </pic:blipFill>
                  <pic:spPr>
                    <a:xfrm>
                      <a:off x="0" y="0"/>
                      <a:ext cx="5939790" cy="396240"/>
                    </a:xfrm>
                    <a:prstGeom prst="rect">
                      <a:avLst/>
                    </a:prstGeom>
                    <a:noFill/>
                    <a:ln>
                      <a:noFill/>
                    </a:ln>
                  </pic:spPr>
                </pic:pic>
              </a:graphicData>
            </a:graphic>
          </wp:inline>
        </w:drawing>
      </w:r>
      <w:r>
        <w:rPr>
          <w:color w:val="000000"/>
          <w:sz w:val="24"/>
        </w:rPr>
        <w:fldChar w:fldCharType="end"/>
      </w:r>
      <w:r>
        <w:rPr>
          <w:color w:val="000000"/>
          <w:sz w:val="24"/>
        </w:rPr>
        <w:fldChar w:fldCharType="end"/>
      </w:r>
      <w:r>
        <w:rPr>
          <w:rFonts w:hint="eastAsia"/>
          <w:color w:val="000000"/>
          <w:szCs w:val="21"/>
        </w:rPr>
        <w:t>············</w:t>
      </w:r>
      <w:r>
        <w:rPr>
          <w:color w:val="000000"/>
          <w:szCs w:val="21"/>
        </w:rPr>
        <w:t>(</w:t>
      </w:r>
      <w:r>
        <w:rPr>
          <w:rFonts w:hint="eastAsia"/>
          <w:color w:val="000000"/>
          <w:szCs w:val="21"/>
          <w:lang w:val="en-US" w:eastAsia="zh-CN"/>
        </w:rPr>
        <w:t>A.0.6</w:t>
      </w:r>
      <w:r>
        <w:rPr>
          <w:color w:val="000000"/>
          <w:szCs w:val="21"/>
        </w:rPr>
        <w:t>)</w:t>
      </w:r>
    </w:p>
    <w:p w14:paraId="14BF3007">
      <w:pPr>
        <w:keepNext w:val="0"/>
        <w:keepLines w:val="0"/>
        <w:pageBreakBefore w:val="0"/>
        <w:kinsoku/>
        <w:wordWrap/>
        <w:overflowPunct/>
        <w:topLinePunct w:val="0"/>
        <w:bidi w:val="0"/>
        <w:adjustRightInd/>
        <w:snapToGrid/>
        <w:spacing w:line="240" w:lineRule="auto"/>
        <w:ind w:firstLine="480" w:firstLineChars="229"/>
        <w:textAlignment w:val="auto"/>
      </w:pPr>
      <w:r>
        <w:t>式中：</w:t>
      </w:r>
    </w:p>
    <w:p w14:paraId="1057281F">
      <w:pPr>
        <w:keepNext w:val="0"/>
        <w:keepLines w:val="0"/>
        <w:pageBreakBefore w:val="0"/>
        <w:kinsoku/>
        <w:wordWrap/>
        <w:overflowPunct/>
        <w:topLinePunct w:val="0"/>
        <w:bidi w:val="0"/>
        <w:adjustRightInd/>
        <w:snapToGrid/>
        <w:spacing w:line="240" w:lineRule="auto"/>
        <w:ind w:firstLine="480" w:firstLineChars="229"/>
        <w:textAlignment w:val="auto"/>
      </w:pPr>
      <w:r>
        <w:rPr>
          <w:rFonts w:hint="eastAsia"/>
          <w:i/>
          <w:iCs/>
        </w:rPr>
        <w:t>w</w:t>
      </w:r>
      <w:r>
        <w:rPr>
          <w:i/>
          <w:iCs/>
          <w:position w:val="-10"/>
        </w:rPr>
        <w:object>
          <v:shape id="_x0000_i1026" o:spt="75" type="#_x0000_t75" style="height:13.95pt;width:6pt;" o:ole="t" filled="f" stroked="f" coordsize="21600,21600">
            <v:path/>
            <v:fill on="f" focussize="0,0"/>
            <v:stroke on="f"/>
            <v:imagedata r:id="rId16" o:title=""/>
            <o:lock v:ext="edit" aspectratio="t"/>
            <w10:wrap type="none"/>
            <w10:anchorlock/>
          </v:shape>
          <o:OLEObject Type="Embed" ProgID="Equation.DSMT4" ShapeID="_x0000_i1026" DrawAspect="Content" ObjectID="_1468075726" r:id="rId15">
            <o:LockedField>false</o:LockedField>
          </o:OLEObject>
        </w:object>
      </w:r>
      <w:r>
        <w:t>——</w:t>
      </w:r>
      <w:r>
        <w:rPr>
          <w:rFonts w:hint="eastAsia"/>
        </w:rPr>
        <w:t>各被测元素（S</w:t>
      </w:r>
      <w:r>
        <w:t>iO</w:t>
      </w:r>
      <w:r>
        <w:rPr>
          <w:vertAlign w:val="subscript"/>
        </w:rPr>
        <w:t>2</w:t>
      </w:r>
      <w:r>
        <w:rPr>
          <w:rFonts w:hint="eastAsia"/>
        </w:rPr>
        <w:t>、</w:t>
      </w:r>
      <w:r>
        <w:rPr>
          <w:szCs w:val="21"/>
        </w:rPr>
        <w:t>K</w:t>
      </w:r>
      <w:r>
        <w:rPr>
          <w:szCs w:val="21"/>
          <w:vertAlign w:val="subscript"/>
        </w:rPr>
        <w:t>2</w:t>
      </w:r>
      <w:r>
        <w:rPr>
          <w:szCs w:val="21"/>
        </w:rPr>
        <w:t>O、Na</w:t>
      </w:r>
      <w:r>
        <w:rPr>
          <w:szCs w:val="21"/>
          <w:vertAlign w:val="subscript"/>
        </w:rPr>
        <w:t>2</w:t>
      </w:r>
      <w:r>
        <w:rPr>
          <w:szCs w:val="21"/>
        </w:rPr>
        <w:t>O、</w:t>
      </w:r>
      <w:r>
        <w:rPr>
          <w:rFonts w:hint="eastAsia" w:hAnsi="黑体"/>
        </w:rPr>
        <w:t>Li</w:t>
      </w:r>
      <w:r>
        <w:rPr>
          <w:rFonts w:hint="eastAsia" w:hAnsi="黑体"/>
          <w:vertAlign w:val="subscript"/>
        </w:rPr>
        <w:t>2</w:t>
      </w:r>
      <w:r>
        <w:rPr>
          <w:rFonts w:hint="eastAsia" w:hAnsi="黑体"/>
        </w:rPr>
        <w:t>O</w:t>
      </w:r>
      <w:r>
        <w:rPr>
          <w:rFonts w:hint="eastAsia"/>
        </w:rPr>
        <w:t>）</w:t>
      </w:r>
      <w:r>
        <w:t>的质量分数，%；</w:t>
      </w:r>
    </w:p>
    <w:p w14:paraId="527A714D">
      <w:pPr>
        <w:keepNext w:val="0"/>
        <w:keepLines w:val="0"/>
        <w:pageBreakBefore w:val="0"/>
        <w:kinsoku/>
        <w:wordWrap/>
        <w:overflowPunct/>
        <w:topLinePunct w:val="0"/>
        <w:bidi w:val="0"/>
        <w:adjustRightInd/>
        <w:snapToGrid/>
        <w:spacing w:line="240" w:lineRule="auto"/>
        <w:ind w:firstLine="480" w:firstLineChars="229"/>
        <w:textAlignment w:val="auto"/>
      </w:pPr>
      <w:r>
        <w:rPr>
          <w:rFonts w:hint="eastAsia"/>
          <w:i/>
        </w:rPr>
        <w:t>c</w:t>
      </w:r>
      <w:r>
        <w:rPr>
          <w:i/>
          <w:vertAlign w:val="subscript"/>
        </w:rPr>
        <w:t>i</w:t>
      </w:r>
      <w:r>
        <w:t>——从</w:t>
      </w:r>
      <w:r>
        <w:rPr>
          <w:rFonts w:hint="eastAsia"/>
        </w:rPr>
        <w:t>标准</w:t>
      </w:r>
      <w:r>
        <w:t>曲线上查得的试</w:t>
      </w:r>
      <w:r>
        <w:rPr>
          <w:rFonts w:hint="eastAsia"/>
        </w:rPr>
        <w:t>样</w:t>
      </w:r>
      <w:r>
        <w:t>溶液中某被测元素的浓度，</w:t>
      </w:r>
      <w:r>
        <w:rPr>
          <w:rFonts w:hint="eastAsia"/>
        </w:rPr>
        <w:t>单位为毫克每升（</w:t>
      </w:r>
      <w:r>
        <w:t>mg/L</w:t>
      </w:r>
      <w:r>
        <w:rPr>
          <w:rFonts w:hint="eastAsia"/>
        </w:rPr>
        <w:t>）</w:t>
      </w:r>
      <w:r>
        <w:t>；</w:t>
      </w:r>
    </w:p>
    <w:p w14:paraId="15315CF4">
      <w:pPr>
        <w:keepNext w:val="0"/>
        <w:keepLines w:val="0"/>
        <w:pageBreakBefore w:val="0"/>
        <w:kinsoku/>
        <w:wordWrap/>
        <w:overflowPunct/>
        <w:topLinePunct w:val="0"/>
        <w:bidi w:val="0"/>
        <w:adjustRightInd/>
        <w:snapToGrid/>
        <w:spacing w:line="240" w:lineRule="auto"/>
        <w:ind w:firstLine="480" w:firstLineChars="229"/>
        <w:textAlignment w:val="auto"/>
      </w:pPr>
      <w:r>
        <w:rPr>
          <w:rFonts w:hint="eastAsia"/>
          <w:i/>
        </w:rPr>
        <w:t>c</w:t>
      </w:r>
      <w:r>
        <w:rPr>
          <w:i/>
          <w:vertAlign w:val="subscript"/>
        </w:rPr>
        <w:t>0</w:t>
      </w:r>
      <w:r>
        <w:t>——从</w:t>
      </w:r>
      <w:r>
        <w:rPr>
          <w:rFonts w:hint="eastAsia"/>
        </w:rPr>
        <w:t>标</w:t>
      </w:r>
      <w:r>
        <w:t>准曲线上查得的空白溶液中某被测元素的浓度，</w:t>
      </w:r>
      <w:r>
        <w:rPr>
          <w:rFonts w:hint="eastAsia"/>
        </w:rPr>
        <w:t>单位为毫克每升（</w:t>
      </w:r>
      <w:r>
        <w:t>mg/L</w:t>
      </w:r>
      <w:r>
        <w:rPr>
          <w:rFonts w:hint="eastAsia"/>
        </w:rPr>
        <w:t>）</w:t>
      </w:r>
      <w:r>
        <w:t>；</w:t>
      </w:r>
    </w:p>
    <w:p w14:paraId="3C4C648E">
      <w:pPr>
        <w:keepNext w:val="0"/>
        <w:keepLines w:val="0"/>
        <w:pageBreakBefore w:val="0"/>
        <w:kinsoku/>
        <w:wordWrap/>
        <w:overflowPunct/>
        <w:topLinePunct w:val="0"/>
        <w:bidi w:val="0"/>
        <w:adjustRightInd/>
        <w:snapToGrid/>
        <w:spacing w:line="240" w:lineRule="auto"/>
        <w:ind w:firstLine="480" w:firstLineChars="229"/>
        <w:textAlignment w:val="auto"/>
      </w:pPr>
      <w:r>
        <w:rPr>
          <w:i/>
        </w:rPr>
        <w:t>V</w:t>
      </w:r>
      <w:r>
        <w:t>——试</w:t>
      </w:r>
      <w:r>
        <w:rPr>
          <w:rFonts w:hint="eastAsia"/>
        </w:rPr>
        <w:t>样</w:t>
      </w:r>
      <w:r>
        <w:t>溶液的体积，</w:t>
      </w:r>
      <w:r>
        <w:rPr>
          <w:rFonts w:hint="eastAsia"/>
        </w:rPr>
        <w:t>单位为毫升（</w:t>
      </w:r>
      <w:r>
        <w:t>mL</w:t>
      </w:r>
      <w:r>
        <w:rPr>
          <w:rFonts w:hint="eastAsia"/>
        </w:rPr>
        <w:t>）</w:t>
      </w:r>
      <w:r>
        <w:t>；</w:t>
      </w:r>
    </w:p>
    <w:p w14:paraId="5512EDA1">
      <w:pPr>
        <w:keepNext w:val="0"/>
        <w:keepLines w:val="0"/>
        <w:pageBreakBefore w:val="0"/>
        <w:kinsoku/>
        <w:wordWrap/>
        <w:overflowPunct/>
        <w:topLinePunct w:val="0"/>
        <w:bidi w:val="0"/>
        <w:adjustRightInd/>
        <w:snapToGrid/>
        <w:spacing w:line="240" w:lineRule="auto"/>
        <w:ind w:firstLine="480" w:firstLineChars="229"/>
        <w:textAlignment w:val="auto"/>
        <w:rPr>
          <w:i/>
        </w:rPr>
      </w:pPr>
      <w:r>
        <w:rPr>
          <w:rFonts w:hint="eastAsia"/>
          <w:i/>
        </w:rPr>
        <w:t>m</w:t>
      </w:r>
      <w:r>
        <w:t>——试</w:t>
      </w:r>
      <w:r>
        <w:rPr>
          <w:rFonts w:hint="eastAsia"/>
        </w:rPr>
        <w:t>样的质量</w:t>
      </w:r>
      <w:r>
        <w:t>，</w:t>
      </w:r>
      <w:r>
        <w:rPr>
          <w:rFonts w:hint="eastAsia"/>
        </w:rPr>
        <w:t>单位为</w:t>
      </w:r>
      <w:r>
        <w:t>克</w:t>
      </w:r>
      <w:r>
        <w:rPr>
          <w:rFonts w:hint="eastAsia"/>
        </w:rPr>
        <w:t>（g）</w:t>
      </w:r>
      <w:r>
        <w:t>；</w:t>
      </w:r>
    </w:p>
    <w:p w14:paraId="318AC0D2">
      <w:pPr>
        <w:keepNext w:val="0"/>
        <w:keepLines w:val="0"/>
        <w:pageBreakBefore w:val="0"/>
        <w:kinsoku/>
        <w:wordWrap/>
        <w:overflowPunct/>
        <w:topLinePunct w:val="0"/>
        <w:bidi w:val="0"/>
        <w:adjustRightInd/>
        <w:snapToGrid/>
        <w:spacing w:line="240" w:lineRule="auto"/>
        <w:ind w:firstLine="480" w:firstLineChars="229"/>
        <w:textAlignment w:val="auto"/>
      </w:pPr>
      <w:r>
        <w:rPr>
          <w:i/>
        </w:rPr>
        <w:t>k</w:t>
      </w:r>
      <w:r>
        <w:t>——溶液的稀释倍数</w:t>
      </w:r>
      <w:r>
        <w:rPr>
          <w:rFonts w:hint="eastAsia"/>
        </w:rPr>
        <w:t>；</w:t>
      </w:r>
    </w:p>
    <w:p w14:paraId="3879D040">
      <w:pPr>
        <w:keepNext w:val="0"/>
        <w:keepLines w:val="0"/>
        <w:pageBreakBefore w:val="0"/>
        <w:kinsoku/>
        <w:wordWrap/>
        <w:overflowPunct/>
        <w:topLinePunct w:val="0"/>
        <w:bidi w:val="0"/>
        <w:adjustRightInd/>
        <w:snapToGrid/>
        <w:spacing w:line="240" w:lineRule="auto"/>
        <w:ind w:firstLine="480" w:firstLineChars="229"/>
        <w:textAlignment w:val="auto"/>
      </w:pPr>
      <w:r>
        <w:rPr>
          <w:i/>
        </w:rPr>
        <w:t>f</w:t>
      </w:r>
      <w:r>
        <w:t>——</w:t>
      </w:r>
      <w:r>
        <w:rPr>
          <w:rFonts w:hint="eastAsia"/>
        </w:rPr>
        <w:t>氧化物与元素的转换系数，</w:t>
      </w:r>
      <w:r>
        <w:rPr>
          <w:rFonts w:hint="eastAsia"/>
          <w:lang w:val="en-US" w:eastAsia="zh-CN"/>
        </w:rPr>
        <w:t>取</w:t>
      </w:r>
      <w:r>
        <w:rPr>
          <w:rFonts w:hint="eastAsia"/>
          <w:szCs w:val="21"/>
        </w:rPr>
        <w:t>2.153</w:t>
      </w:r>
      <w:r>
        <w:rPr>
          <w:rFonts w:hint="eastAsia"/>
        </w:rPr>
        <w:t>。</w:t>
      </w:r>
    </w:p>
    <w:p w14:paraId="5ED962FA">
      <w:pPr>
        <w:pStyle w:val="50"/>
        <w:keepNext w:val="0"/>
        <w:keepLines w:val="0"/>
        <w:pageBreakBefore w:val="0"/>
        <w:kinsoku/>
        <w:wordWrap/>
        <w:overflowPunct/>
        <w:topLinePunct w:val="0"/>
        <w:bidi w:val="0"/>
        <w:adjustRightInd/>
        <w:snapToGrid/>
        <w:spacing w:line="240" w:lineRule="auto"/>
        <w:textAlignment w:val="auto"/>
        <w:rPr>
          <w:rFonts w:hint="eastAsia"/>
        </w:rPr>
      </w:pPr>
      <w:r>
        <w:rPr>
          <w:rFonts w:hint="eastAsia"/>
        </w:rPr>
        <w:t>当使用氧化物表示标准溶液浓度时，不需要使用</w:t>
      </w:r>
      <w:r>
        <w:rPr>
          <w:rFonts w:hint="eastAsia"/>
          <w:i/>
        </w:rPr>
        <w:t>f</w:t>
      </w:r>
      <w:r>
        <w:rPr>
          <w:rFonts w:hint="eastAsia"/>
        </w:rPr>
        <w:t>进行转换。</w:t>
      </w:r>
    </w:p>
    <w:bookmarkEnd w:id="161"/>
    <w:p w14:paraId="13FF02CD">
      <w:pPr>
        <w:pStyle w:val="43"/>
        <w:keepNext w:val="0"/>
        <w:keepLines w:val="0"/>
        <w:pageBreakBefore w:val="0"/>
        <w:widowControl/>
        <w:numPr>
          <w:ilvl w:val="1"/>
          <w:numId w:val="0"/>
        </w:numPr>
        <w:kinsoku/>
        <w:wordWrap/>
        <w:overflowPunct/>
        <w:topLinePunct w:val="0"/>
        <w:autoSpaceDE/>
        <w:autoSpaceDN/>
        <w:bidi w:val="0"/>
        <w:adjustRightInd/>
        <w:snapToGrid/>
        <w:spacing w:beforeLines="0" w:afterLines="0" w:line="240" w:lineRule="auto"/>
        <w:ind w:leftChars="0"/>
        <w:textAlignment w:val="auto"/>
        <w:outlineLvl w:val="9"/>
        <w:rPr>
          <w:rFonts w:hint="eastAsia" w:ascii="Times New Roman" w:hAnsi="Times New Roman" w:cs="Times New Roman"/>
          <w:b/>
          <w:color w:val="000000" w:themeColor="text1"/>
          <w:sz w:val="24"/>
          <w14:textFill>
            <w14:solidFill>
              <w14:schemeClr w14:val="tx1"/>
            </w14:solidFill>
          </w14:textFill>
        </w:rPr>
      </w:pPr>
      <w:bookmarkStart w:id="174" w:name="_Hlk119256341"/>
      <w:r>
        <w:rPr>
          <w:rFonts w:hint="eastAsia" w:ascii="Times New Roman" w:hAnsi="Times New Roman" w:cs="Times New Roman"/>
          <w:b/>
          <w:color w:val="000000" w:themeColor="text1"/>
          <w:sz w:val="24"/>
          <w:lang w:val="en-US" w:eastAsia="zh-CN"/>
          <w14:textFill>
            <w14:solidFill>
              <w14:schemeClr w14:val="tx1"/>
            </w14:solidFill>
          </w14:textFill>
        </w:rPr>
        <w:t>A</w:t>
      </w:r>
      <w:r>
        <w:rPr>
          <w:rFonts w:ascii="Times New Roman" w:hAnsi="Times New Roman" w:cs="Times New Roman"/>
          <w:b/>
          <w:color w:val="000000" w:themeColor="text1"/>
          <w:sz w:val="24"/>
          <w14:textFill>
            <w14:solidFill>
              <w14:schemeClr w14:val="tx1"/>
            </w14:solidFill>
          </w14:textFill>
        </w:rPr>
        <w:t>.0.</w:t>
      </w:r>
      <w:r>
        <w:rPr>
          <w:rFonts w:hint="eastAsia" w:ascii="Times New Roman" w:hAnsi="Times New Roman" w:cs="Times New Roman"/>
          <w:b/>
          <w:color w:val="000000" w:themeColor="text1"/>
          <w:sz w:val="24"/>
          <w:lang w:val="en-US" w:eastAsia="zh-CN"/>
          <w14:textFill>
            <w14:solidFill>
              <w14:schemeClr w14:val="tx1"/>
            </w14:solidFill>
          </w14:textFill>
        </w:rPr>
        <w:t xml:space="preserve">7 </w:t>
      </w:r>
      <w:r>
        <w:rPr>
          <w:rFonts w:hint="eastAsia" w:ascii="Times New Roman" w:hAnsi="Times New Roman" w:cs="Times New Roman"/>
          <w:b w:val="0"/>
          <w:bCs/>
          <w:color w:val="000000" w:themeColor="text1"/>
          <w:sz w:val="24"/>
          <w14:textFill>
            <w14:solidFill>
              <w14:schemeClr w14:val="tx1"/>
            </w14:solidFill>
          </w14:textFill>
        </w:rPr>
        <w:t>结果表示</w:t>
      </w:r>
    </w:p>
    <w:p w14:paraId="5CF85216">
      <w:pPr>
        <w:keepNext w:val="0"/>
        <w:keepLines w:val="0"/>
        <w:pageBreakBefore w:val="0"/>
        <w:kinsoku/>
        <w:wordWrap/>
        <w:overflowPunct/>
        <w:topLinePunct w:val="0"/>
        <w:bidi w:val="0"/>
        <w:adjustRightInd/>
        <w:snapToGrid/>
        <w:spacing w:line="240" w:lineRule="auto"/>
        <w:ind w:firstLine="420" w:firstLineChars="200"/>
        <w:jc w:val="left"/>
        <w:textAlignment w:val="auto"/>
        <w:rPr>
          <w:rFonts w:hint="eastAsia"/>
        </w:rPr>
      </w:pPr>
      <w:r>
        <w:rPr>
          <w:rFonts w:hint="eastAsia"/>
        </w:rPr>
        <w:t>在重复性条件下测定</w:t>
      </w:r>
      <w:r>
        <w:t>2</w:t>
      </w:r>
      <w:r>
        <w:rPr>
          <w:rFonts w:hint="eastAsia"/>
        </w:rPr>
        <w:t>次，取平均值，所得结果应按GB/T 8170修约，当含量不小于0.10%时，结果保留2位小数；当含量小于0.10%时，结果保留2位有效数字；如果委托方供货合同或有关标准另有要求时，可按要求的位数修约。</w:t>
      </w:r>
    </w:p>
    <w:p w14:paraId="11C559E1">
      <w:pPr>
        <w:keepNext w:val="0"/>
        <w:keepLines w:val="0"/>
        <w:pageBreakBefore w:val="0"/>
        <w:kinsoku/>
        <w:wordWrap/>
        <w:overflowPunct/>
        <w:topLinePunct w:val="0"/>
        <w:bidi w:val="0"/>
        <w:adjustRightInd/>
        <w:snapToGrid/>
        <w:spacing w:line="240" w:lineRule="auto"/>
        <w:ind w:firstLine="420" w:firstLineChars="200"/>
        <w:jc w:val="left"/>
        <w:textAlignment w:val="auto"/>
      </w:pPr>
      <w:r>
        <w:rPr>
          <w:rFonts w:hint="eastAsia"/>
        </w:rPr>
        <w:t>ICP-OES法测试氧化锂参考浓度检出限</w:t>
      </w:r>
      <w:r>
        <w:rPr>
          <w:rFonts w:hint="eastAsia"/>
          <w:kern w:val="0"/>
          <w:szCs w:val="21"/>
        </w:rPr>
        <w:t>0.0084</w:t>
      </w:r>
      <w:r>
        <w:rPr>
          <w:rFonts w:ascii="Times New Roman"/>
          <w:bCs/>
          <w:szCs w:val="21"/>
        </w:rPr>
        <w:t>mg/L</w:t>
      </w:r>
      <w:r>
        <w:rPr>
          <w:rFonts w:hint="eastAsia"/>
        </w:rPr>
        <w:t>和定量限</w:t>
      </w:r>
      <w:r>
        <w:rPr>
          <w:rFonts w:hint="eastAsia"/>
          <w:kern w:val="0"/>
          <w:szCs w:val="21"/>
        </w:rPr>
        <w:t>0.028</w:t>
      </w:r>
      <w:r>
        <w:rPr>
          <w:rFonts w:ascii="Times New Roman"/>
          <w:bCs/>
          <w:szCs w:val="21"/>
        </w:rPr>
        <w:t>mg/L</w:t>
      </w:r>
      <w:r>
        <w:rPr>
          <w:rFonts w:hint="eastAsia"/>
        </w:rPr>
        <w:t>。</w:t>
      </w:r>
    </w:p>
    <w:p w14:paraId="30596BD0">
      <w:pPr>
        <w:pStyle w:val="43"/>
        <w:keepNext w:val="0"/>
        <w:keepLines w:val="0"/>
        <w:pageBreakBefore w:val="0"/>
        <w:widowControl/>
        <w:numPr>
          <w:ilvl w:val="1"/>
          <w:numId w:val="0"/>
        </w:numPr>
        <w:kinsoku/>
        <w:wordWrap/>
        <w:overflowPunct/>
        <w:topLinePunct w:val="0"/>
        <w:autoSpaceDE/>
        <w:autoSpaceDN/>
        <w:bidi w:val="0"/>
        <w:adjustRightInd/>
        <w:snapToGrid/>
        <w:spacing w:beforeLines="0" w:afterLines="0" w:line="240" w:lineRule="auto"/>
        <w:ind w:leftChars="0"/>
        <w:textAlignment w:val="auto"/>
        <w:outlineLvl w:val="9"/>
        <w:rPr>
          <w:rFonts w:hint="eastAsia" w:ascii="Times New Roman" w:hAnsi="Times New Roman" w:cs="Times New Roman"/>
          <w:b/>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 xml:space="preserve">A.0.8 </w:t>
      </w:r>
      <w:r>
        <w:rPr>
          <w:rFonts w:hint="eastAsia" w:ascii="Times New Roman" w:hAnsi="Times New Roman" w:cs="Times New Roman"/>
          <w:b w:val="0"/>
          <w:bCs/>
          <w:color w:val="000000" w:themeColor="text1"/>
          <w:sz w:val="24"/>
          <w:lang w:val="en-US" w:eastAsia="zh-CN"/>
          <w14:textFill>
            <w14:solidFill>
              <w14:schemeClr w14:val="tx1"/>
            </w14:solidFill>
          </w14:textFill>
        </w:rPr>
        <w:t>精密度</w:t>
      </w:r>
    </w:p>
    <w:p w14:paraId="39A64F69">
      <w:pPr>
        <w:keepNext w:val="0"/>
        <w:keepLines w:val="0"/>
        <w:pageBreakBefore w:val="0"/>
        <w:kinsoku/>
        <w:wordWrap/>
        <w:overflowPunct/>
        <w:topLinePunct w:val="0"/>
        <w:bidi w:val="0"/>
        <w:adjustRightInd/>
        <w:snapToGrid/>
        <w:spacing w:line="240" w:lineRule="auto"/>
        <w:ind w:firstLine="420" w:firstLineChars="200"/>
        <w:textAlignment w:val="auto"/>
        <w:rPr>
          <w:rFonts w:hint="eastAsia"/>
        </w:rPr>
      </w:pPr>
      <w:r>
        <w:rPr>
          <w:rFonts w:hint="eastAsia"/>
        </w:rPr>
        <w:t>同一实验室，当含量不小于</w:t>
      </w:r>
      <w:r>
        <w:t>10</w:t>
      </w:r>
      <w:r>
        <w:rPr>
          <w:rFonts w:hint="eastAsia"/>
        </w:rPr>
        <w:t>%时，两次独立测试结果的绝对差值不大于两个测定值的算术平均值的</w:t>
      </w:r>
      <w:r>
        <w:t>5</w:t>
      </w:r>
      <w:r>
        <w:rPr>
          <w:rFonts w:hint="eastAsia"/>
        </w:rPr>
        <w:t>%；当含量小于</w:t>
      </w:r>
      <w:r>
        <w:t>10%</w:t>
      </w:r>
      <w:r>
        <w:rPr>
          <w:rFonts w:hint="eastAsia"/>
        </w:rPr>
        <w:t>并且不小于</w:t>
      </w:r>
      <w:r>
        <w:t>0.1</w:t>
      </w:r>
      <w:r>
        <w:rPr>
          <w:rFonts w:hint="eastAsia"/>
        </w:rPr>
        <w:t>%时，两次独立测试结果的绝对差值不大于两个测定值的算术平均值的10%；当含量小于0.1%时，两次独立测试结果的绝对差值不大于两个测定值的算术平均值的15%。</w:t>
      </w:r>
    </w:p>
    <w:bookmarkEnd w:id="174"/>
    <w:p w14:paraId="2CA9847B">
      <w:pPr>
        <w:pStyle w:val="43"/>
        <w:keepNext w:val="0"/>
        <w:keepLines w:val="0"/>
        <w:pageBreakBefore w:val="0"/>
        <w:widowControl/>
        <w:numPr>
          <w:ilvl w:val="1"/>
          <w:numId w:val="0"/>
        </w:numPr>
        <w:kinsoku/>
        <w:wordWrap/>
        <w:overflowPunct/>
        <w:topLinePunct w:val="0"/>
        <w:autoSpaceDE/>
        <w:autoSpaceDN/>
        <w:bidi w:val="0"/>
        <w:adjustRightInd/>
        <w:snapToGrid/>
        <w:spacing w:beforeLines="0" w:afterLines="0" w:line="240" w:lineRule="auto"/>
        <w:ind w:leftChars="0"/>
        <w:textAlignment w:val="auto"/>
        <w:outlineLvl w:val="9"/>
        <w:rPr>
          <w:rFonts w:hint="eastAsia" w:ascii="Times New Roman" w:hAnsi="Times New Roman" w:cs="Times New Roman"/>
          <w:b/>
          <w:color w:val="000000" w:themeColor="text1"/>
          <w:sz w:val="24"/>
          <w:lang w:val="en-US" w:eastAsia="zh-CN"/>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 xml:space="preserve">A.0.9 </w:t>
      </w:r>
      <w:r>
        <w:rPr>
          <w:rFonts w:hint="eastAsia" w:ascii="Times New Roman" w:hAnsi="Times New Roman" w:cs="Times New Roman"/>
          <w:b w:val="0"/>
          <w:bCs/>
          <w:color w:val="000000" w:themeColor="text1"/>
          <w:sz w:val="24"/>
          <w:lang w:val="en-US" w:eastAsia="zh-CN"/>
          <w14:textFill>
            <w14:solidFill>
              <w14:schemeClr w14:val="tx1"/>
            </w14:solidFill>
          </w14:textFill>
        </w:rPr>
        <w:t>试验报告</w:t>
      </w:r>
    </w:p>
    <w:p w14:paraId="3652451B">
      <w:pPr>
        <w:keepNext w:val="0"/>
        <w:keepLines w:val="0"/>
        <w:pageBreakBefore w:val="0"/>
        <w:kinsoku/>
        <w:wordWrap/>
        <w:overflowPunct/>
        <w:topLinePunct w:val="0"/>
        <w:bidi w:val="0"/>
        <w:adjustRightInd/>
        <w:snapToGrid/>
        <w:spacing w:line="240" w:lineRule="auto"/>
        <w:ind w:firstLine="420" w:firstLineChars="200"/>
        <w:jc w:val="left"/>
        <w:textAlignment w:val="auto"/>
        <w:rPr>
          <w:rFonts w:hint="eastAsia" w:ascii="宋体" w:hAnsi="宋体" w:eastAsia="宋体" w:cs="宋体"/>
        </w:rPr>
      </w:pPr>
      <w:r>
        <w:rPr>
          <w:rFonts w:hint="eastAsia" w:ascii="宋体" w:hAnsi="宋体" w:eastAsia="宋体" w:cs="宋体"/>
        </w:rPr>
        <w:t>试验报告应至少包括以下内容：</w:t>
      </w:r>
    </w:p>
    <w:p w14:paraId="68E18B13">
      <w:pPr>
        <w:pStyle w:val="36"/>
        <w:keepNext w:val="0"/>
        <w:keepLines w:val="0"/>
        <w:pageBreakBefore w:val="0"/>
        <w:tabs>
          <w:tab w:val="center" w:pos="4201"/>
          <w:tab w:val="right" w:leader="dot" w:pos="9298"/>
        </w:tabs>
        <w:kinsoku/>
        <w:wordWrap/>
        <w:overflowPunct/>
        <w:topLinePunct w:val="0"/>
        <w:bidi w:val="0"/>
        <w:adjustRightInd/>
        <w:snapToGrid/>
        <w:spacing w:line="240" w:lineRule="auto"/>
        <w:textAlignment w:val="auto"/>
        <w:rPr>
          <w:rFonts w:hint="eastAsia" w:ascii="宋体" w:hAnsi="宋体" w:eastAsia="宋体" w:cs="宋体"/>
        </w:rPr>
      </w:pPr>
      <w:r>
        <w:rPr>
          <w:rFonts w:hint="eastAsia" w:ascii="宋体" w:hAnsi="宋体" w:eastAsia="宋体" w:cs="宋体"/>
        </w:rPr>
        <w:t>a）委托单位；</w:t>
      </w:r>
    </w:p>
    <w:p w14:paraId="53E99525">
      <w:pPr>
        <w:pStyle w:val="36"/>
        <w:keepNext w:val="0"/>
        <w:keepLines w:val="0"/>
        <w:pageBreakBefore w:val="0"/>
        <w:tabs>
          <w:tab w:val="center" w:pos="4201"/>
          <w:tab w:val="right" w:leader="dot" w:pos="9298"/>
        </w:tabs>
        <w:kinsoku/>
        <w:wordWrap/>
        <w:overflowPunct/>
        <w:topLinePunct w:val="0"/>
        <w:bidi w:val="0"/>
        <w:adjustRightInd/>
        <w:snapToGrid/>
        <w:spacing w:line="240" w:lineRule="auto"/>
        <w:textAlignment w:val="auto"/>
        <w:rPr>
          <w:rFonts w:hint="eastAsia" w:ascii="宋体" w:hAnsi="宋体" w:eastAsia="宋体" w:cs="宋体"/>
        </w:rPr>
      </w:pPr>
      <w:r>
        <w:rPr>
          <w:rFonts w:hint="eastAsia" w:ascii="宋体" w:hAnsi="宋体" w:eastAsia="宋体" w:cs="宋体"/>
        </w:rPr>
        <w:t>b）试样名称；</w:t>
      </w:r>
    </w:p>
    <w:p w14:paraId="51C96B4E">
      <w:pPr>
        <w:pStyle w:val="36"/>
        <w:keepNext w:val="0"/>
        <w:keepLines w:val="0"/>
        <w:pageBreakBefore w:val="0"/>
        <w:tabs>
          <w:tab w:val="center" w:pos="4201"/>
          <w:tab w:val="right" w:leader="dot" w:pos="9298"/>
        </w:tabs>
        <w:kinsoku/>
        <w:wordWrap/>
        <w:overflowPunct/>
        <w:topLinePunct w:val="0"/>
        <w:bidi w:val="0"/>
        <w:adjustRightInd/>
        <w:snapToGrid/>
        <w:spacing w:line="240" w:lineRule="auto"/>
        <w:textAlignment w:val="auto"/>
        <w:rPr>
          <w:rFonts w:hint="eastAsia" w:ascii="宋体" w:hAnsi="宋体" w:eastAsia="宋体" w:cs="宋体"/>
        </w:rPr>
      </w:pPr>
      <w:r>
        <w:rPr>
          <w:rFonts w:hint="eastAsia" w:ascii="宋体" w:hAnsi="宋体" w:eastAsia="宋体" w:cs="宋体"/>
        </w:rPr>
        <w:t>c）检测依据；</w:t>
      </w:r>
    </w:p>
    <w:p w14:paraId="67C4F186">
      <w:pPr>
        <w:pStyle w:val="36"/>
        <w:keepNext w:val="0"/>
        <w:keepLines w:val="0"/>
        <w:pageBreakBefore w:val="0"/>
        <w:tabs>
          <w:tab w:val="center" w:pos="4201"/>
          <w:tab w:val="right" w:leader="dot" w:pos="9298"/>
        </w:tabs>
        <w:kinsoku/>
        <w:wordWrap/>
        <w:overflowPunct/>
        <w:topLinePunct w:val="0"/>
        <w:bidi w:val="0"/>
        <w:adjustRightInd/>
        <w:snapToGrid/>
        <w:spacing w:line="240" w:lineRule="auto"/>
        <w:textAlignment w:val="auto"/>
        <w:rPr>
          <w:rFonts w:hint="eastAsia" w:ascii="宋体" w:hAnsi="宋体" w:eastAsia="宋体" w:cs="宋体"/>
        </w:rPr>
      </w:pPr>
      <w:r>
        <w:rPr>
          <w:rFonts w:hint="eastAsia" w:ascii="宋体" w:hAnsi="宋体" w:eastAsia="宋体" w:cs="宋体"/>
        </w:rPr>
        <w:t>d）检测结果；</w:t>
      </w:r>
    </w:p>
    <w:p w14:paraId="6CECCBFF">
      <w:pPr>
        <w:pStyle w:val="36"/>
        <w:keepNext w:val="0"/>
        <w:keepLines w:val="0"/>
        <w:pageBreakBefore w:val="0"/>
        <w:tabs>
          <w:tab w:val="center" w:pos="4201"/>
          <w:tab w:val="right" w:leader="dot" w:pos="9298"/>
        </w:tabs>
        <w:kinsoku/>
        <w:wordWrap/>
        <w:overflowPunct/>
        <w:topLinePunct w:val="0"/>
        <w:bidi w:val="0"/>
        <w:adjustRightInd/>
        <w:snapToGrid/>
        <w:spacing w:line="240" w:lineRule="auto"/>
        <w:textAlignment w:val="auto"/>
        <w:rPr>
          <w:rFonts w:hint="eastAsia" w:ascii="宋体" w:hAnsi="宋体" w:eastAsia="宋体" w:cs="宋体"/>
        </w:rPr>
      </w:pPr>
      <w:r>
        <w:rPr>
          <w:rFonts w:hint="eastAsia" w:ascii="宋体" w:hAnsi="宋体" w:eastAsia="宋体" w:cs="宋体"/>
        </w:rPr>
        <w:t>e）与本方法的差异（如有）；</w:t>
      </w:r>
    </w:p>
    <w:p w14:paraId="2E69B840">
      <w:pPr>
        <w:pStyle w:val="36"/>
        <w:keepNext w:val="0"/>
        <w:keepLines w:val="0"/>
        <w:pageBreakBefore w:val="0"/>
        <w:tabs>
          <w:tab w:val="center" w:pos="4201"/>
          <w:tab w:val="right" w:leader="dot" w:pos="9298"/>
        </w:tabs>
        <w:kinsoku/>
        <w:wordWrap/>
        <w:overflowPunct/>
        <w:topLinePunct w:val="0"/>
        <w:bidi w:val="0"/>
        <w:adjustRightInd/>
        <w:snapToGrid/>
        <w:spacing w:line="240" w:lineRule="auto"/>
        <w:textAlignment w:val="auto"/>
        <w:rPr>
          <w:rFonts w:hint="eastAsia" w:ascii="宋体" w:hAnsi="宋体" w:eastAsia="宋体" w:cs="宋体"/>
        </w:rPr>
      </w:pPr>
      <w:r>
        <w:rPr>
          <w:rFonts w:hint="eastAsia" w:ascii="宋体" w:hAnsi="宋体" w:eastAsia="宋体" w:cs="宋体"/>
        </w:rPr>
        <w:t>f）</w:t>
      </w:r>
      <w:bookmarkStart w:id="175" w:name="_Hlk32525038"/>
      <w:bookmarkEnd w:id="175"/>
      <w:bookmarkStart w:id="176" w:name="_Hlk36187013"/>
      <w:bookmarkEnd w:id="176"/>
      <w:r>
        <w:rPr>
          <w:rFonts w:hint="eastAsia" w:ascii="宋体" w:hAnsi="宋体" w:eastAsia="宋体" w:cs="宋体"/>
        </w:rPr>
        <w:t>在试验中观察到的异常现象（如有）；</w:t>
      </w:r>
    </w:p>
    <w:p w14:paraId="16A286D6">
      <w:pPr>
        <w:pStyle w:val="36"/>
        <w:keepNext w:val="0"/>
        <w:keepLines w:val="0"/>
        <w:pageBreakBefore w:val="0"/>
        <w:tabs>
          <w:tab w:val="center" w:pos="4201"/>
          <w:tab w:val="right" w:leader="dot" w:pos="9298"/>
        </w:tabs>
        <w:kinsoku/>
        <w:wordWrap/>
        <w:overflowPunct/>
        <w:topLinePunct w:val="0"/>
        <w:bidi w:val="0"/>
        <w:adjustRightInd/>
        <w:snapToGrid/>
        <w:spacing w:line="240" w:lineRule="auto"/>
        <w:textAlignment w:val="auto"/>
        <w:rPr>
          <w:rFonts w:hint="eastAsia" w:ascii="宋体" w:hAnsi="宋体" w:eastAsia="宋体" w:cs="宋体"/>
        </w:rPr>
      </w:pPr>
      <w:r>
        <w:rPr>
          <w:rFonts w:hint="eastAsia" w:ascii="宋体" w:hAnsi="宋体" w:eastAsia="宋体" w:cs="宋体"/>
        </w:rPr>
        <w:t>g）试验日期。</w:t>
      </w:r>
    </w:p>
    <w:p w14:paraId="54A64F20">
      <w:pPr>
        <w:pStyle w:val="36"/>
        <w:keepNext w:val="0"/>
        <w:keepLines w:val="0"/>
        <w:pageBreakBefore w:val="0"/>
        <w:kinsoku/>
        <w:wordWrap/>
        <w:overflowPunct/>
        <w:topLinePunct w:val="0"/>
        <w:bidi w:val="0"/>
        <w:adjustRightInd/>
        <w:snapToGrid/>
        <w:spacing w:line="240" w:lineRule="auto"/>
        <w:textAlignment w:val="auto"/>
      </w:pPr>
    </w:p>
    <w:bookmarkEnd w:id="133"/>
    <w:p w14:paraId="0F6DFF80">
      <w:pPr>
        <w:rPr>
          <w:rFonts w:ascii="Times New Roman" w:cs="Times New Roman"/>
          <w:sz w:val="24"/>
        </w:rPr>
      </w:pPr>
      <w:bookmarkStart w:id="177" w:name="_Toc533422986"/>
      <w:bookmarkStart w:id="178" w:name="_Toc533422756"/>
      <w:bookmarkStart w:id="179" w:name="_Toc533422626"/>
      <w:r>
        <w:rPr>
          <w:rFonts w:ascii="Times New Roman" w:cs="Times New Roman"/>
          <w:sz w:val="24"/>
        </w:rPr>
        <w:br w:type="page"/>
      </w:r>
    </w:p>
    <w:p w14:paraId="6E2EF714">
      <w:pPr>
        <w:widowControl/>
        <w:jc w:val="left"/>
        <w:rPr>
          <w:rFonts w:ascii="Times New Roman" w:hAnsi="Times New Roman" w:cs="Times New Roman"/>
          <w:color w:val="000000" w:themeColor="text1"/>
          <w14:textFill>
            <w14:solidFill>
              <w14:schemeClr w14:val="tx1"/>
            </w14:solidFill>
          </w14:textFill>
        </w:rPr>
      </w:pPr>
    </w:p>
    <w:p w14:paraId="6A2C499E">
      <w:pPr>
        <w:pStyle w:val="2"/>
        <w:keepNext w:val="0"/>
        <w:keepLines w:val="0"/>
        <w:snapToGrid w:val="0"/>
        <w:spacing w:before="312" w:beforeLines="100" w:after="312" w:afterLines="100" w:line="360" w:lineRule="auto"/>
        <w:jc w:val="center"/>
        <w:rPr>
          <w:rFonts w:ascii="Times New Roman" w:hAnsi="Times New Roman" w:eastAsia="宋体" w:cs="Times New Roman"/>
          <w:b/>
          <w:color w:val="000000" w:themeColor="text1"/>
          <w:sz w:val="32"/>
          <w:szCs w:val="28"/>
          <w:lang w:val="zh-CN"/>
          <w14:textFill>
            <w14:solidFill>
              <w14:schemeClr w14:val="tx1"/>
            </w14:solidFill>
          </w14:textFill>
        </w:rPr>
      </w:pPr>
      <w:bookmarkStart w:id="180" w:name="_Toc99353190"/>
      <w:bookmarkStart w:id="181" w:name="_Toc122"/>
      <w:r>
        <w:rPr>
          <w:rFonts w:ascii="Times New Roman" w:hAnsi="Times New Roman" w:eastAsia="宋体" w:cs="Times New Roman"/>
          <w:b/>
          <w:color w:val="000000" w:themeColor="text1"/>
          <w:sz w:val="32"/>
          <w:szCs w:val="28"/>
          <w:lang w:val="zh-CN"/>
          <w14:textFill>
            <w14:solidFill>
              <w14:schemeClr w14:val="tx1"/>
            </w14:solidFill>
          </w14:textFill>
        </w:rPr>
        <w:t>用词说明</w:t>
      </w:r>
      <w:bookmarkEnd w:id="177"/>
      <w:bookmarkEnd w:id="178"/>
      <w:bookmarkEnd w:id="179"/>
      <w:bookmarkEnd w:id="180"/>
      <w:bookmarkEnd w:id="181"/>
    </w:p>
    <w:p w14:paraId="35FECAEA">
      <w:pPr>
        <w:snapToGrid w:val="0"/>
        <w:spacing w:line="312" w:lineRule="auto"/>
        <w:rPr>
          <w:rFonts w:ascii="Times New Roman" w:hAnsi="Times New Roman" w:cs="Times New Roman"/>
          <w:color w:val="000000" w:themeColor="text1"/>
          <w14:textFill>
            <w14:solidFill>
              <w14:schemeClr w14:val="tx1"/>
            </w14:solidFill>
          </w14:textFill>
        </w:rPr>
      </w:pPr>
    </w:p>
    <w:p w14:paraId="54199FB8">
      <w:pPr>
        <w:spacing w:line="360" w:lineRule="auto"/>
        <w:ind w:firstLine="480" w:firstLineChars="200"/>
        <w:rPr>
          <w:rFonts w:ascii="Times New Roman" w:hAnsi="Times New Roman" w:eastAsia="宋体" w:cs="Times New Roman"/>
          <w:kern w:val="0"/>
          <w:sz w:val="24"/>
        </w:rPr>
      </w:pPr>
      <w:r>
        <w:rPr>
          <w:rFonts w:ascii="Times New Roman" w:hAnsi="Times New Roman" w:eastAsia="宋体" w:cs="Times New Roman"/>
          <w:kern w:val="0"/>
          <w:sz w:val="24"/>
        </w:rPr>
        <w:t>为便于在执行本规程条文时区别对待，对要求严格程度不同的用词说明如下：</w:t>
      </w:r>
    </w:p>
    <w:p w14:paraId="19E658A3">
      <w:pPr>
        <w:spacing w:line="360" w:lineRule="auto"/>
        <w:ind w:left="424" w:leftChars="202" w:firstLine="480" w:firstLineChars="200"/>
        <w:rPr>
          <w:rFonts w:ascii="Times New Roman" w:hAnsi="Times New Roman" w:eastAsia="宋体" w:cs="Times New Roman"/>
          <w:kern w:val="0"/>
          <w:sz w:val="24"/>
        </w:rPr>
      </w:pPr>
      <w:r>
        <w:rPr>
          <w:rFonts w:ascii="Times New Roman" w:hAnsi="Times New Roman" w:eastAsia="宋体" w:cs="Times New Roman"/>
          <w:kern w:val="0"/>
          <w:sz w:val="24"/>
        </w:rPr>
        <w:t>1</w:t>
      </w:r>
      <w:r>
        <w:rPr>
          <w:rFonts w:ascii="Times New Roman" w:hAnsi="Times New Roman" w:eastAsia="宋体" w:cs="Times New Roman"/>
          <w:b/>
          <w:sz w:val="24"/>
        </w:rPr>
        <w:t>　</w:t>
      </w:r>
      <w:r>
        <w:rPr>
          <w:rFonts w:ascii="Times New Roman" w:hAnsi="Times New Roman" w:eastAsia="宋体" w:cs="Times New Roman"/>
          <w:kern w:val="0"/>
          <w:sz w:val="24"/>
        </w:rPr>
        <w:t>表示很严格，非这样做不可的：</w:t>
      </w:r>
    </w:p>
    <w:p w14:paraId="12FD9F47">
      <w:pPr>
        <w:spacing w:line="360" w:lineRule="auto"/>
        <w:ind w:left="424" w:leftChars="202" w:firstLine="840" w:firstLineChars="350"/>
        <w:rPr>
          <w:rFonts w:ascii="Times New Roman" w:hAnsi="Times New Roman" w:eastAsia="宋体" w:cs="Times New Roman"/>
          <w:kern w:val="0"/>
          <w:sz w:val="24"/>
        </w:rPr>
      </w:pPr>
      <w:r>
        <w:rPr>
          <w:rFonts w:ascii="Times New Roman" w:hAnsi="Times New Roman" w:eastAsia="宋体" w:cs="Times New Roman"/>
          <w:kern w:val="0"/>
          <w:sz w:val="24"/>
        </w:rPr>
        <w:t>正面词采用“必须”，反面词采用“严禁”；</w:t>
      </w:r>
    </w:p>
    <w:p w14:paraId="2DBBDF53">
      <w:pPr>
        <w:spacing w:line="360" w:lineRule="auto"/>
        <w:ind w:left="424" w:leftChars="202" w:firstLine="480" w:firstLineChars="200"/>
        <w:rPr>
          <w:rFonts w:ascii="Times New Roman" w:hAnsi="Times New Roman" w:eastAsia="宋体" w:cs="Times New Roman"/>
          <w:kern w:val="0"/>
          <w:sz w:val="24"/>
        </w:rPr>
      </w:pPr>
      <w:r>
        <w:rPr>
          <w:rFonts w:ascii="Times New Roman" w:hAnsi="Times New Roman" w:eastAsia="宋体" w:cs="Times New Roman"/>
          <w:kern w:val="0"/>
          <w:sz w:val="24"/>
        </w:rPr>
        <w:t>2</w:t>
      </w:r>
      <w:r>
        <w:rPr>
          <w:rFonts w:ascii="Times New Roman" w:hAnsi="Times New Roman" w:eastAsia="宋体" w:cs="Times New Roman"/>
          <w:b/>
          <w:sz w:val="24"/>
        </w:rPr>
        <w:t>　</w:t>
      </w:r>
      <w:r>
        <w:rPr>
          <w:rFonts w:ascii="Times New Roman" w:hAnsi="Times New Roman" w:eastAsia="宋体" w:cs="Times New Roman"/>
          <w:kern w:val="0"/>
          <w:sz w:val="24"/>
        </w:rPr>
        <w:t>表示严格，在正常情况下均应这样做的：</w:t>
      </w:r>
    </w:p>
    <w:p w14:paraId="64BEF871">
      <w:pPr>
        <w:spacing w:line="360" w:lineRule="auto"/>
        <w:ind w:left="424" w:leftChars="202" w:firstLine="900" w:firstLineChars="375"/>
        <w:rPr>
          <w:rFonts w:ascii="Times New Roman" w:hAnsi="Times New Roman" w:eastAsia="宋体" w:cs="Times New Roman"/>
          <w:kern w:val="0"/>
          <w:sz w:val="24"/>
        </w:rPr>
      </w:pPr>
      <w:r>
        <w:rPr>
          <w:rFonts w:ascii="Times New Roman" w:hAnsi="Times New Roman" w:eastAsia="宋体" w:cs="Times New Roman"/>
          <w:kern w:val="0"/>
          <w:sz w:val="24"/>
        </w:rPr>
        <w:t>正面词采用“应”，反面词采用“不应”或“不得”；</w:t>
      </w:r>
    </w:p>
    <w:p w14:paraId="20E5E3DA">
      <w:pPr>
        <w:spacing w:line="360" w:lineRule="auto"/>
        <w:ind w:left="424" w:leftChars="202" w:firstLine="480" w:firstLineChars="200"/>
        <w:rPr>
          <w:rFonts w:ascii="Times New Roman" w:hAnsi="Times New Roman" w:eastAsia="宋体" w:cs="Times New Roman"/>
          <w:kern w:val="0"/>
          <w:sz w:val="24"/>
        </w:rPr>
      </w:pPr>
      <w:r>
        <w:rPr>
          <w:rFonts w:ascii="Times New Roman" w:hAnsi="Times New Roman" w:eastAsia="宋体" w:cs="Times New Roman"/>
          <w:kern w:val="0"/>
          <w:sz w:val="24"/>
        </w:rPr>
        <w:t>3</w:t>
      </w:r>
      <w:r>
        <w:rPr>
          <w:rFonts w:ascii="Times New Roman" w:hAnsi="Times New Roman" w:eastAsia="宋体" w:cs="Times New Roman"/>
          <w:b/>
          <w:sz w:val="24"/>
        </w:rPr>
        <w:t>　</w:t>
      </w:r>
      <w:r>
        <w:rPr>
          <w:rFonts w:ascii="Times New Roman" w:hAnsi="Times New Roman" w:eastAsia="宋体" w:cs="Times New Roman"/>
          <w:kern w:val="0"/>
          <w:sz w:val="24"/>
        </w:rPr>
        <w:t>表示允许稍有选择，在条件许可时首先应这样做的：</w:t>
      </w:r>
    </w:p>
    <w:p w14:paraId="00EE9502">
      <w:pPr>
        <w:spacing w:line="360" w:lineRule="auto"/>
        <w:ind w:left="424" w:leftChars="202" w:firstLine="840" w:firstLineChars="350"/>
        <w:rPr>
          <w:rFonts w:ascii="Times New Roman" w:hAnsi="Times New Roman" w:eastAsia="宋体" w:cs="Times New Roman"/>
          <w:kern w:val="0"/>
          <w:sz w:val="24"/>
        </w:rPr>
      </w:pPr>
      <w:r>
        <w:rPr>
          <w:rFonts w:ascii="Times New Roman" w:hAnsi="Times New Roman" w:eastAsia="宋体" w:cs="Times New Roman"/>
          <w:kern w:val="0"/>
          <w:sz w:val="24"/>
        </w:rPr>
        <w:t>正面词采用“宜”，反面词采用“不宜”；</w:t>
      </w:r>
    </w:p>
    <w:p w14:paraId="2CA92149">
      <w:pPr>
        <w:spacing w:line="360" w:lineRule="auto"/>
        <w:ind w:left="424" w:leftChars="202" w:firstLine="480" w:firstLineChars="200"/>
        <w:rPr>
          <w:rFonts w:ascii="Times New Roman" w:hAnsi="Times New Roman" w:eastAsia="宋体" w:cs="Times New Roman"/>
          <w:kern w:val="0"/>
          <w:sz w:val="24"/>
        </w:rPr>
      </w:pPr>
      <w:r>
        <w:rPr>
          <w:rFonts w:ascii="Times New Roman" w:hAnsi="Times New Roman" w:eastAsia="宋体" w:cs="Times New Roman"/>
          <w:kern w:val="0"/>
          <w:sz w:val="24"/>
        </w:rPr>
        <w:t>4</w:t>
      </w:r>
      <w:r>
        <w:rPr>
          <w:rFonts w:ascii="Times New Roman" w:hAnsi="Times New Roman" w:eastAsia="宋体" w:cs="Times New Roman"/>
          <w:b/>
          <w:sz w:val="24"/>
        </w:rPr>
        <w:t>　</w:t>
      </w:r>
      <w:r>
        <w:rPr>
          <w:rFonts w:ascii="Times New Roman" w:hAnsi="Times New Roman" w:eastAsia="宋体" w:cs="Times New Roman"/>
          <w:kern w:val="0"/>
          <w:sz w:val="24"/>
        </w:rPr>
        <w:t>表示有选择，在一定条件下可以这样做的，采用“可”。</w:t>
      </w:r>
    </w:p>
    <w:p w14:paraId="32EEF084">
      <w:pPr>
        <w:snapToGrid w:val="0"/>
        <w:spacing w:line="312" w:lineRule="auto"/>
        <w:ind w:firstLine="566" w:firstLineChars="236"/>
        <w:rPr>
          <w:rFonts w:ascii="Times New Roman" w:hAnsi="Times New Roman" w:cs="Times New Roman"/>
          <w:color w:val="000000" w:themeColor="text1"/>
          <w:sz w:val="24"/>
          <w14:textFill>
            <w14:solidFill>
              <w14:schemeClr w14:val="tx1"/>
            </w14:solidFill>
          </w14:textFill>
        </w:rPr>
      </w:pPr>
    </w:p>
    <w:p w14:paraId="5FFBFF65">
      <w:pPr>
        <w:snapToGrid w:val="0"/>
        <w:spacing w:line="312" w:lineRule="auto"/>
        <w:ind w:firstLine="566" w:firstLineChars="236"/>
        <w:rPr>
          <w:rFonts w:ascii="Times New Roman" w:hAnsi="Times New Roman" w:cs="Times New Roman"/>
          <w:color w:val="000000" w:themeColor="text1"/>
          <w:sz w:val="24"/>
          <w14:textFill>
            <w14:solidFill>
              <w14:schemeClr w14:val="tx1"/>
            </w14:solidFill>
          </w14:textFill>
        </w:rPr>
      </w:pPr>
    </w:p>
    <w:p w14:paraId="697253E8">
      <w:pPr>
        <w:snapToGrid w:val="0"/>
        <w:spacing w:line="312" w:lineRule="auto"/>
        <w:rPr>
          <w:rFonts w:ascii="Times New Roman" w:hAnsi="Times New Roman" w:cs="Times New Roman"/>
          <w:color w:val="000000" w:themeColor="text1"/>
          <w14:textFill>
            <w14:solidFill>
              <w14:schemeClr w14:val="tx1"/>
            </w14:solidFill>
          </w14:textFill>
        </w:rPr>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pPr>
    </w:p>
    <w:p w14:paraId="62723A3E">
      <w:pPr>
        <w:pStyle w:val="2"/>
        <w:keepNext w:val="0"/>
        <w:keepLines w:val="0"/>
        <w:snapToGrid w:val="0"/>
        <w:spacing w:before="312" w:beforeLines="100" w:after="312" w:afterLines="100" w:line="360" w:lineRule="auto"/>
        <w:jc w:val="center"/>
        <w:rPr>
          <w:rFonts w:ascii="Times New Roman" w:hAnsi="Times New Roman" w:eastAsia="宋体" w:cs="Times New Roman"/>
          <w:b/>
          <w:color w:val="000000" w:themeColor="text1"/>
          <w:sz w:val="32"/>
          <w:szCs w:val="28"/>
          <w:lang w:val="zh-CN"/>
          <w14:textFill>
            <w14:solidFill>
              <w14:schemeClr w14:val="tx1"/>
            </w14:solidFill>
          </w14:textFill>
        </w:rPr>
      </w:pPr>
      <w:bookmarkStart w:id="182" w:name="_Toc99353191"/>
      <w:bookmarkStart w:id="183" w:name="_Toc533422987"/>
      <w:bookmarkStart w:id="184" w:name="_Toc533422627"/>
      <w:bookmarkStart w:id="185" w:name="_Toc533422757"/>
      <w:bookmarkStart w:id="186" w:name="_Toc4642"/>
      <w:r>
        <w:rPr>
          <w:rFonts w:ascii="Times New Roman" w:hAnsi="Times New Roman" w:eastAsia="宋体" w:cs="Times New Roman"/>
          <w:b/>
          <w:color w:val="000000" w:themeColor="text1"/>
          <w:sz w:val="32"/>
          <w:szCs w:val="28"/>
          <w:lang w:val="zh-CN"/>
          <w14:textFill>
            <w14:solidFill>
              <w14:schemeClr w14:val="tx1"/>
            </w14:solidFill>
          </w14:textFill>
        </w:rPr>
        <w:t>引用标准名录</w:t>
      </w:r>
      <w:bookmarkEnd w:id="182"/>
      <w:bookmarkEnd w:id="183"/>
      <w:bookmarkEnd w:id="184"/>
      <w:bookmarkEnd w:id="185"/>
      <w:bookmarkEnd w:id="186"/>
    </w:p>
    <w:p w14:paraId="468A2B24">
      <w:pPr>
        <w:spacing w:line="312" w:lineRule="auto"/>
        <w:ind w:firstLine="480" w:firstLineChars="2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本规程引用下列标准。其中，注日期的，仅对该日期对应的版本适用本规程；不注日期的，其最新版适用于本规程。</w:t>
      </w:r>
    </w:p>
    <w:p w14:paraId="4B55F668">
      <w:pPr>
        <w:spacing w:line="312" w:lineRule="auto"/>
        <w:rPr>
          <w:rFonts w:ascii="Times New Roman" w:hAnsi="Times New Roman" w:cs="Times New Roman"/>
          <w:bCs/>
          <w:sz w:val="24"/>
        </w:rPr>
      </w:pPr>
      <w:r>
        <w:rPr>
          <w:rFonts w:hint="eastAsia" w:ascii="Times New Roman" w:hAnsi="Times New Roman" w:cs="Times New Roman"/>
          <w:bCs/>
          <w:sz w:val="24"/>
        </w:rPr>
        <w:t>《漆膜、腻子膜干燥时间测定法》GB/T 1728</w:t>
      </w:r>
    </w:p>
    <w:p w14:paraId="3B91F2C9">
      <w:pPr>
        <w:spacing w:line="312" w:lineRule="auto"/>
        <w:rPr>
          <w:rFonts w:ascii="Times New Roman" w:hAnsi="Times New Roman" w:cs="Times New Roman"/>
          <w:bCs/>
          <w:sz w:val="24"/>
        </w:rPr>
      </w:pPr>
      <w:r>
        <w:rPr>
          <w:rFonts w:hint="eastAsia" w:ascii="Times New Roman" w:hAnsi="Times New Roman" w:cs="Times New Roman"/>
          <w:bCs/>
          <w:sz w:val="24"/>
        </w:rPr>
        <w:t>《色漆和清漆 耐磨性的测定 旋转橡胶砂轮法》GB/T 1768</w:t>
      </w:r>
    </w:p>
    <w:p w14:paraId="67D0C801">
      <w:pPr>
        <w:spacing w:line="312" w:lineRule="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bCs/>
          <w:sz w:val="24"/>
        </w:rPr>
        <w:t>《预拌混凝土》</w:t>
      </w:r>
      <w:r>
        <w:rPr>
          <w:rFonts w:ascii="Times New Roman" w:hAnsi="Times New Roman" w:cs="Times New Roman"/>
          <w:bCs/>
          <w:sz w:val="24"/>
        </w:rPr>
        <w:t>GB/T 14902</w:t>
      </w:r>
    </w:p>
    <w:p w14:paraId="2EE05133">
      <w:pPr>
        <w:spacing w:line="312" w:lineRule="auto"/>
        <w:rPr>
          <w:rFonts w:ascii="Times New Roman" w:hAnsi="Times New Roman" w:cs="Times New Roman"/>
          <w:bCs/>
          <w:sz w:val="24"/>
        </w:rPr>
      </w:pPr>
      <w:r>
        <w:rPr>
          <w:rFonts w:hint="eastAsia" w:ascii="Times New Roman" w:hAnsi="Times New Roman" w:cs="Times New Roman"/>
          <w:bCs/>
          <w:sz w:val="24"/>
        </w:rPr>
        <w:t>《地坪涂装材料》GB/T 22374</w:t>
      </w:r>
    </w:p>
    <w:p w14:paraId="1D7A6C95">
      <w:pPr>
        <w:spacing w:line="312" w:lineRule="auto"/>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《建筑地面设计规范》GB 50037</w:t>
      </w:r>
    </w:p>
    <w:p w14:paraId="29161CAE">
      <w:pPr>
        <w:spacing w:line="312" w:lineRule="auto"/>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《建筑内部装修设计防火规范》GB 50222</w:t>
      </w:r>
    </w:p>
    <w:p w14:paraId="15B2476D">
      <w:pPr>
        <w:spacing w:line="312" w:lineRule="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《城市道路交通标志和标线设置规范》GB 51038</w:t>
      </w:r>
    </w:p>
    <w:p w14:paraId="7E30AB34">
      <w:pPr>
        <w:spacing w:line="312" w:lineRule="auto"/>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《室内地坪涂料中有害物质限量》GB 38468</w:t>
      </w:r>
    </w:p>
    <w:p w14:paraId="137C138D">
      <w:pPr>
        <w:spacing w:line="312" w:lineRule="auto"/>
        <w:rPr>
          <w:rFonts w:ascii="Times New Roman" w:hAnsi="Times New Roman" w:cs="Times New Roman"/>
          <w:bCs/>
          <w:color w:val="000000" w:themeColor="text1"/>
          <w:sz w:val="24"/>
          <w14:textFill>
            <w14:solidFill>
              <w14:schemeClr w14:val="tx1"/>
            </w14:solidFill>
          </w14:textFill>
        </w:rPr>
      </w:pPr>
      <w:r>
        <w:rPr>
          <w:rFonts w:hint="eastAsia" w:ascii="Times New Roman" w:hAnsi="Times New Roman" w:cs="Times New Roman"/>
          <w:bCs/>
          <w:color w:val="000000" w:themeColor="text1"/>
          <w:sz w:val="24"/>
          <w14:textFill>
            <w14:solidFill>
              <w14:schemeClr w14:val="tx1"/>
            </w14:solidFill>
          </w14:textFill>
        </w:rPr>
        <w:t>《回弹法检测混凝土抗压强度技术规程》JGJ/T 23</w:t>
      </w:r>
    </w:p>
    <w:p w14:paraId="07212906">
      <w:pPr>
        <w:spacing w:line="312" w:lineRule="auto"/>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Cs/>
          <w:color w:val="000000" w:themeColor="text1"/>
          <w:sz w:val="24"/>
          <w14:textFill>
            <w14:solidFill>
              <w14:schemeClr w14:val="tx1"/>
            </w14:solidFill>
          </w14:textFill>
        </w:rPr>
        <w:t>《建筑地面工程防滑技术规程》JGJ/T 331</w:t>
      </w:r>
    </w:p>
    <w:p w14:paraId="50F4109B">
      <w:pPr>
        <w:spacing w:line="312" w:lineRule="auto"/>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《钻芯法检测混凝土强度技术规程》JGJ/T 384</w:t>
      </w:r>
    </w:p>
    <w:p w14:paraId="631577BD">
      <w:pPr>
        <w:spacing w:line="312" w:lineRule="auto"/>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cs="Times New Roman"/>
          <w:bCs/>
          <w:color w:val="000000" w:themeColor="text1"/>
          <w:sz w:val="24"/>
          <w14:textFill>
            <w14:solidFill>
              <w14:schemeClr w14:val="tx1"/>
            </w14:solidFill>
          </w14:textFill>
        </w:rPr>
        <w:t>《混凝土地面用水泥基耐磨材料》JC/T 906</w:t>
      </w:r>
    </w:p>
    <w:p w14:paraId="48BF2FED">
      <w:pPr>
        <w:spacing w:line="312" w:lineRule="auto"/>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Cs/>
          <w:color w:val="000000" w:themeColor="text1"/>
          <w:sz w:val="24"/>
          <w14:textFill>
            <w14:solidFill>
              <w14:schemeClr w14:val="tx1"/>
            </w14:solidFill>
          </w14:textFill>
        </w:rPr>
        <w:t>《渗透型液体硬化剂》JC/T 2158</w:t>
      </w:r>
    </w:p>
    <w:p w14:paraId="72FE1082">
      <w:pPr>
        <w:spacing w:line="312" w:lineRule="auto"/>
        <w:rPr>
          <w:rFonts w:ascii="Times New Roman" w:hAnsi="Times New Roman" w:cs="Times New Roman"/>
          <w:sz w:val="24"/>
        </w:rPr>
      </w:pPr>
      <w:bookmarkStart w:id="187" w:name="_Hlk81683218"/>
      <w:r>
        <w:rPr>
          <w:rFonts w:hint="eastAsia" w:ascii="Times New Roman" w:hAnsi="Times New Roman" w:cs="Times New Roman"/>
          <w:sz w:val="24"/>
        </w:rPr>
        <w:t>《塞尺检定规程》</w:t>
      </w:r>
      <w:r>
        <w:rPr>
          <w:rFonts w:ascii="Times New Roman" w:hAnsi="Times New Roman" w:cs="Times New Roman"/>
          <w:sz w:val="24"/>
        </w:rPr>
        <w:t>JJG 62</w:t>
      </w:r>
    </w:p>
    <w:bookmarkEnd w:id="187"/>
    <w:p w14:paraId="1A30617F">
      <w:pPr>
        <w:snapToGrid w:val="0"/>
        <w:spacing w:line="312" w:lineRule="auto"/>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Cs/>
          <w:color w:val="000000" w:themeColor="text1"/>
          <w:sz w:val="24"/>
          <w14:textFill>
            <w14:solidFill>
              <w14:schemeClr w14:val="tx1"/>
            </w14:solidFill>
          </w14:textFill>
        </w:rPr>
        <w:t>《整体地坪工程技术规程》CECS 328</w:t>
      </w:r>
    </w:p>
    <w:p w14:paraId="054ED3FF">
      <w:pPr>
        <w:snapToGrid w:val="0"/>
        <w:spacing w:line="312"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sz w:val="24"/>
        </w:rPr>
        <w:br w:type="page"/>
      </w:r>
    </w:p>
    <w:p w14:paraId="625296DA">
      <w:pPr>
        <w:snapToGrid w:val="0"/>
        <w:spacing w:line="312" w:lineRule="auto"/>
        <w:jc w:val="center"/>
        <w:rPr>
          <w:rFonts w:ascii="Times New Roman" w:hAnsi="Times New Roman" w:eastAsia="黑体" w:cs="Times New Roman"/>
          <w:color w:val="000000" w:themeColor="text1"/>
          <w:sz w:val="32"/>
          <w:szCs w:val="36"/>
          <w14:textFill>
            <w14:solidFill>
              <w14:schemeClr w14:val="tx1"/>
            </w14:solidFill>
          </w14:textFill>
        </w:rPr>
      </w:pPr>
      <w:r>
        <w:rPr>
          <w:rFonts w:ascii="Times New Roman" w:hAnsi="Times New Roman" w:eastAsia="黑体" w:cs="Times New Roman"/>
          <w:color w:val="000000" w:themeColor="text1"/>
          <w:sz w:val="32"/>
          <w:szCs w:val="36"/>
          <w14:textFill>
            <w14:solidFill>
              <w14:schemeClr w14:val="tx1"/>
            </w14:solidFill>
          </w14:textFill>
        </w:rPr>
        <w:t>中国工程建设标准化协会标准</w:t>
      </w:r>
    </w:p>
    <w:p w14:paraId="69B5F28E">
      <w:pPr>
        <w:snapToGrid w:val="0"/>
        <w:spacing w:line="312" w:lineRule="auto"/>
        <w:jc w:val="center"/>
        <w:rPr>
          <w:rFonts w:ascii="Times New Roman" w:hAnsi="Times New Roman" w:cs="Times New Roman"/>
          <w:color w:val="000000" w:themeColor="text1"/>
          <w:sz w:val="36"/>
          <w:szCs w:val="36"/>
          <w14:textFill>
            <w14:solidFill>
              <w14:schemeClr w14:val="tx1"/>
            </w14:solidFill>
          </w14:textFill>
        </w:rPr>
      </w:pPr>
    </w:p>
    <w:p w14:paraId="3763E5CC">
      <w:pPr>
        <w:snapToGrid w:val="0"/>
        <w:spacing w:line="312" w:lineRule="auto"/>
        <w:jc w:val="center"/>
        <w:rPr>
          <w:rFonts w:ascii="Times New Roman" w:hAnsi="Times New Roman" w:cs="Times New Roman"/>
          <w:color w:val="000000" w:themeColor="text1"/>
          <w:sz w:val="44"/>
          <w:szCs w:val="44"/>
          <w14:textFill>
            <w14:solidFill>
              <w14:schemeClr w14:val="tx1"/>
            </w14:solidFill>
          </w14:textFill>
        </w:rPr>
      </w:pPr>
    </w:p>
    <w:p w14:paraId="30B53DD5">
      <w:pPr>
        <w:pStyle w:val="28"/>
        <w:widowControl w:val="0"/>
        <w:shd w:val="clear" w:color="auto" w:fill="FFFFFF"/>
        <w:snapToGrid w:val="0"/>
        <w:spacing w:before="0" w:beforeAutospacing="0" w:after="0" w:line="312" w:lineRule="auto"/>
        <w:jc w:val="center"/>
        <w:rPr>
          <w:rFonts w:ascii="Times New Roman" w:hAnsi="Times New Roman" w:cs="Times New Roman"/>
          <w:b/>
          <w:color w:val="000000" w:themeColor="text1"/>
          <w:sz w:val="52"/>
          <w:szCs w:val="36"/>
          <w14:textFill>
            <w14:solidFill>
              <w14:schemeClr w14:val="tx1"/>
            </w14:solidFill>
          </w14:textFill>
        </w:rPr>
      </w:pPr>
      <w:r>
        <w:rPr>
          <w:rFonts w:hint="eastAsia" w:ascii="Times New Roman" w:hAnsi="Times New Roman" w:cs="Times New Roman"/>
          <w:b/>
          <w:color w:val="000000" w:themeColor="text1"/>
          <w:sz w:val="52"/>
          <w:szCs w:val="36"/>
          <w:lang w:val="zh-CN"/>
          <w14:textFill>
            <w14:solidFill>
              <w14:schemeClr w14:val="tx1"/>
            </w14:solidFill>
          </w14:textFill>
        </w:rPr>
        <w:t>混凝土地面用耐磨硬化材料应用技术规程</w:t>
      </w:r>
    </w:p>
    <w:p w14:paraId="37F224AD">
      <w:pPr>
        <w:pStyle w:val="28"/>
        <w:widowControl w:val="0"/>
        <w:shd w:val="clear" w:color="auto" w:fill="FFFFFF"/>
        <w:snapToGrid w:val="0"/>
        <w:spacing w:before="0" w:beforeAutospacing="0" w:after="0" w:line="312" w:lineRule="auto"/>
        <w:jc w:val="center"/>
        <w:rPr>
          <w:rFonts w:ascii="Times New Roman" w:hAnsi="Times New Roman" w:cs="Times New Roman"/>
          <w:color w:val="000000" w:themeColor="text1"/>
          <w:sz w:val="36"/>
          <w:szCs w:val="36"/>
          <w14:textFill>
            <w14:solidFill>
              <w14:schemeClr w14:val="tx1"/>
            </w14:solidFill>
          </w14:textFill>
        </w:rPr>
      </w:pPr>
    </w:p>
    <w:p w14:paraId="10EB303C">
      <w:pPr>
        <w:snapToGrid w:val="0"/>
        <w:spacing w:line="312" w:lineRule="auto"/>
        <w:jc w:val="center"/>
        <w:rPr>
          <w:rFonts w:ascii="Times New Roman" w:hAnsi="Times New Roman" w:cs="Times New Roman"/>
          <w:b/>
          <w:color w:val="000000" w:themeColor="text1"/>
          <w:sz w:val="28"/>
          <w14:textFill>
            <w14:solidFill>
              <w14:schemeClr w14:val="tx1"/>
            </w14:solidFill>
          </w14:textFill>
        </w:rPr>
      </w:pPr>
    </w:p>
    <w:p w14:paraId="0633DE4A">
      <w:pPr>
        <w:snapToGrid w:val="0"/>
        <w:spacing w:line="312" w:lineRule="auto"/>
        <w:jc w:val="center"/>
        <w:rPr>
          <w:rFonts w:ascii="Times New Roman" w:hAnsi="Times New Roman" w:eastAsia="宋体" w:cs="Times New Roman"/>
          <w:b/>
          <w:color w:val="000000" w:themeColor="text1"/>
          <w:sz w:val="28"/>
          <w14:textFill>
            <w14:solidFill>
              <w14:schemeClr w14:val="tx1"/>
            </w14:solidFill>
          </w14:textFill>
        </w:rPr>
      </w:pPr>
      <w:r>
        <w:rPr>
          <w:rFonts w:ascii="Times New Roman" w:hAnsi="Times New Roman" w:cs="Times New Roman"/>
          <w:b/>
          <w:color w:val="000000" w:themeColor="text1"/>
          <w:sz w:val="28"/>
          <w14:textFill>
            <w14:solidFill>
              <w14:schemeClr w14:val="tx1"/>
            </w14:solidFill>
          </w14:textFill>
        </w:rPr>
        <w:t>T/CECS xxx</w:t>
      </w:r>
      <w:r>
        <w:rPr>
          <w:rFonts w:ascii="Times New Roman" w:hAnsi="Times New Roman" w:eastAsia="宋体" w:cs="Times New Roman"/>
          <w:b/>
          <w:color w:val="000000" w:themeColor="text1"/>
          <w:sz w:val="28"/>
          <w14:textFill>
            <w14:solidFill>
              <w14:schemeClr w14:val="tx1"/>
            </w14:solidFill>
          </w14:textFill>
        </w:rPr>
        <w:t>－20xx</w:t>
      </w:r>
    </w:p>
    <w:p w14:paraId="0C2789A4">
      <w:pPr>
        <w:snapToGrid w:val="0"/>
        <w:spacing w:line="312" w:lineRule="auto"/>
        <w:ind w:firstLine="1600" w:firstLineChars="500"/>
        <w:rPr>
          <w:rFonts w:ascii="Times New Roman" w:hAnsi="Times New Roman" w:cs="Times New Roman"/>
          <w:color w:val="000000" w:themeColor="text1"/>
          <w:sz w:val="32"/>
          <w:szCs w:val="32"/>
          <w14:textFill>
            <w14:solidFill>
              <w14:schemeClr w14:val="tx1"/>
            </w14:solidFill>
          </w14:textFill>
        </w:rPr>
      </w:pPr>
    </w:p>
    <w:p w14:paraId="4B053D69">
      <w:pPr>
        <w:snapToGrid w:val="0"/>
        <w:spacing w:line="312" w:lineRule="auto"/>
        <w:ind w:firstLine="1600" w:firstLineChars="500"/>
        <w:rPr>
          <w:rFonts w:ascii="Times New Roman" w:hAnsi="Times New Roman" w:cs="Times New Roman"/>
          <w:color w:val="000000" w:themeColor="text1"/>
          <w:sz w:val="32"/>
          <w:szCs w:val="32"/>
          <w14:textFill>
            <w14:solidFill>
              <w14:schemeClr w14:val="tx1"/>
            </w14:solidFill>
          </w14:textFill>
        </w:rPr>
      </w:pPr>
    </w:p>
    <w:p w14:paraId="5BED9707">
      <w:pPr>
        <w:snapToGrid w:val="0"/>
        <w:spacing w:line="312" w:lineRule="auto"/>
        <w:ind w:firstLine="1600" w:firstLineChars="500"/>
        <w:rPr>
          <w:rFonts w:ascii="Times New Roman" w:hAnsi="Times New Roman" w:cs="Times New Roman"/>
          <w:color w:val="000000" w:themeColor="text1"/>
          <w:sz w:val="32"/>
          <w:szCs w:val="32"/>
          <w14:textFill>
            <w14:solidFill>
              <w14:schemeClr w14:val="tx1"/>
            </w14:solidFill>
          </w14:textFill>
        </w:rPr>
      </w:pPr>
    </w:p>
    <w:p w14:paraId="00952134">
      <w:pPr>
        <w:jc w:val="center"/>
        <w:rPr>
          <w:rFonts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条文说明</w:t>
      </w:r>
    </w:p>
    <w:p w14:paraId="172415CB">
      <w:pPr>
        <w:rPr>
          <w:rFonts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br w:type="page"/>
      </w:r>
    </w:p>
    <w:p w14:paraId="0E3308DA">
      <w:pPr>
        <w:jc w:val="center"/>
        <w:rPr>
          <w:rFonts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14:textFill>
            <w14:solidFill>
              <w14:schemeClr w14:val="tx1"/>
            </w14:solidFill>
          </w14:textFill>
        </w:rPr>
        <w:t>制定说明</w:t>
      </w:r>
    </w:p>
    <w:p w14:paraId="3986560F">
      <w:pPr>
        <w:jc w:val="center"/>
        <w:rPr>
          <w:rFonts w:ascii="Times New Roman" w:hAnsi="Times New Roman" w:cs="Times New Roman"/>
          <w:color w:val="000000" w:themeColor="text1"/>
          <w:sz w:val="28"/>
          <w:szCs w:val="28"/>
          <w14:textFill>
            <w14:solidFill>
              <w14:schemeClr w14:val="tx1"/>
            </w14:solidFill>
          </w14:textFill>
        </w:rPr>
      </w:pPr>
    </w:p>
    <w:p w14:paraId="5A50FCF5">
      <w:pPr>
        <w:widowControl/>
        <w:ind w:firstLine="480" w:firstLineChars="200"/>
        <w:jc w:val="left"/>
      </w:pPr>
      <w:r>
        <w:rPr>
          <w:rFonts w:hint="eastAsia" w:ascii="宋体" w:hAnsi="宋体" w:eastAsia="宋体" w:cs="宋体"/>
          <w:color w:val="000000"/>
          <w:kern w:val="0"/>
          <w:sz w:val="24"/>
          <w:lang w:bidi="ar"/>
        </w:rPr>
        <w:t>本规程制定过程中，编制组针对国内外</w:t>
      </w:r>
      <w:bookmarkStart w:id="188" w:name="OLE_LINK84"/>
      <w:r>
        <w:rPr>
          <w:rFonts w:hint="eastAsia" w:ascii="宋体" w:hAnsi="宋体" w:eastAsia="宋体" w:cs="宋体"/>
          <w:color w:val="000000"/>
          <w:kern w:val="0"/>
          <w:sz w:val="24"/>
          <w:lang w:bidi="ar"/>
        </w:rPr>
        <w:t>混凝土地面用水泥基耐磨材料和渗透型液体硬化</w:t>
      </w:r>
      <w:bookmarkEnd w:id="188"/>
      <w:r>
        <w:rPr>
          <w:rFonts w:hint="eastAsia" w:ascii="宋体" w:hAnsi="宋体" w:eastAsia="宋体" w:cs="宋体"/>
          <w:color w:val="000000"/>
          <w:kern w:val="0"/>
          <w:sz w:val="24"/>
          <w:lang w:bidi="ar"/>
        </w:rPr>
        <w:t>的应用进行了广泛深入的调查研究，总结了我国混凝土地面用水泥基耐磨材料和渗透型液体硬化工程建设的实践经验，同时参考了国外先进技术法规、技术标准，其中耐磨性作为项目验收耐磨硬化地坪主控项目，检测方法参考了行业标准《渗透型液体硬化剂》</w:t>
      </w:r>
      <w:r>
        <w:rPr>
          <w:rFonts w:ascii="Times New Roman" w:hAnsi="Times New Roman" w:eastAsia="宋体" w:cs="Times New Roman"/>
          <w:color w:val="000000"/>
          <w:kern w:val="0"/>
          <w:sz w:val="24"/>
          <w:lang w:bidi="ar"/>
        </w:rPr>
        <w:t>JC/T 2158-2021</w:t>
      </w:r>
      <w:r>
        <w:rPr>
          <w:rFonts w:hint="eastAsia" w:ascii="宋体" w:hAnsi="宋体" w:eastAsia="宋体" w:cs="宋体"/>
          <w:color w:val="000000"/>
          <w:kern w:val="0"/>
          <w:sz w:val="24"/>
          <w:lang w:bidi="ar"/>
        </w:rPr>
        <w:t>附录</w:t>
      </w:r>
      <w:r>
        <w:rPr>
          <w:rFonts w:ascii="Times New Roman" w:hAnsi="Times New Roman" w:eastAsia="宋体" w:cs="Times New Roman"/>
          <w:color w:val="000000"/>
          <w:kern w:val="0"/>
          <w:sz w:val="24"/>
          <w:lang w:bidi="ar"/>
        </w:rPr>
        <w:t>A</w:t>
      </w:r>
      <w:r>
        <w:rPr>
          <w:rFonts w:hint="eastAsia" w:ascii="宋体" w:hAnsi="宋体" w:eastAsia="宋体" w:cs="宋体"/>
          <w:color w:val="000000"/>
          <w:kern w:val="0"/>
          <w:sz w:val="24"/>
          <w:lang w:bidi="ar"/>
        </w:rPr>
        <w:t xml:space="preserve">的规定，而 </w:t>
      </w:r>
      <w:r>
        <w:rPr>
          <w:rFonts w:ascii="Times New Roman" w:hAnsi="Times New Roman" w:eastAsia="宋体" w:cs="Times New Roman"/>
          <w:color w:val="000000"/>
          <w:kern w:val="0"/>
          <w:sz w:val="24"/>
          <w:lang w:bidi="ar"/>
        </w:rPr>
        <w:t>JC/T 2158-2021</w:t>
      </w:r>
      <w:r>
        <w:rPr>
          <w:rFonts w:hint="eastAsia" w:ascii="宋体" w:hAnsi="宋体" w:eastAsia="宋体" w:cs="宋体"/>
          <w:color w:val="000000"/>
          <w:kern w:val="0"/>
          <w:sz w:val="24"/>
          <w:lang w:bidi="ar"/>
        </w:rPr>
        <w:t xml:space="preserve">的附录 </w:t>
      </w:r>
      <w:r>
        <w:rPr>
          <w:rFonts w:ascii="Times New Roman" w:hAnsi="Times New Roman" w:eastAsia="宋体" w:cs="Times New Roman"/>
          <w:color w:val="000000"/>
          <w:kern w:val="0"/>
          <w:sz w:val="24"/>
          <w:lang w:bidi="ar"/>
        </w:rPr>
        <w:t xml:space="preserve">A </w:t>
      </w:r>
      <w:r>
        <w:rPr>
          <w:rFonts w:hint="eastAsia" w:ascii="宋体" w:hAnsi="宋体" w:eastAsia="宋体" w:cs="宋体"/>
          <w:color w:val="000000"/>
          <w:kern w:val="0"/>
          <w:sz w:val="24"/>
          <w:lang w:bidi="ar"/>
        </w:rPr>
        <w:t>则是参考了《砂浆材料测试方法》</w:t>
      </w:r>
      <w:r>
        <w:rPr>
          <w:rFonts w:ascii="Times New Roman" w:hAnsi="Times New Roman" w:eastAsia="宋体" w:cs="Times New Roman"/>
          <w:color w:val="000000"/>
          <w:kern w:val="0"/>
          <w:sz w:val="24"/>
          <w:lang w:bidi="ar"/>
        </w:rPr>
        <w:t xml:space="preserve">EN 13892 </w:t>
      </w:r>
      <w:r>
        <w:rPr>
          <w:rFonts w:hint="eastAsia" w:ascii="宋体" w:hAnsi="宋体" w:eastAsia="宋体" w:cs="宋体"/>
          <w:color w:val="000000"/>
          <w:kern w:val="0"/>
          <w:sz w:val="24"/>
          <w:lang w:bidi="ar"/>
        </w:rPr>
        <w:t xml:space="preserve">的规定。通过对耐磨性检测方法的现场应用，验证了其方法的适用性。 </w:t>
      </w:r>
    </w:p>
    <w:p w14:paraId="3470796C">
      <w:pPr>
        <w:widowControl/>
        <w:ind w:firstLine="480" w:firstLineChars="200"/>
        <w:jc w:val="left"/>
      </w:pPr>
      <w:r>
        <w:rPr>
          <w:rFonts w:hint="eastAsia" w:ascii="宋体" w:hAnsi="宋体" w:eastAsia="宋体" w:cs="宋体"/>
          <w:color w:val="000000"/>
          <w:kern w:val="0"/>
          <w:sz w:val="24"/>
          <w:lang w:bidi="ar"/>
        </w:rPr>
        <w:t xml:space="preserve">为便于广大技术和管理人员在使用本规程时能正确理解和执行条款规定，编制组按章、节、条顺序编制了本规程的条文说明。对条款规定的目的、依据以及执行中需注意的有关事项等进行了说明。 </w:t>
      </w:r>
    </w:p>
    <w:p w14:paraId="519D7077">
      <w:pPr>
        <w:widowControl/>
        <w:ind w:firstLine="480" w:firstLineChars="200"/>
        <w:jc w:val="left"/>
      </w:pPr>
      <w:r>
        <w:rPr>
          <w:rFonts w:hint="eastAsia" w:ascii="宋体" w:hAnsi="宋体" w:eastAsia="宋体" w:cs="宋体"/>
          <w:color w:val="000000"/>
          <w:kern w:val="0"/>
          <w:sz w:val="24"/>
          <w:lang w:bidi="ar"/>
        </w:rPr>
        <w:t>本条文说明不具备与标准正文及附录同等的法律效力，仅供使用者作为理解和把握标准规定的参考。</w:t>
      </w:r>
    </w:p>
    <w:p w14:paraId="6896798D">
      <w:pPr>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br w:type="page"/>
      </w:r>
    </w:p>
    <w:p w14:paraId="5CD38AB1">
      <w:pPr>
        <w:keepNext/>
        <w:keepLines/>
        <w:spacing w:line="360" w:lineRule="auto"/>
        <w:jc w:val="center"/>
        <w:outlineLvl w:val="0"/>
        <w:rPr>
          <w:szCs w:val="21"/>
        </w:rPr>
      </w:pPr>
      <w:bookmarkStart w:id="189" w:name="_Toc26721"/>
      <w:r>
        <w:rPr>
          <w:rFonts w:hint="eastAsia" w:ascii="宋体" w:hAnsi="宋体"/>
          <w:b/>
          <w:color w:val="000000" w:themeColor="text1"/>
          <w:sz w:val="32"/>
          <w:szCs w:val="32"/>
          <w14:textFill>
            <w14:solidFill>
              <w14:schemeClr w14:val="tx1"/>
            </w14:solidFill>
          </w14:textFill>
        </w:rPr>
        <w:t>目 次</w:t>
      </w:r>
      <w:r>
        <w:rPr>
          <w:caps/>
          <w:color w:val="000000" w:themeColor="text1"/>
          <w:szCs w:val="21"/>
          <w14:textFill>
            <w14:solidFill>
              <w14:schemeClr w14:val="tx1"/>
            </w14:solidFill>
          </w14:textFill>
        </w:rPr>
        <w:fldChar w:fldCharType="begin"/>
      </w:r>
      <w:r>
        <w:rPr>
          <w:color w:val="000000" w:themeColor="text1"/>
          <w:szCs w:val="21"/>
          <w14:textFill>
            <w14:solidFill>
              <w14:schemeClr w14:val="tx1"/>
            </w14:solidFill>
          </w14:textFill>
        </w:rPr>
        <w:instrText xml:space="preserve">TOC \o "1-2" \h  \u </w:instrText>
      </w:r>
      <w:r>
        <w:rPr>
          <w:caps/>
          <w:color w:val="000000" w:themeColor="text1"/>
          <w:szCs w:val="21"/>
          <w14:textFill>
            <w14:solidFill>
              <w14:schemeClr w14:val="tx1"/>
            </w14:solidFill>
          </w14:textFill>
        </w:rPr>
        <w:fldChar w:fldCharType="separate"/>
      </w:r>
      <w:bookmarkEnd w:id="189"/>
    </w:p>
    <w:p w14:paraId="1157B85F">
      <w:pPr>
        <w:pStyle w:val="11"/>
        <w:tabs>
          <w:tab w:val="left" w:pos="420"/>
          <w:tab w:val="right" w:leader="dot" w:pos="8302"/>
        </w:tabs>
        <w:spacing w:line="360" w:lineRule="auto"/>
        <w:jc w:val="center"/>
        <w:rPr>
          <w:bCs/>
          <w:szCs w:val="21"/>
        </w:rPr>
      </w:pPr>
      <w:r>
        <w:fldChar w:fldCharType="begin"/>
      </w:r>
      <w:r>
        <w:instrText xml:space="preserve"> HYPERLINK \l "_Toc19192963" </w:instrText>
      </w:r>
      <w:r>
        <w:fldChar w:fldCharType="separate"/>
      </w:r>
      <w:r>
        <w:rPr>
          <w:rStyle w:val="21"/>
          <w:szCs w:val="21"/>
        </w:rPr>
        <w:t xml:space="preserve">1  </w:t>
      </w:r>
      <w:r>
        <w:rPr>
          <w:rStyle w:val="21"/>
          <w:rFonts w:hint="eastAsia" w:ascii="宋体" w:hAnsi="宋体"/>
          <w:szCs w:val="21"/>
        </w:rPr>
        <w:t>总则</w:t>
      </w:r>
      <w:r>
        <w:rPr>
          <w:szCs w:val="21"/>
        </w:rPr>
        <w:tab/>
      </w:r>
      <w:r>
        <w:rPr>
          <w:szCs w:val="21"/>
        </w:rPr>
        <w:t>2</w:t>
      </w:r>
      <w:r>
        <w:rPr>
          <w:rFonts w:hint="eastAsia"/>
          <w:szCs w:val="21"/>
          <w:lang w:val="en-US" w:eastAsia="zh-CN"/>
        </w:rPr>
        <w:t>0</w:t>
      </w:r>
      <w:r>
        <w:rPr>
          <w:szCs w:val="21"/>
        </w:rPr>
        <w:fldChar w:fldCharType="end"/>
      </w:r>
    </w:p>
    <w:p w14:paraId="30614512">
      <w:pPr>
        <w:pStyle w:val="11"/>
        <w:tabs>
          <w:tab w:val="left" w:pos="420"/>
          <w:tab w:val="right" w:leader="dot" w:pos="8302"/>
        </w:tabs>
        <w:spacing w:line="360" w:lineRule="auto"/>
        <w:jc w:val="center"/>
        <w:rPr>
          <w:rFonts w:hint="eastAsia" w:eastAsiaTheme="minorEastAsia"/>
          <w:bCs/>
          <w:szCs w:val="21"/>
          <w:lang w:eastAsia="zh-CN"/>
        </w:rPr>
      </w:pPr>
      <w:r>
        <w:fldChar w:fldCharType="begin"/>
      </w:r>
      <w:r>
        <w:instrText xml:space="preserve"> HYPERLINK \l "_Toc19192964" </w:instrText>
      </w:r>
      <w:r>
        <w:fldChar w:fldCharType="separate"/>
      </w:r>
      <w:r>
        <w:rPr>
          <w:rStyle w:val="21"/>
          <w:szCs w:val="21"/>
        </w:rPr>
        <w:t xml:space="preserve">2  </w:t>
      </w:r>
      <w:r>
        <w:rPr>
          <w:rStyle w:val="21"/>
          <w:rFonts w:hint="eastAsia"/>
          <w:szCs w:val="21"/>
        </w:rPr>
        <w:t>术语</w:t>
      </w:r>
      <w:r>
        <w:rPr>
          <w:szCs w:val="21"/>
        </w:rPr>
        <w:tab/>
      </w:r>
      <w:r>
        <w:rPr>
          <w:szCs w:val="21"/>
        </w:rPr>
        <w:fldChar w:fldCharType="end"/>
      </w:r>
      <w:r>
        <w:rPr>
          <w:szCs w:val="21"/>
        </w:rPr>
        <w:t>2</w:t>
      </w:r>
      <w:r>
        <w:rPr>
          <w:rFonts w:hint="eastAsia"/>
          <w:szCs w:val="21"/>
          <w:lang w:val="en-US" w:eastAsia="zh-CN"/>
        </w:rPr>
        <w:t>1</w:t>
      </w:r>
    </w:p>
    <w:p w14:paraId="291416A4">
      <w:pPr>
        <w:pStyle w:val="11"/>
        <w:tabs>
          <w:tab w:val="left" w:pos="420"/>
          <w:tab w:val="right" w:leader="dot" w:pos="8302"/>
        </w:tabs>
        <w:spacing w:line="360" w:lineRule="auto"/>
        <w:jc w:val="center"/>
        <w:rPr>
          <w:rFonts w:hint="eastAsia" w:eastAsiaTheme="minorEastAsia"/>
          <w:bCs/>
          <w:szCs w:val="21"/>
          <w:lang w:eastAsia="zh-CN"/>
        </w:rPr>
      </w:pPr>
      <w:r>
        <w:fldChar w:fldCharType="begin"/>
      </w:r>
      <w:r>
        <w:instrText xml:space="preserve"> HYPERLINK \l "_Toc19192965" </w:instrText>
      </w:r>
      <w:r>
        <w:fldChar w:fldCharType="separate"/>
      </w:r>
      <w:r>
        <w:rPr>
          <w:rStyle w:val="21"/>
          <w:szCs w:val="21"/>
        </w:rPr>
        <w:t xml:space="preserve">3  </w:t>
      </w:r>
      <w:r>
        <w:rPr>
          <w:rStyle w:val="21"/>
          <w:rFonts w:hint="eastAsia"/>
          <w:szCs w:val="21"/>
        </w:rPr>
        <w:t>基本规定</w:t>
      </w:r>
      <w:r>
        <w:rPr>
          <w:szCs w:val="21"/>
        </w:rPr>
        <w:tab/>
      </w:r>
      <w:r>
        <w:rPr>
          <w:szCs w:val="21"/>
        </w:rPr>
        <w:fldChar w:fldCharType="end"/>
      </w:r>
      <w:r>
        <w:rPr>
          <w:szCs w:val="21"/>
        </w:rPr>
        <w:t>2</w:t>
      </w:r>
      <w:r>
        <w:rPr>
          <w:rFonts w:hint="eastAsia"/>
          <w:szCs w:val="21"/>
          <w:lang w:val="en-US" w:eastAsia="zh-CN"/>
        </w:rPr>
        <w:t>2</w:t>
      </w:r>
    </w:p>
    <w:p w14:paraId="27D41DA4">
      <w:pPr>
        <w:pStyle w:val="11"/>
        <w:tabs>
          <w:tab w:val="left" w:pos="420"/>
          <w:tab w:val="right" w:leader="dot" w:pos="8302"/>
        </w:tabs>
        <w:spacing w:line="360" w:lineRule="auto"/>
        <w:jc w:val="center"/>
        <w:rPr>
          <w:rFonts w:hint="eastAsia" w:eastAsiaTheme="minorEastAsia"/>
          <w:lang w:eastAsia="zh-CN"/>
        </w:rPr>
      </w:pPr>
      <w:r>
        <w:fldChar w:fldCharType="begin"/>
      </w:r>
      <w:r>
        <w:instrText xml:space="preserve"> HYPERLINK \l "_Toc19192966" </w:instrText>
      </w:r>
      <w:r>
        <w:fldChar w:fldCharType="separate"/>
      </w:r>
      <w:r>
        <w:rPr>
          <w:rStyle w:val="21"/>
          <w:szCs w:val="21"/>
        </w:rPr>
        <w:t xml:space="preserve">4  </w:t>
      </w:r>
      <w:r>
        <w:rPr>
          <w:rStyle w:val="21"/>
          <w:rFonts w:hint="eastAsia"/>
          <w:szCs w:val="21"/>
        </w:rPr>
        <w:t>材料</w:t>
      </w:r>
      <w:r>
        <w:rPr>
          <w:szCs w:val="21"/>
        </w:rPr>
        <w:tab/>
      </w:r>
      <w:r>
        <w:rPr>
          <w:rFonts w:hint="eastAsia"/>
          <w:szCs w:val="21"/>
        </w:rPr>
        <w:t>2</w:t>
      </w:r>
      <w:r>
        <w:rPr>
          <w:rFonts w:hint="eastAsia"/>
          <w:szCs w:val="21"/>
        </w:rPr>
        <w:fldChar w:fldCharType="end"/>
      </w:r>
      <w:r>
        <w:rPr>
          <w:rFonts w:hint="eastAsia"/>
          <w:szCs w:val="21"/>
          <w:lang w:val="en-US" w:eastAsia="zh-CN"/>
        </w:rPr>
        <w:t>3</w:t>
      </w:r>
    </w:p>
    <w:p w14:paraId="33C631C1">
      <w:pPr>
        <w:pStyle w:val="11"/>
        <w:tabs>
          <w:tab w:val="left" w:pos="420"/>
          <w:tab w:val="right" w:leader="dot" w:pos="8302"/>
        </w:tabs>
        <w:spacing w:line="360" w:lineRule="auto"/>
        <w:jc w:val="center"/>
        <w:rPr>
          <w:rFonts w:hint="eastAsia" w:eastAsiaTheme="minorEastAsia"/>
          <w:bCs/>
          <w:szCs w:val="21"/>
          <w:lang w:eastAsia="zh-CN"/>
        </w:rPr>
      </w:pPr>
      <w:r>
        <w:fldChar w:fldCharType="begin"/>
      </w:r>
      <w:r>
        <w:instrText xml:space="preserve"> HYPERLINK \l "_Toc19192970" </w:instrText>
      </w:r>
      <w:r>
        <w:fldChar w:fldCharType="separate"/>
      </w:r>
      <w:r>
        <w:rPr>
          <w:rStyle w:val="21"/>
          <w:szCs w:val="21"/>
        </w:rPr>
        <w:t xml:space="preserve">5  </w:t>
      </w:r>
      <w:r>
        <w:rPr>
          <w:rStyle w:val="21"/>
          <w:rFonts w:hint="eastAsia"/>
          <w:szCs w:val="21"/>
        </w:rPr>
        <w:t>设计</w:t>
      </w:r>
      <w:r>
        <w:rPr>
          <w:szCs w:val="21"/>
        </w:rPr>
        <w:tab/>
      </w:r>
      <w:r>
        <w:rPr>
          <w:rFonts w:hint="eastAsia"/>
          <w:szCs w:val="21"/>
        </w:rPr>
        <w:t>2</w:t>
      </w:r>
      <w:r>
        <w:rPr>
          <w:rFonts w:hint="eastAsia"/>
          <w:szCs w:val="21"/>
        </w:rPr>
        <w:fldChar w:fldCharType="end"/>
      </w:r>
      <w:r>
        <w:rPr>
          <w:rFonts w:hint="eastAsia"/>
          <w:szCs w:val="21"/>
          <w:lang w:val="en-US" w:eastAsia="zh-CN"/>
        </w:rPr>
        <w:t>4</w:t>
      </w:r>
    </w:p>
    <w:p w14:paraId="216EB836">
      <w:pPr>
        <w:pStyle w:val="11"/>
        <w:tabs>
          <w:tab w:val="left" w:pos="420"/>
          <w:tab w:val="right" w:leader="dot" w:pos="8302"/>
        </w:tabs>
        <w:spacing w:line="360" w:lineRule="auto"/>
        <w:jc w:val="center"/>
        <w:rPr>
          <w:rFonts w:hint="eastAsia" w:eastAsiaTheme="minorEastAsia"/>
          <w:bCs/>
          <w:szCs w:val="21"/>
          <w:lang w:eastAsia="zh-CN"/>
        </w:rPr>
      </w:pPr>
      <w:r>
        <w:fldChar w:fldCharType="begin"/>
      </w:r>
      <w:r>
        <w:instrText xml:space="preserve"> HYPERLINK \l "_Toc19192974" </w:instrText>
      </w:r>
      <w:r>
        <w:fldChar w:fldCharType="separate"/>
      </w:r>
      <w:r>
        <w:rPr>
          <w:rStyle w:val="21"/>
          <w:szCs w:val="21"/>
        </w:rPr>
        <w:t xml:space="preserve">6  </w:t>
      </w:r>
      <w:r>
        <w:rPr>
          <w:rStyle w:val="21"/>
          <w:rFonts w:hint="eastAsia"/>
          <w:szCs w:val="21"/>
        </w:rPr>
        <w:t>施工</w:t>
      </w:r>
      <w:r>
        <w:rPr>
          <w:szCs w:val="21"/>
        </w:rPr>
        <w:tab/>
      </w:r>
      <w:r>
        <w:rPr>
          <w:rFonts w:hint="eastAsia"/>
          <w:szCs w:val="21"/>
        </w:rPr>
        <w:t>2</w:t>
      </w:r>
      <w:r>
        <w:rPr>
          <w:rFonts w:hint="eastAsia"/>
          <w:szCs w:val="21"/>
        </w:rPr>
        <w:fldChar w:fldCharType="end"/>
      </w:r>
      <w:r>
        <w:rPr>
          <w:rFonts w:hint="eastAsia"/>
          <w:szCs w:val="21"/>
          <w:lang w:val="en-US" w:eastAsia="zh-CN"/>
        </w:rPr>
        <w:t>5</w:t>
      </w:r>
    </w:p>
    <w:p w14:paraId="6E730DB5">
      <w:pPr>
        <w:pStyle w:val="11"/>
        <w:tabs>
          <w:tab w:val="left" w:pos="420"/>
          <w:tab w:val="right" w:leader="dot" w:pos="8302"/>
        </w:tabs>
        <w:spacing w:line="360" w:lineRule="auto"/>
        <w:jc w:val="center"/>
        <w:rPr>
          <w:rFonts w:hint="eastAsia" w:eastAsiaTheme="minorEastAsia"/>
          <w:bCs/>
          <w:szCs w:val="21"/>
          <w:lang w:eastAsia="zh-CN"/>
        </w:rPr>
      </w:pPr>
      <w:r>
        <w:fldChar w:fldCharType="begin"/>
      </w:r>
      <w:r>
        <w:instrText xml:space="preserve"> HYPERLINK \l "_Toc19192974" </w:instrText>
      </w:r>
      <w:r>
        <w:fldChar w:fldCharType="separate"/>
      </w:r>
      <w:r>
        <w:rPr>
          <w:rStyle w:val="21"/>
          <w:szCs w:val="21"/>
        </w:rPr>
        <w:t xml:space="preserve">7  </w:t>
      </w:r>
      <w:r>
        <w:rPr>
          <w:rStyle w:val="21"/>
          <w:rFonts w:hint="eastAsia"/>
          <w:szCs w:val="21"/>
        </w:rPr>
        <w:t>验收</w:t>
      </w:r>
      <w:r>
        <w:rPr>
          <w:szCs w:val="21"/>
        </w:rPr>
        <w:tab/>
      </w:r>
      <w:r>
        <w:rPr>
          <w:rFonts w:hint="eastAsia"/>
          <w:szCs w:val="21"/>
        </w:rPr>
        <w:t>2</w:t>
      </w:r>
      <w:r>
        <w:rPr>
          <w:rFonts w:hint="eastAsia"/>
          <w:szCs w:val="21"/>
        </w:rPr>
        <w:fldChar w:fldCharType="end"/>
      </w:r>
      <w:r>
        <w:rPr>
          <w:rFonts w:hint="eastAsia"/>
          <w:szCs w:val="21"/>
          <w:lang w:val="en-US" w:eastAsia="zh-CN"/>
        </w:rPr>
        <w:t>6</w:t>
      </w:r>
    </w:p>
    <w:p w14:paraId="5CCFB8DC">
      <w:pPr>
        <w:pStyle w:val="11"/>
      </w:pPr>
    </w:p>
    <w:p w14:paraId="2C0CECD9"/>
    <w:p w14:paraId="3C965794"/>
    <w:p w14:paraId="7221B0B4"/>
    <w:p w14:paraId="168A3215"/>
    <w:p w14:paraId="31EA9D86">
      <w:pPr>
        <w:jc w:val="center"/>
        <w:rPr>
          <w:rFonts w:ascii="Times New Roman" w:hAnsi="Times New Roman" w:cs="Times New Roman"/>
          <w:color w:val="000000" w:themeColor="text1"/>
          <w:sz w:val="28"/>
          <w:szCs w:val="28"/>
          <w14:textFill>
            <w14:solidFill>
              <w14:schemeClr w14:val="tx1"/>
            </w14:solidFill>
          </w14:textFill>
        </w:rPr>
      </w:pPr>
      <w:r>
        <w:rPr>
          <w:color w:val="000000" w:themeColor="text1"/>
          <w:szCs w:val="21"/>
          <w14:textFill>
            <w14:solidFill>
              <w14:schemeClr w14:val="tx1"/>
            </w14:solidFill>
          </w14:textFill>
        </w:rPr>
        <w:fldChar w:fldCharType="end"/>
      </w:r>
    </w:p>
    <w:p w14:paraId="64A7DF29">
      <w:pPr>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br w:type="page"/>
      </w:r>
    </w:p>
    <w:p w14:paraId="60A74B5C">
      <w:pPr>
        <w:pStyle w:val="2"/>
        <w:keepNext w:val="0"/>
        <w:keepLines w:val="0"/>
        <w:snapToGrid w:val="0"/>
        <w:spacing w:before="312" w:beforeLines="100" w:after="312" w:afterLines="100" w:line="360" w:lineRule="auto"/>
        <w:jc w:val="center"/>
        <w:rPr>
          <w:rFonts w:ascii="Times New Roman" w:hAnsi="Times New Roman" w:eastAsia="宋体" w:cs="Times New Roman"/>
          <w:b/>
          <w:color w:val="000000" w:themeColor="text1"/>
          <w:sz w:val="32"/>
          <w:szCs w:val="28"/>
          <w:lang w:val="zh-CN"/>
          <w14:textFill>
            <w14:solidFill>
              <w14:schemeClr w14:val="tx1"/>
            </w14:solidFill>
          </w14:textFill>
        </w:rPr>
      </w:pPr>
      <w:bookmarkStart w:id="190" w:name="_Toc1138"/>
      <w:r>
        <w:rPr>
          <w:rFonts w:ascii="Times New Roman" w:hAnsi="Times New Roman" w:eastAsia="宋体" w:cs="Times New Roman"/>
          <w:b/>
          <w:color w:val="000000" w:themeColor="text1"/>
          <w:sz w:val="32"/>
          <w:szCs w:val="28"/>
          <w:lang w:val="zh-CN"/>
          <w14:textFill>
            <w14:solidFill>
              <w14:schemeClr w14:val="tx1"/>
            </w14:solidFill>
          </w14:textFill>
        </w:rPr>
        <w:t>1　总　　则</w:t>
      </w:r>
      <w:bookmarkEnd w:id="190"/>
    </w:p>
    <w:p w14:paraId="709885BE">
      <w:pPr>
        <w:spacing w:line="360" w:lineRule="auto"/>
        <w:rPr>
          <w:rFonts w:ascii="Times New Roman" w:hAnsi="Times New Roman" w:cs="Times New Roman"/>
          <w:sz w:val="24"/>
        </w:rPr>
      </w:pPr>
      <w:r>
        <w:rPr>
          <w:rFonts w:ascii="Times New Roman" w:hAnsi="Times New Roman" w:cs="Times New Roman"/>
          <w:b/>
          <w:color w:val="000000" w:themeColor="text1"/>
          <w:sz w:val="24"/>
          <w14:textFill>
            <w14:solidFill>
              <w14:schemeClr w14:val="tx1"/>
            </w14:solidFill>
          </w14:textFill>
        </w:rPr>
        <w:t>1.0.1　</w:t>
      </w:r>
      <w:r>
        <w:rPr>
          <w:rFonts w:hint="eastAsia" w:ascii="Times New Roman" w:hAnsi="Times New Roman" w:cs="Times New Roman"/>
          <w:sz w:val="24"/>
        </w:rPr>
        <w:t>目前，市场上</w:t>
      </w:r>
      <w:bookmarkStart w:id="191" w:name="OLE_LINK93"/>
      <w:r>
        <w:rPr>
          <w:rFonts w:hint="eastAsia" w:ascii="Times New Roman" w:hAnsi="Times New Roman" w:cs="Times New Roman"/>
          <w:sz w:val="24"/>
        </w:rPr>
        <w:t>混凝土地面用水泥基耐磨材料</w:t>
      </w:r>
      <w:bookmarkEnd w:id="191"/>
      <w:r>
        <w:rPr>
          <w:rFonts w:hint="eastAsia" w:ascii="Times New Roman" w:hAnsi="Times New Roman" w:cs="Times New Roman"/>
          <w:sz w:val="24"/>
        </w:rPr>
        <w:t>的施工规范缺失，选材、设计、施工、验收均没有统一的规定，对建设工程的整体质量影响较大，需规范和统一。制定本规范的目的是从选材、设计、施工和验收的角度，对建设工程整体质量进行全面控制。</w:t>
      </w:r>
    </w:p>
    <w:p w14:paraId="12985DFB">
      <w:pPr>
        <w:spacing w:line="360"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1.0.2</w:t>
      </w:r>
      <w:r>
        <w:rPr>
          <w:rFonts w:ascii="Times New Roman" w:hAnsi="Times New Roman" w:cs="Times New Roman"/>
          <w:color w:val="000000" w:themeColor="text1"/>
          <w:sz w:val="24"/>
          <w14:textFill>
            <w14:solidFill>
              <w14:schemeClr w14:val="tx1"/>
            </w14:solidFill>
          </w14:textFill>
        </w:rPr>
        <w:t>　</w:t>
      </w:r>
      <w:bookmarkStart w:id="192" w:name="OLE_LINK88"/>
      <w:r>
        <w:rPr>
          <w:rFonts w:hint="eastAsia" w:ascii="Times New Roman" w:hAnsi="Times New Roman" w:cs="Times New Roman"/>
          <w:color w:val="000000" w:themeColor="text1"/>
          <w:sz w:val="24"/>
          <w14:textFill>
            <w14:solidFill>
              <w14:schemeClr w14:val="tx1"/>
            </w14:solidFill>
          </w14:textFill>
        </w:rPr>
        <w:t>强调</w:t>
      </w:r>
      <w:r>
        <w:rPr>
          <w:rFonts w:ascii="Times New Roman" w:hAnsi="Times New Roman" w:cs="Times New Roman"/>
          <w:color w:val="000000" w:themeColor="text1"/>
          <w:sz w:val="24"/>
          <w14:textFill>
            <w14:solidFill>
              <w14:schemeClr w14:val="tx1"/>
            </w14:solidFill>
          </w14:textFill>
        </w:rPr>
        <w:t>本规程适用</w:t>
      </w:r>
      <w:r>
        <w:rPr>
          <w:rFonts w:hint="eastAsia" w:ascii="Times New Roman" w:hAnsi="Times New Roman" w:cs="Times New Roman"/>
          <w:color w:val="000000" w:themeColor="text1"/>
          <w:sz w:val="24"/>
          <w14:textFill>
            <w14:solidFill>
              <w14:schemeClr w14:val="tx1"/>
            </w14:solidFill>
          </w14:textFill>
        </w:rPr>
        <w:t>范围包含</w:t>
      </w:r>
      <w:bookmarkStart w:id="193" w:name="OLE_LINK91"/>
      <w:bookmarkStart w:id="194" w:name="OLE_LINK92"/>
      <w:r>
        <w:rPr>
          <w:rFonts w:hint="eastAsia" w:ascii="Times New Roman" w:hAnsi="Times New Roman" w:cs="Times New Roman"/>
          <w:color w:val="000000" w:themeColor="text1"/>
          <w:sz w:val="24"/>
          <w14:textFill>
            <w14:solidFill>
              <w14:schemeClr w14:val="tx1"/>
            </w14:solidFill>
          </w14:textFill>
        </w:rPr>
        <w:t>混凝土地面用</w:t>
      </w:r>
      <w:r>
        <w:rPr>
          <w:rFonts w:hint="eastAsia" w:ascii="Times New Roman" w:hAnsi="Times New Roman" w:cs="Times New Roman"/>
          <w:sz w:val="24"/>
        </w:rPr>
        <w:t>水泥基耐磨材料</w:t>
      </w:r>
      <w:bookmarkEnd w:id="193"/>
      <w:bookmarkEnd w:id="194"/>
      <w:r>
        <w:rPr>
          <w:rFonts w:hint="eastAsia" w:ascii="Times New Roman" w:hAnsi="Times New Roman" w:cs="Times New Roman"/>
          <w:sz w:val="24"/>
        </w:rPr>
        <w:t>在</w:t>
      </w:r>
      <w:bookmarkStart w:id="195" w:name="OLE_LINK89"/>
      <w:r>
        <w:rPr>
          <w:rFonts w:ascii="Times New Roman" w:hAnsi="Times New Roman" w:cs="Times New Roman"/>
          <w:color w:val="000000" w:themeColor="text1"/>
          <w:sz w:val="24"/>
          <w14:textFill>
            <w14:solidFill>
              <w14:schemeClr w14:val="tx1"/>
            </w14:solidFill>
          </w14:textFill>
        </w:rPr>
        <w:t>新建、改建和扩建</w:t>
      </w:r>
      <w:bookmarkEnd w:id="195"/>
      <w:r>
        <w:rPr>
          <w:rFonts w:ascii="Times New Roman" w:hAnsi="Times New Roman" w:cs="Times New Roman"/>
          <w:color w:val="000000" w:themeColor="text1"/>
          <w:sz w:val="24"/>
          <w14:textFill>
            <w14:solidFill>
              <w14:schemeClr w14:val="tx1"/>
            </w14:solidFill>
          </w14:textFill>
        </w:rPr>
        <w:t>的地坪</w:t>
      </w:r>
      <w:r>
        <w:rPr>
          <w:rFonts w:ascii="Times New Roman" w:hAnsi="Times New Roman" w:cs="Times New Roman"/>
          <w:sz w:val="24"/>
        </w:rPr>
        <w:t>工程</w:t>
      </w:r>
      <w:r>
        <w:rPr>
          <w:rFonts w:hint="eastAsia" w:ascii="Times New Roman" w:hAnsi="Times New Roman" w:cs="Times New Roman"/>
          <w:sz w:val="24"/>
        </w:rPr>
        <w:t>。文件内容主要包括</w:t>
      </w:r>
      <w:r>
        <w:rPr>
          <w:rFonts w:ascii="Times New Roman" w:hAnsi="Times New Roman" w:cs="Times New Roman"/>
          <w:sz w:val="24"/>
        </w:rPr>
        <w:t>设计、施工</w:t>
      </w:r>
      <w:r>
        <w:rPr>
          <w:rFonts w:hint="eastAsia" w:ascii="Times New Roman" w:hAnsi="Times New Roman" w:cs="Times New Roman"/>
          <w:sz w:val="24"/>
        </w:rPr>
        <w:t>和</w:t>
      </w:r>
      <w:r>
        <w:rPr>
          <w:rFonts w:ascii="Times New Roman" w:hAnsi="Times New Roman" w:cs="Times New Roman"/>
          <w:sz w:val="24"/>
        </w:rPr>
        <w:t>质量验收</w:t>
      </w:r>
      <w:r>
        <w:rPr>
          <w:rFonts w:hint="eastAsia" w:ascii="Times New Roman" w:hAnsi="Times New Roman" w:cs="Times New Roman"/>
          <w:sz w:val="24"/>
        </w:rPr>
        <w:t>。</w:t>
      </w:r>
      <w:bookmarkEnd w:id="192"/>
    </w:p>
    <w:p w14:paraId="5E07D4E2">
      <w:pPr>
        <w:spacing w:line="360" w:lineRule="auto"/>
        <w:rPr>
          <w:rFonts w:ascii="Times New Roman" w:hAnsi="Times New Roman" w:cs="Times New Roman"/>
          <w:sz w:val="24"/>
        </w:rPr>
      </w:pPr>
      <w:r>
        <w:rPr>
          <w:rFonts w:ascii="Times New Roman" w:hAnsi="Times New Roman" w:cs="Times New Roman"/>
          <w:b/>
          <w:color w:val="000000" w:themeColor="text1"/>
          <w:sz w:val="24"/>
          <w14:textFill>
            <w14:solidFill>
              <w14:schemeClr w14:val="tx1"/>
            </w14:solidFill>
          </w14:textFill>
        </w:rPr>
        <w:t>1.0.3　</w:t>
      </w:r>
      <w:r>
        <w:rPr>
          <w:rFonts w:hint="eastAsia" w:ascii="Times New Roman" w:hAnsi="Times New Roman" w:cs="Times New Roman"/>
          <w:color w:val="000000" w:themeColor="text1"/>
          <w:sz w:val="24"/>
          <w14:textFill>
            <w14:solidFill>
              <w14:schemeClr w14:val="tx1"/>
            </w14:solidFill>
          </w14:textFill>
        </w:rPr>
        <w:t>混凝土地面用</w:t>
      </w:r>
      <w:r>
        <w:rPr>
          <w:rFonts w:hint="eastAsia" w:ascii="Times New Roman" w:hAnsi="Times New Roman" w:cs="Times New Roman"/>
          <w:sz w:val="24"/>
        </w:rPr>
        <w:t>水泥基耐磨材料在应用过程中</w:t>
      </w:r>
      <w:r>
        <w:rPr>
          <w:rFonts w:ascii="Times New Roman" w:hAnsi="Times New Roman" w:cs="Times New Roman"/>
          <w:sz w:val="24"/>
        </w:rPr>
        <w:t>的设计、选材、施工</w:t>
      </w:r>
      <w:r>
        <w:rPr>
          <w:rFonts w:hint="eastAsia" w:ascii="Times New Roman" w:hAnsi="Times New Roman" w:cs="Times New Roman"/>
          <w:sz w:val="24"/>
        </w:rPr>
        <w:t>和</w:t>
      </w:r>
      <w:r>
        <w:rPr>
          <w:rFonts w:ascii="Times New Roman" w:hAnsi="Times New Roman" w:cs="Times New Roman"/>
          <w:sz w:val="24"/>
        </w:rPr>
        <w:t>质量验收除</w:t>
      </w:r>
      <w:r>
        <w:rPr>
          <w:rFonts w:hint="eastAsia" w:ascii="Times New Roman" w:hAnsi="Times New Roman" w:cs="Times New Roman"/>
          <w:sz w:val="24"/>
        </w:rPr>
        <w:t>应</w:t>
      </w:r>
      <w:r>
        <w:rPr>
          <w:rFonts w:ascii="Times New Roman" w:hAnsi="Times New Roman" w:cs="Times New Roman"/>
          <w:sz w:val="24"/>
        </w:rPr>
        <w:t>符合本规程</w:t>
      </w:r>
      <w:r>
        <w:rPr>
          <w:rFonts w:hint="eastAsia" w:ascii="Times New Roman" w:hAnsi="Times New Roman" w:cs="Times New Roman"/>
          <w:sz w:val="24"/>
        </w:rPr>
        <w:t>规定</w:t>
      </w:r>
      <w:r>
        <w:rPr>
          <w:rFonts w:ascii="Times New Roman" w:hAnsi="Times New Roman" w:cs="Times New Roman"/>
          <w:sz w:val="24"/>
        </w:rPr>
        <w:t>外，</w:t>
      </w:r>
      <w:r>
        <w:rPr>
          <w:rFonts w:hint="eastAsia" w:ascii="Times New Roman" w:hAnsi="Times New Roman" w:cs="Times New Roman"/>
          <w:sz w:val="24"/>
        </w:rPr>
        <w:t>还可能会涉及到《建筑地面设计规范》GB 50037、《建筑地面工程施工质量验收规范》GB 50209、《建筑内部装修设计防火规范》GB 50222、</w:t>
      </w:r>
      <w:r>
        <w:rPr>
          <w:rFonts w:ascii="Times New Roman" w:hAnsi="Times New Roman" w:cs="Times New Roman"/>
          <w:sz w:val="24"/>
        </w:rPr>
        <w:t>《建筑工程施工质量验收统一标准》GB 50300</w:t>
      </w:r>
      <w:r>
        <w:rPr>
          <w:rFonts w:hint="eastAsia" w:ascii="Times New Roman" w:hAnsi="Times New Roman" w:cs="Times New Roman"/>
          <w:sz w:val="24"/>
        </w:rPr>
        <w:t>、《整体地坪工程技术规程》CECS 328等相关标准。</w:t>
      </w:r>
    </w:p>
    <w:p w14:paraId="638AD2F1">
      <w:pPr>
        <w:spacing w:line="312" w:lineRule="auto"/>
        <w:jc w:val="left"/>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br w:type="page"/>
      </w:r>
    </w:p>
    <w:p w14:paraId="15205621">
      <w:pPr>
        <w:pStyle w:val="2"/>
        <w:keepNext w:val="0"/>
        <w:keepLines w:val="0"/>
        <w:snapToGrid w:val="0"/>
        <w:spacing w:before="312" w:beforeLines="100" w:after="312" w:afterLines="100" w:line="360" w:lineRule="auto"/>
        <w:jc w:val="center"/>
        <w:rPr>
          <w:rFonts w:ascii="Times New Roman" w:hAnsi="Times New Roman" w:eastAsia="宋体" w:cs="Times New Roman"/>
          <w:b/>
          <w:color w:val="000000" w:themeColor="text1"/>
          <w:sz w:val="32"/>
          <w:szCs w:val="28"/>
          <w14:textFill>
            <w14:solidFill>
              <w14:schemeClr w14:val="tx1"/>
            </w14:solidFill>
          </w14:textFill>
        </w:rPr>
      </w:pPr>
      <w:bookmarkStart w:id="196" w:name="_Toc21120"/>
      <w:r>
        <w:rPr>
          <w:rFonts w:ascii="Times New Roman" w:hAnsi="Times New Roman" w:eastAsia="宋体" w:cs="Times New Roman"/>
          <w:b/>
          <w:color w:val="000000" w:themeColor="text1"/>
          <w:sz w:val="32"/>
          <w:szCs w:val="28"/>
          <w14:textFill>
            <w14:solidFill>
              <w14:schemeClr w14:val="tx1"/>
            </w14:solidFill>
          </w14:textFill>
        </w:rPr>
        <w:t>2</w:t>
      </w:r>
      <w:r>
        <w:rPr>
          <w:rFonts w:ascii="Times New Roman" w:hAnsi="Times New Roman" w:eastAsia="宋体" w:cs="Times New Roman"/>
          <w:b/>
          <w:color w:val="000000" w:themeColor="text1"/>
          <w:sz w:val="32"/>
          <w:szCs w:val="28"/>
          <w:lang w:val="zh-CN"/>
          <w14:textFill>
            <w14:solidFill>
              <w14:schemeClr w14:val="tx1"/>
            </w14:solidFill>
          </w14:textFill>
        </w:rPr>
        <w:t>　术　　语</w:t>
      </w:r>
      <w:bookmarkEnd w:id="196"/>
    </w:p>
    <w:p w14:paraId="35F31BD3">
      <w:pPr>
        <w:pStyle w:val="35"/>
        <w:keepNext w:val="0"/>
        <w:keepLines w:val="0"/>
        <w:pageBreakBefore w:val="0"/>
        <w:widowControl w:val="0"/>
        <w:numPr>
          <w:ilvl w:val="0"/>
          <w:numId w:val="4"/>
        </w:numPr>
        <w:kinsoku/>
        <w:wordWrap/>
        <w:overflowPunct/>
        <w:topLinePunct w:val="0"/>
        <w:autoSpaceDE/>
        <w:autoSpaceDN/>
        <w:bidi w:val="0"/>
        <w:adjustRightInd/>
        <w:snapToGrid/>
        <w:spacing w:line="312" w:lineRule="auto"/>
        <w:ind w:left="0" w:firstLine="0" w:firstLineChars="0"/>
        <w:textAlignment w:val="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由于混凝土地面用水泥基耐磨材料的应用，需要配合渗透型液体硬化剂进行硬化处理，本文件给出了混凝土地面用耐磨硬化地坪的术语。</w:t>
      </w:r>
      <w:r>
        <w:rPr>
          <w:rFonts w:ascii="Times New Roman" w:hAnsi="Times New Roman" w:cs="Times New Roman"/>
          <w:color w:val="000000" w:themeColor="text1"/>
          <w:sz w:val="24"/>
          <w14:textFill>
            <w14:solidFill>
              <w14:schemeClr w14:val="tx1"/>
            </w14:solidFill>
          </w14:textFill>
        </w:rPr>
        <w:t xml:space="preserve"> </w:t>
      </w:r>
    </w:p>
    <w:p w14:paraId="71F7B451">
      <w:pPr>
        <w:pStyle w:val="35"/>
        <w:keepNext w:val="0"/>
        <w:keepLines w:val="0"/>
        <w:pageBreakBefore w:val="0"/>
        <w:widowControl w:val="0"/>
        <w:numPr>
          <w:ilvl w:val="0"/>
          <w:numId w:val="4"/>
        </w:numPr>
        <w:kinsoku/>
        <w:wordWrap/>
        <w:overflowPunct/>
        <w:topLinePunct w:val="0"/>
        <w:autoSpaceDE/>
        <w:autoSpaceDN/>
        <w:bidi w:val="0"/>
        <w:adjustRightInd/>
        <w:snapToGrid/>
        <w:spacing w:line="312" w:lineRule="auto"/>
        <w:ind w:left="0" w:firstLine="0" w:firstLineChars="0"/>
        <w:textAlignment w:val="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引用行业标准</w:t>
      </w:r>
      <w:r>
        <w:rPr>
          <w:rFonts w:ascii="Times New Roman" w:hAnsi="Times New Roman" w:cs="Times New Roman"/>
          <w:color w:val="000000" w:themeColor="text1"/>
          <w:sz w:val="24"/>
          <w14:textFill>
            <w14:solidFill>
              <w14:schemeClr w14:val="tx1"/>
            </w14:solidFill>
          </w14:textFill>
        </w:rPr>
        <w:t>JC/T 2540</w:t>
      </w:r>
      <w:r>
        <w:rPr>
          <w:rFonts w:hint="eastAsia" w:ascii="Times New Roman" w:hAnsi="Times New Roman" w:cs="Times New Roman"/>
          <w:color w:val="000000" w:themeColor="text1"/>
          <w:sz w:val="24"/>
          <w:lang w:eastAsia="zh-CN"/>
          <w14:textFill>
            <w14:solidFill>
              <w14:schemeClr w14:val="tx1"/>
            </w14:solidFill>
          </w14:textFill>
        </w:rPr>
        <w:t>—</w:t>
      </w:r>
      <w:r>
        <w:rPr>
          <w:rFonts w:ascii="Times New Roman" w:hAnsi="Times New Roman" w:cs="Times New Roman"/>
          <w:color w:val="000000" w:themeColor="text1"/>
          <w:sz w:val="24"/>
          <w14:textFill>
            <w14:solidFill>
              <w14:schemeClr w14:val="tx1"/>
            </w14:solidFill>
          </w14:textFill>
        </w:rPr>
        <w:t>2019</w:t>
      </w:r>
      <w:r>
        <w:rPr>
          <w:rFonts w:hint="eastAsia" w:ascii="Times New Roman" w:hAnsi="Times New Roman" w:cs="Times New Roman"/>
          <w:color w:val="000000" w:themeColor="text1"/>
          <w:sz w:val="24"/>
          <w14:textFill>
            <w14:solidFill>
              <w14:schemeClr w14:val="tx1"/>
            </w14:solidFill>
          </w14:textFill>
        </w:rPr>
        <w:t>《地坪材料术语和定义》第4</w:t>
      </w:r>
      <w:r>
        <w:rPr>
          <w:rFonts w:ascii="Times New Roman" w:hAnsi="Times New Roman" w:cs="Times New Roman"/>
          <w:color w:val="000000" w:themeColor="text1"/>
          <w:sz w:val="24"/>
          <w14:textFill>
            <w14:solidFill>
              <w14:schemeClr w14:val="tx1"/>
            </w14:solidFill>
          </w14:textFill>
        </w:rPr>
        <w:t>.13</w:t>
      </w:r>
      <w:r>
        <w:rPr>
          <w:rFonts w:hint="eastAsia" w:ascii="Times New Roman" w:hAnsi="Times New Roman" w:cs="Times New Roman"/>
          <w:color w:val="000000" w:themeColor="text1"/>
          <w:sz w:val="24"/>
          <w14:textFill>
            <w14:solidFill>
              <w14:schemeClr w14:val="tx1"/>
            </w14:solidFill>
          </w14:textFill>
        </w:rPr>
        <w:t>、</w:t>
      </w:r>
      <w:r>
        <w:rPr>
          <w:rFonts w:ascii="Times New Roman" w:hAnsi="Times New Roman" w:cs="Times New Roman"/>
          <w:color w:val="000000" w:themeColor="text1"/>
          <w:sz w:val="24"/>
          <w14:textFill>
            <w14:solidFill>
              <w14:schemeClr w14:val="tx1"/>
            </w14:solidFill>
          </w14:textFill>
        </w:rPr>
        <w:t>4.15</w:t>
      </w:r>
      <w:r>
        <w:rPr>
          <w:rFonts w:hint="eastAsia" w:ascii="Times New Roman" w:hAnsi="Times New Roman" w:cs="Times New Roman"/>
          <w:color w:val="000000" w:themeColor="text1"/>
          <w:sz w:val="24"/>
          <w14:textFill>
            <w14:solidFill>
              <w14:schemeClr w14:val="tx1"/>
            </w14:solidFill>
          </w14:textFill>
        </w:rPr>
        <w:t>、</w:t>
      </w:r>
      <w:r>
        <w:rPr>
          <w:rFonts w:ascii="Times New Roman" w:hAnsi="Times New Roman" w:cs="Times New Roman"/>
          <w:color w:val="000000" w:themeColor="text1"/>
          <w:sz w:val="24"/>
          <w14:textFill>
            <w14:solidFill>
              <w14:schemeClr w14:val="tx1"/>
            </w14:solidFill>
          </w14:textFill>
        </w:rPr>
        <w:t>4.19</w:t>
      </w:r>
      <w:r>
        <w:rPr>
          <w:rFonts w:hint="eastAsia" w:ascii="Times New Roman" w:hAnsi="Times New Roman" w:cs="Times New Roman"/>
          <w:color w:val="000000" w:themeColor="text1"/>
          <w:sz w:val="24"/>
          <w14:textFill>
            <w14:solidFill>
              <w14:schemeClr w14:val="tx1"/>
            </w14:solidFill>
          </w14:textFill>
        </w:rPr>
        <w:t>和</w:t>
      </w:r>
      <w:r>
        <w:rPr>
          <w:rFonts w:ascii="Times New Roman" w:hAnsi="Times New Roman" w:cs="Times New Roman"/>
          <w:color w:val="000000" w:themeColor="text1"/>
          <w:sz w:val="24"/>
          <w14:textFill>
            <w14:solidFill>
              <w14:schemeClr w14:val="tx1"/>
            </w14:solidFill>
          </w14:textFill>
        </w:rPr>
        <w:t>4.20</w:t>
      </w:r>
      <w:r>
        <w:rPr>
          <w:rFonts w:hint="eastAsia" w:ascii="Times New Roman" w:hAnsi="Times New Roman" w:cs="Times New Roman"/>
          <w:color w:val="000000" w:themeColor="text1"/>
          <w:sz w:val="24"/>
          <w14:textFill>
            <w14:solidFill>
              <w14:schemeClr w14:val="tx1"/>
            </w14:solidFill>
          </w14:textFill>
        </w:rPr>
        <w:t>条</w:t>
      </w:r>
    </w:p>
    <w:p w14:paraId="77C02CAD">
      <w:pPr>
        <w:pStyle w:val="35"/>
        <w:keepNext w:val="0"/>
        <w:keepLines w:val="0"/>
        <w:pageBreakBefore w:val="0"/>
        <w:widowControl w:val="0"/>
        <w:numPr>
          <w:ilvl w:val="0"/>
          <w:numId w:val="4"/>
        </w:numPr>
        <w:kinsoku/>
        <w:wordWrap/>
        <w:overflowPunct/>
        <w:topLinePunct w:val="0"/>
        <w:autoSpaceDE/>
        <w:autoSpaceDN/>
        <w:bidi w:val="0"/>
        <w:adjustRightInd/>
        <w:snapToGrid/>
        <w:spacing w:line="312" w:lineRule="auto"/>
        <w:ind w:left="0" w:firstLine="0" w:firstLineChars="0"/>
        <w:textAlignment w:val="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引用行业标准JC/T 2158—2021《渗透型液体硬化剂》第3.1条。</w:t>
      </w:r>
    </w:p>
    <w:p w14:paraId="185855ED">
      <w:pPr>
        <w:pStyle w:val="35"/>
        <w:keepNext w:val="0"/>
        <w:keepLines w:val="0"/>
        <w:pageBreakBefore w:val="0"/>
        <w:widowControl w:val="0"/>
        <w:numPr>
          <w:ilvl w:val="0"/>
          <w:numId w:val="4"/>
        </w:numPr>
        <w:kinsoku/>
        <w:wordWrap/>
        <w:overflowPunct/>
        <w:topLinePunct w:val="0"/>
        <w:autoSpaceDE/>
        <w:autoSpaceDN/>
        <w:bidi w:val="0"/>
        <w:adjustRightInd/>
        <w:snapToGrid/>
        <w:spacing w:line="312" w:lineRule="auto"/>
        <w:ind w:left="0" w:firstLine="0" w:firstLineChars="0"/>
        <w:textAlignment w:val="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 xml:space="preserve">引用行业标准JC/T </w:t>
      </w:r>
      <w:r>
        <w:rPr>
          <w:rFonts w:ascii="Times New Roman" w:hAnsi="Times New Roman" w:cs="Times New Roman"/>
          <w:color w:val="000000" w:themeColor="text1"/>
          <w:sz w:val="24"/>
          <w14:textFill>
            <w14:solidFill>
              <w14:schemeClr w14:val="tx1"/>
            </w14:solidFill>
          </w14:textFill>
        </w:rPr>
        <w:t>906</w:t>
      </w:r>
      <w:r>
        <w:rPr>
          <w:rFonts w:hint="eastAsia" w:ascii="Times New Roman" w:hAnsi="Times New Roman" w:cs="Times New Roman"/>
          <w:color w:val="000000" w:themeColor="text1"/>
          <w:sz w:val="24"/>
          <w14:textFill>
            <w14:solidFill>
              <w14:schemeClr w14:val="tx1"/>
            </w14:solidFill>
          </w14:textFill>
        </w:rPr>
        <w:t>—202</w:t>
      </w:r>
      <w:r>
        <w:rPr>
          <w:rFonts w:ascii="Times New Roman" w:hAnsi="Times New Roman" w:cs="Times New Roman"/>
          <w:color w:val="000000" w:themeColor="text1"/>
          <w:sz w:val="24"/>
          <w14:textFill>
            <w14:solidFill>
              <w14:schemeClr w14:val="tx1"/>
            </w14:solidFill>
          </w14:textFill>
        </w:rPr>
        <w:t>3</w:t>
      </w:r>
      <w:r>
        <w:rPr>
          <w:rFonts w:hint="eastAsia"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sz w:val="24"/>
        </w:rPr>
        <w:t>混凝土地面用水泥基耐磨材料</w:t>
      </w:r>
      <w:r>
        <w:rPr>
          <w:rFonts w:hint="eastAsia" w:ascii="Times New Roman" w:hAnsi="Times New Roman" w:cs="Times New Roman"/>
          <w:color w:val="000000" w:themeColor="text1"/>
          <w:sz w:val="24"/>
          <w14:textFill>
            <w14:solidFill>
              <w14:schemeClr w14:val="tx1"/>
            </w14:solidFill>
          </w14:textFill>
        </w:rPr>
        <w:t>》第3.1条</w:t>
      </w:r>
    </w:p>
    <w:p w14:paraId="5B4F9448">
      <w:pPr>
        <w:spacing w:line="312" w:lineRule="auto"/>
        <w:ind w:firstLine="480" w:firstLineChars="200"/>
        <w:rPr>
          <w:rFonts w:ascii="Times New Roman" w:hAnsi="Times New Roman" w:cs="Times New Roman"/>
          <w:sz w:val="24"/>
          <w:shd w:val="clear" w:color="auto" w:fill="FFFFFF"/>
        </w:rPr>
      </w:pPr>
    </w:p>
    <w:p w14:paraId="53DFFF00">
      <w:pPr>
        <w:spacing w:line="312" w:lineRule="auto"/>
        <w:ind w:firstLine="480" w:firstLineChars="200"/>
        <w:rPr>
          <w:rFonts w:ascii="Times New Roman" w:hAnsi="Times New Roman" w:cs="Times New Roman"/>
          <w:sz w:val="24"/>
          <w:shd w:val="clear" w:color="auto" w:fill="FFFFFF"/>
        </w:rPr>
      </w:pPr>
    </w:p>
    <w:p w14:paraId="2051138B">
      <w:pPr>
        <w:snapToGrid w:val="0"/>
        <w:spacing w:line="312" w:lineRule="auto"/>
        <w:jc w:val="left"/>
        <w:rPr>
          <w:rFonts w:ascii="Times New Roman" w:hAnsi="Times New Roman" w:cs="Times New Roman"/>
          <w:b/>
          <w:color w:val="000000" w:themeColor="text1"/>
          <w:szCs w:val="21"/>
          <w14:textFill>
            <w14:solidFill>
              <w14:schemeClr w14:val="tx1"/>
            </w14:solidFill>
          </w14:textFill>
        </w:rPr>
      </w:pPr>
      <w:r>
        <w:rPr>
          <w:rFonts w:ascii="Times New Roman" w:hAnsi="Times New Roman" w:cs="Times New Roman"/>
          <w:b/>
          <w:color w:val="000000" w:themeColor="text1"/>
          <w:szCs w:val="21"/>
          <w14:textFill>
            <w14:solidFill>
              <w14:schemeClr w14:val="tx1"/>
            </w14:solidFill>
          </w14:textFill>
        </w:rPr>
        <w:br w:type="page"/>
      </w:r>
    </w:p>
    <w:p w14:paraId="7DD03148">
      <w:pPr>
        <w:pStyle w:val="2"/>
        <w:keepNext w:val="0"/>
        <w:keepLines w:val="0"/>
        <w:snapToGrid w:val="0"/>
        <w:spacing w:before="312" w:beforeLines="100" w:after="312" w:afterLines="100" w:line="360" w:lineRule="auto"/>
        <w:jc w:val="center"/>
        <w:rPr>
          <w:rFonts w:hint="default" w:ascii="Times New Roman" w:hAnsi="Times New Roman" w:eastAsia="宋体" w:cs="Times New Roman"/>
          <w:b/>
          <w:color w:val="000000" w:themeColor="text1"/>
          <w:sz w:val="32"/>
          <w:szCs w:val="28"/>
          <w:lang w:val="en-US" w:eastAsia="zh-CN"/>
          <w14:textFill>
            <w14:solidFill>
              <w14:schemeClr w14:val="tx1"/>
            </w14:solidFill>
          </w14:textFill>
        </w:rPr>
      </w:pPr>
      <w:bookmarkStart w:id="197" w:name="_Toc17797"/>
      <w:r>
        <w:rPr>
          <w:rFonts w:ascii="Times New Roman" w:hAnsi="Times New Roman" w:eastAsia="宋体" w:cs="Times New Roman"/>
          <w:b/>
          <w:color w:val="000000" w:themeColor="text1"/>
          <w:sz w:val="32"/>
          <w:szCs w:val="28"/>
          <w14:textFill>
            <w14:solidFill>
              <w14:schemeClr w14:val="tx1"/>
            </w14:solidFill>
          </w14:textFill>
        </w:rPr>
        <w:t>3</w:t>
      </w:r>
      <w:r>
        <w:rPr>
          <w:rFonts w:ascii="Times New Roman" w:hAnsi="Times New Roman" w:eastAsia="宋体" w:cs="Times New Roman"/>
          <w:b/>
          <w:color w:val="000000" w:themeColor="text1"/>
          <w:sz w:val="32"/>
          <w:szCs w:val="28"/>
          <w:lang w:val="zh-CN"/>
          <w14:textFill>
            <w14:solidFill>
              <w14:schemeClr w14:val="tx1"/>
            </w14:solidFill>
          </w14:textFill>
        </w:rPr>
        <w:t>　</w:t>
      </w:r>
      <w:r>
        <w:rPr>
          <w:rFonts w:hint="eastAsia" w:ascii="Times New Roman" w:hAnsi="Times New Roman" w:eastAsia="宋体" w:cs="Times New Roman"/>
          <w:b/>
          <w:color w:val="000000" w:themeColor="text1"/>
          <w:sz w:val="32"/>
          <w:szCs w:val="28"/>
          <w:lang w:val="en-US" w:eastAsia="zh-CN"/>
          <w14:textFill>
            <w14:solidFill>
              <w14:schemeClr w14:val="tx1"/>
            </w14:solidFill>
          </w14:textFill>
        </w:rPr>
        <w:t>基本规定</w:t>
      </w:r>
      <w:bookmarkEnd w:id="197"/>
    </w:p>
    <w:p w14:paraId="14A8BC1E">
      <w:pPr>
        <w:spacing w:line="312" w:lineRule="auto"/>
        <w:rPr>
          <w:rFonts w:hint="eastAsia" w:ascii="Times New Roman" w:hAnsi="Times New Roman" w:cs="Times New Roman"/>
          <w:color w:val="000000" w:themeColor="text1"/>
          <w:sz w:val="24"/>
          <w14:textFill>
            <w14:solidFill>
              <w14:schemeClr w14:val="tx1"/>
            </w14:solidFill>
          </w14:textFill>
        </w:rPr>
      </w:pPr>
      <w:r>
        <w:rPr>
          <w:rFonts w:ascii="Times New Roman" w:hAnsi="Times New Roman" w:eastAsia="宋体" w:cs="Times New Roman"/>
          <w:b/>
          <w:color w:val="000000" w:themeColor="text1"/>
          <w:sz w:val="24"/>
          <w14:textFill>
            <w14:solidFill>
              <w14:schemeClr w14:val="tx1"/>
            </w14:solidFill>
          </w14:textFill>
        </w:rPr>
        <w:t>3.0.1　</w:t>
      </w:r>
      <w:r>
        <w:rPr>
          <w:rFonts w:hint="eastAsia" w:ascii="Times New Roman" w:hAnsi="Times New Roman" w:cs="Times New Roman"/>
          <w:color w:val="000000" w:themeColor="text1"/>
          <w:sz w:val="24"/>
          <w14:textFill>
            <w14:solidFill>
              <w14:schemeClr w14:val="tx1"/>
            </w14:solidFill>
          </w14:textFill>
        </w:rPr>
        <w:t>建筑功能指的是此</w:t>
      </w:r>
      <w:r>
        <w:rPr>
          <w:rFonts w:hint="eastAsia" w:ascii="Times New Roman" w:hAnsi="Times New Roman" w:cs="Times New Roman"/>
          <w:color w:val="000000" w:themeColor="text1"/>
          <w:sz w:val="24"/>
          <w:lang w:val="en-US" w:eastAsia="zh-CN"/>
          <w14:textFill>
            <w14:solidFill>
              <w14:schemeClr w14:val="tx1"/>
            </w14:solidFill>
          </w14:textFill>
        </w:rPr>
        <w:t>地坪用于地坪的耐磨等级、载荷等，</w:t>
      </w:r>
      <w:r>
        <w:rPr>
          <w:rFonts w:hint="eastAsia" w:ascii="Times New Roman" w:hAnsi="Times New Roman" w:cs="Times New Roman"/>
          <w:color w:val="000000" w:themeColor="text1"/>
          <w:sz w:val="24"/>
          <w14:textFill>
            <w14:solidFill>
              <w14:schemeClr w14:val="tx1"/>
            </w14:solidFill>
          </w14:textFill>
        </w:rPr>
        <w:t>技术经济条件通常是指设计、施工、验收的可行性和性价比方面，上述因素都应该在地坪选择的时候综合考虑。</w:t>
      </w:r>
    </w:p>
    <w:p w14:paraId="1820B443">
      <w:pPr>
        <w:spacing w:line="312" w:lineRule="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ascii="Times New Roman" w:hAnsi="Times New Roman" w:eastAsia="宋体" w:cs="Times New Roman"/>
          <w:b/>
          <w:color w:val="000000" w:themeColor="text1"/>
          <w:sz w:val="24"/>
          <w14:textFill>
            <w14:solidFill>
              <w14:schemeClr w14:val="tx1"/>
            </w14:solidFill>
          </w14:textFill>
        </w:rPr>
        <w:t>3.0.</w:t>
      </w:r>
      <w:r>
        <w:rPr>
          <w:rFonts w:hint="eastAsia" w:ascii="Times New Roman" w:hAnsi="Times New Roman" w:eastAsia="宋体" w:cs="Times New Roman"/>
          <w:b/>
          <w:color w:val="000000" w:themeColor="text1"/>
          <w:sz w:val="24"/>
          <w:lang w:val="en-US" w:eastAsia="zh-CN"/>
          <w14:textFill>
            <w14:solidFill>
              <w14:schemeClr w14:val="tx1"/>
            </w14:solidFill>
          </w14:textFill>
        </w:rPr>
        <w:t>2</w:t>
      </w:r>
      <w:r>
        <w:rPr>
          <w:rFonts w:hint="eastAsia" w:ascii="Times New Roman" w:hAnsi="Times New Roman" w:eastAsia="宋体" w:cs="Times New Roman"/>
          <w:bCs/>
          <w:color w:val="000000" w:themeColor="text1"/>
          <w:sz w:val="24"/>
          <w14:textFill>
            <w14:solidFill>
              <w14:schemeClr w14:val="tx1"/>
            </w14:solidFill>
          </w14:textFill>
        </w:rPr>
        <w:t xml:space="preserve"> </w:t>
      </w:r>
      <w:r>
        <w:rPr>
          <w:rFonts w:hint="eastAsia" w:ascii="Times New Roman" w:hAnsi="Times New Roman" w:eastAsia="宋体" w:cs="Times New Roman"/>
          <w:bCs/>
          <w:color w:val="000000" w:themeColor="text1"/>
          <w:sz w:val="24"/>
          <w:lang w:val="en-US" w:eastAsia="zh-CN"/>
          <w14:textFill>
            <w14:solidFill>
              <w14:schemeClr w14:val="tx1"/>
            </w14:solidFill>
          </w14:textFill>
        </w:rPr>
        <w:t>混凝土地面用水泥基耐耐磨材料作为经济地坪材料，应该着重关注其绿色化。</w:t>
      </w:r>
    </w:p>
    <w:p w14:paraId="3205721F">
      <w:pPr>
        <w:spacing w:line="312" w:lineRule="auto"/>
        <w:rPr>
          <w:rFonts w:hint="default" w:ascii="Times New Roman" w:hAnsi="Times New Roman" w:eastAsia="宋体" w:cs="Times New Roman"/>
          <w:bCs/>
          <w:color w:val="000000" w:themeColor="text1"/>
          <w:sz w:val="24"/>
          <w:lang w:val="en-US" w:eastAsia="zh-CN"/>
          <w14:textFill>
            <w14:solidFill>
              <w14:schemeClr w14:val="tx1"/>
            </w14:solidFill>
          </w14:textFill>
        </w:rPr>
      </w:pPr>
      <w:r>
        <w:rPr>
          <w:rFonts w:ascii="Times New Roman" w:hAnsi="Times New Roman" w:eastAsia="宋体" w:cs="Times New Roman"/>
          <w:b/>
          <w:color w:val="000000" w:themeColor="text1"/>
          <w:sz w:val="24"/>
          <w14:textFill>
            <w14:solidFill>
              <w14:schemeClr w14:val="tx1"/>
            </w14:solidFill>
          </w14:textFill>
        </w:rPr>
        <w:t>3.0.</w:t>
      </w:r>
      <w:r>
        <w:rPr>
          <w:rFonts w:hint="eastAsia" w:ascii="Times New Roman" w:hAnsi="Times New Roman" w:eastAsia="宋体" w:cs="Times New Roman"/>
          <w:b/>
          <w:color w:val="000000" w:themeColor="text1"/>
          <w:sz w:val="24"/>
          <w:lang w:val="en-US" w:eastAsia="zh-CN"/>
          <w14:textFill>
            <w14:solidFill>
              <w14:schemeClr w14:val="tx1"/>
            </w14:solidFill>
          </w14:textFill>
        </w:rPr>
        <w:t>3</w:t>
      </w:r>
      <w:r>
        <w:rPr>
          <w:rFonts w:ascii="Times New Roman" w:hAnsi="Times New Roman" w:eastAsia="宋体" w:cs="Times New Roman"/>
          <w:b/>
          <w:color w:val="000000" w:themeColor="text1"/>
          <w:sz w:val="24"/>
          <w14:textFill>
            <w14:solidFill>
              <w14:schemeClr w14:val="tx1"/>
            </w14:solidFill>
          </w14:textFill>
        </w:rPr>
        <w:t xml:space="preserve"> </w:t>
      </w:r>
      <w:r>
        <w:rPr>
          <w:rFonts w:hint="eastAsia" w:ascii="Times New Roman" w:hAnsi="Times New Roman" w:eastAsia="宋体" w:cs="Times New Roman"/>
          <w:b w:val="0"/>
          <w:bCs/>
          <w:color w:val="000000" w:themeColor="text1"/>
          <w:sz w:val="24"/>
          <w:lang w:val="en-US" w:eastAsia="zh-CN"/>
          <w14:textFill>
            <w14:solidFill>
              <w14:schemeClr w14:val="tx1"/>
            </w14:solidFill>
          </w14:textFill>
        </w:rPr>
        <w:t>根据不同的使用场合对耐磨性的要求，确定不同耐磨等级的耐磨地坪。</w:t>
      </w:r>
    </w:p>
    <w:p w14:paraId="356EB20B">
      <w:pPr>
        <w:spacing w:line="312" w:lineRule="auto"/>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strike w:val="0"/>
          <w:dstrike w:val="0"/>
          <w:color w:val="000000" w:themeColor="text1"/>
          <w:sz w:val="24"/>
          <w14:textFill>
            <w14:solidFill>
              <w14:schemeClr w14:val="tx1"/>
            </w14:solidFill>
          </w14:textFill>
        </w:rPr>
        <w:t>3.</w:t>
      </w:r>
      <w:r>
        <w:rPr>
          <w:rFonts w:hint="eastAsia" w:ascii="Times New Roman" w:hAnsi="Times New Roman" w:cs="Times New Roman"/>
          <w:b/>
          <w:strike w:val="0"/>
          <w:dstrike w:val="0"/>
          <w:color w:val="000000" w:themeColor="text1"/>
          <w:sz w:val="24"/>
          <w:lang w:val="en-US" w:eastAsia="zh-CN"/>
          <w14:textFill>
            <w14:solidFill>
              <w14:schemeClr w14:val="tx1"/>
            </w14:solidFill>
          </w14:textFill>
        </w:rPr>
        <w:t>0</w:t>
      </w:r>
      <w:r>
        <w:rPr>
          <w:rFonts w:ascii="Times New Roman" w:hAnsi="Times New Roman" w:cs="Times New Roman"/>
          <w:b/>
          <w:strike w:val="0"/>
          <w:dstrike w:val="0"/>
          <w:color w:val="000000" w:themeColor="text1"/>
          <w:sz w:val="24"/>
          <w14:textFill>
            <w14:solidFill>
              <w14:schemeClr w14:val="tx1"/>
            </w14:solidFill>
          </w14:textFill>
        </w:rPr>
        <w:t>.</w:t>
      </w:r>
      <w:r>
        <w:rPr>
          <w:rFonts w:hint="eastAsia" w:ascii="Times New Roman" w:hAnsi="Times New Roman" w:cs="Times New Roman"/>
          <w:b/>
          <w:strike w:val="0"/>
          <w:dstrike w:val="0"/>
          <w:color w:val="000000" w:themeColor="text1"/>
          <w:sz w:val="24"/>
          <w:lang w:val="en-US" w:eastAsia="zh-CN"/>
          <w14:textFill>
            <w14:solidFill>
              <w14:schemeClr w14:val="tx1"/>
            </w14:solidFill>
          </w14:textFill>
        </w:rPr>
        <w:t>4</w:t>
      </w:r>
      <w:r>
        <w:rPr>
          <w:rFonts w:ascii="Times New Roman" w:hAnsi="Times New Roman" w:cs="Times New Roman"/>
          <w:b/>
          <w:strike w:val="0"/>
          <w:dstrike w:val="0"/>
          <w:color w:val="000000" w:themeColor="text1"/>
          <w:sz w:val="24"/>
          <w14:textFill>
            <w14:solidFill>
              <w14:schemeClr w14:val="tx1"/>
            </w14:solidFill>
          </w14:textFill>
        </w:rPr>
        <w:t xml:space="preserve"> </w:t>
      </w:r>
      <w:r>
        <w:rPr>
          <w:rFonts w:hint="eastAsia" w:ascii="Times New Roman" w:hAnsi="Times New Roman" w:eastAsia="宋体" w:cs="Times New Roman"/>
          <w:b w:val="0"/>
          <w:bCs/>
          <w:color w:val="000000" w:themeColor="text1"/>
          <w:sz w:val="24"/>
          <w:lang w:val="en-US" w:eastAsia="zh-CN"/>
          <w14:textFill>
            <w14:solidFill>
              <w14:schemeClr w14:val="tx1"/>
            </w14:solidFill>
          </w14:textFill>
        </w:rPr>
        <w:t>不发火性能和防静电性能的耐磨地坪，应符合相关标准规定。</w:t>
      </w:r>
    </w:p>
    <w:p w14:paraId="4F2F10F4">
      <w:pPr>
        <w:spacing w:line="312" w:lineRule="auto"/>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br w:type="page"/>
      </w:r>
    </w:p>
    <w:p w14:paraId="42A48060">
      <w:pPr>
        <w:spacing w:line="312" w:lineRule="auto"/>
        <w:rPr>
          <w:rFonts w:ascii="Times New Roman" w:hAnsi="Times New Roman" w:eastAsia="宋体" w:cs="Times New Roman"/>
          <w:color w:val="000000" w:themeColor="text1"/>
          <w:sz w:val="24"/>
          <w14:textFill>
            <w14:solidFill>
              <w14:schemeClr w14:val="tx1"/>
            </w14:solidFill>
          </w14:textFill>
        </w:rPr>
      </w:pPr>
    </w:p>
    <w:p w14:paraId="3CC1AA06">
      <w:pPr>
        <w:pStyle w:val="2"/>
        <w:keepNext w:val="0"/>
        <w:keepLines w:val="0"/>
        <w:snapToGrid w:val="0"/>
        <w:spacing w:before="312" w:beforeLines="100" w:after="312" w:afterLines="100" w:line="360" w:lineRule="auto"/>
        <w:jc w:val="center"/>
        <w:rPr>
          <w:rFonts w:ascii="Times New Roman" w:hAnsi="Times New Roman" w:eastAsia="宋体" w:cs="Times New Roman"/>
          <w:b/>
          <w:color w:val="000000" w:themeColor="text1"/>
          <w:sz w:val="32"/>
          <w:szCs w:val="28"/>
          <w14:textFill>
            <w14:solidFill>
              <w14:schemeClr w14:val="tx1"/>
            </w14:solidFill>
          </w14:textFill>
        </w:rPr>
      </w:pPr>
      <w:bookmarkStart w:id="198" w:name="_Toc18712"/>
      <w:r>
        <w:rPr>
          <w:rFonts w:hint="eastAsia" w:ascii="Times New Roman" w:hAnsi="Times New Roman" w:eastAsia="宋体" w:cs="Times New Roman"/>
          <w:b/>
          <w:color w:val="000000" w:themeColor="text1"/>
          <w:sz w:val="32"/>
          <w:szCs w:val="28"/>
          <w:lang w:val="en-US" w:eastAsia="zh-CN"/>
          <w14:textFill>
            <w14:solidFill>
              <w14:schemeClr w14:val="tx1"/>
            </w14:solidFill>
          </w14:textFill>
        </w:rPr>
        <w:t>4</w:t>
      </w:r>
      <w:r>
        <w:rPr>
          <w:rFonts w:ascii="Times New Roman" w:hAnsi="Times New Roman" w:eastAsia="宋体" w:cs="Times New Roman"/>
          <w:b/>
          <w:color w:val="000000" w:themeColor="text1"/>
          <w:sz w:val="32"/>
          <w:szCs w:val="28"/>
          <w:lang w:val="zh-CN"/>
          <w14:textFill>
            <w14:solidFill>
              <w14:schemeClr w14:val="tx1"/>
            </w14:solidFill>
          </w14:textFill>
        </w:rPr>
        <w:t>　材　　料</w:t>
      </w:r>
      <w:bookmarkEnd w:id="198"/>
    </w:p>
    <w:p w14:paraId="0FF154E7">
      <w:pPr>
        <w:spacing w:line="312" w:lineRule="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b/>
          <w:color w:val="000000" w:themeColor="text1"/>
          <w:sz w:val="24"/>
          <w:lang w:val="en-US" w:eastAsia="zh-CN"/>
          <w14:textFill>
            <w14:solidFill>
              <w14:schemeClr w14:val="tx1"/>
            </w14:solidFill>
          </w14:textFill>
        </w:rPr>
        <w:t>4</w:t>
      </w:r>
      <w:r>
        <w:rPr>
          <w:rFonts w:ascii="Times New Roman" w:hAnsi="Times New Roman" w:eastAsia="宋体" w:cs="Times New Roman"/>
          <w:b/>
          <w:color w:val="000000" w:themeColor="text1"/>
          <w:sz w:val="24"/>
          <w14:textFill>
            <w14:solidFill>
              <w14:schemeClr w14:val="tx1"/>
            </w14:solidFill>
          </w14:textFill>
        </w:rPr>
        <w:t>.0.1　</w:t>
      </w:r>
      <w:bookmarkStart w:id="199" w:name="OLE_LINK96"/>
      <w:bookmarkStart w:id="200" w:name="OLE_LINK97"/>
      <w:r>
        <w:rPr>
          <w:rFonts w:ascii="Times New Roman" w:hAnsi="Times New Roman" w:eastAsia="宋体" w:cs="Times New Roman"/>
          <w:color w:val="000000" w:themeColor="text1"/>
          <w:sz w:val="24"/>
          <w14:textFill>
            <w14:solidFill>
              <w14:schemeClr w14:val="tx1"/>
            </w14:solidFill>
          </w14:textFill>
        </w:rPr>
        <w:t>耐磨</w:t>
      </w:r>
      <w:r>
        <w:rPr>
          <w:rFonts w:hint="eastAsia" w:ascii="Times New Roman" w:hAnsi="Times New Roman" w:eastAsia="宋体" w:cs="Times New Roman"/>
          <w:color w:val="000000" w:themeColor="text1"/>
          <w:sz w:val="24"/>
          <w14:textFill>
            <w14:solidFill>
              <w14:schemeClr w14:val="tx1"/>
            </w14:solidFill>
          </w14:textFill>
        </w:rPr>
        <w:t>材料和渗透型液体硬化剂</w:t>
      </w:r>
      <w:bookmarkEnd w:id="199"/>
      <w:bookmarkEnd w:id="200"/>
      <w:r>
        <w:rPr>
          <w:rFonts w:hint="eastAsia" w:ascii="Times New Roman" w:hAnsi="Times New Roman" w:eastAsia="宋体" w:cs="Times New Roman"/>
          <w:color w:val="000000" w:themeColor="text1"/>
          <w:sz w:val="24"/>
          <w14:textFill>
            <w14:solidFill>
              <w14:schemeClr w14:val="tx1"/>
            </w14:solidFill>
          </w14:textFill>
        </w:rPr>
        <w:t>的优劣决定着工程质量，因此本条款从材料的</w:t>
      </w:r>
      <w:r>
        <w:rPr>
          <w:rFonts w:ascii="Times New Roman" w:hAnsi="Times New Roman" w:eastAsia="宋体" w:cs="Times New Roman"/>
          <w:color w:val="000000" w:themeColor="text1"/>
          <w:sz w:val="24"/>
          <w14:textFill>
            <w14:solidFill>
              <w14:schemeClr w14:val="tx1"/>
            </w14:solidFill>
          </w14:textFill>
        </w:rPr>
        <w:t>性能</w:t>
      </w:r>
      <w:r>
        <w:rPr>
          <w:rFonts w:hint="eastAsia" w:ascii="Times New Roman" w:hAnsi="Times New Roman" w:eastAsia="宋体" w:cs="Times New Roman"/>
          <w:color w:val="000000" w:themeColor="text1"/>
          <w:sz w:val="24"/>
          <w14:textFill>
            <w14:solidFill>
              <w14:schemeClr w14:val="tx1"/>
            </w14:solidFill>
          </w14:textFill>
        </w:rPr>
        <w:t>方面做出相应规定。</w:t>
      </w:r>
    </w:p>
    <w:p w14:paraId="474E28BA">
      <w:pPr>
        <w:spacing w:line="312"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eastAsia="宋体" w:cs="Times New Roman"/>
          <w:b/>
          <w:color w:val="000000" w:themeColor="text1"/>
          <w:sz w:val="24"/>
          <w:lang w:val="en-US" w:eastAsia="zh-CN"/>
          <w14:textFill>
            <w14:solidFill>
              <w14:schemeClr w14:val="tx1"/>
            </w14:solidFill>
          </w14:textFill>
        </w:rPr>
        <w:t>4</w:t>
      </w:r>
      <w:r>
        <w:rPr>
          <w:rFonts w:ascii="Times New Roman" w:hAnsi="Times New Roman" w:eastAsia="宋体" w:cs="Times New Roman"/>
          <w:b/>
          <w:color w:val="000000" w:themeColor="text1"/>
          <w:sz w:val="24"/>
          <w14:textFill>
            <w14:solidFill>
              <w14:schemeClr w14:val="tx1"/>
            </w14:solidFill>
          </w14:textFill>
        </w:rPr>
        <w:t>.0.2</w:t>
      </w:r>
      <w:r>
        <w:rPr>
          <w:rFonts w:ascii="Times New Roman" w:hAnsi="Times New Roman" w:eastAsia="宋体" w:cs="Times New Roman"/>
          <w:bCs/>
          <w:color w:val="000000" w:themeColor="text1"/>
          <w:sz w:val="24"/>
          <w14:textFill>
            <w14:solidFill>
              <w14:schemeClr w14:val="tx1"/>
            </w14:solidFill>
          </w14:textFill>
        </w:rPr>
        <w:t>　</w:t>
      </w:r>
      <w:r>
        <w:rPr>
          <w:rFonts w:hint="eastAsia" w:ascii="Times New Roman" w:hAnsi="Times New Roman" w:eastAsia="宋体" w:cs="Times New Roman"/>
          <w:color w:val="000000" w:themeColor="text1"/>
          <w:sz w:val="24"/>
          <w14:textFill>
            <w14:solidFill>
              <w14:schemeClr w14:val="tx1"/>
            </w14:solidFill>
          </w14:textFill>
        </w:rPr>
        <w:t>本条引用了国家标准《建筑地面工程施工质量验收规范》GB 50209-2012第3.0.3条，规定了</w:t>
      </w:r>
      <w:r>
        <w:rPr>
          <w:rFonts w:ascii="Times New Roman" w:hAnsi="Times New Roman" w:eastAsia="宋体" w:cs="Times New Roman"/>
          <w:color w:val="000000" w:themeColor="text1"/>
          <w:sz w:val="24"/>
          <w14:textFill>
            <w14:solidFill>
              <w14:schemeClr w14:val="tx1"/>
            </w14:solidFill>
          </w14:textFill>
        </w:rPr>
        <w:t>水泥基耐磨</w:t>
      </w:r>
      <w:r>
        <w:rPr>
          <w:rFonts w:hint="eastAsia" w:ascii="Times New Roman" w:hAnsi="Times New Roman" w:eastAsia="宋体" w:cs="Times New Roman"/>
          <w:color w:val="000000" w:themeColor="text1"/>
          <w:sz w:val="24"/>
          <w14:textFill>
            <w14:solidFill>
              <w14:schemeClr w14:val="tx1"/>
            </w14:solidFill>
          </w14:textFill>
        </w:rPr>
        <w:t>材料和渗透型液体硬化剂及配套材料在进场时应提交的资料性证明文件。材料进场时应查看材料的合格证、第三方出具的型式检验报告，并对品种、型号、外观质量等进行检查。国家标准《建筑工程施工质量验收统一标准》GB 50300-2013第3.0.3条中对于重要材料泛指涉及安全、节能、环境保护和主要使用功能的材料，另外如果供需双方对产品质量存在疑问时，本条也规定了进场复验的项目，这些项目是从相关的产品标准中挑选出直接影响产品质量的关键项目。</w:t>
      </w:r>
      <w:r>
        <w:rPr>
          <w:rFonts w:ascii="Times New Roman" w:hAnsi="Times New Roman" w:eastAsia="宋体" w:cs="Times New Roman"/>
          <w:color w:val="000000" w:themeColor="text1"/>
          <w:sz w:val="24"/>
          <w14:textFill>
            <w14:solidFill>
              <w14:schemeClr w14:val="tx1"/>
            </w14:solidFill>
          </w14:textFill>
        </w:rPr>
        <w:br w:type="page"/>
      </w:r>
    </w:p>
    <w:p w14:paraId="0F9166C4">
      <w:pPr>
        <w:pStyle w:val="2"/>
        <w:keepNext w:val="0"/>
        <w:keepLines w:val="0"/>
        <w:snapToGrid w:val="0"/>
        <w:spacing w:before="312" w:beforeLines="100" w:after="312" w:afterLines="100" w:line="360" w:lineRule="auto"/>
        <w:jc w:val="center"/>
        <w:rPr>
          <w:rFonts w:ascii="Times New Roman" w:hAnsi="Times New Roman" w:eastAsia="宋体" w:cs="Times New Roman"/>
          <w:b/>
          <w:color w:val="000000" w:themeColor="text1"/>
          <w:sz w:val="32"/>
          <w:szCs w:val="28"/>
          <w:lang w:val="zh-CN"/>
          <w14:textFill>
            <w14:solidFill>
              <w14:schemeClr w14:val="tx1"/>
            </w14:solidFill>
          </w14:textFill>
        </w:rPr>
      </w:pPr>
      <w:bookmarkStart w:id="201" w:name="_Toc3050"/>
      <w:r>
        <w:rPr>
          <w:rFonts w:hint="eastAsia" w:ascii="Times New Roman" w:hAnsi="Times New Roman" w:eastAsia="宋体" w:cs="Times New Roman"/>
          <w:b/>
          <w:color w:val="000000" w:themeColor="text1"/>
          <w:sz w:val="32"/>
          <w:szCs w:val="28"/>
          <w:lang w:val="en-US" w:eastAsia="zh-CN"/>
          <w14:textFill>
            <w14:solidFill>
              <w14:schemeClr w14:val="tx1"/>
            </w14:solidFill>
          </w14:textFill>
        </w:rPr>
        <w:t>5</w:t>
      </w:r>
      <w:r>
        <w:rPr>
          <w:rFonts w:ascii="Times New Roman" w:hAnsi="Times New Roman" w:eastAsia="宋体" w:cs="Times New Roman"/>
          <w:b/>
          <w:color w:val="000000" w:themeColor="text1"/>
          <w:sz w:val="32"/>
          <w:szCs w:val="28"/>
          <w:lang w:val="zh-CN"/>
          <w14:textFill>
            <w14:solidFill>
              <w14:schemeClr w14:val="tx1"/>
            </w14:solidFill>
          </w14:textFill>
        </w:rPr>
        <w:t>　设　　计</w:t>
      </w:r>
      <w:bookmarkEnd w:id="201"/>
    </w:p>
    <w:p w14:paraId="4AED945B">
      <w:pPr>
        <w:spacing w:line="312" w:lineRule="auto"/>
        <w:rPr>
          <w:rFonts w:hint="eastAsia" w:ascii="Times New Roman" w:hAnsi="Times New Roman" w:cs="Times New Roman"/>
          <w:sz w:val="24"/>
        </w:rPr>
      </w:pPr>
      <w:r>
        <w:rPr>
          <w:rFonts w:hint="eastAsia" w:ascii="Times New Roman" w:hAnsi="Times New Roman" w:cs="Times New Roman"/>
          <w:b/>
          <w:bCs/>
          <w:sz w:val="24"/>
          <w:lang w:val="en-US" w:eastAsia="zh-CN"/>
        </w:rPr>
        <w:t>5</w:t>
      </w:r>
      <w:r>
        <w:rPr>
          <w:rFonts w:hint="eastAsia" w:ascii="Times New Roman" w:hAnsi="Times New Roman" w:cs="Times New Roman"/>
          <w:b/>
          <w:bCs/>
          <w:sz w:val="24"/>
        </w:rPr>
        <w:t xml:space="preserve">.1.1 </w:t>
      </w:r>
      <w:r>
        <w:rPr>
          <w:rFonts w:hint="eastAsia" w:ascii="Times New Roman" w:hAnsi="Times New Roman" w:cs="Times New Roman"/>
          <w:sz w:val="24"/>
        </w:rPr>
        <w:t xml:space="preserve"> 水泥基耐磨硬化地坪设计应根据建筑类型、环境条件、基层状况、材料性能、施工工艺和使用寿命等因素进行设计。环境条件如梅雨季节对于地坪表面防滑的影响，大气腐蚀环境对于地面的破坏等；材料的性能如快速固化、防滑、超耐磨等；施工工艺决定着施工工期、施工质量等；工程特点包括地基的类型、工程大小、工程性质等等；上述因素都应该在地坪工程设计的时候综合考虑。</w:t>
      </w:r>
    </w:p>
    <w:p w14:paraId="524BF98C">
      <w:pPr>
        <w:spacing w:line="312" w:lineRule="auto"/>
        <w:rPr>
          <w:rFonts w:hint="eastAsia" w:ascii="Times New Roman" w:hAnsi="Times New Roman" w:cs="Times New Roman"/>
          <w:sz w:val="24"/>
        </w:rPr>
      </w:pPr>
      <w:r>
        <w:rPr>
          <w:rFonts w:hint="eastAsia" w:ascii="Times New Roman" w:hAnsi="Times New Roman" w:cs="Times New Roman"/>
          <w:b/>
          <w:bCs/>
          <w:sz w:val="24"/>
          <w:lang w:val="en-US" w:eastAsia="zh-CN"/>
        </w:rPr>
        <w:t>5</w:t>
      </w:r>
      <w:r>
        <w:rPr>
          <w:rFonts w:hint="eastAsia" w:ascii="Times New Roman" w:hAnsi="Times New Roman" w:cs="Times New Roman"/>
          <w:b/>
          <w:bCs/>
          <w:sz w:val="24"/>
        </w:rPr>
        <w:t>.1.2</w:t>
      </w:r>
      <w:r>
        <w:rPr>
          <w:rFonts w:hint="eastAsia" w:ascii="Times New Roman" w:hAnsi="Times New Roman" w:cs="Times New Roman"/>
          <w:sz w:val="24"/>
        </w:rPr>
        <w:t xml:space="preserve">  本条是在广泛调研国内外先进经验基础上完成，参考国际先进的技术规范BS 8204-2 Screeds, bases andin situ floorings Part 2: Concrete wearing surface-Code of practice《找平层、基层和现浇地面 第二部分:混凝土耐磨表面-应用规范》、EN 13813：2017</w:t>
      </w:r>
      <w:r>
        <w:rPr>
          <w:rFonts w:hint="eastAsia" w:ascii="Times New Roman" w:hAnsi="Times New Roman" w:cs="Times New Roman"/>
          <w:sz w:val="24"/>
        </w:rPr>
        <w:tab/>
      </w:r>
      <w:r>
        <w:rPr>
          <w:rFonts w:hint="eastAsia" w:ascii="Times New Roman" w:hAnsi="Times New Roman" w:cs="Times New Roman"/>
          <w:sz w:val="24"/>
        </w:rPr>
        <w:t>Screed material and floor screeds-Screed material-Properties and requirements《找平和地面材料技术性能及要求》等，设置了本文件核心性能耐磨性的设计。</w:t>
      </w:r>
    </w:p>
    <w:p w14:paraId="20D22AAE">
      <w:pPr>
        <w:spacing w:line="312" w:lineRule="auto"/>
        <w:rPr>
          <w:rFonts w:hint="eastAsia" w:ascii="Times New Roman" w:hAnsi="Times New Roman" w:cs="Times New Roman"/>
          <w:sz w:val="24"/>
        </w:rPr>
      </w:pPr>
      <w:r>
        <w:rPr>
          <w:rFonts w:hint="eastAsia" w:ascii="Times New Roman" w:hAnsi="Times New Roman" w:cs="Times New Roman"/>
          <w:b/>
          <w:bCs/>
          <w:sz w:val="24"/>
          <w:lang w:val="en-US" w:eastAsia="zh-CN"/>
        </w:rPr>
        <w:t>5</w:t>
      </w:r>
      <w:r>
        <w:rPr>
          <w:rFonts w:hint="eastAsia" w:ascii="Times New Roman" w:hAnsi="Times New Roman" w:cs="Times New Roman"/>
          <w:b/>
          <w:bCs/>
          <w:sz w:val="24"/>
        </w:rPr>
        <w:t>.1.3</w:t>
      </w:r>
      <w:r>
        <w:rPr>
          <w:rFonts w:hint="eastAsia" w:ascii="Times New Roman" w:hAnsi="Times New Roman" w:cs="Times New Roman"/>
          <w:sz w:val="24"/>
        </w:rPr>
        <w:t xml:space="preserve">  水泥基耐磨硬化地坪的设计构造引用了协会标准《整体地坪工程技术规程》CECS 328-2012中第5.1.5条部分内容。</w:t>
      </w:r>
    </w:p>
    <w:p w14:paraId="67F21880">
      <w:pPr>
        <w:spacing w:line="312" w:lineRule="auto"/>
        <w:rPr>
          <w:rFonts w:hint="eastAsia" w:ascii="Times New Roman" w:hAnsi="Times New Roman" w:cs="Times New Roman"/>
          <w:sz w:val="24"/>
        </w:rPr>
      </w:pPr>
      <w:r>
        <w:rPr>
          <w:rFonts w:hint="eastAsia" w:ascii="Times New Roman" w:hAnsi="Times New Roman" w:cs="Times New Roman"/>
          <w:b/>
          <w:bCs/>
          <w:sz w:val="24"/>
          <w:lang w:val="en-US" w:eastAsia="zh-CN"/>
        </w:rPr>
        <w:t>5</w:t>
      </w:r>
      <w:r>
        <w:rPr>
          <w:rFonts w:hint="eastAsia" w:ascii="Times New Roman" w:hAnsi="Times New Roman" w:cs="Times New Roman"/>
          <w:b/>
          <w:bCs/>
          <w:sz w:val="24"/>
        </w:rPr>
        <w:t>.</w:t>
      </w:r>
      <w:r>
        <w:rPr>
          <w:rFonts w:hint="eastAsia" w:ascii="Times New Roman" w:hAnsi="Times New Roman" w:cs="Times New Roman"/>
          <w:b/>
          <w:bCs/>
          <w:sz w:val="24"/>
          <w:lang w:val="en-US" w:eastAsia="zh-CN"/>
        </w:rPr>
        <w:t>1</w:t>
      </w:r>
      <w:r>
        <w:rPr>
          <w:rFonts w:hint="eastAsia" w:ascii="Times New Roman" w:hAnsi="Times New Roman" w:cs="Times New Roman"/>
          <w:b/>
          <w:bCs/>
          <w:sz w:val="24"/>
        </w:rPr>
        <w:t>.</w:t>
      </w:r>
      <w:r>
        <w:rPr>
          <w:rFonts w:hint="eastAsia" w:ascii="Times New Roman" w:hAnsi="Times New Roman" w:cs="Times New Roman"/>
          <w:b/>
          <w:bCs/>
          <w:sz w:val="24"/>
          <w:lang w:val="en-US" w:eastAsia="zh-CN"/>
        </w:rPr>
        <w:t>4</w:t>
      </w:r>
      <w:r>
        <w:rPr>
          <w:rFonts w:hint="eastAsia" w:ascii="Times New Roman" w:hAnsi="Times New Roman" w:cs="Times New Roman"/>
          <w:b/>
          <w:bCs/>
          <w:sz w:val="24"/>
        </w:rPr>
        <w:t xml:space="preserve"> </w:t>
      </w:r>
      <w:r>
        <w:rPr>
          <w:rFonts w:hint="eastAsia" w:ascii="Times New Roman" w:hAnsi="Times New Roman" w:cs="Times New Roman"/>
          <w:sz w:val="24"/>
        </w:rPr>
        <w:t xml:space="preserve"> 超大面积无缝地坪，设计分仓浇筑的面积宜1500-2300m</w:t>
      </w:r>
      <w:r>
        <w:rPr>
          <w:rFonts w:hint="eastAsia" w:ascii="Times New Roman" w:hAnsi="Times New Roman" w:cs="Times New Roman"/>
          <w:sz w:val="24"/>
          <w:vertAlign w:val="superscript"/>
        </w:rPr>
        <w:t>2</w:t>
      </w:r>
      <w:r>
        <w:rPr>
          <w:rFonts w:hint="eastAsia" w:ascii="Times New Roman" w:hAnsi="Times New Roman" w:cs="Times New Roman"/>
          <w:sz w:val="24"/>
        </w:rPr>
        <w:t>。</w:t>
      </w:r>
    </w:p>
    <w:p w14:paraId="355DE184">
      <w:pPr>
        <w:spacing w:line="312" w:lineRule="auto"/>
        <w:rPr>
          <w:rFonts w:hint="eastAsia" w:ascii="Times New Roman" w:hAnsi="Times New Roman" w:cs="Times New Roman"/>
          <w:sz w:val="24"/>
        </w:rPr>
      </w:pPr>
      <w:r>
        <w:rPr>
          <w:rFonts w:hint="eastAsia" w:ascii="Times New Roman" w:hAnsi="Times New Roman" w:cs="Times New Roman"/>
          <w:b/>
          <w:bCs/>
          <w:sz w:val="24"/>
          <w:lang w:val="en-US" w:eastAsia="zh-CN"/>
        </w:rPr>
        <w:t>5</w:t>
      </w:r>
      <w:r>
        <w:rPr>
          <w:rFonts w:hint="eastAsia" w:ascii="Times New Roman" w:hAnsi="Times New Roman" w:cs="Times New Roman"/>
          <w:b/>
          <w:bCs/>
          <w:sz w:val="24"/>
        </w:rPr>
        <w:t>.</w:t>
      </w:r>
      <w:r>
        <w:rPr>
          <w:rFonts w:hint="eastAsia" w:ascii="Times New Roman" w:hAnsi="Times New Roman" w:cs="Times New Roman"/>
          <w:b/>
          <w:bCs/>
          <w:sz w:val="24"/>
          <w:lang w:val="en-US" w:eastAsia="zh-CN"/>
        </w:rPr>
        <w:t>1.5</w:t>
      </w:r>
      <w:r>
        <w:rPr>
          <w:rFonts w:hint="eastAsia" w:ascii="Times New Roman" w:hAnsi="Times New Roman" w:cs="Times New Roman"/>
          <w:b/>
          <w:bCs/>
          <w:sz w:val="24"/>
        </w:rPr>
        <w:t xml:space="preserve">  </w:t>
      </w:r>
      <w:r>
        <w:rPr>
          <w:rFonts w:hint="eastAsia" w:ascii="Times New Roman" w:hAnsi="Times New Roman" w:cs="Times New Roman"/>
          <w:sz w:val="24"/>
        </w:rPr>
        <w:t>整体地面宜作分缝的深化设计，根据使用通道、设备基础、地沟、地坑等情况合理划分地坪缝，在通道内应避免设置与通道平行的地面缝。地面缝宜设置金属护边，避免缝边混凝土破损脱落。应完善细部节点设计，如设备基础周边地坪缝节点、柱脚缝节点等。柱脚宜采用模板后浇法，避免应力收缩和不均匀沉降导致地坪开裂。</w:t>
      </w:r>
    </w:p>
    <w:p w14:paraId="7B90B1F3">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Times New Roman" w:hAnsi="Times New Roman" w:cs="Times New Roman"/>
          <w:sz w:val="24"/>
        </w:rPr>
      </w:pPr>
      <w:r>
        <w:rPr>
          <w:rFonts w:hint="eastAsia" w:ascii="Times New Roman" w:hAnsi="Times New Roman" w:cs="Times New Roman"/>
          <w:sz w:val="24"/>
        </w:rPr>
        <w:t>地面变形缝包括沉降缝、伸缩缝、防震缝。变形缝设在排水坡的分水线处。不得将变形缝通过有液体流经或聚集的部位，目的是防止流水倒灌缝内使填缝材料破坏液体流入缝内。当地面土层承载力较弱，在底层地面处设置结构楼板时，底层地面变形缝应按楼层地面设置。</w:t>
      </w:r>
    </w:p>
    <w:p w14:paraId="73917DCB">
      <w:pPr>
        <w:spacing w:line="312" w:lineRule="auto"/>
        <w:rPr>
          <w:rFonts w:hint="eastAsia" w:ascii="Times New Roman" w:hAnsi="Times New Roman" w:cs="Times New Roman"/>
          <w:color w:val="000000" w:themeColor="text1"/>
          <w:sz w:val="24"/>
          <w14:textFill>
            <w14:solidFill>
              <w14:schemeClr w14:val="tx1"/>
            </w14:solidFill>
          </w14:textFill>
        </w:rPr>
      </w:pPr>
    </w:p>
    <w:p w14:paraId="5987ACB7">
      <w:pPr>
        <w:spacing w:line="312" w:lineRule="auto"/>
        <w:rPr>
          <w:rFonts w:ascii="Times New Roman" w:hAnsi="Times New Roman" w:cs="Times New Roman"/>
          <w:szCs w:val="21"/>
        </w:rPr>
      </w:pPr>
    </w:p>
    <w:p w14:paraId="33702D7E">
      <w:pPr>
        <w:widowControl/>
        <w:jc w:val="left"/>
        <w:rPr>
          <w:rFonts w:ascii="Times New Roman" w:hAnsi="Times New Roman" w:cs="Times New Roman"/>
          <w:szCs w:val="21"/>
        </w:rPr>
      </w:pPr>
      <w:r>
        <w:rPr>
          <w:rFonts w:ascii="Times New Roman" w:hAnsi="Times New Roman" w:cs="Times New Roman"/>
          <w:szCs w:val="21"/>
        </w:rPr>
        <w:br w:type="page"/>
      </w:r>
    </w:p>
    <w:p w14:paraId="062D1A11">
      <w:pPr>
        <w:pStyle w:val="2"/>
        <w:keepNext w:val="0"/>
        <w:keepLines w:val="0"/>
        <w:snapToGrid w:val="0"/>
        <w:spacing w:before="312" w:beforeLines="100" w:after="312" w:afterLines="100" w:line="360" w:lineRule="auto"/>
        <w:jc w:val="center"/>
        <w:rPr>
          <w:rFonts w:ascii="Times New Roman" w:hAnsi="Times New Roman" w:eastAsia="宋体" w:cs="Times New Roman"/>
          <w:b/>
          <w:color w:val="000000" w:themeColor="text1"/>
          <w:sz w:val="32"/>
          <w:szCs w:val="28"/>
          <w:lang w:val="zh-CN"/>
          <w14:textFill>
            <w14:solidFill>
              <w14:schemeClr w14:val="tx1"/>
            </w14:solidFill>
          </w14:textFill>
        </w:rPr>
      </w:pPr>
      <w:bookmarkStart w:id="202" w:name="_Toc28807"/>
      <w:r>
        <w:rPr>
          <w:rFonts w:hint="eastAsia" w:ascii="Times New Roman" w:hAnsi="Times New Roman" w:eastAsia="宋体" w:cs="Times New Roman"/>
          <w:b/>
          <w:color w:val="000000" w:themeColor="text1"/>
          <w:sz w:val="32"/>
          <w:szCs w:val="28"/>
          <w:lang w:val="en-US" w:eastAsia="zh-CN"/>
          <w14:textFill>
            <w14:solidFill>
              <w14:schemeClr w14:val="tx1"/>
            </w14:solidFill>
          </w14:textFill>
        </w:rPr>
        <w:t>6</w:t>
      </w:r>
      <w:r>
        <w:rPr>
          <w:rFonts w:ascii="Times New Roman" w:hAnsi="Times New Roman" w:eastAsia="宋体" w:cs="Times New Roman"/>
          <w:b/>
          <w:color w:val="000000" w:themeColor="text1"/>
          <w:sz w:val="32"/>
          <w:szCs w:val="28"/>
          <w:lang w:val="zh-CN"/>
          <w14:textFill>
            <w14:solidFill>
              <w14:schemeClr w14:val="tx1"/>
            </w14:solidFill>
          </w14:textFill>
        </w:rPr>
        <w:t>　施　　工</w:t>
      </w:r>
      <w:bookmarkEnd w:id="202"/>
    </w:p>
    <w:p w14:paraId="03E571C1">
      <w:pPr>
        <w:snapToGrid w:val="0"/>
        <w:spacing w:before="156" w:beforeLines="50" w:after="156" w:afterLines="50" w:line="312" w:lineRule="auto"/>
        <w:jc w:val="center"/>
        <w:outlineLvl w:val="1"/>
        <w:rPr>
          <w:rFonts w:ascii="Times New Roman" w:hAnsi="Times New Roman" w:eastAsia="黑体" w:cs="Times New Roman"/>
          <w:iCs/>
          <w:color w:val="000000" w:themeColor="text1"/>
          <w:kern w:val="0"/>
          <w:sz w:val="28"/>
          <w14:textFill>
            <w14:solidFill>
              <w14:schemeClr w14:val="tx1"/>
            </w14:solidFill>
          </w14:textFill>
        </w:rPr>
      </w:pPr>
      <w:bookmarkStart w:id="203" w:name="_Toc14950"/>
      <w:r>
        <w:rPr>
          <w:rFonts w:hint="eastAsia" w:ascii="Times New Roman" w:hAnsi="Times New Roman" w:eastAsia="黑体" w:cs="Times New Roman"/>
          <w:iCs/>
          <w:color w:val="000000" w:themeColor="text1"/>
          <w:kern w:val="0"/>
          <w:sz w:val="28"/>
          <w:lang w:val="en-US" w:eastAsia="zh-CN"/>
          <w14:textFill>
            <w14:solidFill>
              <w14:schemeClr w14:val="tx1"/>
            </w14:solidFill>
          </w14:textFill>
        </w:rPr>
        <w:t>6</w:t>
      </w:r>
      <w:r>
        <w:rPr>
          <w:rFonts w:ascii="Times New Roman" w:hAnsi="Times New Roman" w:eastAsia="黑体" w:cs="Times New Roman"/>
          <w:iCs/>
          <w:color w:val="000000" w:themeColor="text1"/>
          <w:kern w:val="0"/>
          <w:sz w:val="28"/>
          <w14:textFill>
            <w14:solidFill>
              <w14:schemeClr w14:val="tx1"/>
            </w14:solidFill>
          </w14:textFill>
        </w:rPr>
        <w:t>.1　一般规定</w:t>
      </w:r>
      <w:bookmarkEnd w:id="203"/>
    </w:p>
    <w:p w14:paraId="3FA779D9">
      <w:pPr>
        <w:spacing w:line="312" w:lineRule="auto"/>
        <w:rPr>
          <w:rFonts w:ascii="Times New Roman" w:hAnsi="Times New Roman" w:cs="Times New Roman"/>
          <w:b/>
          <w:color w:val="000000" w:themeColor="text1"/>
          <w:sz w:val="24"/>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.1.1　</w:t>
      </w:r>
      <w:r>
        <w:rPr>
          <w:rFonts w:hint="eastAsia" w:ascii="Times New Roman" w:hAnsi="Times New Roman" w:cs="Times New Roman"/>
          <w:sz w:val="24"/>
        </w:rPr>
        <w:t>在进行大面积施工前，应进行样板施工，防止大面积施工出现问题，给施工整体质量和进度带来影响</w:t>
      </w:r>
    </w:p>
    <w:p w14:paraId="2A6E39CD">
      <w:pPr>
        <w:spacing w:line="312" w:lineRule="auto"/>
        <w:rPr>
          <w:rFonts w:ascii="Times New Roman" w:hAnsi="Times New Roman" w:cs="Times New Roman"/>
          <w:sz w:val="24"/>
        </w:rPr>
      </w:pPr>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.1.2　</w:t>
      </w:r>
      <w:r>
        <w:rPr>
          <w:rFonts w:ascii="Times New Roman" w:hAnsi="Times New Roman" w:cs="Times New Roman"/>
          <w:sz w:val="24"/>
        </w:rPr>
        <w:t>地坪施工应在主体结构及地面基层、线槽等隐蔽工程验收合格后进行</w:t>
      </w:r>
      <w:r>
        <w:rPr>
          <w:rFonts w:hint="eastAsia" w:ascii="Times New Roman" w:hAnsi="Times New Roman" w:cs="Times New Roman"/>
          <w:sz w:val="24"/>
        </w:rPr>
        <w:t>，却保地坪质量验收能达到现行国家标准《建筑地面工程施工质量验收规范》GB 50209或设计文件的要求。文件与国家标准协调一致。</w:t>
      </w:r>
      <w:r>
        <w:rPr>
          <w:rFonts w:ascii="Times New Roman" w:hAnsi="Times New Roman" w:cs="Times New Roman"/>
          <w:sz w:val="24"/>
        </w:rPr>
        <w:t xml:space="preserve"> </w:t>
      </w:r>
    </w:p>
    <w:p w14:paraId="79304A2B">
      <w:pPr>
        <w:spacing w:line="312" w:lineRule="auto"/>
        <w:rPr>
          <w:rFonts w:hint="default" w:ascii="Times New Roman" w:hAnsi="Times New Roman" w:cs="Times New Roman"/>
          <w:sz w:val="24"/>
          <w:lang w:val="en-US"/>
        </w:rPr>
      </w:pPr>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.1.</w:t>
      </w:r>
      <w:r>
        <w:rPr>
          <w:rFonts w:hint="eastAsia" w:ascii="Times New Roman" w:hAnsi="Times New Roman" w:cs="Times New Roman"/>
          <w:b/>
          <w:color w:val="000000" w:themeColor="text1"/>
          <w:sz w:val="24"/>
          <w:lang w:val="en-US" w:eastAsia="zh-CN"/>
          <w14:textFill>
            <w14:solidFill>
              <w14:schemeClr w14:val="tx1"/>
            </w14:solidFill>
          </w14:textFill>
        </w:rPr>
        <w:t>3</w:t>
      </w:r>
      <w:r>
        <w:rPr>
          <w:rFonts w:hint="eastAsia" w:ascii="Times New Roman" w:hAnsi="Times New Roman" w:cs="Times New Roman"/>
          <w:sz w:val="24"/>
          <w:lang w:eastAsia="zh-CN"/>
        </w:rPr>
        <w:t>混凝土地面用耐磨硬化地坪</w:t>
      </w:r>
      <w:r>
        <w:rPr>
          <w:rFonts w:hint="eastAsia" w:ascii="Times New Roman" w:hAnsi="Times New Roman" w:cs="Times New Roman"/>
          <w:sz w:val="24"/>
        </w:rPr>
        <w:t>的平整度，</w:t>
      </w:r>
      <w:r>
        <w:rPr>
          <w:rFonts w:hint="eastAsia" w:ascii="Times New Roman" w:hAnsi="Times New Roman" w:cs="Times New Roman"/>
          <w:sz w:val="24"/>
          <w:lang w:val="en-US" w:eastAsia="zh-CN"/>
        </w:rPr>
        <w:t>一般场合用地坪无特殊要求，</w:t>
      </w:r>
      <w:r>
        <w:rPr>
          <w:rFonts w:hint="eastAsia" w:ascii="Times New Roman" w:hAnsi="Times New Roman" w:cs="Times New Roman"/>
          <w:strike w:val="0"/>
          <w:dstrike w:val="0"/>
          <w:sz w:val="24"/>
          <w:lang w:val="en-US" w:eastAsia="zh-CN"/>
        </w:rPr>
        <w:t>应符合现行国家标准GB 50209的有关规定。特殊要求如仓储物流地坪需要用超平地面，则应符合</w:t>
      </w:r>
      <w:r>
        <w:rPr>
          <w:rFonts w:hint="eastAsia" w:ascii="Times New Roman" w:hAnsi="Times New Roman" w:cs="Times New Roman"/>
          <w:color w:val="000000" w:themeColor="text1"/>
          <w:sz w:val="24"/>
          <w14:textFill>
            <w14:solidFill>
              <w14:schemeClr w14:val="tx1"/>
            </w14:solidFill>
          </w14:textFill>
        </w:rPr>
        <w:t>T/CECS 1253-2023《物流仓储地坪工程技术规程》</w:t>
      </w:r>
      <w:r>
        <w:rPr>
          <w:rFonts w:hint="eastAsia" w:ascii="Times New Roman" w:hAnsi="Times New Roman" w:cs="Times New Roman"/>
          <w:color w:val="000000" w:themeColor="text1"/>
          <w:sz w:val="24"/>
          <w:lang w:eastAsia="zh-CN"/>
          <w14:textFill>
            <w14:solidFill>
              <w14:schemeClr w14:val="tx1"/>
            </w14:solidFill>
          </w14:textFill>
        </w:rPr>
        <w:t>的</w:t>
      </w:r>
      <w:r>
        <w:rPr>
          <w:rFonts w:hint="eastAsia" w:ascii="Times New Roman" w:hAnsi="Times New Roman" w:cs="Times New Roman"/>
          <w:color w:val="000000" w:themeColor="text1"/>
          <w:sz w:val="24"/>
          <w:lang w:val="en-US" w:eastAsia="zh-CN"/>
          <w14:textFill>
            <w14:solidFill>
              <w14:schemeClr w14:val="tx1"/>
            </w14:solidFill>
          </w14:textFill>
        </w:rPr>
        <w:t>相关要求。</w:t>
      </w:r>
    </w:p>
    <w:p w14:paraId="184E7E88">
      <w:pPr>
        <w:snapToGrid w:val="0"/>
        <w:spacing w:before="156" w:beforeLines="50" w:after="156" w:afterLines="50" w:line="312" w:lineRule="auto"/>
        <w:jc w:val="center"/>
        <w:outlineLvl w:val="1"/>
        <w:rPr>
          <w:rFonts w:ascii="Times New Roman" w:hAnsi="Times New Roman" w:eastAsia="黑体" w:cs="Times New Roman"/>
          <w:iCs/>
          <w:color w:val="000000" w:themeColor="text1"/>
          <w:kern w:val="0"/>
          <w:sz w:val="28"/>
          <w14:textFill>
            <w14:solidFill>
              <w14:schemeClr w14:val="tx1"/>
            </w14:solidFill>
          </w14:textFill>
        </w:rPr>
      </w:pPr>
      <w:bookmarkStart w:id="204" w:name="_Toc14549"/>
      <w:r>
        <w:rPr>
          <w:rFonts w:hint="eastAsia" w:ascii="Times New Roman" w:hAnsi="Times New Roman" w:eastAsia="黑体" w:cs="Times New Roman"/>
          <w:iCs/>
          <w:color w:val="000000" w:themeColor="text1"/>
          <w:kern w:val="0"/>
          <w:sz w:val="28"/>
          <w:lang w:val="en-US" w:eastAsia="zh-CN"/>
          <w14:textFill>
            <w14:solidFill>
              <w14:schemeClr w14:val="tx1"/>
            </w14:solidFill>
          </w14:textFill>
        </w:rPr>
        <w:t>6</w:t>
      </w:r>
      <w:r>
        <w:rPr>
          <w:rFonts w:ascii="Times New Roman" w:hAnsi="Times New Roman" w:eastAsia="黑体" w:cs="Times New Roman"/>
          <w:iCs/>
          <w:color w:val="000000" w:themeColor="text1"/>
          <w:kern w:val="0"/>
          <w:sz w:val="28"/>
          <w14:textFill>
            <w14:solidFill>
              <w14:schemeClr w14:val="tx1"/>
            </w14:solidFill>
          </w14:textFill>
        </w:rPr>
        <w:t>.2　施工条件</w:t>
      </w:r>
      <w:bookmarkEnd w:id="204"/>
    </w:p>
    <w:p w14:paraId="4FC1FE62">
      <w:pPr>
        <w:spacing w:line="312" w:lineRule="auto"/>
        <w:rPr>
          <w:rFonts w:hint="eastAsia" w:ascii="Times New Roman" w:hAnsi="Times New Roman" w:cs="Times New Roman" w:eastAsiaTheme="minorEastAsia"/>
          <w:bCs/>
          <w:sz w:val="24"/>
          <w:highlight w:val="yellow"/>
          <w:lang w:eastAsia="zh-CN"/>
        </w:rPr>
      </w:pPr>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.2.1</w:t>
      </w:r>
      <w:r>
        <w:rPr>
          <w:rFonts w:hint="eastAsia" w:ascii="Times New Roman" w:hAnsi="Times New Roman" w:cs="Times New Roman"/>
          <w:bCs/>
          <w:sz w:val="24"/>
          <w:lang w:eastAsia="zh-CN"/>
        </w:rPr>
        <w:t>混凝土地面用耐磨硬化地坪</w:t>
      </w:r>
      <w:r>
        <w:rPr>
          <w:rFonts w:hint="eastAsia" w:ascii="Times New Roman" w:hAnsi="Times New Roman" w:cs="Times New Roman"/>
          <w:bCs/>
          <w:sz w:val="24"/>
        </w:rPr>
        <w:t>的</w:t>
      </w:r>
      <w:r>
        <w:rPr>
          <w:rFonts w:hint="eastAsia" w:ascii="Times New Roman" w:hAnsi="Times New Roman" w:cs="Times New Roman"/>
          <w:bCs/>
          <w:sz w:val="24"/>
          <w:lang w:val="en-US" w:eastAsia="zh-CN"/>
        </w:rPr>
        <w:t>基层</w:t>
      </w:r>
      <w:r>
        <w:rPr>
          <w:rFonts w:hint="eastAsia" w:ascii="Times New Roman" w:hAnsi="Times New Roman" w:cs="Times New Roman"/>
          <w:bCs/>
          <w:sz w:val="24"/>
        </w:rPr>
        <w:t>混凝土不宜掺入超过胶凝材料质量比5%的粉煤灰</w:t>
      </w:r>
      <w:r>
        <w:rPr>
          <w:rFonts w:hint="eastAsia" w:ascii="Times New Roman" w:hAnsi="Times New Roman" w:cs="Times New Roman"/>
          <w:bCs/>
          <w:sz w:val="24"/>
          <w:lang w:eastAsia="zh-CN"/>
        </w:rPr>
        <w:t>。</w:t>
      </w:r>
      <w:r>
        <w:rPr>
          <w:rFonts w:hint="eastAsia" w:ascii="Times New Roman" w:hAnsi="Times New Roman" w:cs="Times New Roman"/>
          <w:bCs/>
          <w:sz w:val="24"/>
          <w:lang w:val="en-US" w:eastAsia="zh-CN"/>
        </w:rPr>
        <w:t>此处的粉煤灰包含水泥生产过程中的粉煤灰以及混凝土配合比设计中的粉煤灰，总量不超过胶凝材料质量比的5%。</w:t>
      </w:r>
    </w:p>
    <w:p w14:paraId="10311D58">
      <w:pPr>
        <w:spacing w:line="312" w:lineRule="auto"/>
        <w:rPr>
          <w:rFonts w:ascii="Times New Roman" w:hAnsi="Times New Roman" w:cs="Times New Roman"/>
          <w:bCs/>
          <w:color w:val="000000" w:themeColor="text1"/>
          <w:sz w:val="24"/>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.2.</w:t>
      </w:r>
      <w:r>
        <w:rPr>
          <w:rFonts w:hint="eastAsia" w:ascii="Times New Roman" w:hAnsi="Times New Roman" w:cs="Times New Roman"/>
          <w:b/>
          <w:color w:val="000000" w:themeColor="text1"/>
          <w:sz w:val="24"/>
          <w:lang w:val="en-US" w:eastAsia="zh-CN"/>
          <w14:textFill>
            <w14:solidFill>
              <w14:schemeClr w14:val="tx1"/>
            </w14:solidFill>
          </w14:textFill>
        </w:rPr>
        <w:t xml:space="preserve">2 </w:t>
      </w:r>
      <w:r>
        <w:rPr>
          <w:rFonts w:hint="eastAsia" w:ascii="Times New Roman" w:hAnsi="Times New Roman" w:cs="Times New Roman"/>
          <w:color w:val="000000" w:themeColor="text1"/>
          <w:sz w:val="24"/>
          <w14:textFill>
            <w14:solidFill>
              <w14:schemeClr w14:val="tx1"/>
            </w14:solidFill>
          </w14:textFill>
        </w:rPr>
        <w:t>施工条件满足施工要求，与现行国家标准及相关协会标准一致。</w:t>
      </w:r>
    </w:p>
    <w:p w14:paraId="59ABF7FA">
      <w:pPr>
        <w:spacing w:line="312" w:lineRule="auto"/>
        <w:rPr>
          <w:rFonts w:ascii="Times New Roman" w:hAnsi="Times New Roman" w:cs="Times New Roman"/>
          <w:bCs/>
          <w:color w:val="000000" w:themeColor="text1"/>
          <w14:textFill>
            <w14:solidFill>
              <w14:schemeClr w14:val="tx1"/>
            </w14:solidFill>
          </w14:textFill>
        </w:rPr>
      </w:pPr>
      <w:bookmarkStart w:id="205" w:name="OLE_LINK109"/>
      <w:bookmarkStart w:id="206" w:name="OLE_LINK110"/>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.2.</w:t>
      </w:r>
      <w:bookmarkEnd w:id="205"/>
      <w:bookmarkEnd w:id="206"/>
      <w:r>
        <w:rPr>
          <w:rFonts w:hint="eastAsia" w:ascii="Times New Roman" w:hAnsi="Times New Roman" w:cs="Times New Roman"/>
          <w:b/>
          <w:color w:val="000000" w:themeColor="text1"/>
          <w:sz w:val="24"/>
          <w:lang w:val="en-US" w:eastAsia="zh-CN"/>
          <w14:textFill>
            <w14:solidFill>
              <w14:schemeClr w14:val="tx1"/>
            </w14:solidFill>
          </w14:textFill>
        </w:rPr>
        <w:t xml:space="preserve">3 </w:t>
      </w:r>
      <w:r>
        <w:rPr>
          <w:rFonts w:ascii="Times New Roman" w:hAnsi="Times New Roman" w:cs="Times New Roman"/>
          <w:sz w:val="24"/>
        </w:rPr>
        <w:t>施工人员应采用防护措施，</w:t>
      </w:r>
      <w:r>
        <w:rPr>
          <w:rFonts w:hint="eastAsia" w:ascii="Times New Roman" w:hAnsi="Times New Roman" w:cs="Times New Roman"/>
          <w:sz w:val="24"/>
        </w:rPr>
        <w:t>并应</w:t>
      </w:r>
      <w:r>
        <w:rPr>
          <w:rFonts w:ascii="Times New Roman" w:hAnsi="Times New Roman" w:cs="Times New Roman"/>
          <w:sz w:val="24"/>
        </w:rPr>
        <w:t>采用专用机具进行作业</w:t>
      </w:r>
      <w:r>
        <w:rPr>
          <w:rFonts w:ascii="Times New Roman" w:hAnsi="Times New Roman" w:cs="Times New Roman"/>
          <w:bCs/>
          <w:color w:val="000000" w:themeColor="text1"/>
          <w:sz w:val="24"/>
          <w14:textFill>
            <w14:solidFill>
              <w14:schemeClr w14:val="tx1"/>
            </w14:solidFill>
          </w14:textFill>
        </w:rPr>
        <w:t>。</w:t>
      </w:r>
    </w:p>
    <w:p w14:paraId="11E675B3">
      <w:pPr>
        <w:snapToGrid w:val="0"/>
        <w:spacing w:before="156" w:beforeLines="50" w:after="156" w:afterLines="50" w:line="312" w:lineRule="auto"/>
        <w:jc w:val="center"/>
        <w:outlineLvl w:val="1"/>
        <w:rPr>
          <w:rFonts w:ascii="Times New Roman" w:hAnsi="Times New Roman" w:eastAsia="黑体" w:cs="Times New Roman"/>
          <w:iCs/>
          <w:color w:val="000000" w:themeColor="text1"/>
          <w:kern w:val="0"/>
          <w:sz w:val="28"/>
          <w14:textFill>
            <w14:solidFill>
              <w14:schemeClr w14:val="tx1"/>
            </w14:solidFill>
          </w14:textFill>
        </w:rPr>
      </w:pPr>
      <w:bookmarkStart w:id="207" w:name="_Toc8150"/>
      <w:r>
        <w:rPr>
          <w:rFonts w:hint="eastAsia" w:ascii="Times New Roman" w:hAnsi="Times New Roman" w:eastAsia="黑体" w:cs="Times New Roman"/>
          <w:iCs/>
          <w:color w:val="000000" w:themeColor="text1"/>
          <w:kern w:val="0"/>
          <w:sz w:val="28"/>
          <w:lang w:val="en-US" w:eastAsia="zh-CN"/>
          <w14:textFill>
            <w14:solidFill>
              <w14:schemeClr w14:val="tx1"/>
            </w14:solidFill>
          </w14:textFill>
        </w:rPr>
        <w:t>6</w:t>
      </w:r>
      <w:r>
        <w:rPr>
          <w:rFonts w:ascii="Times New Roman" w:hAnsi="Times New Roman" w:eastAsia="黑体" w:cs="Times New Roman"/>
          <w:iCs/>
          <w:color w:val="000000" w:themeColor="text1"/>
          <w:kern w:val="0"/>
          <w:sz w:val="28"/>
          <w14:textFill>
            <w14:solidFill>
              <w14:schemeClr w14:val="tx1"/>
            </w14:solidFill>
          </w14:textFill>
        </w:rPr>
        <w:t>.3　</w:t>
      </w:r>
      <w:r>
        <w:rPr>
          <w:rFonts w:hint="eastAsia" w:ascii="Times New Roman" w:hAnsi="Times New Roman" w:eastAsia="黑体" w:cs="Times New Roman"/>
          <w:iCs/>
          <w:color w:val="000000" w:themeColor="text1"/>
          <w:kern w:val="0"/>
          <w:sz w:val="28"/>
          <w14:textFill>
            <w14:solidFill>
              <w14:schemeClr w14:val="tx1"/>
            </w14:solidFill>
          </w14:textFill>
        </w:rPr>
        <w:t>基层混凝土</w:t>
      </w:r>
      <w:bookmarkEnd w:id="207"/>
    </w:p>
    <w:p w14:paraId="21484962">
      <w:pPr>
        <w:spacing w:line="312" w:lineRule="auto"/>
        <w:rPr>
          <w:rFonts w:ascii="Times New Roman" w:hAnsi="Times New Roman" w:cs="Times New Roman"/>
          <w:sz w:val="24"/>
        </w:rPr>
      </w:pPr>
      <w:bookmarkStart w:id="208" w:name="_Toc211205784"/>
      <w:bookmarkStart w:id="209" w:name="_Toc7599"/>
      <w:bookmarkStart w:id="210" w:name="_Toc15368"/>
      <w:bookmarkStart w:id="211" w:name="_Toc1721"/>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 xml:space="preserve">.3.1 </w:t>
      </w:r>
      <w:r>
        <w:rPr>
          <w:rFonts w:hint="eastAsia" w:ascii="Times New Roman" w:hAnsi="Times New Roman" w:cs="Times New Roman"/>
          <w:sz w:val="24"/>
        </w:rPr>
        <w:t>基层混凝土的施工参考了目前预拌混凝土地面的一般工艺，同时结合混凝土地面的特点，对粉煤灰的使用进行限制。</w:t>
      </w:r>
      <w:bookmarkEnd w:id="208"/>
      <w:bookmarkEnd w:id="209"/>
      <w:bookmarkEnd w:id="210"/>
      <w:bookmarkEnd w:id="211"/>
    </w:p>
    <w:p w14:paraId="770547D5">
      <w:pPr>
        <w:spacing w:line="312" w:lineRule="auto"/>
        <w:rPr>
          <w:rFonts w:ascii="Times New Roman" w:hAnsi="Times New Roman" w:cs="Times New Roman"/>
          <w:sz w:val="24"/>
        </w:rPr>
      </w:pPr>
      <w:bookmarkStart w:id="212" w:name="_Toc32184"/>
      <w:bookmarkStart w:id="213" w:name="_Toc211205785"/>
      <w:bookmarkStart w:id="214" w:name="_Toc4767"/>
      <w:bookmarkStart w:id="215" w:name="_Toc15072"/>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 xml:space="preserve">.3.2 </w:t>
      </w:r>
      <w:r>
        <w:rPr>
          <w:rFonts w:hint="eastAsia" w:ascii="Times New Roman" w:hAnsi="Times New Roman" w:cs="Times New Roman"/>
          <w:sz w:val="24"/>
        </w:rPr>
        <w:t>本章节针耐磨材料干撒施工的基层混凝土。</w:t>
      </w:r>
      <w:bookmarkEnd w:id="212"/>
      <w:bookmarkEnd w:id="213"/>
      <w:bookmarkEnd w:id="214"/>
      <w:bookmarkEnd w:id="215"/>
    </w:p>
    <w:p w14:paraId="1CDCBED6">
      <w:pPr>
        <w:spacing w:line="312" w:lineRule="auto"/>
        <w:jc w:val="center"/>
        <w:rPr>
          <w:rFonts w:ascii="Times New Roman" w:hAnsi="Times New Roman" w:eastAsia="黑体" w:cs="Times New Roman"/>
          <w:iCs/>
          <w:color w:val="000000" w:themeColor="text1"/>
          <w:kern w:val="0"/>
          <w:sz w:val="28"/>
          <w14:textFill>
            <w14:solidFill>
              <w14:schemeClr w14:val="tx1"/>
            </w14:solidFill>
          </w14:textFill>
        </w:rPr>
      </w:pPr>
      <w:r>
        <w:rPr>
          <w:rFonts w:hint="eastAsia" w:ascii="Times New Roman" w:hAnsi="Times New Roman" w:eastAsia="黑体" w:cs="Times New Roman"/>
          <w:iCs/>
          <w:color w:val="000000" w:themeColor="text1"/>
          <w:kern w:val="0"/>
          <w:sz w:val="28"/>
          <w:lang w:val="en-US" w:eastAsia="zh-CN"/>
          <w14:textFill>
            <w14:solidFill>
              <w14:schemeClr w14:val="tx1"/>
            </w14:solidFill>
          </w14:textFill>
        </w:rPr>
        <w:t>6</w:t>
      </w:r>
      <w:r>
        <w:rPr>
          <w:rFonts w:ascii="Times New Roman" w:hAnsi="Times New Roman" w:eastAsia="黑体" w:cs="Times New Roman"/>
          <w:iCs/>
          <w:color w:val="000000" w:themeColor="text1"/>
          <w:kern w:val="0"/>
          <w:sz w:val="28"/>
          <w14:textFill>
            <w14:solidFill>
              <w14:schemeClr w14:val="tx1"/>
            </w14:solidFill>
          </w14:textFill>
        </w:rPr>
        <w:t>.4　水泥基耐磨地坪</w:t>
      </w:r>
    </w:p>
    <w:p w14:paraId="02CE1A8E">
      <w:pPr>
        <w:spacing w:line="312" w:lineRule="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.4.1</w:t>
      </w:r>
      <w:r>
        <w:rPr>
          <w:rFonts w:ascii="Times New Roman" w:hAnsi="Times New Roman" w:cs="Times New Roman"/>
          <w:color w:val="000000" w:themeColor="text1"/>
          <w:sz w:val="24"/>
          <w14:textFill>
            <w14:solidFill>
              <w14:schemeClr w14:val="tx1"/>
            </w14:solidFill>
          </w14:textFill>
        </w:rPr>
        <w:t>　</w:t>
      </w:r>
      <w:r>
        <w:rPr>
          <w:rFonts w:hint="eastAsia" w:ascii="Times New Roman" w:hAnsi="Times New Roman" w:cs="Times New Roman"/>
          <w:color w:val="000000" w:themeColor="text1"/>
          <w:sz w:val="24"/>
          <w14:textFill>
            <w14:solidFill>
              <w14:schemeClr w14:val="tx1"/>
            </w14:solidFill>
          </w14:textFill>
        </w:rPr>
        <w:t>耐磨材料的施工工艺分成干撒施工和湿铺施工，与现行建材行业标准JC/T</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14:textFill>
            <w14:solidFill>
              <w14:schemeClr w14:val="tx1"/>
            </w14:solidFill>
          </w14:textFill>
        </w:rPr>
        <w:t>906—2023《混凝土地面用水泥基耐磨材料》内容协调一致。</w:t>
      </w:r>
    </w:p>
    <w:p w14:paraId="4602793A">
      <w:pPr>
        <w:spacing w:line="312" w:lineRule="auto"/>
        <w:rPr>
          <w:rFonts w:ascii="Times New Roman" w:hAnsi="Times New Roman" w:cs="Times New Roman"/>
          <w:sz w:val="24"/>
        </w:rPr>
      </w:pPr>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lang w:val="zh-CN"/>
          <w14:textFill>
            <w14:solidFill>
              <w14:schemeClr w14:val="tx1"/>
            </w14:solidFill>
          </w14:textFill>
        </w:rPr>
        <w:t>.4.2</w:t>
      </w:r>
      <w:r>
        <w:rPr>
          <w:rFonts w:ascii="Times New Roman" w:hAnsi="Times New Roman" w:cs="Times New Roman"/>
          <w:color w:val="000000" w:themeColor="text1"/>
          <w:sz w:val="24"/>
          <w:lang w:val="zh-CN"/>
          <w14:textFill>
            <w14:solidFill>
              <w14:schemeClr w14:val="tx1"/>
            </w14:solidFill>
          </w14:textFill>
        </w:rPr>
        <w:t>　</w:t>
      </w:r>
      <w:r>
        <w:rPr>
          <w:rFonts w:hint="eastAsia" w:ascii="Times New Roman" w:hAnsi="Times New Roman" w:cs="Times New Roman"/>
          <w:color w:val="000000" w:themeColor="text1"/>
          <w:sz w:val="24"/>
          <w:lang w:val="zh-CN"/>
          <w14:textFill>
            <w14:solidFill>
              <w14:schemeClr w14:val="tx1"/>
            </w14:solidFill>
          </w14:textFill>
        </w:rPr>
        <w:t>干撒施工强调对抛洒时间的控制以及抛洒量，抛洒程序的控制</w:t>
      </w:r>
      <w:r>
        <w:rPr>
          <w:rFonts w:ascii="Times New Roman" w:hAnsi="Times New Roman" w:cs="Times New Roman"/>
          <w:sz w:val="24"/>
        </w:rPr>
        <w:t>。</w:t>
      </w:r>
    </w:p>
    <w:p w14:paraId="3FF5221A">
      <w:pPr>
        <w:snapToGrid w:val="0"/>
        <w:spacing w:before="156" w:beforeLines="50" w:after="156" w:afterLines="50" w:line="312" w:lineRule="auto"/>
        <w:jc w:val="center"/>
        <w:outlineLvl w:val="1"/>
        <w:rPr>
          <w:rFonts w:ascii="Times New Roman" w:hAnsi="Times New Roman" w:eastAsia="黑体" w:cs="Times New Roman"/>
          <w:iCs/>
          <w:color w:val="000000" w:themeColor="text1"/>
          <w:kern w:val="0"/>
          <w:sz w:val="28"/>
          <w14:textFill>
            <w14:solidFill>
              <w14:schemeClr w14:val="tx1"/>
            </w14:solidFill>
          </w14:textFill>
        </w:rPr>
      </w:pPr>
      <w:bookmarkStart w:id="216" w:name="_Toc8342"/>
      <w:r>
        <w:rPr>
          <w:rFonts w:hint="eastAsia" w:ascii="Times New Roman" w:hAnsi="Times New Roman" w:eastAsia="黑体" w:cs="Times New Roman"/>
          <w:iCs/>
          <w:color w:val="000000" w:themeColor="text1"/>
          <w:kern w:val="0"/>
          <w:sz w:val="28"/>
          <w:lang w:val="en-US" w:eastAsia="zh-CN"/>
          <w14:textFill>
            <w14:solidFill>
              <w14:schemeClr w14:val="tx1"/>
            </w14:solidFill>
          </w14:textFill>
        </w:rPr>
        <w:t>6</w:t>
      </w:r>
      <w:r>
        <w:rPr>
          <w:rFonts w:ascii="Times New Roman" w:hAnsi="Times New Roman" w:eastAsia="黑体" w:cs="Times New Roman"/>
          <w:iCs/>
          <w:color w:val="000000" w:themeColor="text1"/>
          <w:kern w:val="0"/>
          <w:sz w:val="28"/>
          <w14:textFill>
            <w14:solidFill>
              <w14:schemeClr w14:val="tx1"/>
            </w14:solidFill>
          </w14:textFill>
        </w:rPr>
        <w:t>.5　渗透型液体硬化地坪</w:t>
      </w:r>
      <w:bookmarkEnd w:id="216"/>
    </w:p>
    <w:p w14:paraId="60015F0A">
      <w:pPr>
        <w:pStyle w:val="35"/>
        <w:spacing w:line="312" w:lineRule="auto"/>
        <w:ind w:firstLine="0" w:firstLineChars="0"/>
        <w:rPr>
          <w:rFonts w:ascii="Times New Roman" w:hAnsi="Times New Roman" w:cs="Times New Roman"/>
          <w:sz w:val="24"/>
        </w:rPr>
      </w:pPr>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.5.1　</w:t>
      </w:r>
      <w:r>
        <w:rPr>
          <w:rFonts w:hint="eastAsia" w:ascii="Times New Roman" w:hAnsi="Times New Roman" w:cs="Times New Roman"/>
          <w:sz w:val="24"/>
        </w:rPr>
        <w:t>渗透型液体硬化剂的施工，对硬化时间进行控制。</w:t>
      </w:r>
    </w:p>
    <w:p w14:paraId="6FC881EE">
      <w:pPr>
        <w:pStyle w:val="35"/>
        <w:spacing w:line="312" w:lineRule="auto"/>
        <w:ind w:firstLine="0" w:firstLineChars="0"/>
        <w:rPr>
          <w:rFonts w:hint="eastAsia" w:ascii="Times New Roman" w:hAnsi="Times New Roman" w:cs="Times New Roman" w:eastAsiaTheme="minorEastAsia"/>
          <w:sz w:val="24"/>
          <w:lang w:eastAsia="zh-CN"/>
        </w:rPr>
      </w:pPr>
      <w:r>
        <w:rPr>
          <w:rFonts w:hint="eastAsia" w:ascii="Times New Roman" w:hAnsi="Times New Roman" w:cs="Times New Roman"/>
          <w:sz w:val="24"/>
          <w:lang w:val="en-US" w:eastAsia="zh-CN"/>
        </w:rPr>
        <w:t>6</w:t>
      </w:r>
      <w:r>
        <w:rPr>
          <w:rFonts w:ascii="Times New Roman" w:hAnsi="Times New Roman" w:cs="Times New Roman"/>
          <w:sz w:val="24"/>
        </w:rPr>
        <w:t>.5.2在</w:t>
      </w:r>
      <w:r>
        <w:rPr>
          <w:rFonts w:hint="eastAsia" w:ascii="Times New Roman" w:hAnsi="Times New Roman" w:cs="Times New Roman"/>
          <w:sz w:val="24"/>
        </w:rPr>
        <w:t>液体</w:t>
      </w:r>
      <w:r>
        <w:rPr>
          <w:rFonts w:ascii="Times New Roman" w:hAnsi="Times New Roman" w:cs="Times New Roman"/>
          <w:sz w:val="24"/>
        </w:rPr>
        <w:t>硬化剂</w:t>
      </w:r>
      <w:r>
        <w:rPr>
          <w:rFonts w:hint="eastAsia" w:ascii="Times New Roman" w:hAnsi="Times New Roman" w:cs="Times New Roman"/>
          <w:sz w:val="24"/>
        </w:rPr>
        <w:t>润湿地面完成后</w:t>
      </w:r>
      <w:r>
        <w:rPr>
          <w:rFonts w:ascii="Times New Roman" w:hAnsi="Times New Roman" w:cs="Times New Roman"/>
          <w:sz w:val="24"/>
        </w:rPr>
        <w:t>，</w:t>
      </w:r>
      <w:r>
        <w:rPr>
          <w:rFonts w:hint="eastAsia" w:ascii="Times New Roman" w:hAnsi="Times New Roman" w:cs="Times New Roman"/>
          <w:sz w:val="24"/>
        </w:rPr>
        <w:t>宜立即</w:t>
      </w:r>
      <w:r>
        <w:rPr>
          <w:rFonts w:ascii="Times New Roman" w:hAnsi="Times New Roman" w:cs="Times New Roman"/>
          <w:sz w:val="24"/>
        </w:rPr>
        <w:t>用清水冲洗地面，并用吸尘器去除残留的硬化剂和污水，然后擦干地面</w:t>
      </w:r>
      <w:r>
        <w:rPr>
          <w:rFonts w:hint="eastAsia" w:ascii="Times New Roman" w:hAnsi="Times New Roman" w:cs="Times New Roman"/>
          <w:sz w:val="24"/>
        </w:rPr>
        <w:t>，否则将严重影响地面外观，后续很难进行有效处理</w:t>
      </w:r>
      <w:r>
        <w:rPr>
          <w:rFonts w:hint="eastAsia" w:ascii="Times New Roman" w:hAnsi="Times New Roman" w:cs="Times New Roman"/>
          <w:sz w:val="24"/>
          <w:lang w:eastAsia="zh-CN"/>
        </w:rPr>
        <w:t>。</w:t>
      </w:r>
    </w:p>
    <w:p w14:paraId="565EA8B7">
      <w:pPr>
        <w:widowControl/>
        <w:jc w:val="left"/>
        <w:rPr>
          <w:rFonts w:ascii="Times New Roman" w:hAnsi="Times New Roman" w:cs="Times New Roman"/>
          <w:sz w:val="24"/>
        </w:rPr>
      </w:pPr>
      <w:r>
        <w:rPr>
          <w:rFonts w:ascii="Times New Roman" w:hAnsi="Times New Roman" w:cs="Times New Roman"/>
          <w:sz w:val="24"/>
        </w:rPr>
        <w:br w:type="page"/>
      </w:r>
    </w:p>
    <w:p w14:paraId="0EE830D1">
      <w:pPr>
        <w:pStyle w:val="2"/>
        <w:keepNext w:val="0"/>
        <w:keepLines w:val="0"/>
        <w:snapToGrid w:val="0"/>
        <w:spacing w:before="312" w:beforeLines="100" w:after="312" w:afterLines="100" w:line="360" w:lineRule="auto"/>
        <w:jc w:val="center"/>
        <w:rPr>
          <w:rFonts w:ascii="Times New Roman" w:hAnsi="Times New Roman" w:eastAsia="宋体" w:cs="Times New Roman"/>
          <w:b/>
          <w:color w:val="000000" w:themeColor="text1"/>
          <w:sz w:val="32"/>
          <w:szCs w:val="28"/>
          <w14:textFill>
            <w14:solidFill>
              <w14:schemeClr w14:val="tx1"/>
            </w14:solidFill>
          </w14:textFill>
        </w:rPr>
      </w:pPr>
      <w:bookmarkStart w:id="217" w:name="_Toc9985"/>
      <w:r>
        <w:rPr>
          <w:rFonts w:hint="eastAsia" w:ascii="Times New Roman" w:hAnsi="Times New Roman" w:eastAsia="宋体" w:cs="Times New Roman"/>
          <w:b/>
          <w:color w:val="000000" w:themeColor="text1"/>
          <w:sz w:val="32"/>
          <w:szCs w:val="28"/>
          <w:lang w:val="en-US" w:eastAsia="zh-CN"/>
          <w14:textFill>
            <w14:solidFill>
              <w14:schemeClr w14:val="tx1"/>
            </w14:solidFill>
          </w14:textFill>
        </w:rPr>
        <w:t>7</w:t>
      </w:r>
      <w:r>
        <w:rPr>
          <w:rFonts w:ascii="Times New Roman" w:hAnsi="Times New Roman" w:eastAsia="宋体" w:cs="Times New Roman"/>
          <w:b/>
          <w:color w:val="000000" w:themeColor="text1"/>
          <w:sz w:val="32"/>
          <w:szCs w:val="28"/>
          <w:lang w:val="zh-CN"/>
          <w14:textFill>
            <w14:solidFill>
              <w14:schemeClr w14:val="tx1"/>
            </w14:solidFill>
          </w14:textFill>
        </w:rPr>
        <w:t>　验　　收</w:t>
      </w:r>
      <w:bookmarkEnd w:id="217"/>
    </w:p>
    <w:p w14:paraId="5BFEF482">
      <w:pPr>
        <w:snapToGrid w:val="0"/>
        <w:spacing w:before="156" w:beforeLines="50" w:after="156" w:afterLines="50" w:line="312" w:lineRule="auto"/>
        <w:jc w:val="center"/>
        <w:outlineLvl w:val="1"/>
        <w:rPr>
          <w:rFonts w:ascii="Times New Roman" w:hAnsi="Times New Roman" w:eastAsia="黑体" w:cs="Times New Roman"/>
          <w:iCs/>
          <w:color w:val="000000" w:themeColor="text1"/>
          <w:kern w:val="0"/>
          <w:sz w:val="28"/>
          <w14:textFill>
            <w14:solidFill>
              <w14:schemeClr w14:val="tx1"/>
            </w14:solidFill>
          </w14:textFill>
        </w:rPr>
      </w:pPr>
      <w:bookmarkStart w:id="218" w:name="_Toc15342"/>
      <w:r>
        <w:rPr>
          <w:rFonts w:hint="eastAsia" w:ascii="Times New Roman" w:hAnsi="Times New Roman" w:eastAsia="黑体" w:cs="Times New Roman"/>
          <w:iCs/>
          <w:color w:val="000000" w:themeColor="text1"/>
          <w:kern w:val="0"/>
          <w:sz w:val="28"/>
          <w:lang w:val="en-US" w:eastAsia="zh-CN"/>
          <w14:textFill>
            <w14:solidFill>
              <w14:schemeClr w14:val="tx1"/>
            </w14:solidFill>
          </w14:textFill>
        </w:rPr>
        <w:t>7</w:t>
      </w:r>
      <w:r>
        <w:rPr>
          <w:rFonts w:ascii="Times New Roman" w:hAnsi="Times New Roman" w:eastAsia="黑体" w:cs="Times New Roman"/>
          <w:iCs/>
          <w:color w:val="000000" w:themeColor="text1"/>
          <w:kern w:val="0"/>
          <w:sz w:val="28"/>
          <w14:textFill>
            <w14:solidFill>
              <w14:schemeClr w14:val="tx1"/>
            </w14:solidFill>
          </w14:textFill>
        </w:rPr>
        <w:t>.1　</w:t>
      </w:r>
      <w:r>
        <w:rPr>
          <w:rFonts w:hint="eastAsia" w:ascii="Times New Roman" w:hAnsi="Times New Roman" w:eastAsia="黑体" w:cs="Times New Roman"/>
          <w:iCs/>
          <w:color w:val="000000" w:themeColor="text1"/>
          <w:kern w:val="0"/>
          <w:sz w:val="28"/>
          <w14:textFill>
            <w14:solidFill>
              <w14:schemeClr w14:val="tx1"/>
            </w14:solidFill>
          </w14:textFill>
        </w:rPr>
        <w:t>一般规定</w:t>
      </w:r>
      <w:bookmarkEnd w:id="218"/>
    </w:p>
    <w:p w14:paraId="14CB62DA">
      <w:pPr>
        <w:snapToGrid w:val="0"/>
        <w:spacing w:line="312" w:lineRule="auto"/>
        <w:rPr>
          <w:szCs w:val="21"/>
        </w:rPr>
      </w:pPr>
    </w:p>
    <w:p w14:paraId="5A261543">
      <w:pPr>
        <w:spacing w:line="312" w:lineRule="auto"/>
        <w:rPr>
          <w:rFonts w:ascii="Times New Roman" w:hAnsi="Times New Roman" w:cs="Times New Roman"/>
          <w:b/>
          <w:color w:val="000000" w:themeColor="text1"/>
          <w:sz w:val="24"/>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7</w:t>
      </w:r>
      <w:r>
        <w:rPr>
          <w:rFonts w:ascii="Times New Roman" w:hAnsi="Times New Roman" w:cs="Times New Roman"/>
          <w:b/>
          <w:color w:val="000000" w:themeColor="text1"/>
          <w:sz w:val="24"/>
          <w14:textFill>
            <w14:solidFill>
              <w14:schemeClr w14:val="tx1"/>
            </w14:solidFill>
          </w14:textFill>
        </w:rPr>
        <w:t xml:space="preserve">.1.1　 </w:t>
      </w:r>
      <w:r>
        <w:rPr>
          <w:rFonts w:hint="eastAsia" w:ascii="Times New Roman" w:hAnsi="Times New Roman" w:cs="Times New Roman"/>
          <w:sz w:val="24"/>
          <w:lang w:eastAsia="zh-CN"/>
        </w:rPr>
        <w:t>基层混凝土</w:t>
      </w:r>
      <w:r>
        <w:rPr>
          <w:rFonts w:hint="eastAsia" w:ascii="Times New Roman" w:hAnsi="Times New Roman" w:cs="Times New Roman"/>
          <w:sz w:val="24"/>
        </w:rPr>
        <w:t>强度应符合本文件4</w:t>
      </w:r>
      <w:r>
        <w:rPr>
          <w:rFonts w:ascii="Times New Roman" w:hAnsi="Times New Roman" w:cs="Times New Roman"/>
          <w:sz w:val="24"/>
        </w:rPr>
        <w:t>.2.4</w:t>
      </w:r>
      <w:r>
        <w:rPr>
          <w:rFonts w:hint="eastAsia" w:ascii="Times New Roman" w:hAnsi="Times New Roman" w:cs="Times New Roman"/>
          <w:sz w:val="24"/>
        </w:rPr>
        <w:t>法规定。</w:t>
      </w:r>
    </w:p>
    <w:p w14:paraId="7CB5910E">
      <w:pPr>
        <w:spacing w:line="312" w:lineRule="auto"/>
        <w:rPr>
          <w:rFonts w:ascii="Times New Roman" w:hAnsi="Times New Roman" w:cs="Times New Roman"/>
          <w:b/>
          <w:color w:val="000000" w:themeColor="text1"/>
          <w:sz w:val="24"/>
          <w14:textFill>
            <w14:solidFill>
              <w14:schemeClr w14:val="tx1"/>
            </w14:solidFill>
          </w14:textFill>
        </w:rPr>
      </w:pPr>
      <w:r>
        <w:rPr>
          <w:rFonts w:hint="eastAsia" w:ascii="Times New Roman" w:hAnsi="Times New Roman" w:cs="Times New Roman"/>
          <w:b/>
          <w:color w:val="000000" w:themeColor="text1"/>
          <w:sz w:val="24"/>
          <w:lang w:val="en-US" w:eastAsia="zh-CN"/>
          <w14:textFill>
            <w14:solidFill>
              <w14:schemeClr w14:val="tx1"/>
            </w14:solidFill>
          </w14:textFill>
        </w:rPr>
        <w:t>7</w:t>
      </w:r>
      <w:r>
        <w:rPr>
          <w:rFonts w:ascii="Times New Roman" w:hAnsi="Times New Roman" w:cs="Times New Roman"/>
          <w:b/>
          <w:color w:val="000000" w:themeColor="text1"/>
          <w:sz w:val="24"/>
          <w14:textFill>
            <w14:solidFill>
              <w14:schemeClr w14:val="tx1"/>
            </w14:solidFill>
          </w14:textFill>
        </w:rPr>
        <w:t xml:space="preserve">.1.2　 </w:t>
      </w:r>
      <w:r>
        <w:rPr>
          <w:rFonts w:hint="eastAsia" w:ascii="Times New Roman" w:hAnsi="Times New Roman" w:cs="Times New Roman"/>
          <w:kern w:val="0"/>
          <w:sz w:val="24"/>
        </w:rPr>
        <w:t>耐磨硬化地坪</w:t>
      </w:r>
      <w:r>
        <w:rPr>
          <w:rFonts w:ascii="Times New Roman" w:hAnsi="Times New Roman" w:cs="Times New Roman"/>
          <w:kern w:val="0"/>
          <w:sz w:val="24"/>
        </w:rPr>
        <w:t>地坪工程检验批的划分</w:t>
      </w:r>
      <w:r>
        <w:rPr>
          <w:rFonts w:hint="eastAsia" w:ascii="Times New Roman" w:hAnsi="Times New Roman" w:cs="Times New Roman"/>
          <w:kern w:val="0"/>
          <w:sz w:val="24"/>
        </w:rPr>
        <w:t>充分考虑了国内目前施工面积的现状，按</w:t>
      </w:r>
      <w:r>
        <w:rPr>
          <w:rFonts w:ascii="Times New Roman" w:hAnsi="Times New Roman" w:cs="Times New Roman"/>
          <w:kern w:val="0"/>
          <w:sz w:val="24"/>
        </w:rPr>
        <w:t>每一层划分检验批。当单层面积大于5000m</w:t>
      </w:r>
      <w:r>
        <w:rPr>
          <w:rFonts w:ascii="Times New Roman" w:hAnsi="Times New Roman" w:cs="Times New Roman"/>
          <w:kern w:val="0"/>
          <w:sz w:val="24"/>
          <w:vertAlign w:val="superscript"/>
        </w:rPr>
        <w:t>2</w:t>
      </w:r>
      <w:r>
        <w:rPr>
          <w:rFonts w:ascii="Times New Roman" w:hAnsi="Times New Roman" w:cs="Times New Roman"/>
          <w:kern w:val="0"/>
          <w:sz w:val="24"/>
        </w:rPr>
        <w:t>时，</w:t>
      </w:r>
      <w:r>
        <w:rPr>
          <w:rFonts w:hint="eastAsia" w:ascii="Times New Roman" w:hAnsi="Times New Roman" w:cs="Times New Roman"/>
          <w:kern w:val="0"/>
          <w:sz w:val="24"/>
        </w:rPr>
        <w:t>应</w:t>
      </w:r>
      <w:r>
        <w:rPr>
          <w:rFonts w:ascii="Times New Roman" w:hAnsi="Times New Roman" w:cs="Times New Roman"/>
          <w:kern w:val="0"/>
          <w:sz w:val="24"/>
        </w:rPr>
        <w:t>按每5000m</w:t>
      </w:r>
      <w:r>
        <w:rPr>
          <w:rFonts w:ascii="Times New Roman" w:hAnsi="Times New Roman" w:cs="Times New Roman"/>
          <w:kern w:val="0"/>
          <w:sz w:val="24"/>
          <w:vertAlign w:val="superscript"/>
        </w:rPr>
        <w:t>2</w:t>
      </w:r>
      <w:r>
        <w:rPr>
          <w:rFonts w:ascii="Times New Roman" w:hAnsi="Times New Roman" w:cs="Times New Roman"/>
          <w:kern w:val="0"/>
          <w:sz w:val="24"/>
        </w:rPr>
        <w:t>为一个检验批，不足5000m</w:t>
      </w:r>
      <w:r>
        <w:rPr>
          <w:rFonts w:ascii="Times New Roman" w:hAnsi="Times New Roman" w:cs="Times New Roman"/>
          <w:kern w:val="0"/>
          <w:sz w:val="24"/>
          <w:vertAlign w:val="superscript"/>
        </w:rPr>
        <w:t>2</w:t>
      </w:r>
      <w:r>
        <w:rPr>
          <w:rFonts w:hint="eastAsia" w:ascii="Times New Roman" w:hAnsi="Times New Roman" w:cs="Times New Roman"/>
          <w:kern w:val="0"/>
          <w:sz w:val="24"/>
        </w:rPr>
        <w:t>时也应</w:t>
      </w:r>
      <w:r>
        <w:rPr>
          <w:rFonts w:ascii="Times New Roman" w:hAnsi="Times New Roman" w:cs="Times New Roman"/>
          <w:kern w:val="0"/>
          <w:sz w:val="24"/>
        </w:rPr>
        <w:t>为一个检验批。</w:t>
      </w:r>
    </w:p>
    <w:p w14:paraId="2D4CB54B">
      <w:pPr>
        <w:spacing w:line="312" w:lineRule="auto"/>
        <w:rPr>
          <w:rFonts w:hint="eastAsia" w:ascii="Times New Roman" w:hAnsi="Times New Roman" w:cs="Times New Roman"/>
          <w:sz w:val="24"/>
        </w:rPr>
      </w:pPr>
      <w:r>
        <w:rPr>
          <w:rFonts w:hint="eastAsia" w:ascii="Times New Roman" w:hAnsi="Times New Roman" w:cs="Times New Roman"/>
          <w:b/>
          <w:color w:val="000000" w:themeColor="text1"/>
          <w:sz w:val="24"/>
          <w:lang w:val="en-US" w:eastAsia="zh-CN"/>
          <w14:textFill>
            <w14:solidFill>
              <w14:schemeClr w14:val="tx1"/>
            </w14:solidFill>
          </w14:textFill>
        </w:rPr>
        <w:t>7</w:t>
      </w:r>
      <w:r>
        <w:rPr>
          <w:rFonts w:ascii="Times New Roman" w:hAnsi="Times New Roman" w:cs="Times New Roman"/>
          <w:b/>
          <w:color w:val="000000" w:themeColor="text1"/>
          <w:sz w:val="24"/>
          <w14:textFill>
            <w14:solidFill>
              <w14:schemeClr w14:val="tx1"/>
            </w14:solidFill>
          </w14:textFill>
        </w:rPr>
        <w:t>.1.3　</w:t>
      </w:r>
      <w:r>
        <w:rPr>
          <w:rFonts w:ascii="Times New Roman" w:hAnsi="Times New Roman" w:cs="Times New Roman"/>
          <w:kern w:val="0"/>
          <w:sz w:val="24"/>
        </w:rPr>
        <w:t xml:space="preserve"> </w:t>
      </w:r>
      <w:r>
        <w:rPr>
          <w:rFonts w:hint="eastAsia" w:ascii="Times New Roman" w:hAnsi="Times New Roman" w:cs="Times New Roman"/>
          <w:kern w:val="0"/>
          <w:sz w:val="24"/>
        </w:rPr>
        <w:t>耐磨硬化</w:t>
      </w:r>
      <w:r>
        <w:rPr>
          <w:rFonts w:ascii="Times New Roman" w:hAnsi="Times New Roman" w:cs="Times New Roman"/>
          <w:sz w:val="24"/>
        </w:rPr>
        <w:t>地坪的</w:t>
      </w:r>
      <w:r>
        <w:rPr>
          <w:rFonts w:hint="eastAsia" w:ascii="Times New Roman" w:hAnsi="Times New Roman" w:cs="Times New Roman"/>
          <w:sz w:val="24"/>
        </w:rPr>
        <w:t>质量</w:t>
      </w:r>
      <w:r>
        <w:rPr>
          <w:rFonts w:ascii="Times New Roman" w:hAnsi="Times New Roman" w:cs="Times New Roman"/>
          <w:sz w:val="24"/>
        </w:rPr>
        <w:t>检验应按主控项目和一般项目</w:t>
      </w:r>
      <w:r>
        <w:rPr>
          <w:rFonts w:hint="eastAsia" w:ascii="Times New Roman" w:hAnsi="Times New Roman" w:cs="Times New Roman"/>
          <w:sz w:val="24"/>
        </w:rPr>
        <w:t>。主控项目包括耐磨性、表面硬度、表面平整度、防滑性、厚度，有防静电要求或不发火要求的对其进行验收控制。所选项目影响核心性能及安全性能。其中耐磨性参考了国际上先进的测试方法EN 13892.4-2002</w:t>
      </w:r>
      <w:r>
        <w:rPr>
          <w:rFonts w:hint="eastAsia" w:ascii="Times New Roman" w:hAnsi="Times New Roman" w:cs="Times New Roman"/>
          <w:sz w:val="24"/>
        </w:rPr>
        <w:tab/>
      </w:r>
      <w:r>
        <w:rPr>
          <w:rFonts w:hint="eastAsia" w:ascii="Times New Roman" w:hAnsi="Times New Roman" w:cs="Times New Roman"/>
          <w:sz w:val="24"/>
        </w:rPr>
        <w:t>Methods of test for screed materials-Part 4：Determination of wear resistance-BCA《地坪材料试验方法第四部分：耐磨性试验方法——BCA法》。</w:t>
      </w:r>
    </w:p>
    <w:p w14:paraId="6974B09C">
      <w:pPr>
        <w:spacing w:line="312" w:lineRule="auto"/>
        <w:rPr>
          <w:rFonts w:hint="eastAsia" w:ascii="Times New Roman" w:hAnsi="Times New Roman" w:cs="Times New Roman"/>
          <w:sz w:val="24"/>
        </w:rPr>
      </w:pPr>
      <w:r>
        <w:rPr>
          <w:rFonts w:hint="eastAsia" w:ascii="Times New Roman" w:hAnsi="Times New Roman" w:cs="Times New Roman"/>
          <w:b/>
          <w:color w:val="000000" w:themeColor="text1"/>
          <w:sz w:val="24"/>
          <w:lang w:val="en-US" w:eastAsia="zh-CN"/>
          <w14:textFill>
            <w14:solidFill>
              <w14:schemeClr w14:val="tx1"/>
            </w14:solidFill>
          </w14:textFill>
        </w:rPr>
        <w:t>7</w:t>
      </w:r>
      <w:r>
        <w:rPr>
          <w:rFonts w:ascii="Times New Roman" w:hAnsi="Times New Roman" w:cs="Times New Roman"/>
          <w:b/>
          <w:color w:val="000000" w:themeColor="text1"/>
          <w:sz w:val="24"/>
          <w14:textFill>
            <w14:solidFill>
              <w14:schemeClr w14:val="tx1"/>
            </w14:solidFill>
          </w14:textFill>
        </w:rPr>
        <w:t>.1.</w:t>
      </w:r>
      <w:r>
        <w:rPr>
          <w:rFonts w:hint="eastAsia" w:ascii="Times New Roman" w:hAnsi="Times New Roman" w:cs="Times New Roman"/>
          <w:b/>
          <w:color w:val="000000" w:themeColor="text1"/>
          <w:sz w:val="24"/>
          <w:lang w:val="en-US" w:eastAsia="zh-CN"/>
          <w14:textFill>
            <w14:solidFill>
              <w14:schemeClr w14:val="tx1"/>
            </w14:solidFill>
          </w14:textFill>
        </w:rPr>
        <w:t>4</w:t>
      </w:r>
      <w:r>
        <w:rPr>
          <w:rFonts w:hint="eastAsia" w:ascii="Times New Roman" w:hAnsi="Times New Roman" w:cs="Times New Roman"/>
          <w:sz w:val="24"/>
          <w:lang w:val="en-US" w:eastAsia="zh-CN"/>
        </w:rPr>
        <w:t>为保障统一连续施工地面不因材料批次不同，导致色差，规定</w:t>
      </w:r>
      <w:r>
        <w:rPr>
          <w:rFonts w:ascii="Times New Roman" w:hAnsi="Times New Roman" w:cs="Times New Roman"/>
          <w:sz w:val="24"/>
        </w:rPr>
        <w:t>同一连续施工面</w:t>
      </w:r>
      <w:r>
        <w:rPr>
          <w:rFonts w:hint="eastAsia" w:ascii="Times New Roman" w:hAnsi="Times New Roman" w:cs="Times New Roman"/>
          <w:sz w:val="24"/>
          <w:lang w:val="en-US" w:eastAsia="zh-CN"/>
        </w:rPr>
        <w:t>宜采用</w:t>
      </w:r>
      <w:r>
        <w:rPr>
          <w:rFonts w:ascii="Times New Roman" w:hAnsi="Times New Roman" w:cs="Times New Roman"/>
          <w:sz w:val="24"/>
        </w:rPr>
        <w:t>同一批次材料</w:t>
      </w:r>
      <w:r>
        <w:rPr>
          <w:rFonts w:hint="eastAsia" w:ascii="Times New Roman" w:hAnsi="Times New Roman" w:eastAsia="宋体" w:cs="Times New Roman"/>
          <w:color w:val="000000" w:themeColor="text1"/>
          <w:sz w:val="24"/>
          <w:lang w:eastAsia="zh-CN"/>
          <w14:textFill>
            <w14:solidFill>
              <w14:schemeClr w14:val="tx1"/>
            </w14:solidFill>
          </w14:textFill>
        </w:rPr>
        <w:t>。</w:t>
      </w:r>
    </w:p>
    <w:p w14:paraId="5A7F96C5">
      <w:pPr>
        <w:spacing w:line="312" w:lineRule="auto"/>
        <w:ind w:firstLine="420"/>
        <w:rPr>
          <w:rFonts w:ascii="Times New Roman" w:hAnsi="Times New Roman" w:cs="Times New Roman"/>
          <w:color w:val="000000" w:themeColor="text1"/>
          <w:sz w:val="24"/>
          <w14:textFill>
            <w14:solidFill>
              <w14:schemeClr w14:val="tx1"/>
            </w14:solidFill>
          </w14:textFill>
        </w:rPr>
      </w:pPr>
    </w:p>
    <w:p w14:paraId="18B242B5">
      <w:pPr>
        <w:jc w:val="left"/>
        <w:rPr>
          <w:rFonts w:ascii="Times New Roman" w:hAnsi="Times New Roman" w:cs="Times New Roman"/>
          <w:color w:val="000000" w:themeColor="text1"/>
          <w:sz w:val="28"/>
          <w:szCs w:val="28"/>
          <w14:textFill>
            <w14:solidFill>
              <w14:schemeClr w14:val="tx1"/>
            </w14:solidFill>
          </w14:textFill>
        </w:rPr>
      </w:pPr>
    </w:p>
    <w:p w14:paraId="2B0AFE23">
      <w:pPr>
        <w:jc w:val="left"/>
        <w:rPr>
          <w:rFonts w:ascii="Times New Roman" w:hAnsi="Times New Roman" w:cs="Times New Roman"/>
          <w:color w:val="000000" w:themeColor="text1"/>
          <w:sz w:val="28"/>
          <w:szCs w:val="28"/>
          <w14:textFill>
            <w14:solidFill>
              <w14:schemeClr w14:val="tx1"/>
            </w14:solidFill>
          </w14:textFill>
        </w:rPr>
      </w:pPr>
    </w:p>
    <w:sectPr>
      <w:headerReference r:id="rId7"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197DAA">
    <w:pPr>
      <w:pStyle w:val="9"/>
      <w:jc w:val="right"/>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14935" cy="302260"/>
              <wp:effectExtent l="0" t="0" r="0" b="0"/>
              <wp:wrapNone/>
              <wp:docPr id="28" name="文本框 2"/>
              <wp:cNvGraphicFramePr/>
              <a:graphic xmlns:a="http://schemas.openxmlformats.org/drawingml/2006/main">
                <a:graphicData uri="http://schemas.microsoft.com/office/word/2010/wordprocessingShape">
                  <wps:wsp>
                    <wps:cNvSpPr txBox="1"/>
                    <wps:spPr>
                      <a:xfrm>
                        <a:off x="0" y="0"/>
                        <a:ext cx="114935" cy="302260"/>
                      </a:xfrm>
                      <a:prstGeom prst="rect">
                        <a:avLst/>
                      </a:prstGeom>
                      <a:noFill/>
                      <a:ln w="6350">
                        <a:noFill/>
                      </a:ln>
                    </wps:spPr>
                    <wps:txbx>
                      <w:txbxContent>
                        <w:p w14:paraId="3578602B">
                          <w:pPr>
                            <w:pStyle w:val="9"/>
                            <w:jc w:val="right"/>
                          </w:pPr>
                          <w:r>
                            <w:fldChar w:fldCharType="begin"/>
                          </w:r>
                          <w:r>
                            <w:instrText xml:space="preserve">PAGE   \* MERGEFORMAT</w:instrText>
                          </w:r>
                          <w:r>
                            <w:fldChar w:fldCharType="separate"/>
                          </w:r>
                          <w:r>
                            <w:rPr>
                              <w:lang w:val="zh-CN"/>
                            </w:rPr>
                            <w:t>1</w:t>
                          </w:r>
                          <w:r>
                            <w:rPr>
                              <w:lang w:val="zh-CN"/>
                            </w:rPr>
                            <w:fldChar w:fldCharType="end"/>
                          </w:r>
                        </w:p>
                        <w:p w14:paraId="0CE22004"/>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23.8pt;width:9.05pt;mso-position-horizontal:outside;mso-position-horizontal-relative:margin;mso-wrap-style:none;z-index:251660288;mso-width-relative:page;mso-height-relative:page;" filled="f" stroked="f" coordsize="21600,21600" o:gfxdata="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o//q10gAAAAMBAAAPAAAAAAAAAAEAIAAAACIAAABkcnMvZG93bnJldi54bWxQSwECFAAU&#10;AAAACACHTuJA4NrkwTACAABUBAAADgAAAAAAAAABACAAAAAhAQAAZHJzL2Uyb0RvYy54bWxQSwUG&#10;AAAAAAYABgBZAQAAwwUAAAAA&#10;">
              <v:fill on="f" focussize="0,0"/>
              <v:stroke on="f" weight="0.5pt"/>
              <v:imagedata o:title=""/>
              <o:lock v:ext="edit" aspectratio="f"/>
              <v:textbox inset="0mm,0mm,0mm,0mm" style="mso-fit-shape-to-text:t;">
                <w:txbxContent>
                  <w:p w14:paraId="3578602B">
                    <w:pPr>
                      <w:pStyle w:val="9"/>
                      <w:jc w:val="right"/>
                    </w:pPr>
                    <w:r>
                      <w:fldChar w:fldCharType="begin"/>
                    </w:r>
                    <w:r>
                      <w:instrText xml:space="preserve">PAGE   \* MERGEFORMAT</w:instrText>
                    </w:r>
                    <w:r>
                      <w:fldChar w:fldCharType="separate"/>
                    </w:r>
                    <w:r>
                      <w:rPr>
                        <w:lang w:val="zh-CN"/>
                      </w:rPr>
                      <w:t>1</w:t>
                    </w:r>
                    <w:r>
                      <w:rPr>
                        <w:lang w:val="zh-CN"/>
                      </w:rPr>
                      <w:fldChar w:fldCharType="end"/>
                    </w:r>
                  </w:p>
                  <w:p w14:paraId="0CE22004"/>
                </w:txbxContent>
              </v:textbox>
            </v:shape>
          </w:pict>
        </mc:Fallback>
      </mc:AlternateContent>
    </w:r>
  </w:p>
  <w:p w14:paraId="27113289">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C50451">
    <w:pPr>
      <w:pStyle w:val="9"/>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58420" cy="139700"/>
              <wp:effectExtent l="0" t="0" r="0" b="0"/>
              <wp:wrapNone/>
              <wp:docPr id="27" name="文本框 5"/>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w="6350">
                        <a:noFill/>
                      </a:ln>
                    </wps:spPr>
                    <wps:txbx>
                      <w:txbxContent>
                        <w:p w14:paraId="3556F6D8">
                          <w:pPr>
                            <w:pStyle w:val="9"/>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 o:spid="_x0000_s1026" o:spt="202" type="#_x0000_t202" style="position:absolute;left:0pt;margin-top:0pt;height:11pt;width:4.6pt;mso-position-horizontal:outside;mso-position-horizontal-relative:margin;mso-wrap-style:none;z-index:251661312;mso-width-relative:page;mso-height-relative:page;" filled="f" stroked="f" coordsize="21600,21600" o:gfxdata="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72xka9EAAAACAQAADwAAAAAAAAABACAAAAAiAAAAZHJzL2Rvd25yZXYueG1sUEsBAhQAFAAA&#10;AAgAh07iQELGLYQvAgAAUwQAAA4AAAAAAAAAAQAgAAAAIAEAAGRycy9lMm9Eb2MueG1sUEsFBgAA&#10;AAAGAAYAWQEAAMEFAAAAAA==&#10;">
              <v:fill on="f" focussize="0,0"/>
              <v:stroke on="f" weight="0.5pt"/>
              <v:imagedata o:title=""/>
              <o:lock v:ext="edit" aspectratio="f"/>
              <v:textbox inset="0mm,0mm,0mm,0mm" style="mso-fit-shape-to-text:t;">
                <w:txbxContent>
                  <w:p w14:paraId="3556F6D8">
                    <w:pPr>
                      <w:pStyle w:val="9"/>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FB3983">
    <w:pPr>
      <w:pStyle w:val="9"/>
      <w:jc w:val="right"/>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58115" cy="181610"/>
              <wp:effectExtent l="1270" t="0" r="2540" b="3810"/>
              <wp:wrapNone/>
              <wp:docPr id="23" name="Text Box 1"/>
              <wp:cNvGraphicFramePr/>
              <a:graphic xmlns:a="http://schemas.openxmlformats.org/drawingml/2006/main">
                <a:graphicData uri="http://schemas.microsoft.com/office/word/2010/wordprocessingShape">
                  <wps:wsp>
                    <wps:cNvSpPr txBox="1">
                      <a:spLocks noChangeArrowheads="1"/>
                    </wps:cNvSpPr>
                    <wps:spPr bwMode="auto">
                      <a:xfrm>
                        <a:off x="0" y="0"/>
                        <a:ext cx="158115" cy="181610"/>
                      </a:xfrm>
                      <a:prstGeom prst="rect">
                        <a:avLst/>
                      </a:prstGeom>
                      <a:noFill/>
                      <a:ln>
                        <a:noFill/>
                      </a:ln>
                    </wps:spPr>
                    <wps:txbx>
                      <w:txbxContent>
                        <w:sdt>
                          <w:sdtPr>
                            <w:id w:val="697131326"/>
                          </w:sdtPr>
                          <w:sdtContent>
                            <w:p w14:paraId="6E8265EC">
                              <w:pPr>
                                <w:pStyle w:val="9"/>
                                <w:jc w:val="right"/>
                              </w:pPr>
                              <w:r>
                                <w:fldChar w:fldCharType="begin"/>
                              </w:r>
                              <w:r>
                                <w:instrText xml:space="preserve">PAGE   \* MERGEFORMAT</w:instrText>
                              </w:r>
                              <w:r>
                                <w:fldChar w:fldCharType="separate"/>
                              </w:r>
                              <w:r>
                                <w:rPr>
                                  <w:lang w:val="zh-CN"/>
                                </w:rPr>
                                <w:t>8</w:t>
                              </w:r>
                              <w:r>
                                <w:rPr>
                                  <w:lang w:val="zh-CN"/>
                                </w:rPr>
                                <w:fldChar w:fldCharType="end"/>
                              </w:r>
                            </w:p>
                          </w:sdtContent>
                        </w:sdt>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top:0pt;height:14.3pt;width:12.45pt;mso-position-horizontal:outside;mso-position-horizontal-relative:margin;z-index:251662336;mso-width-relative:page;mso-height-relative:page;" filled="f" stroked="f" coordsize="21600,21600" o:gfxdata="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5eAe+0wAAAAMBAAAPAAAAAAAAAAEAIAAAACIAAABkcnMvZG93bnJldi54bWxQ&#10;SwECFAAUAAAACACHTuJA7cQejPwBAAAEBAAADgAAAAAAAAABACAAAAAiAQAAZHJzL2Uyb0RvYy54&#10;bWxQSwUGAAAAAAYABgBZAQAAkAUAAAAA&#10;">
              <v:fill on="f" focussize="0,0"/>
              <v:stroke on="f"/>
              <v:imagedata o:title=""/>
              <o:lock v:ext="edit" aspectratio="f"/>
              <v:textbox inset="0mm,0mm,0mm,0mm">
                <w:txbxContent>
                  <w:sdt>
                    <w:sdtPr>
                      <w:id w:val="697131326"/>
                    </w:sdtPr>
                    <w:sdtContent>
                      <w:p w14:paraId="6E8265EC">
                        <w:pPr>
                          <w:pStyle w:val="9"/>
                          <w:jc w:val="right"/>
                        </w:pPr>
                        <w:r>
                          <w:fldChar w:fldCharType="begin"/>
                        </w:r>
                        <w:r>
                          <w:instrText xml:space="preserve">PAGE   \* MERGEFORMAT</w:instrText>
                        </w:r>
                        <w:r>
                          <w:fldChar w:fldCharType="separate"/>
                        </w:r>
                        <w:r>
                          <w:rPr>
                            <w:lang w:val="zh-CN"/>
                          </w:rPr>
                          <w:t>8</w:t>
                        </w:r>
                        <w:r>
                          <w:rPr>
                            <w:lang w:val="zh-CN"/>
                          </w:rPr>
                          <w:fldChar w:fldCharType="end"/>
                        </w:r>
                      </w:p>
                    </w:sdtContent>
                  </w:sdt>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E861DD"/>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A221B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D41189"/>
    <w:multiLevelType w:val="multilevel"/>
    <w:tmpl w:val="12D41189"/>
    <w:lvl w:ilvl="0" w:tentative="0">
      <w:start w:val="1"/>
      <w:numFmt w:val="decimal"/>
      <w:lvlText w:val="2.0.%1"/>
      <w:lvlJc w:val="left"/>
      <w:pPr>
        <w:ind w:left="420" w:hanging="420"/>
      </w:pPr>
      <w:rPr>
        <w:rFonts w:hint="default" w:ascii="Times New Roman" w:hAnsi="Times New Roman"/>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99F64DA"/>
    <w:multiLevelType w:val="multilevel"/>
    <w:tmpl w:val="299F64DA"/>
    <w:lvl w:ilvl="0" w:tentative="0">
      <w:start w:val="1"/>
      <w:numFmt w:val="decimal"/>
      <w:lvlText w:val="2.0.%1"/>
      <w:lvlJc w:val="left"/>
      <w:pPr>
        <w:ind w:left="420" w:hanging="420"/>
      </w:pPr>
      <w:rPr>
        <w:rFonts w:hint="default" w:ascii="Times New Roman" w:hAnsi="Times New Roman"/>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C25558D"/>
    <w:multiLevelType w:val="multilevel"/>
    <w:tmpl w:val="2C25558D"/>
    <w:lvl w:ilvl="0" w:tentative="0">
      <w:start w:val="1"/>
      <w:numFmt w:val="decimal"/>
      <w:pStyle w:val="44"/>
      <w:suff w:val="nothing"/>
      <w:lvlText w:val="A.%1　"/>
      <w:lvlJc w:val="left"/>
      <w:pPr>
        <w:tabs>
          <w:tab w:val="left" w:pos="0"/>
        </w:tabs>
        <w:ind w:left="0" w:firstLine="0"/>
      </w:pPr>
      <w:rPr>
        <w:rFonts w:hint="default" w:ascii="宋体" w:hAnsi="宋体" w:eastAsia="宋体" w:cs="宋体"/>
        <w:b w:val="0"/>
        <w:i w:val="0"/>
        <w:sz w:val="21"/>
        <w:szCs w:val="21"/>
      </w:rPr>
    </w:lvl>
    <w:lvl w:ilvl="1" w:tentative="0">
      <w:start w:val="1"/>
      <w:numFmt w:val="decimal"/>
      <w:pStyle w:val="43"/>
      <w:suff w:val="nothing"/>
      <w:lvlText w:val="A.%1.%2　"/>
      <w:lvlJc w:val="left"/>
      <w:pPr>
        <w:tabs>
          <w:tab w:val="left" w:pos="0"/>
        </w:tabs>
        <w:ind w:left="0" w:firstLine="0"/>
      </w:pPr>
      <w:rPr>
        <w:rFonts w:hint="default" w:ascii="宋体" w:hAnsi="宋体" w:eastAsia="宋体" w:cs="宋体"/>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45"/>
      <w:suff w:val="nothing"/>
      <w:lvlText w:val="A.%1.%2.%3　"/>
      <w:lvlJc w:val="left"/>
      <w:pPr>
        <w:tabs>
          <w:tab w:val="left" w:pos="0"/>
        </w:tabs>
        <w:ind w:left="4537" w:firstLine="0"/>
      </w:pPr>
      <w:rPr>
        <w:rFonts w:hint="default" w:ascii="宋体" w:hAnsi="宋体" w:eastAsia="宋体" w:cs="宋体"/>
        <w:b w:val="0"/>
        <w:i w:val="0"/>
        <w:sz w:val="21"/>
      </w:rPr>
    </w:lvl>
    <w:lvl w:ilvl="3" w:tentative="0">
      <w:start w:val="1"/>
      <w:numFmt w:val="decimal"/>
      <w:pStyle w:val="46"/>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pStyle w:val="47"/>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
    <w:nsid w:val="6DBF04F4"/>
    <w:multiLevelType w:val="multilevel"/>
    <w:tmpl w:val="6DBF04F4"/>
    <w:lvl w:ilvl="0" w:tentative="0">
      <w:start w:val="1"/>
      <w:numFmt w:val="none"/>
      <w:pStyle w:val="51"/>
      <w:suff w:val="nothing"/>
      <w:lvlText w:val="%1注："/>
      <w:lvlJc w:val="left"/>
      <w:pPr>
        <w:ind w:left="789"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M4MWIxMmFiNmQ4NWQ5YThlYTlkYjJmNGQzMWU0YjIifQ=="/>
  </w:docVars>
  <w:rsids>
    <w:rsidRoot w:val="25B65855"/>
    <w:rsid w:val="000003D8"/>
    <w:rsid w:val="000011E8"/>
    <w:rsid w:val="00001BA6"/>
    <w:rsid w:val="000021F3"/>
    <w:rsid w:val="00002AA6"/>
    <w:rsid w:val="00003026"/>
    <w:rsid w:val="000030F8"/>
    <w:rsid w:val="00003D69"/>
    <w:rsid w:val="0000400E"/>
    <w:rsid w:val="00004DF5"/>
    <w:rsid w:val="00005820"/>
    <w:rsid w:val="00005B86"/>
    <w:rsid w:val="00006928"/>
    <w:rsid w:val="00007293"/>
    <w:rsid w:val="000114EE"/>
    <w:rsid w:val="00011582"/>
    <w:rsid w:val="00011755"/>
    <w:rsid w:val="0001198E"/>
    <w:rsid w:val="00011F71"/>
    <w:rsid w:val="0001309E"/>
    <w:rsid w:val="000134D4"/>
    <w:rsid w:val="000140E1"/>
    <w:rsid w:val="0001466C"/>
    <w:rsid w:val="00014C17"/>
    <w:rsid w:val="00014F8A"/>
    <w:rsid w:val="00015F42"/>
    <w:rsid w:val="00016303"/>
    <w:rsid w:val="00016412"/>
    <w:rsid w:val="00016444"/>
    <w:rsid w:val="00016B16"/>
    <w:rsid w:val="00016CA6"/>
    <w:rsid w:val="00016EEA"/>
    <w:rsid w:val="000175D2"/>
    <w:rsid w:val="0001774C"/>
    <w:rsid w:val="00017A17"/>
    <w:rsid w:val="00017B23"/>
    <w:rsid w:val="00017FE8"/>
    <w:rsid w:val="000205FD"/>
    <w:rsid w:val="000219A7"/>
    <w:rsid w:val="00021FA5"/>
    <w:rsid w:val="00022807"/>
    <w:rsid w:val="00023214"/>
    <w:rsid w:val="00023BE5"/>
    <w:rsid w:val="00023EBB"/>
    <w:rsid w:val="0002424B"/>
    <w:rsid w:val="000245FA"/>
    <w:rsid w:val="00024724"/>
    <w:rsid w:val="00025126"/>
    <w:rsid w:val="00025308"/>
    <w:rsid w:val="0002531F"/>
    <w:rsid w:val="00025CFF"/>
    <w:rsid w:val="00026FDA"/>
    <w:rsid w:val="0002708B"/>
    <w:rsid w:val="0002729A"/>
    <w:rsid w:val="000277D9"/>
    <w:rsid w:val="00027ACB"/>
    <w:rsid w:val="00030572"/>
    <w:rsid w:val="00030931"/>
    <w:rsid w:val="000309ED"/>
    <w:rsid w:val="0003129D"/>
    <w:rsid w:val="000315ED"/>
    <w:rsid w:val="00031C23"/>
    <w:rsid w:val="00033744"/>
    <w:rsid w:val="00033968"/>
    <w:rsid w:val="00033A4E"/>
    <w:rsid w:val="00034066"/>
    <w:rsid w:val="000352DA"/>
    <w:rsid w:val="000353A2"/>
    <w:rsid w:val="00035AE8"/>
    <w:rsid w:val="00035FE5"/>
    <w:rsid w:val="000361A2"/>
    <w:rsid w:val="00036230"/>
    <w:rsid w:val="0003627C"/>
    <w:rsid w:val="00036713"/>
    <w:rsid w:val="0003691C"/>
    <w:rsid w:val="00037708"/>
    <w:rsid w:val="00037911"/>
    <w:rsid w:val="00040152"/>
    <w:rsid w:val="000402C9"/>
    <w:rsid w:val="000404F7"/>
    <w:rsid w:val="000413B9"/>
    <w:rsid w:val="00041518"/>
    <w:rsid w:val="00041633"/>
    <w:rsid w:val="0004197A"/>
    <w:rsid w:val="00041DC4"/>
    <w:rsid w:val="00042F59"/>
    <w:rsid w:val="000430D3"/>
    <w:rsid w:val="000439B2"/>
    <w:rsid w:val="00044005"/>
    <w:rsid w:val="0004412E"/>
    <w:rsid w:val="0004431A"/>
    <w:rsid w:val="00044919"/>
    <w:rsid w:val="00044DEF"/>
    <w:rsid w:val="00044F15"/>
    <w:rsid w:val="000456C3"/>
    <w:rsid w:val="00045A7E"/>
    <w:rsid w:val="00046481"/>
    <w:rsid w:val="00046628"/>
    <w:rsid w:val="00046EB9"/>
    <w:rsid w:val="00047CF7"/>
    <w:rsid w:val="000513C1"/>
    <w:rsid w:val="000518A6"/>
    <w:rsid w:val="0005204B"/>
    <w:rsid w:val="0005208F"/>
    <w:rsid w:val="0005232B"/>
    <w:rsid w:val="000525B7"/>
    <w:rsid w:val="00052763"/>
    <w:rsid w:val="0005283D"/>
    <w:rsid w:val="00052B16"/>
    <w:rsid w:val="0005365A"/>
    <w:rsid w:val="00053B97"/>
    <w:rsid w:val="0005412B"/>
    <w:rsid w:val="0005453B"/>
    <w:rsid w:val="00054D57"/>
    <w:rsid w:val="0005539B"/>
    <w:rsid w:val="00055474"/>
    <w:rsid w:val="0005578A"/>
    <w:rsid w:val="00055B84"/>
    <w:rsid w:val="00056024"/>
    <w:rsid w:val="00056491"/>
    <w:rsid w:val="0005711D"/>
    <w:rsid w:val="0005743E"/>
    <w:rsid w:val="00057633"/>
    <w:rsid w:val="0006006F"/>
    <w:rsid w:val="00060BF4"/>
    <w:rsid w:val="0006156B"/>
    <w:rsid w:val="00062970"/>
    <w:rsid w:val="00063A70"/>
    <w:rsid w:val="000648F5"/>
    <w:rsid w:val="00064A0B"/>
    <w:rsid w:val="00064A32"/>
    <w:rsid w:val="00065612"/>
    <w:rsid w:val="000656C9"/>
    <w:rsid w:val="00065E3B"/>
    <w:rsid w:val="00065F7F"/>
    <w:rsid w:val="0006755A"/>
    <w:rsid w:val="00067892"/>
    <w:rsid w:val="000704B5"/>
    <w:rsid w:val="000706DB"/>
    <w:rsid w:val="0007132B"/>
    <w:rsid w:val="00071B64"/>
    <w:rsid w:val="0007223D"/>
    <w:rsid w:val="000729C8"/>
    <w:rsid w:val="00074367"/>
    <w:rsid w:val="00074B1B"/>
    <w:rsid w:val="00075750"/>
    <w:rsid w:val="00076260"/>
    <w:rsid w:val="00076547"/>
    <w:rsid w:val="0007676D"/>
    <w:rsid w:val="00080962"/>
    <w:rsid w:val="00080B5E"/>
    <w:rsid w:val="000815D6"/>
    <w:rsid w:val="00082423"/>
    <w:rsid w:val="000829C5"/>
    <w:rsid w:val="00082D7B"/>
    <w:rsid w:val="000834B6"/>
    <w:rsid w:val="00083626"/>
    <w:rsid w:val="000837B6"/>
    <w:rsid w:val="00083904"/>
    <w:rsid w:val="00085AAA"/>
    <w:rsid w:val="00085AE7"/>
    <w:rsid w:val="000862DC"/>
    <w:rsid w:val="00086BE5"/>
    <w:rsid w:val="00086DB2"/>
    <w:rsid w:val="00090250"/>
    <w:rsid w:val="00090278"/>
    <w:rsid w:val="000903C4"/>
    <w:rsid w:val="00090E2A"/>
    <w:rsid w:val="00091410"/>
    <w:rsid w:val="000918F7"/>
    <w:rsid w:val="00091925"/>
    <w:rsid w:val="00091B97"/>
    <w:rsid w:val="00092860"/>
    <w:rsid w:val="000935D9"/>
    <w:rsid w:val="0009462F"/>
    <w:rsid w:val="0009496B"/>
    <w:rsid w:val="00094C45"/>
    <w:rsid w:val="00094F46"/>
    <w:rsid w:val="00095F56"/>
    <w:rsid w:val="000961E5"/>
    <w:rsid w:val="00096A30"/>
    <w:rsid w:val="00096BEC"/>
    <w:rsid w:val="00096DA1"/>
    <w:rsid w:val="00097104"/>
    <w:rsid w:val="0009713C"/>
    <w:rsid w:val="00097174"/>
    <w:rsid w:val="00097D51"/>
    <w:rsid w:val="00097E10"/>
    <w:rsid w:val="000A0742"/>
    <w:rsid w:val="000A1465"/>
    <w:rsid w:val="000A184F"/>
    <w:rsid w:val="000A1B65"/>
    <w:rsid w:val="000A2A88"/>
    <w:rsid w:val="000A2AE5"/>
    <w:rsid w:val="000A2B3C"/>
    <w:rsid w:val="000A418D"/>
    <w:rsid w:val="000A5447"/>
    <w:rsid w:val="000A5C0F"/>
    <w:rsid w:val="000A68D2"/>
    <w:rsid w:val="000A692A"/>
    <w:rsid w:val="000A698A"/>
    <w:rsid w:val="000A6D44"/>
    <w:rsid w:val="000A6DBC"/>
    <w:rsid w:val="000A7186"/>
    <w:rsid w:val="000A7DAC"/>
    <w:rsid w:val="000B038A"/>
    <w:rsid w:val="000B0406"/>
    <w:rsid w:val="000B0B32"/>
    <w:rsid w:val="000B1049"/>
    <w:rsid w:val="000B1432"/>
    <w:rsid w:val="000B1972"/>
    <w:rsid w:val="000B3855"/>
    <w:rsid w:val="000B40E8"/>
    <w:rsid w:val="000B41C0"/>
    <w:rsid w:val="000B5055"/>
    <w:rsid w:val="000B5FCB"/>
    <w:rsid w:val="000B69D1"/>
    <w:rsid w:val="000B69DA"/>
    <w:rsid w:val="000B7936"/>
    <w:rsid w:val="000B7B80"/>
    <w:rsid w:val="000B7BF4"/>
    <w:rsid w:val="000C0319"/>
    <w:rsid w:val="000C061A"/>
    <w:rsid w:val="000C0ADC"/>
    <w:rsid w:val="000C1576"/>
    <w:rsid w:val="000C1DC0"/>
    <w:rsid w:val="000C3E76"/>
    <w:rsid w:val="000C57F1"/>
    <w:rsid w:val="000C5A26"/>
    <w:rsid w:val="000C5E76"/>
    <w:rsid w:val="000C62CC"/>
    <w:rsid w:val="000C6E40"/>
    <w:rsid w:val="000C718F"/>
    <w:rsid w:val="000C73A9"/>
    <w:rsid w:val="000C7CB4"/>
    <w:rsid w:val="000D0BA5"/>
    <w:rsid w:val="000D1827"/>
    <w:rsid w:val="000D18D3"/>
    <w:rsid w:val="000D1A30"/>
    <w:rsid w:val="000D1DA2"/>
    <w:rsid w:val="000D1E09"/>
    <w:rsid w:val="000D21DC"/>
    <w:rsid w:val="000D3141"/>
    <w:rsid w:val="000D3F74"/>
    <w:rsid w:val="000D4FAB"/>
    <w:rsid w:val="000D53D7"/>
    <w:rsid w:val="000D604C"/>
    <w:rsid w:val="000D6172"/>
    <w:rsid w:val="000D6748"/>
    <w:rsid w:val="000D6C8E"/>
    <w:rsid w:val="000D74FA"/>
    <w:rsid w:val="000D7800"/>
    <w:rsid w:val="000D78ED"/>
    <w:rsid w:val="000D792F"/>
    <w:rsid w:val="000D7F0C"/>
    <w:rsid w:val="000E0A63"/>
    <w:rsid w:val="000E1206"/>
    <w:rsid w:val="000E1270"/>
    <w:rsid w:val="000E176C"/>
    <w:rsid w:val="000E2A1E"/>
    <w:rsid w:val="000E3387"/>
    <w:rsid w:val="000E45E7"/>
    <w:rsid w:val="000E4778"/>
    <w:rsid w:val="000E4D0C"/>
    <w:rsid w:val="000E4F41"/>
    <w:rsid w:val="000E52CC"/>
    <w:rsid w:val="000E5858"/>
    <w:rsid w:val="000E5A32"/>
    <w:rsid w:val="000E5B84"/>
    <w:rsid w:val="000E64C2"/>
    <w:rsid w:val="000E7329"/>
    <w:rsid w:val="000E73B8"/>
    <w:rsid w:val="000E766B"/>
    <w:rsid w:val="000E7C85"/>
    <w:rsid w:val="000F0A39"/>
    <w:rsid w:val="000F2096"/>
    <w:rsid w:val="000F3526"/>
    <w:rsid w:val="000F3B0C"/>
    <w:rsid w:val="000F3B5C"/>
    <w:rsid w:val="000F40F3"/>
    <w:rsid w:val="000F5AFB"/>
    <w:rsid w:val="000F5C0F"/>
    <w:rsid w:val="000F5F38"/>
    <w:rsid w:val="000F6831"/>
    <w:rsid w:val="000F703A"/>
    <w:rsid w:val="000F7257"/>
    <w:rsid w:val="000F7E46"/>
    <w:rsid w:val="00100932"/>
    <w:rsid w:val="001009B6"/>
    <w:rsid w:val="00100C3D"/>
    <w:rsid w:val="00100D46"/>
    <w:rsid w:val="00100F31"/>
    <w:rsid w:val="00100F7D"/>
    <w:rsid w:val="00101B8C"/>
    <w:rsid w:val="001026E0"/>
    <w:rsid w:val="00103724"/>
    <w:rsid w:val="00103B3A"/>
    <w:rsid w:val="00103BBF"/>
    <w:rsid w:val="00104611"/>
    <w:rsid w:val="00104A90"/>
    <w:rsid w:val="00104E80"/>
    <w:rsid w:val="00105AB6"/>
    <w:rsid w:val="00106259"/>
    <w:rsid w:val="00106262"/>
    <w:rsid w:val="001067A2"/>
    <w:rsid w:val="00106ECE"/>
    <w:rsid w:val="001071B8"/>
    <w:rsid w:val="0010793C"/>
    <w:rsid w:val="00110312"/>
    <w:rsid w:val="001103FC"/>
    <w:rsid w:val="00110B85"/>
    <w:rsid w:val="00110E3D"/>
    <w:rsid w:val="001110F4"/>
    <w:rsid w:val="0011169E"/>
    <w:rsid w:val="00111A3D"/>
    <w:rsid w:val="001122F0"/>
    <w:rsid w:val="00112E55"/>
    <w:rsid w:val="0011395C"/>
    <w:rsid w:val="00114594"/>
    <w:rsid w:val="0011575E"/>
    <w:rsid w:val="00116CA8"/>
    <w:rsid w:val="00117704"/>
    <w:rsid w:val="00117EF2"/>
    <w:rsid w:val="00117F8D"/>
    <w:rsid w:val="0012063B"/>
    <w:rsid w:val="001211A9"/>
    <w:rsid w:val="001211B7"/>
    <w:rsid w:val="001218A5"/>
    <w:rsid w:val="00121FA6"/>
    <w:rsid w:val="001228AE"/>
    <w:rsid w:val="001228CA"/>
    <w:rsid w:val="00123005"/>
    <w:rsid w:val="001234E2"/>
    <w:rsid w:val="0012360D"/>
    <w:rsid w:val="0012376A"/>
    <w:rsid w:val="00123A51"/>
    <w:rsid w:val="00123A63"/>
    <w:rsid w:val="00123C68"/>
    <w:rsid w:val="00123F95"/>
    <w:rsid w:val="00124496"/>
    <w:rsid w:val="0012461C"/>
    <w:rsid w:val="0012533B"/>
    <w:rsid w:val="00125851"/>
    <w:rsid w:val="00125E8E"/>
    <w:rsid w:val="001261A8"/>
    <w:rsid w:val="00126266"/>
    <w:rsid w:val="00127B86"/>
    <w:rsid w:val="00127D4E"/>
    <w:rsid w:val="00127E36"/>
    <w:rsid w:val="00130650"/>
    <w:rsid w:val="00130E4E"/>
    <w:rsid w:val="00131874"/>
    <w:rsid w:val="00131FAA"/>
    <w:rsid w:val="001328EC"/>
    <w:rsid w:val="00133022"/>
    <w:rsid w:val="001332BA"/>
    <w:rsid w:val="00133C90"/>
    <w:rsid w:val="001341F8"/>
    <w:rsid w:val="00134267"/>
    <w:rsid w:val="00134CF8"/>
    <w:rsid w:val="00134EE2"/>
    <w:rsid w:val="0013507A"/>
    <w:rsid w:val="00135153"/>
    <w:rsid w:val="00135B2B"/>
    <w:rsid w:val="00136846"/>
    <w:rsid w:val="00136BBA"/>
    <w:rsid w:val="00136EFC"/>
    <w:rsid w:val="00137D1E"/>
    <w:rsid w:val="00140546"/>
    <w:rsid w:val="001407AB"/>
    <w:rsid w:val="00140BD9"/>
    <w:rsid w:val="001412C5"/>
    <w:rsid w:val="00141404"/>
    <w:rsid w:val="001418FE"/>
    <w:rsid w:val="00141DC2"/>
    <w:rsid w:val="00142016"/>
    <w:rsid w:val="00142603"/>
    <w:rsid w:val="00142AC8"/>
    <w:rsid w:val="00142E77"/>
    <w:rsid w:val="00143431"/>
    <w:rsid w:val="00143F95"/>
    <w:rsid w:val="001441E5"/>
    <w:rsid w:val="00145693"/>
    <w:rsid w:val="001456C4"/>
    <w:rsid w:val="00145A8A"/>
    <w:rsid w:val="0014618D"/>
    <w:rsid w:val="00146635"/>
    <w:rsid w:val="00146978"/>
    <w:rsid w:val="00147359"/>
    <w:rsid w:val="001474FC"/>
    <w:rsid w:val="00147D70"/>
    <w:rsid w:val="00150256"/>
    <w:rsid w:val="00150698"/>
    <w:rsid w:val="00150DCD"/>
    <w:rsid w:val="0015127F"/>
    <w:rsid w:val="00151312"/>
    <w:rsid w:val="001518D3"/>
    <w:rsid w:val="00151D66"/>
    <w:rsid w:val="00152F59"/>
    <w:rsid w:val="001537CC"/>
    <w:rsid w:val="0015596E"/>
    <w:rsid w:val="00155A36"/>
    <w:rsid w:val="00155B67"/>
    <w:rsid w:val="00155BF7"/>
    <w:rsid w:val="001565F0"/>
    <w:rsid w:val="001566D0"/>
    <w:rsid w:val="00156E5C"/>
    <w:rsid w:val="0016071B"/>
    <w:rsid w:val="00160AE6"/>
    <w:rsid w:val="001613B3"/>
    <w:rsid w:val="00162220"/>
    <w:rsid w:val="001622D8"/>
    <w:rsid w:val="001622E3"/>
    <w:rsid w:val="0016284A"/>
    <w:rsid w:val="0016299B"/>
    <w:rsid w:val="00162B01"/>
    <w:rsid w:val="00163082"/>
    <w:rsid w:val="00163FB4"/>
    <w:rsid w:val="0016404E"/>
    <w:rsid w:val="00164232"/>
    <w:rsid w:val="0016495B"/>
    <w:rsid w:val="00164A5B"/>
    <w:rsid w:val="00166A10"/>
    <w:rsid w:val="00167149"/>
    <w:rsid w:val="001672C5"/>
    <w:rsid w:val="001703F7"/>
    <w:rsid w:val="0017060E"/>
    <w:rsid w:val="00170F58"/>
    <w:rsid w:val="001711E2"/>
    <w:rsid w:val="00171976"/>
    <w:rsid w:val="00171A29"/>
    <w:rsid w:val="00173AF9"/>
    <w:rsid w:val="00174A83"/>
    <w:rsid w:val="0017553B"/>
    <w:rsid w:val="00175901"/>
    <w:rsid w:val="00176B1E"/>
    <w:rsid w:val="00177040"/>
    <w:rsid w:val="0017733D"/>
    <w:rsid w:val="00177AC2"/>
    <w:rsid w:val="00177DFE"/>
    <w:rsid w:val="00180593"/>
    <w:rsid w:val="00180A9E"/>
    <w:rsid w:val="0018108B"/>
    <w:rsid w:val="00181765"/>
    <w:rsid w:val="00181F5D"/>
    <w:rsid w:val="00182434"/>
    <w:rsid w:val="0018244D"/>
    <w:rsid w:val="00184329"/>
    <w:rsid w:val="00184890"/>
    <w:rsid w:val="001852FE"/>
    <w:rsid w:val="001864B2"/>
    <w:rsid w:val="0018681A"/>
    <w:rsid w:val="0018681B"/>
    <w:rsid w:val="00186BB1"/>
    <w:rsid w:val="00190FE6"/>
    <w:rsid w:val="00191322"/>
    <w:rsid w:val="00191D95"/>
    <w:rsid w:val="00191D9A"/>
    <w:rsid w:val="00192545"/>
    <w:rsid w:val="001929F0"/>
    <w:rsid w:val="00192BE0"/>
    <w:rsid w:val="00192E4E"/>
    <w:rsid w:val="0019441E"/>
    <w:rsid w:val="0019478D"/>
    <w:rsid w:val="00194D88"/>
    <w:rsid w:val="00195AC8"/>
    <w:rsid w:val="00195C54"/>
    <w:rsid w:val="00195C67"/>
    <w:rsid w:val="001961EE"/>
    <w:rsid w:val="00196541"/>
    <w:rsid w:val="0019690A"/>
    <w:rsid w:val="00196D9F"/>
    <w:rsid w:val="001A01F4"/>
    <w:rsid w:val="001A0601"/>
    <w:rsid w:val="001A0A31"/>
    <w:rsid w:val="001A0B65"/>
    <w:rsid w:val="001A0E0E"/>
    <w:rsid w:val="001A282E"/>
    <w:rsid w:val="001A335D"/>
    <w:rsid w:val="001A3402"/>
    <w:rsid w:val="001A3A69"/>
    <w:rsid w:val="001A4902"/>
    <w:rsid w:val="001A4E65"/>
    <w:rsid w:val="001A4E7B"/>
    <w:rsid w:val="001A4ECD"/>
    <w:rsid w:val="001A55C6"/>
    <w:rsid w:val="001A57C0"/>
    <w:rsid w:val="001A5CF2"/>
    <w:rsid w:val="001A68C8"/>
    <w:rsid w:val="001A6955"/>
    <w:rsid w:val="001A75D4"/>
    <w:rsid w:val="001A78B4"/>
    <w:rsid w:val="001A7ECF"/>
    <w:rsid w:val="001B0820"/>
    <w:rsid w:val="001B097F"/>
    <w:rsid w:val="001B2534"/>
    <w:rsid w:val="001B282B"/>
    <w:rsid w:val="001B364A"/>
    <w:rsid w:val="001B417B"/>
    <w:rsid w:val="001B4683"/>
    <w:rsid w:val="001B47E8"/>
    <w:rsid w:val="001B4D6B"/>
    <w:rsid w:val="001B51FD"/>
    <w:rsid w:val="001B5691"/>
    <w:rsid w:val="001B5E68"/>
    <w:rsid w:val="001B6118"/>
    <w:rsid w:val="001B6C17"/>
    <w:rsid w:val="001B6D56"/>
    <w:rsid w:val="001B7362"/>
    <w:rsid w:val="001B7416"/>
    <w:rsid w:val="001B76B7"/>
    <w:rsid w:val="001B78C2"/>
    <w:rsid w:val="001B79C3"/>
    <w:rsid w:val="001B79F8"/>
    <w:rsid w:val="001C02FC"/>
    <w:rsid w:val="001C0313"/>
    <w:rsid w:val="001C25E4"/>
    <w:rsid w:val="001C2F1E"/>
    <w:rsid w:val="001C338A"/>
    <w:rsid w:val="001C3D54"/>
    <w:rsid w:val="001C4104"/>
    <w:rsid w:val="001C46E5"/>
    <w:rsid w:val="001C48C5"/>
    <w:rsid w:val="001C4A7C"/>
    <w:rsid w:val="001C4D64"/>
    <w:rsid w:val="001C57B6"/>
    <w:rsid w:val="001C5A73"/>
    <w:rsid w:val="001C6C70"/>
    <w:rsid w:val="001C6D15"/>
    <w:rsid w:val="001C70D7"/>
    <w:rsid w:val="001C73F5"/>
    <w:rsid w:val="001C799B"/>
    <w:rsid w:val="001D06C9"/>
    <w:rsid w:val="001D1127"/>
    <w:rsid w:val="001D258D"/>
    <w:rsid w:val="001D2DFF"/>
    <w:rsid w:val="001D4465"/>
    <w:rsid w:val="001D452A"/>
    <w:rsid w:val="001D4787"/>
    <w:rsid w:val="001D47B2"/>
    <w:rsid w:val="001D482B"/>
    <w:rsid w:val="001D4C9A"/>
    <w:rsid w:val="001D4E02"/>
    <w:rsid w:val="001D4FDD"/>
    <w:rsid w:val="001D5427"/>
    <w:rsid w:val="001D6068"/>
    <w:rsid w:val="001D6250"/>
    <w:rsid w:val="001D62A6"/>
    <w:rsid w:val="001D6E3A"/>
    <w:rsid w:val="001D6F04"/>
    <w:rsid w:val="001D754F"/>
    <w:rsid w:val="001D7758"/>
    <w:rsid w:val="001D7872"/>
    <w:rsid w:val="001E0698"/>
    <w:rsid w:val="001E1116"/>
    <w:rsid w:val="001E2BFA"/>
    <w:rsid w:val="001E33F3"/>
    <w:rsid w:val="001E390A"/>
    <w:rsid w:val="001E3976"/>
    <w:rsid w:val="001E470F"/>
    <w:rsid w:val="001E473D"/>
    <w:rsid w:val="001E47F5"/>
    <w:rsid w:val="001E4B19"/>
    <w:rsid w:val="001E4BC4"/>
    <w:rsid w:val="001E56D8"/>
    <w:rsid w:val="001E5BC1"/>
    <w:rsid w:val="001E5FA0"/>
    <w:rsid w:val="001E632A"/>
    <w:rsid w:val="001E7A38"/>
    <w:rsid w:val="001F02FF"/>
    <w:rsid w:val="001F119B"/>
    <w:rsid w:val="001F1575"/>
    <w:rsid w:val="001F1760"/>
    <w:rsid w:val="001F1AD4"/>
    <w:rsid w:val="001F2110"/>
    <w:rsid w:val="001F2D1D"/>
    <w:rsid w:val="001F38F4"/>
    <w:rsid w:val="001F3A41"/>
    <w:rsid w:val="001F3E5E"/>
    <w:rsid w:val="001F3F01"/>
    <w:rsid w:val="001F46A9"/>
    <w:rsid w:val="001F5B9A"/>
    <w:rsid w:val="001F5C3A"/>
    <w:rsid w:val="001F61A2"/>
    <w:rsid w:val="001F623F"/>
    <w:rsid w:val="001F6276"/>
    <w:rsid w:val="001F6475"/>
    <w:rsid w:val="001F6B2F"/>
    <w:rsid w:val="00200481"/>
    <w:rsid w:val="00200809"/>
    <w:rsid w:val="00201CC8"/>
    <w:rsid w:val="00201CDB"/>
    <w:rsid w:val="002022F8"/>
    <w:rsid w:val="002025D7"/>
    <w:rsid w:val="002025F2"/>
    <w:rsid w:val="00202A08"/>
    <w:rsid w:val="002039D3"/>
    <w:rsid w:val="00204858"/>
    <w:rsid w:val="00204F6A"/>
    <w:rsid w:val="00205B35"/>
    <w:rsid w:val="00205DA4"/>
    <w:rsid w:val="002062DD"/>
    <w:rsid w:val="00206400"/>
    <w:rsid w:val="002066A1"/>
    <w:rsid w:val="0020679A"/>
    <w:rsid w:val="00206974"/>
    <w:rsid w:val="00207DD6"/>
    <w:rsid w:val="00207FE0"/>
    <w:rsid w:val="00211128"/>
    <w:rsid w:val="002116AB"/>
    <w:rsid w:val="00211981"/>
    <w:rsid w:val="00211E43"/>
    <w:rsid w:val="00212307"/>
    <w:rsid w:val="0021254D"/>
    <w:rsid w:val="002132E0"/>
    <w:rsid w:val="0021493C"/>
    <w:rsid w:val="00215C29"/>
    <w:rsid w:val="00216834"/>
    <w:rsid w:val="00216E7B"/>
    <w:rsid w:val="00216FF3"/>
    <w:rsid w:val="00217D0E"/>
    <w:rsid w:val="00217EB5"/>
    <w:rsid w:val="00220B46"/>
    <w:rsid w:val="00220BD4"/>
    <w:rsid w:val="00224680"/>
    <w:rsid w:val="00224EB4"/>
    <w:rsid w:val="00225314"/>
    <w:rsid w:val="00226790"/>
    <w:rsid w:val="0022697E"/>
    <w:rsid w:val="00226ABD"/>
    <w:rsid w:val="002271F6"/>
    <w:rsid w:val="00227A18"/>
    <w:rsid w:val="00230433"/>
    <w:rsid w:val="00230BBF"/>
    <w:rsid w:val="00230FBF"/>
    <w:rsid w:val="00231818"/>
    <w:rsid w:val="00231EE9"/>
    <w:rsid w:val="00232C10"/>
    <w:rsid w:val="00232DB5"/>
    <w:rsid w:val="00232F6E"/>
    <w:rsid w:val="0023325F"/>
    <w:rsid w:val="00233443"/>
    <w:rsid w:val="00233FF3"/>
    <w:rsid w:val="0023550D"/>
    <w:rsid w:val="00235CB8"/>
    <w:rsid w:val="002361F1"/>
    <w:rsid w:val="00237478"/>
    <w:rsid w:val="00237481"/>
    <w:rsid w:val="0023774C"/>
    <w:rsid w:val="00237757"/>
    <w:rsid w:val="00237C20"/>
    <w:rsid w:val="0024033D"/>
    <w:rsid w:val="00240721"/>
    <w:rsid w:val="00240EAF"/>
    <w:rsid w:val="00240F6F"/>
    <w:rsid w:val="00241417"/>
    <w:rsid w:val="002424C8"/>
    <w:rsid w:val="00242FA9"/>
    <w:rsid w:val="00243B5F"/>
    <w:rsid w:val="00243C7A"/>
    <w:rsid w:val="002447DE"/>
    <w:rsid w:val="002447F9"/>
    <w:rsid w:val="00244BF9"/>
    <w:rsid w:val="00245D49"/>
    <w:rsid w:val="00245DE4"/>
    <w:rsid w:val="00245EC2"/>
    <w:rsid w:val="002464A7"/>
    <w:rsid w:val="0025143B"/>
    <w:rsid w:val="00252360"/>
    <w:rsid w:val="0025291D"/>
    <w:rsid w:val="00252CFC"/>
    <w:rsid w:val="002535AF"/>
    <w:rsid w:val="00253A38"/>
    <w:rsid w:val="002542C9"/>
    <w:rsid w:val="002544A8"/>
    <w:rsid w:val="00254612"/>
    <w:rsid w:val="00254870"/>
    <w:rsid w:val="00254B3E"/>
    <w:rsid w:val="00254E3D"/>
    <w:rsid w:val="00255D21"/>
    <w:rsid w:val="0025633B"/>
    <w:rsid w:val="00257D89"/>
    <w:rsid w:val="00260052"/>
    <w:rsid w:val="00260B89"/>
    <w:rsid w:val="00260EE1"/>
    <w:rsid w:val="00261AC2"/>
    <w:rsid w:val="002621DB"/>
    <w:rsid w:val="002624AC"/>
    <w:rsid w:val="00262539"/>
    <w:rsid w:val="002625EF"/>
    <w:rsid w:val="00262C85"/>
    <w:rsid w:val="00262FF3"/>
    <w:rsid w:val="002630E8"/>
    <w:rsid w:val="00263747"/>
    <w:rsid w:val="00263B43"/>
    <w:rsid w:val="00264004"/>
    <w:rsid w:val="002646E4"/>
    <w:rsid w:val="00265A0E"/>
    <w:rsid w:val="002664A3"/>
    <w:rsid w:val="00266FDE"/>
    <w:rsid w:val="002672B5"/>
    <w:rsid w:val="002673F6"/>
    <w:rsid w:val="00267857"/>
    <w:rsid w:val="00267CA8"/>
    <w:rsid w:val="002704A6"/>
    <w:rsid w:val="002709AB"/>
    <w:rsid w:val="00270C5C"/>
    <w:rsid w:val="00270EBD"/>
    <w:rsid w:val="002722F8"/>
    <w:rsid w:val="002726F1"/>
    <w:rsid w:val="0027278C"/>
    <w:rsid w:val="00272C5A"/>
    <w:rsid w:val="00273A8C"/>
    <w:rsid w:val="0027507D"/>
    <w:rsid w:val="00275E56"/>
    <w:rsid w:val="002766C7"/>
    <w:rsid w:val="00276999"/>
    <w:rsid w:val="002769D2"/>
    <w:rsid w:val="00276AA7"/>
    <w:rsid w:val="00276BA7"/>
    <w:rsid w:val="00277383"/>
    <w:rsid w:val="00277E7B"/>
    <w:rsid w:val="0028120B"/>
    <w:rsid w:val="00282B9B"/>
    <w:rsid w:val="0028398C"/>
    <w:rsid w:val="00284129"/>
    <w:rsid w:val="002843C1"/>
    <w:rsid w:val="0028454C"/>
    <w:rsid w:val="002845AC"/>
    <w:rsid w:val="002850DC"/>
    <w:rsid w:val="00285209"/>
    <w:rsid w:val="002857B6"/>
    <w:rsid w:val="0028589C"/>
    <w:rsid w:val="00285A5E"/>
    <w:rsid w:val="0028610E"/>
    <w:rsid w:val="002868D3"/>
    <w:rsid w:val="00286E45"/>
    <w:rsid w:val="0029073D"/>
    <w:rsid w:val="0029098D"/>
    <w:rsid w:val="00290F6E"/>
    <w:rsid w:val="002914AD"/>
    <w:rsid w:val="0029168F"/>
    <w:rsid w:val="002936F5"/>
    <w:rsid w:val="00293823"/>
    <w:rsid w:val="00294372"/>
    <w:rsid w:val="00294BD4"/>
    <w:rsid w:val="0029519A"/>
    <w:rsid w:val="002962CE"/>
    <w:rsid w:val="0029691F"/>
    <w:rsid w:val="00296A12"/>
    <w:rsid w:val="00297155"/>
    <w:rsid w:val="00297E06"/>
    <w:rsid w:val="00297EA1"/>
    <w:rsid w:val="002A17FD"/>
    <w:rsid w:val="002A2EB4"/>
    <w:rsid w:val="002A320B"/>
    <w:rsid w:val="002A3F99"/>
    <w:rsid w:val="002A4875"/>
    <w:rsid w:val="002A495D"/>
    <w:rsid w:val="002A54AC"/>
    <w:rsid w:val="002A5549"/>
    <w:rsid w:val="002A5A3E"/>
    <w:rsid w:val="002A5EA9"/>
    <w:rsid w:val="002A6327"/>
    <w:rsid w:val="002A72F0"/>
    <w:rsid w:val="002A798C"/>
    <w:rsid w:val="002A7D26"/>
    <w:rsid w:val="002B0900"/>
    <w:rsid w:val="002B125A"/>
    <w:rsid w:val="002B1C09"/>
    <w:rsid w:val="002B1E15"/>
    <w:rsid w:val="002B25E7"/>
    <w:rsid w:val="002B272C"/>
    <w:rsid w:val="002B2A96"/>
    <w:rsid w:val="002B2D9D"/>
    <w:rsid w:val="002B3370"/>
    <w:rsid w:val="002B4B10"/>
    <w:rsid w:val="002B5252"/>
    <w:rsid w:val="002B5300"/>
    <w:rsid w:val="002B5638"/>
    <w:rsid w:val="002B5819"/>
    <w:rsid w:val="002B5DB0"/>
    <w:rsid w:val="002C0AEF"/>
    <w:rsid w:val="002C0E02"/>
    <w:rsid w:val="002C1090"/>
    <w:rsid w:val="002C173B"/>
    <w:rsid w:val="002C20A2"/>
    <w:rsid w:val="002C2399"/>
    <w:rsid w:val="002C2728"/>
    <w:rsid w:val="002C2F3A"/>
    <w:rsid w:val="002C35AF"/>
    <w:rsid w:val="002C4234"/>
    <w:rsid w:val="002C4348"/>
    <w:rsid w:val="002C4A1B"/>
    <w:rsid w:val="002C4BCC"/>
    <w:rsid w:val="002C4DF4"/>
    <w:rsid w:val="002C6143"/>
    <w:rsid w:val="002C6303"/>
    <w:rsid w:val="002C6D29"/>
    <w:rsid w:val="002D01C1"/>
    <w:rsid w:val="002D0461"/>
    <w:rsid w:val="002D0A68"/>
    <w:rsid w:val="002D1DA8"/>
    <w:rsid w:val="002D2756"/>
    <w:rsid w:val="002D2822"/>
    <w:rsid w:val="002D49F9"/>
    <w:rsid w:val="002D4FEE"/>
    <w:rsid w:val="002D71DE"/>
    <w:rsid w:val="002E0172"/>
    <w:rsid w:val="002E0C97"/>
    <w:rsid w:val="002E0EC3"/>
    <w:rsid w:val="002E1046"/>
    <w:rsid w:val="002E22F5"/>
    <w:rsid w:val="002E30F1"/>
    <w:rsid w:val="002E3402"/>
    <w:rsid w:val="002E46D1"/>
    <w:rsid w:val="002E4857"/>
    <w:rsid w:val="002E573F"/>
    <w:rsid w:val="002E57F6"/>
    <w:rsid w:val="002E5A97"/>
    <w:rsid w:val="002E66BA"/>
    <w:rsid w:val="002E69BD"/>
    <w:rsid w:val="002E6C50"/>
    <w:rsid w:val="002E75DC"/>
    <w:rsid w:val="002F0702"/>
    <w:rsid w:val="002F0B8E"/>
    <w:rsid w:val="002F298B"/>
    <w:rsid w:val="002F2B73"/>
    <w:rsid w:val="002F479B"/>
    <w:rsid w:val="002F5067"/>
    <w:rsid w:val="002F512C"/>
    <w:rsid w:val="002F5C62"/>
    <w:rsid w:val="002F5EC3"/>
    <w:rsid w:val="002F6C52"/>
    <w:rsid w:val="002F6C8D"/>
    <w:rsid w:val="002F788C"/>
    <w:rsid w:val="00300B5E"/>
    <w:rsid w:val="003011C3"/>
    <w:rsid w:val="003024B9"/>
    <w:rsid w:val="00302C92"/>
    <w:rsid w:val="00302EC8"/>
    <w:rsid w:val="00303B89"/>
    <w:rsid w:val="00303CF1"/>
    <w:rsid w:val="00303DD4"/>
    <w:rsid w:val="003052FE"/>
    <w:rsid w:val="0030549B"/>
    <w:rsid w:val="00305E66"/>
    <w:rsid w:val="00306444"/>
    <w:rsid w:val="0030670F"/>
    <w:rsid w:val="00307192"/>
    <w:rsid w:val="0031009B"/>
    <w:rsid w:val="0031142D"/>
    <w:rsid w:val="003116CE"/>
    <w:rsid w:val="003121C8"/>
    <w:rsid w:val="00312A02"/>
    <w:rsid w:val="00312DAA"/>
    <w:rsid w:val="00313009"/>
    <w:rsid w:val="00313156"/>
    <w:rsid w:val="00313812"/>
    <w:rsid w:val="00313FF7"/>
    <w:rsid w:val="00314205"/>
    <w:rsid w:val="00314554"/>
    <w:rsid w:val="00314DD4"/>
    <w:rsid w:val="00314F35"/>
    <w:rsid w:val="00314F6F"/>
    <w:rsid w:val="003152FA"/>
    <w:rsid w:val="003163F3"/>
    <w:rsid w:val="00320110"/>
    <w:rsid w:val="00320BA0"/>
    <w:rsid w:val="00321B51"/>
    <w:rsid w:val="00321C5C"/>
    <w:rsid w:val="00323250"/>
    <w:rsid w:val="0032364B"/>
    <w:rsid w:val="003246CA"/>
    <w:rsid w:val="0032494C"/>
    <w:rsid w:val="00324A2C"/>
    <w:rsid w:val="00324EA0"/>
    <w:rsid w:val="00325780"/>
    <w:rsid w:val="003261E5"/>
    <w:rsid w:val="00326AF0"/>
    <w:rsid w:val="003270F3"/>
    <w:rsid w:val="0032775C"/>
    <w:rsid w:val="003305AE"/>
    <w:rsid w:val="00330781"/>
    <w:rsid w:val="003307D3"/>
    <w:rsid w:val="0033140D"/>
    <w:rsid w:val="00331816"/>
    <w:rsid w:val="0033233A"/>
    <w:rsid w:val="00332379"/>
    <w:rsid w:val="00332DB3"/>
    <w:rsid w:val="003343A6"/>
    <w:rsid w:val="00335D6F"/>
    <w:rsid w:val="003360A9"/>
    <w:rsid w:val="0033629B"/>
    <w:rsid w:val="003362C8"/>
    <w:rsid w:val="00336611"/>
    <w:rsid w:val="003367F1"/>
    <w:rsid w:val="00337ABC"/>
    <w:rsid w:val="00337C9B"/>
    <w:rsid w:val="00337F02"/>
    <w:rsid w:val="00340220"/>
    <w:rsid w:val="00340E1E"/>
    <w:rsid w:val="0034144F"/>
    <w:rsid w:val="00341994"/>
    <w:rsid w:val="00343078"/>
    <w:rsid w:val="003436CE"/>
    <w:rsid w:val="00343FAB"/>
    <w:rsid w:val="00344B28"/>
    <w:rsid w:val="003454C0"/>
    <w:rsid w:val="0034559A"/>
    <w:rsid w:val="0034593E"/>
    <w:rsid w:val="00345B01"/>
    <w:rsid w:val="00345FA6"/>
    <w:rsid w:val="0034749A"/>
    <w:rsid w:val="00347D21"/>
    <w:rsid w:val="00350021"/>
    <w:rsid w:val="0035057F"/>
    <w:rsid w:val="00351BAD"/>
    <w:rsid w:val="00351C77"/>
    <w:rsid w:val="0035211E"/>
    <w:rsid w:val="0035293B"/>
    <w:rsid w:val="003532F2"/>
    <w:rsid w:val="0035356A"/>
    <w:rsid w:val="003535CD"/>
    <w:rsid w:val="00353755"/>
    <w:rsid w:val="00353DB9"/>
    <w:rsid w:val="00354458"/>
    <w:rsid w:val="003548FA"/>
    <w:rsid w:val="00354B58"/>
    <w:rsid w:val="00354D11"/>
    <w:rsid w:val="0035507D"/>
    <w:rsid w:val="003553E9"/>
    <w:rsid w:val="00356014"/>
    <w:rsid w:val="0035730E"/>
    <w:rsid w:val="003578CA"/>
    <w:rsid w:val="0036026D"/>
    <w:rsid w:val="00360359"/>
    <w:rsid w:val="00360702"/>
    <w:rsid w:val="00360E40"/>
    <w:rsid w:val="00361A47"/>
    <w:rsid w:val="00362AA2"/>
    <w:rsid w:val="00362CEC"/>
    <w:rsid w:val="0036347C"/>
    <w:rsid w:val="003643E1"/>
    <w:rsid w:val="0036494E"/>
    <w:rsid w:val="00365241"/>
    <w:rsid w:val="003666F0"/>
    <w:rsid w:val="003667CD"/>
    <w:rsid w:val="003673E7"/>
    <w:rsid w:val="00367423"/>
    <w:rsid w:val="0036745A"/>
    <w:rsid w:val="0037185E"/>
    <w:rsid w:val="0037223D"/>
    <w:rsid w:val="003735B9"/>
    <w:rsid w:val="003735E2"/>
    <w:rsid w:val="0037503A"/>
    <w:rsid w:val="0037528C"/>
    <w:rsid w:val="00375CC8"/>
    <w:rsid w:val="00375EEA"/>
    <w:rsid w:val="003766F8"/>
    <w:rsid w:val="00380F85"/>
    <w:rsid w:val="00381CFE"/>
    <w:rsid w:val="00382CA1"/>
    <w:rsid w:val="00382E7F"/>
    <w:rsid w:val="003830BC"/>
    <w:rsid w:val="00383F69"/>
    <w:rsid w:val="0038563C"/>
    <w:rsid w:val="003861C0"/>
    <w:rsid w:val="003862D1"/>
    <w:rsid w:val="003863D6"/>
    <w:rsid w:val="00386878"/>
    <w:rsid w:val="003872C6"/>
    <w:rsid w:val="003876C2"/>
    <w:rsid w:val="003878F2"/>
    <w:rsid w:val="00391931"/>
    <w:rsid w:val="00391A03"/>
    <w:rsid w:val="003926A5"/>
    <w:rsid w:val="00392C08"/>
    <w:rsid w:val="00393C22"/>
    <w:rsid w:val="00393F11"/>
    <w:rsid w:val="00394068"/>
    <w:rsid w:val="00394160"/>
    <w:rsid w:val="0039561D"/>
    <w:rsid w:val="00395C6D"/>
    <w:rsid w:val="003964F4"/>
    <w:rsid w:val="00397182"/>
    <w:rsid w:val="00397547"/>
    <w:rsid w:val="003975AF"/>
    <w:rsid w:val="00397D80"/>
    <w:rsid w:val="003A03E2"/>
    <w:rsid w:val="003A12AF"/>
    <w:rsid w:val="003A1328"/>
    <w:rsid w:val="003A172F"/>
    <w:rsid w:val="003A1DE1"/>
    <w:rsid w:val="003A229D"/>
    <w:rsid w:val="003A2911"/>
    <w:rsid w:val="003A2A8A"/>
    <w:rsid w:val="003A2F65"/>
    <w:rsid w:val="003A3F6A"/>
    <w:rsid w:val="003A4E61"/>
    <w:rsid w:val="003A50B3"/>
    <w:rsid w:val="003A5B41"/>
    <w:rsid w:val="003A6C68"/>
    <w:rsid w:val="003A7528"/>
    <w:rsid w:val="003B0395"/>
    <w:rsid w:val="003B06BD"/>
    <w:rsid w:val="003B0D69"/>
    <w:rsid w:val="003B1F41"/>
    <w:rsid w:val="003B23E0"/>
    <w:rsid w:val="003B2834"/>
    <w:rsid w:val="003B31F6"/>
    <w:rsid w:val="003B3804"/>
    <w:rsid w:val="003B39D2"/>
    <w:rsid w:val="003B47A3"/>
    <w:rsid w:val="003B538B"/>
    <w:rsid w:val="003B57FB"/>
    <w:rsid w:val="003B5C5F"/>
    <w:rsid w:val="003B5FED"/>
    <w:rsid w:val="003B618A"/>
    <w:rsid w:val="003B61FB"/>
    <w:rsid w:val="003B6486"/>
    <w:rsid w:val="003B68BC"/>
    <w:rsid w:val="003B69FE"/>
    <w:rsid w:val="003B7069"/>
    <w:rsid w:val="003B729C"/>
    <w:rsid w:val="003B775E"/>
    <w:rsid w:val="003B7F4E"/>
    <w:rsid w:val="003B7F50"/>
    <w:rsid w:val="003C0B28"/>
    <w:rsid w:val="003C149A"/>
    <w:rsid w:val="003C23E9"/>
    <w:rsid w:val="003C3875"/>
    <w:rsid w:val="003C3876"/>
    <w:rsid w:val="003C6143"/>
    <w:rsid w:val="003C6340"/>
    <w:rsid w:val="003C66C6"/>
    <w:rsid w:val="003C6826"/>
    <w:rsid w:val="003C700F"/>
    <w:rsid w:val="003C709F"/>
    <w:rsid w:val="003C7FCE"/>
    <w:rsid w:val="003D0BB9"/>
    <w:rsid w:val="003D0E07"/>
    <w:rsid w:val="003D1555"/>
    <w:rsid w:val="003D17DE"/>
    <w:rsid w:val="003D183E"/>
    <w:rsid w:val="003D1E96"/>
    <w:rsid w:val="003D1EA8"/>
    <w:rsid w:val="003D31CD"/>
    <w:rsid w:val="003D337B"/>
    <w:rsid w:val="003D37B4"/>
    <w:rsid w:val="003D5325"/>
    <w:rsid w:val="003D5370"/>
    <w:rsid w:val="003D5AF4"/>
    <w:rsid w:val="003D67A9"/>
    <w:rsid w:val="003D68BE"/>
    <w:rsid w:val="003D6992"/>
    <w:rsid w:val="003D6DF6"/>
    <w:rsid w:val="003D7A36"/>
    <w:rsid w:val="003E05F0"/>
    <w:rsid w:val="003E09BA"/>
    <w:rsid w:val="003E0ABD"/>
    <w:rsid w:val="003E0D4C"/>
    <w:rsid w:val="003E11EB"/>
    <w:rsid w:val="003E13C6"/>
    <w:rsid w:val="003E15C6"/>
    <w:rsid w:val="003E23A6"/>
    <w:rsid w:val="003E2EF5"/>
    <w:rsid w:val="003E3503"/>
    <w:rsid w:val="003E4355"/>
    <w:rsid w:val="003E5461"/>
    <w:rsid w:val="003E6F28"/>
    <w:rsid w:val="003E7825"/>
    <w:rsid w:val="003E7F3B"/>
    <w:rsid w:val="003F0697"/>
    <w:rsid w:val="003F091C"/>
    <w:rsid w:val="003F0971"/>
    <w:rsid w:val="003F0C40"/>
    <w:rsid w:val="003F1529"/>
    <w:rsid w:val="003F25F3"/>
    <w:rsid w:val="003F3360"/>
    <w:rsid w:val="003F339B"/>
    <w:rsid w:val="003F34F8"/>
    <w:rsid w:val="003F3FD6"/>
    <w:rsid w:val="003F4117"/>
    <w:rsid w:val="003F44BE"/>
    <w:rsid w:val="003F508C"/>
    <w:rsid w:val="003F5512"/>
    <w:rsid w:val="003F795B"/>
    <w:rsid w:val="00400698"/>
    <w:rsid w:val="00400852"/>
    <w:rsid w:val="00400D95"/>
    <w:rsid w:val="004016D3"/>
    <w:rsid w:val="00401BA8"/>
    <w:rsid w:val="00401D56"/>
    <w:rsid w:val="0040238E"/>
    <w:rsid w:val="004023AD"/>
    <w:rsid w:val="0040289D"/>
    <w:rsid w:val="00402C56"/>
    <w:rsid w:val="00402DC8"/>
    <w:rsid w:val="00402FA8"/>
    <w:rsid w:val="004041B7"/>
    <w:rsid w:val="00404CBA"/>
    <w:rsid w:val="0040541A"/>
    <w:rsid w:val="00405928"/>
    <w:rsid w:val="00406190"/>
    <w:rsid w:val="00406D5B"/>
    <w:rsid w:val="0040719B"/>
    <w:rsid w:val="00407647"/>
    <w:rsid w:val="00407907"/>
    <w:rsid w:val="00407BAB"/>
    <w:rsid w:val="00407C2A"/>
    <w:rsid w:val="004107FD"/>
    <w:rsid w:val="00410C49"/>
    <w:rsid w:val="00411911"/>
    <w:rsid w:val="00411B76"/>
    <w:rsid w:val="00412CD7"/>
    <w:rsid w:val="004133D0"/>
    <w:rsid w:val="00413A58"/>
    <w:rsid w:val="00414466"/>
    <w:rsid w:val="00414F40"/>
    <w:rsid w:val="004159A6"/>
    <w:rsid w:val="0041668A"/>
    <w:rsid w:val="004169AF"/>
    <w:rsid w:val="00416F97"/>
    <w:rsid w:val="004172B0"/>
    <w:rsid w:val="004175CD"/>
    <w:rsid w:val="00417633"/>
    <w:rsid w:val="004177EE"/>
    <w:rsid w:val="00417B43"/>
    <w:rsid w:val="00420A02"/>
    <w:rsid w:val="00420A70"/>
    <w:rsid w:val="004212B9"/>
    <w:rsid w:val="004215AF"/>
    <w:rsid w:val="00421601"/>
    <w:rsid w:val="0042389D"/>
    <w:rsid w:val="004239F4"/>
    <w:rsid w:val="004244A7"/>
    <w:rsid w:val="0042471E"/>
    <w:rsid w:val="00424730"/>
    <w:rsid w:val="00424C40"/>
    <w:rsid w:val="004263E1"/>
    <w:rsid w:val="00426419"/>
    <w:rsid w:val="00427514"/>
    <w:rsid w:val="0042771D"/>
    <w:rsid w:val="00427E77"/>
    <w:rsid w:val="00430136"/>
    <w:rsid w:val="00431372"/>
    <w:rsid w:val="00431D91"/>
    <w:rsid w:val="00432CC7"/>
    <w:rsid w:val="00432ED9"/>
    <w:rsid w:val="0043383A"/>
    <w:rsid w:val="0043385B"/>
    <w:rsid w:val="00436853"/>
    <w:rsid w:val="00436CD1"/>
    <w:rsid w:val="00436D06"/>
    <w:rsid w:val="00437229"/>
    <w:rsid w:val="0043738D"/>
    <w:rsid w:val="0044070F"/>
    <w:rsid w:val="0044136E"/>
    <w:rsid w:val="004416A3"/>
    <w:rsid w:val="0044211F"/>
    <w:rsid w:val="00442189"/>
    <w:rsid w:val="0044221B"/>
    <w:rsid w:val="0044305C"/>
    <w:rsid w:val="004445E5"/>
    <w:rsid w:val="00444A2A"/>
    <w:rsid w:val="00444B48"/>
    <w:rsid w:val="004462CD"/>
    <w:rsid w:val="00446514"/>
    <w:rsid w:val="0044687F"/>
    <w:rsid w:val="004508A8"/>
    <w:rsid w:val="004510B1"/>
    <w:rsid w:val="00451C4E"/>
    <w:rsid w:val="00451D77"/>
    <w:rsid w:val="0045238C"/>
    <w:rsid w:val="00452AD0"/>
    <w:rsid w:val="004531FD"/>
    <w:rsid w:val="00453608"/>
    <w:rsid w:val="004538C7"/>
    <w:rsid w:val="00453964"/>
    <w:rsid w:val="004542A9"/>
    <w:rsid w:val="00455AA8"/>
    <w:rsid w:val="00455C39"/>
    <w:rsid w:val="00456104"/>
    <w:rsid w:val="00456867"/>
    <w:rsid w:val="004571DB"/>
    <w:rsid w:val="004573F4"/>
    <w:rsid w:val="00457DCE"/>
    <w:rsid w:val="00460141"/>
    <w:rsid w:val="004605DC"/>
    <w:rsid w:val="00460684"/>
    <w:rsid w:val="004610E1"/>
    <w:rsid w:val="004613FE"/>
    <w:rsid w:val="004617FE"/>
    <w:rsid w:val="00462C4E"/>
    <w:rsid w:val="00463295"/>
    <w:rsid w:val="00463310"/>
    <w:rsid w:val="00463314"/>
    <w:rsid w:val="0046355D"/>
    <w:rsid w:val="00463BCE"/>
    <w:rsid w:val="00463FEC"/>
    <w:rsid w:val="0046459D"/>
    <w:rsid w:val="004649AC"/>
    <w:rsid w:val="00464CBE"/>
    <w:rsid w:val="004651DD"/>
    <w:rsid w:val="00465E39"/>
    <w:rsid w:val="00466F4D"/>
    <w:rsid w:val="00466FE2"/>
    <w:rsid w:val="00467078"/>
    <w:rsid w:val="00467CFD"/>
    <w:rsid w:val="004716DB"/>
    <w:rsid w:val="004718FC"/>
    <w:rsid w:val="00471CCF"/>
    <w:rsid w:val="00473153"/>
    <w:rsid w:val="00473B9B"/>
    <w:rsid w:val="00473E91"/>
    <w:rsid w:val="00474847"/>
    <w:rsid w:val="00474B19"/>
    <w:rsid w:val="00474C26"/>
    <w:rsid w:val="004758A5"/>
    <w:rsid w:val="00476F02"/>
    <w:rsid w:val="00476F12"/>
    <w:rsid w:val="004776B4"/>
    <w:rsid w:val="004777C1"/>
    <w:rsid w:val="004808B2"/>
    <w:rsid w:val="00480B23"/>
    <w:rsid w:val="00482CDF"/>
    <w:rsid w:val="00483A19"/>
    <w:rsid w:val="00483D0B"/>
    <w:rsid w:val="00484836"/>
    <w:rsid w:val="00484DD7"/>
    <w:rsid w:val="00484F1A"/>
    <w:rsid w:val="004855DF"/>
    <w:rsid w:val="00485DAD"/>
    <w:rsid w:val="0048632D"/>
    <w:rsid w:val="004864B4"/>
    <w:rsid w:val="0048690E"/>
    <w:rsid w:val="0048733D"/>
    <w:rsid w:val="004875CE"/>
    <w:rsid w:val="00490414"/>
    <w:rsid w:val="00490FCC"/>
    <w:rsid w:val="00491118"/>
    <w:rsid w:val="00491427"/>
    <w:rsid w:val="004923AD"/>
    <w:rsid w:val="0049251F"/>
    <w:rsid w:val="004927AB"/>
    <w:rsid w:val="00493E63"/>
    <w:rsid w:val="00493F27"/>
    <w:rsid w:val="004946CA"/>
    <w:rsid w:val="00494845"/>
    <w:rsid w:val="00494F3A"/>
    <w:rsid w:val="00497683"/>
    <w:rsid w:val="004A003E"/>
    <w:rsid w:val="004A0122"/>
    <w:rsid w:val="004A0D6E"/>
    <w:rsid w:val="004A108E"/>
    <w:rsid w:val="004A13A4"/>
    <w:rsid w:val="004A2135"/>
    <w:rsid w:val="004A2F30"/>
    <w:rsid w:val="004A43B8"/>
    <w:rsid w:val="004A566E"/>
    <w:rsid w:val="004A5BB6"/>
    <w:rsid w:val="004A63F5"/>
    <w:rsid w:val="004B07F7"/>
    <w:rsid w:val="004B0B9F"/>
    <w:rsid w:val="004B1BA4"/>
    <w:rsid w:val="004B20D4"/>
    <w:rsid w:val="004B2595"/>
    <w:rsid w:val="004B2B75"/>
    <w:rsid w:val="004B2C78"/>
    <w:rsid w:val="004B2FCC"/>
    <w:rsid w:val="004B32B0"/>
    <w:rsid w:val="004B337D"/>
    <w:rsid w:val="004B383C"/>
    <w:rsid w:val="004B3E86"/>
    <w:rsid w:val="004B4E8E"/>
    <w:rsid w:val="004B615B"/>
    <w:rsid w:val="004B646A"/>
    <w:rsid w:val="004B66C1"/>
    <w:rsid w:val="004B6790"/>
    <w:rsid w:val="004C0B26"/>
    <w:rsid w:val="004C185F"/>
    <w:rsid w:val="004C19A7"/>
    <w:rsid w:val="004C1BC7"/>
    <w:rsid w:val="004C260F"/>
    <w:rsid w:val="004C2648"/>
    <w:rsid w:val="004C32D1"/>
    <w:rsid w:val="004C352E"/>
    <w:rsid w:val="004C39A2"/>
    <w:rsid w:val="004C5EEE"/>
    <w:rsid w:val="004C5F26"/>
    <w:rsid w:val="004C6185"/>
    <w:rsid w:val="004C62BE"/>
    <w:rsid w:val="004C6CF6"/>
    <w:rsid w:val="004C7B39"/>
    <w:rsid w:val="004D0B33"/>
    <w:rsid w:val="004D139F"/>
    <w:rsid w:val="004D2387"/>
    <w:rsid w:val="004D2857"/>
    <w:rsid w:val="004D2A1A"/>
    <w:rsid w:val="004D324C"/>
    <w:rsid w:val="004D34DC"/>
    <w:rsid w:val="004D369E"/>
    <w:rsid w:val="004D3AA9"/>
    <w:rsid w:val="004D45CF"/>
    <w:rsid w:val="004D6DCA"/>
    <w:rsid w:val="004D6F4F"/>
    <w:rsid w:val="004D6FEC"/>
    <w:rsid w:val="004D745A"/>
    <w:rsid w:val="004D7704"/>
    <w:rsid w:val="004D7822"/>
    <w:rsid w:val="004D7F33"/>
    <w:rsid w:val="004D7FD3"/>
    <w:rsid w:val="004E076C"/>
    <w:rsid w:val="004E166C"/>
    <w:rsid w:val="004E17E1"/>
    <w:rsid w:val="004E1B12"/>
    <w:rsid w:val="004E27AD"/>
    <w:rsid w:val="004E4548"/>
    <w:rsid w:val="004E4D8E"/>
    <w:rsid w:val="004E59CF"/>
    <w:rsid w:val="004E5ECB"/>
    <w:rsid w:val="004E6015"/>
    <w:rsid w:val="004E6FFF"/>
    <w:rsid w:val="004F097F"/>
    <w:rsid w:val="004F0AFB"/>
    <w:rsid w:val="004F0D2A"/>
    <w:rsid w:val="004F0E15"/>
    <w:rsid w:val="004F1931"/>
    <w:rsid w:val="004F1B14"/>
    <w:rsid w:val="004F1BFE"/>
    <w:rsid w:val="004F2554"/>
    <w:rsid w:val="004F2DFC"/>
    <w:rsid w:val="004F30D4"/>
    <w:rsid w:val="004F37BE"/>
    <w:rsid w:val="004F3F85"/>
    <w:rsid w:val="004F40B7"/>
    <w:rsid w:val="004F44B8"/>
    <w:rsid w:val="004F582D"/>
    <w:rsid w:val="004F646F"/>
    <w:rsid w:val="004F697C"/>
    <w:rsid w:val="004F6C25"/>
    <w:rsid w:val="004F7007"/>
    <w:rsid w:val="004F7BB4"/>
    <w:rsid w:val="00500CF1"/>
    <w:rsid w:val="005015E7"/>
    <w:rsid w:val="00502336"/>
    <w:rsid w:val="00502F75"/>
    <w:rsid w:val="005032EB"/>
    <w:rsid w:val="0050355C"/>
    <w:rsid w:val="005037B3"/>
    <w:rsid w:val="00504145"/>
    <w:rsid w:val="00504844"/>
    <w:rsid w:val="00504A76"/>
    <w:rsid w:val="00504FCC"/>
    <w:rsid w:val="00505301"/>
    <w:rsid w:val="00506A34"/>
    <w:rsid w:val="005076B0"/>
    <w:rsid w:val="005100E1"/>
    <w:rsid w:val="00510EAB"/>
    <w:rsid w:val="0051137A"/>
    <w:rsid w:val="00512183"/>
    <w:rsid w:val="00512FA6"/>
    <w:rsid w:val="0051355F"/>
    <w:rsid w:val="005140DE"/>
    <w:rsid w:val="00514AA3"/>
    <w:rsid w:val="00515241"/>
    <w:rsid w:val="0051526F"/>
    <w:rsid w:val="005152B1"/>
    <w:rsid w:val="0051593C"/>
    <w:rsid w:val="00516163"/>
    <w:rsid w:val="00516599"/>
    <w:rsid w:val="00516FC9"/>
    <w:rsid w:val="005174C5"/>
    <w:rsid w:val="00517676"/>
    <w:rsid w:val="00520254"/>
    <w:rsid w:val="005207A2"/>
    <w:rsid w:val="005210E5"/>
    <w:rsid w:val="00521207"/>
    <w:rsid w:val="005218C1"/>
    <w:rsid w:val="00523035"/>
    <w:rsid w:val="0052411B"/>
    <w:rsid w:val="00526465"/>
    <w:rsid w:val="00526793"/>
    <w:rsid w:val="00527BCF"/>
    <w:rsid w:val="005303B2"/>
    <w:rsid w:val="005304A1"/>
    <w:rsid w:val="00531BEA"/>
    <w:rsid w:val="005332F7"/>
    <w:rsid w:val="00533664"/>
    <w:rsid w:val="00533D30"/>
    <w:rsid w:val="00533D45"/>
    <w:rsid w:val="00535BFA"/>
    <w:rsid w:val="0053608E"/>
    <w:rsid w:val="00536453"/>
    <w:rsid w:val="0053729A"/>
    <w:rsid w:val="00541AB2"/>
    <w:rsid w:val="00541D5B"/>
    <w:rsid w:val="00541DED"/>
    <w:rsid w:val="00543BD7"/>
    <w:rsid w:val="0054430C"/>
    <w:rsid w:val="00544C04"/>
    <w:rsid w:val="00544ED6"/>
    <w:rsid w:val="005454A1"/>
    <w:rsid w:val="00545C30"/>
    <w:rsid w:val="00547979"/>
    <w:rsid w:val="00547F34"/>
    <w:rsid w:val="00551101"/>
    <w:rsid w:val="00551557"/>
    <w:rsid w:val="00551DA5"/>
    <w:rsid w:val="00551F32"/>
    <w:rsid w:val="0055304A"/>
    <w:rsid w:val="00555669"/>
    <w:rsid w:val="00556394"/>
    <w:rsid w:val="00556CFF"/>
    <w:rsid w:val="00557699"/>
    <w:rsid w:val="005603B6"/>
    <w:rsid w:val="005614C8"/>
    <w:rsid w:val="00561BAE"/>
    <w:rsid w:val="00561E76"/>
    <w:rsid w:val="0056218C"/>
    <w:rsid w:val="00562447"/>
    <w:rsid w:val="00562B7A"/>
    <w:rsid w:val="00565634"/>
    <w:rsid w:val="00565983"/>
    <w:rsid w:val="005661FC"/>
    <w:rsid w:val="0056650A"/>
    <w:rsid w:val="005665CA"/>
    <w:rsid w:val="00566B99"/>
    <w:rsid w:val="00566BDE"/>
    <w:rsid w:val="00567325"/>
    <w:rsid w:val="0057071A"/>
    <w:rsid w:val="005709C5"/>
    <w:rsid w:val="00570C20"/>
    <w:rsid w:val="00570F6B"/>
    <w:rsid w:val="00571426"/>
    <w:rsid w:val="0057145D"/>
    <w:rsid w:val="00571566"/>
    <w:rsid w:val="00571CD1"/>
    <w:rsid w:val="005723CF"/>
    <w:rsid w:val="005735B2"/>
    <w:rsid w:val="00573F2D"/>
    <w:rsid w:val="00574C5F"/>
    <w:rsid w:val="005758A9"/>
    <w:rsid w:val="00576125"/>
    <w:rsid w:val="00577761"/>
    <w:rsid w:val="00580557"/>
    <w:rsid w:val="0058088C"/>
    <w:rsid w:val="00580E77"/>
    <w:rsid w:val="00581FF5"/>
    <w:rsid w:val="00582456"/>
    <w:rsid w:val="005826E9"/>
    <w:rsid w:val="00582D0D"/>
    <w:rsid w:val="00582F7B"/>
    <w:rsid w:val="00583CD4"/>
    <w:rsid w:val="0058525B"/>
    <w:rsid w:val="0058539E"/>
    <w:rsid w:val="0058582A"/>
    <w:rsid w:val="00586EFD"/>
    <w:rsid w:val="00586F81"/>
    <w:rsid w:val="00587CD5"/>
    <w:rsid w:val="00591C6E"/>
    <w:rsid w:val="005920FE"/>
    <w:rsid w:val="00592385"/>
    <w:rsid w:val="00592D9D"/>
    <w:rsid w:val="00593A66"/>
    <w:rsid w:val="00593BE2"/>
    <w:rsid w:val="00593DAA"/>
    <w:rsid w:val="00594316"/>
    <w:rsid w:val="00594EB2"/>
    <w:rsid w:val="005961B1"/>
    <w:rsid w:val="0059666A"/>
    <w:rsid w:val="00596901"/>
    <w:rsid w:val="00596AC4"/>
    <w:rsid w:val="00596DC8"/>
    <w:rsid w:val="00597B9F"/>
    <w:rsid w:val="005A01E4"/>
    <w:rsid w:val="005A0C4F"/>
    <w:rsid w:val="005A2558"/>
    <w:rsid w:val="005A2A6A"/>
    <w:rsid w:val="005A3B08"/>
    <w:rsid w:val="005A458C"/>
    <w:rsid w:val="005A4968"/>
    <w:rsid w:val="005A5FB8"/>
    <w:rsid w:val="005A5FD0"/>
    <w:rsid w:val="005A6133"/>
    <w:rsid w:val="005A63C2"/>
    <w:rsid w:val="005A64AC"/>
    <w:rsid w:val="005A6E5F"/>
    <w:rsid w:val="005B072B"/>
    <w:rsid w:val="005B0E82"/>
    <w:rsid w:val="005B0F20"/>
    <w:rsid w:val="005B1675"/>
    <w:rsid w:val="005B220B"/>
    <w:rsid w:val="005B2439"/>
    <w:rsid w:val="005B256E"/>
    <w:rsid w:val="005B2BE7"/>
    <w:rsid w:val="005B2D43"/>
    <w:rsid w:val="005B3F0B"/>
    <w:rsid w:val="005B4231"/>
    <w:rsid w:val="005B4614"/>
    <w:rsid w:val="005B4BF7"/>
    <w:rsid w:val="005B4F49"/>
    <w:rsid w:val="005B4F96"/>
    <w:rsid w:val="005B58C4"/>
    <w:rsid w:val="005B5FBD"/>
    <w:rsid w:val="005B6653"/>
    <w:rsid w:val="005B6D6C"/>
    <w:rsid w:val="005C019A"/>
    <w:rsid w:val="005C06AE"/>
    <w:rsid w:val="005C0FA8"/>
    <w:rsid w:val="005C1060"/>
    <w:rsid w:val="005C1A5A"/>
    <w:rsid w:val="005C1D61"/>
    <w:rsid w:val="005C2AA2"/>
    <w:rsid w:val="005C2DB8"/>
    <w:rsid w:val="005C2EC0"/>
    <w:rsid w:val="005C42E0"/>
    <w:rsid w:val="005C4652"/>
    <w:rsid w:val="005C47A9"/>
    <w:rsid w:val="005C49A2"/>
    <w:rsid w:val="005C4C12"/>
    <w:rsid w:val="005C4E0F"/>
    <w:rsid w:val="005C52A2"/>
    <w:rsid w:val="005C68BC"/>
    <w:rsid w:val="005C68D6"/>
    <w:rsid w:val="005C6D3C"/>
    <w:rsid w:val="005C7527"/>
    <w:rsid w:val="005C76A2"/>
    <w:rsid w:val="005C7BF4"/>
    <w:rsid w:val="005D017A"/>
    <w:rsid w:val="005D0270"/>
    <w:rsid w:val="005D0600"/>
    <w:rsid w:val="005D0F1B"/>
    <w:rsid w:val="005D26C2"/>
    <w:rsid w:val="005D2820"/>
    <w:rsid w:val="005D2959"/>
    <w:rsid w:val="005D3C54"/>
    <w:rsid w:val="005D3C7C"/>
    <w:rsid w:val="005D47C2"/>
    <w:rsid w:val="005D62EF"/>
    <w:rsid w:val="005D6373"/>
    <w:rsid w:val="005D6CD0"/>
    <w:rsid w:val="005D7988"/>
    <w:rsid w:val="005D7B87"/>
    <w:rsid w:val="005E07ED"/>
    <w:rsid w:val="005E0B4A"/>
    <w:rsid w:val="005E24D6"/>
    <w:rsid w:val="005E29A0"/>
    <w:rsid w:val="005E307F"/>
    <w:rsid w:val="005E3733"/>
    <w:rsid w:val="005E43A5"/>
    <w:rsid w:val="005E43D3"/>
    <w:rsid w:val="005E4C84"/>
    <w:rsid w:val="005E4EF9"/>
    <w:rsid w:val="005E6C60"/>
    <w:rsid w:val="005E7459"/>
    <w:rsid w:val="005F018F"/>
    <w:rsid w:val="005F0C28"/>
    <w:rsid w:val="005F10A1"/>
    <w:rsid w:val="005F15A5"/>
    <w:rsid w:val="005F1F86"/>
    <w:rsid w:val="005F230F"/>
    <w:rsid w:val="005F275A"/>
    <w:rsid w:val="005F27E3"/>
    <w:rsid w:val="005F2A79"/>
    <w:rsid w:val="005F3A35"/>
    <w:rsid w:val="005F3A64"/>
    <w:rsid w:val="005F4075"/>
    <w:rsid w:val="005F428C"/>
    <w:rsid w:val="005F46C9"/>
    <w:rsid w:val="005F4D13"/>
    <w:rsid w:val="005F522E"/>
    <w:rsid w:val="005F59EB"/>
    <w:rsid w:val="005F606B"/>
    <w:rsid w:val="005F64AF"/>
    <w:rsid w:val="005F660F"/>
    <w:rsid w:val="005F68CD"/>
    <w:rsid w:val="006000A9"/>
    <w:rsid w:val="006000C6"/>
    <w:rsid w:val="0060037D"/>
    <w:rsid w:val="00600483"/>
    <w:rsid w:val="006005BD"/>
    <w:rsid w:val="00600A45"/>
    <w:rsid w:val="00600C1A"/>
    <w:rsid w:val="006010A2"/>
    <w:rsid w:val="00601D85"/>
    <w:rsid w:val="00602689"/>
    <w:rsid w:val="006026B2"/>
    <w:rsid w:val="0060297B"/>
    <w:rsid w:val="00603AA2"/>
    <w:rsid w:val="006041F9"/>
    <w:rsid w:val="00604D51"/>
    <w:rsid w:val="00605028"/>
    <w:rsid w:val="00605215"/>
    <w:rsid w:val="0060710C"/>
    <w:rsid w:val="006072E8"/>
    <w:rsid w:val="00607803"/>
    <w:rsid w:val="00607825"/>
    <w:rsid w:val="00607992"/>
    <w:rsid w:val="0061062E"/>
    <w:rsid w:val="00610C33"/>
    <w:rsid w:val="00611198"/>
    <w:rsid w:val="00611307"/>
    <w:rsid w:val="00611AF4"/>
    <w:rsid w:val="00611F65"/>
    <w:rsid w:val="006122FC"/>
    <w:rsid w:val="0061348D"/>
    <w:rsid w:val="00613833"/>
    <w:rsid w:val="00614774"/>
    <w:rsid w:val="00614C4E"/>
    <w:rsid w:val="006157C2"/>
    <w:rsid w:val="00615F63"/>
    <w:rsid w:val="006161D2"/>
    <w:rsid w:val="0061696D"/>
    <w:rsid w:val="00616E8E"/>
    <w:rsid w:val="006206B0"/>
    <w:rsid w:val="00621412"/>
    <w:rsid w:val="006215FA"/>
    <w:rsid w:val="00622418"/>
    <w:rsid w:val="006234C9"/>
    <w:rsid w:val="006243D3"/>
    <w:rsid w:val="00624529"/>
    <w:rsid w:val="00624571"/>
    <w:rsid w:val="006246C9"/>
    <w:rsid w:val="00624C33"/>
    <w:rsid w:val="00625D62"/>
    <w:rsid w:val="006266BB"/>
    <w:rsid w:val="00627097"/>
    <w:rsid w:val="00627BB9"/>
    <w:rsid w:val="006303A7"/>
    <w:rsid w:val="00630A55"/>
    <w:rsid w:val="00630C8C"/>
    <w:rsid w:val="006313FB"/>
    <w:rsid w:val="0063197A"/>
    <w:rsid w:val="00631E00"/>
    <w:rsid w:val="00633264"/>
    <w:rsid w:val="006333A9"/>
    <w:rsid w:val="00633E0A"/>
    <w:rsid w:val="00633E42"/>
    <w:rsid w:val="00634902"/>
    <w:rsid w:val="00634E28"/>
    <w:rsid w:val="00637B3D"/>
    <w:rsid w:val="00637EE8"/>
    <w:rsid w:val="0064023F"/>
    <w:rsid w:val="006408E1"/>
    <w:rsid w:val="006411A3"/>
    <w:rsid w:val="006417B0"/>
    <w:rsid w:val="00641E25"/>
    <w:rsid w:val="00642393"/>
    <w:rsid w:val="006425FD"/>
    <w:rsid w:val="00642A30"/>
    <w:rsid w:val="00642E31"/>
    <w:rsid w:val="00643DB3"/>
    <w:rsid w:val="00644164"/>
    <w:rsid w:val="00644866"/>
    <w:rsid w:val="0064505F"/>
    <w:rsid w:val="006458E6"/>
    <w:rsid w:val="00645E06"/>
    <w:rsid w:val="006462AA"/>
    <w:rsid w:val="006464C9"/>
    <w:rsid w:val="006468ED"/>
    <w:rsid w:val="00646AE8"/>
    <w:rsid w:val="00646F4E"/>
    <w:rsid w:val="006473DF"/>
    <w:rsid w:val="00647788"/>
    <w:rsid w:val="00647947"/>
    <w:rsid w:val="00647AD6"/>
    <w:rsid w:val="00647DF5"/>
    <w:rsid w:val="006502B6"/>
    <w:rsid w:val="006508ED"/>
    <w:rsid w:val="006513FA"/>
    <w:rsid w:val="00651538"/>
    <w:rsid w:val="006516D7"/>
    <w:rsid w:val="00651E59"/>
    <w:rsid w:val="0065210D"/>
    <w:rsid w:val="006525C9"/>
    <w:rsid w:val="00653298"/>
    <w:rsid w:val="00653353"/>
    <w:rsid w:val="006533E4"/>
    <w:rsid w:val="00653738"/>
    <w:rsid w:val="00653BE5"/>
    <w:rsid w:val="0065405E"/>
    <w:rsid w:val="0065474F"/>
    <w:rsid w:val="00654D11"/>
    <w:rsid w:val="00655190"/>
    <w:rsid w:val="006554B3"/>
    <w:rsid w:val="00656D97"/>
    <w:rsid w:val="006572E4"/>
    <w:rsid w:val="00657ECC"/>
    <w:rsid w:val="0066008C"/>
    <w:rsid w:val="006607BF"/>
    <w:rsid w:val="006607FA"/>
    <w:rsid w:val="00660AEA"/>
    <w:rsid w:val="0066100D"/>
    <w:rsid w:val="00663052"/>
    <w:rsid w:val="006631AB"/>
    <w:rsid w:val="0066412B"/>
    <w:rsid w:val="0066419E"/>
    <w:rsid w:val="006643ED"/>
    <w:rsid w:val="00664C87"/>
    <w:rsid w:val="00666138"/>
    <w:rsid w:val="0066740C"/>
    <w:rsid w:val="0066792D"/>
    <w:rsid w:val="00667B2A"/>
    <w:rsid w:val="00670176"/>
    <w:rsid w:val="00670A35"/>
    <w:rsid w:val="00670D67"/>
    <w:rsid w:val="00670F45"/>
    <w:rsid w:val="0067181A"/>
    <w:rsid w:val="00671B32"/>
    <w:rsid w:val="00672E2D"/>
    <w:rsid w:val="0067309D"/>
    <w:rsid w:val="00673269"/>
    <w:rsid w:val="00673CE9"/>
    <w:rsid w:val="00675DA6"/>
    <w:rsid w:val="0067630E"/>
    <w:rsid w:val="00676CA5"/>
    <w:rsid w:val="00677288"/>
    <w:rsid w:val="006806BD"/>
    <w:rsid w:val="006818F3"/>
    <w:rsid w:val="00681A45"/>
    <w:rsid w:val="006821B8"/>
    <w:rsid w:val="0068278D"/>
    <w:rsid w:val="00682954"/>
    <w:rsid w:val="00682B97"/>
    <w:rsid w:val="00682EBD"/>
    <w:rsid w:val="006834F6"/>
    <w:rsid w:val="00684048"/>
    <w:rsid w:val="00684B7D"/>
    <w:rsid w:val="00685079"/>
    <w:rsid w:val="00686179"/>
    <w:rsid w:val="00686CDF"/>
    <w:rsid w:val="006872BC"/>
    <w:rsid w:val="0068769C"/>
    <w:rsid w:val="00687D44"/>
    <w:rsid w:val="0069035C"/>
    <w:rsid w:val="006907C4"/>
    <w:rsid w:val="00693224"/>
    <w:rsid w:val="00693365"/>
    <w:rsid w:val="00693421"/>
    <w:rsid w:val="00693A24"/>
    <w:rsid w:val="00694047"/>
    <w:rsid w:val="00694588"/>
    <w:rsid w:val="00694DC8"/>
    <w:rsid w:val="00694DF9"/>
    <w:rsid w:val="00695BB0"/>
    <w:rsid w:val="00696D38"/>
    <w:rsid w:val="006A0793"/>
    <w:rsid w:val="006A0A09"/>
    <w:rsid w:val="006A1386"/>
    <w:rsid w:val="006A1AE3"/>
    <w:rsid w:val="006A22FA"/>
    <w:rsid w:val="006A291B"/>
    <w:rsid w:val="006A2A7C"/>
    <w:rsid w:val="006A347D"/>
    <w:rsid w:val="006A3890"/>
    <w:rsid w:val="006A4497"/>
    <w:rsid w:val="006A48CD"/>
    <w:rsid w:val="006A5B50"/>
    <w:rsid w:val="006A5F52"/>
    <w:rsid w:val="006A620B"/>
    <w:rsid w:val="006A6EDE"/>
    <w:rsid w:val="006A7076"/>
    <w:rsid w:val="006A75CD"/>
    <w:rsid w:val="006B10B2"/>
    <w:rsid w:val="006B123F"/>
    <w:rsid w:val="006B24D2"/>
    <w:rsid w:val="006B2AD5"/>
    <w:rsid w:val="006B34B2"/>
    <w:rsid w:val="006B3667"/>
    <w:rsid w:val="006B42B1"/>
    <w:rsid w:val="006B4E47"/>
    <w:rsid w:val="006B5082"/>
    <w:rsid w:val="006B58A6"/>
    <w:rsid w:val="006B65DD"/>
    <w:rsid w:val="006B6620"/>
    <w:rsid w:val="006B6A4D"/>
    <w:rsid w:val="006B6B28"/>
    <w:rsid w:val="006B6BEC"/>
    <w:rsid w:val="006B6D9A"/>
    <w:rsid w:val="006B7262"/>
    <w:rsid w:val="006B7F11"/>
    <w:rsid w:val="006C02FA"/>
    <w:rsid w:val="006C0508"/>
    <w:rsid w:val="006C070B"/>
    <w:rsid w:val="006C1049"/>
    <w:rsid w:val="006C124B"/>
    <w:rsid w:val="006C21E3"/>
    <w:rsid w:val="006C25A0"/>
    <w:rsid w:val="006C3A33"/>
    <w:rsid w:val="006C41BA"/>
    <w:rsid w:val="006C43E6"/>
    <w:rsid w:val="006C5963"/>
    <w:rsid w:val="006C74D8"/>
    <w:rsid w:val="006C796C"/>
    <w:rsid w:val="006D05D4"/>
    <w:rsid w:val="006D15C2"/>
    <w:rsid w:val="006D27C3"/>
    <w:rsid w:val="006D2892"/>
    <w:rsid w:val="006D28D4"/>
    <w:rsid w:val="006D2C34"/>
    <w:rsid w:val="006D382D"/>
    <w:rsid w:val="006D413B"/>
    <w:rsid w:val="006D43B9"/>
    <w:rsid w:val="006D48F2"/>
    <w:rsid w:val="006D5EF0"/>
    <w:rsid w:val="006D6373"/>
    <w:rsid w:val="006D6F1C"/>
    <w:rsid w:val="006E0575"/>
    <w:rsid w:val="006E0805"/>
    <w:rsid w:val="006E0B4C"/>
    <w:rsid w:val="006E0D24"/>
    <w:rsid w:val="006E223F"/>
    <w:rsid w:val="006E234D"/>
    <w:rsid w:val="006E24C5"/>
    <w:rsid w:val="006E263F"/>
    <w:rsid w:val="006E3B7C"/>
    <w:rsid w:val="006E4AE0"/>
    <w:rsid w:val="006E4B75"/>
    <w:rsid w:val="006E541A"/>
    <w:rsid w:val="006E5A94"/>
    <w:rsid w:val="006E5E60"/>
    <w:rsid w:val="006F1184"/>
    <w:rsid w:val="006F13D8"/>
    <w:rsid w:val="006F1B4E"/>
    <w:rsid w:val="006F21D4"/>
    <w:rsid w:val="006F22BA"/>
    <w:rsid w:val="006F3870"/>
    <w:rsid w:val="006F40A5"/>
    <w:rsid w:val="006F49A0"/>
    <w:rsid w:val="006F586C"/>
    <w:rsid w:val="006F5A32"/>
    <w:rsid w:val="006F5D41"/>
    <w:rsid w:val="006F7EE4"/>
    <w:rsid w:val="00700619"/>
    <w:rsid w:val="0070232E"/>
    <w:rsid w:val="0070256C"/>
    <w:rsid w:val="00702A8A"/>
    <w:rsid w:val="00703928"/>
    <w:rsid w:val="00704144"/>
    <w:rsid w:val="0070435E"/>
    <w:rsid w:val="00704BBF"/>
    <w:rsid w:val="0070614E"/>
    <w:rsid w:val="0070615B"/>
    <w:rsid w:val="00706497"/>
    <w:rsid w:val="007066B2"/>
    <w:rsid w:val="007067A3"/>
    <w:rsid w:val="0070771A"/>
    <w:rsid w:val="007100A9"/>
    <w:rsid w:val="007103C2"/>
    <w:rsid w:val="00711687"/>
    <w:rsid w:val="0071185C"/>
    <w:rsid w:val="00711F8D"/>
    <w:rsid w:val="0071287A"/>
    <w:rsid w:val="00712C38"/>
    <w:rsid w:val="00712FD7"/>
    <w:rsid w:val="00713B11"/>
    <w:rsid w:val="00714440"/>
    <w:rsid w:val="00714597"/>
    <w:rsid w:val="00714621"/>
    <w:rsid w:val="007159BA"/>
    <w:rsid w:val="00715A54"/>
    <w:rsid w:val="00715BBF"/>
    <w:rsid w:val="0071616C"/>
    <w:rsid w:val="00716A55"/>
    <w:rsid w:val="00716EC4"/>
    <w:rsid w:val="00720081"/>
    <w:rsid w:val="007209E8"/>
    <w:rsid w:val="00721231"/>
    <w:rsid w:val="00722331"/>
    <w:rsid w:val="00722D9C"/>
    <w:rsid w:val="00722E53"/>
    <w:rsid w:val="00722EF3"/>
    <w:rsid w:val="00723A9B"/>
    <w:rsid w:val="0072517E"/>
    <w:rsid w:val="00726B06"/>
    <w:rsid w:val="00726CF4"/>
    <w:rsid w:val="00727429"/>
    <w:rsid w:val="00727A17"/>
    <w:rsid w:val="00727BD0"/>
    <w:rsid w:val="00727DAF"/>
    <w:rsid w:val="00727ED8"/>
    <w:rsid w:val="00727FF2"/>
    <w:rsid w:val="007304C0"/>
    <w:rsid w:val="00730D78"/>
    <w:rsid w:val="007312D6"/>
    <w:rsid w:val="00731B40"/>
    <w:rsid w:val="00731BAB"/>
    <w:rsid w:val="007328D2"/>
    <w:rsid w:val="00732D00"/>
    <w:rsid w:val="00732E70"/>
    <w:rsid w:val="00733265"/>
    <w:rsid w:val="007332FC"/>
    <w:rsid w:val="007334A8"/>
    <w:rsid w:val="007344BA"/>
    <w:rsid w:val="00734870"/>
    <w:rsid w:val="00735302"/>
    <w:rsid w:val="0073569E"/>
    <w:rsid w:val="00737547"/>
    <w:rsid w:val="00740215"/>
    <w:rsid w:val="00740275"/>
    <w:rsid w:val="00741975"/>
    <w:rsid w:val="00741F8B"/>
    <w:rsid w:val="00742C7C"/>
    <w:rsid w:val="00743083"/>
    <w:rsid w:val="00743908"/>
    <w:rsid w:val="007447B7"/>
    <w:rsid w:val="00744B9C"/>
    <w:rsid w:val="00745B0D"/>
    <w:rsid w:val="00746ABE"/>
    <w:rsid w:val="00747C5D"/>
    <w:rsid w:val="00747DF6"/>
    <w:rsid w:val="00750188"/>
    <w:rsid w:val="007508F3"/>
    <w:rsid w:val="00751163"/>
    <w:rsid w:val="00751D41"/>
    <w:rsid w:val="00751DB2"/>
    <w:rsid w:val="00752597"/>
    <w:rsid w:val="00752B8D"/>
    <w:rsid w:val="00753831"/>
    <w:rsid w:val="00754763"/>
    <w:rsid w:val="00755841"/>
    <w:rsid w:val="00755C77"/>
    <w:rsid w:val="00755D93"/>
    <w:rsid w:val="007560A8"/>
    <w:rsid w:val="00756C6C"/>
    <w:rsid w:val="00757277"/>
    <w:rsid w:val="00757621"/>
    <w:rsid w:val="00757C6C"/>
    <w:rsid w:val="00760CA3"/>
    <w:rsid w:val="00760F72"/>
    <w:rsid w:val="00761862"/>
    <w:rsid w:val="0076230A"/>
    <w:rsid w:val="007637B1"/>
    <w:rsid w:val="00764549"/>
    <w:rsid w:val="007645E3"/>
    <w:rsid w:val="00764904"/>
    <w:rsid w:val="00764DCD"/>
    <w:rsid w:val="0076542E"/>
    <w:rsid w:val="00765FC6"/>
    <w:rsid w:val="00766034"/>
    <w:rsid w:val="00767005"/>
    <w:rsid w:val="007703F5"/>
    <w:rsid w:val="00770B53"/>
    <w:rsid w:val="00771CAA"/>
    <w:rsid w:val="0077225C"/>
    <w:rsid w:val="00773CD2"/>
    <w:rsid w:val="00774DDB"/>
    <w:rsid w:val="0077568B"/>
    <w:rsid w:val="00775920"/>
    <w:rsid w:val="00775EF4"/>
    <w:rsid w:val="00775FE9"/>
    <w:rsid w:val="007760AB"/>
    <w:rsid w:val="00776C1A"/>
    <w:rsid w:val="00777632"/>
    <w:rsid w:val="007776B3"/>
    <w:rsid w:val="00777F03"/>
    <w:rsid w:val="0078036C"/>
    <w:rsid w:val="0078054A"/>
    <w:rsid w:val="007805A0"/>
    <w:rsid w:val="00780EE7"/>
    <w:rsid w:val="007813FD"/>
    <w:rsid w:val="00781B62"/>
    <w:rsid w:val="00782041"/>
    <w:rsid w:val="0078243D"/>
    <w:rsid w:val="00783DA9"/>
    <w:rsid w:val="0078407D"/>
    <w:rsid w:val="0078431D"/>
    <w:rsid w:val="00786010"/>
    <w:rsid w:val="0078641F"/>
    <w:rsid w:val="00786FEC"/>
    <w:rsid w:val="00787D20"/>
    <w:rsid w:val="00791564"/>
    <w:rsid w:val="00792497"/>
    <w:rsid w:val="0079270A"/>
    <w:rsid w:val="00792959"/>
    <w:rsid w:val="00793773"/>
    <w:rsid w:val="007939F8"/>
    <w:rsid w:val="00793CF8"/>
    <w:rsid w:val="00794F11"/>
    <w:rsid w:val="0079530D"/>
    <w:rsid w:val="00795B4D"/>
    <w:rsid w:val="00795B81"/>
    <w:rsid w:val="00795C0F"/>
    <w:rsid w:val="00795E96"/>
    <w:rsid w:val="00796216"/>
    <w:rsid w:val="00796332"/>
    <w:rsid w:val="00797257"/>
    <w:rsid w:val="007976AF"/>
    <w:rsid w:val="007977E3"/>
    <w:rsid w:val="007A0404"/>
    <w:rsid w:val="007A0571"/>
    <w:rsid w:val="007A10E3"/>
    <w:rsid w:val="007A1737"/>
    <w:rsid w:val="007A18C8"/>
    <w:rsid w:val="007A1BE1"/>
    <w:rsid w:val="007A34E5"/>
    <w:rsid w:val="007A4D26"/>
    <w:rsid w:val="007A4EA3"/>
    <w:rsid w:val="007A4EC5"/>
    <w:rsid w:val="007A6469"/>
    <w:rsid w:val="007A6C6F"/>
    <w:rsid w:val="007A73A7"/>
    <w:rsid w:val="007A7902"/>
    <w:rsid w:val="007A7993"/>
    <w:rsid w:val="007A7B34"/>
    <w:rsid w:val="007B045E"/>
    <w:rsid w:val="007B083E"/>
    <w:rsid w:val="007B115F"/>
    <w:rsid w:val="007B23FB"/>
    <w:rsid w:val="007B24C0"/>
    <w:rsid w:val="007B27C6"/>
    <w:rsid w:val="007B2927"/>
    <w:rsid w:val="007B2A19"/>
    <w:rsid w:val="007B2B46"/>
    <w:rsid w:val="007B2C19"/>
    <w:rsid w:val="007B3EEA"/>
    <w:rsid w:val="007B415D"/>
    <w:rsid w:val="007B43D9"/>
    <w:rsid w:val="007B4408"/>
    <w:rsid w:val="007B446A"/>
    <w:rsid w:val="007B4497"/>
    <w:rsid w:val="007B4731"/>
    <w:rsid w:val="007B54A1"/>
    <w:rsid w:val="007B624A"/>
    <w:rsid w:val="007B6409"/>
    <w:rsid w:val="007B6C8B"/>
    <w:rsid w:val="007B7D8C"/>
    <w:rsid w:val="007C0AFF"/>
    <w:rsid w:val="007C0EF5"/>
    <w:rsid w:val="007C10C4"/>
    <w:rsid w:val="007C1106"/>
    <w:rsid w:val="007C1803"/>
    <w:rsid w:val="007C22DD"/>
    <w:rsid w:val="007C28E6"/>
    <w:rsid w:val="007C32DE"/>
    <w:rsid w:val="007C3495"/>
    <w:rsid w:val="007C3FF9"/>
    <w:rsid w:val="007C408A"/>
    <w:rsid w:val="007C4353"/>
    <w:rsid w:val="007C4C28"/>
    <w:rsid w:val="007C599F"/>
    <w:rsid w:val="007C5D86"/>
    <w:rsid w:val="007C5D8B"/>
    <w:rsid w:val="007C5DC2"/>
    <w:rsid w:val="007C6F3E"/>
    <w:rsid w:val="007C7891"/>
    <w:rsid w:val="007D0F89"/>
    <w:rsid w:val="007D1C6E"/>
    <w:rsid w:val="007D214F"/>
    <w:rsid w:val="007D2947"/>
    <w:rsid w:val="007D4170"/>
    <w:rsid w:val="007D4D60"/>
    <w:rsid w:val="007D5632"/>
    <w:rsid w:val="007D5F17"/>
    <w:rsid w:val="007D60C4"/>
    <w:rsid w:val="007D6E01"/>
    <w:rsid w:val="007D7724"/>
    <w:rsid w:val="007D7B49"/>
    <w:rsid w:val="007E0C29"/>
    <w:rsid w:val="007E111D"/>
    <w:rsid w:val="007E1263"/>
    <w:rsid w:val="007E14D6"/>
    <w:rsid w:val="007E1680"/>
    <w:rsid w:val="007E2040"/>
    <w:rsid w:val="007E2634"/>
    <w:rsid w:val="007E2697"/>
    <w:rsid w:val="007E2DE7"/>
    <w:rsid w:val="007E3102"/>
    <w:rsid w:val="007E3361"/>
    <w:rsid w:val="007E35EA"/>
    <w:rsid w:val="007E3D14"/>
    <w:rsid w:val="007E3E43"/>
    <w:rsid w:val="007E441E"/>
    <w:rsid w:val="007E4487"/>
    <w:rsid w:val="007E4511"/>
    <w:rsid w:val="007E461A"/>
    <w:rsid w:val="007E4F82"/>
    <w:rsid w:val="007E50B4"/>
    <w:rsid w:val="007E5D87"/>
    <w:rsid w:val="007E632A"/>
    <w:rsid w:val="007E68DB"/>
    <w:rsid w:val="007E6BA8"/>
    <w:rsid w:val="007E72DC"/>
    <w:rsid w:val="007E7A61"/>
    <w:rsid w:val="007E7B39"/>
    <w:rsid w:val="007F026F"/>
    <w:rsid w:val="007F05E5"/>
    <w:rsid w:val="007F060A"/>
    <w:rsid w:val="007F10E1"/>
    <w:rsid w:val="007F1C26"/>
    <w:rsid w:val="007F1FCD"/>
    <w:rsid w:val="007F2DE4"/>
    <w:rsid w:val="007F4132"/>
    <w:rsid w:val="007F43D4"/>
    <w:rsid w:val="007F5A29"/>
    <w:rsid w:val="007F5FE6"/>
    <w:rsid w:val="007F6287"/>
    <w:rsid w:val="007F69DA"/>
    <w:rsid w:val="007F6BAB"/>
    <w:rsid w:val="0080155A"/>
    <w:rsid w:val="00801D9A"/>
    <w:rsid w:val="00802029"/>
    <w:rsid w:val="008029F2"/>
    <w:rsid w:val="00802FFD"/>
    <w:rsid w:val="00803465"/>
    <w:rsid w:val="00804299"/>
    <w:rsid w:val="008043CA"/>
    <w:rsid w:val="0080443A"/>
    <w:rsid w:val="00804FC4"/>
    <w:rsid w:val="008067B1"/>
    <w:rsid w:val="00806B30"/>
    <w:rsid w:val="00806D45"/>
    <w:rsid w:val="00810009"/>
    <w:rsid w:val="00810F1B"/>
    <w:rsid w:val="00811326"/>
    <w:rsid w:val="00811C45"/>
    <w:rsid w:val="00811CE4"/>
    <w:rsid w:val="00812165"/>
    <w:rsid w:val="00812B51"/>
    <w:rsid w:val="00813BE4"/>
    <w:rsid w:val="00813F2C"/>
    <w:rsid w:val="0081403E"/>
    <w:rsid w:val="008149B3"/>
    <w:rsid w:val="00814C7D"/>
    <w:rsid w:val="0081529D"/>
    <w:rsid w:val="008152F6"/>
    <w:rsid w:val="00815D5F"/>
    <w:rsid w:val="00815F69"/>
    <w:rsid w:val="00816E29"/>
    <w:rsid w:val="00817CC4"/>
    <w:rsid w:val="0082046E"/>
    <w:rsid w:val="008210B1"/>
    <w:rsid w:val="00822E4F"/>
    <w:rsid w:val="00823C8E"/>
    <w:rsid w:val="0082426C"/>
    <w:rsid w:val="00824990"/>
    <w:rsid w:val="008251F1"/>
    <w:rsid w:val="00825A40"/>
    <w:rsid w:val="00825DCB"/>
    <w:rsid w:val="00826FFA"/>
    <w:rsid w:val="00830442"/>
    <w:rsid w:val="00830550"/>
    <w:rsid w:val="008305A1"/>
    <w:rsid w:val="008306A0"/>
    <w:rsid w:val="008309FD"/>
    <w:rsid w:val="008312DB"/>
    <w:rsid w:val="0083214D"/>
    <w:rsid w:val="00832443"/>
    <w:rsid w:val="008326D1"/>
    <w:rsid w:val="00834A60"/>
    <w:rsid w:val="00834AED"/>
    <w:rsid w:val="00835030"/>
    <w:rsid w:val="0083564D"/>
    <w:rsid w:val="00835E26"/>
    <w:rsid w:val="008364F8"/>
    <w:rsid w:val="00837487"/>
    <w:rsid w:val="00837A16"/>
    <w:rsid w:val="00837C1B"/>
    <w:rsid w:val="00840222"/>
    <w:rsid w:val="00841432"/>
    <w:rsid w:val="008417E5"/>
    <w:rsid w:val="00841CDE"/>
    <w:rsid w:val="00841E13"/>
    <w:rsid w:val="00841FAE"/>
    <w:rsid w:val="008422F2"/>
    <w:rsid w:val="008425F1"/>
    <w:rsid w:val="00842C89"/>
    <w:rsid w:val="0084356A"/>
    <w:rsid w:val="008435C7"/>
    <w:rsid w:val="00843B6E"/>
    <w:rsid w:val="00843DEA"/>
    <w:rsid w:val="00844FBA"/>
    <w:rsid w:val="0084529D"/>
    <w:rsid w:val="008463CC"/>
    <w:rsid w:val="008469C1"/>
    <w:rsid w:val="00846B86"/>
    <w:rsid w:val="00846DAA"/>
    <w:rsid w:val="00847C2F"/>
    <w:rsid w:val="00850CC7"/>
    <w:rsid w:val="00851D86"/>
    <w:rsid w:val="008526A3"/>
    <w:rsid w:val="0085353B"/>
    <w:rsid w:val="0085398F"/>
    <w:rsid w:val="008539DF"/>
    <w:rsid w:val="00853D7E"/>
    <w:rsid w:val="00854DE2"/>
    <w:rsid w:val="00855760"/>
    <w:rsid w:val="00856452"/>
    <w:rsid w:val="008566C9"/>
    <w:rsid w:val="00856821"/>
    <w:rsid w:val="008568AD"/>
    <w:rsid w:val="00856B84"/>
    <w:rsid w:val="00857236"/>
    <w:rsid w:val="00857981"/>
    <w:rsid w:val="00857C01"/>
    <w:rsid w:val="00857F30"/>
    <w:rsid w:val="00857F82"/>
    <w:rsid w:val="00862635"/>
    <w:rsid w:val="00862D86"/>
    <w:rsid w:val="00863500"/>
    <w:rsid w:val="008646E9"/>
    <w:rsid w:val="00864BAA"/>
    <w:rsid w:val="00866568"/>
    <w:rsid w:val="008672A6"/>
    <w:rsid w:val="008672ED"/>
    <w:rsid w:val="008672FD"/>
    <w:rsid w:val="00867EFF"/>
    <w:rsid w:val="00867F6B"/>
    <w:rsid w:val="00870221"/>
    <w:rsid w:val="008705AD"/>
    <w:rsid w:val="00870B8E"/>
    <w:rsid w:val="00870D4B"/>
    <w:rsid w:val="0087119C"/>
    <w:rsid w:val="0087205B"/>
    <w:rsid w:val="008720C5"/>
    <w:rsid w:val="0087276E"/>
    <w:rsid w:val="00872A1A"/>
    <w:rsid w:val="0087361A"/>
    <w:rsid w:val="008738A5"/>
    <w:rsid w:val="00874E75"/>
    <w:rsid w:val="00874F1B"/>
    <w:rsid w:val="0087601F"/>
    <w:rsid w:val="00876FE2"/>
    <w:rsid w:val="00877B6A"/>
    <w:rsid w:val="00880903"/>
    <w:rsid w:val="00880DA4"/>
    <w:rsid w:val="00881D13"/>
    <w:rsid w:val="0088202F"/>
    <w:rsid w:val="00883D35"/>
    <w:rsid w:val="008846B4"/>
    <w:rsid w:val="008848D9"/>
    <w:rsid w:val="00884CB3"/>
    <w:rsid w:val="00885108"/>
    <w:rsid w:val="00885249"/>
    <w:rsid w:val="008860EE"/>
    <w:rsid w:val="00886234"/>
    <w:rsid w:val="0088661B"/>
    <w:rsid w:val="0088666C"/>
    <w:rsid w:val="008866A7"/>
    <w:rsid w:val="00886F93"/>
    <w:rsid w:val="00887114"/>
    <w:rsid w:val="00887FB3"/>
    <w:rsid w:val="0089045C"/>
    <w:rsid w:val="008907A0"/>
    <w:rsid w:val="008909FB"/>
    <w:rsid w:val="00890E22"/>
    <w:rsid w:val="008913E1"/>
    <w:rsid w:val="0089190F"/>
    <w:rsid w:val="00891BAF"/>
    <w:rsid w:val="008926CF"/>
    <w:rsid w:val="00893422"/>
    <w:rsid w:val="008950BE"/>
    <w:rsid w:val="008953DC"/>
    <w:rsid w:val="00895424"/>
    <w:rsid w:val="008954F7"/>
    <w:rsid w:val="00895DA2"/>
    <w:rsid w:val="008963C3"/>
    <w:rsid w:val="008A0192"/>
    <w:rsid w:val="008A03F7"/>
    <w:rsid w:val="008A07F4"/>
    <w:rsid w:val="008A0884"/>
    <w:rsid w:val="008A0D52"/>
    <w:rsid w:val="008A0D73"/>
    <w:rsid w:val="008A1CBB"/>
    <w:rsid w:val="008A21E4"/>
    <w:rsid w:val="008A24E6"/>
    <w:rsid w:val="008A28B3"/>
    <w:rsid w:val="008A3406"/>
    <w:rsid w:val="008A4267"/>
    <w:rsid w:val="008A428B"/>
    <w:rsid w:val="008A52F6"/>
    <w:rsid w:val="008A54D8"/>
    <w:rsid w:val="008A56FA"/>
    <w:rsid w:val="008A5975"/>
    <w:rsid w:val="008A59E7"/>
    <w:rsid w:val="008A60BE"/>
    <w:rsid w:val="008A6526"/>
    <w:rsid w:val="008A7646"/>
    <w:rsid w:val="008A7F13"/>
    <w:rsid w:val="008B027A"/>
    <w:rsid w:val="008B09A9"/>
    <w:rsid w:val="008B0F96"/>
    <w:rsid w:val="008B1378"/>
    <w:rsid w:val="008B16EC"/>
    <w:rsid w:val="008B2722"/>
    <w:rsid w:val="008B2F3F"/>
    <w:rsid w:val="008B3080"/>
    <w:rsid w:val="008B55A2"/>
    <w:rsid w:val="008B5752"/>
    <w:rsid w:val="008B6734"/>
    <w:rsid w:val="008B6972"/>
    <w:rsid w:val="008B6D3D"/>
    <w:rsid w:val="008B6F47"/>
    <w:rsid w:val="008C009A"/>
    <w:rsid w:val="008C07B7"/>
    <w:rsid w:val="008C0975"/>
    <w:rsid w:val="008C0A84"/>
    <w:rsid w:val="008C0D46"/>
    <w:rsid w:val="008C0EA9"/>
    <w:rsid w:val="008C0F82"/>
    <w:rsid w:val="008C116D"/>
    <w:rsid w:val="008C17C7"/>
    <w:rsid w:val="008C17E3"/>
    <w:rsid w:val="008C1DDA"/>
    <w:rsid w:val="008C20E0"/>
    <w:rsid w:val="008C25E9"/>
    <w:rsid w:val="008C273B"/>
    <w:rsid w:val="008C2E84"/>
    <w:rsid w:val="008C33EE"/>
    <w:rsid w:val="008C3614"/>
    <w:rsid w:val="008C3931"/>
    <w:rsid w:val="008C39F4"/>
    <w:rsid w:val="008C3BE3"/>
    <w:rsid w:val="008C3C69"/>
    <w:rsid w:val="008C4344"/>
    <w:rsid w:val="008C464F"/>
    <w:rsid w:val="008C4774"/>
    <w:rsid w:val="008C6354"/>
    <w:rsid w:val="008C779B"/>
    <w:rsid w:val="008C7C40"/>
    <w:rsid w:val="008D038E"/>
    <w:rsid w:val="008D1F46"/>
    <w:rsid w:val="008D212B"/>
    <w:rsid w:val="008D261E"/>
    <w:rsid w:val="008D2915"/>
    <w:rsid w:val="008D3385"/>
    <w:rsid w:val="008D3891"/>
    <w:rsid w:val="008D389D"/>
    <w:rsid w:val="008D4421"/>
    <w:rsid w:val="008D4760"/>
    <w:rsid w:val="008D628F"/>
    <w:rsid w:val="008D6B69"/>
    <w:rsid w:val="008D75C1"/>
    <w:rsid w:val="008E29D5"/>
    <w:rsid w:val="008E2B64"/>
    <w:rsid w:val="008E2CC2"/>
    <w:rsid w:val="008E2D78"/>
    <w:rsid w:val="008E3065"/>
    <w:rsid w:val="008E4205"/>
    <w:rsid w:val="008E4932"/>
    <w:rsid w:val="008E52F5"/>
    <w:rsid w:val="008E552C"/>
    <w:rsid w:val="008E5A4C"/>
    <w:rsid w:val="008F0742"/>
    <w:rsid w:val="008F0A7D"/>
    <w:rsid w:val="008F0D2B"/>
    <w:rsid w:val="008F0F7A"/>
    <w:rsid w:val="008F0F7E"/>
    <w:rsid w:val="008F1D4D"/>
    <w:rsid w:val="008F29A7"/>
    <w:rsid w:val="008F2D01"/>
    <w:rsid w:val="008F3C35"/>
    <w:rsid w:val="008F3D14"/>
    <w:rsid w:val="008F495B"/>
    <w:rsid w:val="008F4A9A"/>
    <w:rsid w:val="008F4CFC"/>
    <w:rsid w:val="008F4F49"/>
    <w:rsid w:val="008F66B1"/>
    <w:rsid w:val="008F7676"/>
    <w:rsid w:val="008F7829"/>
    <w:rsid w:val="008F78DA"/>
    <w:rsid w:val="008F7B91"/>
    <w:rsid w:val="008F7D3A"/>
    <w:rsid w:val="00900359"/>
    <w:rsid w:val="00900449"/>
    <w:rsid w:val="009007C8"/>
    <w:rsid w:val="00900932"/>
    <w:rsid w:val="00900B7F"/>
    <w:rsid w:val="009021AE"/>
    <w:rsid w:val="00902493"/>
    <w:rsid w:val="00903312"/>
    <w:rsid w:val="00903B2A"/>
    <w:rsid w:val="009051B4"/>
    <w:rsid w:val="009052C2"/>
    <w:rsid w:val="009059C1"/>
    <w:rsid w:val="00907821"/>
    <w:rsid w:val="00910B78"/>
    <w:rsid w:val="00911049"/>
    <w:rsid w:val="00911F75"/>
    <w:rsid w:val="00912754"/>
    <w:rsid w:val="00913085"/>
    <w:rsid w:val="009131FC"/>
    <w:rsid w:val="0091331C"/>
    <w:rsid w:val="0091333D"/>
    <w:rsid w:val="00913A97"/>
    <w:rsid w:val="009144DF"/>
    <w:rsid w:val="00914932"/>
    <w:rsid w:val="00914F6E"/>
    <w:rsid w:val="00915A8E"/>
    <w:rsid w:val="00915D61"/>
    <w:rsid w:val="009163CA"/>
    <w:rsid w:val="0091647D"/>
    <w:rsid w:val="00916907"/>
    <w:rsid w:val="0091712A"/>
    <w:rsid w:val="00917A40"/>
    <w:rsid w:val="00917B7E"/>
    <w:rsid w:val="00917EA8"/>
    <w:rsid w:val="009206EB"/>
    <w:rsid w:val="00921086"/>
    <w:rsid w:val="00921BF6"/>
    <w:rsid w:val="0092256C"/>
    <w:rsid w:val="00923481"/>
    <w:rsid w:val="0092425F"/>
    <w:rsid w:val="0092432A"/>
    <w:rsid w:val="00926871"/>
    <w:rsid w:val="00926B25"/>
    <w:rsid w:val="00926C43"/>
    <w:rsid w:val="009274C2"/>
    <w:rsid w:val="00931558"/>
    <w:rsid w:val="00931E4A"/>
    <w:rsid w:val="009327EE"/>
    <w:rsid w:val="00932AE9"/>
    <w:rsid w:val="0093301F"/>
    <w:rsid w:val="009331D0"/>
    <w:rsid w:val="00933979"/>
    <w:rsid w:val="00933D4E"/>
    <w:rsid w:val="00934234"/>
    <w:rsid w:val="0093570E"/>
    <w:rsid w:val="00935DE4"/>
    <w:rsid w:val="00936797"/>
    <w:rsid w:val="009368A4"/>
    <w:rsid w:val="00936DB6"/>
    <w:rsid w:val="00937029"/>
    <w:rsid w:val="009379A7"/>
    <w:rsid w:val="00940B34"/>
    <w:rsid w:val="00941300"/>
    <w:rsid w:val="00941470"/>
    <w:rsid w:val="009416EF"/>
    <w:rsid w:val="00941F30"/>
    <w:rsid w:val="0094285C"/>
    <w:rsid w:val="0094292C"/>
    <w:rsid w:val="00942F0C"/>
    <w:rsid w:val="009432CC"/>
    <w:rsid w:val="00943DE1"/>
    <w:rsid w:val="00944527"/>
    <w:rsid w:val="00944D1C"/>
    <w:rsid w:val="0094534E"/>
    <w:rsid w:val="009455EE"/>
    <w:rsid w:val="009456B9"/>
    <w:rsid w:val="0094622B"/>
    <w:rsid w:val="00946E11"/>
    <w:rsid w:val="00946ECC"/>
    <w:rsid w:val="009473CF"/>
    <w:rsid w:val="00950BBA"/>
    <w:rsid w:val="00953510"/>
    <w:rsid w:val="00953A52"/>
    <w:rsid w:val="00953BAD"/>
    <w:rsid w:val="009544D5"/>
    <w:rsid w:val="00954676"/>
    <w:rsid w:val="00954F75"/>
    <w:rsid w:val="009562B5"/>
    <w:rsid w:val="009565D6"/>
    <w:rsid w:val="009566BC"/>
    <w:rsid w:val="00956A01"/>
    <w:rsid w:val="00956B85"/>
    <w:rsid w:val="009570ED"/>
    <w:rsid w:val="009608BE"/>
    <w:rsid w:val="00960A66"/>
    <w:rsid w:val="00960E28"/>
    <w:rsid w:val="00960EA3"/>
    <w:rsid w:val="0096128A"/>
    <w:rsid w:val="009630AB"/>
    <w:rsid w:val="009634BE"/>
    <w:rsid w:val="00963969"/>
    <w:rsid w:val="00963D3C"/>
    <w:rsid w:val="00964D68"/>
    <w:rsid w:val="00966AEA"/>
    <w:rsid w:val="00966C5C"/>
    <w:rsid w:val="00967B47"/>
    <w:rsid w:val="00970029"/>
    <w:rsid w:val="00970C8A"/>
    <w:rsid w:val="009716AA"/>
    <w:rsid w:val="00971C7E"/>
    <w:rsid w:val="009728E9"/>
    <w:rsid w:val="0097475C"/>
    <w:rsid w:val="00974851"/>
    <w:rsid w:val="009748DD"/>
    <w:rsid w:val="00975340"/>
    <w:rsid w:val="00975CCC"/>
    <w:rsid w:val="00975F93"/>
    <w:rsid w:val="0097661F"/>
    <w:rsid w:val="00976D64"/>
    <w:rsid w:val="00977728"/>
    <w:rsid w:val="00980FC3"/>
    <w:rsid w:val="00981035"/>
    <w:rsid w:val="00981361"/>
    <w:rsid w:val="0098194D"/>
    <w:rsid w:val="00981E1B"/>
    <w:rsid w:val="00982141"/>
    <w:rsid w:val="00983608"/>
    <w:rsid w:val="009836C5"/>
    <w:rsid w:val="009842CE"/>
    <w:rsid w:val="0098457C"/>
    <w:rsid w:val="00984714"/>
    <w:rsid w:val="00984E95"/>
    <w:rsid w:val="00984ECB"/>
    <w:rsid w:val="00985F98"/>
    <w:rsid w:val="009862E4"/>
    <w:rsid w:val="00986753"/>
    <w:rsid w:val="00986B93"/>
    <w:rsid w:val="00986EA9"/>
    <w:rsid w:val="009870A6"/>
    <w:rsid w:val="00987220"/>
    <w:rsid w:val="00987971"/>
    <w:rsid w:val="00987A63"/>
    <w:rsid w:val="009904C5"/>
    <w:rsid w:val="00990F23"/>
    <w:rsid w:val="00991703"/>
    <w:rsid w:val="00991DFB"/>
    <w:rsid w:val="00992312"/>
    <w:rsid w:val="009932C0"/>
    <w:rsid w:val="009937EE"/>
    <w:rsid w:val="00993D7D"/>
    <w:rsid w:val="009945BA"/>
    <w:rsid w:val="00994B77"/>
    <w:rsid w:val="00994BD5"/>
    <w:rsid w:val="00995346"/>
    <w:rsid w:val="00995432"/>
    <w:rsid w:val="009959DD"/>
    <w:rsid w:val="00995AA4"/>
    <w:rsid w:val="00995B04"/>
    <w:rsid w:val="00996BD0"/>
    <w:rsid w:val="009A0403"/>
    <w:rsid w:val="009A3DB8"/>
    <w:rsid w:val="009A5471"/>
    <w:rsid w:val="009A6273"/>
    <w:rsid w:val="009A6571"/>
    <w:rsid w:val="009A680D"/>
    <w:rsid w:val="009A6FA3"/>
    <w:rsid w:val="009A7E5B"/>
    <w:rsid w:val="009A7FFE"/>
    <w:rsid w:val="009B0896"/>
    <w:rsid w:val="009B099C"/>
    <w:rsid w:val="009B25F0"/>
    <w:rsid w:val="009B4D1E"/>
    <w:rsid w:val="009B4E92"/>
    <w:rsid w:val="009B5585"/>
    <w:rsid w:val="009B5946"/>
    <w:rsid w:val="009B5D30"/>
    <w:rsid w:val="009B6D3C"/>
    <w:rsid w:val="009B7A0C"/>
    <w:rsid w:val="009C022C"/>
    <w:rsid w:val="009C0684"/>
    <w:rsid w:val="009C086F"/>
    <w:rsid w:val="009C0D39"/>
    <w:rsid w:val="009C1158"/>
    <w:rsid w:val="009C1903"/>
    <w:rsid w:val="009C1D27"/>
    <w:rsid w:val="009C24B6"/>
    <w:rsid w:val="009C331F"/>
    <w:rsid w:val="009C3374"/>
    <w:rsid w:val="009C3A8E"/>
    <w:rsid w:val="009C4AF6"/>
    <w:rsid w:val="009C4D84"/>
    <w:rsid w:val="009C5948"/>
    <w:rsid w:val="009C6301"/>
    <w:rsid w:val="009C6575"/>
    <w:rsid w:val="009C65C6"/>
    <w:rsid w:val="009C72FC"/>
    <w:rsid w:val="009C77B5"/>
    <w:rsid w:val="009D1B3B"/>
    <w:rsid w:val="009D1B4B"/>
    <w:rsid w:val="009D1C70"/>
    <w:rsid w:val="009D26F7"/>
    <w:rsid w:val="009D2769"/>
    <w:rsid w:val="009D2894"/>
    <w:rsid w:val="009D28B0"/>
    <w:rsid w:val="009D2B2A"/>
    <w:rsid w:val="009D30E3"/>
    <w:rsid w:val="009D3DA1"/>
    <w:rsid w:val="009D4297"/>
    <w:rsid w:val="009D528C"/>
    <w:rsid w:val="009D56FE"/>
    <w:rsid w:val="009D628F"/>
    <w:rsid w:val="009D6306"/>
    <w:rsid w:val="009D6558"/>
    <w:rsid w:val="009D6675"/>
    <w:rsid w:val="009D6E2D"/>
    <w:rsid w:val="009D6FAF"/>
    <w:rsid w:val="009D708F"/>
    <w:rsid w:val="009D70FB"/>
    <w:rsid w:val="009E1056"/>
    <w:rsid w:val="009E1227"/>
    <w:rsid w:val="009E234D"/>
    <w:rsid w:val="009E2928"/>
    <w:rsid w:val="009E29C0"/>
    <w:rsid w:val="009E2BE8"/>
    <w:rsid w:val="009E2C91"/>
    <w:rsid w:val="009E3016"/>
    <w:rsid w:val="009E3650"/>
    <w:rsid w:val="009E3A7B"/>
    <w:rsid w:val="009E4D94"/>
    <w:rsid w:val="009E5893"/>
    <w:rsid w:val="009E5AE8"/>
    <w:rsid w:val="009E5BDB"/>
    <w:rsid w:val="009E5C6E"/>
    <w:rsid w:val="009E5C90"/>
    <w:rsid w:val="009E5D87"/>
    <w:rsid w:val="009E6962"/>
    <w:rsid w:val="009E6EEE"/>
    <w:rsid w:val="009E7ABE"/>
    <w:rsid w:val="009F0ED0"/>
    <w:rsid w:val="009F145D"/>
    <w:rsid w:val="009F4379"/>
    <w:rsid w:val="009F4995"/>
    <w:rsid w:val="009F5F18"/>
    <w:rsid w:val="009F5F2D"/>
    <w:rsid w:val="009F6764"/>
    <w:rsid w:val="009F7E05"/>
    <w:rsid w:val="00A00339"/>
    <w:rsid w:val="00A003C3"/>
    <w:rsid w:val="00A00D98"/>
    <w:rsid w:val="00A01724"/>
    <w:rsid w:val="00A0177B"/>
    <w:rsid w:val="00A01825"/>
    <w:rsid w:val="00A024E2"/>
    <w:rsid w:val="00A02DD9"/>
    <w:rsid w:val="00A02FFA"/>
    <w:rsid w:val="00A04D29"/>
    <w:rsid w:val="00A05833"/>
    <w:rsid w:val="00A05E53"/>
    <w:rsid w:val="00A06619"/>
    <w:rsid w:val="00A07F2D"/>
    <w:rsid w:val="00A1033A"/>
    <w:rsid w:val="00A10678"/>
    <w:rsid w:val="00A10DCA"/>
    <w:rsid w:val="00A10DE4"/>
    <w:rsid w:val="00A11214"/>
    <w:rsid w:val="00A11AE9"/>
    <w:rsid w:val="00A12D43"/>
    <w:rsid w:val="00A134B4"/>
    <w:rsid w:val="00A13E60"/>
    <w:rsid w:val="00A147AC"/>
    <w:rsid w:val="00A1508D"/>
    <w:rsid w:val="00A1566F"/>
    <w:rsid w:val="00A16186"/>
    <w:rsid w:val="00A17D60"/>
    <w:rsid w:val="00A2034A"/>
    <w:rsid w:val="00A21181"/>
    <w:rsid w:val="00A225EC"/>
    <w:rsid w:val="00A22C14"/>
    <w:rsid w:val="00A23249"/>
    <w:rsid w:val="00A242F3"/>
    <w:rsid w:val="00A243E5"/>
    <w:rsid w:val="00A24409"/>
    <w:rsid w:val="00A25260"/>
    <w:rsid w:val="00A26511"/>
    <w:rsid w:val="00A26CBE"/>
    <w:rsid w:val="00A27809"/>
    <w:rsid w:val="00A27834"/>
    <w:rsid w:val="00A32EA5"/>
    <w:rsid w:val="00A32EBE"/>
    <w:rsid w:val="00A3388D"/>
    <w:rsid w:val="00A34497"/>
    <w:rsid w:val="00A34EB8"/>
    <w:rsid w:val="00A35749"/>
    <w:rsid w:val="00A35DCD"/>
    <w:rsid w:val="00A35E03"/>
    <w:rsid w:val="00A35FFF"/>
    <w:rsid w:val="00A36331"/>
    <w:rsid w:val="00A3643A"/>
    <w:rsid w:val="00A364CC"/>
    <w:rsid w:val="00A36CE0"/>
    <w:rsid w:val="00A37100"/>
    <w:rsid w:val="00A376C2"/>
    <w:rsid w:val="00A40799"/>
    <w:rsid w:val="00A408C7"/>
    <w:rsid w:val="00A40BCE"/>
    <w:rsid w:val="00A41014"/>
    <w:rsid w:val="00A411C7"/>
    <w:rsid w:val="00A4177C"/>
    <w:rsid w:val="00A41ED5"/>
    <w:rsid w:val="00A42ABE"/>
    <w:rsid w:val="00A4417A"/>
    <w:rsid w:val="00A44A31"/>
    <w:rsid w:val="00A4659C"/>
    <w:rsid w:val="00A46852"/>
    <w:rsid w:val="00A4716A"/>
    <w:rsid w:val="00A47905"/>
    <w:rsid w:val="00A50023"/>
    <w:rsid w:val="00A500A4"/>
    <w:rsid w:val="00A501FF"/>
    <w:rsid w:val="00A50BD6"/>
    <w:rsid w:val="00A50DF9"/>
    <w:rsid w:val="00A5129B"/>
    <w:rsid w:val="00A516D0"/>
    <w:rsid w:val="00A52E15"/>
    <w:rsid w:val="00A53C64"/>
    <w:rsid w:val="00A54586"/>
    <w:rsid w:val="00A5502E"/>
    <w:rsid w:val="00A55146"/>
    <w:rsid w:val="00A55304"/>
    <w:rsid w:val="00A55DDD"/>
    <w:rsid w:val="00A56326"/>
    <w:rsid w:val="00A567B2"/>
    <w:rsid w:val="00A5750E"/>
    <w:rsid w:val="00A57BE0"/>
    <w:rsid w:val="00A60790"/>
    <w:rsid w:val="00A609C9"/>
    <w:rsid w:val="00A60A50"/>
    <w:rsid w:val="00A60F11"/>
    <w:rsid w:val="00A611D9"/>
    <w:rsid w:val="00A61925"/>
    <w:rsid w:val="00A61B85"/>
    <w:rsid w:val="00A62724"/>
    <w:rsid w:val="00A62A49"/>
    <w:rsid w:val="00A62F28"/>
    <w:rsid w:val="00A633F6"/>
    <w:rsid w:val="00A644BC"/>
    <w:rsid w:val="00A65A93"/>
    <w:rsid w:val="00A66442"/>
    <w:rsid w:val="00A6730B"/>
    <w:rsid w:val="00A6736F"/>
    <w:rsid w:val="00A70A00"/>
    <w:rsid w:val="00A70DC5"/>
    <w:rsid w:val="00A71255"/>
    <w:rsid w:val="00A74FEC"/>
    <w:rsid w:val="00A752B1"/>
    <w:rsid w:val="00A756C3"/>
    <w:rsid w:val="00A761E5"/>
    <w:rsid w:val="00A76A1F"/>
    <w:rsid w:val="00A76B35"/>
    <w:rsid w:val="00A77091"/>
    <w:rsid w:val="00A77F68"/>
    <w:rsid w:val="00A80471"/>
    <w:rsid w:val="00A80567"/>
    <w:rsid w:val="00A80DF3"/>
    <w:rsid w:val="00A814CE"/>
    <w:rsid w:val="00A81C1E"/>
    <w:rsid w:val="00A827FC"/>
    <w:rsid w:val="00A827FE"/>
    <w:rsid w:val="00A829CA"/>
    <w:rsid w:val="00A837A9"/>
    <w:rsid w:val="00A84808"/>
    <w:rsid w:val="00A86756"/>
    <w:rsid w:val="00A86E8D"/>
    <w:rsid w:val="00A8715B"/>
    <w:rsid w:val="00A87551"/>
    <w:rsid w:val="00A8761A"/>
    <w:rsid w:val="00A87AC9"/>
    <w:rsid w:val="00A87AD8"/>
    <w:rsid w:val="00A9014F"/>
    <w:rsid w:val="00A90676"/>
    <w:rsid w:val="00A90F14"/>
    <w:rsid w:val="00A90F2E"/>
    <w:rsid w:val="00A91AF9"/>
    <w:rsid w:val="00A938D9"/>
    <w:rsid w:val="00A93B02"/>
    <w:rsid w:val="00A946D5"/>
    <w:rsid w:val="00A949E7"/>
    <w:rsid w:val="00A94AC0"/>
    <w:rsid w:val="00A951CA"/>
    <w:rsid w:val="00A95836"/>
    <w:rsid w:val="00A9778C"/>
    <w:rsid w:val="00AA03EA"/>
    <w:rsid w:val="00AA09D6"/>
    <w:rsid w:val="00AA0CEB"/>
    <w:rsid w:val="00AA0F5E"/>
    <w:rsid w:val="00AA1C82"/>
    <w:rsid w:val="00AA2F5A"/>
    <w:rsid w:val="00AA3457"/>
    <w:rsid w:val="00AA4486"/>
    <w:rsid w:val="00AA4685"/>
    <w:rsid w:val="00AA47D9"/>
    <w:rsid w:val="00AA4A96"/>
    <w:rsid w:val="00AA5361"/>
    <w:rsid w:val="00AA5467"/>
    <w:rsid w:val="00AA54C1"/>
    <w:rsid w:val="00AA56E2"/>
    <w:rsid w:val="00AA58E7"/>
    <w:rsid w:val="00AA5E93"/>
    <w:rsid w:val="00AA6025"/>
    <w:rsid w:val="00AA6BA9"/>
    <w:rsid w:val="00AA6F7B"/>
    <w:rsid w:val="00AA7775"/>
    <w:rsid w:val="00AB0508"/>
    <w:rsid w:val="00AB069C"/>
    <w:rsid w:val="00AB0AF1"/>
    <w:rsid w:val="00AB2128"/>
    <w:rsid w:val="00AB228A"/>
    <w:rsid w:val="00AB25EA"/>
    <w:rsid w:val="00AB309E"/>
    <w:rsid w:val="00AB434F"/>
    <w:rsid w:val="00AB4AEC"/>
    <w:rsid w:val="00AB4B36"/>
    <w:rsid w:val="00AB5139"/>
    <w:rsid w:val="00AB524A"/>
    <w:rsid w:val="00AB6709"/>
    <w:rsid w:val="00AB677C"/>
    <w:rsid w:val="00AB6838"/>
    <w:rsid w:val="00AB687F"/>
    <w:rsid w:val="00AB6E87"/>
    <w:rsid w:val="00AB7E04"/>
    <w:rsid w:val="00AC18D5"/>
    <w:rsid w:val="00AC218E"/>
    <w:rsid w:val="00AC255A"/>
    <w:rsid w:val="00AC25A4"/>
    <w:rsid w:val="00AC286B"/>
    <w:rsid w:val="00AC30AA"/>
    <w:rsid w:val="00AC3797"/>
    <w:rsid w:val="00AC3BD2"/>
    <w:rsid w:val="00AC444D"/>
    <w:rsid w:val="00AC49B1"/>
    <w:rsid w:val="00AC5104"/>
    <w:rsid w:val="00AC5823"/>
    <w:rsid w:val="00AC5B32"/>
    <w:rsid w:val="00AC6B51"/>
    <w:rsid w:val="00AC703D"/>
    <w:rsid w:val="00AC7335"/>
    <w:rsid w:val="00AD0243"/>
    <w:rsid w:val="00AD044E"/>
    <w:rsid w:val="00AD05DE"/>
    <w:rsid w:val="00AD0DC9"/>
    <w:rsid w:val="00AD2A63"/>
    <w:rsid w:val="00AD336F"/>
    <w:rsid w:val="00AD3E9B"/>
    <w:rsid w:val="00AD4B94"/>
    <w:rsid w:val="00AD5A34"/>
    <w:rsid w:val="00AD64E5"/>
    <w:rsid w:val="00AD6BDE"/>
    <w:rsid w:val="00AD6C1F"/>
    <w:rsid w:val="00AD6F5D"/>
    <w:rsid w:val="00AD738D"/>
    <w:rsid w:val="00AD776D"/>
    <w:rsid w:val="00AD7C13"/>
    <w:rsid w:val="00AE0035"/>
    <w:rsid w:val="00AE1DA2"/>
    <w:rsid w:val="00AE1F1F"/>
    <w:rsid w:val="00AE2224"/>
    <w:rsid w:val="00AE3317"/>
    <w:rsid w:val="00AE3BB6"/>
    <w:rsid w:val="00AE413F"/>
    <w:rsid w:val="00AE50F0"/>
    <w:rsid w:val="00AE566E"/>
    <w:rsid w:val="00AE57B9"/>
    <w:rsid w:val="00AE58F8"/>
    <w:rsid w:val="00AE6859"/>
    <w:rsid w:val="00AE765A"/>
    <w:rsid w:val="00AE78E3"/>
    <w:rsid w:val="00AE793E"/>
    <w:rsid w:val="00AE7AA6"/>
    <w:rsid w:val="00AE7B50"/>
    <w:rsid w:val="00AE7C5B"/>
    <w:rsid w:val="00AF03DD"/>
    <w:rsid w:val="00AF0C05"/>
    <w:rsid w:val="00AF0F1A"/>
    <w:rsid w:val="00AF1133"/>
    <w:rsid w:val="00AF154E"/>
    <w:rsid w:val="00AF1C2A"/>
    <w:rsid w:val="00AF1FA2"/>
    <w:rsid w:val="00AF251F"/>
    <w:rsid w:val="00AF29A7"/>
    <w:rsid w:val="00AF2B2E"/>
    <w:rsid w:val="00AF3397"/>
    <w:rsid w:val="00AF3704"/>
    <w:rsid w:val="00AF4464"/>
    <w:rsid w:val="00AF4962"/>
    <w:rsid w:val="00AF4A82"/>
    <w:rsid w:val="00AF4BE1"/>
    <w:rsid w:val="00AF4EB9"/>
    <w:rsid w:val="00AF6C10"/>
    <w:rsid w:val="00AF6CA9"/>
    <w:rsid w:val="00AF6F49"/>
    <w:rsid w:val="00B00477"/>
    <w:rsid w:val="00B00524"/>
    <w:rsid w:val="00B009B1"/>
    <w:rsid w:val="00B00A45"/>
    <w:rsid w:val="00B00BB2"/>
    <w:rsid w:val="00B01AD0"/>
    <w:rsid w:val="00B02009"/>
    <w:rsid w:val="00B028C3"/>
    <w:rsid w:val="00B02A18"/>
    <w:rsid w:val="00B02CB1"/>
    <w:rsid w:val="00B02DC7"/>
    <w:rsid w:val="00B04241"/>
    <w:rsid w:val="00B04B58"/>
    <w:rsid w:val="00B0545F"/>
    <w:rsid w:val="00B06759"/>
    <w:rsid w:val="00B0683B"/>
    <w:rsid w:val="00B06BA4"/>
    <w:rsid w:val="00B104D8"/>
    <w:rsid w:val="00B11149"/>
    <w:rsid w:val="00B11315"/>
    <w:rsid w:val="00B11673"/>
    <w:rsid w:val="00B11AC1"/>
    <w:rsid w:val="00B12734"/>
    <w:rsid w:val="00B12D3A"/>
    <w:rsid w:val="00B1321D"/>
    <w:rsid w:val="00B135F4"/>
    <w:rsid w:val="00B13872"/>
    <w:rsid w:val="00B13CB9"/>
    <w:rsid w:val="00B13D4F"/>
    <w:rsid w:val="00B20109"/>
    <w:rsid w:val="00B20329"/>
    <w:rsid w:val="00B20BEC"/>
    <w:rsid w:val="00B20DE5"/>
    <w:rsid w:val="00B216C9"/>
    <w:rsid w:val="00B21B24"/>
    <w:rsid w:val="00B21C3F"/>
    <w:rsid w:val="00B22DE7"/>
    <w:rsid w:val="00B2303F"/>
    <w:rsid w:val="00B2411C"/>
    <w:rsid w:val="00B242A5"/>
    <w:rsid w:val="00B24473"/>
    <w:rsid w:val="00B24BD3"/>
    <w:rsid w:val="00B25C27"/>
    <w:rsid w:val="00B25F86"/>
    <w:rsid w:val="00B26237"/>
    <w:rsid w:val="00B26536"/>
    <w:rsid w:val="00B26595"/>
    <w:rsid w:val="00B2680F"/>
    <w:rsid w:val="00B26A8C"/>
    <w:rsid w:val="00B26FAB"/>
    <w:rsid w:val="00B272F3"/>
    <w:rsid w:val="00B2756E"/>
    <w:rsid w:val="00B27F9D"/>
    <w:rsid w:val="00B302A0"/>
    <w:rsid w:val="00B31039"/>
    <w:rsid w:val="00B31456"/>
    <w:rsid w:val="00B317D5"/>
    <w:rsid w:val="00B3186E"/>
    <w:rsid w:val="00B319AE"/>
    <w:rsid w:val="00B32379"/>
    <w:rsid w:val="00B3306B"/>
    <w:rsid w:val="00B3313A"/>
    <w:rsid w:val="00B33459"/>
    <w:rsid w:val="00B3429E"/>
    <w:rsid w:val="00B34E4A"/>
    <w:rsid w:val="00B351E3"/>
    <w:rsid w:val="00B3774A"/>
    <w:rsid w:val="00B379A8"/>
    <w:rsid w:val="00B37A59"/>
    <w:rsid w:val="00B37B7A"/>
    <w:rsid w:val="00B40419"/>
    <w:rsid w:val="00B40F25"/>
    <w:rsid w:val="00B411EA"/>
    <w:rsid w:val="00B412D2"/>
    <w:rsid w:val="00B41DD1"/>
    <w:rsid w:val="00B42178"/>
    <w:rsid w:val="00B422E0"/>
    <w:rsid w:val="00B42502"/>
    <w:rsid w:val="00B43131"/>
    <w:rsid w:val="00B44514"/>
    <w:rsid w:val="00B4451A"/>
    <w:rsid w:val="00B44A3B"/>
    <w:rsid w:val="00B44C25"/>
    <w:rsid w:val="00B44EA5"/>
    <w:rsid w:val="00B450BA"/>
    <w:rsid w:val="00B47F24"/>
    <w:rsid w:val="00B50648"/>
    <w:rsid w:val="00B50926"/>
    <w:rsid w:val="00B50A71"/>
    <w:rsid w:val="00B5150C"/>
    <w:rsid w:val="00B525AD"/>
    <w:rsid w:val="00B52702"/>
    <w:rsid w:val="00B5367A"/>
    <w:rsid w:val="00B53BD8"/>
    <w:rsid w:val="00B54157"/>
    <w:rsid w:val="00B54A3C"/>
    <w:rsid w:val="00B56012"/>
    <w:rsid w:val="00B56C4B"/>
    <w:rsid w:val="00B56C96"/>
    <w:rsid w:val="00B5750F"/>
    <w:rsid w:val="00B57FBA"/>
    <w:rsid w:val="00B607A6"/>
    <w:rsid w:val="00B61A6F"/>
    <w:rsid w:val="00B61D35"/>
    <w:rsid w:val="00B63005"/>
    <w:rsid w:val="00B63E24"/>
    <w:rsid w:val="00B64C3A"/>
    <w:rsid w:val="00B64E00"/>
    <w:rsid w:val="00B6508C"/>
    <w:rsid w:val="00B6542D"/>
    <w:rsid w:val="00B65439"/>
    <w:rsid w:val="00B65CD8"/>
    <w:rsid w:val="00B6655A"/>
    <w:rsid w:val="00B66E70"/>
    <w:rsid w:val="00B67680"/>
    <w:rsid w:val="00B677EB"/>
    <w:rsid w:val="00B67BFA"/>
    <w:rsid w:val="00B70142"/>
    <w:rsid w:val="00B70676"/>
    <w:rsid w:val="00B70E99"/>
    <w:rsid w:val="00B71CFA"/>
    <w:rsid w:val="00B7282B"/>
    <w:rsid w:val="00B7286C"/>
    <w:rsid w:val="00B72FA7"/>
    <w:rsid w:val="00B73893"/>
    <w:rsid w:val="00B75592"/>
    <w:rsid w:val="00B75D14"/>
    <w:rsid w:val="00B763AE"/>
    <w:rsid w:val="00B76660"/>
    <w:rsid w:val="00B77012"/>
    <w:rsid w:val="00B77AEA"/>
    <w:rsid w:val="00B80713"/>
    <w:rsid w:val="00B807F5"/>
    <w:rsid w:val="00B80967"/>
    <w:rsid w:val="00B80FFE"/>
    <w:rsid w:val="00B813D1"/>
    <w:rsid w:val="00B8181A"/>
    <w:rsid w:val="00B827AA"/>
    <w:rsid w:val="00B83705"/>
    <w:rsid w:val="00B838FA"/>
    <w:rsid w:val="00B8406A"/>
    <w:rsid w:val="00B85708"/>
    <w:rsid w:val="00B8595F"/>
    <w:rsid w:val="00B85E2A"/>
    <w:rsid w:val="00B86A66"/>
    <w:rsid w:val="00B87530"/>
    <w:rsid w:val="00B87EAC"/>
    <w:rsid w:val="00B91DC3"/>
    <w:rsid w:val="00B9254D"/>
    <w:rsid w:val="00B92656"/>
    <w:rsid w:val="00B92E93"/>
    <w:rsid w:val="00B93304"/>
    <w:rsid w:val="00B93ADE"/>
    <w:rsid w:val="00B947EE"/>
    <w:rsid w:val="00B94D0B"/>
    <w:rsid w:val="00B9609B"/>
    <w:rsid w:val="00B96693"/>
    <w:rsid w:val="00B96A6C"/>
    <w:rsid w:val="00B97469"/>
    <w:rsid w:val="00BA01AB"/>
    <w:rsid w:val="00BA01DE"/>
    <w:rsid w:val="00BA22CD"/>
    <w:rsid w:val="00BA238B"/>
    <w:rsid w:val="00BA2C1A"/>
    <w:rsid w:val="00BA2C75"/>
    <w:rsid w:val="00BA3B99"/>
    <w:rsid w:val="00BA4196"/>
    <w:rsid w:val="00BA44CC"/>
    <w:rsid w:val="00BA51AF"/>
    <w:rsid w:val="00BA5612"/>
    <w:rsid w:val="00BA5AD3"/>
    <w:rsid w:val="00BA5E52"/>
    <w:rsid w:val="00BA63C7"/>
    <w:rsid w:val="00BA6C8D"/>
    <w:rsid w:val="00BA76F1"/>
    <w:rsid w:val="00BA788A"/>
    <w:rsid w:val="00BB0733"/>
    <w:rsid w:val="00BB0DD6"/>
    <w:rsid w:val="00BB10EE"/>
    <w:rsid w:val="00BB289F"/>
    <w:rsid w:val="00BB2A75"/>
    <w:rsid w:val="00BB2B8F"/>
    <w:rsid w:val="00BB3156"/>
    <w:rsid w:val="00BB325F"/>
    <w:rsid w:val="00BB3C1F"/>
    <w:rsid w:val="00BB48B0"/>
    <w:rsid w:val="00BB52DA"/>
    <w:rsid w:val="00BB5A0F"/>
    <w:rsid w:val="00BB5A4D"/>
    <w:rsid w:val="00BB5C79"/>
    <w:rsid w:val="00BB66D1"/>
    <w:rsid w:val="00BB6DC4"/>
    <w:rsid w:val="00BB74D1"/>
    <w:rsid w:val="00BC1738"/>
    <w:rsid w:val="00BC261C"/>
    <w:rsid w:val="00BC2853"/>
    <w:rsid w:val="00BC303E"/>
    <w:rsid w:val="00BC3523"/>
    <w:rsid w:val="00BC3805"/>
    <w:rsid w:val="00BC3857"/>
    <w:rsid w:val="00BC3DB6"/>
    <w:rsid w:val="00BC45D9"/>
    <w:rsid w:val="00BC500C"/>
    <w:rsid w:val="00BC5413"/>
    <w:rsid w:val="00BC55BE"/>
    <w:rsid w:val="00BC57F6"/>
    <w:rsid w:val="00BC5E0A"/>
    <w:rsid w:val="00BC6548"/>
    <w:rsid w:val="00BC6EA1"/>
    <w:rsid w:val="00BC7A7F"/>
    <w:rsid w:val="00BC7F1C"/>
    <w:rsid w:val="00BC7F58"/>
    <w:rsid w:val="00BD139A"/>
    <w:rsid w:val="00BD1D5E"/>
    <w:rsid w:val="00BD1E9A"/>
    <w:rsid w:val="00BD2B39"/>
    <w:rsid w:val="00BD3490"/>
    <w:rsid w:val="00BD36BD"/>
    <w:rsid w:val="00BD3F3B"/>
    <w:rsid w:val="00BD4F69"/>
    <w:rsid w:val="00BD5B3D"/>
    <w:rsid w:val="00BD728C"/>
    <w:rsid w:val="00BD73EF"/>
    <w:rsid w:val="00BD7A77"/>
    <w:rsid w:val="00BE0223"/>
    <w:rsid w:val="00BE1038"/>
    <w:rsid w:val="00BE1CD6"/>
    <w:rsid w:val="00BE20B6"/>
    <w:rsid w:val="00BE24A3"/>
    <w:rsid w:val="00BE2509"/>
    <w:rsid w:val="00BE2F81"/>
    <w:rsid w:val="00BE34EE"/>
    <w:rsid w:val="00BE3C61"/>
    <w:rsid w:val="00BE3D33"/>
    <w:rsid w:val="00BE401C"/>
    <w:rsid w:val="00BE40B6"/>
    <w:rsid w:val="00BE4469"/>
    <w:rsid w:val="00BE4512"/>
    <w:rsid w:val="00BE52F7"/>
    <w:rsid w:val="00BE5817"/>
    <w:rsid w:val="00BE5BA2"/>
    <w:rsid w:val="00BE5DB6"/>
    <w:rsid w:val="00BE6092"/>
    <w:rsid w:val="00BE72C2"/>
    <w:rsid w:val="00BE77C8"/>
    <w:rsid w:val="00BE77EC"/>
    <w:rsid w:val="00BE7A39"/>
    <w:rsid w:val="00BF010F"/>
    <w:rsid w:val="00BF04D1"/>
    <w:rsid w:val="00BF175B"/>
    <w:rsid w:val="00BF1FDA"/>
    <w:rsid w:val="00BF2C59"/>
    <w:rsid w:val="00BF2DE9"/>
    <w:rsid w:val="00BF3CAD"/>
    <w:rsid w:val="00BF5334"/>
    <w:rsid w:val="00BF5826"/>
    <w:rsid w:val="00BF6261"/>
    <w:rsid w:val="00BF63CD"/>
    <w:rsid w:val="00BF6A76"/>
    <w:rsid w:val="00C00382"/>
    <w:rsid w:val="00C0088C"/>
    <w:rsid w:val="00C020DD"/>
    <w:rsid w:val="00C0230C"/>
    <w:rsid w:val="00C036FE"/>
    <w:rsid w:val="00C03731"/>
    <w:rsid w:val="00C03A47"/>
    <w:rsid w:val="00C04291"/>
    <w:rsid w:val="00C056F0"/>
    <w:rsid w:val="00C060A9"/>
    <w:rsid w:val="00C0638F"/>
    <w:rsid w:val="00C0780B"/>
    <w:rsid w:val="00C10051"/>
    <w:rsid w:val="00C100EB"/>
    <w:rsid w:val="00C10858"/>
    <w:rsid w:val="00C11373"/>
    <w:rsid w:val="00C11C64"/>
    <w:rsid w:val="00C129FF"/>
    <w:rsid w:val="00C12D54"/>
    <w:rsid w:val="00C12E86"/>
    <w:rsid w:val="00C13AA5"/>
    <w:rsid w:val="00C1406E"/>
    <w:rsid w:val="00C1467B"/>
    <w:rsid w:val="00C14CEB"/>
    <w:rsid w:val="00C1539B"/>
    <w:rsid w:val="00C16132"/>
    <w:rsid w:val="00C1686A"/>
    <w:rsid w:val="00C168D5"/>
    <w:rsid w:val="00C16CD6"/>
    <w:rsid w:val="00C1779E"/>
    <w:rsid w:val="00C20004"/>
    <w:rsid w:val="00C204F2"/>
    <w:rsid w:val="00C20833"/>
    <w:rsid w:val="00C20E97"/>
    <w:rsid w:val="00C2116C"/>
    <w:rsid w:val="00C21362"/>
    <w:rsid w:val="00C224E6"/>
    <w:rsid w:val="00C228A3"/>
    <w:rsid w:val="00C22DF3"/>
    <w:rsid w:val="00C22E29"/>
    <w:rsid w:val="00C230FE"/>
    <w:rsid w:val="00C231D6"/>
    <w:rsid w:val="00C23D36"/>
    <w:rsid w:val="00C23F74"/>
    <w:rsid w:val="00C249E2"/>
    <w:rsid w:val="00C256B7"/>
    <w:rsid w:val="00C258B4"/>
    <w:rsid w:val="00C25BC6"/>
    <w:rsid w:val="00C265A1"/>
    <w:rsid w:val="00C276B3"/>
    <w:rsid w:val="00C276C0"/>
    <w:rsid w:val="00C2792B"/>
    <w:rsid w:val="00C27CD7"/>
    <w:rsid w:val="00C30281"/>
    <w:rsid w:val="00C30EB8"/>
    <w:rsid w:val="00C316FD"/>
    <w:rsid w:val="00C321AA"/>
    <w:rsid w:val="00C32FB4"/>
    <w:rsid w:val="00C334EF"/>
    <w:rsid w:val="00C33B41"/>
    <w:rsid w:val="00C3412C"/>
    <w:rsid w:val="00C358B5"/>
    <w:rsid w:val="00C36284"/>
    <w:rsid w:val="00C369E9"/>
    <w:rsid w:val="00C36A67"/>
    <w:rsid w:val="00C37F13"/>
    <w:rsid w:val="00C402DA"/>
    <w:rsid w:val="00C4033B"/>
    <w:rsid w:val="00C40A23"/>
    <w:rsid w:val="00C40BD0"/>
    <w:rsid w:val="00C416CA"/>
    <w:rsid w:val="00C416E0"/>
    <w:rsid w:val="00C41CFD"/>
    <w:rsid w:val="00C42659"/>
    <w:rsid w:val="00C44361"/>
    <w:rsid w:val="00C44D5A"/>
    <w:rsid w:val="00C4515E"/>
    <w:rsid w:val="00C47D10"/>
    <w:rsid w:val="00C5013E"/>
    <w:rsid w:val="00C509A2"/>
    <w:rsid w:val="00C50DD0"/>
    <w:rsid w:val="00C522CF"/>
    <w:rsid w:val="00C52F46"/>
    <w:rsid w:val="00C52FF7"/>
    <w:rsid w:val="00C5366C"/>
    <w:rsid w:val="00C53E56"/>
    <w:rsid w:val="00C5424D"/>
    <w:rsid w:val="00C54F9F"/>
    <w:rsid w:val="00C55EC9"/>
    <w:rsid w:val="00C55F74"/>
    <w:rsid w:val="00C560F5"/>
    <w:rsid w:val="00C562FA"/>
    <w:rsid w:val="00C564F0"/>
    <w:rsid w:val="00C56DEB"/>
    <w:rsid w:val="00C5789B"/>
    <w:rsid w:val="00C57C4D"/>
    <w:rsid w:val="00C60115"/>
    <w:rsid w:val="00C60422"/>
    <w:rsid w:val="00C60592"/>
    <w:rsid w:val="00C60942"/>
    <w:rsid w:val="00C60E34"/>
    <w:rsid w:val="00C616B0"/>
    <w:rsid w:val="00C61B5A"/>
    <w:rsid w:val="00C61F47"/>
    <w:rsid w:val="00C61FC2"/>
    <w:rsid w:val="00C62AA1"/>
    <w:rsid w:val="00C6318A"/>
    <w:rsid w:val="00C6548A"/>
    <w:rsid w:val="00C65F1A"/>
    <w:rsid w:val="00C664CA"/>
    <w:rsid w:val="00C66830"/>
    <w:rsid w:val="00C66BED"/>
    <w:rsid w:val="00C70AA9"/>
    <w:rsid w:val="00C70CC8"/>
    <w:rsid w:val="00C70CFB"/>
    <w:rsid w:val="00C70F04"/>
    <w:rsid w:val="00C720FF"/>
    <w:rsid w:val="00C72186"/>
    <w:rsid w:val="00C72883"/>
    <w:rsid w:val="00C72B04"/>
    <w:rsid w:val="00C73699"/>
    <w:rsid w:val="00C7489F"/>
    <w:rsid w:val="00C75DFD"/>
    <w:rsid w:val="00C761AA"/>
    <w:rsid w:val="00C77538"/>
    <w:rsid w:val="00C77A43"/>
    <w:rsid w:val="00C77F0A"/>
    <w:rsid w:val="00C80A9E"/>
    <w:rsid w:val="00C80F96"/>
    <w:rsid w:val="00C81124"/>
    <w:rsid w:val="00C811E9"/>
    <w:rsid w:val="00C82B65"/>
    <w:rsid w:val="00C82DB0"/>
    <w:rsid w:val="00C835A3"/>
    <w:rsid w:val="00C83889"/>
    <w:rsid w:val="00C83B46"/>
    <w:rsid w:val="00C84E21"/>
    <w:rsid w:val="00C85330"/>
    <w:rsid w:val="00C854B1"/>
    <w:rsid w:val="00C85AEE"/>
    <w:rsid w:val="00C85D7A"/>
    <w:rsid w:val="00C86005"/>
    <w:rsid w:val="00C867F4"/>
    <w:rsid w:val="00C8710C"/>
    <w:rsid w:val="00C91005"/>
    <w:rsid w:val="00C91342"/>
    <w:rsid w:val="00C918F8"/>
    <w:rsid w:val="00C91EE3"/>
    <w:rsid w:val="00C929C2"/>
    <w:rsid w:val="00C92BC7"/>
    <w:rsid w:val="00C92F44"/>
    <w:rsid w:val="00C930AE"/>
    <w:rsid w:val="00C933DB"/>
    <w:rsid w:val="00C93BDC"/>
    <w:rsid w:val="00C93F5B"/>
    <w:rsid w:val="00C94352"/>
    <w:rsid w:val="00C9467A"/>
    <w:rsid w:val="00C9475C"/>
    <w:rsid w:val="00C95AC0"/>
    <w:rsid w:val="00C95DAD"/>
    <w:rsid w:val="00C95DF1"/>
    <w:rsid w:val="00C96086"/>
    <w:rsid w:val="00C96092"/>
    <w:rsid w:val="00C9672B"/>
    <w:rsid w:val="00C9761A"/>
    <w:rsid w:val="00C979E2"/>
    <w:rsid w:val="00C97DAE"/>
    <w:rsid w:val="00CA025B"/>
    <w:rsid w:val="00CA05FA"/>
    <w:rsid w:val="00CA19F5"/>
    <w:rsid w:val="00CA1A2B"/>
    <w:rsid w:val="00CA1D0D"/>
    <w:rsid w:val="00CA21DF"/>
    <w:rsid w:val="00CA28D4"/>
    <w:rsid w:val="00CA327A"/>
    <w:rsid w:val="00CA360C"/>
    <w:rsid w:val="00CA4D70"/>
    <w:rsid w:val="00CA5890"/>
    <w:rsid w:val="00CA683D"/>
    <w:rsid w:val="00CA6923"/>
    <w:rsid w:val="00CA7143"/>
    <w:rsid w:val="00CA7609"/>
    <w:rsid w:val="00CA798C"/>
    <w:rsid w:val="00CB09C6"/>
    <w:rsid w:val="00CB0AFA"/>
    <w:rsid w:val="00CB0B6D"/>
    <w:rsid w:val="00CB0E0A"/>
    <w:rsid w:val="00CB2771"/>
    <w:rsid w:val="00CB2D38"/>
    <w:rsid w:val="00CB3BE7"/>
    <w:rsid w:val="00CB3DE2"/>
    <w:rsid w:val="00CB443E"/>
    <w:rsid w:val="00CC00C3"/>
    <w:rsid w:val="00CC0366"/>
    <w:rsid w:val="00CC0510"/>
    <w:rsid w:val="00CC0993"/>
    <w:rsid w:val="00CC1644"/>
    <w:rsid w:val="00CC2B1E"/>
    <w:rsid w:val="00CC3A5B"/>
    <w:rsid w:val="00CC44C2"/>
    <w:rsid w:val="00CC4BCC"/>
    <w:rsid w:val="00CC4F07"/>
    <w:rsid w:val="00CC550B"/>
    <w:rsid w:val="00CC5839"/>
    <w:rsid w:val="00CC59D1"/>
    <w:rsid w:val="00CC6380"/>
    <w:rsid w:val="00CC6688"/>
    <w:rsid w:val="00CC6A6D"/>
    <w:rsid w:val="00CC734D"/>
    <w:rsid w:val="00CC7A4E"/>
    <w:rsid w:val="00CD06C4"/>
    <w:rsid w:val="00CD1917"/>
    <w:rsid w:val="00CD1E6F"/>
    <w:rsid w:val="00CD1ED4"/>
    <w:rsid w:val="00CD2B66"/>
    <w:rsid w:val="00CD2E9F"/>
    <w:rsid w:val="00CD2F0F"/>
    <w:rsid w:val="00CD437B"/>
    <w:rsid w:val="00CD4A37"/>
    <w:rsid w:val="00CD4AE4"/>
    <w:rsid w:val="00CD521D"/>
    <w:rsid w:val="00CD5F8E"/>
    <w:rsid w:val="00CD5FDE"/>
    <w:rsid w:val="00CD605A"/>
    <w:rsid w:val="00CD7385"/>
    <w:rsid w:val="00CD7F60"/>
    <w:rsid w:val="00CE01E3"/>
    <w:rsid w:val="00CE06B0"/>
    <w:rsid w:val="00CE0899"/>
    <w:rsid w:val="00CE2354"/>
    <w:rsid w:val="00CE23B0"/>
    <w:rsid w:val="00CE2785"/>
    <w:rsid w:val="00CE3EBC"/>
    <w:rsid w:val="00CE4678"/>
    <w:rsid w:val="00CE4B64"/>
    <w:rsid w:val="00CE562C"/>
    <w:rsid w:val="00CE58F2"/>
    <w:rsid w:val="00CE6834"/>
    <w:rsid w:val="00CE6BFA"/>
    <w:rsid w:val="00CE6F36"/>
    <w:rsid w:val="00CE745D"/>
    <w:rsid w:val="00CE786E"/>
    <w:rsid w:val="00CF0021"/>
    <w:rsid w:val="00CF0040"/>
    <w:rsid w:val="00CF0C56"/>
    <w:rsid w:val="00CF0FE1"/>
    <w:rsid w:val="00CF11AC"/>
    <w:rsid w:val="00CF1458"/>
    <w:rsid w:val="00CF19A3"/>
    <w:rsid w:val="00CF2670"/>
    <w:rsid w:val="00CF2962"/>
    <w:rsid w:val="00CF360A"/>
    <w:rsid w:val="00CF5EB4"/>
    <w:rsid w:val="00CF6C1C"/>
    <w:rsid w:val="00CF75C2"/>
    <w:rsid w:val="00D00073"/>
    <w:rsid w:val="00D00264"/>
    <w:rsid w:val="00D00AB5"/>
    <w:rsid w:val="00D00CCE"/>
    <w:rsid w:val="00D013B5"/>
    <w:rsid w:val="00D02CEF"/>
    <w:rsid w:val="00D02F7D"/>
    <w:rsid w:val="00D035BE"/>
    <w:rsid w:val="00D03F59"/>
    <w:rsid w:val="00D040DF"/>
    <w:rsid w:val="00D043D3"/>
    <w:rsid w:val="00D047B2"/>
    <w:rsid w:val="00D0538F"/>
    <w:rsid w:val="00D05575"/>
    <w:rsid w:val="00D05ED0"/>
    <w:rsid w:val="00D0725B"/>
    <w:rsid w:val="00D07356"/>
    <w:rsid w:val="00D07F1A"/>
    <w:rsid w:val="00D105D5"/>
    <w:rsid w:val="00D10DBE"/>
    <w:rsid w:val="00D10F35"/>
    <w:rsid w:val="00D10FC0"/>
    <w:rsid w:val="00D110F8"/>
    <w:rsid w:val="00D12E72"/>
    <w:rsid w:val="00D138FD"/>
    <w:rsid w:val="00D13E23"/>
    <w:rsid w:val="00D1564F"/>
    <w:rsid w:val="00D15F22"/>
    <w:rsid w:val="00D177B8"/>
    <w:rsid w:val="00D17E29"/>
    <w:rsid w:val="00D2047E"/>
    <w:rsid w:val="00D207DF"/>
    <w:rsid w:val="00D20A4B"/>
    <w:rsid w:val="00D21628"/>
    <w:rsid w:val="00D21E0D"/>
    <w:rsid w:val="00D21F9C"/>
    <w:rsid w:val="00D222BD"/>
    <w:rsid w:val="00D2379B"/>
    <w:rsid w:val="00D23B22"/>
    <w:rsid w:val="00D244F3"/>
    <w:rsid w:val="00D2510B"/>
    <w:rsid w:val="00D25742"/>
    <w:rsid w:val="00D259BC"/>
    <w:rsid w:val="00D25A9E"/>
    <w:rsid w:val="00D25FCC"/>
    <w:rsid w:val="00D26250"/>
    <w:rsid w:val="00D2676E"/>
    <w:rsid w:val="00D26A1B"/>
    <w:rsid w:val="00D271E3"/>
    <w:rsid w:val="00D27D64"/>
    <w:rsid w:val="00D31E31"/>
    <w:rsid w:val="00D324DE"/>
    <w:rsid w:val="00D32797"/>
    <w:rsid w:val="00D328E1"/>
    <w:rsid w:val="00D335AA"/>
    <w:rsid w:val="00D33767"/>
    <w:rsid w:val="00D33D55"/>
    <w:rsid w:val="00D33D9A"/>
    <w:rsid w:val="00D33E13"/>
    <w:rsid w:val="00D34481"/>
    <w:rsid w:val="00D34657"/>
    <w:rsid w:val="00D34823"/>
    <w:rsid w:val="00D360AA"/>
    <w:rsid w:val="00D362E1"/>
    <w:rsid w:val="00D36BEF"/>
    <w:rsid w:val="00D36FF2"/>
    <w:rsid w:val="00D37189"/>
    <w:rsid w:val="00D40088"/>
    <w:rsid w:val="00D40463"/>
    <w:rsid w:val="00D404CD"/>
    <w:rsid w:val="00D41998"/>
    <w:rsid w:val="00D423BE"/>
    <w:rsid w:val="00D4240F"/>
    <w:rsid w:val="00D42AB4"/>
    <w:rsid w:val="00D43106"/>
    <w:rsid w:val="00D43BA4"/>
    <w:rsid w:val="00D4475B"/>
    <w:rsid w:val="00D44A9C"/>
    <w:rsid w:val="00D45627"/>
    <w:rsid w:val="00D457C3"/>
    <w:rsid w:val="00D466FD"/>
    <w:rsid w:val="00D46A8C"/>
    <w:rsid w:val="00D46C3B"/>
    <w:rsid w:val="00D46E95"/>
    <w:rsid w:val="00D478E1"/>
    <w:rsid w:val="00D47C0C"/>
    <w:rsid w:val="00D5094B"/>
    <w:rsid w:val="00D51C0A"/>
    <w:rsid w:val="00D52659"/>
    <w:rsid w:val="00D526BE"/>
    <w:rsid w:val="00D52DBF"/>
    <w:rsid w:val="00D5339F"/>
    <w:rsid w:val="00D53875"/>
    <w:rsid w:val="00D53DB9"/>
    <w:rsid w:val="00D54D04"/>
    <w:rsid w:val="00D553A0"/>
    <w:rsid w:val="00D55A27"/>
    <w:rsid w:val="00D566D5"/>
    <w:rsid w:val="00D5773D"/>
    <w:rsid w:val="00D577B6"/>
    <w:rsid w:val="00D578AD"/>
    <w:rsid w:val="00D57B50"/>
    <w:rsid w:val="00D60191"/>
    <w:rsid w:val="00D60DDA"/>
    <w:rsid w:val="00D61709"/>
    <w:rsid w:val="00D61759"/>
    <w:rsid w:val="00D621E4"/>
    <w:rsid w:val="00D62335"/>
    <w:rsid w:val="00D63AED"/>
    <w:rsid w:val="00D63E2C"/>
    <w:rsid w:val="00D64492"/>
    <w:rsid w:val="00D64A4D"/>
    <w:rsid w:val="00D64C0F"/>
    <w:rsid w:val="00D64CF0"/>
    <w:rsid w:val="00D65609"/>
    <w:rsid w:val="00D6586B"/>
    <w:rsid w:val="00D65F27"/>
    <w:rsid w:val="00D66038"/>
    <w:rsid w:val="00D6612C"/>
    <w:rsid w:val="00D67058"/>
    <w:rsid w:val="00D70B89"/>
    <w:rsid w:val="00D7111F"/>
    <w:rsid w:val="00D717BA"/>
    <w:rsid w:val="00D71CE9"/>
    <w:rsid w:val="00D726B3"/>
    <w:rsid w:val="00D7355C"/>
    <w:rsid w:val="00D73D86"/>
    <w:rsid w:val="00D73FAD"/>
    <w:rsid w:val="00D74E4F"/>
    <w:rsid w:val="00D74F45"/>
    <w:rsid w:val="00D75008"/>
    <w:rsid w:val="00D7589C"/>
    <w:rsid w:val="00D7599D"/>
    <w:rsid w:val="00D75C88"/>
    <w:rsid w:val="00D76809"/>
    <w:rsid w:val="00D76C64"/>
    <w:rsid w:val="00D7775C"/>
    <w:rsid w:val="00D8075A"/>
    <w:rsid w:val="00D80AE8"/>
    <w:rsid w:val="00D81642"/>
    <w:rsid w:val="00D81D4C"/>
    <w:rsid w:val="00D82598"/>
    <w:rsid w:val="00D82BAA"/>
    <w:rsid w:val="00D82E92"/>
    <w:rsid w:val="00D83E52"/>
    <w:rsid w:val="00D8713D"/>
    <w:rsid w:val="00D878BE"/>
    <w:rsid w:val="00D87B04"/>
    <w:rsid w:val="00D87C25"/>
    <w:rsid w:val="00D90454"/>
    <w:rsid w:val="00D91B9C"/>
    <w:rsid w:val="00D91C80"/>
    <w:rsid w:val="00D922AF"/>
    <w:rsid w:val="00D9267B"/>
    <w:rsid w:val="00D92F64"/>
    <w:rsid w:val="00D93BB8"/>
    <w:rsid w:val="00D93F73"/>
    <w:rsid w:val="00D94213"/>
    <w:rsid w:val="00D9436E"/>
    <w:rsid w:val="00D96688"/>
    <w:rsid w:val="00D97289"/>
    <w:rsid w:val="00D97AC3"/>
    <w:rsid w:val="00D97D8D"/>
    <w:rsid w:val="00DA0A6E"/>
    <w:rsid w:val="00DA1EC5"/>
    <w:rsid w:val="00DA1F2B"/>
    <w:rsid w:val="00DA1F7D"/>
    <w:rsid w:val="00DA271B"/>
    <w:rsid w:val="00DA271F"/>
    <w:rsid w:val="00DA29F0"/>
    <w:rsid w:val="00DA2A8E"/>
    <w:rsid w:val="00DA30A6"/>
    <w:rsid w:val="00DA3313"/>
    <w:rsid w:val="00DA35A8"/>
    <w:rsid w:val="00DA4781"/>
    <w:rsid w:val="00DA54D2"/>
    <w:rsid w:val="00DA5708"/>
    <w:rsid w:val="00DA5A72"/>
    <w:rsid w:val="00DA5DAE"/>
    <w:rsid w:val="00DA64BA"/>
    <w:rsid w:val="00DA6C39"/>
    <w:rsid w:val="00DA7A6D"/>
    <w:rsid w:val="00DA7B96"/>
    <w:rsid w:val="00DB03FF"/>
    <w:rsid w:val="00DB1075"/>
    <w:rsid w:val="00DB1270"/>
    <w:rsid w:val="00DB1371"/>
    <w:rsid w:val="00DB1DDB"/>
    <w:rsid w:val="00DB22DF"/>
    <w:rsid w:val="00DB23B9"/>
    <w:rsid w:val="00DB249B"/>
    <w:rsid w:val="00DB2909"/>
    <w:rsid w:val="00DB2974"/>
    <w:rsid w:val="00DB36AF"/>
    <w:rsid w:val="00DB3B28"/>
    <w:rsid w:val="00DB538D"/>
    <w:rsid w:val="00DB5DE4"/>
    <w:rsid w:val="00DB5F87"/>
    <w:rsid w:val="00DB6C5F"/>
    <w:rsid w:val="00DB6D91"/>
    <w:rsid w:val="00DB776B"/>
    <w:rsid w:val="00DB7DD2"/>
    <w:rsid w:val="00DC0116"/>
    <w:rsid w:val="00DC04C4"/>
    <w:rsid w:val="00DC08A4"/>
    <w:rsid w:val="00DC0BE1"/>
    <w:rsid w:val="00DC0F6B"/>
    <w:rsid w:val="00DC1C98"/>
    <w:rsid w:val="00DC2BF8"/>
    <w:rsid w:val="00DC4360"/>
    <w:rsid w:val="00DC5E9F"/>
    <w:rsid w:val="00DC6B18"/>
    <w:rsid w:val="00DD055A"/>
    <w:rsid w:val="00DD078A"/>
    <w:rsid w:val="00DD12A8"/>
    <w:rsid w:val="00DD15E5"/>
    <w:rsid w:val="00DD37E8"/>
    <w:rsid w:val="00DD3EB5"/>
    <w:rsid w:val="00DD42A3"/>
    <w:rsid w:val="00DD4905"/>
    <w:rsid w:val="00DD492F"/>
    <w:rsid w:val="00DD5420"/>
    <w:rsid w:val="00DD734E"/>
    <w:rsid w:val="00DD7431"/>
    <w:rsid w:val="00DE05E2"/>
    <w:rsid w:val="00DE0ABA"/>
    <w:rsid w:val="00DE0EF8"/>
    <w:rsid w:val="00DE13E7"/>
    <w:rsid w:val="00DE17CB"/>
    <w:rsid w:val="00DE1954"/>
    <w:rsid w:val="00DE22B0"/>
    <w:rsid w:val="00DE2364"/>
    <w:rsid w:val="00DE266C"/>
    <w:rsid w:val="00DE3122"/>
    <w:rsid w:val="00DE3926"/>
    <w:rsid w:val="00DE4605"/>
    <w:rsid w:val="00DE4B81"/>
    <w:rsid w:val="00DE5D47"/>
    <w:rsid w:val="00DE6AC9"/>
    <w:rsid w:val="00DE7A82"/>
    <w:rsid w:val="00DF15B6"/>
    <w:rsid w:val="00DF1A9F"/>
    <w:rsid w:val="00DF2F91"/>
    <w:rsid w:val="00DF3695"/>
    <w:rsid w:val="00DF3E65"/>
    <w:rsid w:val="00DF42C9"/>
    <w:rsid w:val="00DF47A8"/>
    <w:rsid w:val="00DF4D19"/>
    <w:rsid w:val="00DF57BC"/>
    <w:rsid w:val="00DF60EC"/>
    <w:rsid w:val="00DF6B15"/>
    <w:rsid w:val="00DF6C34"/>
    <w:rsid w:val="00DF7368"/>
    <w:rsid w:val="00DF7D17"/>
    <w:rsid w:val="00DF7DEF"/>
    <w:rsid w:val="00E000E7"/>
    <w:rsid w:val="00E00918"/>
    <w:rsid w:val="00E00DDE"/>
    <w:rsid w:val="00E014DD"/>
    <w:rsid w:val="00E02102"/>
    <w:rsid w:val="00E02EB4"/>
    <w:rsid w:val="00E03480"/>
    <w:rsid w:val="00E04674"/>
    <w:rsid w:val="00E047A1"/>
    <w:rsid w:val="00E05AC1"/>
    <w:rsid w:val="00E06775"/>
    <w:rsid w:val="00E06822"/>
    <w:rsid w:val="00E0789F"/>
    <w:rsid w:val="00E07C60"/>
    <w:rsid w:val="00E1000B"/>
    <w:rsid w:val="00E10789"/>
    <w:rsid w:val="00E110A8"/>
    <w:rsid w:val="00E1123A"/>
    <w:rsid w:val="00E114E5"/>
    <w:rsid w:val="00E115B2"/>
    <w:rsid w:val="00E12124"/>
    <w:rsid w:val="00E1408B"/>
    <w:rsid w:val="00E14C44"/>
    <w:rsid w:val="00E14CFA"/>
    <w:rsid w:val="00E15426"/>
    <w:rsid w:val="00E1588B"/>
    <w:rsid w:val="00E15F61"/>
    <w:rsid w:val="00E1626A"/>
    <w:rsid w:val="00E16E53"/>
    <w:rsid w:val="00E1724C"/>
    <w:rsid w:val="00E202F4"/>
    <w:rsid w:val="00E20523"/>
    <w:rsid w:val="00E21007"/>
    <w:rsid w:val="00E21B64"/>
    <w:rsid w:val="00E21DDA"/>
    <w:rsid w:val="00E21F54"/>
    <w:rsid w:val="00E2204C"/>
    <w:rsid w:val="00E22438"/>
    <w:rsid w:val="00E224D4"/>
    <w:rsid w:val="00E22523"/>
    <w:rsid w:val="00E22A07"/>
    <w:rsid w:val="00E22EA6"/>
    <w:rsid w:val="00E23736"/>
    <w:rsid w:val="00E237D0"/>
    <w:rsid w:val="00E24CAD"/>
    <w:rsid w:val="00E24CF3"/>
    <w:rsid w:val="00E25013"/>
    <w:rsid w:val="00E25413"/>
    <w:rsid w:val="00E25492"/>
    <w:rsid w:val="00E26FD7"/>
    <w:rsid w:val="00E26FFB"/>
    <w:rsid w:val="00E27F36"/>
    <w:rsid w:val="00E301DA"/>
    <w:rsid w:val="00E30437"/>
    <w:rsid w:val="00E30ACF"/>
    <w:rsid w:val="00E313D8"/>
    <w:rsid w:val="00E31791"/>
    <w:rsid w:val="00E31B42"/>
    <w:rsid w:val="00E31D30"/>
    <w:rsid w:val="00E3203A"/>
    <w:rsid w:val="00E323CE"/>
    <w:rsid w:val="00E328D2"/>
    <w:rsid w:val="00E32BA5"/>
    <w:rsid w:val="00E32DA2"/>
    <w:rsid w:val="00E330A9"/>
    <w:rsid w:val="00E33298"/>
    <w:rsid w:val="00E34544"/>
    <w:rsid w:val="00E34AD2"/>
    <w:rsid w:val="00E352F4"/>
    <w:rsid w:val="00E37B76"/>
    <w:rsid w:val="00E404D4"/>
    <w:rsid w:val="00E40535"/>
    <w:rsid w:val="00E40B69"/>
    <w:rsid w:val="00E40E9B"/>
    <w:rsid w:val="00E41200"/>
    <w:rsid w:val="00E412C9"/>
    <w:rsid w:val="00E41D29"/>
    <w:rsid w:val="00E41ED2"/>
    <w:rsid w:val="00E41FD2"/>
    <w:rsid w:val="00E43BE7"/>
    <w:rsid w:val="00E4469D"/>
    <w:rsid w:val="00E4528F"/>
    <w:rsid w:val="00E45686"/>
    <w:rsid w:val="00E458C5"/>
    <w:rsid w:val="00E45DC1"/>
    <w:rsid w:val="00E46091"/>
    <w:rsid w:val="00E471D7"/>
    <w:rsid w:val="00E4776D"/>
    <w:rsid w:val="00E47807"/>
    <w:rsid w:val="00E509CE"/>
    <w:rsid w:val="00E51559"/>
    <w:rsid w:val="00E51675"/>
    <w:rsid w:val="00E52B61"/>
    <w:rsid w:val="00E53775"/>
    <w:rsid w:val="00E53BA1"/>
    <w:rsid w:val="00E546F4"/>
    <w:rsid w:val="00E549F0"/>
    <w:rsid w:val="00E5556B"/>
    <w:rsid w:val="00E55889"/>
    <w:rsid w:val="00E55904"/>
    <w:rsid w:val="00E55A7C"/>
    <w:rsid w:val="00E562D8"/>
    <w:rsid w:val="00E56AAC"/>
    <w:rsid w:val="00E571A7"/>
    <w:rsid w:val="00E57A67"/>
    <w:rsid w:val="00E57B05"/>
    <w:rsid w:val="00E57C6E"/>
    <w:rsid w:val="00E60540"/>
    <w:rsid w:val="00E60600"/>
    <w:rsid w:val="00E609E3"/>
    <w:rsid w:val="00E61061"/>
    <w:rsid w:val="00E612D9"/>
    <w:rsid w:val="00E61461"/>
    <w:rsid w:val="00E62418"/>
    <w:rsid w:val="00E6244D"/>
    <w:rsid w:val="00E62713"/>
    <w:rsid w:val="00E64222"/>
    <w:rsid w:val="00E645D4"/>
    <w:rsid w:val="00E64BB9"/>
    <w:rsid w:val="00E653E3"/>
    <w:rsid w:val="00E667D9"/>
    <w:rsid w:val="00E67C4E"/>
    <w:rsid w:val="00E67C6D"/>
    <w:rsid w:val="00E67EDA"/>
    <w:rsid w:val="00E67FC1"/>
    <w:rsid w:val="00E70D72"/>
    <w:rsid w:val="00E7124B"/>
    <w:rsid w:val="00E7139F"/>
    <w:rsid w:val="00E717AD"/>
    <w:rsid w:val="00E7198F"/>
    <w:rsid w:val="00E71A5D"/>
    <w:rsid w:val="00E72479"/>
    <w:rsid w:val="00E72550"/>
    <w:rsid w:val="00E75738"/>
    <w:rsid w:val="00E770BC"/>
    <w:rsid w:val="00E77963"/>
    <w:rsid w:val="00E77A58"/>
    <w:rsid w:val="00E77D9D"/>
    <w:rsid w:val="00E77F83"/>
    <w:rsid w:val="00E802C1"/>
    <w:rsid w:val="00E802ED"/>
    <w:rsid w:val="00E80399"/>
    <w:rsid w:val="00E80674"/>
    <w:rsid w:val="00E808CF"/>
    <w:rsid w:val="00E80A6D"/>
    <w:rsid w:val="00E821F7"/>
    <w:rsid w:val="00E82B81"/>
    <w:rsid w:val="00E8341D"/>
    <w:rsid w:val="00E83A7C"/>
    <w:rsid w:val="00E83E6F"/>
    <w:rsid w:val="00E84EE5"/>
    <w:rsid w:val="00E860F6"/>
    <w:rsid w:val="00E86EEE"/>
    <w:rsid w:val="00E87023"/>
    <w:rsid w:val="00E87104"/>
    <w:rsid w:val="00E87124"/>
    <w:rsid w:val="00E87E17"/>
    <w:rsid w:val="00E90531"/>
    <w:rsid w:val="00E91941"/>
    <w:rsid w:val="00E924DB"/>
    <w:rsid w:val="00E92681"/>
    <w:rsid w:val="00E946DD"/>
    <w:rsid w:val="00E949B7"/>
    <w:rsid w:val="00E949EB"/>
    <w:rsid w:val="00E94CC0"/>
    <w:rsid w:val="00E94FE2"/>
    <w:rsid w:val="00E971F9"/>
    <w:rsid w:val="00E9765B"/>
    <w:rsid w:val="00E976BF"/>
    <w:rsid w:val="00EA0467"/>
    <w:rsid w:val="00EA0B71"/>
    <w:rsid w:val="00EA0C8B"/>
    <w:rsid w:val="00EA139D"/>
    <w:rsid w:val="00EA1609"/>
    <w:rsid w:val="00EA1E07"/>
    <w:rsid w:val="00EA2527"/>
    <w:rsid w:val="00EA2943"/>
    <w:rsid w:val="00EA2BB7"/>
    <w:rsid w:val="00EA37AD"/>
    <w:rsid w:val="00EA4093"/>
    <w:rsid w:val="00EA4A7C"/>
    <w:rsid w:val="00EA4CBD"/>
    <w:rsid w:val="00EA60FD"/>
    <w:rsid w:val="00EA6316"/>
    <w:rsid w:val="00EA7099"/>
    <w:rsid w:val="00EA734E"/>
    <w:rsid w:val="00EA7900"/>
    <w:rsid w:val="00EA79E5"/>
    <w:rsid w:val="00EB03A8"/>
    <w:rsid w:val="00EB063D"/>
    <w:rsid w:val="00EB0BDF"/>
    <w:rsid w:val="00EB2067"/>
    <w:rsid w:val="00EB20F5"/>
    <w:rsid w:val="00EB2EEF"/>
    <w:rsid w:val="00EB3B7D"/>
    <w:rsid w:val="00EB4464"/>
    <w:rsid w:val="00EB46F9"/>
    <w:rsid w:val="00EB4F5A"/>
    <w:rsid w:val="00EB50E8"/>
    <w:rsid w:val="00EB60DA"/>
    <w:rsid w:val="00EB63D5"/>
    <w:rsid w:val="00EB64BA"/>
    <w:rsid w:val="00EB6743"/>
    <w:rsid w:val="00EB736E"/>
    <w:rsid w:val="00EB7DD3"/>
    <w:rsid w:val="00EC07E9"/>
    <w:rsid w:val="00EC0854"/>
    <w:rsid w:val="00EC14AA"/>
    <w:rsid w:val="00EC16F0"/>
    <w:rsid w:val="00EC24DD"/>
    <w:rsid w:val="00EC2DB8"/>
    <w:rsid w:val="00EC2FFB"/>
    <w:rsid w:val="00EC3686"/>
    <w:rsid w:val="00EC38E2"/>
    <w:rsid w:val="00EC3E29"/>
    <w:rsid w:val="00EC41A0"/>
    <w:rsid w:val="00EC4735"/>
    <w:rsid w:val="00EC529D"/>
    <w:rsid w:val="00EC5600"/>
    <w:rsid w:val="00EC7108"/>
    <w:rsid w:val="00EC797F"/>
    <w:rsid w:val="00EC7FE5"/>
    <w:rsid w:val="00ED03A9"/>
    <w:rsid w:val="00ED04AF"/>
    <w:rsid w:val="00ED06F9"/>
    <w:rsid w:val="00ED0A49"/>
    <w:rsid w:val="00ED0B54"/>
    <w:rsid w:val="00ED0B60"/>
    <w:rsid w:val="00ED0DB1"/>
    <w:rsid w:val="00ED1F35"/>
    <w:rsid w:val="00ED23E2"/>
    <w:rsid w:val="00ED2513"/>
    <w:rsid w:val="00ED253C"/>
    <w:rsid w:val="00ED296A"/>
    <w:rsid w:val="00ED29F3"/>
    <w:rsid w:val="00ED401C"/>
    <w:rsid w:val="00ED43F2"/>
    <w:rsid w:val="00ED4F9D"/>
    <w:rsid w:val="00ED5F16"/>
    <w:rsid w:val="00ED632C"/>
    <w:rsid w:val="00ED6A8F"/>
    <w:rsid w:val="00ED6C63"/>
    <w:rsid w:val="00ED719C"/>
    <w:rsid w:val="00ED71A9"/>
    <w:rsid w:val="00ED71FA"/>
    <w:rsid w:val="00ED7724"/>
    <w:rsid w:val="00ED7E90"/>
    <w:rsid w:val="00EE1454"/>
    <w:rsid w:val="00EE280E"/>
    <w:rsid w:val="00EE3228"/>
    <w:rsid w:val="00EE35C7"/>
    <w:rsid w:val="00EE3632"/>
    <w:rsid w:val="00EE51F8"/>
    <w:rsid w:val="00EE56B5"/>
    <w:rsid w:val="00EE59A7"/>
    <w:rsid w:val="00EE5B6B"/>
    <w:rsid w:val="00EE5D13"/>
    <w:rsid w:val="00EE5ECF"/>
    <w:rsid w:val="00EE6408"/>
    <w:rsid w:val="00EE6722"/>
    <w:rsid w:val="00EE7C78"/>
    <w:rsid w:val="00EF0943"/>
    <w:rsid w:val="00EF0C5C"/>
    <w:rsid w:val="00EF1C7F"/>
    <w:rsid w:val="00EF1EDA"/>
    <w:rsid w:val="00EF235D"/>
    <w:rsid w:val="00EF26D9"/>
    <w:rsid w:val="00EF2D80"/>
    <w:rsid w:val="00EF2E9C"/>
    <w:rsid w:val="00EF340F"/>
    <w:rsid w:val="00EF3995"/>
    <w:rsid w:val="00EF3F50"/>
    <w:rsid w:val="00EF40E9"/>
    <w:rsid w:val="00EF4180"/>
    <w:rsid w:val="00EF4565"/>
    <w:rsid w:val="00EF50A0"/>
    <w:rsid w:val="00EF510C"/>
    <w:rsid w:val="00EF5A41"/>
    <w:rsid w:val="00EF5F19"/>
    <w:rsid w:val="00EF6257"/>
    <w:rsid w:val="00EF7099"/>
    <w:rsid w:val="00EF7400"/>
    <w:rsid w:val="00EF7BB6"/>
    <w:rsid w:val="00EF7E23"/>
    <w:rsid w:val="00F0031E"/>
    <w:rsid w:val="00F00871"/>
    <w:rsid w:val="00F00D1E"/>
    <w:rsid w:val="00F00F38"/>
    <w:rsid w:val="00F011FF"/>
    <w:rsid w:val="00F02406"/>
    <w:rsid w:val="00F0297F"/>
    <w:rsid w:val="00F029F9"/>
    <w:rsid w:val="00F02AD5"/>
    <w:rsid w:val="00F0437B"/>
    <w:rsid w:val="00F04B89"/>
    <w:rsid w:val="00F04C0F"/>
    <w:rsid w:val="00F04D6C"/>
    <w:rsid w:val="00F0516E"/>
    <w:rsid w:val="00F05716"/>
    <w:rsid w:val="00F05F90"/>
    <w:rsid w:val="00F06297"/>
    <w:rsid w:val="00F062C9"/>
    <w:rsid w:val="00F075C5"/>
    <w:rsid w:val="00F10791"/>
    <w:rsid w:val="00F109B5"/>
    <w:rsid w:val="00F1103B"/>
    <w:rsid w:val="00F112D8"/>
    <w:rsid w:val="00F12782"/>
    <w:rsid w:val="00F1288C"/>
    <w:rsid w:val="00F12B0B"/>
    <w:rsid w:val="00F1341D"/>
    <w:rsid w:val="00F13C6B"/>
    <w:rsid w:val="00F13F40"/>
    <w:rsid w:val="00F141EB"/>
    <w:rsid w:val="00F142A1"/>
    <w:rsid w:val="00F14F52"/>
    <w:rsid w:val="00F15056"/>
    <w:rsid w:val="00F1511B"/>
    <w:rsid w:val="00F1520E"/>
    <w:rsid w:val="00F15403"/>
    <w:rsid w:val="00F1568D"/>
    <w:rsid w:val="00F15F6C"/>
    <w:rsid w:val="00F17BF7"/>
    <w:rsid w:val="00F17C0F"/>
    <w:rsid w:val="00F17EA5"/>
    <w:rsid w:val="00F20FCE"/>
    <w:rsid w:val="00F212E4"/>
    <w:rsid w:val="00F21601"/>
    <w:rsid w:val="00F22077"/>
    <w:rsid w:val="00F234F3"/>
    <w:rsid w:val="00F23788"/>
    <w:rsid w:val="00F23DB8"/>
    <w:rsid w:val="00F23FA3"/>
    <w:rsid w:val="00F24CA4"/>
    <w:rsid w:val="00F26952"/>
    <w:rsid w:val="00F274F4"/>
    <w:rsid w:val="00F275AC"/>
    <w:rsid w:val="00F27A41"/>
    <w:rsid w:val="00F27C3A"/>
    <w:rsid w:val="00F310AB"/>
    <w:rsid w:val="00F31E5B"/>
    <w:rsid w:val="00F32294"/>
    <w:rsid w:val="00F330B1"/>
    <w:rsid w:val="00F33460"/>
    <w:rsid w:val="00F334A7"/>
    <w:rsid w:val="00F334B7"/>
    <w:rsid w:val="00F3361A"/>
    <w:rsid w:val="00F33840"/>
    <w:rsid w:val="00F33985"/>
    <w:rsid w:val="00F3512F"/>
    <w:rsid w:val="00F36723"/>
    <w:rsid w:val="00F36964"/>
    <w:rsid w:val="00F37955"/>
    <w:rsid w:val="00F37CB4"/>
    <w:rsid w:val="00F37DE9"/>
    <w:rsid w:val="00F37FAC"/>
    <w:rsid w:val="00F40294"/>
    <w:rsid w:val="00F40BDA"/>
    <w:rsid w:val="00F40E32"/>
    <w:rsid w:val="00F40F7A"/>
    <w:rsid w:val="00F41172"/>
    <w:rsid w:val="00F412B5"/>
    <w:rsid w:val="00F41702"/>
    <w:rsid w:val="00F4191A"/>
    <w:rsid w:val="00F4248F"/>
    <w:rsid w:val="00F42726"/>
    <w:rsid w:val="00F42ACE"/>
    <w:rsid w:val="00F43F37"/>
    <w:rsid w:val="00F442FC"/>
    <w:rsid w:val="00F46011"/>
    <w:rsid w:val="00F46353"/>
    <w:rsid w:val="00F5026E"/>
    <w:rsid w:val="00F503AD"/>
    <w:rsid w:val="00F504D2"/>
    <w:rsid w:val="00F51759"/>
    <w:rsid w:val="00F5237B"/>
    <w:rsid w:val="00F52655"/>
    <w:rsid w:val="00F526DF"/>
    <w:rsid w:val="00F530A6"/>
    <w:rsid w:val="00F53810"/>
    <w:rsid w:val="00F54B8A"/>
    <w:rsid w:val="00F54F4C"/>
    <w:rsid w:val="00F550B1"/>
    <w:rsid w:val="00F5567F"/>
    <w:rsid w:val="00F559A2"/>
    <w:rsid w:val="00F55BFE"/>
    <w:rsid w:val="00F56D28"/>
    <w:rsid w:val="00F57117"/>
    <w:rsid w:val="00F578D9"/>
    <w:rsid w:val="00F606EF"/>
    <w:rsid w:val="00F622BC"/>
    <w:rsid w:val="00F622DE"/>
    <w:rsid w:val="00F62A9C"/>
    <w:rsid w:val="00F62BC1"/>
    <w:rsid w:val="00F63793"/>
    <w:rsid w:val="00F63D14"/>
    <w:rsid w:val="00F6436E"/>
    <w:rsid w:val="00F643CB"/>
    <w:rsid w:val="00F647DD"/>
    <w:rsid w:val="00F650D2"/>
    <w:rsid w:val="00F65348"/>
    <w:rsid w:val="00F65450"/>
    <w:rsid w:val="00F65D36"/>
    <w:rsid w:val="00F66657"/>
    <w:rsid w:val="00F66861"/>
    <w:rsid w:val="00F679B7"/>
    <w:rsid w:val="00F67BB5"/>
    <w:rsid w:val="00F700B3"/>
    <w:rsid w:val="00F70175"/>
    <w:rsid w:val="00F70513"/>
    <w:rsid w:val="00F70533"/>
    <w:rsid w:val="00F71970"/>
    <w:rsid w:val="00F725AE"/>
    <w:rsid w:val="00F72B5C"/>
    <w:rsid w:val="00F74042"/>
    <w:rsid w:val="00F74A96"/>
    <w:rsid w:val="00F75BF8"/>
    <w:rsid w:val="00F76A56"/>
    <w:rsid w:val="00F771A7"/>
    <w:rsid w:val="00F778D0"/>
    <w:rsid w:val="00F8056F"/>
    <w:rsid w:val="00F80E12"/>
    <w:rsid w:val="00F819A1"/>
    <w:rsid w:val="00F821DD"/>
    <w:rsid w:val="00F8407B"/>
    <w:rsid w:val="00F84604"/>
    <w:rsid w:val="00F8495E"/>
    <w:rsid w:val="00F8547F"/>
    <w:rsid w:val="00F8548E"/>
    <w:rsid w:val="00F8602F"/>
    <w:rsid w:val="00F861E6"/>
    <w:rsid w:val="00F86624"/>
    <w:rsid w:val="00F8683E"/>
    <w:rsid w:val="00F8792D"/>
    <w:rsid w:val="00F87D8A"/>
    <w:rsid w:val="00F90186"/>
    <w:rsid w:val="00F9060F"/>
    <w:rsid w:val="00F908A8"/>
    <w:rsid w:val="00F90DF5"/>
    <w:rsid w:val="00F91596"/>
    <w:rsid w:val="00F92346"/>
    <w:rsid w:val="00F93CC9"/>
    <w:rsid w:val="00F93FD7"/>
    <w:rsid w:val="00F947AD"/>
    <w:rsid w:val="00F94AB3"/>
    <w:rsid w:val="00F950CA"/>
    <w:rsid w:val="00F96119"/>
    <w:rsid w:val="00F961BC"/>
    <w:rsid w:val="00F9631E"/>
    <w:rsid w:val="00F970EE"/>
    <w:rsid w:val="00F97259"/>
    <w:rsid w:val="00F972AD"/>
    <w:rsid w:val="00F97721"/>
    <w:rsid w:val="00FA0A4B"/>
    <w:rsid w:val="00FA153C"/>
    <w:rsid w:val="00FA2247"/>
    <w:rsid w:val="00FA2917"/>
    <w:rsid w:val="00FA2CC4"/>
    <w:rsid w:val="00FA3BAC"/>
    <w:rsid w:val="00FA45B4"/>
    <w:rsid w:val="00FA526C"/>
    <w:rsid w:val="00FA5700"/>
    <w:rsid w:val="00FA6E38"/>
    <w:rsid w:val="00FA6E53"/>
    <w:rsid w:val="00FB0044"/>
    <w:rsid w:val="00FB0585"/>
    <w:rsid w:val="00FB098D"/>
    <w:rsid w:val="00FB1567"/>
    <w:rsid w:val="00FB2783"/>
    <w:rsid w:val="00FB3015"/>
    <w:rsid w:val="00FB3C06"/>
    <w:rsid w:val="00FB4635"/>
    <w:rsid w:val="00FB4A3B"/>
    <w:rsid w:val="00FB57C6"/>
    <w:rsid w:val="00FB57D8"/>
    <w:rsid w:val="00FB583C"/>
    <w:rsid w:val="00FB5A61"/>
    <w:rsid w:val="00FB73E0"/>
    <w:rsid w:val="00FB7E41"/>
    <w:rsid w:val="00FC0366"/>
    <w:rsid w:val="00FC09C8"/>
    <w:rsid w:val="00FC1083"/>
    <w:rsid w:val="00FC114E"/>
    <w:rsid w:val="00FC131E"/>
    <w:rsid w:val="00FC136A"/>
    <w:rsid w:val="00FC2078"/>
    <w:rsid w:val="00FC2A3F"/>
    <w:rsid w:val="00FC3931"/>
    <w:rsid w:val="00FC3C44"/>
    <w:rsid w:val="00FC452B"/>
    <w:rsid w:val="00FC50F8"/>
    <w:rsid w:val="00FC5E2C"/>
    <w:rsid w:val="00FC60D5"/>
    <w:rsid w:val="00FC6489"/>
    <w:rsid w:val="00FC65EF"/>
    <w:rsid w:val="00FC762F"/>
    <w:rsid w:val="00FC770A"/>
    <w:rsid w:val="00FC7A54"/>
    <w:rsid w:val="00FC7B90"/>
    <w:rsid w:val="00FD0A05"/>
    <w:rsid w:val="00FD0DC2"/>
    <w:rsid w:val="00FD227E"/>
    <w:rsid w:val="00FD24E6"/>
    <w:rsid w:val="00FD2BE0"/>
    <w:rsid w:val="00FD31CB"/>
    <w:rsid w:val="00FD3926"/>
    <w:rsid w:val="00FD465B"/>
    <w:rsid w:val="00FD4FFA"/>
    <w:rsid w:val="00FD5085"/>
    <w:rsid w:val="00FD56C1"/>
    <w:rsid w:val="00FD6123"/>
    <w:rsid w:val="00FD624A"/>
    <w:rsid w:val="00FD63FC"/>
    <w:rsid w:val="00FD69B4"/>
    <w:rsid w:val="00FD77C7"/>
    <w:rsid w:val="00FD782A"/>
    <w:rsid w:val="00FD795A"/>
    <w:rsid w:val="00FE0BE0"/>
    <w:rsid w:val="00FE126E"/>
    <w:rsid w:val="00FE1D89"/>
    <w:rsid w:val="00FE315E"/>
    <w:rsid w:val="00FE3CB6"/>
    <w:rsid w:val="00FE3D9F"/>
    <w:rsid w:val="00FE4184"/>
    <w:rsid w:val="00FE4A4B"/>
    <w:rsid w:val="00FE4BE1"/>
    <w:rsid w:val="00FE5129"/>
    <w:rsid w:val="00FE5388"/>
    <w:rsid w:val="00FE53A6"/>
    <w:rsid w:val="00FE56BC"/>
    <w:rsid w:val="00FE6340"/>
    <w:rsid w:val="00FE63F3"/>
    <w:rsid w:val="00FE6DA2"/>
    <w:rsid w:val="00FE759F"/>
    <w:rsid w:val="00FE7D69"/>
    <w:rsid w:val="00FE7F0D"/>
    <w:rsid w:val="00FF0011"/>
    <w:rsid w:val="00FF1A05"/>
    <w:rsid w:val="00FF1ED3"/>
    <w:rsid w:val="00FF1F2E"/>
    <w:rsid w:val="00FF2139"/>
    <w:rsid w:val="00FF293C"/>
    <w:rsid w:val="00FF2E72"/>
    <w:rsid w:val="00FF30B6"/>
    <w:rsid w:val="00FF3C26"/>
    <w:rsid w:val="00FF5082"/>
    <w:rsid w:val="00FF6D6E"/>
    <w:rsid w:val="00FF7417"/>
    <w:rsid w:val="00FF7451"/>
    <w:rsid w:val="015B6A60"/>
    <w:rsid w:val="018A43E4"/>
    <w:rsid w:val="01DB71A5"/>
    <w:rsid w:val="022264E7"/>
    <w:rsid w:val="023A5733"/>
    <w:rsid w:val="03DB0660"/>
    <w:rsid w:val="04214215"/>
    <w:rsid w:val="042913CB"/>
    <w:rsid w:val="049C58DC"/>
    <w:rsid w:val="05FB1EFB"/>
    <w:rsid w:val="070E1DBC"/>
    <w:rsid w:val="085E576C"/>
    <w:rsid w:val="0913264A"/>
    <w:rsid w:val="09452F69"/>
    <w:rsid w:val="09645E28"/>
    <w:rsid w:val="096A1617"/>
    <w:rsid w:val="0A397E8E"/>
    <w:rsid w:val="0A6138B9"/>
    <w:rsid w:val="0AB81282"/>
    <w:rsid w:val="0AD02470"/>
    <w:rsid w:val="0BB44687"/>
    <w:rsid w:val="0C3C0D71"/>
    <w:rsid w:val="0C9F454D"/>
    <w:rsid w:val="0C9F66CF"/>
    <w:rsid w:val="0D0F23CD"/>
    <w:rsid w:val="0DB37F58"/>
    <w:rsid w:val="0DCA541A"/>
    <w:rsid w:val="0E19600D"/>
    <w:rsid w:val="0E8A6F0A"/>
    <w:rsid w:val="0EBA4BC0"/>
    <w:rsid w:val="0F487E2E"/>
    <w:rsid w:val="0F7315AE"/>
    <w:rsid w:val="0FC85F3C"/>
    <w:rsid w:val="1066305F"/>
    <w:rsid w:val="125A2F4E"/>
    <w:rsid w:val="12717ED2"/>
    <w:rsid w:val="12942A81"/>
    <w:rsid w:val="12F76614"/>
    <w:rsid w:val="13230C28"/>
    <w:rsid w:val="137B0331"/>
    <w:rsid w:val="13BF31B2"/>
    <w:rsid w:val="13EE5846"/>
    <w:rsid w:val="146A3851"/>
    <w:rsid w:val="146E7F31"/>
    <w:rsid w:val="14EA64E7"/>
    <w:rsid w:val="15863CA1"/>
    <w:rsid w:val="16295B74"/>
    <w:rsid w:val="16B234A2"/>
    <w:rsid w:val="17B46EBD"/>
    <w:rsid w:val="18D1181A"/>
    <w:rsid w:val="1997050A"/>
    <w:rsid w:val="19E020D4"/>
    <w:rsid w:val="1A04406C"/>
    <w:rsid w:val="1A727C95"/>
    <w:rsid w:val="1AFB0087"/>
    <w:rsid w:val="1B062FE7"/>
    <w:rsid w:val="1B52009D"/>
    <w:rsid w:val="1BE42CC1"/>
    <w:rsid w:val="1ED22431"/>
    <w:rsid w:val="1EDB5A9D"/>
    <w:rsid w:val="1F14506B"/>
    <w:rsid w:val="1F5F5AFA"/>
    <w:rsid w:val="1F6B1C5A"/>
    <w:rsid w:val="1F777D44"/>
    <w:rsid w:val="1FA770AE"/>
    <w:rsid w:val="1FD704E4"/>
    <w:rsid w:val="20090F41"/>
    <w:rsid w:val="20857532"/>
    <w:rsid w:val="20E71028"/>
    <w:rsid w:val="21485630"/>
    <w:rsid w:val="21FE6200"/>
    <w:rsid w:val="22E7337F"/>
    <w:rsid w:val="231E1D7D"/>
    <w:rsid w:val="23384D2F"/>
    <w:rsid w:val="2352467F"/>
    <w:rsid w:val="24F815FD"/>
    <w:rsid w:val="255F69AA"/>
    <w:rsid w:val="25B65855"/>
    <w:rsid w:val="25B76424"/>
    <w:rsid w:val="263007E0"/>
    <w:rsid w:val="263552EB"/>
    <w:rsid w:val="2732083F"/>
    <w:rsid w:val="27541A0C"/>
    <w:rsid w:val="28AE0C26"/>
    <w:rsid w:val="295B52C5"/>
    <w:rsid w:val="29C70BEB"/>
    <w:rsid w:val="2A5879A7"/>
    <w:rsid w:val="2B374B9A"/>
    <w:rsid w:val="2C3E4F60"/>
    <w:rsid w:val="2C5B433C"/>
    <w:rsid w:val="2C6B58FF"/>
    <w:rsid w:val="2C730E72"/>
    <w:rsid w:val="2CCD697A"/>
    <w:rsid w:val="2D0662C8"/>
    <w:rsid w:val="2D1732E0"/>
    <w:rsid w:val="2D614000"/>
    <w:rsid w:val="2E55781B"/>
    <w:rsid w:val="2EF2478B"/>
    <w:rsid w:val="2F067A90"/>
    <w:rsid w:val="2F286BCC"/>
    <w:rsid w:val="2FA21EAE"/>
    <w:rsid w:val="2FF93C8E"/>
    <w:rsid w:val="303E1732"/>
    <w:rsid w:val="31693F67"/>
    <w:rsid w:val="31B54577"/>
    <w:rsid w:val="32E706CD"/>
    <w:rsid w:val="331965BD"/>
    <w:rsid w:val="3336318B"/>
    <w:rsid w:val="338440BC"/>
    <w:rsid w:val="33A019CD"/>
    <w:rsid w:val="33E024E6"/>
    <w:rsid w:val="356B2B79"/>
    <w:rsid w:val="36340DB7"/>
    <w:rsid w:val="368D0E6A"/>
    <w:rsid w:val="374732E4"/>
    <w:rsid w:val="374E0226"/>
    <w:rsid w:val="381C2202"/>
    <w:rsid w:val="38DF7CCF"/>
    <w:rsid w:val="39396C23"/>
    <w:rsid w:val="393A3BBB"/>
    <w:rsid w:val="398E2386"/>
    <w:rsid w:val="39D30676"/>
    <w:rsid w:val="39F8173A"/>
    <w:rsid w:val="3B47324E"/>
    <w:rsid w:val="3B8F321B"/>
    <w:rsid w:val="3BD86C58"/>
    <w:rsid w:val="3C75344B"/>
    <w:rsid w:val="3C793D48"/>
    <w:rsid w:val="3D206569"/>
    <w:rsid w:val="3DA91B30"/>
    <w:rsid w:val="3DC76F84"/>
    <w:rsid w:val="3DFF624B"/>
    <w:rsid w:val="3E1A70B4"/>
    <w:rsid w:val="3E2C1681"/>
    <w:rsid w:val="3E5A640F"/>
    <w:rsid w:val="3E84196E"/>
    <w:rsid w:val="3EF61DFB"/>
    <w:rsid w:val="400E1D4D"/>
    <w:rsid w:val="41502177"/>
    <w:rsid w:val="41677D5F"/>
    <w:rsid w:val="416B7C26"/>
    <w:rsid w:val="418E639B"/>
    <w:rsid w:val="41F37E3D"/>
    <w:rsid w:val="427A3BEF"/>
    <w:rsid w:val="42CE1E1B"/>
    <w:rsid w:val="43F7626F"/>
    <w:rsid w:val="44282C13"/>
    <w:rsid w:val="449A21E7"/>
    <w:rsid w:val="456116A8"/>
    <w:rsid w:val="45CC79E2"/>
    <w:rsid w:val="46175851"/>
    <w:rsid w:val="463179E1"/>
    <w:rsid w:val="46405B25"/>
    <w:rsid w:val="46CE7C60"/>
    <w:rsid w:val="491024A8"/>
    <w:rsid w:val="494B0A69"/>
    <w:rsid w:val="4A993F48"/>
    <w:rsid w:val="4B000BF6"/>
    <w:rsid w:val="4BBE19C6"/>
    <w:rsid w:val="4C135E4D"/>
    <w:rsid w:val="4C8C42B2"/>
    <w:rsid w:val="4CEB00BE"/>
    <w:rsid w:val="4D3857A8"/>
    <w:rsid w:val="4D470322"/>
    <w:rsid w:val="4D781D8D"/>
    <w:rsid w:val="4DAE533F"/>
    <w:rsid w:val="4DE8590F"/>
    <w:rsid w:val="4E8D742E"/>
    <w:rsid w:val="4EA86CFC"/>
    <w:rsid w:val="4ED2223A"/>
    <w:rsid w:val="4EEE2759"/>
    <w:rsid w:val="4EF70D4B"/>
    <w:rsid w:val="4FB40B37"/>
    <w:rsid w:val="50296CD6"/>
    <w:rsid w:val="505F5230"/>
    <w:rsid w:val="50A6581B"/>
    <w:rsid w:val="50FA3BDF"/>
    <w:rsid w:val="51402485"/>
    <w:rsid w:val="51AB291C"/>
    <w:rsid w:val="51DE2796"/>
    <w:rsid w:val="51E4137E"/>
    <w:rsid w:val="520E6EE7"/>
    <w:rsid w:val="525D6888"/>
    <w:rsid w:val="52760130"/>
    <w:rsid w:val="52FB0D10"/>
    <w:rsid w:val="536900ED"/>
    <w:rsid w:val="537533AF"/>
    <w:rsid w:val="54507715"/>
    <w:rsid w:val="54606612"/>
    <w:rsid w:val="54680721"/>
    <w:rsid w:val="547F1697"/>
    <w:rsid w:val="5485693F"/>
    <w:rsid w:val="57145DE9"/>
    <w:rsid w:val="57B819BF"/>
    <w:rsid w:val="589F4E03"/>
    <w:rsid w:val="58BE4BDC"/>
    <w:rsid w:val="59D37116"/>
    <w:rsid w:val="5ABE3BD9"/>
    <w:rsid w:val="5ACD5782"/>
    <w:rsid w:val="5B005333"/>
    <w:rsid w:val="5B2904EA"/>
    <w:rsid w:val="5B9E0ECC"/>
    <w:rsid w:val="5BBD43D7"/>
    <w:rsid w:val="5C431B1D"/>
    <w:rsid w:val="5DE3706A"/>
    <w:rsid w:val="5DF17A5F"/>
    <w:rsid w:val="5E4472E8"/>
    <w:rsid w:val="5E9D5029"/>
    <w:rsid w:val="5EA10F29"/>
    <w:rsid w:val="5EBE2070"/>
    <w:rsid w:val="5F5269D4"/>
    <w:rsid w:val="5F83069C"/>
    <w:rsid w:val="5FBB451C"/>
    <w:rsid w:val="607E751E"/>
    <w:rsid w:val="618B0BB4"/>
    <w:rsid w:val="61A76CD4"/>
    <w:rsid w:val="62120938"/>
    <w:rsid w:val="62D02945"/>
    <w:rsid w:val="63657FA2"/>
    <w:rsid w:val="63FF06D9"/>
    <w:rsid w:val="644F6AF1"/>
    <w:rsid w:val="64F70B9D"/>
    <w:rsid w:val="66065FEC"/>
    <w:rsid w:val="670005DC"/>
    <w:rsid w:val="679416EF"/>
    <w:rsid w:val="683A1FD5"/>
    <w:rsid w:val="68481C08"/>
    <w:rsid w:val="684B7DD4"/>
    <w:rsid w:val="689F2D60"/>
    <w:rsid w:val="691D5B26"/>
    <w:rsid w:val="6977004F"/>
    <w:rsid w:val="69C06597"/>
    <w:rsid w:val="69D616BD"/>
    <w:rsid w:val="6B44767A"/>
    <w:rsid w:val="6BE71F04"/>
    <w:rsid w:val="6BE94BEE"/>
    <w:rsid w:val="6C1F5711"/>
    <w:rsid w:val="6C23287D"/>
    <w:rsid w:val="6CB848BA"/>
    <w:rsid w:val="6D2D7EC9"/>
    <w:rsid w:val="6D7D4BBD"/>
    <w:rsid w:val="6E11619B"/>
    <w:rsid w:val="6F1D52E6"/>
    <w:rsid w:val="6F441CBC"/>
    <w:rsid w:val="6F576B02"/>
    <w:rsid w:val="6FA95EC8"/>
    <w:rsid w:val="70A65464"/>
    <w:rsid w:val="70B34FC2"/>
    <w:rsid w:val="70D5719D"/>
    <w:rsid w:val="71DE77DD"/>
    <w:rsid w:val="728A4E31"/>
    <w:rsid w:val="72C15774"/>
    <w:rsid w:val="72D54D7C"/>
    <w:rsid w:val="72D72E18"/>
    <w:rsid w:val="72FF4021"/>
    <w:rsid w:val="732F18B1"/>
    <w:rsid w:val="73440153"/>
    <w:rsid w:val="73B614A0"/>
    <w:rsid w:val="73C25629"/>
    <w:rsid w:val="741E2879"/>
    <w:rsid w:val="75385D67"/>
    <w:rsid w:val="75406CC1"/>
    <w:rsid w:val="764566BC"/>
    <w:rsid w:val="7783749C"/>
    <w:rsid w:val="786C55F9"/>
    <w:rsid w:val="78B10039"/>
    <w:rsid w:val="78CF4148"/>
    <w:rsid w:val="78EA354B"/>
    <w:rsid w:val="79D5266D"/>
    <w:rsid w:val="7A1C30F9"/>
    <w:rsid w:val="7ACD6C80"/>
    <w:rsid w:val="7C135E75"/>
    <w:rsid w:val="7C8705D5"/>
    <w:rsid w:val="7C896129"/>
    <w:rsid w:val="7CF60710"/>
    <w:rsid w:val="7E0B26AC"/>
    <w:rsid w:val="7F1C7EB7"/>
    <w:rsid w:val="7F6562EA"/>
    <w:rsid w:val="7F8E34DB"/>
    <w:rsid w:val="7FA85E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0" w:name="Normal (Web)"/>
    <w:lsdException w:uiPriority="0" w:name="HTML Acronym"/>
    <w:lsdException w:uiPriority="0" w:name="HTML Address"/>
    <w:lsdException w:qFormat="1"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59"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6"/>
    <w:qFormat/>
    <w:uiPriority w:val="9"/>
    <w:pPr>
      <w:keepNext/>
      <w:keepLines/>
      <w:spacing w:before="340" w:after="330" w:line="578" w:lineRule="auto"/>
      <w:outlineLvl w:val="0"/>
    </w:pPr>
    <w:rPr>
      <w:bCs/>
      <w:kern w:val="44"/>
      <w:sz w:val="30"/>
      <w:szCs w:val="44"/>
    </w:rPr>
  </w:style>
  <w:style w:type="paragraph" w:styleId="3">
    <w:name w:val="heading 2"/>
    <w:basedOn w:val="1"/>
    <w:next w:val="1"/>
    <w:link w:val="27"/>
    <w:unhideWhenUsed/>
    <w:qFormat/>
    <w:uiPriority w:val="0"/>
    <w:pPr>
      <w:keepNext/>
      <w:keepLines/>
      <w:spacing w:before="120" w:after="120" w:line="360" w:lineRule="auto"/>
      <w:outlineLvl w:val="1"/>
    </w:pPr>
    <w:rPr>
      <w:rFonts w:asciiTheme="majorHAnsi" w:hAnsiTheme="majorHAnsi" w:eastAsiaTheme="majorEastAsia" w:cstheme="majorBidi"/>
      <w:b/>
      <w:bCs/>
      <w:sz w:val="24"/>
      <w:szCs w:val="32"/>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30"/>
    <w:unhideWhenUsed/>
    <w:qFormat/>
    <w:uiPriority w:val="99"/>
    <w:pPr>
      <w:jc w:val="left"/>
    </w:pPr>
  </w:style>
  <w:style w:type="paragraph" w:styleId="6">
    <w:name w:val="toc 3"/>
    <w:basedOn w:val="1"/>
    <w:next w:val="1"/>
    <w:unhideWhenUsed/>
    <w:qFormat/>
    <w:uiPriority w:val="39"/>
    <w:pPr>
      <w:ind w:left="840" w:leftChars="400"/>
    </w:pPr>
  </w:style>
  <w:style w:type="paragraph" w:styleId="7">
    <w:name w:val="Date"/>
    <w:basedOn w:val="1"/>
    <w:next w:val="1"/>
    <w:link w:val="34"/>
    <w:qFormat/>
    <w:uiPriority w:val="0"/>
    <w:pPr>
      <w:ind w:left="100" w:leftChars="2500"/>
    </w:pPr>
  </w:style>
  <w:style w:type="paragraph" w:styleId="8">
    <w:name w:val="Balloon Text"/>
    <w:basedOn w:val="1"/>
    <w:link w:val="32"/>
    <w:semiHidden/>
    <w:unhideWhenUsed/>
    <w:qFormat/>
    <w:uiPriority w:val="0"/>
    <w:rPr>
      <w:sz w:val="18"/>
      <w:szCs w:val="18"/>
    </w:rPr>
  </w:style>
  <w:style w:type="paragraph" w:styleId="9">
    <w:name w:val="footer"/>
    <w:basedOn w:val="1"/>
    <w:link w:val="25"/>
    <w:qFormat/>
    <w:uiPriority w:val="99"/>
    <w:pPr>
      <w:tabs>
        <w:tab w:val="center" w:pos="4153"/>
        <w:tab w:val="right" w:pos="8306"/>
      </w:tabs>
      <w:snapToGrid w:val="0"/>
      <w:jc w:val="left"/>
    </w:pPr>
    <w:rPr>
      <w:sz w:val="18"/>
      <w:szCs w:val="18"/>
    </w:rPr>
  </w:style>
  <w:style w:type="paragraph" w:styleId="10">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toc 2"/>
    <w:basedOn w:val="1"/>
    <w:next w:val="1"/>
    <w:unhideWhenUsed/>
    <w:qFormat/>
    <w:uiPriority w:val="39"/>
    <w:pPr>
      <w:ind w:left="420" w:leftChars="200"/>
    </w:pPr>
  </w:style>
  <w:style w:type="paragraph" w:styleId="13">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4">
    <w:name w:val="Normal (Web)"/>
    <w:basedOn w:val="1"/>
    <w:semiHidden/>
    <w:unhideWhenUsed/>
    <w:qFormat/>
    <w:uiPriority w:val="0"/>
    <w:pPr>
      <w:spacing w:beforeAutospacing="1" w:afterAutospacing="1"/>
      <w:jc w:val="left"/>
    </w:pPr>
    <w:rPr>
      <w:rFonts w:cs="Times New Roman"/>
      <w:kern w:val="0"/>
      <w:sz w:val="24"/>
    </w:rPr>
  </w:style>
  <w:style w:type="paragraph" w:styleId="15">
    <w:name w:val="annotation subject"/>
    <w:basedOn w:val="5"/>
    <w:next w:val="5"/>
    <w:link w:val="31"/>
    <w:semiHidden/>
    <w:unhideWhenUsed/>
    <w:qFormat/>
    <w:uiPriority w:val="0"/>
    <w:rPr>
      <w:b/>
      <w:bCs/>
    </w:rPr>
  </w:style>
  <w:style w:type="table" w:styleId="17">
    <w:name w:val="Table Grid"/>
    <w:basedOn w:val="1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FollowedHyperlink"/>
    <w:basedOn w:val="18"/>
    <w:semiHidden/>
    <w:unhideWhenUsed/>
    <w:qFormat/>
    <w:uiPriority w:val="0"/>
    <w:rPr>
      <w:color w:val="741274"/>
      <w:u w:val="single"/>
    </w:rPr>
  </w:style>
  <w:style w:type="character" w:styleId="20">
    <w:name w:val="Emphasis"/>
    <w:basedOn w:val="18"/>
    <w:qFormat/>
    <w:uiPriority w:val="0"/>
    <w:rPr>
      <w:color w:val="CC0000"/>
    </w:rPr>
  </w:style>
  <w:style w:type="character" w:styleId="21">
    <w:name w:val="Hyperlink"/>
    <w:basedOn w:val="18"/>
    <w:unhideWhenUsed/>
    <w:qFormat/>
    <w:uiPriority w:val="99"/>
    <w:rPr>
      <w:color w:val="0563C1" w:themeColor="hyperlink"/>
      <w:u w:val="single"/>
      <w14:textFill>
        <w14:solidFill>
          <w14:schemeClr w14:val="hlink"/>
        </w14:solidFill>
      </w14:textFill>
    </w:rPr>
  </w:style>
  <w:style w:type="character" w:styleId="22">
    <w:name w:val="annotation reference"/>
    <w:basedOn w:val="18"/>
    <w:unhideWhenUsed/>
    <w:qFormat/>
    <w:uiPriority w:val="0"/>
    <w:rPr>
      <w:sz w:val="21"/>
      <w:szCs w:val="21"/>
    </w:rPr>
  </w:style>
  <w:style w:type="character" w:styleId="23">
    <w:name w:val="HTML Cite"/>
    <w:basedOn w:val="18"/>
    <w:semiHidden/>
    <w:unhideWhenUsed/>
    <w:qFormat/>
    <w:uiPriority w:val="0"/>
    <w:rPr>
      <w:color w:val="008000"/>
    </w:rPr>
  </w:style>
  <w:style w:type="character" w:customStyle="1" w:styleId="24">
    <w:name w:val="页眉 字符"/>
    <w:basedOn w:val="18"/>
    <w:link w:val="10"/>
    <w:qFormat/>
    <w:uiPriority w:val="0"/>
    <w:rPr>
      <w:kern w:val="2"/>
      <w:sz w:val="18"/>
      <w:szCs w:val="18"/>
    </w:rPr>
  </w:style>
  <w:style w:type="character" w:customStyle="1" w:styleId="25">
    <w:name w:val="页脚 字符"/>
    <w:basedOn w:val="18"/>
    <w:link w:val="9"/>
    <w:qFormat/>
    <w:uiPriority w:val="99"/>
    <w:rPr>
      <w:kern w:val="2"/>
      <w:sz w:val="18"/>
      <w:szCs w:val="18"/>
    </w:rPr>
  </w:style>
  <w:style w:type="character" w:customStyle="1" w:styleId="26">
    <w:name w:val="标题 1 字符"/>
    <w:basedOn w:val="18"/>
    <w:link w:val="2"/>
    <w:qFormat/>
    <w:uiPriority w:val="9"/>
    <w:rPr>
      <w:bCs/>
      <w:kern w:val="44"/>
      <w:sz w:val="30"/>
      <w:szCs w:val="44"/>
    </w:rPr>
  </w:style>
  <w:style w:type="character" w:customStyle="1" w:styleId="27">
    <w:name w:val="标题 2 字符"/>
    <w:basedOn w:val="18"/>
    <w:link w:val="3"/>
    <w:qFormat/>
    <w:uiPriority w:val="0"/>
    <w:rPr>
      <w:rFonts w:asciiTheme="majorHAnsi" w:hAnsiTheme="majorHAnsi" w:eastAsiaTheme="majorEastAsia" w:cstheme="majorBidi"/>
      <w:b/>
      <w:bCs/>
      <w:kern w:val="2"/>
      <w:sz w:val="24"/>
      <w:szCs w:val="32"/>
    </w:rPr>
  </w:style>
  <w:style w:type="paragraph" w:customStyle="1" w:styleId="28">
    <w:name w:val="ordinary-output"/>
    <w:basedOn w:val="1"/>
    <w:qFormat/>
    <w:uiPriority w:val="0"/>
    <w:pPr>
      <w:widowControl/>
      <w:spacing w:before="100" w:beforeAutospacing="1" w:after="63" w:line="275" w:lineRule="atLeast"/>
      <w:jc w:val="left"/>
    </w:pPr>
    <w:rPr>
      <w:rFonts w:ascii="宋体" w:hAnsi="宋体" w:eastAsia="宋体" w:cs="宋体"/>
      <w:color w:val="333333"/>
      <w:kern w:val="0"/>
      <w:sz w:val="18"/>
      <w:szCs w:val="18"/>
    </w:rPr>
  </w:style>
  <w:style w:type="paragraph" w:customStyle="1" w:styleId="29">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Cs w:val="0"/>
      <w:color w:val="2E75B6" w:themeColor="accent1" w:themeShade="BF"/>
      <w:kern w:val="0"/>
      <w:sz w:val="32"/>
      <w:szCs w:val="32"/>
    </w:rPr>
  </w:style>
  <w:style w:type="character" w:customStyle="1" w:styleId="30">
    <w:name w:val="批注文字 字符"/>
    <w:basedOn w:val="18"/>
    <w:link w:val="5"/>
    <w:qFormat/>
    <w:uiPriority w:val="99"/>
    <w:rPr>
      <w:kern w:val="2"/>
      <w:sz w:val="21"/>
      <w:szCs w:val="24"/>
    </w:rPr>
  </w:style>
  <w:style w:type="character" w:customStyle="1" w:styleId="31">
    <w:name w:val="批注主题 字符"/>
    <w:basedOn w:val="30"/>
    <w:link w:val="15"/>
    <w:semiHidden/>
    <w:qFormat/>
    <w:uiPriority w:val="0"/>
    <w:rPr>
      <w:b/>
      <w:bCs/>
      <w:kern w:val="2"/>
      <w:sz w:val="21"/>
      <w:szCs w:val="24"/>
    </w:rPr>
  </w:style>
  <w:style w:type="character" w:customStyle="1" w:styleId="32">
    <w:name w:val="批注框文本 字符"/>
    <w:basedOn w:val="18"/>
    <w:link w:val="8"/>
    <w:semiHidden/>
    <w:qFormat/>
    <w:uiPriority w:val="0"/>
    <w:rPr>
      <w:kern w:val="2"/>
      <w:sz w:val="18"/>
      <w:szCs w:val="18"/>
    </w:rPr>
  </w:style>
  <w:style w:type="character" w:styleId="33">
    <w:name w:val="Placeholder Text"/>
    <w:basedOn w:val="18"/>
    <w:unhideWhenUsed/>
    <w:qFormat/>
    <w:uiPriority w:val="99"/>
    <w:rPr>
      <w:color w:val="808080"/>
    </w:rPr>
  </w:style>
  <w:style w:type="character" w:customStyle="1" w:styleId="34">
    <w:name w:val="日期 字符"/>
    <w:basedOn w:val="18"/>
    <w:link w:val="7"/>
    <w:qFormat/>
    <w:uiPriority w:val="0"/>
    <w:rPr>
      <w:kern w:val="2"/>
      <w:sz w:val="21"/>
      <w:szCs w:val="24"/>
    </w:rPr>
  </w:style>
  <w:style w:type="paragraph" w:styleId="35">
    <w:name w:val="List Paragraph"/>
    <w:basedOn w:val="1"/>
    <w:unhideWhenUsed/>
    <w:qFormat/>
    <w:uiPriority w:val="34"/>
    <w:pPr>
      <w:ind w:firstLine="420" w:firstLineChars="200"/>
    </w:pPr>
  </w:style>
  <w:style w:type="paragraph" w:customStyle="1" w:styleId="36">
    <w:name w:val="段"/>
    <w:basedOn w:val="1"/>
    <w:link w:val="40"/>
    <w:qFormat/>
    <w:uiPriority w:val="0"/>
    <w:pPr>
      <w:ind w:firstLine="425"/>
    </w:pPr>
    <w:rPr>
      <w:rFonts w:hint="eastAsia" w:ascii="宋体" w:hAnsi="Times New Roman"/>
    </w:rPr>
  </w:style>
  <w:style w:type="character" w:customStyle="1" w:styleId="37">
    <w:name w:val="sugg-loading"/>
    <w:basedOn w:val="18"/>
    <w:qFormat/>
    <w:uiPriority w:val="0"/>
  </w:style>
  <w:style w:type="character" w:customStyle="1" w:styleId="38">
    <w:name w:val="page-cur"/>
    <w:basedOn w:val="18"/>
    <w:qFormat/>
    <w:uiPriority w:val="0"/>
    <w:rPr>
      <w:b/>
      <w:color w:val="333333"/>
      <w:bdr w:val="single" w:color="E5E5E5" w:sz="6" w:space="0"/>
      <w:shd w:val="clear" w:color="auto" w:fill="F2F2F2"/>
    </w:rPr>
  </w:style>
  <w:style w:type="character" w:customStyle="1" w:styleId="39">
    <w:name w:val="z题名页题名"/>
    <w:qFormat/>
    <w:uiPriority w:val="0"/>
    <w:rPr>
      <w:rFonts w:ascii="Times New Roman" w:hAnsi="Times New Roman" w:eastAsia="宋体"/>
      <w:sz w:val="28"/>
    </w:rPr>
  </w:style>
  <w:style w:type="character" w:customStyle="1" w:styleId="40">
    <w:name w:val="段 Char"/>
    <w:link w:val="36"/>
    <w:qFormat/>
    <w:uiPriority w:val="0"/>
    <w:rPr>
      <w:rFonts w:ascii="宋体" w:eastAsiaTheme="minorEastAsia" w:cstheme="minorBidi"/>
      <w:kern w:val="2"/>
      <w:sz w:val="21"/>
      <w:szCs w:val="24"/>
    </w:rPr>
  </w:style>
  <w:style w:type="paragraph" w:customStyle="1" w:styleId="41">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42">
    <w:name w:val="批注文字 字符1"/>
    <w:basedOn w:val="18"/>
    <w:qFormat/>
    <w:uiPriority w:val="99"/>
  </w:style>
  <w:style w:type="paragraph" w:customStyle="1" w:styleId="43">
    <w:name w:val="一级条标题"/>
    <w:next w:val="36"/>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44">
    <w:name w:val="章标题"/>
    <w:next w:val="36"/>
    <w:qFormat/>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45">
    <w:name w:val="二级条标题"/>
    <w:basedOn w:val="43"/>
    <w:next w:val="36"/>
    <w:qFormat/>
    <w:uiPriority w:val="0"/>
    <w:pPr>
      <w:numPr>
        <w:ilvl w:val="2"/>
      </w:numPr>
      <w:spacing w:before="50" w:after="50"/>
      <w:outlineLvl w:val="3"/>
    </w:pPr>
  </w:style>
  <w:style w:type="paragraph" w:customStyle="1" w:styleId="46">
    <w:name w:val="三级条标题"/>
    <w:basedOn w:val="45"/>
    <w:next w:val="36"/>
    <w:qFormat/>
    <w:uiPriority w:val="0"/>
    <w:pPr>
      <w:numPr>
        <w:ilvl w:val="3"/>
      </w:numPr>
      <w:outlineLvl w:val="4"/>
    </w:pPr>
  </w:style>
  <w:style w:type="paragraph" w:customStyle="1" w:styleId="47">
    <w:name w:val="四级条标题"/>
    <w:basedOn w:val="46"/>
    <w:next w:val="36"/>
    <w:qFormat/>
    <w:uiPriority w:val="0"/>
    <w:pPr>
      <w:numPr>
        <w:ilvl w:val="5"/>
      </w:numPr>
      <w:outlineLvl w:val="5"/>
    </w:pPr>
  </w:style>
  <w:style w:type="character" w:customStyle="1" w:styleId="48">
    <w:name w:val="发布"/>
    <w:qFormat/>
    <w:uiPriority w:val="0"/>
    <w:rPr>
      <w:rFonts w:ascii="黑体" w:eastAsia="黑体"/>
      <w:spacing w:val="85"/>
      <w:w w:val="100"/>
      <w:position w:val="3"/>
      <w:sz w:val="28"/>
    </w:rPr>
  </w:style>
  <w:style w:type="paragraph" w:customStyle="1" w:styleId="49">
    <w:name w:val="其他发布部门"/>
    <w:basedOn w:val="1"/>
    <w:qFormat/>
    <w:uiPriority w:val="0"/>
    <w:pPr>
      <w:framePr w:w="7938" w:h="1134" w:hRule="exact" w:hSpace="125" w:vSpace="181" w:wrap="auto" w:vAnchor="page" w:hAnchor="page" w:x="2150" w:y="15310" w:anchorLock="1"/>
      <w:widowControl/>
      <w:spacing w:line="240" w:lineRule="atLeast"/>
      <w:jc w:val="center"/>
    </w:pPr>
    <w:rPr>
      <w:rFonts w:ascii="黑体" w:hAnsi="Times New Roman" w:eastAsia="黑体" w:cs="Times New Roman"/>
      <w:spacing w:val="20"/>
      <w:w w:val="135"/>
      <w:kern w:val="0"/>
      <w:sz w:val="28"/>
      <w:szCs w:val="20"/>
    </w:rPr>
  </w:style>
  <w:style w:type="paragraph" w:customStyle="1" w:styleId="50">
    <w:name w:val="注：（正文）"/>
    <w:basedOn w:val="51"/>
    <w:next w:val="36"/>
    <w:qFormat/>
    <w:uiPriority w:val="0"/>
  </w:style>
  <w:style w:type="paragraph" w:customStyle="1" w:styleId="51">
    <w:name w:val="注："/>
    <w:next w:val="36"/>
    <w:qFormat/>
    <w:uiPriority w:val="0"/>
    <w:pPr>
      <w:widowControl w:val="0"/>
      <w:numPr>
        <w:ilvl w:val="0"/>
        <w:numId w:val="2"/>
      </w:numPr>
      <w:autoSpaceDE w:val="0"/>
      <w:autoSpaceDN w:val="0"/>
      <w:ind w:left="726"/>
      <w:jc w:val="both"/>
    </w:pPr>
    <w:rPr>
      <w:rFonts w:ascii="宋体" w:hAnsi="Times New Roman" w:eastAsia="宋体" w:cs="Times New Roman"/>
      <w:sz w:val="18"/>
      <w:szCs w:val="1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theme" Target="theme/theme1.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6.wmf"/><Relationship Id="rId15" Type="http://schemas.openxmlformats.org/officeDocument/2006/relationships/oleObject" Target="embeddings/oleObject2.bin"/><Relationship Id="rId14" Type="http://schemas.openxmlformats.org/officeDocument/2006/relationships/image" Target="media/image5.png"/><Relationship Id="rId13" Type="http://schemas.openxmlformats.org/officeDocument/2006/relationships/image" Target="media/image4.wmf"/><Relationship Id="rId12" Type="http://schemas.openxmlformats.org/officeDocument/2006/relationships/oleObject" Target="embeddings/oleObject1.bin"/><Relationship Id="rId11" Type="http://schemas.openxmlformats.org/officeDocument/2006/relationships/image" Target="media/image3.jpeg"/><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31</Pages>
  <Words>1033</Words>
  <Characters>2221</Characters>
  <Lines>135</Lines>
  <Paragraphs>38</Paragraphs>
  <TotalTime>11</TotalTime>
  <ScaleCrop>false</ScaleCrop>
  <LinksUpToDate>false</LinksUpToDate>
  <CharactersWithSpaces>2553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2022-03-22T03:20:00Z</dcterms:created>
  <dc:creator>抬头看那抹阳光</dc:creator>
  <cp:lastModifiedBy>CTC祝海龙</cp:lastModifiedBy>
  <cp:lastPrinted>2025-10-13T05:34:00Z</cp:lastPrinted>
  <dcterms:modified xsi:type="dcterms:W3CDTF">2025-12-01T09:36:22Z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429CE76360C6419FB379F8959DB67F5F_13</vt:lpwstr>
  </property>
  <property fmtid="{D5CDD505-2E9C-101B-9397-08002B2CF9AE}" pid="4" name="KSOTemplateDocerSaveRecord">
    <vt:lpwstr>eyJoZGlkIjoiMGM4MWIxMmFiNmQ4NWQ5YThlYTlkYjJmNGQzMWU0YjIiLCJ1c2VySWQiOiI0NDk2Njk3MzUifQ==</vt:lpwstr>
  </property>
</Properties>
</file>