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60749E">
      <w:pPr>
        <w:ind w:firstLine="480"/>
        <w:rPr>
          <w:b/>
          <w:bCs/>
          <w:sz w:val="52"/>
          <w:szCs w:val="84"/>
        </w:rPr>
      </w:pPr>
      <w: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14605" b="1270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6566B893">
      <w:pPr>
        <w:wordWrap w:val="0"/>
        <w:ind w:firstLine="3975" w:firstLineChars="1100"/>
        <w:jc w:val="right"/>
        <w:rPr>
          <w:rFonts w:cs="Times New Roman"/>
          <w:sz w:val="32"/>
          <w:szCs w:val="32"/>
        </w:rPr>
      </w:pPr>
      <w:r>
        <w:rPr>
          <w:rFonts w:cs="Times New Roman"/>
          <w:b/>
          <w:bCs/>
          <w:sz w:val="36"/>
          <w:szCs w:val="36"/>
        </w:rPr>
        <w:t xml:space="preserve">T/CECS </w:t>
      </w:r>
      <w:r>
        <w:rPr>
          <w:rFonts w:cs="Times New Roman"/>
          <w:sz w:val="36"/>
          <w:szCs w:val="36"/>
        </w:rPr>
        <w:t>XXX- 202</w:t>
      </w:r>
      <w:r>
        <w:rPr>
          <w:rFonts w:hint="eastAsia" w:cs="Times New Roman"/>
          <w:sz w:val="36"/>
          <w:szCs w:val="36"/>
        </w:rPr>
        <w:t xml:space="preserve">5    </w:t>
      </w:r>
    </w:p>
    <w:p w14:paraId="30C3BDD0">
      <w:pPr>
        <w:ind w:firstLine="480"/>
        <w:jc w:val="center"/>
        <w:rPr>
          <w:szCs w:val="32"/>
        </w:rPr>
      </w:pPr>
      <w:r>
        <w:rPr>
          <w:szCs w:val="32"/>
        </w:rPr>
        <mc:AlternateContent>
          <mc:Choice Requires="wps">
            <w:drawing>
              <wp:anchor distT="0" distB="0" distL="114300" distR="114300" simplePos="0" relativeHeight="251660288" behindDoc="0" locked="0" layoutInCell="1" allowOverlap="1">
                <wp:simplePos x="0" y="0"/>
                <wp:positionH relativeFrom="column">
                  <wp:posOffset>-8255</wp:posOffset>
                </wp:positionH>
                <wp:positionV relativeFrom="paragraph">
                  <wp:posOffset>236855</wp:posOffset>
                </wp:positionV>
                <wp:extent cx="5422265" cy="0"/>
                <wp:effectExtent l="0" t="9525" r="6985" b="9525"/>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5pt;margin-top:18.65pt;height:0pt;width:426.95pt;z-index:251660288;mso-width-relative:page;mso-height-relative:page;" filled="f" stroked="t" coordsize="21600,21600" o:gfxdata="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sDnA3YAAAA&#10;CAEAAA8AAAAAAAAAAQAgAAAAIgAAAGRycy9kb3ducmV2LnhtbFBLAQIUABQAAAAIAIdO4kARp38K&#10;5AEAALIDAAAOAAAAAAAAAAEAIAAAACcBAABkcnMvZTJvRG9jLnhtbFBLBQYAAAAABgAGAFkBAAB9&#10;BQAAAAA=&#10;">
                <v:fill on="f" focussize="0,0"/>
                <v:stroke weight="1.5pt" color="#000000 [3200]" miterlimit="8" joinstyle="miter"/>
                <v:imagedata o:title=""/>
                <o:lock v:ext="edit" aspectratio="f"/>
              </v:line>
            </w:pict>
          </mc:Fallback>
        </mc:AlternateContent>
      </w:r>
    </w:p>
    <w:p w14:paraId="6055A94E">
      <w:pPr>
        <w:adjustRightInd w:val="0"/>
        <w:snapToGrid w:val="0"/>
        <w:ind w:firstLine="560"/>
        <w:rPr>
          <w:sz w:val="28"/>
          <w:szCs w:val="28"/>
        </w:rPr>
      </w:pPr>
    </w:p>
    <w:p w14:paraId="514CFFE2">
      <w:pPr>
        <w:ind w:firstLine="560"/>
        <w:jc w:val="center"/>
        <w:rPr>
          <w:rFonts w:cs="Times New Roman"/>
          <w:kern w:val="0"/>
          <w:sz w:val="28"/>
          <w:szCs w:val="21"/>
        </w:rPr>
      </w:pPr>
      <w:r>
        <w:rPr>
          <w:rFonts w:hint="eastAsia" w:cs="Times New Roman"/>
          <w:kern w:val="0"/>
          <w:sz w:val="28"/>
          <w:szCs w:val="21"/>
        </w:rPr>
        <w:t>中国工程建设标准化协会标准</w:t>
      </w:r>
    </w:p>
    <w:p w14:paraId="1201662F">
      <w:pPr>
        <w:tabs>
          <w:tab w:val="left" w:pos="8280"/>
        </w:tabs>
        <w:adjustRightInd w:val="0"/>
        <w:snapToGrid w:val="0"/>
        <w:spacing w:before="156" w:beforeLines="50" w:after="156" w:afterLines="50"/>
        <w:ind w:firstLine="560"/>
        <w:jc w:val="center"/>
        <w:rPr>
          <w:kern w:val="0"/>
          <w:sz w:val="28"/>
          <w:szCs w:val="28"/>
        </w:rPr>
      </w:pPr>
    </w:p>
    <w:p w14:paraId="5AB9CDD3">
      <w:pPr>
        <w:tabs>
          <w:tab w:val="left" w:pos="8280"/>
        </w:tabs>
        <w:adjustRightInd w:val="0"/>
        <w:snapToGrid w:val="0"/>
        <w:spacing w:before="156" w:beforeLines="50" w:after="156" w:afterLines="50"/>
        <w:ind w:firstLine="560"/>
        <w:jc w:val="center"/>
        <w:rPr>
          <w:kern w:val="0"/>
          <w:sz w:val="28"/>
          <w:szCs w:val="28"/>
        </w:rPr>
      </w:pPr>
    </w:p>
    <w:p w14:paraId="2B917DAA">
      <w:pPr>
        <w:pStyle w:val="25"/>
        <w:widowControl/>
        <w:spacing w:line="360" w:lineRule="auto"/>
        <w:ind w:left="0" w:leftChars="0" w:firstLine="0" w:firstLineChars="0"/>
        <w:rPr>
          <w:rFonts w:hint="eastAsia" w:eastAsia="黑体"/>
        </w:rPr>
      </w:pPr>
      <w:r>
        <w:rPr>
          <w:rFonts w:hint="eastAsia" w:eastAsia="黑体"/>
        </w:rPr>
        <w:t>废弃矿山绿色改造与生态修复技术规程</w:t>
      </w:r>
    </w:p>
    <w:p w14:paraId="2519ECB3">
      <w:pPr>
        <w:pStyle w:val="25"/>
        <w:widowControl/>
        <w:spacing w:line="360" w:lineRule="auto"/>
        <w:ind w:left="0" w:leftChars="0" w:firstLine="0" w:firstLineChars="0"/>
        <w:rPr>
          <w:rFonts w:eastAsia="黑体"/>
          <w:sz w:val="28"/>
          <w:szCs w:val="28"/>
        </w:rPr>
      </w:pPr>
      <w:r>
        <w:rPr>
          <w:rFonts w:hint="eastAsia" w:eastAsia="黑体"/>
          <w:sz w:val="28"/>
          <w:szCs w:val="28"/>
          <w:lang w:val="en-US" w:eastAsia="zh-CN"/>
        </w:rPr>
        <w:t>（拟改为：</w:t>
      </w:r>
      <w:r>
        <w:rPr>
          <w:rFonts w:hint="eastAsia" w:eastAsia="黑体"/>
          <w:sz w:val="28"/>
          <w:szCs w:val="28"/>
        </w:rPr>
        <w:t>城市工矿区绿色改造与生态修复技术规程</w:t>
      </w:r>
      <w:r>
        <w:rPr>
          <w:rFonts w:hint="eastAsia" w:eastAsia="黑体"/>
          <w:sz w:val="28"/>
          <w:szCs w:val="28"/>
          <w:lang w:val="en-US" w:eastAsia="zh-CN"/>
        </w:rPr>
        <w:t>）</w:t>
      </w:r>
    </w:p>
    <w:p w14:paraId="1DC53EEF">
      <w:pPr>
        <w:pStyle w:val="25"/>
        <w:ind w:left="0" w:leftChars="0" w:firstLine="0" w:firstLineChars="0"/>
      </w:pPr>
      <w:r>
        <w:t>Technical Regulations for Green Transformation and Ecological Restoration of Urban Industrial and Mining Areas</w:t>
      </w:r>
    </w:p>
    <w:p w14:paraId="2FE4B5CD">
      <w:pPr>
        <w:pStyle w:val="25"/>
        <w:ind w:left="0" w:leftChars="0" w:firstLine="0" w:firstLineChars="0"/>
        <w:jc w:val="center"/>
      </w:pPr>
      <w:bookmarkStart w:id="118" w:name="_GoBack"/>
      <w:bookmarkEnd w:id="118"/>
      <w:r>
        <w:t>（</w:t>
      </w:r>
      <w:r>
        <w:rPr>
          <w:rFonts w:hint="eastAsia"/>
          <w:lang w:val="en-US" w:eastAsia="zh-CN"/>
        </w:rPr>
        <w:t>征求意见</w:t>
      </w:r>
      <w:r>
        <w:rPr>
          <w:rFonts w:hint="eastAsia"/>
        </w:rPr>
        <w:t>稿</w:t>
      </w:r>
      <w:r>
        <w:t>）</w:t>
      </w:r>
    </w:p>
    <w:p w14:paraId="741F5628">
      <w:pPr>
        <w:pStyle w:val="26"/>
        <w:ind w:firstLine="480"/>
      </w:pPr>
    </w:p>
    <w:p w14:paraId="713930D1">
      <w:pPr>
        <w:ind w:firstLine="1044"/>
        <w:rPr>
          <w:b/>
          <w:bCs/>
          <w:sz w:val="52"/>
          <w:szCs w:val="84"/>
        </w:rPr>
      </w:pPr>
    </w:p>
    <w:p w14:paraId="3A12BE88">
      <w:pPr>
        <w:ind w:firstLine="1044"/>
        <w:rPr>
          <w:b/>
          <w:bCs/>
          <w:sz w:val="52"/>
          <w:szCs w:val="84"/>
        </w:rPr>
      </w:pPr>
    </w:p>
    <w:p w14:paraId="7C2443F0">
      <w:pPr>
        <w:ind w:firstLine="1044"/>
        <w:rPr>
          <w:b/>
          <w:bCs/>
          <w:sz w:val="52"/>
          <w:szCs w:val="84"/>
        </w:rPr>
      </w:pPr>
    </w:p>
    <w:p w14:paraId="164F5AE8">
      <w:pPr>
        <w:ind w:firstLine="1044"/>
        <w:rPr>
          <w:b/>
          <w:bCs/>
          <w:sz w:val="52"/>
          <w:szCs w:val="84"/>
        </w:rPr>
      </w:pPr>
    </w:p>
    <w:p w14:paraId="08E8AB50">
      <w:pPr>
        <w:pStyle w:val="26"/>
        <w:ind w:firstLine="480"/>
        <w:rPr>
          <w:rFonts w:ascii="微软雅黑" w:hAnsi="微软雅黑" w:eastAsia="微软雅黑"/>
          <w:bCs/>
          <w:kern w:val="44"/>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t>****</w:t>
      </w:r>
      <w:r>
        <w:rPr>
          <w:rFonts w:hint="eastAsia"/>
        </w:rPr>
        <w:t>出版社</w:t>
      </w:r>
    </w:p>
    <w:p w14:paraId="6100D1A2">
      <w:pPr>
        <w:adjustRightInd w:val="0"/>
        <w:snapToGrid w:val="0"/>
        <w:ind w:firstLine="680"/>
        <w:jc w:val="center"/>
        <w:rPr>
          <w:bCs/>
          <w:spacing w:val="20"/>
          <w:sz w:val="30"/>
          <w:szCs w:val="30"/>
        </w:rPr>
      </w:pPr>
    </w:p>
    <w:p w14:paraId="77772F2E">
      <w:pPr>
        <w:adjustRightInd w:val="0"/>
        <w:snapToGrid w:val="0"/>
        <w:ind w:firstLine="680"/>
        <w:jc w:val="center"/>
        <w:rPr>
          <w:bCs/>
          <w:spacing w:val="20"/>
          <w:sz w:val="30"/>
          <w:szCs w:val="30"/>
        </w:rPr>
      </w:pPr>
    </w:p>
    <w:p w14:paraId="3259F72A">
      <w:pPr>
        <w:widowControl/>
        <w:tabs>
          <w:tab w:val="left" w:pos="8280"/>
        </w:tabs>
        <w:adjustRightInd w:val="0"/>
        <w:snapToGrid w:val="0"/>
        <w:spacing w:before="326" w:beforeLines="100" w:line="360" w:lineRule="auto"/>
        <w:ind w:firstLine="0" w:firstLineChars="0"/>
        <w:jc w:val="center"/>
        <w:rPr>
          <w:rFonts w:ascii="黑体" w:hAnsi="黑体" w:eastAsia="黑体" w:cs="Microsoft JhengHei"/>
          <w:sz w:val="32"/>
          <w:szCs w:val="36"/>
        </w:rPr>
      </w:pPr>
      <w:r>
        <w:rPr>
          <w:rFonts w:hint="eastAsia" w:ascii="黑体" w:hAnsi="黑体" w:eastAsia="黑体" w:cs="Microsoft JhengHei"/>
          <w:sz w:val="32"/>
          <w:szCs w:val="36"/>
        </w:rPr>
        <w:t>中国工程建设标准化协会标准</w:t>
      </w:r>
    </w:p>
    <w:p w14:paraId="406BDF0C">
      <w:pPr>
        <w:ind w:firstLine="560"/>
        <w:jc w:val="center"/>
        <w:rPr>
          <w:rFonts w:cs="Times New Roman"/>
          <w:kern w:val="0"/>
          <w:sz w:val="28"/>
        </w:rPr>
      </w:pPr>
    </w:p>
    <w:p w14:paraId="76F212D3">
      <w:pPr>
        <w:pStyle w:val="25"/>
        <w:widowControl/>
        <w:spacing w:line="360" w:lineRule="auto"/>
        <w:ind w:left="0" w:leftChars="0" w:firstLine="0" w:firstLineChars="0"/>
        <w:rPr>
          <w:rFonts w:hint="eastAsia" w:eastAsia="黑体"/>
        </w:rPr>
      </w:pPr>
      <w:r>
        <w:rPr>
          <w:rFonts w:hint="eastAsia" w:eastAsia="黑体"/>
        </w:rPr>
        <w:t>废弃矿山绿色改造与生态修复技术规程</w:t>
      </w:r>
    </w:p>
    <w:p w14:paraId="36C72B09">
      <w:pPr>
        <w:pStyle w:val="25"/>
        <w:ind w:left="0" w:leftChars="0" w:firstLine="0" w:firstLineChars="0"/>
      </w:pPr>
      <w:r>
        <w:t>Technical Regulations for Green Transformation and Ecological Restoration of Urban Industrial and Mining Areas</w:t>
      </w:r>
    </w:p>
    <w:p w14:paraId="11CAC141">
      <w:pPr>
        <w:ind w:firstLine="482"/>
        <w:jc w:val="center"/>
        <w:rPr>
          <w:rFonts w:cs="Times New Roman"/>
          <w:b/>
          <w:kern w:val="0"/>
          <w:szCs w:val="21"/>
        </w:rPr>
      </w:pPr>
      <w:r>
        <w:rPr>
          <w:rFonts w:cs="Times New Roman"/>
          <w:b/>
          <w:kern w:val="0"/>
          <w:szCs w:val="21"/>
        </w:rPr>
        <w:t>T/CECS *** -202</w:t>
      </w:r>
      <w:r>
        <w:rPr>
          <w:rFonts w:hint="eastAsia" w:cs="Times New Roman"/>
          <w:b/>
          <w:kern w:val="0"/>
          <w:szCs w:val="21"/>
        </w:rPr>
        <w:t>5</w:t>
      </w:r>
    </w:p>
    <w:p w14:paraId="2A648AF2">
      <w:pPr>
        <w:adjustRightInd w:val="0"/>
        <w:snapToGrid w:val="0"/>
        <w:ind w:firstLine="600"/>
        <w:rPr>
          <w:sz w:val="30"/>
          <w:szCs w:val="30"/>
        </w:rPr>
      </w:pPr>
    </w:p>
    <w:p w14:paraId="6E331F75">
      <w:pPr>
        <w:adjustRightInd w:val="0"/>
        <w:snapToGrid w:val="0"/>
        <w:ind w:firstLine="600"/>
        <w:rPr>
          <w:sz w:val="30"/>
          <w:szCs w:val="30"/>
        </w:rPr>
      </w:pPr>
    </w:p>
    <w:p w14:paraId="3A4AB886">
      <w:pPr>
        <w:ind w:firstLine="2520" w:firstLineChars="1200"/>
        <w:rPr>
          <w:rFonts w:cs="Times New Roman"/>
          <w:kern w:val="0"/>
          <w:sz w:val="21"/>
          <w:szCs w:val="21"/>
        </w:rPr>
      </w:pPr>
      <w:r>
        <w:rPr>
          <w:rFonts w:cs="Times New Roman"/>
          <w:kern w:val="0"/>
          <w:sz w:val="21"/>
          <w:szCs w:val="21"/>
        </w:rPr>
        <w:t>主编单位：</w:t>
      </w:r>
      <w:r>
        <w:rPr>
          <w:rFonts w:hint="eastAsia" w:cs="Times New Roman"/>
          <w:kern w:val="0"/>
          <w:sz w:val="21"/>
          <w:szCs w:val="21"/>
        </w:rPr>
        <w:t>中国建筑第八工程局有限公司</w:t>
      </w:r>
    </w:p>
    <w:p w14:paraId="5F95D19B">
      <w:pPr>
        <w:ind w:firstLine="3570" w:firstLineChars="1700"/>
        <w:rPr>
          <w:rFonts w:cs="Times New Roman"/>
          <w:kern w:val="0"/>
          <w:sz w:val="21"/>
          <w:szCs w:val="21"/>
        </w:rPr>
      </w:pPr>
      <w:bookmarkStart w:id="0" w:name="OLE_LINK2"/>
      <w:r>
        <w:rPr>
          <w:rFonts w:hint="eastAsia" w:cs="Times New Roman"/>
          <w:kern w:val="0"/>
          <w:sz w:val="21"/>
          <w:szCs w:val="21"/>
        </w:rPr>
        <w:t>中建八局文旅博览投资发展有限公司</w:t>
      </w:r>
    </w:p>
    <w:bookmarkEnd w:id="0"/>
    <w:p w14:paraId="11971ADA">
      <w:pPr>
        <w:ind w:firstLine="2520" w:firstLineChars="1200"/>
        <w:rPr>
          <w:rFonts w:cs="Times New Roman"/>
          <w:kern w:val="0"/>
          <w:sz w:val="21"/>
          <w:szCs w:val="21"/>
        </w:rPr>
      </w:pPr>
      <w:r>
        <w:rPr>
          <w:rFonts w:cs="Times New Roman"/>
          <w:kern w:val="0"/>
          <w:sz w:val="21"/>
          <w:szCs w:val="21"/>
        </w:rPr>
        <w:t>批准</w:t>
      </w:r>
      <w:r>
        <w:rPr>
          <w:rFonts w:hint="eastAsia" w:cs="Times New Roman"/>
          <w:kern w:val="0"/>
          <w:sz w:val="21"/>
          <w:szCs w:val="21"/>
        </w:rPr>
        <w:t>单位</w:t>
      </w:r>
      <w:r>
        <w:rPr>
          <w:rFonts w:cs="Times New Roman"/>
          <w:kern w:val="0"/>
          <w:sz w:val="21"/>
          <w:szCs w:val="21"/>
        </w:rPr>
        <w:t>：中国工程建设标准化协会</w:t>
      </w:r>
    </w:p>
    <w:p w14:paraId="6CEDD41E">
      <w:pPr>
        <w:ind w:firstLine="2520" w:firstLineChars="1200"/>
        <w:rPr>
          <w:rFonts w:cs="Times New Roman"/>
          <w:kern w:val="0"/>
          <w:sz w:val="21"/>
          <w:szCs w:val="21"/>
        </w:rPr>
      </w:pPr>
      <w:r>
        <w:rPr>
          <w:rFonts w:cs="Times New Roman"/>
          <w:kern w:val="0"/>
          <w:sz w:val="21"/>
          <w:szCs w:val="21"/>
        </w:rPr>
        <w:t>施行日期：202</w:t>
      </w:r>
      <w:r>
        <w:rPr>
          <w:rFonts w:hint="eastAsia" w:cs="Times New Roman"/>
          <w:kern w:val="0"/>
          <w:sz w:val="21"/>
          <w:szCs w:val="21"/>
        </w:rPr>
        <w:t>4</w:t>
      </w:r>
      <w:r>
        <w:rPr>
          <w:rFonts w:cs="Times New Roman"/>
          <w:kern w:val="0"/>
          <w:sz w:val="21"/>
          <w:szCs w:val="21"/>
        </w:rPr>
        <w:t>年××月1日</w:t>
      </w:r>
    </w:p>
    <w:p w14:paraId="7AEF6234">
      <w:pPr>
        <w:adjustRightInd w:val="0"/>
        <w:snapToGrid w:val="0"/>
        <w:ind w:firstLine="1200" w:firstLineChars="400"/>
        <w:rPr>
          <w:sz w:val="30"/>
          <w:szCs w:val="30"/>
        </w:rPr>
      </w:pPr>
    </w:p>
    <w:p w14:paraId="4C9766E4">
      <w:pPr>
        <w:adjustRightInd w:val="0"/>
        <w:snapToGrid w:val="0"/>
        <w:ind w:firstLine="600"/>
        <w:rPr>
          <w:sz w:val="30"/>
          <w:szCs w:val="30"/>
        </w:rPr>
      </w:pPr>
    </w:p>
    <w:p w14:paraId="6753185C">
      <w:pPr>
        <w:adjustRightInd w:val="0"/>
        <w:snapToGrid w:val="0"/>
        <w:ind w:firstLine="1200" w:firstLineChars="400"/>
        <w:rPr>
          <w:sz w:val="30"/>
          <w:szCs w:val="30"/>
        </w:rPr>
      </w:pPr>
    </w:p>
    <w:p w14:paraId="79DA71F6">
      <w:pPr>
        <w:adjustRightInd w:val="0"/>
        <w:snapToGrid w:val="0"/>
        <w:ind w:firstLine="1200" w:firstLineChars="400"/>
        <w:rPr>
          <w:sz w:val="30"/>
          <w:szCs w:val="30"/>
        </w:rPr>
      </w:pPr>
    </w:p>
    <w:p w14:paraId="4C52E3D3">
      <w:pPr>
        <w:adjustRightInd w:val="0"/>
        <w:snapToGrid w:val="0"/>
        <w:ind w:firstLine="1200" w:firstLineChars="400"/>
        <w:rPr>
          <w:sz w:val="30"/>
          <w:szCs w:val="30"/>
        </w:rPr>
      </w:pPr>
    </w:p>
    <w:p w14:paraId="22FB006D">
      <w:pPr>
        <w:adjustRightInd w:val="0"/>
        <w:snapToGrid w:val="0"/>
        <w:ind w:firstLine="600"/>
        <w:rPr>
          <w:sz w:val="30"/>
          <w:szCs w:val="30"/>
        </w:rPr>
      </w:pPr>
    </w:p>
    <w:p w14:paraId="124C2939">
      <w:pPr>
        <w:adjustRightInd w:val="0"/>
        <w:snapToGrid w:val="0"/>
        <w:ind w:firstLine="1200" w:firstLineChars="400"/>
        <w:rPr>
          <w:sz w:val="30"/>
          <w:szCs w:val="30"/>
        </w:rPr>
      </w:pPr>
    </w:p>
    <w:p w14:paraId="0ED61819">
      <w:pPr>
        <w:ind w:firstLine="420"/>
        <w:jc w:val="center"/>
        <w:rPr>
          <w:rFonts w:cs="Times New Roman"/>
          <w:kern w:val="0"/>
          <w:sz w:val="21"/>
          <w:szCs w:val="21"/>
        </w:rPr>
      </w:pPr>
      <w:r>
        <w:rPr>
          <w:rFonts w:hint="eastAsia" w:cs="Times New Roman"/>
          <w:kern w:val="0"/>
          <w:sz w:val="21"/>
          <w:szCs w:val="21"/>
        </w:rPr>
        <w:t>XXXX出版社</w:t>
      </w:r>
    </w:p>
    <w:p w14:paraId="466726E3">
      <w:pPr>
        <w:ind w:firstLine="420"/>
        <w:jc w:val="center"/>
        <w:rPr>
          <w:rFonts w:cs="Times New Roman"/>
          <w:kern w:val="0"/>
          <w:sz w:val="21"/>
          <w:szCs w:val="21"/>
        </w:rPr>
      </w:pPr>
      <w:r>
        <w:rPr>
          <w:rFonts w:hint="eastAsia" w:cs="Times New Roman"/>
          <w:kern w:val="0"/>
          <w:sz w:val="21"/>
          <w:szCs w:val="21"/>
        </w:rPr>
        <w:t>2</w:t>
      </w:r>
      <w:r>
        <w:rPr>
          <w:rFonts w:cs="Times New Roman"/>
          <w:kern w:val="0"/>
          <w:sz w:val="21"/>
          <w:szCs w:val="21"/>
        </w:rPr>
        <w:t>02</w:t>
      </w:r>
      <w:r>
        <w:rPr>
          <w:rFonts w:hint="eastAsia" w:cs="Times New Roman"/>
          <w:kern w:val="0"/>
          <w:sz w:val="21"/>
          <w:szCs w:val="21"/>
        </w:rPr>
        <w:t>5</w:t>
      </w:r>
      <w:r>
        <w:rPr>
          <w:rFonts w:cs="Times New Roman"/>
          <w:kern w:val="0"/>
          <w:sz w:val="21"/>
          <w:szCs w:val="21"/>
        </w:rPr>
        <w:t xml:space="preserve"> </w:t>
      </w:r>
      <w:r>
        <w:rPr>
          <w:rFonts w:hint="eastAsia" w:cs="Times New Roman"/>
          <w:kern w:val="0"/>
          <w:sz w:val="21"/>
          <w:szCs w:val="21"/>
        </w:rPr>
        <w:t>北京</w:t>
      </w:r>
    </w:p>
    <w:p w14:paraId="7E4BA7F4">
      <w:pPr>
        <w:ind w:firstLine="420"/>
        <w:rPr>
          <w:rFonts w:cs="Times New Roman"/>
          <w:kern w:val="0"/>
          <w:sz w:val="21"/>
          <w:szCs w:val="21"/>
        </w:rPr>
      </w:pPr>
      <w:r>
        <w:rPr>
          <w:rFonts w:hint="eastAsia" w:cs="Times New Roman"/>
          <w:kern w:val="0"/>
          <w:sz w:val="21"/>
          <w:szCs w:val="21"/>
        </w:rPr>
        <w:br w:type="page"/>
      </w:r>
    </w:p>
    <w:p w14:paraId="37774582">
      <w:pPr>
        <w:adjustRightInd w:val="0"/>
        <w:snapToGrid w:val="0"/>
        <w:ind w:firstLine="620"/>
        <w:jc w:val="center"/>
        <w:rPr>
          <w:sz w:val="31"/>
          <w:szCs w:val="31"/>
        </w:rPr>
      </w:pPr>
      <w:r>
        <w:rPr>
          <w:rFonts w:hint="eastAsia"/>
          <w:sz w:val="31"/>
          <w:szCs w:val="31"/>
        </w:rPr>
        <w:t xml:space="preserve">前 </w:t>
      </w:r>
      <w:r>
        <w:rPr>
          <w:sz w:val="31"/>
          <w:szCs w:val="31"/>
        </w:rPr>
        <w:t xml:space="preserve">   </w:t>
      </w:r>
      <w:r>
        <w:rPr>
          <w:rFonts w:hint="eastAsia"/>
          <w:sz w:val="31"/>
          <w:szCs w:val="31"/>
        </w:rPr>
        <w:t>言</w:t>
      </w:r>
    </w:p>
    <w:p w14:paraId="75B26E74">
      <w:pPr>
        <w:adjustRightInd w:val="0"/>
        <w:snapToGrid w:val="0"/>
        <w:ind w:firstLine="460"/>
        <w:rPr>
          <w:rFonts w:cs="Times New Roman"/>
          <w:kern w:val="24"/>
          <w:sz w:val="23"/>
          <w:szCs w:val="23"/>
        </w:rPr>
      </w:pPr>
      <w:r>
        <w:rPr>
          <w:rFonts w:cs="Times New Roman"/>
          <w:kern w:val="24"/>
          <w:sz w:val="23"/>
          <w:szCs w:val="23"/>
        </w:rPr>
        <w:t>根据</w:t>
      </w:r>
      <w:bookmarkStart w:id="1" w:name="_Hlk162884248"/>
      <w:r>
        <w:rPr>
          <w:rFonts w:cs="Times New Roman"/>
          <w:kern w:val="24"/>
          <w:sz w:val="23"/>
          <w:szCs w:val="23"/>
        </w:rPr>
        <w:t>中国工程建设标准化协会</w:t>
      </w:r>
      <w:bookmarkEnd w:id="1"/>
      <w:r>
        <w:rPr>
          <w:rFonts w:cs="Times New Roman"/>
          <w:kern w:val="24"/>
          <w:sz w:val="23"/>
          <w:szCs w:val="23"/>
        </w:rPr>
        <w:t>《关于印发&lt;2024年第一批协会标准制订、修订计划&gt;的通知》（建标协字〔2024〕15号）的要求，编制组经深入调查研究，</w:t>
      </w:r>
      <w:r>
        <w:rPr>
          <w:rFonts w:cs="Times New Roman"/>
          <w:sz w:val="23"/>
          <w:szCs w:val="23"/>
        </w:rPr>
        <w:t>认真总结实践经验，参考国内外先进标准，并在广泛征求意见的基础上，</w:t>
      </w:r>
      <w:r>
        <w:rPr>
          <w:rFonts w:cs="Times New Roman"/>
          <w:kern w:val="24"/>
          <w:sz w:val="23"/>
          <w:szCs w:val="23"/>
        </w:rPr>
        <w:t>制定本规程。</w:t>
      </w:r>
    </w:p>
    <w:p w14:paraId="59445D5D">
      <w:pPr>
        <w:adjustRightInd w:val="0"/>
        <w:snapToGrid w:val="0"/>
        <w:ind w:firstLine="460"/>
        <w:rPr>
          <w:rFonts w:cs="Times New Roman"/>
          <w:kern w:val="24"/>
          <w:sz w:val="23"/>
          <w:szCs w:val="23"/>
        </w:rPr>
      </w:pPr>
      <w:r>
        <w:rPr>
          <w:rFonts w:cs="Times New Roman"/>
          <w:kern w:val="24"/>
          <w:sz w:val="23"/>
          <w:szCs w:val="23"/>
        </w:rPr>
        <w:t>本规程共</w:t>
      </w:r>
      <w:r>
        <w:rPr>
          <w:rFonts w:hint="eastAsia" w:cs="Times New Roman"/>
          <w:kern w:val="24"/>
          <w:sz w:val="23"/>
          <w:szCs w:val="23"/>
        </w:rPr>
        <w:t>分9章和3个附录</w:t>
      </w:r>
      <w:r>
        <w:rPr>
          <w:rFonts w:cs="Times New Roman"/>
          <w:kern w:val="24"/>
          <w:sz w:val="23"/>
          <w:szCs w:val="23"/>
        </w:rPr>
        <w:t>，主要内容包括：</w:t>
      </w:r>
      <w:r>
        <w:rPr>
          <w:rFonts w:hint="eastAsia" w:cs="Times New Roman"/>
          <w:kern w:val="24"/>
          <w:sz w:val="23"/>
          <w:szCs w:val="23"/>
        </w:rPr>
        <w:t>总则、术语</w:t>
      </w:r>
      <w:r>
        <w:rPr>
          <w:rFonts w:cs="Times New Roman"/>
          <w:kern w:val="24"/>
          <w:sz w:val="23"/>
          <w:szCs w:val="23"/>
        </w:rPr>
        <w:t>、基本规定、基础调查与问题识别、</w:t>
      </w:r>
      <w:r>
        <w:rPr>
          <w:rFonts w:hint="eastAsia" w:cs="Times New Roman"/>
          <w:kern w:val="24"/>
          <w:sz w:val="23"/>
          <w:szCs w:val="23"/>
        </w:rPr>
        <w:t>设计</w:t>
      </w:r>
      <w:r>
        <w:rPr>
          <w:rFonts w:cs="Times New Roman"/>
          <w:kern w:val="24"/>
          <w:sz w:val="23"/>
          <w:szCs w:val="23"/>
        </w:rPr>
        <w:t>、</w:t>
      </w:r>
      <w:r>
        <w:rPr>
          <w:rFonts w:hint="eastAsia" w:cs="Times New Roman"/>
          <w:kern w:val="24"/>
          <w:sz w:val="23"/>
          <w:szCs w:val="23"/>
        </w:rPr>
        <w:t>施工</w:t>
      </w:r>
      <w:r>
        <w:rPr>
          <w:rFonts w:cs="Times New Roman"/>
          <w:kern w:val="24"/>
          <w:sz w:val="23"/>
          <w:szCs w:val="23"/>
        </w:rPr>
        <w:t>、验收、监测与</w:t>
      </w:r>
      <w:r>
        <w:rPr>
          <w:rFonts w:hint="eastAsia" w:cs="Times New Roman"/>
          <w:kern w:val="24"/>
          <w:sz w:val="23"/>
          <w:szCs w:val="23"/>
        </w:rPr>
        <w:t>维</w:t>
      </w:r>
      <w:r>
        <w:rPr>
          <w:rFonts w:cs="Times New Roman"/>
          <w:kern w:val="24"/>
          <w:sz w:val="23"/>
          <w:szCs w:val="23"/>
        </w:rPr>
        <w:t>护</w:t>
      </w:r>
      <w:r>
        <w:rPr>
          <w:rFonts w:hint="eastAsia" w:cs="Times New Roman"/>
          <w:kern w:val="24"/>
          <w:sz w:val="23"/>
          <w:szCs w:val="23"/>
        </w:rPr>
        <w:t>以及</w:t>
      </w:r>
      <w:r>
        <w:rPr>
          <w:rFonts w:cs="Times New Roman"/>
          <w:kern w:val="24"/>
          <w:sz w:val="23"/>
          <w:szCs w:val="23"/>
        </w:rPr>
        <w:t>成效评价等。</w:t>
      </w:r>
    </w:p>
    <w:p w14:paraId="2EBE9121">
      <w:pPr>
        <w:adjustRightInd w:val="0"/>
        <w:snapToGrid w:val="0"/>
        <w:ind w:firstLine="460"/>
        <w:rPr>
          <w:rFonts w:cs="Times New Roman"/>
          <w:kern w:val="24"/>
          <w:sz w:val="23"/>
          <w:szCs w:val="23"/>
        </w:rPr>
      </w:pPr>
      <w:r>
        <w:rPr>
          <w:rFonts w:cs="Times New Roman"/>
          <w:kern w:val="24"/>
          <w:sz w:val="23"/>
          <w:szCs w:val="23"/>
        </w:rPr>
        <w:t>本规程的某些内容可能直接或间接涉及专利，本规程的发布机构不承担识别这些专利的责任。</w:t>
      </w:r>
    </w:p>
    <w:p w14:paraId="5FD25862">
      <w:pPr>
        <w:adjustRightInd w:val="0"/>
        <w:snapToGrid w:val="0"/>
        <w:ind w:firstLine="460"/>
        <w:rPr>
          <w:rFonts w:cs="Times New Roman"/>
          <w:kern w:val="24"/>
          <w:sz w:val="23"/>
          <w:szCs w:val="23"/>
        </w:rPr>
      </w:pPr>
      <w:r>
        <w:rPr>
          <w:rFonts w:cs="Times New Roman"/>
          <w:kern w:val="24"/>
          <w:sz w:val="23"/>
          <w:szCs w:val="23"/>
        </w:rPr>
        <w:t>本规程由中国工程建设标准化协会</w:t>
      </w:r>
      <w:r>
        <w:rPr>
          <w:rFonts w:hint="eastAsia" w:cs="Times New Roman"/>
          <w:kern w:val="24"/>
          <w:sz w:val="23"/>
          <w:szCs w:val="23"/>
        </w:rPr>
        <w:t>工业固废资源化与生态修复</w:t>
      </w:r>
      <w:r>
        <w:rPr>
          <w:rFonts w:cs="Times New Roman"/>
          <w:kern w:val="24"/>
          <w:sz w:val="23"/>
          <w:szCs w:val="23"/>
        </w:rPr>
        <w:t>专业委员会归口管理，由中国建筑第八工程局有限公司负责具体技术内容的解释。执行过程中，如有意见或建议，请反馈给中国建筑第八工程局有限公司（地址：</w:t>
      </w:r>
      <w:r>
        <w:rPr>
          <w:rStyle w:val="28"/>
          <w:rFonts w:cs="Times New Roman"/>
          <w:sz w:val="23"/>
          <w:szCs w:val="23"/>
        </w:rPr>
        <w:t>中国(上海)自由贸易试验区世纪大道1568号27层，</w:t>
      </w:r>
      <w:r>
        <w:rPr>
          <w:rFonts w:cs="Times New Roman"/>
          <w:sz w:val="23"/>
          <w:szCs w:val="23"/>
        </w:rPr>
        <w:t>邮政编码：200122，邮箱：cscec8wlbl@cscec.com）</w:t>
      </w:r>
      <w:r>
        <w:rPr>
          <w:rFonts w:cs="Times New Roman"/>
          <w:kern w:val="24"/>
          <w:sz w:val="23"/>
          <w:szCs w:val="23"/>
        </w:rPr>
        <w:t>。</w:t>
      </w:r>
    </w:p>
    <w:p w14:paraId="239586B0">
      <w:pPr>
        <w:adjustRightInd w:val="0"/>
        <w:snapToGrid w:val="0"/>
        <w:ind w:firstLine="0" w:firstLineChars="0"/>
        <w:rPr>
          <w:rFonts w:cs="Times New Roman"/>
          <w:kern w:val="24"/>
          <w:sz w:val="23"/>
          <w:szCs w:val="23"/>
        </w:rPr>
      </w:pPr>
      <w:r>
        <w:rPr>
          <w:rFonts w:cs="Times New Roman"/>
          <w:spacing w:val="20"/>
          <w:sz w:val="23"/>
          <w:szCs w:val="23"/>
        </w:rPr>
        <w:t>主编单位：</w:t>
      </w:r>
      <w:r>
        <w:rPr>
          <w:rFonts w:cs="Times New Roman"/>
          <w:kern w:val="24"/>
          <w:sz w:val="23"/>
          <w:szCs w:val="23"/>
        </w:rPr>
        <w:t>中国建筑第八工程局有限公司</w:t>
      </w:r>
    </w:p>
    <w:p w14:paraId="3A5CD4AC">
      <w:pPr>
        <w:adjustRightInd w:val="0"/>
        <w:snapToGrid w:val="0"/>
        <w:ind w:firstLine="1380" w:firstLineChars="600"/>
        <w:rPr>
          <w:rFonts w:ascii="宋体" w:hAnsi="宋体"/>
          <w:kern w:val="24"/>
          <w:sz w:val="23"/>
          <w:szCs w:val="23"/>
        </w:rPr>
      </w:pPr>
      <w:r>
        <w:rPr>
          <w:rFonts w:cs="Times New Roman"/>
          <w:kern w:val="24"/>
          <w:sz w:val="23"/>
          <w:szCs w:val="23"/>
        </w:rPr>
        <w:t>中建八局文旅博览投资发展有限公司</w:t>
      </w:r>
    </w:p>
    <w:p w14:paraId="16578FF2">
      <w:pPr>
        <w:adjustRightInd w:val="0"/>
        <w:snapToGrid w:val="0"/>
        <w:ind w:firstLine="0" w:firstLineChars="0"/>
        <w:rPr>
          <w:rFonts w:ascii="宋体" w:hAnsi="宋体"/>
          <w:spacing w:val="20"/>
          <w:sz w:val="23"/>
          <w:szCs w:val="23"/>
        </w:rPr>
      </w:pPr>
      <w:r>
        <w:rPr>
          <w:rFonts w:hint="eastAsia" w:ascii="宋体" w:hAnsi="宋体"/>
          <w:spacing w:val="20"/>
          <w:sz w:val="23"/>
          <w:szCs w:val="23"/>
        </w:rPr>
        <w:t>参编单位：</w:t>
      </w:r>
    </w:p>
    <w:p w14:paraId="3839F900">
      <w:pPr>
        <w:adjustRightInd w:val="0"/>
        <w:snapToGrid w:val="0"/>
        <w:ind w:firstLine="0" w:firstLineChars="0"/>
        <w:rPr>
          <w:rFonts w:ascii="宋体" w:hAnsi="宋体"/>
          <w:sz w:val="23"/>
          <w:szCs w:val="23"/>
        </w:rPr>
      </w:pPr>
      <w:r>
        <w:rPr>
          <w:rFonts w:hint="eastAsia" w:ascii="宋体" w:hAnsi="宋体"/>
          <w:sz w:val="23"/>
          <w:szCs w:val="23"/>
        </w:rPr>
        <w:t>主要起草人：</w:t>
      </w:r>
    </w:p>
    <w:p w14:paraId="231256C9">
      <w:pPr>
        <w:adjustRightInd w:val="0"/>
        <w:snapToGrid w:val="0"/>
        <w:ind w:firstLine="0" w:firstLineChars="0"/>
        <w:rPr>
          <w:rFonts w:ascii="宋体" w:hAnsi="宋体"/>
          <w:sz w:val="23"/>
          <w:szCs w:val="23"/>
        </w:rPr>
      </w:pPr>
      <w:r>
        <w:rPr>
          <w:rFonts w:hint="eastAsia" w:ascii="宋体" w:hAnsi="宋体"/>
          <w:sz w:val="23"/>
          <w:szCs w:val="23"/>
        </w:rPr>
        <w:t>主要审查人：</w:t>
      </w:r>
    </w:p>
    <w:p w14:paraId="11981212">
      <w:pPr>
        <w:widowControl/>
        <w:spacing w:line="240" w:lineRule="auto"/>
        <w:ind w:firstLine="0" w:firstLineChars="0"/>
        <w:jc w:val="left"/>
        <w:rPr>
          <w:rFonts w:ascii="宋体" w:hAnsi="宋体"/>
          <w:spacing w:val="20"/>
          <w:sz w:val="23"/>
          <w:szCs w:val="23"/>
        </w:rPr>
      </w:pPr>
      <w:r>
        <w:rPr>
          <w:rFonts w:ascii="宋体" w:hAnsi="宋体"/>
          <w:spacing w:val="20"/>
          <w:sz w:val="23"/>
          <w:szCs w:val="23"/>
        </w:rPr>
        <w:br w:type="page"/>
      </w:r>
    </w:p>
    <w:sdt>
      <w:sdtPr>
        <w:rPr>
          <w:rFonts w:ascii="Times New Roman" w:hAnsi="Times New Roman" w:eastAsia="宋体" w:cstheme="minorBidi"/>
          <w:color w:val="auto"/>
          <w:kern w:val="2"/>
          <w:sz w:val="24"/>
          <w:szCs w:val="22"/>
          <w:lang w:val="zh-CN"/>
        </w:rPr>
        <w:id w:val="-1718660863"/>
        <w:docPartObj>
          <w:docPartGallery w:val="Table of Contents"/>
          <w:docPartUnique/>
        </w:docPartObj>
      </w:sdtPr>
      <w:sdtEndPr>
        <w:rPr>
          <w:rFonts w:ascii="Times New Roman" w:hAnsi="Times New Roman" w:eastAsia="宋体" w:cstheme="minorBidi"/>
          <w:b/>
          <w:bCs/>
          <w:color w:val="auto"/>
          <w:kern w:val="2"/>
          <w:sz w:val="24"/>
          <w:szCs w:val="22"/>
          <w:lang w:val="zh-CN"/>
        </w:rPr>
      </w:sdtEndPr>
      <w:sdtContent>
        <w:p w14:paraId="11FA0719">
          <w:pPr>
            <w:pStyle w:val="49"/>
            <w:ind w:firstLine="480"/>
            <w:jc w:val="center"/>
            <w:rPr>
              <w:rFonts w:ascii="Times New Roman" w:hAnsi="Times New Roman" w:eastAsia="宋体" w:cstheme="minorBidi"/>
              <w:color w:val="auto"/>
              <w:kern w:val="2"/>
              <w:sz w:val="31"/>
              <w:szCs w:val="31"/>
            </w:rPr>
          </w:pPr>
          <w:r>
            <w:rPr>
              <w:rFonts w:ascii="Times New Roman" w:hAnsi="Times New Roman" w:eastAsia="宋体" w:cstheme="minorBidi"/>
              <w:color w:val="auto"/>
              <w:kern w:val="2"/>
              <w:sz w:val="31"/>
              <w:szCs w:val="31"/>
            </w:rPr>
            <w:t>目录</w:t>
          </w:r>
        </w:p>
        <w:p w14:paraId="75E0B5DC">
          <w:pPr>
            <w:pStyle w:val="13"/>
            <w:rPr>
              <w:rFonts w:asciiTheme="minorHAnsi" w:hAnsiTheme="minorHAnsi" w:eastAsiaTheme="minorEastAsia"/>
              <w:b w:val="0"/>
            </w:rPr>
          </w:pPr>
          <w:r>
            <w:fldChar w:fldCharType="begin"/>
          </w:r>
          <w:r>
            <w:instrText xml:space="preserve"> TOC \o "1-3" \h \z \u </w:instrText>
          </w:r>
          <w:r>
            <w:fldChar w:fldCharType="separate"/>
          </w:r>
          <w:r>
            <w:fldChar w:fldCharType="begin"/>
          </w:r>
          <w:r>
            <w:instrText xml:space="preserve"> HYPERLINK \l "_Toc212057017" </w:instrText>
          </w:r>
          <w:r>
            <w:fldChar w:fldCharType="separate"/>
          </w:r>
          <w:r>
            <w:rPr>
              <w:rStyle w:val="21"/>
              <w:rFonts w:eastAsia="黑体" w:cs="Times New Roman"/>
              <w:bCs/>
            </w:rPr>
            <w:t>1</w:t>
          </w:r>
          <w:r>
            <w:rPr>
              <w:rStyle w:val="21"/>
              <w:bCs/>
            </w:rPr>
            <w:t xml:space="preserve"> 总则</w:t>
          </w:r>
          <w:r>
            <w:tab/>
          </w:r>
          <w:r>
            <w:fldChar w:fldCharType="begin"/>
          </w:r>
          <w:r>
            <w:instrText xml:space="preserve"> PAGEREF _Toc212057017 \h </w:instrText>
          </w:r>
          <w:r>
            <w:fldChar w:fldCharType="separate"/>
          </w:r>
          <w:r>
            <w:t>6</w:t>
          </w:r>
          <w:r>
            <w:fldChar w:fldCharType="end"/>
          </w:r>
          <w:r>
            <w:fldChar w:fldCharType="end"/>
          </w:r>
        </w:p>
        <w:p w14:paraId="48ADBED2">
          <w:pPr>
            <w:pStyle w:val="13"/>
            <w:rPr>
              <w:rFonts w:asciiTheme="minorHAnsi" w:hAnsiTheme="minorHAnsi" w:eastAsiaTheme="minorEastAsia"/>
              <w:b w:val="0"/>
            </w:rPr>
          </w:pPr>
          <w:r>
            <w:fldChar w:fldCharType="begin"/>
          </w:r>
          <w:r>
            <w:instrText xml:space="preserve"> HYPERLINK \l "_Toc212057018" </w:instrText>
          </w:r>
          <w:r>
            <w:fldChar w:fldCharType="separate"/>
          </w:r>
          <w:r>
            <w:rPr>
              <w:rStyle w:val="21"/>
              <w:rFonts w:eastAsia="黑体" w:cs="Times New Roman"/>
              <w:bCs/>
            </w:rPr>
            <w:t>2</w:t>
          </w:r>
          <w:r>
            <w:rPr>
              <w:rStyle w:val="21"/>
              <w:bCs/>
            </w:rPr>
            <w:t xml:space="preserve"> 术语</w:t>
          </w:r>
          <w:r>
            <w:tab/>
          </w:r>
          <w:r>
            <w:fldChar w:fldCharType="begin"/>
          </w:r>
          <w:r>
            <w:instrText xml:space="preserve"> PAGEREF _Toc212057018 \h </w:instrText>
          </w:r>
          <w:r>
            <w:fldChar w:fldCharType="separate"/>
          </w:r>
          <w:r>
            <w:t>7</w:t>
          </w:r>
          <w:r>
            <w:fldChar w:fldCharType="end"/>
          </w:r>
          <w:r>
            <w:fldChar w:fldCharType="end"/>
          </w:r>
        </w:p>
        <w:p w14:paraId="4C7E488B">
          <w:pPr>
            <w:pStyle w:val="13"/>
            <w:rPr>
              <w:rFonts w:asciiTheme="minorHAnsi" w:hAnsiTheme="minorHAnsi" w:eastAsiaTheme="minorEastAsia"/>
              <w:b w:val="0"/>
            </w:rPr>
          </w:pPr>
          <w:r>
            <w:fldChar w:fldCharType="begin"/>
          </w:r>
          <w:r>
            <w:instrText xml:space="preserve"> HYPERLINK \l "_Toc212057019" </w:instrText>
          </w:r>
          <w:r>
            <w:fldChar w:fldCharType="separate"/>
          </w:r>
          <w:r>
            <w:rPr>
              <w:rStyle w:val="21"/>
              <w:rFonts w:eastAsia="黑体" w:cs="Times New Roman"/>
              <w:bCs/>
            </w:rPr>
            <w:t>3</w:t>
          </w:r>
          <w:r>
            <w:rPr>
              <w:rStyle w:val="21"/>
              <w:bCs/>
            </w:rPr>
            <w:t xml:space="preserve"> 基本规定</w:t>
          </w:r>
          <w:r>
            <w:tab/>
          </w:r>
          <w:r>
            <w:fldChar w:fldCharType="begin"/>
          </w:r>
          <w:r>
            <w:instrText xml:space="preserve"> PAGEREF _Toc212057019 \h </w:instrText>
          </w:r>
          <w:r>
            <w:fldChar w:fldCharType="separate"/>
          </w:r>
          <w:r>
            <w:t>10</w:t>
          </w:r>
          <w:r>
            <w:fldChar w:fldCharType="end"/>
          </w:r>
          <w:r>
            <w:fldChar w:fldCharType="end"/>
          </w:r>
        </w:p>
        <w:p w14:paraId="23B1D690">
          <w:pPr>
            <w:pStyle w:val="13"/>
            <w:rPr>
              <w:rFonts w:asciiTheme="minorHAnsi" w:hAnsiTheme="minorHAnsi" w:eastAsiaTheme="minorEastAsia"/>
              <w:b w:val="0"/>
            </w:rPr>
          </w:pPr>
          <w:r>
            <w:fldChar w:fldCharType="begin"/>
          </w:r>
          <w:r>
            <w:instrText xml:space="preserve"> HYPERLINK \l "_Toc212057020" </w:instrText>
          </w:r>
          <w:r>
            <w:fldChar w:fldCharType="separate"/>
          </w:r>
          <w:r>
            <w:rPr>
              <w:rStyle w:val="21"/>
              <w:rFonts w:eastAsia="黑体" w:cs="Times New Roman"/>
              <w:bCs/>
            </w:rPr>
            <w:t>4</w:t>
          </w:r>
          <w:r>
            <w:rPr>
              <w:rStyle w:val="21"/>
              <w:bCs/>
            </w:rPr>
            <w:t xml:space="preserve"> 安全</w:t>
          </w:r>
          <w:r>
            <w:tab/>
          </w:r>
          <w:r>
            <w:fldChar w:fldCharType="begin"/>
          </w:r>
          <w:r>
            <w:instrText xml:space="preserve"> PAGEREF _Toc212057020 \h </w:instrText>
          </w:r>
          <w:r>
            <w:fldChar w:fldCharType="separate"/>
          </w:r>
          <w:r>
            <w:t>11</w:t>
          </w:r>
          <w:r>
            <w:fldChar w:fldCharType="end"/>
          </w:r>
          <w:r>
            <w:fldChar w:fldCharType="end"/>
          </w:r>
        </w:p>
        <w:p w14:paraId="78811286">
          <w:pPr>
            <w:pStyle w:val="13"/>
            <w:rPr>
              <w:rFonts w:asciiTheme="minorHAnsi" w:hAnsiTheme="minorHAnsi" w:eastAsiaTheme="minorEastAsia"/>
              <w:b w:val="0"/>
            </w:rPr>
          </w:pPr>
          <w:r>
            <w:fldChar w:fldCharType="begin"/>
          </w:r>
          <w:r>
            <w:instrText xml:space="preserve"> HYPERLINK \l "_Toc212057021" </w:instrText>
          </w:r>
          <w:r>
            <w:fldChar w:fldCharType="separate"/>
          </w:r>
          <w:r>
            <w:rPr>
              <w:rStyle w:val="21"/>
              <w:rFonts w:eastAsia="黑体" w:cs="Times New Roman"/>
              <w:bCs/>
            </w:rPr>
            <w:t>5</w:t>
          </w:r>
          <w:r>
            <w:rPr>
              <w:rStyle w:val="21"/>
              <w:bCs/>
            </w:rPr>
            <w:t xml:space="preserve"> 基础调查与问题识别</w:t>
          </w:r>
          <w:r>
            <w:tab/>
          </w:r>
          <w:r>
            <w:fldChar w:fldCharType="begin"/>
          </w:r>
          <w:r>
            <w:instrText xml:space="preserve"> PAGEREF _Toc212057021 \h </w:instrText>
          </w:r>
          <w:r>
            <w:fldChar w:fldCharType="separate"/>
          </w:r>
          <w:r>
            <w:t>13</w:t>
          </w:r>
          <w:r>
            <w:fldChar w:fldCharType="end"/>
          </w:r>
          <w:r>
            <w:fldChar w:fldCharType="end"/>
          </w:r>
        </w:p>
        <w:p w14:paraId="0AB09213">
          <w:pPr>
            <w:pStyle w:val="14"/>
            <w:rPr>
              <w:rFonts w:asciiTheme="minorHAnsi" w:hAnsiTheme="minorHAnsi" w:eastAsiaTheme="minorEastAsia" w:cstheme="minorBidi"/>
            </w:rPr>
          </w:pPr>
          <w:r>
            <w:fldChar w:fldCharType="begin"/>
          </w:r>
          <w:r>
            <w:instrText xml:space="preserve"> HYPERLINK \l "_Toc212057022" </w:instrText>
          </w:r>
          <w:r>
            <w:fldChar w:fldCharType="separate"/>
          </w:r>
          <w:r>
            <w:rPr>
              <w:rStyle w:val="21"/>
            </w:rPr>
            <w:t>5.1 一般规定</w:t>
          </w:r>
          <w:r>
            <w:tab/>
          </w:r>
          <w:r>
            <w:fldChar w:fldCharType="begin"/>
          </w:r>
          <w:r>
            <w:instrText xml:space="preserve"> PAGEREF _Toc212057022 \h </w:instrText>
          </w:r>
          <w:r>
            <w:fldChar w:fldCharType="separate"/>
          </w:r>
          <w:r>
            <w:t>13</w:t>
          </w:r>
          <w:r>
            <w:fldChar w:fldCharType="end"/>
          </w:r>
          <w:r>
            <w:fldChar w:fldCharType="end"/>
          </w:r>
        </w:p>
        <w:p w14:paraId="32E08BE4">
          <w:pPr>
            <w:pStyle w:val="14"/>
            <w:rPr>
              <w:rFonts w:asciiTheme="minorHAnsi" w:hAnsiTheme="minorHAnsi" w:eastAsiaTheme="minorEastAsia" w:cstheme="minorBidi"/>
            </w:rPr>
          </w:pPr>
          <w:r>
            <w:fldChar w:fldCharType="begin"/>
          </w:r>
          <w:r>
            <w:instrText xml:space="preserve"> HYPERLINK \l "_Toc212057023" </w:instrText>
          </w:r>
          <w:r>
            <w:fldChar w:fldCharType="separate"/>
          </w:r>
          <w:r>
            <w:rPr>
              <w:rStyle w:val="21"/>
            </w:rPr>
            <w:t>5.2 基础调查</w:t>
          </w:r>
          <w:r>
            <w:tab/>
          </w:r>
          <w:r>
            <w:fldChar w:fldCharType="begin"/>
          </w:r>
          <w:r>
            <w:instrText xml:space="preserve"> PAGEREF _Toc212057023 \h </w:instrText>
          </w:r>
          <w:r>
            <w:fldChar w:fldCharType="separate"/>
          </w:r>
          <w:r>
            <w:t>13</w:t>
          </w:r>
          <w:r>
            <w:fldChar w:fldCharType="end"/>
          </w:r>
          <w:r>
            <w:fldChar w:fldCharType="end"/>
          </w:r>
        </w:p>
        <w:p w14:paraId="6B636B03">
          <w:pPr>
            <w:pStyle w:val="14"/>
            <w:rPr>
              <w:rFonts w:asciiTheme="minorHAnsi" w:hAnsiTheme="minorHAnsi" w:eastAsiaTheme="minorEastAsia" w:cstheme="minorBidi"/>
            </w:rPr>
          </w:pPr>
          <w:r>
            <w:fldChar w:fldCharType="begin"/>
          </w:r>
          <w:r>
            <w:instrText xml:space="preserve"> HYPERLINK \l "_Toc212057024" </w:instrText>
          </w:r>
          <w:r>
            <w:fldChar w:fldCharType="separate"/>
          </w:r>
          <w:r>
            <w:rPr>
              <w:rStyle w:val="21"/>
            </w:rPr>
            <w:t>5.3 问题识别</w:t>
          </w:r>
          <w:r>
            <w:tab/>
          </w:r>
          <w:r>
            <w:fldChar w:fldCharType="begin"/>
          </w:r>
          <w:r>
            <w:instrText xml:space="preserve"> PAGEREF _Toc212057024 \h </w:instrText>
          </w:r>
          <w:r>
            <w:fldChar w:fldCharType="separate"/>
          </w:r>
          <w:r>
            <w:t>25</w:t>
          </w:r>
          <w:r>
            <w:fldChar w:fldCharType="end"/>
          </w:r>
          <w:r>
            <w:fldChar w:fldCharType="end"/>
          </w:r>
        </w:p>
        <w:p w14:paraId="600D5357">
          <w:pPr>
            <w:pStyle w:val="13"/>
            <w:rPr>
              <w:rFonts w:asciiTheme="minorHAnsi" w:hAnsiTheme="minorHAnsi" w:eastAsiaTheme="minorEastAsia"/>
              <w:b w:val="0"/>
            </w:rPr>
          </w:pPr>
          <w:r>
            <w:fldChar w:fldCharType="begin"/>
          </w:r>
          <w:r>
            <w:instrText xml:space="preserve"> HYPERLINK \l "_Toc212057025" </w:instrText>
          </w:r>
          <w:r>
            <w:fldChar w:fldCharType="separate"/>
          </w:r>
          <w:r>
            <w:rPr>
              <w:rStyle w:val="21"/>
              <w:rFonts w:eastAsia="黑体" w:cs="Times New Roman"/>
              <w:bCs/>
            </w:rPr>
            <w:t>6</w:t>
          </w:r>
          <w:r>
            <w:rPr>
              <w:rStyle w:val="21"/>
              <w:bCs/>
            </w:rPr>
            <w:t xml:space="preserve"> 设计</w:t>
          </w:r>
          <w:r>
            <w:tab/>
          </w:r>
          <w:r>
            <w:fldChar w:fldCharType="begin"/>
          </w:r>
          <w:r>
            <w:instrText xml:space="preserve"> PAGEREF _Toc212057025 \h </w:instrText>
          </w:r>
          <w:r>
            <w:fldChar w:fldCharType="separate"/>
          </w:r>
          <w:r>
            <w:t>27</w:t>
          </w:r>
          <w:r>
            <w:fldChar w:fldCharType="end"/>
          </w:r>
          <w:r>
            <w:fldChar w:fldCharType="end"/>
          </w:r>
        </w:p>
        <w:p w14:paraId="7A43172E">
          <w:pPr>
            <w:pStyle w:val="14"/>
            <w:rPr>
              <w:rFonts w:asciiTheme="minorHAnsi" w:hAnsiTheme="minorHAnsi" w:eastAsiaTheme="minorEastAsia" w:cstheme="minorBidi"/>
            </w:rPr>
          </w:pPr>
          <w:r>
            <w:fldChar w:fldCharType="begin"/>
          </w:r>
          <w:r>
            <w:instrText xml:space="preserve"> HYPERLINK \l "_Toc212057026" </w:instrText>
          </w:r>
          <w:r>
            <w:fldChar w:fldCharType="separate"/>
          </w:r>
          <w:r>
            <w:rPr>
              <w:rStyle w:val="21"/>
            </w:rPr>
            <w:t>6.1 一般规定</w:t>
          </w:r>
          <w:r>
            <w:tab/>
          </w:r>
          <w:r>
            <w:fldChar w:fldCharType="begin"/>
          </w:r>
          <w:r>
            <w:instrText xml:space="preserve"> PAGEREF _Toc212057026 \h </w:instrText>
          </w:r>
          <w:r>
            <w:fldChar w:fldCharType="separate"/>
          </w:r>
          <w:r>
            <w:t>27</w:t>
          </w:r>
          <w:r>
            <w:fldChar w:fldCharType="end"/>
          </w:r>
          <w:r>
            <w:fldChar w:fldCharType="end"/>
          </w:r>
        </w:p>
        <w:p w14:paraId="7ADD3319">
          <w:pPr>
            <w:pStyle w:val="14"/>
            <w:rPr>
              <w:rFonts w:asciiTheme="minorHAnsi" w:hAnsiTheme="minorHAnsi" w:eastAsiaTheme="minorEastAsia" w:cstheme="minorBidi"/>
            </w:rPr>
          </w:pPr>
          <w:r>
            <w:fldChar w:fldCharType="begin"/>
          </w:r>
          <w:r>
            <w:instrText xml:space="preserve"> HYPERLINK \l "_Toc212057027" </w:instrText>
          </w:r>
          <w:r>
            <w:fldChar w:fldCharType="separate"/>
          </w:r>
          <w:r>
            <w:rPr>
              <w:rStyle w:val="21"/>
            </w:rPr>
            <w:t>6.2 地形地貌设计</w:t>
          </w:r>
          <w:r>
            <w:tab/>
          </w:r>
          <w:r>
            <w:fldChar w:fldCharType="begin"/>
          </w:r>
          <w:r>
            <w:instrText xml:space="preserve"> PAGEREF _Toc212057027 \h </w:instrText>
          </w:r>
          <w:r>
            <w:fldChar w:fldCharType="separate"/>
          </w:r>
          <w:r>
            <w:t>28</w:t>
          </w:r>
          <w:r>
            <w:fldChar w:fldCharType="end"/>
          </w:r>
          <w:r>
            <w:fldChar w:fldCharType="end"/>
          </w:r>
        </w:p>
        <w:p w14:paraId="12FE3BCC">
          <w:pPr>
            <w:pStyle w:val="14"/>
            <w:rPr>
              <w:rFonts w:asciiTheme="minorHAnsi" w:hAnsiTheme="minorHAnsi" w:eastAsiaTheme="minorEastAsia" w:cstheme="minorBidi"/>
            </w:rPr>
          </w:pPr>
          <w:r>
            <w:fldChar w:fldCharType="begin"/>
          </w:r>
          <w:r>
            <w:instrText xml:space="preserve"> HYPERLINK \l "_Toc212057028" </w:instrText>
          </w:r>
          <w:r>
            <w:fldChar w:fldCharType="separate"/>
          </w:r>
          <w:r>
            <w:rPr>
              <w:rStyle w:val="21"/>
            </w:rPr>
            <w:t>6.3 地质消灾设计</w:t>
          </w:r>
          <w:r>
            <w:tab/>
          </w:r>
          <w:r>
            <w:fldChar w:fldCharType="begin"/>
          </w:r>
          <w:r>
            <w:instrText xml:space="preserve"> PAGEREF _Toc212057028 \h </w:instrText>
          </w:r>
          <w:r>
            <w:fldChar w:fldCharType="separate"/>
          </w:r>
          <w:r>
            <w:t>31</w:t>
          </w:r>
          <w:r>
            <w:fldChar w:fldCharType="end"/>
          </w:r>
          <w:r>
            <w:fldChar w:fldCharType="end"/>
          </w:r>
        </w:p>
        <w:p w14:paraId="3E48C25F">
          <w:pPr>
            <w:pStyle w:val="14"/>
            <w:rPr>
              <w:rFonts w:asciiTheme="minorHAnsi" w:hAnsiTheme="minorHAnsi" w:eastAsiaTheme="minorEastAsia" w:cstheme="minorBidi"/>
            </w:rPr>
          </w:pPr>
          <w:r>
            <w:fldChar w:fldCharType="begin"/>
          </w:r>
          <w:r>
            <w:instrText xml:space="preserve"> HYPERLINK \l "_Toc212057029" </w:instrText>
          </w:r>
          <w:r>
            <w:fldChar w:fldCharType="separate"/>
          </w:r>
          <w:r>
            <w:rPr>
              <w:rStyle w:val="21"/>
            </w:rPr>
            <w:t>6.4 水土共治设计</w:t>
          </w:r>
          <w:r>
            <w:tab/>
          </w:r>
          <w:r>
            <w:fldChar w:fldCharType="begin"/>
          </w:r>
          <w:r>
            <w:instrText xml:space="preserve"> PAGEREF _Toc212057029 \h </w:instrText>
          </w:r>
          <w:r>
            <w:fldChar w:fldCharType="separate"/>
          </w:r>
          <w:r>
            <w:t>36</w:t>
          </w:r>
          <w:r>
            <w:fldChar w:fldCharType="end"/>
          </w:r>
          <w:r>
            <w:fldChar w:fldCharType="end"/>
          </w:r>
        </w:p>
        <w:p w14:paraId="0855985F">
          <w:pPr>
            <w:pStyle w:val="14"/>
            <w:rPr>
              <w:rFonts w:asciiTheme="minorHAnsi" w:hAnsiTheme="minorHAnsi" w:eastAsiaTheme="minorEastAsia" w:cstheme="minorBidi"/>
            </w:rPr>
          </w:pPr>
          <w:r>
            <w:fldChar w:fldCharType="begin"/>
          </w:r>
          <w:r>
            <w:instrText xml:space="preserve"> HYPERLINK \l "_Toc212057030" </w:instrText>
          </w:r>
          <w:r>
            <w:fldChar w:fldCharType="separate"/>
          </w:r>
          <w:r>
            <w:rPr>
              <w:rStyle w:val="21"/>
            </w:rPr>
            <w:t>6.5 景观园林设计</w:t>
          </w:r>
          <w:r>
            <w:tab/>
          </w:r>
          <w:r>
            <w:fldChar w:fldCharType="begin"/>
          </w:r>
          <w:r>
            <w:instrText xml:space="preserve"> PAGEREF _Toc212057030 \h </w:instrText>
          </w:r>
          <w:r>
            <w:fldChar w:fldCharType="separate"/>
          </w:r>
          <w:r>
            <w:t>48</w:t>
          </w:r>
          <w:r>
            <w:fldChar w:fldCharType="end"/>
          </w:r>
          <w:r>
            <w:fldChar w:fldCharType="end"/>
          </w:r>
        </w:p>
        <w:p w14:paraId="56C33087">
          <w:pPr>
            <w:pStyle w:val="14"/>
            <w:rPr>
              <w:rFonts w:asciiTheme="minorHAnsi" w:hAnsiTheme="minorHAnsi" w:eastAsiaTheme="minorEastAsia" w:cstheme="minorBidi"/>
            </w:rPr>
          </w:pPr>
          <w:r>
            <w:fldChar w:fldCharType="begin"/>
          </w:r>
          <w:r>
            <w:instrText xml:space="preserve"> HYPERLINK \l "_Toc212057031" </w:instrText>
          </w:r>
          <w:r>
            <w:fldChar w:fldCharType="separate"/>
          </w:r>
          <w:r>
            <w:rPr>
              <w:rStyle w:val="21"/>
            </w:rPr>
            <w:t>6.6 工业遗迹改造设计</w:t>
          </w:r>
          <w:r>
            <w:tab/>
          </w:r>
          <w:r>
            <w:fldChar w:fldCharType="begin"/>
          </w:r>
          <w:r>
            <w:instrText xml:space="preserve"> PAGEREF _Toc212057031 \h </w:instrText>
          </w:r>
          <w:r>
            <w:fldChar w:fldCharType="separate"/>
          </w:r>
          <w:r>
            <w:t>51</w:t>
          </w:r>
          <w:r>
            <w:fldChar w:fldCharType="end"/>
          </w:r>
          <w:r>
            <w:fldChar w:fldCharType="end"/>
          </w:r>
        </w:p>
        <w:p w14:paraId="192997D7">
          <w:pPr>
            <w:pStyle w:val="14"/>
            <w:rPr>
              <w:rFonts w:asciiTheme="minorHAnsi" w:hAnsiTheme="minorHAnsi" w:eastAsiaTheme="minorEastAsia" w:cstheme="minorBidi"/>
            </w:rPr>
          </w:pPr>
          <w:r>
            <w:fldChar w:fldCharType="begin"/>
          </w:r>
          <w:r>
            <w:instrText xml:space="preserve"> HYPERLINK \l "_Toc212057032" </w:instrText>
          </w:r>
          <w:r>
            <w:fldChar w:fldCharType="separate"/>
          </w:r>
          <w:r>
            <w:rPr>
              <w:rStyle w:val="21"/>
            </w:rPr>
            <w:t>6.7 矿区建筑设计</w:t>
          </w:r>
          <w:r>
            <w:tab/>
          </w:r>
          <w:r>
            <w:fldChar w:fldCharType="begin"/>
          </w:r>
          <w:r>
            <w:instrText xml:space="preserve"> PAGEREF _Toc212057032 \h </w:instrText>
          </w:r>
          <w:r>
            <w:fldChar w:fldCharType="separate"/>
          </w:r>
          <w:r>
            <w:t>52</w:t>
          </w:r>
          <w:r>
            <w:fldChar w:fldCharType="end"/>
          </w:r>
          <w:r>
            <w:fldChar w:fldCharType="end"/>
          </w:r>
        </w:p>
        <w:p w14:paraId="6BB2E30D">
          <w:pPr>
            <w:pStyle w:val="13"/>
            <w:rPr>
              <w:rFonts w:asciiTheme="minorHAnsi" w:hAnsiTheme="minorHAnsi" w:eastAsiaTheme="minorEastAsia"/>
              <w:b w:val="0"/>
            </w:rPr>
          </w:pPr>
          <w:r>
            <w:fldChar w:fldCharType="begin"/>
          </w:r>
          <w:r>
            <w:instrText xml:space="preserve"> HYPERLINK \l "_Toc212057033" </w:instrText>
          </w:r>
          <w:r>
            <w:fldChar w:fldCharType="separate"/>
          </w:r>
          <w:r>
            <w:rPr>
              <w:rStyle w:val="21"/>
              <w:rFonts w:eastAsia="黑体" w:cs="Times New Roman"/>
              <w:bCs/>
            </w:rPr>
            <w:t>7</w:t>
          </w:r>
          <w:r>
            <w:rPr>
              <w:rStyle w:val="21"/>
              <w:bCs/>
            </w:rPr>
            <w:t xml:space="preserve"> 施工</w:t>
          </w:r>
          <w:r>
            <w:tab/>
          </w:r>
          <w:r>
            <w:fldChar w:fldCharType="begin"/>
          </w:r>
          <w:r>
            <w:instrText xml:space="preserve"> PAGEREF _Toc212057033 \h </w:instrText>
          </w:r>
          <w:r>
            <w:fldChar w:fldCharType="separate"/>
          </w:r>
          <w:r>
            <w:t>54</w:t>
          </w:r>
          <w:r>
            <w:fldChar w:fldCharType="end"/>
          </w:r>
          <w:r>
            <w:fldChar w:fldCharType="end"/>
          </w:r>
        </w:p>
        <w:p w14:paraId="48BD62A8">
          <w:pPr>
            <w:pStyle w:val="14"/>
            <w:rPr>
              <w:rFonts w:asciiTheme="minorHAnsi" w:hAnsiTheme="minorHAnsi" w:eastAsiaTheme="minorEastAsia" w:cstheme="minorBidi"/>
            </w:rPr>
          </w:pPr>
          <w:r>
            <w:fldChar w:fldCharType="begin"/>
          </w:r>
          <w:r>
            <w:instrText xml:space="preserve"> HYPERLINK \l "_Toc212057034" </w:instrText>
          </w:r>
          <w:r>
            <w:fldChar w:fldCharType="separate"/>
          </w:r>
          <w:r>
            <w:rPr>
              <w:rStyle w:val="21"/>
            </w:rPr>
            <w:t>7.1 一般规定</w:t>
          </w:r>
          <w:r>
            <w:tab/>
          </w:r>
          <w:r>
            <w:fldChar w:fldCharType="begin"/>
          </w:r>
          <w:r>
            <w:instrText xml:space="preserve"> PAGEREF _Toc212057034 \h </w:instrText>
          </w:r>
          <w:r>
            <w:fldChar w:fldCharType="separate"/>
          </w:r>
          <w:r>
            <w:t>54</w:t>
          </w:r>
          <w:r>
            <w:fldChar w:fldCharType="end"/>
          </w:r>
          <w:r>
            <w:fldChar w:fldCharType="end"/>
          </w:r>
        </w:p>
        <w:p w14:paraId="247EA777">
          <w:pPr>
            <w:pStyle w:val="14"/>
            <w:rPr>
              <w:rFonts w:asciiTheme="minorHAnsi" w:hAnsiTheme="minorHAnsi" w:eastAsiaTheme="minorEastAsia" w:cstheme="minorBidi"/>
            </w:rPr>
          </w:pPr>
          <w:r>
            <w:fldChar w:fldCharType="begin"/>
          </w:r>
          <w:r>
            <w:instrText xml:space="preserve"> HYPERLINK \l "_Toc212057035" </w:instrText>
          </w:r>
          <w:r>
            <w:fldChar w:fldCharType="separate"/>
          </w:r>
          <w:r>
            <w:rPr>
              <w:rStyle w:val="21"/>
            </w:rPr>
            <w:t>7.2 基本原则</w:t>
          </w:r>
          <w:r>
            <w:tab/>
          </w:r>
          <w:r>
            <w:fldChar w:fldCharType="begin"/>
          </w:r>
          <w:r>
            <w:instrText xml:space="preserve"> PAGEREF _Toc212057035 \h </w:instrText>
          </w:r>
          <w:r>
            <w:fldChar w:fldCharType="separate"/>
          </w:r>
          <w:r>
            <w:t>54</w:t>
          </w:r>
          <w:r>
            <w:fldChar w:fldCharType="end"/>
          </w:r>
          <w:r>
            <w:fldChar w:fldCharType="end"/>
          </w:r>
        </w:p>
        <w:p w14:paraId="29EB514E">
          <w:pPr>
            <w:pStyle w:val="14"/>
            <w:rPr>
              <w:rFonts w:asciiTheme="minorHAnsi" w:hAnsiTheme="minorHAnsi" w:eastAsiaTheme="minorEastAsia" w:cstheme="minorBidi"/>
            </w:rPr>
          </w:pPr>
          <w:r>
            <w:fldChar w:fldCharType="begin"/>
          </w:r>
          <w:r>
            <w:instrText xml:space="preserve"> HYPERLINK \l "_Toc212057036" </w:instrText>
          </w:r>
          <w:r>
            <w:fldChar w:fldCharType="separate"/>
          </w:r>
          <w:r>
            <w:rPr>
              <w:rStyle w:val="21"/>
            </w:rPr>
            <w:t>7.3 方案编制</w:t>
          </w:r>
          <w:r>
            <w:tab/>
          </w:r>
          <w:r>
            <w:fldChar w:fldCharType="begin"/>
          </w:r>
          <w:r>
            <w:instrText xml:space="preserve"> PAGEREF _Toc212057036 \h </w:instrText>
          </w:r>
          <w:r>
            <w:fldChar w:fldCharType="separate"/>
          </w:r>
          <w:r>
            <w:t>55</w:t>
          </w:r>
          <w:r>
            <w:fldChar w:fldCharType="end"/>
          </w:r>
          <w:r>
            <w:fldChar w:fldCharType="end"/>
          </w:r>
        </w:p>
        <w:p w14:paraId="439AE558">
          <w:pPr>
            <w:pStyle w:val="14"/>
            <w:rPr>
              <w:rFonts w:asciiTheme="minorHAnsi" w:hAnsiTheme="minorHAnsi" w:eastAsiaTheme="minorEastAsia" w:cstheme="minorBidi"/>
            </w:rPr>
          </w:pPr>
          <w:r>
            <w:fldChar w:fldCharType="begin"/>
          </w:r>
          <w:r>
            <w:instrText xml:space="preserve"> HYPERLINK \l "_Toc212057037" </w:instrText>
          </w:r>
          <w:r>
            <w:fldChar w:fldCharType="separate"/>
          </w:r>
          <w:r>
            <w:rPr>
              <w:rStyle w:val="21"/>
            </w:rPr>
            <w:t>7.4 地形地貌施工</w:t>
          </w:r>
          <w:r>
            <w:tab/>
          </w:r>
          <w:r>
            <w:fldChar w:fldCharType="begin"/>
          </w:r>
          <w:r>
            <w:instrText xml:space="preserve"> PAGEREF _Toc212057037 \h </w:instrText>
          </w:r>
          <w:r>
            <w:fldChar w:fldCharType="separate"/>
          </w:r>
          <w:r>
            <w:t>60</w:t>
          </w:r>
          <w:r>
            <w:fldChar w:fldCharType="end"/>
          </w:r>
          <w:r>
            <w:fldChar w:fldCharType="end"/>
          </w:r>
        </w:p>
        <w:p w14:paraId="285D29CD">
          <w:pPr>
            <w:pStyle w:val="14"/>
            <w:rPr>
              <w:rFonts w:asciiTheme="minorHAnsi" w:hAnsiTheme="minorHAnsi" w:eastAsiaTheme="minorEastAsia" w:cstheme="minorBidi"/>
            </w:rPr>
          </w:pPr>
          <w:r>
            <w:fldChar w:fldCharType="begin"/>
          </w:r>
          <w:r>
            <w:instrText xml:space="preserve"> HYPERLINK \l "_Toc212057038" </w:instrText>
          </w:r>
          <w:r>
            <w:fldChar w:fldCharType="separate"/>
          </w:r>
          <w:r>
            <w:rPr>
              <w:rStyle w:val="21"/>
            </w:rPr>
            <w:t>7.5 地质消灾施工</w:t>
          </w:r>
          <w:r>
            <w:tab/>
          </w:r>
          <w:r>
            <w:fldChar w:fldCharType="begin"/>
          </w:r>
          <w:r>
            <w:instrText xml:space="preserve"> PAGEREF _Toc212057038 \h </w:instrText>
          </w:r>
          <w:r>
            <w:fldChar w:fldCharType="separate"/>
          </w:r>
          <w:r>
            <w:t>63</w:t>
          </w:r>
          <w:r>
            <w:fldChar w:fldCharType="end"/>
          </w:r>
          <w:r>
            <w:fldChar w:fldCharType="end"/>
          </w:r>
        </w:p>
        <w:p w14:paraId="1919663B">
          <w:pPr>
            <w:pStyle w:val="14"/>
            <w:rPr>
              <w:rFonts w:asciiTheme="minorHAnsi" w:hAnsiTheme="minorHAnsi" w:eastAsiaTheme="minorEastAsia" w:cstheme="minorBidi"/>
            </w:rPr>
          </w:pPr>
          <w:r>
            <w:fldChar w:fldCharType="begin"/>
          </w:r>
          <w:r>
            <w:instrText xml:space="preserve"> HYPERLINK \l "_Toc212057039" </w:instrText>
          </w:r>
          <w:r>
            <w:fldChar w:fldCharType="separate"/>
          </w:r>
          <w:r>
            <w:rPr>
              <w:rStyle w:val="21"/>
            </w:rPr>
            <w:t>7.6 水土共治修复</w:t>
          </w:r>
          <w:r>
            <w:tab/>
          </w:r>
          <w:r>
            <w:fldChar w:fldCharType="begin"/>
          </w:r>
          <w:r>
            <w:instrText xml:space="preserve"> PAGEREF _Toc212057039 \h </w:instrText>
          </w:r>
          <w:r>
            <w:fldChar w:fldCharType="separate"/>
          </w:r>
          <w:r>
            <w:t>67</w:t>
          </w:r>
          <w:r>
            <w:fldChar w:fldCharType="end"/>
          </w:r>
          <w:r>
            <w:fldChar w:fldCharType="end"/>
          </w:r>
        </w:p>
        <w:p w14:paraId="7E73A738">
          <w:pPr>
            <w:pStyle w:val="14"/>
            <w:rPr>
              <w:rFonts w:asciiTheme="minorHAnsi" w:hAnsiTheme="minorHAnsi" w:eastAsiaTheme="minorEastAsia" w:cstheme="minorBidi"/>
            </w:rPr>
          </w:pPr>
          <w:r>
            <w:fldChar w:fldCharType="begin"/>
          </w:r>
          <w:r>
            <w:instrText xml:space="preserve"> HYPERLINK \l "_Toc212057040" </w:instrText>
          </w:r>
          <w:r>
            <w:fldChar w:fldCharType="separate"/>
          </w:r>
          <w:r>
            <w:rPr>
              <w:rStyle w:val="21"/>
            </w:rPr>
            <w:t>7.7 景观园林施工</w:t>
          </w:r>
          <w:r>
            <w:tab/>
          </w:r>
          <w:r>
            <w:fldChar w:fldCharType="begin"/>
          </w:r>
          <w:r>
            <w:instrText xml:space="preserve"> PAGEREF _Toc212057040 \h </w:instrText>
          </w:r>
          <w:r>
            <w:fldChar w:fldCharType="separate"/>
          </w:r>
          <w:r>
            <w:t>72</w:t>
          </w:r>
          <w:r>
            <w:fldChar w:fldCharType="end"/>
          </w:r>
          <w:r>
            <w:fldChar w:fldCharType="end"/>
          </w:r>
        </w:p>
        <w:p w14:paraId="35E2FB9E">
          <w:pPr>
            <w:pStyle w:val="14"/>
            <w:rPr>
              <w:rFonts w:asciiTheme="minorHAnsi" w:hAnsiTheme="minorHAnsi" w:eastAsiaTheme="minorEastAsia" w:cstheme="minorBidi"/>
            </w:rPr>
          </w:pPr>
          <w:r>
            <w:fldChar w:fldCharType="begin"/>
          </w:r>
          <w:r>
            <w:instrText xml:space="preserve"> HYPERLINK \l "_Toc212057041" </w:instrText>
          </w:r>
          <w:r>
            <w:fldChar w:fldCharType="separate"/>
          </w:r>
          <w:r>
            <w:rPr>
              <w:rStyle w:val="21"/>
            </w:rPr>
            <w:t>7.8 工业遗迹改造施工</w:t>
          </w:r>
          <w:r>
            <w:tab/>
          </w:r>
          <w:r>
            <w:fldChar w:fldCharType="begin"/>
          </w:r>
          <w:r>
            <w:instrText xml:space="preserve"> PAGEREF _Toc212057041 \h </w:instrText>
          </w:r>
          <w:r>
            <w:fldChar w:fldCharType="separate"/>
          </w:r>
          <w:r>
            <w:t>73</w:t>
          </w:r>
          <w:r>
            <w:fldChar w:fldCharType="end"/>
          </w:r>
          <w:r>
            <w:fldChar w:fldCharType="end"/>
          </w:r>
        </w:p>
        <w:p w14:paraId="5FDBA201">
          <w:pPr>
            <w:pStyle w:val="14"/>
            <w:rPr>
              <w:rFonts w:asciiTheme="minorHAnsi" w:hAnsiTheme="minorHAnsi" w:eastAsiaTheme="minorEastAsia" w:cstheme="minorBidi"/>
            </w:rPr>
          </w:pPr>
          <w:r>
            <w:fldChar w:fldCharType="begin"/>
          </w:r>
          <w:r>
            <w:instrText xml:space="preserve"> HYPERLINK \l "_Toc212057042" </w:instrText>
          </w:r>
          <w:r>
            <w:fldChar w:fldCharType="separate"/>
          </w:r>
          <w:r>
            <w:rPr>
              <w:rStyle w:val="21"/>
            </w:rPr>
            <w:t>7.9 矿区内外环境施工</w:t>
          </w:r>
          <w:r>
            <w:tab/>
          </w:r>
          <w:r>
            <w:fldChar w:fldCharType="begin"/>
          </w:r>
          <w:r>
            <w:instrText xml:space="preserve"> PAGEREF _Toc212057042 \h </w:instrText>
          </w:r>
          <w:r>
            <w:fldChar w:fldCharType="separate"/>
          </w:r>
          <w:r>
            <w:t>74</w:t>
          </w:r>
          <w:r>
            <w:fldChar w:fldCharType="end"/>
          </w:r>
          <w:r>
            <w:fldChar w:fldCharType="end"/>
          </w:r>
        </w:p>
        <w:p w14:paraId="07E2F6C1">
          <w:pPr>
            <w:pStyle w:val="13"/>
            <w:rPr>
              <w:rFonts w:asciiTheme="minorHAnsi" w:hAnsiTheme="minorHAnsi" w:eastAsiaTheme="minorEastAsia"/>
              <w:b w:val="0"/>
            </w:rPr>
          </w:pPr>
          <w:r>
            <w:fldChar w:fldCharType="begin"/>
          </w:r>
          <w:r>
            <w:instrText xml:space="preserve"> HYPERLINK \l "_Toc212057043" </w:instrText>
          </w:r>
          <w:r>
            <w:fldChar w:fldCharType="separate"/>
          </w:r>
          <w:r>
            <w:rPr>
              <w:rStyle w:val="21"/>
              <w:rFonts w:eastAsia="黑体" w:cs="Times New Roman"/>
              <w:bCs/>
            </w:rPr>
            <w:t>8</w:t>
          </w:r>
          <w:r>
            <w:rPr>
              <w:rStyle w:val="21"/>
              <w:bCs/>
            </w:rPr>
            <w:t xml:space="preserve"> 验收</w:t>
          </w:r>
          <w:r>
            <w:tab/>
          </w:r>
          <w:r>
            <w:fldChar w:fldCharType="begin"/>
          </w:r>
          <w:r>
            <w:instrText xml:space="preserve"> PAGEREF _Toc212057043 \h </w:instrText>
          </w:r>
          <w:r>
            <w:fldChar w:fldCharType="separate"/>
          </w:r>
          <w:r>
            <w:t>78</w:t>
          </w:r>
          <w:r>
            <w:fldChar w:fldCharType="end"/>
          </w:r>
          <w:r>
            <w:fldChar w:fldCharType="end"/>
          </w:r>
        </w:p>
        <w:p w14:paraId="2920FD4B">
          <w:pPr>
            <w:pStyle w:val="14"/>
            <w:rPr>
              <w:rFonts w:asciiTheme="minorHAnsi" w:hAnsiTheme="minorHAnsi" w:eastAsiaTheme="minorEastAsia" w:cstheme="minorBidi"/>
            </w:rPr>
          </w:pPr>
          <w:r>
            <w:fldChar w:fldCharType="begin"/>
          </w:r>
          <w:r>
            <w:instrText xml:space="preserve"> HYPERLINK \l "_Toc212057044" </w:instrText>
          </w:r>
          <w:r>
            <w:fldChar w:fldCharType="separate"/>
          </w:r>
          <w:r>
            <w:rPr>
              <w:rStyle w:val="21"/>
            </w:rPr>
            <w:t>8.1 一般规定</w:t>
          </w:r>
          <w:r>
            <w:tab/>
          </w:r>
          <w:r>
            <w:fldChar w:fldCharType="begin"/>
          </w:r>
          <w:r>
            <w:instrText xml:space="preserve"> PAGEREF _Toc212057044 \h </w:instrText>
          </w:r>
          <w:r>
            <w:fldChar w:fldCharType="separate"/>
          </w:r>
          <w:r>
            <w:t>78</w:t>
          </w:r>
          <w:r>
            <w:fldChar w:fldCharType="end"/>
          </w:r>
          <w:r>
            <w:fldChar w:fldCharType="end"/>
          </w:r>
        </w:p>
        <w:p w14:paraId="71A1DC0B">
          <w:pPr>
            <w:pStyle w:val="14"/>
            <w:rPr>
              <w:rFonts w:asciiTheme="minorHAnsi" w:hAnsiTheme="minorHAnsi" w:eastAsiaTheme="minorEastAsia" w:cstheme="minorBidi"/>
            </w:rPr>
          </w:pPr>
          <w:r>
            <w:fldChar w:fldCharType="begin"/>
          </w:r>
          <w:r>
            <w:instrText xml:space="preserve"> HYPERLINK \l "_Toc212057045" </w:instrText>
          </w:r>
          <w:r>
            <w:fldChar w:fldCharType="separate"/>
          </w:r>
          <w:r>
            <w:rPr>
              <w:rStyle w:val="21"/>
            </w:rPr>
            <w:t>8.2 绿色改造验收</w:t>
          </w:r>
          <w:r>
            <w:tab/>
          </w:r>
          <w:r>
            <w:fldChar w:fldCharType="begin"/>
          </w:r>
          <w:r>
            <w:instrText xml:space="preserve"> PAGEREF _Toc212057045 \h </w:instrText>
          </w:r>
          <w:r>
            <w:fldChar w:fldCharType="separate"/>
          </w:r>
          <w:r>
            <w:t>78</w:t>
          </w:r>
          <w:r>
            <w:fldChar w:fldCharType="end"/>
          </w:r>
          <w:r>
            <w:fldChar w:fldCharType="end"/>
          </w:r>
        </w:p>
        <w:p w14:paraId="69837BDE">
          <w:pPr>
            <w:pStyle w:val="14"/>
            <w:rPr>
              <w:rFonts w:asciiTheme="minorHAnsi" w:hAnsiTheme="minorHAnsi" w:eastAsiaTheme="minorEastAsia" w:cstheme="minorBidi"/>
            </w:rPr>
          </w:pPr>
          <w:r>
            <w:fldChar w:fldCharType="begin"/>
          </w:r>
          <w:r>
            <w:instrText xml:space="preserve"> HYPERLINK \l "_Toc212057046" </w:instrText>
          </w:r>
          <w:r>
            <w:fldChar w:fldCharType="separate"/>
          </w:r>
          <w:r>
            <w:rPr>
              <w:rStyle w:val="21"/>
            </w:rPr>
            <w:t>8.3 生态修复验收</w:t>
          </w:r>
          <w:r>
            <w:tab/>
          </w:r>
          <w:r>
            <w:fldChar w:fldCharType="begin"/>
          </w:r>
          <w:r>
            <w:instrText xml:space="preserve"> PAGEREF _Toc212057046 \h </w:instrText>
          </w:r>
          <w:r>
            <w:fldChar w:fldCharType="separate"/>
          </w:r>
          <w:r>
            <w:t>80</w:t>
          </w:r>
          <w:r>
            <w:fldChar w:fldCharType="end"/>
          </w:r>
          <w:r>
            <w:fldChar w:fldCharType="end"/>
          </w:r>
        </w:p>
        <w:p w14:paraId="7433E6CF">
          <w:pPr>
            <w:pStyle w:val="13"/>
            <w:rPr>
              <w:rFonts w:asciiTheme="minorHAnsi" w:hAnsiTheme="minorHAnsi" w:eastAsiaTheme="minorEastAsia"/>
              <w:b w:val="0"/>
            </w:rPr>
          </w:pPr>
          <w:r>
            <w:fldChar w:fldCharType="begin"/>
          </w:r>
          <w:r>
            <w:instrText xml:space="preserve"> HYPERLINK \l "_Toc212057047" </w:instrText>
          </w:r>
          <w:r>
            <w:fldChar w:fldCharType="separate"/>
          </w:r>
          <w:r>
            <w:rPr>
              <w:rStyle w:val="21"/>
              <w:rFonts w:eastAsia="黑体" w:cs="Times New Roman"/>
              <w:bCs/>
            </w:rPr>
            <w:t>9</w:t>
          </w:r>
          <w:r>
            <w:rPr>
              <w:rStyle w:val="21"/>
              <w:bCs/>
            </w:rPr>
            <w:t xml:space="preserve"> 监测与维护</w:t>
          </w:r>
          <w:r>
            <w:tab/>
          </w:r>
          <w:r>
            <w:fldChar w:fldCharType="begin"/>
          </w:r>
          <w:r>
            <w:instrText xml:space="preserve"> PAGEREF _Toc212057047 \h </w:instrText>
          </w:r>
          <w:r>
            <w:fldChar w:fldCharType="separate"/>
          </w:r>
          <w:r>
            <w:t>82</w:t>
          </w:r>
          <w:r>
            <w:fldChar w:fldCharType="end"/>
          </w:r>
          <w:r>
            <w:fldChar w:fldCharType="end"/>
          </w:r>
        </w:p>
        <w:p w14:paraId="062A9A60">
          <w:pPr>
            <w:pStyle w:val="14"/>
            <w:rPr>
              <w:rFonts w:asciiTheme="minorHAnsi" w:hAnsiTheme="minorHAnsi" w:eastAsiaTheme="minorEastAsia" w:cstheme="minorBidi"/>
            </w:rPr>
          </w:pPr>
          <w:r>
            <w:fldChar w:fldCharType="begin"/>
          </w:r>
          <w:r>
            <w:instrText xml:space="preserve"> HYPERLINK \l "_Toc212057048" </w:instrText>
          </w:r>
          <w:r>
            <w:fldChar w:fldCharType="separate"/>
          </w:r>
          <w:r>
            <w:rPr>
              <w:rStyle w:val="21"/>
            </w:rPr>
            <w:t>9.1 一般规定</w:t>
          </w:r>
          <w:r>
            <w:tab/>
          </w:r>
          <w:r>
            <w:fldChar w:fldCharType="begin"/>
          </w:r>
          <w:r>
            <w:instrText xml:space="preserve"> PAGEREF _Toc212057048 \h </w:instrText>
          </w:r>
          <w:r>
            <w:fldChar w:fldCharType="separate"/>
          </w:r>
          <w:r>
            <w:t>82</w:t>
          </w:r>
          <w:r>
            <w:fldChar w:fldCharType="end"/>
          </w:r>
          <w:r>
            <w:fldChar w:fldCharType="end"/>
          </w:r>
        </w:p>
        <w:p w14:paraId="2B70FC10">
          <w:pPr>
            <w:pStyle w:val="14"/>
            <w:rPr>
              <w:rFonts w:asciiTheme="minorHAnsi" w:hAnsiTheme="minorHAnsi" w:eastAsiaTheme="minorEastAsia" w:cstheme="minorBidi"/>
            </w:rPr>
          </w:pPr>
          <w:r>
            <w:fldChar w:fldCharType="begin"/>
          </w:r>
          <w:r>
            <w:instrText xml:space="preserve"> HYPERLINK \l "_Toc212057049" </w:instrText>
          </w:r>
          <w:r>
            <w:fldChar w:fldCharType="separate"/>
          </w:r>
          <w:r>
            <w:rPr>
              <w:rStyle w:val="21"/>
            </w:rPr>
            <w:t>9.2 监测</w:t>
          </w:r>
          <w:r>
            <w:tab/>
          </w:r>
          <w:r>
            <w:fldChar w:fldCharType="begin"/>
          </w:r>
          <w:r>
            <w:instrText xml:space="preserve"> PAGEREF _Toc212057049 \h </w:instrText>
          </w:r>
          <w:r>
            <w:fldChar w:fldCharType="separate"/>
          </w:r>
          <w:r>
            <w:t>82</w:t>
          </w:r>
          <w:r>
            <w:fldChar w:fldCharType="end"/>
          </w:r>
          <w:r>
            <w:fldChar w:fldCharType="end"/>
          </w:r>
        </w:p>
        <w:p w14:paraId="2882CB94">
          <w:pPr>
            <w:pStyle w:val="14"/>
            <w:rPr>
              <w:rFonts w:asciiTheme="minorHAnsi" w:hAnsiTheme="minorHAnsi" w:eastAsiaTheme="minorEastAsia" w:cstheme="minorBidi"/>
            </w:rPr>
          </w:pPr>
          <w:r>
            <w:fldChar w:fldCharType="begin"/>
          </w:r>
          <w:r>
            <w:instrText xml:space="preserve"> HYPERLINK \l "_Toc212057050" </w:instrText>
          </w:r>
          <w:r>
            <w:fldChar w:fldCharType="separate"/>
          </w:r>
          <w:r>
            <w:rPr>
              <w:rStyle w:val="21"/>
            </w:rPr>
            <w:t>9.3 维护</w:t>
          </w:r>
          <w:r>
            <w:tab/>
          </w:r>
          <w:r>
            <w:fldChar w:fldCharType="begin"/>
          </w:r>
          <w:r>
            <w:instrText xml:space="preserve"> PAGEREF _Toc212057050 \h </w:instrText>
          </w:r>
          <w:r>
            <w:fldChar w:fldCharType="separate"/>
          </w:r>
          <w:r>
            <w:t>83</w:t>
          </w:r>
          <w:r>
            <w:fldChar w:fldCharType="end"/>
          </w:r>
          <w:r>
            <w:fldChar w:fldCharType="end"/>
          </w:r>
        </w:p>
        <w:p w14:paraId="3CC8B778">
          <w:pPr>
            <w:pStyle w:val="13"/>
            <w:rPr>
              <w:rFonts w:asciiTheme="minorHAnsi" w:hAnsiTheme="minorHAnsi" w:eastAsiaTheme="minorEastAsia"/>
              <w:b w:val="0"/>
            </w:rPr>
          </w:pPr>
          <w:r>
            <w:fldChar w:fldCharType="begin"/>
          </w:r>
          <w:r>
            <w:instrText xml:space="preserve"> HYPERLINK \l "_Toc212057051" </w:instrText>
          </w:r>
          <w:r>
            <w:fldChar w:fldCharType="separate"/>
          </w:r>
          <w:r>
            <w:rPr>
              <w:rStyle w:val="21"/>
              <w:rFonts w:eastAsia="黑体" w:cs="Times New Roman"/>
              <w:bCs/>
            </w:rPr>
            <w:t>10</w:t>
          </w:r>
          <w:r>
            <w:rPr>
              <w:rStyle w:val="21"/>
              <w:bCs/>
            </w:rPr>
            <w:t xml:space="preserve"> 成效评价</w:t>
          </w:r>
          <w:r>
            <w:tab/>
          </w:r>
          <w:r>
            <w:fldChar w:fldCharType="begin"/>
          </w:r>
          <w:r>
            <w:instrText xml:space="preserve"> PAGEREF _Toc212057051 \h </w:instrText>
          </w:r>
          <w:r>
            <w:fldChar w:fldCharType="separate"/>
          </w:r>
          <w:r>
            <w:t>85</w:t>
          </w:r>
          <w:r>
            <w:fldChar w:fldCharType="end"/>
          </w:r>
          <w:r>
            <w:fldChar w:fldCharType="end"/>
          </w:r>
        </w:p>
        <w:p w14:paraId="7B33541A">
          <w:pPr>
            <w:pStyle w:val="14"/>
            <w:rPr>
              <w:rFonts w:asciiTheme="minorHAnsi" w:hAnsiTheme="minorHAnsi" w:eastAsiaTheme="minorEastAsia" w:cstheme="minorBidi"/>
            </w:rPr>
          </w:pPr>
          <w:r>
            <w:fldChar w:fldCharType="begin"/>
          </w:r>
          <w:r>
            <w:instrText xml:space="preserve"> HYPERLINK \l "_Toc212057052" </w:instrText>
          </w:r>
          <w:r>
            <w:fldChar w:fldCharType="separate"/>
          </w:r>
          <w:r>
            <w:rPr>
              <w:rStyle w:val="21"/>
            </w:rPr>
            <w:t>10.1 一般规定</w:t>
          </w:r>
          <w:r>
            <w:tab/>
          </w:r>
          <w:r>
            <w:fldChar w:fldCharType="begin"/>
          </w:r>
          <w:r>
            <w:instrText xml:space="preserve"> PAGEREF _Toc212057052 \h </w:instrText>
          </w:r>
          <w:r>
            <w:fldChar w:fldCharType="separate"/>
          </w:r>
          <w:r>
            <w:t>85</w:t>
          </w:r>
          <w:r>
            <w:fldChar w:fldCharType="end"/>
          </w:r>
          <w:r>
            <w:fldChar w:fldCharType="end"/>
          </w:r>
        </w:p>
        <w:p w14:paraId="7B2E5DA8">
          <w:pPr>
            <w:pStyle w:val="14"/>
            <w:rPr>
              <w:rFonts w:asciiTheme="minorHAnsi" w:hAnsiTheme="minorHAnsi" w:eastAsiaTheme="minorEastAsia" w:cstheme="minorBidi"/>
            </w:rPr>
          </w:pPr>
          <w:r>
            <w:fldChar w:fldCharType="begin"/>
          </w:r>
          <w:r>
            <w:instrText xml:space="preserve"> HYPERLINK \l "_Toc212057053" </w:instrText>
          </w:r>
          <w:r>
            <w:fldChar w:fldCharType="separate"/>
          </w:r>
          <w:r>
            <w:rPr>
              <w:rStyle w:val="21"/>
            </w:rPr>
            <w:t>10.2 评价指标</w:t>
          </w:r>
          <w:r>
            <w:tab/>
          </w:r>
          <w:r>
            <w:fldChar w:fldCharType="begin"/>
          </w:r>
          <w:r>
            <w:instrText xml:space="preserve"> PAGEREF _Toc212057053 \h </w:instrText>
          </w:r>
          <w:r>
            <w:fldChar w:fldCharType="separate"/>
          </w:r>
          <w:r>
            <w:t>85</w:t>
          </w:r>
          <w:r>
            <w:fldChar w:fldCharType="end"/>
          </w:r>
          <w:r>
            <w:fldChar w:fldCharType="end"/>
          </w:r>
        </w:p>
        <w:p w14:paraId="3CCBEBBE">
          <w:pPr>
            <w:pStyle w:val="14"/>
            <w:rPr>
              <w:rFonts w:asciiTheme="minorHAnsi" w:hAnsiTheme="minorHAnsi" w:eastAsiaTheme="minorEastAsia" w:cstheme="minorBidi"/>
            </w:rPr>
          </w:pPr>
          <w:r>
            <w:fldChar w:fldCharType="begin"/>
          </w:r>
          <w:r>
            <w:instrText xml:space="preserve"> HYPERLINK \l "_Toc212057054" </w:instrText>
          </w:r>
          <w:r>
            <w:fldChar w:fldCharType="separate"/>
          </w:r>
          <w:r>
            <w:rPr>
              <w:rStyle w:val="21"/>
            </w:rPr>
            <w:t>10.3 绿色改造成效评价</w:t>
          </w:r>
          <w:r>
            <w:tab/>
          </w:r>
          <w:r>
            <w:fldChar w:fldCharType="begin"/>
          </w:r>
          <w:r>
            <w:instrText xml:space="preserve"> PAGEREF _Toc212057054 \h </w:instrText>
          </w:r>
          <w:r>
            <w:fldChar w:fldCharType="separate"/>
          </w:r>
          <w:r>
            <w:t>86</w:t>
          </w:r>
          <w:r>
            <w:fldChar w:fldCharType="end"/>
          </w:r>
          <w:r>
            <w:fldChar w:fldCharType="end"/>
          </w:r>
        </w:p>
        <w:p w14:paraId="761FBFA5">
          <w:pPr>
            <w:pStyle w:val="14"/>
            <w:rPr>
              <w:rFonts w:asciiTheme="minorHAnsi" w:hAnsiTheme="minorHAnsi" w:eastAsiaTheme="minorEastAsia" w:cstheme="minorBidi"/>
            </w:rPr>
          </w:pPr>
          <w:r>
            <w:fldChar w:fldCharType="begin"/>
          </w:r>
          <w:r>
            <w:instrText xml:space="preserve"> HYPERLINK \l "_Toc212057055" </w:instrText>
          </w:r>
          <w:r>
            <w:fldChar w:fldCharType="separate"/>
          </w:r>
          <w:r>
            <w:rPr>
              <w:rStyle w:val="21"/>
            </w:rPr>
            <w:t>10.4 生态修复成效评价</w:t>
          </w:r>
          <w:r>
            <w:tab/>
          </w:r>
          <w:r>
            <w:fldChar w:fldCharType="begin"/>
          </w:r>
          <w:r>
            <w:instrText xml:space="preserve"> PAGEREF _Toc212057055 \h </w:instrText>
          </w:r>
          <w:r>
            <w:fldChar w:fldCharType="separate"/>
          </w:r>
          <w:r>
            <w:t>88</w:t>
          </w:r>
          <w:r>
            <w:fldChar w:fldCharType="end"/>
          </w:r>
          <w:r>
            <w:fldChar w:fldCharType="end"/>
          </w:r>
        </w:p>
        <w:p w14:paraId="3B082529">
          <w:pPr>
            <w:pStyle w:val="13"/>
            <w:rPr>
              <w:rFonts w:asciiTheme="minorHAnsi" w:hAnsiTheme="minorHAnsi" w:eastAsiaTheme="minorEastAsia"/>
              <w:b w:val="0"/>
            </w:rPr>
          </w:pPr>
          <w:r>
            <w:fldChar w:fldCharType="begin"/>
          </w:r>
          <w:r>
            <w:instrText xml:space="preserve"> HYPERLINK \l "_Toc212057056" </w:instrText>
          </w:r>
          <w:r>
            <w:fldChar w:fldCharType="separate"/>
          </w:r>
          <w:r>
            <w:rPr>
              <w:rStyle w:val="21"/>
              <w:bCs/>
            </w:rPr>
            <w:t>标准用词说明</w:t>
          </w:r>
          <w:r>
            <w:tab/>
          </w:r>
          <w:r>
            <w:fldChar w:fldCharType="begin"/>
          </w:r>
          <w:r>
            <w:instrText xml:space="preserve"> PAGEREF _Toc212057056 \h </w:instrText>
          </w:r>
          <w:r>
            <w:fldChar w:fldCharType="separate"/>
          </w:r>
          <w:r>
            <w:t>91</w:t>
          </w:r>
          <w:r>
            <w:fldChar w:fldCharType="end"/>
          </w:r>
          <w:r>
            <w:fldChar w:fldCharType="end"/>
          </w:r>
        </w:p>
        <w:p w14:paraId="4286786D">
          <w:pPr>
            <w:pStyle w:val="13"/>
            <w:rPr>
              <w:rFonts w:asciiTheme="minorHAnsi" w:hAnsiTheme="minorHAnsi" w:eastAsiaTheme="minorEastAsia"/>
              <w:b w:val="0"/>
            </w:rPr>
          </w:pPr>
          <w:r>
            <w:fldChar w:fldCharType="begin"/>
          </w:r>
          <w:r>
            <w:instrText xml:space="preserve"> HYPERLINK \l "_Toc212057057" </w:instrText>
          </w:r>
          <w:r>
            <w:fldChar w:fldCharType="separate"/>
          </w:r>
          <w:r>
            <w:rPr>
              <w:rStyle w:val="21"/>
              <w:bCs/>
            </w:rPr>
            <w:t>引用标准名录</w:t>
          </w:r>
          <w:r>
            <w:tab/>
          </w:r>
          <w:r>
            <w:fldChar w:fldCharType="begin"/>
          </w:r>
          <w:r>
            <w:instrText xml:space="preserve"> PAGEREF _Toc212057057 \h </w:instrText>
          </w:r>
          <w:r>
            <w:fldChar w:fldCharType="separate"/>
          </w:r>
          <w:r>
            <w:t>92</w:t>
          </w:r>
          <w:r>
            <w:fldChar w:fldCharType="end"/>
          </w:r>
          <w:r>
            <w:fldChar w:fldCharType="end"/>
          </w:r>
        </w:p>
        <w:p w14:paraId="3BC6C1F8">
          <w:pPr>
            <w:pStyle w:val="13"/>
            <w:rPr>
              <w:rFonts w:asciiTheme="minorHAnsi" w:hAnsiTheme="minorHAnsi" w:eastAsiaTheme="minorEastAsia"/>
              <w:b w:val="0"/>
            </w:rPr>
          </w:pPr>
          <w:r>
            <w:fldChar w:fldCharType="begin"/>
          </w:r>
          <w:r>
            <w:instrText xml:space="preserve"> HYPERLINK \l "_Toc212057058" </w:instrText>
          </w:r>
          <w:r>
            <w:fldChar w:fldCharType="separate"/>
          </w:r>
          <w:r>
            <w:rPr>
              <w:rStyle w:val="21"/>
              <w:bCs/>
            </w:rPr>
            <w:t>附  录  A</w:t>
          </w:r>
          <w:r>
            <w:tab/>
          </w:r>
          <w:r>
            <w:fldChar w:fldCharType="begin"/>
          </w:r>
          <w:r>
            <w:instrText xml:space="preserve"> PAGEREF _Toc212057058 \h </w:instrText>
          </w:r>
          <w:r>
            <w:fldChar w:fldCharType="separate"/>
          </w:r>
          <w:r>
            <w:t>94</w:t>
          </w:r>
          <w:r>
            <w:fldChar w:fldCharType="end"/>
          </w:r>
          <w:r>
            <w:fldChar w:fldCharType="end"/>
          </w:r>
        </w:p>
        <w:p w14:paraId="530C0ECD">
          <w:pPr>
            <w:pStyle w:val="13"/>
            <w:rPr>
              <w:rFonts w:asciiTheme="minorHAnsi" w:hAnsiTheme="minorHAnsi" w:eastAsiaTheme="minorEastAsia"/>
              <w:b w:val="0"/>
            </w:rPr>
          </w:pPr>
          <w:r>
            <w:fldChar w:fldCharType="begin"/>
          </w:r>
          <w:r>
            <w:instrText xml:space="preserve"> HYPERLINK \l "_Toc212057059" </w:instrText>
          </w:r>
          <w:r>
            <w:fldChar w:fldCharType="separate"/>
          </w:r>
          <w:r>
            <w:rPr>
              <w:rStyle w:val="21"/>
              <w:bCs/>
            </w:rPr>
            <w:t>附  录  B</w:t>
          </w:r>
          <w:r>
            <w:tab/>
          </w:r>
          <w:r>
            <w:fldChar w:fldCharType="begin"/>
          </w:r>
          <w:r>
            <w:instrText xml:space="preserve"> PAGEREF _Toc212057059 \h </w:instrText>
          </w:r>
          <w:r>
            <w:fldChar w:fldCharType="separate"/>
          </w:r>
          <w:r>
            <w:t>95</w:t>
          </w:r>
          <w:r>
            <w:fldChar w:fldCharType="end"/>
          </w:r>
          <w:r>
            <w:fldChar w:fldCharType="end"/>
          </w:r>
        </w:p>
        <w:p w14:paraId="10A0A1CC">
          <w:pPr>
            <w:pStyle w:val="14"/>
            <w:rPr>
              <w:rFonts w:asciiTheme="minorHAnsi" w:hAnsiTheme="minorHAnsi" w:eastAsiaTheme="minorEastAsia" w:cstheme="minorBidi"/>
            </w:rPr>
          </w:pPr>
          <w:r>
            <w:fldChar w:fldCharType="begin"/>
          </w:r>
          <w:r>
            <w:instrText xml:space="preserve"> HYPERLINK \l "_Toc212057060" </w:instrText>
          </w:r>
          <w:r>
            <w:fldChar w:fldCharType="separate"/>
          </w:r>
          <w:r>
            <w:rPr>
              <w:rStyle w:val="21"/>
            </w:rPr>
            <w:t>表B.1土地利用权属调查表</w:t>
          </w:r>
          <w:r>
            <w:tab/>
          </w:r>
          <w:r>
            <w:fldChar w:fldCharType="begin"/>
          </w:r>
          <w:r>
            <w:instrText xml:space="preserve"> PAGEREF _Toc212057060 \h </w:instrText>
          </w:r>
          <w:r>
            <w:fldChar w:fldCharType="separate"/>
          </w:r>
          <w:r>
            <w:t>96</w:t>
          </w:r>
          <w:r>
            <w:fldChar w:fldCharType="end"/>
          </w:r>
          <w:r>
            <w:fldChar w:fldCharType="end"/>
          </w:r>
        </w:p>
        <w:p w14:paraId="7D6BC1FB">
          <w:pPr>
            <w:pStyle w:val="14"/>
            <w:rPr>
              <w:rFonts w:asciiTheme="minorHAnsi" w:hAnsiTheme="minorHAnsi" w:eastAsiaTheme="minorEastAsia" w:cstheme="minorBidi"/>
            </w:rPr>
          </w:pPr>
          <w:r>
            <w:fldChar w:fldCharType="begin"/>
          </w:r>
          <w:r>
            <w:instrText xml:space="preserve"> HYPERLINK \l "_Toc212057061" </w:instrText>
          </w:r>
          <w:r>
            <w:fldChar w:fldCharType="separate"/>
          </w:r>
          <w:r>
            <w:rPr>
              <w:rStyle w:val="21"/>
            </w:rPr>
            <w:t>表B.2 土地损毁与土壤污染调查记录表</w:t>
          </w:r>
          <w:r>
            <w:tab/>
          </w:r>
          <w:r>
            <w:fldChar w:fldCharType="begin"/>
          </w:r>
          <w:r>
            <w:instrText xml:space="preserve"> PAGEREF _Toc212057061 \h </w:instrText>
          </w:r>
          <w:r>
            <w:fldChar w:fldCharType="separate"/>
          </w:r>
          <w:r>
            <w:t>97</w:t>
          </w:r>
          <w:r>
            <w:fldChar w:fldCharType="end"/>
          </w:r>
          <w:r>
            <w:fldChar w:fldCharType="end"/>
          </w:r>
        </w:p>
        <w:p w14:paraId="45CF8268">
          <w:pPr>
            <w:ind w:firstLine="198" w:firstLineChars="82"/>
          </w:pPr>
          <w:r>
            <w:rPr>
              <w:b/>
              <w:bCs/>
              <w:lang w:val="zh-CN"/>
            </w:rPr>
            <w:fldChar w:fldCharType="end"/>
          </w:r>
        </w:p>
      </w:sdtContent>
    </w:sdt>
    <w:p w14:paraId="44CAA2E0">
      <w:pPr>
        <w:widowControl/>
        <w:spacing w:line="240" w:lineRule="auto"/>
        <w:ind w:firstLine="0" w:firstLineChars="0"/>
        <w:jc w:val="left"/>
      </w:pPr>
      <w:r>
        <w:br w:type="page"/>
      </w:r>
    </w:p>
    <w:p w14:paraId="2CD75613">
      <w:pPr>
        <w:pStyle w:val="30"/>
        <w:numPr>
          <w:ilvl w:val="0"/>
          <w:numId w:val="1"/>
        </w:numPr>
        <w:ind w:firstLineChars="0"/>
        <w:jc w:val="center"/>
        <w:outlineLvl w:val="0"/>
        <w:rPr>
          <w:b/>
          <w:bCs/>
          <w:sz w:val="44"/>
          <w:szCs w:val="44"/>
        </w:rPr>
      </w:pPr>
      <w:bookmarkStart w:id="2" w:name="_Toc212057017"/>
      <w:r>
        <w:rPr>
          <w:rFonts w:hint="eastAsia"/>
          <w:b/>
          <w:bCs/>
          <w:sz w:val="44"/>
          <w:szCs w:val="44"/>
        </w:rPr>
        <w:t>总则</w:t>
      </w:r>
      <w:bookmarkEnd w:id="2"/>
    </w:p>
    <w:p w14:paraId="5C0DE38D">
      <w:pPr>
        <w:ind w:firstLine="0" w:firstLineChars="0"/>
        <w:rPr>
          <w:rFonts w:cs="Times New Roman"/>
        </w:rPr>
      </w:pPr>
      <w:r>
        <w:rPr>
          <w:rFonts w:cs="Times New Roman"/>
          <w:b/>
          <w:bCs/>
        </w:rPr>
        <w:t xml:space="preserve">1.0.1  </w:t>
      </w:r>
      <w:r>
        <w:rPr>
          <w:rFonts w:cs="Times New Roman"/>
        </w:rPr>
        <w:t>为科学推进城市工矿区绿色改造与生态修复，提高环境治理质量和资源综合利用效益，促进生态产品价值实现，制定本规程。</w:t>
      </w:r>
    </w:p>
    <w:p w14:paraId="1BDF9176">
      <w:pPr>
        <w:ind w:firstLine="0" w:firstLineChars="0"/>
        <w:rPr>
          <w:rFonts w:cs="Times New Roman"/>
        </w:rPr>
      </w:pPr>
      <w:r>
        <w:rPr>
          <w:rFonts w:hint="eastAsia" w:cs="Times New Roman"/>
        </w:rPr>
        <w:t>【条文说明】本条明确制定本规程的目的：通过科学推进绿色改造与生态修复，提升治理质量与综合利用效益，促进生态文明建设和绿色低碳发展，服务可持续发展目标。</w:t>
      </w:r>
    </w:p>
    <w:p w14:paraId="6ADC0B4B">
      <w:pPr>
        <w:ind w:firstLine="0" w:firstLineChars="0"/>
        <w:rPr>
          <w:rFonts w:cs="Times New Roman"/>
        </w:rPr>
      </w:pPr>
      <w:r>
        <w:rPr>
          <w:rFonts w:cs="Times New Roman"/>
          <w:b/>
          <w:bCs/>
        </w:rPr>
        <w:t xml:space="preserve">1.0.2  </w:t>
      </w:r>
      <w:r>
        <w:rPr>
          <w:rFonts w:hint="eastAsia" w:cs="Times New Roman"/>
        </w:rPr>
        <w:t>本规程适用于矿产资源开采活动结束后的城市工矿区绿色改造与生态修复工程，包括露天采场、排土（岩、矸）场、塌陷区、工业场地、污染场地、矿区专用道路等。村镇周边地区可参照执行。</w:t>
      </w:r>
    </w:p>
    <w:p w14:paraId="16AA3BA1">
      <w:pPr>
        <w:ind w:firstLine="0" w:firstLineChars="0"/>
        <w:rPr>
          <w:rFonts w:cs="Times New Roman"/>
        </w:rPr>
      </w:pPr>
      <w:r>
        <w:rPr>
          <w:rFonts w:hint="eastAsia" w:cs="Times New Roman"/>
        </w:rPr>
        <w:t>【条文说明】本条界定了适用范围，涵盖矿产资源开发活动结束后涉及的主要空间类型，确保绿色改造与生态修复工作的全面性与系统性。</w:t>
      </w:r>
    </w:p>
    <w:p w14:paraId="1BBE3AE0">
      <w:pPr>
        <w:ind w:firstLine="0" w:firstLineChars="0"/>
        <w:rPr>
          <w:rFonts w:cs="Times New Roman"/>
        </w:rPr>
      </w:pPr>
      <w:r>
        <w:rPr>
          <w:rFonts w:cs="Times New Roman"/>
          <w:b/>
          <w:bCs/>
        </w:rPr>
        <w:t>1.0.</w:t>
      </w:r>
      <w:r>
        <w:rPr>
          <w:rFonts w:hint="eastAsia" w:cs="Times New Roman"/>
          <w:b/>
          <w:bCs/>
        </w:rPr>
        <w:t>3</w:t>
      </w:r>
      <w:r>
        <w:rPr>
          <w:rFonts w:cs="Times New Roman"/>
          <w:b/>
          <w:bCs/>
        </w:rPr>
        <w:t xml:space="preserve">  </w:t>
      </w:r>
      <w:r>
        <w:rPr>
          <w:rFonts w:hint="eastAsia" w:cs="Times New Roman"/>
        </w:rPr>
        <w:t>城市工矿区绿色改造与生态修复工程应坚持生态优先、绿色发展，衔接国土空间规划、功能定位和生态修复规划，遵循“山水林田湖草沙”一体化保护和系统治理理念，统筹推进生态修复与产业转型协同发展。</w:t>
      </w:r>
    </w:p>
    <w:p w14:paraId="1BD7DC15">
      <w:pPr>
        <w:ind w:firstLine="0" w:firstLineChars="0"/>
        <w:rPr>
          <w:rFonts w:cs="Times New Roman"/>
        </w:rPr>
      </w:pPr>
      <w:r>
        <w:rPr>
          <w:rFonts w:hint="eastAsia" w:cs="Times New Roman"/>
        </w:rPr>
        <w:t>【</w:t>
      </w:r>
      <w:r>
        <w:rPr>
          <w:rFonts w:cs="Times New Roman"/>
        </w:rPr>
        <w:t>条文说明</w:t>
      </w:r>
      <w:r>
        <w:rPr>
          <w:rFonts w:hint="eastAsia" w:cs="Times New Roman"/>
        </w:rPr>
        <w:t>】本条提出总体原则与工作路径，强调与相关规划有效衔接，落实系统治理，促进生态修复与开发利用有机结合。</w:t>
      </w:r>
    </w:p>
    <w:p w14:paraId="593BCF9D">
      <w:pPr>
        <w:ind w:firstLine="0" w:firstLineChars="0"/>
        <w:rPr>
          <w:rFonts w:ascii="宋体" w:hAnsi="宋体" w:cs="Times New Roman"/>
        </w:rPr>
      </w:pPr>
      <w:r>
        <w:rPr>
          <w:rFonts w:cs="Times New Roman"/>
          <w:b/>
          <w:bCs/>
        </w:rPr>
        <w:t>1.0.</w:t>
      </w:r>
      <w:r>
        <w:rPr>
          <w:rFonts w:hint="eastAsia" w:cs="Times New Roman"/>
          <w:b/>
          <w:bCs/>
        </w:rPr>
        <w:t>4</w:t>
      </w:r>
      <w:r>
        <w:rPr>
          <w:rFonts w:cs="Times New Roman"/>
          <w:b/>
          <w:bCs/>
        </w:rPr>
        <w:t xml:space="preserve">  </w:t>
      </w:r>
      <w:r>
        <w:rPr>
          <w:rFonts w:hint="eastAsia" w:ascii="宋体" w:hAnsi="宋体" w:cs="Times New Roman"/>
        </w:rPr>
        <w:t>城市工矿区绿色改造与生态修复应坚持自然恢复为主、人工修复为辅，按照“整合资源、以用定治”的原则，因地制宜采用自然恢复、辅助再生、生态重建、协同治理、综合利用等方式实施。</w:t>
      </w:r>
    </w:p>
    <w:p w14:paraId="6698AC99">
      <w:pPr>
        <w:ind w:firstLine="0" w:firstLineChars="0"/>
        <w:rPr>
          <w:rFonts w:ascii="宋体" w:hAnsi="宋体" w:cs="Times New Roman"/>
        </w:rPr>
      </w:pPr>
      <w:r>
        <w:rPr>
          <w:rFonts w:hint="eastAsia" w:ascii="宋体" w:hAnsi="宋体" w:cs="Times New Roman"/>
        </w:rPr>
        <w:t>【</w:t>
      </w:r>
      <w:r>
        <w:rPr>
          <w:rFonts w:ascii="宋体" w:hAnsi="宋体" w:cs="Times New Roman"/>
        </w:rPr>
        <w:t>条文说明</w:t>
      </w:r>
      <w:r>
        <w:rPr>
          <w:rFonts w:hint="eastAsia" w:ascii="宋体" w:hAnsi="宋体" w:cs="Times New Roman"/>
        </w:rPr>
        <w:t>】本条明确技术方针与实施方式，强调在尊重自然演替的基础上，合理配置人工措施，实现分类施策、综合治理与可持续利用</w:t>
      </w:r>
      <w:r>
        <w:rPr>
          <w:rFonts w:ascii="宋体" w:hAnsi="宋体" w:cs="Times New Roman"/>
        </w:rPr>
        <w:t>。</w:t>
      </w:r>
    </w:p>
    <w:p w14:paraId="0A225F5F">
      <w:pPr>
        <w:ind w:firstLine="0" w:firstLineChars="0"/>
        <w:rPr>
          <w:rFonts w:cs="Times New Roman"/>
        </w:rPr>
      </w:pPr>
      <w:r>
        <w:rPr>
          <w:rFonts w:cs="Times New Roman"/>
          <w:b/>
          <w:bCs/>
        </w:rPr>
        <w:t>1.0.</w:t>
      </w:r>
      <w:r>
        <w:rPr>
          <w:rFonts w:hint="eastAsia" w:cs="Times New Roman"/>
          <w:b/>
          <w:bCs/>
        </w:rPr>
        <w:t>5</w:t>
      </w:r>
      <w:r>
        <w:rPr>
          <w:rFonts w:cs="Times New Roman"/>
          <w:b/>
          <w:bCs/>
        </w:rPr>
        <w:t xml:space="preserve">  </w:t>
      </w:r>
      <w:r>
        <w:rPr>
          <w:rFonts w:hint="eastAsia" w:cs="Times New Roman"/>
        </w:rPr>
        <w:t>城市工矿区绿色改造与生态修复除应符合本规程外，还应符合国家现行有关标准的规定。。</w:t>
      </w:r>
    </w:p>
    <w:p w14:paraId="63B187AA">
      <w:pPr>
        <w:ind w:firstLine="0" w:firstLineChars="0"/>
        <w:rPr>
          <w:rFonts w:cs="Times New Roman"/>
        </w:rPr>
      </w:pPr>
      <w:r>
        <w:rPr>
          <w:rFonts w:hint="eastAsia" w:cs="Times New Roman"/>
        </w:rPr>
        <w:t>【</w:t>
      </w:r>
      <w:r>
        <w:rPr>
          <w:rFonts w:cs="Times New Roman"/>
        </w:rPr>
        <w:t>条文说明</w:t>
      </w:r>
      <w:r>
        <w:rPr>
          <w:rFonts w:hint="eastAsia" w:cs="Times New Roman"/>
        </w:rPr>
        <w:t>】本条提出与相关标准的协调要求，以保证工程质量、安全与合规性</w:t>
      </w:r>
      <w:r>
        <w:rPr>
          <w:rFonts w:cs="Times New Roman"/>
        </w:rPr>
        <w:t>。</w:t>
      </w:r>
    </w:p>
    <w:p w14:paraId="1B479A82">
      <w:pPr>
        <w:widowControl/>
        <w:spacing w:line="240" w:lineRule="auto"/>
        <w:ind w:firstLine="0" w:firstLineChars="0"/>
        <w:jc w:val="left"/>
      </w:pPr>
      <w:r>
        <w:br w:type="page"/>
      </w:r>
    </w:p>
    <w:p w14:paraId="24FF2C18">
      <w:pPr>
        <w:pStyle w:val="30"/>
        <w:numPr>
          <w:ilvl w:val="0"/>
          <w:numId w:val="1"/>
        </w:numPr>
        <w:ind w:firstLineChars="0"/>
        <w:jc w:val="center"/>
        <w:outlineLvl w:val="0"/>
        <w:rPr>
          <w:b/>
          <w:bCs/>
          <w:sz w:val="44"/>
          <w:szCs w:val="44"/>
        </w:rPr>
      </w:pPr>
      <w:bookmarkStart w:id="3" w:name="_Toc212057018"/>
      <w:r>
        <w:rPr>
          <w:rFonts w:hint="eastAsia"/>
          <w:b/>
          <w:bCs/>
          <w:sz w:val="44"/>
          <w:szCs w:val="44"/>
        </w:rPr>
        <w:t>术语</w:t>
      </w:r>
      <w:bookmarkEnd w:id="3"/>
    </w:p>
    <w:p w14:paraId="6C4B5767">
      <w:pPr>
        <w:ind w:firstLine="0" w:firstLineChars="0"/>
      </w:pPr>
      <w:r>
        <w:rPr>
          <w:b/>
          <w:bCs/>
        </w:rPr>
        <w:t xml:space="preserve">2.0.1  </w:t>
      </w:r>
      <w:r>
        <w:rPr>
          <w:rFonts w:hint="eastAsia"/>
        </w:rPr>
        <w:t>城市工矿区</w:t>
      </w:r>
      <w:r>
        <w:tab/>
      </w:r>
      <w:r>
        <w:t>urban industrial mining area</w:t>
      </w:r>
    </w:p>
    <w:p w14:paraId="2164FD96">
      <w:pPr>
        <w:ind w:firstLine="0" w:firstLineChars="0"/>
      </w:pPr>
      <w:bookmarkStart w:id="4" w:name="_Hlk199507714"/>
      <w:r>
        <w:rPr>
          <w:rFonts w:hint="eastAsia"/>
        </w:rPr>
        <w:t>在城市建成区内或周边由于矿产资源开发和工业生产导致的挖损、压占、塌陷和污染而形成的闲置或废弃土地，包括废弃的露天采场、工矿仓储用地、排土（岩、矸）场、塌陷区和污染土地等。</w:t>
      </w:r>
    </w:p>
    <w:bookmarkEnd w:id="4"/>
    <w:p w14:paraId="3A611E03">
      <w:pPr>
        <w:ind w:firstLine="0" w:firstLineChars="0"/>
      </w:pPr>
      <w:r>
        <w:rPr>
          <w:rFonts w:hint="eastAsia"/>
          <w:b/>
          <w:bCs/>
        </w:rPr>
        <w:t>2.0.2</w:t>
      </w:r>
      <w:r>
        <w:rPr>
          <w:b/>
          <w:bCs/>
        </w:rPr>
        <w:t xml:space="preserve">  </w:t>
      </w:r>
      <w:r>
        <w:t>绿色</w:t>
      </w:r>
      <w:r>
        <w:rPr>
          <w:rFonts w:hint="eastAsia"/>
        </w:rPr>
        <w:t>改造工程</w:t>
      </w:r>
      <w:r>
        <w:tab/>
      </w:r>
      <w:r>
        <w:t>green transformation project</w:t>
      </w:r>
    </w:p>
    <w:p w14:paraId="3AC92D9C">
      <w:pPr>
        <w:ind w:firstLine="0" w:firstLineChars="0"/>
      </w:pPr>
      <w:r>
        <w:t>对废弃的</w:t>
      </w:r>
      <w:r>
        <w:rPr>
          <w:rFonts w:hint="eastAsia"/>
        </w:rPr>
        <w:t>矿区</w:t>
      </w:r>
      <w:r>
        <w:t>进行</w:t>
      </w:r>
      <w:r>
        <w:rPr>
          <w:rFonts w:hint="eastAsia"/>
        </w:rPr>
        <w:t>水体、土壤、固体废弃物等污染治理</w:t>
      </w:r>
      <w:r>
        <w:t>的工程，旨在减少或消除矿区开采活动对</w:t>
      </w:r>
      <w:r>
        <w:rPr>
          <w:rFonts w:hint="eastAsia"/>
        </w:rPr>
        <w:t>生态</w:t>
      </w:r>
      <w:r>
        <w:t>环境造成的负面影响，恢复</w:t>
      </w:r>
      <w:r>
        <w:rPr>
          <w:rFonts w:hint="eastAsia"/>
        </w:rPr>
        <w:t>矿区</w:t>
      </w:r>
      <w:r>
        <w:t>的生态平衡，提高土地的利用价值。</w:t>
      </w:r>
    </w:p>
    <w:p w14:paraId="52E78F50">
      <w:pPr>
        <w:ind w:firstLine="0" w:firstLineChars="0"/>
        <w:rPr>
          <w:b/>
          <w:bCs/>
        </w:rPr>
      </w:pPr>
      <w:r>
        <w:rPr>
          <w:rFonts w:hint="eastAsia"/>
          <w:b/>
          <w:bCs/>
        </w:rPr>
        <w:t>2.0.3</w:t>
      </w:r>
      <w:r>
        <w:rPr>
          <w:b/>
          <w:bCs/>
        </w:rPr>
        <w:t xml:space="preserve">  </w:t>
      </w:r>
      <w:r>
        <w:rPr>
          <w:rFonts w:hint="eastAsia"/>
        </w:rPr>
        <w:t>生态修复工程</w:t>
      </w:r>
      <w:r>
        <w:tab/>
      </w:r>
      <w:r>
        <w:t>ecological restoration project</w:t>
      </w:r>
    </w:p>
    <w:p w14:paraId="1871E182">
      <w:pPr>
        <w:ind w:firstLine="0" w:firstLineChars="0"/>
      </w:pPr>
      <w:r>
        <w:rPr>
          <w:rFonts w:hint="eastAsia"/>
        </w:rPr>
        <w:t>在矿产资源开采活动造成破坏的生态破坏区和环境污染直接影响区，依靠自然力量或通过人工措施干预，对地质环境、损毁土地和林草植被、生物多样性等进行系统修复与综合治理，使矿区地质环境达到稳定、损毁土地得到复垦利用、生态系统功能得到恢复和提升的过程及活动。</w:t>
      </w:r>
    </w:p>
    <w:p w14:paraId="63E4EBDA">
      <w:pPr>
        <w:ind w:firstLine="0" w:firstLineChars="0"/>
      </w:pPr>
      <w:r>
        <w:rPr>
          <w:rFonts w:hint="eastAsia"/>
          <w:b/>
          <w:bCs/>
        </w:rPr>
        <w:t>2.0.4</w:t>
      </w:r>
      <w:r>
        <w:rPr>
          <w:b/>
          <w:bCs/>
        </w:rPr>
        <w:t xml:space="preserve">  </w:t>
      </w:r>
      <w:r>
        <w:rPr>
          <w:rFonts w:hint="eastAsia"/>
        </w:rPr>
        <w:t>承灾体</w:t>
      </w:r>
      <w:r>
        <w:tab/>
      </w:r>
      <w:r>
        <w:t>disaster-bearing body</w:t>
      </w:r>
    </w:p>
    <w:p w14:paraId="6038E9CD">
      <w:pPr>
        <w:ind w:firstLine="0" w:firstLineChars="0"/>
      </w:pPr>
      <w:r>
        <w:t>地质灾害可能威胁的各类受灾对象，包括人员、建筑物、工程设施等。</w:t>
      </w:r>
    </w:p>
    <w:p w14:paraId="026E54FD">
      <w:pPr>
        <w:ind w:firstLine="0" w:firstLineChars="0"/>
      </w:pPr>
      <w:r>
        <w:rPr>
          <w:rFonts w:hint="eastAsia"/>
          <w:b/>
          <w:bCs/>
        </w:rPr>
        <w:t>2.0.5</w:t>
      </w:r>
      <w:r>
        <w:rPr>
          <w:b/>
          <w:bCs/>
        </w:rPr>
        <w:t xml:space="preserve">  </w:t>
      </w:r>
      <w:r>
        <w:rPr>
          <w:rFonts w:hint="eastAsia"/>
        </w:rPr>
        <w:t>矿区地质灾害</w:t>
      </w:r>
      <w:r>
        <w:tab/>
      </w:r>
      <w:r>
        <w:t>mining area geological disasters</w:t>
      </w:r>
    </w:p>
    <w:p w14:paraId="5DBF1685">
      <w:pPr>
        <w:ind w:firstLine="0" w:firstLineChars="0"/>
      </w:pPr>
      <w:r>
        <w:rPr>
          <w:rFonts w:hint="eastAsia"/>
        </w:rPr>
        <w:t>矿区建设和采矿活动引发的危害人类生命财产和生态环境安全的崩塌、滑坡、泥石流、地面塌陷等与地质作用有关的现象或事件。</w:t>
      </w:r>
    </w:p>
    <w:p w14:paraId="06CFD765">
      <w:pPr>
        <w:ind w:firstLine="0" w:firstLineChars="0"/>
      </w:pPr>
      <w:r>
        <w:rPr>
          <w:rFonts w:hint="eastAsia"/>
          <w:b/>
          <w:bCs/>
        </w:rPr>
        <w:t>2.0.6</w:t>
      </w:r>
      <w:r>
        <w:rPr>
          <w:b/>
          <w:bCs/>
        </w:rPr>
        <w:t xml:space="preserve">  </w:t>
      </w:r>
      <w:r>
        <w:t>充填采矿backfill mining</w:t>
      </w:r>
    </w:p>
    <w:p w14:paraId="6E86F775">
      <w:pPr>
        <w:ind w:firstLine="0" w:firstLineChars="0"/>
      </w:pPr>
      <w:r>
        <w:rPr>
          <w:rFonts w:hint="eastAsia"/>
        </w:rPr>
        <w:t>堆放采矿过程中形成的废料及剩余物的场地，包括排土场、尾矿库和矸石山。</w:t>
      </w:r>
    </w:p>
    <w:p w14:paraId="4AD0456E">
      <w:pPr>
        <w:ind w:firstLine="0" w:firstLineChars="0"/>
      </w:pPr>
      <w:r>
        <w:rPr>
          <w:rFonts w:hint="eastAsia"/>
          <w:b/>
          <w:bCs/>
        </w:rPr>
        <w:t>2.0.</w:t>
      </w:r>
      <w:r>
        <w:rPr>
          <w:b/>
          <w:bCs/>
        </w:rPr>
        <w:t xml:space="preserve">7  </w:t>
      </w:r>
      <w:r>
        <w:rPr>
          <w:rFonts w:hint="eastAsia"/>
        </w:rPr>
        <w:t>矿区工业场地</w:t>
      </w:r>
      <w:r>
        <w:tab/>
      </w:r>
      <w:r>
        <w:t>mining area industrial site</w:t>
      </w:r>
    </w:p>
    <w:p w14:paraId="3304659A">
      <w:pPr>
        <w:ind w:firstLine="0" w:firstLineChars="0"/>
      </w:pPr>
      <w:r>
        <w:rPr>
          <w:rFonts w:hint="eastAsia"/>
        </w:rPr>
        <w:t>指为矿区生产系统和辅助生产系统服务的地面建筑物、构造物以及有关设施的场地。</w:t>
      </w:r>
    </w:p>
    <w:p w14:paraId="4ABA9A37">
      <w:pPr>
        <w:ind w:firstLine="0" w:firstLineChars="0"/>
      </w:pPr>
      <w:r>
        <w:rPr>
          <w:rFonts w:hint="eastAsia"/>
          <w:b/>
          <w:bCs/>
        </w:rPr>
        <w:t>2.0.</w:t>
      </w:r>
      <w:r>
        <w:rPr>
          <w:b/>
          <w:bCs/>
        </w:rPr>
        <w:t xml:space="preserve">8  </w:t>
      </w:r>
      <w:r>
        <w:rPr>
          <w:rFonts w:hint="eastAsia"/>
        </w:rPr>
        <w:t>废弃堆场</w:t>
      </w:r>
      <w:r>
        <w:tab/>
      </w:r>
      <w:r>
        <w:t>abandoned dump site</w:t>
      </w:r>
    </w:p>
    <w:p w14:paraId="73BAFE94">
      <w:pPr>
        <w:ind w:firstLine="0" w:firstLineChars="0"/>
      </w:pPr>
      <w:r>
        <w:rPr>
          <w:rFonts w:hint="eastAsia"/>
        </w:rPr>
        <w:t>指煤矿采选过程中产生的含炭岩石及其他岩石等固体废弃物的集中排放和处置场所。</w:t>
      </w:r>
    </w:p>
    <w:p w14:paraId="6CED0E87">
      <w:pPr>
        <w:ind w:firstLine="0" w:firstLineChars="0"/>
      </w:pPr>
      <w:r>
        <w:rPr>
          <w:b/>
          <w:bCs/>
        </w:rPr>
        <w:t xml:space="preserve">2.0.9  </w:t>
      </w:r>
      <w:r>
        <w:rPr>
          <w:rFonts w:hint="eastAsia"/>
        </w:rPr>
        <w:t>尾矿库</w:t>
      </w:r>
      <w:r>
        <w:tab/>
      </w:r>
      <w:r>
        <w:t>tailings dam</w:t>
      </w:r>
    </w:p>
    <w:p w14:paraId="3D4E60E2">
      <w:pPr>
        <w:ind w:firstLine="0" w:firstLineChars="0"/>
      </w:pPr>
      <w:r>
        <w:rPr>
          <w:rFonts w:hint="eastAsia"/>
        </w:rPr>
        <w:t>指由筑坝拦截谷口或围地构成的、用于贮存经选矿场选别后排出尾矿的场所。</w:t>
      </w:r>
    </w:p>
    <w:p w14:paraId="67C5625C">
      <w:pPr>
        <w:ind w:firstLine="0" w:firstLineChars="0"/>
      </w:pPr>
      <w:r>
        <w:rPr>
          <w:rFonts w:hint="eastAsia"/>
          <w:b/>
          <w:bCs/>
        </w:rPr>
        <w:t>2.0.</w:t>
      </w:r>
      <w:r>
        <w:rPr>
          <w:b/>
          <w:bCs/>
        </w:rPr>
        <w:t xml:space="preserve">9  </w:t>
      </w:r>
      <w:r>
        <w:rPr>
          <w:rFonts w:hint="eastAsia"/>
        </w:rPr>
        <w:t>矿区污染场地</w:t>
      </w:r>
      <w:r>
        <w:tab/>
      </w:r>
      <w:r>
        <w:t>mining area contaminated site</w:t>
      </w:r>
    </w:p>
    <w:p w14:paraId="1A5B4129">
      <w:pPr>
        <w:ind w:firstLine="0" w:firstLineChars="0"/>
      </w:pPr>
      <w:r>
        <w:rPr>
          <w:rFonts w:hint="eastAsia"/>
        </w:rPr>
        <w:t>指因堆积、储存、处理、处置或其他方式（如迁移）承载了有害物质，对人体健康或生态环境产生危害或具有潜在风险的矿区空间区域。</w:t>
      </w:r>
    </w:p>
    <w:p w14:paraId="39DF7E4A">
      <w:pPr>
        <w:ind w:firstLine="0" w:firstLineChars="0"/>
      </w:pPr>
      <w:r>
        <w:rPr>
          <w:rFonts w:hint="eastAsia"/>
          <w:b/>
          <w:bCs/>
        </w:rPr>
        <w:t>2.0.1</w:t>
      </w:r>
      <w:r>
        <w:rPr>
          <w:b/>
          <w:bCs/>
        </w:rPr>
        <w:t xml:space="preserve">0  </w:t>
      </w:r>
      <w:r>
        <w:rPr>
          <w:rFonts w:hint="eastAsia"/>
        </w:rPr>
        <w:t>土地损毁</w:t>
      </w:r>
      <w:r>
        <w:tab/>
      </w:r>
      <w:r>
        <w:t>land destruction</w:t>
      </w:r>
    </w:p>
    <w:p w14:paraId="4DFC9FCB">
      <w:pPr>
        <w:ind w:firstLine="0" w:firstLineChars="0"/>
      </w:pPr>
      <w:r>
        <w:rPr>
          <w:rFonts w:hint="eastAsia"/>
        </w:rPr>
        <w:t>人类生产建设活动或自然灾害造成土地原有功能部分或完全丧失的过程。</w:t>
      </w:r>
    </w:p>
    <w:p w14:paraId="6F8B1073">
      <w:pPr>
        <w:ind w:firstLine="0" w:firstLineChars="0"/>
      </w:pPr>
      <w:r>
        <w:rPr>
          <w:rFonts w:hint="eastAsia"/>
          <w:b/>
          <w:bCs/>
        </w:rPr>
        <w:t>2.0.1</w:t>
      </w:r>
      <w:r>
        <w:rPr>
          <w:b/>
          <w:bCs/>
        </w:rPr>
        <w:t xml:space="preserve">1  </w:t>
      </w:r>
      <w:r>
        <w:rPr>
          <w:rFonts w:hint="eastAsia"/>
        </w:rPr>
        <w:t>土地污染</w:t>
      </w:r>
      <w:r>
        <w:tab/>
      </w:r>
      <w:r>
        <w:t>land pollution</w:t>
      </w:r>
    </w:p>
    <w:p w14:paraId="45030696">
      <w:pPr>
        <w:ind w:firstLine="0" w:firstLineChars="0"/>
      </w:pPr>
      <w:r>
        <w:rPr>
          <w:rFonts w:hint="eastAsia"/>
        </w:rPr>
        <w:t>因生产建设过程中排放的污染物，造成土壤原有理化性质恶化、土地原有功能部分或全部丧失的过程。</w:t>
      </w:r>
    </w:p>
    <w:p w14:paraId="2020773E">
      <w:pPr>
        <w:ind w:firstLine="0" w:firstLineChars="0"/>
      </w:pPr>
      <w:r>
        <w:rPr>
          <w:rFonts w:hint="eastAsia"/>
          <w:b/>
          <w:bCs/>
        </w:rPr>
        <w:t>2.0.1</w:t>
      </w:r>
      <w:r>
        <w:rPr>
          <w:b/>
          <w:bCs/>
        </w:rPr>
        <w:t>2</w:t>
      </w:r>
      <w:r>
        <w:rPr>
          <w:rFonts w:hint="eastAsia"/>
          <w:b/>
          <w:bCs/>
        </w:rPr>
        <w:t xml:space="preserve">  </w:t>
      </w:r>
      <w:r>
        <w:rPr>
          <w:rFonts w:hint="eastAsia"/>
        </w:rPr>
        <w:t>生态系统功能</w:t>
      </w:r>
      <w:r>
        <w:tab/>
      </w:r>
      <w:r>
        <w:t>ecosystem function</w:t>
      </w:r>
    </w:p>
    <w:p w14:paraId="188B5BB2">
      <w:pPr>
        <w:ind w:firstLine="0" w:firstLineChars="0"/>
      </w:pPr>
      <w:r>
        <w:t>指生态系统整体在其内部和外部的联系中表现出的作用和能力，随着能量、物质等的不断交流，生态系统亦产生不断变化和动态调整的过程</w:t>
      </w:r>
      <w:r>
        <w:rPr>
          <w:rFonts w:hint="eastAsia"/>
        </w:rPr>
        <w:t>，包括水源涵养、土壤保持、防风固沙、生境不可替代性等。</w:t>
      </w:r>
    </w:p>
    <w:p w14:paraId="35496ACC">
      <w:pPr>
        <w:ind w:firstLine="0" w:firstLineChars="0"/>
      </w:pPr>
      <w:r>
        <w:rPr>
          <w:rFonts w:hint="eastAsia"/>
          <w:b/>
          <w:bCs/>
        </w:rPr>
        <w:t>2.0.1</w:t>
      </w:r>
      <w:r>
        <w:rPr>
          <w:b/>
          <w:bCs/>
        </w:rPr>
        <w:t xml:space="preserve">3  </w:t>
      </w:r>
      <w:r>
        <w:t>参照生态系统</w:t>
      </w:r>
      <w:r>
        <w:tab/>
      </w:r>
      <w:r>
        <w:t>reference ecosystem</w:t>
      </w:r>
    </w:p>
    <w:p w14:paraId="5C92D140">
      <w:pPr>
        <w:ind w:firstLine="0" w:firstLineChars="0"/>
      </w:pPr>
      <w:r>
        <w:t>指能够作为生态恢复基准的本地生态系统，常代表生态系统的非退化状态，包括其植物群、动物群</w:t>
      </w:r>
      <w:r>
        <w:rPr>
          <w:rFonts w:hint="eastAsia"/>
        </w:rPr>
        <w:t>（</w:t>
      </w:r>
      <w:r>
        <w:t>和其他生物群</w:t>
      </w:r>
      <w:r>
        <w:rPr>
          <w:rFonts w:hint="eastAsia"/>
        </w:rPr>
        <w:t>）</w:t>
      </w:r>
      <w:r>
        <w:t>、非生物成分、功能、过程和演替状态（未发生退化前的演替状态）。</w:t>
      </w:r>
    </w:p>
    <w:p w14:paraId="0772667C">
      <w:pPr>
        <w:ind w:firstLine="0" w:firstLineChars="0"/>
      </w:pPr>
      <w:r>
        <w:rPr>
          <w:rFonts w:hint="eastAsia"/>
          <w:b/>
          <w:bCs/>
        </w:rPr>
        <w:t>2.0.1</w:t>
      </w:r>
      <w:r>
        <w:rPr>
          <w:b/>
          <w:bCs/>
        </w:rPr>
        <w:t xml:space="preserve">4  </w:t>
      </w:r>
      <w:r>
        <w:rPr>
          <w:rFonts w:hint="eastAsia"/>
        </w:rPr>
        <w:t>地质安全隐患</w:t>
      </w:r>
      <w:r>
        <w:tab/>
      </w:r>
      <w:r>
        <w:t>geological safety hazard</w:t>
      </w:r>
    </w:p>
    <w:p w14:paraId="4AD25B8B">
      <w:pPr>
        <w:ind w:firstLine="0" w:firstLineChars="0"/>
      </w:pPr>
      <w:r>
        <w:rPr>
          <w:rFonts w:hint="eastAsia"/>
        </w:rPr>
        <w:t>指由采矿活动引发或加剧的对人居、生命、财产安全构成威胁的危岩体、不稳定边坡、废弃矿井、地面塌陷、地表开裂等地质安全问题。</w:t>
      </w:r>
    </w:p>
    <w:p w14:paraId="030EBBB1">
      <w:pPr>
        <w:ind w:firstLine="0" w:firstLineChars="0"/>
      </w:pPr>
      <w:r>
        <w:rPr>
          <w:rFonts w:hint="eastAsia"/>
          <w:b/>
          <w:bCs/>
        </w:rPr>
        <w:t>2.0.1</w:t>
      </w:r>
      <w:r>
        <w:rPr>
          <w:b/>
          <w:bCs/>
        </w:rPr>
        <w:t xml:space="preserve">5  </w:t>
      </w:r>
      <w:r>
        <w:rPr>
          <w:rFonts w:hint="eastAsia"/>
        </w:rPr>
        <w:t>自然恢复</w:t>
      </w:r>
      <w:r>
        <w:tab/>
      </w:r>
      <w:r>
        <w:t>natural recovery</w:t>
      </w:r>
    </w:p>
    <w:p w14:paraId="674320C2">
      <w:pPr>
        <w:ind w:firstLine="0" w:firstLineChars="0"/>
      </w:pPr>
      <w:r>
        <w:t>指对生态系统停止人为干扰，以减轻负荷压力，依靠生态系统的自我调节能力和自组织能力使其向有序的方向自然演替和恢复。</w:t>
      </w:r>
    </w:p>
    <w:p w14:paraId="154C99CF">
      <w:pPr>
        <w:ind w:firstLine="0" w:firstLineChars="0"/>
      </w:pPr>
      <w:r>
        <w:rPr>
          <w:rFonts w:hint="eastAsia"/>
          <w:b/>
          <w:bCs/>
        </w:rPr>
        <w:t>2.0.1</w:t>
      </w:r>
      <w:r>
        <w:rPr>
          <w:b/>
          <w:bCs/>
        </w:rPr>
        <w:t xml:space="preserve">6  </w:t>
      </w:r>
      <w:r>
        <w:rPr>
          <w:rFonts w:hint="eastAsia"/>
        </w:rPr>
        <w:t>辅助再生</w:t>
      </w:r>
      <w:r>
        <w:tab/>
      </w:r>
      <w:r>
        <w:t>assisted regeneration</w:t>
      </w:r>
    </w:p>
    <w:p w14:paraId="36B550D3">
      <w:pPr>
        <w:ind w:firstLine="0" w:firstLineChars="0"/>
      </w:pPr>
      <w:r>
        <w:t>指利用生态系统的自我恢复能力，辅以人工促进措施，使退化、受损的生态系统逐步恢复并进入良性循环</w:t>
      </w:r>
      <w:r>
        <w:rPr>
          <w:rFonts w:hint="eastAsia"/>
        </w:rPr>
        <w:t>。</w:t>
      </w:r>
    </w:p>
    <w:p w14:paraId="64EA7216">
      <w:pPr>
        <w:ind w:firstLine="0" w:firstLineChars="0"/>
      </w:pPr>
      <w:r>
        <w:rPr>
          <w:rFonts w:hint="eastAsia"/>
          <w:b/>
          <w:bCs/>
        </w:rPr>
        <w:t>2.0.1</w:t>
      </w:r>
      <w:r>
        <w:rPr>
          <w:b/>
          <w:bCs/>
        </w:rPr>
        <w:t xml:space="preserve">7  </w:t>
      </w:r>
      <w:r>
        <w:rPr>
          <w:rFonts w:hint="eastAsia"/>
        </w:rPr>
        <w:t>生态重建</w:t>
      </w:r>
      <w:r>
        <w:tab/>
      </w:r>
      <w:r>
        <w:t>ecological reconstruction</w:t>
      </w:r>
    </w:p>
    <w:p w14:paraId="1127A21E">
      <w:pPr>
        <w:ind w:firstLine="0" w:firstLineChars="0"/>
      </w:pPr>
      <w:r>
        <w:t>指对因自然灾害或人为破坏导致生态功能受损、生态系统自我恢复能力丧失或发生不可逆变化，以人工措施为主，通过生物、物理、化学、生态或工程技术方法，围绕修复生境、恢复植被、生物多样性重组等过程，重构生态系统并使</w:t>
      </w:r>
      <w:r>
        <w:rPr>
          <w:rFonts w:hint="eastAsia"/>
        </w:rPr>
        <w:t>其</w:t>
      </w:r>
      <w:r>
        <w:t>进</w:t>
      </w:r>
      <w:r>
        <w:rPr>
          <w:rFonts w:hint="eastAsia"/>
        </w:rPr>
        <w:t>步入</w:t>
      </w:r>
      <w:r>
        <w:t>良性循环。</w:t>
      </w:r>
    </w:p>
    <w:p w14:paraId="3883107F">
      <w:pPr>
        <w:ind w:firstLine="0" w:firstLineChars="0"/>
      </w:pPr>
      <w:r>
        <w:rPr>
          <w:rFonts w:hint="eastAsia"/>
          <w:b/>
          <w:bCs/>
        </w:rPr>
        <w:t>2.0.</w:t>
      </w:r>
      <w:r>
        <w:rPr>
          <w:b/>
          <w:bCs/>
        </w:rPr>
        <w:t xml:space="preserve">18  </w:t>
      </w:r>
      <w:r>
        <w:rPr>
          <w:rFonts w:hint="eastAsia"/>
        </w:rPr>
        <w:t>地貌重塑</w:t>
      </w:r>
      <w:r>
        <w:tab/>
      </w:r>
      <w:r>
        <w:t>landform reshaping</w:t>
      </w:r>
    </w:p>
    <w:p w14:paraId="171CA970">
      <w:pPr>
        <w:ind w:firstLine="0" w:firstLineChars="0"/>
      </w:pPr>
      <w:r>
        <w:t>根据矿区地形地貌破坏方式与损毁程度，结合原有地形地貌特点，在消除地质安全隐患和水土流失隐患基础上，通过有序排弃和土地整形等措施，形成与周边地貌景观相协调的新地貌。</w:t>
      </w:r>
    </w:p>
    <w:p w14:paraId="419CE43C">
      <w:pPr>
        <w:ind w:firstLine="0" w:firstLineChars="0"/>
      </w:pPr>
      <w:r>
        <w:rPr>
          <w:rFonts w:hint="eastAsia"/>
          <w:b/>
          <w:bCs/>
        </w:rPr>
        <w:t>2.0.</w:t>
      </w:r>
      <w:r>
        <w:rPr>
          <w:b/>
          <w:bCs/>
        </w:rPr>
        <w:t xml:space="preserve">19  </w:t>
      </w:r>
      <w:r>
        <w:rPr>
          <w:rFonts w:hint="eastAsia"/>
        </w:rPr>
        <w:t>土壤重构</w:t>
      </w:r>
      <w:r>
        <w:tab/>
      </w:r>
      <w:r>
        <w:t>soil reconstruction</w:t>
      </w:r>
    </w:p>
    <w:p w14:paraId="3AECB4A1">
      <w:pPr>
        <w:ind w:firstLine="0" w:firstLineChars="0"/>
      </w:pPr>
      <w:r>
        <w:t>指对矿区损毁土地采用工程、物理、化学、生物等改良措施，重新构造土壤基质，形成适宜植被生长的土壤结构与肥力等条件。</w:t>
      </w:r>
    </w:p>
    <w:p w14:paraId="25DA4E5F">
      <w:pPr>
        <w:ind w:firstLine="0" w:firstLineChars="0"/>
      </w:pPr>
      <w:r>
        <w:rPr>
          <w:rFonts w:hint="eastAsia"/>
          <w:b/>
          <w:bCs/>
        </w:rPr>
        <w:t>2.0.2</w:t>
      </w:r>
      <w:r>
        <w:rPr>
          <w:b/>
          <w:bCs/>
        </w:rPr>
        <w:t xml:space="preserve">0  </w:t>
      </w:r>
      <w:r>
        <w:rPr>
          <w:rFonts w:hint="eastAsia"/>
        </w:rPr>
        <w:t>植被重建</w:t>
      </w:r>
      <w:r>
        <w:tab/>
      </w:r>
      <w:r>
        <w:t>vegetation reconstruction</w:t>
      </w:r>
    </w:p>
    <w:p w14:paraId="42FD49BC">
      <w:pPr>
        <w:ind w:firstLine="0" w:firstLineChars="0"/>
      </w:pPr>
      <w:r>
        <w:t>指综合考虑</w:t>
      </w:r>
      <w:r>
        <w:rPr>
          <w:rFonts w:hint="eastAsia"/>
        </w:rPr>
        <w:t>生态地理区划、地形地貌</w:t>
      </w:r>
      <w:r>
        <w:t>、地表物质组成和有效土层厚度等</w:t>
      </w:r>
      <w:r>
        <w:rPr>
          <w:rFonts w:hint="eastAsia"/>
        </w:rPr>
        <w:t>立地</w:t>
      </w:r>
      <w:r>
        <w:t>条件，选择先锋、</w:t>
      </w:r>
      <w:r>
        <w:rPr>
          <w:rFonts w:hint="eastAsia"/>
        </w:rPr>
        <w:t>抗性强的适生</w:t>
      </w:r>
      <w:r>
        <w:t>植物种，</w:t>
      </w:r>
      <w:r>
        <w:rPr>
          <w:rFonts w:hint="eastAsia"/>
        </w:rPr>
        <w:t>合理</w:t>
      </w:r>
      <w:r>
        <w:t>配置、栽植及管护，</w:t>
      </w:r>
      <w:r>
        <w:rPr>
          <w:rFonts w:hint="eastAsia"/>
        </w:rPr>
        <w:t>以乡土植物为主，体现生物多样性，</w:t>
      </w:r>
      <w:r>
        <w:t>构建持续稳定的植物群落。</w:t>
      </w:r>
      <w:r>
        <w:br w:type="page"/>
      </w:r>
    </w:p>
    <w:p w14:paraId="0A02861F">
      <w:pPr>
        <w:pStyle w:val="30"/>
        <w:numPr>
          <w:ilvl w:val="0"/>
          <w:numId w:val="1"/>
        </w:numPr>
        <w:ind w:firstLineChars="0"/>
        <w:jc w:val="center"/>
        <w:outlineLvl w:val="0"/>
        <w:rPr>
          <w:b/>
          <w:bCs/>
          <w:sz w:val="44"/>
          <w:szCs w:val="44"/>
        </w:rPr>
      </w:pPr>
      <w:bookmarkStart w:id="5" w:name="_Toc212057019"/>
      <w:r>
        <w:rPr>
          <w:rFonts w:hint="eastAsia"/>
          <w:b/>
          <w:bCs/>
          <w:sz w:val="44"/>
          <w:szCs w:val="44"/>
        </w:rPr>
        <w:t>基本规定</w:t>
      </w:r>
      <w:bookmarkEnd w:id="5"/>
    </w:p>
    <w:p w14:paraId="1DDFF80E">
      <w:pPr>
        <w:ind w:firstLine="0" w:firstLineChars="0"/>
        <w:rPr>
          <w:rFonts w:ascii="宋体" w:hAnsi="宋体"/>
        </w:rPr>
      </w:pPr>
      <w:r>
        <w:rPr>
          <w:rFonts w:hint="eastAsia" w:cs="Times New Roman"/>
          <w:b/>
          <w:bCs/>
        </w:rPr>
        <w:t>3.0.</w:t>
      </w:r>
      <w:r>
        <w:rPr>
          <w:rFonts w:cs="Times New Roman"/>
          <w:b/>
          <w:bCs/>
        </w:rPr>
        <w:t xml:space="preserve">1  </w:t>
      </w:r>
      <w:r>
        <w:rPr>
          <w:rFonts w:hint="eastAsia" w:ascii="宋体" w:hAnsi="宋体"/>
        </w:rPr>
        <w:t>城市工矿区绿色改造与生态修复应按照本规程的有关规定，编制并组织实施矿区绿色改造与生态修复方案。</w:t>
      </w:r>
    </w:p>
    <w:p w14:paraId="343BEBAE">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】本条明确须以方案为载体落实本规程要求，确保工程实施过程中矿区生态环境保护与修复治理有序推进</w:t>
      </w:r>
      <w:r>
        <w:rPr>
          <w:rFonts w:ascii="宋体" w:hAnsi="宋体"/>
        </w:rPr>
        <w:t>。</w:t>
      </w:r>
    </w:p>
    <w:p w14:paraId="79CD4DB2">
      <w:pPr>
        <w:ind w:firstLine="0" w:firstLineChars="0"/>
        <w:rPr>
          <w:rFonts w:ascii="宋体" w:hAnsi="宋体"/>
        </w:rPr>
      </w:pPr>
      <w:r>
        <w:rPr>
          <w:rFonts w:hint="eastAsia" w:cs="Times New Roman"/>
          <w:b/>
          <w:bCs/>
        </w:rPr>
        <w:t>3.0.2</w:t>
      </w:r>
      <w:r>
        <w:rPr>
          <w:rFonts w:cs="Times New Roman"/>
          <w:b/>
          <w:bCs/>
        </w:rPr>
        <w:t xml:space="preserve">  </w:t>
      </w:r>
      <w:r>
        <w:rPr>
          <w:rFonts w:hint="eastAsia" w:ascii="宋体" w:hAnsi="宋体"/>
        </w:rPr>
        <w:t>城市工矿区绿色改造与生态修复范围的确定，应以自然资源部下发的有关文件（数据）为依据，结合风力扬尘、地表径流等导致的超标污染物影响边界，经地方自然资源主管部门调查核实后报送，由自然资源部审定。</w:t>
      </w:r>
    </w:p>
    <w:p w14:paraId="542A9D8C">
      <w:pPr>
        <w:ind w:firstLine="0" w:firstLineChars="0"/>
        <w:rPr>
          <w:rFonts w:ascii="宋体" w:hAnsi="宋体"/>
        </w:rPr>
      </w:pPr>
      <w:r>
        <w:rPr>
          <w:rFonts w:hint="eastAsia" w:ascii="宋体" w:hAnsi="宋体"/>
        </w:rPr>
        <w:t>【条文说明】本条明确范围确定的依据与程序：以部级文件（数据）为基准，地方调查核实并报送，最终由部里审定，提高范围划定的准确性与权威性</w:t>
      </w:r>
      <w:r>
        <w:rPr>
          <w:rFonts w:ascii="宋体" w:hAnsi="宋体"/>
        </w:rPr>
        <w:t>。</w:t>
      </w:r>
    </w:p>
    <w:p w14:paraId="01EAF5AE">
      <w:pPr>
        <w:ind w:firstLine="0" w:firstLineChars="0"/>
        <w:rPr>
          <w:rFonts w:ascii="宋体" w:hAnsi="宋体"/>
        </w:rPr>
      </w:pPr>
      <w:r>
        <w:rPr>
          <w:rFonts w:hint="eastAsia" w:cs="Times New Roman"/>
          <w:b/>
          <w:bCs/>
        </w:rPr>
        <w:t xml:space="preserve">3.0.3 </w:t>
      </w:r>
      <w:r>
        <w:rPr>
          <w:rFonts w:cs="Times New Roman"/>
          <w:b/>
          <w:bCs/>
        </w:rPr>
        <w:t xml:space="preserve"> </w:t>
      </w:r>
      <w:r>
        <w:rPr>
          <w:rFonts w:hint="eastAsia" w:ascii="宋体" w:hAnsi="宋体"/>
        </w:rPr>
        <w:t>城市工矿区绿色改造与生态修复应坚持统筹兼顾、综合治理、系统施策的原则，减少施工扰动，防止新增破坏或引发逆向生态演替；优先采用绿色低碳技术和先进工艺，并充分论证其工程适用性与可操作性。。</w:t>
      </w:r>
    </w:p>
    <w:p w14:paraId="2DDFC451">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】本条提出实施原则与技术取向：强调系统治理与最小扰动，防范二次破坏，同时推广绿色与先进技术，确保措施有效落地</w:t>
      </w:r>
      <w:r>
        <w:rPr>
          <w:rFonts w:ascii="宋体" w:hAnsi="宋体"/>
        </w:rPr>
        <w:t>。</w:t>
      </w:r>
    </w:p>
    <w:p w14:paraId="7C7B226E">
      <w:pPr>
        <w:ind w:firstLine="0" w:firstLineChars="0"/>
        <w:rPr>
          <w:rFonts w:ascii="宋体" w:hAnsi="宋体"/>
        </w:rPr>
      </w:pPr>
      <w:r>
        <w:rPr>
          <w:rFonts w:hint="eastAsia" w:cs="Times New Roman"/>
          <w:b/>
          <w:bCs/>
        </w:rPr>
        <w:t xml:space="preserve">3.0.4  </w:t>
      </w:r>
      <w:r>
        <w:rPr>
          <w:rFonts w:hint="eastAsia" w:ascii="宋体" w:hAnsi="宋体"/>
        </w:rPr>
        <w:t>城市工矿区绿色改造与生态修复应结合矿区本底条件、地方经济承受能力及改造与修复目标，合理选用施工技术并确定施工顺序。</w:t>
      </w:r>
    </w:p>
    <w:p w14:paraId="1AE4BFFD">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】本条指导技术与工序的选择与安排，突出因地制宜与目标导向，以提高实施的适宜性与效率</w:t>
      </w:r>
      <w:r>
        <w:rPr>
          <w:rFonts w:ascii="宋体" w:hAnsi="宋体"/>
        </w:rPr>
        <w:t>。</w:t>
      </w:r>
    </w:p>
    <w:p w14:paraId="3F1B40B7">
      <w:pPr>
        <w:ind w:firstLine="0" w:firstLineChars="0"/>
        <w:rPr>
          <w:rFonts w:ascii="宋体" w:hAnsi="宋体" w:cs="宋体"/>
          <w:lang w:bidi="ar"/>
        </w:rPr>
      </w:pPr>
      <w:r>
        <w:rPr>
          <w:rFonts w:cs="Times New Roman"/>
          <w:b/>
          <w:bCs/>
          <w:lang w:bidi="ar"/>
        </w:rPr>
        <w:t xml:space="preserve">3.0.5  </w:t>
      </w:r>
      <w:r>
        <w:rPr>
          <w:rFonts w:hint="eastAsia" w:ascii="宋体" w:hAnsi="宋体" w:cs="宋体"/>
          <w:lang w:bidi="ar"/>
        </w:rPr>
        <w:t>改造与修复完成的各类场地应符合下列要求：</w:t>
      </w:r>
    </w:p>
    <w:p w14:paraId="138E7A8F">
      <w:pPr>
        <w:ind w:firstLine="480"/>
        <w:rPr>
          <w:rFonts w:cs="Times New Roman"/>
          <w:lang w:bidi="ar"/>
        </w:rPr>
      </w:pPr>
      <w:r>
        <w:rPr>
          <w:rFonts w:cs="Times New Roman"/>
          <w:lang w:bidi="ar"/>
        </w:rPr>
        <w:t>1）安全稳定，不对人类及动植物构成危害；</w:t>
      </w:r>
    </w:p>
    <w:p w14:paraId="5C007DC4">
      <w:pPr>
        <w:ind w:firstLine="480"/>
        <w:rPr>
          <w:rFonts w:cs="Times New Roman"/>
          <w:lang w:bidi="ar"/>
        </w:rPr>
      </w:pPr>
      <w:r>
        <w:rPr>
          <w:rFonts w:cs="Times New Roman"/>
          <w:lang w:bidi="ar"/>
        </w:rPr>
        <w:t>2）不对周边环境造成污染；</w:t>
      </w:r>
    </w:p>
    <w:p w14:paraId="19E59C6D">
      <w:pPr>
        <w:ind w:firstLine="480"/>
        <w:rPr>
          <w:rFonts w:cs="Times New Roman"/>
          <w:lang w:bidi="ar"/>
        </w:rPr>
      </w:pPr>
      <w:r>
        <w:rPr>
          <w:rFonts w:cs="Times New Roman"/>
          <w:lang w:bidi="ar"/>
        </w:rPr>
        <w:t>3）与周边自然环境和景观相协调；</w:t>
      </w:r>
    </w:p>
    <w:p w14:paraId="18AEBB5F">
      <w:pPr>
        <w:ind w:firstLine="480"/>
        <w:rPr>
          <w:rFonts w:cs="Times New Roman"/>
          <w:lang w:bidi="ar"/>
        </w:rPr>
      </w:pPr>
      <w:r>
        <w:rPr>
          <w:rFonts w:cs="Times New Roman"/>
          <w:lang w:bidi="ar"/>
        </w:rPr>
        <w:t>4）恢复土地基本功能，因地制宜实现可持续利用；</w:t>
      </w:r>
    </w:p>
    <w:p w14:paraId="5CAE916C">
      <w:pPr>
        <w:ind w:firstLine="480"/>
        <w:rPr>
          <w:rFonts w:cs="Times New Roman"/>
        </w:rPr>
      </w:pPr>
      <w:r>
        <w:rPr>
          <w:rFonts w:cs="Times New Roman"/>
          <w:lang w:bidi="ar"/>
        </w:rPr>
        <w:t>5）区域生态系统结构与功能得到保护与恢复。</w:t>
      </w:r>
    </w:p>
    <w:p w14:paraId="1A683069">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】本条明确改造与修复后的目标要求，涵盖安全稳定、环境无污染、景观与生态协调、土地基本功能恢复与可持续利用，以及区域生态系统结构与功能的保护与恢复，旨在实现生态环境整体改善。</w:t>
      </w:r>
    </w:p>
    <w:p w14:paraId="1D89B4FA">
      <w:pPr>
        <w:ind w:firstLine="0" w:firstLineChars="0"/>
      </w:pPr>
      <w:r>
        <w:rPr>
          <w:rFonts w:ascii="宋体" w:hAnsi="宋体"/>
        </w:rPr>
        <w:br w:type="page"/>
      </w:r>
    </w:p>
    <w:p w14:paraId="7D0CD076">
      <w:pPr>
        <w:pStyle w:val="30"/>
        <w:numPr>
          <w:ilvl w:val="0"/>
          <w:numId w:val="1"/>
        </w:numPr>
        <w:ind w:firstLineChars="0"/>
        <w:jc w:val="center"/>
        <w:outlineLvl w:val="0"/>
        <w:rPr>
          <w:b/>
          <w:bCs/>
          <w:sz w:val="44"/>
          <w:szCs w:val="44"/>
        </w:rPr>
      </w:pPr>
      <w:bookmarkStart w:id="6" w:name="_Toc212057020"/>
      <w:r>
        <w:rPr>
          <w:rFonts w:hint="eastAsia"/>
          <w:b/>
          <w:bCs/>
          <w:sz w:val="44"/>
          <w:szCs w:val="44"/>
        </w:rPr>
        <w:t>安全</w:t>
      </w:r>
      <w:bookmarkEnd w:id="6"/>
    </w:p>
    <w:p w14:paraId="27379109">
      <w:pPr>
        <w:ind w:firstLine="0" w:firstLineChars="0"/>
      </w:pPr>
      <w:r>
        <w:rPr>
          <w:rFonts w:hint="eastAsia"/>
          <w:b/>
          <w:bCs/>
        </w:rPr>
        <w:t>4</w:t>
      </w:r>
      <w:r>
        <w:rPr>
          <w:b/>
          <w:bCs/>
        </w:rPr>
        <w:t>.0.1</w:t>
      </w:r>
      <w:r>
        <w:t xml:space="preserve">  </w:t>
      </w:r>
      <w:r>
        <w:rPr>
          <w:rFonts w:hint="eastAsia"/>
        </w:rPr>
        <w:t>为确保城市工矿区（含废弃矿区）绿色改造与生态修复工程的施工安全、作业人员生命健康以及生态环境安全，所有相关工程活动应依法依规实施，并符合《中华人民共和国安全生产法》《矿山安全规程》《生态保护修复管理办法》等现行法律、法规及有关标准规范的要求。</w:t>
      </w:r>
    </w:p>
    <w:p w14:paraId="12E6CDCC">
      <w:pPr>
        <w:ind w:firstLine="0" w:firstLineChars="0"/>
      </w:pPr>
      <w:r>
        <w:rPr>
          <w:rFonts w:hint="eastAsia"/>
        </w:rPr>
        <w:t>【条文说明】本条明确工程活动的合规依据与适用范围，强调依法依规开展。</w:t>
      </w:r>
    </w:p>
    <w:p w14:paraId="59CC078A">
      <w:pPr>
        <w:ind w:firstLine="0" w:firstLineChars="0"/>
      </w:pPr>
      <w:r>
        <w:rPr>
          <w:b/>
          <w:bCs/>
        </w:rPr>
        <w:t>4.0</w:t>
      </w:r>
      <w:r>
        <w:rPr>
          <w:rFonts w:hint="eastAsia"/>
          <w:b/>
          <w:bCs/>
        </w:rPr>
        <w:t>.</w:t>
      </w:r>
      <w:r>
        <w:rPr>
          <w:b/>
          <w:bCs/>
        </w:rPr>
        <w:t>2</w:t>
      </w:r>
      <w:r>
        <w:rPr>
          <w:rFonts w:hint="eastAsia"/>
        </w:rPr>
        <w:t xml:space="preserve"> </w:t>
      </w:r>
      <w:r>
        <w:t xml:space="preserve"> </w:t>
      </w:r>
      <w:r>
        <w:rPr>
          <w:rFonts w:hint="eastAsia"/>
        </w:rPr>
        <w:t>工程建设应坚持“安全第一、预防为主、综合治理”的方针，统筹安全与生态保护，促进人与自然和谐共生。</w:t>
      </w:r>
    </w:p>
    <w:p w14:paraId="3141C9C3">
      <w:pPr>
        <w:ind w:firstLine="0" w:firstLineChars="0"/>
      </w:pPr>
      <w:r>
        <w:rPr>
          <w:rFonts w:hint="eastAsia"/>
        </w:rPr>
        <w:t>【条文说明】本条规定安全管理的基本方针与目标取向。</w:t>
      </w:r>
    </w:p>
    <w:p w14:paraId="6080B59E">
      <w:pPr>
        <w:ind w:firstLine="0" w:firstLineChars="0"/>
      </w:pPr>
      <w:r>
        <w:rPr>
          <w:b/>
          <w:bCs/>
        </w:rPr>
        <w:t>4.0.3</w:t>
      </w:r>
      <w:r>
        <w:t xml:space="preserve">  </w:t>
      </w:r>
      <w:r>
        <w:rPr>
          <w:rFonts w:hint="eastAsia"/>
        </w:rPr>
        <w:t>建设单位应建立健全安全生产责任制，落实全员安全生产责任，明确主要负责人、项目负责人、技术负责人及安全管理机构（人员）的职责</w:t>
      </w:r>
      <w:r>
        <w:t>。</w:t>
      </w:r>
    </w:p>
    <w:p w14:paraId="045FBF8C">
      <w:pPr>
        <w:ind w:firstLine="0" w:firstLineChars="0"/>
      </w:pPr>
      <w:r>
        <w:rPr>
          <w:rFonts w:hint="eastAsia"/>
        </w:rPr>
        <w:t>【条文说明】本条明确建设单位的主体责任与职责分工。</w:t>
      </w:r>
    </w:p>
    <w:p w14:paraId="46068D22">
      <w:pPr>
        <w:ind w:firstLine="0" w:firstLineChars="0"/>
      </w:pPr>
      <w:r>
        <w:rPr>
          <w:b/>
          <w:bCs/>
        </w:rPr>
        <w:t>4.0.4</w:t>
      </w:r>
      <w:r>
        <w:t xml:space="preserve">  施工单位应设置安全生产管理机构，按规定配备专职安全管理人员，实施全过程安全管理与监督。</w:t>
      </w:r>
    </w:p>
    <w:p w14:paraId="16136CA6">
      <w:pPr>
        <w:ind w:firstLine="0" w:firstLineChars="0"/>
      </w:pPr>
      <w:r>
        <w:t>【条文说明】本条提出施工单位在组织与人员配置方面的硬性要求。</w:t>
      </w:r>
    </w:p>
    <w:p w14:paraId="559BCD94">
      <w:pPr>
        <w:ind w:firstLine="0" w:firstLineChars="0"/>
      </w:pPr>
      <w:r>
        <w:rPr>
          <w:b/>
          <w:bCs/>
        </w:rPr>
        <w:t>4.0.5</w:t>
      </w:r>
      <w:r>
        <w:t xml:space="preserve">  </w:t>
      </w:r>
      <w:r>
        <w:rPr>
          <w:rFonts w:hint="eastAsia"/>
        </w:rPr>
        <w:t>监理单位应对安全管理措施的落实情况实施审查与监督，采取旁站、巡视、检查等方式开展工作；发现问题或隐患时，应及时提出整改要求并跟踪复查</w:t>
      </w:r>
      <w:r>
        <w:t>。</w:t>
      </w:r>
    </w:p>
    <w:p w14:paraId="43FB7830">
      <w:pPr>
        <w:ind w:firstLine="0" w:firstLineChars="0"/>
      </w:pPr>
      <w:r>
        <w:rPr>
          <w:rFonts w:hint="eastAsia"/>
        </w:rPr>
        <w:t>【条文说明】本条细化监理单位的监督职责与工作方法。</w:t>
      </w:r>
    </w:p>
    <w:p w14:paraId="4C78E41C">
      <w:pPr>
        <w:ind w:firstLine="0" w:firstLineChars="0"/>
      </w:pPr>
      <w:r>
        <w:rPr>
          <w:rFonts w:hint="eastAsia"/>
          <w:b/>
          <w:bCs/>
        </w:rPr>
        <w:t>4</w:t>
      </w:r>
      <w:r>
        <w:rPr>
          <w:b/>
          <w:bCs/>
        </w:rPr>
        <w:t>.0.6</w:t>
      </w:r>
      <w:r>
        <w:t xml:space="preserve">  </w:t>
      </w:r>
      <w:r>
        <w:rPr>
          <w:rFonts w:hint="eastAsia"/>
        </w:rPr>
        <w:t>作业人员应经安全教育与岗位培训合格后上岗；特种作业人员应依法持证上岗</w:t>
      </w:r>
      <w:r>
        <w:t>。</w:t>
      </w:r>
    </w:p>
    <w:p w14:paraId="720DF1B1">
      <w:pPr>
        <w:ind w:firstLine="0" w:firstLineChars="0"/>
      </w:pPr>
      <w:r>
        <w:rPr>
          <w:rFonts w:hint="eastAsia"/>
        </w:rPr>
        <w:t>【条文说明】本条规定作业人员的培训与取证要求</w:t>
      </w:r>
    </w:p>
    <w:p w14:paraId="5BAD849E">
      <w:pPr>
        <w:ind w:firstLine="0" w:firstLineChars="0"/>
      </w:pPr>
      <w:r>
        <w:rPr>
          <w:b/>
          <w:bCs/>
        </w:rPr>
        <w:t>4.0.7</w:t>
      </w:r>
      <w:r>
        <w:t xml:space="preserve">  </w:t>
      </w:r>
      <w:r>
        <w:rPr>
          <w:rFonts w:hint="eastAsia"/>
        </w:rPr>
        <w:t>应建立健全应急管理体系，编制矿区绿色改造与生态修复的应急预案（含总体预案、专项预案和现场处置方案），覆盖塌方、滑坡、泥石流、中毒窒息、火灾等事故（事件）的应急处置程序。</w:t>
      </w:r>
    </w:p>
    <w:p w14:paraId="2FC31F48">
      <w:pPr>
        <w:ind w:firstLine="0" w:firstLineChars="0"/>
      </w:pPr>
      <w:r>
        <w:rPr>
          <w:rFonts w:hint="eastAsia"/>
        </w:rPr>
        <w:t>【条文说明】本条要求完善应急预案体系并明确覆盖的主要灾害类型。</w:t>
      </w:r>
    </w:p>
    <w:p w14:paraId="325525E1">
      <w:pPr>
        <w:ind w:firstLine="0" w:firstLineChars="0"/>
      </w:pPr>
      <w:r>
        <w:rPr>
          <w:b/>
          <w:bCs/>
        </w:rPr>
        <w:t>4.0.8</w:t>
      </w:r>
      <w:r>
        <w:t xml:space="preserve">  </w:t>
      </w:r>
      <w:r>
        <w:rPr>
          <w:rFonts w:hint="eastAsia"/>
        </w:rPr>
        <w:t>应按规定配备应急物资（如救援绳索、氧气瓶、灭火器、急救药品等），建立台账并定期检查、维护和更新，确保完好、有效、可用。</w:t>
      </w:r>
    </w:p>
    <w:p w14:paraId="05AA91AE">
      <w:pPr>
        <w:ind w:firstLine="0" w:firstLineChars="0"/>
      </w:pPr>
      <w:r>
        <w:t>【条文说明】本条明确应急物资的配备、管理与保障要求。</w:t>
      </w:r>
    </w:p>
    <w:p w14:paraId="796F3268">
      <w:pPr>
        <w:ind w:firstLine="0" w:firstLineChars="0"/>
      </w:pPr>
      <w:r>
        <w:rPr>
          <w:b/>
          <w:bCs/>
        </w:rPr>
        <w:t>4.0.9</w:t>
      </w:r>
      <w:r>
        <w:t xml:space="preserve">  </w:t>
      </w:r>
      <w:r>
        <w:rPr>
          <w:rFonts w:hint="eastAsia"/>
        </w:rPr>
        <w:t>应定期组织应急演练，评估演练效果并及时修订完善相关预案和处置流程，提高施工人员的应急处置能力。</w:t>
      </w:r>
    </w:p>
    <w:p w14:paraId="0AC6DEFB">
      <w:pPr>
        <w:ind w:firstLine="0" w:firstLineChars="0"/>
      </w:pPr>
      <w:r>
        <w:rPr>
          <w:rFonts w:hint="eastAsia"/>
        </w:rPr>
        <w:t>【条文说明】本条强调通过演练实现持续改进与能力提升。</w:t>
      </w:r>
    </w:p>
    <w:p w14:paraId="20EBF4FF">
      <w:pPr>
        <w:ind w:firstLine="0" w:firstLineChars="0"/>
      </w:pPr>
      <w:r>
        <w:rPr>
          <w:b/>
          <w:bCs/>
        </w:rPr>
        <w:t>4.0.10</w:t>
      </w:r>
      <w:r>
        <w:t xml:space="preserve">  </w:t>
      </w:r>
      <w:r>
        <w:rPr>
          <w:rFonts w:hint="eastAsia"/>
        </w:rPr>
        <w:t>应将安全管理与生态环境保护落实情况纳入工程进度考核、阶段性验收及竣工验收内容。</w:t>
      </w:r>
    </w:p>
    <w:p w14:paraId="3805194B">
      <w:pPr>
        <w:ind w:firstLine="0" w:firstLineChars="0"/>
      </w:pPr>
      <w:r>
        <w:rPr>
          <w:rFonts w:hint="eastAsia"/>
        </w:rPr>
        <w:t>【条文说明】本条将安全管理成效与工程考核验收挂钩。</w:t>
      </w:r>
    </w:p>
    <w:p w14:paraId="17228BA5">
      <w:pPr>
        <w:ind w:firstLine="0" w:firstLineChars="0"/>
      </w:pPr>
      <w:r>
        <w:rPr>
          <w:b/>
          <w:bCs/>
        </w:rPr>
        <w:t>4.0.11</w:t>
      </w:r>
      <w:r>
        <w:t xml:space="preserve">  </w:t>
      </w:r>
      <w:r>
        <w:rPr>
          <w:rFonts w:hint="eastAsia"/>
        </w:rPr>
        <w:t>对违反安全管理规定的单位和个人，应依据有关法律法规及合同约定予以处理。</w:t>
      </w:r>
    </w:p>
    <w:p w14:paraId="2D4AA6CA">
      <w:pPr>
        <w:ind w:firstLine="0" w:firstLineChars="0"/>
      </w:pPr>
      <w:r>
        <w:t>【条文说明】本条明确违规行为的处理依据。</w:t>
      </w:r>
    </w:p>
    <w:p w14:paraId="03434E55">
      <w:pPr>
        <w:ind w:firstLine="0" w:firstLineChars="0"/>
      </w:pPr>
      <w:r>
        <w:rPr>
          <w:b/>
          <w:bCs/>
        </w:rPr>
        <w:t>4.0.12</w:t>
      </w:r>
      <w:r>
        <w:t xml:space="preserve">  </w:t>
      </w:r>
      <w:r>
        <w:rPr>
          <w:rFonts w:hint="eastAsia"/>
        </w:rPr>
        <w:t>建设、施工、监理等单位对事故瞒报、谎报、迟报等行为，应依法追究责任。</w:t>
      </w:r>
    </w:p>
    <w:p w14:paraId="43431710">
      <w:pPr>
        <w:ind w:firstLine="0" w:firstLineChars="0"/>
      </w:pPr>
      <w:r>
        <w:rPr>
          <w:rFonts w:hint="eastAsia"/>
        </w:rPr>
        <w:t>【条文说明】本条强调事故报告的真实性与时效性要求及相应法律责任。</w:t>
      </w:r>
    </w:p>
    <w:p w14:paraId="569A1BBD">
      <w:pPr>
        <w:widowControl/>
        <w:spacing w:line="240" w:lineRule="auto"/>
        <w:ind w:firstLine="0" w:firstLineChars="0"/>
        <w:jc w:val="left"/>
        <w:rPr>
          <w:b/>
          <w:bCs/>
          <w:sz w:val="44"/>
          <w:szCs w:val="44"/>
        </w:rPr>
      </w:pPr>
      <w:r>
        <w:rPr>
          <w:b/>
          <w:bCs/>
          <w:sz w:val="44"/>
          <w:szCs w:val="44"/>
        </w:rPr>
        <w:br w:type="page"/>
      </w:r>
    </w:p>
    <w:p w14:paraId="46F0932B">
      <w:pPr>
        <w:pStyle w:val="30"/>
        <w:numPr>
          <w:ilvl w:val="0"/>
          <w:numId w:val="1"/>
        </w:numPr>
        <w:ind w:firstLineChars="0"/>
        <w:jc w:val="center"/>
        <w:outlineLvl w:val="0"/>
        <w:rPr>
          <w:b/>
          <w:bCs/>
          <w:sz w:val="44"/>
          <w:szCs w:val="44"/>
        </w:rPr>
      </w:pPr>
      <w:bookmarkStart w:id="7" w:name="_Toc212057021"/>
      <w:r>
        <w:rPr>
          <w:rFonts w:hint="eastAsia"/>
          <w:b/>
          <w:bCs/>
          <w:sz w:val="44"/>
          <w:szCs w:val="44"/>
        </w:rPr>
        <w:t>基础调查与问题识别</w:t>
      </w:r>
      <w:bookmarkEnd w:id="7"/>
    </w:p>
    <w:p w14:paraId="164AA2E1">
      <w:pPr>
        <w:pStyle w:val="30"/>
        <w:numPr>
          <w:ilvl w:val="0"/>
          <w:numId w:val="2"/>
        </w:numPr>
        <w:spacing w:before="163" w:beforeLines="50" w:after="163" w:afterLines="50"/>
        <w:ind w:firstLineChars="0"/>
        <w:jc w:val="center"/>
        <w:outlineLvl w:val="1"/>
        <w:rPr>
          <w:b/>
          <w:bCs/>
          <w:sz w:val="28"/>
          <w:szCs w:val="28"/>
        </w:rPr>
      </w:pPr>
      <w:bookmarkStart w:id="8" w:name="_Toc212057022"/>
      <w:r>
        <w:rPr>
          <w:rFonts w:hint="eastAsia"/>
          <w:b/>
          <w:bCs/>
          <w:sz w:val="28"/>
          <w:szCs w:val="28"/>
        </w:rPr>
        <w:t>一般规定</w:t>
      </w:r>
      <w:bookmarkEnd w:id="8"/>
    </w:p>
    <w:p w14:paraId="48574570">
      <w:pPr>
        <w:ind w:firstLine="0" w:firstLineChars="0"/>
      </w:pPr>
      <w:r>
        <w:rPr>
          <w:b/>
          <w:bCs/>
        </w:rPr>
        <w:t xml:space="preserve">5.1.1  </w:t>
      </w:r>
      <w:r>
        <w:rPr>
          <w:rFonts w:hint="eastAsia"/>
        </w:rPr>
        <w:t>在工程设计与实施前，应结合地质环境条件、生态环境问题及预期生态修复目标，开展现状调查与评价，为方案编制提供依据</w:t>
      </w:r>
      <w:r>
        <w:t>。</w:t>
      </w:r>
    </w:p>
    <w:p w14:paraId="2F3AB730">
      <w:pPr>
        <w:ind w:firstLine="0" w:firstLineChars="0"/>
      </w:pPr>
      <w:r>
        <w:rPr>
          <w:rFonts w:hint="eastAsia"/>
        </w:rPr>
        <w:t>【条文说明】本条强调在设计与实施前开展系统调查评价，综合考虑场地地质环境背景、生态环境问题及修复目标，为后续方案与工程实施提供科学支撑。</w:t>
      </w:r>
    </w:p>
    <w:p w14:paraId="124FBDBC">
      <w:pPr>
        <w:ind w:firstLine="0" w:firstLineChars="0"/>
      </w:pPr>
      <w:r>
        <w:rPr>
          <w:b/>
          <w:bCs/>
        </w:rPr>
        <w:t xml:space="preserve">5.1.2  </w:t>
      </w:r>
      <w:r>
        <w:rPr>
          <w:rFonts w:hint="eastAsia"/>
        </w:rPr>
        <w:t>调查应查明下列内容，系统评价场地稳定性并提出绿色改造与生态修复工程措施建议：</w:t>
      </w:r>
    </w:p>
    <w:p w14:paraId="7AFCD411">
      <w:pPr>
        <w:ind w:firstLine="480"/>
      </w:pPr>
      <w:r>
        <w:t>1）地形地貌与地质条件；</w:t>
      </w:r>
    </w:p>
    <w:p w14:paraId="5E27DCAC">
      <w:pPr>
        <w:ind w:firstLine="480"/>
      </w:pPr>
      <w:r>
        <w:t>2）工程地质与水文地质条件；</w:t>
      </w:r>
    </w:p>
    <w:p w14:paraId="0B5095EE">
      <w:pPr>
        <w:ind w:firstLine="480"/>
      </w:pPr>
      <w:r>
        <w:t>3）土地损毁类型与程度；</w:t>
      </w:r>
    </w:p>
    <w:p w14:paraId="6CFAA2A4">
      <w:pPr>
        <w:ind w:firstLine="480"/>
      </w:pPr>
      <w:r>
        <w:t>4）周边环境污染状况；</w:t>
      </w:r>
    </w:p>
    <w:p w14:paraId="148E8A5C">
      <w:pPr>
        <w:ind w:firstLine="480"/>
      </w:pPr>
      <w:r>
        <w:t>5）生态状况、地带性植被与乡土物种；</w:t>
      </w:r>
    </w:p>
    <w:p w14:paraId="69BCB265">
      <w:pPr>
        <w:ind w:firstLine="480"/>
      </w:pPr>
      <w:r>
        <w:t>6）资源开发利用现状；</w:t>
      </w:r>
    </w:p>
    <w:p w14:paraId="22294951">
      <w:pPr>
        <w:ind w:firstLine="480"/>
      </w:pPr>
      <w:r>
        <w:t>7）潜在安全隐患及风险源；</w:t>
      </w:r>
    </w:p>
    <w:p w14:paraId="5CBDE569">
      <w:pPr>
        <w:ind w:firstLine="480"/>
      </w:pPr>
      <w:r>
        <w:t>8）社会影响；</w:t>
      </w:r>
    </w:p>
    <w:p w14:paraId="782C618C">
      <w:pPr>
        <w:ind w:firstLine="480"/>
      </w:pPr>
      <w:r>
        <w:t>9）土地权属及用地现状；</w:t>
      </w:r>
    </w:p>
    <w:p w14:paraId="0B6DEBE5">
      <w:pPr>
        <w:ind w:firstLine="480"/>
      </w:pPr>
      <w:r>
        <w:t>10）开采历史资料；</w:t>
      </w:r>
    </w:p>
    <w:p w14:paraId="35537825">
      <w:pPr>
        <w:ind w:firstLine="480"/>
      </w:pPr>
      <w:r>
        <w:t>11）与工程相关的其他必要基础资料。</w:t>
      </w:r>
    </w:p>
    <w:p w14:paraId="400D6E89">
      <w:pPr>
        <w:ind w:firstLine="0" w:firstLineChars="0"/>
      </w:pPr>
      <w:r>
        <w:t>【条文说明】本条细化调查内容与成果要求：通过对地形地貌、工程地质与水文地质、生态与污染状况、土地损毁及权属等信息的系统查明，开展场地稳定性评价，形成针对性的改造与修复措施建议，以保证工程安全性与生态效益。</w:t>
      </w:r>
    </w:p>
    <w:p w14:paraId="4AAF77B5">
      <w:pPr>
        <w:pStyle w:val="30"/>
        <w:numPr>
          <w:ilvl w:val="0"/>
          <w:numId w:val="2"/>
        </w:numPr>
        <w:spacing w:before="163" w:beforeLines="50" w:after="163" w:afterLines="50"/>
        <w:ind w:firstLineChars="0"/>
        <w:jc w:val="center"/>
        <w:outlineLvl w:val="1"/>
        <w:rPr>
          <w:b/>
          <w:bCs/>
          <w:sz w:val="28"/>
          <w:szCs w:val="28"/>
        </w:rPr>
      </w:pPr>
      <w:bookmarkStart w:id="9" w:name="_Toc212057023"/>
      <w:r>
        <w:rPr>
          <w:rFonts w:hint="eastAsia"/>
          <w:b/>
          <w:bCs/>
          <w:sz w:val="28"/>
          <w:szCs w:val="28"/>
        </w:rPr>
        <w:t>基础调查</w:t>
      </w:r>
      <w:bookmarkEnd w:id="9"/>
      <w:r>
        <w:rPr>
          <w:rFonts w:hint="eastAsia"/>
          <w:b/>
          <w:bCs/>
          <w:sz w:val="28"/>
          <w:szCs w:val="28"/>
        </w:rPr>
        <w:tab/>
      </w:r>
    </w:p>
    <w:p w14:paraId="489035A4">
      <w:pPr>
        <w:ind w:firstLine="0" w:firstLineChars="0"/>
      </w:pPr>
      <w:r>
        <w:rPr>
          <w:b/>
          <w:bCs/>
        </w:rPr>
        <w:t>5.2.1</w:t>
      </w:r>
      <w:r>
        <w:t xml:space="preserve">  </w:t>
      </w:r>
      <w:r>
        <w:rPr>
          <w:rFonts w:hint="eastAsia"/>
        </w:rPr>
        <w:t>调查内容，</w:t>
      </w:r>
      <w:r>
        <w:t>应包括下列方面</w:t>
      </w:r>
    </w:p>
    <w:p w14:paraId="611DA5D0">
      <w:pPr>
        <w:ind w:left="240" w:leftChars="100" w:firstLine="241" w:firstLineChars="100"/>
      </w:pPr>
      <w:r>
        <w:rPr>
          <w:rFonts w:hint="eastAsia"/>
          <w:b/>
          <w:bCs/>
        </w:rPr>
        <w:t>1</w:t>
      </w:r>
      <w:r>
        <w:t xml:space="preserve"> </w:t>
      </w:r>
      <w:r>
        <w:rPr>
          <w:rFonts w:hint="eastAsia"/>
        </w:rPr>
        <w:t>自然生态状况调查。应查明矿区所在生态单元的区域自然生态条件、矿区地质环境条件及矿区生态状况</w:t>
      </w:r>
      <w:r>
        <w:rPr>
          <w:rFonts w:hint="eastAsia" w:ascii="宋体" w:hAnsi="宋体"/>
        </w:rPr>
        <w:t>。</w:t>
      </w:r>
    </w:p>
    <w:p w14:paraId="7E5A430C">
      <w:pPr>
        <w:ind w:left="480" w:leftChars="200" w:firstLine="240" w:firstLineChars="100"/>
      </w:pPr>
      <w:r>
        <w:rPr>
          <w:rFonts w:cs="Times New Roman"/>
        </w:rPr>
        <w:t>1</w:t>
      </w:r>
      <w:r>
        <w:rPr>
          <w:rFonts w:hint="eastAsia" w:cs="Times New Roman"/>
        </w:rPr>
        <w:t>）区域自然生态条件：气候、水文、土壤、植被、地形地貌，生态系统类型与结构、生态功能定位，生态保护红线、重要生态敏感区、自然保护地等。</w:t>
      </w:r>
    </w:p>
    <w:p w14:paraId="6CEE013E">
      <w:pPr>
        <w:ind w:left="480" w:leftChars="200" w:firstLine="240" w:firstLineChars="100"/>
      </w:pPr>
      <w:r>
        <w:rPr>
          <w:rFonts w:cs="Times New Roman"/>
        </w:rPr>
        <w:t>2</w:t>
      </w:r>
      <w:r>
        <w:rPr>
          <w:rFonts w:hint="eastAsia" w:cs="Times New Roman"/>
        </w:rPr>
        <w:t>）矿区地质环境条件：地形地貌、地层岩性、地质构造、工程地质与水文地质条件，浅层基岩（出露/埋深）、风化壳、包气带，成土母质与土壤类型等。</w:t>
      </w:r>
    </w:p>
    <w:p w14:paraId="5F042DF5">
      <w:pPr>
        <w:ind w:left="480" w:leftChars="200" w:firstLine="240" w:firstLineChars="100"/>
      </w:pPr>
      <w:r>
        <w:rPr>
          <w:rFonts w:cs="Times New Roman"/>
        </w:rPr>
        <w:t>3</w:t>
      </w:r>
      <w:r>
        <w:rPr>
          <w:rFonts w:hint="eastAsia" w:cs="Times New Roman"/>
        </w:rPr>
        <w:t>）矿区生态状况：水体、土壤、林草植被及动物等。</w:t>
      </w:r>
    </w:p>
    <w:p w14:paraId="3E64056B">
      <w:pPr>
        <w:ind w:firstLine="0" w:firstLineChars="0"/>
        <w:rPr>
          <w:rFonts w:cs="Times New Roman"/>
        </w:rPr>
      </w:pPr>
      <w:r>
        <w:rPr>
          <w:rFonts w:hint="eastAsia" w:cs="Times New Roman"/>
        </w:rPr>
        <w:t>【条文说明】本条明确自然生态状况调查的主要内容，保障工程设计与实施能够充分考虑矿区及其周边的自然生态背景与承载条件</w:t>
      </w:r>
      <w:r>
        <w:rPr>
          <w:rFonts w:cs="Times New Roman"/>
        </w:rPr>
        <w:t>。</w:t>
      </w:r>
    </w:p>
    <w:p w14:paraId="1E30A58D">
      <w:pPr>
        <w:ind w:left="240" w:leftChars="100" w:firstLine="241" w:firstLineChars="100"/>
        <w:rPr>
          <w:rFonts w:cs="Times New Roman"/>
        </w:rPr>
      </w:pPr>
      <w:r>
        <w:rPr>
          <w:rFonts w:cs="Times New Roman"/>
          <w:b/>
          <w:bCs/>
        </w:rPr>
        <w:t xml:space="preserve">2 </w:t>
      </w:r>
      <w:r>
        <w:rPr>
          <w:rFonts w:ascii="宋体" w:hAnsi="宋体"/>
        </w:rPr>
        <w:t>矿区概况</w:t>
      </w:r>
      <w:r>
        <w:rPr>
          <w:rFonts w:hint="eastAsia" w:ascii="宋体" w:hAnsi="宋体"/>
        </w:rPr>
        <w:t>。</w:t>
      </w:r>
      <w:r>
        <w:rPr>
          <w:rFonts w:hint="eastAsia" w:ascii="宋体" w:hAnsi="宋体" w:cs="Times New Roman"/>
          <w:lang w:bidi="ar"/>
        </w:rPr>
        <w:t>调查应包括矿区名称、地理位置（坐标）、范围与面积、建矿时间、闭坑/废弃时间、开采矿类与矿种、采区范围、开采层位与深度、开采方式与规模，以及矿区周边既有修复治理工程情况等</w:t>
      </w:r>
      <w:r>
        <w:rPr>
          <w:rFonts w:ascii="宋体" w:hAnsi="宋体"/>
        </w:rPr>
        <w:t>。</w:t>
      </w:r>
    </w:p>
    <w:p w14:paraId="4B4BD73B">
      <w:pPr>
        <w:ind w:firstLine="0" w:firstLineChars="0"/>
        <w:rPr>
          <w:rFonts w:ascii="宋体" w:hAnsi="宋体"/>
        </w:rPr>
      </w:pPr>
      <w:r>
        <w:rPr>
          <w:rFonts w:hint="eastAsia" w:ascii="宋体" w:hAnsi="宋体"/>
        </w:rPr>
        <w:t>【条文说明】</w:t>
      </w:r>
      <w:r>
        <w:rPr>
          <w:rFonts w:ascii="宋体" w:hAnsi="宋体"/>
        </w:rPr>
        <w:t>本条</w:t>
      </w:r>
      <w:r>
        <w:rPr>
          <w:rFonts w:hint="eastAsia" w:ascii="宋体" w:hAnsi="宋体"/>
        </w:rPr>
        <w:t>要求提供矿区基本信息，用于准确定位矿区、把握开发历程与影响范围，并为与既有修复工程的衔接与统筹提供依据，避免重复建设。</w:t>
      </w:r>
    </w:p>
    <w:p w14:paraId="378CD770">
      <w:pPr>
        <w:pStyle w:val="7"/>
        <w:ind w:left="240" w:leftChars="100" w:firstLine="241" w:firstLineChars="100"/>
        <w:rPr>
          <w:rFonts w:ascii="宋体" w:hAnsi="宋体"/>
        </w:rPr>
      </w:pPr>
      <w:r>
        <w:rPr>
          <w:b/>
          <w:bCs/>
        </w:rPr>
        <w:t xml:space="preserve">3 </w:t>
      </w:r>
      <w:r>
        <w:rPr>
          <w:rFonts w:hint="eastAsia" w:ascii="宋体" w:hAnsi="宋体"/>
        </w:rPr>
        <w:t>矿区生态环境问题。调查应包括因采矿活动引起的地质灾害（如滑坡、崩塌、泥石流、地面塌陷等）、含水层破坏、地形地貌破坏、水土流失、土地损毁、地表水/地下水与土壤污染、生物栖息地破坏、地质遗迹与人文景观破坏等。对水体与土壤污染，应开展专项调查与评价，划定污染影响边界，明确生态修复的环境边界</w:t>
      </w:r>
      <w:r>
        <w:rPr>
          <w:rFonts w:ascii="宋体" w:hAnsi="宋体"/>
        </w:rPr>
        <w:t>。</w:t>
      </w:r>
    </w:p>
    <w:p w14:paraId="38117B32">
      <w:pPr>
        <w:ind w:firstLine="0" w:firstLineChars="0"/>
        <w:rPr>
          <w:rFonts w:ascii="宋体" w:hAnsi="宋体"/>
        </w:rPr>
      </w:pPr>
      <w:r>
        <w:rPr>
          <w:rFonts w:hint="eastAsia" w:ascii="宋体" w:hAnsi="宋体"/>
        </w:rPr>
        <w:t>【条文说明】</w:t>
      </w:r>
      <w:r>
        <w:rPr>
          <w:rFonts w:ascii="宋体" w:hAnsi="宋体"/>
        </w:rPr>
        <w:t>本条</w:t>
      </w:r>
      <w:r>
        <w:rPr>
          <w:rFonts w:hint="eastAsia" w:ascii="宋体" w:hAnsi="宋体"/>
        </w:rPr>
        <w:t>聚焦采矿活动引发的主要生态环境问题，并要求对水体与土壤污染组织专项调查与评价，以确定污染程度与范围，为污染治理与修复边界判定提供依据。</w:t>
      </w:r>
    </w:p>
    <w:p w14:paraId="5B663F8B">
      <w:pPr>
        <w:ind w:firstLine="241" w:firstLineChars="100"/>
        <w:rPr>
          <w:rFonts w:cs="Times New Roman"/>
        </w:rPr>
      </w:pPr>
      <w:r>
        <w:rPr>
          <w:rFonts w:cs="Times New Roman"/>
          <w:b/>
          <w:bCs/>
        </w:rPr>
        <w:t>4</w:t>
      </w:r>
      <w:r>
        <w:rPr>
          <w:rFonts w:hint="eastAsia" w:cs="Times New Roman"/>
          <w:b/>
          <w:bCs/>
        </w:rPr>
        <w:t xml:space="preserve"> </w:t>
      </w:r>
      <w:r>
        <w:rPr>
          <w:rFonts w:hint="eastAsia" w:cs="Times New Roman"/>
        </w:rPr>
        <w:t>滑坡地质灾害调查应符合下列规定：</w:t>
      </w:r>
    </w:p>
    <w:p w14:paraId="2634641E">
      <w:pPr>
        <w:ind w:left="240" w:leftChars="100" w:firstLine="240" w:firstLineChars="100"/>
        <w:rPr>
          <w:rFonts w:cs="Times New Roman"/>
        </w:rPr>
      </w:pPr>
      <w:r>
        <w:rPr>
          <w:rFonts w:cs="Times New Roman"/>
        </w:rPr>
        <w:t>1</w:t>
      </w:r>
      <w:r>
        <w:rPr>
          <w:rFonts w:hint="eastAsia" w:cs="Times New Roman"/>
        </w:rPr>
        <w:t>）调查以资料收集、野外踏勘和地面调查为主，必要时辅以监测与测试。</w:t>
      </w:r>
    </w:p>
    <w:p w14:paraId="6F54B52B">
      <w:pPr>
        <w:ind w:left="240" w:leftChars="100" w:firstLine="240" w:firstLineChars="100"/>
        <w:rPr>
          <w:rFonts w:cs="Times New Roman"/>
        </w:rPr>
      </w:pPr>
      <w:r>
        <w:rPr>
          <w:rFonts w:cs="Times New Roman"/>
        </w:rPr>
        <w:t>2</w:t>
      </w:r>
      <w:r>
        <w:rPr>
          <w:rFonts w:hint="eastAsia" w:cs="Times New Roman"/>
        </w:rPr>
        <w:t>）在资料收集基础上，对滑坡区地形地貌、滑坡类型与规模开展踏勘，分析滑坡所在区域的地质条件与地质环境。</w:t>
      </w:r>
    </w:p>
    <w:p w14:paraId="71D16ADE">
      <w:pPr>
        <w:ind w:left="240" w:leftChars="100" w:firstLine="240" w:firstLineChars="100"/>
        <w:rPr>
          <w:rFonts w:cs="Times New Roman"/>
        </w:rPr>
      </w:pPr>
      <w:r>
        <w:rPr>
          <w:rFonts w:cs="Times New Roman"/>
        </w:rPr>
        <w:t>3</w:t>
      </w:r>
      <w:r>
        <w:rPr>
          <w:rFonts w:hint="eastAsia" w:cs="Times New Roman"/>
        </w:rPr>
        <w:t>）滑坡地质灾害调查测绘比例尺应满足表</w:t>
      </w:r>
      <w:r>
        <w:rPr>
          <w:rFonts w:cs="Times New Roman"/>
        </w:rPr>
        <w:t>5.2-1</w:t>
      </w:r>
      <w:r>
        <w:rPr>
          <w:rFonts w:hint="eastAsia" w:cs="Times New Roman"/>
        </w:rPr>
        <w:t>要求。</w:t>
      </w:r>
    </w:p>
    <w:p w14:paraId="09FDB219">
      <w:pPr>
        <w:ind w:left="22" w:leftChars="9" w:firstLine="482"/>
        <w:jc w:val="center"/>
        <w:rPr>
          <w:rFonts w:ascii="宋体" w:hAnsi="宋体"/>
          <w:b/>
          <w:bCs/>
        </w:rPr>
      </w:pPr>
      <w:r>
        <w:rPr>
          <w:rFonts w:hint="eastAsia" w:ascii="宋体" w:hAnsi="宋体"/>
          <w:b/>
          <w:bCs/>
        </w:rPr>
        <w:t>表</w:t>
      </w:r>
      <w:r>
        <w:rPr>
          <w:rFonts w:cs="Times New Roman"/>
          <w:b/>
          <w:bCs/>
        </w:rPr>
        <w:t>5.</w:t>
      </w:r>
      <w:r>
        <w:rPr>
          <w:rFonts w:hint="eastAsia" w:cs="Times New Roman"/>
          <w:b/>
          <w:bCs/>
        </w:rPr>
        <w:t>2</w:t>
      </w:r>
      <w:r>
        <w:rPr>
          <w:rFonts w:cs="Times New Roman"/>
          <w:b/>
          <w:bCs/>
        </w:rPr>
        <w:t>-1</w:t>
      </w:r>
      <w:r>
        <w:rPr>
          <w:rFonts w:hint="eastAsia" w:ascii="宋体" w:hAnsi="宋体"/>
          <w:b/>
          <w:bCs/>
        </w:rPr>
        <w:t>工程地质测绘比例尺</w:t>
      </w:r>
    </w:p>
    <w:tbl>
      <w:tblPr>
        <w:tblStyle w:val="17"/>
        <w:tblW w:w="5000" w:type="pct"/>
        <w:tblInd w:w="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2"/>
        <w:gridCol w:w="2662"/>
        <w:gridCol w:w="3198"/>
      </w:tblGrid>
      <w:tr w14:paraId="341C6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562" w:type="pct"/>
            <w:tcBorders>
              <w:bottom w:val="single" w:color="auto" w:sz="2" w:space="0"/>
            </w:tcBorders>
            <w:shd w:val="clear" w:color="auto" w:fill="auto"/>
            <w:vAlign w:val="center"/>
          </w:tcPr>
          <w:p w14:paraId="64A62ED7">
            <w:pPr>
              <w:widowControl/>
              <w:spacing w:line="240" w:lineRule="auto"/>
              <w:ind w:firstLine="0" w:firstLineChars="0"/>
              <w:jc w:val="center"/>
              <w:rPr>
                <w:rFonts w:eastAsia="仿宋" w:cs="宋体"/>
                <w:color w:val="000000"/>
                <w:kern w:val="0"/>
                <w:sz w:val="21"/>
                <w:szCs w:val="21"/>
              </w:rPr>
            </w:pPr>
            <w:r>
              <w:rPr>
                <w:rFonts w:hint="eastAsia" w:eastAsia="仿宋" w:cs="宋体"/>
                <w:color w:val="000000"/>
                <w:kern w:val="0"/>
                <w:sz w:val="21"/>
                <w:szCs w:val="21"/>
              </w:rPr>
              <w:t>滑坡长度（</w:t>
            </w:r>
            <w:r>
              <w:rPr>
                <w:rFonts w:eastAsia="仿宋" w:cs="Times New Roman"/>
                <w:i/>
                <w:iCs/>
                <w:color w:val="000000"/>
                <w:kern w:val="0"/>
                <w:sz w:val="21"/>
                <w:szCs w:val="21"/>
              </w:rPr>
              <w:t>L</w:t>
            </w:r>
            <w:r>
              <w:rPr>
                <w:rFonts w:hint="eastAsia" w:eastAsia="仿宋" w:cs="宋体"/>
                <w:color w:val="000000"/>
                <w:kern w:val="0"/>
                <w:sz w:val="21"/>
                <w:szCs w:val="21"/>
              </w:rPr>
              <w:t>）或宽度（</w:t>
            </w:r>
            <w:r>
              <w:rPr>
                <w:rFonts w:eastAsia="仿宋" w:cs="Times New Roman"/>
                <w:i/>
                <w:iCs/>
                <w:color w:val="000000"/>
                <w:kern w:val="0"/>
                <w:sz w:val="21"/>
                <w:szCs w:val="21"/>
              </w:rPr>
              <w:t>W</w:t>
            </w:r>
            <w:r>
              <w:rPr>
                <w:rFonts w:hint="eastAsia" w:eastAsia="仿宋" w:cs="宋体"/>
                <w:color w:val="000000"/>
                <w:kern w:val="0"/>
                <w:sz w:val="21"/>
                <w:szCs w:val="21"/>
              </w:rPr>
              <w:t>）</w:t>
            </w:r>
          </w:p>
          <w:p w14:paraId="565FCC11">
            <w:pPr>
              <w:widowControl/>
              <w:spacing w:line="240" w:lineRule="auto"/>
              <w:ind w:firstLine="0" w:firstLineChars="0"/>
              <w:jc w:val="center"/>
              <w:rPr>
                <w:rFonts w:eastAsia="仿宋" w:cs="Times New Roman"/>
                <w:color w:val="000000"/>
                <w:kern w:val="0"/>
                <w:sz w:val="21"/>
                <w:szCs w:val="21"/>
              </w:rPr>
            </w:pPr>
            <w:r>
              <w:rPr>
                <w:rFonts w:eastAsia="仿宋" w:cs="Times New Roman"/>
                <w:color w:val="000000"/>
                <w:kern w:val="0"/>
                <w:sz w:val="21"/>
                <w:szCs w:val="21"/>
              </w:rPr>
              <w:t>m</w:t>
            </w:r>
          </w:p>
        </w:tc>
        <w:tc>
          <w:tcPr>
            <w:tcW w:w="1562" w:type="pct"/>
            <w:tcBorders>
              <w:bottom w:val="single" w:color="auto" w:sz="2" w:space="0"/>
            </w:tcBorders>
            <w:shd w:val="clear" w:color="auto" w:fill="auto"/>
            <w:vAlign w:val="center"/>
          </w:tcPr>
          <w:p w14:paraId="34247979">
            <w:pPr>
              <w:widowControl/>
              <w:spacing w:line="240" w:lineRule="auto"/>
              <w:ind w:firstLine="0" w:firstLineChars="0"/>
              <w:jc w:val="center"/>
              <w:rPr>
                <w:rFonts w:eastAsia="仿宋" w:cs="宋体"/>
                <w:color w:val="000000"/>
                <w:kern w:val="0"/>
                <w:sz w:val="21"/>
                <w:szCs w:val="21"/>
              </w:rPr>
            </w:pPr>
            <w:r>
              <w:rPr>
                <w:rFonts w:hint="eastAsia" w:eastAsia="仿宋" w:cs="宋体"/>
                <w:color w:val="000000"/>
                <w:kern w:val="0"/>
                <w:sz w:val="21"/>
                <w:szCs w:val="21"/>
              </w:rPr>
              <w:t>平面测绘比例尺</w:t>
            </w:r>
          </w:p>
        </w:tc>
        <w:tc>
          <w:tcPr>
            <w:tcW w:w="1876" w:type="pct"/>
            <w:tcBorders>
              <w:bottom w:val="single" w:color="auto" w:sz="2" w:space="0"/>
            </w:tcBorders>
            <w:shd w:val="clear" w:color="auto" w:fill="auto"/>
            <w:vAlign w:val="center"/>
          </w:tcPr>
          <w:p w14:paraId="7654F3DD">
            <w:pPr>
              <w:widowControl/>
              <w:spacing w:line="240" w:lineRule="auto"/>
              <w:ind w:firstLine="0" w:firstLineChars="0"/>
              <w:jc w:val="center"/>
              <w:rPr>
                <w:rFonts w:eastAsia="仿宋" w:cs="宋体"/>
                <w:color w:val="000000"/>
                <w:kern w:val="0"/>
                <w:sz w:val="21"/>
                <w:szCs w:val="21"/>
              </w:rPr>
            </w:pPr>
            <w:r>
              <w:rPr>
                <w:rFonts w:hint="eastAsia" w:eastAsia="仿宋" w:cs="宋体"/>
                <w:color w:val="000000"/>
                <w:kern w:val="0"/>
                <w:sz w:val="21"/>
                <w:szCs w:val="21"/>
              </w:rPr>
              <w:t>剖面测绘比例尺</w:t>
            </w:r>
          </w:p>
        </w:tc>
      </w:tr>
      <w:tr w14:paraId="5D29B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2" w:type="pct"/>
            <w:tcBorders>
              <w:top w:val="single" w:color="auto" w:sz="2" w:space="0"/>
              <w:left w:val="single" w:color="auto" w:sz="4" w:space="0"/>
              <w:bottom w:val="single" w:color="auto" w:sz="2" w:space="0"/>
              <w:right w:val="single" w:color="auto" w:sz="4" w:space="0"/>
            </w:tcBorders>
            <w:shd w:val="clear" w:color="auto" w:fill="auto"/>
            <w:vAlign w:val="center"/>
          </w:tcPr>
          <w:p w14:paraId="41C72EA3">
            <w:pPr>
              <w:widowControl/>
              <w:spacing w:line="240" w:lineRule="auto"/>
              <w:ind w:firstLine="0" w:firstLineChars="0"/>
              <w:jc w:val="center"/>
              <w:rPr>
                <w:rFonts w:eastAsia="仿宋" w:cs="宋体"/>
                <w:color w:val="000000"/>
                <w:kern w:val="0"/>
                <w:sz w:val="21"/>
                <w:szCs w:val="21"/>
              </w:rPr>
            </w:pPr>
            <w:r>
              <w:rPr>
                <w:rFonts w:eastAsia="仿宋" w:cs="Times New Roman"/>
                <w:i/>
                <w:iCs/>
                <w:color w:val="000000"/>
                <w:kern w:val="0"/>
                <w:sz w:val="21"/>
                <w:szCs w:val="21"/>
              </w:rPr>
              <w:t>L</w:t>
            </w:r>
            <w:r>
              <w:rPr>
                <w:rFonts w:hint="eastAsia" w:eastAsia="仿宋" w:cs="宋体"/>
                <w:color w:val="000000"/>
                <w:kern w:val="0"/>
                <w:sz w:val="21"/>
                <w:szCs w:val="21"/>
              </w:rPr>
              <w:t>（</w:t>
            </w:r>
            <w:r>
              <w:rPr>
                <w:rFonts w:eastAsia="仿宋" w:cs="Times New Roman"/>
                <w:i/>
                <w:iCs/>
                <w:color w:val="000000"/>
                <w:kern w:val="0"/>
                <w:sz w:val="21"/>
                <w:szCs w:val="21"/>
              </w:rPr>
              <w:t>W</w:t>
            </w:r>
            <w:r>
              <w:rPr>
                <w:rFonts w:hint="eastAsia" w:eastAsia="仿宋" w:cs="宋体"/>
                <w:color w:val="000000"/>
                <w:kern w:val="0"/>
                <w:sz w:val="21"/>
                <w:szCs w:val="21"/>
              </w:rPr>
              <w:t>）＜</w:t>
            </w:r>
            <w:r>
              <w:rPr>
                <w:rFonts w:eastAsia="仿宋" w:cs="Times New Roman"/>
                <w:color w:val="000000"/>
                <w:kern w:val="0"/>
                <w:sz w:val="21"/>
                <w:szCs w:val="21"/>
              </w:rPr>
              <w:t>500</w:t>
            </w:r>
          </w:p>
        </w:tc>
        <w:tc>
          <w:tcPr>
            <w:tcW w:w="1562" w:type="pct"/>
            <w:tcBorders>
              <w:top w:val="single" w:color="auto" w:sz="2" w:space="0"/>
              <w:left w:val="single" w:color="auto" w:sz="4" w:space="0"/>
              <w:bottom w:val="single" w:color="auto" w:sz="2" w:space="0"/>
              <w:right w:val="single" w:color="auto" w:sz="4" w:space="0"/>
            </w:tcBorders>
            <w:shd w:val="clear" w:color="auto" w:fill="auto"/>
            <w:vAlign w:val="center"/>
          </w:tcPr>
          <w:p w14:paraId="115507C6">
            <w:pPr>
              <w:widowControl/>
              <w:spacing w:line="240" w:lineRule="auto"/>
              <w:ind w:firstLine="0" w:firstLineChars="0"/>
              <w:jc w:val="center"/>
              <w:rPr>
                <w:rFonts w:eastAsia="仿宋" w:cs="宋体"/>
                <w:color w:val="000000"/>
                <w:kern w:val="0"/>
                <w:sz w:val="21"/>
                <w:szCs w:val="21"/>
              </w:rPr>
            </w:pPr>
            <w:r>
              <w:rPr>
                <w:rFonts w:eastAsia="仿宋"/>
                <w:sz w:val="21"/>
                <w:szCs w:val="21"/>
              </w:rPr>
              <w:t>1</w:t>
            </w:r>
            <w:r>
              <w:rPr>
                <w:rFonts w:hint="eastAsia" w:eastAsia="仿宋"/>
                <w:sz w:val="21"/>
                <w:szCs w:val="21"/>
              </w:rPr>
              <w:t>：</w:t>
            </w:r>
            <w:r>
              <w:rPr>
                <w:rFonts w:eastAsia="仿宋"/>
                <w:sz w:val="21"/>
                <w:szCs w:val="21"/>
              </w:rPr>
              <w:t>500~1</w:t>
            </w:r>
            <w:r>
              <w:rPr>
                <w:rFonts w:hint="eastAsia" w:eastAsia="仿宋"/>
                <w:sz w:val="21"/>
                <w:szCs w:val="21"/>
              </w:rPr>
              <w:t>：</w:t>
            </w:r>
            <w:r>
              <w:rPr>
                <w:rFonts w:eastAsia="仿宋"/>
                <w:sz w:val="21"/>
                <w:szCs w:val="21"/>
              </w:rPr>
              <w:t>100</w:t>
            </w:r>
          </w:p>
        </w:tc>
        <w:tc>
          <w:tcPr>
            <w:tcW w:w="1876" w:type="pct"/>
            <w:tcBorders>
              <w:top w:val="single" w:color="auto" w:sz="2" w:space="0"/>
              <w:left w:val="single" w:color="auto" w:sz="4" w:space="0"/>
              <w:bottom w:val="single" w:color="auto" w:sz="2" w:space="0"/>
              <w:right w:val="single" w:color="auto" w:sz="4" w:space="0"/>
            </w:tcBorders>
            <w:shd w:val="clear" w:color="auto" w:fill="auto"/>
            <w:vAlign w:val="center"/>
          </w:tcPr>
          <w:p w14:paraId="0617E145">
            <w:pPr>
              <w:widowControl/>
              <w:spacing w:line="240" w:lineRule="auto"/>
              <w:ind w:firstLine="0" w:firstLineChars="0"/>
              <w:jc w:val="center"/>
              <w:rPr>
                <w:rFonts w:eastAsia="仿宋" w:cs="宋体"/>
                <w:color w:val="000000"/>
                <w:kern w:val="0"/>
                <w:sz w:val="22"/>
              </w:rPr>
            </w:pPr>
            <w:r>
              <w:rPr>
                <w:rFonts w:eastAsia="仿宋"/>
                <w:sz w:val="21"/>
                <w:szCs w:val="21"/>
              </w:rPr>
              <w:t>1：500~1：100</w:t>
            </w:r>
          </w:p>
        </w:tc>
      </w:tr>
      <w:tr w14:paraId="4B987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2" w:type="pct"/>
            <w:tcBorders>
              <w:top w:val="single" w:color="auto" w:sz="2" w:space="0"/>
              <w:left w:val="single" w:color="auto" w:sz="4" w:space="0"/>
              <w:bottom w:val="single" w:color="auto" w:sz="2" w:space="0"/>
              <w:right w:val="single" w:color="auto" w:sz="4" w:space="0"/>
            </w:tcBorders>
            <w:shd w:val="clear" w:color="auto" w:fill="auto"/>
            <w:vAlign w:val="center"/>
          </w:tcPr>
          <w:p w14:paraId="24B3E9DF">
            <w:pPr>
              <w:widowControl/>
              <w:spacing w:line="240" w:lineRule="auto"/>
              <w:ind w:firstLine="0" w:firstLineChars="0"/>
              <w:jc w:val="center"/>
              <w:rPr>
                <w:rFonts w:eastAsia="仿宋" w:cs="宋体"/>
                <w:color w:val="000000"/>
                <w:kern w:val="0"/>
                <w:sz w:val="21"/>
                <w:szCs w:val="21"/>
              </w:rPr>
            </w:pPr>
            <w:r>
              <w:rPr>
                <w:rFonts w:eastAsia="仿宋" w:cs="Times New Roman"/>
                <w:color w:val="000000"/>
                <w:kern w:val="0"/>
                <w:sz w:val="21"/>
                <w:szCs w:val="21"/>
              </w:rPr>
              <w:t>500</w:t>
            </w:r>
            <w:r>
              <w:rPr>
                <w:rFonts w:hint="eastAsia" w:eastAsia="仿宋" w:cs="Times New Roman"/>
                <w:color w:val="000000"/>
                <w:kern w:val="0"/>
                <w:sz w:val="21"/>
                <w:szCs w:val="21"/>
              </w:rPr>
              <w:t>≤</w:t>
            </w:r>
            <w:r>
              <w:rPr>
                <w:rFonts w:eastAsia="仿宋" w:cs="Times New Roman"/>
                <w:i/>
                <w:iCs/>
                <w:color w:val="000000"/>
                <w:kern w:val="0"/>
                <w:sz w:val="21"/>
                <w:szCs w:val="21"/>
              </w:rPr>
              <w:t>L</w:t>
            </w:r>
            <w:r>
              <w:rPr>
                <w:rFonts w:hint="eastAsia" w:eastAsia="仿宋" w:cs="宋体"/>
                <w:color w:val="000000"/>
                <w:kern w:val="0"/>
                <w:sz w:val="21"/>
                <w:szCs w:val="21"/>
              </w:rPr>
              <w:t>（</w:t>
            </w:r>
            <w:r>
              <w:rPr>
                <w:rFonts w:eastAsia="仿宋" w:cs="Times New Roman"/>
                <w:i/>
                <w:iCs/>
                <w:color w:val="000000"/>
                <w:kern w:val="0"/>
                <w:sz w:val="21"/>
                <w:szCs w:val="21"/>
              </w:rPr>
              <w:t>W</w:t>
            </w:r>
            <w:r>
              <w:rPr>
                <w:rFonts w:hint="eastAsia" w:eastAsia="仿宋" w:cs="宋体"/>
                <w:color w:val="000000"/>
                <w:kern w:val="0"/>
                <w:sz w:val="21"/>
                <w:szCs w:val="21"/>
              </w:rPr>
              <w:t>）＜10</w:t>
            </w:r>
            <w:r>
              <w:rPr>
                <w:rFonts w:eastAsia="仿宋" w:cs="Times New Roman"/>
                <w:color w:val="000000"/>
                <w:kern w:val="0"/>
                <w:sz w:val="21"/>
                <w:szCs w:val="21"/>
              </w:rPr>
              <w:t>00</w:t>
            </w:r>
          </w:p>
        </w:tc>
        <w:tc>
          <w:tcPr>
            <w:tcW w:w="1562" w:type="pct"/>
            <w:tcBorders>
              <w:top w:val="single" w:color="auto" w:sz="2" w:space="0"/>
              <w:left w:val="single" w:color="auto" w:sz="4" w:space="0"/>
              <w:bottom w:val="single" w:color="auto" w:sz="2" w:space="0"/>
              <w:right w:val="single" w:color="auto" w:sz="4" w:space="0"/>
            </w:tcBorders>
            <w:shd w:val="clear" w:color="auto" w:fill="auto"/>
            <w:vAlign w:val="center"/>
          </w:tcPr>
          <w:p w14:paraId="251FD6E5">
            <w:pPr>
              <w:widowControl/>
              <w:spacing w:line="240" w:lineRule="auto"/>
              <w:ind w:firstLine="0" w:firstLineChars="0"/>
              <w:jc w:val="center"/>
              <w:rPr>
                <w:rFonts w:eastAsia="仿宋" w:cs="宋体"/>
                <w:color w:val="000000"/>
                <w:kern w:val="0"/>
                <w:sz w:val="21"/>
                <w:szCs w:val="21"/>
              </w:rPr>
            </w:pPr>
            <w:r>
              <w:rPr>
                <w:rFonts w:eastAsia="仿宋"/>
                <w:sz w:val="21"/>
                <w:szCs w:val="21"/>
              </w:rPr>
              <w:t>1：</w:t>
            </w:r>
            <w:r>
              <w:rPr>
                <w:rFonts w:hint="eastAsia" w:eastAsia="仿宋"/>
                <w:sz w:val="21"/>
                <w:szCs w:val="21"/>
              </w:rPr>
              <w:t>10</w:t>
            </w:r>
            <w:r>
              <w:rPr>
                <w:rFonts w:eastAsia="仿宋"/>
                <w:sz w:val="21"/>
                <w:szCs w:val="21"/>
              </w:rPr>
              <w:t>00~1：</w:t>
            </w:r>
            <w:r>
              <w:rPr>
                <w:rFonts w:hint="eastAsia" w:eastAsia="仿宋"/>
                <w:sz w:val="21"/>
                <w:szCs w:val="21"/>
              </w:rPr>
              <w:t>2</w:t>
            </w:r>
            <w:r>
              <w:rPr>
                <w:rFonts w:eastAsia="仿宋"/>
                <w:sz w:val="21"/>
                <w:szCs w:val="21"/>
              </w:rPr>
              <w:t>00</w:t>
            </w:r>
          </w:p>
        </w:tc>
        <w:tc>
          <w:tcPr>
            <w:tcW w:w="1876" w:type="pct"/>
            <w:tcBorders>
              <w:top w:val="single" w:color="auto" w:sz="2" w:space="0"/>
              <w:left w:val="single" w:color="auto" w:sz="4" w:space="0"/>
              <w:bottom w:val="single" w:color="auto" w:sz="2" w:space="0"/>
              <w:right w:val="single" w:color="auto" w:sz="4" w:space="0"/>
            </w:tcBorders>
            <w:shd w:val="clear" w:color="auto" w:fill="auto"/>
            <w:vAlign w:val="center"/>
          </w:tcPr>
          <w:p w14:paraId="5183E296">
            <w:pPr>
              <w:widowControl/>
              <w:spacing w:line="240" w:lineRule="auto"/>
              <w:ind w:firstLine="0" w:firstLineChars="0"/>
              <w:jc w:val="center"/>
              <w:rPr>
                <w:rFonts w:eastAsia="仿宋" w:cs="宋体"/>
                <w:color w:val="000000"/>
                <w:kern w:val="0"/>
                <w:sz w:val="22"/>
              </w:rPr>
            </w:pPr>
            <w:r>
              <w:rPr>
                <w:rFonts w:eastAsia="仿宋"/>
                <w:sz w:val="21"/>
                <w:szCs w:val="21"/>
              </w:rPr>
              <w:t>1：</w:t>
            </w:r>
            <w:r>
              <w:rPr>
                <w:rFonts w:hint="eastAsia" w:eastAsia="仿宋"/>
                <w:sz w:val="21"/>
                <w:szCs w:val="21"/>
              </w:rPr>
              <w:t>10</w:t>
            </w:r>
            <w:r>
              <w:rPr>
                <w:rFonts w:eastAsia="仿宋"/>
                <w:sz w:val="21"/>
                <w:szCs w:val="21"/>
              </w:rPr>
              <w:t>00~1：</w:t>
            </w:r>
            <w:r>
              <w:rPr>
                <w:rFonts w:hint="eastAsia" w:eastAsia="仿宋"/>
                <w:sz w:val="21"/>
                <w:szCs w:val="21"/>
              </w:rPr>
              <w:t>2</w:t>
            </w:r>
            <w:r>
              <w:rPr>
                <w:rFonts w:eastAsia="仿宋"/>
                <w:sz w:val="21"/>
                <w:szCs w:val="21"/>
              </w:rPr>
              <w:t>00</w:t>
            </w:r>
          </w:p>
        </w:tc>
      </w:tr>
      <w:tr w14:paraId="4CB21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2" w:type="pct"/>
            <w:tcBorders>
              <w:top w:val="single" w:color="auto" w:sz="2" w:space="0"/>
              <w:left w:val="single" w:color="auto" w:sz="4" w:space="0"/>
              <w:bottom w:val="single" w:color="auto" w:sz="2" w:space="0"/>
              <w:right w:val="single" w:color="auto" w:sz="4" w:space="0"/>
            </w:tcBorders>
            <w:shd w:val="clear" w:color="auto" w:fill="auto"/>
            <w:vAlign w:val="center"/>
          </w:tcPr>
          <w:p w14:paraId="32C1D98F">
            <w:pPr>
              <w:widowControl/>
              <w:spacing w:line="240" w:lineRule="auto"/>
              <w:ind w:firstLine="0" w:firstLineChars="0"/>
              <w:jc w:val="center"/>
              <w:rPr>
                <w:rFonts w:eastAsia="仿宋" w:cs="宋体"/>
                <w:color w:val="000000"/>
                <w:kern w:val="0"/>
                <w:sz w:val="21"/>
                <w:szCs w:val="21"/>
              </w:rPr>
            </w:pPr>
            <w:r>
              <w:rPr>
                <w:rFonts w:eastAsia="仿宋" w:cs="Times New Roman"/>
                <w:color w:val="000000"/>
                <w:kern w:val="0"/>
                <w:sz w:val="21"/>
                <w:szCs w:val="21"/>
              </w:rPr>
              <w:t>1000</w:t>
            </w:r>
            <w:r>
              <w:rPr>
                <w:rFonts w:hint="eastAsia" w:eastAsia="仿宋" w:cs="Times New Roman"/>
                <w:color w:val="000000"/>
                <w:kern w:val="0"/>
                <w:sz w:val="21"/>
                <w:szCs w:val="21"/>
              </w:rPr>
              <w:t>≤</w:t>
            </w:r>
            <w:r>
              <w:rPr>
                <w:rFonts w:eastAsia="仿宋" w:cs="Times New Roman"/>
                <w:i/>
                <w:iCs/>
                <w:color w:val="000000"/>
                <w:kern w:val="0"/>
                <w:sz w:val="21"/>
                <w:szCs w:val="21"/>
              </w:rPr>
              <w:t>L</w:t>
            </w:r>
            <w:r>
              <w:rPr>
                <w:rFonts w:hint="eastAsia" w:eastAsia="仿宋" w:cs="宋体"/>
                <w:color w:val="000000"/>
                <w:kern w:val="0"/>
                <w:sz w:val="21"/>
                <w:szCs w:val="21"/>
              </w:rPr>
              <w:t>（</w:t>
            </w:r>
            <w:r>
              <w:rPr>
                <w:rFonts w:eastAsia="仿宋" w:cs="Times New Roman"/>
                <w:i/>
                <w:iCs/>
                <w:color w:val="000000"/>
                <w:kern w:val="0"/>
                <w:sz w:val="21"/>
                <w:szCs w:val="21"/>
              </w:rPr>
              <w:t>W</w:t>
            </w:r>
            <w:r>
              <w:rPr>
                <w:rFonts w:hint="eastAsia" w:eastAsia="仿宋" w:cs="宋体"/>
                <w:color w:val="000000"/>
                <w:kern w:val="0"/>
                <w:sz w:val="21"/>
                <w:szCs w:val="21"/>
              </w:rPr>
              <w:t>）</w:t>
            </w:r>
          </w:p>
        </w:tc>
        <w:tc>
          <w:tcPr>
            <w:tcW w:w="1562" w:type="pct"/>
            <w:tcBorders>
              <w:top w:val="single" w:color="auto" w:sz="2" w:space="0"/>
              <w:left w:val="single" w:color="auto" w:sz="4" w:space="0"/>
              <w:bottom w:val="single" w:color="auto" w:sz="2" w:space="0"/>
              <w:right w:val="single" w:color="auto" w:sz="4" w:space="0"/>
            </w:tcBorders>
            <w:shd w:val="clear" w:color="auto" w:fill="auto"/>
            <w:vAlign w:val="center"/>
          </w:tcPr>
          <w:p w14:paraId="51C41751">
            <w:pPr>
              <w:widowControl/>
              <w:spacing w:line="240" w:lineRule="auto"/>
              <w:ind w:firstLine="0" w:firstLineChars="0"/>
              <w:jc w:val="center"/>
              <w:rPr>
                <w:rFonts w:eastAsia="仿宋" w:cs="宋体"/>
                <w:color w:val="000000"/>
                <w:kern w:val="0"/>
                <w:sz w:val="21"/>
                <w:szCs w:val="21"/>
              </w:rPr>
            </w:pPr>
            <w:r>
              <w:rPr>
                <w:rFonts w:eastAsia="仿宋"/>
                <w:sz w:val="21"/>
                <w:szCs w:val="21"/>
              </w:rPr>
              <w:t>1：50</w:t>
            </w:r>
            <w:r>
              <w:rPr>
                <w:rFonts w:hint="eastAsia" w:eastAsia="仿宋"/>
                <w:sz w:val="21"/>
                <w:szCs w:val="21"/>
              </w:rPr>
              <w:t>0</w:t>
            </w:r>
            <w:r>
              <w:rPr>
                <w:rFonts w:eastAsia="仿宋"/>
                <w:sz w:val="21"/>
                <w:szCs w:val="21"/>
              </w:rPr>
              <w:t>0~1：</w:t>
            </w:r>
            <w:r>
              <w:rPr>
                <w:rFonts w:hint="eastAsia" w:eastAsia="仿宋"/>
                <w:sz w:val="21"/>
                <w:szCs w:val="21"/>
              </w:rPr>
              <w:t>5</w:t>
            </w:r>
            <w:r>
              <w:rPr>
                <w:rFonts w:eastAsia="仿宋"/>
                <w:sz w:val="21"/>
                <w:szCs w:val="21"/>
              </w:rPr>
              <w:t>00</w:t>
            </w:r>
          </w:p>
        </w:tc>
        <w:tc>
          <w:tcPr>
            <w:tcW w:w="1876" w:type="pct"/>
            <w:tcBorders>
              <w:top w:val="single" w:color="auto" w:sz="2" w:space="0"/>
              <w:left w:val="single" w:color="auto" w:sz="4" w:space="0"/>
              <w:bottom w:val="single" w:color="auto" w:sz="2" w:space="0"/>
              <w:right w:val="single" w:color="auto" w:sz="4" w:space="0"/>
            </w:tcBorders>
            <w:shd w:val="clear" w:color="auto" w:fill="auto"/>
            <w:vAlign w:val="center"/>
          </w:tcPr>
          <w:p w14:paraId="6ABF6C7E">
            <w:pPr>
              <w:widowControl/>
              <w:spacing w:line="240" w:lineRule="auto"/>
              <w:ind w:firstLine="0" w:firstLineChars="0"/>
              <w:jc w:val="center"/>
              <w:rPr>
                <w:rFonts w:eastAsia="仿宋" w:cs="宋体"/>
                <w:color w:val="000000"/>
                <w:kern w:val="0"/>
                <w:sz w:val="22"/>
              </w:rPr>
            </w:pPr>
            <w:r>
              <w:rPr>
                <w:rFonts w:eastAsia="仿宋"/>
                <w:sz w:val="21"/>
                <w:szCs w:val="21"/>
              </w:rPr>
              <w:t>1：50</w:t>
            </w:r>
            <w:r>
              <w:rPr>
                <w:rFonts w:hint="eastAsia" w:eastAsia="仿宋"/>
                <w:sz w:val="21"/>
                <w:szCs w:val="21"/>
              </w:rPr>
              <w:t>0</w:t>
            </w:r>
            <w:r>
              <w:rPr>
                <w:rFonts w:eastAsia="仿宋"/>
                <w:sz w:val="21"/>
                <w:szCs w:val="21"/>
              </w:rPr>
              <w:t>0~1：</w:t>
            </w:r>
            <w:r>
              <w:rPr>
                <w:rFonts w:hint="eastAsia" w:eastAsia="仿宋"/>
                <w:sz w:val="21"/>
                <w:szCs w:val="21"/>
              </w:rPr>
              <w:t>5</w:t>
            </w:r>
            <w:r>
              <w:rPr>
                <w:rFonts w:eastAsia="仿宋"/>
                <w:sz w:val="21"/>
                <w:szCs w:val="21"/>
              </w:rPr>
              <w:t>00</w:t>
            </w:r>
          </w:p>
        </w:tc>
      </w:tr>
    </w:tbl>
    <w:p w14:paraId="262F0792">
      <w:pPr>
        <w:ind w:left="240" w:leftChars="100" w:firstLine="240" w:firstLineChars="100"/>
        <w:rPr>
          <w:rFonts w:cs="Times New Roman"/>
        </w:rPr>
      </w:pPr>
      <w:r>
        <w:rPr>
          <w:rFonts w:cs="Times New Roman"/>
        </w:rPr>
        <w:t>4</w:t>
      </w:r>
      <w:r>
        <w:rPr>
          <w:rFonts w:hint="eastAsia" w:cs="Times New Roman"/>
        </w:rPr>
        <w:t>）地面调查内容应至少包括：区域及滑坡区的地形地貌、地质构造、地层（岩性）特征；滑坡边界特征、表部特征与变形活动特征；滑坡类型、形态与规模、运动形式、形成年代、稳定程度；滑坡及其周边地下水特征与地表降雨—径流特征；滑坡及周边的人类工程活动；滑坡灾害影响范围，承灾体类型、数量及危险性；既有防治工程的结构、现状与功效；与矿业活动相关的滑坡发生时间与地点。</w:t>
      </w:r>
    </w:p>
    <w:p w14:paraId="5367ABAD">
      <w:pPr>
        <w:ind w:left="240" w:leftChars="100" w:firstLine="240" w:firstLineChars="100"/>
        <w:rPr>
          <w:rFonts w:cs="Times New Roman"/>
        </w:rPr>
      </w:pPr>
      <w:r>
        <w:rPr>
          <w:rFonts w:hint="eastAsia" w:cs="Times New Roman"/>
        </w:rPr>
        <w:t>5）滑坡地质灾害调查应符合现行行业标准《</w:t>
      </w:r>
      <w:r>
        <w:rPr>
          <w:rFonts w:cs="Times New Roman"/>
        </w:rPr>
        <w:t>滑坡崩塌泥石流灾害调查规范</w:t>
      </w:r>
      <w:r>
        <w:rPr>
          <w:rFonts w:hint="eastAsia" w:cs="Times New Roman"/>
        </w:rPr>
        <w:t>（1</w:t>
      </w:r>
      <w:r>
        <w:rPr>
          <w:rFonts w:hint="eastAsia"/>
          <w:color w:val="000000"/>
          <w:shd w:val="clear" w:color="auto" w:fill="FFFFFF"/>
        </w:rPr>
        <w:t>：</w:t>
      </w:r>
      <w:r>
        <w:rPr>
          <w:rFonts w:hint="eastAsia" w:cs="Times New Roman"/>
        </w:rPr>
        <w:t>5</w:t>
      </w:r>
      <w:r>
        <w:rPr>
          <w:rFonts w:cs="Times New Roman"/>
        </w:rPr>
        <w:t>0000</w:t>
      </w:r>
      <w:r>
        <w:rPr>
          <w:rFonts w:hint="eastAsia" w:cs="Times New Roman"/>
        </w:rPr>
        <w:t>）》</w:t>
      </w:r>
      <w:r>
        <w:rPr>
          <w:rFonts w:cs="Times New Roman"/>
        </w:rPr>
        <w:t>DZ/T 0261</w:t>
      </w:r>
      <w:r>
        <w:rPr>
          <w:rFonts w:hint="eastAsia" w:cs="Times New Roman"/>
        </w:rPr>
        <w:t>、</w:t>
      </w:r>
      <w:r>
        <w:rPr>
          <w:rFonts w:hint="eastAsia"/>
          <w:color w:val="000000"/>
          <w:shd w:val="clear" w:color="auto" w:fill="FFFFFF"/>
        </w:rPr>
        <w:t>《地质灾害风险调查评价规范（1：50000）》</w:t>
      </w:r>
      <w:r>
        <w:rPr>
          <w:color w:val="000000"/>
          <w:shd w:val="clear" w:color="auto" w:fill="FFFFFF"/>
        </w:rPr>
        <w:t>DZ/T 0438</w:t>
      </w:r>
      <w:r>
        <w:rPr>
          <w:rFonts w:hint="eastAsia"/>
          <w:color w:val="000000"/>
          <w:shd w:val="clear" w:color="auto" w:fill="FFFFFF"/>
        </w:rPr>
        <w:t>、《滑坡崩塌泥石流灾害精细调查规范》</w:t>
      </w:r>
      <w:r>
        <w:rPr>
          <w:color w:val="000000"/>
          <w:shd w:val="clear" w:color="auto" w:fill="FFFFFF"/>
        </w:rPr>
        <w:t>DZ/T 0448</w:t>
      </w:r>
      <w:r>
        <w:rPr>
          <w:rFonts w:hint="eastAsia"/>
          <w:color w:val="000000"/>
          <w:shd w:val="clear" w:color="auto" w:fill="FFFFFF"/>
        </w:rPr>
        <w:t>等</w:t>
      </w:r>
      <w:r>
        <w:rPr>
          <w:rFonts w:hint="eastAsia" w:cs="Times New Roman"/>
        </w:rPr>
        <w:t>有关规定，表格式可参照本文件附录</w:t>
      </w:r>
      <w:r>
        <w:rPr>
          <w:rFonts w:cs="Times New Roman"/>
        </w:rPr>
        <w:t>A</w:t>
      </w:r>
      <w:r>
        <w:rPr>
          <w:rFonts w:hint="eastAsia" w:cs="Times New Roman"/>
        </w:rPr>
        <w:t>。</w:t>
      </w:r>
    </w:p>
    <w:p w14:paraId="4B31DFD8">
      <w:pPr>
        <w:ind w:left="240" w:leftChars="100" w:firstLine="240" w:firstLineChars="100"/>
        <w:rPr>
          <w:rFonts w:cs="Times New Roman"/>
        </w:rPr>
      </w:pPr>
      <w:r>
        <w:rPr>
          <w:rFonts w:hint="eastAsia" w:cs="Times New Roman"/>
        </w:rPr>
        <w:t xml:space="preserve">6）调查完成后，应开展稳定性评价与必要的计算，评估滑坡整体稳定性，分析发展趋势，提出合理可行的防治工程方案；滑坡防治工程应符合现行国家标准《滑坡防治设计规范》GB/T </w:t>
      </w:r>
      <w:r>
        <w:rPr>
          <w:rFonts w:cs="Times New Roman"/>
        </w:rPr>
        <w:t>38509</w:t>
      </w:r>
      <w:r>
        <w:rPr>
          <w:rFonts w:hint="eastAsia" w:cs="Times New Roman"/>
        </w:rPr>
        <w:t>的有关规定。</w:t>
      </w:r>
    </w:p>
    <w:p w14:paraId="53652CB2">
      <w:pPr>
        <w:ind w:firstLine="0" w:firstLineChars="0"/>
        <w:rPr>
          <w:rFonts w:ascii="宋体" w:hAnsi="宋体"/>
        </w:rPr>
      </w:pPr>
      <w:r>
        <w:rPr>
          <w:rFonts w:hint="eastAsia" w:ascii="宋体" w:hAnsi="宋体"/>
        </w:rPr>
        <w:t>【条文说明】本条明确滑坡地质灾害调查的工作方式、比例尺要求、调查要点、适用标准与成果要求，确保调查成果可用于稳定性评价与防治方案编制，服务绿色改造与生态修复目标</w:t>
      </w:r>
      <w:r>
        <w:rPr>
          <w:rFonts w:ascii="宋体" w:hAnsi="宋体"/>
        </w:rPr>
        <w:t>。</w:t>
      </w:r>
    </w:p>
    <w:p w14:paraId="6B709096">
      <w:pPr>
        <w:ind w:firstLine="241" w:firstLineChars="100"/>
        <w:rPr>
          <w:rFonts w:ascii="宋体" w:hAnsi="宋体"/>
        </w:rPr>
      </w:pPr>
      <w:r>
        <w:rPr>
          <w:rFonts w:cs="Times New Roman"/>
          <w:b/>
          <w:bCs/>
        </w:rPr>
        <w:t>5</w:t>
      </w:r>
      <w:r>
        <w:rPr>
          <w:rFonts w:hint="eastAsia" w:cs="Times New Roman"/>
          <w:b/>
          <w:bCs/>
        </w:rPr>
        <w:t xml:space="preserve"> </w:t>
      </w:r>
      <w:r>
        <w:rPr>
          <w:rFonts w:hint="eastAsia" w:ascii="宋体" w:hAnsi="宋体"/>
        </w:rPr>
        <w:t>崩塌地质灾害调查应符合下列要求：</w:t>
      </w:r>
    </w:p>
    <w:p w14:paraId="5867C839">
      <w:pPr>
        <w:ind w:left="240" w:leftChars="100" w:firstLine="240" w:firstLineChars="100"/>
        <w:rPr>
          <w:rFonts w:cs="Times New Roman"/>
        </w:rPr>
      </w:pPr>
      <w:r>
        <w:rPr>
          <w:rFonts w:hint="eastAsia" w:cs="Times New Roman"/>
        </w:rPr>
        <w:t>1）工程地质调查应在资料收集与遥感解译基础上，开展地形测绘、地质调查、线路踏勘与访问调查。资料应包括地形图、遥感影像、地震、气象、水文、植被、人类工程活动信息及崩塌史料，查明既有工作程度。</w:t>
      </w:r>
    </w:p>
    <w:p w14:paraId="207904C1">
      <w:pPr>
        <w:ind w:firstLine="439" w:firstLineChars="183"/>
        <w:rPr>
          <w:rFonts w:cs="Times New Roman"/>
        </w:rPr>
      </w:pPr>
      <w:r>
        <w:rPr>
          <w:rFonts w:hint="eastAsia" w:cs="Times New Roman"/>
        </w:rPr>
        <w:t>2）调查对象包括危岩（土）体、陡崖及崩塌堆积体。</w:t>
      </w:r>
    </w:p>
    <w:p w14:paraId="5DB835FB">
      <w:pPr>
        <w:ind w:firstLine="439" w:firstLineChars="183"/>
        <w:rPr>
          <w:rFonts w:cs="Times New Roman"/>
        </w:rPr>
      </w:pPr>
      <w:r>
        <w:rPr>
          <w:rFonts w:hint="eastAsia" w:cs="Times New Roman"/>
        </w:rPr>
        <w:t>3）调查范围应覆盖陡崖及相邻地段：坡顶应延伸至陡崖岩（土）体卸荷带之外的稳定区；坡脚应延伸至崩塌堆积区外，并超出堆积体可能转化为滑坡或泥石流的影响范围。存在对危岩体起控制作用的区域性结构面时，应视需要扩大调查范围或开展专项地质调查。。</w:t>
      </w:r>
    </w:p>
    <w:p w14:paraId="7EFBBE2A">
      <w:pPr>
        <w:ind w:left="240" w:leftChars="100" w:firstLine="240" w:firstLineChars="100"/>
        <w:rPr>
          <w:rFonts w:cs="Times New Roman"/>
        </w:rPr>
      </w:pPr>
      <w:r>
        <w:rPr>
          <w:rFonts w:hint="eastAsia" w:cs="Times New Roman"/>
        </w:rPr>
        <w:t>4）调查内容应至少包括：矿业活动直接产生或加剧的崩塌事件的时间、地点、规模、致灾程度、成因及处置情况；高陡矿区工业场地边坡、山区道路边坡、露天采场边坡、采空区山体边部等潜在崩塌部位的危岩（体）特征、致灾范围、受威胁对象、潜在危害及拟采取的防治措施；相关稳定性评估所需参数与现状判定。</w:t>
      </w:r>
    </w:p>
    <w:p w14:paraId="1ABB4540">
      <w:pPr>
        <w:ind w:left="240" w:leftChars="100" w:firstLine="240" w:firstLineChars="100"/>
        <w:rPr>
          <w:rFonts w:cs="Times New Roman"/>
        </w:rPr>
      </w:pPr>
      <w:r>
        <w:rPr>
          <w:rFonts w:hint="eastAsia" w:cs="Times New Roman"/>
        </w:rPr>
        <w:t>5）崩塌地质灾害调查应符合现行行业标准《</w:t>
      </w:r>
      <w:r>
        <w:rPr>
          <w:rFonts w:cs="Times New Roman"/>
        </w:rPr>
        <w:t>滑坡崩塌泥石流灾害调查规范</w:t>
      </w:r>
      <w:r>
        <w:rPr>
          <w:rFonts w:hint="eastAsia" w:cs="Times New Roman"/>
        </w:rPr>
        <w:t>（1：5</w:t>
      </w:r>
      <w:r>
        <w:rPr>
          <w:rFonts w:cs="Times New Roman"/>
        </w:rPr>
        <w:t>0000</w:t>
      </w:r>
      <w:r>
        <w:rPr>
          <w:rFonts w:hint="eastAsia" w:cs="Times New Roman"/>
        </w:rPr>
        <w:t>）》</w:t>
      </w:r>
      <w:r>
        <w:rPr>
          <w:rFonts w:cs="Times New Roman"/>
        </w:rPr>
        <w:t>DZ/T 0261</w:t>
      </w:r>
      <w:r>
        <w:rPr>
          <w:rFonts w:hint="eastAsia" w:cs="Times New Roman"/>
        </w:rPr>
        <w:t>、《地质灾害风险调查评价规范（1：50000）》</w:t>
      </w:r>
      <w:r>
        <w:rPr>
          <w:rFonts w:cs="Times New Roman"/>
        </w:rPr>
        <w:t>DZ/T 0438</w:t>
      </w:r>
      <w:r>
        <w:rPr>
          <w:rFonts w:hint="eastAsia" w:cs="Times New Roman"/>
        </w:rPr>
        <w:t>、《滑坡崩塌泥石流灾害精细调查规范》</w:t>
      </w:r>
      <w:r>
        <w:rPr>
          <w:rFonts w:cs="Times New Roman"/>
        </w:rPr>
        <w:t>DZ/T 0448</w:t>
      </w:r>
      <w:r>
        <w:rPr>
          <w:rFonts w:hint="eastAsia" w:cs="Times New Roman"/>
        </w:rPr>
        <w:t>等有关规定，表格式可参照本文件附录</w:t>
      </w:r>
      <w:r>
        <w:rPr>
          <w:rFonts w:cs="Times New Roman"/>
        </w:rPr>
        <w:t>A</w:t>
      </w:r>
      <w:r>
        <w:rPr>
          <w:rFonts w:hint="eastAsia" w:cs="Times New Roman"/>
        </w:rPr>
        <w:t>。</w:t>
      </w:r>
    </w:p>
    <w:p w14:paraId="0C213A2B">
      <w:pPr>
        <w:ind w:left="240" w:leftChars="100" w:firstLine="0" w:firstLineChars="0"/>
        <w:rPr>
          <w:rFonts w:cs="Times New Roman"/>
        </w:rPr>
      </w:pPr>
      <w:r>
        <w:rPr>
          <w:rFonts w:hint="eastAsia" w:cs="Times New Roman"/>
        </w:rPr>
        <w:t>【条文说明】本条明确崩塌调查的资料基础、对象、范围、核心内容与适用标准，要求在既有资料与实地工作结合的基础上，覆盖关键地段并获取稳定性判定所需信息，为治理措施提出与后续设计提供依据</w:t>
      </w:r>
      <w:r>
        <w:rPr>
          <w:rFonts w:cs="Times New Roman"/>
        </w:rPr>
        <w:t>。</w:t>
      </w:r>
    </w:p>
    <w:p w14:paraId="1D5C629F">
      <w:pPr>
        <w:ind w:firstLine="198" w:firstLineChars="82"/>
        <w:rPr>
          <w:rFonts w:ascii="宋体" w:hAnsi="宋体"/>
        </w:rPr>
      </w:pPr>
      <w:r>
        <w:rPr>
          <w:rFonts w:cs="Times New Roman"/>
          <w:b/>
          <w:bCs/>
        </w:rPr>
        <w:t xml:space="preserve">6 </w:t>
      </w:r>
      <w:r>
        <w:rPr>
          <w:rFonts w:hint="eastAsia" w:ascii="宋体" w:hAnsi="宋体"/>
        </w:rPr>
        <w:t>泥石流地质灾害调查应符合下列规定：</w:t>
      </w:r>
    </w:p>
    <w:p w14:paraId="727D9289">
      <w:pPr>
        <w:ind w:firstLine="439" w:firstLineChars="183"/>
        <w:rPr>
          <w:rFonts w:cs="Times New Roman"/>
        </w:rPr>
      </w:pPr>
      <w:r>
        <w:rPr>
          <w:rFonts w:cs="Times New Roman"/>
        </w:rPr>
        <w:t>1</w:t>
      </w:r>
      <w:r>
        <w:rPr>
          <w:rFonts w:hint="eastAsia" w:cs="Times New Roman"/>
        </w:rPr>
        <w:t>）野外调查应采用遥感解译与实地测量相结合的方法，初步查明泥石流的形成条件、动力条件与堆积条件及其诱发因素，了解危害与成灾情况。</w:t>
      </w:r>
    </w:p>
    <w:p w14:paraId="566B738D">
      <w:pPr>
        <w:ind w:firstLine="439" w:firstLineChars="183"/>
        <w:rPr>
          <w:rFonts w:cs="Times New Roman"/>
        </w:rPr>
      </w:pPr>
      <w:r>
        <w:rPr>
          <w:rFonts w:cs="Times New Roman"/>
        </w:rPr>
        <w:t>2</w:t>
      </w:r>
      <w:r>
        <w:rPr>
          <w:rFonts w:hint="eastAsia" w:cs="Times New Roman"/>
        </w:rPr>
        <w:t>）调查点应实测具有代表性的剖面，并进行拍照、录像，必要时绘制素描/剖面草图。</w:t>
      </w:r>
    </w:p>
    <w:p w14:paraId="125F28F7">
      <w:pPr>
        <w:ind w:firstLine="439" w:firstLineChars="183"/>
        <w:rPr>
          <w:rFonts w:cs="Times New Roman"/>
        </w:rPr>
      </w:pPr>
      <w:r>
        <w:rPr>
          <w:rFonts w:cs="Times New Roman"/>
        </w:rPr>
        <w:t>3</w:t>
      </w:r>
      <w:r>
        <w:rPr>
          <w:rFonts w:hint="eastAsia" w:cs="Times New Roman"/>
        </w:rPr>
        <w:t>）泥石流地质灾害调查内容应至少包括：与矿业活动相关的泥石流事件信息：发生时间、地点、规模、致灾程度、触发因素、处置情况等；潜在泥石流物源：类型、规模、形态特征及对行洪通道的占据程度等；泥石流沟沟谷形态特征与通道条件；可能的致灾范围、受威胁对象、潜在危害程度及拟采取的防治措施；危险性评估与工程设计所需的关键参数与现状判定。</w:t>
      </w:r>
    </w:p>
    <w:p w14:paraId="67B34D5E">
      <w:pPr>
        <w:ind w:firstLine="439" w:firstLineChars="183"/>
        <w:rPr>
          <w:rFonts w:cs="Times New Roman"/>
        </w:rPr>
      </w:pPr>
      <w:r>
        <w:rPr>
          <w:rFonts w:hint="eastAsia" w:cs="Times New Roman"/>
        </w:rPr>
        <w:t>4）</w:t>
      </w:r>
      <w:r>
        <w:rPr>
          <w:rFonts w:hint="eastAsia" w:cs="Times New Roman"/>
          <w:lang w:bidi="ar"/>
        </w:rPr>
        <w:t>泥石流地质灾害调查应符合现行行业标准《滑坡崩塌泥石流灾害调查规范（</w:t>
      </w:r>
      <w:r>
        <w:rPr>
          <w:rFonts w:cs="Times New Roman"/>
          <w:lang w:bidi="ar"/>
        </w:rPr>
        <w:t>1</w:t>
      </w:r>
      <w:r>
        <w:rPr>
          <w:rFonts w:hint="eastAsia" w:cs="Times New Roman"/>
          <w:lang w:bidi="ar"/>
        </w:rPr>
        <w:t>：</w:t>
      </w:r>
      <w:r>
        <w:rPr>
          <w:rFonts w:cs="Times New Roman"/>
          <w:lang w:bidi="ar"/>
        </w:rPr>
        <w:t>50000</w:t>
      </w:r>
      <w:r>
        <w:rPr>
          <w:rFonts w:hint="eastAsia" w:cs="Times New Roman"/>
          <w:lang w:bidi="ar"/>
        </w:rPr>
        <w:t>）》</w:t>
      </w:r>
      <w:r>
        <w:rPr>
          <w:rFonts w:cs="Times New Roman"/>
          <w:lang w:bidi="ar"/>
        </w:rPr>
        <w:t>DZ/T 0261</w:t>
      </w:r>
      <w:r>
        <w:rPr>
          <w:rFonts w:hint="eastAsia" w:cs="Times New Roman"/>
          <w:lang w:bidi="ar"/>
        </w:rPr>
        <w:t>、</w:t>
      </w:r>
      <w:r>
        <w:rPr>
          <w:rFonts w:hint="eastAsia" w:cs="Times New Roman"/>
          <w:color w:val="000000"/>
          <w:shd w:val="clear" w:color="auto" w:fill="FFFFFF"/>
          <w:lang w:bidi="ar"/>
        </w:rPr>
        <w:t>《地质灾害风险调查评价规范（</w:t>
      </w:r>
      <w:r>
        <w:rPr>
          <w:rFonts w:cs="Times New Roman"/>
          <w:color w:val="000000"/>
          <w:shd w:val="clear" w:color="auto" w:fill="FFFFFF"/>
          <w:lang w:bidi="ar"/>
        </w:rPr>
        <w:t>1</w:t>
      </w:r>
      <w:r>
        <w:rPr>
          <w:rFonts w:hint="eastAsia" w:cs="Times New Roman"/>
          <w:color w:val="000000"/>
          <w:shd w:val="clear" w:color="auto" w:fill="FFFFFF"/>
          <w:lang w:bidi="ar"/>
        </w:rPr>
        <w:t>：</w:t>
      </w:r>
      <w:r>
        <w:rPr>
          <w:rFonts w:cs="Times New Roman"/>
          <w:color w:val="000000"/>
          <w:shd w:val="clear" w:color="auto" w:fill="FFFFFF"/>
          <w:lang w:bidi="ar"/>
        </w:rPr>
        <w:t>50000</w:t>
      </w:r>
      <w:r>
        <w:rPr>
          <w:rFonts w:hint="eastAsia" w:cs="Times New Roman"/>
          <w:color w:val="000000"/>
          <w:shd w:val="clear" w:color="auto" w:fill="FFFFFF"/>
          <w:lang w:bidi="ar"/>
        </w:rPr>
        <w:t>）》</w:t>
      </w:r>
      <w:r>
        <w:rPr>
          <w:rFonts w:cs="Times New Roman"/>
          <w:color w:val="000000"/>
          <w:shd w:val="clear" w:color="auto" w:fill="FFFFFF"/>
          <w:lang w:bidi="ar"/>
        </w:rPr>
        <w:t>DZ/T 0438</w:t>
      </w:r>
      <w:r>
        <w:rPr>
          <w:rFonts w:hint="eastAsia" w:cs="Times New Roman"/>
          <w:color w:val="000000"/>
          <w:shd w:val="clear" w:color="auto" w:fill="FFFFFF"/>
          <w:lang w:bidi="ar"/>
        </w:rPr>
        <w:t>、《滑坡崩塌泥石流灾害精细调查规范》</w:t>
      </w:r>
      <w:r>
        <w:rPr>
          <w:rFonts w:cs="Times New Roman"/>
          <w:color w:val="000000"/>
          <w:shd w:val="clear" w:color="auto" w:fill="FFFFFF"/>
          <w:lang w:bidi="ar"/>
        </w:rPr>
        <w:t>DZ/T 0448</w:t>
      </w:r>
      <w:r>
        <w:rPr>
          <w:rFonts w:hint="eastAsia" w:cs="Times New Roman"/>
          <w:color w:val="000000"/>
          <w:shd w:val="clear" w:color="auto" w:fill="FFFFFF"/>
          <w:lang w:bidi="ar"/>
        </w:rPr>
        <w:t>等</w:t>
      </w:r>
      <w:r>
        <w:rPr>
          <w:rFonts w:hint="eastAsia" w:cs="Times New Roman"/>
          <w:lang w:bidi="ar"/>
        </w:rPr>
        <w:t>有关规定，表格式参照本文件附录</w:t>
      </w:r>
      <w:r>
        <w:rPr>
          <w:rFonts w:cs="Times New Roman"/>
          <w:lang w:bidi="ar"/>
        </w:rPr>
        <w:t>A</w:t>
      </w:r>
      <w:r>
        <w:rPr>
          <w:rFonts w:hint="eastAsia" w:cs="Times New Roman"/>
        </w:rPr>
        <w:t>。</w:t>
      </w:r>
    </w:p>
    <w:p w14:paraId="273932D6">
      <w:pPr>
        <w:ind w:firstLine="0" w:firstLineChars="0"/>
        <w:rPr>
          <w:rFonts w:cs="Times New Roman"/>
        </w:rPr>
      </w:pPr>
      <w:r>
        <w:rPr>
          <w:rFonts w:hint="eastAsia" w:cs="Times New Roman"/>
        </w:rPr>
        <w:t>【条文说明】本条明确泥石流调查的技术方法、外业记录与成果要点，并提出与行业标准的衔接要求，以保障对形成—运移—堆积条件、诱发因素与危害范围的系统识别，为危险性评估、治理措施提出及后续设计提供依据</w:t>
      </w:r>
      <w:r>
        <w:rPr>
          <w:rFonts w:cs="Times New Roman"/>
        </w:rPr>
        <w:t>。</w:t>
      </w:r>
    </w:p>
    <w:p w14:paraId="64ABED7B">
      <w:pPr>
        <w:ind w:firstLine="198" w:firstLineChars="82"/>
        <w:rPr>
          <w:rFonts w:ascii="宋体" w:hAnsi="宋体"/>
        </w:rPr>
      </w:pPr>
      <w:r>
        <w:rPr>
          <w:rFonts w:cs="Times New Roman"/>
          <w:b/>
          <w:bCs/>
        </w:rPr>
        <w:t xml:space="preserve">7 </w:t>
      </w:r>
      <w:r>
        <w:rPr>
          <w:rFonts w:hint="eastAsia" w:ascii="宋体" w:hAnsi="宋体"/>
        </w:rPr>
        <w:t>地面塌陷（地裂缝）地质灾害调查应符合下列规定：</w:t>
      </w:r>
    </w:p>
    <w:p w14:paraId="32C27BD3">
      <w:pPr>
        <w:ind w:left="240" w:leftChars="100" w:firstLine="240" w:firstLineChars="100"/>
        <w:rPr>
          <w:rFonts w:cs="Times New Roman"/>
        </w:rPr>
      </w:pPr>
      <w:r>
        <w:rPr>
          <w:rFonts w:hint="eastAsia" w:cs="Times New Roman"/>
        </w:rPr>
        <w:t>1）采空区调查：应查明采空塌陷区的地层岩性、地质构造、岩体结构、水文地质条件及软弱层等；调查地下工程的性质、规模、开采方式、地下水疏干情况及降落漏斗分布特征等，必要时开展监测与测试。</w:t>
      </w:r>
    </w:p>
    <w:p w14:paraId="6A1515F5">
      <w:pPr>
        <w:ind w:left="240" w:leftChars="100" w:firstLine="240" w:firstLineChars="100"/>
        <w:rPr>
          <w:rFonts w:cs="Times New Roman"/>
        </w:rPr>
      </w:pPr>
      <w:r>
        <w:rPr>
          <w:rFonts w:hint="eastAsia" w:cs="Times New Roman"/>
        </w:rPr>
        <w:t>2）地裂缝发育区调查：应查明地层岩性、地质构造、水文地质与工程地质特征、地下水开采情况等，分析地裂缝灾害的成因机理、形成条件及主要影响因素。</w:t>
      </w:r>
    </w:p>
    <w:p w14:paraId="45F83CB5">
      <w:pPr>
        <w:ind w:left="240" w:leftChars="100" w:firstLine="240" w:firstLineChars="100"/>
        <w:rPr>
          <w:rFonts w:cs="Times New Roman"/>
        </w:rPr>
      </w:pPr>
      <w:r>
        <w:rPr>
          <w:rFonts w:hint="eastAsia" w:cs="Times New Roman"/>
        </w:rPr>
        <w:t>3）调查内容应至少包括：矿区地面塌陷（地裂缝）事件的发生时间、地点、规模、形态特征、影响范围、受威胁对象、致灾程度及处置情况；采空区的形成时间、地点、形态、范围、受威胁对象及防治措施等。</w:t>
      </w:r>
    </w:p>
    <w:p w14:paraId="5F3DCA63">
      <w:pPr>
        <w:ind w:firstLine="480"/>
        <w:rPr>
          <w:rFonts w:cs="Times New Roman"/>
        </w:rPr>
      </w:pPr>
      <w:r>
        <w:rPr>
          <w:rFonts w:hint="eastAsia" w:cs="Times New Roman"/>
        </w:rPr>
        <w:t>4）</w:t>
      </w:r>
      <w:r>
        <w:rPr>
          <w:rFonts w:hint="eastAsia" w:cs="Times New Roman"/>
          <w:lang w:bidi="ar"/>
        </w:rPr>
        <w:t>地面塌陷（地裂缝）地质灾害调查应符合现行行业标准《地面沉降调查与监测规范》</w:t>
      </w:r>
      <w:r>
        <w:rPr>
          <w:rFonts w:cs="Times New Roman"/>
          <w:lang w:bidi="ar"/>
        </w:rPr>
        <w:t>DZ/T 0283</w:t>
      </w:r>
      <w:r>
        <w:rPr>
          <w:rFonts w:hint="eastAsia" w:cs="Times New Roman"/>
          <w:lang w:bidi="ar"/>
        </w:rPr>
        <w:t>、</w:t>
      </w:r>
      <w:r>
        <w:rPr>
          <w:rFonts w:hint="eastAsia" w:cs="Times New Roman"/>
          <w:color w:val="000000"/>
          <w:shd w:val="clear" w:color="auto" w:fill="FFFFFF"/>
          <w:lang w:bidi="ar"/>
        </w:rPr>
        <w:t>《地质灾害风险调查评价规范（</w:t>
      </w:r>
      <w:r>
        <w:rPr>
          <w:rFonts w:cs="Times New Roman"/>
          <w:color w:val="000000"/>
          <w:shd w:val="clear" w:color="auto" w:fill="FFFFFF"/>
          <w:lang w:bidi="ar"/>
        </w:rPr>
        <w:t>1</w:t>
      </w:r>
      <w:r>
        <w:rPr>
          <w:rFonts w:hint="eastAsia" w:cs="Times New Roman"/>
          <w:color w:val="000000"/>
          <w:shd w:val="clear" w:color="auto" w:fill="FFFFFF"/>
          <w:lang w:bidi="ar"/>
        </w:rPr>
        <w:t>：</w:t>
      </w:r>
      <w:r>
        <w:rPr>
          <w:rFonts w:cs="Times New Roman"/>
          <w:color w:val="000000"/>
          <w:shd w:val="clear" w:color="auto" w:fill="FFFFFF"/>
          <w:lang w:bidi="ar"/>
        </w:rPr>
        <w:t>50000</w:t>
      </w:r>
      <w:r>
        <w:rPr>
          <w:rFonts w:hint="eastAsia" w:cs="Times New Roman"/>
          <w:color w:val="000000"/>
          <w:shd w:val="clear" w:color="auto" w:fill="FFFFFF"/>
          <w:lang w:bidi="ar"/>
        </w:rPr>
        <w:t>）》</w:t>
      </w:r>
      <w:r>
        <w:rPr>
          <w:rFonts w:cs="Times New Roman"/>
          <w:color w:val="000000"/>
          <w:shd w:val="clear" w:color="auto" w:fill="FFFFFF"/>
          <w:lang w:bidi="ar"/>
        </w:rPr>
        <w:t>DZ/T 0438</w:t>
      </w:r>
      <w:r>
        <w:rPr>
          <w:rFonts w:hint="eastAsia" w:cs="Times New Roman"/>
          <w:color w:val="000000"/>
          <w:shd w:val="clear" w:color="auto" w:fill="FFFFFF"/>
          <w:lang w:bidi="ar"/>
        </w:rPr>
        <w:t>等</w:t>
      </w:r>
      <w:r>
        <w:rPr>
          <w:rFonts w:hint="eastAsia" w:cs="Times New Roman"/>
          <w:lang w:bidi="ar"/>
        </w:rPr>
        <w:t>有关规定，内容见本文件附录</w:t>
      </w:r>
      <w:r>
        <w:rPr>
          <w:rFonts w:cs="Times New Roman"/>
          <w:lang w:bidi="ar"/>
        </w:rPr>
        <w:t>A</w:t>
      </w:r>
      <w:r>
        <w:rPr>
          <w:rFonts w:hint="eastAsia" w:cs="Times New Roman"/>
        </w:rPr>
        <w:t>。</w:t>
      </w:r>
    </w:p>
    <w:p w14:paraId="608A219D">
      <w:pPr>
        <w:ind w:firstLine="0" w:firstLineChars="0"/>
        <w:rPr>
          <w:rFonts w:cs="Times New Roman"/>
          <w:szCs w:val="24"/>
        </w:rPr>
      </w:pPr>
      <w:r>
        <w:rPr>
          <w:rFonts w:hint="eastAsia" w:cs="Times New Roman"/>
          <w:szCs w:val="24"/>
        </w:rPr>
        <w:t>【条文说明】本条明确采空区与地裂缝发育区的调查要点及成果要求，强调对地层—构造—水文地质条件、地下工程与地下水开采等关键因素的查明，以支撑成因分析、风险识别与防治措施提出</w:t>
      </w:r>
      <w:r>
        <w:rPr>
          <w:rFonts w:hint="eastAsia" w:cs="Times New Roman"/>
          <w:color w:val="1A2029"/>
          <w:szCs w:val="24"/>
          <w:shd w:val="clear" w:color="auto" w:fill="FFFFFF"/>
        </w:rPr>
        <w:t>。</w:t>
      </w:r>
    </w:p>
    <w:p w14:paraId="2E386239">
      <w:pPr>
        <w:ind w:firstLine="241" w:firstLineChars="100"/>
        <w:rPr>
          <w:rFonts w:ascii="宋体" w:hAnsi="宋体"/>
        </w:rPr>
      </w:pPr>
      <w:r>
        <w:rPr>
          <w:rFonts w:cs="Times New Roman"/>
          <w:b/>
          <w:bCs/>
        </w:rPr>
        <w:t xml:space="preserve">8 </w:t>
      </w:r>
      <w:r>
        <w:rPr>
          <w:rFonts w:ascii="宋体" w:hAnsi="宋体"/>
        </w:rPr>
        <w:t>边坡工程地质调查</w:t>
      </w:r>
      <w:r>
        <w:rPr>
          <w:rFonts w:hint="eastAsia" w:ascii="宋体" w:hAnsi="宋体"/>
        </w:rPr>
        <w:t>应符合下列规定：</w:t>
      </w:r>
    </w:p>
    <w:p w14:paraId="441CE48C">
      <w:pPr>
        <w:ind w:left="240" w:leftChars="100" w:firstLine="480"/>
        <w:rPr>
          <w:rFonts w:cs="Times New Roman"/>
        </w:rPr>
      </w:pPr>
      <w:r>
        <w:rPr>
          <w:rFonts w:hint="eastAsia" w:cs="Times New Roman"/>
        </w:rPr>
        <w:t>1）比例尺：开采边坡工程地质调查平面图宜采用1∶500～1∶1000，剖面图宜采用1∶200～1∶500，并应根据剖面长度及表达精度选取；剖面线应布设在测绘调查范围内。</w:t>
      </w:r>
    </w:p>
    <w:p w14:paraId="23789F69">
      <w:pPr>
        <w:ind w:firstLine="679" w:firstLineChars="283"/>
        <w:rPr>
          <w:rFonts w:cs="Times New Roman"/>
        </w:rPr>
      </w:pPr>
      <w:r>
        <w:rPr>
          <w:rFonts w:hint="eastAsia" w:cs="Times New Roman"/>
        </w:rPr>
        <w:t>2）调查范围：应覆盖修复工程区内可能发生滑坡、崩塌等地质灾害隐患的陡坡地段及其影响区</w:t>
      </w:r>
      <w:r>
        <w:rPr>
          <w:rFonts w:cs="Times New Roman"/>
        </w:rPr>
        <w:t>。</w:t>
      </w:r>
    </w:p>
    <w:p w14:paraId="368EDDFA">
      <w:pPr>
        <w:ind w:left="240" w:leftChars="100" w:firstLine="480"/>
        <w:rPr>
          <w:rFonts w:cs="Times New Roman"/>
        </w:rPr>
      </w:pPr>
      <w:r>
        <w:rPr>
          <w:rFonts w:hint="eastAsia" w:cs="Times New Roman"/>
        </w:rPr>
        <w:t>3）</w:t>
      </w:r>
      <w:r>
        <w:rPr>
          <w:rFonts w:hint="eastAsia" w:cs="Times New Roman"/>
          <w:lang w:bidi="ar"/>
        </w:rPr>
        <w:t>地质调查应包括下列内容：</w:t>
      </w:r>
    </w:p>
    <w:p w14:paraId="21E685F5">
      <w:pPr>
        <w:ind w:left="480" w:leftChars="200" w:firstLine="240" w:firstLineChars="100"/>
        <w:rPr>
          <w:rFonts w:cs="Times New Roman"/>
        </w:rPr>
      </w:pPr>
      <w:r>
        <w:rPr>
          <w:rFonts w:cs="Times New Roman"/>
          <w:lang w:bidi="ar"/>
        </w:rPr>
        <w:t xml:space="preserve">a </w:t>
      </w:r>
      <w:r>
        <w:rPr>
          <w:rFonts w:hint="eastAsia" w:cs="Times New Roman"/>
          <w:lang w:bidi="ar"/>
        </w:rPr>
        <w:t xml:space="preserve"> 资料收集与现状调查：在收集与分析区域地质及既有勘查资料的基础上，开展工程地质与生态环境调查，内容包括地形地貌、地质构造、地层岩性、水文地质条件、覆盖层厚度及对周边环境的影响等；</w:t>
      </w:r>
    </w:p>
    <w:p w14:paraId="23ADBC15">
      <w:pPr>
        <w:ind w:left="480" w:leftChars="200" w:firstLine="240" w:firstLineChars="100"/>
        <w:rPr>
          <w:rFonts w:cs="Times New Roman"/>
        </w:rPr>
      </w:pPr>
      <w:r>
        <w:rPr>
          <w:rFonts w:cs="Times New Roman"/>
          <w:lang w:bidi="ar"/>
        </w:rPr>
        <w:t xml:space="preserve">b </w:t>
      </w:r>
      <w:r>
        <w:rPr>
          <w:rFonts w:hint="eastAsia" w:cs="Times New Roman"/>
          <w:lang w:bidi="ar"/>
        </w:rPr>
        <w:t>边坡外形与结构特征：边坡形态与类型、坡高/坡长/坡宽、坡度与坡向；地层岩性、风化状况、地层产状、断裂/节理/裂隙发育特征、软弱夹层以及地层倾向与边坡坡向的组合关系；不良地质现象的范围与性质；</w:t>
      </w:r>
    </w:p>
    <w:p w14:paraId="5B152E52">
      <w:pPr>
        <w:ind w:left="480" w:leftChars="200" w:firstLine="240" w:firstLineChars="100"/>
        <w:rPr>
          <w:rFonts w:cs="Times New Roman"/>
        </w:rPr>
      </w:pPr>
      <w:r>
        <w:rPr>
          <w:rFonts w:cs="Times New Roman"/>
          <w:lang w:bidi="ar"/>
        </w:rPr>
        <w:t xml:space="preserve">c </w:t>
      </w:r>
      <w:r>
        <w:rPr>
          <w:rFonts w:hint="eastAsia" w:cs="Times New Roman"/>
          <w:lang w:bidi="ar"/>
        </w:rPr>
        <w:t>主要结构面：（尤其软弱结构面）类型、岩性、产状、厚度、发育与延伸程度、闭合与风化程度、充填与充水状况、组合关系、力学属性及与临空面的关系；</w:t>
      </w:r>
    </w:p>
    <w:p w14:paraId="569EDE93">
      <w:pPr>
        <w:ind w:left="480" w:leftChars="200" w:firstLine="240" w:firstLineChars="100"/>
        <w:rPr>
          <w:rFonts w:cs="Times New Roman"/>
        </w:rPr>
      </w:pPr>
      <w:r>
        <w:rPr>
          <w:rFonts w:cs="Times New Roman"/>
          <w:lang w:bidi="ar"/>
        </w:rPr>
        <w:t>d</w:t>
      </w:r>
      <w:r>
        <w:rPr>
          <w:rFonts w:hint="eastAsia" w:cs="Times New Roman"/>
          <w:lang w:bidi="ar"/>
        </w:rPr>
        <w:t xml:space="preserve"> 变形迹象：局部溜滑、剥落掉块、建（构）筑物变形破坏、地表裂缝与位移，以及其他可观测异常；</w:t>
      </w:r>
    </w:p>
    <w:p w14:paraId="27CD7EA0">
      <w:pPr>
        <w:ind w:left="480" w:leftChars="200" w:firstLine="240" w:firstLineChars="100"/>
        <w:rPr>
          <w:rFonts w:cs="Times New Roman"/>
        </w:rPr>
      </w:pPr>
      <w:r>
        <w:rPr>
          <w:rFonts w:cs="Times New Roman"/>
          <w:lang w:bidi="ar"/>
        </w:rPr>
        <w:t xml:space="preserve">e </w:t>
      </w:r>
      <w:r>
        <w:rPr>
          <w:rFonts w:hint="eastAsia" w:cs="Times New Roman"/>
          <w:lang w:bidi="ar"/>
        </w:rPr>
        <w:t xml:space="preserve"> 水文与水动力条件：边坡外围及其地表汇水面积与汇水量，排水条件（地形、坡度），地下水类型及主要含水层分布，岩体与软弱结构面中地下水分布与含水状况，暴雨、地表水入渗或地下水对边坡稳定的影响；</w:t>
      </w:r>
    </w:p>
    <w:p w14:paraId="117F9612">
      <w:pPr>
        <w:ind w:left="564" w:leftChars="235" w:firstLine="141" w:firstLineChars="59"/>
        <w:rPr>
          <w:rFonts w:cs="Times New Roman"/>
          <w:lang w:bidi="ar"/>
        </w:rPr>
      </w:pPr>
      <w:r>
        <w:rPr>
          <w:rFonts w:cs="Times New Roman"/>
          <w:lang w:bidi="ar"/>
        </w:rPr>
        <w:t xml:space="preserve">f </w:t>
      </w:r>
      <w:r>
        <w:rPr>
          <w:rFonts w:hint="eastAsia" w:cs="Times New Roman"/>
          <w:lang w:bidi="ar"/>
        </w:rPr>
        <w:t>人类工程活动影响：边坡开挖、堆填加载、采石采矿等活动对边坡稳定的影响。</w:t>
      </w:r>
    </w:p>
    <w:p w14:paraId="1811178A">
      <w:pPr>
        <w:ind w:firstLine="199" w:firstLineChars="83"/>
        <w:rPr>
          <w:rFonts w:cs="Times New Roman"/>
        </w:rPr>
      </w:pPr>
      <w:r>
        <w:rPr>
          <w:rFonts w:hint="eastAsia" w:cs="Times New Roman"/>
        </w:rPr>
        <w:t>【条文说明】本条明确边坡调查的比例尺、范围与内容要求，强调以资料—外业调查为基础，系统查明边坡几何形态、结构面特征、水文条件与人类活动影响，为稳定性评价与后续治理设计提供依据。</w:t>
      </w:r>
    </w:p>
    <w:p w14:paraId="66ACF120">
      <w:pPr>
        <w:ind w:left="218" w:leftChars="91" w:firstLine="0" w:firstLineChars="0"/>
        <w:rPr>
          <w:rFonts w:cs="Times New Roman"/>
        </w:rPr>
      </w:pPr>
      <w:r>
        <w:rPr>
          <w:rFonts w:cs="Times New Roman"/>
          <w:b/>
          <w:bCs/>
        </w:rPr>
        <w:t>9</w:t>
      </w:r>
      <w:r>
        <w:rPr>
          <w:rFonts w:hint="eastAsia" w:cs="Times New Roman"/>
        </w:rPr>
        <w:t xml:space="preserve"> </w:t>
      </w:r>
      <w:r>
        <w:rPr>
          <w:rFonts w:hint="eastAsia" w:cs="Times New Roman"/>
          <w:lang w:bidi="ar"/>
        </w:rPr>
        <w:t>尾矿堆填场调查应符合下列规定：</w:t>
      </w:r>
    </w:p>
    <w:p w14:paraId="13AB487F">
      <w:pPr>
        <w:ind w:left="240" w:leftChars="100" w:firstLine="240" w:firstLineChars="100"/>
        <w:rPr>
          <w:rFonts w:cs="Times New Roman"/>
        </w:rPr>
      </w:pPr>
      <w:r>
        <w:rPr>
          <w:rFonts w:cs="Times New Roman"/>
          <w:lang w:bidi="ar"/>
        </w:rPr>
        <w:t>1</w:t>
      </w:r>
      <w:r>
        <w:rPr>
          <w:rFonts w:hint="eastAsia" w:cs="Times New Roman"/>
          <w:lang w:bidi="ar"/>
        </w:rPr>
        <w:t>）地质灾害调查：应查明堆体物质组成、结构性状（密实度/松散度）、渗透性与渗流条件、基底岩土性质、场地坡度与微地貌特征、地下水环境等。</w:t>
      </w:r>
    </w:p>
    <w:p w14:paraId="2D08EAE2">
      <w:pPr>
        <w:ind w:left="240" w:leftChars="100" w:firstLine="240" w:firstLineChars="100"/>
        <w:rPr>
          <w:rFonts w:cs="Times New Roman"/>
        </w:rPr>
      </w:pPr>
      <w:r>
        <w:rPr>
          <w:rFonts w:cs="Times New Roman"/>
          <w:lang w:bidi="ar"/>
        </w:rPr>
        <w:t>2</w:t>
      </w:r>
      <w:r>
        <w:rPr>
          <w:rFonts w:hint="eastAsia" w:cs="Times New Roman"/>
          <w:lang w:bidi="ar"/>
        </w:rPr>
        <w:t>）污染状况调查：应开展环境污染现状调查、尾矿固体废物属性判别及周边环境质量评价。</w:t>
      </w:r>
    </w:p>
    <w:p w14:paraId="4A27A329">
      <w:pPr>
        <w:ind w:left="240" w:leftChars="100" w:firstLine="240" w:firstLineChars="100"/>
        <w:rPr>
          <w:rFonts w:cs="Times New Roman"/>
        </w:rPr>
      </w:pPr>
      <w:r>
        <w:rPr>
          <w:rFonts w:cs="Times New Roman"/>
          <w:lang w:bidi="ar"/>
        </w:rPr>
        <w:t>3</w:t>
      </w:r>
      <w:r>
        <w:rPr>
          <w:rFonts w:hint="eastAsia" w:cs="Times New Roman"/>
          <w:lang w:bidi="ar"/>
        </w:rPr>
        <w:t>）煤矸石堆填场调查应符合下列规定：</w:t>
      </w:r>
    </w:p>
    <w:p w14:paraId="6DAB4B89">
      <w:pPr>
        <w:ind w:left="480" w:leftChars="200" w:firstLine="240" w:firstLineChars="100"/>
        <w:rPr>
          <w:rFonts w:cs="Times New Roman"/>
        </w:rPr>
      </w:pPr>
      <w:r>
        <w:rPr>
          <w:rFonts w:cs="Times New Roman"/>
          <w:lang w:bidi="ar"/>
        </w:rPr>
        <w:t xml:space="preserve">a </w:t>
      </w:r>
      <w:r>
        <w:rPr>
          <w:rFonts w:hint="eastAsia" w:cs="Times New Roman"/>
          <w:lang w:bidi="ar"/>
        </w:rPr>
        <w:t>明确煤矸石堆场的范围、特征、堆存状态、堆体内部温度（自燃指示）、边坡稳定性、地下水环境、既有治理措施及其有效性与环境影响，为生态恢复治理提供依据；</w:t>
      </w:r>
    </w:p>
    <w:p w14:paraId="5F7DB955">
      <w:pPr>
        <w:ind w:left="480" w:leftChars="200" w:firstLine="240" w:firstLineChars="100"/>
        <w:rPr>
          <w:rFonts w:cs="Times New Roman"/>
        </w:rPr>
      </w:pPr>
      <w:r>
        <w:rPr>
          <w:rFonts w:cs="Times New Roman"/>
          <w:lang w:bidi="ar"/>
        </w:rPr>
        <w:t xml:space="preserve">b </w:t>
      </w:r>
      <w:r>
        <w:rPr>
          <w:rFonts w:hint="eastAsia" w:cs="Times New Roman"/>
          <w:lang w:bidi="ar"/>
        </w:rPr>
        <w:t>对堆存煤矸石的理化组成进行分析，并按《煤和煤矸石淋溶试验方法标准》</w:t>
      </w:r>
      <w:r>
        <w:rPr>
          <w:rFonts w:cs="Times New Roman"/>
          <w:lang w:bidi="ar"/>
        </w:rPr>
        <w:t>GB/T 34230</w:t>
      </w:r>
      <w:r>
        <w:rPr>
          <w:rFonts w:hint="eastAsia" w:cs="Times New Roman"/>
          <w:lang w:bidi="ar"/>
        </w:rPr>
        <w:t>开展煤砰石淋溶试验。</w:t>
      </w:r>
    </w:p>
    <w:p w14:paraId="753BE7BD">
      <w:pPr>
        <w:ind w:left="480" w:leftChars="200" w:firstLine="240" w:firstLineChars="100"/>
        <w:rPr>
          <w:rFonts w:cs="Times New Roman"/>
        </w:rPr>
      </w:pPr>
      <w:r>
        <w:rPr>
          <w:rFonts w:cs="Times New Roman"/>
          <w:lang w:bidi="ar"/>
        </w:rPr>
        <w:t xml:space="preserve">c </w:t>
      </w:r>
      <w:r>
        <w:rPr>
          <w:rFonts w:hint="eastAsia" w:cs="Times New Roman"/>
          <w:lang w:bidi="ar"/>
        </w:rPr>
        <w:t>以煤矸石堆场区域为主要调查对象，必要时延伸至堆场可能影响的外延区域。</w:t>
      </w:r>
    </w:p>
    <w:p w14:paraId="16363327">
      <w:pPr>
        <w:ind w:left="240" w:leftChars="100" w:firstLine="240" w:firstLineChars="100"/>
        <w:rPr>
          <w:rFonts w:cs="Times New Roman"/>
          <w:lang w:bidi="ar"/>
        </w:rPr>
      </w:pPr>
      <w:r>
        <w:rPr>
          <w:rFonts w:cs="Times New Roman"/>
          <w:lang w:bidi="ar"/>
        </w:rPr>
        <w:t>4</w:t>
      </w:r>
      <w:r>
        <w:rPr>
          <w:rFonts w:hint="eastAsia" w:cs="Times New Roman"/>
          <w:lang w:bidi="ar"/>
        </w:rPr>
        <w:t>）应符合现行行业标准《矿山生态环境保护与恢复治理技术规范》</w:t>
      </w:r>
      <w:r>
        <w:rPr>
          <w:rFonts w:cs="Times New Roman"/>
          <w:lang w:bidi="ar"/>
        </w:rPr>
        <w:t>HJ 651</w:t>
      </w:r>
      <w:r>
        <w:rPr>
          <w:rFonts w:hint="eastAsia" w:cs="Times New Roman"/>
          <w:lang w:bidi="ar"/>
        </w:rPr>
        <w:t>、《一般工业固体废物贮存和填埋污染控制标准》</w:t>
      </w:r>
      <w:r>
        <w:rPr>
          <w:rFonts w:cs="Times New Roman"/>
          <w:lang w:bidi="ar"/>
        </w:rPr>
        <w:t>GB 18599</w:t>
      </w:r>
      <w:r>
        <w:rPr>
          <w:rFonts w:hint="eastAsia" w:cs="Times New Roman"/>
          <w:lang w:bidi="ar"/>
        </w:rPr>
        <w:t>、《工矿废弃地土地复垦水土环境质量调查评价规范》</w:t>
      </w:r>
      <w:r>
        <w:rPr>
          <w:rFonts w:cs="Times New Roman"/>
          <w:lang w:bidi="ar"/>
        </w:rPr>
        <w:t>DZ/T 0472</w:t>
      </w:r>
      <w:r>
        <w:rPr>
          <w:rFonts w:hint="eastAsia" w:cs="Times New Roman"/>
          <w:lang w:bidi="ar"/>
        </w:rPr>
        <w:t>等有关规定。</w:t>
      </w:r>
    </w:p>
    <w:p w14:paraId="6BD51B4C">
      <w:pPr>
        <w:ind w:firstLine="240" w:firstLineChars="100"/>
        <w:rPr>
          <w:rFonts w:cs="Times New Roman"/>
        </w:rPr>
      </w:pPr>
      <w:r>
        <w:rPr>
          <w:rFonts w:hint="eastAsia" w:cs="Times New Roman"/>
        </w:rPr>
        <w:t>【条文说明】本条明确尾矿与煤矸石堆填场的地质灾害与污染状况调查要点，要求系统查明堆体结构性状、渗流与地下水条件及周边环境质量，结合固体废物属性判别与必要试验，为稳定性评价、污染防控与生态恢复治理提供依据。</w:t>
      </w:r>
    </w:p>
    <w:p w14:paraId="38550B74">
      <w:pPr>
        <w:ind w:firstLine="241" w:firstLineChars="100"/>
        <w:rPr>
          <w:rFonts w:cs="Times New Roman"/>
        </w:rPr>
      </w:pPr>
      <w:r>
        <w:rPr>
          <w:rFonts w:ascii="Times" w:hAnsi="Times" w:cs="Times"/>
          <w:b/>
          <w:bCs/>
        </w:rPr>
        <w:t>10</w:t>
      </w:r>
      <w:r>
        <w:rPr>
          <w:rFonts w:hint="eastAsia" w:ascii="宋体" w:hAnsi="宋体" w:cs="Times New Roman"/>
          <w:b/>
          <w:bCs/>
        </w:rPr>
        <w:t xml:space="preserve"> </w:t>
      </w:r>
      <w:r>
        <w:rPr>
          <w:rFonts w:hint="eastAsia" w:ascii="宋体" w:hAnsi="宋体"/>
        </w:rPr>
        <w:t>含水层破坏调查应符合下列规定：</w:t>
      </w:r>
    </w:p>
    <w:p w14:paraId="31A52208">
      <w:pPr>
        <w:ind w:left="240" w:leftChars="100" w:firstLine="240" w:firstLineChars="100"/>
        <w:rPr>
          <w:rFonts w:cs="Times New Roman"/>
        </w:rPr>
      </w:pPr>
      <w:r>
        <w:rPr>
          <w:rFonts w:cs="Times New Roman"/>
        </w:rPr>
        <w:t>1</w:t>
      </w:r>
      <w:r>
        <w:rPr>
          <w:rFonts w:hint="eastAsia" w:cs="Times New Roman"/>
        </w:rPr>
        <w:t>）含水层破坏调查应在水文地质调查基础上进行，查明矿区（矿床）的水文地质类型、特征与空间分布，主要供水水源类型及水量等。</w:t>
      </w:r>
    </w:p>
    <w:p w14:paraId="27174BEC">
      <w:pPr>
        <w:ind w:left="240" w:leftChars="100" w:firstLine="240" w:firstLineChars="100"/>
        <w:rPr>
          <w:rFonts w:cs="Times New Roman"/>
        </w:rPr>
      </w:pPr>
      <w:r>
        <w:rPr>
          <w:rFonts w:cs="Times New Roman"/>
        </w:rPr>
        <w:t>2</w:t>
      </w:r>
      <w:r>
        <w:rPr>
          <w:rFonts w:hint="eastAsia" w:cs="Times New Roman"/>
        </w:rPr>
        <w:t>）含水层破坏包括因采矿活动或矿区地质灾害导致的含水层结构改变、地下水位下降（埋深增大）、水量减少或疏干，以及地下水位下降引起的地表水位降低与地表缺水、土壤盐碱化、地下水水质污染、地下水渗流路径改变等。</w:t>
      </w:r>
    </w:p>
    <w:p w14:paraId="43C86D5B">
      <w:pPr>
        <w:ind w:left="240" w:leftChars="100" w:firstLine="240" w:firstLineChars="100"/>
        <w:rPr>
          <w:rFonts w:cs="Times New Roman"/>
        </w:rPr>
      </w:pPr>
      <w:r>
        <w:rPr>
          <w:rFonts w:cs="Times New Roman"/>
        </w:rPr>
        <w:t>3</w:t>
      </w:r>
      <w:r>
        <w:rPr>
          <w:rFonts w:hint="eastAsia" w:cs="Times New Roman"/>
        </w:rPr>
        <w:t>）含水层破坏调查内容应至少包括采矿活动影响的地下含水层类型、层位与结构；矿坑充水水源及充水途径；矿坑排水量、疏排水去向与综合利用量；地下水位下降幅度与被疏干含水层面积；地下水水质参数与变化特征；地下水渗流路径；受影响区域面积、影响程度与影响对象；对地表水与土壤的影响面积、影响程度及引发的环境问题；含水层破坏的防治措施及其成效。</w:t>
      </w:r>
    </w:p>
    <w:p w14:paraId="7B1826FA">
      <w:pPr>
        <w:ind w:left="240" w:leftChars="100" w:firstLine="240" w:firstLineChars="100"/>
        <w:rPr>
          <w:rFonts w:cs="Times New Roman"/>
        </w:rPr>
      </w:pPr>
      <w:r>
        <w:rPr>
          <w:rFonts w:cs="Times New Roman"/>
        </w:rPr>
        <w:t>4</w:t>
      </w:r>
      <w:r>
        <w:rPr>
          <w:rFonts w:hint="eastAsia" w:cs="Times New Roman"/>
        </w:rPr>
        <w:t>）</w:t>
      </w:r>
      <w:r>
        <w:rPr>
          <w:rFonts w:hint="eastAsia" w:cs="Times New Roman"/>
          <w:lang w:bidi="ar"/>
        </w:rPr>
        <w:t>含水层调查应符合现行行业标准《矿区水文地质工程地质勘查规范》</w:t>
      </w:r>
      <w:r>
        <w:rPr>
          <w:rFonts w:cs="Times New Roman"/>
          <w:lang w:bidi="ar"/>
        </w:rPr>
        <w:t>GB/T 12719</w:t>
      </w:r>
      <w:r>
        <w:rPr>
          <w:rFonts w:hint="eastAsia" w:cs="Times New Roman"/>
          <w:lang w:bidi="ar"/>
        </w:rPr>
        <w:t>、《矿区地下水含水层破坏危害程度评价规范》</w:t>
      </w:r>
      <w:r>
        <w:rPr>
          <w:rFonts w:cs="Times New Roman"/>
          <w:lang w:bidi="ar"/>
        </w:rPr>
        <w:t>GB/T 42362</w:t>
      </w:r>
      <w:r>
        <w:rPr>
          <w:rFonts w:hint="eastAsia" w:cs="Times New Roman"/>
          <w:color w:val="000000"/>
          <w:shd w:val="clear" w:color="auto" w:fill="FFFFFF"/>
          <w:lang w:bidi="ar"/>
        </w:rPr>
        <w:t>等</w:t>
      </w:r>
      <w:r>
        <w:rPr>
          <w:rFonts w:hint="eastAsia" w:cs="Times New Roman"/>
          <w:lang w:bidi="ar"/>
        </w:rPr>
        <w:t>有关规定；通过水样采集与测试分析评价采矿对水环境的影响，水质样品采集与相关表格样式可参照本文件附录A</w:t>
      </w:r>
      <w:r>
        <w:rPr>
          <w:rFonts w:hint="eastAsia" w:cs="Times New Roman"/>
        </w:rPr>
        <w:t>。</w:t>
      </w:r>
    </w:p>
    <w:p w14:paraId="689C4CBD">
      <w:pPr>
        <w:ind w:firstLine="0" w:firstLineChars="0"/>
        <w:rPr>
          <w:rFonts w:cs="Times New Roman"/>
        </w:rPr>
      </w:pPr>
      <w:r>
        <w:rPr>
          <w:rFonts w:hint="eastAsia" w:cs="Times New Roman"/>
        </w:rPr>
        <w:t>【条文说明】本条明确含水层破坏调查的基础要求、破坏内涵、核心调查要素及适用标准，强调以水文地质工作为基础，系统识别采矿对含水层结构、水量、水位、水质与渗流场的影响，并形成防治措施及成效评估，服务后续治理与评价。</w:t>
      </w:r>
    </w:p>
    <w:p w14:paraId="4F38DBAE">
      <w:pPr>
        <w:ind w:firstLine="240" w:firstLineChars="100"/>
        <w:rPr>
          <w:rFonts w:ascii="宋体" w:hAnsi="宋体" w:cs="宋体"/>
        </w:rPr>
      </w:pPr>
      <w:r>
        <w:rPr>
          <w:rFonts w:ascii="Times" w:hAnsi="Times" w:eastAsia="Times" w:cs="Times"/>
          <w:b/>
          <w:bCs/>
          <w:lang w:bidi="ar"/>
        </w:rPr>
        <w:t>11</w:t>
      </w:r>
      <w:r>
        <w:rPr>
          <w:rFonts w:hint="eastAsia" w:ascii="宋体" w:hAnsi="宋体" w:cs="Times New Roman"/>
          <w:b/>
          <w:bCs/>
          <w:lang w:bidi="ar"/>
        </w:rPr>
        <w:t xml:space="preserve"> </w:t>
      </w:r>
      <w:r>
        <w:rPr>
          <w:rFonts w:hint="eastAsia" w:ascii="宋体" w:hAnsi="宋体" w:cs="宋体"/>
          <w:lang w:bidi="ar"/>
        </w:rPr>
        <w:t>地形地貌景观破坏调查应符合下列规定：</w:t>
      </w:r>
    </w:p>
    <w:p w14:paraId="53508710">
      <w:pPr>
        <w:ind w:left="240" w:leftChars="100" w:firstLine="240" w:firstLineChars="100"/>
        <w:rPr>
          <w:rFonts w:ascii="宋体" w:hAnsi="宋体" w:cs="宋体"/>
        </w:rPr>
      </w:pPr>
      <w:r>
        <w:rPr>
          <w:rFonts w:cs="Times New Roman"/>
          <w:lang w:bidi="ar"/>
        </w:rPr>
        <w:t>1</w:t>
      </w:r>
      <w:r>
        <w:rPr>
          <w:rFonts w:hint="eastAsia" w:cs="Times New Roman"/>
          <w:lang w:bidi="ar"/>
        </w:rPr>
        <w:t>）调查范围与对象：应包括因矿区建设、采矿活动及矿区地质灾害导致的原有地形条件与地貌特征改变，以及由此引起的植被损毁、地质遗迹与人文景观破坏等。</w:t>
      </w:r>
    </w:p>
    <w:p w14:paraId="535A5D62">
      <w:pPr>
        <w:ind w:left="240" w:leftChars="100" w:firstLine="240" w:firstLineChars="100"/>
        <w:rPr>
          <w:rFonts w:cs="Times New Roman"/>
        </w:rPr>
      </w:pPr>
      <w:r>
        <w:rPr>
          <w:rFonts w:cs="Times New Roman"/>
          <w:lang w:bidi="ar"/>
        </w:rPr>
        <w:t>2</w:t>
      </w:r>
      <w:r>
        <w:rPr>
          <w:rFonts w:hint="eastAsia" w:cs="Times New Roman"/>
          <w:lang w:bidi="ar"/>
        </w:rPr>
        <w:t>）调查内容：应至少包括露天采区、废石（土、渣）堆场、尾矿库、工业广场/办公生活区及矿区道路等要素，具体如下：</w:t>
      </w:r>
    </w:p>
    <w:p w14:paraId="156E7B8E">
      <w:pPr>
        <w:ind w:left="218" w:leftChars="91" w:firstLine="480"/>
        <w:rPr>
          <w:rFonts w:cs="Times New Roman"/>
        </w:rPr>
      </w:pPr>
      <w:r>
        <w:rPr>
          <w:rFonts w:cs="Times New Roman"/>
          <w:lang w:bidi="ar"/>
        </w:rPr>
        <w:t xml:space="preserve">a </w:t>
      </w:r>
      <w:r>
        <w:rPr>
          <w:rFonts w:hint="eastAsia" w:cs="Times New Roman"/>
          <w:lang w:bidi="ar"/>
        </w:rPr>
        <w:t>露天采区：位置、形成时间；露采边坡几何参数（高度、宽度、坡度、台阶宽度及数量）及稳定性；底部平台形状、尺寸、面积；采坑口形状、长短轴方向与长度、影响范围与深度；涉及的各类保护地与地质遗迹的类型、面积；被占（破坏）的地类及面积。。</w:t>
      </w:r>
    </w:p>
    <w:p w14:paraId="4A86C449">
      <w:pPr>
        <w:ind w:left="218" w:leftChars="91" w:firstLine="480"/>
        <w:rPr>
          <w:rFonts w:cs="Times New Roman"/>
        </w:rPr>
      </w:pPr>
      <w:r>
        <w:rPr>
          <w:rFonts w:cs="Times New Roman"/>
          <w:lang w:bidi="ar"/>
        </w:rPr>
        <w:t xml:space="preserve">b </w:t>
      </w:r>
      <w:r>
        <w:rPr>
          <w:rFonts w:hint="eastAsia" w:cs="Times New Roman"/>
          <w:lang w:bidi="ar"/>
        </w:rPr>
        <w:t>废石（土、渣）堆场：位置、堆积时间与状态、物源；最大高度、占地面积、体积/堆积量；与交通干线、城镇等的距离；涉及保护地与地质遗迹的类型、面积；占用地类及面积。。</w:t>
      </w:r>
    </w:p>
    <w:p w14:paraId="2F250C39">
      <w:pPr>
        <w:ind w:left="218" w:leftChars="91" w:firstLine="480"/>
        <w:rPr>
          <w:rFonts w:cs="Times New Roman"/>
        </w:rPr>
      </w:pPr>
      <w:r>
        <w:rPr>
          <w:rFonts w:cs="Times New Roman"/>
          <w:lang w:bidi="ar"/>
        </w:rPr>
        <w:t xml:space="preserve">c </w:t>
      </w:r>
      <w:r>
        <w:rPr>
          <w:rFonts w:hint="eastAsia" w:cs="Times New Roman"/>
          <w:lang w:bidi="ar"/>
        </w:rPr>
        <w:t xml:space="preserve"> 尾矿库：位置、堆存时间与状态、占地面积与堆存量；占用地类及面积；与交通干线、城镇等的距离。</w:t>
      </w:r>
    </w:p>
    <w:p w14:paraId="3B52A92B">
      <w:pPr>
        <w:ind w:left="218" w:leftChars="91" w:firstLine="480"/>
        <w:rPr>
          <w:rFonts w:cs="Times New Roman"/>
        </w:rPr>
      </w:pPr>
      <w:r>
        <w:rPr>
          <w:rFonts w:cs="Times New Roman"/>
          <w:lang w:bidi="ar"/>
        </w:rPr>
        <w:t xml:space="preserve">d </w:t>
      </w:r>
      <w:r>
        <w:rPr>
          <w:rFonts w:hint="eastAsia" w:cs="Times New Roman"/>
          <w:lang w:bidi="ar"/>
        </w:rPr>
        <w:t>工业广场、办公生活区及矿区道路：位置、占地面积；矿区道路长度、宽度；被破坏地类及面积；与交通干线、城镇等的距离；涉及保护地与地质遗迹的类型、面积。</w:t>
      </w:r>
    </w:p>
    <w:p w14:paraId="6D30B4E1">
      <w:pPr>
        <w:ind w:left="218" w:leftChars="91" w:firstLine="480"/>
        <w:rPr>
          <w:rFonts w:cs="Times New Roman"/>
          <w:lang w:bidi="ar"/>
        </w:rPr>
      </w:pPr>
      <w:r>
        <w:rPr>
          <w:rFonts w:cs="Times New Roman"/>
          <w:lang w:bidi="ar"/>
        </w:rPr>
        <w:t xml:space="preserve">e </w:t>
      </w:r>
      <w:r>
        <w:rPr>
          <w:rFonts w:hint="eastAsia" w:cs="Times New Roman"/>
          <w:lang w:bidi="ar"/>
        </w:rPr>
        <w:t>治理措施与成效：地形地貌景观恢复治理采取的措施、实施时间节点、完成工程量及景观/生态改善成效。</w:t>
      </w:r>
    </w:p>
    <w:p w14:paraId="31DDCBB8">
      <w:pPr>
        <w:ind w:left="218" w:leftChars="91" w:firstLine="240" w:firstLineChars="100"/>
        <w:rPr>
          <w:rFonts w:cs="Times New Roman"/>
        </w:rPr>
      </w:pPr>
      <w:r>
        <w:rPr>
          <w:rFonts w:cs="Times New Roman"/>
        </w:rPr>
        <w:t>3</w:t>
      </w:r>
      <w:r>
        <w:rPr>
          <w:rFonts w:hint="eastAsia" w:cs="Times New Roman"/>
        </w:rPr>
        <w:t>）应形成对地形地貌景观破坏现状与影响的调查评估结果，为生态修复与景观整治方案提供依据；相关表格样式与内容要求可参照本文件附录A。</w:t>
      </w:r>
    </w:p>
    <w:p w14:paraId="04BEEEBC">
      <w:pPr>
        <w:ind w:firstLine="199" w:firstLineChars="83"/>
        <w:rPr>
          <w:rFonts w:cs="Times New Roman"/>
        </w:rPr>
      </w:pPr>
      <w:r>
        <w:rPr>
          <w:rFonts w:hint="eastAsia" w:cs="Times New Roman"/>
        </w:rPr>
        <w:t>【条文说明】本款明确地形地貌景观破坏调查的对象与主要内容，要求系统查明采场、堆场、尾矿库、工业场地及道路对地形地貌与景观的影响，并同步记录治理措施与成效，为后续生态修复与景观整治提供依据。</w:t>
      </w:r>
    </w:p>
    <w:p w14:paraId="009808EA">
      <w:pPr>
        <w:ind w:firstLine="241" w:firstLineChars="100"/>
        <w:rPr>
          <w:rFonts w:cs="Times New Roman"/>
        </w:rPr>
      </w:pPr>
      <w:r>
        <w:rPr>
          <w:rFonts w:cs="Times New Roman"/>
          <w:b/>
          <w:bCs/>
        </w:rPr>
        <w:t xml:space="preserve">12 </w:t>
      </w:r>
      <w:r>
        <w:rPr>
          <w:rFonts w:hint="eastAsia" w:cs="Times New Roman"/>
        </w:rPr>
        <w:t>林草植被调查应符合下列规定：</w:t>
      </w:r>
    </w:p>
    <w:p w14:paraId="639A9F25">
      <w:pPr>
        <w:ind w:left="240" w:leftChars="100" w:firstLine="240" w:firstLineChars="100"/>
        <w:rPr>
          <w:rFonts w:cs="Times New Roman"/>
        </w:rPr>
      </w:pPr>
      <w:r>
        <w:rPr>
          <w:rFonts w:cs="Times New Roman"/>
          <w:lang w:bidi="ar"/>
        </w:rPr>
        <w:t>1</w:t>
      </w:r>
      <w:r>
        <w:rPr>
          <w:rFonts w:hint="eastAsia" w:cs="Times New Roman"/>
          <w:lang w:bidi="ar"/>
        </w:rPr>
        <w:t>）调查对象与范围：应调查生态修复区及其周边1 km范围内的天然植被与人工植被。天然植被调查包括地带性植被群落类型、物种组成、群落结构、空间分布、覆盖度/郁闭度与高度；人工植被调查包括栽植的乔木林、灌木林、人工草地及农作物类型等。应选取不同生境类型，重点关注坡度大、土层薄、干旱及寒冷等不利生境，分析植物生态适应性。</w:t>
      </w:r>
    </w:p>
    <w:p w14:paraId="3DD839BE">
      <w:pPr>
        <w:ind w:left="240" w:leftChars="100" w:firstLine="240" w:firstLineChars="100"/>
        <w:rPr>
          <w:rFonts w:cs="Times New Roman"/>
        </w:rPr>
      </w:pPr>
      <w:r>
        <w:rPr>
          <w:rFonts w:cs="Times New Roman"/>
          <w:lang w:bidi="ar"/>
        </w:rPr>
        <w:t>2</w:t>
      </w:r>
      <w:r>
        <w:rPr>
          <w:rFonts w:hint="eastAsia" w:cs="Times New Roman"/>
          <w:lang w:bidi="ar"/>
        </w:rPr>
        <w:t>）生长状况与群落指标：应调查树木与草类的生长状况，包括株高、（必要时）胸径、冠幅等；重点获取林地郁闭度与草地盖度。应在具有代表性的样地/样线内开展观测与计算，并记录调查时间、气候条件及生境特征。</w:t>
      </w:r>
    </w:p>
    <w:p w14:paraId="2B2BF129">
      <w:pPr>
        <w:ind w:firstLine="0" w:firstLineChars="0"/>
        <w:rPr>
          <w:rFonts w:cs="Times New Roman"/>
        </w:rPr>
      </w:pPr>
      <w:r>
        <w:rPr>
          <w:rFonts w:hint="eastAsia" w:cs="Times New Roman"/>
        </w:rPr>
        <w:t>【条文说明】本款明确修复区及周边植被的调查范围、要素与方法要求，通过对天然与人工植被的群落结构、分布与生长状况的系统识别，评估生态适应性，为修复目标分解、物种选择与配置及养护管理提供依据</w:t>
      </w:r>
      <w:r>
        <w:rPr>
          <w:rFonts w:cs="Times New Roman"/>
        </w:rPr>
        <w:t>。</w:t>
      </w:r>
    </w:p>
    <w:p w14:paraId="4FCF8224">
      <w:pPr>
        <w:ind w:firstLine="241" w:firstLineChars="100"/>
        <w:rPr>
          <w:rFonts w:ascii="宋体" w:hAnsi="宋体"/>
        </w:rPr>
      </w:pPr>
      <w:r>
        <w:rPr>
          <w:rFonts w:ascii="Times" w:hAnsi="Times" w:cs="Times"/>
          <w:b/>
          <w:bCs/>
        </w:rPr>
        <w:t>13</w:t>
      </w:r>
      <w:r>
        <w:rPr>
          <w:rFonts w:hint="eastAsia" w:ascii="宋体" w:hAnsi="宋体" w:cs="Times New Roman"/>
          <w:b/>
          <w:bCs/>
        </w:rPr>
        <w:t xml:space="preserve"> </w:t>
      </w:r>
      <w:r>
        <w:rPr>
          <w:rFonts w:hint="eastAsia" w:ascii="宋体" w:hAnsi="宋体"/>
        </w:rPr>
        <w:t>废弃物排放及综合利用调查应符合下列规定：</w:t>
      </w:r>
    </w:p>
    <w:p w14:paraId="66C08D85">
      <w:pPr>
        <w:ind w:left="240" w:leftChars="100" w:firstLine="240" w:firstLineChars="100"/>
        <w:rPr>
          <w:rFonts w:cs="Times New Roman"/>
        </w:rPr>
      </w:pPr>
      <w:r>
        <w:rPr>
          <w:rFonts w:cs="Times New Roman"/>
          <w:lang w:bidi="ar"/>
        </w:rPr>
        <w:t>1</w:t>
      </w:r>
      <w:r>
        <w:rPr>
          <w:rFonts w:hint="eastAsia" w:cs="Times New Roman"/>
          <w:lang w:bidi="ar"/>
        </w:rPr>
        <w:t>）固体废弃物排放及综合利用：应查明固体废弃物的类型与来源、堆放位置及场地条件（含防渗与排水）、排放/年产生量与累计产生量、累计积存量、主要有害物质及受影响对象与影响范围、综合利用量/方式与综合利用率、已采取的防治措施及运行效果，以及水土流失状况等；必要时开展样品采集与检测，评价环境风险。</w:t>
      </w:r>
    </w:p>
    <w:p w14:paraId="04021D7B">
      <w:pPr>
        <w:ind w:left="240" w:leftChars="100" w:firstLine="240" w:firstLineChars="100"/>
        <w:rPr>
          <w:rFonts w:cs="Times New Roman"/>
        </w:rPr>
      </w:pPr>
      <w:r>
        <w:rPr>
          <w:rFonts w:cs="Times New Roman"/>
          <w:lang w:bidi="ar"/>
        </w:rPr>
        <w:t>2</w:t>
      </w:r>
      <w:r>
        <w:rPr>
          <w:rFonts w:hint="eastAsia" w:cs="Times New Roman"/>
          <w:lang w:bidi="ar"/>
        </w:rPr>
        <w:t>）废水排放及综合利用：应查明废水类型与主要污染因子、排放去向（纳管/外排/回用）及排放口位置、年排放量与累计产生量、受影响对象与影响范围、年综合利用量/方式与综合利用率、已采取的防治与达标控制措施及其效果等；必要时开展水样监测，评价对受纳水体/地下水的影响。</w:t>
      </w:r>
    </w:p>
    <w:p w14:paraId="6031BC51">
      <w:pPr>
        <w:ind w:left="240" w:leftChars="100" w:firstLine="240" w:firstLineChars="100"/>
        <w:rPr>
          <w:rFonts w:cs="Times New Roman"/>
        </w:rPr>
      </w:pPr>
      <w:r>
        <w:rPr>
          <w:rFonts w:cs="Times New Roman"/>
          <w:lang w:bidi="ar"/>
        </w:rPr>
        <w:t>3</w:t>
      </w:r>
      <w:r>
        <w:rPr>
          <w:rFonts w:hint="eastAsia" w:cs="Times New Roman"/>
          <w:lang w:bidi="ar"/>
        </w:rPr>
        <w:t>）危险废物调查：应查明危险废物名称、类别与来源、物理形态、主要有害成分及危险特性（如易燃性、腐蚀性、毒性、反应性等）、产生量与贮存量、贮存设施及防渗措施、转移与处置去向及合规性（如转移联单执行情况）、污染程度与环境风险等。</w:t>
      </w:r>
    </w:p>
    <w:p w14:paraId="6F1257F3">
      <w:pPr>
        <w:ind w:firstLine="0" w:firstLineChars="0"/>
        <w:rPr>
          <w:rFonts w:cs="Times New Roman"/>
        </w:rPr>
      </w:pPr>
      <w:r>
        <w:rPr>
          <w:rFonts w:hint="eastAsia" w:cs="Times New Roman"/>
        </w:rPr>
        <w:t>【条文说明】本款明确固体废弃物、废水与危险废物的调查要点与成果要求，要求系统识别“产生—贮存/排放—影响—综合利用—防治”的全过程信息，为污染防治与资源化利用提供依据。</w:t>
      </w:r>
    </w:p>
    <w:p w14:paraId="2DC4EE07">
      <w:pPr>
        <w:ind w:firstLine="241" w:firstLineChars="100"/>
        <w:rPr>
          <w:rFonts w:ascii="宋体" w:hAnsi="宋体" w:cs="宋体"/>
        </w:rPr>
      </w:pPr>
      <w:r>
        <w:rPr>
          <w:rFonts w:cs="Times New Roman"/>
          <w:b/>
          <w:bCs/>
        </w:rPr>
        <w:t xml:space="preserve">14 </w:t>
      </w:r>
      <w:r>
        <w:rPr>
          <w:rFonts w:hint="eastAsia" w:ascii="宋体" w:hAnsi="宋体" w:cs="宋体"/>
          <w:lang w:bidi="ar"/>
        </w:rPr>
        <w:t>土地利用现状</w:t>
      </w:r>
      <w:r>
        <w:rPr>
          <w:rFonts w:hint="eastAsia" w:cs="Times New Roman"/>
          <w:lang w:bidi="ar"/>
        </w:rPr>
        <w:t>应符合下列规定：</w:t>
      </w:r>
    </w:p>
    <w:p w14:paraId="76EC59FB">
      <w:pPr>
        <w:ind w:firstLine="480"/>
        <w:rPr>
          <w:rFonts w:cs="Times New Roman"/>
        </w:rPr>
      </w:pPr>
      <w:r>
        <w:rPr>
          <w:rFonts w:cs="Times New Roman"/>
          <w:lang w:bidi="ar"/>
        </w:rPr>
        <w:t>1</w:t>
      </w:r>
      <w:r>
        <w:rPr>
          <w:rFonts w:hint="eastAsia" w:cs="Times New Roman"/>
          <w:lang w:bidi="ar"/>
        </w:rPr>
        <w:t>）调查范围：应包括土地利用类型调查与土地权属调查。</w:t>
      </w:r>
    </w:p>
    <w:p w14:paraId="6444F169">
      <w:pPr>
        <w:ind w:firstLine="480"/>
        <w:rPr>
          <w:rFonts w:cs="Times New Roman"/>
          <w:lang w:bidi="ar"/>
        </w:rPr>
      </w:pPr>
      <w:r>
        <w:rPr>
          <w:rFonts w:cs="Times New Roman"/>
          <w:lang w:bidi="ar"/>
        </w:rPr>
        <w:t>2</w:t>
      </w:r>
      <w:r>
        <w:rPr>
          <w:rFonts w:hint="eastAsia" w:cs="Times New Roman"/>
          <w:lang w:bidi="ar"/>
        </w:rPr>
        <w:t>）土地利用类型调查内容与要求：</w:t>
      </w:r>
    </w:p>
    <w:p w14:paraId="40062482">
      <w:pPr>
        <w:ind w:left="566" w:leftChars="236" w:firstLine="141" w:firstLineChars="59"/>
        <w:rPr>
          <w:rFonts w:cs="Times New Roman"/>
          <w:lang w:bidi="ar"/>
        </w:rPr>
      </w:pPr>
      <w:r>
        <w:rPr>
          <w:rFonts w:hint="eastAsia" w:cs="Times New Roman"/>
          <w:lang w:bidi="ar"/>
        </w:rPr>
        <w:t>a</w:t>
      </w:r>
      <w:r>
        <w:rPr>
          <w:rFonts w:cs="Times New Roman"/>
          <w:lang w:bidi="ar"/>
        </w:rPr>
        <w:t xml:space="preserve"> </w:t>
      </w:r>
      <w:r>
        <w:rPr>
          <w:rFonts w:hint="eastAsia" w:cs="Times New Roman"/>
          <w:lang w:bidi="ar"/>
        </w:rPr>
        <w:t>资料收集与现状判读：应收集并利用最新的土地调查资料，查明不同类型土地的利用状况，分析土地利用现状与存在问题；</w:t>
      </w:r>
    </w:p>
    <w:p w14:paraId="37942080">
      <w:pPr>
        <w:ind w:left="566" w:leftChars="236" w:firstLine="141" w:firstLineChars="59"/>
        <w:rPr>
          <w:rFonts w:cs="Times New Roman"/>
          <w:lang w:bidi="ar"/>
        </w:rPr>
      </w:pPr>
      <w:r>
        <w:rPr>
          <w:rFonts w:cs="Times New Roman"/>
          <w:lang w:bidi="ar"/>
        </w:rPr>
        <w:t xml:space="preserve">b </w:t>
      </w:r>
      <w:r>
        <w:rPr>
          <w:rFonts w:hint="eastAsia" w:cs="Times New Roman"/>
          <w:lang w:bidi="ar"/>
        </w:rPr>
        <w:t>规划衔接与要素核实：结合所在地国土空间规划（或土地利用总体规划），调查工程修复区范围内的土地利用类型、数量、质量等级，说明各类土地所占比例，水利与道路等配套设施状况以及主要农作物生产水平。</w:t>
      </w:r>
    </w:p>
    <w:p w14:paraId="444F37D2">
      <w:pPr>
        <w:ind w:left="458" w:leftChars="191" w:firstLine="240" w:firstLineChars="100"/>
        <w:rPr>
          <w:rFonts w:cs="Times New Roman"/>
          <w:lang w:bidi="ar"/>
        </w:rPr>
      </w:pPr>
      <w:r>
        <w:rPr>
          <w:rFonts w:cs="Times New Roman"/>
          <w:lang w:bidi="ar"/>
        </w:rPr>
        <w:t xml:space="preserve">c </w:t>
      </w:r>
      <w:r>
        <w:rPr>
          <w:rFonts w:hint="eastAsia" w:cs="Times New Roman"/>
          <w:lang w:bidi="ar"/>
        </w:rPr>
        <w:t>分类体系：土地利用现状分类按照《国土空间调查、规划、用途管制用地用海分类指南（试行）》（自然资源部，</w:t>
      </w:r>
      <w:r>
        <w:rPr>
          <w:rFonts w:cs="Times New Roman"/>
          <w:lang w:bidi="ar"/>
        </w:rPr>
        <w:t>2020</w:t>
      </w:r>
      <w:r>
        <w:rPr>
          <w:rFonts w:hint="eastAsia" w:cs="Times New Roman"/>
          <w:lang w:bidi="ar"/>
        </w:rPr>
        <w:t>年</w:t>
      </w:r>
      <w:r>
        <w:rPr>
          <w:rFonts w:cs="Times New Roman"/>
          <w:lang w:bidi="ar"/>
        </w:rPr>
        <w:t>11</w:t>
      </w:r>
      <w:r>
        <w:rPr>
          <w:rFonts w:hint="eastAsia" w:cs="Times New Roman"/>
          <w:lang w:bidi="ar"/>
        </w:rPr>
        <w:t>月）分类体系。与《中华人民共和国土地管理法》“农用地、建设用地、未利用地三大类”相对应。</w:t>
      </w:r>
    </w:p>
    <w:p w14:paraId="43EE3378">
      <w:pPr>
        <w:ind w:firstLine="480"/>
        <w:rPr>
          <w:rFonts w:cs="Times New Roman"/>
        </w:rPr>
      </w:pPr>
      <w:r>
        <w:rPr>
          <w:rFonts w:cs="Times New Roman"/>
          <w:lang w:bidi="ar"/>
        </w:rPr>
        <w:t>3</w:t>
      </w:r>
      <w:r>
        <w:rPr>
          <w:rFonts w:hint="eastAsia" w:cs="Times New Roman"/>
          <w:lang w:bidi="ar"/>
        </w:rPr>
        <w:t>）土地权属调查要求：</w:t>
      </w:r>
    </w:p>
    <w:p w14:paraId="243952C5">
      <w:pPr>
        <w:ind w:firstLine="679" w:firstLineChars="283"/>
        <w:rPr>
          <w:rFonts w:cs="Times New Roman"/>
        </w:rPr>
      </w:pPr>
      <w:r>
        <w:rPr>
          <w:rFonts w:cs="Times New Roman"/>
          <w:lang w:bidi="ar"/>
        </w:rPr>
        <w:t xml:space="preserve">a </w:t>
      </w:r>
      <w:r>
        <w:rPr>
          <w:rFonts w:hint="eastAsia" w:cs="Times New Roman"/>
          <w:lang w:bidi="ar"/>
        </w:rPr>
        <w:t>说明复垦区土地的所有权、使用权和承包经营权状况；</w:t>
      </w:r>
    </w:p>
    <w:p w14:paraId="578CF1A8">
      <w:pPr>
        <w:ind w:firstLine="679" w:firstLineChars="283"/>
        <w:rPr>
          <w:rFonts w:cs="Times New Roman"/>
          <w:lang w:bidi="ar"/>
        </w:rPr>
      </w:pPr>
      <w:r>
        <w:rPr>
          <w:rFonts w:cs="Times New Roman"/>
          <w:lang w:bidi="ar"/>
        </w:rPr>
        <w:t xml:space="preserve">b </w:t>
      </w:r>
      <w:r>
        <w:rPr>
          <w:rFonts w:hint="eastAsia" w:cs="Times New Roman"/>
          <w:lang w:bidi="ar"/>
        </w:rPr>
        <w:t>集体所有土地权属应具体到行政村或村民小组；</w:t>
      </w:r>
    </w:p>
    <w:p w14:paraId="3F53C9C0">
      <w:pPr>
        <w:ind w:firstLine="679" w:firstLineChars="283"/>
        <w:rPr>
          <w:rFonts w:cs="Times New Roman"/>
          <w:lang w:bidi="ar"/>
        </w:rPr>
      </w:pPr>
      <w:r>
        <w:rPr>
          <w:rFonts w:hint="eastAsia" w:cs="Times New Roman"/>
          <w:lang w:bidi="ar"/>
        </w:rPr>
        <w:t>c</w:t>
      </w:r>
      <w:r>
        <w:rPr>
          <w:rFonts w:cs="Times New Roman"/>
          <w:lang w:bidi="ar"/>
        </w:rPr>
        <w:t xml:space="preserve"> </w:t>
      </w:r>
      <w:r>
        <w:rPr>
          <w:rFonts w:hint="eastAsia" w:cs="Times New Roman"/>
          <w:lang w:bidi="ar"/>
        </w:rPr>
        <w:t>需要征（租）土地的工程，应说明征（租）前的权属状况。</w:t>
      </w:r>
    </w:p>
    <w:p w14:paraId="0A8B50E6">
      <w:pPr>
        <w:ind w:firstLine="679" w:firstLineChars="283"/>
        <w:rPr>
          <w:rFonts w:cs="Times New Roman"/>
          <w:lang w:bidi="ar"/>
        </w:rPr>
      </w:pPr>
      <w:r>
        <w:rPr>
          <w:rFonts w:hint="eastAsia" w:cs="Times New Roman"/>
          <w:lang w:bidi="ar"/>
        </w:rPr>
        <w:t>d</w:t>
      </w:r>
      <w:r>
        <w:rPr>
          <w:rFonts w:cs="Times New Roman"/>
          <w:lang w:bidi="ar"/>
        </w:rPr>
        <w:t xml:space="preserve"> </w:t>
      </w:r>
      <w:r>
        <w:rPr>
          <w:rFonts w:hint="eastAsia" w:cs="Times New Roman"/>
          <w:lang w:bidi="ar"/>
        </w:rPr>
        <w:t>土地利用权属调查表可参照本文件附录B 表B.1。</w:t>
      </w:r>
    </w:p>
    <w:p w14:paraId="20BB859C">
      <w:pPr>
        <w:ind w:firstLine="199" w:firstLineChars="83"/>
        <w:rPr>
          <w:rFonts w:cs="Times New Roman"/>
          <w:lang w:bidi="ar"/>
        </w:rPr>
      </w:pPr>
      <w:r>
        <w:rPr>
          <w:rFonts w:hint="eastAsia" w:cs="Times New Roman"/>
          <w:lang w:bidi="ar"/>
        </w:rPr>
        <w:t>【条文说明】本条明确土地利用现状与权属两类调查要点，要求与国土空间规划和现行分类体系有效衔接，并做到权属清晰、层级到位，为复垦定位与后续治理提供依据。</w:t>
      </w:r>
    </w:p>
    <w:p w14:paraId="44BD6B29">
      <w:pPr>
        <w:ind w:firstLine="241" w:firstLineChars="100"/>
        <w:rPr>
          <w:rFonts w:cs="Times New Roman"/>
        </w:rPr>
      </w:pPr>
      <w:r>
        <w:rPr>
          <w:rFonts w:hint="eastAsia" w:cs="Times New Roman"/>
          <w:b/>
          <w:bCs/>
        </w:rPr>
        <w:t>1</w:t>
      </w:r>
      <w:r>
        <w:rPr>
          <w:rFonts w:cs="Times New Roman"/>
          <w:b/>
          <w:bCs/>
        </w:rPr>
        <w:t>5</w:t>
      </w:r>
      <w:r>
        <w:rPr>
          <w:rFonts w:cs="Times New Roman"/>
        </w:rPr>
        <w:t xml:space="preserve"> </w:t>
      </w:r>
      <w:r>
        <w:rPr>
          <w:rFonts w:hint="eastAsia" w:cs="Times New Roman"/>
        </w:rPr>
        <w:t>土地损毁调查应符合下列规定：</w:t>
      </w:r>
    </w:p>
    <w:p w14:paraId="1318544A">
      <w:pPr>
        <w:ind w:left="240" w:leftChars="100" w:firstLine="240" w:firstLineChars="100"/>
        <w:rPr>
          <w:rFonts w:cs="Times New Roman"/>
        </w:rPr>
      </w:pPr>
      <w:r>
        <w:rPr>
          <w:rFonts w:hint="eastAsia" w:cs="Times New Roman"/>
        </w:rPr>
        <w:t>1）调查内容：</w:t>
      </w:r>
    </w:p>
    <w:p w14:paraId="7AE654A3">
      <w:pPr>
        <w:ind w:left="240" w:leftChars="100" w:firstLine="480"/>
        <w:rPr>
          <w:rFonts w:cs="Times New Roman"/>
        </w:rPr>
      </w:pPr>
      <w:r>
        <w:rPr>
          <w:rFonts w:cs="Times New Roman"/>
        </w:rPr>
        <w:t xml:space="preserve">a </w:t>
      </w:r>
      <w:r>
        <w:rPr>
          <w:rFonts w:hint="eastAsia" w:cs="Times New Roman"/>
        </w:rPr>
        <w:t>挖损、塌陷与压占：查明因采矿活动（露天采场、采空塌陷、生产场地、采矿废弃物、办公及生活设施等）造成的土地类型、权属、位置、范围、面积、原因与程度；</w:t>
      </w:r>
    </w:p>
    <w:p w14:paraId="7149DE88">
      <w:pPr>
        <w:ind w:left="240" w:leftChars="100" w:firstLine="480"/>
        <w:rPr>
          <w:rFonts w:cs="Times New Roman"/>
        </w:rPr>
      </w:pPr>
      <w:r>
        <w:rPr>
          <w:rFonts w:cs="Times New Roman"/>
        </w:rPr>
        <w:t xml:space="preserve">b </w:t>
      </w:r>
      <w:r>
        <w:rPr>
          <w:rFonts w:hint="eastAsia" w:cs="Times New Roman"/>
        </w:rPr>
        <w:t>土地污染：查明采矿活动（地下含水层破坏、废液排放、堆积物淋滤液等）对矿区及周边土壤的污染，应开展土样采集与测试评价以判定污染程度与范围；</w:t>
      </w:r>
    </w:p>
    <w:p w14:paraId="39EB0835">
      <w:pPr>
        <w:ind w:left="240" w:leftChars="100" w:firstLine="480"/>
        <w:rPr>
          <w:rFonts w:cs="Times New Roman"/>
        </w:rPr>
      </w:pPr>
      <w:r>
        <w:rPr>
          <w:rFonts w:cs="Times New Roman"/>
        </w:rPr>
        <w:t xml:space="preserve">c </w:t>
      </w:r>
      <w:r>
        <w:rPr>
          <w:rFonts w:hint="eastAsia" w:cs="Times New Roman"/>
        </w:rPr>
        <w:t>水土流失：查明因采矿及相关建设活动诱发的水土流失对土地的损毁特征与程度；</w:t>
      </w:r>
    </w:p>
    <w:p w14:paraId="31C4E06F">
      <w:pPr>
        <w:ind w:left="240" w:leftChars="100" w:firstLine="480"/>
        <w:rPr>
          <w:rFonts w:cs="Times New Roman"/>
        </w:rPr>
      </w:pPr>
      <w:r>
        <w:rPr>
          <w:rFonts w:cs="Times New Roman"/>
        </w:rPr>
        <w:t xml:space="preserve">d </w:t>
      </w:r>
      <w:r>
        <w:rPr>
          <w:rFonts w:hint="eastAsia" w:cs="Times New Roman"/>
        </w:rPr>
        <w:t>地质灾害：查明地质灾害对土地的损毁范围、类型与程度。。</w:t>
      </w:r>
    </w:p>
    <w:p w14:paraId="68E2C250">
      <w:pPr>
        <w:ind w:left="240" w:leftChars="100" w:firstLine="240" w:firstLineChars="100"/>
        <w:rPr>
          <w:rFonts w:cs="Times New Roman"/>
        </w:rPr>
      </w:pPr>
      <w:r>
        <w:rPr>
          <w:rFonts w:hint="eastAsia" w:cs="Times New Roman"/>
        </w:rPr>
        <w:t>2）类型分类：应按损毁主体、损毁方式与场地类型实行三级分类（可参照本文件表</w:t>
      </w:r>
      <w:r>
        <w:rPr>
          <w:rFonts w:cs="Times New Roman"/>
        </w:rPr>
        <w:t>5</w:t>
      </w:r>
      <w:r>
        <w:rPr>
          <w:rFonts w:hint="eastAsia" w:cs="Times New Roman"/>
        </w:rPr>
        <w:t>.2.2）：</w:t>
      </w:r>
    </w:p>
    <w:p w14:paraId="5E45558C">
      <w:pPr>
        <w:ind w:left="480" w:leftChars="200" w:firstLine="240" w:firstLineChars="100"/>
        <w:rPr>
          <w:rFonts w:cs="Times New Roman"/>
        </w:rPr>
      </w:pPr>
      <w:r>
        <w:rPr>
          <w:rFonts w:cs="Times New Roman"/>
          <w:lang w:bidi="ar"/>
        </w:rPr>
        <w:t xml:space="preserve">a </w:t>
      </w:r>
      <w:r>
        <w:rPr>
          <w:rFonts w:hint="eastAsia" w:cs="Times New Roman"/>
          <w:lang w:bidi="ar"/>
        </w:rPr>
        <w:t>一级类型：矿业等人类工程活动损毁、自然灾害损毁；</w:t>
      </w:r>
    </w:p>
    <w:p w14:paraId="20A5D18D">
      <w:pPr>
        <w:ind w:left="480" w:leftChars="200" w:firstLine="240" w:firstLineChars="100"/>
        <w:rPr>
          <w:rFonts w:cs="Times New Roman"/>
          <w:lang w:bidi="ar"/>
        </w:rPr>
      </w:pPr>
      <w:r>
        <w:rPr>
          <w:rFonts w:cs="Times New Roman"/>
          <w:lang w:bidi="ar"/>
        </w:rPr>
        <w:t xml:space="preserve">b </w:t>
      </w:r>
      <w:r>
        <w:rPr>
          <w:rFonts w:hint="eastAsia" w:cs="Times New Roman"/>
          <w:lang w:bidi="ar"/>
        </w:rPr>
        <w:t>二级类型：人类活动损毁包括挖损、塌陷、压占等；自然灾害损毁包括水毁土地等；</w:t>
      </w:r>
    </w:p>
    <w:p w14:paraId="24EFB793">
      <w:pPr>
        <w:ind w:left="480" w:leftChars="200" w:firstLine="240" w:firstLineChars="100"/>
        <w:rPr>
          <w:rFonts w:cs="Times New Roman"/>
        </w:rPr>
      </w:pPr>
      <w:r>
        <w:rPr>
          <w:rFonts w:hint="eastAsia" w:cs="Times New Roman"/>
          <w:lang w:bidi="ar"/>
        </w:rPr>
        <w:t>c</w:t>
      </w:r>
      <w:r>
        <w:rPr>
          <w:rFonts w:cs="Times New Roman"/>
          <w:lang w:bidi="ar"/>
        </w:rPr>
        <w:t xml:space="preserve"> </w:t>
      </w:r>
      <w:r>
        <w:rPr>
          <w:rFonts w:hint="eastAsia" w:cs="Times New Roman"/>
          <w:lang w:bidi="ar"/>
        </w:rPr>
        <w:t>在二级分类基础上，结合场地类型细化三级分类。土地损毁与土壤污染调查记录表格式可参照本文件附录B 表B.2。</w:t>
      </w:r>
    </w:p>
    <w:p w14:paraId="1B624278">
      <w:pPr>
        <w:ind w:firstLine="482"/>
        <w:jc w:val="center"/>
        <w:rPr>
          <w:rFonts w:ascii="Times" w:hAnsi="Times"/>
          <w:b/>
          <w:bCs/>
        </w:rPr>
      </w:pPr>
      <w:r>
        <w:rPr>
          <w:rFonts w:hint="eastAsia" w:ascii="Times" w:hAnsi="Times"/>
          <w:b/>
          <w:bCs/>
        </w:rPr>
        <w:t>表</w:t>
      </w:r>
      <w:r>
        <w:rPr>
          <w:rFonts w:ascii="Times" w:hAnsi="Times" w:cs="Times New Roman"/>
          <w:b/>
          <w:bCs/>
        </w:rPr>
        <w:t>5.2-2</w:t>
      </w:r>
      <w:r>
        <w:rPr>
          <w:rFonts w:hint="eastAsia" w:ascii="Times" w:hAnsi="Times"/>
          <w:b/>
          <w:bCs/>
        </w:rPr>
        <w:t>土地损毁类型表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743"/>
        <w:gridCol w:w="1466"/>
        <w:gridCol w:w="1467"/>
        <w:gridCol w:w="1270"/>
        <w:gridCol w:w="2857"/>
      </w:tblGrid>
      <w:tr w14:paraId="1D5D2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58" w:type="pct"/>
            <w:gridSpan w:val="2"/>
            <w:tcBorders>
              <w:bottom w:val="single" w:color="auto" w:sz="2" w:space="0"/>
            </w:tcBorders>
            <w:shd w:val="clear" w:color="auto" w:fill="auto"/>
            <w:vAlign w:val="center"/>
          </w:tcPr>
          <w:p w14:paraId="239CB4AF">
            <w:pPr>
              <w:widowControl/>
              <w:spacing w:line="240" w:lineRule="auto"/>
              <w:ind w:firstLine="0" w:firstLineChars="0"/>
              <w:jc w:val="center"/>
              <w:rPr>
                <w:rFonts w:cs="Times New Roman"/>
                <w:color w:val="000000"/>
                <w:kern w:val="0"/>
                <w:sz w:val="21"/>
                <w:szCs w:val="21"/>
              </w:rPr>
            </w:pPr>
            <w:r>
              <w:rPr>
                <w:rFonts w:hint="eastAsia" w:cs="Times New Roman"/>
                <w:color w:val="000000"/>
                <w:kern w:val="0"/>
                <w:sz w:val="21"/>
                <w:szCs w:val="21"/>
              </w:rPr>
              <w:t>一级分类</w:t>
            </w:r>
          </w:p>
        </w:tc>
        <w:tc>
          <w:tcPr>
            <w:tcW w:w="1721" w:type="pct"/>
            <w:gridSpan w:val="2"/>
            <w:tcBorders>
              <w:bottom w:val="single" w:color="auto" w:sz="2" w:space="0"/>
            </w:tcBorders>
            <w:shd w:val="clear" w:color="auto" w:fill="auto"/>
            <w:vAlign w:val="center"/>
          </w:tcPr>
          <w:p w14:paraId="4DCC752A">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二级分类</w:t>
            </w:r>
          </w:p>
        </w:tc>
        <w:tc>
          <w:tcPr>
            <w:tcW w:w="2421" w:type="pct"/>
            <w:gridSpan w:val="2"/>
            <w:tcBorders>
              <w:bottom w:val="single" w:color="auto" w:sz="2" w:space="0"/>
            </w:tcBorders>
            <w:shd w:val="clear" w:color="auto" w:fill="auto"/>
            <w:vAlign w:val="center"/>
          </w:tcPr>
          <w:p w14:paraId="37B7B30F">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三级分类</w:t>
            </w:r>
          </w:p>
        </w:tc>
      </w:tr>
      <w:tr w14:paraId="292D5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tcBorders>
              <w:top w:val="single" w:color="auto" w:sz="2" w:space="0"/>
              <w:left w:val="single" w:color="auto" w:sz="4" w:space="0"/>
              <w:bottom w:val="single" w:color="auto" w:sz="2" w:space="0"/>
              <w:right w:val="single" w:color="auto" w:sz="4" w:space="0"/>
            </w:tcBorders>
            <w:shd w:val="clear" w:color="auto" w:fill="auto"/>
            <w:vAlign w:val="center"/>
          </w:tcPr>
          <w:p w14:paraId="19E2FA97">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代码</w:t>
            </w:r>
          </w:p>
        </w:tc>
        <w:tc>
          <w:tcPr>
            <w:tcW w:w="436" w:type="pct"/>
            <w:tcBorders>
              <w:top w:val="single" w:color="auto" w:sz="2" w:space="0"/>
              <w:left w:val="single" w:color="auto" w:sz="4" w:space="0"/>
              <w:bottom w:val="single" w:color="auto" w:sz="2" w:space="0"/>
              <w:right w:val="single" w:color="auto" w:sz="4" w:space="0"/>
            </w:tcBorders>
            <w:shd w:val="clear" w:color="auto" w:fill="auto"/>
            <w:vAlign w:val="center"/>
          </w:tcPr>
          <w:p w14:paraId="33B4352B">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名称</w:t>
            </w:r>
          </w:p>
        </w:tc>
        <w:tc>
          <w:tcPr>
            <w:tcW w:w="860" w:type="pct"/>
            <w:tcBorders>
              <w:top w:val="single" w:color="auto" w:sz="2" w:space="0"/>
              <w:left w:val="single" w:color="auto" w:sz="4" w:space="0"/>
              <w:bottom w:val="single" w:color="auto" w:sz="2" w:space="0"/>
              <w:right w:val="single" w:color="auto" w:sz="4" w:space="0"/>
            </w:tcBorders>
            <w:shd w:val="clear" w:color="auto" w:fill="auto"/>
            <w:vAlign w:val="center"/>
          </w:tcPr>
          <w:p w14:paraId="236882F2">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代码</w:t>
            </w:r>
          </w:p>
        </w:tc>
        <w:tc>
          <w:tcPr>
            <w:tcW w:w="861" w:type="pct"/>
            <w:tcBorders>
              <w:top w:val="single" w:color="auto" w:sz="2" w:space="0"/>
              <w:left w:val="single" w:color="auto" w:sz="4" w:space="0"/>
              <w:bottom w:val="single" w:color="auto" w:sz="2" w:space="0"/>
              <w:right w:val="single" w:color="auto" w:sz="4" w:space="0"/>
            </w:tcBorders>
            <w:shd w:val="clear" w:color="auto" w:fill="auto"/>
            <w:vAlign w:val="center"/>
          </w:tcPr>
          <w:p w14:paraId="7B744CF6">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名称</w:t>
            </w:r>
          </w:p>
        </w:tc>
        <w:tc>
          <w:tcPr>
            <w:tcW w:w="745" w:type="pct"/>
            <w:tcBorders>
              <w:top w:val="single" w:color="auto" w:sz="2" w:space="0"/>
              <w:left w:val="single" w:color="auto" w:sz="4" w:space="0"/>
              <w:bottom w:val="single" w:color="auto" w:sz="2" w:space="0"/>
              <w:right w:val="single" w:color="auto" w:sz="4" w:space="0"/>
            </w:tcBorders>
            <w:shd w:val="clear" w:color="auto" w:fill="auto"/>
            <w:vAlign w:val="center"/>
          </w:tcPr>
          <w:p w14:paraId="37B96B69">
            <w:pPr>
              <w:widowControl/>
              <w:spacing w:line="240" w:lineRule="auto"/>
              <w:ind w:firstLine="0" w:firstLineChars="0"/>
              <w:jc w:val="center"/>
              <w:rPr>
                <w:rFonts w:cs="宋体"/>
                <w:color w:val="000000"/>
                <w:kern w:val="0"/>
                <w:sz w:val="21"/>
              </w:rPr>
            </w:pPr>
            <w:r>
              <w:rPr>
                <w:rFonts w:hint="eastAsia" w:cs="宋体"/>
                <w:color w:val="000000"/>
                <w:kern w:val="0"/>
                <w:sz w:val="21"/>
                <w:szCs w:val="21"/>
              </w:rPr>
              <w:t>代码</w:t>
            </w:r>
          </w:p>
        </w:tc>
        <w:tc>
          <w:tcPr>
            <w:tcW w:w="1676" w:type="pct"/>
            <w:tcBorders>
              <w:top w:val="single" w:color="auto" w:sz="2" w:space="0"/>
              <w:left w:val="single" w:color="auto" w:sz="4" w:space="0"/>
              <w:bottom w:val="single" w:color="auto" w:sz="2" w:space="0"/>
              <w:right w:val="single" w:color="auto" w:sz="4" w:space="0"/>
            </w:tcBorders>
            <w:shd w:val="clear" w:color="auto" w:fill="auto"/>
            <w:vAlign w:val="center"/>
          </w:tcPr>
          <w:p w14:paraId="5F5A604D">
            <w:pPr>
              <w:widowControl/>
              <w:spacing w:line="240" w:lineRule="auto"/>
              <w:ind w:firstLine="0" w:firstLineChars="0"/>
              <w:jc w:val="left"/>
              <w:rPr>
                <w:rFonts w:cs="宋体"/>
                <w:color w:val="000000"/>
                <w:kern w:val="0"/>
                <w:sz w:val="21"/>
              </w:rPr>
            </w:pPr>
            <w:r>
              <w:rPr>
                <w:rFonts w:hint="eastAsia" w:cs="宋体"/>
                <w:color w:val="000000"/>
                <w:kern w:val="0"/>
                <w:sz w:val="21"/>
                <w:szCs w:val="21"/>
              </w:rPr>
              <w:t>名称</w:t>
            </w:r>
          </w:p>
        </w:tc>
      </w:tr>
      <w:tr w14:paraId="72273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422" w:type="pct"/>
            <w:vMerge w:val="restart"/>
            <w:tcBorders>
              <w:top w:val="single" w:color="auto" w:sz="2" w:space="0"/>
              <w:left w:val="single" w:color="auto" w:sz="4" w:space="0"/>
              <w:right w:val="single" w:color="auto" w:sz="4" w:space="0"/>
            </w:tcBorders>
            <w:shd w:val="clear" w:color="auto" w:fill="auto"/>
            <w:vAlign w:val="center"/>
          </w:tcPr>
          <w:p w14:paraId="4C5248E9">
            <w:pPr>
              <w:widowControl/>
              <w:spacing w:line="240" w:lineRule="auto"/>
              <w:ind w:firstLine="0" w:firstLineChars="0"/>
              <w:jc w:val="center"/>
              <w:rPr>
                <w:rFonts w:cs="宋体"/>
                <w:color w:val="000000"/>
                <w:kern w:val="0"/>
                <w:sz w:val="21"/>
                <w:szCs w:val="21"/>
              </w:rPr>
            </w:pPr>
            <w:r>
              <w:rPr>
                <w:rFonts w:cs="宋体"/>
                <w:color w:val="000000"/>
                <w:kern w:val="0"/>
                <w:sz w:val="21"/>
                <w:szCs w:val="21"/>
              </w:rPr>
              <w:t>1</w:t>
            </w:r>
          </w:p>
        </w:tc>
        <w:tc>
          <w:tcPr>
            <w:tcW w:w="436" w:type="pct"/>
            <w:vMerge w:val="restart"/>
            <w:tcBorders>
              <w:top w:val="single" w:color="auto" w:sz="2" w:space="0"/>
              <w:left w:val="single" w:color="auto" w:sz="4" w:space="0"/>
              <w:right w:val="single" w:color="auto" w:sz="4" w:space="0"/>
            </w:tcBorders>
            <w:shd w:val="clear" w:color="auto" w:fill="auto"/>
            <w:vAlign w:val="center"/>
          </w:tcPr>
          <w:p w14:paraId="0BC3EC90">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生产建设活动损毁</w:t>
            </w:r>
          </w:p>
        </w:tc>
        <w:tc>
          <w:tcPr>
            <w:tcW w:w="860" w:type="pct"/>
            <w:tcBorders>
              <w:top w:val="single" w:color="auto" w:sz="2" w:space="0"/>
              <w:left w:val="single" w:color="auto" w:sz="4" w:space="0"/>
              <w:right w:val="single" w:color="auto" w:sz="4" w:space="0"/>
            </w:tcBorders>
            <w:shd w:val="clear" w:color="auto" w:fill="auto"/>
            <w:vAlign w:val="center"/>
          </w:tcPr>
          <w:p w14:paraId="76570296">
            <w:pPr>
              <w:widowControl/>
              <w:spacing w:line="240" w:lineRule="auto"/>
              <w:ind w:firstLine="0" w:firstLineChars="0"/>
              <w:jc w:val="center"/>
              <w:rPr>
                <w:rFonts w:cs="宋体"/>
                <w:color w:val="000000"/>
                <w:kern w:val="0"/>
                <w:sz w:val="21"/>
                <w:szCs w:val="21"/>
              </w:rPr>
            </w:pPr>
            <w:r>
              <w:rPr>
                <w:rFonts w:cs="宋体"/>
                <w:color w:val="000000"/>
                <w:kern w:val="0"/>
                <w:sz w:val="21"/>
                <w:szCs w:val="21"/>
              </w:rPr>
              <w:t>11</w:t>
            </w:r>
          </w:p>
        </w:tc>
        <w:tc>
          <w:tcPr>
            <w:tcW w:w="861" w:type="pct"/>
            <w:tcBorders>
              <w:top w:val="single" w:color="auto" w:sz="2" w:space="0"/>
              <w:left w:val="single" w:color="auto" w:sz="4" w:space="0"/>
              <w:right w:val="single" w:color="auto" w:sz="4" w:space="0"/>
            </w:tcBorders>
            <w:shd w:val="clear" w:color="auto" w:fill="auto"/>
            <w:vAlign w:val="center"/>
          </w:tcPr>
          <w:p w14:paraId="030B3021">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挖损土地</w:t>
            </w:r>
          </w:p>
        </w:tc>
        <w:tc>
          <w:tcPr>
            <w:tcW w:w="745" w:type="pct"/>
            <w:tcBorders>
              <w:top w:val="single" w:color="auto" w:sz="2" w:space="0"/>
              <w:left w:val="single" w:color="auto" w:sz="4" w:space="0"/>
              <w:right w:val="single" w:color="auto" w:sz="4" w:space="0"/>
            </w:tcBorders>
            <w:shd w:val="clear" w:color="auto" w:fill="auto"/>
            <w:vAlign w:val="center"/>
          </w:tcPr>
          <w:p w14:paraId="5F420A60">
            <w:pPr>
              <w:widowControl/>
              <w:spacing w:line="240" w:lineRule="auto"/>
              <w:ind w:firstLine="0" w:firstLineChars="0"/>
              <w:jc w:val="center"/>
              <w:rPr>
                <w:sz w:val="21"/>
                <w:szCs w:val="21"/>
              </w:rPr>
            </w:pPr>
            <w:r>
              <w:rPr>
                <w:rFonts w:hint="eastAsia"/>
                <w:sz w:val="21"/>
                <w:szCs w:val="21"/>
              </w:rPr>
              <w:t>111</w:t>
            </w:r>
          </w:p>
          <w:p w14:paraId="0394DB0D">
            <w:pPr>
              <w:widowControl/>
              <w:spacing w:line="240" w:lineRule="auto"/>
              <w:ind w:firstLine="0" w:firstLineChars="0"/>
              <w:jc w:val="center"/>
              <w:rPr>
                <w:sz w:val="21"/>
                <w:szCs w:val="21"/>
              </w:rPr>
            </w:pPr>
            <w:r>
              <w:rPr>
                <w:sz w:val="21"/>
                <w:szCs w:val="21"/>
              </w:rPr>
              <w:t>112</w:t>
            </w:r>
          </w:p>
          <w:p w14:paraId="00A4217F">
            <w:pPr>
              <w:widowControl/>
              <w:spacing w:line="240" w:lineRule="auto"/>
              <w:ind w:firstLine="0" w:firstLineChars="0"/>
              <w:jc w:val="center"/>
              <w:rPr>
                <w:rFonts w:cs="宋体"/>
                <w:color w:val="000000"/>
                <w:kern w:val="0"/>
                <w:sz w:val="21"/>
              </w:rPr>
            </w:pPr>
            <w:r>
              <w:rPr>
                <w:sz w:val="21"/>
                <w:szCs w:val="21"/>
              </w:rPr>
              <w:t>113</w:t>
            </w:r>
          </w:p>
        </w:tc>
        <w:tc>
          <w:tcPr>
            <w:tcW w:w="1676" w:type="pct"/>
            <w:tcBorders>
              <w:top w:val="single" w:color="auto" w:sz="2" w:space="0"/>
              <w:left w:val="single" w:color="auto" w:sz="4" w:space="0"/>
              <w:right w:val="single" w:color="auto" w:sz="4" w:space="0"/>
            </w:tcBorders>
            <w:shd w:val="clear" w:color="auto" w:fill="auto"/>
            <w:vAlign w:val="center"/>
          </w:tcPr>
          <w:p w14:paraId="33A5B937">
            <w:pPr>
              <w:widowControl/>
              <w:spacing w:line="240" w:lineRule="auto"/>
              <w:ind w:firstLine="0" w:firstLineChars="0"/>
              <w:jc w:val="left"/>
              <w:rPr>
                <w:rFonts w:cs="Times New Roman"/>
                <w:color w:val="000000"/>
                <w:kern w:val="0"/>
                <w:sz w:val="21"/>
                <w:szCs w:val="21"/>
              </w:rPr>
            </w:pPr>
            <w:r>
              <w:rPr>
                <w:rFonts w:hint="eastAsia" w:cs="Times New Roman"/>
                <w:color w:val="000000"/>
                <w:kern w:val="0"/>
                <w:sz w:val="21"/>
                <w:szCs w:val="21"/>
              </w:rPr>
              <w:t>露天采场（坑）</w:t>
            </w:r>
          </w:p>
          <w:p w14:paraId="77BF2FAC">
            <w:pPr>
              <w:widowControl/>
              <w:spacing w:line="240" w:lineRule="auto"/>
              <w:ind w:firstLine="0" w:firstLineChars="0"/>
              <w:jc w:val="left"/>
              <w:rPr>
                <w:rFonts w:cs="Times New Roman"/>
                <w:color w:val="000000"/>
                <w:kern w:val="0"/>
                <w:sz w:val="21"/>
                <w:szCs w:val="21"/>
              </w:rPr>
            </w:pPr>
            <w:r>
              <w:rPr>
                <w:rFonts w:hint="eastAsia" w:cs="Times New Roman"/>
                <w:color w:val="000000"/>
                <w:kern w:val="0"/>
                <w:sz w:val="21"/>
                <w:szCs w:val="21"/>
              </w:rPr>
              <w:t>取土地</w:t>
            </w:r>
          </w:p>
          <w:p w14:paraId="7C94C3C4">
            <w:pPr>
              <w:widowControl/>
              <w:spacing w:line="240" w:lineRule="auto"/>
              <w:ind w:firstLine="0" w:firstLineChars="0"/>
              <w:jc w:val="left"/>
              <w:rPr>
                <w:rFonts w:cs="Times New Roman"/>
                <w:color w:val="000000"/>
                <w:kern w:val="0"/>
                <w:sz w:val="21"/>
              </w:rPr>
            </w:pPr>
            <w:r>
              <w:rPr>
                <w:rFonts w:hint="eastAsia" w:cs="Times New Roman"/>
                <w:color w:val="000000"/>
                <w:kern w:val="0"/>
                <w:sz w:val="21"/>
                <w:szCs w:val="21"/>
              </w:rPr>
              <w:t>其他</w:t>
            </w:r>
          </w:p>
        </w:tc>
      </w:tr>
      <w:tr w14:paraId="371AC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422" w:type="pct"/>
            <w:vMerge w:val="continue"/>
            <w:tcBorders>
              <w:left w:val="single" w:color="auto" w:sz="4" w:space="0"/>
              <w:right w:val="single" w:color="auto" w:sz="4" w:space="0"/>
            </w:tcBorders>
            <w:shd w:val="clear" w:color="auto" w:fill="auto"/>
            <w:vAlign w:val="center"/>
          </w:tcPr>
          <w:p w14:paraId="664ABAEC">
            <w:pPr>
              <w:widowControl/>
              <w:spacing w:line="240" w:lineRule="auto"/>
              <w:ind w:firstLine="0" w:firstLineChars="0"/>
              <w:jc w:val="center"/>
              <w:rPr>
                <w:rFonts w:cs="宋体"/>
                <w:color w:val="000000"/>
                <w:kern w:val="0"/>
                <w:sz w:val="21"/>
                <w:szCs w:val="21"/>
              </w:rPr>
            </w:pPr>
          </w:p>
        </w:tc>
        <w:tc>
          <w:tcPr>
            <w:tcW w:w="436" w:type="pct"/>
            <w:vMerge w:val="continue"/>
            <w:tcBorders>
              <w:left w:val="single" w:color="auto" w:sz="4" w:space="0"/>
              <w:right w:val="single" w:color="auto" w:sz="4" w:space="0"/>
            </w:tcBorders>
            <w:shd w:val="clear" w:color="auto" w:fill="auto"/>
            <w:vAlign w:val="center"/>
          </w:tcPr>
          <w:p w14:paraId="5BF1D782">
            <w:pPr>
              <w:widowControl/>
              <w:spacing w:line="240" w:lineRule="auto"/>
              <w:ind w:firstLine="0" w:firstLineChars="0"/>
              <w:jc w:val="center"/>
              <w:rPr>
                <w:rFonts w:cs="宋体"/>
                <w:color w:val="000000"/>
                <w:kern w:val="0"/>
                <w:sz w:val="21"/>
                <w:szCs w:val="21"/>
              </w:rPr>
            </w:pPr>
          </w:p>
        </w:tc>
        <w:tc>
          <w:tcPr>
            <w:tcW w:w="860" w:type="pct"/>
            <w:tcBorders>
              <w:top w:val="single" w:color="auto" w:sz="2" w:space="0"/>
              <w:left w:val="single" w:color="auto" w:sz="4" w:space="0"/>
              <w:right w:val="single" w:color="auto" w:sz="4" w:space="0"/>
            </w:tcBorders>
            <w:shd w:val="clear" w:color="auto" w:fill="auto"/>
            <w:vAlign w:val="center"/>
          </w:tcPr>
          <w:p w14:paraId="67E58604">
            <w:pPr>
              <w:widowControl/>
              <w:spacing w:line="240" w:lineRule="auto"/>
              <w:ind w:firstLine="0" w:firstLineChars="0"/>
              <w:jc w:val="center"/>
              <w:rPr>
                <w:rFonts w:cs="宋体"/>
                <w:color w:val="000000"/>
                <w:kern w:val="0"/>
                <w:sz w:val="21"/>
                <w:szCs w:val="21"/>
              </w:rPr>
            </w:pPr>
            <w:r>
              <w:rPr>
                <w:rFonts w:cs="宋体"/>
                <w:color w:val="000000"/>
                <w:kern w:val="0"/>
                <w:sz w:val="21"/>
                <w:szCs w:val="21"/>
              </w:rPr>
              <w:t>12</w:t>
            </w:r>
          </w:p>
        </w:tc>
        <w:tc>
          <w:tcPr>
            <w:tcW w:w="861" w:type="pct"/>
            <w:tcBorders>
              <w:top w:val="single" w:color="auto" w:sz="2" w:space="0"/>
              <w:left w:val="single" w:color="auto" w:sz="4" w:space="0"/>
              <w:right w:val="single" w:color="auto" w:sz="4" w:space="0"/>
            </w:tcBorders>
            <w:shd w:val="clear" w:color="auto" w:fill="auto"/>
            <w:vAlign w:val="center"/>
          </w:tcPr>
          <w:p w14:paraId="6B5347F4">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塌陷土地</w:t>
            </w:r>
          </w:p>
        </w:tc>
        <w:tc>
          <w:tcPr>
            <w:tcW w:w="745" w:type="pct"/>
            <w:tcBorders>
              <w:left w:val="single" w:color="auto" w:sz="4" w:space="0"/>
              <w:right w:val="single" w:color="auto" w:sz="4" w:space="0"/>
            </w:tcBorders>
            <w:shd w:val="clear" w:color="auto" w:fill="auto"/>
            <w:vAlign w:val="center"/>
          </w:tcPr>
          <w:p w14:paraId="74FC492F">
            <w:pPr>
              <w:widowControl/>
              <w:spacing w:line="240" w:lineRule="auto"/>
              <w:ind w:firstLine="0" w:firstLineChars="0"/>
              <w:jc w:val="center"/>
              <w:rPr>
                <w:sz w:val="21"/>
                <w:szCs w:val="21"/>
              </w:rPr>
            </w:pPr>
            <w:r>
              <w:rPr>
                <w:rFonts w:hint="eastAsia"/>
                <w:sz w:val="21"/>
                <w:szCs w:val="21"/>
              </w:rPr>
              <w:t>121</w:t>
            </w:r>
          </w:p>
          <w:p w14:paraId="0D907F7F">
            <w:pPr>
              <w:widowControl/>
              <w:spacing w:line="240" w:lineRule="auto"/>
              <w:ind w:firstLine="0" w:firstLineChars="0"/>
              <w:jc w:val="center"/>
              <w:rPr>
                <w:sz w:val="21"/>
                <w:szCs w:val="21"/>
              </w:rPr>
            </w:pPr>
            <w:r>
              <w:rPr>
                <w:rFonts w:hint="eastAsia"/>
                <w:sz w:val="21"/>
                <w:szCs w:val="21"/>
              </w:rPr>
              <w:t>122</w:t>
            </w:r>
          </w:p>
          <w:p w14:paraId="7B77E281">
            <w:pPr>
              <w:widowControl/>
              <w:spacing w:line="240" w:lineRule="auto"/>
              <w:ind w:firstLine="0" w:firstLineChars="0"/>
              <w:jc w:val="center"/>
              <w:rPr>
                <w:sz w:val="21"/>
                <w:szCs w:val="21"/>
              </w:rPr>
            </w:pPr>
            <w:r>
              <w:rPr>
                <w:rFonts w:hint="eastAsia"/>
                <w:sz w:val="21"/>
                <w:szCs w:val="21"/>
              </w:rPr>
              <w:t>123</w:t>
            </w:r>
          </w:p>
        </w:tc>
        <w:tc>
          <w:tcPr>
            <w:tcW w:w="1676" w:type="pct"/>
            <w:tcBorders>
              <w:left w:val="single" w:color="auto" w:sz="4" w:space="0"/>
              <w:right w:val="single" w:color="auto" w:sz="4" w:space="0"/>
            </w:tcBorders>
            <w:shd w:val="clear" w:color="auto" w:fill="auto"/>
            <w:vAlign w:val="center"/>
          </w:tcPr>
          <w:p w14:paraId="413977FB">
            <w:pPr>
              <w:widowControl/>
              <w:spacing w:line="240" w:lineRule="auto"/>
              <w:ind w:firstLine="0" w:firstLineChars="0"/>
              <w:jc w:val="left"/>
              <w:rPr>
                <w:rFonts w:cs="Times New Roman"/>
                <w:sz w:val="21"/>
                <w:szCs w:val="21"/>
              </w:rPr>
            </w:pPr>
            <w:r>
              <w:rPr>
                <w:rFonts w:hint="eastAsia" w:cs="Times New Roman"/>
                <w:sz w:val="21"/>
                <w:szCs w:val="21"/>
              </w:rPr>
              <w:t>积水性塌陷地</w:t>
            </w:r>
          </w:p>
          <w:p w14:paraId="54BCC19B">
            <w:pPr>
              <w:widowControl/>
              <w:spacing w:line="240" w:lineRule="auto"/>
              <w:ind w:firstLine="0" w:firstLineChars="0"/>
              <w:jc w:val="left"/>
              <w:rPr>
                <w:rFonts w:cs="Times New Roman"/>
                <w:sz w:val="21"/>
                <w:szCs w:val="21"/>
              </w:rPr>
            </w:pPr>
            <w:r>
              <w:rPr>
                <w:rFonts w:hint="eastAsia" w:cs="Times New Roman"/>
                <w:sz w:val="21"/>
                <w:szCs w:val="21"/>
              </w:rPr>
              <w:t>季节性积水塌陷地</w:t>
            </w:r>
          </w:p>
          <w:p w14:paraId="685C46F3">
            <w:pPr>
              <w:widowControl/>
              <w:spacing w:line="240" w:lineRule="auto"/>
              <w:ind w:firstLine="0" w:firstLineChars="0"/>
              <w:jc w:val="left"/>
              <w:rPr>
                <w:rFonts w:cs="Times New Roman"/>
                <w:sz w:val="21"/>
                <w:szCs w:val="21"/>
              </w:rPr>
            </w:pPr>
            <w:r>
              <w:rPr>
                <w:rFonts w:hint="eastAsia" w:cs="Times New Roman"/>
                <w:sz w:val="21"/>
                <w:szCs w:val="21"/>
              </w:rPr>
              <w:t>非积水性塌陷地</w:t>
            </w:r>
          </w:p>
        </w:tc>
      </w:tr>
      <w:tr w14:paraId="47C2A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422" w:type="pct"/>
            <w:vMerge w:val="continue"/>
            <w:tcBorders>
              <w:left w:val="single" w:color="auto" w:sz="4" w:space="0"/>
              <w:right w:val="single" w:color="auto" w:sz="4" w:space="0"/>
            </w:tcBorders>
            <w:shd w:val="clear" w:color="auto" w:fill="auto"/>
            <w:vAlign w:val="center"/>
          </w:tcPr>
          <w:p w14:paraId="19E48FE5">
            <w:pPr>
              <w:widowControl/>
              <w:spacing w:line="240" w:lineRule="auto"/>
              <w:ind w:firstLine="0" w:firstLineChars="0"/>
              <w:jc w:val="center"/>
              <w:rPr>
                <w:rFonts w:cs="宋体"/>
                <w:color w:val="000000"/>
                <w:kern w:val="0"/>
                <w:sz w:val="21"/>
                <w:szCs w:val="21"/>
              </w:rPr>
            </w:pPr>
          </w:p>
        </w:tc>
        <w:tc>
          <w:tcPr>
            <w:tcW w:w="436" w:type="pct"/>
            <w:vMerge w:val="continue"/>
            <w:tcBorders>
              <w:left w:val="single" w:color="auto" w:sz="4" w:space="0"/>
              <w:right w:val="single" w:color="auto" w:sz="4" w:space="0"/>
            </w:tcBorders>
            <w:shd w:val="clear" w:color="auto" w:fill="auto"/>
            <w:vAlign w:val="center"/>
          </w:tcPr>
          <w:p w14:paraId="70710C58">
            <w:pPr>
              <w:widowControl/>
              <w:spacing w:line="240" w:lineRule="auto"/>
              <w:ind w:firstLine="0" w:firstLineChars="0"/>
              <w:jc w:val="center"/>
              <w:rPr>
                <w:rFonts w:cs="宋体"/>
                <w:color w:val="000000"/>
                <w:kern w:val="0"/>
                <w:sz w:val="21"/>
                <w:szCs w:val="21"/>
              </w:rPr>
            </w:pPr>
          </w:p>
        </w:tc>
        <w:tc>
          <w:tcPr>
            <w:tcW w:w="860" w:type="pct"/>
            <w:tcBorders>
              <w:top w:val="single" w:color="auto" w:sz="2" w:space="0"/>
              <w:left w:val="single" w:color="auto" w:sz="4" w:space="0"/>
              <w:right w:val="single" w:color="auto" w:sz="4" w:space="0"/>
            </w:tcBorders>
            <w:shd w:val="clear" w:color="auto" w:fill="auto"/>
            <w:vAlign w:val="center"/>
          </w:tcPr>
          <w:p w14:paraId="3BF38919">
            <w:pPr>
              <w:widowControl/>
              <w:spacing w:line="240" w:lineRule="auto"/>
              <w:ind w:firstLine="0" w:firstLineChars="0"/>
              <w:jc w:val="center"/>
              <w:rPr>
                <w:rFonts w:cs="宋体"/>
                <w:color w:val="000000"/>
                <w:kern w:val="0"/>
                <w:sz w:val="21"/>
                <w:szCs w:val="21"/>
              </w:rPr>
            </w:pPr>
            <w:r>
              <w:rPr>
                <w:rFonts w:cs="宋体"/>
                <w:color w:val="000000"/>
                <w:kern w:val="0"/>
                <w:sz w:val="21"/>
                <w:szCs w:val="21"/>
              </w:rPr>
              <w:t>13</w:t>
            </w:r>
          </w:p>
        </w:tc>
        <w:tc>
          <w:tcPr>
            <w:tcW w:w="861" w:type="pct"/>
            <w:tcBorders>
              <w:top w:val="single" w:color="auto" w:sz="2" w:space="0"/>
              <w:left w:val="single" w:color="auto" w:sz="4" w:space="0"/>
              <w:right w:val="single" w:color="auto" w:sz="4" w:space="0"/>
            </w:tcBorders>
            <w:shd w:val="clear" w:color="auto" w:fill="auto"/>
            <w:vAlign w:val="center"/>
          </w:tcPr>
          <w:p w14:paraId="08DF6B1D">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压占土地</w:t>
            </w:r>
          </w:p>
        </w:tc>
        <w:tc>
          <w:tcPr>
            <w:tcW w:w="745" w:type="pct"/>
            <w:tcBorders>
              <w:left w:val="single" w:color="auto" w:sz="4" w:space="0"/>
              <w:right w:val="single" w:color="auto" w:sz="4" w:space="0"/>
            </w:tcBorders>
            <w:shd w:val="clear" w:color="auto" w:fill="auto"/>
            <w:vAlign w:val="center"/>
          </w:tcPr>
          <w:p w14:paraId="7E1CE1A4">
            <w:pPr>
              <w:widowControl/>
              <w:spacing w:line="240" w:lineRule="auto"/>
              <w:ind w:firstLine="0" w:firstLineChars="0"/>
              <w:jc w:val="center"/>
              <w:rPr>
                <w:sz w:val="21"/>
                <w:szCs w:val="21"/>
              </w:rPr>
            </w:pPr>
            <w:r>
              <w:rPr>
                <w:rFonts w:hint="eastAsia"/>
                <w:sz w:val="21"/>
                <w:szCs w:val="21"/>
              </w:rPr>
              <w:t>131</w:t>
            </w:r>
          </w:p>
          <w:p w14:paraId="350953EE">
            <w:pPr>
              <w:widowControl/>
              <w:spacing w:line="240" w:lineRule="auto"/>
              <w:ind w:firstLine="0" w:firstLineChars="0"/>
              <w:jc w:val="center"/>
              <w:rPr>
                <w:sz w:val="21"/>
                <w:szCs w:val="21"/>
              </w:rPr>
            </w:pPr>
            <w:r>
              <w:rPr>
                <w:rFonts w:hint="eastAsia"/>
                <w:sz w:val="21"/>
                <w:szCs w:val="21"/>
              </w:rPr>
              <w:t>132</w:t>
            </w:r>
          </w:p>
          <w:p w14:paraId="41E594F9">
            <w:pPr>
              <w:widowControl/>
              <w:spacing w:line="240" w:lineRule="auto"/>
              <w:ind w:firstLine="0" w:firstLineChars="0"/>
              <w:jc w:val="center"/>
              <w:rPr>
                <w:sz w:val="21"/>
                <w:szCs w:val="21"/>
              </w:rPr>
            </w:pPr>
            <w:r>
              <w:rPr>
                <w:rFonts w:hint="eastAsia"/>
                <w:sz w:val="21"/>
                <w:szCs w:val="21"/>
              </w:rPr>
              <w:t>133</w:t>
            </w:r>
          </w:p>
          <w:p w14:paraId="1F90E130">
            <w:pPr>
              <w:widowControl/>
              <w:spacing w:line="240" w:lineRule="auto"/>
              <w:ind w:firstLine="0" w:firstLineChars="0"/>
              <w:jc w:val="center"/>
              <w:rPr>
                <w:sz w:val="21"/>
                <w:szCs w:val="21"/>
              </w:rPr>
            </w:pPr>
            <w:r>
              <w:rPr>
                <w:rFonts w:hint="eastAsia"/>
                <w:sz w:val="21"/>
                <w:szCs w:val="21"/>
              </w:rPr>
              <w:t>134</w:t>
            </w:r>
          </w:p>
          <w:p w14:paraId="141BA1EB">
            <w:pPr>
              <w:widowControl/>
              <w:spacing w:line="240" w:lineRule="auto"/>
              <w:ind w:firstLine="0" w:firstLineChars="0"/>
              <w:jc w:val="center"/>
              <w:rPr>
                <w:sz w:val="21"/>
                <w:szCs w:val="21"/>
              </w:rPr>
            </w:pPr>
            <w:r>
              <w:rPr>
                <w:rFonts w:hint="eastAsia"/>
                <w:sz w:val="21"/>
                <w:szCs w:val="21"/>
              </w:rPr>
              <w:t>135</w:t>
            </w:r>
          </w:p>
          <w:p w14:paraId="031F5FAF">
            <w:pPr>
              <w:widowControl/>
              <w:spacing w:line="240" w:lineRule="auto"/>
              <w:ind w:firstLine="0" w:firstLineChars="0"/>
              <w:jc w:val="center"/>
              <w:rPr>
                <w:sz w:val="21"/>
                <w:szCs w:val="21"/>
              </w:rPr>
            </w:pPr>
            <w:r>
              <w:rPr>
                <w:rFonts w:hint="eastAsia"/>
                <w:sz w:val="21"/>
                <w:szCs w:val="21"/>
              </w:rPr>
              <w:t>136</w:t>
            </w:r>
          </w:p>
          <w:p w14:paraId="65A66F99">
            <w:pPr>
              <w:widowControl/>
              <w:spacing w:line="240" w:lineRule="auto"/>
              <w:ind w:firstLine="0" w:firstLineChars="0"/>
              <w:jc w:val="center"/>
              <w:rPr>
                <w:sz w:val="21"/>
                <w:szCs w:val="21"/>
              </w:rPr>
            </w:pPr>
            <w:r>
              <w:rPr>
                <w:rFonts w:hint="eastAsia"/>
                <w:sz w:val="21"/>
                <w:szCs w:val="21"/>
              </w:rPr>
              <w:t>137</w:t>
            </w:r>
          </w:p>
        </w:tc>
        <w:tc>
          <w:tcPr>
            <w:tcW w:w="1676" w:type="pct"/>
            <w:tcBorders>
              <w:left w:val="single" w:color="auto" w:sz="4" w:space="0"/>
              <w:right w:val="single" w:color="auto" w:sz="4" w:space="0"/>
            </w:tcBorders>
            <w:shd w:val="clear" w:color="auto" w:fill="auto"/>
            <w:vAlign w:val="center"/>
          </w:tcPr>
          <w:p w14:paraId="3D14352C">
            <w:pPr>
              <w:widowControl/>
              <w:spacing w:line="240" w:lineRule="auto"/>
              <w:ind w:firstLine="0" w:firstLineChars="0"/>
              <w:jc w:val="left"/>
              <w:rPr>
                <w:rFonts w:cs="Times New Roman"/>
                <w:sz w:val="21"/>
                <w:szCs w:val="21"/>
              </w:rPr>
            </w:pPr>
            <w:r>
              <w:rPr>
                <w:rFonts w:hint="eastAsia" w:cs="Times New Roman"/>
                <w:sz w:val="21"/>
                <w:szCs w:val="21"/>
              </w:rPr>
              <w:t>排土场</w:t>
            </w:r>
          </w:p>
          <w:p w14:paraId="4B48BBBD">
            <w:pPr>
              <w:widowControl/>
              <w:spacing w:line="240" w:lineRule="auto"/>
              <w:ind w:firstLine="0" w:firstLineChars="0"/>
              <w:jc w:val="left"/>
              <w:rPr>
                <w:rFonts w:cs="Times New Roman"/>
                <w:sz w:val="21"/>
                <w:szCs w:val="21"/>
              </w:rPr>
            </w:pPr>
            <w:r>
              <w:rPr>
                <w:rFonts w:hint="eastAsia" w:cs="Times New Roman"/>
                <w:sz w:val="21"/>
                <w:szCs w:val="21"/>
              </w:rPr>
              <w:t>废石场</w:t>
            </w:r>
          </w:p>
          <w:p w14:paraId="40572AEF">
            <w:pPr>
              <w:widowControl/>
              <w:spacing w:line="240" w:lineRule="auto"/>
              <w:ind w:firstLine="0" w:firstLineChars="0"/>
              <w:jc w:val="left"/>
              <w:rPr>
                <w:rFonts w:cs="Times New Roman"/>
                <w:sz w:val="21"/>
                <w:szCs w:val="21"/>
              </w:rPr>
            </w:pPr>
            <w:r>
              <w:rPr>
                <w:rFonts w:hint="eastAsia" w:cs="Times New Roman"/>
                <w:sz w:val="21"/>
                <w:szCs w:val="21"/>
              </w:rPr>
              <w:t>矸石山</w:t>
            </w:r>
          </w:p>
          <w:p w14:paraId="6B16F487">
            <w:pPr>
              <w:widowControl/>
              <w:spacing w:line="240" w:lineRule="auto"/>
              <w:ind w:firstLine="0" w:firstLineChars="0"/>
              <w:jc w:val="left"/>
              <w:rPr>
                <w:rFonts w:cs="Times New Roman"/>
                <w:sz w:val="21"/>
                <w:szCs w:val="21"/>
              </w:rPr>
            </w:pPr>
            <w:r>
              <w:rPr>
                <w:rFonts w:hint="eastAsia" w:cs="Times New Roman"/>
                <w:sz w:val="21"/>
                <w:szCs w:val="21"/>
              </w:rPr>
              <w:t>尾矿库</w:t>
            </w:r>
          </w:p>
          <w:p w14:paraId="6AAFD9D9">
            <w:pPr>
              <w:widowControl/>
              <w:spacing w:line="240" w:lineRule="auto"/>
              <w:ind w:firstLine="0" w:firstLineChars="0"/>
              <w:jc w:val="left"/>
              <w:rPr>
                <w:rFonts w:cs="Times New Roman"/>
                <w:sz w:val="21"/>
                <w:szCs w:val="21"/>
              </w:rPr>
            </w:pPr>
            <w:r>
              <w:rPr>
                <w:rFonts w:hint="eastAsia" w:cs="Times New Roman"/>
                <w:sz w:val="21"/>
                <w:szCs w:val="21"/>
              </w:rPr>
              <w:t>赤泥堆</w:t>
            </w:r>
          </w:p>
          <w:p w14:paraId="77454EF1">
            <w:pPr>
              <w:widowControl/>
              <w:spacing w:line="240" w:lineRule="auto"/>
              <w:ind w:firstLine="0" w:firstLineChars="0"/>
              <w:jc w:val="left"/>
              <w:rPr>
                <w:rFonts w:cs="Times New Roman"/>
                <w:sz w:val="21"/>
                <w:szCs w:val="21"/>
              </w:rPr>
            </w:pPr>
            <w:r>
              <w:rPr>
                <w:rFonts w:hint="eastAsia" w:cs="Times New Roman"/>
                <w:sz w:val="21"/>
                <w:szCs w:val="21"/>
              </w:rPr>
              <w:t>建筑物、构筑物压占土地</w:t>
            </w:r>
          </w:p>
          <w:p w14:paraId="38F27015">
            <w:pPr>
              <w:widowControl/>
              <w:spacing w:line="240" w:lineRule="auto"/>
              <w:ind w:firstLine="0" w:firstLineChars="0"/>
              <w:jc w:val="left"/>
              <w:rPr>
                <w:rFonts w:cs="Times New Roman"/>
                <w:sz w:val="21"/>
                <w:szCs w:val="21"/>
              </w:rPr>
            </w:pPr>
            <w:r>
              <w:rPr>
                <w:rFonts w:hint="eastAsia" w:cs="Times New Roman"/>
                <w:sz w:val="21"/>
                <w:szCs w:val="21"/>
              </w:rPr>
              <w:t>其他</w:t>
            </w:r>
          </w:p>
        </w:tc>
      </w:tr>
      <w:tr w14:paraId="12E18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422" w:type="pct"/>
            <w:vMerge w:val="continue"/>
            <w:tcBorders>
              <w:left w:val="single" w:color="auto" w:sz="4" w:space="0"/>
              <w:right w:val="single" w:color="auto" w:sz="4" w:space="0"/>
            </w:tcBorders>
            <w:shd w:val="clear" w:color="auto" w:fill="auto"/>
            <w:vAlign w:val="center"/>
          </w:tcPr>
          <w:p w14:paraId="12316783">
            <w:pPr>
              <w:widowControl/>
              <w:spacing w:line="240" w:lineRule="auto"/>
              <w:ind w:firstLine="0" w:firstLineChars="0"/>
              <w:jc w:val="center"/>
              <w:rPr>
                <w:rFonts w:cs="宋体"/>
                <w:color w:val="000000"/>
                <w:kern w:val="0"/>
                <w:sz w:val="21"/>
                <w:szCs w:val="21"/>
              </w:rPr>
            </w:pPr>
          </w:p>
        </w:tc>
        <w:tc>
          <w:tcPr>
            <w:tcW w:w="436" w:type="pct"/>
            <w:vMerge w:val="continue"/>
            <w:tcBorders>
              <w:left w:val="single" w:color="auto" w:sz="4" w:space="0"/>
              <w:right w:val="single" w:color="auto" w:sz="4" w:space="0"/>
            </w:tcBorders>
            <w:shd w:val="clear" w:color="auto" w:fill="auto"/>
            <w:vAlign w:val="center"/>
          </w:tcPr>
          <w:p w14:paraId="0C5CC038">
            <w:pPr>
              <w:widowControl/>
              <w:spacing w:line="240" w:lineRule="auto"/>
              <w:ind w:firstLine="0" w:firstLineChars="0"/>
              <w:jc w:val="center"/>
              <w:rPr>
                <w:rFonts w:cs="宋体"/>
                <w:color w:val="000000"/>
                <w:kern w:val="0"/>
                <w:sz w:val="21"/>
                <w:szCs w:val="21"/>
              </w:rPr>
            </w:pPr>
          </w:p>
        </w:tc>
        <w:tc>
          <w:tcPr>
            <w:tcW w:w="860" w:type="pct"/>
            <w:tcBorders>
              <w:top w:val="single" w:color="auto" w:sz="2" w:space="0"/>
              <w:left w:val="single" w:color="auto" w:sz="4" w:space="0"/>
              <w:right w:val="single" w:color="auto" w:sz="4" w:space="0"/>
            </w:tcBorders>
            <w:shd w:val="clear" w:color="auto" w:fill="auto"/>
            <w:vAlign w:val="center"/>
          </w:tcPr>
          <w:p w14:paraId="5D46DD96">
            <w:pPr>
              <w:widowControl/>
              <w:spacing w:line="240" w:lineRule="auto"/>
              <w:ind w:firstLine="0" w:firstLineChars="0"/>
              <w:jc w:val="center"/>
              <w:rPr>
                <w:rFonts w:cs="宋体"/>
                <w:color w:val="000000"/>
                <w:kern w:val="0"/>
                <w:sz w:val="21"/>
                <w:szCs w:val="21"/>
              </w:rPr>
            </w:pPr>
            <w:r>
              <w:rPr>
                <w:rFonts w:cs="宋体"/>
                <w:color w:val="000000"/>
                <w:kern w:val="0"/>
                <w:sz w:val="21"/>
                <w:szCs w:val="21"/>
              </w:rPr>
              <w:t>14</w:t>
            </w:r>
          </w:p>
        </w:tc>
        <w:tc>
          <w:tcPr>
            <w:tcW w:w="861" w:type="pct"/>
            <w:tcBorders>
              <w:top w:val="single" w:color="auto" w:sz="2" w:space="0"/>
              <w:left w:val="single" w:color="auto" w:sz="4" w:space="0"/>
              <w:right w:val="single" w:color="auto" w:sz="4" w:space="0"/>
            </w:tcBorders>
            <w:shd w:val="clear" w:color="auto" w:fill="auto"/>
            <w:vAlign w:val="center"/>
          </w:tcPr>
          <w:p w14:paraId="02AFBB02">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其他</w:t>
            </w:r>
          </w:p>
        </w:tc>
        <w:tc>
          <w:tcPr>
            <w:tcW w:w="745" w:type="pct"/>
            <w:tcBorders>
              <w:left w:val="single" w:color="auto" w:sz="4" w:space="0"/>
              <w:right w:val="single" w:color="auto" w:sz="4" w:space="0"/>
            </w:tcBorders>
            <w:shd w:val="clear" w:color="auto" w:fill="auto"/>
            <w:vAlign w:val="center"/>
          </w:tcPr>
          <w:p w14:paraId="2AA5E457">
            <w:pPr>
              <w:widowControl/>
              <w:spacing w:line="240" w:lineRule="auto"/>
              <w:ind w:firstLine="0" w:firstLineChars="0"/>
              <w:jc w:val="center"/>
              <w:rPr>
                <w:sz w:val="21"/>
                <w:szCs w:val="21"/>
              </w:rPr>
            </w:pPr>
            <w:r>
              <w:rPr>
                <w:rFonts w:hint="eastAsia"/>
                <w:sz w:val="21"/>
                <w:szCs w:val="21"/>
              </w:rPr>
              <w:t>141</w:t>
            </w:r>
          </w:p>
          <w:p w14:paraId="3935A251">
            <w:pPr>
              <w:widowControl/>
              <w:spacing w:line="240" w:lineRule="auto"/>
              <w:ind w:firstLine="0" w:firstLineChars="0"/>
              <w:jc w:val="center"/>
              <w:rPr>
                <w:sz w:val="21"/>
                <w:szCs w:val="21"/>
              </w:rPr>
            </w:pPr>
            <w:r>
              <w:rPr>
                <w:rFonts w:hint="eastAsia"/>
                <w:sz w:val="21"/>
                <w:szCs w:val="21"/>
              </w:rPr>
              <w:t>142</w:t>
            </w:r>
          </w:p>
        </w:tc>
        <w:tc>
          <w:tcPr>
            <w:tcW w:w="1676" w:type="pct"/>
            <w:tcBorders>
              <w:left w:val="single" w:color="auto" w:sz="4" w:space="0"/>
              <w:right w:val="single" w:color="auto" w:sz="4" w:space="0"/>
            </w:tcBorders>
            <w:shd w:val="clear" w:color="auto" w:fill="auto"/>
            <w:vAlign w:val="center"/>
          </w:tcPr>
          <w:p w14:paraId="59A0DD8F">
            <w:pPr>
              <w:widowControl/>
              <w:spacing w:line="240" w:lineRule="auto"/>
              <w:ind w:firstLine="0" w:firstLineChars="0"/>
              <w:jc w:val="left"/>
              <w:rPr>
                <w:rFonts w:cs="Times New Roman"/>
                <w:sz w:val="21"/>
                <w:szCs w:val="21"/>
              </w:rPr>
            </w:pPr>
            <w:r>
              <w:rPr>
                <w:rFonts w:hint="eastAsia" w:cs="Times New Roman"/>
                <w:sz w:val="21"/>
                <w:szCs w:val="21"/>
              </w:rPr>
              <w:t>污染土地</w:t>
            </w:r>
          </w:p>
          <w:p w14:paraId="0B609284">
            <w:pPr>
              <w:widowControl/>
              <w:spacing w:line="240" w:lineRule="auto"/>
              <w:ind w:firstLine="0" w:firstLineChars="0"/>
              <w:jc w:val="left"/>
              <w:rPr>
                <w:rFonts w:cs="Times New Roman"/>
                <w:sz w:val="21"/>
                <w:szCs w:val="21"/>
              </w:rPr>
            </w:pPr>
            <w:r>
              <w:rPr>
                <w:rFonts w:hint="eastAsia" w:cs="Times New Roman"/>
                <w:sz w:val="21"/>
                <w:szCs w:val="21"/>
              </w:rPr>
              <w:t>其他</w:t>
            </w:r>
          </w:p>
        </w:tc>
      </w:tr>
      <w:tr w14:paraId="1323C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2" w:type="pct"/>
            <w:vMerge w:val="restart"/>
            <w:tcBorders>
              <w:top w:val="single" w:color="auto" w:sz="2" w:space="0"/>
              <w:left w:val="single" w:color="auto" w:sz="4" w:space="0"/>
              <w:right w:val="single" w:color="auto" w:sz="4" w:space="0"/>
            </w:tcBorders>
            <w:shd w:val="clear" w:color="auto" w:fill="auto"/>
            <w:vAlign w:val="center"/>
          </w:tcPr>
          <w:p w14:paraId="7094E0F5">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2</w:t>
            </w:r>
          </w:p>
        </w:tc>
        <w:tc>
          <w:tcPr>
            <w:tcW w:w="436" w:type="pct"/>
            <w:vMerge w:val="restart"/>
            <w:tcBorders>
              <w:top w:val="single" w:color="auto" w:sz="2" w:space="0"/>
              <w:left w:val="single" w:color="auto" w:sz="4" w:space="0"/>
              <w:right w:val="single" w:color="auto" w:sz="4" w:space="0"/>
            </w:tcBorders>
            <w:shd w:val="clear" w:color="auto" w:fill="auto"/>
            <w:vAlign w:val="center"/>
          </w:tcPr>
          <w:p w14:paraId="1A871436">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自然灾害损毁</w:t>
            </w:r>
          </w:p>
        </w:tc>
        <w:tc>
          <w:tcPr>
            <w:tcW w:w="860" w:type="pct"/>
            <w:tcBorders>
              <w:top w:val="single" w:color="auto" w:sz="2" w:space="0"/>
              <w:left w:val="single" w:color="auto" w:sz="4" w:space="0"/>
              <w:right w:val="single" w:color="auto" w:sz="4" w:space="0"/>
            </w:tcBorders>
            <w:shd w:val="clear" w:color="auto" w:fill="auto"/>
            <w:vAlign w:val="center"/>
          </w:tcPr>
          <w:p w14:paraId="4B1F232C">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21</w:t>
            </w:r>
          </w:p>
        </w:tc>
        <w:tc>
          <w:tcPr>
            <w:tcW w:w="861" w:type="pct"/>
            <w:tcBorders>
              <w:top w:val="single" w:color="auto" w:sz="2" w:space="0"/>
              <w:left w:val="single" w:color="auto" w:sz="4" w:space="0"/>
              <w:bottom w:val="single" w:color="auto" w:sz="2" w:space="0"/>
              <w:right w:val="single" w:color="auto" w:sz="4" w:space="0"/>
            </w:tcBorders>
            <w:shd w:val="clear" w:color="auto" w:fill="auto"/>
            <w:vAlign w:val="center"/>
          </w:tcPr>
          <w:p w14:paraId="04953ABC">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水毁土地</w:t>
            </w:r>
          </w:p>
        </w:tc>
        <w:tc>
          <w:tcPr>
            <w:tcW w:w="745" w:type="pct"/>
            <w:tcBorders>
              <w:top w:val="single" w:color="auto" w:sz="2" w:space="0"/>
              <w:left w:val="single" w:color="auto" w:sz="4" w:space="0"/>
              <w:right w:val="single" w:color="auto" w:sz="4" w:space="0"/>
            </w:tcBorders>
            <w:shd w:val="clear" w:color="auto" w:fill="auto"/>
            <w:vAlign w:val="center"/>
          </w:tcPr>
          <w:p w14:paraId="6BFAF96A">
            <w:pPr>
              <w:widowControl/>
              <w:spacing w:line="240" w:lineRule="auto"/>
              <w:ind w:firstLine="0" w:firstLineChars="0"/>
              <w:jc w:val="center"/>
              <w:rPr>
                <w:rFonts w:cs="宋体"/>
                <w:color w:val="000000"/>
                <w:kern w:val="0"/>
                <w:sz w:val="21"/>
              </w:rPr>
            </w:pPr>
          </w:p>
        </w:tc>
        <w:tc>
          <w:tcPr>
            <w:tcW w:w="1676" w:type="pct"/>
            <w:tcBorders>
              <w:top w:val="single" w:color="auto" w:sz="2" w:space="0"/>
              <w:left w:val="single" w:color="auto" w:sz="4" w:space="0"/>
              <w:right w:val="single" w:color="auto" w:sz="4" w:space="0"/>
            </w:tcBorders>
            <w:shd w:val="clear" w:color="auto" w:fill="auto"/>
            <w:vAlign w:val="center"/>
          </w:tcPr>
          <w:p w14:paraId="163F3D6A">
            <w:pPr>
              <w:widowControl/>
              <w:spacing w:line="240" w:lineRule="auto"/>
              <w:ind w:firstLine="0" w:firstLineChars="0"/>
              <w:jc w:val="center"/>
              <w:rPr>
                <w:rFonts w:cs="宋体"/>
                <w:color w:val="000000"/>
                <w:kern w:val="0"/>
                <w:sz w:val="21"/>
              </w:rPr>
            </w:pPr>
          </w:p>
        </w:tc>
      </w:tr>
      <w:tr w14:paraId="7EC96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single" w:color="auto" w:sz="4" w:space="0"/>
              <w:bottom w:val="single" w:color="auto" w:sz="2" w:space="0"/>
              <w:right w:val="single" w:color="auto" w:sz="4" w:space="0"/>
            </w:tcBorders>
            <w:shd w:val="clear" w:color="auto" w:fill="auto"/>
            <w:vAlign w:val="center"/>
          </w:tcPr>
          <w:p w14:paraId="5D909926">
            <w:pPr>
              <w:widowControl/>
              <w:spacing w:line="240" w:lineRule="auto"/>
              <w:ind w:firstLine="0" w:firstLineChars="0"/>
              <w:jc w:val="center"/>
              <w:rPr>
                <w:rFonts w:cs="宋体"/>
                <w:color w:val="000000"/>
                <w:kern w:val="0"/>
                <w:sz w:val="21"/>
                <w:szCs w:val="21"/>
              </w:rPr>
            </w:pPr>
          </w:p>
        </w:tc>
        <w:tc>
          <w:tcPr>
            <w:tcW w:w="436" w:type="pct"/>
            <w:vMerge w:val="continue"/>
            <w:tcBorders>
              <w:left w:val="single" w:color="auto" w:sz="4" w:space="0"/>
              <w:bottom w:val="single" w:color="auto" w:sz="2" w:space="0"/>
              <w:right w:val="single" w:color="auto" w:sz="4" w:space="0"/>
            </w:tcBorders>
            <w:shd w:val="clear" w:color="auto" w:fill="auto"/>
            <w:vAlign w:val="center"/>
          </w:tcPr>
          <w:p w14:paraId="0F502AFD">
            <w:pPr>
              <w:widowControl/>
              <w:spacing w:line="240" w:lineRule="auto"/>
              <w:ind w:firstLine="0" w:firstLineChars="0"/>
              <w:jc w:val="center"/>
              <w:rPr>
                <w:rFonts w:cs="宋体"/>
                <w:color w:val="000000"/>
                <w:kern w:val="0"/>
                <w:sz w:val="21"/>
                <w:szCs w:val="21"/>
              </w:rPr>
            </w:pPr>
          </w:p>
        </w:tc>
        <w:tc>
          <w:tcPr>
            <w:tcW w:w="860" w:type="pct"/>
            <w:tcBorders>
              <w:left w:val="single" w:color="auto" w:sz="4" w:space="0"/>
              <w:bottom w:val="single" w:color="auto" w:sz="2" w:space="0"/>
              <w:right w:val="single" w:color="auto" w:sz="4" w:space="0"/>
            </w:tcBorders>
            <w:shd w:val="clear" w:color="auto" w:fill="auto"/>
            <w:vAlign w:val="center"/>
          </w:tcPr>
          <w:p w14:paraId="118DD9C5">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22</w:t>
            </w:r>
          </w:p>
        </w:tc>
        <w:tc>
          <w:tcPr>
            <w:tcW w:w="861" w:type="pct"/>
            <w:tcBorders>
              <w:top w:val="single" w:color="auto" w:sz="2" w:space="0"/>
              <w:left w:val="single" w:color="auto" w:sz="4" w:space="0"/>
              <w:bottom w:val="single" w:color="auto" w:sz="2" w:space="0"/>
              <w:right w:val="single" w:color="auto" w:sz="4" w:space="0"/>
            </w:tcBorders>
            <w:shd w:val="clear" w:color="auto" w:fill="auto"/>
            <w:vAlign w:val="center"/>
          </w:tcPr>
          <w:p w14:paraId="09E81457">
            <w:pPr>
              <w:widowControl/>
              <w:spacing w:line="240" w:lineRule="auto"/>
              <w:ind w:firstLine="0" w:firstLineChars="0"/>
              <w:jc w:val="center"/>
              <w:rPr>
                <w:rFonts w:cs="宋体"/>
                <w:color w:val="000000"/>
                <w:kern w:val="0"/>
                <w:sz w:val="21"/>
                <w:szCs w:val="21"/>
              </w:rPr>
            </w:pPr>
            <w:r>
              <w:rPr>
                <w:rFonts w:hint="eastAsia" w:cs="宋体"/>
                <w:color w:val="000000"/>
                <w:kern w:val="0"/>
                <w:sz w:val="21"/>
                <w:szCs w:val="21"/>
              </w:rPr>
              <w:t>其他</w:t>
            </w:r>
          </w:p>
        </w:tc>
        <w:tc>
          <w:tcPr>
            <w:tcW w:w="745" w:type="pct"/>
            <w:tcBorders>
              <w:left w:val="single" w:color="auto" w:sz="4" w:space="0"/>
              <w:bottom w:val="single" w:color="auto" w:sz="2" w:space="0"/>
              <w:right w:val="single" w:color="auto" w:sz="4" w:space="0"/>
            </w:tcBorders>
            <w:shd w:val="clear" w:color="auto" w:fill="auto"/>
            <w:vAlign w:val="center"/>
          </w:tcPr>
          <w:p w14:paraId="276102CE">
            <w:pPr>
              <w:widowControl/>
              <w:spacing w:line="240" w:lineRule="auto"/>
              <w:ind w:firstLine="0" w:firstLineChars="0"/>
              <w:jc w:val="center"/>
              <w:rPr>
                <w:sz w:val="21"/>
                <w:szCs w:val="21"/>
              </w:rPr>
            </w:pPr>
          </w:p>
        </w:tc>
        <w:tc>
          <w:tcPr>
            <w:tcW w:w="1676" w:type="pct"/>
            <w:tcBorders>
              <w:left w:val="single" w:color="auto" w:sz="4" w:space="0"/>
              <w:bottom w:val="single" w:color="auto" w:sz="2" w:space="0"/>
              <w:right w:val="single" w:color="auto" w:sz="4" w:space="0"/>
            </w:tcBorders>
            <w:shd w:val="clear" w:color="auto" w:fill="auto"/>
            <w:vAlign w:val="center"/>
          </w:tcPr>
          <w:p w14:paraId="4FB57153">
            <w:pPr>
              <w:widowControl/>
              <w:spacing w:line="240" w:lineRule="auto"/>
              <w:ind w:firstLine="0" w:firstLineChars="0"/>
              <w:jc w:val="center"/>
              <w:rPr>
                <w:sz w:val="21"/>
                <w:szCs w:val="21"/>
              </w:rPr>
            </w:pPr>
          </w:p>
        </w:tc>
      </w:tr>
    </w:tbl>
    <w:p w14:paraId="477A7086">
      <w:pPr>
        <w:ind w:firstLine="0" w:firstLineChars="0"/>
        <w:rPr>
          <w:rFonts w:cs="Times New Roman"/>
          <w:lang w:bidi="ar"/>
        </w:rPr>
      </w:pPr>
      <w:r>
        <w:rPr>
          <w:rFonts w:hint="eastAsia" w:cs="Times New Roman"/>
          <w:lang w:bidi="ar"/>
        </w:rPr>
        <w:t>【条文说明】本条规范土地损毁调查的内容与分类方法，要求系统识别挖损/压占、污染、水土流失及地质灾害等致损途径，并通过采样检测、分级分类与台账记录，为矿区环境治理与土地复垦提供准确基线与评估依据。</w:t>
      </w:r>
    </w:p>
    <w:p w14:paraId="1514F59C">
      <w:pPr>
        <w:ind w:firstLine="241" w:firstLineChars="100"/>
        <w:rPr>
          <w:rFonts w:ascii="宋体" w:hAnsi="宋体"/>
        </w:rPr>
      </w:pPr>
      <w:r>
        <w:rPr>
          <w:rFonts w:cs="Times New Roman"/>
          <w:b/>
          <w:bCs/>
        </w:rPr>
        <w:t>16</w:t>
      </w:r>
      <w:r>
        <w:rPr>
          <w:rFonts w:hint="eastAsia" w:cs="Times New Roman"/>
          <w:b/>
          <w:bCs/>
        </w:rPr>
        <w:t xml:space="preserve"> </w:t>
      </w:r>
      <w:r>
        <w:rPr>
          <w:rFonts w:hint="eastAsia" w:ascii="宋体" w:hAnsi="宋体"/>
        </w:rPr>
        <w:t>污染场地调查</w:t>
      </w:r>
      <w:r>
        <w:rPr>
          <w:rFonts w:cs="Times New Roman"/>
        </w:rPr>
        <w:t>应符合下列规定：</w:t>
      </w:r>
    </w:p>
    <w:p w14:paraId="601F1B71">
      <w:pPr>
        <w:ind w:left="240" w:leftChars="100" w:firstLine="240" w:firstLineChars="100"/>
        <w:rPr>
          <w:rFonts w:cs="Times New Roman"/>
        </w:rPr>
      </w:pPr>
      <w:r>
        <w:rPr>
          <w:rFonts w:cs="Times New Roman"/>
          <w:lang w:bidi="ar"/>
        </w:rPr>
        <w:t>1</w:t>
      </w:r>
      <w:r>
        <w:rPr>
          <w:rFonts w:hint="eastAsia" w:cs="Times New Roman"/>
          <w:lang w:bidi="ar"/>
        </w:rPr>
        <w:t>）应对金属、煤、盐、石油等矿区开采活动可能造成的水体及土壤污染开展调查。调查范围为疑似污染场地的边界范围，并可根据实际情况适当扩大至场地外潜在影响区。</w:t>
      </w:r>
    </w:p>
    <w:p w14:paraId="246C999D">
      <w:pPr>
        <w:ind w:left="240" w:leftChars="100" w:firstLine="240" w:firstLineChars="100"/>
        <w:rPr>
          <w:rFonts w:cs="Times New Roman"/>
        </w:rPr>
      </w:pPr>
      <w:r>
        <w:rPr>
          <w:rFonts w:cs="Times New Roman"/>
          <w:lang w:bidi="ar"/>
        </w:rPr>
        <w:t>2</w:t>
      </w:r>
      <w:r>
        <w:rPr>
          <w:rFonts w:hint="eastAsia" w:cs="Times New Roman"/>
          <w:lang w:bidi="ar"/>
        </w:rPr>
        <w:t>）应查明疑似污染场地的土层结构及分布、地下水位、地下水垂向水力梯度、地下水水平流速及流向等水文地质条件；查明污染场地土壤与地下水中主要污染物的种类、浓度（污染程度）、时空分布、存在形态及迁移、转化、富集规律，明确主要污染源及影响范围，为污染场地修复提供科学依据。</w:t>
      </w:r>
    </w:p>
    <w:p w14:paraId="754DF486">
      <w:pPr>
        <w:ind w:left="240" w:leftChars="100" w:firstLine="240" w:firstLineChars="100"/>
        <w:rPr>
          <w:rFonts w:cs="Times New Roman"/>
        </w:rPr>
      </w:pPr>
      <w:r>
        <w:rPr>
          <w:rFonts w:cs="Times New Roman"/>
          <w:lang w:bidi="ar"/>
        </w:rPr>
        <w:t>3</w:t>
      </w:r>
      <w:r>
        <w:rPr>
          <w:rFonts w:hint="eastAsia" w:cs="Times New Roman"/>
          <w:lang w:bidi="ar"/>
        </w:rPr>
        <w:t>）</w:t>
      </w:r>
      <w:r>
        <w:rPr>
          <w:rFonts w:hint="eastAsia" w:ascii="宋体" w:hAnsi="宋体" w:cs="宋体"/>
          <w:lang w:bidi="ar"/>
        </w:rPr>
        <w:t>污染场地调查</w:t>
      </w:r>
      <w:r>
        <w:rPr>
          <w:rFonts w:hint="eastAsia" w:cs="Times New Roman"/>
          <w:lang w:bidi="ar"/>
        </w:rPr>
        <w:t>应符合现行行业标准</w:t>
      </w:r>
      <w:r>
        <w:rPr>
          <w:rFonts w:hint="eastAsia" w:cs="宋体"/>
          <w:color w:val="000000"/>
          <w:shd w:val="clear" w:color="auto" w:fill="FFFFFF"/>
          <w:lang w:bidi="ar"/>
        </w:rPr>
        <w:t>《环境地质调查规范（</w:t>
      </w:r>
      <w:r>
        <w:rPr>
          <w:rFonts w:cs="Times New Roman"/>
          <w:color w:val="000000"/>
          <w:shd w:val="clear" w:color="auto" w:fill="FFFFFF"/>
          <w:lang w:bidi="ar"/>
        </w:rPr>
        <w:t>1</w:t>
      </w:r>
      <w:r>
        <w:rPr>
          <w:rFonts w:hint="eastAsia" w:cs="宋体"/>
          <w:color w:val="000000"/>
          <w:shd w:val="clear" w:color="auto" w:fill="FFFFFF"/>
          <w:lang w:bidi="ar"/>
        </w:rPr>
        <w:t>：</w:t>
      </w:r>
      <w:r>
        <w:rPr>
          <w:rFonts w:cs="Times New Roman"/>
          <w:color w:val="000000"/>
          <w:shd w:val="clear" w:color="auto" w:fill="FFFFFF"/>
          <w:lang w:bidi="ar"/>
        </w:rPr>
        <w:t>50000</w:t>
      </w:r>
      <w:r>
        <w:rPr>
          <w:rFonts w:hint="eastAsia" w:cs="宋体"/>
          <w:color w:val="000000"/>
          <w:shd w:val="clear" w:color="auto" w:fill="FFFFFF"/>
          <w:lang w:bidi="ar"/>
        </w:rPr>
        <w:t>）》</w:t>
      </w:r>
      <w:r>
        <w:rPr>
          <w:rFonts w:cs="Times New Roman"/>
          <w:color w:val="000000"/>
          <w:shd w:val="clear" w:color="auto" w:fill="FFFFFF"/>
          <w:lang w:bidi="ar"/>
        </w:rPr>
        <w:t>DZ/T 0437</w:t>
      </w:r>
      <w:r>
        <w:rPr>
          <w:rFonts w:hint="eastAsia" w:cs="宋体"/>
          <w:color w:val="000000"/>
          <w:shd w:val="clear" w:color="auto" w:fill="FFFFFF"/>
          <w:lang w:bidi="ar"/>
        </w:rPr>
        <w:t>、《工矿废弃地土地复垦水土环境质量调查评价规范》</w:t>
      </w:r>
      <w:r>
        <w:rPr>
          <w:rFonts w:cs="Times New Roman"/>
          <w:color w:val="000000"/>
          <w:shd w:val="clear" w:color="auto" w:fill="FFFFFF"/>
          <w:lang w:bidi="ar"/>
        </w:rPr>
        <w:t>DZ/T 0472</w:t>
      </w:r>
      <w:r>
        <w:rPr>
          <w:rFonts w:hint="eastAsia" w:cs="宋体"/>
          <w:color w:val="000000"/>
          <w:shd w:val="clear" w:color="auto" w:fill="FFFFFF"/>
          <w:lang w:bidi="ar"/>
        </w:rPr>
        <w:t>等</w:t>
      </w:r>
      <w:r>
        <w:rPr>
          <w:rFonts w:hint="eastAsia" w:cs="Times New Roman"/>
          <w:lang w:bidi="ar"/>
        </w:rPr>
        <w:t>有关规定。</w:t>
      </w:r>
    </w:p>
    <w:p w14:paraId="4AAAA660">
      <w:pPr>
        <w:ind w:firstLine="0" w:firstLineChars="0"/>
        <w:rPr>
          <w:rFonts w:cs="Times New Roman"/>
          <w:lang w:bidi="ar"/>
        </w:rPr>
      </w:pPr>
      <w:r>
        <w:rPr>
          <w:rFonts w:hint="eastAsia" w:cs="Times New Roman"/>
          <w:lang w:bidi="ar"/>
        </w:rPr>
        <w:t>【条文说明】本条规定了污染场地调查的范围、内容与执行标准。调查应系统识别矿业活动造成的土壤与地下水污染状况，通过水文地质与污染物迁移分析，查明污染范围、浓度与成因，为污染修复方案编制及矿区生态环境治理提供基础数据和技术支撑。</w:t>
      </w:r>
    </w:p>
    <w:p w14:paraId="0FBD87B8">
      <w:pPr>
        <w:ind w:firstLine="240" w:firstLineChars="100"/>
        <w:rPr>
          <w:rFonts w:cs="Times New Roman"/>
        </w:rPr>
      </w:pPr>
      <w:r>
        <w:rPr>
          <w:rFonts w:ascii="Times" w:hAnsi="Times" w:eastAsia="Times" w:cs="Times"/>
          <w:b/>
          <w:bCs/>
          <w:lang w:bidi="ar"/>
        </w:rPr>
        <w:t>17</w:t>
      </w:r>
      <w:r>
        <w:rPr>
          <w:rFonts w:cs="Times New Roman"/>
          <w:b/>
          <w:bCs/>
          <w:lang w:bidi="ar"/>
        </w:rPr>
        <w:t xml:space="preserve"> </w:t>
      </w:r>
      <w:r>
        <w:rPr>
          <w:rFonts w:hint="eastAsia" w:ascii="宋体" w:hAnsi="宋体" w:cs="宋体"/>
          <w:lang w:bidi="ar"/>
        </w:rPr>
        <w:t>其他调查应包括对已实施恢复治理工程的成效评估、公众意愿调查、土源调查及其他支持修复工程的条件调查。</w:t>
      </w:r>
    </w:p>
    <w:p w14:paraId="779805EE">
      <w:pPr>
        <w:ind w:firstLine="480"/>
        <w:rPr>
          <w:rFonts w:cs="Times New Roman"/>
        </w:rPr>
      </w:pPr>
      <w:r>
        <w:rPr>
          <w:rFonts w:cs="Times New Roman"/>
          <w:lang w:bidi="ar"/>
        </w:rPr>
        <w:t>1</w:t>
      </w:r>
      <w:r>
        <w:rPr>
          <w:rFonts w:hint="eastAsia" w:cs="Times New Roman"/>
          <w:lang w:bidi="ar"/>
        </w:rPr>
        <w:t>）已实施恢复治理工程成效调查：</w:t>
      </w:r>
    </w:p>
    <w:p w14:paraId="1E286124">
      <w:pPr>
        <w:ind w:left="480" w:leftChars="200" w:firstLine="480"/>
        <w:rPr>
          <w:rFonts w:cs="Times New Roman"/>
        </w:rPr>
      </w:pPr>
      <w:r>
        <w:rPr>
          <w:rFonts w:hint="eastAsia" w:cs="Times New Roman"/>
          <w:lang w:bidi="ar"/>
        </w:rPr>
        <w:t>调查矿区已实施的地质环境恢复治理工程措施及成效，包括地质灾害防治、土地复垦与生态修复、废水与废渣处置及综合利用、含水层保护等方面；内容应包括治理项目的主要措施、实施时间、资金投入来源及金额、综合治理面积、综合利用量、治理效果评估等；调查矿区地质环境监测工作的对象、方法、周期、成果及监测成效。</w:t>
      </w:r>
    </w:p>
    <w:p w14:paraId="0E23684A">
      <w:pPr>
        <w:ind w:firstLine="480"/>
        <w:rPr>
          <w:rFonts w:cs="Times New Roman"/>
        </w:rPr>
      </w:pPr>
      <w:r>
        <w:rPr>
          <w:rFonts w:cs="Times New Roman"/>
          <w:lang w:bidi="ar"/>
        </w:rPr>
        <w:t>2</w:t>
      </w:r>
      <w:r>
        <w:rPr>
          <w:rFonts w:hint="eastAsia" w:cs="Times New Roman"/>
          <w:lang w:bidi="ar"/>
        </w:rPr>
        <w:t>）公众意愿调查：</w:t>
      </w:r>
    </w:p>
    <w:p w14:paraId="7F6499EC">
      <w:pPr>
        <w:ind w:left="480" w:leftChars="200" w:firstLine="480"/>
        <w:rPr>
          <w:rFonts w:cs="Times New Roman"/>
          <w:lang w:bidi="ar"/>
        </w:rPr>
      </w:pPr>
      <w:r>
        <w:rPr>
          <w:rFonts w:hint="eastAsia" w:cs="Times New Roman"/>
          <w:lang w:bidi="ar"/>
        </w:rPr>
        <w:t>调查公众对矿区生态修复的总体意愿及修复利用方向的意见与建议；调查对象应包括矿区生态修复义务人、土地使用权人、周边居民及其他相关利益方；调查方式可采用问卷、访谈、座谈会等形式，确保结果具有代表性和可采信性。</w:t>
      </w:r>
    </w:p>
    <w:p w14:paraId="5171F808">
      <w:pPr>
        <w:ind w:firstLine="480"/>
        <w:rPr>
          <w:rFonts w:cs="Times New Roman"/>
        </w:rPr>
      </w:pPr>
      <w:r>
        <w:rPr>
          <w:rFonts w:cs="Times New Roman"/>
          <w:lang w:bidi="ar"/>
        </w:rPr>
        <w:t>3</w:t>
      </w:r>
      <w:r>
        <w:rPr>
          <w:rFonts w:hint="eastAsia" w:cs="Times New Roman"/>
          <w:lang w:bidi="ar"/>
        </w:rPr>
        <w:t>）土源调查：</w:t>
      </w:r>
    </w:p>
    <w:p w14:paraId="1C452A25">
      <w:pPr>
        <w:ind w:left="480" w:leftChars="200" w:firstLine="480"/>
        <w:rPr>
          <w:rFonts w:cs="Times New Roman"/>
          <w:lang w:bidi="ar"/>
        </w:rPr>
      </w:pPr>
      <w:r>
        <w:rPr>
          <w:rFonts w:hint="eastAsia" w:cs="Times New Roman"/>
          <w:lang w:bidi="ar"/>
        </w:rPr>
        <w:t>调查矿区及周边区域适用于生态修复工程的土源分布、储量、运输条件及可利用性；查明相关权利人意愿及取用后对土源地生态系统的影响；结合资料收集与实验室分析，检测土壤质地、容重、有机质、易溶盐、pH值等指标，为修复用土选择提供依据。</w:t>
      </w:r>
    </w:p>
    <w:p w14:paraId="246E7BC0">
      <w:pPr>
        <w:ind w:firstLine="480"/>
        <w:rPr>
          <w:rFonts w:cs="Times New Roman"/>
        </w:rPr>
      </w:pPr>
      <w:r>
        <w:rPr>
          <w:rFonts w:cs="Times New Roman"/>
          <w:lang w:bidi="ar"/>
        </w:rPr>
        <w:t>4</w:t>
      </w:r>
      <w:r>
        <w:rPr>
          <w:rFonts w:hint="eastAsia" w:cs="Times New Roman"/>
          <w:lang w:bidi="ar"/>
        </w:rPr>
        <w:t>）其他条件调查：</w:t>
      </w:r>
    </w:p>
    <w:p w14:paraId="3D8E31F8">
      <w:pPr>
        <w:ind w:left="480" w:leftChars="200" w:firstLine="480"/>
        <w:rPr>
          <w:rFonts w:cs="Times New Roman"/>
          <w:lang w:bidi="ar"/>
        </w:rPr>
      </w:pPr>
      <w:r>
        <w:rPr>
          <w:rFonts w:hint="eastAsia" w:cs="Times New Roman"/>
          <w:lang w:bidi="ar"/>
        </w:rPr>
        <w:t>调查矿区生态修复可利用的水源（井、泉、河流、水库等）、灌排与供电设施、矿区内外道路状况；调查修复工程所需材料的市场供应情况与价格、当地劳动力资源、用工条件及劳务信息等，评估修复实施的基础保障条件。</w:t>
      </w:r>
    </w:p>
    <w:p w14:paraId="0FC64BA0">
      <w:pPr>
        <w:ind w:firstLine="199" w:firstLineChars="83"/>
        <w:rPr>
          <w:rFonts w:cs="Times New Roman"/>
          <w:lang w:bidi="ar"/>
        </w:rPr>
      </w:pPr>
      <w:r>
        <w:rPr>
          <w:rFonts w:hint="eastAsia" w:cs="Times New Roman"/>
          <w:lang w:bidi="ar"/>
        </w:rPr>
        <w:t>【条文说明】本条明确矿区生态修复中除主要地质、生态调查外的其他必要调查内容。包括已实施治理工程的成效评估、公众参与意愿调查、修复材料（土源）可获得性调查及实施条件调查。该类调查有助于全面掌握修复基础条件、社会可接受性及资源保障，为修复方案优化与实施决策提供支撑。</w:t>
      </w:r>
    </w:p>
    <w:p w14:paraId="131FB9EF">
      <w:pPr>
        <w:ind w:firstLine="0" w:firstLineChars="0"/>
        <w:rPr>
          <w:rFonts w:cs="Times New Roman"/>
          <w:lang w:bidi="ar"/>
        </w:rPr>
      </w:pPr>
      <w:r>
        <w:rPr>
          <w:b/>
          <w:bCs/>
        </w:rPr>
        <w:t>5.2.2</w:t>
      </w:r>
      <w:r>
        <w:t xml:space="preserve">  </w:t>
      </w:r>
      <w:r>
        <w:rPr>
          <w:rFonts w:hint="eastAsia" w:cs="Times New Roman"/>
          <w:lang w:bidi="ar"/>
        </w:rPr>
        <w:t>调查方法</w:t>
      </w:r>
    </w:p>
    <w:p w14:paraId="346E3E50">
      <w:pPr>
        <w:ind w:firstLine="0" w:firstLineChars="0"/>
      </w:pPr>
      <w:r>
        <w:rPr>
          <w:rFonts w:hint="eastAsia"/>
        </w:rPr>
        <w:t>调查方法宜根据工程特点、区域环境条件及调查目的，综合采用下列方法：</w:t>
      </w:r>
    </w:p>
    <w:p w14:paraId="42FD73C1">
      <w:pPr>
        <w:ind w:left="240" w:leftChars="100" w:firstLine="240" w:firstLineChars="100"/>
        <w:rPr>
          <w:rFonts w:cs="Times New Roman"/>
          <w:lang w:bidi="ar"/>
        </w:rPr>
      </w:pPr>
      <w:r>
        <w:rPr>
          <w:rFonts w:cs="Times New Roman"/>
          <w:lang w:bidi="ar"/>
        </w:rPr>
        <w:t>1</w:t>
      </w:r>
      <w:r>
        <w:rPr>
          <w:rFonts w:hint="eastAsia" w:cs="Times New Roman"/>
          <w:lang w:bidi="ar"/>
        </w:rPr>
        <w:t>）遥感调查：利用多源遥感影像资料，识别矿区生态环境现状、地表形态特征及生态问题分布，为外业调查提供宏观基础。</w:t>
      </w:r>
    </w:p>
    <w:p w14:paraId="31C70FB3">
      <w:pPr>
        <w:ind w:left="240" w:leftChars="100" w:firstLine="240" w:firstLineChars="100"/>
        <w:rPr>
          <w:rFonts w:cs="Times New Roman"/>
          <w:lang w:bidi="ar"/>
        </w:rPr>
      </w:pPr>
      <w:r>
        <w:rPr>
          <w:rFonts w:hint="eastAsia" w:cs="Times New Roman"/>
          <w:lang w:bidi="ar"/>
        </w:rPr>
        <w:t>2）踏勘调查：采用路线穿越与追索相结合的方法，了解矿区自然生态、地质环境概况及主要生态地质问题的分布特征。</w:t>
      </w:r>
    </w:p>
    <w:p w14:paraId="6BC9494B">
      <w:pPr>
        <w:ind w:left="240" w:leftChars="100" w:firstLine="240" w:firstLineChars="100"/>
        <w:rPr>
          <w:rFonts w:cs="Times New Roman"/>
          <w:lang w:bidi="ar"/>
        </w:rPr>
      </w:pPr>
      <w:r>
        <w:rPr>
          <w:rFonts w:cs="Times New Roman"/>
          <w:lang w:bidi="ar"/>
        </w:rPr>
        <w:t>3）</w:t>
      </w:r>
      <w:r>
        <w:rPr>
          <w:rFonts w:hint="eastAsia" w:cs="Times New Roman"/>
          <w:lang w:bidi="ar"/>
        </w:rPr>
        <w:t>物探调查：根据踏勘结果选择合适的物探方法。对单一物探方法难以判定或地质条件复杂的区域，应采用两种及以上方法组合，以提高识别精度与可靠性。</w:t>
      </w:r>
    </w:p>
    <w:p w14:paraId="14DBC48A">
      <w:pPr>
        <w:ind w:left="240" w:leftChars="100" w:firstLine="240" w:firstLineChars="100"/>
        <w:rPr>
          <w:rFonts w:cs="Times New Roman"/>
        </w:rPr>
      </w:pPr>
      <w:r>
        <w:rPr>
          <w:rFonts w:cs="Times New Roman"/>
          <w:lang w:bidi="ar"/>
        </w:rPr>
        <w:t>4）</w:t>
      </w:r>
      <w:r>
        <w:rPr>
          <w:rFonts w:hint="eastAsia" w:cs="Times New Roman"/>
          <w:lang w:bidi="ar"/>
        </w:rPr>
        <w:t>钻探、井探与槽探：用于查明地下结构、地层岩性及水文地质条件。</w:t>
      </w:r>
      <w:r>
        <w:rPr>
          <w:rFonts w:hint="eastAsia" w:ascii="宋体" w:hAnsi="宋体" w:cs="宋体"/>
          <w:lang w:bidi="ar"/>
        </w:rPr>
        <w:t>具体</w:t>
      </w:r>
      <w:r>
        <w:rPr>
          <w:rFonts w:hint="eastAsia" w:cs="Times New Roman"/>
          <w:lang w:bidi="ar"/>
        </w:rPr>
        <w:t>操作方法</w:t>
      </w:r>
      <w:r>
        <w:rPr>
          <w:rFonts w:hint="eastAsia" w:ascii="宋体" w:hAnsi="宋体" w:cs="宋体"/>
          <w:lang w:bidi="ar"/>
        </w:rPr>
        <w:t>应符合现行国家标准《岩土工程勘察规范》</w:t>
      </w:r>
      <w:r>
        <w:rPr>
          <w:rFonts w:cs="Times New Roman"/>
          <w:lang w:bidi="ar"/>
        </w:rPr>
        <w:t>GB 50021</w:t>
      </w:r>
      <w:r>
        <w:rPr>
          <w:rFonts w:hint="eastAsia" w:cs="Times New Roman"/>
          <w:lang w:bidi="ar"/>
        </w:rPr>
        <w:t>以及现行行业标准《钻探、井探、槽探操作规程》</w:t>
      </w:r>
      <w:r>
        <w:rPr>
          <w:rFonts w:cs="Times New Roman"/>
          <w:lang w:bidi="ar"/>
        </w:rPr>
        <w:t>(YS/T 5208)</w:t>
      </w:r>
      <w:r>
        <w:rPr>
          <w:rFonts w:hint="eastAsia" w:cs="Times New Roman"/>
          <w:lang w:bidi="ar"/>
        </w:rPr>
        <w:t>的有关规定。</w:t>
      </w:r>
    </w:p>
    <w:p w14:paraId="02D613A8">
      <w:pPr>
        <w:ind w:left="240" w:leftChars="100" w:firstLine="240" w:firstLineChars="100"/>
        <w:rPr>
          <w:rFonts w:cs="Times New Roman"/>
          <w:lang w:bidi="ar"/>
        </w:rPr>
      </w:pPr>
      <w:r>
        <w:rPr>
          <w:rFonts w:cs="Times New Roman"/>
          <w:lang w:bidi="ar"/>
        </w:rPr>
        <w:t>5）</w:t>
      </w:r>
      <w:r>
        <w:rPr>
          <w:rFonts w:hint="eastAsia" w:cs="Times New Roman"/>
          <w:lang w:bidi="ar"/>
        </w:rPr>
        <w:t>样品采集与分析测试：在现场采集岩（土）体、土壤、水体、植被等样品，按规定方法进行取样、封存、运输与实验室分析测试。分析测试应符合相关标准和技术规范要求，用于判定污染特征、物理化学性质及生态修复参数。</w:t>
      </w:r>
    </w:p>
    <w:p w14:paraId="49F9302B">
      <w:pPr>
        <w:ind w:left="240" w:leftChars="100" w:firstLine="240" w:firstLineChars="100"/>
        <w:rPr>
          <w:rFonts w:cs="Times New Roman"/>
          <w:lang w:bidi="ar"/>
        </w:rPr>
      </w:pPr>
      <w:r>
        <w:rPr>
          <w:rFonts w:cs="Times New Roman"/>
          <w:lang w:bidi="ar"/>
        </w:rPr>
        <w:t>6）</w:t>
      </w:r>
      <w:r>
        <w:rPr>
          <w:rFonts w:hint="eastAsia" w:cs="Times New Roman"/>
          <w:lang w:bidi="ar"/>
        </w:rPr>
        <w:t>航空摄影与无人机航测：采用无人机低空航拍技术获取目标区域的实时影像信息，生成矿区三维实景模型，用于地形分析、生态破坏识别与修复方案设计，提高调查效率与精度。</w:t>
      </w:r>
    </w:p>
    <w:p w14:paraId="7B1B2D91">
      <w:pPr>
        <w:ind w:left="240" w:leftChars="100" w:firstLine="240" w:firstLineChars="100"/>
        <w:rPr>
          <w:rFonts w:ascii="宋体" w:hAnsi="宋体"/>
        </w:rPr>
      </w:pPr>
      <w:r>
        <w:rPr>
          <w:rFonts w:hint="eastAsia" w:ascii="宋体" w:hAnsi="宋体"/>
        </w:rPr>
        <w:t>【条文说明】本条规定了城市工矿区绿色改造与生态修复调查常用方法。调查应根据地质环境特征和工程目的，综合运用遥感、踏勘、物探、钻探与样品测试等手段，必要时结合无人机航测技术，实现多尺度、多手段的综合调查与信息互补，为后续分析评价和修复方案设计提供可靠基础数据。</w:t>
      </w:r>
    </w:p>
    <w:p w14:paraId="77B9B29E">
      <w:pPr>
        <w:ind w:firstLine="0" w:firstLineChars="0"/>
      </w:pPr>
      <w:r>
        <w:rPr>
          <w:b/>
          <w:bCs/>
        </w:rPr>
        <w:t>5.2.3</w:t>
      </w:r>
      <w:r>
        <w:t xml:space="preserve">  </w:t>
      </w:r>
      <w:r>
        <w:rPr>
          <w:rFonts w:hint="eastAsia"/>
        </w:rPr>
        <w:t>调查结果</w:t>
      </w:r>
    </w:p>
    <w:p w14:paraId="466F3842">
      <w:pPr>
        <w:ind w:firstLine="0" w:firstLineChars="0"/>
      </w:pPr>
      <w:r>
        <w:rPr>
          <w:rFonts w:hint="eastAsia"/>
        </w:rPr>
        <w:t>调查结果应系统反映城市工矿区绿色改造与生态修复前的自然环境基础与生态地质问题现状，主要包括以下内容：</w:t>
      </w:r>
    </w:p>
    <w:p w14:paraId="2976C822">
      <w:pPr>
        <w:ind w:left="240" w:leftChars="100" w:firstLine="240" w:firstLineChars="100"/>
        <w:rPr>
          <w:rFonts w:cs="Times New Roman"/>
          <w:lang w:bidi="ar"/>
        </w:rPr>
      </w:pPr>
      <w:r>
        <w:rPr>
          <w:rFonts w:cs="Times New Roman"/>
          <w:lang w:bidi="ar"/>
        </w:rPr>
        <w:t>1）</w:t>
      </w:r>
      <w:r>
        <w:rPr>
          <w:rFonts w:hint="eastAsia" w:cs="Times New Roman"/>
          <w:lang w:bidi="ar"/>
        </w:rPr>
        <w:t>自然生态现状及识别出的矿区生态问题与综合评价结果；</w:t>
      </w:r>
    </w:p>
    <w:p w14:paraId="4CE8843C">
      <w:pPr>
        <w:ind w:left="240" w:leftChars="100" w:firstLine="240" w:firstLineChars="100"/>
        <w:rPr>
          <w:rFonts w:cs="Times New Roman"/>
          <w:lang w:bidi="ar"/>
        </w:rPr>
      </w:pPr>
      <w:r>
        <w:rPr>
          <w:rFonts w:hint="eastAsia" w:cs="Times New Roman"/>
          <w:lang w:bidi="ar"/>
        </w:rPr>
        <w:t>2</w:t>
      </w:r>
      <w:r>
        <w:rPr>
          <w:rFonts w:cs="Times New Roman"/>
          <w:lang w:bidi="ar"/>
        </w:rPr>
        <w:t>）</w:t>
      </w:r>
      <w:r>
        <w:rPr>
          <w:rFonts w:hint="eastAsia" w:cs="Times New Roman"/>
          <w:lang w:bidi="ar"/>
        </w:rPr>
        <w:t>地形与微地貌特征；</w:t>
      </w:r>
    </w:p>
    <w:p w14:paraId="0F25E15E">
      <w:pPr>
        <w:ind w:left="240" w:leftChars="100" w:firstLine="240" w:firstLineChars="100"/>
        <w:rPr>
          <w:rFonts w:cs="Times New Roman"/>
          <w:lang w:bidi="ar"/>
        </w:rPr>
      </w:pPr>
      <w:r>
        <w:rPr>
          <w:rFonts w:cs="Times New Roman"/>
          <w:lang w:bidi="ar"/>
        </w:rPr>
        <w:t>3）</w:t>
      </w:r>
      <w:r>
        <w:rPr>
          <w:rFonts w:hint="eastAsia" w:cs="Times New Roman"/>
          <w:lang w:bidi="ar"/>
        </w:rPr>
        <w:t>采场位置、深度、规模、岩土体结构特征、岩性及主控结构面特征；</w:t>
      </w:r>
    </w:p>
    <w:p w14:paraId="3B439862">
      <w:pPr>
        <w:ind w:left="240" w:leftChars="100" w:firstLine="240" w:firstLineChars="100"/>
        <w:rPr>
          <w:rFonts w:cs="Times New Roman"/>
          <w:lang w:bidi="ar"/>
        </w:rPr>
      </w:pPr>
      <w:r>
        <w:rPr>
          <w:rFonts w:cs="Times New Roman"/>
          <w:lang w:bidi="ar"/>
        </w:rPr>
        <w:t>4）</w:t>
      </w:r>
      <w:r>
        <w:rPr>
          <w:rFonts w:hint="eastAsia" w:cs="Times New Roman"/>
          <w:lang w:bidi="ar"/>
        </w:rPr>
        <w:t>开采面位置、范围、高度、坡度、岩性及主控结构面特征；</w:t>
      </w:r>
    </w:p>
    <w:p w14:paraId="2B39BB26">
      <w:pPr>
        <w:ind w:left="240" w:leftChars="100" w:firstLine="240" w:firstLineChars="100"/>
        <w:rPr>
          <w:rFonts w:cs="Times New Roman"/>
          <w:lang w:bidi="ar"/>
        </w:rPr>
      </w:pPr>
      <w:r>
        <w:rPr>
          <w:rFonts w:cs="Times New Roman"/>
          <w:lang w:bidi="ar"/>
        </w:rPr>
        <w:t>5）</w:t>
      </w:r>
      <w:r>
        <w:rPr>
          <w:rFonts w:hint="eastAsia" w:cs="Times New Roman"/>
          <w:lang w:bidi="ar"/>
        </w:rPr>
        <w:t>废弃物类型、来源、位置、范围、高度、坡度、物质组成、密实程度及渗透性等；废弃物堆（场）的数量、压占土地、破坏植被及潜在致灾可能性；</w:t>
      </w:r>
    </w:p>
    <w:p w14:paraId="60CD6896">
      <w:pPr>
        <w:ind w:left="240" w:leftChars="100" w:firstLine="240" w:firstLineChars="100"/>
        <w:rPr>
          <w:rFonts w:cs="Times New Roman"/>
          <w:lang w:bidi="ar"/>
        </w:rPr>
      </w:pPr>
      <w:r>
        <w:rPr>
          <w:rFonts w:cs="Times New Roman"/>
          <w:lang w:bidi="ar"/>
        </w:rPr>
        <w:t>6）</w:t>
      </w:r>
      <w:r>
        <w:rPr>
          <w:rFonts w:hint="eastAsia" w:cs="Times New Roman"/>
          <w:lang w:bidi="ar"/>
        </w:rPr>
        <w:t>地质环境条件及相关岩土体结构、物理力学性质参数；</w:t>
      </w:r>
    </w:p>
    <w:p w14:paraId="43321CC8">
      <w:pPr>
        <w:ind w:left="240" w:leftChars="100" w:firstLine="240" w:firstLineChars="100"/>
        <w:rPr>
          <w:rFonts w:cs="Times New Roman"/>
          <w:lang w:bidi="ar"/>
        </w:rPr>
      </w:pPr>
      <w:r>
        <w:rPr>
          <w:rFonts w:cs="Times New Roman"/>
          <w:lang w:bidi="ar"/>
        </w:rPr>
        <w:t>7）</w:t>
      </w:r>
      <w:r>
        <w:rPr>
          <w:rFonts w:hint="eastAsia" w:cs="Times New Roman"/>
          <w:lang w:bidi="ar"/>
        </w:rPr>
        <w:t>边坡结构类型、组成、可能失稳变形模式、影响范围、危害对象及危害程度；</w:t>
      </w:r>
    </w:p>
    <w:p w14:paraId="7486F9C6">
      <w:pPr>
        <w:ind w:left="240" w:leftChars="100" w:firstLine="240" w:firstLineChars="100"/>
        <w:rPr>
          <w:rFonts w:cs="Times New Roman"/>
          <w:lang w:bidi="ar"/>
        </w:rPr>
      </w:pPr>
      <w:r>
        <w:rPr>
          <w:rFonts w:cs="Times New Roman"/>
          <w:lang w:bidi="ar"/>
        </w:rPr>
        <w:t>8）</w:t>
      </w:r>
      <w:r>
        <w:rPr>
          <w:rFonts w:hint="eastAsia" w:cs="Times New Roman"/>
          <w:lang w:bidi="ar"/>
        </w:rPr>
        <w:t>边坡稳定性分析结果、发展趋势及相应防治措施建议；</w:t>
      </w:r>
    </w:p>
    <w:p w14:paraId="792907F4">
      <w:pPr>
        <w:ind w:left="240" w:leftChars="100" w:firstLine="240" w:firstLineChars="100"/>
        <w:rPr>
          <w:rFonts w:cs="Times New Roman"/>
          <w:lang w:bidi="ar"/>
        </w:rPr>
      </w:pPr>
      <w:r>
        <w:rPr>
          <w:rFonts w:cs="Times New Roman"/>
          <w:lang w:bidi="ar"/>
        </w:rPr>
        <w:t>9）</w:t>
      </w:r>
      <w:r>
        <w:rPr>
          <w:rFonts w:hint="eastAsia" w:cs="Times New Roman"/>
          <w:lang w:bidi="ar"/>
        </w:rPr>
        <w:t>土地损毁类型、面积及分布特征，复垦的可行性、类型与范围；</w:t>
      </w:r>
    </w:p>
    <w:p w14:paraId="3623128E">
      <w:pPr>
        <w:ind w:left="240" w:leftChars="100" w:firstLine="240" w:firstLineChars="100"/>
        <w:rPr>
          <w:rFonts w:cs="Times New Roman"/>
          <w:lang w:bidi="ar"/>
        </w:rPr>
      </w:pPr>
      <w:r>
        <w:rPr>
          <w:rFonts w:cs="Times New Roman"/>
          <w:lang w:bidi="ar"/>
        </w:rPr>
        <w:t>10）</w:t>
      </w:r>
      <w:r>
        <w:rPr>
          <w:rFonts w:hint="eastAsia" w:cs="Times New Roman"/>
          <w:lang w:bidi="ar"/>
        </w:rPr>
        <w:t>受损植被种类、分布范围及覆盖度（郁闭度）变化；</w:t>
      </w:r>
    </w:p>
    <w:p w14:paraId="0F08F260">
      <w:pPr>
        <w:ind w:left="240" w:leftChars="100" w:firstLine="240" w:firstLineChars="100"/>
        <w:rPr>
          <w:rFonts w:cs="Times New Roman"/>
          <w:lang w:bidi="ar"/>
        </w:rPr>
      </w:pPr>
      <w:r>
        <w:rPr>
          <w:rFonts w:cs="Times New Roman"/>
          <w:lang w:bidi="ar"/>
        </w:rPr>
        <w:t>11）</w:t>
      </w:r>
      <w:r>
        <w:rPr>
          <w:rFonts w:hint="eastAsia" w:cs="Times New Roman"/>
          <w:lang w:bidi="ar"/>
        </w:rPr>
        <w:t>土壤、地下水、地表水体等环境介质的污染状况与主要污染物特征。</w:t>
      </w:r>
    </w:p>
    <w:p w14:paraId="7AB19FA9">
      <w:pPr>
        <w:ind w:firstLine="199" w:firstLineChars="83"/>
      </w:pPr>
      <w:r>
        <w:rPr>
          <w:rFonts w:hint="eastAsia"/>
        </w:rPr>
        <w:t>【条文说明】本条明确了调查成果应包含的主要内容。调查结果应全面反映工矿区自然生态、地质环境、土地利用、污染与灾害等现状信息，为绿色改造与生态修复方案设计、工程布置和后期评估提供科学依据。</w:t>
      </w:r>
    </w:p>
    <w:p w14:paraId="65471554">
      <w:pPr>
        <w:pStyle w:val="30"/>
        <w:numPr>
          <w:ilvl w:val="0"/>
          <w:numId w:val="2"/>
        </w:numPr>
        <w:spacing w:before="163" w:beforeLines="50" w:after="163" w:afterLines="50"/>
        <w:ind w:firstLineChars="0"/>
        <w:jc w:val="center"/>
        <w:outlineLvl w:val="1"/>
        <w:rPr>
          <w:b/>
          <w:bCs/>
          <w:sz w:val="28"/>
          <w:szCs w:val="28"/>
        </w:rPr>
      </w:pPr>
      <w:bookmarkStart w:id="10" w:name="_Toc212057024"/>
      <w:r>
        <w:rPr>
          <w:rFonts w:hint="eastAsia"/>
          <w:b/>
          <w:bCs/>
          <w:sz w:val="28"/>
          <w:szCs w:val="28"/>
        </w:rPr>
        <w:t>问题识别</w:t>
      </w:r>
      <w:bookmarkEnd w:id="10"/>
    </w:p>
    <w:p w14:paraId="730A2A27">
      <w:pPr>
        <w:pStyle w:val="30"/>
        <w:numPr>
          <w:ilvl w:val="0"/>
          <w:numId w:val="3"/>
        </w:numPr>
        <w:ind w:firstLineChars="0"/>
        <w:rPr>
          <w:rFonts w:ascii="宋体" w:hAnsi="宋体"/>
        </w:rPr>
      </w:pPr>
      <w:r>
        <w:rPr>
          <w:rFonts w:ascii="宋体" w:hAnsi="宋体"/>
        </w:rPr>
        <w:t>参照生态系统设定</w:t>
      </w:r>
    </w:p>
    <w:p w14:paraId="680016EC">
      <w:pPr>
        <w:ind w:firstLine="480"/>
        <w:rPr>
          <w:rFonts w:ascii="宋体" w:hAnsi="宋体" w:cs="Times New Roman"/>
          <w:lang w:bidi="ar"/>
        </w:rPr>
      </w:pPr>
      <w:r>
        <w:rPr>
          <w:rFonts w:hint="eastAsia" w:ascii="宋体" w:hAnsi="宋体" w:cs="Times New Roman"/>
          <w:lang w:bidi="ar"/>
        </w:rPr>
        <w:t>参照生态系统的建立应基于受损生态系统的历史状态，或参考周边未受损的本地原生生态系统及类似生态系统。通过六个生态系统属性（胁迫因素、物质条件、物种组成、结构多样性、生态系统功能和外部交换）来描述参照生态系统的状态，为生态修复目标和成效评价提供基准。</w:t>
      </w:r>
    </w:p>
    <w:p w14:paraId="667C4635">
      <w:pPr>
        <w:ind w:firstLine="0" w:firstLineChars="0"/>
        <w:rPr>
          <w:rFonts w:ascii="宋体" w:hAnsi="宋体"/>
        </w:rPr>
      </w:pPr>
      <w:r>
        <w:rPr>
          <w:rFonts w:hint="eastAsia" w:ascii="宋体" w:hAnsi="宋体"/>
        </w:rPr>
        <w:t>【条文说明】本条规定了矿区生态修复中参照生态系统的设定方法。参照生态系统可依据受损生态系统的历史信息或邻近未受扰动的原生生态系统建立，并以六个关键生态属性描述其状态，为生态修复目标确定与实施效果评估提供依据。</w:t>
      </w:r>
      <w:r>
        <w:rPr>
          <w:rFonts w:ascii="宋体" w:hAnsi="宋体"/>
        </w:rPr>
        <w:t>。</w:t>
      </w:r>
    </w:p>
    <w:p w14:paraId="489E3D5D">
      <w:pPr>
        <w:pStyle w:val="30"/>
        <w:numPr>
          <w:ilvl w:val="0"/>
          <w:numId w:val="3"/>
        </w:numPr>
        <w:ind w:firstLineChars="0"/>
        <w:rPr>
          <w:rFonts w:ascii="宋体" w:hAnsi="宋体"/>
        </w:rPr>
      </w:pPr>
      <w:r>
        <w:rPr>
          <w:rFonts w:ascii="宋体" w:hAnsi="宋体"/>
        </w:rPr>
        <w:t>生态系统尺度诊断</w:t>
      </w:r>
      <w:r>
        <w:rPr>
          <w:rFonts w:hint="eastAsia" w:ascii="宋体" w:hAnsi="宋体"/>
        </w:rPr>
        <w:t>应满足以下要求：</w:t>
      </w:r>
    </w:p>
    <w:p w14:paraId="79A4F804">
      <w:pPr>
        <w:ind w:firstLine="482"/>
        <w:rPr>
          <w:rFonts w:cs="Times New Roman"/>
        </w:rPr>
      </w:pPr>
      <w:r>
        <w:rPr>
          <w:rFonts w:cs="Times New Roman"/>
          <w:b/>
          <w:bCs/>
          <w:lang w:bidi="ar"/>
        </w:rPr>
        <w:t>1</w:t>
      </w:r>
      <w:r>
        <w:rPr>
          <w:rFonts w:cs="Times New Roman"/>
          <w:lang w:bidi="ar"/>
        </w:rPr>
        <w:t xml:space="preserve"> 依据参照生态系统关键属性指标，对受损生态系统的自然地理条件、物种组成、生态系统结构、生态功能及外部交换进行对比诊断，识别二者差异；</w:t>
      </w:r>
    </w:p>
    <w:p w14:paraId="48CBAC7C">
      <w:pPr>
        <w:ind w:firstLine="482"/>
        <w:rPr>
          <w:rFonts w:cs="Times New Roman"/>
          <w:lang w:bidi="ar"/>
        </w:rPr>
      </w:pPr>
      <w:r>
        <w:rPr>
          <w:rFonts w:cs="Times New Roman"/>
          <w:b/>
          <w:bCs/>
          <w:lang w:bidi="ar"/>
        </w:rPr>
        <w:t>2</w:t>
      </w:r>
      <w:r>
        <w:rPr>
          <w:rFonts w:cs="Times New Roman"/>
          <w:lang w:bidi="ar"/>
        </w:rPr>
        <w:t xml:space="preserve"> </w:t>
      </w:r>
      <w:r>
        <w:rPr>
          <w:rFonts w:hint="eastAsia" w:cs="Times New Roman"/>
          <w:lang w:bidi="ar"/>
        </w:rPr>
        <w:t>评价受损生态系统的退化程度与自然恢复能力；</w:t>
      </w:r>
    </w:p>
    <w:p w14:paraId="48A4F4C7">
      <w:pPr>
        <w:ind w:firstLine="482"/>
        <w:rPr>
          <w:rFonts w:ascii="宋体" w:hAnsi="宋体" w:cs="宋体"/>
        </w:rPr>
      </w:pPr>
      <w:r>
        <w:rPr>
          <w:rFonts w:cs="Times New Roman"/>
          <w:b/>
          <w:bCs/>
          <w:lang w:bidi="ar"/>
        </w:rPr>
        <w:t>3</w:t>
      </w:r>
      <w:r>
        <w:rPr>
          <w:rFonts w:cs="Times New Roman"/>
          <w:lang w:bidi="ar"/>
        </w:rPr>
        <w:t xml:space="preserve"> </w:t>
      </w:r>
      <w:r>
        <w:rPr>
          <w:rFonts w:hint="eastAsia" w:ascii="宋体" w:hAnsi="宋体" w:cs="宋体"/>
          <w:lang w:bidi="ar"/>
        </w:rPr>
        <w:t>诊断可采用历史数据法、类比法、指示物种生境法、指标最优法及综合分析法等方法，并根据资料条件和调查尺度合理选用。</w:t>
      </w:r>
    </w:p>
    <w:p w14:paraId="7B4F4710">
      <w:pPr>
        <w:ind w:firstLine="0" w:firstLineChars="0"/>
        <w:rPr>
          <w:rFonts w:ascii="宋体" w:hAnsi="宋体"/>
        </w:rPr>
      </w:pPr>
      <w:r>
        <w:rPr>
          <w:rFonts w:hint="eastAsia" w:ascii="宋体" w:hAnsi="宋体"/>
        </w:rPr>
        <w:t>【条文说明】本条要求以参照生态系统为基准，通过关键属性对比分析，诊断受损生态系统的退化特征与恢复潜力。诊断方法可根据资料条件和生态特征灵活选择，为修复目标分解与技术路径设计提供依据</w:t>
      </w:r>
      <w:r>
        <w:rPr>
          <w:rFonts w:ascii="宋体" w:hAnsi="宋体"/>
        </w:rPr>
        <w:t>。</w:t>
      </w:r>
    </w:p>
    <w:p w14:paraId="2B6629AC">
      <w:pPr>
        <w:pStyle w:val="30"/>
        <w:numPr>
          <w:ilvl w:val="0"/>
          <w:numId w:val="3"/>
        </w:numPr>
        <w:ind w:left="0" w:firstLine="6" w:firstLineChars="0"/>
        <w:rPr>
          <w:rFonts w:cs="Times New Roman"/>
        </w:rPr>
      </w:pPr>
      <w:r>
        <w:rPr>
          <w:rFonts w:hint="eastAsia" w:ascii="宋体" w:hAnsi="宋体"/>
        </w:rPr>
        <w:t>针对具体的保护与修复单元，可采用微域尺度诊断法</w:t>
      </w:r>
      <w:r>
        <w:rPr>
          <w:rFonts w:hint="eastAsia" w:ascii="宋体" w:hAnsi="宋体" w:cs="宋体"/>
          <w:lang w:bidi="ar"/>
        </w:rPr>
        <w:t>。</w:t>
      </w:r>
    </w:p>
    <w:p w14:paraId="571B7D47">
      <w:pPr>
        <w:pStyle w:val="30"/>
        <w:ind w:left="6" w:firstLine="561" w:firstLineChars="233"/>
        <w:rPr>
          <w:rFonts w:cs="Times New Roman"/>
        </w:rPr>
      </w:pPr>
      <w:r>
        <w:rPr>
          <w:rFonts w:cs="Times New Roman"/>
          <w:b/>
          <w:bCs/>
        </w:rPr>
        <w:t>1</w:t>
      </w:r>
      <w:r>
        <w:rPr>
          <w:rFonts w:cs="Times New Roman"/>
        </w:rPr>
        <w:t xml:space="preserve"> </w:t>
      </w:r>
      <w:r>
        <w:rPr>
          <w:rFonts w:hint="eastAsia" w:cs="Times New Roman"/>
        </w:rPr>
        <w:t>应对照参照生态系统关键属性指标，分析修复对象的生态问题、风险特征及影响因素；</w:t>
      </w:r>
    </w:p>
    <w:p w14:paraId="54A1E91B">
      <w:pPr>
        <w:pStyle w:val="30"/>
        <w:ind w:left="6" w:firstLine="561" w:firstLineChars="233"/>
        <w:rPr>
          <w:rFonts w:cs="Times New Roman"/>
        </w:rPr>
      </w:pPr>
      <w:r>
        <w:rPr>
          <w:rFonts w:cs="Times New Roman"/>
          <w:b/>
          <w:bCs/>
        </w:rPr>
        <w:t>2</w:t>
      </w:r>
      <w:r>
        <w:rPr>
          <w:rFonts w:cs="Times New Roman"/>
        </w:rPr>
        <w:t xml:space="preserve"> </w:t>
      </w:r>
      <w:r>
        <w:rPr>
          <w:rFonts w:hint="eastAsia" w:cs="Times New Roman"/>
        </w:rPr>
        <w:t>评价需修复生态系统的受损类型、退化程度与恢复力；</w:t>
      </w:r>
    </w:p>
    <w:p w14:paraId="61C5302E">
      <w:pPr>
        <w:pStyle w:val="30"/>
        <w:ind w:left="6" w:firstLine="561" w:firstLineChars="233"/>
        <w:rPr>
          <w:rFonts w:cs="Times New Roman"/>
        </w:rPr>
      </w:pPr>
      <w:r>
        <w:rPr>
          <w:rFonts w:cs="Times New Roman"/>
          <w:b/>
          <w:bCs/>
        </w:rPr>
        <w:t>3</w:t>
      </w:r>
      <w:r>
        <w:rPr>
          <w:rFonts w:cs="Times New Roman"/>
        </w:rPr>
        <w:t xml:space="preserve"> </w:t>
      </w:r>
      <w:r>
        <w:rPr>
          <w:rFonts w:hint="eastAsia" w:cs="Times New Roman"/>
        </w:rPr>
        <w:t>可采用定性、半定量或定量方法进行评价，方法选择应符合修复单元特征与数据条件。</w:t>
      </w:r>
    </w:p>
    <w:p w14:paraId="095984E1">
      <w:pPr>
        <w:ind w:firstLine="0" w:firstLineChars="0"/>
        <w:rPr>
          <w:rFonts w:ascii="宋体" w:hAnsi="宋体"/>
        </w:rPr>
      </w:pPr>
      <w:r>
        <w:rPr>
          <w:rFonts w:hint="eastAsia" w:ascii="宋体" w:hAnsi="宋体"/>
        </w:rPr>
        <w:t>【条文说明】本条针对具体修复单元提出微域尺度诊断方法。通过与参照生态系统关键指标对比，识别修复对象的生态问题、退化程度和恢复力。根据实际数据条件，可采用定性、半定量或定量方法，以满足不同精度的评价需求</w:t>
      </w:r>
      <w:r>
        <w:rPr>
          <w:rFonts w:ascii="宋体" w:hAnsi="宋体"/>
        </w:rPr>
        <w:t>。</w:t>
      </w:r>
    </w:p>
    <w:p w14:paraId="4A4B539A">
      <w:pPr>
        <w:pStyle w:val="30"/>
        <w:numPr>
          <w:ilvl w:val="0"/>
          <w:numId w:val="3"/>
        </w:numPr>
        <w:ind w:firstLineChars="0"/>
        <w:rPr>
          <w:rFonts w:ascii="宋体" w:hAnsi="宋体" w:cs="宋体"/>
        </w:rPr>
      </w:pPr>
      <w:r>
        <w:rPr>
          <w:rFonts w:hint="eastAsia" w:ascii="宋体" w:hAnsi="宋体" w:cs="宋体"/>
          <w:lang w:bidi="ar"/>
        </w:rPr>
        <w:t>诊断结果应用主要有以下方面：</w:t>
      </w:r>
    </w:p>
    <w:p w14:paraId="46D306B3">
      <w:pPr>
        <w:ind w:left="240" w:leftChars="100" w:firstLine="241" w:firstLineChars="100"/>
        <w:rPr>
          <w:rFonts w:ascii="宋体" w:hAnsi="宋体" w:cs="宋体"/>
        </w:rPr>
      </w:pPr>
      <w:r>
        <w:rPr>
          <w:rFonts w:cs="Times New Roman"/>
          <w:b/>
          <w:bCs/>
          <w:lang w:bidi="ar"/>
        </w:rPr>
        <w:t>1</w:t>
      </w:r>
      <w:r>
        <w:rPr>
          <w:rFonts w:hint="eastAsia" w:ascii="宋体" w:hAnsi="宋体" w:cs="宋体"/>
          <w:lang w:bidi="ar"/>
        </w:rPr>
        <w:t xml:space="preserve"> 依据参照生态系统与诊断结果，采用定性、半定量或定量方法，分别评估生态系统格局、生态系统服务功能、生态系统质量及主要生态问题；</w:t>
      </w:r>
    </w:p>
    <w:p w14:paraId="28B4CD02">
      <w:pPr>
        <w:widowControl/>
        <w:ind w:left="240" w:leftChars="100" w:firstLine="241" w:firstLineChars="100"/>
        <w:jc w:val="left"/>
      </w:pPr>
      <w:r>
        <w:rPr>
          <w:rFonts w:cs="Times New Roman"/>
          <w:b/>
          <w:bCs/>
          <w:lang w:bidi="ar"/>
        </w:rPr>
        <w:t>2</w:t>
      </w:r>
      <w:r>
        <w:rPr>
          <w:rFonts w:ascii="宋体" w:hAnsi="宋体" w:cs="Times New Roman"/>
          <w:lang w:bidi="ar"/>
        </w:rPr>
        <w:t xml:space="preserve"> </w:t>
      </w:r>
      <w:r>
        <w:rPr>
          <w:rFonts w:hint="eastAsia" w:ascii="宋体" w:hAnsi="宋体" w:cs="Times New Roman"/>
          <w:lang w:bidi="ar"/>
        </w:rPr>
        <w:t>明确不同尺度实施区域需重点解决的生态问题类型、规模、程度与空间分布，提出工程实施范围与区域，划定保护修复单元，确定保护修复目标，并提出工程布局、模式及修复路径。</w:t>
      </w:r>
    </w:p>
    <w:p w14:paraId="53E54B38">
      <w:pPr>
        <w:ind w:firstLine="480"/>
        <w:rPr>
          <w:rFonts w:ascii="宋体" w:hAnsi="宋体"/>
        </w:rPr>
      </w:pPr>
      <w:r>
        <w:rPr>
          <w:rFonts w:hint="eastAsia" w:ascii="宋体" w:hAnsi="宋体"/>
        </w:rPr>
        <w:t>【条文说明】本条规定了生态系统诊断结果的应用方式。通过定性、半定量或定量方法对生态系统格局、服务功能、质量及主要生态问题进行评估，明确修复区域的关键问题及治理重点。在此基础上，提出工程范围、保护修复单元划分及目标、布局、模式和路径，为后续生态修复工程的实施提供科学依据。</w:t>
      </w:r>
    </w:p>
    <w:p w14:paraId="4229C568">
      <w:pPr>
        <w:pStyle w:val="30"/>
        <w:numPr>
          <w:ilvl w:val="0"/>
          <w:numId w:val="3"/>
        </w:numPr>
        <w:ind w:firstLineChars="0"/>
        <w:rPr>
          <w:rFonts w:ascii="宋体" w:hAnsi="宋体" w:cs="宋体"/>
          <w:lang w:bidi="ar"/>
        </w:rPr>
      </w:pPr>
      <w:r>
        <w:rPr>
          <w:rFonts w:hint="eastAsia" w:ascii="宋体" w:hAnsi="宋体" w:cs="宋体"/>
          <w:lang w:bidi="ar"/>
        </w:rPr>
        <w:t>划分矿区</w:t>
      </w:r>
      <w:r>
        <w:rPr>
          <w:rFonts w:ascii="宋体" w:hAnsi="宋体" w:cs="宋体"/>
          <w:lang w:bidi="ar"/>
        </w:rPr>
        <w:t>生态问题分级</w:t>
      </w:r>
      <w:r>
        <w:rPr>
          <w:rFonts w:hint="eastAsia" w:ascii="宋体" w:hAnsi="宋体" w:cs="宋体"/>
          <w:lang w:bidi="ar"/>
        </w:rPr>
        <w:t>：</w:t>
      </w:r>
    </w:p>
    <w:p w14:paraId="239F2E7B">
      <w:pPr>
        <w:ind w:firstLine="480"/>
        <w:rPr>
          <w:rFonts w:ascii="宋体" w:hAnsi="宋体" w:cs="宋体"/>
          <w:lang w:bidi="ar"/>
        </w:rPr>
      </w:pPr>
      <w:r>
        <w:rPr>
          <w:rFonts w:hint="eastAsia" w:ascii="宋体" w:hAnsi="宋体" w:cs="宋体"/>
          <w:lang w:bidi="ar"/>
        </w:rPr>
        <w:t>矿区生态问题分级应基于参照生态系统与现状调查结果，结合矿区的地质安全隐患、土地损毁、水资源破坏和生态退化等主要问题进行综合评价。</w:t>
      </w:r>
    </w:p>
    <w:p w14:paraId="4F1E1EDD">
      <w:pPr>
        <w:ind w:firstLine="482"/>
        <w:rPr>
          <w:rFonts w:ascii="宋体" w:hAnsi="宋体" w:cs="宋体"/>
        </w:rPr>
      </w:pPr>
      <w:r>
        <w:rPr>
          <w:rFonts w:cs="Times New Roman"/>
          <w:b/>
          <w:bCs/>
        </w:rPr>
        <w:t>1</w:t>
      </w:r>
      <w:r>
        <w:rPr>
          <w:rFonts w:ascii="宋体" w:hAnsi="宋体" w:cs="宋体"/>
        </w:rPr>
        <w:t xml:space="preserve"> </w:t>
      </w:r>
      <w:r>
        <w:rPr>
          <w:rFonts w:hint="eastAsia" w:ascii="宋体" w:hAnsi="宋体" w:cs="宋体"/>
        </w:rPr>
        <w:t>分级应综合考虑生态问题的面积、分布、影响因素、程度及成因；</w:t>
      </w:r>
    </w:p>
    <w:p w14:paraId="5192F50D">
      <w:pPr>
        <w:ind w:firstLine="482"/>
        <w:rPr>
          <w:rFonts w:ascii="宋体" w:hAnsi="宋体" w:cs="宋体"/>
        </w:rPr>
      </w:pPr>
      <w:r>
        <w:rPr>
          <w:rFonts w:cs="Times New Roman"/>
          <w:b/>
          <w:bCs/>
        </w:rPr>
        <w:t>2</w:t>
      </w:r>
      <w:r>
        <w:rPr>
          <w:rFonts w:cs="Times New Roman"/>
        </w:rPr>
        <w:t xml:space="preserve"> </w:t>
      </w:r>
      <w:r>
        <w:rPr>
          <w:rFonts w:hint="eastAsia" w:ascii="宋体" w:hAnsi="宋体" w:cs="宋体"/>
        </w:rPr>
        <w:t>生态问题等级的确定可参照表5.3-1进行评价，明确不同类型生态问题的严重程度与优先治理顺序；</w:t>
      </w:r>
    </w:p>
    <w:p w14:paraId="5786FC6C">
      <w:pPr>
        <w:ind w:firstLine="482"/>
        <w:rPr>
          <w:rFonts w:ascii="宋体" w:hAnsi="宋体" w:cs="宋体"/>
        </w:rPr>
      </w:pPr>
      <w:r>
        <w:rPr>
          <w:rFonts w:cs="Times New Roman"/>
          <w:b/>
          <w:bCs/>
        </w:rPr>
        <w:t>3</w:t>
      </w:r>
      <w:r>
        <w:rPr>
          <w:rFonts w:cs="Times New Roman"/>
        </w:rPr>
        <w:t xml:space="preserve"> </w:t>
      </w:r>
      <w:r>
        <w:rPr>
          <w:rFonts w:hint="eastAsia" w:ascii="宋体" w:hAnsi="宋体" w:cs="宋体"/>
        </w:rPr>
        <w:t>评价结果应作为制定生态修复目标、工程优先级及资金配置的依据。</w:t>
      </w:r>
    </w:p>
    <w:p w14:paraId="708EACAC">
      <w:pPr>
        <w:ind w:left="22" w:leftChars="9" w:firstLine="482"/>
        <w:jc w:val="center"/>
        <w:rPr>
          <w:rFonts w:cs="Times New Roman"/>
          <w:b/>
          <w:bCs/>
        </w:rPr>
      </w:pPr>
      <w:r>
        <w:rPr>
          <w:rFonts w:hint="eastAsia" w:cs="Times New Roman"/>
          <w:b/>
          <w:bCs/>
          <w:lang w:bidi="ar"/>
        </w:rPr>
        <w:t>表</w:t>
      </w:r>
      <w:r>
        <w:rPr>
          <w:rFonts w:cs="Times New Roman"/>
          <w:b/>
          <w:bCs/>
          <w:lang w:bidi="ar"/>
        </w:rPr>
        <w:t>5.3-1</w:t>
      </w:r>
      <w:r>
        <w:rPr>
          <w:rFonts w:hint="eastAsia" w:cs="Times New Roman"/>
          <w:b/>
          <w:bCs/>
          <w:lang w:bidi="ar"/>
        </w:rPr>
        <w:t>矿区生态问题严重程度分级表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9"/>
        <w:gridCol w:w="7043"/>
      </w:tblGrid>
      <w:tr w14:paraId="3EFF8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14:paraId="2C8342D7">
            <w:pPr>
              <w:ind w:firstLine="0" w:firstLineChars="0"/>
              <w:jc w:val="center"/>
              <w:rPr>
                <w:rFonts w:ascii="宋体" w:hAnsi="宋体" w:cs="宋体"/>
                <w:sz w:val="21"/>
                <w:szCs w:val="20"/>
              </w:rPr>
            </w:pPr>
            <w:r>
              <w:rPr>
                <w:rFonts w:hint="eastAsia" w:ascii="宋体" w:hAnsi="宋体" w:cs="宋体"/>
                <w:sz w:val="21"/>
                <w:szCs w:val="20"/>
                <w:lang w:bidi="ar"/>
              </w:rPr>
              <w:t>严重程度分级</w:t>
            </w:r>
          </w:p>
        </w:tc>
        <w:tc>
          <w:tcPr>
            <w:tcW w:w="7505" w:type="dxa"/>
            <w:tcBorders>
              <w:top w:val="single" w:color="auto" w:sz="4" w:space="0"/>
              <w:left w:val="single" w:color="auto" w:sz="4" w:space="0"/>
              <w:bottom w:val="single" w:color="auto" w:sz="4" w:space="0"/>
              <w:right w:val="single" w:color="auto" w:sz="4" w:space="0"/>
            </w:tcBorders>
            <w:shd w:val="clear" w:color="auto" w:fill="auto"/>
            <w:vAlign w:val="center"/>
          </w:tcPr>
          <w:p w14:paraId="42A7EB6D">
            <w:pPr>
              <w:ind w:firstLine="0" w:firstLineChars="0"/>
              <w:jc w:val="center"/>
              <w:rPr>
                <w:rFonts w:ascii="宋体" w:hAnsi="宋体" w:cs="宋体"/>
                <w:sz w:val="21"/>
                <w:szCs w:val="20"/>
              </w:rPr>
            </w:pPr>
            <w:r>
              <w:rPr>
                <w:rFonts w:hint="eastAsia" w:ascii="宋体" w:hAnsi="宋体" w:cs="宋体"/>
                <w:sz w:val="21"/>
                <w:szCs w:val="20"/>
                <w:lang w:bidi="ar"/>
              </w:rPr>
              <w:t>分级特征</w:t>
            </w:r>
          </w:p>
        </w:tc>
      </w:tr>
      <w:tr w14:paraId="12E74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14:paraId="6CC61355">
            <w:pPr>
              <w:ind w:firstLine="0" w:firstLineChars="0"/>
              <w:jc w:val="center"/>
              <w:rPr>
                <w:rFonts w:cs="Times New Roman"/>
                <w:sz w:val="21"/>
                <w:szCs w:val="20"/>
              </w:rPr>
            </w:pPr>
            <w:r>
              <w:rPr>
                <w:rFonts w:cs="Times New Roman"/>
                <w:sz w:val="21"/>
                <w:szCs w:val="20"/>
                <w:lang w:bidi="ar"/>
              </w:rPr>
              <w:t>I</w:t>
            </w:r>
            <w:r>
              <w:rPr>
                <w:rFonts w:hint="eastAsia" w:cs="Times New Roman"/>
                <w:sz w:val="21"/>
                <w:szCs w:val="20"/>
                <w:lang w:bidi="ar"/>
              </w:rPr>
              <w:t>级</w:t>
            </w:r>
          </w:p>
        </w:tc>
        <w:tc>
          <w:tcPr>
            <w:tcW w:w="7505" w:type="dxa"/>
            <w:tcBorders>
              <w:top w:val="single" w:color="auto" w:sz="4" w:space="0"/>
              <w:left w:val="single" w:color="auto" w:sz="4" w:space="0"/>
              <w:bottom w:val="single" w:color="auto" w:sz="4" w:space="0"/>
              <w:right w:val="single" w:color="auto" w:sz="4" w:space="0"/>
            </w:tcBorders>
            <w:shd w:val="clear" w:color="auto" w:fill="auto"/>
          </w:tcPr>
          <w:p w14:paraId="05E08F54">
            <w:pPr>
              <w:ind w:firstLine="0" w:firstLineChars="0"/>
              <w:rPr>
                <w:rFonts w:ascii="宋体" w:hAnsi="宋体" w:cs="宋体"/>
                <w:sz w:val="21"/>
                <w:szCs w:val="20"/>
              </w:rPr>
            </w:pPr>
            <w:r>
              <w:rPr>
                <w:rFonts w:hint="eastAsia" w:ascii="宋体" w:hAnsi="宋体" w:cs="宋体"/>
                <w:sz w:val="21"/>
                <w:szCs w:val="20"/>
                <w:lang w:bidi="ar"/>
              </w:rPr>
              <w:t>场地存在重大地质安全隐患，地质条件不稳定，或场地存在具有影响环境安全的重大水土污染问题，或存在严重土地损毁、水资源破坏，地表植被生境受到严重影响，生态退化严重。</w:t>
            </w:r>
          </w:p>
        </w:tc>
      </w:tr>
      <w:tr w14:paraId="2E6E4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14:paraId="4ED90E64">
            <w:pPr>
              <w:ind w:firstLine="0" w:firstLineChars="0"/>
              <w:jc w:val="center"/>
              <w:rPr>
                <w:rFonts w:cs="Times New Roman"/>
                <w:sz w:val="21"/>
                <w:szCs w:val="20"/>
              </w:rPr>
            </w:pPr>
            <w:r>
              <w:rPr>
                <w:rFonts w:cs="Times New Roman"/>
                <w:sz w:val="21"/>
                <w:szCs w:val="20"/>
                <w:lang w:bidi="ar"/>
              </w:rPr>
              <w:t>II</w:t>
            </w:r>
            <w:r>
              <w:rPr>
                <w:rFonts w:hint="eastAsia" w:cs="Times New Roman"/>
                <w:sz w:val="21"/>
                <w:szCs w:val="20"/>
                <w:lang w:bidi="ar"/>
              </w:rPr>
              <w:t>级</w:t>
            </w:r>
          </w:p>
        </w:tc>
        <w:tc>
          <w:tcPr>
            <w:tcW w:w="7505" w:type="dxa"/>
            <w:tcBorders>
              <w:top w:val="single" w:color="auto" w:sz="4" w:space="0"/>
              <w:left w:val="single" w:color="auto" w:sz="4" w:space="0"/>
              <w:bottom w:val="single" w:color="auto" w:sz="4" w:space="0"/>
              <w:right w:val="single" w:color="auto" w:sz="4" w:space="0"/>
            </w:tcBorders>
            <w:shd w:val="clear" w:color="auto" w:fill="auto"/>
          </w:tcPr>
          <w:p w14:paraId="7809E39F">
            <w:pPr>
              <w:ind w:firstLine="0" w:firstLineChars="0"/>
              <w:rPr>
                <w:rFonts w:ascii="宋体" w:hAnsi="宋体" w:cs="宋体"/>
                <w:sz w:val="21"/>
                <w:szCs w:val="20"/>
              </w:rPr>
            </w:pPr>
            <w:r>
              <w:rPr>
                <w:rFonts w:hint="eastAsia" w:ascii="宋体" w:hAnsi="宋体" w:cs="宋体"/>
                <w:sz w:val="21"/>
                <w:szCs w:val="20"/>
                <w:lang w:bidi="ar"/>
              </w:rPr>
              <w:t>场地存在一定的地质安全隐患，地质稳定性较差，或场地局部存在水土污染，存在一定程度土地损毁、水资源破坏，局部植被盖度与质量受到影响，物种生境条件较为稳定，生态系统结构与功能较为完好。</w:t>
            </w:r>
          </w:p>
        </w:tc>
      </w:tr>
      <w:tr w14:paraId="4DB38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14:paraId="58B49219">
            <w:pPr>
              <w:ind w:firstLine="0" w:firstLineChars="0"/>
              <w:jc w:val="center"/>
              <w:rPr>
                <w:rFonts w:cs="Times New Roman"/>
                <w:sz w:val="21"/>
                <w:szCs w:val="20"/>
              </w:rPr>
            </w:pPr>
            <w:r>
              <w:rPr>
                <w:rFonts w:cs="Times New Roman"/>
                <w:sz w:val="21"/>
                <w:szCs w:val="20"/>
                <w:lang w:bidi="ar"/>
              </w:rPr>
              <w:t>III</w:t>
            </w:r>
            <w:r>
              <w:rPr>
                <w:rFonts w:hint="eastAsia" w:cs="Times New Roman"/>
                <w:sz w:val="21"/>
                <w:szCs w:val="20"/>
                <w:lang w:bidi="ar"/>
              </w:rPr>
              <w:t>级</w:t>
            </w:r>
          </w:p>
        </w:tc>
        <w:tc>
          <w:tcPr>
            <w:tcW w:w="7505" w:type="dxa"/>
            <w:tcBorders>
              <w:top w:val="single" w:color="auto" w:sz="4" w:space="0"/>
              <w:left w:val="single" w:color="auto" w:sz="4" w:space="0"/>
              <w:bottom w:val="single" w:color="auto" w:sz="4" w:space="0"/>
              <w:right w:val="single" w:color="auto" w:sz="4" w:space="0"/>
            </w:tcBorders>
            <w:shd w:val="clear" w:color="auto" w:fill="auto"/>
          </w:tcPr>
          <w:p w14:paraId="2255B954">
            <w:pPr>
              <w:ind w:firstLine="0" w:firstLineChars="0"/>
              <w:rPr>
                <w:rFonts w:ascii="宋体" w:hAnsi="宋体" w:cs="宋体"/>
                <w:sz w:val="21"/>
                <w:szCs w:val="20"/>
              </w:rPr>
            </w:pPr>
            <w:r>
              <w:rPr>
                <w:rFonts w:hint="eastAsia" w:ascii="宋体" w:hAnsi="宋体" w:cs="宋体"/>
                <w:sz w:val="21"/>
                <w:szCs w:val="20"/>
                <w:lang w:bidi="ar"/>
              </w:rPr>
              <w:t>场地不存在地质安全隐患和水土污染，地质稳定性与水土质量良好，地表仅存在少量土地损毁或水资源破坏，仅局部植被盖度与质量受到影响，物种生境条件稳定，生态系统结构与功能完好。</w:t>
            </w:r>
          </w:p>
        </w:tc>
      </w:tr>
    </w:tbl>
    <w:p w14:paraId="7A9EABCB">
      <w:pPr>
        <w:ind w:firstLine="0" w:firstLineChars="0"/>
        <w:rPr>
          <w:rFonts w:ascii="宋体" w:hAnsi="宋体" w:cs="宋体"/>
          <w:lang w:bidi="ar"/>
        </w:rPr>
      </w:pPr>
      <w:r>
        <w:rPr>
          <w:rFonts w:hint="eastAsia" w:ascii="宋体" w:hAnsi="宋体" w:cs="宋体"/>
          <w:lang w:bidi="ar"/>
        </w:rPr>
        <w:t>【条文说明】本条规定了矿区生态问题的分级方法。分级工作应建立在参照生态系统与现状调查基础上，综合分析矿区地质安全隐患、土地损毁、水资源破坏与生态退化等要素，评估其范围、影响程度及成因。通过分级可实现生态问题的精准识别与排序，为修复目标制定和工程决策提供支撑。</w:t>
      </w:r>
    </w:p>
    <w:p w14:paraId="7AAB617A">
      <w:pPr>
        <w:ind w:firstLine="0" w:firstLineChars="0"/>
      </w:pPr>
      <w:r>
        <w:rPr>
          <w:rFonts w:ascii="宋体" w:hAnsi="宋体"/>
        </w:rPr>
        <w:br w:type="page"/>
      </w:r>
    </w:p>
    <w:p w14:paraId="1BC776D7">
      <w:pPr>
        <w:pStyle w:val="30"/>
        <w:numPr>
          <w:ilvl w:val="0"/>
          <w:numId w:val="1"/>
        </w:numPr>
        <w:ind w:firstLineChars="0"/>
        <w:jc w:val="center"/>
        <w:outlineLvl w:val="0"/>
        <w:rPr>
          <w:b/>
          <w:bCs/>
          <w:sz w:val="44"/>
          <w:szCs w:val="44"/>
        </w:rPr>
      </w:pPr>
      <w:bookmarkStart w:id="11" w:name="_Toc212057025"/>
      <w:r>
        <w:rPr>
          <w:rFonts w:hint="eastAsia"/>
          <w:b/>
          <w:bCs/>
          <w:sz w:val="44"/>
          <w:szCs w:val="44"/>
        </w:rPr>
        <w:t>设计</w:t>
      </w:r>
      <w:bookmarkEnd w:id="11"/>
    </w:p>
    <w:p w14:paraId="4E26D0C6">
      <w:pPr>
        <w:pStyle w:val="30"/>
        <w:numPr>
          <w:ilvl w:val="0"/>
          <w:numId w:val="4"/>
        </w:numPr>
        <w:spacing w:before="163" w:beforeLines="50" w:after="163" w:afterLines="50"/>
        <w:ind w:firstLineChars="0"/>
        <w:jc w:val="center"/>
        <w:outlineLvl w:val="1"/>
        <w:rPr>
          <w:b/>
          <w:bCs/>
          <w:sz w:val="28"/>
          <w:szCs w:val="28"/>
        </w:rPr>
      </w:pPr>
      <w:bookmarkStart w:id="12" w:name="_Toc212057026"/>
      <w:r>
        <w:rPr>
          <w:rFonts w:hint="eastAsia"/>
          <w:b/>
          <w:bCs/>
          <w:sz w:val="28"/>
          <w:szCs w:val="28"/>
        </w:rPr>
        <w:t>一般规定</w:t>
      </w:r>
      <w:bookmarkEnd w:id="12"/>
    </w:p>
    <w:p w14:paraId="42241E63">
      <w:pPr>
        <w:ind w:firstLine="0" w:firstLineChars="0"/>
        <w:rPr>
          <w:rFonts w:cs="Times New Roman"/>
        </w:rPr>
      </w:pPr>
      <w:r>
        <w:rPr>
          <w:rFonts w:ascii="Times" w:hAnsi="Times" w:cs="Times"/>
          <w:b/>
          <w:bCs/>
        </w:rPr>
        <w:t xml:space="preserve">6.1.1  </w:t>
      </w:r>
      <w:r>
        <w:rPr>
          <w:rFonts w:hint="eastAsia" w:cs="Times New Roman"/>
        </w:rPr>
        <w:t>城市工矿区改造修复方案应在完成基础调查与问题识别的基础上编制，并应确保与区域发展规划、国土空间规划、土地利用规划及生态环境保护规划等相关规划相衔接。</w:t>
      </w:r>
    </w:p>
    <w:p w14:paraId="7EAE895D">
      <w:pPr>
        <w:ind w:firstLine="0" w:firstLineChars="0"/>
        <w:rPr>
          <w:rFonts w:cs="Times New Roman"/>
        </w:rPr>
      </w:pPr>
      <w:r>
        <w:rPr>
          <w:rFonts w:hint="eastAsia" w:cs="Times New Roman"/>
        </w:rPr>
        <w:t>【</w:t>
      </w:r>
      <w:r>
        <w:rPr>
          <w:rFonts w:cs="Times New Roman"/>
        </w:rPr>
        <w:t>条文说明</w:t>
      </w:r>
      <w:r>
        <w:rPr>
          <w:rFonts w:hint="eastAsia" w:cs="Times New Roman"/>
        </w:rPr>
        <w:t>】本条规定了修复方案编制的前提条件和总体要求。方案应以详实的基础调查和生态问题识别为依据，确保方案的科学性和针对性；同时，应与上位规划相协调，保证修复工作的整体性、系统性和可持续性。</w:t>
      </w:r>
    </w:p>
    <w:p w14:paraId="08D8A6FB">
      <w:pPr>
        <w:ind w:firstLine="0" w:firstLineChars="0"/>
        <w:rPr>
          <w:rFonts w:cs="Times New Roman"/>
        </w:rPr>
      </w:pPr>
      <w:r>
        <w:rPr>
          <w:rFonts w:cs="Times New Roman"/>
          <w:b/>
          <w:bCs/>
        </w:rPr>
        <w:t xml:space="preserve">6.1.2  </w:t>
      </w:r>
      <w:r>
        <w:rPr>
          <w:rFonts w:hint="eastAsia" w:cs="Times New Roman"/>
        </w:rPr>
        <w:t>方案编制应依据场地条件、相关技术标准及修复目标，针对地形地貌景观破坏、土地资源占用与损毁等地质环境问题，结合区域自然与社会经济特征，提出与周边环境协调、技术合理、经济可行的设计方案。</w:t>
      </w:r>
    </w:p>
    <w:p w14:paraId="7A8A97C3">
      <w:pPr>
        <w:ind w:firstLine="0" w:firstLineChars="0"/>
        <w:rPr>
          <w:rFonts w:cs="Times New Roman"/>
        </w:rPr>
      </w:pPr>
      <w:r>
        <w:rPr>
          <w:rFonts w:hint="eastAsia" w:cs="Times New Roman"/>
        </w:rPr>
        <w:t>【条文说明】本条强调修复方案应充分考虑场地特征、区域差异与相关标准要求，针对主要地质环境问题提出切实可行的工程设计方案，实现与周边自然与人文环境的协调统一。</w:t>
      </w:r>
    </w:p>
    <w:p w14:paraId="31ED16F7">
      <w:pPr>
        <w:ind w:firstLine="0" w:firstLineChars="0"/>
        <w:rPr>
          <w:rFonts w:cs="Times New Roman"/>
        </w:rPr>
      </w:pPr>
      <w:r>
        <w:rPr>
          <w:rFonts w:cs="Times New Roman"/>
          <w:b/>
          <w:bCs/>
        </w:rPr>
        <w:t>6.1.3</w:t>
      </w:r>
      <w:r>
        <w:rPr>
          <w:rFonts w:cs="Times New Roman"/>
        </w:rPr>
        <w:t xml:space="preserve">  </w:t>
      </w:r>
      <w:r>
        <w:rPr>
          <w:rFonts w:hint="eastAsia" w:cs="Times New Roman"/>
        </w:rPr>
        <w:t>方案编制应遵循“保护自然、恢复自然、融入自然”的理念，贯彻突出重点、分步实施、科技引领、注重实效的原则。应根据问题轻重缓急，分阶段推进，优先实施生态破坏和环境污染严重的重点治理工程；鼓励广泛应用新技术、新工艺和新材料，选择适宜的保护与治理模式，不断提升生态保护与修复成效</w:t>
      </w:r>
      <w:r>
        <w:rPr>
          <w:rFonts w:cs="Times New Roman"/>
        </w:rPr>
        <w:t>。</w:t>
      </w:r>
    </w:p>
    <w:p w14:paraId="247F41A5">
      <w:pPr>
        <w:ind w:firstLine="0" w:firstLineChars="0"/>
        <w:rPr>
          <w:rFonts w:cs="Times New Roman"/>
        </w:rPr>
      </w:pPr>
      <w:r>
        <w:rPr>
          <w:rFonts w:hint="eastAsia" w:cs="Times New Roman"/>
        </w:rPr>
        <w:t>【条文说明】本条提出方案编制的基本理念和实施原则。要求遵循生态优先、科学治理、分步推进的方针，突出重点治理区域，鼓励技术创新与工程集约化，确保修复工程的实效性与可持续性。</w:t>
      </w:r>
    </w:p>
    <w:p w14:paraId="3A4E514D">
      <w:pPr>
        <w:ind w:firstLine="0" w:firstLineChars="0"/>
        <w:rPr>
          <w:rFonts w:cs="Times New Roman"/>
        </w:rPr>
      </w:pPr>
      <w:r>
        <w:rPr>
          <w:rFonts w:cs="Times New Roman"/>
          <w:b/>
          <w:bCs/>
        </w:rPr>
        <w:t>6.1.4</w:t>
      </w:r>
      <w:r>
        <w:rPr>
          <w:rFonts w:hint="eastAsia" w:cs="Times New Roman"/>
        </w:rPr>
        <w:t xml:space="preserve"> </w:t>
      </w:r>
      <w:r>
        <w:rPr>
          <w:rFonts w:cs="Times New Roman"/>
        </w:rPr>
        <w:t xml:space="preserve"> </w:t>
      </w:r>
      <w:r>
        <w:rPr>
          <w:rFonts w:hint="eastAsia" w:cs="Times New Roman"/>
        </w:rPr>
        <w:t>方案主要内容应包括：前言、城市工矿区概况、总体定位与修复目标、主要任务与工作部署、跟踪监测、投资估算及保障措施。方案成果应包括文本、附图和附表，内容应系统、完整、逻辑清晰，符合修复工程设计与管理的要求。</w:t>
      </w:r>
    </w:p>
    <w:p w14:paraId="08BA49FE">
      <w:pPr>
        <w:ind w:firstLine="0" w:firstLineChars="0"/>
        <w:rPr>
          <w:rFonts w:cs="Times New Roman"/>
        </w:rPr>
      </w:pPr>
      <w:r>
        <w:rPr>
          <w:rFonts w:hint="eastAsia" w:cs="Times New Roman"/>
        </w:rPr>
        <w:t>【</w:t>
      </w:r>
      <w:r>
        <w:rPr>
          <w:rFonts w:cs="Times New Roman"/>
        </w:rPr>
        <w:t>条文说明</w:t>
      </w:r>
      <w:r>
        <w:rPr>
          <w:rFonts w:hint="eastAsia" w:cs="Times New Roman"/>
        </w:rPr>
        <w:t>】本条明确了改造修复方案的主要内容及成果形式。方案应从总体到专项系统阐述修复目标、任务、措施与保障体系，并通过文本、附图、附表多维呈现，为后续设计、实施与评估提供依据</w:t>
      </w:r>
      <w:r>
        <w:rPr>
          <w:rFonts w:cs="Times New Roman"/>
        </w:rPr>
        <w:t>。</w:t>
      </w:r>
    </w:p>
    <w:p w14:paraId="6DB543A7">
      <w:pPr>
        <w:ind w:firstLine="0" w:firstLineChars="0"/>
        <w:rPr>
          <w:rFonts w:cs="Times New Roman"/>
        </w:rPr>
      </w:pPr>
      <w:r>
        <w:rPr>
          <w:rFonts w:cs="Times New Roman"/>
          <w:b/>
          <w:bCs/>
        </w:rPr>
        <w:t>6.1.5</w:t>
      </w:r>
      <w:r>
        <w:rPr>
          <w:rFonts w:hint="eastAsia" w:cs="Times New Roman"/>
        </w:rPr>
        <w:t xml:space="preserve"> </w:t>
      </w:r>
      <w:r>
        <w:rPr>
          <w:rFonts w:cs="Times New Roman"/>
        </w:rPr>
        <w:t xml:space="preserve"> </w:t>
      </w:r>
      <w:r>
        <w:rPr>
          <w:rFonts w:hint="eastAsia" w:cs="Times New Roman"/>
        </w:rPr>
        <w:t>改造修复方案应组织专家论证。论证环节应包括现场踏勘、室内审查、质询答辩和修改定稿等环节，重点论证方案中各工程项目的必要性、可行性、技术合理性与经济合理性。</w:t>
      </w:r>
    </w:p>
    <w:p w14:paraId="5DF14837">
      <w:pPr>
        <w:ind w:firstLine="0" w:firstLineChars="0"/>
        <w:rPr>
          <w:rFonts w:cs="Times New Roman"/>
        </w:rPr>
      </w:pPr>
      <w:r>
        <w:rPr>
          <w:rFonts w:hint="eastAsia" w:cs="Times New Roman"/>
        </w:rPr>
        <w:t>【</w:t>
      </w:r>
      <w:r>
        <w:rPr>
          <w:rFonts w:cs="Times New Roman"/>
        </w:rPr>
        <w:t>条文说明</w:t>
      </w:r>
      <w:r>
        <w:rPr>
          <w:rFonts w:hint="eastAsia" w:cs="Times New Roman"/>
        </w:rPr>
        <w:t>】本条规定了修复方案的技术论证程序。通过专家现场与室内联合论证，确保方案科学、合理、可实施，并对工程措施的技术与经济可行性进行充分审查和优化。</w:t>
      </w:r>
    </w:p>
    <w:p w14:paraId="0C6C4B36">
      <w:pPr>
        <w:ind w:firstLine="0" w:firstLineChars="0"/>
        <w:rPr>
          <w:rFonts w:cs="Times New Roman"/>
        </w:rPr>
      </w:pPr>
      <w:r>
        <w:rPr>
          <w:rFonts w:cs="Times New Roman"/>
          <w:b/>
          <w:bCs/>
        </w:rPr>
        <w:t>6.1.6</w:t>
      </w:r>
      <w:r>
        <w:rPr>
          <w:rFonts w:hint="eastAsia" w:cs="Times New Roman"/>
        </w:rPr>
        <w:t xml:space="preserve"> </w:t>
      </w:r>
      <w:r>
        <w:rPr>
          <w:rFonts w:cs="Times New Roman"/>
        </w:rPr>
        <w:t xml:space="preserve"> </w:t>
      </w:r>
      <w:r>
        <w:rPr>
          <w:rFonts w:hint="eastAsia" w:cs="Times New Roman"/>
        </w:rPr>
        <w:t>改造修复方案是矿区改造修复工程设计、资金管理、工程实施、监测监管、竣工验收、绩效评价及综合成效评估等工作的基本依据。</w:t>
      </w:r>
    </w:p>
    <w:p w14:paraId="318E194E">
      <w:pPr>
        <w:ind w:firstLine="0" w:firstLineChars="0"/>
        <w:rPr>
          <w:rFonts w:cs="Times New Roman"/>
        </w:rPr>
      </w:pPr>
      <w:r>
        <w:rPr>
          <w:rFonts w:hint="eastAsia" w:cs="Times New Roman"/>
        </w:rPr>
        <w:t>【</w:t>
      </w:r>
      <w:r>
        <w:rPr>
          <w:rFonts w:cs="Times New Roman"/>
        </w:rPr>
        <w:t>条文说明</w:t>
      </w:r>
      <w:r>
        <w:rPr>
          <w:rFonts w:hint="eastAsia" w:cs="Times New Roman"/>
        </w:rPr>
        <w:t>】本条阐明修复方案在矿区改造全过程中的作用。方案不仅是工程设计与施工管理的依据，也是资金使用、监测监管、竣工验收及绩效评价的基础性文件，对保证修复目标实现和工程成效具有核心指导意义</w:t>
      </w:r>
      <w:r>
        <w:rPr>
          <w:rFonts w:cs="Times New Roman"/>
        </w:rPr>
        <w:t>。</w:t>
      </w:r>
    </w:p>
    <w:p w14:paraId="336D9223">
      <w:pPr>
        <w:pStyle w:val="30"/>
        <w:numPr>
          <w:ilvl w:val="0"/>
          <w:numId w:val="4"/>
        </w:numPr>
        <w:spacing w:before="163" w:beforeLines="50" w:after="163" w:afterLines="50"/>
        <w:ind w:firstLineChars="0"/>
        <w:jc w:val="center"/>
        <w:outlineLvl w:val="1"/>
        <w:rPr>
          <w:b/>
          <w:bCs/>
          <w:sz w:val="28"/>
          <w:szCs w:val="28"/>
        </w:rPr>
      </w:pPr>
      <w:bookmarkStart w:id="13" w:name="_Toc212057027"/>
      <w:r>
        <w:rPr>
          <w:rFonts w:hint="eastAsia"/>
          <w:b/>
          <w:bCs/>
          <w:sz w:val="28"/>
          <w:szCs w:val="28"/>
        </w:rPr>
        <w:t>地形地貌设计</w:t>
      </w:r>
      <w:bookmarkEnd w:id="13"/>
    </w:p>
    <w:p w14:paraId="0B072516">
      <w:pPr>
        <w:ind w:firstLine="0" w:firstLineChars="0"/>
      </w:pPr>
      <w:r>
        <w:rPr>
          <w:b/>
          <w:bCs/>
        </w:rPr>
        <w:t>6.2.1</w:t>
      </w:r>
      <w:r>
        <w:t xml:space="preserve">  </w:t>
      </w:r>
      <w:r>
        <w:rPr>
          <w:rFonts w:hint="eastAsia"/>
        </w:rPr>
        <w:t>地形地貌整治宜包括挖（填）方、废石（渣）清理、采坑（塌陷）回填、泥潭治理、地形整理与覆土（覆绿）等工程；可根据需要设置石笼、干砌/浆砌挡墙、排水沟（渠）等附属工程措施。</w:t>
      </w:r>
    </w:p>
    <w:p w14:paraId="0D8C2987">
      <w:pPr>
        <w:ind w:firstLine="0" w:firstLineChars="0"/>
      </w:pPr>
      <w:r>
        <w:rPr>
          <w:rFonts w:hint="eastAsia"/>
        </w:rPr>
        <w:t>【条文说明】本条明确整治的主要工程类型及常用工程措施，为后续设计与实施提供项目清单与做法指引。</w:t>
      </w:r>
    </w:p>
    <w:p w14:paraId="0BE4FC34">
      <w:pPr>
        <w:ind w:firstLine="0" w:firstLineChars="0"/>
      </w:pPr>
      <w:r>
        <w:rPr>
          <w:b/>
          <w:bCs/>
        </w:rPr>
        <w:t>6.2.2</w:t>
      </w:r>
      <w:r>
        <w:t xml:space="preserve">  </w:t>
      </w:r>
      <w:r>
        <w:rPr>
          <w:rFonts w:hint="eastAsia"/>
        </w:rPr>
        <w:t>应明确废石（渣）清理、采坑（塌陷）回填等工程的平面范围与工程量（体积/方量），并确定地形整平的标高控制值及测量控制要求。</w:t>
      </w:r>
    </w:p>
    <w:p w14:paraId="49953704">
      <w:pPr>
        <w:ind w:firstLine="0" w:firstLineChars="0"/>
      </w:pPr>
      <w:r>
        <w:rPr>
          <w:rFonts w:hint="eastAsia"/>
        </w:rPr>
        <w:t>【</w:t>
      </w:r>
      <w:r>
        <w:t>条文说明</w:t>
      </w:r>
      <w:r>
        <w:rPr>
          <w:rFonts w:hint="eastAsia"/>
        </w:rPr>
        <w:t>】本条强调工程量与标高控制的刚性要求，保障整治的可计量、可验收与质量可控</w:t>
      </w:r>
      <w:r>
        <w:t>。</w:t>
      </w:r>
    </w:p>
    <w:p w14:paraId="78C26BCC">
      <w:pPr>
        <w:ind w:firstLine="0" w:firstLineChars="0"/>
        <w:rPr>
          <w:rFonts w:cs="Times New Roman"/>
        </w:rPr>
      </w:pPr>
      <w:r>
        <w:rPr>
          <w:rFonts w:cs="Times New Roman"/>
          <w:b/>
          <w:bCs/>
        </w:rPr>
        <w:t>6.2.3</w:t>
      </w:r>
      <w:r>
        <w:rPr>
          <w:rFonts w:hint="eastAsia" w:cs="Times New Roman"/>
        </w:rPr>
        <w:t xml:space="preserve"> </w:t>
      </w:r>
      <w:r>
        <w:rPr>
          <w:rFonts w:cs="Times New Roman"/>
        </w:rPr>
        <w:t xml:space="preserve"> </w:t>
      </w:r>
      <w:r>
        <w:rPr>
          <w:rFonts w:hint="eastAsia"/>
        </w:rPr>
        <w:t>地形地貌修复的植物选择应优先采用适应当地气候和土壤条件、抗逆性强、耐贫瘠、易成活、易养护、根系发达、种源稳定、水土保持功能强、管理要求适中的乡土植物；应综合配置乔木、灌木、草本与攀援植物，兼顾固氮与非固氮、深根性与浅根性、经济林与生态林的合理组合，提升群落稳定性与生态防护能力</w:t>
      </w:r>
      <w:r>
        <w:rPr>
          <w:rFonts w:hint="eastAsia" w:cs="Times New Roman"/>
        </w:rPr>
        <w:t>。</w:t>
      </w:r>
    </w:p>
    <w:p w14:paraId="55AE6DA4">
      <w:pPr>
        <w:ind w:firstLine="0" w:firstLineChars="0"/>
        <w:rPr>
          <w:rFonts w:cs="Times New Roman"/>
        </w:rPr>
      </w:pPr>
      <w:r>
        <w:rPr>
          <w:rFonts w:hint="eastAsia" w:cs="Times New Roman"/>
        </w:rPr>
        <w:t>【条文说明】本条提出优先乡土化与多层次混交配置原则，以增强群落适应性与长期稳态</w:t>
      </w:r>
      <w:r>
        <w:rPr>
          <w:rFonts w:cs="Times New Roman"/>
        </w:rPr>
        <w:t>。</w:t>
      </w:r>
    </w:p>
    <w:p w14:paraId="1FB10239">
      <w:pPr>
        <w:ind w:firstLine="0" w:firstLineChars="0"/>
        <w:rPr>
          <w:rFonts w:cs="Times New Roman"/>
        </w:rPr>
      </w:pPr>
      <w:r>
        <w:rPr>
          <w:rFonts w:cs="Times New Roman"/>
          <w:b/>
          <w:bCs/>
        </w:rPr>
        <w:t xml:space="preserve">6.2.5  </w:t>
      </w:r>
      <w:r>
        <w:rPr>
          <w:rFonts w:hint="eastAsia" w:cs="Times New Roman"/>
        </w:rPr>
        <w:t>乔木、灌木、攀援植物可采用苗木或营养体栽植，宜按丛植、列植、面植等方式配置；草本植物可配施生态修复靶向菌剂，采用喷播或人工播种，并应结合当地降水与立地条件择优确定种植方式。</w:t>
      </w:r>
    </w:p>
    <w:p w14:paraId="64AF0FC9">
      <w:pPr>
        <w:ind w:firstLine="0" w:firstLineChars="0"/>
        <w:rPr>
          <w:rFonts w:cs="Times New Roman"/>
        </w:rPr>
      </w:pPr>
      <w:r>
        <w:rPr>
          <w:rFonts w:hint="eastAsia" w:cs="Times New Roman"/>
        </w:rPr>
        <w:t>【条文说明】本条规范不同生活型植物的栽植材料与配置方式，并提出因地制宜的技术选择要求。</w:t>
      </w:r>
    </w:p>
    <w:p w14:paraId="2AFD6C03">
      <w:pPr>
        <w:ind w:firstLine="0" w:firstLineChars="0"/>
        <w:rPr>
          <w:rFonts w:cs="Times New Roman"/>
        </w:rPr>
      </w:pPr>
      <w:r>
        <w:rPr>
          <w:rFonts w:cs="Times New Roman"/>
          <w:b/>
          <w:bCs/>
        </w:rPr>
        <w:t xml:space="preserve">6.2.6  </w:t>
      </w:r>
      <w:r>
        <w:rPr>
          <w:rFonts w:hint="eastAsia" w:cs="Times New Roman"/>
        </w:rPr>
        <w:t>应根据矿区地形地貌、土壤与植物需水特性以及修复标准，合理选择喷灌、微灌或其组合系统。喷灌系统的设计与施工应符合现行国家标准《喷灌工程技术规范》</w:t>
      </w:r>
      <w:r>
        <w:rPr>
          <w:rFonts w:cs="Times New Roman"/>
        </w:rPr>
        <w:t>(</w:t>
      </w:r>
      <w:r>
        <w:rPr>
          <w:rFonts w:hint="eastAsia" w:cs="Times New Roman"/>
        </w:rPr>
        <w:t>GB/T 50085</w:t>
      </w:r>
      <w:r>
        <w:rPr>
          <w:rFonts w:cs="Times New Roman"/>
        </w:rPr>
        <w:t>)</w:t>
      </w:r>
      <w:r>
        <w:rPr>
          <w:rFonts w:hint="eastAsia" w:cs="Times New Roman"/>
        </w:rPr>
        <w:t>的有关规定；微灌系统的设计与施工应符合现行国家标准《微灌工程技术标准》（GB/T 50485）的有关规定。</w:t>
      </w:r>
    </w:p>
    <w:p w14:paraId="57256855">
      <w:pPr>
        <w:ind w:firstLine="0" w:firstLineChars="0"/>
        <w:rPr>
          <w:rFonts w:cs="Times New Roman"/>
        </w:rPr>
      </w:pPr>
      <w:r>
        <w:rPr>
          <w:rFonts w:hint="eastAsia" w:cs="Times New Roman"/>
        </w:rPr>
        <w:t>【条文说明】本条明确灌溉系统的选型原则与执行标准，确保水分管理的规范性与有效性。</w:t>
      </w:r>
    </w:p>
    <w:p w14:paraId="51207C64">
      <w:pPr>
        <w:ind w:firstLine="0" w:firstLineChars="0"/>
        <w:rPr>
          <w:rFonts w:ascii="宋体" w:hAnsi="宋体" w:cs="宋体"/>
        </w:rPr>
      </w:pPr>
      <w:r>
        <w:rPr>
          <w:rFonts w:cs="Times New Roman"/>
          <w:b/>
          <w:bCs/>
          <w:lang w:bidi="ar"/>
        </w:rPr>
        <w:t xml:space="preserve">6.2.7  </w:t>
      </w:r>
      <w:r>
        <w:rPr>
          <w:rFonts w:hint="eastAsia" w:ascii="宋体" w:hAnsi="宋体" w:cs="宋体"/>
          <w:lang w:bidi="ar"/>
        </w:rPr>
        <w:t>坡面绿化</w:t>
      </w:r>
    </w:p>
    <w:p w14:paraId="6650D74D">
      <w:pPr>
        <w:ind w:left="240" w:leftChars="100" w:firstLine="241" w:firstLineChars="100"/>
      </w:pPr>
      <w:r>
        <w:rPr>
          <w:rFonts w:cs="Times New Roman"/>
          <w:b/>
          <w:bCs/>
          <w:lang w:bidi="ar"/>
        </w:rPr>
        <w:t>1</w:t>
      </w:r>
      <w:r>
        <w:rPr>
          <w:rFonts w:cs="Times New Roman"/>
          <w:lang w:bidi="ar"/>
        </w:rPr>
        <w:t xml:space="preserve"> </w:t>
      </w:r>
      <w:r>
        <w:rPr>
          <w:rFonts w:hint="eastAsia" w:cs="Times New Roman"/>
          <w:lang w:bidi="ar"/>
        </w:rPr>
        <w:t>坡比在</w:t>
      </w:r>
      <w:r>
        <w:rPr>
          <w:rFonts w:cs="Times New Roman"/>
          <w:lang w:bidi="ar"/>
        </w:rPr>
        <w:object>
          <v:shape id="_x0000_i1025" o:spt="75" type="#_x0000_t75" style="height:12pt;width:80.25pt;" o:ole="t" filled="f" o:preferrelative="t" stroked="f" coordsize="21600,21600">
            <v:path/>
            <v:fill on="f" focussize="0,0"/>
            <v:stroke on="f" joinstyle="miter"/>
            <v:imagedata r:id="rId16" o:title=""/>
            <o:lock v:ext="edit" aspectratio="t"/>
            <w10:wrap type="none"/>
            <w10:anchorlock/>
          </v:shape>
          <o:OLEObject Type="Embed" ProgID="Equation.3" ShapeID="_x0000_i1025" DrawAspect="Content" ObjectID="_1468075725" r:id="rId15">
            <o:LockedField>false</o:LockedField>
          </o:OLEObject>
        </w:object>
      </w:r>
      <w:r>
        <w:rPr>
          <w:rFonts w:hint="eastAsia" w:cs="Times New Roman"/>
          <w:lang w:bidi="ar"/>
        </w:rPr>
        <w:t>范围时，按照绿化施工方法可分为：植生袋绿化、植生长袋绿化、飘台种植槽法绿化技术、燕槽绿化、植生孔绿化、爬藤覆盖式绿化法、悬垂枝覆盖式绿化法等。</w:t>
      </w:r>
    </w:p>
    <w:p w14:paraId="4660900C">
      <w:pPr>
        <w:ind w:left="240" w:leftChars="100" w:firstLine="241" w:firstLineChars="100"/>
      </w:pPr>
      <w:r>
        <w:rPr>
          <w:rFonts w:cs="Times New Roman"/>
          <w:b/>
          <w:bCs/>
          <w:lang w:bidi="ar"/>
        </w:rPr>
        <w:t>2</w:t>
      </w:r>
      <w:r>
        <w:rPr>
          <w:rFonts w:cs="Times New Roman"/>
          <w:lang w:bidi="ar"/>
        </w:rPr>
        <w:t xml:space="preserve"> </w:t>
      </w:r>
      <w:r>
        <w:rPr>
          <w:rFonts w:hint="eastAsia" w:cs="宋体"/>
          <w:lang w:bidi="ar"/>
        </w:rPr>
        <w:t>坡比在</w:t>
      </w:r>
      <w:r>
        <w:rPr>
          <w:rFonts w:cs="Times New Roman"/>
          <w:lang w:bidi="ar"/>
        </w:rPr>
        <w:object>
          <v:shape id="_x0000_i1026" o:spt="75" type="#_x0000_t75" style="height:12pt;width:70.5pt;" o:ole="t" filled="f" o:preferrelative="t" stroked="f" coordsize="21600,21600">
            <v:path/>
            <v:fill on="f" focussize="0,0"/>
            <v:stroke on="f" joinstyle="miter"/>
            <v:imagedata r:id="rId18" o:title=""/>
            <o:lock v:ext="edit" aspectratio="t"/>
            <w10:wrap type="none"/>
            <w10:anchorlock/>
          </v:shape>
          <o:OLEObject Type="Embed" ProgID="Equation.3" ShapeID="_x0000_i1026" DrawAspect="Content" ObjectID="_1468075726" r:id="rId17">
            <o:LockedField>false</o:LockedField>
          </o:OLEObject>
        </w:object>
      </w:r>
      <w:r>
        <w:rPr>
          <w:rFonts w:hint="eastAsia" w:cs="宋体"/>
          <w:lang w:bidi="ar"/>
        </w:rPr>
        <w:t>范围时，按照材料配方及喷播基质形状不同，绿化施工方法可分为：客土喷播法、植被混凝土喷播法、高次团粒绿化、植生袋绿化、植生长袋绿化、喷射木纤维法等：</w:t>
      </w:r>
    </w:p>
    <w:p w14:paraId="0182E57E">
      <w:pPr>
        <w:ind w:left="240" w:leftChars="100" w:firstLine="241" w:firstLineChars="100"/>
      </w:pPr>
      <w:r>
        <w:rPr>
          <w:rFonts w:cs="Times New Roman"/>
          <w:b/>
          <w:bCs/>
          <w:lang w:bidi="ar"/>
        </w:rPr>
        <w:t>3</w:t>
      </w:r>
      <w:r>
        <w:rPr>
          <w:rFonts w:cs="Times New Roman"/>
          <w:lang w:bidi="ar"/>
        </w:rPr>
        <w:t xml:space="preserve"> </w:t>
      </w:r>
      <w:r>
        <w:rPr>
          <w:rFonts w:hint="eastAsia" w:cs="宋体"/>
          <w:lang w:bidi="ar"/>
        </w:rPr>
        <w:t>坡比在</w:t>
      </w:r>
      <w:r>
        <w:rPr>
          <w:rFonts w:cs="Times New Roman"/>
          <w:lang w:bidi="ar"/>
        </w:rPr>
        <w:object>
          <v:shape id="_x0000_i1027" o:spt="75" type="#_x0000_t75" style="height:12pt;width:60.75pt;" o:ole="t" filled="f" o:preferrelative="t" stroked="f" coordsize="21600,21600">
            <v:path/>
            <v:fill on="f" focussize="0,0"/>
            <v:stroke on="f" joinstyle="miter"/>
            <v:imagedata r:id="rId20" o:title=""/>
            <o:lock v:ext="edit" aspectratio="t"/>
            <w10:wrap type="none"/>
            <w10:anchorlock/>
          </v:shape>
          <o:OLEObject Type="Embed" ProgID="Equation.3" ShapeID="_x0000_i1027" DrawAspect="Content" ObjectID="_1468075727" r:id="rId19">
            <o:LockedField>false</o:LockedField>
          </o:OLEObject>
        </w:object>
      </w:r>
      <w:r>
        <w:rPr>
          <w:rFonts w:hint="eastAsia" w:cs="宋体"/>
          <w:lang w:bidi="ar"/>
        </w:rPr>
        <w:t>范围时，按照绿化施工方法可分为：框格梁生态护坡技术、客土喷播法、植被混凝土喷播法、高次团粒绿化、植生袋绿化、植生长袋绿化、喷射木纤维法、鱼鳞坑客土绿化等；</w:t>
      </w:r>
    </w:p>
    <w:p w14:paraId="15AAD10B">
      <w:pPr>
        <w:ind w:left="240" w:leftChars="100" w:firstLine="241" w:firstLineChars="100"/>
      </w:pPr>
      <w:r>
        <w:rPr>
          <w:rFonts w:cs="Times New Roman"/>
          <w:b/>
          <w:bCs/>
          <w:lang w:bidi="ar"/>
        </w:rPr>
        <w:t>4</w:t>
      </w:r>
      <w:r>
        <w:rPr>
          <w:rFonts w:cs="Times New Roman"/>
          <w:lang w:bidi="ar"/>
        </w:rPr>
        <w:t xml:space="preserve"> </w:t>
      </w:r>
      <w:r>
        <w:rPr>
          <w:rFonts w:hint="eastAsia" w:cs="宋体"/>
          <w:lang w:bidi="ar"/>
        </w:rPr>
        <w:t>坡比在</w:t>
      </w:r>
      <w:r>
        <w:rPr>
          <w:rFonts w:cs="Times New Roman"/>
          <w:lang w:bidi="ar"/>
        </w:rPr>
        <w:object>
          <v:shape id="_x0000_i1028" o:spt="75" type="#_x0000_t75" style="height:12pt;width:36.75pt;" o:ole="t" filled="f" o:preferrelative="t" stroked="f" coordsize="21600,21600">
            <v:path/>
            <v:fill on="f" focussize="0,0"/>
            <v:stroke on="f" joinstyle="miter"/>
            <v:imagedata r:id="rId22" o:title=""/>
            <o:lock v:ext="edit" aspectratio="t"/>
            <w10:wrap type="none"/>
            <w10:anchorlock/>
          </v:shape>
          <o:OLEObject Type="Embed" ProgID="Equation.3" ShapeID="_x0000_i1028" DrawAspect="Content" ObjectID="_1468075728" r:id="rId21">
            <o:LockedField>false</o:LockedField>
          </o:OLEObject>
        </w:object>
      </w:r>
      <w:r>
        <w:rPr>
          <w:rFonts w:hint="eastAsia" w:cs="宋体"/>
          <w:lang w:bidi="ar"/>
        </w:rPr>
        <w:t>时，按照绿化施工方法可分为：覆土绿化、鱼鳞坑客土绿化等。</w:t>
      </w:r>
    </w:p>
    <w:p w14:paraId="5522444D">
      <w:pPr>
        <w:ind w:left="240" w:leftChars="100" w:firstLine="241" w:firstLineChars="100"/>
      </w:pPr>
      <w:r>
        <w:rPr>
          <w:rFonts w:cs="Times New Roman"/>
          <w:b/>
          <w:bCs/>
          <w:lang w:bidi="ar"/>
        </w:rPr>
        <w:t>5</w:t>
      </w:r>
      <w:r>
        <w:rPr>
          <w:rFonts w:cs="Times New Roman"/>
          <w:lang w:bidi="ar"/>
        </w:rPr>
        <w:t xml:space="preserve"> </w:t>
      </w:r>
      <w:r>
        <w:rPr>
          <w:rFonts w:hint="eastAsia" w:cs="宋体"/>
          <w:lang w:bidi="ar"/>
        </w:rPr>
        <w:t>喷播基质厚度应考虑绿化喷播技术、坡比、年降水量、岩体性质、风化程度、裂隙发育、坡向、植物种子萌发和幼苗生长等因素，在此基础上，可降低喷播基质的厚度。</w:t>
      </w:r>
    </w:p>
    <w:p w14:paraId="1EA310E2">
      <w:pPr>
        <w:ind w:firstLine="480"/>
      </w:pPr>
      <w:r>
        <w:rPr>
          <w:rFonts w:hint="eastAsia" w:cs="宋体"/>
          <w:lang w:bidi="ar"/>
        </w:rPr>
        <w:t>上述绿化方法、基质（覆土）厚度及绿化类型应按表</w:t>
      </w:r>
      <w:r>
        <w:rPr>
          <w:rFonts w:cs="Times New Roman"/>
          <w:lang w:bidi="ar"/>
        </w:rPr>
        <w:t>6.2-1</w:t>
      </w:r>
      <w:r>
        <w:rPr>
          <w:rFonts w:hint="eastAsia" w:cs="宋体"/>
          <w:lang w:bidi="ar"/>
        </w:rPr>
        <w:t>执行。</w:t>
      </w:r>
    </w:p>
    <w:p w14:paraId="70CB743B">
      <w:pPr>
        <w:keepNext/>
        <w:ind w:firstLine="0" w:firstLineChars="0"/>
        <w:jc w:val="center"/>
        <w:rPr>
          <w:rFonts w:ascii="宋体" w:hAnsi="宋体" w:cs="宋体"/>
          <w:b/>
          <w:bCs/>
        </w:rPr>
      </w:pPr>
      <w:r>
        <w:rPr>
          <w:rFonts w:hint="eastAsia" w:ascii="宋体" w:hAnsi="宋体" w:cs="宋体"/>
          <w:b/>
          <w:bCs/>
          <w:lang w:bidi="ar"/>
        </w:rPr>
        <w:t>表</w:t>
      </w:r>
      <w:r>
        <w:rPr>
          <w:rFonts w:cs="Times New Roman"/>
          <w:b/>
          <w:bCs/>
          <w:lang w:bidi="ar"/>
        </w:rPr>
        <w:t>6.2-1</w:t>
      </w:r>
      <w:r>
        <w:rPr>
          <w:rFonts w:hint="eastAsia" w:ascii="宋体" w:hAnsi="宋体" w:cs="宋体"/>
          <w:b/>
          <w:bCs/>
          <w:lang w:bidi="ar"/>
        </w:rPr>
        <w:t>边坡绿化方法、基质（覆土）厚度及绿化类型</w:t>
      </w:r>
    </w:p>
    <w:tbl>
      <w:tblPr>
        <w:tblStyle w:val="17"/>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8"/>
        <w:gridCol w:w="1480"/>
        <w:gridCol w:w="1214"/>
        <w:gridCol w:w="1275"/>
        <w:gridCol w:w="2411"/>
        <w:gridCol w:w="992"/>
      </w:tblGrid>
      <w:tr w14:paraId="4228C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4836FC3C">
            <w:pPr>
              <w:ind w:firstLine="0" w:firstLineChars="0"/>
              <w:jc w:val="center"/>
              <w:rPr>
                <w:rFonts w:cs="Times New Roman"/>
                <w:sz w:val="22"/>
                <w:szCs w:val="21"/>
              </w:rPr>
            </w:pPr>
            <w:r>
              <w:rPr>
                <w:rFonts w:hint="eastAsia" w:cs="Times New Roman"/>
                <w:sz w:val="22"/>
                <w:szCs w:val="21"/>
                <w:lang w:bidi="ar"/>
              </w:rPr>
              <w:t>绿化施工方法</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14:paraId="00776CEE">
            <w:pPr>
              <w:ind w:firstLine="0" w:firstLineChars="0"/>
              <w:jc w:val="center"/>
              <w:rPr>
                <w:rFonts w:cs="Times New Roman"/>
                <w:sz w:val="22"/>
                <w:szCs w:val="21"/>
              </w:rPr>
            </w:pPr>
            <w:r>
              <w:rPr>
                <w:rFonts w:hint="eastAsia" w:cs="Times New Roman"/>
                <w:sz w:val="22"/>
                <w:szCs w:val="21"/>
                <w:lang w:bidi="ar"/>
              </w:rPr>
              <w:t>边坡类型</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009AA5DB">
            <w:pPr>
              <w:ind w:firstLine="0" w:firstLineChars="0"/>
              <w:jc w:val="center"/>
              <w:rPr>
                <w:rFonts w:cs="Times New Roman"/>
                <w:sz w:val="22"/>
                <w:szCs w:val="21"/>
              </w:rPr>
            </w:pPr>
            <w:r>
              <w:rPr>
                <w:rFonts w:hint="eastAsia" w:cs="Times New Roman"/>
                <w:sz w:val="22"/>
                <w:szCs w:val="21"/>
                <w:lang w:bidi="ar"/>
              </w:rPr>
              <w:t>坡率</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47D9694C">
            <w:pPr>
              <w:ind w:firstLine="0" w:firstLineChars="0"/>
              <w:jc w:val="center"/>
              <w:rPr>
                <w:rFonts w:cs="Times New Roman"/>
                <w:sz w:val="22"/>
                <w:szCs w:val="21"/>
              </w:rPr>
            </w:pPr>
            <w:r>
              <w:rPr>
                <w:rFonts w:hint="eastAsia" w:cs="Times New Roman"/>
                <w:sz w:val="22"/>
                <w:szCs w:val="21"/>
                <w:lang w:bidi="ar"/>
              </w:rPr>
              <w:t>厚度（</w:t>
            </w:r>
            <w:r>
              <w:rPr>
                <w:rFonts w:cs="Times New Roman"/>
                <w:sz w:val="22"/>
                <w:szCs w:val="21"/>
                <w:lang w:bidi="ar"/>
              </w:rPr>
              <w:t>mm</w:t>
            </w:r>
            <w:r>
              <w:rPr>
                <w:rFonts w:hint="eastAsia" w:cs="Times New Roman"/>
                <w:sz w:val="22"/>
                <w:szCs w:val="21"/>
                <w:lang w:bidi="ar"/>
              </w:rPr>
              <w:t>）</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7AA96A6C">
            <w:pPr>
              <w:ind w:firstLine="0" w:firstLineChars="0"/>
              <w:jc w:val="center"/>
              <w:rPr>
                <w:rFonts w:cs="Times New Roman"/>
                <w:sz w:val="22"/>
                <w:szCs w:val="21"/>
              </w:rPr>
            </w:pPr>
            <w:r>
              <w:rPr>
                <w:rFonts w:hint="eastAsia" w:cs="Times New Roman"/>
                <w:sz w:val="22"/>
                <w:szCs w:val="21"/>
                <w:lang w:bidi="ar"/>
              </w:rPr>
              <w:t>绿化类型</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5064B2B6">
            <w:pPr>
              <w:ind w:firstLine="0" w:firstLineChars="0"/>
              <w:jc w:val="center"/>
              <w:rPr>
                <w:rFonts w:cs="Times New Roman"/>
                <w:sz w:val="22"/>
                <w:szCs w:val="21"/>
              </w:rPr>
            </w:pPr>
            <w:r>
              <w:rPr>
                <w:rFonts w:hint="eastAsia" w:cs="Times New Roman"/>
                <w:sz w:val="22"/>
                <w:szCs w:val="21"/>
                <w:lang w:bidi="ar"/>
              </w:rPr>
              <w:t>备注</w:t>
            </w:r>
          </w:p>
        </w:tc>
      </w:tr>
      <w:tr w14:paraId="51301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312095F4">
            <w:pPr>
              <w:ind w:firstLine="0" w:firstLineChars="0"/>
              <w:jc w:val="center"/>
              <w:rPr>
                <w:rFonts w:cs="Times New Roman"/>
                <w:sz w:val="22"/>
                <w:szCs w:val="21"/>
              </w:rPr>
            </w:pPr>
            <w:r>
              <w:rPr>
                <w:rFonts w:hint="eastAsia" w:cs="Times New Roman"/>
                <w:sz w:val="22"/>
                <w:szCs w:val="21"/>
                <w:lang w:bidi="ar"/>
              </w:rPr>
              <w:t>飘台种植槽法</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14:paraId="4A25863C">
            <w:pPr>
              <w:ind w:firstLine="0" w:firstLineChars="0"/>
              <w:jc w:val="center"/>
              <w:rPr>
                <w:rFonts w:cs="Times New Roman"/>
                <w:sz w:val="22"/>
                <w:szCs w:val="21"/>
              </w:rPr>
            </w:pPr>
            <w:r>
              <w:rPr>
                <w:rFonts w:hint="eastAsia" w:cs="Times New Roman"/>
                <w:sz w:val="22"/>
                <w:szCs w:val="21"/>
                <w:lang w:bidi="ar"/>
              </w:rPr>
              <w:t>岩质边坡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1C9B8869">
            <w:pPr>
              <w:ind w:firstLine="0" w:firstLineChars="0"/>
              <w:jc w:val="center"/>
              <w:rPr>
                <w:rFonts w:cs="Times New Roman"/>
                <w:sz w:val="22"/>
                <w:szCs w:val="21"/>
              </w:rPr>
            </w:pPr>
            <w:r>
              <w:rPr>
                <w:rFonts w:cs="Times New Roman"/>
                <w:sz w:val="22"/>
                <w:szCs w:val="21"/>
                <w:lang w:bidi="ar"/>
              </w:rPr>
              <w:t>≤1:0.2</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15CCEB1B">
            <w:pPr>
              <w:ind w:firstLine="0" w:firstLineChars="0"/>
              <w:jc w:val="center"/>
              <w:rPr>
                <w:rFonts w:cs="Times New Roman"/>
                <w:sz w:val="22"/>
                <w:szCs w:val="21"/>
              </w:rPr>
            </w:pPr>
            <w:r>
              <w:rPr>
                <w:rFonts w:cs="Times New Roman"/>
                <w:sz w:val="22"/>
                <w:szCs w:val="21"/>
                <w:lang w:bidi="ar"/>
              </w:rPr>
              <w:t>300~800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71641ECE">
            <w:pPr>
              <w:ind w:firstLine="0" w:firstLineChars="0"/>
              <w:jc w:val="center"/>
              <w:rPr>
                <w:rFonts w:cs="Times New Roman"/>
                <w:sz w:val="22"/>
                <w:szCs w:val="21"/>
              </w:rPr>
            </w:pPr>
            <w:r>
              <w:rPr>
                <w:rFonts w:hint="eastAsia" w:cs="Times New Roman"/>
                <w:sz w:val="22"/>
                <w:szCs w:val="21"/>
                <w:lang w:bidi="ar"/>
              </w:rPr>
              <w:t>乔灌草型、藤类植物</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28FEC74A">
            <w:pPr>
              <w:ind w:firstLine="0" w:firstLineChars="0"/>
              <w:jc w:val="center"/>
              <w:rPr>
                <w:rFonts w:cs="Times New Roman"/>
                <w:sz w:val="22"/>
                <w:szCs w:val="21"/>
              </w:rPr>
            </w:pPr>
            <w:r>
              <w:rPr>
                <w:rFonts w:hint="eastAsia" w:cs="Times New Roman"/>
                <w:sz w:val="22"/>
                <w:szCs w:val="21"/>
                <w:lang w:bidi="ar"/>
              </w:rPr>
              <w:t>覆土</w:t>
            </w:r>
          </w:p>
        </w:tc>
      </w:tr>
      <w:tr w14:paraId="77382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3E0EEC51">
            <w:pPr>
              <w:ind w:firstLine="0" w:firstLineChars="0"/>
              <w:jc w:val="center"/>
              <w:rPr>
                <w:rFonts w:cs="Times New Roman"/>
                <w:sz w:val="22"/>
                <w:szCs w:val="21"/>
              </w:rPr>
            </w:pPr>
            <w:r>
              <w:rPr>
                <w:rFonts w:hint="eastAsia" w:cs="Times New Roman"/>
                <w:sz w:val="22"/>
                <w:szCs w:val="21"/>
                <w:lang w:bidi="ar"/>
              </w:rPr>
              <w:t>燕槽绿化</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14:paraId="5D8CB4C5">
            <w:pPr>
              <w:ind w:firstLine="0" w:firstLineChars="0"/>
              <w:jc w:val="center"/>
              <w:rPr>
                <w:rFonts w:cs="Times New Roman"/>
                <w:sz w:val="22"/>
                <w:szCs w:val="21"/>
              </w:rPr>
            </w:pPr>
            <w:r>
              <w:rPr>
                <w:rFonts w:hint="eastAsia" w:cs="Times New Roman"/>
                <w:sz w:val="22"/>
                <w:szCs w:val="21"/>
                <w:lang w:bidi="ar"/>
              </w:rPr>
              <w:t>岩质边坡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79FFBF22">
            <w:pPr>
              <w:ind w:firstLine="0" w:firstLineChars="0"/>
              <w:jc w:val="center"/>
              <w:rPr>
                <w:rFonts w:cs="Times New Roman"/>
                <w:sz w:val="22"/>
                <w:szCs w:val="21"/>
              </w:rPr>
            </w:pPr>
            <w:r>
              <w:rPr>
                <w:rFonts w:cs="Times New Roman"/>
                <w:sz w:val="22"/>
                <w:szCs w:val="21"/>
                <w:lang w:bidi="ar"/>
              </w:rPr>
              <w:t>≤1:0.2</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635465D3">
            <w:pPr>
              <w:ind w:firstLine="0" w:firstLineChars="0"/>
              <w:jc w:val="center"/>
              <w:rPr>
                <w:rFonts w:cs="Times New Roman"/>
                <w:sz w:val="22"/>
                <w:szCs w:val="21"/>
              </w:rPr>
            </w:pPr>
            <w:r>
              <w:rPr>
                <w:rFonts w:cs="Times New Roman"/>
                <w:sz w:val="22"/>
                <w:szCs w:val="21"/>
                <w:lang w:bidi="ar"/>
              </w:rPr>
              <w:t>300~800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37D32DD7">
            <w:pPr>
              <w:ind w:firstLine="0" w:firstLineChars="0"/>
              <w:jc w:val="center"/>
              <w:rPr>
                <w:rFonts w:cs="Times New Roman"/>
                <w:sz w:val="22"/>
                <w:szCs w:val="21"/>
              </w:rPr>
            </w:pPr>
            <w:r>
              <w:rPr>
                <w:rFonts w:hint="eastAsia" w:cs="Times New Roman"/>
                <w:sz w:val="22"/>
                <w:szCs w:val="21"/>
                <w:lang w:bidi="ar"/>
              </w:rPr>
              <w:t>乔灌草型、藤类植物</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3B9250F2">
            <w:pPr>
              <w:ind w:firstLine="0" w:firstLineChars="0"/>
              <w:jc w:val="center"/>
              <w:rPr>
                <w:rFonts w:cs="Times New Roman"/>
                <w:sz w:val="22"/>
                <w:szCs w:val="21"/>
              </w:rPr>
            </w:pPr>
            <w:r>
              <w:rPr>
                <w:rFonts w:hint="eastAsia" w:cs="Times New Roman"/>
                <w:sz w:val="22"/>
                <w:szCs w:val="21"/>
                <w:lang w:bidi="ar"/>
              </w:rPr>
              <w:t>覆土</w:t>
            </w:r>
          </w:p>
        </w:tc>
      </w:tr>
      <w:tr w14:paraId="765F4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3FDBA6D2">
            <w:pPr>
              <w:ind w:firstLine="0" w:firstLineChars="0"/>
              <w:jc w:val="center"/>
              <w:rPr>
                <w:rFonts w:cs="Times New Roman"/>
                <w:sz w:val="22"/>
                <w:szCs w:val="21"/>
              </w:rPr>
            </w:pPr>
            <w:r>
              <w:rPr>
                <w:rFonts w:hint="eastAsia" w:cs="Times New Roman"/>
                <w:sz w:val="22"/>
                <w:szCs w:val="21"/>
                <w:lang w:bidi="ar"/>
              </w:rPr>
              <w:t>悬垂枝覆盖式绿化</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14:paraId="689BAC1D">
            <w:pPr>
              <w:ind w:firstLine="0" w:firstLineChars="0"/>
              <w:jc w:val="center"/>
              <w:rPr>
                <w:rFonts w:cs="Times New Roman"/>
                <w:sz w:val="22"/>
                <w:szCs w:val="21"/>
              </w:rPr>
            </w:pPr>
            <w:r>
              <w:rPr>
                <w:rFonts w:hint="eastAsia" w:cs="Times New Roman"/>
                <w:sz w:val="22"/>
                <w:szCs w:val="21"/>
                <w:lang w:bidi="ar"/>
              </w:rPr>
              <w:t>岩质边坡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3726CEF8">
            <w:pPr>
              <w:ind w:firstLine="0" w:firstLineChars="0"/>
              <w:jc w:val="center"/>
              <w:rPr>
                <w:rFonts w:cs="Times New Roman"/>
                <w:sz w:val="22"/>
                <w:szCs w:val="21"/>
              </w:rPr>
            </w:pPr>
            <w:r>
              <w:rPr>
                <w:rFonts w:cs="Times New Roman"/>
                <w:sz w:val="22"/>
                <w:szCs w:val="21"/>
                <w:lang w:bidi="ar"/>
              </w:rPr>
              <w:t>≤1:0.2</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66DED24A">
            <w:pPr>
              <w:ind w:firstLine="0" w:firstLineChars="0"/>
              <w:jc w:val="center"/>
              <w:rPr>
                <w:rFonts w:cs="Times New Roman"/>
                <w:sz w:val="22"/>
                <w:szCs w:val="21"/>
              </w:rPr>
            </w:pPr>
            <w:r>
              <w:rPr>
                <w:rFonts w:cs="Times New Roman"/>
                <w:sz w:val="22"/>
                <w:szCs w:val="21"/>
                <w:lang w:bidi="ar"/>
              </w:rPr>
              <w:t>300~800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0D3644B1">
            <w:pPr>
              <w:ind w:firstLine="0" w:firstLineChars="0"/>
              <w:jc w:val="center"/>
              <w:rPr>
                <w:rFonts w:cs="Times New Roman"/>
                <w:sz w:val="22"/>
                <w:szCs w:val="21"/>
              </w:rPr>
            </w:pPr>
            <w:r>
              <w:rPr>
                <w:rFonts w:hint="eastAsia" w:cs="Times New Roman"/>
                <w:sz w:val="22"/>
                <w:szCs w:val="21"/>
                <w:lang w:bidi="ar"/>
              </w:rPr>
              <w:t>乔灌草型、藤类植物</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75F5EBAD">
            <w:pPr>
              <w:ind w:firstLine="0" w:firstLineChars="0"/>
              <w:jc w:val="center"/>
              <w:rPr>
                <w:rFonts w:cs="Times New Roman"/>
                <w:sz w:val="22"/>
                <w:szCs w:val="21"/>
              </w:rPr>
            </w:pPr>
            <w:r>
              <w:rPr>
                <w:rFonts w:hint="eastAsia" w:cs="Times New Roman"/>
                <w:sz w:val="22"/>
                <w:szCs w:val="21"/>
                <w:lang w:bidi="ar"/>
              </w:rPr>
              <w:t>覆土</w:t>
            </w:r>
          </w:p>
        </w:tc>
      </w:tr>
      <w:tr w14:paraId="75EAD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3F3D9455">
            <w:pPr>
              <w:ind w:firstLine="0" w:firstLineChars="0"/>
              <w:jc w:val="center"/>
              <w:rPr>
                <w:rFonts w:cs="Times New Roman"/>
                <w:sz w:val="22"/>
                <w:szCs w:val="21"/>
              </w:rPr>
            </w:pPr>
            <w:r>
              <w:rPr>
                <w:rFonts w:hint="eastAsia" w:cs="Times New Roman"/>
                <w:sz w:val="22"/>
                <w:szCs w:val="21"/>
                <w:lang w:bidi="ar"/>
              </w:rPr>
              <w:t>植生孔绿化</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14:paraId="387052A0">
            <w:pPr>
              <w:ind w:firstLine="0" w:firstLineChars="0"/>
              <w:jc w:val="center"/>
              <w:rPr>
                <w:rFonts w:cs="Times New Roman"/>
                <w:sz w:val="22"/>
                <w:szCs w:val="21"/>
              </w:rPr>
            </w:pPr>
            <w:r>
              <w:rPr>
                <w:rFonts w:hint="eastAsia" w:cs="Times New Roman"/>
                <w:sz w:val="22"/>
                <w:szCs w:val="21"/>
                <w:lang w:bidi="ar"/>
              </w:rPr>
              <w:t>岩质边坡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481EA47C">
            <w:pPr>
              <w:ind w:firstLine="0" w:firstLineChars="0"/>
              <w:jc w:val="center"/>
              <w:rPr>
                <w:rFonts w:cs="Times New Roman"/>
                <w:sz w:val="22"/>
                <w:szCs w:val="21"/>
              </w:rPr>
            </w:pPr>
            <w:r>
              <w:rPr>
                <w:rFonts w:cs="Times New Roman"/>
                <w:sz w:val="22"/>
                <w:szCs w:val="21"/>
                <w:lang w:bidi="ar"/>
              </w:rPr>
              <w:t>≤1:0.2</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A98F326">
            <w:pPr>
              <w:ind w:firstLine="0" w:firstLineChars="0"/>
              <w:jc w:val="center"/>
              <w:rPr>
                <w:rFonts w:cs="Times New Roman"/>
                <w:sz w:val="22"/>
                <w:szCs w:val="21"/>
              </w:rPr>
            </w:pPr>
            <w:r>
              <w:rPr>
                <w:rFonts w:cs="Times New Roman"/>
                <w:sz w:val="22"/>
                <w:szCs w:val="21"/>
                <w:lang w:bidi="ar"/>
              </w:rPr>
              <w:t>300~800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38B4EB4C">
            <w:pPr>
              <w:ind w:firstLine="0" w:firstLineChars="0"/>
              <w:jc w:val="center"/>
              <w:rPr>
                <w:rFonts w:cs="Times New Roman"/>
                <w:sz w:val="22"/>
                <w:szCs w:val="21"/>
              </w:rPr>
            </w:pPr>
            <w:r>
              <w:rPr>
                <w:rFonts w:hint="eastAsia" w:cs="Times New Roman"/>
                <w:sz w:val="22"/>
                <w:szCs w:val="21"/>
                <w:lang w:bidi="ar"/>
              </w:rPr>
              <w:t>灌草型、草本型、藤类植物</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0FB38B11">
            <w:pPr>
              <w:ind w:firstLine="0" w:firstLineChars="0"/>
              <w:jc w:val="center"/>
              <w:rPr>
                <w:rFonts w:cs="Times New Roman"/>
                <w:sz w:val="22"/>
                <w:szCs w:val="21"/>
              </w:rPr>
            </w:pPr>
            <w:r>
              <w:rPr>
                <w:rFonts w:hint="eastAsia" w:cs="Times New Roman"/>
                <w:sz w:val="22"/>
                <w:szCs w:val="21"/>
                <w:lang w:bidi="ar"/>
              </w:rPr>
              <w:t>覆土</w:t>
            </w:r>
          </w:p>
        </w:tc>
      </w:tr>
      <w:tr w14:paraId="5F323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4D585388">
            <w:pPr>
              <w:ind w:firstLine="0" w:firstLineChars="0"/>
              <w:jc w:val="center"/>
              <w:rPr>
                <w:rFonts w:cs="Times New Roman"/>
                <w:sz w:val="22"/>
                <w:szCs w:val="21"/>
              </w:rPr>
            </w:pPr>
            <w:r>
              <w:rPr>
                <w:rFonts w:hint="eastAsia" w:cs="Times New Roman"/>
                <w:sz w:val="22"/>
                <w:szCs w:val="21"/>
                <w:lang w:bidi="ar"/>
              </w:rPr>
              <w:t>爬藤覆盖式绿化法</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14:paraId="508972E1">
            <w:pPr>
              <w:ind w:firstLine="0" w:firstLineChars="0"/>
              <w:jc w:val="center"/>
              <w:rPr>
                <w:rFonts w:cs="Times New Roman"/>
                <w:sz w:val="22"/>
                <w:szCs w:val="21"/>
              </w:rPr>
            </w:pPr>
            <w:r>
              <w:rPr>
                <w:rFonts w:hint="eastAsia" w:cs="Times New Roman"/>
                <w:sz w:val="22"/>
                <w:szCs w:val="21"/>
                <w:lang w:bidi="ar"/>
              </w:rPr>
              <w:t>岩质边坡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4408FFD9">
            <w:pPr>
              <w:ind w:firstLine="0" w:firstLineChars="0"/>
              <w:jc w:val="center"/>
              <w:rPr>
                <w:rFonts w:cs="Times New Roman"/>
                <w:sz w:val="22"/>
                <w:szCs w:val="21"/>
              </w:rPr>
            </w:pPr>
            <w:r>
              <w:rPr>
                <w:rFonts w:cs="Times New Roman"/>
                <w:sz w:val="22"/>
                <w:szCs w:val="21"/>
                <w:lang w:bidi="ar"/>
              </w:rPr>
              <w:t>≤1:0.2</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284C0711">
            <w:pPr>
              <w:ind w:firstLine="0" w:firstLineChars="0"/>
              <w:jc w:val="center"/>
              <w:rPr>
                <w:rFonts w:cs="Times New Roman"/>
                <w:sz w:val="22"/>
                <w:szCs w:val="21"/>
              </w:rPr>
            </w:pPr>
            <w:r>
              <w:rPr>
                <w:rFonts w:cs="Times New Roman"/>
                <w:sz w:val="22"/>
                <w:szCs w:val="21"/>
                <w:lang w:bidi="ar"/>
              </w:rPr>
              <w:t>300~800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07B7EBD9">
            <w:pPr>
              <w:ind w:firstLine="0" w:firstLineChars="0"/>
              <w:jc w:val="center"/>
              <w:rPr>
                <w:rFonts w:cs="Times New Roman"/>
                <w:sz w:val="22"/>
                <w:szCs w:val="21"/>
              </w:rPr>
            </w:pPr>
            <w:r>
              <w:rPr>
                <w:rFonts w:hint="eastAsia" w:cs="Times New Roman"/>
                <w:sz w:val="22"/>
                <w:szCs w:val="21"/>
                <w:lang w:bidi="ar"/>
              </w:rPr>
              <w:t>藤类植物</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35DFA10D">
            <w:pPr>
              <w:ind w:firstLine="0" w:firstLineChars="0"/>
              <w:jc w:val="center"/>
              <w:rPr>
                <w:rFonts w:cs="Times New Roman"/>
                <w:sz w:val="22"/>
                <w:szCs w:val="21"/>
              </w:rPr>
            </w:pPr>
            <w:r>
              <w:rPr>
                <w:rFonts w:hint="eastAsia" w:cs="Times New Roman"/>
                <w:sz w:val="22"/>
                <w:szCs w:val="21"/>
                <w:lang w:bidi="ar"/>
              </w:rPr>
              <w:t>覆土</w:t>
            </w:r>
          </w:p>
        </w:tc>
      </w:tr>
      <w:tr w14:paraId="01F74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23CA72B0">
            <w:pPr>
              <w:ind w:firstLine="0" w:firstLineChars="0"/>
              <w:jc w:val="center"/>
              <w:rPr>
                <w:rFonts w:cs="Times New Roman"/>
                <w:sz w:val="22"/>
                <w:szCs w:val="21"/>
              </w:rPr>
            </w:pPr>
            <w:r>
              <w:rPr>
                <w:rFonts w:hint="eastAsia" w:cs="Times New Roman"/>
                <w:sz w:val="22"/>
                <w:szCs w:val="21"/>
                <w:lang w:bidi="ar"/>
              </w:rPr>
              <w:t>植生袋绿化</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14:paraId="289EA281">
            <w:pPr>
              <w:ind w:firstLine="0" w:firstLineChars="0"/>
              <w:jc w:val="center"/>
              <w:rPr>
                <w:rFonts w:cs="Times New Roman"/>
                <w:sz w:val="22"/>
                <w:szCs w:val="21"/>
              </w:rPr>
            </w:pPr>
            <w:r>
              <w:rPr>
                <w:rFonts w:hint="eastAsia" w:cs="Times New Roman"/>
                <w:sz w:val="22"/>
                <w:szCs w:val="21"/>
                <w:lang w:bidi="ar"/>
              </w:rPr>
              <w:t>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68CCFD29">
            <w:pPr>
              <w:ind w:firstLine="0" w:firstLineChars="0"/>
              <w:jc w:val="center"/>
              <w:rPr>
                <w:rFonts w:cs="Times New Roman"/>
                <w:sz w:val="22"/>
                <w:szCs w:val="21"/>
              </w:rPr>
            </w:pPr>
            <w:r>
              <w:rPr>
                <w:rFonts w:cs="Times New Roman"/>
                <w:sz w:val="22"/>
                <w:szCs w:val="21"/>
                <w:lang w:bidi="ar"/>
              </w:rPr>
              <w:t>≤1:0.2</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1B1906FB">
            <w:pPr>
              <w:ind w:firstLine="0" w:firstLineChars="0"/>
              <w:jc w:val="center"/>
              <w:rPr>
                <w:rFonts w:cs="Times New Roman"/>
                <w:sz w:val="22"/>
                <w:szCs w:val="21"/>
              </w:rPr>
            </w:pPr>
            <w:r>
              <w:rPr>
                <w:rFonts w:cs="Times New Roman"/>
                <w:sz w:val="22"/>
                <w:szCs w:val="21"/>
                <w:lang w:bidi="ar"/>
              </w:rPr>
              <w:t>200~500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2A2D930B">
            <w:pPr>
              <w:ind w:firstLine="0" w:firstLineChars="0"/>
              <w:jc w:val="center"/>
              <w:rPr>
                <w:rFonts w:cs="Times New Roman"/>
                <w:sz w:val="22"/>
                <w:szCs w:val="21"/>
              </w:rPr>
            </w:pPr>
            <w:r>
              <w:rPr>
                <w:rFonts w:hint="eastAsia" w:cs="Times New Roman"/>
                <w:sz w:val="22"/>
                <w:szCs w:val="21"/>
                <w:lang w:bidi="ar"/>
              </w:rPr>
              <w:t>灌草型、草本型</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316EC7E4">
            <w:pPr>
              <w:ind w:firstLine="0" w:firstLineChars="0"/>
              <w:jc w:val="center"/>
              <w:rPr>
                <w:rFonts w:cs="Times New Roman"/>
                <w:sz w:val="22"/>
                <w:szCs w:val="21"/>
              </w:rPr>
            </w:pPr>
            <w:r>
              <w:rPr>
                <w:rFonts w:hint="eastAsia" w:cs="Times New Roman"/>
                <w:sz w:val="22"/>
                <w:szCs w:val="21"/>
                <w:lang w:bidi="ar"/>
              </w:rPr>
              <w:t>覆土</w:t>
            </w:r>
          </w:p>
        </w:tc>
      </w:tr>
      <w:tr w14:paraId="14E75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0664F40F">
            <w:pPr>
              <w:ind w:firstLine="0" w:firstLineChars="0"/>
              <w:jc w:val="center"/>
              <w:rPr>
                <w:rFonts w:cs="Times New Roman"/>
                <w:sz w:val="22"/>
                <w:szCs w:val="21"/>
              </w:rPr>
            </w:pPr>
            <w:r>
              <w:rPr>
                <w:rFonts w:hint="eastAsia" w:cs="Times New Roman"/>
                <w:sz w:val="22"/>
                <w:szCs w:val="21"/>
                <w:lang w:bidi="ar"/>
              </w:rPr>
              <w:t>高次团粒喷播</w:t>
            </w:r>
          </w:p>
        </w:tc>
        <w:tc>
          <w:tcPr>
            <w:tcW w:w="14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9F38A0A">
            <w:pPr>
              <w:ind w:firstLine="0" w:firstLineChars="0"/>
              <w:jc w:val="center"/>
              <w:rPr>
                <w:rFonts w:cs="Times New Roman"/>
                <w:sz w:val="22"/>
                <w:szCs w:val="21"/>
              </w:rPr>
            </w:pPr>
            <w:r>
              <w:rPr>
                <w:rFonts w:hint="eastAsia" w:cs="Times New Roman"/>
                <w:sz w:val="22"/>
                <w:szCs w:val="21"/>
                <w:lang w:bidi="ar"/>
              </w:rPr>
              <w:t>岩质边坡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3F038102">
            <w:pPr>
              <w:ind w:firstLine="0" w:firstLineChars="0"/>
              <w:jc w:val="center"/>
              <w:rPr>
                <w:rFonts w:cs="Times New Roman"/>
                <w:sz w:val="22"/>
                <w:szCs w:val="21"/>
              </w:rPr>
            </w:pPr>
            <w:r>
              <w:rPr>
                <w:rFonts w:cs="Times New Roman"/>
                <w:sz w:val="22"/>
                <w:szCs w:val="21"/>
                <w:lang w:bidi="ar"/>
              </w:rPr>
              <w:t>≤1:0.5</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0478FD0D">
            <w:pPr>
              <w:ind w:firstLine="0" w:firstLineChars="0"/>
              <w:jc w:val="center"/>
              <w:rPr>
                <w:rFonts w:cs="Times New Roman"/>
                <w:sz w:val="22"/>
                <w:szCs w:val="21"/>
              </w:rPr>
            </w:pPr>
            <w:r>
              <w:rPr>
                <w:rFonts w:cs="Times New Roman"/>
                <w:sz w:val="22"/>
                <w:szCs w:val="21"/>
                <w:lang w:bidi="ar"/>
              </w:rPr>
              <w:t>80~160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30908E9A">
            <w:pPr>
              <w:ind w:firstLine="0" w:firstLineChars="0"/>
              <w:jc w:val="center"/>
              <w:rPr>
                <w:rFonts w:cs="Times New Roman"/>
                <w:sz w:val="22"/>
                <w:szCs w:val="21"/>
              </w:rPr>
            </w:pPr>
            <w:r>
              <w:rPr>
                <w:rFonts w:hint="eastAsia" w:cs="Times New Roman"/>
                <w:sz w:val="22"/>
                <w:szCs w:val="21"/>
                <w:lang w:bidi="ar"/>
              </w:rPr>
              <w:t>乔灌草型、灌草型、草本型</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34BB6A3C">
            <w:pPr>
              <w:ind w:firstLine="0" w:firstLineChars="0"/>
              <w:jc w:val="center"/>
              <w:rPr>
                <w:rFonts w:cs="Times New Roman"/>
                <w:sz w:val="22"/>
                <w:szCs w:val="21"/>
              </w:rPr>
            </w:pPr>
            <w:r>
              <w:rPr>
                <w:rFonts w:hint="eastAsia" w:cs="Times New Roman"/>
                <w:sz w:val="22"/>
                <w:szCs w:val="21"/>
                <w:lang w:bidi="ar"/>
              </w:rPr>
              <w:t>基质</w:t>
            </w:r>
          </w:p>
        </w:tc>
      </w:tr>
      <w:tr w14:paraId="3920A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09865DFA">
            <w:pPr>
              <w:ind w:firstLine="0" w:firstLineChars="0"/>
              <w:jc w:val="center"/>
              <w:rPr>
                <w:rFonts w:cs="Times New Roman"/>
                <w:sz w:val="22"/>
                <w:szCs w:val="21"/>
              </w:rPr>
            </w:pPr>
            <w:r>
              <w:rPr>
                <w:rFonts w:hint="eastAsia" w:cs="Times New Roman"/>
                <w:sz w:val="22"/>
                <w:szCs w:val="21"/>
                <w:lang w:bidi="ar"/>
              </w:rPr>
              <w:t>植被混凝土喷播</w:t>
            </w:r>
          </w:p>
        </w:tc>
        <w:tc>
          <w:tcPr>
            <w:tcW w:w="14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2D00163">
            <w:pPr>
              <w:ind w:firstLine="400"/>
              <w:rPr>
                <w:rFonts w:ascii="等线" w:hAnsi="等线" w:eastAsia="等线" w:cs="等线"/>
                <w:sz w:val="20"/>
                <w:szCs w:val="20"/>
              </w:rPr>
            </w:pP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00D1E3F9">
            <w:pPr>
              <w:ind w:firstLine="0" w:firstLineChars="0"/>
              <w:jc w:val="center"/>
              <w:rPr>
                <w:rFonts w:cs="Times New Roman"/>
                <w:sz w:val="22"/>
                <w:szCs w:val="21"/>
              </w:rPr>
            </w:pPr>
            <w:r>
              <w:rPr>
                <w:rFonts w:cs="Times New Roman"/>
                <w:sz w:val="22"/>
                <w:szCs w:val="21"/>
                <w:lang w:bidi="ar"/>
              </w:rPr>
              <w:t>≤1:0.5</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0F2372FF">
            <w:pPr>
              <w:ind w:firstLine="0" w:firstLineChars="0"/>
              <w:jc w:val="center"/>
              <w:rPr>
                <w:rFonts w:cs="Times New Roman"/>
                <w:sz w:val="22"/>
                <w:szCs w:val="21"/>
              </w:rPr>
            </w:pPr>
            <w:r>
              <w:rPr>
                <w:rFonts w:cs="Times New Roman"/>
                <w:sz w:val="22"/>
                <w:szCs w:val="21"/>
                <w:lang w:bidi="ar"/>
              </w:rPr>
              <w:t>80~160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DFF5933">
            <w:pPr>
              <w:ind w:firstLine="0" w:firstLineChars="0"/>
              <w:jc w:val="center"/>
              <w:rPr>
                <w:rFonts w:cs="Times New Roman"/>
                <w:sz w:val="22"/>
                <w:szCs w:val="21"/>
              </w:rPr>
            </w:pPr>
            <w:r>
              <w:rPr>
                <w:rFonts w:hint="eastAsia" w:cs="Times New Roman"/>
                <w:sz w:val="22"/>
                <w:szCs w:val="21"/>
                <w:lang w:bidi="ar"/>
              </w:rPr>
              <w:t>乔灌草型、灌草型、草本型</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280DEBED">
            <w:pPr>
              <w:ind w:firstLine="0" w:firstLineChars="0"/>
              <w:jc w:val="center"/>
              <w:rPr>
                <w:rFonts w:cs="Times New Roman"/>
                <w:sz w:val="22"/>
                <w:szCs w:val="21"/>
              </w:rPr>
            </w:pPr>
            <w:r>
              <w:rPr>
                <w:rFonts w:hint="eastAsia" w:cs="Times New Roman"/>
                <w:sz w:val="22"/>
                <w:szCs w:val="21"/>
                <w:lang w:bidi="ar"/>
              </w:rPr>
              <w:t>基质</w:t>
            </w:r>
          </w:p>
        </w:tc>
      </w:tr>
      <w:tr w14:paraId="0A752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3584B150">
            <w:pPr>
              <w:ind w:firstLine="0" w:firstLineChars="0"/>
              <w:jc w:val="center"/>
              <w:rPr>
                <w:rFonts w:cs="Times New Roman"/>
                <w:sz w:val="22"/>
                <w:szCs w:val="21"/>
              </w:rPr>
            </w:pPr>
            <w:r>
              <w:rPr>
                <w:rFonts w:hint="eastAsia" w:cs="Times New Roman"/>
                <w:sz w:val="22"/>
                <w:szCs w:val="21"/>
                <w:lang w:bidi="ar"/>
              </w:rPr>
              <w:t>有机质喷播</w:t>
            </w:r>
          </w:p>
        </w:tc>
        <w:tc>
          <w:tcPr>
            <w:tcW w:w="14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E93155E">
            <w:pPr>
              <w:ind w:firstLine="0" w:firstLineChars="0"/>
              <w:jc w:val="center"/>
              <w:rPr>
                <w:rFonts w:cs="Times New Roman"/>
                <w:sz w:val="22"/>
                <w:szCs w:val="21"/>
              </w:rPr>
            </w:pPr>
            <w:r>
              <w:rPr>
                <w:rFonts w:hint="eastAsia" w:cs="Times New Roman"/>
                <w:sz w:val="22"/>
                <w:szCs w:val="21"/>
                <w:lang w:bidi="ar"/>
              </w:rPr>
              <w:t>岩质边坡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2BA77FAE">
            <w:pPr>
              <w:ind w:firstLine="0" w:firstLineChars="0"/>
              <w:jc w:val="center"/>
              <w:rPr>
                <w:rFonts w:cs="Times New Roman"/>
                <w:sz w:val="22"/>
                <w:szCs w:val="21"/>
              </w:rPr>
            </w:pPr>
            <w:r>
              <w:rPr>
                <w:rFonts w:cs="Times New Roman"/>
                <w:sz w:val="22"/>
                <w:szCs w:val="21"/>
                <w:lang w:bidi="ar"/>
              </w:rPr>
              <w:t>≤1:1.0</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3DA0975">
            <w:pPr>
              <w:ind w:firstLine="0" w:firstLineChars="0"/>
              <w:jc w:val="center"/>
              <w:rPr>
                <w:rFonts w:cs="Times New Roman"/>
                <w:sz w:val="22"/>
                <w:szCs w:val="21"/>
              </w:rPr>
            </w:pPr>
            <w:r>
              <w:rPr>
                <w:rFonts w:cs="Times New Roman"/>
                <w:sz w:val="22"/>
                <w:szCs w:val="21"/>
                <w:lang w:bidi="ar"/>
              </w:rPr>
              <w:t>100~180</w:t>
            </w:r>
          </w:p>
        </w:tc>
        <w:tc>
          <w:tcPr>
            <w:tcW w:w="24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EA99FC6">
            <w:pPr>
              <w:ind w:firstLine="0" w:firstLineChars="0"/>
              <w:jc w:val="center"/>
              <w:rPr>
                <w:rFonts w:cs="Times New Roman"/>
                <w:sz w:val="22"/>
                <w:szCs w:val="21"/>
              </w:rPr>
            </w:pPr>
            <w:r>
              <w:rPr>
                <w:rFonts w:hint="eastAsia" w:cs="Times New Roman"/>
                <w:sz w:val="22"/>
                <w:szCs w:val="21"/>
                <w:lang w:bidi="ar"/>
              </w:rPr>
              <w:t>乔灌草型、灌草型、草本型</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7C6359B3">
            <w:pPr>
              <w:ind w:firstLine="0" w:firstLineChars="0"/>
              <w:jc w:val="center"/>
              <w:rPr>
                <w:rFonts w:cs="Times New Roman"/>
                <w:sz w:val="22"/>
                <w:szCs w:val="21"/>
              </w:rPr>
            </w:pPr>
            <w:r>
              <w:rPr>
                <w:rFonts w:hint="eastAsia" w:cs="Times New Roman"/>
                <w:sz w:val="22"/>
                <w:szCs w:val="21"/>
                <w:lang w:bidi="ar"/>
              </w:rPr>
              <w:t>基质</w:t>
            </w:r>
          </w:p>
        </w:tc>
      </w:tr>
      <w:tr w14:paraId="5D860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4AA97BC9">
            <w:pPr>
              <w:ind w:firstLine="0" w:firstLineChars="0"/>
              <w:jc w:val="center"/>
              <w:rPr>
                <w:rFonts w:cs="Times New Roman"/>
                <w:sz w:val="22"/>
                <w:szCs w:val="21"/>
              </w:rPr>
            </w:pPr>
            <w:r>
              <w:rPr>
                <w:rFonts w:hint="eastAsia" w:cs="Times New Roman"/>
                <w:sz w:val="22"/>
                <w:szCs w:val="21"/>
                <w:lang w:bidi="ar"/>
              </w:rPr>
              <w:t>客土喷播</w:t>
            </w:r>
          </w:p>
        </w:tc>
        <w:tc>
          <w:tcPr>
            <w:tcW w:w="14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FEA708">
            <w:pPr>
              <w:ind w:firstLine="400"/>
              <w:rPr>
                <w:rFonts w:ascii="等线" w:hAnsi="等线" w:eastAsia="等线" w:cs="等线"/>
                <w:sz w:val="20"/>
                <w:szCs w:val="20"/>
              </w:rPr>
            </w:pP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5E5AD604">
            <w:pPr>
              <w:ind w:firstLine="0" w:firstLineChars="0"/>
              <w:jc w:val="center"/>
              <w:rPr>
                <w:rFonts w:cs="Times New Roman"/>
                <w:sz w:val="22"/>
                <w:szCs w:val="21"/>
              </w:rPr>
            </w:pPr>
            <w:r>
              <w:rPr>
                <w:rFonts w:cs="Times New Roman"/>
                <w:sz w:val="22"/>
                <w:szCs w:val="21"/>
                <w:lang w:bidi="ar"/>
              </w:rPr>
              <w:t>≤1:1.0</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DD137CF">
            <w:pPr>
              <w:ind w:firstLine="0" w:firstLineChars="0"/>
              <w:jc w:val="center"/>
              <w:rPr>
                <w:rFonts w:cs="Times New Roman"/>
                <w:sz w:val="22"/>
                <w:szCs w:val="21"/>
              </w:rPr>
            </w:pPr>
            <w:r>
              <w:rPr>
                <w:rFonts w:cs="Times New Roman"/>
                <w:sz w:val="22"/>
                <w:szCs w:val="21"/>
                <w:lang w:bidi="ar"/>
              </w:rPr>
              <w:t>90~180</w:t>
            </w:r>
          </w:p>
        </w:tc>
        <w:tc>
          <w:tcPr>
            <w:tcW w:w="241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E56F0AB">
            <w:pPr>
              <w:ind w:firstLine="400"/>
              <w:rPr>
                <w:rFonts w:ascii="等线" w:hAnsi="等线" w:eastAsia="等线" w:cs="等线"/>
                <w:sz w:val="20"/>
                <w:szCs w:val="20"/>
              </w:rPr>
            </w:pP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285B9C40">
            <w:pPr>
              <w:ind w:firstLine="0" w:firstLineChars="0"/>
              <w:jc w:val="center"/>
              <w:rPr>
                <w:rFonts w:cs="Times New Roman"/>
                <w:sz w:val="22"/>
                <w:szCs w:val="21"/>
              </w:rPr>
            </w:pPr>
            <w:r>
              <w:rPr>
                <w:rFonts w:hint="eastAsia" w:cs="Times New Roman"/>
                <w:sz w:val="22"/>
                <w:szCs w:val="21"/>
                <w:lang w:bidi="ar"/>
              </w:rPr>
              <w:t>基质</w:t>
            </w:r>
          </w:p>
        </w:tc>
      </w:tr>
      <w:tr w14:paraId="28DAE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7A7BEB07">
            <w:pPr>
              <w:ind w:firstLine="0" w:firstLineChars="0"/>
              <w:jc w:val="center"/>
              <w:rPr>
                <w:rFonts w:cs="Times New Roman"/>
                <w:sz w:val="22"/>
                <w:szCs w:val="21"/>
              </w:rPr>
            </w:pPr>
            <w:r>
              <w:rPr>
                <w:rFonts w:hint="eastAsia" w:cs="Times New Roman"/>
                <w:sz w:val="22"/>
                <w:szCs w:val="21"/>
                <w:lang w:bidi="ar"/>
              </w:rPr>
              <w:t>喷射木纤维</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14:paraId="7EF4684C">
            <w:pPr>
              <w:ind w:firstLine="0" w:firstLineChars="0"/>
              <w:jc w:val="center"/>
              <w:rPr>
                <w:rFonts w:cs="Times New Roman"/>
                <w:sz w:val="22"/>
                <w:szCs w:val="21"/>
              </w:rPr>
            </w:pPr>
            <w:r>
              <w:rPr>
                <w:rFonts w:hint="eastAsia" w:cs="Times New Roman"/>
                <w:sz w:val="22"/>
                <w:szCs w:val="21"/>
                <w:lang w:bidi="ar"/>
              </w:rPr>
              <w:t>岩质边坡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01521616">
            <w:pPr>
              <w:ind w:firstLine="0" w:firstLineChars="0"/>
              <w:jc w:val="center"/>
              <w:rPr>
                <w:rFonts w:cs="Times New Roman"/>
                <w:sz w:val="22"/>
                <w:szCs w:val="21"/>
              </w:rPr>
            </w:pPr>
            <w:r>
              <w:rPr>
                <w:rFonts w:cs="Times New Roman"/>
                <w:sz w:val="22"/>
                <w:szCs w:val="21"/>
                <w:lang w:bidi="ar"/>
              </w:rPr>
              <w:t>≤1:1.0</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452601D0">
            <w:pPr>
              <w:ind w:firstLine="0" w:firstLineChars="0"/>
              <w:jc w:val="center"/>
              <w:rPr>
                <w:rFonts w:cs="Times New Roman"/>
                <w:sz w:val="22"/>
                <w:szCs w:val="21"/>
              </w:rPr>
            </w:pPr>
            <w:r>
              <w:rPr>
                <w:rFonts w:cs="Times New Roman"/>
                <w:sz w:val="22"/>
                <w:szCs w:val="21"/>
                <w:lang w:bidi="ar"/>
              </w:rPr>
              <w:t>90~180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E206EC4">
            <w:pPr>
              <w:ind w:firstLine="0" w:firstLineChars="0"/>
              <w:jc w:val="center"/>
              <w:rPr>
                <w:rFonts w:cs="Times New Roman"/>
                <w:sz w:val="22"/>
                <w:szCs w:val="21"/>
              </w:rPr>
            </w:pPr>
            <w:r>
              <w:rPr>
                <w:rFonts w:hint="eastAsia" w:cs="Times New Roman"/>
                <w:sz w:val="22"/>
                <w:szCs w:val="21"/>
                <w:lang w:bidi="ar"/>
              </w:rPr>
              <w:t>乔灌草型、灌草型、草本型</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1D463138">
            <w:pPr>
              <w:ind w:firstLine="0" w:firstLineChars="0"/>
              <w:jc w:val="center"/>
              <w:rPr>
                <w:rFonts w:cs="Times New Roman"/>
                <w:sz w:val="22"/>
                <w:szCs w:val="21"/>
              </w:rPr>
            </w:pPr>
            <w:r>
              <w:rPr>
                <w:rFonts w:hint="eastAsia" w:cs="Times New Roman"/>
                <w:sz w:val="22"/>
                <w:szCs w:val="21"/>
                <w:lang w:bidi="ar"/>
              </w:rPr>
              <w:t>基质</w:t>
            </w:r>
          </w:p>
        </w:tc>
      </w:tr>
      <w:tr w14:paraId="07DC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70D99A56">
            <w:pPr>
              <w:ind w:firstLine="0" w:firstLineChars="0"/>
              <w:jc w:val="center"/>
              <w:rPr>
                <w:rFonts w:cs="Times New Roman"/>
                <w:sz w:val="22"/>
                <w:szCs w:val="21"/>
              </w:rPr>
            </w:pPr>
            <w:r>
              <w:rPr>
                <w:rFonts w:hint="eastAsia" w:cs="Times New Roman"/>
                <w:sz w:val="22"/>
                <w:szCs w:val="21"/>
                <w:lang w:bidi="ar"/>
              </w:rPr>
              <w:t>框格梁绿化</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14:paraId="6702D4B1">
            <w:pPr>
              <w:ind w:firstLine="0" w:firstLineChars="0"/>
              <w:jc w:val="center"/>
              <w:rPr>
                <w:rFonts w:cs="Times New Roman"/>
                <w:sz w:val="22"/>
                <w:szCs w:val="21"/>
              </w:rPr>
            </w:pPr>
            <w:r>
              <w:rPr>
                <w:rFonts w:hint="eastAsia" w:cs="Times New Roman"/>
                <w:sz w:val="22"/>
                <w:szCs w:val="21"/>
                <w:lang w:bidi="ar"/>
              </w:rPr>
              <w:t>岩质边坡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72A68974">
            <w:pPr>
              <w:ind w:firstLine="0" w:firstLineChars="0"/>
              <w:jc w:val="center"/>
              <w:rPr>
                <w:rFonts w:cs="Times New Roman"/>
                <w:sz w:val="22"/>
                <w:szCs w:val="21"/>
              </w:rPr>
            </w:pPr>
            <w:r>
              <w:rPr>
                <w:rFonts w:cs="Times New Roman"/>
                <w:sz w:val="22"/>
                <w:szCs w:val="21"/>
                <w:lang w:bidi="ar"/>
              </w:rPr>
              <w:t>≤1:1.0</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79F40A58">
            <w:pPr>
              <w:ind w:firstLine="0" w:firstLineChars="0"/>
              <w:jc w:val="center"/>
              <w:rPr>
                <w:rFonts w:cs="Times New Roman"/>
                <w:sz w:val="22"/>
                <w:szCs w:val="21"/>
              </w:rPr>
            </w:pPr>
            <w:r>
              <w:rPr>
                <w:rFonts w:cs="Times New Roman"/>
                <w:sz w:val="22"/>
                <w:szCs w:val="21"/>
                <w:lang w:bidi="ar"/>
              </w:rPr>
              <w:t>300~500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223DBEB1">
            <w:pPr>
              <w:ind w:firstLine="0" w:firstLineChars="0"/>
              <w:jc w:val="center"/>
              <w:rPr>
                <w:rFonts w:cs="Times New Roman"/>
                <w:sz w:val="22"/>
                <w:szCs w:val="21"/>
              </w:rPr>
            </w:pPr>
            <w:r>
              <w:rPr>
                <w:rFonts w:hint="eastAsia" w:cs="Times New Roman"/>
                <w:sz w:val="22"/>
                <w:szCs w:val="21"/>
                <w:lang w:bidi="ar"/>
              </w:rPr>
              <w:t>乔灌草型、灌草型、草本型</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35C9555B">
            <w:pPr>
              <w:ind w:firstLine="0" w:firstLineChars="0"/>
              <w:jc w:val="center"/>
              <w:rPr>
                <w:rFonts w:cs="Times New Roman"/>
                <w:sz w:val="22"/>
                <w:szCs w:val="21"/>
              </w:rPr>
            </w:pPr>
            <w:r>
              <w:rPr>
                <w:rFonts w:hint="eastAsia" w:cs="Times New Roman"/>
                <w:sz w:val="22"/>
                <w:szCs w:val="21"/>
                <w:lang w:bidi="ar"/>
              </w:rPr>
              <w:t>覆土</w:t>
            </w:r>
          </w:p>
        </w:tc>
      </w:tr>
      <w:tr w14:paraId="19AA2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2C9DABA2">
            <w:pPr>
              <w:ind w:firstLine="0" w:firstLineChars="0"/>
              <w:jc w:val="center"/>
              <w:rPr>
                <w:rFonts w:cs="Times New Roman"/>
                <w:sz w:val="22"/>
                <w:szCs w:val="21"/>
              </w:rPr>
            </w:pPr>
            <w:r>
              <w:rPr>
                <w:rFonts w:hint="eastAsia" w:cs="Times New Roman"/>
                <w:sz w:val="22"/>
                <w:szCs w:val="21"/>
                <w:lang w:bidi="ar"/>
              </w:rPr>
              <w:t>鱼鳞坑客土绿化</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14:paraId="37CE2CE2">
            <w:pPr>
              <w:ind w:firstLine="0" w:firstLineChars="0"/>
              <w:jc w:val="center"/>
              <w:rPr>
                <w:rFonts w:cs="Times New Roman"/>
                <w:sz w:val="22"/>
                <w:szCs w:val="21"/>
              </w:rPr>
            </w:pPr>
            <w:r>
              <w:rPr>
                <w:rFonts w:hint="eastAsia" w:cs="Times New Roman"/>
                <w:sz w:val="22"/>
                <w:szCs w:val="21"/>
                <w:lang w:bidi="ar"/>
              </w:rPr>
              <w:t>岩质边坡</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7B9CBB6E">
            <w:pPr>
              <w:ind w:firstLine="0" w:firstLineChars="0"/>
              <w:jc w:val="center"/>
              <w:rPr>
                <w:rFonts w:cs="Times New Roman"/>
                <w:sz w:val="22"/>
                <w:szCs w:val="21"/>
              </w:rPr>
            </w:pPr>
            <w:r>
              <w:rPr>
                <w:rFonts w:cs="Times New Roman"/>
                <w:sz w:val="22"/>
                <w:szCs w:val="21"/>
                <w:lang w:bidi="ar"/>
              </w:rPr>
              <w:t>≤1:1.0</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46CF694A">
            <w:pPr>
              <w:ind w:firstLine="0" w:firstLineChars="0"/>
              <w:jc w:val="center"/>
              <w:rPr>
                <w:rFonts w:cs="Times New Roman"/>
                <w:sz w:val="22"/>
                <w:szCs w:val="21"/>
              </w:rPr>
            </w:pPr>
            <w:r>
              <w:rPr>
                <w:rFonts w:cs="Times New Roman"/>
                <w:sz w:val="22"/>
                <w:szCs w:val="21"/>
                <w:lang w:bidi="ar"/>
              </w:rPr>
              <w:t>500~800</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1E071F51">
            <w:pPr>
              <w:ind w:firstLine="0" w:firstLineChars="0"/>
              <w:jc w:val="center"/>
              <w:rPr>
                <w:rFonts w:cs="Times New Roman"/>
                <w:sz w:val="22"/>
                <w:szCs w:val="21"/>
              </w:rPr>
            </w:pPr>
            <w:r>
              <w:rPr>
                <w:rFonts w:hint="eastAsia" w:cs="Times New Roman"/>
                <w:sz w:val="22"/>
                <w:szCs w:val="21"/>
                <w:lang w:bidi="ar"/>
              </w:rPr>
              <w:t>乔灌草型、灌草型、草本型</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12491B54">
            <w:pPr>
              <w:ind w:firstLine="0" w:firstLineChars="0"/>
              <w:jc w:val="center"/>
              <w:rPr>
                <w:rFonts w:cs="Times New Roman"/>
                <w:sz w:val="22"/>
                <w:szCs w:val="21"/>
              </w:rPr>
            </w:pPr>
            <w:r>
              <w:rPr>
                <w:rFonts w:hint="eastAsia" w:cs="Times New Roman"/>
                <w:sz w:val="22"/>
                <w:szCs w:val="21"/>
                <w:lang w:bidi="ar"/>
              </w:rPr>
              <w:t>覆土</w:t>
            </w:r>
          </w:p>
        </w:tc>
      </w:tr>
    </w:tbl>
    <w:p w14:paraId="2EEC4A2B">
      <w:pPr>
        <w:ind w:firstLine="0" w:firstLineChars="0"/>
        <w:rPr>
          <w:rFonts w:cs="宋体"/>
          <w:lang w:bidi="ar"/>
        </w:rPr>
      </w:pPr>
      <w:r>
        <w:rPr>
          <w:rFonts w:hint="eastAsia" w:ascii="宋体" w:hAnsi="宋体" w:cs="宋体"/>
          <w:lang w:bidi="ar"/>
        </w:rPr>
        <w:t>注：针对裂隙发育的变质岩、低强度和裂隙发育的岩浆岩和沉积岩，且降雨量大的地区</w:t>
      </w:r>
      <w:r>
        <w:rPr>
          <w:rFonts w:hint="eastAsia" w:cs="宋体"/>
          <w:lang w:bidi="ar"/>
        </w:rPr>
        <w:t>取低值。</w:t>
      </w:r>
    </w:p>
    <w:p w14:paraId="609FC022">
      <w:pPr>
        <w:ind w:firstLine="0" w:firstLineChars="0"/>
      </w:pPr>
      <w:r>
        <w:rPr>
          <w:rFonts w:hint="eastAsia"/>
        </w:rPr>
        <w:t>【条文说明】本条按坡比分级提出坡面绿化的工法匹配关系，并明确喷播（覆土）基质厚度的确定原则。实施中应先确保边坡稳定与排水畅通，再选择与坡比、基质条件和立地环境相适配的绿化工艺，依据表6.2-1落实方法与厚度控制。</w:t>
      </w:r>
    </w:p>
    <w:p w14:paraId="39E628F7">
      <w:pPr>
        <w:ind w:firstLine="0" w:firstLineChars="0"/>
      </w:pPr>
      <w:r>
        <w:rPr>
          <w:rFonts w:cs="Times New Roman"/>
          <w:b/>
          <w:bCs/>
          <w:lang w:bidi="ar"/>
        </w:rPr>
        <w:t>6.2.8</w:t>
      </w:r>
      <w:r>
        <w:rPr>
          <w:rFonts w:cs="Times New Roman"/>
          <w:lang w:bidi="ar"/>
        </w:rPr>
        <w:t xml:space="preserve">  </w:t>
      </w:r>
      <w:r>
        <w:rPr>
          <w:rFonts w:hint="eastAsia" w:cs="宋体"/>
          <w:lang w:bidi="ar"/>
        </w:rPr>
        <w:t>铺网设计</w:t>
      </w:r>
    </w:p>
    <w:p w14:paraId="4DBE614C">
      <w:pPr>
        <w:ind w:left="240" w:leftChars="100" w:firstLine="241" w:firstLineChars="100"/>
      </w:pPr>
      <w:r>
        <w:rPr>
          <w:rFonts w:cs="Times New Roman"/>
          <w:b/>
          <w:bCs/>
          <w:lang w:bidi="ar"/>
        </w:rPr>
        <w:t>1</w:t>
      </w:r>
      <w:r>
        <w:rPr>
          <w:rFonts w:cs="Times New Roman"/>
          <w:lang w:bidi="ar"/>
        </w:rPr>
        <w:t xml:space="preserve"> </w:t>
      </w:r>
      <w:r>
        <w:rPr>
          <w:rFonts w:hint="eastAsia" w:cs="宋体"/>
          <w:lang w:bidi="ar"/>
        </w:rPr>
        <w:t>当边坡坡比不小于 1∶1.2 时，应铺设植被固定网；当边坡坡比小于 1∶1.2 时，可不铺网。</w:t>
      </w:r>
    </w:p>
    <w:p w14:paraId="1BA78B16">
      <w:pPr>
        <w:ind w:left="240" w:leftChars="100" w:firstLine="241" w:firstLineChars="100"/>
      </w:pPr>
      <w:r>
        <w:rPr>
          <w:rFonts w:cs="Times New Roman"/>
          <w:b/>
          <w:bCs/>
          <w:lang w:bidi="ar"/>
        </w:rPr>
        <w:t>2</w:t>
      </w:r>
      <w:r>
        <w:rPr>
          <w:rFonts w:cs="Times New Roman"/>
          <w:lang w:bidi="ar"/>
        </w:rPr>
        <w:t xml:space="preserve"> </w:t>
      </w:r>
      <w:r>
        <w:rPr>
          <w:rFonts w:hint="eastAsia" w:cs="宋体"/>
          <w:lang w:bidi="ar"/>
        </w:rPr>
        <w:t>铺网材料可采用镀锌金属网、树脂网、塑料网等，网孔直径宜为 30 mm～60 mm；在满足强度与耐久性的前提下，宜优先选用可降解材料。</w:t>
      </w:r>
    </w:p>
    <w:p w14:paraId="058F82BE">
      <w:pPr>
        <w:ind w:left="240" w:leftChars="100" w:firstLine="241" w:firstLineChars="100"/>
      </w:pPr>
      <w:bookmarkStart w:id="14" w:name="_Toc18866"/>
      <w:bookmarkStart w:id="15" w:name="_Toc19243"/>
      <w:bookmarkStart w:id="16" w:name="_Toc8242"/>
      <w:r>
        <w:rPr>
          <w:rFonts w:cs="Times New Roman"/>
          <w:b/>
          <w:bCs/>
          <w:lang w:bidi="ar"/>
        </w:rPr>
        <w:t>3</w:t>
      </w:r>
      <w:r>
        <w:rPr>
          <w:rFonts w:cs="Times New Roman"/>
          <w:lang w:bidi="ar"/>
        </w:rPr>
        <w:t xml:space="preserve"> </w:t>
      </w:r>
      <w:r>
        <w:rPr>
          <w:rFonts w:hint="eastAsia" w:cs="宋体"/>
          <w:lang w:bidi="ar"/>
        </w:rPr>
        <w:t>铺网至边坡顶部时，应向坡顶后部延伸，延伸距离不小于 1.5 m。</w:t>
      </w:r>
      <w:bookmarkEnd w:id="14"/>
      <w:bookmarkEnd w:id="15"/>
      <w:bookmarkEnd w:id="16"/>
    </w:p>
    <w:p w14:paraId="6D976BE4">
      <w:pPr>
        <w:ind w:left="240" w:leftChars="100" w:firstLine="241" w:firstLineChars="100"/>
        <w:rPr>
          <w:rFonts w:cs="宋体"/>
          <w:lang w:bidi="ar"/>
        </w:rPr>
      </w:pPr>
      <w:r>
        <w:rPr>
          <w:rFonts w:cs="Times New Roman"/>
          <w:b/>
          <w:bCs/>
          <w:lang w:bidi="ar"/>
        </w:rPr>
        <w:t>4</w:t>
      </w:r>
      <w:r>
        <w:rPr>
          <w:rFonts w:cs="Times New Roman"/>
          <w:lang w:bidi="ar"/>
        </w:rPr>
        <w:t xml:space="preserve"> </w:t>
      </w:r>
      <w:r>
        <w:rPr>
          <w:rFonts w:hint="eastAsia" w:cs="宋体"/>
          <w:lang w:bidi="ar"/>
        </w:rPr>
        <w:t>网钉材质、规格及数量应综合边坡岩体性质、坡比、网自重与喷播（覆土）基质荷载等因素确定，并应符合表6.2-2的规定。铺网应与坡面贴合、顺水方向搭接、边缘加密锚固，严禁空鼓、翘边。</w:t>
      </w:r>
    </w:p>
    <w:p w14:paraId="235067B5">
      <w:pPr>
        <w:ind w:left="240" w:leftChars="100" w:firstLine="241" w:firstLineChars="100"/>
      </w:pPr>
      <w:r>
        <w:rPr>
          <w:rFonts w:hint="eastAsia"/>
          <w:b/>
          <w:bCs/>
        </w:rPr>
        <w:t>5</w:t>
      </w:r>
      <w:r>
        <w:t xml:space="preserve"> </w:t>
      </w:r>
      <w:r>
        <w:rPr>
          <w:rFonts w:hint="eastAsia"/>
        </w:rPr>
        <w:t>铺网应与排（截）水、喷播（覆土）等工序统筹安排，先稳固、后铺网、再喷播（覆土）；遇岩质陡坡或局部松动块体时，应先完成必要的加固与清危处理。</w:t>
      </w:r>
    </w:p>
    <w:p w14:paraId="651304DC">
      <w:pPr>
        <w:ind w:firstLine="0" w:firstLineChars="0"/>
        <w:jc w:val="center"/>
        <w:rPr>
          <w:rFonts w:ascii="宋体" w:hAnsi="宋体" w:cs="宋体"/>
          <w:b/>
          <w:bCs/>
        </w:rPr>
      </w:pPr>
      <w:r>
        <w:rPr>
          <w:rFonts w:hint="eastAsia" w:cs="Times New Roman"/>
          <w:b/>
          <w:bCs/>
          <w:lang w:bidi="ar"/>
        </w:rPr>
        <w:t>表</w:t>
      </w:r>
      <w:r>
        <w:rPr>
          <w:rFonts w:cs="Times New Roman"/>
          <w:b/>
          <w:bCs/>
          <w:lang w:bidi="ar"/>
        </w:rPr>
        <w:t>6.2-2</w:t>
      </w:r>
      <w:r>
        <w:rPr>
          <w:rFonts w:hint="eastAsia" w:cs="Times New Roman"/>
          <w:b/>
          <w:bCs/>
          <w:lang w:bidi="ar"/>
        </w:rPr>
        <w:t xml:space="preserve"> 边</w:t>
      </w:r>
      <w:r>
        <w:rPr>
          <w:rFonts w:hint="eastAsia" w:ascii="宋体" w:hAnsi="宋体" w:cs="宋体"/>
          <w:b/>
          <w:bCs/>
          <w:lang w:bidi="ar"/>
        </w:rPr>
        <w:t>坡绿化网钉的材质和规格</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9"/>
        <w:gridCol w:w="935"/>
        <w:gridCol w:w="930"/>
        <w:gridCol w:w="935"/>
        <w:gridCol w:w="947"/>
        <w:gridCol w:w="891"/>
        <w:gridCol w:w="1019"/>
        <w:gridCol w:w="1533"/>
      </w:tblGrid>
      <w:tr w14:paraId="7D323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14:paraId="25AE4FA7">
            <w:pPr>
              <w:ind w:firstLine="0" w:firstLineChars="0"/>
              <w:jc w:val="center"/>
              <w:rPr>
                <w:rFonts w:cs="Times New Roman"/>
                <w:sz w:val="21"/>
                <w:szCs w:val="20"/>
              </w:rPr>
            </w:pPr>
            <w:bookmarkStart w:id="17" w:name="_Toc23602"/>
            <w:bookmarkStart w:id="18" w:name="_Toc115623845"/>
            <w:r>
              <w:rPr>
                <w:rFonts w:hint="eastAsia" w:cs="Times New Roman"/>
                <w:sz w:val="21"/>
                <w:szCs w:val="20"/>
                <w:lang w:bidi="ar"/>
              </w:rPr>
              <w:t>网钉材质</w:t>
            </w:r>
            <w:bookmarkEnd w:id="17"/>
            <w:bookmarkEnd w:id="18"/>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B328A71">
            <w:pPr>
              <w:ind w:firstLine="0" w:firstLineChars="0"/>
              <w:jc w:val="center"/>
              <w:rPr>
                <w:rFonts w:cs="Times New Roman"/>
                <w:sz w:val="21"/>
                <w:szCs w:val="20"/>
              </w:rPr>
            </w:pPr>
            <w:bookmarkStart w:id="19" w:name="_Toc13228"/>
            <w:bookmarkStart w:id="20" w:name="_Toc115623846"/>
            <w:r>
              <w:rPr>
                <w:rFonts w:hint="eastAsia" w:cs="Times New Roman"/>
                <w:sz w:val="21"/>
                <w:szCs w:val="20"/>
                <w:lang w:bidi="ar"/>
              </w:rPr>
              <w:t>金属网钉</w:t>
            </w:r>
            <w:bookmarkEnd w:id="19"/>
            <w:bookmarkEnd w:id="20"/>
          </w:p>
        </w:tc>
        <w:tc>
          <w:tcPr>
            <w:tcW w:w="110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CF5E38C">
            <w:pPr>
              <w:ind w:firstLine="0" w:firstLineChars="0"/>
              <w:jc w:val="center"/>
              <w:rPr>
                <w:rFonts w:cs="Times New Roman"/>
                <w:sz w:val="21"/>
                <w:szCs w:val="20"/>
              </w:rPr>
            </w:pPr>
            <w:bookmarkStart w:id="21" w:name="_Toc19694"/>
            <w:bookmarkStart w:id="22" w:name="_Toc115623847"/>
            <w:r>
              <w:rPr>
                <w:rFonts w:hint="eastAsia" w:cs="Times New Roman"/>
                <w:sz w:val="21"/>
                <w:szCs w:val="20"/>
                <w:lang w:bidi="ar"/>
              </w:rPr>
              <w:t>硬木网钉</w:t>
            </w:r>
            <w:bookmarkEnd w:id="21"/>
            <w:bookmarkEnd w:id="22"/>
          </w:p>
        </w:tc>
        <w:tc>
          <w:tcPr>
            <w:tcW w:w="112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10274B2D">
            <w:pPr>
              <w:ind w:firstLine="0" w:firstLineChars="0"/>
              <w:jc w:val="center"/>
              <w:rPr>
                <w:rFonts w:cs="Times New Roman"/>
                <w:sz w:val="21"/>
                <w:szCs w:val="20"/>
              </w:rPr>
            </w:pPr>
            <w:bookmarkStart w:id="23" w:name="_Toc115623848"/>
            <w:bookmarkStart w:id="24" w:name="_Toc17794"/>
            <w:r>
              <w:rPr>
                <w:rFonts w:hint="eastAsia" w:cs="Times New Roman"/>
                <w:sz w:val="21"/>
                <w:szCs w:val="20"/>
                <w:lang w:bidi="ar"/>
              </w:rPr>
              <w:t>竹制网钉</w:t>
            </w:r>
            <w:bookmarkEnd w:id="23"/>
            <w:bookmarkEnd w:id="24"/>
          </w:p>
        </w:tc>
        <w:tc>
          <w:tcPr>
            <w:tcW w:w="900" w:type="pct"/>
            <w:tcBorders>
              <w:top w:val="single" w:color="auto" w:sz="4" w:space="0"/>
              <w:left w:val="single" w:color="auto" w:sz="4" w:space="0"/>
              <w:bottom w:val="single" w:color="auto" w:sz="4" w:space="0"/>
              <w:right w:val="single" w:color="auto" w:sz="4" w:space="0"/>
            </w:tcBorders>
            <w:shd w:val="clear" w:color="auto" w:fill="auto"/>
            <w:vAlign w:val="center"/>
          </w:tcPr>
          <w:p w14:paraId="4E7BC49B">
            <w:pPr>
              <w:ind w:firstLine="0" w:firstLineChars="0"/>
              <w:jc w:val="center"/>
              <w:rPr>
                <w:rFonts w:cs="Times New Roman"/>
                <w:sz w:val="21"/>
                <w:szCs w:val="20"/>
              </w:rPr>
            </w:pPr>
            <w:bookmarkStart w:id="25" w:name="_Toc25706"/>
            <w:bookmarkStart w:id="26" w:name="_Toc115623849"/>
            <w:r>
              <w:rPr>
                <w:rFonts w:hint="eastAsia" w:cs="Times New Roman"/>
                <w:sz w:val="21"/>
                <w:szCs w:val="20"/>
                <w:lang w:bidi="ar"/>
              </w:rPr>
              <w:t>其他</w:t>
            </w:r>
            <w:bookmarkEnd w:id="25"/>
            <w:bookmarkEnd w:id="26"/>
          </w:p>
        </w:tc>
      </w:tr>
      <w:tr w14:paraId="61C30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14:paraId="0B885CAE">
            <w:pPr>
              <w:ind w:firstLine="0" w:firstLineChars="0"/>
              <w:jc w:val="center"/>
              <w:rPr>
                <w:rFonts w:cs="Times New Roman"/>
                <w:sz w:val="21"/>
                <w:szCs w:val="20"/>
              </w:rPr>
            </w:pPr>
            <w:bookmarkStart w:id="27" w:name="_Toc11448"/>
            <w:bookmarkStart w:id="28" w:name="_Toc115623850"/>
            <w:r>
              <w:rPr>
                <w:rFonts w:hint="eastAsia" w:cs="Times New Roman"/>
                <w:sz w:val="21"/>
                <w:szCs w:val="20"/>
                <w:lang w:bidi="ar"/>
              </w:rPr>
              <w:t>规格</w:t>
            </w:r>
            <w:bookmarkEnd w:id="27"/>
            <w:bookmarkEnd w:id="28"/>
          </w:p>
        </w:tc>
        <w:tc>
          <w:tcPr>
            <w:tcW w:w="549" w:type="pct"/>
            <w:tcBorders>
              <w:top w:val="single" w:color="auto" w:sz="4" w:space="0"/>
              <w:left w:val="single" w:color="auto" w:sz="4" w:space="0"/>
              <w:bottom w:val="single" w:color="auto" w:sz="4" w:space="0"/>
              <w:right w:val="single" w:color="auto" w:sz="4" w:space="0"/>
            </w:tcBorders>
            <w:shd w:val="clear" w:color="auto" w:fill="auto"/>
            <w:vAlign w:val="center"/>
          </w:tcPr>
          <w:p w14:paraId="09583D55">
            <w:pPr>
              <w:ind w:firstLine="0" w:firstLineChars="0"/>
              <w:jc w:val="center"/>
              <w:rPr>
                <w:rFonts w:cs="Times New Roman"/>
                <w:sz w:val="21"/>
                <w:szCs w:val="20"/>
              </w:rPr>
            </w:pPr>
            <w:bookmarkStart w:id="29" w:name="_Toc115623851"/>
            <w:bookmarkStart w:id="30" w:name="_Toc26603"/>
            <w:r>
              <w:rPr>
                <w:rFonts w:hint="eastAsia" w:cs="Times New Roman"/>
                <w:sz w:val="21"/>
                <w:szCs w:val="20"/>
                <w:lang w:bidi="ar"/>
              </w:rPr>
              <w:t>主网钉</w:t>
            </w:r>
            <w:bookmarkEnd w:id="29"/>
            <w:bookmarkEnd w:id="30"/>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14:paraId="1935893F">
            <w:pPr>
              <w:ind w:firstLine="0" w:firstLineChars="0"/>
              <w:jc w:val="center"/>
              <w:rPr>
                <w:rFonts w:cs="Times New Roman"/>
                <w:sz w:val="21"/>
                <w:szCs w:val="20"/>
              </w:rPr>
            </w:pPr>
            <w:bookmarkStart w:id="31" w:name="_Toc115623852"/>
            <w:bookmarkStart w:id="32" w:name="_Toc12401"/>
            <w:r>
              <w:rPr>
                <w:rFonts w:hint="eastAsia" w:cs="Times New Roman"/>
                <w:sz w:val="21"/>
                <w:szCs w:val="20"/>
                <w:lang w:bidi="ar"/>
              </w:rPr>
              <w:t>次网订</w:t>
            </w:r>
            <w:bookmarkEnd w:id="31"/>
            <w:bookmarkEnd w:id="32"/>
          </w:p>
        </w:tc>
        <w:tc>
          <w:tcPr>
            <w:tcW w:w="549" w:type="pct"/>
            <w:tcBorders>
              <w:top w:val="single" w:color="auto" w:sz="4" w:space="0"/>
              <w:left w:val="single" w:color="auto" w:sz="4" w:space="0"/>
              <w:bottom w:val="single" w:color="auto" w:sz="4" w:space="0"/>
              <w:right w:val="single" w:color="auto" w:sz="4" w:space="0"/>
            </w:tcBorders>
            <w:shd w:val="clear" w:color="auto" w:fill="auto"/>
            <w:vAlign w:val="center"/>
          </w:tcPr>
          <w:p w14:paraId="35DF0589">
            <w:pPr>
              <w:ind w:firstLine="0" w:firstLineChars="0"/>
              <w:jc w:val="center"/>
              <w:rPr>
                <w:rFonts w:cs="Times New Roman"/>
                <w:sz w:val="21"/>
                <w:szCs w:val="20"/>
              </w:rPr>
            </w:pPr>
            <w:bookmarkStart w:id="33" w:name="_Toc115623853"/>
            <w:bookmarkStart w:id="34" w:name="_Toc1330"/>
            <w:r>
              <w:rPr>
                <w:rFonts w:hint="eastAsia" w:cs="Times New Roman"/>
                <w:sz w:val="21"/>
                <w:szCs w:val="20"/>
                <w:lang w:bidi="ar"/>
              </w:rPr>
              <w:t>主网钉</w:t>
            </w:r>
            <w:bookmarkEnd w:id="33"/>
            <w:bookmarkEnd w:id="34"/>
          </w:p>
        </w:tc>
        <w:tc>
          <w:tcPr>
            <w:tcW w:w="555" w:type="pct"/>
            <w:tcBorders>
              <w:top w:val="single" w:color="auto" w:sz="4" w:space="0"/>
              <w:left w:val="single" w:color="auto" w:sz="4" w:space="0"/>
              <w:bottom w:val="single" w:color="auto" w:sz="4" w:space="0"/>
              <w:right w:val="single" w:color="auto" w:sz="4" w:space="0"/>
            </w:tcBorders>
            <w:shd w:val="clear" w:color="auto" w:fill="auto"/>
            <w:vAlign w:val="center"/>
          </w:tcPr>
          <w:p w14:paraId="47E435D5">
            <w:pPr>
              <w:ind w:firstLine="0" w:firstLineChars="0"/>
              <w:jc w:val="center"/>
              <w:rPr>
                <w:rFonts w:cs="Times New Roman"/>
                <w:sz w:val="21"/>
                <w:szCs w:val="20"/>
              </w:rPr>
            </w:pPr>
            <w:bookmarkStart w:id="35" w:name="_Toc115623854"/>
            <w:bookmarkStart w:id="36" w:name="_Toc26089"/>
            <w:r>
              <w:rPr>
                <w:rFonts w:hint="eastAsia" w:cs="Times New Roman"/>
                <w:sz w:val="21"/>
                <w:szCs w:val="20"/>
                <w:lang w:bidi="ar"/>
              </w:rPr>
              <w:t>次网订</w:t>
            </w:r>
            <w:bookmarkEnd w:id="35"/>
            <w:bookmarkEnd w:id="36"/>
          </w:p>
        </w:tc>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14:paraId="18F1F6C9">
            <w:pPr>
              <w:ind w:firstLine="0" w:firstLineChars="0"/>
              <w:jc w:val="center"/>
              <w:rPr>
                <w:rFonts w:cs="Times New Roman"/>
                <w:sz w:val="21"/>
                <w:szCs w:val="20"/>
              </w:rPr>
            </w:pPr>
            <w:bookmarkStart w:id="37" w:name="_Toc115623855"/>
            <w:bookmarkStart w:id="38" w:name="_Toc10498"/>
            <w:r>
              <w:rPr>
                <w:rFonts w:hint="eastAsia" w:cs="Times New Roman"/>
                <w:sz w:val="21"/>
                <w:szCs w:val="20"/>
                <w:lang w:bidi="ar"/>
              </w:rPr>
              <w:t>主网钉</w:t>
            </w:r>
            <w:bookmarkEnd w:id="37"/>
            <w:bookmarkEnd w:id="38"/>
          </w:p>
        </w:tc>
        <w:tc>
          <w:tcPr>
            <w:tcW w:w="598" w:type="pct"/>
            <w:tcBorders>
              <w:top w:val="single" w:color="auto" w:sz="4" w:space="0"/>
              <w:left w:val="single" w:color="auto" w:sz="4" w:space="0"/>
              <w:bottom w:val="single" w:color="auto" w:sz="4" w:space="0"/>
              <w:right w:val="single" w:color="auto" w:sz="4" w:space="0"/>
            </w:tcBorders>
            <w:shd w:val="clear" w:color="auto" w:fill="auto"/>
            <w:vAlign w:val="center"/>
          </w:tcPr>
          <w:p w14:paraId="15953EA9">
            <w:pPr>
              <w:ind w:firstLine="0" w:firstLineChars="0"/>
              <w:jc w:val="center"/>
              <w:rPr>
                <w:rFonts w:cs="Times New Roman"/>
                <w:sz w:val="21"/>
                <w:szCs w:val="20"/>
              </w:rPr>
            </w:pPr>
            <w:bookmarkStart w:id="39" w:name="_Toc26985"/>
            <w:bookmarkStart w:id="40" w:name="_Toc115623856"/>
            <w:r>
              <w:rPr>
                <w:rFonts w:hint="eastAsia" w:cs="Times New Roman"/>
                <w:sz w:val="21"/>
                <w:szCs w:val="20"/>
                <w:lang w:bidi="ar"/>
              </w:rPr>
              <w:t>次网订</w:t>
            </w:r>
            <w:bookmarkEnd w:id="39"/>
            <w:bookmarkEnd w:id="40"/>
          </w:p>
        </w:tc>
        <w:tc>
          <w:tcPr>
            <w:tcW w:w="90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991915E">
            <w:pPr>
              <w:ind w:firstLine="0" w:firstLineChars="0"/>
              <w:jc w:val="center"/>
              <w:rPr>
                <w:rFonts w:cs="Times New Roman"/>
                <w:sz w:val="21"/>
                <w:szCs w:val="20"/>
              </w:rPr>
            </w:pPr>
            <w:bookmarkStart w:id="41" w:name="_Toc7887"/>
            <w:bookmarkStart w:id="42" w:name="_Toc115623857"/>
            <w:r>
              <w:rPr>
                <w:rFonts w:hint="eastAsia" w:cs="Times New Roman"/>
                <w:sz w:val="21"/>
                <w:szCs w:val="20"/>
                <w:lang w:bidi="ar"/>
              </w:rPr>
              <w:t>根据边坡</w:t>
            </w:r>
            <w:bookmarkEnd w:id="41"/>
            <w:bookmarkEnd w:id="42"/>
          </w:p>
          <w:p w14:paraId="008290EE">
            <w:pPr>
              <w:ind w:firstLine="0" w:firstLineChars="0"/>
              <w:jc w:val="center"/>
              <w:rPr>
                <w:rFonts w:cs="Times New Roman"/>
                <w:sz w:val="21"/>
                <w:szCs w:val="20"/>
              </w:rPr>
            </w:pPr>
            <w:bookmarkStart w:id="43" w:name="_Toc115623858"/>
            <w:bookmarkStart w:id="44" w:name="_Toc8121"/>
            <w:r>
              <w:rPr>
                <w:rFonts w:hint="eastAsia" w:cs="Times New Roman"/>
                <w:sz w:val="21"/>
                <w:szCs w:val="20"/>
                <w:lang w:bidi="ar"/>
              </w:rPr>
              <w:t>条件进行</w:t>
            </w:r>
            <w:bookmarkEnd w:id="43"/>
            <w:bookmarkEnd w:id="44"/>
          </w:p>
          <w:p w14:paraId="2BFE9C68">
            <w:pPr>
              <w:ind w:firstLine="0" w:firstLineChars="0"/>
              <w:jc w:val="center"/>
              <w:rPr>
                <w:rFonts w:cs="Times New Roman"/>
                <w:sz w:val="21"/>
                <w:szCs w:val="20"/>
              </w:rPr>
            </w:pPr>
            <w:bookmarkStart w:id="45" w:name="_Toc27356"/>
            <w:bookmarkStart w:id="46" w:name="_Toc115623859"/>
            <w:r>
              <w:rPr>
                <w:rFonts w:hint="eastAsia" w:cs="Times New Roman"/>
                <w:sz w:val="21"/>
                <w:szCs w:val="20"/>
                <w:lang w:bidi="ar"/>
              </w:rPr>
              <w:t>专门设计</w:t>
            </w:r>
            <w:bookmarkEnd w:id="45"/>
            <w:bookmarkEnd w:id="46"/>
          </w:p>
        </w:tc>
      </w:tr>
      <w:tr w14:paraId="29FFB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14:paraId="10E88F67">
            <w:pPr>
              <w:ind w:firstLine="0" w:firstLineChars="0"/>
              <w:jc w:val="center"/>
              <w:rPr>
                <w:rFonts w:cs="Times New Roman"/>
                <w:sz w:val="21"/>
                <w:szCs w:val="20"/>
              </w:rPr>
            </w:pPr>
            <w:bookmarkStart w:id="47" w:name="_Toc115623860"/>
            <w:bookmarkStart w:id="48" w:name="_Toc19522"/>
            <w:r>
              <w:rPr>
                <w:rFonts w:hint="eastAsia" w:cs="Times New Roman"/>
                <w:sz w:val="21"/>
                <w:szCs w:val="20"/>
                <w:lang w:bidi="ar"/>
              </w:rPr>
              <w:t>直径（</w:t>
            </w:r>
            <w:r>
              <w:rPr>
                <w:rFonts w:cs="Times New Roman"/>
                <w:sz w:val="21"/>
                <w:szCs w:val="20"/>
                <w:lang w:bidi="ar"/>
              </w:rPr>
              <w:t>mm</w:t>
            </w:r>
            <w:r>
              <w:rPr>
                <w:rFonts w:hint="eastAsia" w:cs="Times New Roman"/>
                <w:sz w:val="21"/>
                <w:szCs w:val="20"/>
                <w:lang w:bidi="ar"/>
              </w:rPr>
              <w:t>）</w:t>
            </w:r>
            <w:bookmarkEnd w:id="47"/>
            <w:bookmarkEnd w:id="48"/>
          </w:p>
        </w:tc>
        <w:tc>
          <w:tcPr>
            <w:tcW w:w="549" w:type="pct"/>
            <w:tcBorders>
              <w:top w:val="single" w:color="auto" w:sz="4" w:space="0"/>
              <w:left w:val="single" w:color="auto" w:sz="4" w:space="0"/>
              <w:bottom w:val="single" w:color="auto" w:sz="4" w:space="0"/>
              <w:right w:val="single" w:color="auto" w:sz="4" w:space="0"/>
            </w:tcBorders>
            <w:shd w:val="clear" w:color="auto" w:fill="auto"/>
            <w:vAlign w:val="center"/>
          </w:tcPr>
          <w:p w14:paraId="44D20E07">
            <w:pPr>
              <w:ind w:firstLine="0" w:firstLineChars="0"/>
              <w:jc w:val="center"/>
              <w:rPr>
                <w:rFonts w:cs="Times New Roman"/>
                <w:sz w:val="21"/>
                <w:szCs w:val="20"/>
              </w:rPr>
            </w:pPr>
            <w:bookmarkStart w:id="49" w:name="_Toc6737"/>
            <w:bookmarkStart w:id="50" w:name="_Toc115623861"/>
            <w:r>
              <w:rPr>
                <w:rFonts w:cs="Times New Roman"/>
                <w:sz w:val="21"/>
                <w:szCs w:val="20"/>
                <w:lang w:bidi="ar"/>
              </w:rPr>
              <w:t>≥14</w:t>
            </w:r>
            <w:bookmarkEnd w:id="49"/>
            <w:bookmarkEnd w:id="50"/>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14:paraId="4970F171">
            <w:pPr>
              <w:ind w:firstLine="0" w:firstLineChars="0"/>
              <w:jc w:val="center"/>
              <w:rPr>
                <w:rFonts w:cs="Times New Roman"/>
                <w:sz w:val="21"/>
                <w:szCs w:val="20"/>
              </w:rPr>
            </w:pPr>
            <w:bookmarkStart w:id="51" w:name="_Toc115623862"/>
            <w:bookmarkStart w:id="52" w:name="_Toc26955"/>
            <w:r>
              <w:rPr>
                <w:rFonts w:cs="Times New Roman"/>
                <w:sz w:val="21"/>
                <w:szCs w:val="20"/>
                <w:lang w:bidi="ar"/>
              </w:rPr>
              <w:t>≥10</w:t>
            </w:r>
            <w:bookmarkEnd w:id="51"/>
            <w:bookmarkEnd w:id="52"/>
          </w:p>
        </w:tc>
        <w:tc>
          <w:tcPr>
            <w:tcW w:w="549" w:type="pct"/>
            <w:tcBorders>
              <w:top w:val="single" w:color="auto" w:sz="4" w:space="0"/>
              <w:left w:val="single" w:color="auto" w:sz="4" w:space="0"/>
              <w:bottom w:val="single" w:color="auto" w:sz="4" w:space="0"/>
              <w:right w:val="single" w:color="auto" w:sz="4" w:space="0"/>
            </w:tcBorders>
            <w:shd w:val="clear" w:color="auto" w:fill="auto"/>
            <w:vAlign w:val="center"/>
          </w:tcPr>
          <w:p w14:paraId="0CEB6029">
            <w:pPr>
              <w:ind w:firstLine="0" w:firstLineChars="0"/>
              <w:jc w:val="center"/>
              <w:rPr>
                <w:rFonts w:cs="Times New Roman"/>
                <w:sz w:val="21"/>
                <w:szCs w:val="20"/>
              </w:rPr>
            </w:pPr>
            <w:bookmarkStart w:id="53" w:name="_Toc24857"/>
            <w:bookmarkStart w:id="54" w:name="_Toc115623863"/>
            <w:r>
              <w:rPr>
                <w:rFonts w:cs="Times New Roman"/>
                <w:sz w:val="21"/>
                <w:szCs w:val="20"/>
                <w:lang w:bidi="ar"/>
              </w:rPr>
              <w:t>≥35</w:t>
            </w:r>
            <w:bookmarkEnd w:id="53"/>
            <w:bookmarkEnd w:id="54"/>
          </w:p>
        </w:tc>
        <w:tc>
          <w:tcPr>
            <w:tcW w:w="555" w:type="pct"/>
            <w:tcBorders>
              <w:top w:val="single" w:color="auto" w:sz="4" w:space="0"/>
              <w:left w:val="single" w:color="auto" w:sz="4" w:space="0"/>
              <w:bottom w:val="single" w:color="auto" w:sz="4" w:space="0"/>
              <w:right w:val="single" w:color="auto" w:sz="4" w:space="0"/>
            </w:tcBorders>
            <w:shd w:val="clear" w:color="auto" w:fill="auto"/>
            <w:vAlign w:val="center"/>
          </w:tcPr>
          <w:p w14:paraId="3CD4ABC8">
            <w:pPr>
              <w:ind w:firstLine="0" w:firstLineChars="0"/>
              <w:jc w:val="center"/>
              <w:rPr>
                <w:rFonts w:cs="Times New Roman"/>
                <w:sz w:val="21"/>
                <w:szCs w:val="20"/>
              </w:rPr>
            </w:pPr>
            <w:bookmarkStart w:id="55" w:name="_Toc23273"/>
            <w:bookmarkStart w:id="56" w:name="_Toc115623864"/>
            <w:r>
              <w:rPr>
                <w:rFonts w:cs="Times New Roman"/>
                <w:sz w:val="21"/>
                <w:szCs w:val="20"/>
                <w:lang w:bidi="ar"/>
              </w:rPr>
              <w:t>≥30</w:t>
            </w:r>
            <w:bookmarkEnd w:id="55"/>
            <w:bookmarkEnd w:id="56"/>
          </w:p>
        </w:tc>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14:paraId="45CEFBE9">
            <w:pPr>
              <w:ind w:firstLine="0" w:firstLineChars="0"/>
              <w:jc w:val="center"/>
              <w:rPr>
                <w:rFonts w:cs="Times New Roman"/>
                <w:sz w:val="21"/>
                <w:szCs w:val="20"/>
              </w:rPr>
            </w:pPr>
            <w:bookmarkStart w:id="57" w:name="_Toc23424"/>
            <w:bookmarkStart w:id="58" w:name="_Toc115623865"/>
            <w:r>
              <w:rPr>
                <w:rFonts w:cs="Times New Roman"/>
                <w:sz w:val="21"/>
                <w:szCs w:val="20"/>
                <w:lang w:bidi="ar"/>
              </w:rPr>
              <w:t>≥35</w:t>
            </w:r>
            <w:bookmarkEnd w:id="57"/>
            <w:bookmarkEnd w:id="58"/>
          </w:p>
        </w:tc>
        <w:tc>
          <w:tcPr>
            <w:tcW w:w="598" w:type="pct"/>
            <w:tcBorders>
              <w:top w:val="single" w:color="auto" w:sz="4" w:space="0"/>
              <w:left w:val="single" w:color="auto" w:sz="4" w:space="0"/>
              <w:bottom w:val="single" w:color="auto" w:sz="4" w:space="0"/>
              <w:right w:val="single" w:color="auto" w:sz="4" w:space="0"/>
            </w:tcBorders>
            <w:shd w:val="clear" w:color="auto" w:fill="auto"/>
            <w:vAlign w:val="center"/>
          </w:tcPr>
          <w:p w14:paraId="30A2F4D5">
            <w:pPr>
              <w:ind w:firstLine="0" w:firstLineChars="0"/>
              <w:jc w:val="center"/>
              <w:rPr>
                <w:rFonts w:cs="Times New Roman"/>
                <w:sz w:val="21"/>
                <w:szCs w:val="20"/>
              </w:rPr>
            </w:pPr>
            <w:bookmarkStart w:id="59" w:name="_Toc115623866"/>
            <w:bookmarkStart w:id="60" w:name="_Toc6807"/>
            <w:r>
              <w:rPr>
                <w:rFonts w:cs="Times New Roman"/>
                <w:sz w:val="21"/>
                <w:szCs w:val="20"/>
                <w:lang w:bidi="ar"/>
              </w:rPr>
              <w:t>≥30</w:t>
            </w:r>
            <w:bookmarkEnd w:id="59"/>
            <w:bookmarkEnd w:id="60"/>
          </w:p>
        </w:tc>
        <w:tc>
          <w:tcPr>
            <w:tcW w:w="90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976B63">
            <w:pPr>
              <w:ind w:firstLine="400"/>
              <w:rPr>
                <w:rFonts w:ascii="等线" w:hAnsi="等线" w:eastAsia="等线" w:cs="等线"/>
                <w:sz w:val="20"/>
                <w:szCs w:val="20"/>
              </w:rPr>
            </w:pPr>
          </w:p>
        </w:tc>
      </w:tr>
      <w:tr w14:paraId="440B9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14:paraId="522680BF">
            <w:pPr>
              <w:ind w:firstLine="0" w:firstLineChars="0"/>
              <w:jc w:val="center"/>
              <w:rPr>
                <w:rFonts w:cs="Times New Roman"/>
                <w:sz w:val="21"/>
                <w:szCs w:val="20"/>
              </w:rPr>
            </w:pPr>
            <w:bookmarkStart w:id="61" w:name="_Toc115623867"/>
            <w:bookmarkStart w:id="62" w:name="_Toc14824"/>
            <w:r>
              <w:rPr>
                <w:rFonts w:hint="eastAsia" w:cs="Times New Roman"/>
                <w:sz w:val="21"/>
                <w:szCs w:val="20"/>
                <w:lang w:bidi="ar"/>
              </w:rPr>
              <w:t>长度（</w:t>
            </w:r>
            <w:r>
              <w:rPr>
                <w:rFonts w:cs="Times New Roman"/>
                <w:sz w:val="21"/>
                <w:szCs w:val="20"/>
                <w:lang w:bidi="ar"/>
              </w:rPr>
              <w:t>mm</w:t>
            </w:r>
            <w:r>
              <w:rPr>
                <w:rFonts w:hint="eastAsia" w:cs="Times New Roman"/>
                <w:sz w:val="21"/>
                <w:szCs w:val="20"/>
                <w:lang w:bidi="ar"/>
              </w:rPr>
              <w:t>）</w:t>
            </w:r>
            <w:bookmarkEnd w:id="61"/>
            <w:bookmarkEnd w:id="62"/>
          </w:p>
        </w:tc>
        <w:tc>
          <w:tcPr>
            <w:tcW w:w="549" w:type="pct"/>
            <w:tcBorders>
              <w:top w:val="single" w:color="auto" w:sz="4" w:space="0"/>
              <w:left w:val="single" w:color="auto" w:sz="4" w:space="0"/>
              <w:bottom w:val="single" w:color="auto" w:sz="4" w:space="0"/>
              <w:right w:val="single" w:color="auto" w:sz="4" w:space="0"/>
            </w:tcBorders>
            <w:shd w:val="clear" w:color="auto" w:fill="auto"/>
            <w:vAlign w:val="center"/>
          </w:tcPr>
          <w:p w14:paraId="2A25FF72">
            <w:pPr>
              <w:ind w:firstLine="0" w:firstLineChars="0"/>
              <w:jc w:val="center"/>
              <w:rPr>
                <w:rFonts w:cs="Times New Roman"/>
                <w:sz w:val="21"/>
                <w:szCs w:val="20"/>
              </w:rPr>
            </w:pPr>
            <w:bookmarkStart w:id="63" w:name="_Toc10405"/>
            <w:bookmarkStart w:id="64" w:name="_Toc115623868"/>
            <w:r>
              <w:rPr>
                <w:rFonts w:cs="Times New Roman"/>
                <w:sz w:val="21"/>
                <w:szCs w:val="20"/>
                <w:lang w:bidi="ar"/>
              </w:rPr>
              <w:t>≥500</w:t>
            </w:r>
            <w:bookmarkEnd w:id="63"/>
            <w:bookmarkEnd w:id="64"/>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14:paraId="0EC58D03">
            <w:pPr>
              <w:ind w:firstLine="0" w:firstLineChars="0"/>
              <w:jc w:val="center"/>
              <w:rPr>
                <w:rFonts w:cs="Times New Roman"/>
                <w:sz w:val="21"/>
                <w:szCs w:val="20"/>
              </w:rPr>
            </w:pPr>
            <w:bookmarkStart w:id="65" w:name="_Toc3860"/>
            <w:bookmarkStart w:id="66" w:name="_Toc115623869"/>
            <w:r>
              <w:rPr>
                <w:rFonts w:cs="Times New Roman"/>
                <w:sz w:val="21"/>
                <w:szCs w:val="20"/>
                <w:lang w:bidi="ar"/>
              </w:rPr>
              <w:t>≥300</w:t>
            </w:r>
            <w:bookmarkEnd w:id="65"/>
            <w:bookmarkEnd w:id="66"/>
          </w:p>
        </w:tc>
        <w:tc>
          <w:tcPr>
            <w:tcW w:w="549" w:type="pct"/>
            <w:tcBorders>
              <w:top w:val="single" w:color="auto" w:sz="4" w:space="0"/>
              <w:left w:val="single" w:color="auto" w:sz="4" w:space="0"/>
              <w:bottom w:val="single" w:color="auto" w:sz="4" w:space="0"/>
              <w:right w:val="single" w:color="auto" w:sz="4" w:space="0"/>
            </w:tcBorders>
            <w:shd w:val="clear" w:color="auto" w:fill="auto"/>
            <w:vAlign w:val="center"/>
          </w:tcPr>
          <w:p w14:paraId="4BBF6256">
            <w:pPr>
              <w:ind w:firstLine="0" w:firstLineChars="0"/>
              <w:jc w:val="center"/>
              <w:rPr>
                <w:rFonts w:cs="Times New Roman"/>
                <w:sz w:val="21"/>
                <w:szCs w:val="20"/>
              </w:rPr>
            </w:pPr>
            <w:bookmarkStart w:id="67" w:name="_Toc14792"/>
            <w:bookmarkStart w:id="68" w:name="_Toc115623870"/>
            <w:r>
              <w:rPr>
                <w:rFonts w:cs="Times New Roman"/>
                <w:sz w:val="21"/>
                <w:szCs w:val="20"/>
                <w:lang w:bidi="ar"/>
              </w:rPr>
              <w:t>≥600</w:t>
            </w:r>
            <w:bookmarkEnd w:id="67"/>
            <w:bookmarkEnd w:id="68"/>
          </w:p>
        </w:tc>
        <w:tc>
          <w:tcPr>
            <w:tcW w:w="555" w:type="pct"/>
            <w:tcBorders>
              <w:top w:val="single" w:color="auto" w:sz="4" w:space="0"/>
              <w:left w:val="single" w:color="auto" w:sz="4" w:space="0"/>
              <w:bottom w:val="single" w:color="auto" w:sz="4" w:space="0"/>
              <w:right w:val="single" w:color="auto" w:sz="4" w:space="0"/>
            </w:tcBorders>
            <w:shd w:val="clear" w:color="auto" w:fill="auto"/>
            <w:vAlign w:val="center"/>
          </w:tcPr>
          <w:p w14:paraId="082C6A91">
            <w:pPr>
              <w:ind w:firstLine="0" w:firstLineChars="0"/>
              <w:jc w:val="center"/>
              <w:rPr>
                <w:rFonts w:cs="Times New Roman"/>
                <w:sz w:val="21"/>
                <w:szCs w:val="20"/>
              </w:rPr>
            </w:pPr>
            <w:bookmarkStart w:id="69" w:name="_Toc115623871"/>
            <w:bookmarkStart w:id="70" w:name="_Toc32213"/>
            <w:r>
              <w:rPr>
                <w:rFonts w:cs="Times New Roman"/>
                <w:sz w:val="21"/>
                <w:szCs w:val="20"/>
                <w:lang w:bidi="ar"/>
              </w:rPr>
              <w:t>≥500</w:t>
            </w:r>
            <w:bookmarkEnd w:id="69"/>
            <w:bookmarkEnd w:id="70"/>
          </w:p>
        </w:tc>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14:paraId="2B00F0AD">
            <w:pPr>
              <w:ind w:firstLine="0" w:firstLineChars="0"/>
              <w:jc w:val="center"/>
              <w:rPr>
                <w:rFonts w:cs="Times New Roman"/>
                <w:sz w:val="21"/>
                <w:szCs w:val="20"/>
              </w:rPr>
            </w:pPr>
            <w:bookmarkStart w:id="71" w:name="_Toc2718"/>
            <w:bookmarkStart w:id="72" w:name="_Toc115623872"/>
            <w:r>
              <w:rPr>
                <w:rFonts w:cs="Times New Roman"/>
                <w:sz w:val="21"/>
                <w:szCs w:val="20"/>
                <w:lang w:bidi="ar"/>
              </w:rPr>
              <w:t>≥600</w:t>
            </w:r>
            <w:bookmarkEnd w:id="71"/>
            <w:bookmarkEnd w:id="72"/>
          </w:p>
        </w:tc>
        <w:tc>
          <w:tcPr>
            <w:tcW w:w="598" w:type="pct"/>
            <w:tcBorders>
              <w:top w:val="single" w:color="auto" w:sz="4" w:space="0"/>
              <w:left w:val="single" w:color="auto" w:sz="4" w:space="0"/>
              <w:bottom w:val="single" w:color="auto" w:sz="4" w:space="0"/>
              <w:right w:val="single" w:color="auto" w:sz="4" w:space="0"/>
            </w:tcBorders>
            <w:shd w:val="clear" w:color="auto" w:fill="auto"/>
            <w:vAlign w:val="center"/>
          </w:tcPr>
          <w:p w14:paraId="5E1DF8EF">
            <w:pPr>
              <w:ind w:firstLine="0" w:firstLineChars="0"/>
              <w:jc w:val="center"/>
              <w:rPr>
                <w:rFonts w:cs="Times New Roman"/>
                <w:sz w:val="21"/>
                <w:szCs w:val="20"/>
              </w:rPr>
            </w:pPr>
            <w:bookmarkStart w:id="73" w:name="_Toc10532"/>
            <w:bookmarkStart w:id="74" w:name="_Toc115623873"/>
            <w:r>
              <w:rPr>
                <w:rFonts w:cs="Times New Roman"/>
                <w:sz w:val="21"/>
                <w:szCs w:val="20"/>
                <w:lang w:bidi="ar"/>
              </w:rPr>
              <w:t>≥500</w:t>
            </w:r>
            <w:bookmarkEnd w:id="73"/>
            <w:bookmarkEnd w:id="74"/>
          </w:p>
        </w:tc>
        <w:tc>
          <w:tcPr>
            <w:tcW w:w="90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EE3CBBB">
            <w:pPr>
              <w:ind w:firstLine="400"/>
              <w:rPr>
                <w:rFonts w:ascii="等线" w:hAnsi="等线" w:eastAsia="等线" w:cs="等线"/>
                <w:sz w:val="20"/>
                <w:szCs w:val="20"/>
              </w:rPr>
            </w:pPr>
          </w:p>
        </w:tc>
      </w:tr>
    </w:tbl>
    <w:p w14:paraId="5C552EC0">
      <w:pPr>
        <w:ind w:firstLine="0" w:firstLineChars="0"/>
        <w:rPr>
          <w:rFonts w:cs="Times New Roman"/>
          <w:lang w:bidi="ar"/>
        </w:rPr>
      </w:pPr>
      <w:bookmarkStart w:id="75" w:name="_Toc1324"/>
      <w:bookmarkStart w:id="76" w:name="_Toc2058"/>
      <w:bookmarkStart w:id="77" w:name="_Toc26424"/>
      <w:r>
        <w:rPr>
          <w:rFonts w:hint="eastAsia" w:cs="Times New Roman"/>
          <w:lang w:bidi="ar"/>
        </w:rPr>
        <w:t>【条文说明】本条明确铺网的适用坡比、材料与网孔建议范围、顶部延伸要求及锚固原则，要求与喷播（覆土）及排水等工序协同实施，以确保坡面绿化的稳定性与耐久性。</w:t>
      </w:r>
    </w:p>
    <w:p w14:paraId="0B7DF320">
      <w:pPr>
        <w:ind w:firstLine="0" w:firstLineChars="0"/>
        <w:rPr>
          <w:rFonts w:cs="Times New Roman"/>
        </w:rPr>
      </w:pPr>
      <w:r>
        <w:rPr>
          <w:rFonts w:cs="Times New Roman"/>
          <w:b/>
          <w:bCs/>
          <w:lang w:bidi="ar"/>
        </w:rPr>
        <w:t>6.2.9</w:t>
      </w:r>
      <w:r>
        <w:rPr>
          <w:rFonts w:cs="Times New Roman"/>
          <w:lang w:bidi="ar"/>
        </w:rPr>
        <w:t xml:space="preserve">  </w:t>
      </w:r>
      <w:bookmarkEnd w:id="75"/>
      <w:bookmarkEnd w:id="76"/>
      <w:bookmarkEnd w:id="77"/>
      <w:r>
        <w:rPr>
          <w:rFonts w:hint="eastAsia" w:cs="Times New Roman"/>
          <w:lang w:bidi="ar"/>
        </w:rPr>
        <w:t>绿化植物的选择应符合下列规定：</w:t>
      </w:r>
    </w:p>
    <w:p w14:paraId="79E4C174">
      <w:pPr>
        <w:ind w:left="240" w:leftChars="100" w:firstLine="241" w:firstLineChars="100"/>
      </w:pPr>
      <w:r>
        <w:rPr>
          <w:rFonts w:cs="Times New Roman"/>
          <w:b/>
          <w:bCs/>
          <w:lang w:bidi="ar"/>
        </w:rPr>
        <w:t>1</w:t>
      </w:r>
      <w:r>
        <w:rPr>
          <w:rFonts w:cs="Times New Roman"/>
          <w:lang w:bidi="ar"/>
        </w:rPr>
        <w:t xml:space="preserve"> </w:t>
      </w:r>
      <w:r>
        <w:rPr>
          <w:rFonts w:hint="eastAsia" w:cs="宋体"/>
          <w:lang w:bidi="ar"/>
        </w:rPr>
        <w:t>应优先选择抗虫害、耐干旱、耐瘠薄、根系发达的植物；</w:t>
      </w:r>
    </w:p>
    <w:p w14:paraId="57DE6D22">
      <w:pPr>
        <w:ind w:left="240" w:leftChars="100" w:firstLine="241" w:firstLineChars="100"/>
      </w:pPr>
      <w:r>
        <w:rPr>
          <w:rFonts w:cs="Times New Roman"/>
          <w:b/>
          <w:bCs/>
          <w:lang w:bidi="ar"/>
        </w:rPr>
        <w:t>2</w:t>
      </w:r>
      <w:r>
        <w:rPr>
          <w:rFonts w:cs="Times New Roman"/>
          <w:lang w:bidi="ar"/>
        </w:rPr>
        <w:t xml:space="preserve"> </w:t>
      </w:r>
      <w:r>
        <w:rPr>
          <w:rFonts w:hint="eastAsia" w:cs="宋体"/>
          <w:lang w:bidi="ar"/>
        </w:rPr>
        <w:t>应选择取种便捷、贮存稳定、发芽率高的种子；</w:t>
      </w:r>
    </w:p>
    <w:p w14:paraId="0B0DA412">
      <w:pPr>
        <w:ind w:left="240" w:leftChars="100" w:firstLine="241" w:firstLineChars="100"/>
      </w:pPr>
      <w:r>
        <w:rPr>
          <w:rFonts w:cs="Times New Roman"/>
          <w:b/>
          <w:bCs/>
          <w:lang w:bidi="ar"/>
        </w:rPr>
        <w:t>3</w:t>
      </w:r>
      <w:r>
        <w:rPr>
          <w:rFonts w:cs="Times New Roman"/>
          <w:lang w:bidi="ar"/>
        </w:rPr>
        <w:t xml:space="preserve"> </w:t>
      </w:r>
      <w:r>
        <w:rPr>
          <w:rFonts w:hint="eastAsia" w:cs="宋体"/>
          <w:lang w:bidi="ar"/>
        </w:rPr>
        <w:t>应优先选用适宜本地立地条件的乡土植物，并与拟采用的喷播/栽植工艺相兼容；</w:t>
      </w:r>
    </w:p>
    <w:p w14:paraId="255BFD8A">
      <w:pPr>
        <w:ind w:left="240" w:leftChars="100" w:firstLine="241" w:firstLineChars="100"/>
      </w:pPr>
      <w:r>
        <w:rPr>
          <w:rFonts w:cs="Times New Roman"/>
          <w:b/>
          <w:bCs/>
          <w:lang w:bidi="ar"/>
        </w:rPr>
        <w:t>4</w:t>
      </w:r>
      <w:r>
        <w:rPr>
          <w:rFonts w:cs="Times New Roman"/>
          <w:lang w:bidi="ar"/>
        </w:rPr>
        <w:t xml:space="preserve"> </w:t>
      </w:r>
      <w:r>
        <w:rPr>
          <w:rFonts w:hint="eastAsia" w:cs="宋体"/>
          <w:lang w:bidi="ar"/>
        </w:rPr>
        <w:t>不应选用已知外来入侵种和绞杀性植物。</w:t>
      </w:r>
    </w:p>
    <w:p w14:paraId="551A570C">
      <w:pPr>
        <w:ind w:firstLine="0" w:firstLineChars="0"/>
      </w:pPr>
      <w:bookmarkStart w:id="78" w:name="_Toc20168"/>
      <w:bookmarkStart w:id="79" w:name="_Toc24327"/>
      <w:bookmarkStart w:id="80" w:name="_Toc32285"/>
      <w:r>
        <w:rPr>
          <w:rFonts w:cs="Times New Roman"/>
          <w:b/>
          <w:bCs/>
          <w:lang w:bidi="ar"/>
        </w:rPr>
        <w:t>6.</w:t>
      </w:r>
      <w:bookmarkEnd w:id="78"/>
      <w:bookmarkEnd w:id="79"/>
      <w:bookmarkEnd w:id="80"/>
      <w:r>
        <w:rPr>
          <w:rFonts w:cs="Times New Roman"/>
          <w:b/>
          <w:bCs/>
          <w:lang w:bidi="ar"/>
        </w:rPr>
        <w:t>2.10</w:t>
      </w:r>
      <w:r>
        <w:rPr>
          <w:rFonts w:cs="Times New Roman"/>
          <w:lang w:bidi="ar"/>
        </w:rPr>
        <w:t xml:space="preserve">  </w:t>
      </w:r>
      <w:r>
        <w:rPr>
          <w:rFonts w:hint="eastAsia" w:cs="宋体"/>
          <w:lang w:bidi="ar"/>
        </w:rPr>
        <w:t>目的植物群落设计应依据边坡立地条件、岩体性质、气候条件和养护管理方式等因素，合理确定群落类型、层次结构、配置密度与目标功能（如水土保持、生态防护、景观提升、生物多样性等）。</w:t>
      </w:r>
    </w:p>
    <w:p w14:paraId="6E8A3EE0">
      <w:pPr>
        <w:ind w:firstLine="0" w:firstLineChars="0"/>
      </w:pPr>
      <w:r>
        <w:rPr>
          <w:rFonts w:cs="Times New Roman"/>
          <w:b/>
          <w:bCs/>
          <w:lang w:bidi="ar"/>
        </w:rPr>
        <w:t>6.2.11</w:t>
      </w:r>
      <w:r>
        <w:rPr>
          <w:rFonts w:cs="Times New Roman"/>
          <w:lang w:bidi="ar"/>
        </w:rPr>
        <w:t xml:space="preserve">  </w:t>
      </w:r>
      <w:r>
        <w:rPr>
          <w:rFonts w:hint="eastAsia" w:cs="宋体"/>
          <w:lang w:bidi="ar"/>
        </w:rPr>
        <w:t>立地条件恶劣、管理粗放或不进行常态化养护的边坡，宜采用乔—灌—草型或灌—草型植物群落设计。</w:t>
      </w:r>
    </w:p>
    <w:p w14:paraId="489AF735">
      <w:pPr>
        <w:ind w:firstLine="0" w:firstLineChars="0"/>
      </w:pPr>
      <w:r>
        <w:rPr>
          <w:rFonts w:cs="Times New Roman"/>
          <w:b/>
          <w:bCs/>
          <w:lang w:bidi="ar"/>
        </w:rPr>
        <w:t>6.2.12</w:t>
      </w:r>
      <w:r>
        <w:rPr>
          <w:rFonts w:cs="Times New Roman"/>
          <w:lang w:bidi="ar"/>
        </w:rPr>
        <w:t xml:space="preserve">  </w:t>
      </w:r>
      <w:r>
        <w:rPr>
          <w:rFonts w:hint="eastAsia" w:cs="宋体"/>
          <w:lang w:bidi="ar"/>
        </w:rPr>
        <w:t>当边坡坡脚与人行道水平距离小于3 m或边坡垂直高度小于2 m时，宜采用灌—草型或草本型植物群落设计。</w:t>
      </w:r>
    </w:p>
    <w:p w14:paraId="7C0A9261">
      <w:pPr>
        <w:ind w:firstLine="0" w:firstLineChars="0"/>
      </w:pPr>
      <w:r>
        <w:rPr>
          <w:rFonts w:cs="Times New Roman"/>
          <w:b/>
          <w:bCs/>
          <w:lang w:bidi="ar"/>
        </w:rPr>
        <w:t>6.2.13</w:t>
      </w:r>
      <w:r>
        <w:rPr>
          <w:rFonts w:cs="Times New Roman"/>
          <w:lang w:bidi="ar"/>
        </w:rPr>
        <w:t xml:space="preserve">  </w:t>
      </w:r>
      <w:r>
        <w:rPr>
          <w:rFonts w:hint="eastAsia" w:cs="Times New Roman"/>
          <w:lang w:bidi="ar"/>
        </w:rPr>
        <w:t>平台绿化：</w:t>
      </w:r>
      <w:r>
        <w:rPr>
          <w:rFonts w:hint="eastAsia" w:cs="宋体"/>
          <w:lang w:bidi="ar"/>
        </w:rPr>
        <w:t>在边坡平台宜设置种植槽并配合爬藤覆盖式绿化；种植槽内宜采用乔—灌—草型或灌—草型配置，坡脚段宜采用爬藤覆盖式绿化。</w:t>
      </w:r>
    </w:p>
    <w:p w14:paraId="3C9E832F">
      <w:pPr>
        <w:ind w:firstLine="0" w:firstLineChars="0"/>
      </w:pPr>
      <w:r>
        <w:rPr>
          <w:rFonts w:cs="Times New Roman"/>
          <w:b/>
          <w:bCs/>
          <w:lang w:bidi="ar"/>
        </w:rPr>
        <w:t>6.2.14</w:t>
      </w:r>
      <w:r>
        <w:rPr>
          <w:rFonts w:cs="Times New Roman"/>
          <w:lang w:bidi="ar"/>
        </w:rPr>
        <w:t xml:space="preserve">  </w:t>
      </w:r>
      <w:r>
        <w:rPr>
          <w:rFonts w:hint="eastAsia" w:cs="Times New Roman"/>
          <w:lang w:bidi="ar"/>
        </w:rPr>
        <w:t>坡顶绿化：</w:t>
      </w:r>
      <w:r>
        <w:rPr>
          <w:rFonts w:hint="eastAsia" w:cs="宋体"/>
          <w:lang w:bidi="ar"/>
        </w:rPr>
        <w:t>在边坡坡顶宜采用种植槽与爬藤下挂式组合绿化；种植槽内宜采用乔—灌—草型或灌—草型配置，并与爬藤下挂形成联动覆盖。</w:t>
      </w:r>
    </w:p>
    <w:p w14:paraId="281B63F0">
      <w:pPr>
        <w:ind w:firstLine="0" w:firstLineChars="0"/>
      </w:pPr>
      <w:r>
        <w:rPr>
          <w:rFonts w:cs="Times New Roman"/>
          <w:b/>
          <w:bCs/>
          <w:lang w:bidi="ar"/>
        </w:rPr>
        <w:t>6.2.15</w:t>
      </w:r>
      <w:r>
        <w:rPr>
          <w:rFonts w:cs="Times New Roman"/>
          <w:lang w:bidi="ar"/>
        </w:rPr>
        <w:t xml:space="preserve">  </w:t>
      </w:r>
      <w:r>
        <w:rPr>
          <w:rFonts w:hint="eastAsia" w:cs="Times New Roman"/>
          <w:lang w:bidi="ar"/>
        </w:rPr>
        <w:t>底盘绿化：</w:t>
      </w:r>
      <w:r>
        <w:rPr>
          <w:rFonts w:hint="eastAsia" w:cs="宋体"/>
          <w:lang w:bidi="ar"/>
        </w:rPr>
        <w:t>矿区露天开采高陡边坡底盘宜采用覆土绿化、鱼鳞坑客土绿化等方式；植物配置宜采用乔—灌—草型或灌—草型设计。</w:t>
      </w:r>
    </w:p>
    <w:p w14:paraId="6AABFB3B">
      <w:pPr>
        <w:pStyle w:val="30"/>
        <w:numPr>
          <w:ilvl w:val="0"/>
          <w:numId w:val="4"/>
        </w:numPr>
        <w:spacing w:before="163" w:beforeLines="50" w:after="163" w:afterLines="50"/>
        <w:ind w:firstLineChars="0"/>
        <w:jc w:val="center"/>
        <w:outlineLvl w:val="1"/>
        <w:rPr>
          <w:b/>
          <w:bCs/>
          <w:sz w:val="28"/>
          <w:szCs w:val="28"/>
        </w:rPr>
      </w:pPr>
      <w:bookmarkStart w:id="81" w:name="_Toc212057028"/>
      <w:r>
        <w:rPr>
          <w:rFonts w:hint="eastAsia"/>
          <w:b/>
          <w:bCs/>
          <w:sz w:val="28"/>
          <w:szCs w:val="28"/>
        </w:rPr>
        <w:t>地质消灾设计</w:t>
      </w:r>
      <w:bookmarkEnd w:id="81"/>
    </w:p>
    <w:p w14:paraId="62D1E3F1">
      <w:pPr>
        <w:ind w:firstLine="0" w:firstLineChars="0"/>
        <w:rPr>
          <w:rFonts w:ascii="宋体" w:hAnsi="宋体" w:cs="Times New Roman"/>
        </w:rPr>
      </w:pPr>
      <w:r>
        <w:rPr>
          <w:rFonts w:cs="Times New Roman"/>
          <w:b/>
          <w:bCs/>
        </w:rPr>
        <w:t>6.3</w:t>
      </w:r>
      <w:r>
        <w:rPr>
          <w:rFonts w:hint="eastAsia" w:cs="Times New Roman"/>
          <w:b/>
          <w:bCs/>
        </w:rPr>
        <w:t>.1</w:t>
      </w:r>
      <w:r>
        <w:rPr>
          <w:rFonts w:cs="Times New Roman"/>
          <w:b/>
          <w:bCs/>
        </w:rPr>
        <w:t xml:space="preserve">  </w:t>
      </w:r>
      <w:r>
        <w:rPr>
          <w:rFonts w:hint="eastAsia" w:ascii="宋体" w:hAnsi="宋体" w:cs="Times New Roman"/>
        </w:rPr>
        <w:t>危岩体清除，主要采取以下措施：</w:t>
      </w:r>
    </w:p>
    <w:p w14:paraId="292288C4">
      <w:pPr>
        <w:ind w:left="240" w:leftChars="100" w:firstLine="241" w:firstLineChars="100"/>
        <w:rPr>
          <w:rFonts w:ascii="宋体" w:hAnsi="宋体" w:cs="Times New Roman"/>
        </w:rPr>
      </w:pPr>
      <w:r>
        <w:rPr>
          <w:rFonts w:cs="Times New Roman"/>
          <w:b/>
          <w:bCs/>
          <w:lang w:bidi="ar"/>
        </w:rPr>
        <w:t>1</w:t>
      </w:r>
      <w:r>
        <w:rPr>
          <w:rFonts w:hint="eastAsia" w:ascii="宋体" w:hAnsi="宋体" w:cs="Times New Roman"/>
          <w:lang w:bidi="ar"/>
        </w:rPr>
        <w:t xml:space="preserve"> 应综合现场条件、安全要求及技术经济可行性，选择适宜的清除方法；宜采用人工清除、机械破碎/清除、劈裂（静态破碎）、控制爆破等方式。不宜采用常规爆破；确需采用时，应编制专项爆破设计，明确爆破方法、工序流程、安全与环保措施、震动与飞石控制、监测方案及应急预案等。</w:t>
      </w:r>
    </w:p>
    <w:p w14:paraId="2CE5967B">
      <w:pPr>
        <w:ind w:left="240" w:leftChars="100" w:firstLine="241" w:firstLineChars="100"/>
        <w:rPr>
          <w:rFonts w:ascii="宋体" w:hAnsi="宋体" w:cs="Times New Roman"/>
        </w:rPr>
      </w:pPr>
      <w:r>
        <w:rPr>
          <w:rFonts w:cs="Times New Roman"/>
          <w:b/>
          <w:bCs/>
          <w:lang w:bidi="ar"/>
        </w:rPr>
        <w:t>2</w:t>
      </w:r>
      <w:r>
        <w:rPr>
          <w:rFonts w:hint="eastAsia" w:ascii="宋体" w:hAnsi="宋体" w:cs="Times New Roman"/>
          <w:lang w:bidi="ar"/>
        </w:rPr>
        <w:t xml:space="preserve"> 清除前应对防护对象采取安全防护措施；受威胁对象应撤至影响范围之外；必要时设置临时防护设施（如防护网、拦石棚/墙、警戒线与警戒人员等）。</w:t>
      </w:r>
    </w:p>
    <w:p w14:paraId="7ECAA6E6">
      <w:pPr>
        <w:ind w:left="240" w:leftChars="100" w:firstLine="241" w:firstLineChars="100"/>
        <w:rPr>
          <w:rFonts w:cs="Times New Roman"/>
        </w:rPr>
      </w:pPr>
      <w:r>
        <w:rPr>
          <w:rFonts w:cs="Times New Roman"/>
          <w:b/>
          <w:bCs/>
          <w:lang w:bidi="ar"/>
        </w:rPr>
        <w:t>3</w:t>
      </w:r>
      <w:r>
        <w:rPr>
          <w:rFonts w:hint="eastAsia" w:ascii="宋体" w:hAnsi="宋体" w:cs="Times New Roman"/>
          <w:lang w:bidi="ar"/>
        </w:rPr>
        <w:t xml:space="preserve"> </w:t>
      </w:r>
      <w:r>
        <w:rPr>
          <w:rFonts w:hint="eastAsia" w:cs="Times New Roman"/>
          <w:lang w:bidi="ar"/>
        </w:rPr>
        <w:t>清除作业应按自上而下的顺序进行，宜采用分区、跳段方式组织施工，并应一次成型坡面；严禁先削坡脚造成仰斜作业与二次危岩。</w:t>
      </w:r>
    </w:p>
    <w:p w14:paraId="3F71CAED">
      <w:pPr>
        <w:ind w:left="240" w:leftChars="100" w:firstLine="241" w:firstLineChars="100"/>
        <w:rPr>
          <w:rFonts w:ascii="宋体" w:hAnsi="宋体" w:cs="Times New Roman"/>
        </w:rPr>
      </w:pPr>
      <w:r>
        <w:rPr>
          <w:rFonts w:cs="Times New Roman"/>
          <w:b/>
          <w:bCs/>
          <w:lang w:bidi="ar"/>
        </w:rPr>
        <w:t>4</w:t>
      </w:r>
      <w:r>
        <w:rPr>
          <w:rFonts w:hint="eastAsia" w:ascii="宋体" w:hAnsi="宋体" w:cs="Times New Roman"/>
          <w:lang w:bidi="ar"/>
        </w:rPr>
        <w:t xml:space="preserve"> 清除后应将边坡处理至稳定岩面，清除松动块体与潜在危岩，不得引发新的危岩体或不良地质现象；必要时应同步采取加固与排水措施（如锚杆/锚索、喷混凝土、截排水沟等）。</w:t>
      </w:r>
    </w:p>
    <w:p w14:paraId="0B82CC3A">
      <w:pPr>
        <w:ind w:left="240" w:leftChars="100" w:firstLine="241" w:firstLineChars="100"/>
        <w:rPr>
          <w:rFonts w:ascii="宋体" w:hAnsi="宋体" w:cs="Times New Roman"/>
        </w:rPr>
      </w:pPr>
      <w:r>
        <w:rPr>
          <w:rFonts w:cs="Times New Roman"/>
          <w:b/>
          <w:bCs/>
          <w:lang w:bidi="ar"/>
        </w:rPr>
        <w:t>5</w:t>
      </w:r>
      <w:r>
        <w:rPr>
          <w:rFonts w:hint="eastAsia" w:ascii="宋体" w:hAnsi="宋体" w:cs="Times New Roman"/>
          <w:lang w:bidi="ar"/>
        </w:rPr>
        <w:t xml:space="preserve"> 清除完成后，应修整坡面转角与坡顶棱角，使坡面平顺、连续，无明显凸起与凹陷；清除部位与周围坡面应顺接平滑、协调，避免积水与冲刷隐患。</w:t>
      </w:r>
    </w:p>
    <w:p w14:paraId="5885E003">
      <w:pPr>
        <w:ind w:firstLine="0" w:firstLineChars="0"/>
        <w:rPr>
          <w:rFonts w:ascii="宋体" w:hAnsi="宋体" w:cs="Times New Roman"/>
        </w:rPr>
      </w:pPr>
      <w:r>
        <w:rPr>
          <w:rFonts w:hint="eastAsia" w:ascii="宋体" w:hAnsi="宋体" w:cs="Times New Roman"/>
          <w:lang w:bidi="ar"/>
        </w:rPr>
        <w:t>【条文说明】本条规定危岩体清除的方法选择、作业防护、施工顺序、稳定要求与坡面修整。强调“先防护、后清除；自上而下、分区跳段；达稳成型、顺接修整”，并对非常规爆破提出专项设计与安全控制要求，以保障作业安全和边坡长期稳定。</w:t>
      </w:r>
    </w:p>
    <w:p w14:paraId="22EFC37C">
      <w:pPr>
        <w:ind w:firstLine="0" w:firstLineChars="0"/>
        <w:rPr>
          <w:rFonts w:cs="Times New Roman"/>
        </w:rPr>
      </w:pPr>
      <w:r>
        <w:rPr>
          <w:rFonts w:cs="Times New Roman"/>
          <w:b/>
          <w:bCs/>
          <w:lang w:bidi="ar"/>
        </w:rPr>
        <w:t xml:space="preserve">6.3.2  </w:t>
      </w:r>
      <w:r>
        <w:rPr>
          <w:rFonts w:hint="eastAsia" w:cs="Times New Roman"/>
          <w:lang w:bidi="ar"/>
        </w:rPr>
        <w:t>边坡、</w:t>
      </w:r>
      <w:r>
        <w:rPr>
          <w:rFonts w:hint="eastAsia" w:ascii="宋体" w:hAnsi="宋体" w:cs="Times New Roman"/>
          <w:lang w:bidi="ar"/>
        </w:rPr>
        <w:t>危岩体加固</w:t>
      </w:r>
      <w:r>
        <w:rPr>
          <w:rFonts w:hint="eastAsia" w:cs="Times New Roman"/>
          <w:lang w:bidi="ar"/>
        </w:rPr>
        <w:t>，主要采取以下措施：</w:t>
      </w:r>
    </w:p>
    <w:p w14:paraId="632B3134">
      <w:pPr>
        <w:ind w:left="240" w:leftChars="100" w:firstLine="241" w:firstLineChars="100"/>
        <w:rPr>
          <w:rFonts w:cs="Times New Roman"/>
        </w:rPr>
      </w:pPr>
      <w:r>
        <w:rPr>
          <w:rFonts w:cs="Times New Roman"/>
          <w:b/>
          <w:bCs/>
          <w:lang w:bidi="ar"/>
        </w:rPr>
        <w:t>1</w:t>
      </w:r>
      <w:r>
        <w:rPr>
          <w:rFonts w:hint="eastAsia" w:ascii="宋体" w:hAnsi="宋体" w:cs="Times New Roman"/>
          <w:lang w:bidi="ar"/>
        </w:rPr>
        <w:t xml:space="preserve"> </w:t>
      </w:r>
      <w:r>
        <w:rPr>
          <w:rFonts w:hint="eastAsia" w:cs="Times New Roman"/>
          <w:lang w:bidi="ar"/>
        </w:rPr>
        <w:t>应结合边坡岩性、坡度与危岩体稳定程度等因素，选择适宜的加固措施；加固工程应弱化人工痕迹并与周边环境相协调。相关措施的设计与施工应符合现行国家标准《建筑边坡工程技术规范》</w:t>
      </w:r>
      <w:r>
        <w:rPr>
          <w:rFonts w:cs="Times New Roman"/>
          <w:lang w:bidi="ar"/>
        </w:rPr>
        <w:t>GB50330</w:t>
      </w:r>
      <w:r>
        <w:rPr>
          <w:rFonts w:hint="eastAsia" w:cs="Times New Roman"/>
          <w:lang w:bidi="ar"/>
        </w:rPr>
        <w:t>、《岩土锚固与喷射混凝土支护工程技术规范》</w:t>
      </w:r>
      <w:r>
        <w:rPr>
          <w:rFonts w:cs="Times New Roman"/>
          <w:lang w:bidi="ar"/>
        </w:rPr>
        <w:t>GB 50086</w:t>
      </w:r>
      <w:r>
        <w:rPr>
          <w:rFonts w:hint="eastAsia" w:cs="Times New Roman"/>
          <w:lang w:bidi="ar"/>
        </w:rPr>
        <w:t>等有关规定。</w:t>
      </w:r>
    </w:p>
    <w:p w14:paraId="0B0B8AD6">
      <w:pPr>
        <w:ind w:left="240" w:leftChars="100" w:firstLine="195" w:firstLineChars="81"/>
        <w:rPr>
          <w:rFonts w:cs="Times New Roman"/>
        </w:rPr>
      </w:pPr>
      <w:r>
        <w:rPr>
          <w:rFonts w:cs="Times New Roman"/>
          <w:b/>
          <w:bCs/>
          <w:lang w:bidi="ar"/>
        </w:rPr>
        <w:t>2</w:t>
      </w:r>
      <w:r>
        <w:rPr>
          <w:rFonts w:cs="Times New Roman"/>
          <w:lang w:bidi="ar"/>
        </w:rPr>
        <w:t xml:space="preserve"> </w:t>
      </w:r>
      <w:r>
        <w:rPr>
          <w:rFonts w:hint="eastAsia" w:cs="Times New Roman"/>
          <w:lang w:bidi="ar"/>
        </w:rPr>
        <w:t>对不稳定边坡，宜选用削坡、锚固、支撑、嵌补、抗滑桩、注浆、排水等措施。</w:t>
      </w:r>
    </w:p>
    <w:p w14:paraId="433AB2AE">
      <w:pPr>
        <w:ind w:firstLine="0" w:firstLineChars="0"/>
        <w:rPr>
          <w:rFonts w:cs="Times New Roman"/>
          <w:lang w:bidi="ar"/>
        </w:rPr>
      </w:pPr>
      <w:r>
        <w:rPr>
          <w:rFonts w:hint="eastAsia" w:cs="Times New Roman"/>
          <w:lang w:bidi="ar"/>
        </w:rPr>
        <w:t>【条文说明】本条明确边坡与危岩体加固的总体原则与常用措施，强调因地制宜、工程与景观协调，并要求严格遵循现行标准规范开展设计与施工。</w:t>
      </w:r>
    </w:p>
    <w:p w14:paraId="08C839FC">
      <w:pPr>
        <w:ind w:firstLine="0" w:firstLineChars="0"/>
        <w:rPr>
          <w:rFonts w:cs="Times New Roman"/>
        </w:rPr>
      </w:pPr>
      <w:r>
        <w:rPr>
          <w:rFonts w:cs="Times New Roman"/>
          <w:b/>
          <w:bCs/>
        </w:rPr>
        <w:t>6.3</w:t>
      </w:r>
      <w:r>
        <w:rPr>
          <w:rFonts w:hint="eastAsia" w:cs="Times New Roman"/>
          <w:b/>
          <w:bCs/>
        </w:rPr>
        <w:t>.3</w:t>
      </w:r>
      <w:r>
        <w:rPr>
          <w:rFonts w:cs="Times New Roman"/>
          <w:b/>
          <w:bCs/>
        </w:rPr>
        <w:t xml:space="preserve">  </w:t>
      </w:r>
      <w:r>
        <w:rPr>
          <w:rFonts w:hint="eastAsia" w:cs="Times New Roman"/>
        </w:rPr>
        <w:t>高陡岩质</w:t>
      </w:r>
      <w:r>
        <w:rPr>
          <w:rFonts w:cs="Times New Roman"/>
        </w:rPr>
        <w:t>边坡设计</w:t>
      </w:r>
    </w:p>
    <w:p w14:paraId="046520CA">
      <w:pPr>
        <w:ind w:left="240" w:leftChars="100" w:firstLine="241" w:firstLineChars="100"/>
        <w:rPr>
          <w:rFonts w:cs="Times New Roman"/>
        </w:rPr>
      </w:pPr>
      <w:r>
        <w:rPr>
          <w:rFonts w:cs="Times New Roman"/>
          <w:b/>
          <w:bCs/>
          <w:lang w:bidi="ar"/>
        </w:rPr>
        <w:t xml:space="preserve">1 </w:t>
      </w:r>
      <w:r>
        <w:rPr>
          <w:rFonts w:hint="eastAsia" w:cs="Times New Roman"/>
          <w:lang w:bidi="ar"/>
        </w:rPr>
        <w:t>高陡岩质边坡修复治理的结构参数设计应充分考虑潜在失稳模式的安全系数。台阶边坡与总体边坡应分别采取相应的设计步骤与方法。设计时应重点分析：岩体类型及坚硬程度、节理裂隙发育程度、结构面产状与抗剪强度、水文地质条件等，并对不同区域边坡分别开展潜在失稳模式分析。</w:t>
      </w:r>
    </w:p>
    <w:p w14:paraId="36A78740">
      <w:pPr>
        <w:ind w:left="240" w:leftChars="100" w:firstLine="241" w:firstLineChars="100"/>
        <w:rPr>
          <w:rFonts w:cs="Times New Roman"/>
        </w:rPr>
      </w:pPr>
      <w:r>
        <w:rPr>
          <w:rFonts w:cs="Times New Roman"/>
          <w:b/>
          <w:bCs/>
          <w:lang w:bidi="ar"/>
        </w:rPr>
        <w:t xml:space="preserve">2 </w:t>
      </w:r>
      <w:r>
        <w:rPr>
          <w:rFonts w:hint="eastAsia" w:cs="Times New Roman"/>
          <w:lang w:bidi="ar"/>
        </w:rPr>
        <w:t>高陡岩质边坡修复治理工程设计阶段应包括下列内容：</w:t>
      </w:r>
    </w:p>
    <w:p w14:paraId="53FC7FFC">
      <w:pPr>
        <w:ind w:left="480" w:leftChars="200" w:firstLine="240" w:firstLineChars="100"/>
        <w:rPr>
          <w:rFonts w:cs="Times New Roman"/>
        </w:rPr>
      </w:pPr>
      <w:r>
        <w:rPr>
          <w:rFonts w:cs="Times New Roman"/>
          <w:lang w:bidi="ar"/>
        </w:rPr>
        <w:t>1</w:t>
      </w:r>
      <w:r>
        <w:rPr>
          <w:rFonts w:hint="eastAsia" w:cs="Times New Roman"/>
          <w:lang w:bidi="ar"/>
        </w:rPr>
        <w:t>）边坡稳定性计算模型：按分区选取代表性剖面，基于工程地质分析模型明确岩性、结构与水文特征，建立相应的边坡稳定性计算模型；</w:t>
      </w:r>
    </w:p>
    <w:p w14:paraId="18C6C94E">
      <w:pPr>
        <w:ind w:left="480" w:leftChars="200" w:firstLine="240" w:firstLineChars="100"/>
        <w:rPr>
          <w:rFonts w:cs="Times New Roman"/>
        </w:rPr>
      </w:pPr>
      <w:r>
        <w:rPr>
          <w:rFonts w:cs="Times New Roman"/>
          <w:lang w:bidi="ar"/>
        </w:rPr>
        <w:t>2</w:t>
      </w:r>
      <w:r>
        <w:rPr>
          <w:rFonts w:hint="eastAsia" w:cs="Times New Roman"/>
          <w:lang w:bidi="ar"/>
        </w:rPr>
        <w:t>）稳定性分析：针对不同区域的计算模型，可采用极限平衡法等方法进行稳定性分析，并按稳定性判别标准对应评价潜在失稳区；</w:t>
      </w:r>
    </w:p>
    <w:p w14:paraId="1D257840">
      <w:pPr>
        <w:ind w:left="480" w:leftChars="200" w:firstLine="240" w:firstLineChars="100"/>
        <w:rPr>
          <w:rFonts w:cs="Times New Roman"/>
        </w:rPr>
      </w:pPr>
      <w:r>
        <w:rPr>
          <w:rFonts w:cs="Times New Roman"/>
          <w:lang w:bidi="ar"/>
        </w:rPr>
        <w:t>3</w:t>
      </w:r>
      <w:r>
        <w:rPr>
          <w:rFonts w:hint="eastAsia" w:cs="Times New Roman"/>
          <w:lang w:bidi="ar"/>
        </w:rPr>
        <w:t>）结构参数设计：依据台阶边坡与总体边坡的稳定性分析结果，选择合理的结构参数并形成设计方案。</w:t>
      </w:r>
    </w:p>
    <w:p w14:paraId="4182EA98">
      <w:pPr>
        <w:ind w:left="240" w:leftChars="100" w:firstLine="241" w:firstLineChars="100"/>
        <w:rPr>
          <w:rFonts w:cs="Times New Roman"/>
        </w:rPr>
      </w:pPr>
      <w:r>
        <w:rPr>
          <w:rFonts w:cs="Times New Roman"/>
          <w:b/>
          <w:bCs/>
          <w:lang w:bidi="ar"/>
        </w:rPr>
        <w:t xml:space="preserve">3 </w:t>
      </w:r>
      <w:r>
        <w:rPr>
          <w:rFonts w:hint="eastAsia" w:cs="Times New Roman"/>
          <w:lang w:bidi="ar"/>
        </w:rPr>
        <w:t>边坡结构参数应包括且不限于：台阶高度、台阶平台宽度、台阶坡面角、总体坡角（或分区坡角）、平台（安全平台）布置与宽度、排水与卸荷措施等。</w:t>
      </w:r>
    </w:p>
    <w:p w14:paraId="566E9DA9">
      <w:pPr>
        <w:ind w:left="240" w:leftChars="100" w:firstLine="241" w:firstLineChars="100"/>
        <w:rPr>
          <w:rFonts w:cs="Times New Roman"/>
        </w:rPr>
      </w:pPr>
      <w:r>
        <w:rPr>
          <w:rFonts w:cs="Times New Roman"/>
          <w:b/>
          <w:bCs/>
          <w:lang w:bidi="ar"/>
        </w:rPr>
        <w:t xml:space="preserve">4 </w:t>
      </w:r>
      <w:r>
        <w:rPr>
          <w:rFonts w:hint="eastAsia" w:cs="Times New Roman"/>
          <w:lang w:bidi="ar"/>
        </w:rPr>
        <w:t>边坡结构参数的类比设计可采用：</w:t>
      </w:r>
    </w:p>
    <w:p w14:paraId="6CA3516E">
      <w:pPr>
        <w:ind w:left="480" w:leftChars="200" w:firstLine="240" w:firstLineChars="100"/>
        <w:rPr>
          <w:rFonts w:cs="Times New Roman"/>
        </w:rPr>
      </w:pPr>
      <w:r>
        <w:rPr>
          <w:rFonts w:cs="Times New Roman"/>
          <w:lang w:bidi="ar"/>
        </w:rPr>
        <w:t>1</w:t>
      </w:r>
      <w:r>
        <w:rPr>
          <w:rFonts w:hint="eastAsia" w:cs="Times New Roman"/>
          <w:lang w:bidi="ar"/>
        </w:rPr>
        <w:t>）直接类比法：在岩性、构造、地下水与开采深度等条件相近的矿区经验基础上确定参数；</w:t>
      </w:r>
    </w:p>
    <w:p w14:paraId="5077DE86">
      <w:pPr>
        <w:ind w:left="480" w:leftChars="200" w:firstLine="240" w:firstLineChars="100"/>
        <w:rPr>
          <w:rFonts w:cs="Times New Roman"/>
        </w:rPr>
      </w:pPr>
      <w:r>
        <w:rPr>
          <w:rFonts w:cs="Times New Roman"/>
          <w:lang w:bidi="ar"/>
        </w:rPr>
        <w:t>2</w:t>
      </w:r>
      <w:r>
        <w:rPr>
          <w:rFonts w:hint="eastAsia" w:cs="Times New Roman"/>
          <w:lang w:bidi="ar"/>
        </w:rPr>
        <w:t>）经验设计图法；</w:t>
      </w:r>
    </w:p>
    <w:p w14:paraId="21A0945F">
      <w:pPr>
        <w:ind w:left="480" w:leftChars="200" w:firstLine="240" w:firstLineChars="100"/>
        <w:rPr>
          <w:rFonts w:cs="Times New Roman"/>
        </w:rPr>
      </w:pPr>
      <w:r>
        <w:rPr>
          <w:rFonts w:cs="Times New Roman"/>
          <w:lang w:bidi="ar"/>
        </w:rPr>
        <w:t>3</w:t>
      </w:r>
      <w:r>
        <w:rPr>
          <w:rFonts w:hint="eastAsia" w:cs="Times New Roman"/>
          <w:lang w:bidi="ar"/>
        </w:rPr>
        <w:t>）坡角与坡高关系图法：仅作为初步设计参数的定性确定方法。</w:t>
      </w:r>
    </w:p>
    <w:p w14:paraId="2868C440">
      <w:pPr>
        <w:ind w:left="240" w:leftChars="100" w:firstLine="241" w:firstLineChars="100"/>
        <w:rPr>
          <w:rFonts w:cs="Times New Roman"/>
          <w:lang w:bidi="ar"/>
        </w:rPr>
      </w:pPr>
      <w:r>
        <w:rPr>
          <w:rFonts w:cs="Times New Roman"/>
          <w:b/>
          <w:bCs/>
          <w:lang w:bidi="ar"/>
        </w:rPr>
        <w:t xml:space="preserve">5 </w:t>
      </w:r>
      <w:r>
        <w:rPr>
          <w:rFonts w:hint="eastAsia" w:cs="Times New Roman"/>
          <w:lang w:bidi="ar"/>
        </w:rPr>
        <w:t>治理设计应满足《非煤露天矿边坡工程技术规范》</w:t>
      </w:r>
      <w:r>
        <w:rPr>
          <w:rFonts w:cs="Times New Roman"/>
          <w:lang w:bidi="ar"/>
        </w:rPr>
        <w:t>GB 51016</w:t>
      </w:r>
      <w:r>
        <w:rPr>
          <w:rFonts w:hint="eastAsia" w:cs="Times New Roman"/>
          <w:lang w:bidi="ar"/>
        </w:rPr>
        <w:t>、《滑坡防治设计规范》</w:t>
      </w:r>
      <w:r>
        <w:rPr>
          <w:rFonts w:cs="Times New Roman"/>
          <w:lang w:bidi="ar"/>
        </w:rPr>
        <w:t>GB/T38509</w:t>
      </w:r>
      <w:r>
        <w:rPr>
          <w:rFonts w:hint="eastAsia" w:cs="Times New Roman"/>
          <w:lang w:bidi="ar"/>
        </w:rPr>
        <w:t>、《建筑边坡工程技术规范》</w:t>
      </w:r>
      <w:r>
        <w:rPr>
          <w:rFonts w:cs="Times New Roman"/>
          <w:lang w:bidi="ar"/>
        </w:rPr>
        <w:t>GB50330</w:t>
      </w:r>
      <w:r>
        <w:rPr>
          <w:rFonts w:hint="eastAsia" w:cs="Times New Roman"/>
          <w:lang w:bidi="ar"/>
        </w:rPr>
        <w:t>等有关规定。</w:t>
      </w:r>
    </w:p>
    <w:p w14:paraId="0BA0E96A">
      <w:pPr>
        <w:ind w:left="240" w:leftChars="100" w:firstLine="0" w:firstLineChars="0"/>
        <w:rPr>
          <w:rFonts w:cs="Times New Roman"/>
        </w:rPr>
      </w:pPr>
      <w:r>
        <w:rPr>
          <w:rFonts w:hint="eastAsia" w:cs="Times New Roman"/>
        </w:rPr>
        <w:t>【</w:t>
      </w:r>
      <w:r>
        <w:rPr>
          <w:rFonts w:cs="Times New Roman"/>
        </w:rPr>
        <w:t>条文说明</w:t>
      </w:r>
      <w:r>
        <w:rPr>
          <w:rFonts w:hint="eastAsia" w:cs="Times New Roman"/>
        </w:rPr>
        <w:t>】本条从设计原则、稳定性计算与分析、结构参数构成及类比方法等方面明确了高陡岩质边坡的修复治理设计要求，强调分区建模、模式识别与定量分析，并落实相关标准规范的遵循</w:t>
      </w:r>
      <w:r>
        <w:rPr>
          <w:rFonts w:cs="Times New Roman"/>
        </w:rPr>
        <w:t>。</w:t>
      </w:r>
    </w:p>
    <w:p w14:paraId="563D8684">
      <w:pPr>
        <w:ind w:firstLine="0" w:firstLineChars="0"/>
        <w:rPr>
          <w:rFonts w:cs="Times New Roman"/>
        </w:rPr>
      </w:pPr>
      <w:r>
        <w:rPr>
          <w:rFonts w:cs="Times New Roman"/>
          <w:b/>
          <w:bCs/>
        </w:rPr>
        <w:t>6.3</w:t>
      </w:r>
      <w:r>
        <w:rPr>
          <w:rFonts w:hint="eastAsia" w:cs="Times New Roman"/>
          <w:b/>
          <w:bCs/>
        </w:rPr>
        <w:t>.4</w:t>
      </w:r>
      <w:r>
        <w:rPr>
          <w:rFonts w:cs="Times New Roman"/>
          <w:b/>
          <w:bCs/>
        </w:rPr>
        <w:t xml:space="preserve">  </w:t>
      </w:r>
      <w:r>
        <w:rPr>
          <w:rFonts w:hint="eastAsia" w:cs="Times New Roman"/>
        </w:rPr>
        <w:t>泥石流治理，主要采取以下措施：</w:t>
      </w:r>
    </w:p>
    <w:p w14:paraId="115E69CC">
      <w:pPr>
        <w:ind w:left="240" w:leftChars="100" w:firstLine="241" w:firstLineChars="100"/>
        <w:rPr>
          <w:rFonts w:cs="Times New Roman"/>
        </w:rPr>
      </w:pPr>
      <w:bookmarkStart w:id="82" w:name="_Hlk183353632"/>
      <w:r>
        <w:rPr>
          <w:rFonts w:cs="Times New Roman"/>
          <w:b/>
          <w:bCs/>
        </w:rPr>
        <w:t>1</w:t>
      </w:r>
      <w:r>
        <w:rPr>
          <w:rFonts w:cs="Times New Roman"/>
        </w:rPr>
        <w:t xml:space="preserve"> </w:t>
      </w:r>
      <w:r>
        <w:rPr>
          <w:rFonts w:hint="eastAsia" w:cs="Times New Roman"/>
        </w:rPr>
        <w:t>泥石流治理应坚持“源头削减—通道控制—出口防护”的综合治理思路，生态措施与工程措施相结合，统筹上游—中游—下游与沟内—沟外治理，配套排（分）洪与弃渣规范化管理。</w:t>
      </w:r>
    </w:p>
    <w:p w14:paraId="2B081CDF">
      <w:pPr>
        <w:ind w:left="240" w:leftChars="100" w:firstLine="241" w:firstLineChars="100"/>
        <w:rPr>
          <w:rFonts w:cs="Times New Roman"/>
        </w:rPr>
      </w:pPr>
      <w:r>
        <w:rPr>
          <w:rFonts w:hint="eastAsia" w:cs="Times New Roman"/>
          <w:b/>
          <w:bCs/>
        </w:rPr>
        <w:t>2</w:t>
      </w:r>
      <w:r>
        <w:rPr>
          <w:rFonts w:cs="Times New Roman"/>
        </w:rPr>
        <w:t xml:space="preserve"> </w:t>
      </w:r>
      <w:r>
        <w:rPr>
          <w:rFonts w:hint="eastAsia" w:cs="Times New Roman"/>
        </w:rPr>
        <w:t>应实施封育与补植复绿，保护与恢复森林、灌丛及草被，严禁乱砍滥伐，提高植被覆盖度与根系固土能力；宜在汇流面、坡面及堆积扇区采取生物护坡、草方格（或灌草混播）、截排水与漫流消能等措施，削弱物源形成与径流侵蚀强度。</w:t>
      </w:r>
    </w:p>
    <w:bookmarkEnd w:id="82"/>
    <w:p w14:paraId="6E0D638A">
      <w:pPr>
        <w:ind w:left="240" w:leftChars="100" w:firstLine="241" w:firstLineChars="100"/>
        <w:rPr>
          <w:rFonts w:cs="Times New Roman"/>
        </w:rPr>
      </w:pPr>
      <w:r>
        <w:rPr>
          <w:rFonts w:cs="Times New Roman"/>
          <w:b/>
          <w:bCs/>
        </w:rPr>
        <w:t>3</w:t>
      </w:r>
      <w:r>
        <w:rPr>
          <w:rFonts w:cs="Times New Roman"/>
        </w:rPr>
        <w:t xml:space="preserve"> </w:t>
      </w:r>
      <w:r>
        <w:rPr>
          <w:rFonts w:hint="eastAsia" w:cs="Times New Roman"/>
        </w:rPr>
        <w:t>工程治理措施：</w:t>
      </w:r>
    </w:p>
    <w:p w14:paraId="76C628E8">
      <w:pPr>
        <w:ind w:left="425" w:leftChars="177" w:firstLine="146" w:firstLineChars="61"/>
        <w:rPr>
          <w:rFonts w:cs="Times New Roman"/>
          <w:color w:val="1A2029"/>
          <w:szCs w:val="24"/>
          <w:shd w:val="clear" w:color="auto" w:fill="FFFFFF"/>
        </w:rPr>
      </w:pPr>
      <w:r>
        <w:rPr>
          <w:rFonts w:cs="Times New Roman"/>
          <w:color w:val="1A2029"/>
          <w:szCs w:val="24"/>
          <w:shd w:val="clear" w:color="auto" w:fill="FFFFFF"/>
        </w:rPr>
        <w:t>a 上游拦挡与固源：宜设置拦砂（拦石）坝、栅栏坝、阻沙坎、沉砂池等，削减来沙强度与颗粒级配；</w:t>
      </w:r>
    </w:p>
    <w:p w14:paraId="2B1C4092">
      <w:pPr>
        <w:ind w:left="425" w:leftChars="177" w:firstLine="146" w:firstLineChars="61"/>
        <w:rPr>
          <w:rFonts w:cs="Times New Roman"/>
          <w:color w:val="1A2029"/>
          <w:szCs w:val="24"/>
          <w:shd w:val="clear" w:color="auto" w:fill="FFFFFF"/>
        </w:rPr>
      </w:pPr>
      <w:r>
        <w:rPr>
          <w:rFonts w:cs="Times New Roman"/>
          <w:color w:val="1A2029"/>
          <w:szCs w:val="24"/>
          <w:shd w:val="clear" w:color="auto" w:fill="FFFFFF"/>
        </w:rPr>
        <w:t>b 沟道整治与排导：应整治沟道断面与糙率条件，设置护岸、排导槽、跌坎/消能工等，保障行洪与排导能力；</w:t>
      </w:r>
    </w:p>
    <w:p w14:paraId="75E5F747">
      <w:pPr>
        <w:ind w:left="425" w:leftChars="177" w:firstLine="146" w:firstLineChars="61"/>
        <w:rPr>
          <w:rFonts w:cs="Times New Roman"/>
          <w:color w:val="1A2029"/>
          <w:szCs w:val="24"/>
          <w:shd w:val="clear" w:color="auto" w:fill="FFFFFF"/>
        </w:rPr>
      </w:pPr>
      <w:r>
        <w:rPr>
          <w:rFonts w:cs="Times New Roman"/>
          <w:color w:val="1A2029"/>
          <w:szCs w:val="24"/>
          <w:shd w:val="clear" w:color="auto" w:fill="FFFFFF"/>
        </w:rPr>
        <w:t>c 出口与下游防护：宜设置停淤坝、分洪（溢洪）通道、消能与护脚工程，降低冲淤与冲毁风险；</w:t>
      </w:r>
    </w:p>
    <w:p w14:paraId="5A9E7F22">
      <w:pPr>
        <w:ind w:left="425" w:leftChars="177" w:firstLine="146" w:firstLineChars="61"/>
        <w:rPr>
          <w:rFonts w:cs="Times New Roman"/>
          <w:color w:val="1A2029"/>
          <w:szCs w:val="24"/>
          <w:shd w:val="clear" w:color="auto" w:fill="FFFFFF"/>
        </w:rPr>
      </w:pPr>
      <w:r>
        <w:rPr>
          <w:rFonts w:cs="Times New Roman"/>
          <w:color w:val="1A2029"/>
          <w:szCs w:val="24"/>
          <w:shd w:val="clear" w:color="auto" w:fill="FFFFFF"/>
        </w:rPr>
        <w:t>d 设计应校核设计洪水频率、固液比与代表性粒径，明确通道安全断面与复核水力条件，配套清淤维护制度。</w:t>
      </w:r>
    </w:p>
    <w:p w14:paraId="557DA0C4">
      <w:pPr>
        <w:ind w:left="142" w:leftChars="59" w:firstLine="210" w:firstLineChars="87"/>
        <w:rPr>
          <w:rFonts w:cs="Times New Roman"/>
          <w:color w:val="1A2029"/>
          <w:szCs w:val="24"/>
          <w:shd w:val="clear" w:color="auto" w:fill="FFFFFF"/>
        </w:rPr>
      </w:pPr>
      <w:r>
        <w:rPr>
          <w:rFonts w:hint="eastAsia" w:cs="Times New Roman"/>
          <w:b/>
          <w:bCs/>
          <w:color w:val="1A2029"/>
          <w:szCs w:val="24"/>
          <w:shd w:val="clear" w:color="auto" w:fill="FFFFFF"/>
        </w:rPr>
        <w:t>4</w:t>
      </w:r>
      <w:r>
        <w:rPr>
          <w:rFonts w:cs="Times New Roman"/>
          <w:color w:val="1A2029"/>
          <w:szCs w:val="24"/>
          <w:shd w:val="clear" w:color="auto" w:fill="FFFFFF"/>
        </w:rPr>
        <w:t xml:space="preserve"> </w:t>
      </w:r>
      <w:r>
        <w:rPr>
          <w:rFonts w:hint="eastAsia" w:cs="Times New Roman"/>
          <w:color w:val="1A2029"/>
          <w:szCs w:val="24"/>
          <w:shd w:val="clear" w:color="auto" w:fill="FFFFFF"/>
        </w:rPr>
        <w:t>位于泥石流危险区的铁路、公路、桥梁、隧道及房屋等，应优先避让；确需穿越或布置时，应采取抬高（架空）、改线、涵洞或桥跨扩容、两侧防护堤/挡墙、基础及护脚加固等工程防护措施，明确设防标准与安全边界。</w:t>
      </w:r>
    </w:p>
    <w:p w14:paraId="05322E2A">
      <w:pPr>
        <w:ind w:left="142" w:leftChars="59" w:firstLine="210" w:firstLineChars="87"/>
        <w:rPr>
          <w:rFonts w:cs="Times New Roman"/>
          <w:color w:val="1A2029"/>
          <w:szCs w:val="24"/>
          <w:shd w:val="clear" w:color="auto" w:fill="FFFFFF"/>
        </w:rPr>
      </w:pPr>
      <w:r>
        <w:rPr>
          <w:rFonts w:cs="Times New Roman"/>
          <w:b/>
          <w:bCs/>
          <w:color w:val="1A2029"/>
          <w:szCs w:val="24"/>
          <w:shd w:val="clear" w:color="auto" w:fill="FFFFFF"/>
        </w:rPr>
        <w:t>5</w:t>
      </w:r>
      <w:r>
        <w:rPr>
          <w:rFonts w:cs="Times New Roman"/>
          <w:color w:val="1A2029"/>
          <w:szCs w:val="24"/>
          <w:shd w:val="clear" w:color="auto" w:fill="FFFFFF"/>
        </w:rPr>
        <w:t xml:space="preserve"> </w:t>
      </w:r>
      <w:r>
        <w:rPr>
          <w:rFonts w:hint="eastAsia" w:cs="Times New Roman"/>
          <w:color w:val="1A2029"/>
          <w:szCs w:val="24"/>
          <w:shd w:val="clear" w:color="auto" w:fill="FFFFFF"/>
        </w:rPr>
        <w:t>应建立定期巡查与清淤制度，检查拦挡坝、护岸、排导构筑物的稳定性并及时维修；宜布设雨量、泥位（或水位）、视频/声学等监测与预警系统，编制应急预案并开展演练，实施临灾管控与人员疏散。不得在沟道内随意弃渣、占压通道或设置影响行洪排导的障碍。</w:t>
      </w:r>
    </w:p>
    <w:p w14:paraId="2C72C173">
      <w:pPr>
        <w:ind w:left="142" w:leftChars="59" w:firstLine="210" w:firstLineChars="87"/>
        <w:rPr>
          <w:rFonts w:cs="Times New Roman"/>
          <w:color w:val="1A2029"/>
          <w:szCs w:val="24"/>
          <w:shd w:val="clear" w:color="auto" w:fill="FFFFFF"/>
        </w:rPr>
      </w:pPr>
      <w:r>
        <w:rPr>
          <w:rFonts w:cs="Times New Roman"/>
          <w:b/>
          <w:bCs/>
          <w:color w:val="1A2029"/>
          <w:szCs w:val="24"/>
          <w:shd w:val="clear" w:color="auto" w:fill="FFFFFF"/>
        </w:rPr>
        <w:t>6</w:t>
      </w:r>
      <w:r>
        <w:rPr>
          <w:rFonts w:cs="Times New Roman"/>
          <w:color w:val="1A2029"/>
          <w:szCs w:val="24"/>
          <w:shd w:val="clear" w:color="auto" w:fill="FFFFFF"/>
        </w:rPr>
        <w:t xml:space="preserve"> </w:t>
      </w:r>
      <w:r>
        <w:rPr>
          <w:rFonts w:hint="eastAsia" w:cs="Times New Roman"/>
          <w:color w:val="1A2029"/>
          <w:szCs w:val="24"/>
          <w:shd w:val="clear" w:color="auto" w:fill="FFFFFF"/>
        </w:rPr>
        <w:t>泥石流治理工程的勘察、设计、施工与运维应符合现行国家及行业标准的有关规定，并与本规程相关条款配套执行。</w:t>
      </w:r>
    </w:p>
    <w:p w14:paraId="12B09A53">
      <w:pPr>
        <w:ind w:left="240" w:leftChars="100" w:firstLine="0" w:firstLineChars="0"/>
        <w:rPr>
          <w:rFonts w:ascii="Segoe UI" w:hAnsi="Segoe UI" w:cs="Segoe UI"/>
          <w:color w:val="1A2029"/>
          <w:szCs w:val="24"/>
          <w:shd w:val="clear" w:color="auto" w:fill="FFFFFF"/>
        </w:rPr>
      </w:pPr>
      <w:r>
        <w:rPr>
          <w:rFonts w:hint="eastAsia" w:ascii="Segoe UI" w:hAnsi="Segoe UI" w:cs="Segoe UI"/>
          <w:color w:val="1A2029"/>
          <w:szCs w:val="24"/>
          <w:shd w:val="clear" w:color="auto" w:fill="FFFFFF"/>
        </w:rPr>
        <w:t>【条文说明】本条从治理原则、生物与工程措施、交通与建筑物防护避让、运行维护及监测预警等方面提出泥石流综合治理要求，强调“先保育稳源、再通道控流、终端减灾”的技术路径，为降低泥石流危害、保护生命财产安全提供规范依据。</w:t>
      </w:r>
    </w:p>
    <w:p w14:paraId="080BC261">
      <w:pPr>
        <w:ind w:firstLine="0" w:firstLineChars="0"/>
        <w:rPr>
          <w:rFonts w:cs="Times New Roman"/>
        </w:rPr>
      </w:pPr>
      <w:r>
        <w:rPr>
          <w:rFonts w:cs="Times New Roman"/>
          <w:b/>
          <w:bCs/>
          <w:lang w:bidi="ar"/>
        </w:rPr>
        <w:t xml:space="preserve">6.3.5  </w:t>
      </w:r>
      <w:r>
        <w:rPr>
          <w:rFonts w:hint="eastAsia" w:cs="Times New Roman"/>
          <w:lang w:bidi="ar"/>
        </w:rPr>
        <w:t>地面塌陷（地裂缝）治理，应基于成因分析与稳定性评价，坚持“排水导水—地表整治—生态修复—监测管控”的组合路径。具备条件时应先行表土剥离与分类堆存，工程完成后表土回置并实施植被恢复。不得因施工形成新的陷落或诱发次生灾害。主要采取以下措施：</w:t>
      </w:r>
    </w:p>
    <w:p w14:paraId="462CB6F0">
      <w:pPr>
        <w:ind w:left="240" w:leftChars="100" w:firstLine="241" w:firstLineChars="100"/>
        <w:rPr>
          <w:rFonts w:ascii="Segoe UI" w:hAnsi="Segoe UI" w:eastAsia="Segoe UI" w:cs="Segoe UI"/>
          <w:color w:val="1A2029"/>
          <w:szCs w:val="24"/>
          <w:shd w:val="clear" w:color="auto" w:fill="FFFFFF"/>
        </w:rPr>
      </w:pPr>
      <w:r>
        <w:rPr>
          <w:rFonts w:cs="Times New Roman"/>
          <w:b/>
          <w:bCs/>
          <w:lang w:bidi="ar"/>
        </w:rPr>
        <w:t>1</w:t>
      </w:r>
      <w:r>
        <w:rPr>
          <w:rFonts w:cs="Times New Roman"/>
          <w:lang w:bidi="ar"/>
        </w:rPr>
        <w:t xml:space="preserve"> </w:t>
      </w:r>
      <w:r>
        <w:rPr>
          <w:rFonts w:hint="eastAsia" w:ascii="Segoe UI" w:hAnsi="Segoe UI" w:cs="Segoe UI"/>
          <w:color w:val="1A2029"/>
          <w:szCs w:val="24"/>
          <w:shd w:val="clear" w:color="auto" w:fill="FFFFFF"/>
          <w:lang w:bidi="ar"/>
        </w:rPr>
        <w:t>划方平整。对轻度塌陷区，宜实施划方平整，消除波浪状下沉、附加坡度与地表裂缝等对土地利用的不利影响，使地表基本恢复到可利用状态。</w:t>
      </w:r>
    </w:p>
    <w:p w14:paraId="3C72FBC4">
      <w:pPr>
        <w:ind w:left="240" w:leftChars="100" w:firstLine="241" w:firstLineChars="100"/>
        <w:rPr>
          <w:rFonts w:ascii="Segoe UI" w:hAnsi="Segoe UI" w:eastAsia="Segoe UI" w:cs="Segoe UI"/>
          <w:color w:val="1A2029"/>
          <w:szCs w:val="24"/>
          <w:shd w:val="clear" w:color="auto" w:fill="FFFFFF"/>
        </w:rPr>
      </w:pPr>
      <w:r>
        <w:rPr>
          <w:rFonts w:cs="Segoe UI"/>
          <w:b/>
          <w:bCs/>
          <w:color w:val="1A2029"/>
          <w:szCs w:val="24"/>
          <w:shd w:val="clear" w:color="auto" w:fill="FFFFFF"/>
          <w:lang w:bidi="ar"/>
        </w:rPr>
        <w:t>2</w:t>
      </w:r>
      <w:r>
        <w:rPr>
          <w:rFonts w:ascii="Segoe UI" w:hAnsi="Segoe UI" w:eastAsia="Segoe UI" w:cs="Segoe UI"/>
          <w:color w:val="1A2029"/>
          <w:szCs w:val="24"/>
          <w:shd w:val="clear" w:color="auto" w:fill="FFFFFF"/>
          <w:lang w:bidi="ar"/>
        </w:rPr>
        <w:t xml:space="preserve"> </w:t>
      </w:r>
      <w:r>
        <w:rPr>
          <w:rFonts w:hint="eastAsia" w:cs="Segoe UI"/>
          <w:color w:val="1A2029"/>
          <w:szCs w:val="24"/>
          <w:shd w:val="clear" w:color="auto" w:fill="FFFFFF"/>
          <w:lang w:bidi="ar"/>
        </w:rPr>
        <w:t>削高填低</w:t>
      </w:r>
      <w:r>
        <w:rPr>
          <w:rFonts w:hint="eastAsia" w:ascii="Segoe UI" w:hAnsi="Segoe UI" w:cs="Segoe UI"/>
          <w:color w:val="1A2029"/>
          <w:szCs w:val="24"/>
          <w:shd w:val="clear" w:color="auto" w:fill="FFFFFF"/>
          <w:lang w:bidi="ar"/>
        </w:rPr>
        <w:t>。</w:t>
      </w:r>
      <w:r>
        <w:rPr>
          <w:rFonts w:hint="eastAsia" w:cs="Segoe UI"/>
          <w:color w:val="1A2029"/>
          <w:szCs w:val="24"/>
          <w:shd w:val="clear" w:color="auto" w:fill="FFFFFF"/>
          <w:lang w:bidi="ar"/>
        </w:rPr>
        <w:t>在表土剥离前提下，对高程差异较大的塌陷区，宜“削高—填低”进行地表平整。填方应分层回填、分层碾压，同步完善地表排水组织。</w:t>
      </w:r>
    </w:p>
    <w:p w14:paraId="22315B3B">
      <w:pPr>
        <w:ind w:left="240" w:leftChars="100" w:firstLine="241" w:firstLineChars="100"/>
        <w:rPr>
          <w:rFonts w:ascii="Segoe UI" w:hAnsi="Segoe UI" w:eastAsia="Segoe UI" w:cs="Segoe UI"/>
          <w:color w:val="1A2029"/>
          <w:szCs w:val="24"/>
          <w:shd w:val="clear" w:color="auto" w:fill="FFFFFF"/>
        </w:rPr>
      </w:pPr>
      <w:r>
        <w:rPr>
          <w:rFonts w:cs="Segoe UI"/>
          <w:b/>
          <w:bCs/>
          <w:color w:val="1A2029"/>
          <w:szCs w:val="24"/>
          <w:shd w:val="clear" w:color="auto" w:fill="FFFFFF"/>
          <w:lang w:bidi="ar"/>
        </w:rPr>
        <w:t>3</w:t>
      </w:r>
      <w:r>
        <w:rPr>
          <w:rFonts w:cs="Segoe UI"/>
          <w:color w:val="1A2029"/>
          <w:szCs w:val="24"/>
          <w:shd w:val="clear" w:color="auto" w:fill="FFFFFF"/>
          <w:lang w:bidi="ar"/>
        </w:rPr>
        <w:t xml:space="preserve"> </w:t>
      </w:r>
      <w:r>
        <w:rPr>
          <w:rFonts w:hint="eastAsia" w:cs="Segoe UI"/>
          <w:color w:val="1A2029"/>
          <w:szCs w:val="24"/>
          <w:shd w:val="clear" w:color="auto" w:fill="FFFFFF"/>
          <w:lang w:bidi="ar"/>
        </w:rPr>
        <w:t>挖深垫浅。对局部陷落较深区域，可“挖深—垫浅”，将深陷区材料回用于较浅陷区。具备条件时应先表土剥离并在完工后回置。</w:t>
      </w:r>
    </w:p>
    <w:p w14:paraId="5A85B5C8">
      <w:pPr>
        <w:ind w:left="240" w:leftChars="100" w:firstLine="241" w:firstLineChars="100"/>
        <w:rPr>
          <w:rFonts w:ascii="Segoe UI" w:hAnsi="Segoe UI" w:eastAsia="Segoe UI" w:cs="Segoe UI"/>
          <w:color w:val="1A2029"/>
          <w:szCs w:val="24"/>
          <w:shd w:val="clear" w:color="auto" w:fill="FFFFFF"/>
        </w:rPr>
      </w:pPr>
      <w:r>
        <w:rPr>
          <w:rFonts w:cs="Segoe UI"/>
          <w:b/>
          <w:bCs/>
          <w:color w:val="1A2029"/>
          <w:szCs w:val="24"/>
          <w:shd w:val="clear" w:color="auto" w:fill="FFFFFF"/>
          <w:lang w:bidi="ar"/>
        </w:rPr>
        <w:t>4</w:t>
      </w:r>
      <w:r>
        <w:rPr>
          <w:rFonts w:cs="Segoe UI"/>
          <w:color w:val="1A2029"/>
          <w:szCs w:val="24"/>
          <w:shd w:val="clear" w:color="auto" w:fill="FFFFFF"/>
          <w:lang w:bidi="ar"/>
        </w:rPr>
        <w:t xml:space="preserve"> </w:t>
      </w:r>
      <w:r>
        <w:rPr>
          <w:rFonts w:hint="eastAsia" w:cs="Segoe UI"/>
          <w:color w:val="1A2029"/>
          <w:szCs w:val="24"/>
          <w:shd w:val="clear" w:color="auto" w:fill="FFFFFF"/>
          <w:lang w:bidi="ar"/>
        </w:rPr>
        <w:t>物料充填。对中、重度塌陷区，可采用煤矸石、湖泥、河砂等物料充填并覆土恢复利用。填充物应符合环境保护要求或采取防污染处理（必要时设置防渗层/阻隔层），不得使用污染物超标或来源不明材料。填充应分层夯实/碾压，并与排（截）水设施同步实施。</w:t>
      </w:r>
    </w:p>
    <w:p w14:paraId="569BA135">
      <w:pPr>
        <w:ind w:left="240" w:leftChars="100" w:firstLine="241" w:firstLineChars="100"/>
        <w:rPr>
          <w:rFonts w:ascii="Segoe UI" w:hAnsi="Segoe UI" w:eastAsia="Segoe UI" w:cs="Segoe UI"/>
          <w:color w:val="1A2029"/>
          <w:szCs w:val="24"/>
          <w:shd w:val="clear" w:color="auto" w:fill="FFFFFF"/>
        </w:rPr>
      </w:pPr>
      <w:r>
        <w:rPr>
          <w:rFonts w:cs="Segoe UI"/>
          <w:b/>
          <w:bCs/>
          <w:color w:val="1A2029"/>
          <w:szCs w:val="24"/>
          <w:shd w:val="clear" w:color="auto" w:fill="FFFFFF"/>
          <w:lang w:bidi="ar"/>
        </w:rPr>
        <w:t>5</w:t>
      </w:r>
      <w:r>
        <w:rPr>
          <w:rFonts w:cs="Segoe UI"/>
          <w:color w:val="1A2029"/>
          <w:szCs w:val="24"/>
          <w:shd w:val="clear" w:color="auto" w:fill="FFFFFF"/>
          <w:lang w:bidi="ar"/>
        </w:rPr>
        <w:t xml:space="preserve"> </w:t>
      </w:r>
      <w:r>
        <w:rPr>
          <w:rFonts w:hint="eastAsia" w:cs="Segoe UI"/>
          <w:color w:val="1A2029"/>
          <w:szCs w:val="24"/>
          <w:shd w:val="clear" w:color="auto" w:fill="FFFFFF"/>
          <w:lang w:bidi="ar"/>
        </w:rPr>
        <w:t>湿地构建。对永久性或季节性积水塌陷地，宜通过水域整形、陆域再造与植被景观配置等措施，构建生态湿地，发挥蓄滞洪、净化水质与生境营造作用。</w:t>
      </w:r>
    </w:p>
    <w:p w14:paraId="2B844925">
      <w:pPr>
        <w:ind w:left="240" w:leftChars="100" w:firstLine="241" w:firstLineChars="100"/>
        <w:rPr>
          <w:rFonts w:cs="Segoe UI"/>
          <w:color w:val="1A2029"/>
          <w:szCs w:val="24"/>
          <w:shd w:val="clear" w:color="auto" w:fill="FFFFFF"/>
          <w:lang w:bidi="ar"/>
        </w:rPr>
      </w:pPr>
      <w:r>
        <w:rPr>
          <w:rFonts w:cs="Segoe UI"/>
          <w:b/>
          <w:bCs/>
          <w:color w:val="1A2029"/>
          <w:szCs w:val="24"/>
          <w:shd w:val="clear" w:color="auto" w:fill="FFFFFF"/>
          <w:lang w:bidi="ar"/>
        </w:rPr>
        <w:t>6</w:t>
      </w:r>
      <w:r>
        <w:rPr>
          <w:rFonts w:cs="Segoe UI"/>
          <w:color w:val="1A2029"/>
          <w:szCs w:val="24"/>
          <w:shd w:val="clear" w:color="auto" w:fill="FFFFFF"/>
          <w:lang w:bidi="ar"/>
        </w:rPr>
        <w:t xml:space="preserve"> </w:t>
      </w:r>
      <w:r>
        <w:rPr>
          <w:rFonts w:hint="eastAsia" w:cs="Segoe UI"/>
          <w:color w:val="1A2029"/>
          <w:szCs w:val="24"/>
          <w:shd w:val="clear" w:color="auto" w:fill="FFFFFF"/>
          <w:lang w:bidi="ar"/>
        </w:rPr>
        <w:t>预治理。对尚未稳定沉降的塌陷区，在科学预测塌陷范围与深度基础上，宜先行表土及有效土层剥离，并结合本条各项工程方法实施阶段性治理与风险管控。</w:t>
      </w:r>
    </w:p>
    <w:p w14:paraId="1027FB48">
      <w:pPr>
        <w:ind w:left="240" w:leftChars="100" w:firstLine="241" w:firstLineChars="100"/>
        <w:rPr>
          <w:rFonts w:cs="Segoe UI"/>
          <w:color w:val="1A2029"/>
          <w:szCs w:val="24"/>
          <w:shd w:val="clear" w:color="auto" w:fill="FFFFFF"/>
          <w:lang w:bidi="ar"/>
        </w:rPr>
      </w:pPr>
      <w:r>
        <w:rPr>
          <w:rFonts w:cs="Segoe UI"/>
          <w:b/>
          <w:bCs/>
          <w:color w:val="1A2029"/>
          <w:szCs w:val="24"/>
          <w:shd w:val="clear" w:color="auto" w:fill="FFFFFF"/>
          <w:lang w:bidi="ar"/>
        </w:rPr>
        <w:t>7</w:t>
      </w:r>
      <w:r>
        <w:rPr>
          <w:rFonts w:cs="Segoe UI"/>
          <w:color w:val="1A2029"/>
          <w:szCs w:val="24"/>
          <w:shd w:val="clear" w:color="auto" w:fill="FFFFFF"/>
          <w:lang w:bidi="ar"/>
        </w:rPr>
        <w:t xml:space="preserve"> </w:t>
      </w:r>
      <w:r>
        <w:rPr>
          <w:rFonts w:hint="eastAsia" w:cs="Segoe UI"/>
          <w:color w:val="1A2029"/>
          <w:szCs w:val="24"/>
          <w:shd w:val="clear" w:color="auto" w:fill="FFFFFF"/>
          <w:lang w:bidi="ar"/>
        </w:rPr>
        <w:t>地裂缝处置：地裂缝治理宜采取封填与控水相结合的措施：对地表裂缝进行回填夯实或注浆充填，设置拦水/排水沟，防止雨水入渗扩大裂缝；必要时配套表层加固与拦挡，并实施动态监测。</w:t>
      </w:r>
    </w:p>
    <w:p w14:paraId="058C3F6D">
      <w:pPr>
        <w:ind w:left="240" w:leftChars="100" w:firstLine="241" w:firstLineChars="100"/>
        <w:rPr>
          <w:rFonts w:cs="Segoe UI"/>
          <w:color w:val="1A2029"/>
          <w:szCs w:val="24"/>
          <w:shd w:val="clear" w:color="auto" w:fill="FFFFFF"/>
          <w:lang w:bidi="ar"/>
        </w:rPr>
      </w:pPr>
      <w:r>
        <w:rPr>
          <w:rFonts w:cs="Segoe UI"/>
          <w:b/>
          <w:bCs/>
          <w:color w:val="1A2029"/>
          <w:szCs w:val="24"/>
          <w:shd w:val="clear" w:color="auto" w:fill="FFFFFF"/>
          <w:lang w:bidi="ar"/>
        </w:rPr>
        <w:t>8</w:t>
      </w:r>
      <w:r>
        <w:rPr>
          <w:rFonts w:cs="Segoe UI"/>
          <w:color w:val="1A2029"/>
          <w:szCs w:val="24"/>
          <w:shd w:val="clear" w:color="auto" w:fill="FFFFFF"/>
          <w:lang w:bidi="ar"/>
        </w:rPr>
        <w:t xml:space="preserve"> </w:t>
      </w:r>
      <w:r>
        <w:rPr>
          <w:rFonts w:hint="eastAsia" w:cs="Segoe UI"/>
          <w:color w:val="1A2029"/>
          <w:szCs w:val="24"/>
          <w:shd w:val="clear" w:color="auto" w:fill="FFFFFF"/>
          <w:lang w:bidi="ar"/>
        </w:rPr>
        <w:t>施工与监测：治理施工应制定专项方案，明确沉降变形监测、地下水位与水质监测及表土回置与植被成活率考核要求；对重要区段应开展后期巡查与养护，及时修复不均匀沉降与排水损坏。</w:t>
      </w:r>
    </w:p>
    <w:p w14:paraId="4E61A5CA">
      <w:pPr>
        <w:ind w:firstLine="0" w:firstLineChars="0"/>
        <w:rPr>
          <w:rFonts w:ascii="Segoe UI" w:hAnsi="Segoe UI" w:cs="Segoe UI"/>
          <w:color w:val="1A2029"/>
          <w:szCs w:val="24"/>
          <w:shd w:val="clear" w:color="auto" w:fill="FFFFFF"/>
        </w:rPr>
      </w:pPr>
      <w:r>
        <w:rPr>
          <w:rFonts w:hint="eastAsia" w:cs="Segoe UI"/>
          <w:color w:val="1A2029"/>
          <w:szCs w:val="24"/>
          <w:shd w:val="clear" w:color="auto" w:fill="FFFFFF"/>
          <w:lang w:bidi="ar"/>
        </w:rPr>
        <w:t>【条文说明】本条明确地面塌陷（地裂缝）治理的总体思路与主要工程做法，包括划方平整、削高填低、挖深垫浅、物料充填、湿地构建与预治理，并补充地裂缝“封填+控水”的处置原则，突出表土剥离/回置、分层回填压实、排水组织与监测管控等关键环节，确保治理成效与环境安全。</w:t>
      </w:r>
    </w:p>
    <w:p w14:paraId="0CF6D095">
      <w:pPr>
        <w:ind w:firstLine="0" w:firstLineChars="0"/>
        <w:rPr>
          <w:rFonts w:cs="Times New Roman"/>
          <w:b/>
          <w:bCs/>
        </w:rPr>
      </w:pPr>
      <w:r>
        <w:rPr>
          <w:rFonts w:cs="Times New Roman"/>
          <w:b/>
          <w:bCs/>
        </w:rPr>
        <w:t xml:space="preserve">6.3.6  </w:t>
      </w:r>
      <w:r>
        <w:rPr>
          <w:rFonts w:hint="eastAsia" w:cs="Times New Roman"/>
        </w:rPr>
        <w:t>煤矸石场地自燃治理，主要采取以下措施</w:t>
      </w:r>
      <w:r>
        <w:rPr>
          <w:rFonts w:hint="eastAsia" w:cs="Times New Roman"/>
          <w:b/>
          <w:bCs/>
        </w:rPr>
        <w:t>：</w:t>
      </w:r>
    </w:p>
    <w:p w14:paraId="25239BCD">
      <w:pPr>
        <w:ind w:firstLine="439" w:firstLineChars="182"/>
        <w:rPr>
          <w:rFonts w:cs="Times New Roman"/>
        </w:rPr>
      </w:pPr>
      <w:r>
        <w:rPr>
          <w:rFonts w:cs="Times New Roman"/>
          <w:b/>
          <w:bCs/>
        </w:rPr>
        <w:t>1</w:t>
      </w:r>
      <w:r>
        <w:rPr>
          <w:rFonts w:cs="Times New Roman"/>
        </w:rPr>
        <w:t xml:space="preserve"> </w:t>
      </w:r>
      <w:r>
        <w:rPr>
          <w:rFonts w:hint="eastAsia" w:cs="Times New Roman"/>
        </w:rPr>
        <w:t>组织与制度：</w:t>
      </w:r>
    </w:p>
    <w:p w14:paraId="7A9B7779">
      <w:pPr>
        <w:ind w:firstLine="723" w:firstLineChars="300"/>
        <w:rPr>
          <w:rFonts w:cs="Times New Roman"/>
        </w:rPr>
      </w:pPr>
      <w:r>
        <w:rPr>
          <w:rFonts w:hint="eastAsia" w:cs="Times New Roman"/>
          <w:b/>
          <w:bCs/>
        </w:rPr>
        <w:t>a</w:t>
      </w:r>
      <w:r>
        <w:rPr>
          <w:rFonts w:cs="Times New Roman"/>
        </w:rPr>
        <w:t xml:space="preserve"> </w:t>
      </w:r>
      <w:r>
        <w:rPr>
          <w:rFonts w:hint="eastAsia" w:cs="Times New Roman"/>
        </w:rPr>
        <w:t>对具有自燃倾向或已发生自燃的煤矸石堆场，应制定可操作的管理制度、危险预警措施与应急预案，并配备专门治理队伍或专职人员。</w:t>
      </w:r>
    </w:p>
    <w:p w14:paraId="73678AD4">
      <w:pPr>
        <w:ind w:firstLine="723" w:firstLineChars="300"/>
        <w:rPr>
          <w:rFonts w:cs="Times New Roman"/>
        </w:rPr>
      </w:pPr>
      <w:r>
        <w:rPr>
          <w:rFonts w:cs="Times New Roman"/>
          <w:b/>
          <w:bCs/>
        </w:rPr>
        <w:t>b</w:t>
      </w:r>
      <w:r>
        <w:rPr>
          <w:rFonts w:cs="Times New Roman"/>
        </w:rPr>
        <w:t xml:space="preserve"> </w:t>
      </w:r>
      <w:r>
        <w:rPr>
          <w:rFonts w:hint="eastAsia" w:cs="Times New Roman"/>
        </w:rPr>
        <w:t>自燃倾向性高的堆场应建立预警管理制度，形成定期测温、预测预警机制与技术资料库。</w:t>
      </w:r>
    </w:p>
    <w:p w14:paraId="6645DE00">
      <w:pPr>
        <w:ind w:firstLine="482"/>
        <w:rPr>
          <w:rFonts w:cs="Times New Roman"/>
        </w:rPr>
      </w:pPr>
      <w:r>
        <w:rPr>
          <w:rFonts w:cs="Times New Roman"/>
          <w:b/>
          <w:bCs/>
        </w:rPr>
        <w:t>2</w:t>
      </w:r>
      <w:r>
        <w:rPr>
          <w:rFonts w:cs="Times New Roman"/>
        </w:rPr>
        <w:t xml:space="preserve"> </w:t>
      </w:r>
      <w:r>
        <w:rPr>
          <w:rFonts w:hint="eastAsia" w:cs="Times New Roman"/>
        </w:rPr>
        <w:t>警戒与临时管控</w:t>
      </w:r>
    </w:p>
    <w:p w14:paraId="216290ED">
      <w:pPr>
        <w:ind w:firstLine="723" w:firstLineChars="300"/>
        <w:rPr>
          <w:rFonts w:cs="Times New Roman"/>
        </w:rPr>
      </w:pPr>
      <w:r>
        <w:rPr>
          <w:rFonts w:hint="eastAsia" w:cs="Times New Roman"/>
          <w:b/>
          <w:bCs/>
        </w:rPr>
        <w:t>a</w:t>
      </w:r>
      <w:r>
        <w:rPr>
          <w:rFonts w:cs="Times New Roman"/>
        </w:rPr>
        <w:t xml:space="preserve"> </w:t>
      </w:r>
      <w:r>
        <w:rPr>
          <w:rFonts w:hint="eastAsia" w:cs="Times New Roman"/>
        </w:rPr>
        <w:t>自燃严重或极端天气（如暴雨）期间，应设安全警戒区并实施封锁，禁止无关人员与车辆进入。</w:t>
      </w:r>
    </w:p>
    <w:p w14:paraId="0FABF6C2">
      <w:pPr>
        <w:ind w:firstLine="723" w:firstLineChars="300"/>
        <w:rPr>
          <w:rFonts w:cs="Times New Roman"/>
        </w:rPr>
      </w:pPr>
      <w:r>
        <w:rPr>
          <w:rFonts w:hint="eastAsia" w:cs="Times New Roman"/>
          <w:b/>
          <w:bCs/>
        </w:rPr>
        <w:t>b</w:t>
      </w:r>
      <w:r>
        <w:rPr>
          <w:rFonts w:cs="Times New Roman"/>
        </w:rPr>
        <w:t xml:space="preserve"> </w:t>
      </w:r>
      <w:r>
        <w:rPr>
          <w:rFonts w:hint="eastAsia" w:cs="Times New Roman"/>
        </w:rPr>
        <w:t>出现异味、冒烟、喷气、地表高温等异常现象时，尤其在雨雪天气，应加强监测与巡查，及时采取控险措施。</w:t>
      </w:r>
    </w:p>
    <w:p w14:paraId="53262107">
      <w:pPr>
        <w:ind w:firstLine="439" w:firstLineChars="182"/>
        <w:rPr>
          <w:rFonts w:cs="Times New Roman"/>
        </w:rPr>
      </w:pPr>
      <w:r>
        <w:rPr>
          <w:rFonts w:cs="Times New Roman"/>
          <w:b/>
          <w:bCs/>
        </w:rPr>
        <w:t>3</w:t>
      </w:r>
      <w:r>
        <w:rPr>
          <w:rFonts w:cs="Times New Roman"/>
        </w:rPr>
        <w:t xml:space="preserve"> </w:t>
      </w:r>
      <w:r>
        <w:rPr>
          <w:rFonts w:hint="eastAsia" w:cs="Times New Roman"/>
        </w:rPr>
        <w:t>灭火前准备</w:t>
      </w:r>
    </w:p>
    <w:p w14:paraId="78CDFE5A">
      <w:pPr>
        <w:ind w:firstLine="723" w:firstLineChars="300"/>
        <w:rPr>
          <w:rFonts w:cs="Times New Roman"/>
        </w:rPr>
      </w:pPr>
      <w:r>
        <w:rPr>
          <w:rFonts w:hint="eastAsia" w:cs="Times New Roman"/>
          <w:b/>
          <w:bCs/>
        </w:rPr>
        <w:t>a</w:t>
      </w:r>
      <w:r>
        <w:rPr>
          <w:rFonts w:cs="Times New Roman"/>
        </w:rPr>
        <w:t xml:space="preserve"> </w:t>
      </w:r>
      <w:r>
        <w:rPr>
          <w:rFonts w:hint="eastAsia" w:cs="Times New Roman"/>
        </w:rPr>
        <w:t>灭火前应开展调查与评估，择优选取成熟可靠的治理/灭火技术，编制专项技术方案（含工艺路线、施工组织、安全环保、应急与监测等）。</w:t>
      </w:r>
    </w:p>
    <w:p w14:paraId="537E579B">
      <w:pPr>
        <w:ind w:firstLine="723" w:firstLineChars="300"/>
        <w:rPr>
          <w:rFonts w:cs="Times New Roman"/>
        </w:rPr>
      </w:pPr>
      <w:r>
        <w:rPr>
          <w:rFonts w:hint="eastAsia" w:cs="Times New Roman"/>
          <w:b/>
          <w:bCs/>
        </w:rPr>
        <w:t>b</w:t>
      </w:r>
      <w:r>
        <w:rPr>
          <w:rFonts w:cs="Times New Roman"/>
        </w:rPr>
        <w:t xml:space="preserve"> </w:t>
      </w:r>
      <w:r>
        <w:rPr>
          <w:rFonts w:hint="eastAsia" w:cs="Times New Roman"/>
        </w:rPr>
        <w:t>对参战人员实施专业技术与安全培训并配发防护用品，防止中毒与灼伤。</w:t>
      </w:r>
    </w:p>
    <w:p w14:paraId="30F3C541">
      <w:pPr>
        <w:ind w:firstLine="439" w:firstLineChars="182"/>
        <w:rPr>
          <w:rFonts w:cs="Times New Roman"/>
        </w:rPr>
      </w:pPr>
      <w:r>
        <w:rPr>
          <w:rFonts w:cs="Times New Roman"/>
          <w:b/>
          <w:bCs/>
        </w:rPr>
        <w:t xml:space="preserve">4 </w:t>
      </w:r>
      <w:r>
        <w:rPr>
          <w:rFonts w:hint="eastAsia" w:cs="Times New Roman"/>
        </w:rPr>
        <w:t>灭火原则与作业策略</w:t>
      </w:r>
    </w:p>
    <w:p w14:paraId="12E31054">
      <w:pPr>
        <w:ind w:firstLine="723" w:firstLineChars="300"/>
        <w:rPr>
          <w:rFonts w:cs="Times New Roman"/>
        </w:rPr>
      </w:pPr>
      <w:r>
        <w:rPr>
          <w:rFonts w:hint="eastAsia" w:cs="Times New Roman"/>
          <w:b/>
          <w:bCs/>
        </w:rPr>
        <w:t>a</w:t>
      </w:r>
      <w:r>
        <w:rPr>
          <w:rFonts w:cs="Times New Roman"/>
          <w:b/>
          <w:bCs/>
        </w:rPr>
        <w:t xml:space="preserve"> </w:t>
      </w:r>
      <w:r>
        <w:rPr>
          <w:rFonts w:hint="eastAsia" w:cs="Times New Roman"/>
        </w:rPr>
        <w:t>自燃治理与灭火应尽早实施，总体遵循先易后难、先下后上、由外向里的策略，避免诱发次生灾害。</w:t>
      </w:r>
    </w:p>
    <w:p w14:paraId="1D07C329">
      <w:pPr>
        <w:ind w:firstLine="723" w:firstLineChars="300"/>
        <w:rPr>
          <w:rFonts w:cs="Times New Roman"/>
        </w:rPr>
      </w:pPr>
      <w:r>
        <w:rPr>
          <w:rFonts w:hint="eastAsia" w:cs="Times New Roman"/>
          <w:b/>
          <w:bCs/>
        </w:rPr>
        <w:t>b</w:t>
      </w:r>
      <w:r>
        <w:rPr>
          <w:rFonts w:cs="Times New Roman"/>
        </w:rPr>
        <w:t xml:space="preserve"> </w:t>
      </w:r>
      <w:r>
        <w:rPr>
          <w:rFonts w:hint="eastAsia" w:cs="Times New Roman"/>
        </w:rPr>
        <w:t>大雨和暴雨天气严禁开展灭火作业及影响稳定的开挖活动。</w:t>
      </w:r>
    </w:p>
    <w:p w14:paraId="4DD6C493">
      <w:pPr>
        <w:ind w:firstLine="482"/>
        <w:rPr>
          <w:rFonts w:cs="Times New Roman"/>
        </w:rPr>
      </w:pPr>
      <w:r>
        <w:rPr>
          <w:rFonts w:cs="Times New Roman"/>
          <w:b/>
          <w:bCs/>
        </w:rPr>
        <w:t>5</w:t>
      </w:r>
      <w:r>
        <w:rPr>
          <w:rFonts w:cs="Times New Roman"/>
        </w:rPr>
        <w:t xml:space="preserve"> </w:t>
      </w:r>
      <w:r>
        <w:rPr>
          <w:rFonts w:hint="eastAsia" w:cs="Times New Roman"/>
        </w:rPr>
        <w:t>禁止性规定与特殊工艺控制</w:t>
      </w:r>
    </w:p>
    <w:p w14:paraId="43401C96">
      <w:pPr>
        <w:ind w:firstLine="723" w:firstLineChars="300"/>
        <w:rPr>
          <w:rFonts w:cs="Times New Roman"/>
        </w:rPr>
      </w:pPr>
      <w:r>
        <w:rPr>
          <w:rFonts w:hint="eastAsia" w:cs="Times New Roman"/>
          <w:b/>
          <w:bCs/>
        </w:rPr>
        <w:t>a</w:t>
      </w:r>
      <w:r>
        <w:rPr>
          <w:rFonts w:cs="Times New Roman"/>
        </w:rPr>
        <w:t xml:space="preserve"> </w:t>
      </w:r>
      <w:r>
        <w:rPr>
          <w:rFonts w:hint="eastAsia" w:cs="Times New Roman"/>
        </w:rPr>
        <w:t>严禁用水直接灭火，防止蒸汽爆裂、污染扩散与热应力破坏。</w:t>
      </w:r>
    </w:p>
    <w:p w14:paraId="390A89D7">
      <w:pPr>
        <w:ind w:firstLine="723" w:firstLineChars="300"/>
        <w:rPr>
          <w:rFonts w:cs="Times New Roman"/>
        </w:rPr>
      </w:pPr>
      <w:r>
        <w:rPr>
          <w:rFonts w:hint="eastAsia" w:cs="Times New Roman"/>
          <w:b/>
          <w:bCs/>
        </w:rPr>
        <w:t>b</w:t>
      </w:r>
      <w:r>
        <w:rPr>
          <w:rFonts w:cs="Times New Roman"/>
        </w:rPr>
        <w:t xml:space="preserve"> </w:t>
      </w:r>
      <w:r>
        <w:rPr>
          <w:rFonts w:hint="eastAsia" w:cs="Times New Roman"/>
        </w:rPr>
        <w:t>不宜采用大规模开挖直接灭火；确需开挖时，应先行导排并释放堆体内部可燃气体，防止阴燃区暴露转为明火并引燃气团，同时采取分区隔离、抑尘与防毒等措施。</w:t>
      </w:r>
    </w:p>
    <w:p w14:paraId="6456C9AE">
      <w:pPr>
        <w:ind w:firstLine="482"/>
        <w:rPr>
          <w:rFonts w:cs="Times New Roman"/>
        </w:rPr>
      </w:pPr>
      <w:r>
        <w:rPr>
          <w:rFonts w:cs="Times New Roman"/>
          <w:b/>
          <w:bCs/>
        </w:rPr>
        <w:t>6</w:t>
      </w:r>
      <w:r>
        <w:rPr>
          <w:rFonts w:cs="Times New Roman"/>
        </w:rPr>
        <w:t xml:space="preserve"> </w:t>
      </w:r>
      <w:r>
        <w:rPr>
          <w:rFonts w:hint="eastAsia" w:cs="Times New Roman"/>
        </w:rPr>
        <w:t>治理技术</w:t>
      </w:r>
    </w:p>
    <w:p w14:paraId="70840A79">
      <w:pPr>
        <w:ind w:firstLine="708" w:firstLineChars="294"/>
        <w:rPr>
          <w:rFonts w:cs="Times New Roman"/>
        </w:rPr>
      </w:pPr>
      <w:r>
        <w:rPr>
          <w:rFonts w:hint="eastAsia" w:cs="Times New Roman"/>
          <w:b/>
          <w:bCs/>
        </w:rPr>
        <w:t>a</w:t>
      </w:r>
      <w:r>
        <w:rPr>
          <w:rFonts w:cs="Times New Roman"/>
        </w:rPr>
        <w:t xml:space="preserve"> </w:t>
      </w:r>
      <w:r>
        <w:rPr>
          <w:rFonts w:hint="eastAsia" w:cs="Times New Roman"/>
        </w:rPr>
        <w:t>隔氧与惰化降温：覆土隔氧、密封覆盖、惰性气体注入（或充填惰化区）、灌（注）浆封堵通道等；</w:t>
      </w:r>
    </w:p>
    <w:p w14:paraId="1492C43D">
      <w:pPr>
        <w:ind w:firstLine="708" w:firstLineChars="294"/>
        <w:rPr>
          <w:rFonts w:cs="Times New Roman"/>
        </w:rPr>
      </w:pPr>
      <w:r>
        <w:rPr>
          <w:rFonts w:cs="Times New Roman"/>
          <w:b/>
          <w:bCs/>
        </w:rPr>
        <w:t>b</w:t>
      </w:r>
      <w:r>
        <w:rPr>
          <w:rFonts w:cs="Times New Roman"/>
        </w:rPr>
        <w:t xml:space="preserve"> </w:t>
      </w:r>
      <w:r>
        <w:rPr>
          <w:rFonts w:hint="eastAsia" w:cs="Times New Roman"/>
        </w:rPr>
        <w:t>降温与切断供氧路径：分层压实、表层封闭、堵漏与控风、导气减压；</w:t>
      </w:r>
    </w:p>
    <w:p w14:paraId="5D7F0A70">
      <w:pPr>
        <w:ind w:firstLine="708" w:firstLineChars="294"/>
        <w:rPr>
          <w:rFonts w:cs="Times New Roman"/>
        </w:rPr>
      </w:pPr>
      <w:r>
        <w:rPr>
          <w:rFonts w:cs="Times New Roman"/>
          <w:b/>
          <w:bCs/>
        </w:rPr>
        <w:t>c</w:t>
      </w:r>
      <w:r>
        <w:rPr>
          <w:rFonts w:cs="Times New Roman"/>
        </w:rPr>
        <w:t xml:space="preserve"> </w:t>
      </w:r>
      <w:r>
        <w:rPr>
          <w:rFonts w:hint="eastAsia" w:cs="Times New Roman"/>
        </w:rPr>
        <w:t>分区切割与隔离：设置隔离带、挡火沟（带），控制阴燃向未燃区扩展；</w:t>
      </w:r>
    </w:p>
    <w:p w14:paraId="0362689C">
      <w:pPr>
        <w:ind w:firstLine="708" w:firstLineChars="294"/>
        <w:rPr>
          <w:rFonts w:cs="Times New Roman"/>
        </w:rPr>
      </w:pPr>
      <w:r>
        <w:rPr>
          <w:rFonts w:cs="Times New Roman"/>
          <w:b/>
          <w:bCs/>
        </w:rPr>
        <w:t>d</w:t>
      </w:r>
      <w:r>
        <w:rPr>
          <w:rFonts w:cs="Times New Roman"/>
        </w:rPr>
        <w:t xml:space="preserve"> </w:t>
      </w:r>
      <w:r>
        <w:rPr>
          <w:rFonts w:hint="eastAsia" w:cs="Times New Roman"/>
        </w:rPr>
        <w:t>排水与防渗：完善地表排水与围截水，防止渗入加速反应；必要时设置防渗/阻隔层以防污染迁移。</w:t>
      </w:r>
    </w:p>
    <w:p w14:paraId="7153CA9D">
      <w:pPr>
        <w:ind w:firstLine="566" w:firstLineChars="235"/>
        <w:rPr>
          <w:rFonts w:cs="Times New Roman"/>
        </w:rPr>
      </w:pPr>
      <w:r>
        <w:rPr>
          <w:rFonts w:cs="Times New Roman"/>
          <w:b/>
          <w:bCs/>
        </w:rPr>
        <w:t>7</w:t>
      </w:r>
      <w:r>
        <w:rPr>
          <w:rFonts w:cs="Times New Roman"/>
        </w:rPr>
        <w:t xml:space="preserve"> </w:t>
      </w:r>
      <w:r>
        <w:rPr>
          <w:rFonts w:hint="eastAsia" w:cs="Times New Roman"/>
        </w:rPr>
        <w:t>验收与后续治理</w:t>
      </w:r>
    </w:p>
    <w:p w14:paraId="3690CDBD">
      <w:pPr>
        <w:ind w:firstLine="708" w:firstLineChars="294"/>
        <w:rPr>
          <w:rFonts w:cs="Times New Roman"/>
        </w:rPr>
      </w:pPr>
      <w:r>
        <w:rPr>
          <w:rFonts w:hint="eastAsia" w:cs="Times New Roman"/>
          <w:b/>
          <w:bCs/>
        </w:rPr>
        <w:t>a</w:t>
      </w:r>
      <w:r>
        <w:rPr>
          <w:rFonts w:cs="Times New Roman"/>
        </w:rPr>
        <w:t xml:space="preserve"> </w:t>
      </w:r>
      <w:r>
        <w:rPr>
          <w:rFonts w:hint="eastAsia" w:cs="Times New Roman"/>
        </w:rPr>
        <w:t>灭火（治理）完成后，应组织验收，对温度、冒烟与异味、地表稳定与排水状况等进行核查，并形成验收资料。</w:t>
      </w:r>
    </w:p>
    <w:p w14:paraId="485EE8E5">
      <w:pPr>
        <w:ind w:firstLine="708" w:firstLineChars="294"/>
        <w:rPr>
          <w:rFonts w:cs="Times New Roman"/>
        </w:rPr>
      </w:pPr>
      <w:r>
        <w:rPr>
          <w:rFonts w:hint="eastAsia" w:cs="Times New Roman"/>
          <w:b/>
          <w:bCs/>
        </w:rPr>
        <w:t>b</w:t>
      </w:r>
      <w:r>
        <w:rPr>
          <w:rFonts w:cs="Times New Roman"/>
        </w:rPr>
        <w:t xml:space="preserve"> </w:t>
      </w:r>
      <w:r>
        <w:rPr>
          <w:rFonts w:hint="eastAsia" w:cs="Times New Roman"/>
        </w:rPr>
        <w:t>应实施安全与生态恢复措施（如覆土整形、植被恢复、排水系统完善），并建立复燃监测与维护制度，防止再次自燃。</w:t>
      </w:r>
    </w:p>
    <w:p w14:paraId="780B43D1">
      <w:pPr>
        <w:ind w:firstLine="0" w:firstLineChars="0"/>
        <w:rPr>
          <w:rFonts w:cs="Times New Roman"/>
        </w:rPr>
      </w:pPr>
      <w:r>
        <w:rPr>
          <w:rFonts w:hint="eastAsia" w:cs="Times New Roman"/>
        </w:rPr>
        <w:t>【条文说明】本条明确煤矸石堆场自燃治理的组织保障、预警管控、灭火准备与作业原则、禁止性规定及技术要点，突出“预警—控险—隔氧惰化—降温切断—分区治理—生态恢复”的技术路径，确保治理安全、有效并可持续。</w:t>
      </w:r>
    </w:p>
    <w:p w14:paraId="025D7CDE">
      <w:pPr>
        <w:pStyle w:val="30"/>
        <w:numPr>
          <w:ilvl w:val="0"/>
          <w:numId w:val="4"/>
        </w:numPr>
        <w:spacing w:before="163" w:beforeLines="50" w:after="163" w:afterLines="50"/>
        <w:ind w:firstLineChars="0"/>
        <w:jc w:val="center"/>
        <w:outlineLvl w:val="1"/>
        <w:rPr>
          <w:b/>
          <w:bCs/>
          <w:sz w:val="28"/>
          <w:szCs w:val="28"/>
        </w:rPr>
      </w:pPr>
      <w:bookmarkStart w:id="83" w:name="_Toc212057029"/>
      <w:r>
        <w:rPr>
          <w:rFonts w:hint="eastAsia"/>
          <w:b/>
          <w:bCs/>
          <w:sz w:val="28"/>
          <w:szCs w:val="28"/>
        </w:rPr>
        <w:t>水土共治设计</w:t>
      </w:r>
      <w:bookmarkEnd w:id="83"/>
    </w:p>
    <w:p w14:paraId="0B81717E">
      <w:pPr>
        <w:ind w:firstLine="0" w:firstLineChars="0"/>
        <w:rPr>
          <w:rFonts w:cs="Times New Roman"/>
        </w:rPr>
      </w:pPr>
      <w:r>
        <w:rPr>
          <w:rFonts w:cs="Times New Roman"/>
          <w:b/>
          <w:bCs/>
        </w:rPr>
        <w:t>6.4.</w:t>
      </w:r>
      <w:r>
        <w:rPr>
          <w:rFonts w:hint="eastAsia" w:cs="Times New Roman"/>
          <w:b/>
          <w:bCs/>
        </w:rPr>
        <w:t>1</w:t>
      </w:r>
      <w:r>
        <w:rPr>
          <w:rFonts w:cs="Times New Roman"/>
          <w:b/>
          <w:bCs/>
        </w:rPr>
        <w:t xml:space="preserve">  </w:t>
      </w:r>
      <w:r>
        <w:rPr>
          <w:rFonts w:hint="eastAsia" w:cs="Times New Roman"/>
        </w:rPr>
        <w:t>地表水污染控制的目标应为满足工矿区地表水功能区划和水体使用要求。</w:t>
      </w:r>
    </w:p>
    <w:p w14:paraId="7FEB9A74">
      <w:pPr>
        <w:ind w:firstLine="0" w:firstLineChars="0"/>
        <w:rPr>
          <w:rFonts w:cs="Segoe UI"/>
          <w:szCs w:val="24"/>
          <w:shd w:val="clear" w:color="auto" w:fill="FFFFFF"/>
          <w:lang w:bidi="ar"/>
        </w:rPr>
      </w:pPr>
      <w:r>
        <w:rPr>
          <w:rFonts w:hint="eastAsia" w:cs="Segoe UI"/>
          <w:szCs w:val="24"/>
          <w:shd w:val="clear" w:color="auto" w:fill="FFFFFF"/>
          <w:lang w:bidi="ar"/>
        </w:rPr>
        <w:t>【条文说明】本条明确污染控制的最终目标是使工矿区地表水体水质达到所在功能区划规定的类别标准，并满足不同的使用需求。治理工作须以《地表水环境质量标准》GB 3838为基本依据，对排入外部水体的，应达标排放；对内部回用于生产、绿化、景观等用途的，也须符合相应水质标准</w:t>
      </w:r>
      <w:r>
        <w:rPr>
          <w:rFonts w:ascii="宋体" w:hAnsi="宋体" w:cs="Times New Roman"/>
        </w:rPr>
        <w:t>。</w:t>
      </w:r>
    </w:p>
    <w:p w14:paraId="0C915060">
      <w:pPr>
        <w:ind w:firstLine="0" w:firstLineChars="0"/>
        <w:rPr>
          <w:rFonts w:cs="Times New Roman"/>
          <w:lang w:bidi="ar"/>
        </w:rPr>
      </w:pPr>
      <w:r>
        <w:rPr>
          <w:rFonts w:cs="Times New Roman"/>
          <w:b/>
          <w:bCs/>
        </w:rPr>
        <w:t>6.4.</w:t>
      </w:r>
      <w:r>
        <w:rPr>
          <w:rFonts w:hint="eastAsia" w:cs="Times New Roman"/>
          <w:b/>
          <w:bCs/>
        </w:rPr>
        <w:t>2</w:t>
      </w:r>
      <w:r>
        <w:rPr>
          <w:rFonts w:cs="Times New Roman"/>
          <w:b/>
          <w:bCs/>
        </w:rPr>
        <w:t xml:space="preserve">  </w:t>
      </w:r>
      <w:r>
        <w:rPr>
          <w:rFonts w:hint="eastAsia" w:cs="Times New Roman"/>
        </w:rPr>
        <w:t>工矿区</w:t>
      </w:r>
      <w:r>
        <w:rPr>
          <w:rFonts w:hint="eastAsia" w:cs="Times New Roman"/>
          <w:lang w:bidi="ar"/>
        </w:rPr>
        <w:t>排水体制应符合下列规定：</w:t>
      </w:r>
    </w:p>
    <w:p w14:paraId="3DC52CA5">
      <w:pPr>
        <w:ind w:left="240" w:leftChars="100" w:firstLine="241" w:firstLineChars="100"/>
        <w:rPr>
          <w:rFonts w:ascii="Segoe UI" w:hAnsi="Segoe UI" w:cs="Segoe UI"/>
          <w:szCs w:val="24"/>
          <w:shd w:val="clear" w:color="auto" w:fill="FFFFFF"/>
          <w:lang w:bidi="ar"/>
        </w:rPr>
      </w:pPr>
      <w:r>
        <w:rPr>
          <w:rFonts w:cs="Times New Roman"/>
          <w:b/>
          <w:bCs/>
          <w:lang w:bidi="ar"/>
        </w:rPr>
        <w:t>1</w:t>
      </w:r>
      <w:r>
        <w:rPr>
          <w:rFonts w:cs="Times New Roman"/>
          <w:lang w:bidi="ar"/>
        </w:rPr>
        <w:t xml:space="preserve"> </w:t>
      </w:r>
      <w:r>
        <w:rPr>
          <w:rFonts w:hint="eastAsia" w:cs="Times New Roman"/>
          <w:lang w:bidi="ar"/>
        </w:rPr>
        <w:t>应</w:t>
      </w:r>
      <w:r>
        <w:rPr>
          <w:rFonts w:hint="eastAsia"/>
          <w:szCs w:val="24"/>
        </w:rPr>
        <w:t>建设完善的雨污分流制排水系统，应将生活污水和生产废水全部收集并输送至污水厂进行处理达标</w:t>
      </w:r>
      <w:r>
        <w:rPr>
          <w:rFonts w:hint="eastAsia" w:ascii="Segoe UI" w:hAnsi="Segoe UI" w:cs="Segoe UI"/>
          <w:szCs w:val="24"/>
          <w:shd w:val="clear" w:color="auto" w:fill="FFFFFF"/>
          <w:lang w:bidi="ar"/>
        </w:rPr>
        <w:t>。</w:t>
      </w:r>
    </w:p>
    <w:p w14:paraId="504E9181">
      <w:pPr>
        <w:ind w:left="240" w:leftChars="100" w:firstLine="241" w:firstLineChars="100"/>
        <w:rPr>
          <w:rFonts w:ascii="Segoe UI" w:hAnsi="Segoe UI" w:cs="Segoe UI"/>
          <w:color w:val="0000FF"/>
          <w:szCs w:val="24"/>
          <w:shd w:val="clear" w:color="auto" w:fill="FFFFFF"/>
        </w:rPr>
      </w:pPr>
      <w:r>
        <w:rPr>
          <w:rFonts w:hint="eastAsia" w:cs="Segoe UI"/>
          <w:b/>
          <w:bCs/>
          <w:szCs w:val="24"/>
          <w:shd w:val="clear" w:color="auto" w:fill="FFFFFF"/>
          <w:lang w:bidi="ar"/>
        </w:rPr>
        <w:t>2</w:t>
      </w:r>
      <w:r>
        <w:rPr>
          <w:rFonts w:ascii="Segoe UI" w:hAnsi="Segoe UI" w:eastAsia="Segoe UI" w:cs="Segoe UI"/>
          <w:color w:val="0000FF"/>
          <w:szCs w:val="24"/>
          <w:shd w:val="clear" w:color="auto" w:fill="FFFFFF"/>
          <w:lang w:bidi="ar"/>
        </w:rPr>
        <w:t xml:space="preserve"> </w:t>
      </w:r>
      <w:r>
        <w:rPr>
          <w:rFonts w:hint="eastAsia" w:ascii="Segoe UI" w:hAnsi="Segoe UI" w:cs="Segoe UI"/>
          <w:szCs w:val="24"/>
          <w:shd w:val="clear" w:color="auto" w:fill="FFFFFF"/>
          <w:lang w:bidi="ar"/>
        </w:rPr>
        <w:t>应根据</w:t>
      </w:r>
      <w:r>
        <w:rPr>
          <w:rFonts w:hint="eastAsia"/>
          <w:szCs w:val="24"/>
        </w:rPr>
        <w:t>废水水质特性实施分质分类收集。</w:t>
      </w:r>
    </w:p>
    <w:p w14:paraId="7130DA5A">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3</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32"/>
        </w:rPr>
        <w:t>既有合流制排水系统应经技术经济比较后实施雨污分流改造</w:t>
      </w:r>
      <w:r>
        <w:rPr>
          <w:rFonts w:hint="eastAsia" w:ascii="Segoe UI" w:hAnsi="Segoe UI" w:cs="Segoe UI"/>
          <w:szCs w:val="24"/>
          <w:shd w:val="clear" w:color="auto" w:fill="FFFFFF"/>
          <w:lang w:bidi="ar"/>
        </w:rPr>
        <w:t>。</w:t>
      </w:r>
    </w:p>
    <w:p w14:paraId="7A359C63">
      <w:pPr>
        <w:ind w:left="240" w:leftChars="100" w:firstLine="241" w:firstLineChars="100"/>
        <w:rPr>
          <w:rFonts w:ascii="Segoe UI" w:hAnsi="Segoe UI" w:eastAsia="Segoe UI" w:cs="Segoe UI"/>
          <w:szCs w:val="24"/>
          <w:shd w:val="clear" w:color="auto" w:fill="FFFFFF"/>
          <w:lang w:bidi="ar"/>
        </w:rPr>
      </w:pPr>
      <w:r>
        <w:rPr>
          <w:rFonts w:hint="eastAsia" w:cs="Segoe UI"/>
          <w:b/>
          <w:bCs/>
          <w:szCs w:val="24"/>
          <w:shd w:val="clear" w:color="auto" w:fill="FFFFFF"/>
          <w:lang w:bidi="ar"/>
        </w:rPr>
        <w:t>4</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32"/>
        </w:rPr>
        <w:t>排水系统雨污混接、外水入渗、水体倒灌的调查及治理应符合现行协会标准《城镇排水管道混接调查及治理技术规程》</w:t>
      </w:r>
      <w:r>
        <w:rPr>
          <w:rFonts w:cs="Times New Roman"/>
          <w:spacing w:val="11"/>
          <w:kern w:val="21"/>
          <w:szCs w:val="32"/>
        </w:rPr>
        <w:t>T/CECS 758</w:t>
      </w:r>
      <w:r>
        <w:rPr>
          <w:rFonts w:hint="eastAsia" w:ascii="宋体" w:hAnsi="宋体" w:cs="宋体"/>
          <w:spacing w:val="11"/>
          <w:kern w:val="21"/>
          <w:szCs w:val="32"/>
        </w:rPr>
        <w:t>的有关规定</w:t>
      </w:r>
      <w:r>
        <w:rPr>
          <w:rFonts w:hint="eastAsia" w:ascii="微软雅黑" w:hAnsi="微软雅黑" w:eastAsia="微软雅黑" w:cs="微软雅黑"/>
          <w:szCs w:val="24"/>
          <w:shd w:val="clear" w:color="auto" w:fill="FFFFFF"/>
          <w:lang w:bidi="ar"/>
        </w:rPr>
        <w:t>。</w:t>
      </w:r>
    </w:p>
    <w:p w14:paraId="75BD7F2B">
      <w:pPr>
        <w:ind w:firstLine="0" w:firstLineChars="0"/>
        <w:rPr>
          <w:rFonts w:cs="Segoe UI"/>
          <w:szCs w:val="24"/>
          <w:shd w:val="clear" w:color="auto" w:fill="FFFFFF"/>
          <w:lang w:bidi="ar"/>
        </w:rPr>
      </w:pPr>
      <w:r>
        <w:rPr>
          <w:rFonts w:hint="eastAsia" w:cs="Segoe UI"/>
          <w:szCs w:val="24"/>
          <w:shd w:val="clear" w:color="auto" w:fill="FFFFFF"/>
          <w:lang w:bidi="ar"/>
        </w:rPr>
        <w:t>【条文说明】强制雨污分流与分类收集旨在从源头保障污水全收集、全处理，提升效能并利于废水回用。工矿区废水成分复杂，实行彻底的分流制和全收集，能有效防止污水直排污染环境，为后续高效处理污水奠定基础。基于工矿区生产废水水质差异大的特点（如酸碱度、重金属、有机物浓度不同），分质收集有利于降低后续混合污水处理难度与成本，并可对高浓度或有价物质进行资源化回收。既有排水系统的改造需结合实际，经济可行。承认历史遗留的合流制系统现状，要求改造前进行技术经济论证，体现了实事求是、精准施策的原则，避免“一刀切”。雨污混接、外水入渗是分流制系统效能的最大威胁，直接导致污水处理厂进水浓度低、运行效能差。</w:t>
      </w:r>
    </w:p>
    <w:p w14:paraId="01C4828C">
      <w:pPr>
        <w:ind w:firstLine="0" w:firstLineChars="0"/>
        <w:rPr>
          <w:color w:val="333333"/>
          <w:sz w:val="22"/>
        </w:rPr>
      </w:pPr>
      <w:r>
        <w:rPr>
          <w:rFonts w:cs="Times New Roman"/>
          <w:b/>
          <w:bCs/>
        </w:rPr>
        <w:t>6.4.</w:t>
      </w:r>
      <w:r>
        <w:rPr>
          <w:rFonts w:hint="eastAsia" w:cs="Times New Roman"/>
          <w:b/>
          <w:bCs/>
        </w:rPr>
        <w:t>3</w:t>
      </w:r>
      <w:r>
        <w:rPr>
          <w:rFonts w:cs="Times New Roman"/>
          <w:b/>
          <w:bCs/>
        </w:rPr>
        <w:t xml:space="preserve">  </w:t>
      </w:r>
      <w:r>
        <w:rPr>
          <w:rFonts w:hint="eastAsia" w:cs="Times New Roman"/>
          <w:lang w:bidi="ar"/>
        </w:rPr>
        <w:t>面源污染控制</w:t>
      </w:r>
      <w:r>
        <w:rPr>
          <w:rFonts w:hint="eastAsia" w:ascii="Segoe UI" w:hAnsi="Segoe UI" w:cs="Segoe UI"/>
          <w:szCs w:val="24"/>
          <w:shd w:val="clear" w:color="auto" w:fill="FFFFFF"/>
          <w:lang w:bidi="ar"/>
        </w:rPr>
        <w:t>措施</w:t>
      </w:r>
      <w:r>
        <w:rPr>
          <w:rFonts w:hint="eastAsia" w:ascii="宋体" w:hAnsi="宋体" w:cs="Times New Roman"/>
        </w:rPr>
        <w:t>应符合下列规定：</w:t>
      </w:r>
    </w:p>
    <w:p w14:paraId="6AD0D3F4">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24"/>
        </w:rPr>
        <w:t>应根据面源污染物向水体输移规律，采用源头减排、过程控制、系统治理的综合措施达到当地海绵城市规划建设目标</w:t>
      </w:r>
      <w:r>
        <w:rPr>
          <w:rFonts w:hint="eastAsia" w:ascii="Segoe UI" w:hAnsi="Segoe UI" w:cs="Segoe UI"/>
          <w:szCs w:val="24"/>
          <w:shd w:val="clear" w:color="auto" w:fill="FFFFFF"/>
          <w:lang w:bidi="ar"/>
        </w:rPr>
        <w:t>。</w:t>
      </w:r>
    </w:p>
    <w:p w14:paraId="68602017">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2</w:t>
      </w:r>
      <w:r>
        <w:rPr>
          <w:rFonts w:ascii="Segoe UI" w:hAnsi="Segoe UI" w:eastAsia="Segoe UI" w:cs="Segoe UI"/>
          <w:szCs w:val="24"/>
          <w:shd w:val="clear" w:color="auto" w:fill="FFFFFF"/>
          <w:lang w:bidi="ar"/>
        </w:rPr>
        <w:t xml:space="preserve"> </w:t>
      </w:r>
      <w:r>
        <w:rPr>
          <w:rFonts w:hint="eastAsia"/>
          <w:szCs w:val="24"/>
        </w:rPr>
        <w:t>初期污染雨水应收集处理</w:t>
      </w:r>
      <w:r>
        <w:rPr>
          <w:rFonts w:hint="eastAsia" w:ascii="Segoe UI" w:hAnsi="Segoe UI" w:cs="Segoe UI"/>
          <w:szCs w:val="24"/>
          <w:shd w:val="clear" w:color="auto" w:fill="FFFFFF"/>
          <w:lang w:bidi="ar"/>
        </w:rPr>
        <w:t>。</w:t>
      </w:r>
    </w:p>
    <w:p w14:paraId="4ABC0B37">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3</w:t>
      </w:r>
      <w:r>
        <w:rPr>
          <w:rFonts w:ascii="Segoe UI" w:hAnsi="Segoe UI" w:eastAsia="Segoe UI" w:cs="Segoe UI"/>
          <w:szCs w:val="24"/>
          <w:shd w:val="clear" w:color="auto" w:fill="FFFFFF"/>
          <w:lang w:bidi="ar"/>
        </w:rPr>
        <w:t xml:space="preserve"> </w:t>
      </w:r>
      <w:r>
        <w:rPr>
          <w:rFonts w:hint="eastAsia" w:ascii="微软雅黑" w:hAnsi="微软雅黑" w:eastAsia="微软雅黑" w:cs="微软雅黑"/>
          <w:szCs w:val="24"/>
          <w:shd w:val="clear" w:color="auto" w:fill="FFFFFF"/>
          <w:lang w:bidi="ar"/>
        </w:rPr>
        <w:t>污染场地应采取清理、隔离</w:t>
      </w:r>
      <w:r>
        <w:rPr>
          <w:rFonts w:hint="eastAsia" w:ascii="Segoe UI" w:hAnsi="Segoe UI" w:cs="Segoe UI"/>
          <w:szCs w:val="24"/>
          <w:shd w:val="clear" w:color="auto" w:fill="FFFFFF"/>
          <w:lang w:bidi="ar"/>
        </w:rPr>
        <w:t>或</w:t>
      </w:r>
      <w:r>
        <w:rPr>
          <w:rFonts w:hint="eastAsia" w:ascii="微软雅黑" w:hAnsi="微软雅黑" w:eastAsia="微软雅黑" w:cs="微软雅黑"/>
          <w:szCs w:val="24"/>
          <w:shd w:val="clear" w:color="auto" w:fill="FFFFFF"/>
          <w:lang w:bidi="ar"/>
        </w:rPr>
        <w:t>覆盖等措施，</w:t>
      </w:r>
      <w:r>
        <w:rPr>
          <w:rFonts w:hint="eastAsia" w:ascii="宋体" w:hAnsi="宋体" w:cs="宋体"/>
          <w:spacing w:val="11"/>
          <w:kern w:val="21"/>
        </w:rPr>
        <w:t>阻断雨水淋溶造成的污染物迁移</w:t>
      </w:r>
      <w:r>
        <w:rPr>
          <w:rFonts w:hint="eastAsia" w:ascii="Segoe UI" w:hAnsi="Segoe UI" w:cs="Segoe UI"/>
          <w:szCs w:val="24"/>
          <w:shd w:val="clear" w:color="auto" w:fill="FFFFFF"/>
          <w:lang w:bidi="ar"/>
        </w:rPr>
        <w:t>。</w:t>
      </w:r>
    </w:p>
    <w:p w14:paraId="2B07164C">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4</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雨水排口处宜设置面源污染控制设施，宜根据适用条件采用与滨岸环境相协调的功能性人工湿地</w:t>
      </w:r>
      <w:r>
        <w:rPr>
          <w:rFonts w:hint="eastAsia" w:ascii="Segoe UI" w:hAnsi="Segoe UI" w:cs="Segoe UI"/>
          <w:szCs w:val="24"/>
          <w:shd w:val="clear" w:color="auto" w:fill="FFFFFF"/>
          <w:lang w:bidi="ar"/>
        </w:rPr>
        <w:t>。</w:t>
      </w:r>
    </w:p>
    <w:p w14:paraId="49EF28DE">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5</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应加强汛期水环境监管，建立汛期水质预警体系，对汛期水质异常波动断面进行污染溯源，明确污染过程，采取针对性整治措施</w:t>
      </w:r>
      <w:r>
        <w:rPr>
          <w:rFonts w:hint="eastAsia" w:ascii="Segoe UI" w:hAnsi="Segoe UI" w:cs="Segoe UI"/>
          <w:szCs w:val="24"/>
          <w:shd w:val="clear" w:color="auto" w:fill="FFFFFF"/>
          <w:lang w:bidi="ar"/>
        </w:rPr>
        <w:t>。</w:t>
      </w:r>
    </w:p>
    <w:p w14:paraId="76FF9C85">
      <w:pPr>
        <w:ind w:firstLine="0" w:firstLineChars="0"/>
        <w:rPr>
          <w:rFonts w:cs="Segoe UI"/>
          <w:szCs w:val="24"/>
          <w:shd w:val="clear" w:color="auto" w:fill="FFFFFF"/>
          <w:lang w:bidi="ar"/>
        </w:rPr>
      </w:pPr>
      <w:r>
        <w:rPr>
          <w:rFonts w:hint="eastAsia" w:cs="Segoe UI"/>
          <w:szCs w:val="24"/>
          <w:shd w:val="clear" w:color="auto" w:fill="FFFFFF"/>
          <w:lang w:bidi="ar"/>
        </w:rPr>
        <w:t>【条文说明】面源污染控制要求遵循污染物输移规律，采用“源头减排（如LID设施）、过程控制（如截流）、末端治理（如排口湿地）”的组合策略，并与海绵城市目标衔接，体现了当前面源污染控制的成熟技术路线。因初期雨水污染物浓度高，是关键污染源，收集处理初期雨水是控制面源污染的有效手段。污染场地风险管控是通过清理、隔离或覆盖措施进行阻断淋溶污染。面源污染具有间歇性、突发性特点，汛期尤为突出，建立预警体系并进行溯源，是实现精准、高效管理的必要且日益成熟的非工程措施，是智慧技术在面源污染控制管理的应用。</w:t>
      </w:r>
    </w:p>
    <w:p w14:paraId="47248C48">
      <w:pPr>
        <w:ind w:firstLine="0" w:firstLineChars="0"/>
        <w:rPr>
          <w:rFonts w:ascii="Segoe UI" w:hAnsi="Segoe UI" w:cs="Segoe UI"/>
          <w:szCs w:val="24"/>
          <w:shd w:val="clear" w:color="auto" w:fill="FFFFFF"/>
          <w:lang w:bidi="ar"/>
        </w:rPr>
      </w:pPr>
      <w:r>
        <w:rPr>
          <w:rFonts w:cs="Times New Roman"/>
          <w:b/>
          <w:bCs/>
        </w:rPr>
        <w:t>6.4.</w:t>
      </w:r>
      <w:r>
        <w:rPr>
          <w:rFonts w:hint="eastAsia" w:cs="Times New Roman"/>
          <w:b/>
          <w:bCs/>
        </w:rPr>
        <w:t>4</w:t>
      </w:r>
      <w:r>
        <w:rPr>
          <w:rFonts w:cs="Times New Roman"/>
          <w:b/>
          <w:bCs/>
        </w:rPr>
        <w:t xml:space="preserve">  </w:t>
      </w:r>
      <w:r>
        <w:rPr>
          <w:rFonts w:hint="eastAsia" w:ascii="Segoe UI" w:hAnsi="Segoe UI" w:cs="Segoe UI"/>
          <w:szCs w:val="24"/>
          <w:shd w:val="clear" w:color="auto" w:fill="FFFFFF"/>
          <w:lang w:bidi="ar"/>
        </w:rPr>
        <w:t>内源污染控制措施</w:t>
      </w:r>
      <w:r>
        <w:rPr>
          <w:rFonts w:hint="eastAsia" w:ascii="宋体" w:hAnsi="宋体" w:cs="Times New Roman"/>
        </w:rPr>
        <w:t>应符合下列规定：</w:t>
      </w:r>
    </w:p>
    <w:p w14:paraId="60268AA2">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24"/>
        </w:rPr>
        <w:t>应根据底泥污染程度、水环境目标、水生生物生长情况及清淤设备适用条件等因素确定底泥处理处置措施、清淤范围及清淤深度</w:t>
      </w:r>
      <w:r>
        <w:rPr>
          <w:rFonts w:hint="eastAsia" w:ascii="Segoe UI" w:hAnsi="Segoe UI" w:cs="Segoe UI"/>
          <w:szCs w:val="24"/>
          <w:shd w:val="clear" w:color="auto" w:fill="FFFFFF"/>
          <w:lang w:bidi="ar"/>
        </w:rPr>
        <w:t>。</w:t>
      </w:r>
    </w:p>
    <w:p w14:paraId="41A158F2">
      <w:pPr>
        <w:ind w:left="240" w:leftChars="100" w:firstLine="241" w:firstLineChars="100"/>
        <w:rPr>
          <w:rFonts w:ascii="Segoe UI" w:hAnsi="Segoe UI" w:cs="Segoe UI"/>
          <w:szCs w:val="24"/>
          <w:shd w:val="clear" w:color="auto" w:fill="FFFFFF"/>
          <w:lang w:bidi="ar"/>
        </w:rPr>
      </w:pPr>
      <w:r>
        <w:rPr>
          <w:rFonts w:cs="Segoe UI"/>
          <w:b/>
          <w:bCs/>
          <w:szCs w:val="24"/>
          <w:shd w:val="clear" w:color="auto" w:fill="FFFFFF"/>
          <w:lang w:bidi="ar"/>
        </w:rPr>
        <w:t>2</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当不具备原位修复底泥的条件时，宜采用精度高的生态清淤工艺</w:t>
      </w:r>
      <w:r>
        <w:rPr>
          <w:rFonts w:hint="eastAsia" w:ascii="Segoe UI" w:hAnsi="Segoe UI" w:cs="Segoe UI"/>
          <w:szCs w:val="24"/>
          <w:shd w:val="clear" w:color="auto" w:fill="FFFFFF"/>
          <w:lang w:bidi="ar"/>
        </w:rPr>
        <w:t>。</w:t>
      </w:r>
    </w:p>
    <w:p w14:paraId="65DE0B90">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3</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当不具备生态清淤工艺的条件时，宜采用干式或半干式清淤工艺，并应符合现行行业标准《疏浚与吹填工程技术规范》</w:t>
      </w:r>
      <w:r>
        <w:rPr>
          <w:rFonts w:hint="eastAsia" w:cs="Times New Roman"/>
          <w:spacing w:val="11"/>
          <w:kern w:val="21"/>
          <w:szCs w:val="24"/>
          <w:lang w:bidi="ar"/>
        </w:rPr>
        <w:t>SL</w:t>
      </w:r>
      <w:r>
        <w:rPr>
          <w:rFonts w:hint="eastAsia" w:ascii="宋体" w:hAnsi="宋体" w:cs="宋体"/>
          <w:spacing w:val="11"/>
          <w:kern w:val="21"/>
          <w:szCs w:val="24"/>
        </w:rPr>
        <w:t xml:space="preserve"> </w:t>
      </w:r>
      <w:r>
        <w:rPr>
          <w:rFonts w:hint="eastAsia" w:cs="Times New Roman"/>
          <w:spacing w:val="11"/>
          <w:kern w:val="21"/>
          <w:szCs w:val="24"/>
          <w:lang w:bidi="ar"/>
        </w:rPr>
        <w:t>17</w:t>
      </w:r>
      <w:r>
        <w:rPr>
          <w:rFonts w:hint="eastAsia" w:ascii="宋体" w:hAnsi="宋体" w:cs="宋体"/>
          <w:spacing w:val="11"/>
          <w:kern w:val="21"/>
          <w:szCs w:val="24"/>
        </w:rPr>
        <w:t>的有关规定</w:t>
      </w:r>
      <w:r>
        <w:rPr>
          <w:rFonts w:hint="eastAsia" w:ascii="Segoe UI" w:hAnsi="Segoe UI" w:cs="Segoe UI"/>
          <w:szCs w:val="24"/>
          <w:shd w:val="clear" w:color="auto" w:fill="FFFFFF"/>
          <w:lang w:bidi="ar"/>
        </w:rPr>
        <w:t>。</w:t>
      </w:r>
    </w:p>
    <w:p w14:paraId="126E7060">
      <w:pPr>
        <w:ind w:firstLine="0" w:firstLineChars="0"/>
        <w:rPr>
          <w:rFonts w:cs="Segoe UI"/>
          <w:szCs w:val="24"/>
          <w:shd w:val="clear" w:color="auto" w:fill="FFFFFF"/>
          <w:lang w:bidi="ar"/>
        </w:rPr>
      </w:pPr>
      <w:r>
        <w:rPr>
          <w:rFonts w:hint="eastAsia" w:cs="Segoe UI"/>
          <w:szCs w:val="24"/>
          <w:shd w:val="clear" w:color="auto" w:fill="FFFFFF"/>
          <w:lang w:bidi="ar"/>
        </w:rPr>
        <w:t>【条文说明】要求根据底泥污染程度、水环境目标、水生生物及设备条件等多因素确定清淤方案，体现了系统性、精准化的治理思路，是避免过度工程或治理不足的成熟决策原则</w:t>
      </w:r>
      <w:r>
        <w:rPr>
          <w:rFonts w:ascii="宋体" w:hAnsi="宋体" w:cs="Times New Roman"/>
        </w:rPr>
        <w:t>。优先推荐高精度生态清淤工艺（如配备环保绞刀头的绞吸式挖泥船），能有效控制扰动、减少污染物扩散、保护水生生态，技术成熟度高。</w:t>
      </w:r>
      <w:r>
        <w:rPr>
          <w:rFonts w:hint="eastAsia" w:cs="Segoe UI"/>
          <w:szCs w:val="24"/>
          <w:shd w:val="clear" w:color="auto" w:fill="FFFFFF"/>
          <w:lang w:bidi="ar"/>
        </w:rPr>
        <w:t>当生态清淤条件受限时</w:t>
      </w:r>
      <w:r>
        <w:rPr>
          <w:rFonts w:cs="Segoe UI"/>
          <w:szCs w:val="24"/>
          <w:shd w:val="clear" w:color="auto" w:fill="FFFFFF"/>
          <w:lang w:bidi="ar"/>
        </w:rPr>
        <w:t>（如水域狭窄），允许采用干式或半干式清淤</w:t>
      </w:r>
      <w:r>
        <w:rPr>
          <w:rFonts w:hint="eastAsia" w:cs="Segoe UI"/>
          <w:szCs w:val="24"/>
          <w:shd w:val="clear" w:color="auto" w:fill="FFFFFF"/>
          <w:lang w:bidi="ar"/>
        </w:rPr>
        <w:t>，</w:t>
      </w:r>
      <w:r>
        <w:rPr>
          <w:rFonts w:cs="Segoe UI"/>
          <w:szCs w:val="24"/>
          <w:shd w:val="clear" w:color="auto" w:fill="FFFFFF"/>
          <w:lang w:bidi="ar"/>
        </w:rPr>
        <w:t>这两种工艺技术同样成熟，但需注意其对周边环境的影响，确保作业规范、防止二次污染</w:t>
      </w:r>
      <w:r>
        <w:rPr>
          <w:rFonts w:hint="eastAsia" w:cs="Segoe UI"/>
          <w:szCs w:val="24"/>
          <w:shd w:val="clear" w:color="auto" w:fill="FFFFFF"/>
          <w:lang w:bidi="ar"/>
        </w:rPr>
        <w:t>。</w:t>
      </w:r>
    </w:p>
    <w:p w14:paraId="31D9DD48">
      <w:pPr>
        <w:ind w:firstLine="0" w:firstLineChars="0"/>
        <w:rPr>
          <w:rFonts w:cs="Times New Roman"/>
          <w:color w:val="0000FF"/>
          <w:lang w:bidi="ar"/>
        </w:rPr>
      </w:pPr>
      <w:r>
        <w:rPr>
          <w:rFonts w:cs="Times New Roman"/>
          <w:b/>
          <w:bCs/>
        </w:rPr>
        <w:t>6.4.</w:t>
      </w:r>
      <w:r>
        <w:rPr>
          <w:rFonts w:hint="eastAsia" w:cs="Times New Roman"/>
          <w:b/>
          <w:bCs/>
        </w:rPr>
        <w:t>5</w:t>
      </w:r>
      <w:r>
        <w:rPr>
          <w:rFonts w:cs="Times New Roman"/>
          <w:b/>
          <w:bCs/>
        </w:rPr>
        <w:t xml:space="preserve">  </w:t>
      </w:r>
      <w:r>
        <w:rPr>
          <w:rFonts w:hint="eastAsia" w:cs="Times New Roman"/>
          <w:lang w:bidi="ar"/>
        </w:rPr>
        <w:t>原位治理措施</w:t>
      </w:r>
      <w:r>
        <w:rPr>
          <w:rFonts w:hint="eastAsia" w:ascii="宋体" w:hAnsi="宋体" w:cs="Times New Roman"/>
        </w:rPr>
        <w:t>应符合下列规定：</w:t>
      </w:r>
    </w:p>
    <w:p w14:paraId="0E0AD4CC">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24"/>
        </w:rPr>
        <w:t>原位治理措施包含生物膜法、生态浮床法、水生植物法等，宜以单独或组合的方式原位削减污染物</w:t>
      </w:r>
      <w:r>
        <w:rPr>
          <w:rFonts w:hint="eastAsia" w:ascii="Segoe UI" w:hAnsi="Segoe UI" w:cs="Segoe UI"/>
          <w:szCs w:val="24"/>
          <w:shd w:val="clear" w:color="auto" w:fill="FFFFFF"/>
          <w:lang w:bidi="ar"/>
        </w:rPr>
        <w:t>。</w:t>
      </w:r>
    </w:p>
    <w:p w14:paraId="50924E15">
      <w:pPr>
        <w:ind w:left="240" w:leftChars="100" w:firstLine="241" w:firstLineChars="100"/>
        <w:rPr>
          <w:rFonts w:ascii="Segoe UI" w:hAnsi="Segoe UI" w:cs="Segoe UI"/>
          <w:szCs w:val="24"/>
          <w:shd w:val="clear" w:color="auto" w:fill="FFFFFF"/>
          <w:lang w:bidi="ar"/>
        </w:rPr>
      </w:pPr>
      <w:r>
        <w:rPr>
          <w:rFonts w:cs="Segoe UI"/>
          <w:b/>
          <w:bCs/>
          <w:szCs w:val="24"/>
          <w:shd w:val="clear" w:color="auto" w:fill="FFFFFF"/>
          <w:lang w:bidi="ar"/>
        </w:rPr>
        <w:t>2</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生物膜法的微生物附着载体应布置在水流较缓或静水水域</w:t>
      </w:r>
      <w:r>
        <w:rPr>
          <w:rFonts w:hint="eastAsia" w:ascii="Segoe UI" w:hAnsi="Segoe UI" w:cs="Segoe UI"/>
          <w:szCs w:val="24"/>
          <w:shd w:val="clear" w:color="auto" w:fill="FFFFFF"/>
          <w:lang w:bidi="ar"/>
        </w:rPr>
        <w:t>。</w:t>
      </w:r>
    </w:p>
    <w:p w14:paraId="17CA4968">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3</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生态浮床法应采用环境友好材料作为水生植物种植载体，并应根据最不利工况确定固定方式</w:t>
      </w:r>
      <w:r>
        <w:rPr>
          <w:rFonts w:hint="eastAsia" w:ascii="Segoe UI" w:hAnsi="Segoe UI" w:cs="Segoe UI"/>
          <w:szCs w:val="24"/>
          <w:shd w:val="clear" w:color="auto" w:fill="FFFFFF"/>
          <w:lang w:bidi="ar"/>
        </w:rPr>
        <w:t>。</w:t>
      </w:r>
    </w:p>
    <w:p w14:paraId="466EE316">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4</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水生植物法应选择多年生、抗逆性强、水质净化效果好的本土物种，根据水生植物的生态习性选择种植位置、适宜水深和种植密度</w:t>
      </w:r>
      <w:r>
        <w:rPr>
          <w:rFonts w:hint="eastAsia" w:ascii="Segoe UI" w:hAnsi="Segoe UI" w:cs="Segoe UI"/>
          <w:szCs w:val="24"/>
          <w:shd w:val="clear" w:color="auto" w:fill="FFFFFF"/>
          <w:lang w:bidi="ar"/>
        </w:rPr>
        <w:t>。</w:t>
      </w:r>
    </w:p>
    <w:p w14:paraId="270AA7B3">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5</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水体溶解氧浓度不应低于</w:t>
      </w:r>
      <w:r>
        <w:rPr>
          <w:rFonts w:cs="Times New Roman"/>
          <w:spacing w:val="11"/>
          <w:kern w:val="21"/>
          <w:szCs w:val="24"/>
        </w:rPr>
        <w:t>2mg/L</w:t>
      </w:r>
      <w:r>
        <w:rPr>
          <w:rFonts w:hint="eastAsia" w:ascii="宋体" w:hAnsi="宋体" w:cs="宋体"/>
          <w:spacing w:val="11"/>
          <w:kern w:val="21"/>
          <w:szCs w:val="24"/>
        </w:rPr>
        <w:t>，溶解氧浓度不足时宜采用自然跌水复氧方式</w:t>
      </w:r>
      <w:r>
        <w:rPr>
          <w:rFonts w:hint="eastAsia" w:ascii="Segoe UI" w:hAnsi="Segoe UI" w:cs="Segoe UI"/>
          <w:szCs w:val="24"/>
          <w:shd w:val="clear" w:color="auto" w:fill="FFFFFF"/>
          <w:lang w:bidi="ar"/>
        </w:rPr>
        <w:t>。</w:t>
      </w:r>
    </w:p>
    <w:p w14:paraId="5ED0364C">
      <w:pPr>
        <w:ind w:firstLine="0" w:firstLineChars="0"/>
        <w:rPr>
          <w:rFonts w:cs="Segoe UI"/>
          <w:szCs w:val="24"/>
          <w:shd w:val="clear" w:color="auto" w:fill="FFFFFF"/>
          <w:lang w:bidi="ar"/>
        </w:rPr>
      </w:pPr>
      <w:r>
        <w:rPr>
          <w:rFonts w:hint="eastAsia" w:cs="Segoe UI"/>
          <w:szCs w:val="24"/>
          <w:shd w:val="clear" w:color="auto" w:fill="FFFFFF"/>
          <w:lang w:bidi="ar"/>
        </w:rPr>
        <w:t>【条文说明】推荐生物膜、生态浮床、水生植物法等，是因这些技术具有低环境影响、运行成本相对较低、兼具景观效果等优点，是国内外成熟且广泛应用的原位净化技术，可因地制宜单独或组合使用以应对工矿区复杂污染状况。要求生物膜载体布设于缓流或静水区，是基于流体力学与微生物动力学原理，确保微生物能有效附着并形成高活性生物膜，是经过验证的关键设计要点。生态浮床采用环境友好材料并按最不利工况固定，是出于防止材料二次污染及保障设施在风浪、水流冲击下安全耐久的成熟做法。要求水生植物选择本土抗逆物种并科学配置，是基于生态学“适地适种”原则和大量实践证明的、能确保群落稳定成活并发挥长效净化功能的核心要求。溶解氧（DO）≥2mg/L是维持好氧微生物活性与水生态系统健康的基本阈值。优先采用自然跌水复氧，是一种低碳、节能、高效的成熟复氧技术，符合绿色改造理念。</w:t>
      </w:r>
    </w:p>
    <w:p w14:paraId="74BFEB41">
      <w:pPr>
        <w:ind w:firstLine="0" w:firstLineChars="0"/>
        <w:rPr>
          <w:rFonts w:cs="Times New Roman"/>
          <w:color w:val="0000FF"/>
          <w:lang w:bidi="ar"/>
        </w:rPr>
      </w:pPr>
      <w:r>
        <w:rPr>
          <w:rFonts w:cs="Times New Roman"/>
          <w:b/>
          <w:bCs/>
        </w:rPr>
        <w:t>6.4.</w:t>
      </w:r>
      <w:r>
        <w:rPr>
          <w:rFonts w:hint="eastAsia" w:cs="Times New Roman"/>
          <w:b/>
          <w:bCs/>
        </w:rPr>
        <w:t>6</w:t>
      </w:r>
      <w:r>
        <w:rPr>
          <w:rFonts w:cs="Times New Roman"/>
          <w:b/>
          <w:bCs/>
        </w:rPr>
        <w:t xml:space="preserve">  </w:t>
      </w:r>
      <w:r>
        <w:rPr>
          <w:rFonts w:hint="eastAsia" w:cs="Times New Roman"/>
          <w:lang w:bidi="ar"/>
        </w:rPr>
        <w:t>旁路治理措施</w:t>
      </w:r>
      <w:r>
        <w:rPr>
          <w:rFonts w:hint="eastAsia" w:ascii="宋体" w:hAnsi="宋体" w:cs="Times New Roman"/>
        </w:rPr>
        <w:t>应符合下列规定：</w:t>
      </w:r>
    </w:p>
    <w:p w14:paraId="01B1212A">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24"/>
        </w:rPr>
        <w:t>宜建立水质、水动力耦合模型对旁路治理工艺、规模、设施布局等进行分析，出水水质标准应满足管理目标的要求</w:t>
      </w:r>
      <w:r>
        <w:rPr>
          <w:rFonts w:hint="eastAsia" w:ascii="Segoe UI" w:hAnsi="Segoe UI" w:cs="Segoe UI"/>
          <w:szCs w:val="24"/>
          <w:shd w:val="clear" w:color="auto" w:fill="FFFFFF"/>
          <w:lang w:bidi="ar"/>
        </w:rPr>
        <w:t>。</w:t>
      </w:r>
    </w:p>
    <w:p w14:paraId="0352082D">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2</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旁路治理应优先采用功能性人工湿地，工艺应符合现行行业标准《人工湿地污水处理工程技术规范》</w:t>
      </w:r>
      <w:r>
        <w:rPr>
          <w:rFonts w:cs="Times New Roman"/>
          <w:spacing w:val="11"/>
          <w:kern w:val="21"/>
          <w:szCs w:val="24"/>
        </w:rPr>
        <w:t>HJ 2005</w:t>
      </w:r>
      <w:r>
        <w:rPr>
          <w:rFonts w:hint="eastAsia" w:ascii="宋体" w:hAnsi="宋体" w:cs="宋体"/>
          <w:spacing w:val="11"/>
          <w:kern w:val="21"/>
          <w:szCs w:val="24"/>
        </w:rPr>
        <w:t>的有关规定</w:t>
      </w:r>
      <w:r>
        <w:rPr>
          <w:rFonts w:hint="eastAsia" w:ascii="Segoe UI" w:hAnsi="Segoe UI" w:cs="Segoe UI"/>
          <w:szCs w:val="24"/>
          <w:shd w:val="clear" w:color="auto" w:fill="FFFFFF"/>
          <w:lang w:bidi="ar"/>
        </w:rPr>
        <w:t>。</w:t>
      </w:r>
    </w:p>
    <w:p w14:paraId="7D105780">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3</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旁路治理不应影响通航、行洪等水体功能</w:t>
      </w:r>
      <w:r>
        <w:rPr>
          <w:rFonts w:hint="eastAsia" w:ascii="Segoe UI" w:hAnsi="Segoe UI" w:cs="Segoe UI"/>
          <w:szCs w:val="24"/>
          <w:shd w:val="clear" w:color="auto" w:fill="FFFFFF"/>
          <w:lang w:bidi="ar"/>
        </w:rPr>
        <w:t>。</w:t>
      </w:r>
    </w:p>
    <w:p w14:paraId="76F9C054">
      <w:pPr>
        <w:ind w:firstLine="0" w:firstLineChars="0"/>
        <w:rPr>
          <w:rFonts w:cs="Segoe UI"/>
          <w:szCs w:val="24"/>
          <w:shd w:val="clear" w:color="auto" w:fill="FFFFFF"/>
          <w:lang w:bidi="ar"/>
        </w:rPr>
      </w:pPr>
      <w:r>
        <w:rPr>
          <w:rFonts w:hint="eastAsia" w:cs="Segoe UI"/>
          <w:szCs w:val="24"/>
          <w:shd w:val="clear" w:color="auto" w:fill="FFFFFF"/>
          <w:lang w:bidi="ar"/>
        </w:rPr>
        <w:t>【条文说明】本条明确了旁路治理的系统设计方法、技术优选及安全底线要求，旨在实现高效生态化治理。通过模型分析可科学确定工艺参数，保障治理效能。优先选用人工湿地是因其兼具污染削减与生态景观功能，主要参照《人工湿地污水处理工程技术规范》HJ 2005等技术标准。同时，必须确保治理措施不与水体的航运、行洪等基本功能相冲突，这是工程实施的前提条件和安全红线。</w:t>
      </w:r>
    </w:p>
    <w:p w14:paraId="6654525F">
      <w:pPr>
        <w:ind w:firstLine="0" w:firstLineChars="0"/>
        <w:rPr>
          <w:rFonts w:ascii="宋体" w:hAnsi="宋体" w:cs="Times New Roman"/>
        </w:rPr>
      </w:pPr>
      <w:r>
        <w:rPr>
          <w:rFonts w:cs="Times New Roman"/>
          <w:b/>
          <w:bCs/>
        </w:rPr>
        <w:t>6.4.</w:t>
      </w:r>
      <w:r>
        <w:rPr>
          <w:rFonts w:hint="eastAsia" w:cs="Times New Roman"/>
          <w:b/>
          <w:bCs/>
        </w:rPr>
        <w:t>7</w:t>
      </w:r>
      <w:r>
        <w:rPr>
          <w:rFonts w:cs="Times New Roman"/>
          <w:b/>
          <w:bCs/>
        </w:rPr>
        <w:t xml:space="preserve">  </w:t>
      </w:r>
      <w:r>
        <w:rPr>
          <w:rFonts w:hint="eastAsia" w:ascii="Segoe UI" w:hAnsi="Segoe UI" w:cs="Segoe UI"/>
          <w:szCs w:val="24"/>
          <w:shd w:val="clear" w:color="auto" w:fill="FFFFFF"/>
          <w:lang w:bidi="ar"/>
        </w:rPr>
        <w:t>废水处理工艺</w:t>
      </w:r>
      <w:r>
        <w:rPr>
          <w:rFonts w:hint="eastAsia" w:ascii="宋体" w:hAnsi="宋体" w:cs="Times New Roman"/>
        </w:rPr>
        <w:t>应符合下列规定：</w:t>
      </w:r>
    </w:p>
    <w:p w14:paraId="4BE8EA17">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rPr>
        <w:t>对酸性废水，宜采用石灰中和、高浓度泥浆、硫化-石灰中和、物化-膜分离等技术进行处理</w:t>
      </w:r>
      <w:r>
        <w:rPr>
          <w:rFonts w:hint="eastAsia" w:ascii="Segoe UI" w:hAnsi="Segoe UI" w:cs="Segoe UI"/>
          <w:szCs w:val="24"/>
          <w:shd w:val="clear" w:color="auto" w:fill="FFFFFF"/>
          <w:lang w:bidi="ar"/>
        </w:rPr>
        <w:t>。</w:t>
      </w:r>
    </w:p>
    <w:p w14:paraId="41695D8E">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ascii="宋体" w:hAnsi="宋体" w:cs="宋体"/>
          <w:spacing w:val="11"/>
          <w:kern w:val="21"/>
        </w:rPr>
        <w:t>对易降解有机废水，宜采用“预处理+生化处理+深度处理”组合工艺进行处理</w:t>
      </w:r>
      <w:r>
        <w:rPr>
          <w:rFonts w:hint="eastAsia" w:ascii="Segoe UI" w:hAnsi="Segoe UI" w:cs="Segoe UI"/>
          <w:szCs w:val="24"/>
          <w:shd w:val="clear" w:color="auto" w:fill="FFFFFF"/>
          <w:lang w:bidi="ar"/>
        </w:rPr>
        <w:t>。</w:t>
      </w:r>
    </w:p>
    <w:p w14:paraId="0236EB54">
      <w:pPr>
        <w:ind w:left="240" w:leftChars="100" w:firstLine="241" w:firstLineChars="100"/>
        <w:rPr>
          <w:rFonts w:ascii="Segoe UI" w:hAnsi="Segoe UI" w:eastAsia="Segoe UI" w:cs="Segoe UI"/>
          <w:szCs w:val="24"/>
          <w:shd w:val="clear" w:color="auto" w:fill="FFFFFF"/>
        </w:rPr>
      </w:pPr>
      <w:r>
        <w:rPr>
          <w:rFonts w:hint="eastAsia" w:cs="Times New Roman"/>
          <w:b/>
          <w:bCs/>
          <w:lang w:bidi="ar"/>
        </w:rPr>
        <w:t>3</w:t>
      </w:r>
      <w:r>
        <w:rPr>
          <w:rFonts w:cs="Times New Roman"/>
          <w:lang w:bidi="ar"/>
        </w:rPr>
        <w:t xml:space="preserve"> </w:t>
      </w:r>
      <w:r>
        <w:rPr>
          <w:rFonts w:hint="eastAsia" w:ascii="宋体" w:hAnsi="宋体" w:cs="宋体"/>
          <w:spacing w:val="11"/>
          <w:kern w:val="21"/>
        </w:rPr>
        <w:t>对难降解有机废水，宜采用“预处理+高级氧化+生化处理+深度处理”组合工艺进行处理</w:t>
      </w:r>
      <w:r>
        <w:rPr>
          <w:rFonts w:hint="eastAsia" w:ascii="Segoe UI" w:hAnsi="Segoe UI" w:cs="Segoe UI"/>
          <w:szCs w:val="24"/>
          <w:shd w:val="clear" w:color="auto" w:fill="FFFFFF"/>
          <w:lang w:bidi="ar"/>
        </w:rPr>
        <w:t>。</w:t>
      </w:r>
    </w:p>
    <w:p w14:paraId="0FEEA7B9">
      <w:pPr>
        <w:ind w:left="240" w:leftChars="100" w:firstLine="241" w:firstLineChars="100"/>
        <w:rPr>
          <w:rFonts w:ascii="Segoe UI" w:hAnsi="Segoe UI" w:eastAsia="Segoe UI" w:cs="Segoe UI"/>
          <w:szCs w:val="24"/>
          <w:shd w:val="clear" w:color="auto" w:fill="FFFFFF"/>
        </w:rPr>
      </w:pPr>
      <w:r>
        <w:rPr>
          <w:rFonts w:hint="eastAsia" w:cs="Times New Roman"/>
          <w:b/>
          <w:bCs/>
          <w:lang w:bidi="ar"/>
        </w:rPr>
        <w:t>4</w:t>
      </w:r>
      <w:r>
        <w:rPr>
          <w:rFonts w:cs="Times New Roman"/>
          <w:lang w:bidi="ar"/>
        </w:rPr>
        <w:t xml:space="preserve"> </w:t>
      </w:r>
      <w:r>
        <w:rPr>
          <w:rFonts w:hint="eastAsia" w:ascii="宋体" w:hAnsi="宋体" w:cs="宋体"/>
          <w:spacing w:val="11"/>
          <w:kern w:val="21"/>
        </w:rPr>
        <w:t>对含重金属的废水处理宜符合中国工程建设标准化协会标准《重金属污水处理设计标准》</w:t>
      </w:r>
      <w:r>
        <w:rPr>
          <w:rFonts w:cs="Times New Roman"/>
          <w:spacing w:val="11"/>
          <w:kern w:val="21"/>
        </w:rPr>
        <w:t>CECS 92：2016</w:t>
      </w:r>
      <w:r>
        <w:rPr>
          <w:rFonts w:hint="eastAsia" w:ascii="宋体" w:hAnsi="宋体" w:cs="宋体"/>
          <w:spacing w:val="11"/>
          <w:kern w:val="21"/>
        </w:rPr>
        <w:t>的有关规定</w:t>
      </w:r>
      <w:r>
        <w:rPr>
          <w:rFonts w:hint="eastAsia" w:ascii="Segoe UI" w:hAnsi="Segoe UI" w:cs="Segoe UI"/>
          <w:szCs w:val="24"/>
          <w:shd w:val="clear" w:color="auto" w:fill="FFFFFF"/>
          <w:lang w:bidi="ar"/>
        </w:rPr>
        <w:t>。</w:t>
      </w:r>
    </w:p>
    <w:p w14:paraId="51A50C25">
      <w:pPr>
        <w:ind w:left="240" w:leftChars="100" w:firstLine="241" w:firstLineChars="100"/>
        <w:rPr>
          <w:rFonts w:ascii="Segoe UI" w:hAnsi="Segoe UI" w:eastAsia="Segoe UI" w:cs="Segoe UI"/>
          <w:szCs w:val="24"/>
          <w:shd w:val="clear" w:color="auto" w:fill="FFFFFF"/>
        </w:rPr>
      </w:pPr>
      <w:r>
        <w:rPr>
          <w:rFonts w:hint="eastAsia" w:cs="Times New Roman"/>
          <w:b/>
          <w:bCs/>
          <w:lang w:bidi="ar"/>
        </w:rPr>
        <w:t>5</w:t>
      </w:r>
      <w:r>
        <w:rPr>
          <w:rFonts w:cs="Times New Roman"/>
          <w:lang w:bidi="ar"/>
        </w:rPr>
        <w:t xml:space="preserve"> </w:t>
      </w:r>
      <w:r>
        <w:rPr>
          <w:rFonts w:hint="eastAsia" w:ascii="宋体" w:hAnsi="宋体" w:cs="宋体"/>
          <w:spacing w:val="11"/>
          <w:kern w:val="21"/>
        </w:rPr>
        <w:t>对含高总溶解性固体的废水，宜采用离子交换、浓缩蒸发、膜分离等技术进行处理</w:t>
      </w:r>
      <w:r>
        <w:rPr>
          <w:rFonts w:hint="eastAsia" w:ascii="Segoe UI" w:hAnsi="Segoe UI" w:cs="Segoe UI"/>
          <w:szCs w:val="24"/>
          <w:shd w:val="clear" w:color="auto" w:fill="FFFFFF"/>
          <w:lang w:bidi="ar"/>
        </w:rPr>
        <w:t>。</w:t>
      </w:r>
    </w:p>
    <w:p w14:paraId="43CFD12A">
      <w:pPr>
        <w:ind w:left="240" w:leftChars="100" w:firstLine="241" w:firstLineChars="100"/>
        <w:rPr>
          <w:rFonts w:ascii="Segoe UI" w:hAnsi="Segoe UI" w:eastAsia="Segoe UI" w:cs="Segoe UI"/>
          <w:szCs w:val="24"/>
          <w:shd w:val="clear" w:color="auto" w:fill="FFFFFF"/>
        </w:rPr>
      </w:pPr>
      <w:r>
        <w:rPr>
          <w:rFonts w:hint="eastAsia" w:cs="Times New Roman"/>
          <w:b/>
          <w:bCs/>
          <w:lang w:bidi="ar"/>
        </w:rPr>
        <w:t>6</w:t>
      </w:r>
      <w:r>
        <w:rPr>
          <w:rFonts w:cs="Times New Roman"/>
          <w:lang w:bidi="ar"/>
        </w:rPr>
        <w:t xml:space="preserve"> </w:t>
      </w:r>
      <w:r>
        <w:rPr>
          <w:rFonts w:hint="eastAsia" w:ascii="宋体" w:hAnsi="宋体" w:cs="宋体"/>
          <w:spacing w:val="11"/>
          <w:kern w:val="21"/>
        </w:rPr>
        <w:t>对含悬浮物的废水，宜采用混凝沉淀技术进行处理</w:t>
      </w:r>
      <w:r>
        <w:rPr>
          <w:rFonts w:hint="eastAsia" w:ascii="Segoe UI" w:hAnsi="Segoe UI" w:cs="Segoe UI"/>
          <w:szCs w:val="24"/>
          <w:shd w:val="clear" w:color="auto" w:fill="FFFFFF"/>
          <w:lang w:bidi="ar"/>
        </w:rPr>
        <w:t>。</w:t>
      </w:r>
    </w:p>
    <w:p w14:paraId="16981D6A">
      <w:pPr>
        <w:ind w:left="240" w:leftChars="100" w:firstLine="241" w:firstLineChars="100"/>
        <w:rPr>
          <w:rFonts w:ascii="Segoe UI" w:hAnsi="Segoe UI" w:cs="Segoe UI"/>
          <w:szCs w:val="24"/>
          <w:shd w:val="clear" w:color="auto" w:fill="FFFFFF"/>
          <w:lang w:bidi="ar"/>
        </w:rPr>
      </w:pPr>
      <w:r>
        <w:rPr>
          <w:rFonts w:hint="eastAsia" w:cs="Times New Roman"/>
          <w:b/>
          <w:bCs/>
          <w:lang w:bidi="ar"/>
        </w:rPr>
        <w:t>7</w:t>
      </w:r>
      <w:r>
        <w:rPr>
          <w:rFonts w:cs="Times New Roman"/>
          <w:lang w:bidi="ar"/>
        </w:rPr>
        <w:t xml:space="preserve"> </w:t>
      </w:r>
      <w:r>
        <w:rPr>
          <w:rFonts w:hint="eastAsia" w:cs="Times New Roman"/>
          <w:lang w:bidi="ar"/>
        </w:rPr>
        <w:t>宜</w:t>
      </w:r>
      <w:r>
        <w:rPr>
          <w:rFonts w:hint="eastAsia" w:ascii="宋体" w:hAnsi="宋体" w:cs="宋体"/>
          <w:spacing w:val="11"/>
          <w:kern w:val="21"/>
        </w:rPr>
        <w:t>利用闲置地、洼地等空间，构建人工湿地对尾水进行深度净化</w:t>
      </w:r>
      <w:r>
        <w:rPr>
          <w:rFonts w:hint="eastAsia" w:ascii="Segoe UI" w:hAnsi="Segoe UI" w:cs="Segoe UI"/>
          <w:szCs w:val="24"/>
          <w:shd w:val="clear" w:color="auto" w:fill="FFFFFF"/>
          <w:lang w:bidi="ar"/>
        </w:rPr>
        <w:t>。</w:t>
      </w:r>
    </w:p>
    <w:p w14:paraId="64AD2739">
      <w:pPr>
        <w:ind w:firstLine="0" w:firstLineChars="0"/>
        <w:rPr>
          <w:rFonts w:cs="Segoe UI"/>
          <w:szCs w:val="24"/>
          <w:shd w:val="clear" w:color="auto" w:fill="FFFFFF"/>
          <w:lang w:bidi="ar"/>
        </w:rPr>
      </w:pPr>
      <w:r>
        <w:rPr>
          <w:rFonts w:hint="eastAsia" w:cs="Segoe UI"/>
          <w:szCs w:val="24"/>
          <w:shd w:val="clear" w:color="auto" w:fill="FFFFFF"/>
          <w:lang w:bidi="ar"/>
        </w:rPr>
        <w:t>【条文说明】本条依据《污水综合排放标准》GB 8978及《重金属污水处理设计标准》等标准，针对工矿区典型废水特征，分类推荐了经大量工程实践验证的成熟可靠处理工艺。不同性质废水需采取差异化、针对性技术路线，以确保稳定达标、运行经济。鼓励利用人工湿地等生态措施进行尾水深度净化，是实现污染控制与生态修复相结合的重要体现，技术成熟度高</w:t>
      </w:r>
      <w:r>
        <w:rPr>
          <w:rFonts w:ascii="宋体" w:hAnsi="宋体" w:cs="Times New Roman"/>
        </w:rPr>
        <w:t>。</w:t>
      </w:r>
    </w:p>
    <w:p w14:paraId="61C6ACFE">
      <w:pPr>
        <w:ind w:firstLine="0" w:firstLineChars="0"/>
        <w:rPr>
          <w:rFonts w:cs="Segoe UI"/>
          <w:szCs w:val="24"/>
          <w:shd w:val="clear" w:color="auto" w:fill="FFFFFF"/>
          <w:lang w:bidi="ar"/>
        </w:rPr>
      </w:pPr>
      <w:r>
        <w:rPr>
          <w:rFonts w:cs="Times New Roman"/>
          <w:b/>
          <w:bCs/>
        </w:rPr>
        <w:t>6.4.</w:t>
      </w:r>
      <w:r>
        <w:rPr>
          <w:rFonts w:hint="eastAsia" w:cs="Times New Roman"/>
          <w:b/>
          <w:bCs/>
        </w:rPr>
        <w:t>8</w:t>
      </w:r>
      <w:r>
        <w:rPr>
          <w:rFonts w:cs="Times New Roman"/>
          <w:b/>
          <w:bCs/>
        </w:rPr>
        <w:t xml:space="preserve">  </w:t>
      </w:r>
      <w:r>
        <w:rPr>
          <w:rFonts w:hint="eastAsia" w:cs="Segoe UI"/>
          <w:szCs w:val="24"/>
          <w:shd w:val="clear" w:color="auto" w:fill="FFFFFF"/>
          <w:lang w:bidi="ar"/>
        </w:rPr>
        <w:t>事故应急防控措施应符合下列规定：</w:t>
      </w:r>
    </w:p>
    <w:p w14:paraId="1DE76CB5">
      <w:pPr>
        <w:ind w:left="240" w:leftChars="100" w:firstLine="241" w:firstLineChars="100"/>
        <w:rPr>
          <w:rFonts w:cs="Times New Roman"/>
          <w:lang w:bidi="ar"/>
        </w:rPr>
      </w:pPr>
      <w:r>
        <w:rPr>
          <w:rFonts w:cs="Times New Roman"/>
          <w:b/>
          <w:bCs/>
          <w:lang w:bidi="ar"/>
        </w:rPr>
        <w:t>1</w:t>
      </w:r>
      <w:r>
        <w:rPr>
          <w:rFonts w:cs="Times New Roman"/>
          <w:lang w:bidi="ar"/>
        </w:rPr>
        <w:t xml:space="preserve"> </w:t>
      </w:r>
      <w:r>
        <w:rPr>
          <w:rFonts w:hint="eastAsia" w:cs="Times New Roman"/>
          <w:lang w:bidi="ar"/>
        </w:rPr>
        <w:t>应在关键位置设置事故应急池，池容积应能容纳最大单次事故废水量。</w:t>
      </w:r>
    </w:p>
    <w:p w14:paraId="52422CD3">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cs="Times New Roman"/>
          <w:lang w:bidi="ar"/>
        </w:rPr>
        <w:t>应配备应急设备和物资</w:t>
      </w:r>
      <w:r>
        <w:rPr>
          <w:rFonts w:hint="eastAsia" w:ascii="Segoe UI" w:hAnsi="Segoe UI" w:cs="Segoe UI"/>
          <w:szCs w:val="24"/>
          <w:shd w:val="clear" w:color="auto" w:fill="FFFFFF"/>
          <w:lang w:bidi="ar"/>
        </w:rPr>
        <w:t>。</w:t>
      </w:r>
    </w:p>
    <w:p w14:paraId="4FBE8905">
      <w:pPr>
        <w:ind w:left="240" w:leftChars="100" w:firstLine="241" w:firstLineChars="100"/>
        <w:rPr>
          <w:rFonts w:ascii="Segoe UI" w:hAnsi="Segoe UI" w:eastAsia="Segoe UI" w:cs="Segoe UI"/>
          <w:szCs w:val="24"/>
          <w:shd w:val="clear" w:color="auto" w:fill="FFFFFF"/>
        </w:rPr>
      </w:pPr>
      <w:r>
        <w:rPr>
          <w:rFonts w:hint="eastAsia" w:cs="Times New Roman"/>
          <w:b/>
          <w:bCs/>
          <w:lang w:bidi="ar"/>
        </w:rPr>
        <w:t>3</w:t>
      </w:r>
      <w:r>
        <w:rPr>
          <w:rFonts w:cs="Times New Roman"/>
          <w:lang w:bidi="ar"/>
        </w:rPr>
        <w:t xml:space="preserve"> </w:t>
      </w:r>
      <w:r>
        <w:rPr>
          <w:rFonts w:hint="eastAsia" w:cs="Times New Roman"/>
          <w:lang w:bidi="ar"/>
        </w:rPr>
        <w:t>应建设在线水质监测系统，对重点排污口和敏感水体进行实时监控，建立预警预报机制</w:t>
      </w:r>
      <w:r>
        <w:rPr>
          <w:rFonts w:hint="eastAsia" w:ascii="Segoe UI" w:hAnsi="Segoe UI" w:cs="Segoe UI"/>
          <w:szCs w:val="24"/>
          <w:shd w:val="clear" w:color="auto" w:fill="FFFFFF"/>
          <w:lang w:bidi="ar"/>
        </w:rPr>
        <w:t>。</w:t>
      </w:r>
    </w:p>
    <w:p w14:paraId="5B9B7402">
      <w:pPr>
        <w:ind w:left="240" w:leftChars="100" w:firstLine="241" w:firstLineChars="100"/>
        <w:rPr>
          <w:rFonts w:ascii="Segoe UI" w:hAnsi="Segoe UI" w:cs="Segoe UI"/>
          <w:szCs w:val="24"/>
          <w:shd w:val="clear" w:color="auto" w:fill="FFFFFF"/>
          <w:lang w:bidi="ar"/>
        </w:rPr>
      </w:pPr>
      <w:r>
        <w:rPr>
          <w:rFonts w:hint="eastAsia" w:cs="Times New Roman"/>
          <w:b/>
          <w:bCs/>
          <w:lang w:bidi="ar"/>
        </w:rPr>
        <w:t>4</w:t>
      </w:r>
      <w:r>
        <w:rPr>
          <w:rFonts w:cs="Times New Roman"/>
          <w:lang w:bidi="ar"/>
        </w:rPr>
        <w:t xml:space="preserve"> </w:t>
      </w:r>
      <w:r>
        <w:rPr>
          <w:rFonts w:hint="eastAsia" w:cs="Times New Roman"/>
          <w:lang w:bidi="ar"/>
        </w:rPr>
        <w:t>应编制应急预案，明确应急响应程序、处置措施和责任分工，定期演练</w:t>
      </w:r>
      <w:r>
        <w:rPr>
          <w:rFonts w:hint="eastAsia" w:ascii="Segoe UI" w:hAnsi="Segoe UI" w:cs="Segoe UI"/>
          <w:szCs w:val="24"/>
          <w:shd w:val="clear" w:color="auto" w:fill="FFFFFF"/>
          <w:lang w:bidi="ar"/>
        </w:rPr>
        <w:t>。</w:t>
      </w:r>
    </w:p>
    <w:p w14:paraId="75BE5FD8">
      <w:pPr>
        <w:ind w:firstLine="0" w:firstLineChars="0"/>
        <w:rPr>
          <w:rFonts w:cs="Segoe UI"/>
          <w:szCs w:val="24"/>
          <w:shd w:val="clear" w:color="auto" w:fill="FFFFFF"/>
          <w:lang w:bidi="ar"/>
        </w:rPr>
      </w:pPr>
      <w:r>
        <w:rPr>
          <w:rFonts w:hint="eastAsia" w:cs="Segoe UI"/>
          <w:szCs w:val="24"/>
          <w:shd w:val="clear" w:color="auto" w:fill="FFFFFF"/>
          <w:lang w:bidi="ar"/>
        </w:rPr>
        <w:t>【条文说明】工矿区环境风险突出，必须建立“收集-监测-预警-处置”的全流程防控体系，以最大限度降低事故污染。所规定的应急池、在线监控、预案演练等措施均为国内外长期实践验证的成熟、有效且法定的环境风险管理手段</w:t>
      </w:r>
      <w:r>
        <w:rPr>
          <w:rFonts w:ascii="宋体" w:hAnsi="宋体" w:cs="Times New Roman"/>
        </w:rPr>
        <w:t>。</w:t>
      </w:r>
    </w:p>
    <w:p w14:paraId="12969ED3">
      <w:pPr>
        <w:ind w:firstLine="0" w:firstLineChars="0"/>
        <w:rPr>
          <w:rFonts w:cs="Times New Roman"/>
          <w:color w:val="0000FF"/>
        </w:rPr>
      </w:pPr>
      <w:r>
        <w:rPr>
          <w:rFonts w:cs="Times New Roman"/>
          <w:b/>
          <w:bCs/>
        </w:rPr>
        <w:t>6.4.</w:t>
      </w:r>
      <w:r>
        <w:rPr>
          <w:rFonts w:hint="eastAsia" w:cs="Times New Roman"/>
          <w:b/>
          <w:bCs/>
        </w:rPr>
        <w:t>9</w:t>
      </w:r>
      <w:r>
        <w:rPr>
          <w:rFonts w:cs="Times New Roman"/>
          <w:b/>
          <w:bCs/>
          <w:color w:val="0000FF"/>
        </w:rPr>
        <w:t xml:space="preserve">  </w:t>
      </w:r>
      <w:r>
        <w:rPr>
          <w:rFonts w:hint="eastAsia" w:cs="Times New Roman"/>
        </w:rPr>
        <w:t>地下水污染控制应遵循下列基本原则：</w:t>
      </w:r>
    </w:p>
    <w:p w14:paraId="3757B1C3">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cs="Times New Roman"/>
          <w:lang w:bidi="ar"/>
        </w:rPr>
        <w:t>应</w:t>
      </w:r>
      <w:r>
        <w:rPr>
          <w:rFonts w:cs="Times New Roman"/>
          <w:lang w:bidi="ar"/>
        </w:rPr>
        <w:t>优先采用源头控制措施，减少污染物产生和渗漏风险，结合末端治理技术，实现综合防控</w:t>
      </w:r>
      <w:r>
        <w:rPr>
          <w:rFonts w:hint="eastAsia" w:ascii="Segoe UI" w:hAnsi="Segoe UI" w:cs="Segoe UI"/>
          <w:szCs w:val="24"/>
          <w:shd w:val="clear" w:color="auto" w:fill="FFFFFF"/>
          <w:lang w:bidi="ar"/>
        </w:rPr>
        <w:t>。</w:t>
      </w:r>
    </w:p>
    <w:p w14:paraId="3A4B46A7">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cs="Times New Roman"/>
          <w:lang w:bidi="ar"/>
        </w:rPr>
        <w:t>应</w:t>
      </w:r>
      <w:r>
        <w:rPr>
          <w:rFonts w:cs="Times New Roman"/>
          <w:lang w:bidi="ar"/>
        </w:rPr>
        <w:t>根据水文地质条件和污染特征，划分防控区域，针对污染物类型和浓度，采用差异化技术</w:t>
      </w:r>
      <w:r>
        <w:rPr>
          <w:rFonts w:hint="eastAsia" w:ascii="Segoe UI" w:hAnsi="Segoe UI" w:cs="Segoe UI"/>
          <w:szCs w:val="24"/>
          <w:shd w:val="clear" w:color="auto" w:fill="FFFFFF"/>
          <w:lang w:bidi="ar"/>
        </w:rPr>
        <w:t>。</w:t>
      </w:r>
    </w:p>
    <w:p w14:paraId="74E25313">
      <w:pPr>
        <w:ind w:left="240" w:leftChars="100" w:firstLine="241" w:firstLineChars="100"/>
        <w:rPr>
          <w:rFonts w:ascii="Segoe UI" w:hAnsi="Segoe UI" w:cs="Segoe UI"/>
          <w:szCs w:val="24"/>
          <w:shd w:val="clear" w:color="auto" w:fill="FFFFFF"/>
          <w:lang w:bidi="ar"/>
        </w:rPr>
      </w:pPr>
      <w:r>
        <w:rPr>
          <w:rFonts w:hint="eastAsia" w:cs="Times New Roman"/>
          <w:b/>
          <w:bCs/>
          <w:lang w:bidi="ar"/>
        </w:rPr>
        <w:t>3</w:t>
      </w:r>
      <w:r>
        <w:rPr>
          <w:rFonts w:cs="Times New Roman"/>
          <w:lang w:bidi="ar"/>
        </w:rPr>
        <w:t xml:space="preserve"> </w:t>
      </w:r>
      <w:r>
        <w:rPr>
          <w:rFonts w:hint="eastAsia" w:cs="Times New Roman"/>
          <w:lang w:bidi="ar"/>
        </w:rPr>
        <w:t>应</w:t>
      </w:r>
      <w:r>
        <w:rPr>
          <w:rFonts w:cs="Times New Roman"/>
          <w:lang w:bidi="ar"/>
        </w:rPr>
        <w:t>统筹考虑地下水与地表水、土壤污染协同治理，整合区域尺度防治措施</w:t>
      </w:r>
      <w:r>
        <w:rPr>
          <w:rFonts w:hint="eastAsia" w:ascii="Segoe UI" w:hAnsi="Segoe UI" w:cs="Segoe UI"/>
          <w:szCs w:val="24"/>
          <w:shd w:val="clear" w:color="auto" w:fill="FFFFFF"/>
          <w:lang w:bidi="ar"/>
        </w:rPr>
        <w:t>。</w:t>
      </w:r>
    </w:p>
    <w:p w14:paraId="2999FB03">
      <w:pPr>
        <w:ind w:firstLine="0" w:firstLineChars="0"/>
        <w:rPr>
          <w:rFonts w:cs="Segoe UI"/>
          <w:szCs w:val="24"/>
          <w:shd w:val="clear" w:color="auto" w:fill="FFFFFF"/>
          <w:lang w:bidi="ar"/>
        </w:rPr>
      </w:pPr>
      <w:r>
        <w:rPr>
          <w:rFonts w:hint="eastAsia" w:cs="Segoe UI"/>
          <w:szCs w:val="24"/>
          <w:shd w:val="clear" w:color="auto" w:fill="FFFFFF"/>
          <w:lang w:bidi="ar"/>
        </w:rPr>
        <w:t>【条文说明】工矿区地下水污染具有隐蔽性、复杂性和难逆转性，必须采取以防为主、防治结合的系统性方法，确立了“源头削减-分区防控-系统治理”的核心原则。所推荐的原则和技术路线借鉴了国内外大量成功工程实践，是当前行业内成熟、可靠且公认的有效做法</w:t>
      </w:r>
      <w:r>
        <w:rPr>
          <w:rFonts w:ascii="宋体" w:hAnsi="宋体" w:cs="Times New Roman"/>
        </w:rPr>
        <w:t>。</w:t>
      </w:r>
    </w:p>
    <w:p w14:paraId="133F665A">
      <w:pPr>
        <w:ind w:firstLine="0" w:firstLineChars="0"/>
        <w:rPr>
          <w:rFonts w:ascii="Segoe UI" w:hAnsi="Segoe UI" w:cs="Segoe UI"/>
          <w:color w:val="0000FF"/>
          <w:szCs w:val="24"/>
          <w:shd w:val="clear" w:color="auto" w:fill="FFFFFF"/>
          <w:lang w:bidi="ar"/>
        </w:rPr>
      </w:pPr>
      <w:r>
        <w:rPr>
          <w:rFonts w:cs="Times New Roman"/>
          <w:b/>
          <w:bCs/>
        </w:rPr>
        <w:t>6.4.</w:t>
      </w:r>
      <w:r>
        <w:rPr>
          <w:rFonts w:hint="eastAsia" w:cs="Times New Roman"/>
          <w:b/>
          <w:bCs/>
        </w:rPr>
        <w:t>10</w:t>
      </w:r>
      <w:r>
        <w:rPr>
          <w:rFonts w:cs="Times New Roman"/>
          <w:b/>
          <w:bCs/>
          <w:color w:val="0000FF"/>
        </w:rPr>
        <w:t xml:space="preserve">  </w:t>
      </w:r>
      <w:r>
        <w:rPr>
          <w:rFonts w:hint="eastAsia" w:cs="Times New Roman"/>
        </w:rPr>
        <w:t>地下水污染源头控制措施</w:t>
      </w:r>
      <w:r>
        <w:rPr>
          <w:rFonts w:hint="eastAsia" w:cs="Times New Roman"/>
          <w:lang w:bidi="ar"/>
        </w:rPr>
        <w:t>应符合下列规定</w:t>
      </w:r>
      <w:r>
        <w:rPr>
          <w:rFonts w:hint="eastAsia" w:cs="Times New Roman"/>
        </w:rPr>
        <w:t>：</w:t>
      </w:r>
    </w:p>
    <w:p w14:paraId="02465062">
      <w:pPr>
        <w:ind w:left="240" w:leftChars="100" w:firstLine="241" w:firstLineChars="100"/>
        <w:rPr>
          <w:rFonts w:cs="Times New Roman"/>
          <w:lang w:bidi="ar"/>
        </w:rPr>
      </w:pPr>
      <w:r>
        <w:rPr>
          <w:rFonts w:cs="Times New Roman"/>
          <w:b/>
          <w:bCs/>
          <w:lang w:bidi="ar"/>
        </w:rPr>
        <w:t>1</w:t>
      </w:r>
      <w:r>
        <w:rPr>
          <w:rFonts w:cs="Times New Roman"/>
          <w:lang w:bidi="ar"/>
        </w:rPr>
        <w:t xml:space="preserve"> </w:t>
      </w:r>
      <w:r>
        <w:rPr>
          <w:rFonts w:hint="eastAsia" w:cs="Times New Roman"/>
          <w:lang w:bidi="ar"/>
        </w:rPr>
        <w:t>应</w:t>
      </w:r>
      <w:r>
        <w:rPr>
          <w:rFonts w:cs="Times New Roman"/>
          <w:lang w:bidi="ar"/>
        </w:rPr>
        <w:t>改进生产工艺</w:t>
      </w:r>
      <w:r>
        <w:rPr>
          <w:rFonts w:hint="eastAsia" w:cs="Times New Roman"/>
          <w:lang w:bidi="ar"/>
        </w:rPr>
        <w:t>、</w:t>
      </w:r>
      <w:r>
        <w:rPr>
          <w:rFonts w:cs="Times New Roman"/>
          <w:lang w:bidi="ar"/>
        </w:rPr>
        <w:t>实施清洁生产技术和循环用水系统，减少有毒有害物质使用量</w:t>
      </w:r>
      <w:r>
        <w:rPr>
          <w:rFonts w:hint="eastAsia" w:cs="Times New Roman"/>
          <w:lang w:bidi="ar"/>
        </w:rPr>
        <w:t>、</w:t>
      </w:r>
      <w:r>
        <w:rPr>
          <w:rFonts w:cs="Times New Roman"/>
          <w:lang w:bidi="ar"/>
        </w:rPr>
        <w:t>废水产生量</w:t>
      </w:r>
      <w:r>
        <w:rPr>
          <w:rFonts w:hint="eastAsia" w:cs="Times New Roman"/>
          <w:lang w:bidi="ar"/>
        </w:rPr>
        <w:t>，</w:t>
      </w:r>
      <w:r>
        <w:rPr>
          <w:rFonts w:cs="Times New Roman"/>
          <w:lang w:bidi="ar"/>
        </w:rPr>
        <w:t>降低废水排放负荷</w:t>
      </w:r>
      <w:r>
        <w:rPr>
          <w:rFonts w:hint="eastAsia" w:cs="Times New Roman"/>
          <w:lang w:bidi="ar"/>
        </w:rPr>
        <w:t>。</w:t>
      </w:r>
    </w:p>
    <w:p w14:paraId="5E86703A">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对于化学品储存区、生产装置区、废水收集处理设施等关键区域，应</w:t>
      </w:r>
      <w:r>
        <w:rPr>
          <w:rFonts w:hint="eastAsia" w:cs="Times New Roman"/>
          <w:lang w:bidi="ar"/>
        </w:rPr>
        <w:t>设置</w:t>
      </w:r>
      <w:r>
        <w:rPr>
          <w:rFonts w:cs="Times New Roman"/>
          <w:lang w:bidi="ar"/>
        </w:rPr>
        <w:t>防渗层</w:t>
      </w:r>
      <w:r>
        <w:rPr>
          <w:rFonts w:hint="eastAsia" w:ascii="Segoe UI" w:hAnsi="Segoe UI" w:cs="Segoe UI"/>
          <w:szCs w:val="24"/>
          <w:shd w:val="clear" w:color="auto" w:fill="FFFFFF"/>
          <w:lang w:bidi="ar"/>
        </w:rPr>
        <w:t>。</w:t>
      </w:r>
    </w:p>
    <w:p w14:paraId="668C5CDA">
      <w:pPr>
        <w:ind w:left="240" w:leftChars="100" w:firstLine="241" w:firstLineChars="100"/>
        <w:rPr>
          <w:rFonts w:ascii="Segoe UI" w:hAnsi="Segoe UI" w:eastAsia="Segoe UI" w:cs="Segoe UI"/>
          <w:szCs w:val="24"/>
          <w:shd w:val="clear" w:color="auto" w:fill="FFFFFF"/>
        </w:rPr>
      </w:pPr>
      <w:r>
        <w:rPr>
          <w:rFonts w:hint="eastAsia" w:cs="Times New Roman"/>
          <w:b/>
          <w:bCs/>
          <w:lang w:bidi="ar"/>
        </w:rPr>
        <w:t>3</w:t>
      </w:r>
      <w:r>
        <w:rPr>
          <w:rFonts w:cs="Times New Roman"/>
          <w:lang w:bidi="ar"/>
        </w:rPr>
        <w:t xml:space="preserve"> </w:t>
      </w:r>
      <w:r>
        <w:rPr>
          <w:rFonts w:hint="eastAsia" w:cs="Times New Roman"/>
          <w:lang w:bidi="ar"/>
        </w:rPr>
        <w:t>应</w:t>
      </w:r>
      <w:r>
        <w:rPr>
          <w:rFonts w:cs="Times New Roman"/>
          <w:lang w:bidi="ar"/>
        </w:rPr>
        <w:t>防止雨水与污染区域接触，</w:t>
      </w:r>
      <w:r>
        <w:rPr>
          <w:rFonts w:hint="eastAsia" w:cs="Times New Roman"/>
          <w:lang w:bidi="ar"/>
        </w:rPr>
        <w:t>避免</w:t>
      </w:r>
      <w:r>
        <w:rPr>
          <w:rFonts w:cs="Times New Roman"/>
          <w:lang w:bidi="ar"/>
        </w:rPr>
        <w:t>污染渗滤液</w:t>
      </w:r>
      <w:r>
        <w:rPr>
          <w:rFonts w:hint="eastAsia" w:cs="Times New Roman"/>
          <w:lang w:bidi="ar"/>
        </w:rPr>
        <w:t>的</w:t>
      </w:r>
      <w:r>
        <w:rPr>
          <w:rFonts w:cs="Times New Roman"/>
          <w:lang w:bidi="ar"/>
        </w:rPr>
        <w:t>产生</w:t>
      </w:r>
      <w:r>
        <w:rPr>
          <w:rFonts w:hint="eastAsia" w:ascii="Segoe UI" w:hAnsi="Segoe UI" w:cs="Segoe UI"/>
          <w:szCs w:val="24"/>
          <w:shd w:val="clear" w:color="auto" w:fill="FFFFFF"/>
          <w:lang w:bidi="ar"/>
        </w:rPr>
        <w:t>。</w:t>
      </w:r>
    </w:p>
    <w:p w14:paraId="31D30ABC">
      <w:pPr>
        <w:ind w:left="240" w:leftChars="100" w:firstLine="241" w:firstLineChars="100"/>
        <w:rPr>
          <w:rFonts w:ascii="Segoe UI" w:hAnsi="Segoe UI" w:cs="Segoe UI"/>
          <w:szCs w:val="24"/>
          <w:shd w:val="clear" w:color="auto" w:fill="FFFFFF"/>
          <w:lang w:bidi="ar"/>
        </w:rPr>
      </w:pPr>
      <w:r>
        <w:rPr>
          <w:rFonts w:hint="eastAsia" w:cs="Times New Roman"/>
          <w:b/>
          <w:bCs/>
          <w:lang w:bidi="ar"/>
        </w:rPr>
        <w:t>4</w:t>
      </w:r>
      <w:r>
        <w:rPr>
          <w:rFonts w:cs="Times New Roman"/>
          <w:lang w:bidi="ar"/>
        </w:rPr>
        <w:t xml:space="preserve"> 对废弃井筒、钻孔、巷道等可能成为污染通道的设施，应采</w:t>
      </w:r>
      <w:r>
        <w:rPr>
          <w:rFonts w:hint="eastAsia" w:cs="Times New Roman"/>
          <w:lang w:bidi="ar"/>
        </w:rPr>
        <w:t>取</w:t>
      </w:r>
      <w:r>
        <w:rPr>
          <w:rFonts w:cs="Times New Roman"/>
          <w:lang w:bidi="ar"/>
        </w:rPr>
        <w:t>封堵</w:t>
      </w:r>
      <w:r>
        <w:rPr>
          <w:rFonts w:hint="eastAsia" w:cs="Times New Roman"/>
          <w:lang w:bidi="ar"/>
        </w:rPr>
        <w:t>措施</w:t>
      </w:r>
      <w:r>
        <w:rPr>
          <w:rFonts w:cs="Times New Roman"/>
          <w:lang w:bidi="ar"/>
        </w:rPr>
        <w:t>，防止污染物沿通道迁移</w:t>
      </w:r>
      <w:r>
        <w:rPr>
          <w:rFonts w:hint="eastAsia" w:ascii="Segoe UI" w:hAnsi="Segoe UI" w:cs="Segoe UI"/>
          <w:szCs w:val="24"/>
          <w:shd w:val="clear" w:color="auto" w:fill="FFFFFF"/>
          <w:lang w:bidi="ar"/>
        </w:rPr>
        <w:t>。</w:t>
      </w:r>
    </w:p>
    <w:p w14:paraId="084FAB96">
      <w:pPr>
        <w:ind w:firstLine="0" w:firstLineChars="0"/>
        <w:rPr>
          <w:rFonts w:cs="Segoe UI"/>
          <w:szCs w:val="24"/>
          <w:shd w:val="clear" w:color="auto" w:fill="FFFFFF"/>
          <w:lang w:bidi="ar"/>
        </w:rPr>
      </w:pPr>
      <w:r>
        <w:rPr>
          <w:rFonts w:hint="eastAsia" w:cs="Segoe UI"/>
          <w:szCs w:val="24"/>
          <w:shd w:val="clear" w:color="auto" w:fill="FFFFFF"/>
          <w:lang w:bidi="ar"/>
        </w:rPr>
        <w:t>【条文说明】本条系统规定了地下水污染源头控制的技术与管理要求。源头控制是地下水污染防治最根本、最经济有效的策略。通过推行清洁生产、关键区域防渗、雨污分流及封堵废弃通道等组合措施，可系统性地、全生命周期阻断污染物产生与进入地下水的途径，是实现工矿区地下水污染风险精准管控的核心手段</w:t>
      </w:r>
      <w:r>
        <w:rPr>
          <w:rFonts w:ascii="宋体" w:hAnsi="宋体" w:cs="Times New Roman"/>
        </w:rPr>
        <w:t>。</w:t>
      </w:r>
    </w:p>
    <w:p w14:paraId="7376526F">
      <w:pPr>
        <w:ind w:firstLine="0" w:firstLineChars="0"/>
        <w:rPr>
          <w:rFonts w:cs="Times New Roman"/>
          <w:lang w:bidi="ar"/>
        </w:rPr>
      </w:pPr>
      <w:r>
        <w:rPr>
          <w:rFonts w:cs="Times New Roman"/>
          <w:b/>
          <w:bCs/>
        </w:rPr>
        <w:t>6.4.</w:t>
      </w:r>
      <w:r>
        <w:rPr>
          <w:rFonts w:hint="eastAsia" w:cs="Times New Roman"/>
          <w:b/>
          <w:bCs/>
        </w:rPr>
        <w:t>11</w:t>
      </w:r>
      <w:r>
        <w:rPr>
          <w:rFonts w:cs="Times New Roman"/>
          <w:b/>
          <w:bCs/>
        </w:rPr>
        <w:t xml:space="preserve">  </w:t>
      </w:r>
      <w:r>
        <w:rPr>
          <w:rFonts w:hint="eastAsia" w:cs="Times New Roman"/>
        </w:rPr>
        <w:t>地下水污染源</w:t>
      </w:r>
      <w:r>
        <w:rPr>
          <w:rFonts w:hint="eastAsia" w:cs="Times New Roman"/>
          <w:lang w:bidi="ar"/>
        </w:rPr>
        <w:t>分区防治措施应符合下列规定：</w:t>
      </w:r>
    </w:p>
    <w:p w14:paraId="1D456E54">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cs="Times New Roman"/>
          <w:lang w:bidi="ar"/>
        </w:rPr>
        <w:t>对</w:t>
      </w:r>
      <w:r>
        <w:rPr>
          <w:rFonts w:cs="Times New Roman"/>
          <w:lang w:bidi="ar"/>
        </w:rPr>
        <w:t>化学品储存区、生产装置区、危废暂存场、尾矿库等污染高风险区域</w:t>
      </w:r>
      <w:r>
        <w:rPr>
          <w:rFonts w:hint="eastAsia" w:cs="Times New Roman"/>
          <w:lang w:bidi="ar"/>
        </w:rPr>
        <w:t>，</w:t>
      </w:r>
      <w:r>
        <w:rPr>
          <w:rFonts w:cs="Times New Roman"/>
          <w:lang w:bidi="ar"/>
        </w:rPr>
        <w:t>应采</w:t>
      </w:r>
      <w:r>
        <w:rPr>
          <w:rFonts w:hint="eastAsia" w:cs="Times New Roman"/>
          <w:lang w:bidi="ar"/>
        </w:rPr>
        <w:t>用</w:t>
      </w:r>
      <w:r>
        <w:rPr>
          <w:rFonts w:cs="Times New Roman"/>
          <w:lang w:bidi="ar"/>
        </w:rPr>
        <w:t>高标准防渗措施，设置渗漏检测系统，实行定期巡查和监测制度</w:t>
      </w:r>
      <w:r>
        <w:rPr>
          <w:rFonts w:hint="eastAsia" w:ascii="Segoe UI" w:hAnsi="Segoe UI" w:cs="Segoe UI"/>
          <w:szCs w:val="24"/>
          <w:shd w:val="clear" w:color="auto" w:fill="FFFFFF"/>
          <w:lang w:bidi="ar"/>
        </w:rPr>
        <w:t>。</w:t>
      </w:r>
    </w:p>
    <w:p w14:paraId="0BA645B0">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cs="Times New Roman"/>
          <w:lang w:bidi="ar"/>
        </w:rPr>
        <w:t>对</w:t>
      </w:r>
      <w:r>
        <w:rPr>
          <w:rFonts w:cs="Times New Roman"/>
          <w:lang w:bidi="ar"/>
        </w:rPr>
        <w:t>办公区、道路广场等污染</w:t>
      </w:r>
      <w:r>
        <w:rPr>
          <w:rFonts w:hint="eastAsia" w:cs="Times New Roman"/>
          <w:lang w:bidi="ar"/>
        </w:rPr>
        <w:t>低</w:t>
      </w:r>
      <w:r>
        <w:rPr>
          <w:rFonts w:cs="Times New Roman"/>
          <w:lang w:bidi="ar"/>
        </w:rPr>
        <w:t>风险区域</w:t>
      </w:r>
      <w:r>
        <w:rPr>
          <w:rFonts w:hint="eastAsia" w:cs="Times New Roman"/>
          <w:lang w:bidi="ar"/>
        </w:rPr>
        <w:t>，应</w:t>
      </w:r>
      <w:r>
        <w:rPr>
          <w:rFonts w:cs="Times New Roman"/>
          <w:lang w:bidi="ar"/>
        </w:rPr>
        <w:t>采用常规</w:t>
      </w:r>
      <w:r>
        <w:rPr>
          <w:rFonts w:hint="eastAsia" w:cs="Times New Roman"/>
          <w:lang w:bidi="ar"/>
        </w:rPr>
        <w:t>标准</w:t>
      </w:r>
      <w:r>
        <w:rPr>
          <w:rFonts w:cs="Times New Roman"/>
          <w:lang w:bidi="ar"/>
        </w:rPr>
        <w:t>防渗措施，重点加强雨水管理，防止地表径流污染</w:t>
      </w:r>
      <w:r>
        <w:rPr>
          <w:rFonts w:hint="eastAsia" w:ascii="Segoe UI" w:hAnsi="Segoe UI" w:cs="Segoe UI"/>
          <w:szCs w:val="24"/>
          <w:shd w:val="clear" w:color="auto" w:fill="FFFFFF"/>
          <w:lang w:bidi="ar"/>
        </w:rPr>
        <w:t>。</w:t>
      </w:r>
    </w:p>
    <w:p w14:paraId="04CC3B1F">
      <w:pPr>
        <w:ind w:left="240" w:leftChars="100" w:firstLine="241" w:firstLineChars="100"/>
        <w:rPr>
          <w:rFonts w:ascii="Segoe UI" w:hAnsi="Segoe UI" w:cs="Segoe UI"/>
          <w:szCs w:val="24"/>
          <w:shd w:val="clear" w:color="auto" w:fill="FFFFFF"/>
          <w:lang w:bidi="ar"/>
        </w:rPr>
      </w:pPr>
      <w:r>
        <w:rPr>
          <w:rFonts w:hint="eastAsia" w:cs="Times New Roman"/>
          <w:b/>
          <w:bCs/>
          <w:lang w:bidi="ar"/>
        </w:rPr>
        <w:t>3</w:t>
      </w:r>
      <w:r>
        <w:rPr>
          <w:rFonts w:cs="Times New Roman"/>
          <w:lang w:bidi="ar"/>
        </w:rPr>
        <w:t xml:space="preserve"> </w:t>
      </w:r>
      <w:r>
        <w:rPr>
          <w:rFonts w:hint="eastAsia" w:cs="Times New Roman"/>
          <w:lang w:bidi="ar"/>
        </w:rPr>
        <w:t>对</w:t>
      </w:r>
      <w:r>
        <w:rPr>
          <w:rFonts w:cs="Times New Roman"/>
          <w:lang w:bidi="ar"/>
        </w:rPr>
        <w:t>饮用水源</w:t>
      </w:r>
      <w:r>
        <w:rPr>
          <w:rFonts w:hint="eastAsia" w:cs="Times New Roman"/>
          <w:lang w:bidi="ar"/>
        </w:rPr>
        <w:t>地</w:t>
      </w:r>
      <w:r>
        <w:rPr>
          <w:rFonts w:cs="Times New Roman"/>
          <w:lang w:bidi="ar"/>
        </w:rPr>
        <w:t>、生态保护区等敏感目标</w:t>
      </w:r>
      <w:r>
        <w:rPr>
          <w:rFonts w:hint="eastAsia" w:cs="Times New Roman"/>
          <w:lang w:bidi="ar"/>
        </w:rPr>
        <w:t>，</w:t>
      </w:r>
      <w:r>
        <w:rPr>
          <w:rFonts w:cs="Times New Roman"/>
          <w:lang w:bidi="ar"/>
        </w:rPr>
        <w:t>应设置监测预警井，建立地下水环境风险预警体系，及时发现和应对污染迁移风险</w:t>
      </w:r>
      <w:r>
        <w:rPr>
          <w:rFonts w:hint="eastAsia" w:ascii="Segoe UI" w:hAnsi="Segoe UI" w:cs="Segoe UI"/>
          <w:szCs w:val="24"/>
          <w:shd w:val="clear" w:color="auto" w:fill="FFFFFF"/>
          <w:lang w:bidi="ar"/>
        </w:rPr>
        <w:t>。</w:t>
      </w:r>
    </w:p>
    <w:p w14:paraId="2A04C0FF">
      <w:pPr>
        <w:ind w:firstLine="0" w:firstLineChars="0"/>
        <w:rPr>
          <w:rFonts w:cs="Segoe UI"/>
          <w:szCs w:val="24"/>
          <w:shd w:val="clear" w:color="auto" w:fill="FFFFFF"/>
          <w:lang w:bidi="ar"/>
        </w:rPr>
      </w:pPr>
      <w:r>
        <w:rPr>
          <w:rFonts w:hint="eastAsia" w:cs="Segoe UI"/>
          <w:szCs w:val="24"/>
          <w:shd w:val="clear" w:color="auto" w:fill="FFFFFF"/>
          <w:lang w:bidi="ar"/>
        </w:rPr>
        <w:t>【条文说明】工矿区内部不同功能区的水文地质条件、潜在污染负荷及环境敏感性差异显著，实施“分区防控、分级施策”是实现精准、经济、高效管理的必然选择。对高风险区域采取刚性阻隔与实时监测，对低风险区域以常规防渗和雨水管理，对敏感目标则建立预警体系。所规定的防渗、渗漏检测、监测预警等技术均为在石油化工、危废处置等领域广泛应用且高度成熟的工程实践，具有良好的可靠性与可操作性</w:t>
      </w:r>
      <w:r>
        <w:rPr>
          <w:rFonts w:ascii="宋体" w:hAnsi="宋体" w:cs="Times New Roman"/>
        </w:rPr>
        <w:t>。</w:t>
      </w:r>
    </w:p>
    <w:p w14:paraId="136CBAF9">
      <w:pPr>
        <w:ind w:firstLine="0" w:firstLineChars="0"/>
        <w:rPr>
          <w:rFonts w:cs="Times New Roman"/>
          <w:color w:val="0000FF"/>
        </w:rPr>
      </w:pPr>
      <w:r>
        <w:rPr>
          <w:rFonts w:cs="Times New Roman"/>
          <w:b/>
          <w:bCs/>
        </w:rPr>
        <w:t>6.4.</w:t>
      </w:r>
      <w:r>
        <w:rPr>
          <w:rFonts w:hint="eastAsia" w:cs="Times New Roman"/>
          <w:b/>
          <w:bCs/>
        </w:rPr>
        <w:t>12</w:t>
      </w:r>
      <w:r>
        <w:rPr>
          <w:rFonts w:cs="Times New Roman"/>
          <w:b/>
          <w:bCs/>
          <w:color w:val="0000FF"/>
        </w:rPr>
        <w:t xml:space="preserve">  </w:t>
      </w:r>
      <w:r>
        <w:rPr>
          <w:rFonts w:hint="eastAsia" w:cs="Times New Roman"/>
        </w:rPr>
        <w:t>地下水污染修复技术筛选的流程应符合下列规定：</w:t>
      </w:r>
    </w:p>
    <w:p w14:paraId="4D4DAF1C">
      <w:pPr>
        <w:ind w:left="240" w:leftChars="100" w:firstLine="241" w:firstLineChars="100"/>
        <w:rPr>
          <w:rFonts w:ascii="Segoe UI" w:hAnsi="Segoe UI" w:cs="Segoe UI"/>
          <w:szCs w:val="24"/>
          <w:shd w:val="clear" w:color="auto" w:fill="FFFFFF"/>
          <w:lang w:bidi="ar"/>
        </w:rPr>
      </w:pPr>
      <w:r>
        <w:rPr>
          <w:rFonts w:hint="eastAsia" w:cs="Times New Roman"/>
          <w:b/>
          <w:bCs/>
          <w:lang w:bidi="ar"/>
        </w:rPr>
        <w:t>1</w:t>
      </w:r>
      <w:r>
        <w:rPr>
          <w:rFonts w:cs="Times New Roman"/>
          <w:lang w:bidi="ar"/>
        </w:rPr>
        <w:t xml:space="preserve"> </w:t>
      </w:r>
      <w:r>
        <w:rPr>
          <w:rFonts w:hint="eastAsia" w:cs="Times New Roman"/>
          <w:lang w:bidi="ar"/>
        </w:rPr>
        <w:t>应</w:t>
      </w:r>
      <w:r>
        <w:rPr>
          <w:rFonts w:cs="Times New Roman"/>
          <w:lang w:bidi="ar"/>
        </w:rPr>
        <w:t>基于</w:t>
      </w:r>
      <w:r>
        <w:rPr>
          <w:rFonts w:hint="eastAsia" w:cs="Times New Roman"/>
          <w:lang w:bidi="ar"/>
        </w:rPr>
        <w:t>污染源调查勘查和</w:t>
      </w:r>
      <w:r>
        <w:rPr>
          <w:rFonts w:cs="Times New Roman"/>
          <w:lang w:bidi="ar"/>
        </w:rPr>
        <w:t>风险评估结果，根据污染物</w:t>
      </w:r>
      <w:r>
        <w:rPr>
          <w:rFonts w:hint="eastAsia" w:cs="Times New Roman"/>
          <w:lang w:bidi="ar"/>
        </w:rPr>
        <w:t>的</w:t>
      </w:r>
      <w:r>
        <w:rPr>
          <w:rFonts w:cs="Times New Roman"/>
          <w:lang w:bidi="ar"/>
        </w:rPr>
        <w:t>理化性质、浓度分布、水文地质条件和修复目标，</w:t>
      </w:r>
      <w:r>
        <w:rPr>
          <w:rFonts w:hint="eastAsia" w:cs="Times New Roman"/>
          <w:lang w:bidi="ar"/>
        </w:rPr>
        <w:t>初步</w:t>
      </w:r>
      <w:r>
        <w:rPr>
          <w:rFonts w:cs="Times New Roman"/>
          <w:lang w:bidi="ar"/>
        </w:rPr>
        <w:t>筛选适用的修复技术</w:t>
      </w:r>
      <w:r>
        <w:rPr>
          <w:rFonts w:hint="eastAsia" w:ascii="Segoe UI" w:hAnsi="Segoe UI" w:cs="Segoe UI"/>
          <w:szCs w:val="24"/>
          <w:shd w:val="clear" w:color="auto" w:fill="FFFFFF"/>
          <w:lang w:bidi="ar"/>
        </w:rPr>
        <w:t>。</w:t>
      </w:r>
    </w:p>
    <w:p w14:paraId="3843980B">
      <w:pPr>
        <w:ind w:left="240" w:leftChars="100" w:firstLine="241" w:firstLineChars="100"/>
        <w:rPr>
          <w:rFonts w:ascii="Segoe UI" w:hAnsi="Segoe UI" w:cs="Segoe UI"/>
          <w:szCs w:val="24"/>
          <w:shd w:val="clear" w:color="auto" w:fill="FFFFFF"/>
          <w:lang w:bidi="ar"/>
        </w:rPr>
      </w:pPr>
      <w:r>
        <w:rPr>
          <w:rFonts w:hint="eastAsia" w:cs="Times New Roman"/>
          <w:b/>
          <w:bCs/>
          <w:lang w:bidi="ar"/>
        </w:rPr>
        <w:t>2</w:t>
      </w:r>
      <w:r>
        <w:rPr>
          <w:rFonts w:cs="Times New Roman"/>
          <w:lang w:bidi="ar"/>
        </w:rPr>
        <w:t xml:space="preserve"> </w:t>
      </w:r>
      <w:r>
        <w:rPr>
          <w:rFonts w:hint="eastAsia" w:cs="Times New Roman"/>
          <w:lang w:bidi="ar"/>
        </w:rPr>
        <w:t>应</w:t>
      </w:r>
      <w:r>
        <w:rPr>
          <w:rFonts w:cs="Times New Roman"/>
          <w:lang w:bidi="ar"/>
        </w:rPr>
        <w:t>通过实验室小试和现场中试，验证修复技术的适用性和处理效果，获取关键设计参数</w:t>
      </w:r>
      <w:r>
        <w:rPr>
          <w:rFonts w:hint="eastAsia" w:ascii="Segoe UI" w:hAnsi="Segoe UI" w:cs="Segoe UI"/>
          <w:szCs w:val="24"/>
          <w:shd w:val="clear" w:color="auto" w:fill="FFFFFF"/>
          <w:lang w:bidi="ar"/>
        </w:rPr>
        <w:t>。</w:t>
      </w:r>
    </w:p>
    <w:p w14:paraId="142CB3CB">
      <w:pPr>
        <w:ind w:left="240" w:leftChars="100" w:firstLine="241" w:firstLineChars="100"/>
        <w:rPr>
          <w:rFonts w:ascii="Segoe UI" w:hAnsi="Segoe UI" w:cs="Segoe UI"/>
          <w:szCs w:val="24"/>
          <w:shd w:val="clear" w:color="auto" w:fill="FFFFFF"/>
          <w:lang w:bidi="ar"/>
        </w:rPr>
      </w:pPr>
      <w:r>
        <w:rPr>
          <w:rFonts w:hint="eastAsia" w:cs="Times New Roman"/>
          <w:b/>
          <w:bCs/>
          <w:lang w:bidi="ar"/>
        </w:rPr>
        <w:t>3</w:t>
      </w:r>
      <w:r>
        <w:rPr>
          <w:rFonts w:cs="Times New Roman"/>
          <w:lang w:bidi="ar"/>
        </w:rPr>
        <w:t xml:space="preserve"> </w:t>
      </w:r>
      <w:r>
        <w:rPr>
          <w:rFonts w:hint="eastAsia" w:cs="Times New Roman"/>
          <w:lang w:bidi="ar"/>
        </w:rPr>
        <w:t>应</w:t>
      </w:r>
      <w:r>
        <w:rPr>
          <w:rFonts w:cs="Times New Roman"/>
          <w:lang w:bidi="ar"/>
        </w:rPr>
        <w:t>从处理效果、实施难度、成本、环境风险等方面进行综合评估，确定最优修复技术</w:t>
      </w:r>
      <w:r>
        <w:rPr>
          <w:rFonts w:hint="eastAsia" w:ascii="Segoe UI" w:hAnsi="Segoe UI" w:cs="Segoe UI"/>
          <w:szCs w:val="24"/>
          <w:shd w:val="clear" w:color="auto" w:fill="FFFFFF"/>
          <w:lang w:bidi="ar"/>
        </w:rPr>
        <w:t>。</w:t>
      </w:r>
    </w:p>
    <w:p w14:paraId="11FA2567">
      <w:pPr>
        <w:ind w:firstLine="0" w:firstLineChars="0"/>
        <w:rPr>
          <w:rFonts w:cs="Segoe UI"/>
          <w:szCs w:val="24"/>
          <w:shd w:val="clear" w:color="auto" w:fill="FFFFFF"/>
          <w:lang w:bidi="ar"/>
        </w:rPr>
      </w:pPr>
      <w:r>
        <w:rPr>
          <w:rFonts w:hint="eastAsia" w:cs="Segoe UI"/>
          <w:szCs w:val="24"/>
          <w:shd w:val="clear" w:color="auto" w:fill="FFFFFF"/>
          <w:lang w:bidi="ar"/>
        </w:rPr>
        <w:t>【条文说明】本条规定了地下水污染修复技术科学筛选的决策流程，强调基于场地特征与风险评估、通过试验验证并进行综合比选的标准化方法</w:t>
      </w:r>
      <w:r>
        <w:rPr>
          <w:rFonts w:ascii="宋体" w:hAnsi="宋体" w:cs="Times New Roman"/>
        </w:rPr>
        <w:t>。该流程旨在克服技术选择的盲目性，确保所选技术经济可行、环境安全且能达成修复目标。第一步“初步筛选”是基于认知做出理性判断；第二步“小试中试”是通过实践验证技术的场地适应性与有效性，规避工程风险；第三步“综合评估”是实现环境、技术与经济最优化的关键决策环节。</w:t>
      </w:r>
    </w:p>
    <w:p w14:paraId="44798BCD">
      <w:pPr>
        <w:ind w:firstLine="0" w:firstLineChars="0"/>
      </w:pPr>
      <w:r>
        <w:rPr>
          <w:rFonts w:cs="Times New Roman"/>
          <w:b/>
          <w:bCs/>
        </w:rPr>
        <w:t>6.4.</w:t>
      </w:r>
      <w:r>
        <w:rPr>
          <w:rFonts w:hint="eastAsia" w:cs="Times New Roman"/>
          <w:b/>
          <w:bCs/>
        </w:rPr>
        <w:t>13</w:t>
      </w:r>
      <w:r>
        <w:rPr>
          <w:rFonts w:cs="Times New Roman"/>
          <w:b/>
          <w:bCs/>
        </w:rPr>
        <w:t xml:space="preserve">  </w:t>
      </w:r>
      <w:r>
        <w:rPr>
          <w:rFonts w:hint="eastAsia" w:cs="Times New Roman"/>
          <w:lang w:bidi="ar"/>
        </w:rPr>
        <w:t>地下水污染修复技术宜</w:t>
      </w:r>
      <w:r>
        <w:rPr>
          <w:rFonts w:hint="eastAsia" w:cs="宋体"/>
          <w:lang w:bidi="ar"/>
        </w:rPr>
        <w:t>采用物理、化学或生物的方法降解、吸附、转移或阻隔污染物，并应符合下列规定：</w:t>
      </w:r>
    </w:p>
    <w:p w14:paraId="05F517D6">
      <w:pPr>
        <w:ind w:left="240" w:leftChars="100" w:firstLine="241" w:firstLineChars="100"/>
        <w:rPr>
          <w:rFonts w:cs="Times New Roman"/>
          <w:lang w:bidi="ar"/>
        </w:rPr>
      </w:pPr>
      <w:r>
        <w:rPr>
          <w:rFonts w:hint="eastAsia" w:cs="Times New Roman"/>
          <w:b/>
          <w:bCs/>
          <w:lang w:bidi="ar"/>
        </w:rPr>
        <w:t>1</w:t>
      </w:r>
      <w:r>
        <w:rPr>
          <w:rFonts w:cs="Times New Roman"/>
          <w:lang w:bidi="ar"/>
        </w:rPr>
        <w:t xml:space="preserve"> </w:t>
      </w:r>
      <w:r>
        <w:rPr>
          <w:rFonts w:hint="eastAsia" w:cs="Times New Roman"/>
          <w:lang w:bidi="ar"/>
        </w:rPr>
        <w:t>异位修复技术适用于渗透性较好的孔隙、裂隙和岩溶含水层，污染范围大、地下水埋深大的污染地块和采空区积水。</w:t>
      </w:r>
    </w:p>
    <w:p w14:paraId="26A0107C">
      <w:pPr>
        <w:ind w:left="240" w:leftChars="100" w:firstLine="241" w:firstLineChars="100"/>
      </w:pPr>
      <w:r>
        <w:rPr>
          <w:rFonts w:hint="eastAsia" w:cs="Times New Roman"/>
          <w:b/>
          <w:bCs/>
          <w:lang w:bidi="ar"/>
        </w:rPr>
        <w:t>2</w:t>
      </w:r>
      <w:r>
        <w:rPr>
          <w:rFonts w:cs="Times New Roman"/>
          <w:lang w:bidi="ar"/>
        </w:rPr>
        <w:t xml:space="preserve"> </w:t>
      </w:r>
      <w:r>
        <w:rPr>
          <w:rFonts w:hint="eastAsia" w:cs="Times New Roman"/>
          <w:lang w:bidi="ar"/>
        </w:rPr>
        <w:t>异位修复技术包括污染土体开挖法、抽取处理法、物理化学法和微生物法。</w:t>
      </w:r>
    </w:p>
    <w:p w14:paraId="65A5312C">
      <w:pPr>
        <w:ind w:left="240" w:leftChars="100" w:firstLine="241" w:firstLineChars="100"/>
        <w:rPr>
          <w:rFonts w:cs="Times New Roman"/>
          <w:lang w:bidi="ar"/>
        </w:rPr>
      </w:pPr>
      <w:r>
        <w:rPr>
          <w:rFonts w:hint="eastAsia" w:cs="Times New Roman"/>
          <w:b/>
          <w:bCs/>
          <w:lang w:bidi="ar"/>
        </w:rPr>
        <w:t>3</w:t>
      </w:r>
      <w:r>
        <w:rPr>
          <w:rFonts w:cs="Times New Roman"/>
          <w:b/>
          <w:bCs/>
          <w:lang w:bidi="ar"/>
        </w:rPr>
        <w:t xml:space="preserve"> </w:t>
      </w:r>
      <w:r>
        <w:rPr>
          <w:rFonts w:hint="eastAsia" w:cs="Times New Roman"/>
          <w:lang w:bidi="ar"/>
        </w:rPr>
        <w:t>原位修复技术包括污染土壤气体提取法、井中汽提法、空气搅动法、原位冲洗法、水平井法、加热法、可渗透反应屏障法、原位稳定-固化法、电动力学法、自然衰减法等。</w:t>
      </w:r>
    </w:p>
    <w:p w14:paraId="0D5C53CF">
      <w:pPr>
        <w:ind w:firstLine="0" w:firstLineChars="0"/>
        <w:rPr>
          <w:rFonts w:cs="Segoe UI"/>
          <w:szCs w:val="24"/>
          <w:shd w:val="clear" w:color="auto" w:fill="FFFFFF"/>
          <w:lang w:bidi="ar"/>
        </w:rPr>
      </w:pPr>
      <w:r>
        <w:rPr>
          <w:rFonts w:hint="eastAsia" w:cs="Segoe UI"/>
          <w:szCs w:val="24"/>
          <w:shd w:val="clear" w:color="auto" w:fill="FFFFFF"/>
          <w:lang w:bidi="ar"/>
        </w:rPr>
        <w:t>【条文说明】将修复技术划分为“异位”与“原位”两大类是基于其对场地扰动程度和工程介入方式的差异，这种分类是国际通用且科学严谨的框架。异位技术适用于水文地质条件较好、污染范围明确且易于挖掘或抽提，是出于工程可行性与成本效益的考虑。所列举的各项具体技术（如抽取处理、可渗透反应墙、原位化学氧化等）均是在国内外大量场地修复工程中得到广泛应用、验证并不断优化的成熟技术，其适用性、有效性及局限性均已得到充分认知，技术成熟度高，可为工矿区复杂多样的污染场景提供可靠、多元的解决方案。</w:t>
      </w:r>
    </w:p>
    <w:p w14:paraId="2A07D21D">
      <w:pPr>
        <w:ind w:firstLine="0" w:firstLineChars="0"/>
        <w:rPr>
          <w:rFonts w:ascii="Segoe UI" w:hAnsi="Segoe UI" w:cs="Segoe UI"/>
          <w:color w:val="0000FF"/>
          <w:szCs w:val="24"/>
          <w:shd w:val="clear" w:color="auto" w:fill="FFFFFF"/>
          <w:lang w:bidi="ar"/>
        </w:rPr>
      </w:pPr>
      <w:r>
        <w:rPr>
          <w:rFonts w:cs="Times New Roman"/>
          <w:b/>
          <w:bCs/>
        </w:rPr>
        <w:t>6.4.</w:t>
      </w:r>
      <w:r>
        <w:rPr>
          <w:rFonts w:hint="eastAsia" w:cs="Times New Roman"/>
          <w:b/>
          <w:bCs/>
        </w:rPr>
        <w:t>14</w:t>
      </w:r>
      <w:r>
        <w:rPr>
          <w:rFonts w:cs="Times New Roman"/>
          <w:b/>
          <w:bCs/>
          <w:color w:val="0000FF"/>
        </w:rPr>
        <w:t xml:space="preserve">  </w:t>
      </w:r>
      <w:r>
        <w:rPr>
          <w:rFonts w:hint="eastAsia" w:cs="Times New Roman"/>
        </w:rPr>
        <w:t>地下水污染</w:t>
      </w:r>
      <w:r>
        <w:rPr>
          <w:rFonts w:hint="eastAsia" w:cs="Segoe UI"/>
          <w:szCs w:val="24"/>
          <w:shd w:val="clear" w:color="auto" w:fill="FFFFFF"/>
          <w:lang w:bidi="ar"/>
        </w:rPr>
        <w:t>应急防控措施</w:t>
      </w:r>
      <w:r>
        <w:rPr>
          <w:rFonts w:hint="eastAsia" w:cs="宋体"/>
          <w:lang w:bidi="ar"/>
        </w:rPr>
        <w:t>应符合下列规定：</w:t>
      </w:r>
    </w:p>
    <w:p w14:paraId="091478EE">
      <w:pPr>
        <w:ind w:left="240" w:leftChars="100" w:firstLine="241" w:firstLineChars="100"/>
        <w:rPr>
          <w:rFonts w:cs="Times New Roman"/>
          <w:lang w:bidi="ar"/>
        </w:rPr>
      </w:pPr>
      <w:r>
        <w:rPr>
          <w:rFonts w:cs="Times New Roman"/>
          <w:b/>
          <w:bCs/>
          <w:lang w:bidi="ar"/>
        </w:rPr>
        <w:t>1</w:t>
      </w:r>
      <w:r>
        <w:rPr>
          <w:rFonts w:cs="Times New Roman"/>
          <w:lang w:bidi="ar"/>
        </w:rPr>
        <w:t xml:space="preserve"> </w:t>
      </w:r>
      <w:r>
        <w:rPr>
          <w:rFonts w:hint="eastAsia" w:cs="Times New Roman"/>
          <w:lang w:bidi="ar"/>
        </w:rPr>
        <w:t>应</w:t>
      </w:r>
      <w:r>
        <w:rPr>
          <w:rFonts w:cs="Times New Roman"/>
          <w:lang w:bidi="ar"/>
        </w:rPr>
        <w:t>制定地下水污染应急预案，明确应急组织体系、预警指标、响应程序和处置措施</w:t>
      </w:r>
      <w:r>
        <w:rPr>
          <w:rFonts w:hint="eastAsia" w:cs="Times New Roman"/>
          <w:lang w:bidi="ar"/>
        </w:rPr>
        <w:t>。</w:t>
      </w:r>
    </w:p>
    <w:p w14:paraId="7170067E">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cs="Times New Roman"/>
          <w:lang w:bidi="ar"/>
        </w:rPr>
        <w:t>应</w:t>
      </w:r>
      <w:r>
        <w:rPr>
          <w:rFonts w:cs="Times New Roman"/>
          <w:lang w:bidi="ar"/>
        </w:rPr>
        <w:t>定期演练</w:t>
      </w:r>
      <w:r>
        <w:rPr>
          <w:rFonts w:hint="eastAsia" w:cs="Times New Roman"/>
          <w:lang w:bidi="ar"/>
        </w:rPr>
        <w:t>并</w:t>
      </w:r>
      <w:r>
        <w:rPr>
          <w:rFonts w:cs="Times New Roman"/>
          <w:lang w:bidi="ar"/>
        </w:rPr>
        <w:t>更新地下水污染应急预案</w:t>
      </w:r>
      <w:r>
        <w:rPr>
          <w:rFonts w:hint="eastAsia" w:ascii="Segoe UI" w:hAnsi="Segoe UI" w:cs="Segoe UI"/>
          <w:szCs w:val="24"/>
          <w:shd w:val="clear" w:color="auto" w:fill="FFFFFF"/>
          <w:lang w:bidi="ar"/>
        </w:rPr>
        <w:t>。</w:t>
      </w:r>
    </w:p>
    <w:p w14:paraId="71B60D47">
      <w:pPr>
        <w:ind w:left="240" w:leftChars="100" w:firstLine="241" w:firstLineChars="100"/>
        <w:rPr>
          <w:rFonts w:ascii="Segoe UI" w:hAnsi="Segoe UI" w:eastAsia="Segoe UI" w:cs="Segoe UI"/>
          <w:szCs w:val="24"/>
          <w:shd w:val="clear" w:color="auto" w:fill="FFFFFF"/>
        </w:rPr>
      </w:pPr>
      <w:r>
        <w:rPr>
          <w:rFonts w:hint="eastAsia" w:cs="Times New Roman"/>
          <w:b/>
          <w:bCs/>
          <w:lang w:bidi="ar"/>
        </w:rPr>
        <w:t>3</w:t>
      </w:r>
      <w:r>
        <w:rPr>
          <w:rFonts w:cs="Times New Roman"/>
          <w:lang w:bidi="ar"/>
        </w:rPr>
        <w:t xml:space="preserve"> </w:t>
      </w:r>
      <w:r>
        <w:rPr>
          <w:rFonts w:hint="eastAsia" w:cs="Times New Roman"/>
          <w:lang w:bidi="ar"/>
        </w:rPr>
        <w:t>应</w:t>
      </w:r>
      <w:r>
        <w:rPr>
          <w:rFonts w:cs="Times New Roman"/>
          <w:lang w:bidi="ar"/>
        </w:rPr>
        <w:t>配备可移动式处理设备、吸附材料等应急</w:t>
      </w:r>
      <w:r>
        <w:rPr>
          <w:rFonts w:hint="eastAsia" w:cs="Times New Roman"/>
          <w:lang w:bidi="ar"/>
        </w:rPr>
        <w:t>设施</w:t>
      </w:r>
      <w:r>
        <w:rPr>
          <w:rFonts w:cs="Times New Roman"/>
          <w:lang w:bidi="ar"/>
        </w:rPr>
        <w:t>，</w:t>
      </w:r>
      <w:r>
        <w:rPr>
          <w:rFonts w:hint="eastAsia" w:cs="Times New Roman"/>
          <w:lang w:bidi="ar"/>
        </w:rPr>
        <w:t>发生</w:t>
      </w:r>
      <w:r>
        <w:rPr>
          <w:rFonts w:cs="Times New Roman"/>
          <w:lang w:bidi="ar"/>
        </w:rPr>
        <w:t>污染事件</w:t>
      </w:r>
      <w:r>
        <w:rPr>
          <w:rFonts w:hint="eastAsia" w:cs="Times New Roman"/>
          <w:lang w:bidi="ar"/>
        </w:rPr>
        <w:t>时应</w:t>
      </w:r>
      <w:r>
        <w:rPr>
          <w:rFonts w:cs="Times New Roman"/>
          <w:lang w:bidi="ar"/>
        </w:rPr>
        <w:t>立即启动应急措施，控制污染扩散</w:t>
      </w:r>
      <w:r>
        <w:rPr>
          <w:rFonts w:hint="eastAsia" w:ascii="Segoe UI" w:hAnsi="Segoe UI" w:cs="Segoe UI"/>
          <w:szCs w:val="24"/>
          <w:shd w:val="clear" w:color="auto" w:fill="FFFFFF"/>
          <w:lang w:bidi="ar"/>
        </w:rPr>
        <w:t>。</w:t>
      </w:r>
    </w:p>
    <w:p w14:paraId="70284038">
      <w:pPr>
        <w:ind w:left="240" w:leftChars="100" w:firstLine="241" w:firstLineChars="100"/>
        <w:rPr>
          <w:rFonts w:ascii="Segoe UI" w:hAnsi="Segoe UI" w:cs="Segoe UI"/>
          <w:szCs w:val="24"/>
          <w:shd w:val="clear" w:color="auto" w:fill="FFFFFF"/>
          <w:lang w:bidi="ar"/>
        </w:rPr>
      </w:pPr>
      <w:r>
        <w:rPr>
          <w:rFonts w:hint="eastAsia" w:cs="Times New Roman"/>
          <w:b/>
          <w:bCs/>
          <w:lang w:bidi="ar"/>
        </w:rPr>
        <w:t>4</w:t>
      </w:r>
      <w:r>
        <w:rPr>
          <w:rFonts w:cs="Times New Roman"/>
          <w:lang w:bidi="ar"/>
        </w:rPr>
        <w:t xml:space="preserve"> 对短期内难以彻底修复的污染场地，</w:t>
      </w:r>
      <w:r>
        <w:rPr>
          <w:rFonts w:hint="eastAsia" w:cs="Times New Roman"/>
          <w:lang w:bidi="ar"/>
        </w:rPr>
        <w:t>应</w:t>
      </w:r>
      <w:r>
        <w:rPr>
          <w:rFonts w:cs="Times New Roman"/>
          <w:lang w:bidi="ar"/>
        </w:rPr>
        <w:t>采取限制地下水开采、设置警示标志</w:t>
      </w:r>
      <w:r>
        <w:rPr>
          <w:rFonts w:hint="eastAsia" w:cs="Times New Roman"/>
          <w:lang w:bidi="ar"/>
        </w:rPr>
        <w:t>等</w:t>
      </w:r>
      <w:r>
        <w:rPr>
          <w:rFonts w:cs="Times New Roman"/>
          <w:lang w:bidi="ar"/>
        </w:rPr>
        <w:t>风险管控措施</w:t>
      </w:r>
      <w:r>
        <w:rPr>
          <w:rFonts w:hint="eastAsia" w:ascii="Segoe UI" w:hAnsi="Segoe UI" w:cs="Segoe UI"/>
          <w:szCs w:val="24"/>
          <w:shd w:val="clear" w:color="auto" w:fill="FFFFFF"/>
          <w:lang w:bidi="ar"/>
        </w:rPr>
        <w:t>。</w:t>
      </w:r>
    </w:p>
    <w:p w14:paraId="5334A60B">
      <w:pPr>
        <w:ind w:firstLine="0" w:firstLineChars="0"/>
        <w:rPr>
          <w:rFonts w:cs="Segoe UI"/>
          <w:szCs w:val="24"/>
          <w:shd w:val="clear" w:color="auto" w:fill="FFFFFF"/>
          <w:lang w:bidi="ar"/>
        </w:rPr>
      </w:pPr>
      <w:r>
        <w:rPr>
          <w:rFonts w:hint="eastAsia" w:cs="Segoe UI"/>
          <w:szCs w:val="24"/>
          <w:shd w:val="clear" w:color="auto" w:fill="FFFFFF"/>
          <w:lang w:bidi="ar"/>
        </w:rPr>
        <w:t>【条文说明】本条规定了地下水污染应急防控与风险管控的系统性要求，旨在建立“事前预防-事中应急-事后管控”的全过程管理机制。工矿区是环境风险高危区域，制定详实且可操作的应急预案并定期演练，是快速、有效响应突发污染事件，防止污染扩大的制度保障。配备可移动处理设备、吸附材料等是实施应急工程控制，快速切断污染途径的成熟、有效硬件手段。对短期内难以修复的场地，采取限制开采、设置警示等风险管控措施，是遵循风险管控思路，保护人体健康和环境安全的国际通行且成熟的做法。</w:t>
      </w:r>
    </w:p>
    <w:p w14:paraId="259C407B">
      <w:pPr>
        <w:ind w:firstLine="0" w:firstLineChars="0"/>
        <w:rPr>
          <w:rFonts w:ascii="宋体" w:hAnsi="宋体" w:cs="Times New Roman"/>
        </w:rPr>
      </w:pPr>
      <w:r>
        <w:rPr>
          <w:rFonts w:cs="Times New Roman"/>
          <w:b/>
          <w:bCs/>
        </w:rPr>
        <w:t>6.4.</w:t>
      </w:r>
      <w:r>
        <w:rPr>
          <w:rFonts w:hint="eastAsia" w:cs="Times New Roman"/>
          <w:b/>
          <w:bCs/>
        </w:rPr>
        <w:t>15</w:t>
      </w:r>
      <w:r>
        <w:rPr>
          <w:rFonts w:cs="Times New Roman"/>
          <w:b/>
          <w:bCs/>
        </w:rPr>
        <w:t xml:space="preserve">  </w:t>
      </w:r>
      <w:r>
        <w:rPr>
          <w:rFonts w:hint="eastAsia" w:ascii="宋体" w:hAnsi="宋体" w:cs="Times New Roman"/>
        </w:rPr>
        <w:t>生态需水计算应符合下列规定：</w:t>
      </w:r>
    </w:p>
    <w:p w14:paraId="76628047">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32"/>
        </w:rPr>
        <w:t>宜根据水文条件和历史生态特点，确定生态需水计算范围</w:t>
      </w:r>
      <w:r>
        <w:rPr>
          <w:rFonts w:hint="eastAsia" w:ascii="Segoe UI" w:hAnsi="Segoe UI" w:cs="Segoe UI"/>
          <w:szCs w:val="24"/>
          <w:shd w:val="clear" w:color="auto" w:fill="FFFFFF"/>
          <w:lang w:bidi="ar"/>
        </w:rPr>
        <w:t>。</w:t>
      </w:r>
    </w:p>
    <w:p w14:paraId="3BE01C94">
      <w:pPr>
        <w:ind w:left="240" w:leftChars="100" w:firstLine="241" w:firstLineChars="100"/>
        <w:rPr>
          <w:rFonts w:ascii="Segoe UI" w:hAnsi="Segoe UI" w:eastAsia="Segoe UI" w:cs="Segoe UI"/>
          <w:szCs w:val="24"/>
          <w:shd w:val="clear" w:color="auto" w:fill="FFFFFF"/>
        </w:rPr>
      </w:pPr>
      <w:r>
        <w:rPr>
          <w:rFonts w:cs="Segoe UI"/>
          <w:b/>
          <w:bCs/>
          <w:szCs w:val="24"/>
          <w:shd w:val="clear" w:color="auto" w:fill="FFFFFF"/>
          <w:lang w:bidi="ar"/>
        </w:rPr>
        <w:t>2</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32"/>
        </w:rPr>
        <w:t>应根据生态保护目标对应的水文过程要求，计算控制断面的基本生态流量、目标生态流量</w:t>
      </w:r>
      <w:r>
        <w:rPr>
          <w:rFonts w:hint="eastAsia" w:ascii="Segoe UI" w:hAnsi="Segoe UI" w:cs="Segoe UI"/>
          <w:szCs w:val="24"/>
          <w:shd w:val="clear" w:color="auto" w:fill="FFFFFF"/>
          <w:lang w:bidi="ar"/>
        </w:rPr>
        <w:t>。</w:t>
      </w:r>
    </w:p>
    <w:p w14:paraId="1FB52C1D">
      <w:pPr>
        <w:ind w:left="240" w:leftChars="100" w:firstLine="241" w:firstLineChars="100"/>
        <w:rPr>
          <w:rFonts w:ascii="Segoe UI" w:hAnsi="Segoe UI" w:cs="Segoe UI"/>
          <w:szCs w:val="24"/>
          <w:shd w:val="clear" w:color="auto" w:fill="FFFFFF"/>
          <w:lang w:bidi="ar"/>
        </w:rPr>
      </w:pPr>
      <w:r>
        <w:rPr>
          <w:rFonts w:hint="eastAsia" w:cs="Times New Roman"/>
          <w:b/>
          <w:bCs/>
          <w:lang w:bidi="ar"/>
        </w:rPr>
        <w:t>3</w:t>
      </w:r>
      <w:r>
        <w:rPr>
          <w:rFonts w:cs="Times New Roman"/>
          <w:lang w:bidi="ar"/>
        </w:rPr>
        <w:t xml:space="preserve"> </w:t>
      </w:r>
      <w:r>
        <w:rPr>
          <w:rFonts w:hint="eastAsia" w:ascii="宋体" w:hAnsi="宋体" w:cs="宋体"/>
          <w:spacing w:val="11"/>
          <w:kern w:val="21"/>
          <w:szCs w:val="32"/>
        </w:rPr>
        <w:t>应根据适用条件和数据获取情况选择合适的生态需水计算方法，并应符合现行行业标准《河湖生态环境需水计算规范》</w:t>
      </w:r>
      <w:r>
        <w:rPr>
          <w:rFonts w:cs="Times New Roman"/>
          <w:spacing w:val="11"/>
          <w:kern w:val="21"/>
          <w:szCs w:val="32"/>
        </w:rPr>
        <w:t>SL/T 712</w:t>
      </w:r>
      <w:r>
        <w:rPr>
          <w:rFonts w:hint="eastAsia" w:ascii="宋体" w:hAnsi="宋体" w:cs="宋体"/>
          <w:spacing w:val="11"/>
          <w:kern w:val="21"/>
          <w:szCs w:val="32"/>
        </w:rPr>
        <w:t>的规定</w:t>
      </w:r>
      <w:r>
        <w:rPr>
          <w:rFonts w:hint="eastAsia" w:ascii="Segoe UI" w:hAnsi="Segoe UI" w:cs="Segoe UI"/>
          <w:szCs w:val="24"/>
          <w:shd w:val="clear" w:color="auto" w:fill="FFFFFF"/>
          <w:lang w:bidi="ar"/>
        </w:rPr>
        <w:t>。</w:t>
      </w:r>
    </w:p>
    <w:p w14:paraId="046A1FEB">
      <w:pPr>
        <w:ind w:firstLine="0" w:firstLineChars="0"/>
        <w:rPr>
          <w:rFonts w:cs="Segoe UI"/>
          <w:szCs w:val="24"/>
          <w:shd w:val="clear" w:color="auto" w:fill="FFFFFF"/>
          <w:lang w:bidi="ar"/>
        </w:rPr>
      </w:pPr>
      <w:r>
        <w:rPr>
          <w:rFonts w:hint="eastAsia" w:cs="Segoe UI"/>
          <w:szCs w:val="24"/>
          <w:shd w:val="clear" w:color="auto" w:fill="FFFFFF"/>
          <w:lang w:bidi="ar"/>
        </w:rPr>
        <w:t>【条文说明】生态需水是维系工矿区及周边河湖生态系统结构与功能稳定的核心要素。条文规定的技术路线（明确范围→确定目标→选择方法），是当前水文生态学领域的科学共识。首先确定计算范围是基础，体现了因地制宜的原则；其次要求根据具体的生态保护目标（如维持鱼类洄游、湿地生存等）来推求不同保证率的生态流量，实现了从宏观目标到具体量化指标的转化；最后要求方法选择与SL/T 712保持一致，保证了计算工作的规范性、科学性和结果的可比性。</w:t>
      </w:r>
    </w:p>
    <w:p w14:paraId="76572381">
      <w:pPr>
        <w:ind w:firstLine="0" w:firstLineChars="0"/>
        <w:rPr>
          <w:rFonts w:ascii="宋体" w:hAnsi="宋体" w:cs="Times New Roman"/>
        </w:rPr>
      </w:pPr>
      <w:r>
        <w:rPr>
          <w:rFonts w:cs="Times New Roman"/>
          <w:b/>
          <w:bCs/>
        </w:rPr>
        <w:t>6.4.</w:t>
      </w:r>
      <w:r>
        <w:rPr>
          <w:rFonts w:hint="eastAsia" w:cs="Times New Roman"/>
          <w:b/>
          <w:bCs/>
        </w:rPr>
        <w:t>16</w:t>
      </w:r>
      <w:r>
        <w:rPr>
          <w:rFonts w:cs="Times New Roman"/>
          <w:b/>
          <w:bCs/>
        </w:rPr>
        <w:t xml:space="preserve">  </w:t>
      </w:r>
      <w:r>
        <w:rPr>
          <w:rFonts w:hint="eastAsia" w:cs="Times New Roman"/>
        </w:rPr>
        <w:t>水源保障措施</w:t>
      </w:r>
      <w:r>
        <w:rPr>
          <w:rFonts w:hint="eastAsia" w:ascii="宋体" w:hAnsi="宋体" w:cs="Times New Roman"/>
        </w:rPr>
        <w:t>应符合下列规定：</w:t>
      </w:r>
    </w:p>
    <w:p w14:paraId="07FA015B">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rPr>
        <w:t>应通过优化工矿区用水工艺、循环利用等方式，减少新鲜水取用量，增加河湖内生态水量</w:t>
      </w:r>
      <w:r>
        <w:rPr>
          <w:rFonts w:hint="eastAsia" w:ascii="Segoe UI" w:hAnsi="Segoe UI" w:cs="Segoe UI"/>
          <w:szCs w:val="24"/>
          <w:shd w:val="clear" w:color="auto" w:fill="FFFFFF"/>
          <w:lang w:bidi="ar"/>
        </w:rPr>
        <w:t>。</w:t>
      </w:r>
    </w:p>
    <w:p w14:paraId="1D12AC58">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ascii="宋体" w:hAnsi="宋体" w:cs="宋体"/>
          <w:spacing w:val="11"/>
          <w:kern w:val="21"/>
          <w:szCs w:val="24"/>
        </w:rPr>
        <w:t>水源的使用应从流域层面确定，宜采用多水源互为备用的方式</w:t>
      </w:r>
      <w:r>
        <w:rPr>
          <w:rFonts w:hint="eastAsia" w:ascii="Segoe UI" w:hAnsi="Segoe UI" w:cs="Segoe UI"/>
          <w:szCs w:val="24"/>
          <w:shd w:val="clear" w:color="auto" w:fill="FFFFFF"/>
          <w:lang w:bidi="ar"/>
        </w:rPr>
        <w:t>。</w:t>
      </w:r>
    </w:p>
    <w:p w14:paraId="706A6CDB">
      <w:pPr>
        <w:ind w:left="240" w:leftChars="100" w:firstLine="241" w:firstLineChars="100"/>
        <w:rPr>
          <w:rFonts w:ascii="Segoe UI" w:hAnsi="Segoe UI" w:eastAsia="Segoe UI" w:cs="Segoe UI"/>
          <w:szCs w:val="24"/>
          <w:shd w:val="clear" w:color="auto" w:fill="FFFFFF"/>
        </w:rPr>
      </w:pPr>
      <w:r>
        <w:rPr>
          <w:rFonts w:hint="eastAsia" w:cs="Segoe UI"/>
          <w:b/>
          <w:bCs/>
          <w:szCs w:val="24"/>
          <w:shd w:val="clear" w:color="auto" w:fill="FFFFFF"/>
          <w:lang w:bidi="ar"/>
        </w:rPr>
        <w:t>3</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宜优先采用再生水、雨水、自然水源作为补水水源</w:t>
      </w:r>
      <w:r>
        <w:rPr>
          <w:rFonts w:hint="eastAsia" w:ascii="Segoe UI" w:hAnsi="Segoe UI" w:cs="Segoe UI"/>
          <w:szCs w:val="24"/>
          <w:shd w:val="clear" w:color="auto" w:fill="FFFFFF"/>
          <w:lang w:bidi="ar"/>
        </w:rPr>
        <w:t>。</w:t>
      </w:r>
    </w:p>
    <w:p w14:paraId="3DDEF2F0">
      <w:pPr>
        <w:ind w:left="240" w:leftChars="100" w:firstLine="241" w:firstLineChars="100"/>
        <w:rPr>
          <w:rFonts w:ascii="Segoe UI" w:hAnsi="Segoe UI" w:cs="Segoe UI"/>
          <w:szCs w:val="24"/>
          <w:shd w:val="clear" w:color="auto" w:fill="FFFFFF"/>
          <w:lang w:bidi="ar"/>
        </w:rPr>
      </w:pPr>
      <w:r>
        <w:rPr>
          <w:rFonts w:hint="eastAsia" w:cs="Times New Roman"/>
          <w:b/>
          <w:bCs/>
          <w:lang w:bidi="ar"/>
        </w:rPr>
        <w:t>4</w:t>
      </w:r>
      <w:r>
        <w:rPr>
          <w:rFonts w:cs="Times New Roman"/>
          <w:lang w:bidi="ar"/>
        </w:rPr>
        <w:t xml:space="preserve"> </w:t>
      </w:r>
      <w:r>
        <w:rPr>
          <w:rFonts w:hint="eastAsia" w:cs="Times New Roman"/>
          <w:lang w:bidi="ar"/>
        </w:rPr>
        <w:t>宜</w:t>
      </w:r>
      <w:r>
        <w:rPr>
          <w:rFonts w:hint="eastAsia" w:ascii="宋体" w:hAnsi="宋体" w:cs="Times New Roman"/>
        </w:rPr>
        <w:t>充分利用矿井水、选矿废水和尾矿库废水。</w:t>
      </w:r>
    </w:p>
    <w:p w14:paraId="2D1AB1E3">
      <w:pPr>
        <w:ind w:left="240" w:leftChars="100" w:firstLine="241" w:firstLineChars="100"/>
        <w:rPr>
          <w:rFonts w:ascii="Segoe UI" w:hAnsi="Segoe UI" w:cs="Segoe UI"/>
          <w:szCs w:val="24"/>
          <w:shd w:val="clear" w:color="auto" w:fill="FFFFFF"/>
          <w:lang w:bidi="ar"/>
        </w:rPr>
      </w:pPr>
      <w:r>
        <w:rPr>
          <w:rFonts w:hint="eastAsia" w:cs="Times New Roman"/>
          <w:b/>
          <w:bCs/>
          <w:lang w:bidi="ar"/>
        </w:rPr>
        <w:t>5</w:t>
      </w:r>
      <w:r>
        <w:rPr>
          <w:rFonts w:cs="Times New Roman"/>
          <w:lang w:bidi="ar"/>
        </w:rPr>
        <w:t xml:space="preserve"> </w:t>
      </w:r>
      <w:r>
        <w:rPr>
          <w:rFonts w:hint="eastAsia" w:ascii="宋体" w:hAnsi="宋体" w:cs="宋体"/>
          <w:spacing w:val="11"/>
          <w:kern w:val="21"/>
          <w:szCs w:val="24"/>
        </w:rPr>
        <w:t>水源水质应满足水环境管理要求，并宜采用湿地等生态净化措施进一步提高水源水质</w:t>
      </w:r>
      <w:r>
        <w:rPr>
          <w:rFonts w:hint="eastAsia" w:ascii="Segoe UI" w:hAnsi="Segoe UI" w:cs="Segoe UI"/>
          <w:szCs w:val="24"/>
          <w:shd w:val="clear" w:color="auto" w:fill="FFFFFF"/>
          <w:lang w:bidi="ar"/>
        </w:rPr>
        <w:t>。</w:t>
      </w:r>
    </w:p>
    <w:p w14:paraId="74271CFD">
      <w:pPr>
        <w:ind w:left="240" w:leftChars="100" w:firstLine="241" w:firstLineChars="100"/>
        <w:rPr>
          <w:rFonts w:ascii="Segoe UI" w:hAnsi="Segoe UI" w:cs="Segoe UI"/>
          <w:szCs w:val="24"/>
          <w:shd w:val="clear" w:color="auto" w:fill="FFFFFF"/>
          <w:lang w:bidi="ar"/>
        </w:rPr>
      </w:pPr>
      <w:r>
        <w:rPr>
          <w:rFonts w:hint="eastAsia" w:cs="Times New Roman"/>
          <w:b/>
          <w:bCs/>
          <w:lang w:bidi="ar"/>
        </w:rPr>
        <w:t>6</w:t>
      </w:r>
      <w:r>
        <w:rPr>
          <w:rFonts w:cs="Times New Roman"/>
          <w:lang w:bidi="ar"/>
        </w:rPr>
        <w:t xml:space="preserve"> </w:t>
      </w:r>
      <w:r>
        <w:rPr>
          <w:rFonts w:hint="eastAsia" w:ascii="宋体" w:hAnsi="宋体" w:cs="宋体"/>
          <w:spacing w:val="11"/>
          <w:kern w:val="21"/>
          <w:szCs w:val="24"/>
        </w:rPr>
        <w:t>补水规模应满足生态需水量要求并兼顾景观水位</w:t>
      </w:r>
      <w:r>
        <w:rPr>
          <w:rFonts w:hint="eastAsia" w:ascii="Segoe UI" w:hAnsi="Segoe UI" w:cs="Segoe UI"/>
          <w:szCs w:val="24"/>
          <w:shd w:val="clear" w:color="auto" w:fill="FFFFFF"/>
          <w:lang w:bidi="ar"/>
        </w:rPr>
        <w:t>。</w:t>
      </w:r>
    </w:p>
    <w:p w14:paraId="1B9019B6">
      <w:pPr>
        <w:ind w:firstLine="0" w:firstLineChars="0"/>
        <w:rPr>
          <w:rFonts w:ascii="宋体" w:hAnsi="宋体" w:cs="Times New Roman"/>
        </w:rPr>
      </w:pPr>
      <w:r>
        <w:rPr>
          <w:rFonts w:hint="eastAsia" w:cs="Segoe UI"/>
          <w:szCs w:val="24"/>
          <w:shd w:val="clear" w:color="auto" w:fill="FFFFFF"/>
          <w:lang w:bidi="ar"/>
        </w:rPr>
        <w:t>【条文说明】</w:t>
      </w:r>
      <w:r>
        <w:rPr>
          <w:rFonts w:ascii="宋体" w:hAnsi="宋体" w:cs="Times New Roman"/>
        </w:rPr>
        <w:t>保障生态水源是工矿区生态修复成功的关键。条文首先强调“节流”，通过内部节水从源头增加可用于生态的水量，是最优先、最经济的措施。其次强调“开源”与“优化配置”，要求从流域层面统筹，并优先利用再生水、雨水、矿井水、选矿废水和尾矿库废水等非常规水源，减少废水外排，以实现资源的循环利用，这既符合国家节水战略，也体现了“以废治废”的工矿区特色，技术成熟度高且经济效益显著。最后对“水质”和“水量”提出双重管控要求，确保补水安全有效，其中推荐的生态净化措施是经过广泛验证的低碳技术。整套措施构成了一个从源头到末端、从水量到水质的完整、成熟、可靠的技术体系。</w:t>
      </w:r>
    </w:p>
    <w:p w14:paraId="02372214">
      <w:pPr>
        <w:ind w:firstLine="0" w:firstLineChars="0"/>
        <w:rPr>
          <w:rFonts w:cs="Times New Roman"/>
        </w:rPr>
      </w:pPr>
      <w:r>
        <w:rPr>
          <w:rFonts w:cs="Times New Roman"/>
          <w:b/>
          <w:bCs/>
        </w:rPr>
        <w:t>6.4.</w:t>
      </w:r>
      <w:r>
        <w:rPr>
          <w:rFonts w:hint="eastAsia" w:cs="Times New Roman"/>
          <w:b/>
          <w:bCs/>
        </w:rPr>
        <w:t>17</w:t>
      </w:r>
      <w:r>
        <w:rPr>
          <w:rFonts w:cs="Times New Roman"/>
          <w:b/>
          <w:bCs/>
        </w:rPr>
        <w:t xml:space="preserve">  </w:t>
      </w:r>
      <w:r>
        <w:rPr>
          <w:rFonts w:hint="eastAsia" w:cs="Times New Roman"/>
        </w:rPr>
        <w:t>水文调控措施</w:t>
      </w:r>
      <w:r>
        <w:rPr>
          <w:rFonts w:hint="eastAsia" w:ascii="宋体" w:hAnsi="宋体" w:cs="Times New Roman"/>
        </w:rPr>
        <w:t>应符合下列规定：</w:t>
      </w:r>
    </w:p>
    <w:p w14:paraId="18230D45">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32"/>
        </w:rPr>
        <w:t>应分析水系格局、水资源禀赋，充分利用现状水利工程及自然动能，根据生态需水量提出</w:t>
      </w:r>
      <w:r>
        <w:rPr>
          <w:rFonts w:hint="eastAsia" w:cs="Times New Roman"/>
        </w:rPr>
        <w:t>水文</w:t>
      </w:r>
      <w:r>
        <w:rPr>
          <w:rFonts w:hint="eastAsia" w:ascii="宋体" w:hAnsi="宋体" w:cs="宋体"/>
          <w:spacing w:val="11"/>
          <w:kern w:val="21"/>
          <w:szCs w:val="32"/>
        </w:rPr>
        <w:t>调控措施</w:t>
      </w:r>
      <w:r>
        <w:rPr>
          <w:rFonts w:hint="eastAsia" w:ascii="Segoe UI" w:hAnsi="Segoe UI" w:cs="Segoe UI"/>
          <w:szCs w:val="24"/>
          <w:shd w:val="clear" w:color="auto" w:fill="FFFFFF"/>
          <w:lang w:bidi="ar"/>
        </w:rPr>
        <w:t>。</w:t>
      </w:r>
    </w:p>
    <w:p w14:paraId="13C0C5CC">
      <w:pPr>
        <w:ind w:left="240" w:leftChars="100" w:firstLine="241" w:firstLineChars="100"/>
        <w:rPr>
          <w:rFonts w:ascii="Segoe UI" w:hAnsi="Segoe UI" w:eastAsia="Segoe UI" w:cs="Segoe UI"/>
          <w:szCs w:val="24"/>
          <w:shd w:val="clear" w:color="auto" w:fill="FFFFFF"/>
        </w:rPr>
      </w:pPr>
      <w:r>
        <w:rPr>
          <w:rFonts w:cs="Segoe UI"/>
          <w:b/>
          <w:bCs/>
          <w:szCs w:val="24"/>
          <w:shd w:val="clear" w:color="auto" w:fill="FFFFFF"/>
          <w:lang w:bidi="ar"/>
        </w:rPr>
        <w:t>2</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32"/>
        </w:rPr>
        <w:t>水系较复杂的平原河网区域宜采用水质、水动力模型识别河网关键节点，优化调控措施</w:t>
      </w:r>
      <w:r>
        <w:rPr>
          <w:rFonts w:hint="eastAsia" w:ascii="Segoe UI" w:hAnsi="Segoe UI" w:cs="Segoe UI"/>
          <w:szCs w:val="24"/>
          <w:shd w:val="clear" w:color="auto" w:fill="FFFFFF"/>
          <w:lang w:bidi="ar"/>
        </w:rPr>
        <w:t>。</w:t>
      </w:r>
    </w:p>
    <w:p w14:paraId="6570D04A">
      <w:pPr>
        <w:ind w:left="240" w:leftChars="100" w:firstLine="241" w:firstLineChars="100"/>
        <w:rPr>
          <w:rFonts w:ascii="Segoe UI" w:hAnsi="Segoe UI" w:cs="Segoe UI"/>
          <w:szCs w:val="24"/>
          <w:shd w:val="clear" w:color="auto" w:fill="FFFFFF"/>
          <w:lang w:bidi="ar"/>
        </w:rPr>
      </w:pPr>
      <w:r>
        <w:rPr>
          <w:rFonts w:hint="eastAsia" w:cs="Times New Roman"/>
          <w:b/>
          <w:bCs/>
          <w:lang w:bidi="ar"/>
        </w:rPr>
        <w:t>3</w:t>
      </w:r>
      <w:r>
        <w:rPr>
          <w:rFonts w:cs="Times New Roman"/>
          <w:lang w:bidi="ar"/>
        </w:rPr>
        <w:t xml:space="preserve"> </w:t>
      </w:r>
      <w:r>
        <w:rPr>
          <w:rFonts w:hint="eastAsia" w:ascii="宋体" w:hAnsi="宋体" w:cs="宋体"/>
          <w:spacing w:val="11"/>
          <w:kern w:val="21"/>
          <w:szCs w:val="32"/>
        </w:rPr>
        <w:t>山区河流应充分利用调节能力较强的水库，利用汛期中小洪水，合理安排下泄量及时段，提出上、下游梯级联合调控措施</w:t>
      </w:r>
      <w:r>
        <w:rPr>
          <w:rFonts w:hint="eastAsia" w:ascii="Segoe UI" w:hAnsi="Segoe UI" w:cs="Segoe UI"/>
          <w:szCs w:val="24"/>
          <w:shd w:val="clear" w:color="auto" w:fill="FFFFFF"/>
          <w:lang w:bidi="ar"/>
        </w:rPr>
        <w:t>。</w:t>
      </w:r>
    </w:p>
    <w:p w14:paraId="33F39507">
      <w:pPr>
        <w:ind w:left="240" w:leftChars="100" w:firstLine="241" w:firstLineChars="100"/>
        <w:rPr>
          <w:rFonts w:ascii="Segoe UI" w:hAnsi="Segoe UI" w:cs="Segoe UI"/>
          <w:szCs w:val="24"/>
          <w:shd w:val="clear" w:color="auto" w:fill="FFFFFF"/>
          <w:lang w:bidi="ar"/>
        </w:rPr>
      </w:pPr>
      <w:r>
        <w:rPr>
          <w:rFonts w:hint="eastAsia" w:cs="Times New Roman"/>
          <w:b/>
          <w:bCs/>
          <w:lang w:bidi="ar"/>
        </w:rPr>
        <w:t>4</w:t>
      </w:r>
      <w:r>
        <w:rPr>
          <w:rFonts w:cs="Times New Roman"/>
          <w:lang w:bidi="ar"/>
        </w:rPr>
        <w:t xml:space="preserve"> </w:t>
      </w:r>
      <w:r>
        <w:rPr>
          <w:rFonts w:hint="eastAsia"/>
        </w:rPr>
        <w:t>应设置水位调控装置，维持水位在生态系统允许的波动范围内</w:t>
      </w:r>
      <w:r>
        <w:rPr>
          <w:rFonts w:hint="eastAsia" w:ascii="Segoe UI" w:hAnsi="Segoe UI" w:cs="Segoe UI"/>
          <w:szCs w:val="24"/>
          <w:shd w:val="clear" w:color="auto" w:fill="FFFFFF"/>
          <w:lang w:bidi="ar"/>
        </w:rPr>
        <w:t>。</w:t>
      </w:r>
    </w:p>
    <w:p w14:paraId="22A907D5">
      <w:pPr>
        <w:ind w:left="240" w:leftChars="100" w:firstLine="241" w:firstLineChars="100"/>
        <w:rPr>
          <w:rFonts w:ascii="Segoe UI" w:hAnsi="Segoe UI" w:cs="Segoe UI"/>
          <w:szCs w:val="24"/>
          <w:shd w:val="clear" w:color="auto" w:fill="FFFFFF"/>
          <w:lang w:bidi="ar"/>
        </w:rPr>
      </w:pPr>
      <w:r>
        <w:rPr>
          <w:rFonts w:hint="eastAsia" w:cs="Times New Roman"/>
          <w:b/>
          <w:bCs/>
          <w:lang w:bidi="ar"/>
        </w:rPr>
        <w:t>5</w:t>
      </w:r>
      <w:r>
        <w:rPr>
          <w:rFonts w:cs="Times New Roman"/>
          <w:lang w:bidi="ar"/>
        </w:rPr>
        <w:t xml:space="preserve"> </w:t>
      </w:r>
      <w:r>
        <w:rPr>
          <w:rFonts w:hint="eastAsia" w:cs="Times New Roman"/>
          <w:lang w:bidi="ar"/>
        </w:rPr>
        <w:t>对流动性较差、藻类密度较高的封闭或半封闭景观水体，宜经充分评估论证后实施水动力循环工程</w:t>
      </w:r>
      <w:r>
        <w:rPr>
          <w:rFonts w:hint="eastAsia" w:ascii="Segoe UI" w:hAnsi="Segoe UI" w:cs="Segoe UI"/>
          <w:szCs w:val="24"/>
          <w:shd w:val="clear" w:color="auto" w:fill="FFFFFF"/>
          <w:lang w:bidi="ar"/>
        </w:rPr>
        <w:t>。</w:t>
      </w:r>
    </w:p>
    <w:p w14:paraId="499E4B7F">
      <w:pPr>
        <w:ind w:firstLine="0" w:firstLineChars="0"/>
        <w:rPr>
          <w:rFonts w:cs="Segoe UI"/>
          <w:szCs w:val="24"/>
          <w:shd w:val="clear" w:color="auto" w:fill="FFFFFF"/>
          <w:lang w:bidi="ar"/>
        </w:rPr>
      </w:pPr>
      <w:r>
        <w:rPr>
          <w:rFonts w:hint="eastAsia" w:cs="Segoe UI"/>
          <w:szCs w:val="24"/>
          <w:shd w:val="clear" w:color="auto" w:fill="FFFFFF"/>
          <w:lang w:bidi="ar"/>
        </w:rPr>
        <w:t>【条文说明】水文过程是河湖生态系统的核心驱动因子。条文对平原河网与山区河流的不同水文特点，提出了差异化的精准调控策略：平原河网借助水动力水质模型识别关键节点进行优化调度，山区则利用水库群的防洪与蓄水调节能力实施生态泄流与梯级联合调度，这些都是流域管理中经过验证的成熟技术。设置水位调控装置是维持岸边带生态系统稳定的直接有效手段。对封闭水体建议实施水动力循环，则是基于控制藻类、改善水质的成熟工程实践。整套措施构成了一个从分析到调控、从模型到工程的层次分明、安全可靠的技术体系</w:t>
      </w:r>
      <w:r>
        <w:rPr>
          <w:rFonts w:ascii="宋体" w:hAnsi="宋体" w:cs="Times New Roman"/>
        </w:rPr>
        <w:t>。</w:t>
      </w:r>
    </w:p>
    <w:p w14:paraId="52CED1BB">
      <w:pPr>
        <w:ind w:firstLine="0" w:firstLineChars="0"/>
        <w:rPr>
          <w:rFonts w:ascii="宋体" w:hAnsi="宋体" w:cs="Times New Roman"/>
        </w:rPr>
      </w:pPr>
      <w:r>
        <w:rPr>
          <w:rFonts w:cs="Times New Roman"/>
          <w:b/>
          <w:bCs/>
        </w:rPr>
        <w:t>6.4.</w:t>
      </w:r>
      <w:r>
        <w:rPr>
          <w:rFonts w:hint="eastAsia" w:cs="Times New Roman"/>
          <w:b/>
          <w:bCs/>
        </w:rPr>
        <w:t>18</w:t>
      </w:r>
      <w:r>
        <w:rPr>
          <w:rFonts w:cs="Times New Roman"/>
          <w:b/>
          <w:bCs/>
        </w:rPr>
        <w:t xml:space="preserve">  </w:t>
      </w:r>
      <w:r>
        <w:rPr>
          <w:rFonts w:hint="eastAsia" w:cs="Times New Roman"/>
        </w:rPr>
        <w:t>河流</w:t>
      </w:r>
      <w:r>
        <w:rPr>
          <w:rFonts w:hint="eastAsia" w:ascii="宋体" w:hAnsi="宋体" w:cs="Times New Roman"/>
        </w:rPr>
        <w:t>平面形态修复</w:t>
      </w:r>
      <w:r>
        <w:rPr>
          <w:rFonts w:hint="eastAsia" w:cs="Times New Roman"/>
        </w:rPr>
        <w:t>措施</w:t>
      </w:r>
      <w:r>
        <w:rPr>
          <w:rFonts w:hint="eastAsia" w:ascii="宋体" w:hAnsi="宋体" w:cs="Times New Roman"/>
        </w:rPr>
        <w:t>应符合下列规定：</w:t>
      </w:r>
    </w:p>
    <w:p w14:paraId="6350CFEB">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24"/>
        </w:rPr>
        <w:t>河流平面形态修复应根据地域特点、水系格局、行洪治涝、通航、用地规划等情况，遵循宜宽则宽、宜弯则弯的原则，恢复河流平面形态蜿蜒性，合理确定平面形态参数</w:t>
      </w:r>
      <w:r>
        <w:rPr>
          <w:rFonts w:hint="eastAsia" w:ascii="Segoe UI" w:hAnsi="Segoe UI" w:cs="Segoe UI"/>
          <w:szCs w:val="24"/>
          <w:shd w:val="clear" w:color="auto" w:fill="FFFFFF"/>
          <w:lang w:bidi="ar"/>
        </w:rPr>
        <w:t>。</w:t>
      </w:r>
    </w:p>
    <w:p w14:paraId="2E45542C">
      <w:pPr>
        <w:ind w:left="240" w:leftChars="100" w:firstLine="241" w:firstLineChars="100"/>
        <w:rPr>
          <w:rFonts w:ascii="Segoe UI" w:hAnsi="Segoe UI" w:cs="Segoe UI"/>
          <w:szCs w:val="24"/>
          <w:shd w:val="clear" w:color="auto" w:fill="FFFFFF"/>
          <w:lang w:bidi="ar"/>
        </w:rPr>
      </w:pPr>
      <w:r>
        <w:rPr>
          <w:rFonts w:cs="Segoe UI"/>
          <w:b/>
          <w:bCs/>
          <w:szCs w:val="24"/>
          <w:shd w:val="clear" w:color="auto" w:fill="FFFFFF"/>
          <w:lang w:bidi="ar"/>
        </w:rPr>
        <w:t>2</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当受到用地等条件限制，无法修复河流平面形态蜿蜒性时，宜构造主河槽内水流的蜿蜒特性</w:t>
      </w:r>
      <w:r>
        <w:rPr>
          <w:rFonts w:hint="eastAsia" w:ascii="Segoe UI" w:hAnsi="Segoe UI" w:cs="Segoe UI"/>
          <w:szCs w:val="24"/>
          <w:shd w:val="clear" w:color="auto" w:fill="FFFFFF"/>
          <w:lang w:bidi="ar"/>
        </w:rPr>
        <w:t>。</w:t>
      </w:r>
    </w:p>
    <w:p w14:paraId="34BAE1BE">
      <w:pPr>
        <w:ind w:firstLine="0" w:firstLineChars="0"/>
        <w:rPr>
          <w:rFonts w:cs="Segoe UI"/>
          <w:szCs w:val="24"/>
          <w:shd w:val="clear" w:color="auto" w:fill="FFFFFF"/>
          <w:lang w:bidi="ar"/>
        </w:rPr>
      </w:pPr>
      <w:r>
        <w:rPr>
          <w:rFonts w:hint="eastAsia" w:cs="Segoe UI"/>
          <w:szCs w:val="24"/>
          <w:shd w:val="clear" w:color="auto" w:fill="FFFFFF"/>
          <w:lang w:bidi="ar"/>
        </w:rPr>
        <w:t>【条文说明】自然的蜿蜒形态是河流生态系统健康的核心标志，能增加水流多样性、增强水体自净能力、为水生生物创造丰富栖息地。首先确立了“宜宽则宽、宜弯则弯”的总体原则，这是生态水利学领域的普遍共识和成熟设计理念，要求基于地域特点与多重约束条件进行系统性规划。当受限于城市工矿区既有布局而无法实施大规模平面形态改造时，提出在主河槽内构造水流蜿蜒特性（如通过设置丁坝、潜坝、导流设施等），是一种行之有效的生态补偿技术。该技术通过局部水流扰动创造多样的流速与水深条件，模拟自然河流的部分生态功能，在国内外近自然修复工程中已有大量成熟、成功应用案例，技术可行和生态效益显著。</w:t>
      </w:r>
    </w:p>
    <w:p w14:paraId="007313FD">
      <w:pPr>
        <w:ind w:firstLine="0" w:firstLineChars="0"/>
        <w:rPr>
          <w:rFonts w:ascii="宋体" w:hAnsi="宋体" w:cs="Times New Roman"/>
        </w:rPr>
      </w:pPr>
      <w:r>
        <w:rPr>
          <w:rFonts w:cs="Times New Roman"/>
          <w:b/>
          <w:bCs/>
        </w:rPr>
        <w:t>6.4.</w:t>
      </w:r>
      <w:r>
        <w:rPr>
          <w:rFonts w:hint="eastAsia" w:cs="Times New Roman"/>
          <w:b/>
          <w:bCs/>
        </w:rPr>
        <w:t>19</w:t>
      </w:r>
      <w:r>
        <w:rPr>
          <w:rFonts w:cs="Times New Roman"/>
          <w:b/>
          <w:bCs/>
        </w:rPr>
        <w:t xml:space="preserve">  </w:t>
      </w:r>
      <w:r>
        <w:rPr>
          <w:rFonts w:hint="eastAsia" w:cs="Times New Roman"/>
        </w:rPr>
        <w:t>河流断面多样性修复措施</w:t>
      </w:r>
      <w:r>
        <w:rPr>
          <w:rFonts w:hint="eastAsia" w:ascii="宋体" w:hAnsi="宋体" w:cs="Times New Roman"/>
        </w:rPr>
        <w:t>应符合下列规定：</w:t>
      </w:r>
    </w:p>
    <w:p w14:paraId="59D27BD8">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24"/>
        </w:rPr>
        <w:t>河流断面多样性修复应在满足行洪的前提下，以改善水生态系统结构、保护水生生物栖息地和促进生物多样性为目标</w:t>
      </w:r>
      <w:r>
        <w:rPr>
          <w:rFonts w:hint="eastAsia" w:ascii="Segoe UI" w:hAnsi="Segoe UI" w:cs="Segoe UI"/>
          <w:szCs w:val="24"/>
          <w:shd w:val="clear" w:color="auto" w:fill="FFFFFF"/>
          <w:lang w:bidi="ar"/>
        </w:rPr>
        <w:t>。</w:t>
      </w:r>
    </w:p>
    <w:p w14:paraId="7AE5EA61">
      <w:pPr>
        <w:ind w:left="240" w:leftChars="100" w:firstLine="241" w:firstLineChars="100"/>
        <w:rPr>
          <w:rFonts w:ascii="Segoe UI" w:hAnsi="Segoe UI" w:cs="Segoe UI"/>
          <w:szCs w:val="24"/>
          <w:shd w:val="clear" w:color="auto" w:fill="FFFFFF"/>
          <w:lang w:bidi="ar"/>
        </w:rPr>
      </w:pPr>
      <w:r>
        <w:rPr>
          <w:rFonts w:cs="Segoe UI"/>
          <w:b/>
          <w:bCs/>
          <w:szCs w:val="24"/>
          <w:shd w:val="clear" w:color="auto" w:fill="FFFFFF"/>
          <w:lang w:bidi="ar"/>
        </w:rPr>
        <w:t>2</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应结合现状河床地貌特征、水力条件等因素，顺应自然走势，分段确定河床纵坡，不宜全河段按同一坡比设计，应与栖息地改善措施相结合，形成一定的渐变空间</w:t>
      </w:r>
      <w:r>
        <w:rPr>
          <w:rFonts w:hint="eastAsia" w:ascii="Segoe UI" w:hAnsi="Segoe UI" w:cs="Segoe UI"/>
          <w:szCs w:val="24"/>
          <w:shd w:val="clear" w:color="auto" w:fill="FFFFFF"/>
          <w:lang w:bidi="ar"/>
        </w:rPr>
        <w:t>。</w:t>
      </w:r>
    </w:p>
    <w:p w14:paraId="615D7988">
      <w:pPr>
        <w:ind w:left="240" w:leftChars="100" w:firstLine="241" w:firstLineChars="100"/>
        <w:rPr>
          <w:rFonts w:ascii="Segoe UI" w:hAnsi="Segoe UI" w:eastAsia="Segoe UI" w:cs="Segoe UI"/>
          <w:szCs w:val="24"/>
          <w:shd w:val="clear" w:color="auto" w:fill="FFFFFF"/>
        </w:rPr>
      </w:pPr>
      <w:r>
        <w:rPr>
          <w:rFonts w:hint="eastAsia" w:cs="Times New Roman"/>
          <w:b/>
          <w:bCs/>
          <w:lang w:bidi="ar"/>
        </w:rPr>
        <w:t>3</w:t>
      </w:r>
      <w:r>
        <w:rPr>
          <w:rFonts w:cs="Times New Roman"/>
          <w:lang w:bidi="ar"/>
        </w:rPr>
        <w:t xml:space="preserve"> </w:t>
      </w:r>
      <w:r>
        <w:rPr>
          <w:rFonts w:hint="eastAsia" w:ascii="宋体" w:hAnsi="宋体" w:cs="宋体"/>
          <w:spacing w:val="11"/>
          <w:kern w:val="21"/>
          <w:szCs w:val="24"/>
        </w:rPr>
        <w:t>河流横断面多样性修复应综合考虑河流功能、行洪安全、泥沙冲淤等因素，设置主河槽、河漫滩、河滨带等多种地貌形态，因地制宜采用复合断面，不应采用规则几何断面</w:t>
      </w:r>
      <w:r>
        <w:rPr>
          <w:rFonts w:hint="eastAsia" w:ascii="Segoe UI" w:hAnsi="Segoe UI" w:cs="Segoe UI"/>
          <w:szCs w:val="24"/>
          <w:shd w:val="clear" w:color="auto" w:fill="FFFFFF"/>
          <w:lang w:bidi="ar"/>
        </w:rPr>
        <w:t>。</w:t>
      </w:r>
    </w:p>
    <w:p w14:paraId="5A0C3EA1">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4</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宜在河流或主河槽内结合生态系统需求合理布设深潭-浅滩序列，深潭-浅滩的布置位置、大小、组合及深度应根据河流水文特性确定</w:t>
      </w:r>
      <w:r>
        <w:rPr>
          <w:rFonts w:hint="eastAsia" w:ascii="Segoe UI" w:hAnsi="Segoe UI" w:cs="Segoe UI"/>
          <w:szCs w:val="24"/>
          <w:shd w:val="clear" w:color="auto" w:fill="FFFFFF"/>
          <w:lang w:bidi="ar"/>
        </w:rPr>
        <w:t>。</w:t>
      </w:r>
    </w:p>
    <w:p w14:paraId="22CB99BB">
      <w:pPr>
        <w:ind w:firstLine="0" w:firstLineChars="0"/>
        <w:rPr>
          <w:rFonts w:cs="Segoe UI"/>
          <w:szCs w:val="24"/>
          <w:shd w:val="clear" w:color="auto" w:fill="FFFFFF"/>
          <w:lang w:bidi="ar"/>
        </w:rPr>
      </w:pPr>
      <w:r>
        <w:rPr>
          <w:rFonts w:hint="eastAsia" w:cs="Segoe UI"/>
          <w:szCs w:val="24"/>
          <w:shd w:val="clear" w:color="auto" w:fill="FFFFFF"/>
          <w:lang w:bidi="ar"/>
        </w:rPr>
        <w:t>【条文说明】自然多样的断面形态是河流生态系统健康的物理基础。修复工作必须在保障行洪安全的前提下，以生态改善为核心目标，体现了统筹安全与生态的现代治河理念。规定纵坡设计应顺应自然、避免单一坡比，是为了形成多样化的流速与水深，满足不同水生生物的需求；要求采用复合断面而非规则几何断面，是为了恢复河漫滩与滨岸带的栖息地与过滤净化功能，均是生态学的成熟原理。特别推荐的“深潭-浅滩序列”是河流地貌学的核心概念，其营造技术在国际上及国内的生态修复工程中均已广泛应用，是创造优质栖息地、增强生物多样性的高度成熟且效果显著的关键技术措施。</w:t>
      </w:r>
    </w:p>
    <w:p w14:paraId="77D55C58">
      <w:pPr>
        <w:ind w:firstLine="0" w:firstLineChars="0"/>
        <w:rPr>
          <w:rFonts w:ascii="宋体" w:hAnsi="宋体" w:cs="Times New Roman"/>
        </w:rPr>
      </w:pPr>
      <w:r>
        <w:rPr>
          <w:rFonts w:cs="Times New Roman"/>
          <w:b/>
          <w:bCs/>
        </w:rPr>
        <w:t>6.4.</w:t>
      </w:r>
      <w:r>
        <w:rPr>
          <w:rFonts w:hint="eastAsia" w:cs="Times New Roman"/>
          <w:b/>
          <w:bCs/>
        </w:rPr>
        <w:t>20</w:t>
      </w:r>
      <w:r>
        <w:rPr>
          <w:rFonts w:cs="Times New Roman"/>
          <w:b/>
          <w:bCs/>
        </w:rPr>
        <w:t xml:space="preserve">  </w:t>
      </w:r>
      <w:r>
        <w:rPr>
          <w:rFonts w:hint="eastAsia" w:cs="Times New Roman"/>
        </w:rPr>
        <w:t>滨岸带保护与修复措施</w:t>
      </w:r>
      <w:r>
        <w:rPr>
          <w:rFonts w:hint="eastAsia" w:ascii="宋体" w:hAnsi="宋体" w:cs="Times New Roman"/>
        </w:rPr>
        <w:t>应符合下列规定：</w:t>
      </w:r>
    </w:p>
    <w:p w14:paraId="4F448BC3">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bCs/>
          <w:spacing w:val="11"/>
          <w:kern w:val="21"/>
          <w:szCs w:val="32"/>
        </w:rPr>
        <w:t>滨岸带保护与修复</w:t>
      </w:r>
      <w:r>
        <w:rPr>
          <w:rFonts w:hint="eastAsia" w:ascii="宋体" w:hAnsi="宋体" w:cs="宋体"/>
          <w:spacing w:val="11"/>
          <w:kern w:val="21"/>
          <w:szCs w:val="24"/>
        </w:rPr>
        <w:t>应从保护原生植被、恢复湿地功能、增加绿地面积、构建生态的滨岸环境等多个方面综合考虑</w:t>
      </w:r>
      <w:r>
        <w:rPr>
          <w:rFonts w:hint="eastAsia" w:ascii="Segoe UI" w:hAnsi="Segoe UI" w:cs="Segoe UI"/>
          <w:szCs w:val="24"/>
          <w:shd w:val="clear" w:color="auto" w:fill="FFFFFF"/>
          <w:lang w:bidi="ar"/>
        </w:rPr>
        <w:t>。</w:t>
      </w:r>
    </w:p>
    <w:p w14:paraId="13B291FB">
      <w:pPr>
        <w:ind w:left="240" w:leftChars="100" w:firstLine="241" w:firstLineChars="100"/>
        <w:rPr>
          <w:rFonts w:ascii="Segoe UI" w:hAnsi="Segoe UI" w:cs="Segoe UI"/>
          <w:szCs w:val="24"/>
          <w:shd w:val="clear" w:color="auto" w:fill="FFFFFF"/>
          <w:lang w:bidi="ar"/>
        </w:rPr>
      </w:pPr>
      <w:r>
        <w:rPr>
          <w:rFonts w:cs="Segoe UI"/>
          <w:b/>
          <w:bCs/>
          <w:szCs w:val="24"/>
          <w:shd w:val="clear" w:color="auto" w:fill="FFFFFF"/>
          <w:lang w:bidi="ar"/>
        </w:rPr>
        <w:t>2</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滨岸带宽度应根据河湖类型、规模等级、保护目标、用地规划等综合确定</w:t>
      </w:r>
      <w:r>
        <w:rPr>
          <w:rFonts w:hint="eastAsia" w:ascii="Segoe UI" w:hAnsi="Segoe UI" w:cs="Segoe UI"/>
          <w:szCs w:val="24"/>
          <w:shd w:val="clear" w:color="auto" w:fill="FFFFFF"/>
          <w:lang w:bidi="ar"/>
        </w:rPr>
        <w:t>。</w:t>
      </w:r>
    </w:p>
    <w:p w14:paraId="4497115E">
      <w:pPr>
        <w:ind w:left="240" w:leftChars="100" w:firstLine="241" w:firstLineChars="100"/>
        <w:rPr>
          <w:rFonts w:ascii="Segoe UI" w:hAnsi="Segoe UI" w:eastAsia="Segoe UI" w:cs="Segoe UI"/>
          <w:szCs w:val="24"/>
          <w:shd w:val="clear" w:color="auto" w:fill="FFFFFF"/>
        </w:rPr>
      </w:pPr>
      <w:r>
        <w:rPr>
          <w:rFonts w:hint="eastAsia" w:cs="Times New Roman"/>
          <w:b/>
          <w:bCs/>
          <w:lang w:bidi="ar"/>
        </w:rPr>
        <w:t>3</w:t>
      </w:r>
      <w:r>
        <w:rPr>
          <w:rFonts w:cs="Times New Roman"/>
          <w:lang w:bidi="ar"/>
        </w:rPr>
        <w:t xml:space="preserve"> </w:t>
      </w:r>
      <w:r>
        <w:rPr>
          <w:rFonts w:hint="eastAsia" w:ascii="宋体" w:hAnsi="宋体" w:cs="宋体"/>
          <w:spacing w:val="11"/>
          <w:kern w:val="21"/>
          <w:szCs w:val="24"/>
        </w:rPr>
        <w:t>滨岸带保护与修复应遵循自然演变规律，以近自然生态修复为主，人工生态修复为辅分阶段实施</w:t>
      </w:r>
      <w:r>
        <w:rPr>
          <w:rFonts w:hint="eastAsia" w:ascii="Segoe UI" w:hAnsi="Segoe UI" w:cs="Segoe UI"/>
          <w:szCs w:val="24"/>
          <w:shd w:val="clear" w:color="auto" w:fill="FFFFFF"/>
          <w:lang w:bidi="ar"/>
        </w:rPr>
        <w:t>。</w:t>
      </w:r>
    </w:p>
    <w:p w14:paraId="72820C0D">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4</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应</w:t>
      </w:r>
      <w:r>
        <w:rPr>
          <w:rFonts w:hint="eastAsia" w:ascii="宋体" w:hAnsi="宋体" w:cs="宋体"/>
          <w:spacing w:val="11"/>
          <w:kern w:val="21"/>
          <w:szCs w:val="24"/>
          <w:lang w:val="sma-NO"/>
        </w:rPr>
        <w:t>保护</w:t>
      </w:r>
      <w:r>
        <w:rPr>
          <w:rFonts w:hint="eastAsia" w:ascii="宋体" w:hAnsi="宋体" w:cs="宋体"/>
          <w:spacing w:val="11"/>
          <w:kern w:val="21"/>
          <w:szCs w:val="24"/>
        </w:rPr>
        <w:t>滨岸</w:t>
      </w:r>
      <w:r>
        <w:rPr>
          <w:rFonts w:hint="eastAsia" w:ascii="宋体" w:hAnsi="宋体" w:cs="宋体"/>
          <w:spacing w:val="11"/>
          <w:kern w:val="21"/>
          <w:szCs w:val="24"/>
          <w:lang w:val="sma-NO"/>
        </w:rPr>
        <w:t>带生境的完整性、连续性，避免生境</w:t>
      </w:r>
      <w:r>
        <w:rPr>
          <w:rFonts w:hint="eastAsia" w:ascii="宋体" w:hAnsi="宋体" w:cs="宋体"/>
          <w:spacing w:val="11"/>
          <w:kern w:val="21"/>
          <w:szCs w:val="24"/>
        </w:rPr>
        <w:t>破碎化，营造有利于物种基因交换的廊道，打通栖息地斑块</w:t>
      </w:r>
      <w:r>
        <w:rPr>
          <w:rFonts w:hint="eastAsia" w:ascii="宋体" w:hAnsi="宋体" w:cs="宋体"/>
          <w:spacing w:val="11"/>
          <w:kern w:val="21"/>
          <w:szCs w:val="24"/>
          <w:lang w:val="sma-NO"/>
        </w:rPr>
        <w:t>，充分考虑水生生物、两栖动物、鸟类以及昆虫</w:t>
      </w:r>
      <w:r>
        <w:rPr>
          <w:rFonts w:hint="eastAsia" w:ascii="宋体" w:hAnsi="宋体" w:cs="宋体"/>
          <w:spacing w:val="11"/>
          <w:kern w:val="21"/>
          <w:szCs w:val="24"/>
        </w:rPr>
        <w:t>的繁衍、迁徙</w:t>
      </w:r>
      <w:r>
        <w:rPr>
          <w:rFonts w:hint="eastAsia" w:ascii="宋体" w:hAnsi="宋体" w:cs="宋体"/>
          <w:spacing w:val="11"/>
          <w:kern w:val="21"/>
          <w:szCs w:val="24"/>
          <w:lang w:val="sma-NO"/>
        </w:rPr>
        <w:t>需</w:t>
      </w:r>
      <w:r>
        <w:rPr>
          <w:rFonts w:hint="eastAsia" w:ascii="宋体" w:hAnsi="宋体" w:cs="宋体"/>
          <w:spacing w:val="11"/>
          <w:kern w:val="21"/>
          <w:szCs w:val="24"/>
        </w:rPr>
        <w:t>求</w:t>
      </w:r>
      <w:r>
        <w:rPr>
          <w:rFonts w:hint="eastAsia" w:ascii="Segoe UI" w:hAnsi="Segoe UI" w:cs="Segoe UI"/>
          <w:szCs w:val="24"/>
          <w:shd w:val="clear" w:color="auto" w:fill="FFFFFF"/>
          <w:lang w:bidi="ar"/>
        </w:rPr>
        <w:t>。</w:t>
      </w:r>
    </w:p>
    <w:p w14:paraId="021544D0">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5</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滨岸带保护与修复宜采用生态拦截沟渠、绿篱隔离带、下凹式绿地、生物滞留带等海绵措施</w:t>
      </w:r>
      <w:r>
        <w:rPr>
          <w:rFonts w:hint="eastAsia" w:ascii="Segoe UI" w:hAnsi="Segoe UI" w:cs="Segoe UI"/>
          <w:szCs w:val="24"/>
          <w:shd w:val="clear" w:color="auto" w:fill="FFFFFF"/>
          <w:lang w:bidi="ar"/>
        </w:rPr>
        <w:t>。</w:t>
      </w:r>
    </w:p>
    <w:p w14:paraId="04FD9D3B">
      <w:pPr>
        <w:ind w:firstLine="0" w:firstLineChars="0"/>
        <w:rPr>
          <w:rFonts w:cs="Segoe UI"/>
          <w:szCs w:val="24"/>
          <w:shd w:val="clear" w:color="auto" w:fill="FFFFFF"/>
          <w:lang w:bidi="ar"/>
        </w:rPr>
      </w:pPr>
      <w:r>
        <w:rPr>
          <w:rFonts w:hint="eastAsia" w:cs="Segoe UI"/>
          <w:szCs w:val="24"/>
          <w:shd w:val="clear" w:color="auto" w:fill="FFFFFF"/>
          <w:lang w:bidi="ar"/>
        </w:rPr>
        <w:t>【条文说明】滨岸带是自然水体最重要的生态屏障和生物栖息地。要求从多维度综合施策，体现了系统性生态治理理念。确定合理宽度是保障功能发挥的空间基础；提倡“近自然修复”是国际主流且高度成熟的技术路线，旨在以最小人工干预实现生态系统自我恢复。强调保护生境完整性与连通性，是为水生生物和陆生生物提供繁衍、迁徙廊道，这是生物多样性保护的核心要求。推荐采用生态拦截沟渠、生物滞留带等海绵措施，是将滨岸带作为面源污染净化“过滤器”的成熟工程技术，能有效削减入河污染负荷。</w:t>
      </w:r>
    </w:p>
    <w:p w14:paraId="1085A6B9">
      <w:pPr>
        <w:ind w:firstLine="0" w:firstLineChars="0"/>
        <w:rPr>
          <w:rFonts w:ascii="宋体" w:hAnsi="宋体" w:cs="Times New Roman"/>
        </w:rPr>
      </w:pPr>
      <w:r>
        <w:rPr>
          <w:rFonts w:cs="Times New Roman"/>
          <w:b/>
          <w:bCs/>
        </w:rPr>
        <w:t>6.4.</w:t>
      </w:r>
      <w:r>
        <w:rPr>
          <w:rFonts w:hint="eastAsia" w:cs="Times New Roman"/>
          <w:b/>
          <w:bCs/>
        </w:rPr>
        <w:t>21</w:t>
      </w:r>
      <w:r>
        <w:rPr>
          <w:rFonts w:cs="Times New Roman"/>
          <w:b/>
          <w:bCs/>
        </w:rPr>
        <w:t xml:space="preserve">  </w:t>
      </w:r>
      <w:r>
        <w:rPr>
          <w:rFonts w:hint="eastAsia" w:cs="Times New Roman"/>
        </w:rPr>
        <w:t>生态护岸设计</w:t>
      </w:r>
      <w:r>
        <w:rPr>
          <w:rFonts w:hint="eastAsia" w:ascii="宋体" w:hAnsi="宋体" w:cs="Times New Roman"/>
        </w:rPr>
        <w:t>应符合下列规定：</w:t>
      </w:r>
    </w:p>
    <w:p w14:paraId="7259B9D9">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24"/>
        </w:rPr>
        <w:t>宜在满足防洪治涝等功能的前提下，根据防洪标准、地形地质等条件选用生态友好的</w:t>
      </w:r>
      <w:r>
        <w:rPr>
          <w:rFonts w:hint="eastAsia" w:cs="Times New Roman"/>
        </w:rPr>
        <w:t>护岸</w:t>
      </w:r>
      <w:r>
        <w:rPr>
          <w:rFonts w:hint="eastAsia" w:ascii="宋体" w:hAnsi="宋体" w:cs="宋体"/>
          <w:spacing w:val="11"/>
          <w:kern w:val="21"/>
          <w:szCs w:val="24"/>
        </w:rPr>
        <w:t>结构与材料</w:t>
      </w:r>
      <w:r>
        <w:rPr>
          <w:rFonts w:hint="eastAsia" w:ascii="Segoe UI" w:hAnsi="Segoe UI" w:cs="Segoe UI"/>
          <w:szCs w:val="24"/>
          <w:shd w:val="clear" w:color="auto" w:fill="FFFFFF"/>
          <w:lang w:bidi="ar"/>
        </w:rPr>
        <w:t>。</w:t>
      </w:r>
    </w:p>
    <w:p w14:paraId="773BA2B1">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2</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生态护岸按结构形式可分为坡式、墙式、混合式，按材料属性可分为植物式、柔式、块体式、组合式、整体式</w:t>
      </w:r>
      <w:r>
        <w:rPr>
          <w:rFonts w:hint="eastAsia" w:ascii="Segoe UI" w:hAnsi="Segoe UI" w:cs="Segoe UI"/>
          <w:szCs w:val="24"/>
          <w:shd w:val="clear" w:color="auto" w:fill="FFFFFF"/>
          <w:lang w:bidi="ar"/>
        </w:rPr>
        <w:t>。</w:t>
      </w:r>
    </w:p>
    <w:p w14:paraId="45DD5544">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3</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应根据岸坡地形地质、水流特点等因素选取适宜的生态护岸结构，满足护岸结构在重力、冲刷力、水流拖拽力、坡内渗流作用力和波浪吸力作用下的稳定性，并应符合国家现行标准《堤防工程设计规范》</w:t>
      </w:r>
      <w:r>
        <w:rPr>
          <w:rFonts w:cs="Times New Roman"/>
          <w:spacing w:val="11"/>
          <w:kern w:val="21"/>
          <w:szCs w:val="24"/>
        </w:rPr>
        <w:t>GB 50286</w:t>
      </w:r>
      <w:r>
        <w:rPr>
          <w:rFonts w:hint="eastAsia" w:ascii="宋体" w:hAnsi="宋体" w:cs="宋体"/>
          <w:spacing w:val="11"/>
          <w:kern w:val="21"/>
          <w:szCs w:val="24"/>
        </w:rPr>
        <w:t>、《水工挡土墙设计规范》</w:t>
      </w:r>
      <w:r>
        <w:rPr>
          <w:rFonts w:cs="Times New Roman"/>
          <w:spacing w:val="11"/>
          <w:kern w:val="21"/>
          <w:szCs w:val="24"/>
        </w:rPr>
        <w:t>SL 379</w:t>
      </w:r>
      <w:r>
        <w:rPr>
          <w:rFonts w:hint="eastAsia" w:ascii="宋体" w:hAnsi="宋体" w:cs="宋体"/>
          <w:spacing w:val="11"/>
          <w:kern w:val="21"/>
          <w:szCs w:val="24"/>
        </w:rPr>
        <w:t>和《水利水电工程边坡设计规范》</w:t>
      </w:r>
      <w:r>
        <w:rPr>
          <w:rFonts w:cs="Times New Roman"/>
          <w:spacing w:val="11"/>
          <w:kern w:val="21"/>
          <w:szCs w:val="24"/>
        </w:rPr>
        <w:t>SL 386</w:t>
      </w:r>
      <w:r>
        <w:rPr>
          <w:rFonts w:hint="eastAsia" w:ascii="宋体" w:hAnsi="宋体" w:cs="宋体"/>
          <w:spacing w:val="11"/>
          <w:kern w:val="21"/>
          <w:szCs w:val="24"/>
        </w:rPr>
        <w:t>的有关规定</w:t>
      </w:r>
      <w:r>
        <w:rPr>
          <w:rFonts w:hint="eastAsia" w:ascii="Segoe UI" w:hAnsi="Segoe UI" w:cs="Segoe UI"/>
          <w:szCs w:val="24"/>
          <w:shd w:val="clear" w:color="auto" w:fill="FFFFFF"/>
          <w:lang w:bidi="ar"/>
        </w:rPr>
        <w:t>。</w:t>
      </w:r>
    </w:p>
    <w:p w14:paraId="571CDA02">
      <w:pPr>
        <w:ind w:left="240" w:leftChars="100" w:firstLine="241" w:firstLineChars="100"/>
        <w:rPr>
          <w:rFonts w:ascii="Segoe UI" w:hAnsi="Segoe UI" w:cs="Segoe UI"/>
          <w:szCs w:val="24"/>
          <w:shd w:val="clear" w:color="auto" w:fill="FFFFFF"/>
          <w:lang w:bidi="ar"/>
        </w:rPr>
      </w:pPr>
      <w:r>
        <w:rPr>
          <w:rFonts w:hint="eastAsia" w:cs="Segoe UI"/>
          <w:b/>
          <w:bCs/>
          <w:szCs w:val="24"/>
          <w:shd w:val="clear" w:color="auto" w:fill="FFFFFF"/>
          <w:lang w:bidi="ar"/>
        </w:rPr>
        <w:t>4</w:t>
      </w:r>
      <w:r>
        <w:rPr>
          <w:rFonts w:ascii="Segoe UI" w:hAnsi="Segoe UI" w:eastAsia="Segoe UI" w:cs="Segoe UI"/>
          <w:szCs w:val="24"/>
          <w:shd w:val="clear" w:color="auto" w:fill="FFFFFF"/>
          <w:lang w:bidi="ar"/>
        </w:rPr>
        <w:t xml:space="preserve"> </w:t>
      </w:r>
      <w:r>
        <w:rPr>
          <w:rFonts w:hint="eastAsia" w:ascii="宋体" w:hAnsi="宋体" w:cs="宋体"/>
          <w:spacing w:val="11"/>
          <w:kern w:val="21"/>
          <w:szCs w:val="24"/>
        </w:rPr>
        <w:t>岸坡防护结构形式和坡比应根据水文地质条件、材料充足程度、工程实际需求经稳定计算确定，宜优先采用生态型</w:t>
      </w:r>
      <w:r>
        <w:rPr>
          <w:rFonts w:hint="eastAsia" w:ascii="Segoe UI" w:hAnsi="Segoe UI" w:cs="Segoe UI"/>
          <w:szCs w:val="24"/>
          <w:shd w:val="clear" w:color="auto" w:fill="FFFFFF"/>
          <w:lang w:bidi="ar"/>
        </w:rPr>
        <w:t>。</w:t>
      </w:r>
    </w:p>
    <w:p w14:paraId="08E4636F">
      <w:pPr>
        <w:ind w:firstLine="0" w:firstLineChars="0"/>
        <w:rPr>
          <w:rFonts w:cs="Segoe UI"/>
          <w:szCs w:val="24"/>
          <w:shd w:val="clear" w:color="auto" w:fill="FFFFFF"/>
          <w:lang w:bidi="ar"/>
        </w:rPr>
      </w:pPr>
      <w:r>
        <w:rPr>
          <w:rFonts w:hint="eastAsia" w:cs="Segoe UI"/>
          <w:szCs w:val="24"/>
          <w:shd w:val="clear" w:color="auto" w:fill="FFFFFF"/>
          <w:lang w:bidi="ar"/>
        </w:rPr>
        <w:t>【条文说明】生态护岸是协调防洪安全与生态功能的关键工程措施。安全是根本前提，所有生态化措施必须在满足行洪、抗冲、抗滑稳定等要求下实施。对护岸按结构、按材料进行系统分类，是为工程设计提供清晰的技术选项。核心要求是必须根据具体的水文地质条件，通过严格的岩土力学与水力学计算来选取结构形式和确定坡比，确保其在各种荷载组合下的稳定性，这是工程技术成熟可靠的根本保障。在此前提下，“宜优先采用生态型”的导向，旨在推广使用植物、生态袋、鱼巢砖、格宾网等既能稳定岸坡又能营造生境、净化水质的成熟材料和工法，这些技术已在国内外河湖治理项目中得到大量成功应用，技术经济性良好。</w:t>
      </w:r>
    </w:p>
    <w:p w14:paraId="3CC75199">
      <w:pPr>
        <w:ind w:firstLine="0" w:firstLineChars="0"/>
        <w:rPr>
          <w:rFonts w:cs="Times New Roman"/>
        </w:rPr>
      </w:pPr>
      <w:r>
        <w:rPr>
          <w:rFonts w:cs="Times New Roman"/>
          <w:b/>
          <w:bCs/>
        </w:rPr>
        <w:t>6.4.</w:t>
      </w:r>
      <w:r>
        <w:rPr>
          <w:rFonts w:hint="eastAsia" w:cs="Times New Roman"/>
          <w:b/>
          <w:bCs/>
        </w:rPr>
        <w:t>22</w:t>
      </w:r>
      <w:r>
        <w:rPr>
          <w:rFonts w:cs="Times New Roman"/>
          <w:b/>
          <w:bCs/>
        </w:rPr>
        <w:t xml:space="preserve">  </w:t>
      </w:r>
      <w:r>
        <w:rPr>
          <w:rFonts w:hint="eastAsia" w:cs="Times New Roman"/>
        </w:rPr>
        <w:t>地貌单元生态重建措施</w:t>
      </w:r>
      <w:r>
        <w:rPr>
          <w:rFonts w:hint="eastAsia" w:ascii="宋体" w:hAnsi="宋体" w:cs="Times New Roman"/>
        </w:rPr>
        <w:t>应符合下列规定：</w:t>
      </w:r>
    </w:p>
    <w:p w14:paraId="45921DDE">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24"/>
        </w:rPr>
        <w:t>自然河床不应硬底化，条件允许时，宜对已硬化河床进行近自然化改造</w:t>
      </w:r>
      <w:r>
        <w:rPr>
          <w:rFonts w:hint="eastAsia" w:ascii="Segoe UI" w:hAnsi="Segoe UI" w:cs="Segoe UI"/>
          <w:szCs w:val="24"/>
          <w:shd w:val="clear" w:color="auto" w:fill="FFFFFF"/>
          <w:lang w:bidi="ar"/>
        </w:rPr>
        <w:t>。</w:t>
      </w:r>
    </w:p>
    <w:p w14:paraId="1190ABD6">
      <w:pPr>
        <w:ind w:left="240" w:leftChars="100" w:firstLine="241" w:firstLineChars="100"/>
        <w:rPr>
          <w:rFonts w:ascii="Segoe UI" w:hAnsi="Segoe UI" w:cs="Segoe UI"/>
          <w:szCs w:val="24"/>
          <w:shd w:val="clear" w:color="auto" w:fill="FFFFFF"/>
          <w:lang w:bidi="ar"/>
        </w:rPr>
      </w:pPr>
      <w:r>
        <w:rPr>
          <w:rFonts w:hint="eastAsia" w:cs="Times New Roman"/>
          <w:b/>
          <w:bCs/>
          <w:lang w:bidi="ar"/>
        </w:rPr>
        <w:t>2</w:t>
      </w:r>
      <w:r>
        <w:rPr>
          <w:rFonts w:cs="Times New Roman"/>
          <w:lang w:bidi="ar"/>
        </w:rPr>
        <w:t xml:space="preserve"> </w:t>
      </w:r>
      <w:r>
        <w:rPr>
          <w:rFonts w:hint="eastAsia" w:ascii="宋体" w:hAnsi="宋体" w:cs="宋体"/>
          <w:spacing w:val="11"/>
          <w:kern w:val="21"/>
          <w:szCs w:val="24"/>
        </w:rPr>
        <w:t>结合河床地貌特点，宜在合适位置增设砾石、翼型导流设施、堆石堰和鱼巢等结构</w:t>
      </w:r>
      <w:r>
        <w:rPr>
          <w:rFonts w:hint="eastAsia" w:ascii="Segoe UI" w:hAnsi="Segoe UI" w:cs="Segoe UI"/>
          <w:szCs w:val="24"/>
          <w:shd w:val="clear" w:color="auto" w:fill="FFFFFF"/>
          <w:lang w:bidi="ar"/>
        </w:rPr>
        <w:t>。</w:t>
      </w:r>
    </w:p>
    <w:p w14:paraId="761CF094">
      <w:pPr>
        <w:ind w:firstLine="0" w:firstLineChars="0"/>
        <w:rPr>
          <w:rFonts w:cs="Segoe UI"/>
          <w:szCs w:val="24"/>
          <w:shd w:val="clear" w:color="auto" w:fill="FFFFFF"/>
          <w:lang w:bidi="ar"/>
        </w:rPr>
      </w:pPr>
      <w:r>
        <w:rPr>
          <w:rFonts w:hint="eastAsia" w:cs="Segoe UI"/>
          <w:szCs w:val="24"/>
          <w:shd w:val="clear" w:color="auto" w:fill="FFFFFF"/>
          <w:lang w:bidi="ar"/>
        </w:rPr>
        <w:t>【条文说明】硬质化河床（如混凝土衬砌）严重割裂了地表水与地下水的联系，破坏了底栖生境，是导致河流生态系统退化的关键因素。禁止新的硬底化并鼓励对已有硬化进行生态化改造，是河流生态修复领域普遍遵循的首要原则。推荐增设的砾石、导流设施、堆石堰和鱼巢等，是国际公认的“自然基于解决方案”的成熟工程技术。这些结构能有效增加水流多样性、形成深潭-浅滩序列、降低水流流速、为水生生物提供觅食、栖息和繁殖场所，其设计方法、结构稳定性及生态效益已在国内外大量河流修复项目中得到充分验证，是恢复河床地貌与生态功能的可靠、高效且可持续的技术手段。</w:t>
      </w:r>
    </w:p>
    <w:p w14:paraId="582B54E0">
      <w:pPr>
        <w:ind w:firstLine="0" w:firstLineChars="0"/>
        <w:rPr>
          <w:rFonts w:ascii="宋体" w:hAnsi="宋体" w:cs="Times New Roman"/>
        </w:rPr>
      </w:pPr>
      <w:r>
        <w:rPr>
          <w:rFonts w:cs="Times New Roman"/>
          <w:b/>
          <w:bCs/>
        </w:rPr>
        <w:t>6.4.</w:t>
      </w:r>
      <w:r>
        <w:rPr>
          <w:rFonts w:hint="eastAsia" w:cs="Times New Roman"/>
          <w:b/>
          <w:bCs/>
        </w:rPr>
        <w:t>23</w:t>
      </w:r>
      <w:r>
        <w:rPr>
          <w:rFonts w:cs="Times New Roman"/>
          <w:b/>
          <w:bCs/>
        </w:rPr>
        <w:t xml:space="preserve">  </w:t>
      </w:r>
      <w:r>
        <w:rPr>
          <w:rFonts w:hint="eastAsia" w:ascii="宋体" w:hAnsi="宋体" w:cs="Times New Roman"/>
        </w:rPr>
        <w:t>水生植物群落构建</w:t>
      </w:r>
      <w:r>
        <w:rPr>
          <w:rFonts w:hint="eastAsia" w:cs="Times New Roman"/>
        </w:rPr>
        <w:t>措施</w:t>
      </w:r>
      <w:r>
        <w:rPr>
          <w:rFonts w:hint="eastAsia" w:ascii="宋体" w:hAnsi="宋体" w:cs="Times New Roman"/>
        </w:rPr>
        <w:t>应符合下列规定：</w:t>
      </w:r>
    </w:p>
    <w:p w14:paraId="11640206">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cs="Times New Roman"/>
          <w:lang w:bidi="ar"/>
        </w:rPr>
        <w:t>宜</w:t>
      </w:r>
      <w:r>
        <w:rPr>
          <w:rFonts w:hint="eastAsia" w:ascii="宋体" w:hAnsi="宋体" w:cs="宋体"/>
          <w:spacing w:val="11"/>
          <w:kern w:val="21"/>
        </w:rPr>
        <w:t>根据水深、流速等条件因地制宜地种植沉水植物、浮叶植物和挺水植物，构建健康的水生植物群落</w:t>
      </w:r>
      <w:r>
        <w:rPr>
          <w:rFonts w:hint="eastAsia" w:ascii="Segoe UI" w:hAnsi="Segoe UI" w:cs="Segoe UI"/>
          <w:szCs w:val="24"/>
          <w:shd w:val="clear" w:color="auto" w:fill="FFFFFF"/>
          <w:lang w:bidi="ar"/>
        </w:rPr>
        <w:t>。</w:t>
      </w:r>
    </w:p>
    <w:p w14:paraId="44AE6231">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ascii="宋体" w:hAnsi="宋体" w:cs="宋体"/>
          <w:spacing w:val="11"/>
          <w:kern w:val="21"/>
          <w:szCs w:val="24"/>
        </w:rPr>
        <w:t>合理布设水生植物的种植范围，</w:t>
      </w:r>
      <w:r>
        <w:rPr>
          <w:rFonts w:hint="eastAsia" w:ascii="宋体" w:hAnsi="宋体" w:cs="宋体"/>
          <w:spacing w:val="11"/>
          <w:kern w:val="21"/>
          <w:szCs w:val="24"/>
          <w:lang w:val="sma-NO"/>
        </w:rPr>
        <w:t>水深不满足要求的</w:t>
      </w:r>
      <w:r>
        <w:rPr>
          <w:rFonts w:hint="eastAsia" w:ascii="宋体" w:hAnsi="宋体" w:cs="宋体"/>
          <w:spacing w:val="11"/>
          <w:kern w:val="21"/>
          <w:szCs w:val="24"/>
        </w:rPr>
        <w:t>，可塑造水下平台、潜岛等微地形以满足植物生长需要</w:t>
      </w:r>
      <w:r>
        <w:rPr>
          <w:rFonts w:hint="eastAsia" w:ascii="Segoe UI" w:hAnsi="Segoe UI" w:cs="Segoe UI"/>
          <w:szCs w:val="24"/>
          <w:shd w:val="clear" w:color="auto" w:fill="FFFFFF"/>
          <w:lang w:bidi="ar"/>
        </w:rPr>
        <w:t>。</w:t>
      </w:r>
    </w:p>
    <w:p w14:paraId="70F9CC9C">
      <w:pPr>
        <w:ind w:left="240" w:leftChars="100" w:firstLine="241" w:firstLineChars="100"/>
        <w:rPr>
          <w:rFonts w:ascii="Segoe UI" w:hAnsi="Segoe UI" w:eastAsia="Segoe UI" w:cs="Segoe UI"/>
          <w:szCs w:val="24"/>
          <w:shd w:val="clear" w:color="auto" w:fill="FFFFFF"/>
        </w:rPr>
      </w:pPr>
      <w:r>
        <w:rPr>
          <w:rFonts w:hint="eastAsia" w:cs="Times New Roman"/>
          <w:b/>
          <w:bCs/>
          <w:lang w:bidi="ar"/>
        </w:rPr>
        <w:t>3</w:t>
      </w:r>
      <w:r>
        <w:rPr>
          <w:rFonts w:cs="Times New Roman"/>
          <w:lang w:bidi="ar"/>
        </w:rPr>
        <w:t xml:space="preserve"> </w:t>
      </w:r>
      <w:r>
        <w:rPr>
          <w:rFonts w:hint="eastAsia" w:ascii="宋体" w:hAnsi="宋体" w:cs="宋体"/>
          <w:spacing w:val="11"/>
          <w:kern w:val="21"/>
          <w:szCs w:val="24"/>
        </w:rPr>
        <w:t>对</w:t>
      </w:r>
      <w:r>
        <w:rPr>
          <w:rFonts w:hint="eastAsia" w:ascii="宋体" w:hAnsi="宋体" w:cs="宋体"/>
          <w:spacing w:val="11"/>
          <w:kern w:val="21"/>
          <w:szCs w:val="24"/>
          <w:lang w:val="sma-NO"/>
        </w:rPr>
        <w:t>蔓延</w:t>
      </w:r>
      <w:r>
        <w:rPr>
          <w:rFonts w:hint="eastAsia" w:ascii="宋体" w:hAnsi="宋体" w:cs="宋体"/>
          <w:spacing w:val="11"/>
          <w:kern w:val="21"/>
          <w:szCs w:val="24"/>
        </w:rPr>
        <w:t>性强</w:t>
      </w:r>
      <w:r>
        <w:rPr>
          <w:rFonts w:hint="eastAsia" w:ascii="宋体" w:hAnsi="宋体" w:cs="宋体"/>
          <w:spacing w:val="11"/>
          <w:kern w:val="21"/>
          <w:szCs w:val="24"/>
          <w:lang w:val="sma-NO"/>
        </w:rPr>
        <w:t>的植物，可</w:t>
      </w:r>
      <w:r>
        <w:rPr>
          <w:rFonts w:hint="eastAsia" w:ascii="宋体" w:hAnsi="宋体" w:cs="宋体"/>
          <w:spacing w:val="11"/>
          <w:kern w:val="21"/>
          <w:szCs w:val="24"/>
        </w:rPr>
        <w:t>通过设置</w:t>
      </w:r>
      <w:r>
        <w:rPr>
          <w:rFonts w:hint="eastAsia" w:ascii="宋体" w:hAnsi="宋体" w:cs="宋体"/>
          <w:spacing w:val="11"/>
          <w:kern w:val="21"/>
          <w:szCs w:val="24"/>
          <w:lang w:val="sma-NO"/>
        </w:rPr>
        <w:t>平台、槽</w:t>
      </w:r>
      <w:r>
        <w:rPr>
          <w:rFonts w:hint="eastAsia" w:ascii="宋体" w:hAnsi="宋体" w:cs="宋体"/>
          <w:spacing w:val="11"/>
          <w:kern w:val="21"/>
          <w:szCs w:val="24"/>
        </w:rPr>
        <w:t>沟</w:t>
      </w:r>
      <w:r>
        <w:rPr>
          <w:rFonts w:hint="eastAsia" w:ascii="宋体" w:hAnsi="宋体" w:cs="宋体"/>
          <w:spacing w:val="11"/>
          <w:kern w:val="21"/>
          <w:szCs w:val="24"/>
          <w:lang w:val="sma-NO"/>
        </w:rPr>
        <w:t>、</w:t>
      </w:r>
      <w:r>
        <w:rPr>
          <w:rFonts w:hint="eastAsia" w:ascii="宋体" w:hAnsi="宋体" w:cs="宋体"/>
          <w:spacing w:val="11"/>
          <w:kern w:val="21"/>
          <w:szCs w:val="24"/>
        </w:rPr>
        <w:t>种植</w:t>
      </w:r>
      <w:r>
        <w:rPr>
          <w:rFonts w:hint="eastAsia" w:ascii="宋体" w:hAnsi="宋体" w:cs="宋体"/>
          <w:spacing w:val="11"/>
          <w:kern w:val="21"/>
          <w:szCs w:val="24"/>
          <w:lang w:val="sma-NO"/>
        </w:rPr>
        <w:t>盆等进行根控</w:t>
      </w:r>
      <w:r>
        <w:rPr>
          <w:rFonts w:hint="eastAsia" w:ascii="Segoe UI" w:hAnsi="Segoe UI" w:cs="Segoe UI"/>
          <w:szCs w:val="24"/>
          <w:shd w:val="clear" w:color="auto" w:fill="FFFFFF"/>
          <w:lang w:bidi="ar"/>
        </w:rPr>
        <w:t>。</w:t>
      </w:r>
    </w:p>
    <w:p w14:paraId="3A2B8292">
      <w:pPr>
        <w:ind w:left="240" w:leftChars="100" w:firstLine="241" w:firstLineChars="100"/>
        <w:rPr>
          <w:rFonts w:ascii="Segoe UI" w:hAnsi="Segoe UI" w:eastAsia="Segoe UI" w:cs="Segoe UI"/>
          <w:szCs w:val="24"/>
          <w:shd w:val="clear" w:color="auto" w:fill="FFFFFF"/>
        </w:rPr>
      </w:pPr>
      <w:r>
        <w:rPr>
          <w:rFonts w:hint="eastAsia" w:cs="Times New Roman"/>
          <w:b/>
          <w:bCs/>
          <w:lang w:bidi="ar"/>
        </w:rPr>
        <w:t>4</w:t>
      </w:r>
      <w:r>
        <w:rPr>
          <w:rFonts w:cs="Times New Roman"/>
          <w:lang w:bidi="ar"/>
        </w:rPr>
        <w:t xml:space="preserve"> </w:t>
      </w:r>
      <w:r>
        <w:rPr>
          <w:rFonts w:hint="eastAsia" w:ascii="宋体" w:hAnsi="宋体" w:cs="宋体"/>
          <w:spacing w:val="11"/>
          <w:kern w:val="21"/>
          <w:szCs w:val="24"/>
        </w:rPr>
        <w:t>水生植物群落修复应选择适宜当地生长、宜维护、耐污抗污、病虫害少的本土植物，控制种植密度和物种搭配，按稳定结构进行生物多样性配置</w:t>
      </w:r>
      <w:r>
        <w:rPr>
          <w:rFonts w:hint="eastAsia" w:ascii="Segoe UI" w:hAnsi="Segoe UI" w:cs="Segoe UI"/>
          <w:szCs w:val="24"/>
          <w:shd w:val="clear" w:color="auto" w:fill="FFFFFF"/>
          <w:lang w:bidi="ar"/>
        </w:rPr>
        <w:t>。</w:t>
      </w:r>
    </w:p>
    <w:p w14:paraId="323CE54B">
      <w:pPr>
        <w:ind w:left="240" w:leftChars="100" w:firstLine="241" w:firstLineChars="100"/>
        <w:rPr>
          <w:rFonts w:ascii="Segoe UI" w:hAnsi="Segoe UI" w:cs="Segoe UI"/>
          <w:szCs w:val="24"/>
          <w:shd w:val="clear" w:color="auto" w:fill="FFFFFF"/>
          <w:lang w:bidi="ar"/>
        </w:rPr>
      </w:pPr>
      <w:r>
        <w:rPr>
          <w:rFonts w:hint="eastAsia" w:cs="Times New Roman"/>
          <w:b/>
          <w:bCs/>
          <w:lang w:bidi="ar"/>
        </w:rPr>
        <w:t>5</w:t>
      </w:r>
      <w:r>
        <w:rPr>
          <w:rFonts w:cs="Times New Roman"/>
          <w:lang w:bidi="ar"/>
        </w:rPr>
        <w:t xml:space="preserve"> </w:t>
      </w:r>
      <w:r>
        <w:rPr>
          <w:rFonts w:hint="eastAsia" w:ascii="宋体" w:hAnsi="宋体" w:cs="宋体"/>
          <w:spacing w:val="11"/>
          <w:kern w:val="21"/>
          <w:szCs w:val="24"/>
        </w:rPr>
        <w:t>消落带植物配置应考虑水文条件，选择耐水淹、耐贫瘠、耐干旱、成活率高的本土植物</w:t>
      </w:r>
      <w:r>
        <w:rPr>
          <w:rFonts w:hint="eastAsia" w:ascii="Segoe UI" w:hAnsi="Segoe UI" w:cs="Segoe UI"/>
          <w:szCs w:val="24"/>
          <w:shd w:val="clear" w:color="auto" w:fill="FFFFFF"/>
          <w:lang w:bidi="ar"/>
        </w:rPr>
        <w:t>。</w:t>
      </w:r>
    </w:p>
    <w:p w14:paraId="6535484F">
      <w:pPr>
        <w:ind w:firstLine="0" w:firstLineChars="0"/>
        <w:rPr>
          <w:rFonts w:cs="Segoe UI"/>
          <w:szCs w:val="24"/>
          <w:shd w:val="clear" w:color="auto" w:fill="FFFFFF"/>
          <w:lang w:bidi="ar"/>
        </w:rPr>
      </w:pPr>
      <w:r>
        <w:rPr>
          <w:rFonts w:hint="eastAsia" w:cs="Segoe UI"/>
          <w:szCs w:val="24"/>
          <w:shd w:val="clear" w:color="auto" w:fill="FFFFFF"/>
          <w:lang w:bidi="ar"/>
        </w:rPr>
        <w:t>【条文说明】水生植物群落是水生态系统的核心生产者与结构基础。根据水深、流速等生境条件因地制宜地配置沉水、浮叶和挺水植物，是构建稳定群落、实现生态功能最大化的科学前提。通过塑造水下平台、潜岛等微地形来满足植物生长需求，是解决工矿区河湖常面临水深不适问题的常用且有效的工程手段。对蔓延性强的物种进行根控，是避免单一物种过度繁殖、维持群落多样性的重要管理措施。强制选择本土植物并进行多样性稳定配置，是基于生态学“适地适种”和“多样性导致稳定性”的根本原则，能确保群落的长期存活与低维护成本。消落带特殊植物的配置要求，则体现了对水位变动这一关键环境因子的科学考量。</w:t>
      </w:r>
    </w:p>
    <w:p w14:paraId="4823E547">
      <w:pPr>
        <w:ind w:firstLine="0" w:firstLineChars="0"/>
        <w:rPr>
          <w:rFonts w:ascii="宋体" w:hAnsi="宋体" w:cs="Times New Roman"/>
        </w:rPr>
      </w:pPr>
      <w:r>
        <w:rPr>
          <w:rFonts w:cs="Times New Roman"/>
          <w:b/>
          <w:bCs/>
        </w:rPr>
        <w:t>6.4.</w:t>
      </w:r>
      <w:r>
        <w:rPr>
          <w:rFonts w:hint="eastAsia" w:cs="Times New Roman"/>
          <w:b/>
          <w:bCs/>
        </w:rPr>
        <w:t>24</w:t>
      </w:r>
      <w:r>
        <w:rPr>
          <w:rFonts w:cs="Times New Roman"/>
          <w:b/>
          <w:bCs/>
        </w:rPr>
        <w:t xml:space="preserve">  </w:t>
      </w:r>
      <w:r>
        <w:rPr>
          <w:rFonts w:hint="eastAsia" w:cs="Times New Roman"/>
        </w:rPr>
        <w:t>水生动物群落构建措施</w:t>
      </w:r>
      <w:r>
        <w:rPr>
          <w:rFonts w:hint="eastAsia" w:ascii="宋体" w:hAnsi="宋体" w:cs="Times New Roman"/>
        </w:rPr>
        <w:t>应符合下列规定：</w:t>
      </w:r>
    </w:p>
    <w:p w14:paraId="241FA1D2">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24"/>
        </w:rPr>
        <w:t>水生动物配置应尊重生物学、生态学、季节性规律，不应盲目放养，应控制水生动物种类、数量和密度，应选择本土物种，严禁投放入侵物种。</w:t>
      </w:r>
    </w:p>
    <w:p w14:paraId="6C8FC4A3">
      <w:pPr>
        <w:ind w:left="240" w:leftChars="100" w:firstLine="241" w:firstLineChars="100"/>
        <w:rPr>
          <w:rFonts w:ascii="Segoe UI" w:hAnsi="Segoe UI" w:cs="Segoe UI"/>
          <w:szCs w:val="24"/>
          <w:shd w:val="clear" w:color="auto" w:fill="FFFFFF"/>
          <w:lang w:bidi="ar"/>
        </w:rPr>
      </w:pPr>
      <w:r>
        <w:rPr>
          <w:rFonts w:hint="eastAsia" w:cs="Times New Roman"/>
          <w:b/>
          <w:bCs/>
          <w:lang w:bidi="ar"/>
        </w:rPr>
        <w:t>2</w:t>
      </w:r>
      <w:r>
        <w:rPr>
          <w:rFonts w:cs="Times New Roman"/>
          <w:lang w:bidi="ar"/>
        </w:rPr>
        <w:t xml:space="preserve"> </w:t>
      </w:r>
      <w:r>
        <w:rPr>
          <w:rFonts w:hint="eastAsia" w:ascii="宋体" w:hAnsi="宋体" w:cs="宋体"/>
          <w:spacing w:val="11"/>
          <w:kern w:val="21"/>
          <w:szCs w:val="24"/>
        </w:rPr>
        <w:t>水生动物配置应综合考虑水生动物食性、生态系统中的营养地位、对水环境的影响，确保水生态系统结构健康稳定</w:t>
      </w:r>
      <w:r>
        <w:rPr>
          <w:rFonts w:hint="eastAsia" w:ascii="Segoe UI" w:hAnsi="Segoe UI" w:cs="Segoe UI"/>
          <w:szCs w:val="24"/>
          <w:shd w:val="clear" w:color="auto" w:fill="FFFFFF"/>
          <w:lang w:bidi="ar"/>
        </w:rPr>
        <w:t>。</w:t>
      </w:r>
    </w:p>
    <w:p w14:paraId="627788C4">
      <w:pPr>
        <w:ind w:firstLine="0" w:firstLineChars="0"/>
        <w:rPr>
          <w:rFonts w:cs="Segoe UI"/>
          <w:szCs w:val="24"/>
          <w:shd w:val="clear" w:color="auto" w:fill="FFFFFF"/>
          <w:lang w:bidi="ar"/>
        </w:rPr>
      </w:pPr>
      <w:r>
        <w:rPr>
          <w:rFonts w:hint="eastAsia" w:cs="Segoe UI"/>
          <w:szCs w:val="24"/>
          <w:shd w:val="clear" w:color="auto" w:fill="FFFFFF"/>
          <w:lang w:bidi="ar"/>
        </w:rPr>
        <w:t>【条文说明】水生动物是水生态系统的重要组成部分，其群落结构直接影响系统的健康与功能。禁止盲目放养和引入入侵物种，是基于生态学基本原理和我国生物安全管理的强制性要求，是避免引发生态灾难、保护本土生物多样性的首要前提。根据动物的食性（如滤食性、草食性、肉食性）及其在生态系统中的营养地位（如作为消费者或分解者）进行科学配置，旨在重建健康的食物网，通过“上行效应”和“下行效应”调控藻类、水草和底泥等，这是湖泊生态学中经典且成熟的生物操纵理论的核心应用。</w:t>
      </w:r>
    </w:p>
    <w:p w14:paraId="1EC6A23E">
      <w:pPr>
        <w:ind w:firstLine="0" w:firstLineChars="0"/>
        <w:rPr>
          <w:rFonts w:ascii="宋体" w:hAnsi="宋体" w:cs="Times New Roman"/>
        </w:rPr>
      </w:pPr>
      <w:r>
        <w:rPr>
          <w:rFonts w:cs="Times New Roman"/>
          <w:b/>
          <w:bCs/>
        </w:rPr>
        <w:t>6.4.</w:t>
      </w:r>
      <w:r>
        <w:rPr>
          <w:rFonts w:hint="eastAsia" w:cs="Times New Roman"/>
          <w:b/>
          <w:bCs/>
        </w:rPr>
        <w:t>25</w:t>
      </w:r>
      <w:r>
        <w:rPr>
          <w:rFonts w:cs="Times New Roman"/>
          <w:b/>
          <w:bCs/>
        </w:rPr>
        <w:t xml:space="preserve">  </w:t>
      </w:r>
      <w:r>
        <w:rPr>
          <w:rFonts w:hint="eastAsia" w:ascii="宋体" w:hAnsi="宋体" w:cs="Times New Roman"/>
        </w:rPr>
        <w:t>食物网体系构建</w:t>
      </w:r>
      <w:r>
        <w:rPr>
          <w:rFonts w:hint="eastAsia" w:cs="Times New Roman"/>
        </w:rPr>
        <w:t>措施</w:t>
      </w:r>
      <w:r>
        <w:rPr>
          <w:rFonts w:hint="eastAsia" w:ascii="宋体" w:hAnsi="宋体" w:cs="Times New Roman"/>
        </w:rPr>
        <w:t>应符合下列规定：</w:t>
      </w:r>
    </w:p>
    <w:p w14:paraId="454AF299">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ascii="宋体" w:hAnsi="宋体" w:cs="宋体"/>
          <w:spacing w:val="11"/>
          <w:kern w:val="21"/>
          <w:szCs w:val="24"/>
        </w:rPr>
        <w:t>水生生物链各环节应有相应种类，每环节生物种类不宜过多。</w:t>
      </w:r>
    </w:p>
    <w:p w14:paraId="6749BBC2">
      <w:pPr>
        <w:ind w:left="240" w:leftChars="100" w:firstLine="241" w:firstLineChars="100"/>
        <w:rPr>
          <w:rFonts w:ascii="Segoe UI" w:hAnsi="Segoe UI" w:cs="Segoe UI"/>
          <w:szCs w:val="24"/>
          <w:shd w:val="clear" w:color="auto" w:fill="FFFFFF"/>
          <w:lang w:bidi="ar"/>
        </w:rPr>
      </w:pPr>
      <w:r>
        <w:rPr>
          <w:rFonts w:hint="eastAsia" w:cs="Times New Roman"/>
          <w:b/>
          <w:bCs/>
          <w:lang w:bidi="ar"/>
        </w:rPr>
        <w:t>2</w:t>
      </w:r>
      <w:r>
        <w:rPr>
          <w:rFonts w:cs="Times New Roman"/>
          <w:lang w:bidi="ar"/>
        </w:rPr>
        <w:t xml:space="preserve"> </w:t>
      </w:r>
      <w:r>
        <w:rPr>
          <w:rFonts w:hint="eastAsia" w:ascii="宋体" w:hAnsi="宋体" w:cs="宋体"/>
          <w:spacing w:val="11"/>
          <w:kern w:val="21"/>
          <w:szCs w:val="24"/>
        </w:rPr>
        <w:t>应构建多条食物链，形成以浮游植物、沉水植物和有机碎屑为第一营养级的食物链</w:t>
      </w:r>
      <w:r>
        <w:rPr>
          <w:rFonts w:hint="eastAsia" w:ascii="Segoe UI" w:hAnsi="Segoe UI" w:cs="Segoe UI"/>
          <w:szCs w:val="24"/>
          <w:shd w:val="clear" w:color="auto" w:fill="FFFFFF"/>
          <w:lang w:bidi="ar"/>
        </w:rPr>
        <w:t>。</w:t>
      </w:r>
    </w:p>
    <w:p w14:paraId="12B4FC10">
      <w:pPr>
        <w:ind w:firstLine="0" w:firstLineChars="0"/>
        <w:rPr>
          <w:rFonts w:cs="Segoe UI"/>
          <w:szCs w:val="24"/>
          <w:shd w:val="clear" w:color="auto" w:fill="FFFFFF"/>
          <w:lang w:bidi="ar"/>
        </w:rPr>
      </w:pPr>
      <w:r>
        <w:rPr>
          <w:rFonts w:hint="eastAsia" w:cs="Segoe UI"/>
          <w:szCs w:val="24"/>
          <w:shd w:val="clear" w:color="auto" w:fill="FFFFFF"/>
          <w:lang w:bidi="ar"/>
        </w:rPr>
        <w:t>【条文说明】食物网是生态系统能量流动与物质循环的核心载体，其结构的合理性直接决定系统的健康与稳定。各环节应有相应种类但不宜过多，是基于生态位理论，旨在避免同一营养级内过度竞争，同时确保各生态功能（如摄食、分解）有生物承担。要求“构建多条食物链，并以浮游植物、沉水植物和有机碎屑为第一营养级”，是基于生态系统多重冗余性和适应性管理的经典理念。以多种初级生产者为基础，能形成更复杂、更稳定的能量输入渠道，增强系统应对环境变化（如某种植物衰退）的缓冲能力，防止食物链断裂。这种“多路径、宽基础”的食物网构建模式，是恢复水生生态系统结构与功能的成熟核心策略</w:t>
      </w:r>
      <w:r>
        <w:rPr>
          <w:rFonts w:ascii="宋体" w:hAnsi="宋体" w:cs="Times New Roman"/>
        </w:rPr>
        <w:t>。</w:t>
      </w:r>
    </w:p>
    <w:p w14:paraId="00614EB2">
      <w:pPr>
        <w:ind w:firstLine="0" w:firstLineChars="0"/>
        <w:rPr>
          <w:rFonts w:cs="Times New Roman"/>
          <w:b/>
          <w:bCs/>
        </w:rPr>
      </w:pPr>
      <w:r>
        <w:rPr>
          <w:rFonts w:cs="Times New Roman"/>
          <w:b/>
          <w:bCs/>
        </w:rPr>
        <w:t>6</w:t>
      </w:r>
      <w:r>
        <w:rPr>
          <w:rFonts w:hint="eastAsia" w:cs="Times New Roman"/>
          <w:b/>
          <w:bCs/>
        </w:rPr>
        <w:t>.</w:t>
      </w:r>
      <w:r>
        <w:rPr>
          <w:rFonts w:cs="Times New Roman"/>
          <w:b/>
          <w:bCs/>
        </w:rPr>
        <w:t>4.</w:t>
      </w:r>
      <w:r>
        <w:rPr>
          <w:rFonts w:hint="eastAsia" w:cs="Times New Roman"/>
          <w:b/>
          <w:bCs/>
        </w:rPr>
        <w:t>26</w:t>
      </w:r>
      <w:r>
        <w:rPr>
          <w:rFonts w:cs="Times New Roman"/>
          <w:b/>
          <w:bCs/>
        </w:rPr>
        <w:t xml:space="preserve">  </w:t>
      </w:r>
      <w:r>
        <w:rPr>
          <w:rFonts w:hint="eastAsia" w:cs="Times New Roman"/>
          <w:szCs w:val="24"/>
        </w:rPr>
        <w:t>宜建立水环境智慧监测系统，构建一体化监测网络，整合水质、水文、生态、污染源、排口等数据，支持GIS可视化决策，实现动态预警与溯源。</w:t>
      </w:r>
    </w:p>
    <w:p w14:paraId="3014B4CB">
      <w:pPr>
        <w:ind w:firstLine="0" w:firstLineChars="0"/>
        <w:rPr>
          <w:rFonts w:cs="Segoe UI"/>
          <w:szCs w:val="24"/>
          <w:shd w:val="clear" w:color="auto" w:fill="FFFFFF"/>
          <w:lang w:bidi="ar"/>
        </w:rPr>
      </w:pPr>
      <w:r>
        <w:rPr>
          <w:rFonts w:hint="eastAsia" w:cs="Segoe UI"/>
          <w:szCs w:val="24"/>
          <w:shd w:val="clear" w:color="auto" w:fill="FFFFFF"/>
          <w:lang w:bidi="ar"/>
        </w:rPr>
        <w:t>【条文说明】工矿区水环境系统复杂，污染源多样，传统分散、滞后的管理模式难以满足精准治理与风险防控的迫切需求。构建一体化监测网络并整合多源数据，是实现“水环境-污染源-生态”全要素协同管控的数据基础。GIS可视化决策支持可将复杂数据直观化，极大提升管理效率。动态预警与溯源功能是系统的核心价值，能实现对异常情况的早期发现、快速响应与精准锁定污染来源，变被动应对为主动防控。智慧监测系统所依托的传感器技术、物联网传输、云平台与大数据分析等关键技术均已高度成熟，并在智慧城市、智慧水利、智慧环保等领域得到广泛应用与验证，技术可靠、经济可行，是提升环境治理体系现代化能力的必然趋势和成熟路径</w:t>
      </w:r>
      <w:r>
        <w:rPr>
          <w:rFonts w:ascii="宋体" w:hAnsi="宋体" w:cs="Times New Roman"/>
        </w:rPr>
        <w:t>。</w:t>
      </w:r>
    </w:p>
    <w:p w14:paraId="25689715">
      <w:pPr>
        <w:ind w:firstLine="0" w:firstLineChars="0"/>
        <w:rPr>
          <w:rFonts w:cs="Times New Roman"/>
          <w:szCs w:val="24"/>
        </w:rPr>
      </w:pPr>
      <w:r>
        <w:rPr>
          <w:rFonts w:cs="Times New Roman"/>
          <w:b/>
          <w:bCs/>
        </w:rPr>
        <w:t>6.4.</w:t>
      </w:r>
      <w:r>
        <w:rPr>
          <w:rFonts w:hint="eastAsia" w:cs="Times New Roman"/>
          <w:b/>
          <w:bCs/>
        </w:rPr>
        <w:t>27</w:t>
      </w:r>
      <w:r>
        <w:rPr>
          <w:rFonts w:cs="Times New Roman"/>
          <w:b/>
          <w:bCs/>
        </w:rPr>
        <w:t xml:space="preserve">  </w:t>
      </w:r>
      <w:r>
        <w:rPr>
          <w:rFonts w:hint="eastAsia" w:cs="Times New Roman"/>
          <w:szCs w:val="24"/>
        </w:rPr>
        <w:t>设计监测点位应覆盖污染源区、治理设施进出口、环境敏感目标，监测频率和指标应根据治理阶段和稳定情况进行动态调整。</w:t>
      </w:r>
    </w:p>
    <w:p w14:paraId="3878BF7F">
      <w:pPr>
        <w:ind w:firstLine="0" w:firstLineChars="0"/>
        <w:rPr>
          <w:rFonts w:cs="Segoe UI"/>
          <w:szCs w:val="24"/>
          <w:shd w:val="clear" w:color="auto" w:fill="FFFFFF"/>
          <w:lang w:bidi="ar"/>
        </w:rPr>
      </w:pPr>
      <w:r>
        <w:rPr>
          <w:rFonts w:hint="eastAsia" w:cs="Segoe UI"/>
          <w:szCs w:val="24"/>
          <w:shd w:val="clear" w:color="auto" w:fill="FFFFFF"/>
          <w:lang w:bidi="ar"/>
        </w:rPr>
        <w:t>【条文说明】全面覆盖“污染源-治理过程-环境受体”是准确评估治理成效、识别潜在风险的关键。监测污染源区可掌握初始污染状况；监控治理设施进出口是量化工程去除效率、评估设施运行状态的直接依据；覆盖环境敏感目标则是保障环境安全的底线要求。要求监测频率和指标动态调整，是基于工程生命周期管理的科学方法：在治理初期或系统不稳定时需加密监测、全面监控；进入稳定运行期后，则可优化频率、聚焦关键指标，从而实现监测资源的高效配置。</w:t>
      </w:r>
    </w:p>
    <w:p w14:paraId="2AC865AF">
      <w:pPr>
        <w:ind w:firstLine="0" w:firstLineChars="0"/>
        <w:rPr>
          <w:rFonts w:cs="Times New Roman"/>
          <w:b/>
          <w:bCs/>
        </w:rPr>
      </w:pPr>
      <w:r>
        <w:rPr>
          <w:rFonts w:cs="Times New Roman"/>
          <w:b/>
          <w:bCs/>
        </w:rPr>
        <w:t>6.4.28</w:t>
      </w:r>
      <w:r>
        <w:rPr>
          <w:rFonts w:cs="Times New Roman"/>
        </w:rPr>
        <w:t xml:space="preserve"> </w:t>
      </w:r>
      <w:r>
        <w:rPr>
          <w:rFonts w:hint="eastAsia" w:cs="Times New Roman"/>
        </w:rPr>
        <w:t xml:space="preserve"> 污染场地的恢复应切断污染源，防止渗漏与扩散，去除或稳定化/固化污染物，恢复场地生态功能，并确保安全再利用（或再开发）目标达成。</w:t>
      </w:r>
    </w:p>
    <w:p w14:paraId="64F1C217">
      <w:pPr>
        <w:ind w:firstLine="0" w:firstLineChars="0"/>
        <w:rPr>
          <w:rFonts w:cs="Times New Roman"/>
          <w:b/>
          <w:bCs/>
        </w:rPr>
      </w:pPr>
      <w:r>
        <w:rPr>
          <w:rFonts w:cs="Times New Roman"/>
          <w:b/>
          <w:bCs/>
        </w:rPr>
        <w:t xml:space="preserve">6.4.29  </w:t>
      </w:r>
      <w:r>
        <w:rPr>
          <w:rFonts w:hint="eastAsia" w:cs="Times New Roman"/>
        </w:rPr>
        <w:t>污染场地应采取设置屏障等措施控制污染土壤、污泥、沉积物、非水相液体和固体废物等污染物进一步迁移。</w:t>
      </w:r>
    </w:p>
    <w:p w14:paraId="29AFCC31">
      <w:pPr>
        <w:ind w:firstLine="0" w:firstLineChars="0"/>
        <w:rPr>
          <w:rFonts w:cs="Times New Roman"/>
          <w:b/>
          <w:bCs/>
        </w:rPr>
      </w:pPr>
      <w:r>
        <w:rPr>
          <w:rFonts w:cs="Times New Roman"/>
          <w:b/>
          <w:bCs/>
        </w:rPr>
        <w:t xml:space="preserve">6.4.30  </w:t>
      </w:r>
      <w:r>
        <w:rPr>
          <w:rFonts w:hint="eastAsia" w:cs="Times New Roman"/>
        </w:rPr>
        <w:t>污染场地应因地制宜采用物理、化学、生物、热处理等技术进行场地修复。对于有毒有害污染物和放射性污染物处置，应符合现行国</w:t>
      </w:r>
      <w:r>
        <w:rPr>
          <w:rFonts w:cs="Times New Roman"/>
        </w:rPr>
        <w:t>家规范《</w:t>
      </w:r>
      <w:r>
        <w:rPr>
          <w:rFonts w:hint="eastAsia" w:cs="Times New Roman"/>
        </w:rPr>
        <w:t>危险废物焚烧污染控制标准</w:t>
      </w:r>
      <w:r>
        <w:rPr>
          <w:rFonts w:cs="Times New Roman"/>
        </w:rPr>
        <w:t>》GB 18484、</w:t>
      </w:r>
      <w:r>
        <w:rPr>
          <w:rFonts w:hint="eastAsia" w:cs="Times New Roman"/>
        </w:rPr>
        <w:t>《危险废物贮存污染控制标准》</w:t>
      </w:r>
      <w:r>
        <w:rPr>
          <w:rFonts w:cs="Times New Roman"/>
        </w:rPr>
        <w:t>GB 18597、</w:t>
      </w:r>
      <w:r>
        <w:rPr>
          <w:rFonts w:hint="eastAsia" w:cs="Times New Roman"/>
        </w:rPr>
        <w:t>《危险废物填埋污染控制标准》</w:t>
      </w:r>
      <w:r>
        <w:rPr>
          <w:rFonts w:cs="Times New Roman"/>
        </w:rPr>
        <w:t>GB 18598 和</w:t>
      </w:r>
      <w:r>
        <w:rPr>
          <w:rFonts w:hint="eastAsia" w:cs="Times New Roman"/>
        </w:rPr>
        <w:t>《放射性废物管理规定》</w:t>
      </w:r>
      <w:r>
        <w:rPr>
          <w:rFonts w:cs="Times New Roman"/>
        </w:rPr>
        <w:t>GB 14500</w:t>
      </w:r>
      <w:r>
        <w:rPr>
          <w:rFonts w:hint="eastAsia" w:cs="Times New Roman"/>
        </w:rPr>
        <w:t>的有关规定</w:t>
      </w:r>
      <w:r>
        <w:rPr>
          <w:rFonts w:cs="Times New Roman"/>
        </w:rPr>
        <w:t>。酸碱污染场地应采用水覆盖法、湿地法、碱性物料回填等方法进行场地修复，使修复后的土壤pH值达到5.5-8.5范围。</w:t>
      </w:r>
    </w:p>
    <w:p w14:paraId="5839337D">
      <w:pPr>
        <w:ind w:firstLine="0" w:firstLineChars="0"/>
      </w:pPr>
      <w:r>
        <w:rPr>
          <w:rFonts w:cs="Times New Roman"/>
          <w:b/>
          <w:bCs/>
        </w:rPr>
        <w:t xml:space="preserve">6.4.31  </w:t>
      </w:r>
      <w:r>
        <w:rPr>
          <w:rFonts w:hint="eastAsia" w:cs="Times New Roman"/>
        </w:rPr>
        <w:t>污染场地恢复治理达到相关标准要求并经生态环境主管部门组织验收合格后，方可按规划用途转为农业、林业牧业、渔业、建设等用地。</w:t>
      </w:r>
    </w:p>
    <w:p w14:paraId="7AA00070">
      <w:pPr>
        <w:pStyle w:val="30"/>
        <w:numPr>
          <w:ilvl w:val="0"/>
          <w:numId w:val="4"/>
        </w:numPr>
        <w:spacing w:before="163" w:beforeLines="50" w:after="163" w:afterLines="50"/>
        <w:ind w:firstLineChars="0"/>
        <w:jc w:val="center"/>
        <w:outlineLvl w:val="1"/>
        <w:rPr>
          <w:b/>
          <w:bCs/>
          <w:sz w:val="28"/>
          <w:szCs w:val="28"/>
        </w:rPr>
      </w:pPr>
      <w:bookmarkStart w:id="84" w:name="_Toc212057030"/>
      <w:r>
        <w:rPr>
          <w:rFonts w:hint="eastAsia"/>
          <w:b/>
          <w:bCs/>
          <w:sz w:val="28"/>
          <w:szCs w:val="28"/>
        </w:rPr>
        <w:t>景观园林设计</w:t>
      </w:r>
      <w:bookmarkEnd w:id="84"/>
    </w:p>
    <w:p w14:paraId="11C149F0">
      <w:pPr>
        <w:ind w:firstLine="0" w:firstLineChars="0"/>
        <w:rPr>
          <w:rFonts w:cs="Times New Roman"/>
        </w:rPr>
      </w:pPr>
      <w:r>
        <w:rPr>
          <w:rFonts w:cs="Times New Roman"/>
          <w:b/>
          <w:bCs/>
        </w:rPr>
        <w:t>6.5</w:t>
      </w:r>
      <w:r>
        <w:rPr>
          <w:rFonts w:hint="eastAsia" w:cs="Times New Roman"/>
          <w:b/>
          <w:bCs/>
        </w:rPr>
        <w:t>.1</w:t>
      </w:r>
      <w:r>
        <w:rPr>
          <w:rFonts w:cs="Times New Roman"/>
          <w:b/>
          <w:bCs/>
        </w:rPr>
        <w:t xml:space="preserve">  </w:t>
      </w:r>
      <w:r>
        <w:rPr>
          <w:rFonts w:hint="eastAsia" w:cs="Times New Roman"/>
        </w:rPr>
        <w:t>应结合矿区生态修复综合体建设目标，综合采取保育山林、丰富林相、微创修复、融景提升、多样稳定等手段，构建防护林生态安全体系；对低效自然植被实施改造提升，重塑林—草生态空间，恢复野生动植物栖息生境，推动受损生态系统向景观多样、物种丰富、结构稳定、长期持续的地带性林草生态景观转化。</w:t>
      </w:r>
    </w:p>
    <w:p w14:paraId="3F3E28EC">
      <w:pPr>
        <w:ind w:firstLine="0" w:firstLineChars="0"/>
        <w:rPr>
          <w:rFonts w:cs="Times New Roman"/>
        </w:rPr>
      </w:pPr>
      <w:r>
        <w:rPr>
          <w:rFonts w:hint="eastAsia" w:cs="Times New Roman"/>
        </w:rPr>
        <w:t>【条文说明】本条强调以系统性治理为导向，通过保育、群落优化与景观融入，提升防护林体系与栖息地质量，实现受损生态系统的功能恢复与格局优化</w:t>
      </w:r>
      <w:r>
        <w:rPr>
          <w:rFonts w:cs="Times New Roman"/>
        </w:rPr>
        <w:t>。</w:t>
      </w:r>
    </w:p>
    <w:p w14:paraId="2F9EA35A">
      <w:pPr>
        <w:ind w:firstLine="0" w:firstLineChars="0"/>
        <w:rPr>
          <w:rFonts w:ascii="宋体" w:hAnsi="宋体"/>
        </w:rPr>
      </w:pPr>
      <w:r>
        <w:rPr>
          <w:rFonts w:cs="Times New Roman"/>
          <w:b/>
          <w:bCs/>
        </w:rPr>
        <w:t>6.5</w:t>
      </w:r>
      <w:r>
        <w:rPr>
          <w:rFonts w:hint="eastAsia" w:cs="Times New Roman"/>
          <w:b/>
          <w:bCs/>
        </w:rPr>
        <w:t>.2</w:t>
      </w:r>
      <w:r>
        <w:rPr>
          <w:rFonts w:cs="Times New Roman"/>
          <w:b/>
          <w:bCs/>
        </w:rPr>
        <w:t xml:space="preserve">  </w:t>
      </w:r>
      <w:r>
        <w:rPr>
          <w:rFonts w:hint="eastAsia" w:ascii="宋体" w:hAnsi="宋体"/>
        </w:rPr>
        <w:t>针对城市工矿区受扰动土壤，应因地制宜采用土壤改良与覆土措施，可配置草炭（或泥炭）、有机肥、砂等材料，改善土壤理化性质与团粒结构，提升保水、透气与肥力条件；宜开展废弃土壤的就地资源化再利用，形成可持续的生态绿地基底。改良材料与过程不得造成二次污染。</w:t>
      </w:r>
    </w:p>
    <w:p w14:paraId="73ED7C73">
      <w:pPr>
        <w:ind w:firstLine="0" w:firstLineChars="0"/>
        <w:rPr>
          <w:rFonts w:ascii="宋体" w:hAnsi="宋体"/>
        </w:rPr>
      </w:pPr>
      <w:r>
        <w:rPr>
          <w:rFonts w:cs="Times New Roman"/>
        </w:rPr>
        <w:t>【条文说明】</w:t>
      </w:r>
      <w:r>
        <w:rPr>
          <w:rFonts w:hint="eastAsia" w:cs="Times New Roman"/>
        </w:rPr>
        <w:t>本条提出通过改良材料与覆土提升土壤质量，改善立地条件并促进废弃土壤资源化，支撑植被重建与生态绿地营建</w:t>
      </w:r>
      <w:r>
        <w:rPr>
          <w:rFonts w:cs="Times New Roman"/>
        </w:rPr>
        <w:t>。</w:t>
      </w:r>
    </w:p>
    <w:p w14:paraId="78CC2FED">
      <w:pPr>
        <w:ind w:firstLine="0" w:firstLineChars="0"/>
        <w:rPr>
          <w:rFonts w:ascii="宋体" w:hAnsi="宋体"/>
        </w:rPr>
      </w:pPr>
      <w:r>
        <w:rPr>
          <w:rFonts w:cs="Times New Roman"/>
          <w:b/>
          <w:bCs/>
        </w:rPr>
        <w:t>6.5</w:t>
      </w:r>
      <w:r>
        <w:rPr>
          <w:rFonts w:hint="eastAsia" w:cs="Times New Roman"/>
          <w:b/>
          <w:bCs/>
        </w:rPr>
        <w:t>.3</w:t>
      </w:r>
      <w:r>
        <w:rPr>
          <w:rFonts w:cs="Times New Roman"/>
          <w:b/>
          <w:bCs/>
        </w:rPr>
        <w:t xml:space="preserve">  </w:t>
      </w:r>
      <w:r>
        <w:rPr>
          <w:rFonts w:hint="eastAsia" w:ascii="宋体" w:hAnsi="宋体"/>
        </w:rPr>
        <w:t>矿坑采石场产生的废弃石材宜就近处置与分级加工后用于石笼（墙）装填、景观挡土、水系驳岸、外立面饰面等工程，实现无害化与资源化利用；所用石材应满足环境与结构安全要求，石笼、驳岸等构筑物的设计与施工应符合相应现行标准。</w:t>
      </w:r>
    </w:p>
    <w:p w14:paraId="4C578385">
      <w:pPr>
        <w:tabs>
          <w:tab w:val="left" w:pos="1770"/>
        </w:tabs>
        <w:ind w:firstLine="0" w:firstLineChars="0"/>
        <w:rPr>
          <w:rFonts w:ascii="宋体" w:hAnsi="宋体"/>
        </w:rPr>
      </w:pPr>
      <w:r>
        <w:rPr>
          <w:rFonts w:cs="Times New Roman"/>
        </w:rPr>
        <w:t>【条文说明】</w:t>
      </w:r>
      <w:r>
        <w:rPr>
          <w:rFonts w:hint="eastAsia" w:cs="Times New Roman"/>
        </w:rPr>
        <w:t>本条鼓励废石就地消纳与高效利用，通过工程化应用实现减量化、资源化与景观化的多重目标</w:t>
      </w:r>
      <w:r>
        <w:rPr>
          <w:rFonts w:cs="Times New Roman"/>
        </w:rPr>
        <w:t>。</w:t>
      </w:r>
    </w:p>
    <w:p w14:paraId="545D58DC">
      <w:pPr>
        <w:ind w:firstLine="0" w:firstLineChars="0"/>
        <w:rPr>
          <w:rFonts w:ascii="宋体" w:hAnsi="宋体"/>
        </w:rPr>
      </w:pPr>
      <w:r>
        <w:rPr>
          <w:rFonts w:cs="Times New Roman"/>
          <w:b/>
          <w:bCs/>
        </w:rPr>
        <w:t>6.5</w:t>
      </w:r>
      <w:r>
        <w:rPr>
          <w:rFonts w:hint="eastAsia" w:cs="Times New Roman"/>
          <w:b/>
          <w:bCs/>
        </w:rPr>
        <w:t>.4</w:t>
      </w:r>
      <w:r>
        <w:rPr>
          <w:rFonts w:cs="Times New Roman"/>
          <w:b/>
          <w:bCs/>
        </w:rPr>
        <w:t xml:space="preserve">  </w:t>
      </w:r>
      <w:r>
        <w:rPr>
          <w:rFonts w:hint="eastAsia" w:ascii="宋体" w:hAnsi="宋体"/>
        </w:rPr>
        <w:t>矿坑崖壁整治与景观营建应遵循最小干预原则，优先保留工业崖壁特色；通过山地地形塑造、崖壁肌理修复与必要的安全加固，统筹实现地质消险与景观建造。涉及边坡/崖壁加固的，应与相关现行规范协同执行。</w:t>
      </w:r>
    </w:p>
    <w:p w14:paraId="1C26DE12">
      <w:pPr>
        <w:ind w:firstLine="0" w:firstLineChars="0"/>
        <w:rPr>
          <w:rFonts w:cs="Times New Roman"/>
        </w:rPr>
      </w:pPr>
      <w:r>
        <w:rPr>
          <w:rFonts w:cs="Times New Roman"/>
        </w:rPr>
        <w:t>【条文说明】</w:t>
      </w:r>
      <w:r>
        <w:rPr>
          <w:rFonts w:hint="eastAsia" w:cs="Times New Roman"/>
        </w:rPr>
        <w:t>本条要求在确保安全的前提下，最大限度保留工业遗迹景观特征，采用微创方式进行稳固与肌理复原，兼顾安全治理与景观价值提升。</w:t>
      </w:r>
    </w:p>
    <w:p w14:paraId="1A220C78">
      <w:pPr>
        <w:ind w:firstLine="0" w:firstLineChars="0"/>
        <w:rPr>
          <w:rFonts w:ascii="宋体" w:hAnsi="宋体"/>
        </w:rPr>
      </w:pPr>
      <w:r>
        <w:rPr>
          <w:rFonts w:cs="Times New Roman"/>
          <w:b/>
          <w:bCs/>
        </w:rPr>
        <w:t>6</w:t>
      </w:r>
      <w:r>
        <w:rPr>
          <w:rFonts w:hint="eastAsia" w:cs="Times New Roman"/>
          <w:b/>
          <w:bCs/>
        </w:rPr>
        <w:t>.</w:t>
      </w:r>
      <w:r>
        <w:rPr>
          <w:rFonts w:cs="Times New Roman"/>
          <w:b/>
          <w:bCs/>
        </w:rPr>
        <w:t>5</w:t>
      </w:r>
      <w:r>
        <w:rPr>
          <w:rFonts w:hint="eastAsia" w:cs="Times New Roman"/>
          <w:b/>
          <w:bCs/>
        </w:rPr>
        <w:t>.</w:t>
      </w:r>
      <w:r>
        <w:rPr>
          <w:rFonts w:cs="Times New Roman"/>
          <w:b/>
          <w:bCs/>
        </w:rPr>
        <w:t xml:space="preserve">5  </w:t>
      </w:r>
      <w:r>
        <w:rPr>
          <w:rFonts w:hint="eastAsia" w:ascii="宋体" w:hAnsi="宋体"/>
        </w:rPr>
        <w:t>矿坑泥潭治理与水系景观改造，应采用水系景观改造方式，遵循最小干预原则，综合运用土工袋脱水—清淤、快速化学固化/固结、地形地貌重塑、水生态构建与水环境监测等技术，挖掘废弃地利用价值，实现景观重塑与生态修复；清淤物与固化物的处置不得造成二次污染，涉水构（建）筑物应满足安全与环境要求。</w:t>
      </w:r>
    </w:p>
    <w:p w14:paraId="2745065A">
      <w:pPr>
        <w:ind w:firstLine="0" w:firstLineChars="0"/>
        <w:rPr>
          <w:rFonts w:ascii="宋体" w:hAnsi="宋体"/>
        </w:rPr>
      </w:pPr>
      <w:r>
        <w:rPr>
          <w:rFonts w:cs="Times New Roman"/>
        </w:rPr>
        <w:t>【条文说明】</w:t>
      </w:r>
      <w:r>
        <w:rPr>
          <w:rFonts w:hint="eastAsia" w:cs="Times New Roman"/>
        </w:rPr>
        <w:t>本条提出以水生态为导向的综合治理路径，通过脱水清淤、固化稳固、地形重塑与生态营建等手段，低干预实现矿坑泥潭的功能转化与景观提升，并强调全过程环境风险控制</w:t>
      </w:r>
      <w:r>
        <w:rPr>
          <w:rFonts w:cs="Times New Roman"/>
        </w:rPr>
        <w:t>。</w:t>
      </w:r>
    </w:p>
    <w:p w14:paraId="495FC831">
      <w:pPr>
        <w:ind w:firstLine="0" w:firstLineChars="0"/>
      </w:pPr>
      <w:r>
        <w:rPr>
          <w:rFonts w:cs="Times New Roman"/>
          <w:b/>
          <w:bCs/>
          <w:lang w:bidi="ar"/>
        </w:rPr>
        <w:t xml:space="preserve">6.5.6  </w:t>
      </w:r>
      <w:r>
        <w:rPr>
          <w:rFonts w:hint="eastAsia" w:cs="宋体"/>
          <w:lang w:bidi="ar"/>
        </w:rPr>
        <w:t>园林建筑</w:t>
      </w:r>
    </w:p>
    <w:p w14:paraId="7A8FDE95">
      <w:pPr>
        <w:ind w:left="240" w:leftChars="100" w:firstLine="241" w:firstLineChars="100"/>
        <w:rPr>
          <w:rFonts w:cs="Times New Roman"/>
        </w:rPr>
      </w:pPr>
      <w:r>
        <w:rPr>
          <w:rFonts w:cs="Times New Roman"/>
          <w:b/>
          <w:bCs/>
          <w:lang w:bidi="ar"/>
        </w:rPr>
        <w:t>1</w:t>
      </w:r>
      <w:r>
        <w:rPr>
          <w:rFonts w:cs="Times New Roman"/>
          <w:lang w:bidi="ar"/>
        </w:rPr>
        <w:t xml:space="preserve"> </w:t>
      </w:r>
      <w:r>
        <w:rPr>
          <w:rFonts w:hint="eastAsia" w:cs="Times New Roman"/>
          <w:lang w:bidi="ar"/>
        </w:rPr>
        <w:t>建筑物的位置、规模、造型、材料、色彩及其使用功能应符合园林总体设计要求，并与项目定位和分区功能相一致。</w:t>
      </w:r>
    </w:p>
    <w:p w14:paraId="7C5AF1B6">
      <w:pPr>
        <w:ind w:firstLine="0" w:firstLineChars="0"/>
        <w:rPr>
          <w:rFonts w:cs="Times New Roman"/>
        </w:rPr>
      </w:pPr>
      <w:r>
        <w:rPr>
          <w:rFonts w:hint="eastAsia" w:cs="Times New Roman"/>
          <w:lang w:bidi="ar"/>
        </w:rPr>
        <w:t>【条文说明】</w:t>
      </w:r>
      <w:r>
        <w:rPr>
          <w:rFonts w:cs="Times New Roman"/>
          <w:lang w:bidi="ar"/>
        </w:rPr>
        <w:t>园林建筑的选址与单体设计既要满足使用功能，又要服务整体景观格局与游览动线组织。</w:t>
      </w:r>
    </w:p>
    <w:p w14:paraId="47F7CF6C">
      <w:pPr>
        <w:ind w:left="240" w:leftChars="100" w:firstLine="241" w:firstLineChars="100"/>
        <w:rPr>
          <w:rFonts w:cs="Times New Roman"/>
        </w:rPr>
      </w:pPr>
      <w:r>
        <w:rPr>
          <w:rFonts w:cs="Times New Roman"/>
          <w:b/>
          <w:bCs/>
          <w:lang w:bidi="ar"/>
        </w:rPr>
        <w:t>2</w:t>
      </w:r>
      <w:r>
        <w:rPr>
          <w:rFonts w:cs="Times New Roman"/>
          <w:lang w:bidi="ar"/>
        </w:rPr>
        <w:t xml:space="preserve"> </w:t>
      </w:r>
      <w:r>
        <w:rPr>
          <w:rFonts w:hint="eastAsia" w:cs="Times New Roman"/>
          <w:lang w:bidi="ar"/>
        </w:rPr>
        <w:t>建筑物应与地形、地貌、山石、水体、植物等造园要素统一协调、有机融合，在保障游人安全、舒适与便利的前提下，实现整体景观效果最优。</w:t>
      </w:r>
    </w:p>
    <w:p w14:paraId="08DD4944">
      <w:pPr>
        <w:ind w:firstLine="0" w:firstLineChars="0"/>
        <w:rPr>
          <w:rFonts w:cs="Times New Roman"/>
        </w:rPr>
      </w:pPr>
      <w:r>
        <w:rPr>
          <w:rFonts w:hint="eastAsia" w:cs="Times New Roman"/>
          <w:lang w:bidi="ar"/>
        </w:rPr>
        <w:t>【条文说明】强调建筑与自然要素的协调，避免突兀与割裂，提升景观完整性与体验品质。</w:t>
      </w:r>
    </w:p>
    <w:p w14:paraId="2C505FD0">
      <w:pPr>
        <w:ind w:left="240" w:leftChars="100" w:firstLine="241" w:firstLineChars="100"/>
        <w:rPr>
          <w:rFonts w:cs="Times New Roman"/>
        </w:rPr>
      </w:pPr>
      <w:r>
        <w:rPr>
          <w:rFonts w:cs="Times New Roman"/>
          <w:b/>
          <w:bCs/>
          <w:lang w:bidi="ar"/>
        </w:rPr>
        <w:t>3</w:t>
      </w:r>
      <w:r>
        <w:rPr>
          <w:rFonts w:cs="Times New Roman"/>
          <w:lang w:bidi="ar"/>
        </w:rPr>
        <w:t xml:space="preserve"> </w:t>
      </w:r>
      <w:r>
        <w:rPr>
          <w:rFonts w:hint="eastAsia" w:cs="Times New Roman"/>
          <w:lang w:bidi="ar"/>
        </w:rPr>
        <w:t>建筑设计应优化体形与空间布局，促进天然采光、自然通风，并合理提高围护结构保温与隔热性能，以降低供暖、空调与照明负荷。</w:t>
      </w:r>
    </w:p>
    <w:p w14:paraId="22788B8D">
      <w:pPr>
        <w:ind w:firstLine="0" w:firstLineChars="0"/>
        <w:rPr>
          <w:rFonts w:cs="Times New Roman"/>
        </w:rPr>
      </w:pPr>
      <w:r>
        <w:rPr>
          <w:rFonts w:hint="eastAsia" w:cs="Times New Roman"/>
          <w:lang w:bidi="ar"/>
        </w:rPr>
        <w:t>【条文说明】统筹节能、节地、节水、节材与环境保护，降低建设与运行对环境的影响，兼顾经济、社会与生态效益。</w:t>
      </w:r>
    </w:p>
    <w:p w14:paraId="058E63A9">
      <w:pPr>
        <w:ind w:left="240" w:leftChars="100" w:firstLine="241" w:firstLineChars="100"/>
        <w:rPr>
          <w:rFonts w:cs="Times New Roman"/>
        </w:rPr>
      </w:pPr>
      <w:r>
        <w:rPr>
          <w:rFonts w:cs="Times New Roman"/>
          <w:b/>
          <w:bCs/>
          <w:lang w:bidi="ar"/>
        </w:rPr>
        <w:t>4</w:t>
      </w:r>
      <w:r>
        <w:rPr>
          <w:rFonts w:cs="Times New Roman"/>
          <w:lang w:bidi="ar"/>
        </w:rPr>
        <w:t xml:space="preserve"> </w:t>
      </w:r>
      <w:r>
        <w:rPr>
          <w:rFonts w:hint="eastAsia" w:cs="Times New Roman"/>
          <w:lang w:bidi="ar"/>
        </w:rPr>
        <w:t>游人通行量较多的建筑室外台阶宽度不宜小于</w:t>
      </w:r>
      <w:r>
        <w:rPr>
          <w:rFonts w:cs="Times New Roman"/>
          <w:lang w:bidi="ar"/>
        </w:rPr>
        <w:t>1.5m</w:t>
      </w:r>
      <w:r>
        <w:rPr>
          <w:rFonts w:hint="eastAsia" w:cs="Times New Roman"/>
          <w:lang w:bidi="ar"/>
        </w:rPr>
        <w:t>；踏步宽度不宜小于</w:t>
      </w:r>
      <w:r>
        <w:rPr>
          <w:rFonts w:cs="Times New Roman"/>
          <w:lang w:bidi="ar"/>
        </w:rPr>
        <w:t>30cm</w:t>
      </w:r>
      <w:r>
        <w:rPr>
          <w:rFonts w:hint="eastAsia" w:cs="Times New Roman"/>
          <w:lang w:bidi="ar"/>
        </w:rPr>
        <w:t>，踏步高度不宜大于</w:t>
      </w:r>
      <w:r>
        <w:rPr>
          <w:rFonts w:cs="Times New Roman"/>
          <w:lang w:bidi="ar"/>
        </w:rPr>
        <w:t>15cm</w:t>
      </w:r>
      <w:r>
        <w:rPr>
          <w:rFonts w:hint="eastAsia" w:cs="Times New Roman"/>
          <w:lang w:bidi="ar"/>
        </w:rPr>
        <w:t>且不宜小于</w:t>
      </w:r>
      <w:r>
        <w:rPr>
          <w:rFonts w:cs="Times New Roman"/>
          <w:lang w:bidi="ar"/>
        </w:rPr>
        <w:t>10cm</w:t>
      </w:r>
      <w:r>
        <w:rPr>
          <w:rFonts w:hint="eastAsia" w:cs="Times New Roman"/>
          <w:lang w:bidi="ar"/>
        </w:rPr>
        <w:t>；台阶踏步数不应少于</w:t>
      </w:r>
      <w:r>
        <w:rPr>
          <w:rFonts w:cs="Times New Roman"/>
          <w:lang w:bidi="ar"/>
        </w:rPr>
        <w:t>2</w:t>
      </w:r>
      <w:r>
        <w:rPr>
          <w:rFonts w:hint="eastAsia" w:cs="Times New Roman"/>
          <w:lang w:bidi="ar"/>
        </w:rPr>
        <w:t>级。</w:t>
      </w:r>
    </w:p>
    <w:p w14:paraId="42921027">
      <w:pPr>
        <w:ind w:firstLine="0" w:firstLineChars="0"/>
        <w:rPr>
          <w:rFonts w:cs="Times New Roman"/>
        </w:rPr>
      </w:pPr>
      <w:r>
        <w:rPr>
          <w:rFonts w:hint="eastAsia" w:cs="Times New Roman"/>
          <w:lang w:bidi="ar"/>
        </w:rPr>
        <w:t>【条文说明】为满足安全与观赏需要，参照现行相关规范确定台阶下限要求，避免因踏步过少或尺度不当引发的绊跌风险。</w:t>
      </w:r>
    </w:p>
    <w:p w14:paraId="2162685C">
      <w:pPr>
        <w:ind w:left="240" w:leftChars="100" w:firstLine="241" w:firstLineChars="100"/>
        <w:rPr>
          <w:rFonts w:cs="Times New Roman"/>
          <w:lang w:bidi="ar"/>
        </w:rPr>
      </w:pPr>
      <w:r>
        <w:rPr>
          <w:rFonts w:cs="Times New Roman"/>
          <w:b/>
          <w:bCs/>
          <w:lang w:bidi="ar"/>
        </w:rPr>
        <w:t>5</w:t>
      </w:r>
      <w:r>
        <w:rPr>
          <w:rFonts w:cs="Times New Roman"/>
          <w:lang w:bidi="ar"/>
        </w:rPr>
        <w:t xml:space="preserve"> </w:t>
      </w:r>
      <w:r>
        <w:rPr>
          <w:rFonts w:hint="eastAsia" w:cs="Times New Roman"/>
          <w:lang w:bidi="ar"/>
        </w:rPr>
        <w:t>亭、廊、敞厅等的吊顶应采用防潮材料。供游人坐憩处不应采用粗糙饰面或易刮伤肌肤与衣物的构造。</w:t>
      </w:r>
    </w:p>
    <w:p w14:paraId="78828620">
      <w:pPr>
        <w:ind w:firstLine="0" w:firstLineChars="0"/>
        <w:rPr>
          <w:rFonts w:cs="Times New Roman"/>
        </w:rPr>
      </w:pPr>
      <w:r>
        <w:rPr>
          <w:rFonts w:hint="eastAsia" w:cs="Times New Roman"/>
          <w:lang w:bidi="ar"/>
        </w:rPr>
        <w:t>【条文说明】强调适应户外环境与游客使用安全的构造与材料选择。</w:t>
      </w:r>
    </w:p>
    <w:p w14:paraId="08E6DA82">
      <w:pPr>
        <w:ind w:left="240" w:leftChars="100" w:firstLine="241" w:firstLineChars="100"/>
        <w:rPr>
          <w:rFonts w:cs="Times New Roman"/>
          <w:lang w:bidi="ar"/>
        </w:rPr>
      </w:pPr>
      <w:r>
        <w:rPr>
          <w:rFonts w:cs="Times New Roman"/>
          <w:b/>
          <w:bCs/>
          <w:lang w:bidi="ar"/>
        </w:rPr>
        <w:t>6</w:t>
      </w:r>
      <w:r>
        <w:rPr>
          <w:rFonts w:cs="Times New Roman"/>
          <w:lang w:bidi="ar"/>
        </w:rPr>
        <w:t xml:space="preserve"> </w:t>
      </w:r>
      <w:r>
        <w:rPr>
          <w:rFonts w:hint="eastAsia" w:cs="Times New Roman"/>
          <w:lang w:bidi="ar"/>
        </w:rPr>
        <w:t>游憩和服务建筑应设无障碍设施。无障碍设施应符合现行国家标准《无障碍设计规范》</w:t>
      </w:r>
      <w:r>
        <w:rPr>
          <w:rFonts w:cs="Times New Roman"/>
          <w:lang w:bidi="ar"/>
        </w:rPr>
        <w:t>GB 50763</w:t>
      </w:r>
      <w:r>
        <w:rPr>
          <w:rFonts w:hint="eastAsia" w:cs="Times New Roman"/>
          <w:lang w:bidi="ar"/>
        </w:rPr>
        <w:t>的相关规定。</w:t>
      </w:r>
    </w:p>
    <w:p w14:paraId="3ACB644B">
      <w:pPr>
        <w:ind w:firstLine="0" w:firstLineChars="0"/>
        <w:rPr>
          <w:rFonts w:cs="Times New Roman"/>
        </w:rPr>
      </w:pPr>
      <w:r>
        <w:rPr>
          <w:rFonts w:hint="eastAsia" w:cs="Times New Roman"/>
        </w:rPr>
        <w:t>【条文说明】保障特殊人群平等、安全使用，完善无障碍通行、服务与标识系统。</w:t>
      </w:r>
    </w:p>
    <w:p w14:paraId="0A31E24B">
      <w:pPr>
        <w:ind w:left="240" w:leftChars="100" w:firstLine="195" w:firstLineChars="81"/>
        <w:rPr>
          <w:rFonts w:cs="Times New Roman"/>
          <w:lang w:bidi="ar"/>
        </w:rPr>
      </w:pPr>
      <w:r>
        <w:rPr>
          <w:rFonts w:cs="Times New Roman"/>
          <w:b/>
          <w:bCs/>
          <w:lang w:bidi="ar"/>
        </w:rPr>
        <w:t>7</w:t>
      </w:r>
      <w:r>
        <w:rPr>
          <w:rFonts w:cs="Times New Roman"/>
          <w:lang w:bidi="ar"/>
        </w:rPr>
        <w:t xml:space="preserve"> </w:t>
      </w:r>
      <w:r>
        <w:rPr>
          <w:rFonts w:hint="eastAsia" w:cs="Times New Roman"/>
          <w:lang w:bidi="ar"/>
        </w:rPr>
        <w:t>严寒和寒冷地区经常有人员长期停留的建筑物内，应设置供暖设施，其形式与能源类型应符合当地能源条件与政策要求。</w:t>
      </w:r>
    </w:p>
    <w:p w14:paraId="2C477014">
      <w:pPr>
        <w:ind w:firstLine="0" w:firstLineChars="0"/>
        <w:rPr>
          <w:rFonts w:cs="Times New Roman"/>
          <w:lang w:bidi="ar"/>
        </w:rPr>
      </w:pPr>
      <w:r>
        <w:rPr>
          <w:rFonts w:hint="eastAsia" w:cs="Times New Roman"/>
          <w:lang w:bidi="ar"/>
        </w:rPr>
        <w:t>【条文说明】通过合理采暖确保使用舒适性与安全性，并与区域能源政策相衔接。</w:t>
      </w:r>
    </w:p>
    <w:p w14:paraId="364878EA">
      <w:pPr>
        <w:ind w:firstLine="0" w:firstLineChars="0"/>
        <w:rPr>
          <w:rFonts w:cs="Times New Roman"/>
        </w:rPr>
      </w:pPr>
      <w:r>
        <w:rPr>
          <w:rFonts w:cs="Times New Roman"/>
          <w:b/>
          <w:bCs/>
          <w:lang w:bidi="ar"/>
        </w:rPr>
        <w:t xml:space="preserve">6.5.7  </w:t>
      </w:r>
      <w:r>
        <w:rPr>
          <w:rFonts w:hint="eastAsia" w:cs="Times New Roman"/>
          <w:lang w:bidi="ar"/>
        </w:rPr>
        <w:t>配套设施</w:t>
      </w:r>
    </w:p>
    <w:p w14:paraId="15537A4F">
      <w:pPr>
        <w:ind w:left="240" w:leftChars="100" w:firstLine="241" w:firstLineChars="100"/>
        <w:rPr>
          <w:rFonts w:cs="Times New Roman"/>
        </w:rPr>
      </w:pPr>
      <w:r>
        <w:rPr>
          <w:rFonts w:cs="Times New Roman"/>
          <w:b/>
          <w:bCs/>
          <w:lang w:bidi="ar"/>
        </w:rPr>
        <w:t>1</w:t>
      </w:r>
      <w:r>
        <w:rPr>
          <w:rFonts w:cs="Times New Roman"/>
          <w:lang w:bidi="ar"/>
        </w:rPr>
        <w:t xml:space="preserve"> </w:t>
      </w:r>
      <w:r>
        <w:rPr>
          <w:rFonts w:hint="eastAsia" w:cs="Times New Roman"/>
          <w:lang w:bidi="ar"/>
        </w:rPr>
        <w:t>护栏应符合下列规定：</w:t>
      </w:r>
    </w:p>
    <w:p w14:paraId="3E87DF3F">
      <w:pPr>
        <w:ind w:left="480" w:leftChars="200" w:firstLine="240" w:firstLineChars="100"/>
        <w:rPr>
          <w:rFonts w:cs="Times New Roman"/>
        </w:rPr>
      </w:pPr>
      <w:r>
        <w:rPr>
          <w:rFonts w:cs="Times New Roman"/>
          <w:lang w:bidi="ar"/>
        </w:rPr>
        <w:t>1</w:t>
      </w:r>
      <w:r>
        <w:rPr>
          <w:rFonts w:hint="eastAsia" w:cs="Times New Roman"/>
          <w:lang w:bidi="ar"/>
        </w:rPr>
        <w:t>）各类安全防护性、装饰性和示意性护栏不应采用带有尖角、利刺等易造成伤害的构造形式。</w:t>
      </w:r>
    </w:p>
    <w:p w14:paraId="7D8C56B7">
      <w:pPr>
        <w:ind w:firstLine="0" w:firstLineChars="0"/>
        <w:rPr>
          <w:rFonts w:cs="Times New Roman"/>
        </w:rPr>
      </w:pPr>
      <w:r>
        <w:rPr>
          <w:rFonts w:hint="eastAsia" w:cs="Times New Roman"/>
          <w:lang w:bidi="ar"/>
        </w:rPr>
        <w:t>【条文说明】示意性护栏为以装饰性方式提示禁入而不承担安全防护功能的设施；防护护栏为具安全防护作用的栏杆、矮墙或花台（池）等。本条旨在避免奔跑、拥挤等情况下因构造锐利导致意外伤害。</w:t>
      </w:r>
    </w:p>
    <w:p w14:paraId="0BE79ABA">
      <w:pPr>
        <w:ind w:left="480" w:leftChars="200" w:firstLine="240" w:firstLineChars="100"/>
        <w:rPr>
          <w:rFonts w:cs="Times New Roman"/>
        </w:rPr>
      </w:pPr>
      <w:r>
        <w:rPr>
          <w:rFonts w:cs="Times New Roman"/>
          <w:lang w:bidi="ar"/>
        </w:rPr>
        <w:t>2</w:t>
      </w:r>
      <w:r>
        <w:rPr>
          <w:rFonts w:hint="eastAsia" w:cs="Times New Roman"/>
          <w:lang w:bidi="ar"/>
        </w:rPr>
        <w:t>）防护护栏高度不应低于 1.05 m；当设于临空高度≥24 m位置时，护栏高度不应低于 1.10 m。护栏高度自可踩踏面起计。</w:t>
      </w:r>
    </w:p>
    <w:p w14:paraId="4F2788F1">
      <w:pPr>
        <w:ind w:firstLine="0" w:firstLineChars="0"/>
        <w:rPr>
          <w:rFonts w:cs="Times New Roman"/>
        </w:rPr>
      </w:pPr>
      <w:r>
        <w:rPr>
          <w:rFonts w:hint="eastAsia" w:cs="Times New Roman"/>
          <w:lang w:bidi="ar"/>
        </w:rPr>
        <w:t>【条文说明】依据《民用建筑设计通则》GB 50352-2005 第6.6.3 条第2款。</w:t>
      </w:r>
    </w:p>
    <w:p w14:paraId="3ABD684F">
      <w:pPr>
        <w:ind w:left="480" w:leftChars="200" w:firstLine="240" w:firstLineChars="100"/>
      </w:pPr>
      <w:r>
        <w:rPr>
          <w:rFonts w:cs="Times New Roman"/>
          <w:lang w:bidi="ar"/>
        </w:rPr>
        <w:t>3</w:t>
      </w:r>
      <w:r>
        <w:rPr>
          <w:rFonts w:hint="eastAsia" w:cs="Times New Roman"/>
          <w:lang w:bidi="ar"/>
        </w:rPr>
        <w:t>）儿童专用活动场所的防护护栏必须采用防攀爬构造；当采用垂直杆件作栏杆时，其杆间净距不应大于 0.11 m</w:t>
      </w:r>
      <w:r>
        <w:rPr>
          <w:rFonts w:hint="eastAsia" w:cs="宋体"/>
          <w:lang w:bidi="ar"/>
        </w:rPr>
        <w:t>。</w:t>
      </w:r>
    </w:p>
    <w:p w14:paraId="0F57619D">
      <w:pPr>
        <w:ind w:firstLine="0" w:firstLineChars="0"/>
        <w:rPr>
          <w:rFonts w:cs="Times New Roman"/>
        </w:rPr>
      </w:pPr>
      <w:r>
        <w:rPr>
          <w:rFonts w:hint="eastAsia" w:cs="Times New Roman"/>
          <w:lang w:bidi="ar"/>
        </w:rPr>
        <w:t>【条文说明】引自 GB 50352-2005 第6.6.3 条第4款（强条）。</w:t>
      </w:r>
    </w:p>
    <w:p w14:paraId="26487F61">
      <w:pPr>
        <w:ind w:left="240" w:leftChars="100" w:firstLine="198" w:firstLineChars="82"/>
        <w:rPr>
          <w:rFonts w:cs="Times New Roman"/>
          <w:b/>
          <w:bCs/>
        </w:rPr>
      </w:pPr>
      <w:r>
        <w:rPr>
          <w:rFonts w:cs="Times New Roman"/>
          <w:b/>
          <w:bCs/>
          <w:lang w:bidi="ar"/>
        </w:rPr>
        <w:t xml:space="preserve">2 </w:t>
      </w:r>
      <w:r>
        <w:rPr>
          <w:rFonts w:hint="eastAsia" w:cs="Times New Roman"/>
          <w:lang w:bidi="ar"/>
        </w:rPr>
        <w:t>驳岸应符合下列规定：</w:t>
      </w:r>
    </w:p>
    <w:p w14:paraId="464B80AF">
      <w:pPr>
        <w:ind w:left="480" w:leftChars="200" w:firstLine="240" w:firstLineChars="100"/>
        <w:rPr>
          <w:rFonts w:cs="Times New Roman"/>
        </w:rPr>
      </w:pPr>
      <w:r>
        <w:rPr>
          <w:rFonts w:cs="Times New Roman"/>
          <w:lang w:bidi="ar"/>
        </w:rPr>
        <w:t>1</w:t>
      </w:r>
      <w:r>
        <w:rPr>
          <w:rFonts w:hint="eastAsia" w:cs="Times New Roman"/>
          <w:lang w:bidi="ar"/>
        </w:rPr>
        <w:t>）公园内水体外缘宜采用生态驳岸。</w:t>
      </w:r>
    </w:p>
    <w:p w14:paraId="5994883F">
      <w:pPr>
        <w:ind w:left="480" w:leftChars="200" w:firstLine="240" w:firstLineChars="100"/>
        <w:rPr>
          <w:rFonts w:cs="Times New Roman"/>
        </w:rPr>
      </w:pPr>
      <w:r>
        <w:rPr>
          <w:rFonts w:cs="Times New Roman"/>
          <w:lang w:bidi="ar"/>
        </w:rPr>
        <w:t>2</w:t>
      </w:r>
      <w:r>
        <w:rPr>
          <w:rFonts w:hint="eastAsia" w:cs="Times New Roman"/>
          <w:lang w:bidi="ar"/>
        </w:rPr>
        <w:t>）驳岸设计应依据园林总体设计的平面线形、竖向控制点、水位与流速等条件确定。</w:t>
      </w:r>
    </w:p>
    <w:p w14:paraId="323BCE73">
      <w:pPr>
        <w:ind w:left="480" w:leftChars="200" w:firstLine="240" w:firstLineChars="100"/>
        <w:rPr>
          <w:rFonts w:cs="Times New Roman"/>
        </w:rPr>
      </w:pPr>
      <w:r>
        <w:rPr>
          <w:rFonts w:cs="Times New Roman"/>
          <w:lang w:bidi="ar"/>
        </w:rPr>
        <w:t>3</w:t>
      </w:r>
      <w:r>
        <w:rPr>
          <w:rFonts w:hint="eastAsia" w:cs="Times New Roman"/>
          <w:lang w:bidi="ar"/>
        </w:rPr>
        <w:t>）人工砌筑或混凝土浇筑驳岸应符合下列规定：季节性冻土地区的驳岸基础宜大于场地冻结深度，并考虑水体及外侧土体结冻后冻胀作用的影响；必要的运行管理措施应在设计文件中注明</w:t>
      </w:r>
      <w:r>
        <w:rPr>
          <w:rFonts w:hint="eastAsia" w:ascii="宋体" w:hAnsi="宋体" w:cs="宋体"/>
          <w:lang w:bidi="ar"/>
        </w:rPr>
        <w:t>；消防车取水点处的驳岸设计应校核消防车满载附加荷载；驳岸地基基础设计应符合现行国家标准《建筑地基基础设计规范》</w:t>
      </w:r>
      <w:r>
        <w:rPr>
          <w:rFonts w:cs="Times New Roman"/>
          <w:lang w:bidi="ar"/>
        </w:rPr>
        <w:t>GB 50007</w:t>
      </w:r>
      <w:r>
        <w:rPr>
          <w:rFonts w:hint="eastAsia" w:cs="Times New Roman"/>
          <w:lang w:bidi="ar"/>
        </w:rPr>
        <w:t>的有关规定。</w:t>
      </w:r>
    </w:p>
    <w:p w14:paraId="3B6BEB64">
      <w:pPr>
        <w:ind w:firstLine="0" w:firstLineChars="0"/>
        <w:rPr>
          <w:rFonts w:cs="Times New Roman"/>
        </w:rPr>
      </w:pPr>
      <w:r>
        <w:rPr>
          <w:rFonts w:hint="eastAsia" w:cs="Times New Roman"/>
          <w:lang w:bidi="ar"/>
        </w:rPr>
        <w:t>【条文说明】依据《公园设计规范》GB 51192-2016 第8.3.4。</w:t>
      </w:r>
    </w:p>
    <w:p w14:paraId="36323E76">
      <w:pPr>
        <w:ind w:left="480" w:leftChars="200" w:firstLine="240" w:firstLineChars="100"/>
        <w:rPr>
          <w:rFonts w:ascii="宋体" w:hAnsi="宋体" w:cs="宋体"/>
        </w:rPr>
      </w:pPr>
      <w:r>
        <w:rPr>
          <w:rFonts w:hint="eastAsia" w:ascii="宋体" w:hAnsi="宋体" w:cs="宋体"/>
          <w:lang w:bidi="ar"/>
        </w:rPr>
        <w:t>4）采取工程措施加固驳岸时，其外形、材质与色彩应与环境协调统一。</w:t>
      </w:r>
    </w:p>
    <w:p w14:paraId="4092F442">
      <w:pPr>
        <w:ind w:firstLine="0" w:firstLineChars="0"/>
        <w:rPr>
          <w:rFonts w:ascii="宋体" w:hAnsi="宋体" w:cs="宋体"/>
        </w:rPr>
      </w:pPr>
      <w:r>
        <w:rPr>
          <w:rFonts w:hint="eastAsia" w:cs="宋体"/>
          <w:lang w:bidi="ar"/>
        </w:rPr>
        <w:t>【条文说明】</w:t>
      </w:r>
      <w:r>
        <w:rPr>
          <w:rFonts w:hint="eastAsia" w:ascii="宋体" w:hAnsi="宋体" w:cs="宋体"/>
          <w:lang w:bidi="ar"/>
        </w:rPr>
        <w:t>驳岸形式对景观影响显著，应契合园林特征，有别于一般水工构筑物的技术取向。</w:t>
      </w:r>
    </w:p>
    <w:p w14:paraId="60B15513">
      <w:pPr>
        <w:ind w:left="240" w:leftChars="100" w:firstLine="241" w:firstLineChars="100"/>
      </w:pPr>
      <w:r>
        <w:rPr>
          <w:rFonts w:cs="Times New Roman"/>
          <w:b/>
          <w:bCs/>
          <w:lang w:bidi="ar"/>
        </w:rPr>
        <w:t>3</w:t>
      </w:r>
      <w:r>
        <w:rPr>
          <w:rFonts w:cs="Times New Roman"/>
          <w:lang w:bidi="ar"/>
        </w:rPr>
        <w:t xml:space="preserve"> </w:t>
      </w:r>
      <w:r>
        <w:rPr>
          <w:rFonts w:hint="eastAsia" w:cs="宋体"/>
          <w:lang w:bidi="ar"/>
        </w:rPr>
        <w:t>人体非全身性接触的娱乐性景观用水水质应达到地表水</w:t>
      </w:r>
      <w:r>
        <w:rPr>
          <w:rFonts w:cs="Times New Roman"/>
          <w:lang w:bidi="ar"/>
        </w:rPr>
        <w:t>Ⅲ</w:t>
      </w:r>
      <w:r>
        <w:rPr>
          <w:rFonts w:hint="eastAsia" w:cs="宋体"/>
          <w:lang w:bidi="ar"/>
        </w:rPr>
        <w:t>类标准；人体非直接接触的观赏性景观用水水质应达到地表水</w:t>
      </w:r>
      <w:r>
        <w:rPr>
          <w:rFonts w:cs="Times New Roman"/>
          <w:lang w:bidi="ar"/>
        </w:rPr>
        <w:t>Ⅳ</w:t>
      </w:r>
      <w:r>
        <w:rPr>
          <w:rFonts w:hint="eastAsia" w:cs="宋体"/>
          <w:lang w:bidi="ar"/>
        </w:rPr>
        <w:t>类标准；与游人接触的喷泉水质不得对人身健康产生不良影响。</w:t>
      </w:r>
    </w:p>
    <w:p w14:paraId="0E19B696">
      <w:pPr>
        <w:ind w:firstLine="0" w:firstLineChars="0"/>
      </w:pPr>
      <w:r>
        <w:rPr>
          <w:rFonts w:hint="eastAsia" w:cs="宋体"/>
          <w:lang w:bidi="ar"/>
        </w:rPr>
        <w:t>【条文说明】Ⅳ类水适用于一般工业保护区及人体非直接接触娱乐用水区；与人体接触的水质至少应达Ⅲ类。《城市污水再生利用 景观环境用水水质》GB/T 18921 对再生水的景观用水提出了指标要求。</w:t>
      </w:r>
    </w:p>
    <w:p w14:paraId="0B7E5590">
      <w:pPr>
        <w:ind w:left="240" w:leftChars="100" w:firstLine="241" w:firstLineChars="100"/>
        <w:rPr>
          <w:rFonts w:ascii="宋体" w:hAnsi="宋体" w:cs="宋体"/>
        </w:rPr>
      </w:pPr>
      <w:r>
        <w:rPr>
          <w:rFonts w:cs="Times New Roman"/>
          <w:b/>
          <w:bCs/>
          <w:lang w:bidi="ar"/>
        </w:rPr>
        <w:t>4</w:t>
      </w:r>
      <w:r>
        <w:rPr>
          <w:rFonts w:cs="Times New Roman"/>
          <w:lang w:bidi="ar"/>
        </w:rPr>
        <w:t xml:space="preserve"> </w:t>
      </w:r>
      <w:r>
        <w:rPr>
          <w:rFonts w:hint="eastAsia" w:cs="宋体"/>
          <w:lang w:bidi="ar"/>
        </w:rPr>
        <w:t>用于植物灌溉的管线及设施应设置防止误饮和误接的明显标识。</w:t>
      </w:r>
    </w:p>
    <w:p w14:paraId="08A52A37">
      <w:pPr>
        <w:ind w:firstLine="0" w:firstLineChars="0"/>
        <w:rPr>
          <w:rFonts w:ascii="宋体" w:hAnsi="宋体" w:cs="宋体"/>
        </w:rPr>
      </w:pPr>
      <w:r>
        <w:rPr>
          <w:rFonts w:hint="eastAsia" w:ascii="宋体" w:hAnsi="宋体" w:cs="宋体"/>
          <w:lang w:bidi="ar"/>
        </w:rPr>
        <w:t>【条文说明】为防止非饮用水误饮误用，应在绿地灌溉取用点、阀门井等显著位置设置“非饮用水”“此水不能喝”等提示标识。</w:t>
      </w:r>
    </w:p>
    <w:p w14:paraId="1E116B5C">
      <w:pPr>
        <w:pStyle w:val="30"/>
        <w:numPr>
          <w:ilvl w:val="0"/>
          <w:numId w:val="4"/>
        </w:numPr>
        <w:spacing w:before="163" w:beforeLines="50" w:after="163" w:afterLines="50"/>
        <w:ind w:firstLineChars="0"/>
        <w:jc w:val="center"/>
        <w:outlineLvl w:val="1"/>
        <w:rPr>
          <w:b/>
          <w:bCs/>
          <w:sz w:val="28"/>
          <w:szCs w:val="28"/>
        </w:rPr>
      </w:pPr>
      <w:bookmarkStart w:id="85" w:name="_Toc212057031"/>
      <w:r>
        <w:rPr>
          <w:rFonts w:hint="eastAsia"/>
          <w:b/>
          <w:bCs/>
          <w:sz w:val="28"/>
          <w:szCs w:val="28"/>
        </w:rPr>
        <w:t>工业遗迹改造设计</w:t>
      </w:r>
      <w:bookmarkEnd w:id="85"/>
    </w:p>
    <w:p w14:paraId="1D5078E6">
      <w:pPr>
        <w:ind w:firstLine="0" w:firstLineChars="0"/>
        <w:rPr>
          <w:rFonts w:ascii="宋体" w:hAnsi="宋体"/>
        </w:rPr>
      </w:pPr>
      <w:r>
        <w:rPr>
          <w:rFonts w:cs="Times New Roman"/>
          <w:b/>
          <w:bCs/>
        </w:rPr>
        <w:t>6.6</w:t>
      </w:r>
      <w:r>
        <w:rPr>
          <w:rFonts w:hint="eastAsia" w:cs="Times New Roman"/>
          <w:b/>
          <w:bCs/>
        </w:rPr>
        <w:t>.1</w:t>
      </w:r>
      <w:r>
        <w:rPr>
          <w:rFonts w:cs="Times New Roman"/>
          <w:b/>
          <w:bCs/>
        </w:rPr>
        <w:t xml:space="preserve">  </w:t>
      </w:r>
      <w:r>
        <w:rPr>
          <w:rFonts w:hint="eastAsia" w:ascii="宋体" w:hAnsi="宋体"/>
        </w:rPr>
        <w:t>工业场地包括办公生活区、工业广场、仓库、临时建筑及其他场地。场地修复宜优先采用原地类修复，并结合场地条件与风貌特色进行提炼，挖掘崖壁矿坑、工业遗址等独有资源，合理组织功能业态与公共开放空间，实现工业遗迹保护与开发再利用的联动融合。</w:t>
      </w:r>
    </w:p>
    <w:p w14:paraId="333AC62E">
      <w:pPr>
        <w:ind w:firstLine="0" w:firstLineChars="0"/>
        <w:rPr>
          <w:rFonts w:ascii="宋体" w:hAnsi="宋体"/>
        </w:rPr>
      </w:pPr>
      <w:r>
        <w:rPr>
          <w:rFonts w:cs="Times New Roman"/>
        </w:rPr>
        <w:t>【条文说明】</w:t>
      </w:r>
      <w:r>
        <w:rPr>
          <w:rFonts w:hint="eastAsia" w:cs="Times New Roman"/>
        </w:rPr>
        <w:t>强调原地类修复与场地特色的统筹，兼顾遗产保护与功能更新，促进再利用。</w:t>
      </w:r>
    </w:p>
    <w:p w14:paraId="70D19625">
      <w:pPr>
        <w:ind w:firstLine="0" w:firstLineChars="0"/>
        <w:rPr>
          <w:rFonts w:ascii="宋体" w:hAnsi="宋体" w:cs="宋体"/>
        </w:rPr>
      </w:pPr>
      <w:r>
        <w:rPr>
          <w:rFonts w:cs="Times New Roman"/>
          <w:b/>
          <w:bCs/>
          <w:lang w:bidi="ar"/>
        </w:rPr>
        <w:t xml:space="preserve">6.6.2  </w:t>
      </w:r>
      <w:r>
        <w:rPr>
          <w:rFonts w:hint="eastAsia" w:ascii="宋体" w:hAnsi="宋体" w:cs="宋体"/>
          <w:lang w:bidi="ar"/>
        </w:rPr>
        <w:t>在结构安全鉴定合格与环境风险评估通过的前提下，宜完整保留具有工业风貌价值的建筑、构筑物及钢制生产设备，打造工业遗存展示区；通过最小干预与再生设计，减少建筑垃圾、降低碳排放，实现工业遗存的艺术价值重塑。</w:t>
      </w:r>
    </w:p>
    <w:p w14:paraId="3379F590">
      <w:pPr>
        <w:ind w:firstLine="0" w:firstLineChars="0"/>
        <w:rPr>
          <w:rFonts w:ascii="宋体" w:hAnsi="宋体" w:cs="宋体"/>
        </w:rPr>
      </w:pPr>
      <w:r>
        <w:rPr>
          <w:rFonts w:hint="eastAsia" w:cs="Times New Roman"/>
          <w:lang w:bidi="ar"/>
        </w:rPr>
        <w:t>【条文说明】提出“先评估、后保留、再利用”的路径，兼顾安全、环保与低碳目标。</w:t>
      </w:r>
    </w:p>
    <w:p w14:paraId="68CE7358">
      <w:pPr>
        <w:ind w:firstLine="0" w:firstLineChars="0"/>
        <w:rPr>
          <w:rFonts w:ascii="宋体" w:hAnsi="宋体"/>
        </w:rPr>
      </w:pPr>
      <w:r>
        <w:rPr>
          <w:rFonts w:cs="Times New Roman"/>
          <w:b/>
          <w:bCs/>
        </w:rPr>
        <w:t>6.6</w:t>
      </w:r>
      <w:r>
        <w:rPr>
          <w:rFonts w:hint="eastAsia" w:cs="Times New Roman"/>
          <w:b/>
          <w:bCs/>
        </w:rPr>
        <w:t>.3</w:t>
      </w:r>
      <w:r>
        <w:rPr>
          <w:rFonts w:cs="Times New Roman"/>
          <w:b/>
          <w:bCs/>
        </w:rPr>
        <w:t xml:space="preserve">  </w:t>
      </w:r>
      <w:r>
        <w:rPr>
          <w:rFonts w:hint="eastAsia" w:ascii="宋体" w:hAnsi="宋体"/>
        </w:rPr>
        <w:t>对烟囱等高耸构筑物，宜采用景观化加固改造，塑造地标性设施（如工业风格时钟、观景塔等）；对筒仓类构筑物，宜进行功能化改造为书店、咖啡厅、休闲展示等公共空间。上述改造应开展结构安全、消防与无障碍等符合性审查，并与周边景观风貌协调统一。</w:t>
      </w:r>
    </w:p>
    <w:p w14:paraId="532BF599">
      <w:pPr>
        <w:ind w:firstLine="0" w:firstLineChars="0"/>
        <w:rPr>
          <w:rFonts w:ascii="宋体" w:hAnsi="宋体"/>
        </w:rPr>
      </w:pPr>
      <w:r>
        <w:rPr>
          <w:rFonts w:cs="Times New Roman"/>
        </w:rPr>
        <w:t>【条文说明】</w:t>
      </w:r>
      <w:r>
        <w:rPr>
          <w:rFonts w:hint="eastAsia" w:cs="Times New Roman"/>
        </w:rPr>
        <w:t>明确高耸与筒仓构筑物的活化方向及必要的安全与合规审查要求</w:t>
      </w:r>
      <w:r>
        <w:rPr>
          <w:rFonts w:cs="Times New Roman"/>
        </w:rPr>
        <w:t>。</w:t>
      </w:r>
    </w:p>
    <w:p w14:paraId="5879C75F">
      <w:pPr>
        <w:ind w:firstLine="0" w:firstLineChars="0"/>
        <w:rPr>
          <w:rFonts w:ascii="宋体" w:hAnsi="宋体"/>
        </w:rPr>
      </w:pPr>
      <w:r>
        <w:rPr>
          <w:rFonts w:cs="Times New Roman"/>
          <w:b/>
          <w:bCs/>
        </w:rPr>
        <w:t>6.6</w:t>
      </w:r>
      <w:r>
        <w:rPr>
          <w:rFonts w:hint="eastAsia" w:cs="Times New Roman"/>
          <w:b/>
          <w:bCs/>
        </w:rPr>
        <w:t>.</w:t>
      </w:r>
      <w:r>
        <w:rPr>
          <w:rFonts w:cs="Times New Roman"/>
          <w:b/>
          <w:bCs/>
        </w:rPr>
        <w:t xml:space="preserve">4  </w:t>
      </w:r>
      <w:r>
        <w:rPr>
          <w:rFonts w:hint="eastAsia" w:ascii="宋体" w:hAnsi="宋体"/>
        </w:rPr>
        <w:t>废弃工业设备承载工业记忆，宜在去污染、除锈/钝化、防护处理后按仿旧修复方式保留，作为建筑室内外展示品、景观装置或酒店艺术装饰等使用。用于公共区域时，不得存在锐利边缘、夹缝伤害及有害物残留，并应落实稳固安装与安全防护措施。</w:t>
      </w:r>
    </w:p>
    <w:p w14:paraId="52E26AB7">
      <w:pPr>
        <w:ind w:firstLine="0" w:firstLineChars="0"/>
      </w:pPr>
      <w:r>
        <w:rPr>
          <w:rFonts w:cs="Times New Roman"/>
        </w:rPr>
        <w:t>【条文说明】</w:t>
      </w:r>
      <w:r>
        <w:rPr>
          <w:rFonts w:hint="eastAsia" w:cs="Times New Roman"/>
        </w:rPr>
        <w:t>在保留工业遗存价值的同时，强调再利用的安全性与环境合规性。</w:t>
      </w:r>
    </w:p>
    <w:p w14:paraId="5B33BB39">
      <w:pPr>
        <w:pStyle w:val="30"/>
        <w:numPr>
          <w:ilvl w:val="0"/>
          <w:numId w:val="4"/>
        </w:numPr>
        <w:spacing w:before="163" w:beforeLines="50" w:after="163" w:afterLines="50"/>
        <w:ind w:firstLineChars="0"/>
        <w:jc w:val="center"/>
        <w:outlineLvl w:val="1"/>
        <w:rPr>
          <w:b/>
          <w:bCs/>
          <w:sz w:val="28"/>
          <w:szCs w:val="28"/>
        </w:rPr>
      </w:pPr>
      <w:bookmarkStart w:id="86" w:name="_Toc212057032"/>
      <w:r>
        <w:rPr>
          <w:rFonts w:hint="eastAsia"/>
          <w:b/>
          <w:bCs/>
          <w:sz w:val="28"/>
          <w:szCs w:val="28"/>
        </w:rPr>
        <w:t>矿区建筑设计</w:t>
      </w:r>
      <w:bookmarkEnd w:id="86"/>
    </w:p>
    <w:p w14:paraId="7015B769">
      <w:pPr>
        <w:ind w:firstLine="0" w:firstLineChars="0"/>
      </w:pPr>
      <w:r>
        <w:rPr>
          <w:rFonts w:cs="Times New Roman"/>
          <w:b/>
          <w:bCs/>
          <w:lang w:bidi="ar"/>
        </w:rPr>
        <w:t>6.7.1</w:t>
      </w:r>
      <w:r>
        <w:rPr>
          <w:rFonts w:cs="Times New Roman"/>
          <w:lang w:bidi="ar"/>
        </w:rPr>
        <w:t xml:space="preserve">  </w:t>
      </w:r>
      <w:r>
        <w:rPr>
          <w:rFonts w:hint="eastAsia" w:cs="宋体"/>
          <w:lang w:bidi="ar"/>
        </w:rPr>
        <w:t>设计方案要求</w:t>
      </w:r>
    </w:p>
    <w:p w14:paraId="0C2A1914">
      <w:pPr>
        <w:ind w:left="240" w:leftChars="100" w:firstLine="241" w:firstLineChars="100"/>
      </w:pPr>
      <w:r>
        <w:rPr>
          <w:rFonts w:cs="Times New Roman"/>
          <w:b/>
          <w:bCs/>
          <w:lang w:bidi="ar"/>
        </w:rPr>
        <w:t>1</w:t>
      </w:r>
      <w:r>
        <w:rPr>
          <w:rFonts w:cs="Times New Roman"/>
          <w:lang w:bidi="ar"/>
        </w:rPr>
        <w:t xml:space="preserve"> </w:t>
      </w:r>
      <w:r>
        <w:rPr>
          <w:rFonts w:hint="eastAsia" w:cs="宋体"/>
          <w:lang w:bidi="ar"/>
        </w:rPr>
        <w:t>设计单位应在掌握地质与水文地质条件、施工条件及现状调查资料的基础上，综合考虑台风、降雨、动静荷载及周边环境既有变形等因素，确定深基坑工程设计方案。</w:t>
      </w:r>
    </w:p>
    <w:p w14:paraId="4610D754">
      <w:pPr>
        <w:ind w:left="240" w:leftChars="100" w:firstLine="241" w:firstLineChars="100"/>
      </w:pPr>
      <w:r>
        <w:rPr>
          <w:rFonts w:cs="Times New Roman"/>
          <w:b/>
          <w:bCs/>
          <w:lang w:bidi="ar"/>
        </w:rPr>
        <w:t>2</w:t>
      </w:r>
      <w:r>
        <w:rPr>
          <w:rFonts w:cs="Times New Roman"/>
          <w:lang w:bidi="ar"/>
        </w:rPr>
        <w:t xml:space="preserve"> </w:t>
      </w:r>
      <w:r>
        <w:rPr>
          <w:rFonts w:hint="eastAsia" w:cs="宋体"/>
          <w:lang w:bidi="ar"/>
        </w:rPr>
        <w:t>设计方案应按规定组织专家论证；设计单位应结合论证意见完善并出具施工图设计文件。</w:t>
      </w:r>
    </w:p>
    <w:p w14:paraId="0F217ACC">
      <w:pPr>
        <w:ind w:left="240" w:leftChars="100" w:firstLine="241" w:firstLineChars="100"/>
        <w:rPr>
          <w:rFonts w:cs="宋体"/>
          <w:lang w:bidi="ar"/>
        </w:rPr>
      </w:pPr>
      <w:r>
        <w:rPr>
          <w:rFonts w:cs="Times New Roman"/>
          <w:b/>
          <w:bCs/>
          <w:lang w:bidi="ar"/>
        </w:rPr>
        <w:t>3</w:t>
      </w:r>
      <w:r>
        <w:rPr>
          <w:rFonts w:cs="Times New Roman"/>
          <w:lang w:bidi="ar"/>
        </w:rPr>
        <w:t xml:space="preserve"> </w:t>
      </w:r>
      <w:r>
        <w:rPr>
          <w:rFonts w:hint="eastAsia" w:cs="宋体"/>
          <w:lang w:bidi="ar"/>
        </w:rPr>
        <w:t>设计单位应提出周边环境保护措施。当无法确定周边建（构）筑物基础形式与埋深时，应按最不利基础条件提出保护与控制要求。</w:t>
      </w:r>
    </w:p>
    <w:p w14:paraId="0507C990">
      <w:pPr>
        <w:ind w:firstLine="0" w:firstLineChars="0"/>
      </w:pPr>
      <w:r>
        <w:rPr>
          <w:rFonts w:hint="eastAsia"/>
        </w:rPr>
        <w:t>【条文说明】本条明确深基坑设计方案的编制依据与程序要求，强调在充分掌握场地条件与环境影响的基础上形成设计，并通过专家论证提升方案的安全性与合理性；对周边环境保护提出底线要求，在信息不充分情况下按最不利条件进行安全控制。</w:t>
      </w:r>
    </w:p>
    <w:p w14:paraId="1DD3CF92">
      <w:pPr>
        <w:ind w:firstLine="0" w:firstLineChars="0"/>
      </w:pPr>
      <w:r>
        <w:rPr>
          <w:rFonts w:cs="Times New Roman"/>
          <w:b/>
          <w:bCs/>
          <w:lang w:bidi="ar"/>
        </w:rPr>
        <w:t>6.7.2</w:t>
      </w:r>
      <w:r>
        <w:rPr>
          <w:rFonts w:cs="Times New Roman"/>
          <w:lang w:bidi="ar"/>
        </w:rPr>
        <w:t xml:space="preserve">  </w:t>
      </w:r>
      <w:r>
        <w:rPr>
          <w:rFonts w:hint="eastAsia" w:cs="宋体"/>
          <w:lang w:bidi="ar"/>
        </w:rPr>
        <w:t>施工图设计文件内容</w:t>
      </w:r>
    </w:p>
    <w:p w14:paraId="78FC125E">
      <w:pPr>
        <w:ind w:firstLine="480"/>
        <w:rPr>
          <w:rFonts w:cs="宋体"/>
          <w:lang w:bidi="ar"/>
        </w:rPr>
      </w:pPr>
      <w:r>
        <w:rPr>
          <w:rFonts w:hint="eastAsia" w:cs="宋体"/>
          <w:lang w:bidi="ar"/>
        </w:rPr>
        <w:t>深基坑工程施工图设计文件应包括但不限于下列内容：</w:t>
      </w:r>
    </w:p>
    <w:p w14:paraId="79598872">
      <w:pPr>
        <w:ind w:firstLine="480"/>
        <w:rPr>
          <w:rFonts w:cs="宋体"/>
          <w:lang w:bidi="ar"/>
        </w:rPr>
      </w:pPr>
      <w:r>
        <w:rPr>
          <w:rFonts w:cs="宋体"/>
          <w:lang w:bidi="ar"/>
        </w:rPr>
        <w:t>1</w:t>
      </w:r>
      <w:r>
        <w:rPr>
          <w:rFonts w:hint="eastAsia" w:cs="宋体"/>
          <w:lang w:bidi="ar"/>
        </w:rPr>
        <w:t>）深基坑工程安全等级与设计使用年限；</w:t>
      </w:r>
    </w:p>
    <w:p w14:paraId="7AD4779E">
      <w:pPr>
        <w:ind w:firstLine="480"/>
        <w:rPr>
          <w:rFonts w:cs="宋体"/>
          <w:lang w:bidi="ar"/>
        </w:rPr>
      </w:pPr>
      <w:r>
        <w:rPr>
          <w:rFonts w:cs="宋体"/>
          <w:lang w:bidi="ar"/>
        </w:rPr>
        <w:t>2</w:t>
      </w:r>
      <w:r>
        <w:rPr>
          <w:rFonts w:hint="eastAsia" w:cs="宋体"/>
          <w:lang w:bidi="ar"/>
        </w:rPr>
        <w:t>）深基坑及承台、电梯井等坑中坑的支护结构型式与设计参数；</w:t>
      </w:r>
    </w:p>
    <w:p w14:paraId="43FDF27E">
      <w:pPr>
        <w:ind w:firstLine="480"/>
        <w:rPr>
          <w:rFonts w:cs="宋体"/>
          <w:lang w:bidi="ar"/>
        </w:rPr>
      </w:pPr>
      <w:r>
        <w:rPr>
          <w:rFonts w:cs="宋体"/>
          <w:lang w:bidi="ar"/>
        </w:rPr>
        <w:t>3</w:t>
      </w:r>
      <w:r>
        <w:rPr>
          <w:rFonts w:hint="eastAsia" w:cs="宋体"/>
          <w:lang w:bidi="ar"/>
        </w:rPr>
        <w:t>）监测方案与监测项目，包括测点布置、频次与信息化施工要求；</w:t>
      </w:r>
    </w:p>
    <w:p w14:paraId="004C9CA0">
      <w:pPr>
        <w:ind w:firstLine="480"/>
        <w:rPr>
          <w:rFonts w:cs="宋体"/>
          <w:lang w:bidi="ar"/>
        </w:rPr>
      </w:pPr>
      <w:r>
        <w:rPr>
          <w:rFonts w:cs="宋体"/>
          <w:lang w:bidi="ar"/>
        </w:rPr>
        <w:t>4</w:t>
      </w:r>
      <w:r>
        <w:rPr>
          <w:rFonts w:hint="eastAsia" w:cs="宋体"/>
          <w:lang w:bidi="ar"/>
        </w:rPr>
        <w:t>）支护结构及周边环境变形预警值与控制值；</w:t>
      </w:r>
    </w:p>
    <w:p w14:paraId="1621593B">
      <w:pPr>
        <w:ind w:firstLine="480"/>
        <w:rPr>
          <w:rFonts w:cs="宋体"/>
          <w:lang w:bidi="ar"/>
        </w:rPr>
      </w:pPr>
      <w:r>
        <w:rPr>
          <w:rFonts w:cs="宋体"/>
          <w:lang w:bidi="ar"/>
        </w:rPr>
        <w:t>5</w:t>
      </w:r>
      <w:r>
        <w:rPr>
          <w:rFonts w:hint="eastAsia" w:cs="宋体"/>
          <w:lang w:bidi="ar"/>
        </w:rPr>
        <w:t>）周边环境保护措施（含既有建（构）筑物、管线与道路等）；</w:t>
      </w:r>
    </w:p>
    <w:p w14:paraId="1868DB45">
      <w:pPr>
        <w:ind w:firstLine="480"/>
        <w:rPr>
          <w:rFonts w:cs="宋体"/>
          <w:lang w:bidi="ar"/>
        </w:rPr>
      </w:pPr>
      <w:r>
        <w:rPr>
          <w:rFonts w:cs="宋体"/>
          <w:lang w:bidi="ar"/>
        </w:rPr>
        <w:t>6</w:t>
      </w:r>
      <w:r>
        <w:rPr>
          <w:rFonts w:hint="eastAsia" w:cs="宋体"/>
          <w:lang w:bidi="ar"/>
        </w:rPr>
        <w:t>）基坑周边地面允许荷载；</w:t>
      </w:r>
    </w:p>
    <w:p w14:paraId="09B095B5">
      <w:pPr>
        <w:ind w:firstLine="480"/>
        <w:rPr>
          <w:rFonts w:cs="宋体"/>
          <w:lang w:bidi="ar"/>
        </w:rPr>
      </w:pPr>
      <w:r>
        <w:rPr>
          <w:rFonts w:cs="宋体"/>
          <w:lang w:bidi="ar"/>
        </w:rPr>
        <w:t>7</w:t>
      </w:r>
      <w:r>
        <w:rPr>
          <w:rFonts w:hint="eastAsia" w:cs="宋体"/>
          <w:lang w:bidi="ar"/>
        </w:rPr>
        <w:t>）基坑内外地表水排水系统与地下水位控制（降排水）措施；</w:t>
      </w:r>
    </w:p>
    <w:p w14:paraId="566BE9CB">
      <w:pPr>
        <w:ind w:firstLine="480"/>
        <w:rPr>
          <w:rFonts w:cs="宋体"/>
          <w:lang w:bidi="ar"/>
        </w:rPr>
      </w:pPr>
      <w:r>
        <w:rPr>
          <w:rFonts w:cs="宋体"/>
          <w:lang w:bidi="ar"/>
        </w:rPr>
        <w:t>8</w:t>
      </w:r>
      <w:r>
        <w:rPr>
          <w:rFonts w:hint="eastAsia" w:cs="宋体"/>
          <w:lang w:bidi="ar"/>
        </w:rPr>
        <w:t>）支护结构施工与土方开挖的工序与分段（分层）要求；</w:t>
      </w:r>
    </w:p>
    <w:p w14:paraId="04F5071E">
      <w:pPr>
        <w:ind w:firstLine="480"/>
        <w:rPr>
          <w:rFonts w:cs="宋体"/>
          <w:lang w:bidi="ar"/>
        </w:rPr>
      </w:pPr>
      <w:r>
        <w:rPr>
          <w:rFonts w:cs="宋体"/>
          <w:lang w:bidi="ar"/>
        </w:rPr>
        <w:t>9</w:t>
      </w:r>
      <w:r>
        <w:rPr>
          <w:rFonts w:hint="eastAsia" w:cs="宋体"/>
          <w:lang w:bidi="ar"/>
        </w:rPr>
        <w:t>）基本试验与检测要求（材料、锚杆/锚索、喷射混凝土等）；</w:t>
      </w:r>
    </w:p>
    <w:p w14:paraId="471EC4F1">
      <w:pPr>
        <w:ind w:firstLine="480"/>
        <w:rPr>
          <w:rFonts w:cs="宋体"/>
          <w:lang w:bidi="ar"/>
        </w:rPr>
      </w:pPr>
      <w:r>
        <w:rPr>
          <w:rFonts w:cs="宋体"/>
          <w:lang w:bidi="ar"/>
        </w:rPr>
        <w:t>10</w:t>
      </w:r>
      <w:r>
        <w:rPr>
          <w:rFonts w:hint="eastAsia" w:cs="宋体"/>
          <w:lang w:bidi="ar"/>
        </w:rPr>
        <w:t>）风险源识别、施工期与监测期应急措施及处置流程；</w:t>
      </w:r>
    </w:p>
    <w:p w14:paraId="0B2EE436">
      <w:pPr>
        <w:ind w:firstLine="480"/>
        <w:rPr>
          <w:rFonts w:cs="宋体"/>
          <w:lang w:bidi="ar"/>
        </w:rPr>
      </w:pPr>
      <w:r>
        <w:rPr>
          <w:rFonts w:cs="宋体"/>
          <w:lang w:bidi="ar"/>
        </w:rPr>
        <w:t>11</w:t>
      </w:r>
      <w:r>
        <w:rPr>
          <w:rFonts w:hint="eastAsia" w:cs="宋体"/>
          <w:lang w:bidi="ar"/>
        </w:rPr>
        <w:t>）其他与安全、质量、环保及文明施工相关的必要说明。</w:t>
      </w:r>
    </w:p>
    <w:p w14:paraId="61CEC471">
      <w:pPr>
        <w:ind w:firstLine="0" w:firstLineChars="0"/>
      </w:pPr>
      <w:r>
        <w:rPr>
          <w:rFonts w:hint="eastAsia" w:cs="宋体"/>
          <w:lang w:bidi="ar"/>
        </w:rPr>
        <w:t>【条文说明】本条规定施工图设计文件的主要组成内容，覆盖安全等级与年限、支护设计、监测与预警、环境保护、排水与降水、施工工序、试验检测及风险与应急等关键要素，确保设计文件满足可施工、可监测、可管控、可验收的要求。</w:t>
      </w:r>
    </w:p>
    <w:p w14:paraId="65A968DD">
      <w:pPr>
        <w:widowControl/>
        <w:spacing w:line="240" w:lineRule="auto"/>
        <w:ind w:firstLine="0" w:firstLineChars="0"/>
        <w:jc w:val="left"/>
      </w:pPr>
      <w:r>
        <w:br w:type="page"/>
      </w:r>
    </w:p>
    <w:p w14:paraId="2F28CF56">
      <w:pPr>
        <w:pStyle w:val="30"/>
        <w:numPr>
          <w:ilvl w:val="0"/>
          <w:numId w:val="1"/>
        </w:numPr>
        <w:ind w:firstLineChars="0"/>
        <w:jc w:val="center"/>
        <w:outlineLvl w:val="0"/>
        <w:rPr>
          <w:b/>
          <w:bCs/>
          <w:sz w:val="44"/>
          <w:szCs w:val="44"/>
        </w:rPr>
      </w:pPr>
      <w:bookmarkStart w:id="87" w:name="_Toc212057033"/>
      <w:r>
        <w:rPr>
          <w:rFonts w:hint="eastAsia"/>
          <w:b/>
          <w:bCs/>
          <w:sz w:val="44"/>
          <w:szCs w:val="44"/>
        </w:rPr>
        <w:t>施工</w:t>
      </w:r>
      <w:bookmarkEnd w:id="87"/>
    </w:p>
    <w:p w14:paraId="4BA6E30B">
      <w:pPr>
        <w:pStyle w:val="30"/>
        <w:numPr>
          <w:ilvl w:val="0"/>
          <w:numId w:val="5"/>
        </w:numPr>
        <w:spacing w:before="163" w:beforeLines="50" w:after="163" w:afterLines="50"/>
        <w:ind w:firstLineChars="0"/>
        <w:jc w:val="center"/>
        <w:outlineLvl w:val="1"/>
        <w:rPr>
          <w:b/>
          <w:bCs/>
          <w:sz w:val="28"/>
          <w:szCs w:val="28"/>
        </w:rPr>
      </w:pPr>
      <w:bookmarkStart w:id="88" w:name="_Toc212057034"/>
      <w:r>
        <w:rPr>
          <w:rFonts w:hint="eastAsia"/>
          <w:b/>
          <w:bCs/>
          <w:sz w:val="28"/>
          <w:szCs w:val="28"/>
        </w:rPr>
        <w:t>一般规定</w:t>
      </w:r>
      <w:bookmarkEnd w:id="88"/>
      <w:r>
        <w:rPr>
          <w:rFonts w:hint="eastAsia"/>
          <w:b/>
          <w:bCs/>
          <w:sz w:val="28"/>
          <w:szCs w:val="28"/>
        </w:rPr>
        <w:tab/>
      </w:r>
    </w:p>
    <w:p w14:paraId="5C60FDCD">
      <w:pPr>
        <w:ind w:firstLine="0" w:firstLineChars="0"/>
      </w:pPr>
      <w:r>
        <w:rPr>
          <w:rFonts w:hint="eastAsia"/>
          <w:b/>
          <w:bCs/>
        </w:rPr>
        <w:t>7.1.1</w:t>
      </w:r>
      <w:r>
        <w:t xml:space="preserve">  </w:t>
      </w:r>
      <w:r>
        <w:rPr>
          <w:rFonts w:hint="eastAsia"/>
        </w:rPr>
        <w:t>工程施工前应完成下列工作：</w:t>
      </w:r>
    </w:p>
    <w:p w14:paraId="0FF59564">
      <w:pPr>
        <w:ind w:left="240" w:leftChars="100" w:firstLine="241" w:firstLineChars="100"/>
      </w:pPr>
      <w:r>
        <w:rPr>
          <w:rFonts w:cs="Times New Roman"/>
          <w:b/>
          <w:bCs/>
          <w:lang w:bidi="ar"/>
        </w:rPr>
        <w:t>1</w:t>
      </w:r>
      <w:r>
        <w:rPr>
          <w:rFonts w:cs="Times New Roman"/>
          <w:lang w:bidi="ar"/>
        </w:rPr>
        <w:t xml:space="preserve"> </w:t>
      </w:r>
      <w:r>
        <w:rPr>
          <w:rFonts w:hint="eastAsia" w:cs="宋体"/>
          <w:lang w:bidi="ar"/>
        </w:rPr>
        <w:t>建立项目管理机构，配备满足工程需要的项目管理人员与作业人员，配置与工程相适应的施工机械设备及检测仪器；</w:t>
      </w:r>
    </w:p>
    <w:p w14:paraId="5B70D0BA">
      <w:pPr>
        <w:ind w:left="240" w:leftChars="100" w:firstLine="241" w:firstLineChars="100"/>
      </w:pPr>
      <w:r>
        <w:rPr>
          <w:rFonts w:cs="Times New Roman"/>
          <w:b/>
          <w:bCs/>
          <w:lang w:bidi="ar"/>
        </w:rPr>
        <w:t>2</w:t>
      </w:r>
      <w:r>
        <w:rPr>
          <w:rFonts w:cs="Times New Roman"/>
          <w:lang w:bidi="ar"/>
        </w:rPr>
        <w:t xml:space="preserve"> </w:t>
      </w:r>
      <w:r>
        <w:rPr>
          <w:rFonts w:hint="eastAsia" w:cs="宋体"/>
          <w:lang w:bidi="ar"/>
        </w:rPr>
        <w:t>组织施工图与技术交底，施工人员应熟悉设计图纸、勘察资料，掌握施工目的、技术要求与质量标准；</w:t>
      </w:r>
    </w:p>
    <w:p w14:paraId="120460A4">
      <w:pPr>
        <w:ind w:left="240" w:leftChars="100" w:firstLine="241" w:firstLineChars="100"/>
        <w:rPr>
          <w:rFonts w:cs="宋体"/>
          <w:lang w:bidi="ar"/>
        </w:rPr>
      </w:pPr>
      <w:r>
        <w:rPr>
          <w:rFonts w:cs="Times New Roman"/>
          <w:b/>
          <w:bCs/>
          <w:lang w:bidi="ar"/>
        </w:rPr>
        <w:t>3</w:t>
      </w:r>
      <w:r>
        <w:rPr>
          <w:rFonts w:cs="Times New Roman"/>
          <w:lang w:bidi="ar"/>
        </w:rPr>
        <w:t xml:space="preserve"> </w:t>
      </w:r>
      <w:r>
        <w:rPr>
          <w:rFonts w:hint="eastAsia" w:cs="宋体"/>
          <w:lang w:bidi="ar"/>
        </w:rPr>
        <w:t>编制完整的施工组织设计或专项施工方案，并经规定程序审查批准后实施。</w:t>
      </w:r>
    </w:p>
    <w:p w14:paraId="3DF31330">
      <w:pPr>
        <w:ind w:firstLine="0" w:firstLineChars="0"/>
      </w:pPr>
      <w:r>
        <w:rPr>
          <w:rFonts w:hint="eastAsia"/>
        </w:rPr>
        <w:t>【条文说明】本条明确开工前的人、机、料与技术准备要求，确保施工有章可循、资源到位、技术清晰。</w:t>
      </w:r>
    </w:p>
    <w:p w14:paraId="4CFC2ABA">
      <w:pPr>
        <w:ind w:firstLine="0" w:firstLineChars="0"/>
      </w:pPr>
      <w:r>
        <w:rPr>
          <w:rFonts w:hint="eastAsia"/>
          <w:b/>
          <w:bCs/>
        </w:rPr>
        <w:t>7.1.2</w:t>
      </w:r>
      <w:r>
        <w:rPr>
          <w:rFonts w:hint="eastAsia"/>
        </w:rPr>
        <w:t xml:space="preserve"> </w:t>
      </w:r>
      <w:r>
        <w:t xml:space="preserve"> </w:t>
      </w:r>
      <w:r>
        <w:rPr>
          <w:rFonts w:hint="eastAsia"/>
        </w:rPr>
        <w:t>施工单位应建立健全施工质量管理体系、质量检验检查制度和质量岗位责任制，严格实施工序（过程）控制，落实质量管理责任。</w:t>
      </w:r>
    </w:p>
    <w:p w14:paraId="16A08208">
      <w:pPr>
        <w:ind w:firstLine="0" w:firstLineChars="0"/>
      </w:pPr>
      <w:r>
        <w:rPr>
          <w:rFonts w:hint="eastAsia"/>
        </w:rPr>
        <w:t>【条文说明】本条强调体系化与过程化质量控制，明确质量责任到岗到人。</w:t>
      </w:r>
    </w:p>
    <w:p w14:paraId="4D7E1C4A">
      <w:pPr>
        <w:ind w:firstLine="0" w:firstLineChars="0"/>
      </w:pPr>
      <w:r>
        <w:rPr>
          <w:rFonts w:hint="eastAsia"/>
          <w:b/>
          <w:bCs/>
        </w:rPr>
        <w:t>7.1.3</w:t>
      </w:r>
      <w:r>
        <w:rPr>
          <w:rFonts w:hint="eastAsia"/>
        </w:rPr>
        <w:t xml:space="preserve"> </w:t>
      </w:r>
      <w:r>
        <w:t xml:space="preserve"> </w:t>
      </w:r>
      <w:r>
        <w:rPr>
          <w:rFonts w:hint="eastAsia"/>
        </w:rPr>
        <w:t>施工单位应制定切实可行的测量放线方案、质量控制方案和工程验收方案，并做好施工记录及相关技术资料的收集、整理与归档。</w:t>
      </w:r>
    </w:p>
    <w:p w14:paraId="00FFEF6D">
      <w:pPr>
        <w:ind w:firstLine="0" w:firstLineChars="0"/>
      </w:pPr>
      <w:r>
        <w:rPr>
          <w:rFonts w:hint="eastAsia"/>
        </w:rPr>
        <w:t>【条文说明】本条要求将测量、质量与验收前置策划并形成完整的过程记录，满足追溯与验收需要。</w:t>
      </w:r>
    </w:p>
    <w:p w14:paraId="3D5FCB9C">
      <w:pPr>
        <w:ind w:firstLine="0" w:firstLineChars="0"/>
      </w:pPr>
      <w:r>
        <w:rPr>
          <w:rFonts w:hint="eastAsia"/>
          <w:b/>
          <w:bCs/>
        </w:rPr>
        <w:t>7.1.4</w:t>
      </w:r>
      <w:r>
        <w:rPr>
          <w:rFonts w:hint="eastAsia"/>
        </w:rPr>
        <w:t xml:space="preserve"> </w:t>
      </w:r>
      <w:r>
        <w:t xml:space="preserve"> </w:t>
      </w:r>
      <w:r>
        <w:rPr>
          <w:rFonts w:hint="eastAsia"/>
        </w:rPr>
        <w:t>工程采用的主要材料、成品、半成品、器具和设备应进行进场验收与现场检验；涉及结构安全的试块、试件以及有关产品和材料应按规定实施见证取样检测，检测结果应符合现行标准及设计要求。</w:t>
      </w:r>
    </w:p>
    <w:p w14:paraId="2C8297E9">
      <w:pPr>
        <w:ind w:firstLine="0" w:firstLineChars="0"/>
      </w:pPr>
      <w:r>
        <w:rPr>
          <w:rFonts w:hint="eastAsia"/>
        </w:rPr>
        <w:t>【条文说明】本条通过进场检验与见证取样，保证关键材料与构配件质量可控、可追溯。</w:t>
      </w:r>
    </w:p>
    <w:p w14:paraId="1254254C">
      <w:pPr>
        <w:ind w:firstLine="0" w:firstLineChars="0"/>
      </w:pPr>
      <w:r>
        <w:rPr>
          <w:rFonts w:hint="eastAsia"/>
          <w:b/>
          <w:bCs/>
        </w:rPr>
        <w:t>7.1.5</w:t>
      </w:r>
      <w:r>
        <w:rPr>
          <w:b/>
          <w:bCs/>
        </w:rPr>
        <w:t xml:space="preserve"> </w:t>
      </w:r>
      <w:r>
        <w:rPr>
          <w:rFonts w:hint="eastAsia"/>
        </w:rPr>
        <w:t xml:space="preserve"> 建设单位、施工单位、监理单位、勘察单位、设计单位等应共同参加基础验槽、隐蔽工程及分项、分部（子分部）工程的验收，并形成验收记录，签署验收意见。</w:t>
      </w:r>
    </w:p>
    <w:p w14:paraId="4FC248CF">
      <w:pPr>
        <w:ind w:firstLine="0" w:firstLineChars="0"/>
      </w:pPr>
      <w:r>
        <w:rPr>
          <w:rFonts w:hint="eastAsia"/>
        </w:rPr>
        <w:t>【条文说明】本条明确各参建单位共同参与关键节点验收，确保工程质量受控与责任清晰。</w:t>
      </w:r>
    </w:p>
    <w:p w14:paraId="6B7017D2">
      <w:pPr>
        <w:pStyle w:val="30"/>
        <w:numPr>
          <w:ilvl w:val="0"/>
          <w:numId w:val="5"/>
        </w:numPr>
        <w:spacing w:before="163" w:beforeLines="50" w:after="163" w:afterLines="50"/>
        <w:ind w:firstLineChars="0"/>
        <w:jc w:val="center"/>
        <w:outlineLvl w:val="1"/>
        <w:rPr>
          <w:b/>
          <w:bCs/>
          <w:sz w:val="28"/>
          <w:szCs w:val="28"/>
        </w:rPr>
      </w:pPr>
      <w:bookmarkStart w:id="89" w:name="_Toc212057035"/>
      <w:r>
        <w:rPr>
          <w:rFonts w:hint="eastAsia"/>
          <w:b/>
          <w:bCs/>
          <w:sz w:val="28"/>
          <w:szCs w:val="28"/>
        </w:rPr>
        <w:t>基本原则</w:t>
      </w:r>
      <w:bookmarkEnd w:id="89"/>
      <w:r>
        <w:rPr>
          <w:rFonts w:hint="eastAsia"/>
          <w:b/>
          <w:bCs/>
          <w:sz w:val="28"/>
          <w:szCs w:val="28"/>
        </w:rPr>
        <w:tab/>
      </w:r>
    </w:p>
    <w:p w14:paraId="464EBF56">
      <w:pPr>
        <w:ind w:firstLine="0" w:firstLineChars="0"/>
      </w:pPr>
      <w:r>
        <w:rPr>
          <w:rFonts w:cs="Times New Roman"/>
          <w:b/>
          <w:bCs/>
          <w:lang w:bidi="ar"/>
        </w:rPr>
        <w:t>7.2.1</w:t>
      </w:r>
      <w:r>
        <w:rPr>
          <w:rFonts w:cs="Times New Roman"/>
          <w:lang w:bidi="ar"/>
        </w:rPr>
        <w:t xml:space="preserve">  </w:t>
      </w:r>
      <w:r>
        <w:rPr>
          <w:rFonts w:hint="eastAsia" w:cs="宋体"/>
          <w:lang w:bidi="ar"/>
        </w:rPr>
        <w:t>生态优先原则：应尊重自然演替规律，最大限度保护原有生态系统的完整性与稳定性；优先采用生态友好型工艺与材料，减少占扰与临时用地，严格控制噪声、扬尘、废水、固废与光污染排放，避免对珍稀物种、生境与生态廊道造成新的破坏。</w:t>
      </w:r>
    </w:p>
    <w:p w14:paraId="560F1D62">
      <w:pPr>
        <w:ind w:firstLine="0" w:firstLineChars="0"/>
      </w:pPr>
      <w:r>
        <w:rPr>
          <w:rFonts w:cs="Times New Roman"/>
          <w:b/>
          <w:bCs/>
          <w:lang w:bidi="ar"/>
        </w:rPr>
        <w:t>7.2.2</w:t>
      </w:r>
      <w:r>
        <w:rPr>
          <w:rFonts w:cs="Times New Roman"/>
          <w:lang w:bidi="ar"/>
        </w:rPr>
        <w:t xml:space="preserve">  </w:t>
      </w:r>
      <w:r>
        <w:rPr>
          <w:rFonts w:hint="eastAsia" w:cs="宋体"/>
          <w:lang w:bidi="ar"/>
        </w:rPr>
        <w:t>因地制宜原则：应结合工矿区地形、地质、水文、气候、植被等自然条件以及社会经济与城市发展需求，开展分区分类诊断与目标分解，明确修复类型、技术路径与控制指标，制定针对性强、可实施的改造与修复方案及阶段性实施计划。</w:t>
      </w:r>
    </w:p>
    <w:p w14:paraId="1CE71BF5">
      <w:pPr>
        <w:ind w:firstLine="0" w:firstLineChars="0"/>
      </w:pPr>
      <w:r>
        <w:rPr>
          <w:rFonts w:cs="Times New Roman"/>
          <w:b/>
          <w:bCs/>
          <w:lang w:bidi="ar"/>
        </w:rPr>
        <w:t>7.2.3</w:t>
      </w:r>
      <w:r>
        <w:rPr>
          <w:rFonts w:cs="Times New Roman"/>
          <w:lang w:bidi="ar"/>
        </w:rPr>
        <w:t xml:space="preserve">  </w:t>
      </w:r>
      <w:r>
        <w:rPr>
          <w:rFonts w:hint="eastAsia" w:cs="宋体"/>
          <w:lang w:bidi="ar"/>
        </w:rPr>
        <w:t>统筹规划原则：应将工矿区绿色改造与生态修复纳入国土空间规划与城市相关专项规划，与基础设施建设、产业发展、公共服务设施等协同衔接；统筹时间序列、项目库、用地与资金要素配置，兼顾生态、经济与社会效益统一，并建立跨部门联审联批与协同实施机制。</w:t>
      </w:r>
    </w:p>
    <w:p w14:paraId="69285A4C">
      <w:pPr>
        <w:ind w:firstLine="0" w:firstLineChars="0"/>
      </w:pPr>
      <w:r>
        <w:rPr>
          <w:rFonts w:cs="Times New Roman"/>
          <w:b/>
          <w:bCs/>
          <w:lang w:bidi="ar"/>
        </w:rPr>
        <w:t>7.2.4</w:t>
      </w:r>
      <w:r>
        <w:rPr>
          <w:rFonts w:cs="Times New Roman"/>
          <w:lang w:bidi="ar"/>
        </w:rPr>
        <w:t xml:space="preserve">  </w:t>
      </w:r>
      <w:r>
        <w:rPr>
          <w:rFonts w:hint="eastAsia" w:cs="宋体"/>
          <w:lang w:bidi="ar"/>
        </w:rPr>
        <w:t>公众参与原则：应建立全过程公众参与与信息公开机制，采用公示、问卷、座谈、听证等方式充分听取并吸纳合理意见；对可能影响公众权益的事项开展社会稳定风险评估与反馈处置，设置投诉与意见回复渠道，提升公众环保意识与参与度。</w:t>
      </w:r>
    </w:p>
    <w:p w14:paraId="4C1CFCB6">
      <w:pPr>
        <w:pStyle w:val="30"/>
        <w:numPr>
          <w:ilvl w:val="0"/>
          <w:numId w:val="5"/>
        </w:numPr>
        <w:spacing w:before="163" w:beforeLines="50" w:after="163" w:afterLines="50"/>
        <w:ind w:firstLineChars="0"/>
        <w:jc w:val="center"/>
        <w:outlineLvl w:val="1"/>
        <w:rPr>
          <w:b/>
          <w:bCs/>
          <w:sz w:val="28"/>
          <w:szCs w:val="28"/>
        </w:rPr>
      </w:pPr>
      <w:bookmarkStart w:id="90" w:name="_Toc212057036"/>
      <w:r>
        <w:rPr>
          <w:rFonts w:hint="eastAsia"/>
          <w:b/>
          <w:bCs/>
          <w:sz w:val="28"/>
          <w:szCs w:val="28"/>
        </w:rPr>
        <w:t>方案编制</w:t>
      </w:r>
      <w:bookmarkEnd w:id="90"/>
      <w:r>
        <w:rPr>
          <w:rFonts w:hint="eastAsia"/>
          <w:b/>
          <w:bCs/>
          <w:sz w:val="28"/>
          <w:szCs w:val="28"/>
        </w:rPr>
        <w:tab/>
      </w:r>
    </w:p>
    <w:p w14:paraId="0F17A990">
      <w:pPr>
        <w:ind w:firstLine="0" w:firstLineChars="0"/>
      </w:pPr>
      <w:r>
        <w:rPr>
          <w:rFonts w:cs="Times New Roman"/>
          <w:b/>
          <w:bCs/>
          <w:lang w:bidi="ar"/>
        </w:rPr>
        <w:t>7.3.1</w:t>
      </w:r>
      <w:r>
        <w:rPr>
          <w:rFonts w:cs="Times New Roman"/>
          <w:lang w:bidi="ar"/>
        </w:rPr>
        <w:t xml:space="preserve">  </w:t>
      </w:r>
      <w:r>
        <w:rPr>
          <w:rFonts w:hint="eastAsia" w:cs="宋体"/>
          <w:lang w:bidi="ar"/>
        </w:rPr>
        <w:t>基本要求</w:t>
      </w:r>
    </w:p>
    <w:p w14:paraId="19D0ABD1">
      <w:pPr>
        <w:ind w:left="240" w:leftChars="100" w:firstLine="241" w:firstLineChars="100"/>
      </w:pPr>
      <w:r>
        <w:rPr>
          <w:rFonts w:cs="Times New Roman"/>
          <w:b/>
          <w:bCs/>
          <w:lang w:bidi="ar"/>
        </w:rPr>
        <w:t>1</w:t>
      </w:r>
      <w:r>
        <w:rPr>
          <w:rFonts w:cs="Times New Roman"/>
          <w:lang w:bidi="ar"/>
        </w:rPr>
        <w:t xml:space="preserve"> </w:t>
      </w:r>
      <w:r>
        <w:rPr>
          <w:rFonts w:hint="eastAsia" w:cs="宋体"/>
          <w:lang w:bidi="ar"/>
        </w:rPr>
        <w:t>方案应在完成基础调查与问题识别的基础上编制，并与区域发展规划、国土空间规划、土地利用规划、生态环境保护规划等相关规划有效衔接。</w:t>
      </w:r>
    </w:p>
    <w:p w14:paraId="6D5FF8E5">
      <w:pPr>
        <w:ind w:left="240" w:leftChars="100" w:firstLine="241" w:firstLineChars="100"/>
      </w:pPr>
      <w:r>
        <w:rPr>
          <w:rFonts w:cs="Times New Roman"/>
          <w:b/>
          <w:bCs/>
          <w:lang w:bidi="ar"/>
        </w:rPr>
        <w:t>2</w:t>
      </w:r>
      <w:r>
        <w:rPr>
          <w:rFonts w:cs="Times New Roman"/>
          <w:lang w:bidi="ar"/>
        </w:rPr>
        <w:t xml:space="preserve"> </w:t>
      </w:r>
      <w:r>
        <w:rPr>
          <w:rFonts w:hint="eastAsia" w:cs="宋体"/>
          <w:lang w:bidi="ar"/>
        </w:rPr>
        <w:t>方案应依据场地条件、相关技术标准与修复目标，针对地形地貌景观破坏、土地资源占用与损毁等地质环境问题，结合区域现状特征，提出与周边环境协调统一、技术合理、经济可行的设计方案。</w:t>
      </w:r>
    </w:p>
    <w:p w14:paraId="108DBE1A">
      <w:pPr>
        <w:ind w:left="240" w:leftChars="100" w:firstLine="241" w:firstLineChars="100"/>
      </w:pPr>
      <w:r>
        <w:rPr>
          <w:rFonts w:cs="Times New Roman"/>
          <w:b/>
          <w:bCs/>
          <w:lang w:bidi="ar"/>
        </w:rPr>
        <w:t>3</w:t>
      </w:r>
      <w:r>
        <w:rPr>
          <w:rFonts w:cs="Times New Roman"/>
          <w:lang w:bidi="ar"/>
        </w:rPr>
        <w:t xml:space="preserve"> </w:t>
      </w:r>
      <w:r>
        <w:rPr>
          <w:rFonts w:hint="eastAsia" w:cs="宋体"/>
          <w:lang w:bidi="ar"/>
        </w:rPr>
        <w:t>方案主要内容应包括：前言、工矿区概况、总体定位与目标、主要任务与工作部署、进度与里程碑、跟踪监测与评估、投资估算与资金筹措、保障措施（组织机制、风险管控与应急）等；成果应包括文本、附图和附表。</w:t>
      </w:r>
    </w:p>
    <w:p w14:paraId="4FE1382E">
      <w:pPr>
        <w:ind w:left="240" w:leftChars="100" w:firstLine="241" w:firstLineChars="100"/>
      </w:pPr>
      <w:r>
        <w:rPr>
          <w:rFonts w:cs="Times New Roman"/>
          <w:b/>
          <w:bCs/>
          <w:lang w:bidi="ar"/>
        </w:rPr>
        <w:t>4</w:t>
      </w:r>
      <w:r>
        <w:rPr>
          <w:rFonts w:cs="Times New Roman"/>
          <w:lang w:bidi="ar"/>
        </w:rPr>
        <w:t xml:space="preserve"> </w:t>
      </w:r>
      <w:r>
        <w:rPr>
          <w:rFonts w:hint="eastAsia" w:cs="宋体"/>
          <w:lang w:bidi="ar"/>
        </w:rPr>
        <w:t>方案应按规定组织专家论证；论证环节包括现场踏勘、室内审查与质询并修改完善定稿，重点论证各工程（项目）的必要性、可行性、技术与经济合理性。</w:t>
      </w:r>
    </w:p>
    <w:p w14:paraId="24058409">
      <w:pPr>
        <w:ind w:left="240" w:leftChars="100" w:firstLine="241" w:firstLineChars="100"/>
        <w:rPr>
          <w:rFonts w:cs="宋体"/>
          <w:lang w:bidi="ar"/>
        </w:rPr>
      </w:pPr>
      <w:r>
        <w:rPr>
          <w:rFonts w:cs="Times New Roman"/>
          <w:b/>
          <w:bCs/>
          <w:lang w:bidi="ar"/>
        </w:rPr>
        <w:t>5</w:t>
      </w:r>
      <w:r>
        <w:rPr>
          <w:rFonts w:cs="Times New Roman"/>
          <w:lang w:bidi="ar"/>
        </w:rPr>
        <w:t xml:space="preserve"> </w:t>
      </w:r>
      <w:r>
        <w:rPr>
          <w:rFonts w:hint="eastAsia" w:cs="宋体"/>
          <w:lang w:bidi="ar"/>
        </w:rPr>
        <w:t>经批准的实施方案是开展工程设计、资金管理、工程实施、监测监管、竣工验收、绩效评价与综合成效评估等工作的基本依据。</w:t>
      </w:r>
    </w:p>
    <w:p w14:paraId="3192CBA2">
      <w:pPr>
        <w:ind w:firstLine="199" w:firstLineChars="83"/>
      </w:pPr>
      <w:r>
        <w:rPr>
          <w:rFonts w:hint="eastAsia"/>
        </w:rPr>
        <w:t>【条文说明】本条明确方案编制的前提、内容与程序要求，强调与上位规划衔接、问题导向与可实施性，要求通过专家论证提高方案的科学性与合理性，并将经批准的实施方案作为项目全生命周期管理与评价的依据。</w:t>
      </w:r>
    </w:p>
    <w:p w14:paraId="02A722C4">
      <w:pPr>
        <w:ind w:firstLine="0" w:firstLineChars="0"/>
      </w:pPr>
      <w:r>
        <w:rPr>
          <w:rFonts w:cs="Times New Roman"/>
          <w:b/>
          <w:bCs/>
          <w:lang w:bidi="ar"/>
        </w:rPr>
        <w:t>7.3.2</w:t>
      </w:r>
      <w:r>
        <w:rPr>
          <w:rFonts w:cs="Times New Roman"/>
          <w:lang w:bidi="ar"/>
        </w:rPr>
        <w:t xml:space="preserve">  </w:t>
      </w:r>
      <w:r>
        <w:rPr>
          <w:rFonts w:hint="eastAsia" w:cs="宋体"/>
          <w:lang w:bidi="ar"/>
        </w:rPr>
        <w:t>工矿区基本情况</w:t>
      </w:r>
    </w:p>
    <w:p w14:paraId="0971B921">
      <w:pPr>
        <w:ind w:left="240" w:leftChars="100" w:firstLine="241" w:firstLineChars="100"/>
        <w:rPr>
          <w:rFonts w:cs="宋体"/>
          <w:lang w:bidi="ar"/>
        </w:rPr>
      </w:pPr>
      <w:r>
        <w:rPr>
          <w:rFonts w:cs="Times New Roman"/>
          <w:b/>
          <w:bCs/>
          <w:lang w:bidi="ar"/>
        </w:rPr>
        <w:t>1</w:t>
      </w:r>
      <w:r>
        <w:rPr>
          <w:rFonts w:cs="Times New Roman"/>
          <w:lang w:bidi="ar"/>
        </w:rPr>
        <w:t xml:space="preserve"> </w:t>
      </w:r>
      <w:r>
        <w:rPr>
          <w:rFonts w:hint="eastAsia" w:cs="宋体"/>
          <w:lang w:bidi="ar"/>
        </w:rPr>
        <w:t>应阐述工矿区所在地的区域自然生态条件、地质环境条件与生态状况，主要包括：</w:t>
      </w:r>
    </w:p>
    <w:p w14:paraId="6AD7D478">
      <w:pPr>
        <w:ind w:left="240" w:leftChars="100" w:firstLine="240" w:firstLineChars="100"/>
        <w:rPr>
          <w:rFonts w:cs="宋体"/>
          <w:lang w:bidi="ar"/>
        </w:rPr>
      </w:pPr>
      <w:r>
        <w:rPr>
          <w:rFonts w:hint="eastAsia" w:cs="宋体"/>
          <w:lang w:bidi="ar"/>
        </w:rPr>
        <w:t>a</w:t>
      </w:r>
      <w:r>
        <w:rPr>
          <w:rFonts w:cs="宋体"/>
          <w:lang w:bidi="ar"/>
        </w:rPr>
        <w:t xml:space="preserve"> </w:t>
      </w:r>
      <w:r>
        <w:rPr>
          <w:rFonts w:hint="eastAsia" w:cs="宋体"/>
          <w:lang w:bidi="ar"/>
        </w:rPr>
        <w:t>自然生态条件：气候与降水、水文（流域/水系/水量）、土壤类型与理化性质、植被与生物多样性、生态系统类型与功能；</w:t>
      </w:r>
    </w:p>
    <w:p w14:paraId="74FEE33F">
      <w:pPr>
        <w:ind w:left="240" w:leftChars="100" w:firstLine="240" w:firstLineChars="100"/>
        <w:rPr>
          <w:rFonts w:cs="宋体"/>
          <w:lang w:bidi="ar"/>
        </w:rPr>
      </w:pPr>
      <w:r>
        <w:rPr>
          <w:rFonts w:hint="eastAsia" w:cs="宋体"/>
          <w:lang w:bidi="ar"/>
        </w:rPr>
        <w:t>b</w:t>
      </w:r>
      <w:r>
        <w:rPr>
          <w:rFonts w:cs="宋体"/>
          <w:lang w:bidi="ar"/>
        </w:rPr>
        <w:t xml:space="preserve"> </w:t>
      </w:r>
      <w:r>
        <w:rPr>
          <w:rFonts w:hint="eastAsia" w:cs="宋体"/>
          <w:lang w:bidi="ar"/>
        </w:rPr>
        <w:t>地质环境条件：地形地貌、地层岩性、地质构造、水文地质、矿产资源分布与赋存特征；</w:t>
      </w:r>
    </w:p>
    <w:p w14:paraId="7160D834">
      <w:pPr>
        <w:ind w:left="240" w:leftChars="100" w:firstLine="240" w:firstLineChars="100"/>
        <w:rPr>
          <w:rFonts w:cs="宋体"/>
          <w:lang w:bidi="ar"/>
        </w:rPr>
      </w:pPr>
      <w:r>
        <w:rPr>
          <w:rFonts w:hint="eastAsia" w:cs="宋体"/>
          <w:lang w:bidi="ar"/>
        </w:rPr>
        <w:t>c</w:t>
      </w:r>
      <w:r>
        <w:rPr>
          <w:rFonts w:cs="宋体"/>
          <w:lang w:bidi="ar"/>
        </w:rPr>
        <w:t xml:space="preserve"> </w:t>
      </w:r>
      <w:r>
        <w:rPr>
          <w:rFonts w:hint="eastAsia" w:cs="宋体"/>
          <w:lang w:bidi="ar"/>
        </w:rPr>
        <w:t>生态状况：植被覆盖度、典型生境与生态敏感要素、保护地及生态红线要素的涉及情况。</w:t>
      </w:r>
    </w:p>
    <w:p w14:paraId="10E1F035">
      <w:pPr>
        <w:ind w:left="240" w:leftChars="100" w:firstLine="240" w:firstLineChars="100"/>
        <w:rPr>
          <w:rFonts w:cs="宋体"/>
          <w:lang w:bidi="ar"/>
        </w:rPr>
      </w:pPr>
      <w:r>
        <w:rPr>
          <w:rFonts w:hint="eastAsia" w:cs="宋体"/>
          <w:lang w:bidi="ar"/>
        </w:rPr>
        <w:t>应附区位图、地形地貌示意图、生态敏感区（或保护地）示意图、现场照片等图件。</w:t>
      </w:r>
    </w:p>
    <w:p w14:paraId="370628C4">
      <w:pPr>
        <w:ind w:left="240" w:leftChars="100" w:firstLine="240" w:firstLineChars="100"/>
      </w:pPr>
      <w:r>
        <w:rPr>
          <w:rFonts w:hint="eastAsia"/>
        </w:rPr>
        <w:t>【条文说明】本条要求系统描述自然与地质背景及现状生态，形成修复目标与技术路径的环境基线。</w:t>
      </w:r>
    </w:p>
    <w:p w14:paraId="46C8CA64">
      <w:pPr>
        <w:ind w:left="240" w:leftChars="100" w:firstLine="241" w:firstLineChars="100"/>
      </w:pPr>
      <w:r>
        <w:rPr>
          <w:rFonts w:cs="Times New Roman"/>
          <w:b/>
          <w:bCs/>
          <w:lang w:bidi="ar"/>
        </w:rPr>
        <w:t>2</w:t>
      </w:r>
      <w:r>
        <w:rPr>
          <w:rFonts w:cs="Times New Roman"/>
          <w:lang w:bidi="ar"/>
        </w:rPr>
        <w:t xml:space="preserve"> </w:t>
      </w:r>
      <w:r>
        <w:rPr>
          <w:rFonts w:hint="eastAsia" w:cs="宋体"/>
          <w:lang w:bidi="ar"/>
        </w:rPr>
        <w:t>工矿区概况。应阐述工矿区位置、范围与边界（行政区与坐标、面积）、交通条件，建矿与闭坑（停产）时间、规模（产能/服务年限）、开采矿种、开采层位与标高、采矿方法、权属/责任主体等信息；必要时说明现状土地利用与设施构成。应附矿区范围图（含边界坐标）、交通现状示意、典型设施分布图等图件。</w:t>
      </w:r>
    </w:p>
    <w:p w14:paraId="20092D74">
      <w:pPr>
        <w:ind w:firstLine="0" w:firstLineChars="0"/>
      </w:pPr>
      <w:r>
        <w:rPr>
          <w:rFonts w:hint="eastAsia" w:cs="宋体"/>
          <w:lang w:bidi="ar"/>
        </w:rPr>
        <w:t>【条文说明】本条明确矿区历史与现状要素，为修复边界、对象与约束条件提供基础资料。</w:t>
      </w:r>
    </w:p>
    <w:p w14:paraId="1B218DCA">
      <w:pPr>
        <w:ind w:left="240" w:leftChars="100" w:firstLine="241" w:firstLineChars="100"/>
      </w:pPr>
      <w:r>
        <w:rPr>
          <w:rFonts w:cs="Times New Roman"/>
          <w:b/>
          <w:bCs/>
          <w:lang w:bidi="ar"/>
        </w:rPr>
        <w:t>3</w:t>
      </w:r>
      <w:r>
        <w:rPr>
          <w:rFonts w:cs="Times New Roman"/>
          <w:lang w:bidi="ar"/>
        </w:rPr>
        <w:t xml:space="preserve"> </w:t>
      </w:r>
      <w:r>
        <w:rPr>
          <w:rFonts w:hint="eastAsia" w:cs="宋体"/>
          <w:lang w:bidi="ar"/>
        </w:rPr>
        <w:t>工矿区生态问题。应阐述矿业活动引发（含既有治理成效）的地质安全隐患、地形地貌破坏、土地损毁、植被破坏、生态系统功能退化/破坏等问题的空间分布、规模与特征，并开展严重程度与危害分析，按规定划分生态问题严重程度等级。应附问题分布图（分级分区）、典型断面/点位照片、历史对比影像等图件。</w:t>
      </w:r>
    </w:p>
    <w:p w14:paraId="71493F45">
      <w:pPr>
        <w:ind w:firstLine="0" w:firstLineChars="0"/>
      </w:pPr>
      <w:r>
        <w:rPr>
          <w:rFonts w:hint="eastAsia" w:cs="宋体"/>
          <w:lang w:bidi="ar"/>
        </w:rPr>
        <w:t>【条文说明】本条要求对问题类型、范围与强度进行可视化表达并分级，为后续治理分区与措施匹配提供依据。</w:t>
      </w:r>
    </w:p>
    <w:p w14:paraId="220D1F72">
      <w:pPr>
        <w:ind w:firstLine="0" w:firstLineChars="0"/>
      </w:pPr>
      <w:r>
        <w:rPr>
          <w:rFonts w:cs="Times New Roman"/>
          <w:b/>
          <w:bCs/>
          <w:lang w:bidi="ar"/>
        </w:rPr>
        <w:t>7.3.3</w:t>
      </w:r>
      <w:r>
        <w:rPr>
          <w:rFonts w:cs="Times New Roman"/>
          <w:lang w:bidi="ar"/>
        </w:rPr>
        <w:t xml:space="preserve">  </w:t>
      </w:r>
      <w:r>
        <w:rPr>
          <w:rFonts w:hint="eastAsia" w:cs="宋体"/>
          <w:lang w:bidi="ar"/>
        </w:rPr>
        <w:t>总体定位与目标</w:t>
      </w:r>
    </w:p>
    <w:p w14:paraId="6C7C291C">
      <w:pPr>
        <w:ind w:left="240" w:leftChars="100" w:firstLine="241" w:firstLineChars="100"/>
        <w:rPr>
          <w:rFonts w:cs="宋体"/>
          <w:lang w:bidi="ar"/>
        </w:rPr>
      </w:pPr>
      <w:r>
        <w:rPr>
          <w:rFonts w:cs="Times New Roman"/>
          <w:b/>
          <w:bCs/>
          <w:lang w:bidi="ar"/>
        </w:rPr>
        <w:t>1</w:t>
      </w:r>
      <w:r>
        <w:rPr>
          <w:rFonts w:cs="Times New Roman"/>
          <w:lang w:bidi="ar"/>
        </w:rPr>
        <w:t xml:space="preserve"> </w:t>
      </w:r>
      <w:r>
        <w:rPr>
          <w:rFonts w:hint="eastAsia" w:cs="宋体"/>
          <w:lang w:bidi="ar"/>
        </w:rPr>
        <w:t>应依据国土空间规划对农业空间、城镇空间、生态空间的功能定位，结合工矿区未来用地规划、开发利用方式、土地用途与生态安全格局等，合理确定绿色改造与生态修复的总体方向与功能分区。</w:t>
      </w:r>
    </w:p>
    <w:p w14:paraId="7413F12A">
      <w:pPr>
        <w:ind w:left="240" w:leftChars="100" w:firstLine="240" w:firstLineChars="100"/>
      </w:pPr>
      <w:r>
        <w:rPr>
          <w:rFonts w:hint="eastAsia"/>
        </w:rPr>
        <w:t>定位成果宜明确：修复保育区、整治利用区、开发控制区、生态缓冲区等分区边界与管控要求，提出时序安排与实施优先级，并与相关专项规划（市政基础设施、产业、生态环境、文化遗产等）协同衔接。</w:t>
      </w:r>
    </w:p>
    <w:p w14:paraId="7242090F">
      <w:pPr>
        <w:ind w:firstLine="0" w:firstLineChars="0"/>
      </w:pPr>
      <w:r>
        <w:rPr>
          <w:rFonts w:hint="eastAsia" w:cs="宋体"/>
          <w:lang w:bidi="ar"/>
        </w:rPr>
        <w:t>【条文说明】本条要求以国土空间用途管制为约束，统筹矿区未来功能与生态安全，形成分区—分级—分期的总体定位，保证与区域发展战略一致、与专项规划协同。</w:t>
      </w:r>
    </w:p>
    <w:p w14:paraId="09B6AD8D">
      <w:pPr>
        <w:ind w:left="240" w:leftChars="100" w:firstLine="241" w:firstLineChars="100"/>
        <w:rPr>
          <w:rFonts w:cs="宋体"/>
          <w:lang w:bidi="ar"/>
        </w:rPr>
      </w:pPr>
      <w:r>
        <w:rPr>
          <w:rFonts w:cs="Times New Roman"/>
          <w:b/>
          <w:bCs/>
          <w:lang w:bidi="ar"/>
        </w:rPr>
        <w:t>2</w:t>
      </w:r>
      <w:r>
        <w:rPr>
          <w:rFonts w:cs="Times New Roman"/>
          <w:lang w:bidi="ar"/>
        </w:rPr>
        <w:t xml:space="preserve"> </w:t>
      </w:r>
      <w:r>
        <w:rPr>
          <w:rFonts w:hint="eastAsia" w:cs="宋体"/>
          <w:lang w:bidi="ar"/>
        </w:rPr>
        <w:t>工矿区绿色改造与生态修复总体目标。总体目标应覆盖下列方面，并形成可核查的指标：</w:t>
      </w:r>
    </w:p>
    <w:p w14:paraId="402CAA7A">
      <w:pPr>
        <w:ind w:left="240" w:leftChars="100" w:firstLine="240" w:firstLineChars="100"/>
        <w:rPr>
          <w:rFonts w:cs="宋体"/>
          <w:lang w:bidi="ar"/>
        </w:rPr>
      </w:pPr>
      <w:r>
        <w:rPr>
          <w:rFonts w:cs="宋体"/>
          <w:lang w:bidi="ar"/>
        </w:rPr>
        <w:t>1</w:t>
      </w:r>
      <w:r>
        <w:rPr>
          <w:rFonts w:hint="eastAsia" w:cs="宋体"/>
          <w:lang w:bidi="ar"/>
        </w:rPr>
        <w:t>）地质安全隐患消除：不良地质体治理、边坡与采空区消险、风险分区与设防达标；</w:t>
      </w:r>
    </w:p>
    <w:p w14:paraId="0C94E343">
      <w:pPr>
        <w:ind w:left="240" w:leftChars="100" w:firstLine="240" w:firstLineChars="100"/>
        <w:rPr>
          <w:rFonts w:cs="宋体"/>
          <w:lang w:bidi="ar"/>
        </w:rPr>
      </w:pPr>
      <w:r>
        <w:rPr>
          <w:rFonts w:cs="宋体"/>
          <w:lang w:bidi="ar"/>
        </w:rPr>
        <w:t>2</w:t>
      </w:r>
      <w:r>
        <w:rPr>
          <w:rFonts w:hint="eastAsia" w:cs="宋体"/>
          <w:lang w:bidi="ar"/>
        </w:rPr>
        <w:t>）地貌重塑：地形整治与景观格局优化，排（截）水系统与侵蚀控制完善；</w:t>
      </w:r>
    </w:p>
    <w:p w14:paraId="46DF4C1E">
      <w:pPr>
        <w:ind w:left="240" w:leftChars="100" w:firstLine="240" w:firstLineChars="100"/>
        <w:rPr>
          <w:rFonts w:cs="宋体"/>
          <w:lang w:bidi="ar"/>
        </w:rPr>
      </w:pPr>
      <w:r>
        <w:rPr>
          <w:rFonts w:cs="宋体"/>
          <w:lang w:bidi="ar"/>
        </w:rPr>
        <w:t>3</w:t>
      </w:r>
      <w:r>
        <w:rPr>
          <w:rFonts w:hint="eastAsia" w:cs="宋体"/>
          <w:lang w:bidi="ar"/>
        </w:rPr>
        <w:t>）土壤重构：表土剥离回置与改良，立地条件恢复与农业（林草）利用基底构建；</w:t>
      </w:r>
    </w:p>
    <w:p w14:paraId="7F77FF60">
      <w:pPr>
        <w:ind w:left="240" w:leftChars="100" w:firstLine="240" w:firstLineChars="100"/>
        <w:rPr>
          <w:rFonts w:cs="宋体"/>
          <w:lang w:bidi="ar"/>
        </w:rPr>
      </w:pPr>
      <w:r>
        <w:rPr>
          <w:rFonts w:cs="宋体"/>
          <w:lang w:bidi="ar"/>
        </w:rPr>
        <w:t>4</w:t>
      </w:r>
      <w:r>
        <w:rPr>
          <w:rFonts w:hint="eastAsia" w:cs="宋体"/>
          <w:lang w:bidi="ar"/>
        </w:rPr>
        <w:t>）损毁土地整治与再利用：复垦类型与面积落实，建设/农业/生态用地结构优化；</w:t>
      </w:r>
    </w:p>
    <w:p w14:paraId="398CF5F8">
      <w:pPr>
        <w:ind w:left="240" w:leftChars="100" w:firstLine="240" w:firstLineChars="100"/>
        <w:rPr>
          <w:rFonts w:cs="宋体"/>
          <w:lang w:bidi="ar"/>
        </w:rPr>
      </w:pPr>
      <w:r>
        <w:rPr>
          <w:rFonts w:cs="宋体"/>
          <w:lang w:bidi="ar"/>
        </w:rPr>
        <w:t>5</w:t>
      </w:r>
      <w:r>
        <w:rPr>
          <w:rFonts w:hint="eastAsia" w:cs="宋体"/>
          <w:lang w:bidi="ar"/>
        </w:rPr>
        <w:t>）植被重建与生物多样性：乔—灌—草群落重建、本土物种应用与生态廊道连通；</w:t>
      </w:r>
    </w:p>
    <w:p w14:paraId="6FC4FABD">
      <w:pPr>
        <w:ind w:left="240" w:leftChars="100" w:firstLine="240" w:firstLineChars="100"/>
        <w:rPr>
          <w:rFonts w:cs="宋体"/>
          <w:lang w:bidi="ar"/>
        </w:rPr>
      </w:pPr>
      <w:r>
        <w:rPr>
          <w:rFonts w:cs="宋体"/>
          <w:lang w:bidi="ar"/>
        </w:rPr>
        <w:t>6</w:t>
      </w:r>
      <w:r>
        <w:rPr>
          <w:rFonts w:hint="eastAsia" w:cs="宋体"/>
          <w:lang w:bidi="ar"/>
        </w:rPr>
        <w:t>）污染治理与环境风险管控：土壤、地下水与固废污染治理达标，二次污染防控；</w:t>
      </w:r>
    </w:p>
    <w:p w14:paraId="72D42815">
      <w:pPr>
        <w:ind w:left="240" w:leftChars="100" w:firstLine="240" w:firstLineChars="100"/>
        <w:rPr>
          <w:rFonts w:cs="宋体"/>
          <w:lang w:bidi="ar"/>
        </w:rPr>
      </w:pPr>
      <w:r>
        <w:rPr>
          <w:rFonts w:cs="宋体"/>
          <w:lang w:bidi="ar"/>
        </w:rPr>
        <w:t>7</w:t>
      </w:r>
      <w:r>
        <w:rPr>
          <w:rFonts w:hint="eastAsia" w:cs="宋体"/>
          <w:lang w:bidi="ar"/>
        </w:rPr>
        <w:t>）水文与水生态恢复：地下水位与补排关系调控，河湖（坑塘）水生态构建；</w:t>
      </w:r>
    </w:p>
    <w:p w14:paraId="50129E8C">
      <w:pPr>
        <w:ind w:left="240" w:leftChars="100" w:firstLine="240" w:firstLineChars="100"/>
        <w:rPr>
          <w:rFonts w:cs="宋体"/>
          <w:lang w:bidi="ar"/>
        </w:rPr>
      </w:pPr>
      <w:r>
        <w:rPr>
          <w:rFonts w:cs="宋体"/>
          <w:lang w:bidi="ar"/>
        </w:rPr>
        <w:t>8</w:t>
      </w:r>
      <w:r>
        <w:rPr>
          <w:rFonts w:hint="eastAsia" w:cs="宋体"/>
          <w:lang w:bidi="ar"/>
        </w:rPr>
        <w:t>）景观与公共服务：工业遗存活化利用，公共开放空间与游憩服务完善；</w:t>
      </w:r>
    </w:p>
    <w:p w14:paraId="75593081">
      <w:pPr>
        <w:ind w:left="240" w:leftChars="100" w:firstLine="240" w:firstLineChars="100"/>
        <w:rPr>
          <w:rFonts w:cs="宋体"/>
          <w:lang w:bidi="ar"/>
        </w:rPr>
      </w:pPr>
      <w:r>
        <w:rPr>
          <w:rFonts w:cs="宋体"/>
          <w:lang w:bidi="ar"/>
        </w:rPr>
        <w:t>9</w:t>
      </w:r>
      <w:r>
        <w:rPr>
          <w:rFonts w:hint="eastAsia" w:cs="宋体"/>
          <w:lang w:bidi="ar"/>
        </w:rPr>
        <w:t>）低碳与资源化：固体废物减量化/资源化利用、碳汇提升与能效优化；</w:t>
      </w:r>
    </w:p>
    <w:p w14:paraId="6111C635">
      <w:pPr>
        <w:ind w:left="240" w:leftChars="100" w:firstLine="240" w:firstLineChars="100"/>
        <w:rPr>
          <w:rFonts w:cs="宋体"/>
          <w:lang w:bidi="ar"/>
        </w:rPr>
      </w:pPr>
      <w:r>
        <w:rPr>
          <w:rFonts w:cs="宋体"/>
          <w:lang w:bidi="ar"/>
        </w:rPr>
        <w:t>10</w:t>
      </w:r>
      <w:r>
        <w:rPr>
          <w:rFonts w:hint="eastAsia" w:cs="宋体"/>
          <w:lang w:bidi="ar"/>
        </w:rPr>
        <w:t>）监测与管护：全过程监测评估、运维与绩效考核机制。</w:t>
      </w:r>
    </w:p>
    <w:p w14:paraId="5F483FBD">
      <w:pPr>
        <w:ind w:firstLine="199" w:firstLineChars="83"/>
      </w:pPr>
      <w:r>
        <w:rPr>
          <w:rFonts w:hint="eastAsia"/>
        </w:rPr>
        <w:t>【条文说明】本条规定总体目标的完整性与可核查性。目标应从安全、生态、用地、污染防治与公共服务等方面统筹设定，并落实到指标或控制值上，以满足设计、实施、验收与绩效评估的全流程需要。</w:t>
      </w:r>
    </w:p>
    <w:p w14:paraId="01EDB99F">
      <w:pPr>
        <w:ind w:firstLine="0" w:firstLineChars="0"/>
      </w:pPr>
      <w:r>
        <w:rPr>
          <w:rFonts w:cs="Times New Roman"/>
          <w:b/>
          <w:bCs/>
          <w:lang w:bidi="ar"/>
        </w:rPr>
        <w:t>7.3.4</w:t>
      </w:r>
      <w:r>
        <w:rPr>
          <w:rFonts w:cs="Times New Roman"/>
          <w:lang w:bidi="ar"/>
        </w:rPr>
        <w:t xml:space="preserve">  </w:t>
      </w:r>
      <w:r>
        <w:rPr>
          <w:rFonts w:hint="eastAsia" w:cs="宋体"/>
          <w:lang w:bidi="ar"/>
        </w:rPr>
        <w:t>主要任务与工作部署</w:t>
      </w:r>
    </w:p>
    <w:p w14:paraId="17F6BE7D">
      <w:pPr>
        <w:ind w:left="240" w:leftChars="100" w:firstLine="241" w:firstLineChars="100"/>
      </w:pPr>
      <w:r>
        <w:rPr>
          <w:rFonts w:cs="Times New Roman"/>
          <w:b/>
          <w:bCs/>
          <w:lang w:bidi="ar"/>
        </w:rPr>
        <w:t>1</w:t>
      </w:r>
      <w:r>
        <w:rPr>
          <w:rFonts w:cs="Times New Roman"/>
          <w:lang w:bidi="ar"/>
        </w:rPr>
        <w:t xml:space="preserve"> </w:t>
      </w:r>
      <w:r>
        <w:rPr>
          <w:rFonts w:hint="eastAsia" w:cs="宋体"/>
          <w:lang w:bidi="ar"/>
        </w:rPr>
        <w:t>应依据工矿区绿色改造与生态修复的总体定位与目标，并参照**《国土空间调查、规划、用途管制用地用海分类指南（试行）》，结合场地地质安全、地形地貌等条件，合理确定地面塌陷区、露天采场、工业广场、废料场、废石堆、排渣（土）场、工矿区道路**等不同场地的修复用途；据此提出主要任务，包括：生态环境保护与恢复治理分区、毁损地植被与景观恢复、水资源保护与水污染防治、大气污染防治、固体废弃物污染防治、土地复垦与土壤污染防治、水土流失控制、地质环境保护与恢复治理、生态环境监测与评价等</w:t>
      </w:r>
      <w:r>
        <w:rPr>
          <w:rFonts w:hint="eastAsia" w:cs="宋体"/>
        </w:rPr>
        <w:t>。</w:t>
      </w:r>
    </w:p>
    <w:p w14:paraId="5E4AE17D">
      <w:pPr>
        <w:ind w:firstLine="0" w:firstLineChars="0"/>
      </w:pPr>
      <w:r>
        <w:rPr>
          <w:rFonts w:hint="eastAsia" w:cs="宋体"/>
          <w:lang w:bidi="ar"/>
        </w:rPr>
        <w:t>【条文说明】本条强调以用途分区为牵引，完整覆盖生态保护与治理各要素，确保系统性与针对性。</w:t>
      </w:r>
    </w:p>
    <w:p w14:paraId="79B96F51">
      <w:pPr>
        <w:ind w:left="240" w:leftChars="100" w:firstLine="241" w:firstLineChars="100"/>
      </w:pPr>
      <w:r>
        <w:rPr>
          <w:rFonts w:cs="Times New Roman"/>
          <w:b/>
          <w:bCs/>
          <w:lang w:bidi="ar"/>
        </w:rPr>
        <w:t>2</w:t>
      </w:r>
      <w:r>
        <w:rPr>
          <w:rFonts w:cs="Times New Roman"/>
          <w:lang w:bidi="ar"/>
        </w:rPr>
        <w:t xml:space="preserve"> </w:t>
      </w:r>
      <w:r>
        <w:rPr>
          <w:rFonts w:hint="eastAsia" w:cs="宋体"/>
          <w:lang w:bidi="ar"/>
        </w:rPr>
        <w:t>应根据已确定的修复用途与主要任务，统筹现状生态问题严重程度与技术经济条件，择优确定采用自然恢复、辅助再生、生态重建等修复方式，必要时组合应用，遵循先控风险—再修复—分区施策—分类治理的原则。</w:t>
      </w:r>
    </w:p>
    <w:p w14:paraId="59F080BE">
      <w:pPr>
        <w:ind w:firstLine="0" w:firstLineChars="0"/>
      </w:pPr>
      <w:r>
        <w:rPr>
          <w:rFonts w:hint="eastAsia" w:cs="宋体"/>
          <w:lang w:bidi="ar"/>
        </w:rPr>
        <w:t>【条文说明】本条突出因地制宜与经济性，确保修复路径可实施、可持续。</w:t>
      </w:r>
    </w:p>
    <w:p w14:paraId="7A87DED9">
      <w:pPr>
        <w:ind w:left="240" w:leftChars="100" w:firstLine="241" w:firstLineChars="100"/>
      </w:pPr>
      <w:r>
        <w:rPr>
          <w:rFonts w:cs="Times New Roman"/>
          <w:b/>
          <w:bCs/>
          <w:lang w:bidi="ar"/>
        </w:rPr>
        <w:t>3</w:t>
      </w:r>
      <w:r>
        <w:rPr>
          <w:rFonts w:cs="Times New Roman"/>
          <w:lang w:bidi="ar"/>
        </w:rPr>
        <w:t xml:space="preserve"> </w:t>
      </w:r>
      <w:r>
        <w:rPr>
          <w:rFonts w:hint="eastAsia" w:cs="宋体"/>
          <w:lang w:bidi="ar"/>
        </w:rPr>
        <w:t>应依据修复方式并结合场地条件，分别提出采场边坡、工业场地、排渣（土）场、工矿区道路等的改造修复措施；对受污染的土壤、地下水与地表水体，应编制相应修复专项方案与措施。</w:t>
      </w:r>
    </w:p>
    <w:p w14:paraId="497D2544">
      <w:pPr>
        <w:ind w:firstLine="0" w:firstLineChars="0"/>
      </w:pPr>
      <w:r>
        <w:rPr>
          <w:rFonts w:hint="eastAsia" w:cs="宋体"/>
          <w:lang w:bidi="ar"/>
        </w:rPr>
        <w:t>【条文说明】本条要求将策略落实到可操作的工程措施与专项设计，并同步明确质量、安全与环保管控要点。</w:t>
      </w:r>
    </w:p>
    <w:p w14:paraId="610B740C">
      <w:pPr>
        <w:ind w:left="240" w:leftChars="100" w:firstLine="241" w:firstLineChars="100"/>
      </w:pPr>
      <w:r>
        <w:rPr>
          <w:rFonts w:cs="Times New Roman"/>
          <w:b/>
          <w:bCs/>
          <w:lang w:bidi="ar"/>
        </w:rPr>
        <w:t>4</w:t>
      </w:r>
      <w:r>
        <w:rPr>
          <w:rFonts w:cs="Times New Roman"/>
          <w:lang w:bidi="ar"/>
        </w:rPr>
        <w:t xml:space="preserve"> </w:t>
      </w:r>
      <w:r>
        <w:rPr>
          <w:rFonts w:hint="eastAsia" w:cs="宋体"/>
          <w:lang w:bidi="ar"/>
        </w:rPr>
        <w:t>应围绕地质安全隐患消除、地貌重塑、土壤重构、植被重建、配套工程等任务，提出工程总体部署与分期实施计划（含里程碑），并测算工程量及主要材料、设备与劳动力需求，明确施工季节性安排与资源保障。</w:t>
      </w:r>
    </w:p>
    <w:p w14:paraId="0F6FE21B">
      <w:pPr>
        <w:ind w:firstLine="0" w:firstLineChars="0"/>
      </w:pPr>
      <w:r>
        <w:rPr>
          <w:rFonts w:hint="eastAsia" w:cs="宋体"/>
          <w:lang w:bidi="ar"/>
        </w:rPr>
        <w:t>【条文说明】本条推动形成“分区—分期—分步”的实施路径，为投资安排与现场管理提供依据。</w:t>
      </w:r>
    </w:p>
    <w:p w14:paraId="5241CEF2">
      <w:pPr>
        <w:ind w:left="240" w:leftChars="100" w:firstLine="241" w:firstLineChars="100"/>
      </w:pPr>
      <w:r>
        <w:rPr>
          <w:rFonts w:cs="Times New Roman"/>
          <w:b/>
          <w:bCs/>
          <w:lang w:bidi="ar"/>
        </w:rPr>
        <w:t xml:space="preserve">5 </w:t>
      </w:r>
      <w:r>
        <w:rPr>
          <w:rFonts w:hint="eastAsia" w:cs="宋体"/>
          <w:lang w:bidi="ar"/>
        </w:rPr>
        <w:t>应综合考虑当地经济发展水平、修复技术成熟度、实施周期、资金筹措与运维成本、社会可接受性等因素，开展技术经济可行性分析，宜采用成本—效益/成本—效果方法并进行敏感性与风险分析，提出优化建议。</w:t>
      </w:r>
    </w:p>
    <w:p w14:paraId="41ACE90A">
      <w:pPr>
        <w:ind w:firstLine="0" w:firstLineChars="0"/>
      </w:pPr>
      <w:r>
        <w:rPr>
          <w:rFonts w:hint="eastAsia" w:cs="宋体"/>
          <w:lang w:bidi="ar"/>
        </w:rPr>
        <w:t>【条文说明】本条通过可行性与敏感性分析，确保方案在技术、资金与社会层面均具备可落实性和长期效益。</w:t>
      </w:r>
    </w:p>
    <w:p w14:paraId="2174F748">
      <w:pPr>
        <w:ind w:firstLine="0" w:firstLineChars="0"/>
      </w:pPr>
      <w:r>
        <w:rPr>
          <w:rFonts w:cs="Times New Roman"/>
          <w:b/>
          <w:bCs/>
          <w:lang w:bidi="ar"/>
        </w:rPr>
        <w:t>7.3.5</w:t>
      </w:r>
      <w:r>
        <w:rPr>
          <w:rFonts w:cs="Times New Roman"/>
          <w:lang w:bidi="ar"/>
        </w:rPr>
        <w:t xml:space="preserve">  </w:t>
      </w:r>
      <w:r>
        <w:rPr>
          <w:rFonts w:hint="eastAsia" w:cs="宋体"/>
          <w:lang w:bidi="ar"/>
        </w:rPr>
        <w:t>跟踪监测</w:t>
      </w:r>
    </w:p>
    <w:p w14:paraId="1F3F460C">
      <w:pPr>
        <w:ind w:left="240" w:leftChars="100" w:firstLine="241" w:firstLineChars="100"/>
        <w:rPr>
          <w:rFonts w:cs="宋体"/>
          <w:lang w:bidi="ar"/>
        </w:rPr>
      </w:pPr>
      <w:r>
        <w:rPr>
          <w:rFonts w:cs="Times New Roman"/>
          <w:b/>
          <w:bCs/>
          <w:lang w:bidi="ar"/>
        </w:rPr>
        <w:t>1</w:t>
      </w:r>
      <w:r>
        <w:rPr>
          <w:rFonts w:cs="Times New Roman"/>
          <w:lang w:bidi="ar"/>
        </w:rPr>
        <w:t xml:space="preserve"> </w:t>
      </w:r>
      <w:r>
        <w:rPr>
          <w:rFonts w:hint="eastAsia" w:cs="宋体"/>
          <w:lang w:bidi="ar"/>
        </w:rPr>
        <w:t>应明确监测目的、范围、对象与指标、方法与仪器、点位布设、质量控制、监测期限与监测周期，以及信息化记录、数据管理与报告要求。</w:t>
      </w:r>
    </w:p>
    <w:p w14:paraId="596EF95F">
      <w:pPr>
        <w:ind w:left="240" w:leftChars="100" w:firstLine="241" w:firstLineChars="100"/>
        <w:rPr>
          <w:rFonts w:cs="宋体"/>
          <w:lang w:bidi="ar"/>
        </w:rPr>
      </w:pPr>
      <w:r>
        <w:rPr>
          <w:rFonts w:cs="Times New Roman"/>
          <w:b/>
          <w:bCs/>
          <w:lang w:bidi="ar"/>
        </w:rPr>
        <w:t>2</w:t>
      </w:r>
      <w:r>
        <w:rPr>
          <w:rFonts w:cs="Times New Roman"/>
          <w:lang w:bidi="ar"/>
        </w:rPr>
        <w:t xml:space="preserve"> </w:t>
      </w:r>
      <w:r>
        <w:rPr>
          <w:rFonts w:hint="eastAsia" w:cs="宋体"/>
          <w:lang w:bidi="ar"/>
        </w:rPr>
        <w:t>应重点监测改造修复后采场、排渣（土）场边坡稳定性，土壤肥力、理化性质，植被重建后植物种类、分布、面积、成活率、覆盖度，回归的动物种类、数量、分布等。</w:t>
      </w:r>
    </w:p>
    <w:p w14:paraId="3D698053">
      <w:pPr>
        <w:ind w:left="240" w:leftChars="100" w:firstLine="241" w:firstLineChars="100"/>
      </w:pPr>
      <w:r>
        <w:rPr>
          <w:rFonts w:hint="eastAsia"/>
          <w:b/>
          <w:bCs/>
        </w:rPr>
        <w:t>3</w:t>
      </w:r>
      <w:r>
        <w:t xml:space="preserve"> </w:t>
      </w:r>
      <w:r>
        <w:rPr>
          <w:rFonts w:hint="eastAsia"/>
        </w:rPr>
        <w:t>应设置预警值与控制值，建立超限预警—原因分析—处置与纠偏—复测确认闭环机制；重要部位宜实施在线（或高频）监测与联合会商制度。</w:t>
      </w:r>
    </w:p>
    <w:p w14:paraId="28BB3FA6">
      <w:pPr>
        <w:ind w:left="240" w:leftChars="100" w:firstLine="241" w:firstLineChars="100"/>
      </w:pPr>
      <w:r>
        <w:rPr>
          <w:rFonts w:hint="eastAsia"/>
          <w:b/>
          <w:bCs/>
        </w:rPr>
        <w:t>4</w:t>
      </w:r>
      <w:r>
        <w:t xml:space="preserve"> </w:t>
      </w:r>
      <w:r>
        <w:rPr>
          <w:rFonts w:hint="eastAsia"/>
        </w:rPr>
        <w:t>监测数据与图件应及时汇交并归档，形成阶段报告与年度报告；监测结果应用于绩效评价与后评估，必要时优化或调整修复措施与养护策略。</w:t>
      </w:r>
    </w:p>
    <w:p w14:paraId="3D833C79">
      <w:pPr>
        <w:ind w:firstLine="0" w:firstLineChars="0"/>
      </w:pPr>
      <w:r>
        <w:rPr>
          <w:rFonts w:hint="eastAsia"/>
        </w:rPr>
        <w:t>【条文说明】本条从“方案—指标—预警—处置—评估”建立监测闭环，突出边坡稳定、土壤与植被重建及动物回归等核心指标，并兼顾水环境与环境影响监测，保障修复成效的持续性与可验证性。</w:t>
      </w:r>
    </w:p>
    <w:p w14:paraId="1161A880">
      <w:pPr>
        <w:ind w:firstLine="0" w:firstLineChars="0"/>
      </w:pPr>
      <w:r>
        <w:rPr>
          <w:rFonts w:cs="Times New Roman"/>
          <w:b/>
          <w:bCs/>
          <w:lang w:bidi="ar"/>
        </w:rPr>
        <w:t>7.3.6</w:t>
      </w:r>
      <w:r>
        <w:rPr>
          <w:rFonts w:cs="Times New Roman"/>
          <w:lang w:bidi="ar"/>
        </w:rPr>
        <w:t xml:space="preserve">  </w:t>
      </w:r>
      <w:r>
        <w:rPr>
          <w:rFonts w:hint="eastAsia" w:cs="宋体"/>
          <w:lang w:bidi="ar"/>
        </w:rPr>
        <w:t>经费估算</w:t>
      </w:r>
    </w:p>
    <w:p w14:paraId="6A89FB0F">
      <w:pPr>
        <w:ind w:firstLine="480"/>
      </w:pPr>
      <w:r>
        <w:rPr>
          <w:rFonts w:hint="eastAsia" w:cs="宋体"/>
          <w:lang w:bidi="ar"/>
        </w:rPr>
        <w:t>根据施工和部署的工程量，测算所需经费，明确经费筹措渠道包括生态恢复与重建、环境污染治理、水土保持、资源综合利用（固废资源）、生态产业发展等工程所需要的资金估算，工程实施与执行计划（含资金计划）等。</w:t>
      </w:r>
    </w:p>
    <w:p w14:paraId="4A715001">
      <w:pPr>
        <w:ind w:firstLine="0" w:firstLineChars="0"/>
      </w:pPr>
      <w:r>
        <w:rPr>
          <w:rFonts w:hint="eastAsia" w:cs="宋体"/>
          <w:lang w:bidi="ar"/>
        </w:rPr>
        <w:t>【条文说明】本条要求对工程的经费估算，包括各项技术措施的工程量所需资金。同时，明确资金的筹措渠道，确保资金来源的多样性和可靠性，并制定详细的工程实施与执行计划，包括资金的使用计划。</w:t>
      </w:r>
    </w:p>
    <w:p w14:paraId="7817233B">
      <w:pPr>
        <w:ind w:firstLine="0" w:firstLineChars="0"/>
      </w:pPr>
      <w:r>
        <w:rPr>
          <w:rFonts w:cs="Times New Roman"/>
          <w:b/>
          <w:bCs/>
          <w:lang w:bidi="ar"/>
        </w:rPr>
        <w:t>7.3.7</w:t>
      </w:r>
      <w:r>
        <w:rPr>
          <w:rFonts w:cs="Times New Roman"/>
          <w:lang w:bidi="ar"/>
        </w:rPr>
        <w:t xml:space="preserve">  </w:t>
      </w:r>
      <w:r>
        <w:rPr>
          <w:rFonts w:hint="eastAsia" w:cs="宋体"/>
          <w:lang w:bidi="ar"/>
        </w:rPr>
        <w:t>保障措施</w:t>
      </w:r>
    </w:p>
    <w:p w14:paraId="56C2D751">
      <w:pPr>
        <w:ind w:firstLine="482"/>
        <w:rPr>
          <w:rFonts w:cs="宋体"/>
          <w:lang w:bidi="ar"/>
        </w:rPr>
      </w:pPr>
      <w:r>
        <w:rPr>
          <w:rFonts w:cs="宋体"/>
          <w:b/>
          <w:bCs/>
          <w:lang w:bidi="ar"/>
        </w:rPr>
        <w:t>1</w:t>
      </w:r>
      <w:r>
        <w:rPr>
          <w:rFonts w:cs="宋体"/>
          <w:lang w:bidi="ar"/>
        </w:rPr>
        <w:t xml:space="preserve"> </w:t>
      </w:r>
      <w:r>
        <w:rPr>
          <w:rFonts w:hint="eastAsia" w:cs="宋体"/>
          <w:lang w:bidi="ar"/>
        </w:rPr>
        <w:t>组织管理保障</w:t>
      </w:r>
    </w:p>
    <w:p w14:paraId="3C8A68C1">
      <w:pPr>
        <w:ind w:firstLine="480"/>
        <w:rPr>
          <w:rFonts w:cs="宋体"/>
          <w:lang w:bidi="ar"/>
        </w:rPr>
      </w:pPr>
      <w:r>
        <w:rPr>
          <w:rFonts w:hint="eastAsia" w:cs="宋体"/>
          <w:lang w:bidi="ar"/>
        </w:rPr>
        <w:t>应建立项目组织管理体系（或工作专班），明确建设单位、施工单位、监理单位、勘察设计单位、运维单位及地方主管部门的职责分工与协调机制；应建立项目台账、进度里程碑、例会与专报制度，落实目标责任制与问责机制；宜设置公众参与与信息公开渠道，强化部门联动与多规协同。</w:t>
      </w:r>
    </w:p>
    <w:p w14:paraId="7B4221F6">
      <w:pPr>
        <w:ind w:firstLine="482"/>
        <w:rPr>
          <w:rFonts w:cs="宋体"/>
          <w:lang w:bidi="ar"/>
        </w:rPr>
      </w:pPr>
      <w:r>
        <w:rPr>
          <w:rFonts w:hint="eastAsia" w:cs="宋体"/>
          <w:b/>
          <w:bCs/>
          <w:lang w:bidi="ar"/>
        </w:rPr>
        <w:t>2</w:t>
      </w:r>
      <w:r>
        <w:rPr>
          <w:rFonts w:hint="eastAsia" w:cs="宋体"/>
          <w:lang w:bidi="ar"/>
        </w:rPr>
        <w:t xml:space="preserve"> 技术保障</w:t>
      </w:r>
    </w:p>
    <w:p w14:paraId="150A20E6">
      <w:pPr>
        <w:ind w:firstLine="480"/>
        <w:rPr>
          <w:rFonts w:cs="宋体"/>
          <w:lang w:bidi="ar"/>
        </w:rPr>
      </w:pPr>
      <w:r>
        <w:rPr>
          <w:rFonts w:hint="eastAsia" w:cs="宋体"/>
          <w:lang w:bidi="ar"/>
        </w:rPr>
        <w:t>应构建技术标准与作业指南体系，明确关键工序技术路线、工艺参数与质量控制点；重要方案应组织专家论证/第三方审核，必要时开展试验段先行与技术比选；应落实技术交底与岗位培训，强化监测—反馈—优化的闭环；宜依托GIS/BIM与监测信息化平台实现过程管控与数据共享。</w:t>
      </w:r>
    </w:p>
    <w:p w14:paraId="795C6C11">
      <w:pPr>
        <w:ind w:firstLine="482"/>
        <w:rPr>
          <w:rFonts w:cs="宋体"/>
          <w:lang w:bidi="ar"/>
        </w:rPr>
      </w:pPr>
      <w:r>
        <w:rPr>
          <w:rFonts w:hint="eastAsia" w:cs="宋体"/>
          <w:b/>
          <w:bCs/>
          <w:lang w:bidi="ar"/>
        </w:rPr>
        <w:t>3</w:t>
      </w:r>
      <w:r>
        <w:rPr>
          <w:rFonts w:hint="eastAsia" w:cs="宋体"/>
          <w:lang w:bidi="ar"/>
        </w:rPr>
        <w:t xml:space="preserve"> 资金保障</w:t>
      </w:r>
    </w:p>
    <w:p w14:paraId="65147F51">
      <w:pPr>
        <w:ind w:firstLine="480"/>
        <w:rPr>
          <w:rFonts w:cs="宋体"/>
          <w:lang w:bidi="ar"/>
        </w:rPr>
      </w:pPr>
      <w:r>
        <w:rPr>
          <w:rFonts w:hint="eastAsia" w:cs="宋体"/>
          <w:lang w:bidi="ar"/>
        </w:rPr>
        <w:t>应明确资金来源、渠道与责任主体，编制年度/阶段资金使用计划（现金流时序），实行专账管理与绩效约束；应建立支付审批、结算审计与资金监督机制，合理设置预备费与风险金；对社会资本参与的项目，应明确收益与风险分担机制。</w:t>
      </w:r>
    </w:p>
    <w:p w14:paraId="7CC18319">
      <w:pPr>
        <w:ind w:firstLine="482"/>
        <w:rPr>
          <w:rFonts w:cs="宋体"/>
          <w:lang w:bidi="ar"/>
        </w:rPr>
      </w:pPr>
      <w:r>
        <w:rPr>
          <w:rFonts w:hint="eastAsia" w:cs="宋体"/>
          <w:b/>
          <w:bCs/>
          <w:lang w:bidi="ar"/>
        </w:rPr>
        <w:t>4</w:t>
      </w:r>
      <w:r>
        <w:rPr>
          <w:rFonts w:hint="eastAsia" w:cs="宋体"/>
          <w:lang w:bidi="ar"/>
        </w:rPr>
        <w:t xml:space="preserve"> 施工安全与生态环境保障</w:t>
      </w:r>
    </w:p>
    <w:p w14:paraId="2F636FD2">
      <w:pPr>
        <w:ind w:firstLine="480"/>
        <w:rPr>
          <w:rFonts w:cs="宋体"/>
          <w:lang w:bidi="ar"/>
        </w:rPr>
      </w:pPr>
      <w:r>
        <w:rPr>
          <w:rFonts w:hint="eastAsia" w:cs="宋体"/>
          <w:lang w:bidi="ar"/>
        </w:rPr>
        <w:t>应落实安全生产责任制与环境保护、水土保持要求，配套文明施工、扬尘/噪声/废水/固废控制措施；应编制极端天气与地质灾害等应急预案并适时演练；对涉及危险性较大的分部分项工程，应按规定开展专项方案编制与审查。不得以赶工期为由降低安全与环保标准。</w:t>
      </w:r>
    </w:p>
    <w:p w14:paraId="1BF08C28">
      <w:pPr>
        <w:ind w:firstLine="482"/>
        <w:rPr>
          <w:rFonts w:cs="宋体"/>
          <w:lang w:bidi="ar"/>
        </w:rPr>
      </w:pPr>
      <w:r>
        <w:rPr>
          <w:rFonts w:hint="eastAsia" w:cs="宋体"/>
          <w:b/>
          <w:bCs/>
          <w:lang w:bidi="ar"/>
        </w:rPr>
        <w:t>5</w:t>
      </w:r>
      <w:r>
        <w:rPr>
          <w:rFonts w:hint="eastAsia" w:cs="宋体"/>
          <w:lang w:bidi="ar"/>
        </w:rPr>
        <w:t xml:space="preserve"> 后期管护与运维保障</w:t>
      </w:r>
    </w:p>
    <w:p w14:paraId="624E389B">
      <w:pPr>
        <w:ind w:firstLine="480"/>
        <w:rPr>
          <w:rFonts w:cs="宋体"/>
          <w:lang w:bidi="ar"/>
        </w:rPr>
      </w:pPr>
      <w:r>
        <w:rPr>
          <w:rFonts w:hint="eastAsia" w:cs="宋体"/>
          <w:lang w:bidi="ar"/>
        </w:rPr>
        <w:t>应明确管护主体、管护期限、养护内容与技术标准，建立巡查维护制度（含边坡与排水设施、植被与生境、监测设备等）；应明确运维经费来源与支付机制，设置成效考核指标（如稳评指标、成活率/覆盖度、污染物控制值、设施完好率等）；宜建立缺陷责任与保修机制及移交验收程序。</w:t>
      </w:r>
    </w:p>
    <w:p w14:paraId="2114FFAE">
      <w:pPr>
        <w:ind w:firstLine="482"/>
        <w:rPr>
          <w:rFonts w:cs="宋体"/>
          <w:lang w:bidi="ar"/>
        </w:rPr>
      </w:pPr>
      <w:r>
        <w:rPr>
          <w:rFonts w:hint="eastAsia" w:cs="宋体"/>
          <w:b/>
          <w:bCs/>
          <w:lang w:bidi="ar"/>
        </w:rPr>
        <w:t>6</w:t>
      </w:r>
      <w:r>
        <w:rPr>
          <w:rFonts w:hint="eastAsia" w:cs="宋体"/>
          <w:lang w:bidi="ar"/>
        </w:rPr>
        <w:t xml:space="preserve"> 监测评估与绩效考核</w:t>
      </w:r>
    </w:p>
    <w:p w14:paraId="383BAEFD">
      <w:pPr>
        <w:ind w:firstLine="480"/>
        <w:rPr>
          <w:rFonts w:cs="宋体"/>
          <w:lang w:bidi="ar"/>
        </w:rPr>
      </w:pPr>
      <w:r>
        <w:rPr>
          <w:rFonts w:hint="eastAsia" w:cs="宋体"/>
          <w:lang w:bidi="ar"/>
        </w:rPr>
        <w:t>应建立全过程跟踪监测与阶段评估制度，设置预警值/控制值与纠偏措施；应开展绩效考核，将资金拨付、阶段验收与绩效结果适度挂钩；对偏离目标的工程应及时优化方案与调整工期/资源配置。</w:t>
      </w:r>
    </w:p>
    <w:p w14:paraId="3422C534">
      <w:pPr>
        <w:ind w:firstLine="482"/>
        <w:rPr>
          <w:rFonts w:cs="宋体"/>
          <w:lang w:bidi="ar"/>
        </w:rPr>
      </w:pPr>
      <w:r>
        <w:rPr>
          <w:rFonts w:hint="eastAsia" w:cs="宋体"/>
          <w:b/>
          <w:bCs/>
          <w:lang w:bidi="ar"/>
        </w:rPr>
        <w:t>7</w:t>
      </w:r>
      <w:r>
        <w:rPr>
          <w:rFonts w:hint="eastAsia" w:cs="宋体"/>
          <w:lang w:bidi="ar"/>
        </w:rPr>
        <w:t xml:space="preserve"> 风险管理与应急处置</w:t>
      </w:r>
    </w:p>
    <w:p w14:paraId="0D392E02">
      <w:pPr>
        <w:ind w:firstLine="480"/>
        <w:rPr>
          <w:rFonts w:cs="宋体"/>
          <w:lang w:bidi="ar"/>
        </w:rPr>
      </w:pPr>
      <w:r>
        <w:rPr>
          <w:rFonts w:hint="eastAsia" w:cs="宋体"/>
          <w:lang w:bidi="ar"/>
        </w:rPr>
        <w:t>应编制风险清单与分级管控措施；宜购买相应工程保险/第三者责任保险等风险转移工具。</w:t>
      </w:r>
    </w:p>
    <w:p w14:paraId="6C2FA99B">
      <w:pPr>
        <w:ind w:firstLine="482"/>
        <w:rPr>
          <w:rFonts w:cs="宋体"/>
          <w:lang w:bidi="ar"/>
        </w:rPr>
      </w:pPr>
      <w:r>
        <w:rPr>
          <w:rFonts w:hint="eastAsia" w:cs="宋体"/>
          <w:b/>
          <w:bCs/>
          <w:lang w:bidi="ar"/>
        </w:rPr>
        <w:t>8</w:t>
      </w:r>
      <w:r>
        <w:rPr>
          <w:rFonts w:hint="eastAsia" w:cs="宋体"/>
          <w:lang w:bidi="ar"/>
        </w:rPr>
        <w:t xml:space="preserve"> 合规与档案管理</w:t>
      </w:r>
    </w:p>
    <w:p w14:paraId="4A5A3165">
      <w:pPr>
        <w:ind w:firstLine="480"/>
        <w:rPr>
          <w:rFonts w:cs="宋体"/>
          <w:lang w:bidi="ar"/>
        </w:rPr>
      </w:pPr>
      <w:r>
        <w:rPr>
          <w:rFonts w:hint="eastAsia" w:cs="宋体"/>
          <w:lang w:bidi="ar"/>
        </w:rPr>
        <w:t>应依法合规开展招标采购与合同管理，加强变更与索赔管控；应规范工程档案与监测数据的收集、整理与归档，按规定开展中期与竣工验收、移交。</w:t>
      </w:r>
    </w:p>
    <w:p w14:paraId="2B8FB9EF">
      <w:pPr>
        <w:ind w:firstLine="0" w:firstLineChars="0"/>
      </w:pPr>
      <w:r>
        <w:rPr>
          <w:rFonts w:hint="eastAsia" w:cs="宋体"/>
          <w:lang w:bidi="ar"/>
        </w:rPr>
        <w:t>【条文说明】本条从组织、技术、资金、施工安全与环保、后期管护、监测评估、风险应急及合规档案等方面建立全链条保障体系，确保工矿区改造修复工程“可实施、可监控、可评价、可持续”。</w:t>
      </w:r>
    </w:p>
    <w:p w14:paraId="43DCC01E">
      <w:pPr>
        <w:pStyle w:val="30"/>
        <w:numPr>
          <w:ilvl w:val="0"/>
          <w:numId w:val="5"/>
        </w:numPr>
        <w:spacing w:before="163" w:beforeLines="50" w:after="163" w:afterLines="50"/>
        <w:ind w:firstLineChars="0"/>
        <w:jc w:val="center"/>
        <w:outlineLvl w:val="1"/>
        <w:rPr>
          <w:b/>
          <w:bCs/>
          <w:sz w:val="28"/>
          <w:szCs w:val="28"/>
        </w:rPr>
      </w:pPr>
      <w:bookmarkStart w:id="91" w:name="_Toc212057037"/>
      <w:r>
        <w:rPr>
          <w:rFonts w:hint="eastAsia"/>
          <w:b/>
          <w:bCs/>
          <w:sz w:val="28"/>
          <w:szCs w:val="28"/>
        </w:rPr>
        <w:t>地形地貌施工</w:t>
      </w:r>
      <w:bookmarkEnd w:id="91"/>
    </w:p>
    <w:p w14:paraId="06C324E1">
      <w:pPr>
        <w:ind w:firstLine="0" w:firstLineChars="0"/>
      </w:pPr>
      <w:r>
        <w:rPr>
          <w:b/>
          <w:bCs/>
        </w:rPr>
        <w:t>7.4.1</w:t>
      </w:r>
      <w:r>
        <w:t xml:space="preserve">  </w:t>
      </w:r>
      <w:r>
        <w:rPr>
          <w:rFonts w:hint="eastAsia"/>
        </w:rPr>
        <w:t>场地清理</w:t>
      </w:r>
    </w:p>
    <w:p w14:paraId="076A8763">
      <w:pPr>
        <w:ind w:left="240" w:leftChars="100" w:firstLine="241" w:firstLineChars="100"/>
      </w:pPr>
      <w:r>
        <w:rPr>
          <w:rFonts w:hint="eastAsia"/>
          <w:b/>
          <w:bCs/>
        </w:rPr>
        <w:t>1</w:t>
      </w:r>
      <w:r>
        <w:t xml:space="preserve"> </w:t>
      </w:r>
      <w:r>
        <w:rPr>
          <w:rFonts w:hint="eastAsia"/>
        </w:rPr>
        <w:t>应清除施工场地内的植被、腐殖土、垃圾、漂（孤）石等杂物；清表深度宜为 10 cm～20 cm，并根据设计要求与现场实际调整。对软弱、受污染或杂填土部位，清理深度应加大至满足承载与稳定要求。剥离的表土宜分类堆存以供回置，采取防扬尘、防流失措施。</w:t>
      </w:r>
    </w:p>
    <w:p w14:paraId="1CD8848F">
      <w:pPr>
        <w:ind w:left="240" w:leftChars="100" w:firstLine="241" w:firstLineChars="100"/>
      </w:pPr>
      <w:r>
        <w:rPr>
          <w:rFonts w:hint="eastAsia"/>
          <w:b/>
          <w:bCs/>
        </w:rPr>
        <w:t>2</w:t>
      </w:r>
      <w:r>
        <w:rPr>
          <w:b/>
          <w:bCs/>
        </w:rPr>
        <w:t xml:space="preserve"> </w:t>
      </w:r>
      <w:r>
        <w:rPr>
          <w:rFonts w:hint="eastAsia"/>
        </w:rPr>
        <w:t>应对树根、石块、旧基础、混凝土块等障碍物彻底清理，避免影响后续土方与植被恢复。遇大体量或特殊障碍物时，应编制专项处理方案；必要时可采取机械破除或控制爆破等方式并落实安全隔离与审批。清除后形成的坑槽应分层回填夯实至设计要求。</w:t>
      </w:r>
    </w:p>
    <w:p w14:paraId="7440E7ED">
      <w:pPr>
        <w:ind w:left="240" w:leftChars="100" w:firstLine="241" w:firstLineChars="100"/>
      </w:pPr>
      <w:r>
        <w:rPr>
          <w:b/>
          <w:bCs/>
        </w:rPr>
        <w:t xml:space="preserve">3 </w:t>
      </w:r>
      <w:r>
        <w:rPr>
          <w:rFonts w:hint="eastAsia"/>
        </w:rPr>
        <w:t>宜同步设置临时截排水系统与沉砂设施，实施抑尘、降噪、固废分类清运等措施，严禁随意掩埋或抛弃清理物。</w:t>
      </w:r>
    </w:p>
    <w:p w14:paraId="360AA9CE">
      <w:pPr>
        <w:ind w:firstLine="0" w:firstLineChars="0"/>
      </w:pPr>
      <w:r>
        <w:rPr>
          <w:rFonts w:hint="eastAsia"/>
        </w:rPr>
        <w:t>【条文说明】本条明确清表深度、表土保护与障碍物处置的基本要求，并强调临时排水与环境控制，保障后续开挖与绿化基础条件。</w:t>
      </w:r>
    </w:p>
    <w:p w14:paraId="39622024">
      <w:pPr>
        <w:ind w:firstLine="0" w:firstLineChars="0"/>
      </w:pPr>
      <w:r>
        <w:rPr>
          <w:b/>
          <w:bCs/>
        </w:rPr>
        <w:t>7.4.2</w:t>
      </w:r>
      <w:r>
        <w:t xml:space="preserve"> </w:t>
      </w:r>
      <w:r>
        <w:rPr>
          <w:rFonts w:hint="eastAsia"/>
        </w:rPr>
        <w:t xml:space="preserve"> 地形重塑</w:t>
      </w:r>
    </w:p>
    <w:p w14:paraId="0477D5C8">
      <w:pPr>
        <w:ind w:left="240" w:leftChars="100" w:firstLine="241" w:firstLineChars="100"/>
      </w:pPr>
      <w:r>
        <w:rPr>
          <w:rFonts w:hint="eastAsia"/>
          <w:b/>
          <w:bCs/>
        </w:rPr>
        <w:t>1</w:t>
      </w:r>
      <w:r>
        <w:t xml:space="preserve"> </w:t>
      </w:r>
      <w:r>
        <w:rPr>
          <w:rFonts w:hint="eastAsia"/>
        </w:rPr>
        <w:t>土方开挖：应依据设计要求与现场条件选用挖掘机、装载机等设备，按自上而下、分层开挖组织施工；单层开挖宜不超过 3 m，避免超挖与塌方。开挖应预留10 cm～30 cm厚度由人工修整，以保证平整度与设计标高。需设临时支护或防护时，应与开挖同步落实。</w:t>
      </w:r>
    </w:p>
    <w:p w14:paraId="0450FED3">
      <w:pPr>
        <w:ind w:left="240" w:leftChars="100" w:firstLine="241" w:firstLineChars="100"/>
      </w:pPr>
      <w:r>
        <w:rPr>
          <w:b/>
          <w:bCs/>
        </w:rPr>
        <w:t>2</w:t>
      </w:r>
      <w:r>
        <w:t xml:space="preserve"> </w:t>
      </w:r>
      <w:r>
        <w:rPr>
          <w:rFonts w:hint="eastAsia"/>
        </w:rPr>
        <w:t>土方回填与压实：应采用分层回填方法，每层厚度宜为 20 cm～30 cm；配合平碾、振动碾、羊足碾等设备分层压实。压实度应符合设计要求，一般不低于 85%～90%；土体含水量宜控制在最佳含水量±2%范围内。回填材料应满足洁净与环境要求，超挖部位应按设计回填处理。</w:t>
      </w:r>
    </w:p>
    <w:p w14:paraId="324C9BBA">
      <w:pPr>
        <w:ind w:left="240" w:leftChars="100" w:firstLine="241" w:firstLineChars="100"/>
      </w:pPr>
      <w:r>
        <w:rPr>
          <w:b/>
          <w:bCs/>
        </w:rPr>
        <w:t>3</w:t>
      </w:r>
      <w:r>
        <w:t xml:space="preserve"> </w:t>
      </w:r>
      <w:r>
        <w:rPr>
          <w:rFonts w:hint="eastAsia"/>
        </w:rPr>
        <w:t>地形塑造与测量放样：应以设计等高线为依据，采用水准仪或全站仪进行高程测量与放样，布设控制桩与高程（坡度）控制点，重点控制坡顶、坡脚与转折点，确保地形连续顺畅、排水通达，并与道路、水系、平台等相互顺接。</w:t>
      </w:r>
    </w:p>
    <w:p w14:paraId="3FFEF574">
      <w:pPr>
        <w:ind w:left="240" w:leftChars="100" w:firstLine="241" w:firstLineChars="100"/>
      </w:pPr>
      <w:r>
        <w:rPr>
          <w:rFonts w:hint="eastAsia"/>
          <w:b/>
          <w:bCs/>
        </w:rPr>
        <w:t>4</w:t>
      </w:r>
      <w:r>
        <w:rPr>
          <w:b/>
          <w:bCs/>
        </w:rPr>
        <w:t xml:space="preserve"> </w:t>
      </w:r>
      <w:r>
        <w:rPr>
          <w:rFonts w:hint="eastAsia"/>
        </w:rPr>
        <w:t>应结合土壤状况与植被需求，采取添加有机质、调节 pH、优化团粒结构、控制容重等土壤改良措施，提升土壤肥力与质量；改良材料不得造成二次污染。宜在地形塑造完成后及时覆土保墒与防蚀</w:t>
      </w:r>
      <w:r>
        <w:t>。</w:t>
      </w:r>
    </w:p>
    <w:p w14:paraId="70C4ADCD">
      <w:pPr>
        <w:ind w:firstLine="0" w:firstLineChars="0"/>
      </w:pPr>
      <w:r>
        <w:rPr>
          <w:rFonts w:hint="eastAsia"/>
        </w:rPr>
        <w:t>【条文说明】本条对开挖顺序与分层控制、回填压实与含水量控制、测量放样精度以及土壤改良提出了可操作要求，确保塑形质量、结构稳定与后续植被成活条件。</w:t>
      </w:r>
    </w:p>
    <w:p w14:paraId="331B3689">
      <w:pPr>
        <w:ind w:firstLine="0" w:firstLineChars="0"/>
      </w:pPr>
      <w:r>
        <w:rPr>
          <w:b/>
          <w:bCs/>
        </w:rPr>
        <w:t>7.4.3</w:t>
      </w:r>
      <w:r>
        <w:t xml:space="preserve">  </w:t>
      </w:r>
      <w:r>
        <w:rPr>
          <w:rFonts w:hint="eastAsia"/>
        </w:rPr>
        <w:t>排水系统施工</w:t>
      </w:r>
    </w:p>
    <w:p w14:paraId="360805FA">
      <w:pPr>
        <w:ind w:left="240" w:leftChars="100" w:firstLine="241" w:firstLineChars="100"/>
      </w:pPr>
      <w:r>
        <w:rPr>
          <w:rFonts w:hint="eastAsia"/>
          <w:b/>
          <w:bCs/>
        </w:rPr>
        <w:t>1</w:t>
      </w:r>
      <w:r>
        <w:t xml:space="preserve"> </w:t>
      </w:r>
      <w:r>
        <w:rPr>
          <w:rFonts w:hint="eastAsia"/>
        </w:rPr>
        <w:t>应依据地形起伏与区域排水要求，统筹地面排水与地下排水系统。地面排水宜顺应自然地形组织径流，地下排水应结合场地渗透能力与地下水位条件合理设置盲沟、渗沟、排水管（孔）等设施，形成分级排放体系。雨污分流应明确，不得将生产废水或污染水接入雨水系统。</w:t>
      </w:r>
    </w:p>
    <w:p w14:paraId="30245B87">
      <w:pPr>
        <w:ind w:left="240" w:leftChars="100" w:firstLine="241" w:firstLineChars="100"/>
      </w:pPr>
      <w:r>
        <w:rPr>
          <w:rFonts w:hint="eastAsia"/>
          <w:b/>
          <w:bCs/>
        </w:rPr>
        <w:t>2</w:t>
      </w:r>
      <w:r>
        <w:t xml:space="preserve"> </w:t>
      </w:r>
      <w:r>
        <w:rPr>
          <w:rFonts w:hint="eastAsia"/>
        </w:rPr>
        <w:t>地面排水应利用地形坡度，使雨水顺畅排入水体、排水沟或雨水口；沟（渠）与路（场）面、平台、坡面应顺接平顺，避免积水与冲刷。</w:t>
      </w:r>
    </w:p>
    <w:p w14:paraId="6CDA2A59">
      <w:pPr>
        <w:ind w:left="240" w:leftChars="100" w:firstLine="241" w:firstLineChars="100"/>
      </w:pPr>
      <w:r>
        <w:rPr>
          <w:b/>
          <w:bCs/>
        </w:rPr>
        <w:t xml:space="preserve">3 </w:t>
      </w:r>
      <w:r>
        <w:rPr>
          <w:rFonts w:hint="eastAsia"/>
        </w:rPr>
        <w:t>排水沟的沟底应平整，边坡稳定，沟壁可根据需要进行护砌，防止雨水冲刷损坏。排水沟的间距和尺寸应根据地形坡度和雨水流量确定，一般间距不宜超过30m，沟底坡度不宜小于0.3%。在排水沟的转弯处和出水口处，应设置消能设施及防冲加固。</w:t>
      </w:r>
    </w:p>
    <w:p w14:paraId="41541E1E">
      <w:pPr>
        <w:ind w:left="240" w:leftChars="100" w:firstLine="241" w:firstLineChars="100"/>
      </w:pPr>
      <w:r>
        <w:rPr>
          <w:b/>
          <w:bCs/>
        </w:rPr>
        <w:t>4</w:t>
      </w:r>
      <w:r>
        <w:t xml:space="preserve"> </w:t>
      </w:r>
      <w:r>
        <w:rPr>
          <w:rFonts w:hint="eastAsia"/>
        </w:rPr>
        <w:t>盲沟与排水管施工应按设计设置滤料与反滤层，保证排水顺畅且不致带走细颗粒；检查井、集水井与沉砂设施应同步布设，便于检修清掏。</w:t>
      </w:r>
    </w:p>
    <w:p w14:paraId="3A74167E">
      <w:pPr>
        <w:ind w:left="240" w:leftChars="100" w:firstLine="241" w:firstLineChars="100"/>
      </w:pPr>
      <w:r>
        <w:rPr>
          <w:b/>
          <w:bCs/>
        </w:rPr>
        <w:t xml:space="preserve">5 </w:t>
      </w:r>
      <w:r>
        <w:rPr>
          <w:rFonts w:hint="eastAsia"/>
        </w:rPr>
        <w:t>施工过程中应采取防淤、防堵、防冲刷措施；完工后应制定定期清理与巡检制度，保持沟槽、井室与出水口的畅通。排放不得造成二次污染与下游不利影响。</w:t>
      </w:r>
    </w:p>
    <w:p w14:paraId="29160048">
      <w:pPr>
        <w:ind w:firstLine="0" w:firstLineChars="0"/>
      </w:pPr>
      <w:r>
        <w:rPr>
          <w:rFonts w:hint="eastAsia"/>
        </w:rPr>
        <w:t>【条文说明】本条将原有要求细化为规划—地面—地下—构造—运维的闭环，保留“间距≤30 m、纵坡≥0.3%”等控制指标，并强调消能、防冲与雨污分流。</w:t>
      </w:r>
    </w:p>
    <w:p w14:paraId="35A97C55">
      <w:pPr>
        <w:ind w:firstLine="0" w:firstLineChars="0"/>
      </w:pPr>
      <w:r>
        <w:rPr>
          <w:b/>
          <w:bCs/>
        </w:rPr>
        <w:t>7.4.4</w:t>
      </w:r>
      <w:r>
        <w:t xml:space="preserve">  </w:t>
      </w:r>
      <w:r>
        <w:rPr>
          <w:rFonts w:hint="eastAsia"/>
        </w:rPr>
        <w:t>植物种选择与种植</w:t>
      </w:r>
    </w:p>
    <w:p w14:paraId="42138E6A">
      <w:pPr>
        <w:ind w:left="240" w:leftChars="100" w:firstLine="241" w:firstLineChars="100"/>
      </w:pPr>
      <w:r>
        <w:rPr>
          <w:rFonts w:hint="eastAsia"/>
          <w:b/>
          <w:bCs/>
        </w:rPr>
        <w:t>1</w:t>
      </w:r>
      <w:r>
        <w:t xml:space="preserve"> </w:t>
      </w:r>
      <w:r>
        <w:rPr>
          <w:rFonts w:hint="eastAsia"/>
        </w:rPr>
        <w:t>重要生态空间宜优先选用乡土植物，以乔木为骨干（如油松、侧柏等），配植灌木与草本，形成乔—灌—草多层次群落，实现快速恢复与长期稳定。应结合工矿废弃地坡度、坡向、土层厚度与保水条件，采用鱼鳞坑、水平阶（水平沟）等造林整地方式，提高植被根系固土与保墒能力，增强群落稳定性。</w:t>
      </w:r>
    </w:p>
    <w:p w14:paraId="034B4191">
      <w:pPr>
        <w:ind w:left="240" w:leftChars="100" w:firstLine="241" w:firstLineChars="100"/>
      </w:pPr>
      <w:r>
        <w:rPr>
          <w:b/>
          <w:bCs/>
        </w:rPr>
        <w:t>2</w:t>
      </w:r>
      <w:r>
        <w:t xml:space="preserve"> </w:t>
      </w:r>
      <w:r>
        <w:rPr>
          <w:rFonts w:hint="eastAsia"/>
        </w:rPr>
        <w:t>城镇融合区域可优先选择耐瘠薄、耐污染的先锋类植物（如景天、苜蓿等）进行先期林草恢复，并逐步改良土壤、提升有机质，循序增加植物多样性，强化生态防护与景观功能，促进人与自然和谐。</w:t>
      </w:r>
    </w:p>
    <w:p w14:paraId="24864D63">
      <w:pPr>
        <w:ind w:left="240" w:leftChars="100" w:firstLine="241" w:firstLineChars="100"/>
      </w:pPr>
      <w:r>
        <w:rPr>
          <w:rFonts w:hint="eastAsia"/>
          <w:b/>
          <w:bCs/>
        </w:rPr>
        <w:t>3</w:t>
      </w:r>
      <w:r>
        <w:t xml:space="preserve"> </w:t>
      </w:r>
      <w:r>
        <w:rPr>
          <w:rFonts w:hint="eastAsia"/>
        </w:rPr>
        <w:t>不得选用外来入侵种与有明显生态危害风险的物种；改良材料与养护投入应避免二次污染，与排水系统衔接，防止水土流失。</w:t>
      </w:r>
    </w:p>
    <w:p w14:paraId="42902A3E">
      <w:pPr>
        <w:ind w:firstLine="0" w:firstLineChars="0"/>
      </w:pPr>
      <w:r>
        <w:rPr>
          <w:rFonts w:hint="eastAsia"/>
        </w:rPr>
        <w:t>【条文说明】本条保留“乡土优先、多层配置、鱼鳞坑/水平阶整地、耐瘠薄先锋物种”的技术路径，并补充苗木质量、定植与养护要点及入侵风险控制，保证快速修复与长期稳定兼顾。</w:t>
      </w:r>
    </w:p>
    <w:p w14:paraId="791F0EF8">
      <w:pPr>
        <w:ind w:firstLine="0" w:firstLineChars="0"/>
      </w:pPr>
      <w:r>
        <w:rPr>
          <w:b/>
          <w:bCs/>
        </w:rPr>
        <w:t>7.4.5</w:t>
      </w:r>
      <w:r>
        <w:t xml:space="preserve">  </w:t>
      </w:r>
      <w:r>
        <w:rPr>
          <w:rFonts w:hint="eastAsia"/>
        </w:rPr>
        <w:t>植被养护管理</w:t>
      </w:r>
    </w:p>
    <w:p w14:paraId="6F8D92DC">
      <w:pPr>
        <w:ind w:left="240" w:leftChars="100" w:firstLine="241" w:firstLineChars="100"/>
      </w:pPr>
      <w:r>
        <w:rPr>
          <w:b/>
          <w:bCs/>
        </w:rPr>
        <w:t>1</w:t>
      </w:r>
      <w:r>
        <w:t xml:space="preserve"> </w:t>
      </w:r>
      <w:r>
        <w:rPr>
          <w:rFonts w:hint="eastAsia"/>
        </w:rPr>
        <w:t>新植植被应编制养护浇水计划并定期浇水；定植后及时浇透定根水，缓苗期据天气与土壤含水状况适当增加浇水频次；干旱季节应增加浇水，雨季应加强排水防止积水烂根。浇水宜在清晨或傍晚进行，不得长期积水或冲刷根颈。</w:t>
      </w:r>
    </w:p>
    <w:p w14:paraId="04936668">
      <w:pPr>
        <w:ind w:left="240" w:leftChars="100" w:firstLine="241" w:firstLineChars="100"/>
      </w:pPr>
      <w:r>
        <w:rPr>
          <w:b/>
          <w:bCs/>
        </w:rPr>
        <w:t>2</w:t>
      </w:r>
      <w:r>
        <w:t xml:space="preserve"> </w:t>
      </w:r>
      <w:r>
        <w:rPr>
          <w:rFonts w:hint="eastAsia"/>
        </w:rPr>
        <w:t>应结合土壤检测结果合理施肥，以有机肥或缓释肥为主、少量多次为宜；不得施用未腐熟有机肥或超量施肥。追肥后应覆土或浇水，防止烧根并提升养分利用率。</w:t>
      </w:r>
    </w:p>
    <w:p w14:paraId="7EEF5551">
      <w:pPr>
        <w:ind w:left="240" w:leftChars="100" w:firstLine="241" w:firstLineChars="100"/>
      </w:pPr>
      <w:r>
        <w:rPr>
          <w:b/>
          <w:bCs/>
        </w:rPr>
        <w:t>3</w:t>
      </w:r>
      <w:r>
        <w:t xml:space="preserve"> </w:t>
      </w:r>
      <w:r>
        <w:rPr>
          <w:rFonts w:hint="eastAsia"/>
        </w:rPr>
        <w:t>应定期修剪，及时去除病虫枝、枯枝、重叠枝、徒长枝，保持通风透光，促进生长与形态美观；草坪应按季节适度修剪并清理下脚料。</w:t>
      </w:r>
    </w:p>
    <w:p w14:paraId="75A4C056">
      <w:pPr>
        <w:ind w:left="240" w:leftChars="100" w:firstLine="241" w:firstLineChars="100"/>
      </w:pPr>
      <w:r>
        <w:rPr>
          <w:b/>
          <w:bCs/>
        </w:rPr>
        <w:t>4</w:t>
      </w:r>
      <w:r>
        <w:t xml:space="preserve"> </w:t>
      </w:r>
      <w:r>
        <w:rPr>
          <w:rFonts w:hint="eastAsia"/>
        </w:rPr>
        <w:t>应优先采用生物与物理防治（如诱捕、生态调控、改良土壤等），减少化学农药用量；确需施药时应选用低毒低残留制剂并按说明书规范配制与喷施，设置警示与防护，不得使用国家禁限用农药或造成二次污染。病残体与施药包装应集中收集处置。</w:t>
      </w:r>
    </w:p>
    <w:p w14:paraId="7019787C">
      <w:pPr>
        <w:ind w:left="240" w:leftChars="100" w:firstLine="241" w:firstLineChars="100"/>
      </w:pPr>
      <w:r>
        <w:rPr>
          <w:rFonts w:hint="eastAsia"/>
          <w:b/>
          <w:bCs/>
        </w:rPr>
        <w:t>5</w:t>
      </w:r>
      <w:r>
        <w:t xml:space="preserve"> </w:t>
      </w:r>
      <w:r>
        <w:rPr>
          <w:rFonts w:hint="eastAsia"/>
        </w:rPr>
        <w:t>应建立定期巡查与养护台账，记录浇水、施肥、修剪、病虫害防治等；对死亡或缺株应及时补植，保证成活率与覆盖度达到设计或合同要求；必要时增设支撑、围堰保水、覆盖物保墒、防风防寒等措施。</w:t>
      </w:r>
    </w:p>
    <w:p w14:paraId="549EDA48">
      <w:pPr>
        <w:ind w:left="240" w:leftChars="100" w:firstLine="241" w:firstLineChars="100"/>
      </w:pPr>
      <w:r>
        <w:rPr>
          <w:b/>
          <w:bCs/>
        </w:rPr>
        <w:t>6</w:t>
      </w:r>
      <w:r>
        <w:t xml:space="preserve"> </w:t>
      </w:r>
      <w:r>
        <w:rPr>
          <w:rFonts w:hint="eastAsia"/>
        </w:rPr>
        <w:t>边坡与平台区域宜同步完善截排水与防冲刷措施，雨后及时巡检并修复冲沟、塌陷，防止根区积水与土壤流失。</w:t>
      </w:r>
    </w:p>
    <w:p w14:paraId="21416571">
      <w:pPr>
        <w:ind w:left="240" w:leftChars="100" w:firstLine="241" w:firstLineChars="100"/>
      </w:pPr>
      <w:r>
        <w:rPr>
          <w:b/>
          <w:bCs/>
        </w:rPr>
        <w:t>7</w:t>
      </w:r>
      <w:r>
        <w:t xml:space="preserve"> </w:t>
      </w:r>
      <w:r>
        <w:rPr>
          <w:rFonts w:hint="eastAsia"/>
        </w:rPr>
        <w:t>养护作业应落实人员防护、作业分隔与警示；不得将施药、清洗残液与固体废弃物排入水体或雨水系统；应避免对周边公众与敏感生境造成影响。</w:t>
      </w:r>
    </w:p>
    <w:p w14:paraId="4E785A14">
      <w:pPr>
        <w:ind w:firstLine="0" w:firstLineChars="0"/>
      </w:pPr>
      <w:r>
        <w:rPr>
          <w:rFonts w:hint="eastAsia"/>
        </w:rPr>
        <w:t>【条文说明】本条在“浇水施肥、修剪与病虫害防治”的基础上，补充排水保墒、巡查与补植、作业安全与环保要求，形成从养护计划—过程控制—成效维持—风险防范的闭环，确保植被成活与景观品质的稳定提升。</w:t>
      </w:r>
    </w:p>
    <w:p w14:paraId="08979311">
      <w:pPr>
        <w:pStyle w:val="30"/>
        <w:numPr>
          <w:ilvl w:val="0"/>
          <w:numId w:val="5"/>
        </w:numPr>
        <w:spacing w:before="163" w:beforeLines="50" w:after="163" w:afterLines="50"/>
        <w:ind w:firstLineChars="0"/>
        <w:jc w:val="center"/>
        <w:outlineLvl w:val="1"/>
        <w:rPr>
          <w:b/>
          <w:bCs/>
          <w:sz w:val="28"/>
          <w:szCs w:val="28"/>
        </w:rPr>
      </w:pPr>
      <w:bookmarkStart w:id="92" w:name="_Toc212057038"/>
      <w:r>
        <w:rPr>
          <w:rFonts w:hint="eastAsia"/>
          <w:b/>
          <w:bCs/>
          <w:sz w:val="28"/>
          <w:szCs w:val="28"/>
        </w:rPr>
        <w:t>地质消灾施工</w:t>
      </w:r>
      <w:bookmarkEnd w:id="92"/>
    </w:p>
    <w:p w14:paraId="39F1BB08">
      <w:pPr>
        <w:ind w:firstLine="0" w:firstLineChars="0"/>
        <w:rPr>
          <w:rFonts w:cs="Times New Roman"/>
        </w:rPr>
      </w:pPr>
      <w:r>
        <w:rPr>
          <w:rFonts w:cs="Times New Roman"/>
          <w:b/>
          <w:bCs/>
        </w:rPr>
        <w:t xml:space="preserve">7.5.1 </w:t>
      </w:r>
      <w:r>
        <w:rPr>
          <w:rFonts w:cs="Times New Roman"/>
        </w:rPr>
        <w:t xml:space="preserve"> </w:t>
      </w:r>
      <w:r>
        <w:rPr>
          <w:rFonts w:hint="eastAsia" w:cs="Times New Roman"/>
        </w:rPr>
        <w:t>深坑岩土工程治理</w:t>
      </w:r>
    </w:p>
    <w:p w14:paraId="09A1032B">
      <w:pPr>
        <w:ind w:left="240" w:leftChars="100" w:firstLine="241" w:firstLineChars="100"/>
        <w:rPr>
          <w:rFonts w:cs="Times New Roman"/>
        </w:rPr>
      </w:pPr>
      <w:r>
        <w:rPr>
          <w:rFonts w:cs="Times New Roman"/>
          <w:b/>
          <w:bCs/>
        </w:rPr>
        <w:t>1</w:t>
      </w:r>
      <w:r>
        <w:rPr>
          <w:rFonts w:cs="Times New Roman"/>
        </w:rPr>
        <w:t xml:space="preserve"> </w:t>
      </w:r>
      <w:r>
        <w:rPr>
          <w:rFonts w:hint="eastAsia" w:cs="Times New Roman"/>
        </w:rPr>
        <w:t>应结合现场调研、测绘与结构面统计（赤平投影），并采用极限平衡法等方法，识别并定位建筑范围内的崩塌体、危岩体及不稳定斜坡体，据此提出分类治理措施并落实到位。</w:t>
      </w:r>
    </w:p>
    <w:p w14:paraId="72D22C03">
      <w:pPr>
        <w:ind w:left="240" w:leftChars="100" w:firstLine="241" w:firstLineChars="100"/>
        <w:rPr>
          <w:rFonts w:cs="Times New Roman"/>
        </w:rPr>
      </w:pPr>
      <w:r>
        <w:rPr>
          <w:rFonts w:cs="Times New Roman"/>
          <w:b/>
          <w:bCs/>
        </w:rPr>
        <w:t>2</w:t>
      </w:r>
      <w:r>
        <w:rPr>
          <w:rFonts w:cs="Times New Roman"/>
        </w:rPr>
        <w:t xml:space="preserve"> </w:t>
      </w:r>
      <w:r>
        <w:rPr>
          <w:rFonts w:hint="eastAsia" w:cs="Times New Roman"/>
        </w:rPr>
        <w:t>宜综合采用严格与非严格条分法开展稳定性计算；在既有深坑监测体系指导下，提出满足施工期边坡安全的坡率法与分区限界，明确开挖分层分段、临时支护与预警阈值</w:t>
      </w:r>
      <w:r>
        <w:rPr>
          <w:rFonts w:cs="Times New Roman"/>
        </w:rPr>
        <w:t>。</w:t>
      </w:r>
    </w:p>
    <w:p w14:paraId="119F03C7">
      <w:pPr>
        <w:ind w:left="240" w:leftChars="100" w:firstLine="241" w:firstLineChars="100"/>
        <w:rPr>
          <w:rFonts w:cs="Times New Roman"/>
        </w:rPr>
      </w:pPr>
      <w:r>
        <w:rPr>
          <w:rFonts w:cs="Times New Roman"/>
          <w:b/>
          <w:bCs/>
        </w:rPr>
        <w:t>3</w:t>
      </w:r>
      <w:r>
        <w:rPr>
          <w:rFonts w:cs="Times New Roman"/>
        </w:rPr>
        <w:t xml:space="preserve"> </w:t>
      </w:r>
      <w:r>
        <w:rPr>
          <w:rFonts w:hint="eastAsia" w:cs="Times New Roman"/>
        </w:rPr>
        <w:t>宜采用极限平衡法、二维/三维静力有限元等，对高边坡在天然、加载（施工）、饱水（暴雨）、地震等工况下进行稳定性分析与安全系数校核；地震工况宜采用大型三维动力有限元对矿坑加固前后进行对比评估</w:t>
      </w:r>
      <w:r>
        <w:rPr>
          <w:rFonts w:cs="Times New Roman"/>
        </w:rPr>
        <w:t>。</w:t>
      </w:r>
    </w:p>
    <w:p w14:paraId="4E9933E4">
      <w:pPr>
        <w:ind w:left="240" w:leftChars="100" w:firstLine="241" w:firstLineChars="100"/>
        <w:rPr>
          <w:rFonts w:cs="Times New Roman"/>
        </w:rPr>
      </w:pPr>
      <w:r>
        <w:rPr>
          <w:rFonts w:cs="Times New Roman"/>
          <w:b/>
          <w:bCs/>
        </w:rPr>
        <w:t>4</w:t>
      </w:r>
      <w:r>
        <w:rPr>
          <w:rFonts w:cs="Times New Roman"/>
        </w:rPr>
        <w:t xml:space="preserve"> </w:t>
      </w:r>
      <w:r>
        <w:rPr>
          <w:rFonts w:hint="eastAsia" w:cs="Times New Roman"/>
        </w:rPr>
        <w:t>应在确定性动力分析框架下开展时程分析，采用大型动力有限元模拟边坡—基础—结构系统在地震作用下的加速度、位移、应力、应变响应，分析相互作用效应，并据此提出抗震设防参数与构造措施建议</w:t>
      </w:r>
      <w:r>
        <w:rPr>
          <w:rFonts w:cs="Times New Roman"/>
        </w:rPr>
        <w:t>。</w:t>
      </w:r>
    </w:p>
    <w:p w14:paraId="666883B9">
      <w:pPr>
        <w:ind w:left="240" w:leftChars="100" w:firstLine="241" w:firstLineChars="100"/>
        <w:rPr>
          <w:rFonts w:cs="Times New Roman"/>
        </w:rPr>
      </w:pPr>
      <w:r>
        <w:rPr>
          <w:rFonts w:cs="Times New Roman"/>
          <w:b/>
          <w:bCs/>
        </w:rPr>
        <w:t>5</w:t>
      </w:r>
      <w:r>
        <w:rPr>
          <w:rFonts w:cs="Times New Roman"/>
        </w:rPr>
        <w:t xml:space="preserve"> </w:t>
      </w:r>
      <w:r>
        <w:rPr>
          <w:rFonts w:hint="eastAsia" w:cs="Times New Roman"/>
        </w:rPr>
        <w:t>宜采用坡面喷播植草、植被（绿色）混凝土等边坡植被防护技术，统筹排水与防蚀，改善坡面稳定条件，恢复山体景观与生态功能</w:t>
      </w:r>
      <w:r>
        <w:rPr>
          <w:rFonts w:cs="Times New Roman"/>
        </w:rPr>
        <w:t>。</w:t>
      </w:r>
    </w:p>
    <w:p w14:paraId="4EEADCED">
      <w:pPr>
        <w:ind w:firstLine="0" w:firstLineChars="0"/>
        <w:rPr>
          <w:rFonts w:cs="Times New Roman"/>
        </w:rPr>
      </w:pPr>
      <w:r>
        <w:rPr>
          <w:rFonts w:hint="eastAsia" w:cs="Times New Roman"/>
        </w:rPr>
        <w:t>【条文说明】本条从“识别—计算—监测—校核—治理—生态恢复”构建深坑岩土治理的技术路径。通过赤平投影与极限平衡法识别控制性不良地质体，结合条分法与二维/三维有限元在多工况下进行稳定性校核；对地震工况引入三维动力与时程分析，评估边坡—基础—结构体系的整体响应；并以生态防护手段实现工程安全与景观生态的协同提升</w:t>
      </w:r>
      <w:r>
        <w:rPr>
          <w:rFonts w:cs="Times New Roman"/>
        </w:rPr>
        <w:t>。</w:t>
      </w:r>
    </w:p>
    <w:p w14:paraId="4F749CBA">
      <w:pPr>
        <w:ind w:firstLine="0" w:firstLineChars="0"/>
        <w:rPr>
          <w:rFonts w:cs="Times New Roman"/>
        </w:rPr>
      </w:pPr>
      <w:r>
        <w:rPr>
          <w:rFonts w:cs="Times New Roman"/>
          <w:b/>
          <w:bCs/>
        </w:rPr>
        <w:t xml:space="preserve">7.5.2  </w:t>
      </w:r>
      <w:r>
        <w:rPr>
          <w:rFonts w:hint="eastAsia" w:cs="Times New Roman"/>
        </w:rPr>
        <w:t>高边坡加固施工关键技术</w:t>
      </w:r>
    </w:p>
    <w:p w14:paraId="47AD5872">
      <w:pPr>
        <w:ind w:left="240" w:leftChars="100" w:firstLine="198" w:firstLineChars="0"/>
        <w:rPr>
          <w:rFonts w:cs="Times New Roman"/>
        </w:rPr>
      </w:pPr>
      <w:r>
        <w:rPr>
          <w:rFonts w:cs="Times New Roman"/>
          <w:b/>
          <w:bCs/>
        </w:rPr>
        <w:t>1</w:t>
      </w:r>
      <w:r>
        <w:rPr>
          <w:rFonts w:cs="Times New Roman"/>
        </w:rPr>
        <w:t xml:space="preserve"> </w:t>
      </w:r>
      <w:r>
        <w:rPr>
          <w:rFonts w:hint="eastAsia" w:cs="Times New Roman"/>
        </w:rPr>
        <w:t>对高差大、坡面较陡、出渣困难的工况，应设置若干条临时运渣道路/转运平台，实施分段、分平台、分级多次翻运；道路与平台应配套防护与截排水措施，不得自临空开挖面直接抛撒出渣。条件许可时，可结合提升设备、溜槽/溜井等方式提高转运效率，降低对边坡的扰动与风险。</w:t>
      </w:r>
    </w:p>
    <w:p w14:paraId="6026F530">
      <w:pPr>
        <w:ind w:left="240" w:leftChars="100" w:firstLine="0" w:firstLineChars="0"/>
        <w:rPr>
          <w:rFonts w:cs="Times New Roman"/>
        </w:rPr>
      </w:pPr>
      <w:r>
        <w:rPr>
          <w:rFonts w:hint="eastAsia" w:cs="Times New Roman"/>
        </w:rPr>
        <w:t>【条文说明】通过多通道、多级转运替代单线直排，减少施工对坡面的扰动，降低滑落与坠物风险，保障施工安全与效率。</w:t>
      </w:r>
    </w:p>
    <w:p w14:paraId="5199223B">
      <w:pPr>
        <w:ind w:left="240" w:leftChars="100" w:firstLine="198" w:firstLineChars="0"/>
        <w:rPr>
          <w:rFonts w:cs="Times New Roman"/>
        </w:rPr>
      </w:pPr>
      <w:r>
        <w:rPr>
          <w:rFonts w:cs="Times New Roman"/>
          <w:b/>
          <w:bCs/>
        </w:rPr>
        <w:t>2</w:t>
      </w:r>
      <w:r>
        <w:rPr>
          <w:rFonts w:cs="Times New Roman"/>
        </w:rPr>
        <w:t xml:space="preserve"> </w:t>
      </w:r>
      <w:r>
        <w:rPr>
          <w:rFonts w:hint="eastAsia" w:cs="Times New Roman"/>
        </w:rPr>
        <w:t>在堆积体、破碎带等地质较差部位，应通过套管跟进、护筒稳孔、低压成孔/分段扩孔等工艺解决造孔难、穿索难问题；宜采用止浆塞/封闭段注浆、分段回灌与压控注浆等技术降低漏浆；必要时可选用潜孔锤/跟管钻、导向管辅助穿索、润滑减阻等措施。与土建交叉作业应实行平面与时序错峰、隔离防护，并设置监测量测与信息化施工要求。</w:t>
      </w:r>
    </w:p>
    <w:p w14:paraId="7AC30B92">
      <w:pPr>
        <w:ind w:left="240" w:leftChars="100" w:firstLine="0" w:firstLineChars="0"/>
        <w:rPr>
          <w:rFonts w:cs="Times New Roman"/>
        </w:rPr>
      </w:pPr>
      <w:r>
        <w:rPr>
          <w:rFonts w:hint="eastAsia" w:cs="Times New Roman"/>
        </w:rPr>
        <w:t>【条文说明】针对风化破碎与松散介质，提出稳孔、止浆与穿索的组合工艺，确保锚固质量并与土建安全穿插</w:t>
      </w:r>
      <w:r>
        <w:rPr>
          <w:rFonts w:cs="Times New Roman"/>
        </w:rPr>
        <w:t>。</w:t>
      </w:r>
    </w:p>
    <w:p w14:paraId="019D14DA">
      <w:pPr>
        <w:ind w:left="240" w:leftChars="100" w:firstLine="198" w:firstLineChars="0"/>
        <w:rPr>
          <w:rFonts w:cs="Times New Roman"/>
        </w:rPr>
      </w:pPr>
      <w:r>
        <w:rPr>
          <w:rFonts w:cs="Times New Roman"/>
          <w:b/>
          <w:bCs/>
        </w:rPr>
        <w:t>3</w:t>
      </w:r>
      <w:r>
        <w:rPr>
          <w:rFonts w:cs="Times New Roman"/>
        </w:rPr>
        <w:t xml:space="preserve"> </w:t>
      </w:r>
      <w:r>
        <w:rPr>
          <w:rFonts w:hint="eastAsia" w:cs="Times New Roman"/>
        </w:rPr>
        <w:t>支护施工前，应对坡面松动岩块、植被和障碍物进行人工清除；对贯通性裂缝进行勾缝或灌浆处理；并应先完成坑口以上土石方开挖与坡面整修，形成安全作业面与临时截排水后再行支护，避免与下方开挖交叉作业。支护施工中宜采取分区分段封闭作业、临边防护与落石防护棚等措施。</w:t>
      </w:r>
    </w:p>
    <w:p w14:paraId="389EBC8C">
      <w:pPr>
        <w:ind w:left="240" w:leftChars="100" w:firstLine="0" w:firstLineChars="0"/>
        <w:rPr>
          <w:rFonts w:cs="Times New Roman"/>
        </w:rPr>
      </w:pPr>
      <w:r>
        <w:rPr>
          <w:rFonts w:hint="eastAsia" w:cs="Times New Roman"/>
        </w:rPr>
        <w:t>【条文说明】先治坡面后支护、先上后下的工序组织，可消除松动隐患与交叉作业风险，保证人员与设备安全</w:t>
      </w:r>
      <w:r>
        <w:rPr>
          <w:rFonts w:cs="Times New Roman"/>
        </w:rPr>
        <w:t>。</w:t>
      </w:r>
    </w:p>
    <w:p w14:paraId="1AC949F7">
      <w:pPr>
        <w:ind w:firstLine="0" w:firstLineChars="0"/>
        <w:rPr>
          <w:rFonts w:cs="Times New Roman"/>
        </w:rPr>
      </w:pPr>
      <w:r>
        <w:rPr>
          <w:rFonts w:cs="Times New Roman"/>
          <w:b/>
          <w:bCs/>
        </w:rPr>
        <w:t xml:space="preserve">7.5.3  </w:t>
      </w:r>
      <w:r>
        <w:rPr>
          <w:rFonts w:cs="Times New Roman"/>
        </w:rPr>
        <w:t>袖阀管高压旋喷桩加固旋挖桩成孔施工技术</w:t>
      </w:r>
    </w:p>
    <w:p w14:paraId="65E9DE1A">
      <w:pPr>
        <w:ind w:left="240" w:leftChars="100" w:firstLine="241" w:firstLineChars="100"/>
        <w:rPr>
          <w:rFonts w:cs="Times New Roman"/>
        </w:rPr>
      </w:pPr>
      <w:r>
        <w:rPr>
          <w:rFonts w:cs="Times New Roman"/>
          <w:b/>
          <w:bCs/>
        </w:rPr>
        <w:t>1</w:t>
      </w:r>
      <w:r>
        <w:rPr>
          <w:rFonts w:cs="Times New Roman"/>
        </w:rPr>
        <w:t xml:space="preserve"> </w:t>
      </w:r>
      <w:r>
        <w:rPr>
          <w:rFonts w:hint="eastAsia" w:cs="Times New Roman"/>
        </w:rPr>
        <w:t>工程所用水泥、外加剂、钢材、管路与橡胶件等应加强抽检试验并符合设计及现行标准要求，不得使用不合格材料进场与投入使用</w:t>
      </w:r>
      <w:r>
        <w:rPr>
          <w:rFonts w:cs="Times New Roman"/>
        </w:rPr>
        <w:t>。</w:t>
      </w:r>
    </w:p>
    <w:p w14:paraId="57FA78D7">
      <w:pPr>
        <w:ind w:firstLineChars="0"/>
        <w:rPr>
          <w:rFonts w:cs="Times New Roman"/>
        </w:rPr>
      </w:pPr>
      <w:r>
        <w:rPr>
          <w:rFonts w:hint="eastAsia" w:cs="Times New Roman"/>
        </w:rPr>
        <w:t>【条文说明】原材料质量直接关系桩体与注浆系统性能，需严控源头质量风险</w:t>
      </w:r>
      <w:r>
        <w:rPr>
          <w:rFonts w:cs="Times New Roman"/>
        </w:rPr>
        <w:t>。</w:t>
      </w:r>
    </w:p>
    <w:p w14:paraId="3EFAB170">
      <w:pPr>
        <w:ind w:left="240" w:leftChars="100" w:firstLine="241" w:firstLineChars="100"/>
        <w:rPr>
          <w:rFonts w:cs="Times New Roman"/>
        </w:rPr>
      </w:pPr>
      <w:r>
        <w:rPr>
          <w:rFonts w:cs="Times New Roman"/>
          <w:b/>
          <w:bCs/>
        </w:rPr>
        <w:t>2</w:t>
      </w:r>
      <w:r>
        <w:rPr>
          <w:rFonts w:hint="eastAsia" w:cs="Times New Roman"/>
        </w:rPr>
        <w:t xml:space="preserve"> 水泥浆液应严格按设计配合比计量拌制；为防止灰浆离析，放浆前应再次搅拌后方可倒入存浆桶，并保持必要的缓慢循环搅拌或定时复搅。</w:t>
      </w:r>
    </w:p>
    <w:p w14:paraId="3275EDA8">
      <w:pPr>
        <w:ind w:firstLineChars="0"/>
        <w:rPr>
          <w:rFonts w:cs="Times New Roman"/>
        </w:rPr>
      </w:pPr>
      <w:r>
        <w:rPr>
          <w:rFonts w:hint="eastAsia" w:cs="Times New Roman"/>
        </w:rPr>
        <w:t>【条文说明】保证浆液均匀性与稳定性，提升注浆质量与可灌性</w:t>
      </w:r>
      <w:r>
        <w:rPr>
          <w:rFonts w:cs="Times New Roman"/>
        </w:rPr>
        <w:t>。</w:t>
      </w:r>
    </w:p>
    <w:p w14:paraId="712B02F2">
      <w:pPr>
        <w:ind w:left="240" w:leftChars="100" w:firstLine="241" w:firstLineChars="100"/>
        <w:rPr>
          <w:rFonts w:cs="Times New Roman"/>
        </w:rPr>
      </w:pPr>
      <w:r>
        <w:rPr>
          <w:rFonts w:cs="Times New Roman"/>
          <w:b/>
          <w:bCs/>
        </w:rPr>
        <w:t>3</w:t>
      </w:r>
      <w:r>
        <w:rPr>
          <w:rFonts w:cs="Times New Roman"/>
        </w:rPr>
        <w:t xml:space="preserve"> </w:t>
      </w:r>
      <w:r>
        <w:rPr>
          <w:rFonts w:hint="eastAsia" w:cs="Times New Roman"/>
        </w:rPr>
        <w:t>注浆过程中应随时监测泵压与流量等关键参数并记录台账；出现异常应立即查明原因，必要时可采取间歇注浆等措施以实现分段有效注入并达到设计目的。</w:t>
      </w:r>
    </w:p>
    <w:p w14:paraId="1A1CF19B">
      <w:pPr>
        <w:ind w:firstLineChars="0"/>
        <w:rPr>
          <w:rFonts w:cs="Times New Roman"/>
        </w:rPr>
      </w:pPr>
      <w:r>
        <w:rPr>
          <w:rFonts w:hint="eastAsia" w:cs="Times New Roman"/>
        </w:rPr>
        <w:t>【条文说明】泵压—流量响应是判别注入效果与地层吸浆性的直观指标，需全过程监控</w:t>
      </w:r>
      <w:r>
        <w:rPr>
          <w:rFonts w:cs="Times New Roman"/>
        </w:rPr>
        <w:t>。</w:t>
      </w:r>
    </w:p>
    <w:p w14:paraId="636D8C2A">
      <w:pPr>
        <w:ind w:left="240" w:leftChars="100" w:firstLine="241" w:firstLineChars="100"/>
        <w:rPr>
          <w:rFonts w:cs="Times New Roman"/>
        </w:rPr>
      </w:pPr>
      <w:r>
        <w:rPr>
          <w:rFonts w:cs="Times New Roman"/>
          <w:b/>
          <w:bCs/>
        </w:rPr>
        <w:t>4</w:t>
      </w:r>
      <w:r>
        <w:rPr>
          <w:rFonts w:cs="Times New Roman"/>
        </w:rPr>
        <w:t xml:space="preserve"> </w:t>
      </w:r>
      <w:r>
        <w:rPr>
          <w:rFonts w:hint="eastAsia" w:cs="Times New Roman"/>
        </w:rPr>
        <w:t>旋喷桩压浆阶段不得发生断浆，输浆管路不得堵塞；应确保全桩注浆均匀，不得出现夹心层等质量缺陷。</w:t>
      </w:r>
    </w:p>
    <w:p w14:paraId="7CA724AF">
      <w:pPr>
        <w:ind w:firstLineChars="0"/>
        <w:rPr>
          <w:rFonts w:cs="Times New Roman"/>
        </w:rPr>
      </w:pPr>
      <w:r>
        <w:rPr>
          <w:rFonts w:hint="eastAsia" w:cs="Times New Roman"/>
        </w:rPr>
        <w:t>【条文说明】保障喷射连续性与充盈度，防止桩体离析与薄弱夹层</w:t>
      </w:r>
      <w:r>
        <w:rPr>
          <w:rFonts w:cs="Times New Roman"/>
        </w:rPr>
        <w:t>。</w:t>
      </w:r>
    </w:p>
    <w:p w14:paraId="5F835B73">
      <w:pPr>
        <w:ind w:left="240" w:leftChars="100" w:firstLine="241" w:firstLineChars="100"/>
        <w:rPr>
          <w:rFonts w:cs="Times New Roman"/>
        </w:rPr>
      </w:pPr>
      <w:r>
        <w:rPr>
          <w:rFonts w:cs="Times New Roman"/>
          <w:b/>
          <w:bCs/>
        </w:rPr>
        <w:t>5</w:t>
      </w:r>
      <w:r>
        <w:rPr>
          <w:rFonts w:cs="Times New Roman"/>
        </w:rPr>
        <w:t xml:space="preserve"> </w:t>
      </w:r>
      <w:r>
        <w:rPr>
          <w:rFonts w:hint="eastAsia" w:cs="Times New Roman"/>
        </w:rPr>
        <w:t>旋挖桩成孔后应使用专用清孔钻头清孔，清孔质量应满足设计与相关规范要求。</w:t>
      </w:r>
    </w:p>
    <w:p w14:paraId="33375053">
      <w:pPr>
        <w:ind w:firstLine="199" w:firstLineChars="83"/>
        <w:rPr>
          <w:rFonts w:cs="Times New Roman"/>
        </w:rPr>
      </w:pPr>
      <w:r>
        <w:rPr>
          <w:rFonts w:hint="eastAsia" w:cs="Times New Roman"/>
        </w:rPr>
        <w:t>【条文说明】清孔到位是确保桩端/桩侧结合质量与承载性能的前提。</w:t>
      </w:r>
    </w:p>
    <w:p w14:paraId="6C1158A4">
      <w:pPr>
        <w:ind w:left="240" w:leftChars="100" w:firstLine="241" w:firstLineChars="100"/>
        <w:rPr>
          <w:rFonts w:cs="Times New Roman"/>
        </w:rPr>
      </w:pPr>
      <w:r>
        <w:rPr>
          <w:rFonts w:cs="Times New Roman"/>
          <w:b/>
          <w:bCs/>
        </w:rPr>
        <w:t>6</w:t>
      </w:r>
      <w:r>
        <w:rPr>
          <w:rFonts w:cs="Times New Roman"/>
        </w:rPr>
        <w:t xml:space="preserve"> </w:t>
      </w:r>
      <w:r>
        <w:rPr>
          <w:rFonts w:hint="eastAsia" w:cs="Times New Roman"/>
        </w:rPr>
        <w:t>钻机就位后应进行水平与垂直校正，钻机中心与桩位应一致，并确保桩垂直度满足设计与规范要求。</w:t>
      </w:r>
    </w:p>
    <w:p w14:paraId="70827945">
      <w:pPr>
        <w:tabs>
          <w:tab w:val="left" w:pos="2880"/>
        </w:tabs>
        <w:ind w:firstLineChars="0"/>
        <w:rPr>
          <w:rFonts w:cs="Times New Roman"/>
        </w:rPr>
      </w:pPr>
      <w:r>
        <w:rPr>
          <w:rFonts w:hint="eastAsia" w:cs="Times New Roman"/>
        </w:rPr>
        <w:t>【条文说明】设备姿态直接影响成孔偏斜与桩体成型质量</w:t>
      </w:r>
      <w:r>
        <w:rPr>
          <w:rFonts w:cs="Times New Roman"/>
        </w:rPr>
        <w:t>。</w:t>
      </w:r>
    </w:p>
    <w:p w14:paraId="58734945">
      <w:pPr>
        <w:ind w:left="240" w:leftChars="100" w:firstLine="241" w:firstLineChars="100"/>
        <w:rPr>
          <w:rFonts w:cs="Times New Roman"/>
        </w:rPr>
      </w:pPr>
      <w:r>
        <w:rPr>
          <w:rFonts w:cs="Times New Roman"/>
          <w:b/>
          <w:bCs/>
        </w:rPr>
        <w:t>7</w:t>
      </w:r>
      <w:r>
        <w:rPr>
          <w:rFonts w:cs="Times New Roman"/>
        </w:rPr>
        <w:t xml:space="preserve"> </w:t>
      </w:r>
      <w:r>
        <w:rPr>
          <w:rFonts w:hint="eastAsia" w:cs="Times New Roman"/>
        </w:rPr>
        <w:t>捞渣并验收合格后，应及时安装钢筋笼并灌注混凝土，尽量缩短施工间歇；成孔后待灌时间不应超过3 h，以防孔壁坍塌、渣土坠落致桩底不洁。</w:t>
      </w:r>
    </w:p>
    <w:p w14:paraId="59CEC9FC">
      <w:pPr>
        <w:ind w:firstLineChars="0"/>
        <w:rPr>
          <w:rFonts w:cs="Times New Roman"/>
        </w:rPr>
      </w:pPr>
      <w:r>
        <w:rPr>
          <w:rFonts w:hint="eastAsia" w:cs="Times New Roman"/>
        </w:rPr>
        <w:t>【条文说明】控制待灌时长，降低孔壁失稳与沉渣再生风险</w:t>
      </w:r>
      <w:r>
        <w:rPr>
          <w:rFonts w:cs="Times New Roman"/>
        </w:rPr>
        <w:t>。</w:t>
      </w:r>
    </w:p>
    <w:p w14:paraId="6D27B44B">
      <w:pPr>
        <w:ind w:left="240" w:leftChars="100" w:firstLine="241" w:firstLineChars="100"/>
        <w:rPr>
          <w:rFonts w:cs="Times New Roman"/>
        </w:rPr>
      </w:pPr>
      <w:r>
        <w:rPr>
          <w:rFonts w:cs="Times New Roman"/>
          <w:b/>
          <w:bCs/>
        </w:rPr>
        <w:t>8</w:t>
      </w:r>
      <w:r>
        <w:rPr>
          <w:rFonts w:cs="Times New Roman"/>
        </w:rPr>
        <w:t xml:space="preserve"> </w:t>
      </w:r>
      <w:r>
        <w:rPr>
          <w:rFonts w:hint="eastAsia" w:cs="Times New Roman"/>
        </w:rPr>
        <w:t>钢筋笼吊装应对准孔位、垂直缓慢下放，避免碰撞孔壁引发坍落；成孔后应缩短下钢筋笼与导管的时间，防止孔底沉渣沉淀过多。</w:t>
      </w:r>
    </w:p>
    <w:p w14:paraId="273C82BB">
      <w:pPr>
        <w:ind w:firstLineChars="0"/>
        <w:rPr>
          <w:rFonts w:cs="Times New Roman"/>
        </w:rPr>
      </w:pPr>
      <w:r>
        <w:rPr>
          <w:rFonts w:hint="eastAsia" w:cs="Times New Roman"/>
        </w:rPr>
        <w:t>【条文说明】规范下笼工序与节奏，保证桩底洁净与混凝土灌注质量</w:t>
      </w:r>
      <w:r>
        <w:rPr>
          <w:rFonts w:cs="Times New Roman"/>
        </w:rPr>
        <w:t>。</w:t>
      </w:r>
    </w:p>
    <w:p w14:paraId="576FFF8C">
      <w:pPr>
        <w:ind w:firstLine="0" w:firstLineChars="0"/>
        <w:rPr>
          <w:rFonts w:cs="Times New Roman"/>
        </w:rPr>
      </w:pPr>
      <w:r>
        <w:rPr>
          <w:rFonts w:cs="Times New Roman"/>
          <w:b/>
          <w:bCs/>
        </w:rPr>
        <w:t>7.5.4</w:t>
      </w:r>
      <w:r>
        <w:rPr>
          <w:rFonts w:cs="Times New Roman"/>
        </w:rPr>
        <w:t xml:space="preserve">  </w:t>
      </w:r>
      <w:r>
        <w:rPr>
          <w:rFonts w:hint="eastAsia" w:cs="Times New Roman"/>
        </w:rPr>
        <w:t>锚杆、锚索施工</w:t>
      </w:r>
    </w:p>
    <w:p w14:paraId="7EAB7FDD">
      <w:pPr>
        <w:ind w:left="240" w:leftChars="100" w:firstLine="241" w:firstLineChars="100"/>
        <w:rPr>
          <w:rFonts w:cs="Times New Roman"/>
        </w:rPr>
      </w:pPr>
      <w:r>
        <w:rPr>
          <w:rFonts w:cs="Times New Roman"/>
          <w:b/>
          <w:bCs/>
        </w:rPr>
        <w:t>1</w:t>
      </w:r>
      <w:r>
        <w:rPr>
          <w:rFonts w:cs="Times New Roman"/>
        </w:rPr>
        <w:t xml:space="preserve"> </w:t>
      </w:r>
      <w:r>
        <w:rPr>
          <w:rFonts w:hint="eastAsia" w:cs="Times New Roman"/>
        </w:rPr>
        <w:t>锚杆（索）材料应符合设计与现行标准要求。孔位偏差应小于 50 mm，孔深偏差应小于 50 mm，钻孔方向偏差应小于 2°。锚杆插入孔内长度不应小于设计长度的 95%，外露长度应满足设计要求。</w:t>
      </w:r>
    </w:p>
    <w:p w14:paraId="1455319B">
      <w:pPr>
        <w:ind w:left="240" w:leftChars="100" w:firstLine="241" w:firstLineChars="100"/>
        <w:rPr>
          <w:rFonts w:cs="Times New Roman"/>
        </w:rPr>
      </w:pPr>
      <w:r>
        <w:rPr>
          <w:rFonts w:hint="eastAsia" w:cs="Times New Roman"/>
          <w:b/>
          <w:bCs/>
        </w:rPr>
        <w:t>2</w:t>
      </w:r>
      <w:r>
        <w:rPr>
          <w:rFonts w:cs="Times New Roman"/>
        </w:rPr>
        <w:t xml:space="preserve"> </w:t>
      </w:r>
      <w:r>
        <w:rPr>
          <w:rFonts w:hint="eastAsia" w:cs="Times New Roman"/>
        </w:rPr>
        <w:t>锚杆注浆应采用孔底注浆法，注浆压力应符合设计要求且不应小于 0.6 MPa。注浆材料宜采用水泥浆或水泥砂浆；水灰比宜为 0.4～0.5，灰砂比宜为 1:1～1:1.5（重量比）。注浆过程应连续均匀、饱满充盈，并做好压力与用量记录。</w:t>
      </w:r>
    </w:p>
    <w:p w14:paraId="0D022282">
      <w:pPr>
        <w:ind w:left="240" w:leftChars="100" w:firstLine="241" w:firstLineChars="100"/>
        <w:rPr>
          <w:rFonts w:cs="Times New Roman"/>
        </w:rPr>
      </w:pPr>
      <w:r>
        <w:rPr>
          <w:rFonts w:cs="Times New Roman"/>
          <w:b/>
          <w:bCs/>
        </w:rPr>
        <w:t xml:space="preserve">3 </w:t>
      </w:r>
      <w:r>
        <w:rPr>
          <w:rFonts w:hint="eastAsia" w:cs="Times New Roman"/>
        </w:rPr>
        <w:t>成孔后宜清孔至设计要求；对渗漏显著部位宜分段加密注浆或二次补浆；对关键工序宜实施旁站与复检。</w:t>
      </w:r>
    </w:p>
    <w:p w14:paraId="79D85522">
      <w:pPr>
        <w:ind w:firstLine="0" w:firstLineChars="0"/>
        <w:rPr>
          <w:rFonts w:cs="Times New Roman"/>
        </w:rPr>
      </w:pPr>
      <w:r>
        <w:rPr>
          <w:rFonts w:hint="eastAsia" w:cs="Times New Roman"/>
        </w:rPr>
        <w:t>【条文说明】本条明确锚孔几何允许偏差与孔底注浆关键参数，确保锚固有效长度与注浆密实度，提升受力可靠性。</w:t>
      </w:r>
    </w:p>
    <w:p w14:paraId="235CC593">
      <w:pPr>
        <w:ind w:firstLine="0" w:firstLineChars="0"/>
        <w:rPr>
          <w:rFonts w:cs="Times New Roman"/>
        </w:rPr>
      </w:pPr>
      <w:r>
        <w:rPr>
          <w:rFonts w:cs="Times New Roman"/>
          <w:b/>
          <w:bCs/>
        </w:rPr>
        <w:t>7.5.5</w:t>
      </w:r>
      <w:r>
        <w:rPr>
          <w:rFonts w:cs="Times New Roman"/>
        </w:rPr>
        <w:t xml:space="preserve">  </w:t>
      </w:r>
      <w:r>
        <w:rPr>
          <w:rFonts w:hint="eastAsia" w:cs="Times New Roman"/>
        </w:rPr>
        <w:t>抗滑桩施工</w:t>
      </w:r>
    </w:p>
    <w:p w14:paraId="39147012">
      <w:pPr>
        <w:ind w:left="240" w:leftChars="100" w:firstLine="241" w:firstLineChars="100"/>
        <w:rPr>
          <w:rFonts w:cs="Times New Roman"/>
        </w:rPr>
      </w:pPr>
      <w:r>
        <w:rPr>
          <w:rFonts w:hint="eastAsia" w:cs="Times New Roman"/>
          <w:b/>
          <w:bCs/>
        </w:rPr>
        <w:t>1</w:t>
      </w:r>
      <w:r>
        <w:rPr>
          <w:rFonts w:cs="Times New Roman"/>
        </w:rPr>
        <w:t xml:space="preserve"> </w:t>
      </w:r>
      <w:r>
        <w:rPr>
          <w:rFonts w:hint="eastAsia" w:cs="Times New Roman"/>
        </w:rPr>
        <w:t>抗滑桩桩位偏差应小于 50 mm，桩身垂直度偏差应小于 0.5%。桩身混凝土应一次连续浇筑完成，浇筑过程中应防止离析，不得擅自留置施工缝。</w:t>
      </w:r>
    </w:p>
    <w:p w14:paraId="601C29F2">
      <w:pPr>
        <w:ind w:left="240" w:leftChars="100" w:firstLine="241" w:firstLineChars="100"/>
        <w:rPr>
          <w:rFonts w:cs="Times New Roman"/>
        </w:rPr>
      </w:pPr>
      <w:r>
        <w:rPr>
          <w:rFonts w:cs="Times New Roman"/>
          <w:b/>
          <w:bCs/>
        </w:rPr>
        <w:t>2</w:t>
      </w:r>
      <w:r>
        <w:rPr>
          <w:rFonts w:cs="Times New Roman"/>
        </w:rPr>
        <w:t xml:space="preserve"> </w:t>
      </w:r>
      <w:r>
        <w:rPr>
          <w:rFonts w:hint="eastAsia" w:cs="Times New Roman"/>
        </w:rPr>
        <w:t>钢筋笼制作允许偏差应符合相关规定；主筋间距偏差应小于 ±10 mm，箍筋间距偏差应小于 ±20 mm，保护层厚度偏差应小于 ±10 mm。钢筋笼吊装应对中、垂直、稳放，并采取定位与支撑措施，确保笼位与保护层。</w:t>
      </w:r>
    </w:p>
    <w:p w14:paraId="50A4AD99">
      <w:pPr>
        <w:ind w:left="240" w:leftChars="100" w:firstLine="241" w:firstLineChars="100"/>
        <w:rPr>
          <w:rFonts w:cs="Times New Roman"/>
        </w:rPr>
      </w:pPr>
      <w:r>
        <w:rPr>
          <w:rFonts w:cs="Times New Roman"/>
          <w:b/>
          <w:bCs/>
        </w:rPr>
        <w:t xml:space="preserve">3 </w:t>
      </w:r>
      <w:r>
        <w:rPr>
          <w:rFonts w:hint="eastAsia" w:cs="Times New Roman"/>
        </w:rPr>
        <w:t>灌注前宜复核孔径、孔深、孔底沉渣与孔壁稳定；灌注过程中宜采用导管法连续浇筑并实时记录坍落度、方量与时间；桩顶宜按设计超灌并及时成型处理。</w:t>
      </w:r>
    </w:p>
    <w:p w14:paraId="4B91AA4D">
      <w:pPr>
        <w:ind w:firstLine="0" w:firstLineChars="0"/>
        <w:rPr>
          <w:rFonts w:cs="Times New Roman"/>
        </w:rPr>
      </w:pPr>
      <w:r>
        <w:rPr>
          <w:rFonts w:hint="eastAsia" w:cs="Times New Roman"/>
        </w:rPr>
        <w:t>【条文说明】本条以定位、垂直度与钢筋笼偏差为核心控制点，强调连续灌注和防离析，确保桩身完整性与受力性能。</w:t>
      </w:r>
    </w:p>
    <w:p w14:paraId="338206BA">
      <w:pPr>
        <w:ind w:firstLine="0" w:firstLineChars="0"/>
        <w:rPr>
          <w:rFonts w:cs="Times New Roman"/>
        </w:rPr>
      </w:pPr>
      <w:r>
        <w:rPr>
          <w:rFonts w:cs="Times New Roman"/>
          <w:b/>
          <w:bCs/>
        </w:rPr>
        <w:t>7.5.6</w:t>
      </w:r>
      <w:r>
        <w:rPr>
          <w:rFonts w:cs="Times New Roman"/>
        </w:rPr>
        <w:t xml:space="preserve">  </w:t>
      </w:r>
      <w:r>
        <w:rPr>
          <w:rFonts w:hint="eastAsia" w:cs="Times New Roman"/>
        </w:rPr>
        <w:t>挡土墙施工</w:t>
      </w:r>
    </w:p>
    <w:p w14:paraId="44257CD9">
      <w:pPr>
        <w:ind w:firstLine="482"/>
        <w:rPr>
          <w:rFonts w:cs="Times New Roman"/>
        </w:rPr>
      </w:pPr>
      <w:r>
        <w:rPr>
          <w:rFonts w:cs="Times New Roman"/>
          <w:b/>
          <w:bCs/>
        </w:rPr>
        <w:t>1</w:t>
      </w:r>
      <w:r>
        <w:rPr>
          <w:rFonts w:cs="Times New Roman"/>
        </w:rPr>
        <w:t xml:space="preserve"> </w:t>
      </w:r>
      <w:r>
        <w:rPr>
          <w:rFonts w:hint="eastAsia" w:cs="Times New Roman"/>
        </w:rPr>
        <w:t>挡土墙基础应埋置于稳定地基上，基底承载力应满足设计要求；软弱或扰动土层应按设计处理后方可施工。</w:t>
      </w:r>
    </w:p>
    <w:p w14:paraId="58DB1A94">
      <w:pPr>
        <w:ind w:firstLine="482"/>
        <w:rPr>
          <w:rFonts w:cs="Times New Roman"/>
        </w:rPr>
      </w:pPr>
      <w:r>
        <w:rPr>
          <w:rFonts w:cs="Times New Roman"/>
          <w:b/>
          <w:bCs/>
        </w:rPr>
        <w:t>2</w:t>
      </w:r>
      <w:r>
        <w:rPr>
          <w:rFonts w:cs="Times New Roman"/>
        </w:rPr>
        <w:t xml:space="preserve"> </w:t>
      </w:r>
      <w:r>
        <w:rPr>
          <w:rFonts w:hint="eastAsia" w:cs="Times New Roman"/>
        </w:rPr>
        <w:t>墙身应砌筑（或浇筑）牢固，砂浆饱满，灰缝厚度均匀并满足设计与规范要求；结构构造（如拉结、伸缩缝、沉降缝）应按设计设置。</w:t>
      </w:r>
    </w:p>
    <w:p w14:paraId="6D996C81">
      <w:pPr>
        <w:ind w:firstLine="482"/>
        <w:rPr>
          <w:rFonts w:cs="Times New Roman"/>
        </w:rPr>
      </w:pPr>
      <w:r>
        <w:rPr>
          <w:rFonts w:hint="eastAsia" w:cs="Times New Roman"/>
          <w:b/>
          <w:bCs/>
        </w:rPr>
        <w:t>3</w:t>
      </w:r>
      <w:r>
        <w:rPr>
          <w:rFonts w:cs="Times New Roman"/>
        </w:rPr>
        <w:t xml:space="preserve"> </w:t>
      </w:r>
      <w:r>
        <w:rPr>
          <w:rFonts w:hint="eastAsia" w:cs="Times New Roman"/>
        </w:rPr>
        <w:t>墙背回填应分层夯实，压实度应符合设计要求；回填料级配与含水量应满足设计与施工规范，施工中应避免对墙体产生不利侧向荷载冲击。</w:t>
      </w:r>
    </w:p>
    <w:p w14:paraId="2766A27D">
      <w:pPr>
        <w:ind w:firstLine="482"/>
        <w:rPr>
          <w:rFonts w:cs="Times New Roman"/>
        </w:rPr>
      </w:pPr>
      <w:r>
        <w:rPr>
          <w:rFonts w:cs="Times New Roman"/>
          <w:b/>
          <w:bCs/>
        </w:rPr>
        <w:t>4</w:t>
      </w:r>
      <w:r>
        <w:rPr>
          <w:rFonts w:cs="Times New Roman"/>
        </w:rPr>
        <w:t xml:space="preserve"> </w:t>
      </w:r>
      <w:r>
        <w:rPr>
          <w:rFonts w:hint="eastAsia" w:cs="Times New Roman"/>
        </w:rPr>
        <w:t>墙背宜设置反滤层与泄水孔/渗沟，同步完善截排水，防止静水压力聚集与渗流淘刷；在降雨季节宜实施分段回填与临时排水措施。</w:t>
      </w:r>
    </w:p>
    <w:p w14:paraId="06568416">
      <w:pPr>
        <w:ind w:firstLine="0" w:firstLineChars="0"/>
        <w:rPr>
          <w:rFonts w:cs="Times New Roman"/>
        </w:rPr>
      </w:pPr>
      <w:r>
        <w:rPr>
          <w:rFonts w:hint="eastAsia" w:cs="Times New Roman"/>
        </w:rPr>
        <w:t>【条文说明】本条强调“稳定地基—合格砌筑—分层夯实—有效排水”的成套控制，降低渗流与侧压力对墙体的不利影响，保证长期稳定。</w:t>
      </w:r>
    </w:p>
    <w:p w14:paraId="6A841F9D">
      <w:pPr>
        <w:ind w:firstLine="0" w:firstLineChars="0"/>
        <w:rPr>
          <w:rFonts w:cs="Times New Roman"/>
        </w:rPr>
      </w:pPr>
      <w:r>
        <w:rPr>
          <w:rFonts w:cs="Times New Roman"/>
          <w:b/>
          <w:bCs/>
          <w:lang w:bidi="ar"/>
        </w:rPr>
        <w:t xml:space="preserve">7.5.7  </w:t>
      </w:r>
      <w:r>
        <w:rPr>
          <w:rFonts w:hint="eastAsia" w:cs="Times New Roman"/>
          <w:lang w:bidi="ar"/>
        </w:rPr>
        <w:t>喷射混凝土施工</w:t>
      </w:r>
    </w:p>
    <w:p w14:paraId="69BDAC1D">
      <w:pPr>
        <w:ind w:left="240" w:leftChars="100" w:firstLine="241" w:firstLineChars="100"/>
        <w:rPr>
          <w:rFonts w:cs="Times New Roman"/>
        </w:rPr>
      </w:pPr>
      <w:r>
        <w:rPr>
          <w:rFonts w:cs="Times New Roman"/>
          <w:b/>
          <w:bCs/>
          <w:lang w:bidi="ar"/>
        </w:rPr>
        <w:t xml:space="preserve">1 </w:t>
      </w:r>
      <w:r>
        <w:rPr>
          <w:rFonts w:hint="eastAsia" w:cs="Times New Roman"/>
          <w:lang w:bidi="ar"/>
        </w:rPr>
        <w:t>喷射混凝土的设计强度等级不应低于 C20；用于特殊条件（如受力要求高、环境侵蚀性强、冻融显著等）的工程支护，设计强度等级宜不低于 C25。</w:t>
      </w:r>
    </w:p>
    <w:p w14:paraId="2C80CBD3">
      <w:pPr>
        <w:ind w:left="240" w:leftChars="100" w:firstLine="241" w:firstLineChars="100"/>
        <w:rPr>
          <w:rFonts w:cs="Times New Roman"/>
        </w:rPr>
      </w:pPr>
      <w:r>
        <w:rPr>
          <w:rFonts w:cs="Times New Roman"/>
          <w:b/>
          <w:bCs/>
          <w:lang w:bidi="ar"/>
        </w:rPr>
        <w:t xml:space="preserve">2 </w:t>
      </w:r>
      <w:r>
        <w:rPr>
          <w:rFonts w:hint="eastAsia" w:cs="Times New Roman"/>
          <w:lang w:bidi="ar"/>
        </w:rPr>
        <w:t>基坑、边坡喷射混凝土支护宜采用干拌喷射法施工；当需长距离泵送、连续大体量作业或对回弹率控制要求较高时，可采用湿喷法，并按设计与产品说明合理选用速凝剂及其掺量。</w:t>
      </w:r>
    </w:p>
    <w:p w14:paraId="14257ED9">
      <w:pPr>
        <w:ind w:left="240" w:leftChars="100" w:firstLine="241" w:firstLineChars="100"/>
      </w:pPr>
      <w:r>
        <w:rPr>
          <w:rFonts w:cs="Times New Roman"/>
          <w:b/>
          <w:bCs/>
          <w:lang w:bidi="ar"/>
        </w:rPr>
        <w:t xml:space="preserve">3 </w:t>
      </w:r>
      <w:r>
        <w:rPr>
          <w:rFonts w:hint="eastAsia" w:cs="Times New Roman"/>
          <w:lang w:bidi="ar"/>
        </w:rPr>
        <w:t>喷射混凝土的材料、配合比、施工工艺、质量检验与安全要求应满足《建筑边坡工程技术规范》</w:t>
      </w:r>
      <w:r>
        <w:rPr>
          <w:rFonts w:cs="Times New Roman"/>
          <w:lang w:bidi="ar"/>
        </w:rPr>
        <w:t>GB50330</w:t>
      </w:r>
      <w:r>
        <w:rPr>
          <w:rFonts w:hint="eastAsia" w:cs="Times New Roman"/>
          <w:lang w:bidi="ar"/>
        </w:rPr>
        <w:t>、《岩土锚固与喷射混凝土支护工程技术规范》</w:t>
      </w:r>
      <w:r>
        <w:rPr>
          <w:rFonts w:cs="Times New Roman"/>
          <w:lang w:bidi="ar"/>
        </w:rPr>
        <w:t>GB 50086</w:t>
      </w:r>
      <w:r>
        <w:rPr>
          <w:rFonts w:hint="eastAsia" w:cs="Times New Roman"/>
          <w:lang w:bidi="ar"/>
        </w:rPr>
        <w:t>等有关规定。</w:t>
      </w:r>
    </w:p>
    <w:p w14:paraId="0B52E548">
      <w:pPr>
        <w:ind w:firstLine="0" w:firstLineChars="0"/>
        <w:rPr>
          <w:rFonts w:ascii="宋体" w:hAnsi="宋体" w:cs="宋体"/>
        </w:rPr>
      </w:pPr>
      <w:r>
        <w:rPr>
          <w:rFonts w:hint="eastAsia" w:cs="Times New Roman"/>
        </w:rPr>
        <w:t>【条文说明】本条明确喷射混凝土的最低强度等级与适用工艺选择，要求严格遵循 GB 50330、GB 50086 等现行规范。通过对基面处理、分层喷射、质量与养护控制等关键环节的提示，保证喷层致密度与整体性，满足支护安全与耐久性要求。</w:t>
      </w:r>
    </w:p>
    <w:p w14:paraId="6475EB16">
      <w:pPr>
        <w:ind w:firstLine="0" w:firstLineChars="0"/>
        <w:rPr>
          <w:rFonts w:cs="Times New Roman"/>
        </w:rPr>
      </w:pPr>
      <w:r>
        <w:rPr>
          <w:rFonts w:cs="Times New Roman"/>
          <w:b/>
          <w:bCs/>
          <w:lang w:bidi="ar"/>
        </w:rPr>
        <w:t xml:space="preserve">7.5.8  </w:t>
      </w:r>
      <w:r>
        <w:rPr>
          <w:rFonts w:hint="eastAsia" w:cs="Times New Roman"/>
          <w:lang w:bidi="ar"/>
        </w:rPr>
        <w:t>柔性防护网施工</w:t>
      </w:r>
    </w:p>
    <w:p w14:paraId="1AC89A1D">
      <w:pPr>
        <w:ind w:left="240" w:leftChars="100" w:firstLine="241" w:firstLineChars="100"/>
        <w:rPr>
          <w:rFonts w:cs="Times New Roman"/>
        </w:rPr>
      </w:pPr>
      <w:r>
        <w:rPr>
          <w:rFonts w:cs="Times New Roman"/>
          <w:b/>
          <w:bCs/>
          <w:lang w:bidi="ar"/>
        </w:rPr>
        <w:t xml:space="preserve">1 </w:t>
      </w:r>
      <w:r>
        <w:rPr>
          <w:rFonts w:hint="eastAsia" w:cs="Times New Roman"/>
          <w:lang w:bidi="ar"/>
        </w:rPr>
        <w:t>以金属柔性网为主要构件，按覆盖、拦截、引导等作用形式构成的落石防护结构系统，包括：主动防护网、被动防护网、引导防护网。</w:t>
      </w:r>
    </w:p>
    <w:p w14:paraId="1CCD0C53">
      <w:pPr>
        <w:ind w:left="240" w:leftChars="100" w:firstLine="241" w:firstLineChars="100"/>
        <w:rPr>
          <w:rFonts w:cs="Times New Roman"/>
        </w:rPr>
      </w:pPr>
      <w:r>
        <w:rPr>
          <w:rFonts w:cs="Times New Roman"/>
          <w:b/>
          <w:bCs/>
          <w:lang w:bidi="ar"/>
        </w:rPr>
        <w:t xml:space="preserve">2 </w:t>
      </w:r>
      <w:r>
        <w:rPr>
          <w:rFonts w:hint="eastAsia" w:cs="Times New Roman"/>
          <w:lang w:bidi="ar"/>
        </w:rPr>
        <w:t>当坡面条件可能影响防护网功能或施工安装时，应按设计位置、间距与容许误差放线确定锚杆或混凝土基础的位置，并以有利于防护功能发挥、便于施工、满足设计要求为优先顺序进行布置。设计文件未作规定时，宜按下列原则控制定位误差：</w:t>
      </w:r>
    </w:p>
    <w:p w14:paraId="015E9211">
      <w:pPr>
        <w:ind w:left="480" w:leftChars="200" w:firstLine="240" w:firstLineChars="100"/>
        <w:rPr>
          <w:rFonts w:cs="Times New Roman"/>
        </w:rPr>
      </w:pPr>
      <w:r>
        <w:rPr>
          <w:rFonts w:cs="Times New Roman"/>
          <w:lang w:bidi="ar"/>
        </w:rPr>
        <w:t>1</w:t>
      </w:r>
      <w:r>
        <w:rPr>
          <w:rFonts w:hint="eastAsia" w:cs="Times New Roman"/>
          <w:lang w:bidi="ar"/>
        </w:rPr>
        <w:t>）局部调整位置时，不应减少设计要求的锚杆/混凝土基础数量。</w:t>
      </w:r>
    </w:p>
    <w:p w14:paraId="24163559">
      <w:pPr>
        <w:ind w:left="480" w:leftChars="200" w:firstLine="240" w:firstLineChars="100"/>
        <w:rPr>
          <w:rFonts w:cs="Times New Roman"/>
        </w:rPr>
      </w:pPr>
      <w:r>
        <w:rPr>
          <w:rFonts w:cs="Times New Roman"/>
          <w:lang w:bidi="ar"/>
        </w:rPr>
        <w:t>2</w:t>
      </w:r>
      <w:r>
        <w:rPr>
          <w:rFonts w:hint="eastAsia" w:cs="Times New Roman"/>
          <w:lang w:bidi="ar"/>
        </w:rPr>
        <w:t>）矩阵式锚固网的锚杆间距应保证网片周边与支撑绳的间距不大于网孔边长的1.5倍，且不小于网孔边长的1/3。</w:t>
      </w:r>
    </w:p>
    <w:p w14:paraId="03096064">
      <w:pPr>
        <w:ind w:left="480" w:leftChars="200" w:firstLine="240" w:firstLineChars="100"/>
        <w:rPr>
          <w:rFonts w:cs="Times New Roman"/>
        </w:rPr>
      </w:pPr>
      <w:r>
        <w:rPr>
          <w:rFonts w:cs="Times New Roman"/>
          <w:lang w:bidi="ar"/>
        </w:rPr>
        <w:t>3</w:t>
      </w:r>
      <w:r>
        <w:rPr>
          <w:rFonts w:hint="eastAsia" w:cs="Times New Roman"/>
          <w:lang w:bidi="ar"/>
        </w:rPr>
        <w:t>）梅花形锚固网与引导防护网的锚杆间距不应大于设计标准值的1.1倍；锚杆间距的减小不受限制。</w:t>
      </w:r>
    </w:p>
    <w:p w14:paraId="19C39F21">
      <w:pPr>
        <w:ind w:left="480" w:leftChars="200" w:firstLine="240" w:firstLineChars="100"/>
        <w:rPr>
          <w:rFonts w:cs="Times New Roman"/>
        </w:rPr>
      </w:pPr>
      <w:r>
        <w:rPr>
          <w:rFonts w:cs="Times New Roman"/>
          <w:lang w:bidi="ar"/>
        </w:rPr>
        <w:t>4</w:t>
      </w:r>
      <w:r>
        <w:rPr>
          <w:rFonts w:hint="eastAsia" w:cs="Times New Roman"/>
          <w:lang w:bidi="ar"/>
        </w:rPr>
        <w:t>）被动防护网中，柔性锚杆与相邻钢柱基座间的顺坡间距调整量不应超过设计标准值的10%；连线方位误差不应超过5°；且位于与其相邻两个钢柱基座间连线上或下坡侧的锚杆不得设置在上坡侧。</w:t>
      </w:r>
    </w:p>
    <w:p w14:paraId="00BC7911">
      <w:pPr>
        <w:ind w:left="480" w:leftChars="200" w:firstLine="240" w:firstLineChars="100"/>
        <w:rPr>
          <w:rFonts w:cs="Times New Roman"/>
        </w:rPr>
      </w:pPr>
      <w:r>
        <w:rPr>
          <w:rFonts w:cs="Times New Roman"/>
          <w:lang w:bidi="ar"/>
        </w:rPr>
        <w:t>5</w:t>
      </w:r>
      <w:r>
        <w:rPr>
          <w:rFonts w:hint="eastAsia" w:cs="Times New Roman"/>
          <w:lang w:bidi="ar"/>
        </w:rPr>
        <w:t>）被动防护网两相邻钢柱基座间距离的调整量不应大于设计值的20%；同一道防护网的总长度负误差不应超过0.2 m。</w:t>
      </w:r>
    </w:p>
    <w:p w14:paraId="597D3942">
      <w:pPr>
        <w:ind w:left="480" w:leftChars="200" w:firstLine="240" w:firstLineChars="100"/>
        <w:rPr>
          <w:rFonts w:cs="Times New Roman"/>
        </w:rPr>
      </w:pPr>
      <w:r>
        <w:rPr>
          <w:rFonts w:cs="Times New Roman"/>
          <w:lang w:bidi="ar"/>
        </w:rPr>
        <w:t>6</w:t>
      </w:r>
      <w:r>
        <w:rPr>
          <w:rFonts w:hint="eastAsia" w:cs="Times New Roman"/>
          <w:lang w:bidi="ar"/>
        </w:rPr>
        <w:t>）被动防护网同一钢柱基座的锚杆间距与相对方位误差应严格控制在可顺利安装基座的范围内。</w:t>
      </w:r>
    </w:p>
    <w:p w14:paraId="340A8463">
      <w:pPr>
        <w:ind w:left="240" w:leftChars="100" w:firstLine="241" w:firstLineChars="100"/>
        <w:rPr>
          <w:rFonts w:cs="Times New Roman"/>
          <w:lang w:bidi="ar"/>
        </w:rPr>
      </w:pPr>
      <w:r>
        <w:rPr>
          <w:rFonts w:cs="Times New Roman"/>
          <w:b/>
          <w:bCs/>
          <w:lang w:bidi="ar"/>
        </w:rPr>
        <w:t xml:space="preserve">3 </w:t>
      </w:r>
      <w:r>
        <w:rPr>
          <w:rFonts w:hint="eastAsia" w:cs="Times New Roman"/>
          <w:lang w:bidi="ar"/>
        </w:rPr>
        <w:t>材料、构配件、基础与锚固、安装与张拉、检测与验收等施工要求应满足《建筑边坡工程技术规范》</w:t>
      </w:r>
      <w:r>
        <w:rPr>
          <w:rFonts w:cs="Times New Roman"/>
          <w:lang w:bidi="ar"/>
        </w:rPr>
        <w:t>GB50330</w:t>
      </w:r>
      <w:r>
        <w:rPr>
          <w:rFonts w:hint="eastAsia" w:cs="Times New Roman"/>
          <w:lang w:bidi="ar"/>
        </w:rPr>
        <w:t>、《边坡柔性防护网系统》</w:t>
      </w:r>
      <w:r>
        <w:rPr>
          <w:rFonts w:cs="Times New Roman"/>
          <w:lang w:bidi="ar"/>
        </w:rPr>
        <w:t>JT/T 1328</w:t>
      </w:r>
      <w:r>
        <w:rPr>
          <w:rFonts w:hint="eastAsia" w:cs="Times New Roman"/>
          <w:lang w:bidi="ar"/>
        </w:rPr>
        <w:t>等有关规定。</w:t>
      </w:r>
    </w:p>
    <w:p w14:paraId="6E7E790C">
      <w:pPr>
        <w:ind w:firstLine="0" w:firstLineChars="0"/>
        <w:rPr>
          <w:rFonts w:cs="Times New Roman"/>
        </w:rPr>
      </w:pPr>
      <w:r>
        <w:rPr>
          <w:rFonts w:hint="eastAsia" w:cs="Times New Roman"/>
        </w:rPr>
        <w:t>【条文说明】本条明确柔性防护网系统的类型与功能，提出放线定位的通用误差控制原则，细化被动网钢柱—锚杆体系的几何调整限值，并要求严格遵循 GB 50330、JT/T 1328 等现行规范；同时提示典型工序、张拉与验收要点，确保结构防护性能与施工可实施性。</w:t>
      </w:r>
    </w:p>
    <w:p w14:paraId="56F7B772">
      <w:pPr>
        <w:pStyle w:val="30"/>
        <w:numPr>
          <w:ilvl w:val="0"/>
          <w:numId w:val="5"/>
        </w:numPr>
        <w:spacing w:before="163" w:beforeLines="50" w:after="163" w:afterLines="50"/>
        <w:ind w:firstLineChars="0"/>
        <w:jc w:val="center"/>
        <w:outlineLvl w:val="1"/>
        <w:rPr>
          <w:b/>
          <w:bCs/>
          <w:sz w:val="28"/>
          <w:szCs w:val="28"/>
        </w:rPr>
      </w:pPr>
      <w:bookmarkStart w:id="93" w:name="_Toc212057039"/>
      <w:r>
        <w:rPr>
          <w:rFonts w:hint="eastAsia"/>
          <w:b/>
          <w:bCs/>
          <w:sz w:val="28"/>
          <w:szCs w:val="28"/>
        </w:rPr>
        <w:t>水土共治修复</w:t>
      </w:r>
      <w:bookmarkEnd w:id="93"/>
    </w:p>
    <w:p w14:paraId="32CB4F16">
      <w:pPr>
        <w:ind w:firstLine="0" w:firstLineChars="0"/>
        <w:rPr>
          <w:rFonts w:ascii="宋体" w:hAnsi="宋体" w:cs="Times New Roman"/>
        </w:rPr>
      </w:pPr>
      <w:r>
        <w:rPr>
          <w:rFonts w:cs="Times New Roman"/>
          <w:b/>
          <w:bCs/>
        </w:rPr>
        <w:t xml:space="preserve">7.6.1  </w:t>
      </w:r>
      <w:r>
        <w:rPr>
          <w:rFonts w:hint="eastAsia" w:ascii="宋体" w:hAnsi="宋体" w:cs="宋体"/>
          <w:spacing w:val="11"/>
          <w:kern w:val="21"/>
          <w:szCs w:val="24"/>
        </w:rPr>
        <w:t>一般施工要求</w:t>
      </w:r>
      <w:r>
        <w:rPr>
          <w:rFonts w:hint="eastAsia" w:ascii="宋体" w:hAnsi="宋体" w:cs="Times New Roman"/>
        </w:rPr>
        <w:t>应符合下列规定：</w:t>
      </w:r>
    </w:p>
    <w:p w14:paraId="3CA5D3F6">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cs="Times New Roman"/>
          <w:szCs w:val="24"/>
        </w:rPr>
        <w:t>施工前应编制专项施工方案（含安全、环保、质量与监测），按规定程序审查/批准后实施，并对相关人员进行技术与安全环保交底。对涉及危险性较大的分部分项工程，应按规定组织专家论证</w:t>
      </w:r>
      <w:r>
        <w:rPr>
          <w:rFonts w:hint="eastAsia" w:ascii="Segoe UI" w:hAnsi="Segoe UI" w:cs="Segoe UI"/>
          <w:szCs w:val="24"/>
          <w:shd w:val="clear" w:color="auto" w:fill="FFFFFF"/>
          <w:lang w:bidi="ar"/>
        </w:rPr>
        <w:t>。</w:t>
      </w:r>
    </w:p>
    <w:p w14:paraId="40C15D75">
      <w:pPr>
        <w:ind w:left="240" w:leftChars="100" w:firstLine="241" w:firstLineChars="100"/>
        <w:rPr>
          <w:rFonts w:ascii="Segoe UI" w:hAnsi="Segoe UI" w:cs="Segoe UI"/>
          <w:szCs w:val="24"/>
          <w:shd w:val="clear" w:color="auto" w:fill="FFFFFF"/>
          <w:lang w:bidi="ar"/>
        </w:rPr>
      </w:pPr>
      <w:r>
        <w:rPr>
          <w:rFonts w:hint="eastAsia" w:cs="Times New Roman"/>
          <w:b/>
          <w:bCs/>
          <w:lang w:bidi="ar"/>
        </w:rPr>
        <w:t>2</w:t>
      </w:r>
      <w:r>
        <w:rPr>
          <w:rFonts w:cs="Times New Roman"/>
          <w:lang w:bidi="ar"/>
        </w:rPr>
        <w:t xml:space="preserve"> </w:t>
      </w:r>
      <w:r>
        <w:rPr>
          <w:rFonts w:hint="eastAsia" w:cs="Times New Roman"/>
          <w:szCs w:val="24"/>
        </w:rPr>
        <w:t>所有材料、构配件与设备应符合设计与现行产品标准要求，应实施进场验收与必要的见证取样/性能检测，建立批次台账，不得使用不合格产品</w:t>
      </w:r>
      <w:r>
        <w:rPr>
          <w:rFonts w:hint="eastAsia" w:ascii="Segoe UI" w:hAnsi="Segoe UI" w:cs="Segoe UI"/>
          <w:szCs w:val="24"/>
          <w:shd w:val="clear" w:color="auto" w:fill="FFFFFF"/>
          <w:lang w:bidi="ar"/>
        </w:rPr>
        <w:t>。</w:t>
      </w:r>
    </w:p>
    <w:p w14:paraId="552B2A38">
      <w:pPr>
        <w:ind w:left="240" w:leftChars="100" w:firstLine="241" w:firstLineChars="100"/>
        <w:rPr>
          <w:rFonts w:ascii="Segoe UI" w:hAnsi="Segoe UI" w:eastAsia="Segoe UI" w:cs="Segoe UI"/>
          <w:szCs w:val="24"/>
          <w:shd w:val="clear" w:color="auto" w:fill="FFFFFF"/>
        </w:rPr>
      </w:pPr>
      <w:r>
        <w:rPr>
          <w:rFonts w:hint="eastAsia" w:cs="Times New Roman"/>
          <w:b/>
          <w:bCs/>
          <w:lang w:bidi="ar"/>
        </w:rPr>
        <w:t>3</w:t>
      </w:r>
      <w:r>
        <w:rPr>
          <w:rFonts w:cs="Times New Roman"/>
          <w:lang w:bidi="ar"/>
        </w:rPr>
        <w:t xml:space="preserve"> </w:t>
      </w:r>
      <w:r>
        <w:rPr>
          <w:rFonts w:hint="eastAsia" w:cs="Times New Roman"/>
          <w:szCs w:val="24"/>
        </w:rPr>
        <w:t>施工过程中应采取有效措施防止二次污染，减少对原有生态系统干扰，保护原生植被与动物栖息地；宜同步设置临时截排水与沉砂设施，落实抑尘、降噪、控光、泥浆/废水/固废分类收集与合规处置等措施，不得随意弃土（渣）或排放污染物入自然水体与雨水系统</w:t>
      </w:r>
      <w:r>
        <w:rPr>
          <w:rFonts w:hint="eastAsia" w:ascii="Segoe UI" w:hAnsi="Segoe UI" w:eastAsia="Segoe UI" w:cs="Segoe UI"/>
          <w:szCs w:val="24"/>
          <w:shd w:val="clear" w:color="auto" w:fill="FFFFFF"/>
        </w:rPr>
        <w:t>。</w:t>
      </w:r>
    </w:p>
    <w:p w14:paraId="73FF8294">
      <w:pPr>
        <w:ind w:left="240" w:leftChars="100" w:firstLine="241" w:firstLineChars="100"/>
        <w:rPr>
          <w:rFonts w:ascii="Segoe UI" w:hAnsi="Segoe UI" w:cs="Segoe UI"/>
          <w:szCs w:val="24"/>
          <w:shd w:val="clear" w:color="auto" w:fill="FFFFFF"/>
          <w:lang w:bidi="ar"/>
        </w:rPr>
      </w:pPr>
      <w:r>
        <w:rPr>
          <w:rFonts w:hint="eastAsia" w:cs="Times New Roman"/>
          <w:b/>
          <w:bCs/>
          <w:lang w:bidi="ar"/>
        </w:rPr>
        <w:t>4</w:t>
      </w:r>
      <w:r>
        <w:rPr>
          <w:rFonts w:cs="Times New Roman"/>
          <w:lang w:bidi="ar"/>
        </w:rPr>
        <w:t xml:space="preserve"> </w:t>
      </w:r>
      <w:r>
        <w:rPr>
          <w:rFonts w:hint="eastAsia"/>
        </w:rPr>
        <w:t>施工过程中应按监测方案对边坡位移、周边沉降、支护内力、地下水位（必要时含水质）等关键指标实施动态监测，明确频次、预警值与控制值；当监测异常时应及时预警、分析原因并采取纠偏与应急处置</w:t>
      </w:r>
      <w:r>
        <w:rPr>
          <w:rFonts w:hint="eastAsia" w:ascii="Segoe UI" w:hAnsi="Segoe UI" w:cs="Segoe UI"/>
          <w:szCs w:val="24"/>
          <w:shd w:val="clear" w:color="auto" w:fill="FFFFFF"/>
          <w:lang w:bidi="ar"/>
        </w:rPr>
        <w:t>。</w:t>
      </w:r>
    </w:p>
    <w:p w14:paraId="2C41589C">
      <w:pPr>
        <w:ind w:left="240" w:leftChars="100" w:firstLine="241" w:firstLineChars="100"/>
        <w:rPr>
          <w:rFonts w:ascii="Segoe UI" w:hAnsi="Segoe UI" w:cs="Segoe UI"/>
          <w:szCs w:val="24"/>
          <w:shd w:val="clear" w:color="auto" w:fill="FFFFFF"/>
          <w:lang w:bidi="ar"/>
        </w:rPr>
      </w:pPr>
      <w:r>
        <w:rPr>
          <w:rFonts w:hint="eastAsia" w:cs="Times New Roman"/>
          <w:b/>
          <w:bCs/>
          <w:lang w:bidi="ar"/>
        </w:rPr>
        <w:t>5</w:t>
      </w:r>
      <w:r>
        <w:rPr>
          <w:rFonts w:cs="Times New Roman"/>
          <w:lang w:bidi="ar"/>
        </w:rPr>
        <w:t xml:space="preserve"> </w:t>
      </w:r>
      <w:r>
        <w:rPr>
          <w:rFonts w:hint="eastAsia" w:cs="Times New Roman"/>
          <w:szCs w:val="24"/>
        </w:rPr>
        <w:t>施工过程中应做好施工日志、检验与试验记录、监测原始数据、影像资料、变更/签证与会议纪要等文件记录，并按规定分类归档，确保可追溯</w:t>
      </w:r>
      <w:r>
        <w:rPr>
          <w:rFonts w:hint="eastAsia" w:ascii="Segoe UI" w:hAnsi="Segoe UI" w:cs="Segoe UI"/>
          <w:szCs w:val="24"/>
          <w:shd w:val="clear" w:color="auto" w:fill="FFFFFF"/>
          <w:lang w:bidi="ar"/>
        </w:rPr>
        <w:t>。</w:t>
      </w:r>
    </w:p>
    <w:p w14:paraId="61F1216D">
      <w:pPr>
        <w:ind w:left="240" w:leftChars="100" w:firstLine="241" w:firstLineChars="100"/>
        <w:rPr>
          <w:rFonts w:ascii="Segoe UI" w:hAnsi="Segoe UI" w:cs="Segoe UI"/>
          <w:szCs w:val="24"/>
          <w:shd w:val="clear" w:color="auto" w:fill="FFFFFF"/>
          <w:lang w:bidi="ar"/>
        </w:rPr>
      </w:pPr>
      <w:r>
        <w:rPr>
          <w:rFonts w:hint="eastAsia" w:cs="Times New Roman"/>
          <w:b/>
          <w:bCs/>
          <w:lang w:bidi="ar"/>
        </w:rPr>
        <w:t>6</w:t>
      </w:r>
      <w:r>
        <w:rPr>
          <w:rFonts w:cs="Times New Roman"/>
          <w:lang w:bidi="ar"/>
        </w:rPr>
        <w:t xml:space="preserve"> </w:t>
      </w:r>
      <w:r>
        <w:rPr>
          <w:rFonts w:hint="eastAsia"/>
        </w:rPr>
        <w:t>施工结束后应及时进行临时工程拆除、场地清理、表土回置/覆土、地表稳定与防冲刷等处置，并按设计实施生态恢复与植被重建，确保功能与景观尽快恢复</w:t>
      </w:r>
      <w:r>
        <w:rPr>
          <w:rFonts w:hint="eastAsia" w:ascii="Segoe UI" w:hAnsi="Segoe UI" w:cs="Segoe UI"/>
          <w:szCs w:val="24"/>
          <w:shd w:val="clear" w:color="auto" w:fill="FFFFFF"/>
          <w:lang w:bidi="ar"/>
        </w:rPr>
        <w:t>。</w:t>
      </w:r>
    </w:p>
    <w:p w14:paraId="7A9C3ABF">
      <w:pPr>
        <w:ind w:firstLine="0" w:firstLineChars="0"/>
        <w:rPr>
          <w:rFonts w:cs="Segoe UI"/>
          <w:szCs w:val="24"/>
          <w:shd w:val="clear" w:color="auto" w:fill="FFFFFF"/>
          <w:lang w:bidi="ar"/>
        </w:rPr>
      </w:pPr>
      <w:r>
        <w:rPr>
          <w:rFonts w:hint="eastAsia" w:cs="Segoe UI"/>
          <w:szCs w:val="24"/>
          <w:shd w:val="clear" w:color="auto" w:fill="FFFFFF"/>
          <w:lang w:bidi="ar"/>
        </w:rPr>
        <w:t>【条文说明】本条从前期策划—材料设备—生态环保—监测预警—资料留痕—完工恢复构建全过程管控要求：专项方案与交底保障施工有章可循；进场检验把控实体质量源头；污染防控与生态保护体现“过程生态化”；动态监测与预警降低工程与环境风险；完善记录支撑质量追溯与验收；及时恢复确保修复目标落地与成效延续。</w:t>
      </w:r>
    </w:p>
    <w:p w14:paraId="56869DA8">
      <w:pPr>
        <w:ind w:firstLine="0" w:firstLineChars="0"/>
        <w:rPr>
          <w:rFonts w:cs="Times New Roman"/>
        </w:rPr>
      </w:pPr>
      <w:r>
        <w:rPr>
          <w:rFonts w:cs="Times New Roman"/>
          <w:b/>
          <w:bCs/>
        </w:rPr>
        <w:t>7.6.</w:t>
      </w:r>
      <w:r>
        <w:rPr>
          <w:rFonts w:hint="eastAsia" w:cs="Times New Roman"/>
          <w:b/>
          <w:bCs/>
        </w:rPr>
        <w:t>2</w:t>
      </w:r>
      <w:r>
        <w:rPr>
          <w:rFonts w:cs="Times New Roman"/>
          <w:b/>
          <w:bCs/>
        </w:rPr>
        <w:t xml:space="preserve">  </w:t>
      </w:r>
      <w:r>
        <w:rPr>
          <w:rFonts w:hint="eastAsia" w:ascii="宋体" w:hAnsi="宋体" w:cs="宋体"/>
          <w:spacing w:val="11"/>
          <w:kern w:val="21"/>
          <w:szCs w:val="24"/>
        </w:rPr>
        <w:t>给水排水构筑物的施工应符合现行国家标准《给水排水构筑物工程施工及验收规范》</w:t>
      </w:r>
      <w:r>
        <w:rPr>
          <w:rFonts w:cs="Times New Roman"/>
          <w:spacing w:val="11"/>
          <w:kern w:val="21"/>
          <w:szCs w:val="24"/>
        </w:rPr>
        <w:t>GB 50141</w:t>
      </w:r>
      <w:r>
        <w:rPr>
          <w:rFonts w:hint="eastAsia" w:ascii="宋体" w:hAnsi="宋体" w:cs="宋体"/>
          <w:spacing w:val="11"/>
          <w:kern w:val="21"/>
          <w:szCs w:val="24"/>
        </w:rPr>
        <w:t>的有关规定</w:t>
      </w:r>
      <w:r>
        <w:rPr>
          <w:rFonts w:hint="eastAsia" w:cs="Times New Roman"/>
        </w:rPr>
        <w:t>。</w:t>
      </w:r>
    </w:p>
    <w:p w14:paraId="055B2202">
      <w:pPr>
        <w:ind w:firstLine="0" w:firstLineChars="0"/>
        <w:rPr>
          <w:rFonts w:cs="Times New Roman"/>
        </w:rPr>
      </w:pPr>
      <w:r>
        <w:rPr>
          <w:rFonts w:cs="Times New Roman"/>
          <w:b/>
          <w:bCs/>
        </w:rPr>
        <w:t>7.6.</w:t>
      </w:r>
      <w:r>
        <w:rPr>
          <w:rFonts w:hint="eastAsia" w:cs="Times New Roman"/>
          <w:b/>
          <w:bCs/>
        </w:rPr>
        <w:t>3</w:t>
      </w:r>
      <w:r>
        <w:rPr>
          <w:rFonts w:cs="Times New Roman"/>
          <w:b/>
          <w:bCs/>
        </w:rPr>
        <w:t xml:space="preserve">  </w:t>
      </w:r>
      <w:r>
        <w:rPr>
          <w:rFonts w:hint="eastAsia" w:ascii="宋体" w:hAnsi="宋体" w:cs="宋体"/>
          <w:spacing w:val="11"/>
          <w:kern w:val="21"/>
          <w:szCs w:val="24"/>
        </w:rPr>
        <w:t>给水排水管道的施工应符合现行国家标准《给水排水管道工程施工及验收规范》</w:t>
      </w:r>
      <w:r>
        <w:rPr>
          <w:rFonts w:cs="Times New Roman"/>
          <w:spacing w:val="11"/>
          <w:kern w:val="21"/>
          <w:szCs w:val="24"/>
        </w:rPr>
        <w:t>GB 50268</w:t>
      </w:r>
      <w:r>
        <w:rPr>
          <w:rFonts w:hint="eastAsia" w:ascii="宋体" w:hAnsi="宋体" w:cs="宋体"/>
          <w:spacing w:val="11"/>
          <w:kern w:val="21"/>
          <w:szCs w:val="24"/>
        </w:rPr>
        <w:t>的有关规定</w:t>
      </w:r>
      <w:r>
        <w:rPr>
          <w:rFonts w:hint="eastAsia" w:cs="Times New Roman"/>
        </w:rPr>
        <w:t>。</w:t>
      </w:r>
    </w:p>
    <w:p w14:paraId="14345064">
      <w:pPr>
        <w:ind w:firstLine="0" w:firstLineChars="0"/>
        <w:rPr>
          <w:rFonts w:cs="Times New Roman"/>
        </w:rPr>
      </w:pPr>
      <w:r>
        <w:rPr>
          <w:rFonts w:cs="Times New Roman"/>
          <w:b/>
          <w:bCs/>
        </w:rPr>
        <w:t>7.6.</w:t>
      </w:r>
      <w:r>
        <w:rPr>
          <w:rFonts w:hint="eastAsia" w:cs="Times New Roman"/>
          <w:b/>
          <w:bCs/>
        </w:rPr>
        <w:t>4</w:t>
      </w:r>
      <w:r>
        <w:rPr>
          <w:rFonts w:cs="Times New Roman"/>
          <w:b/>
          <w:bCs/>
        </w:rPr>
        <w:t xml:space="preserve">  </w:t>
      </w:r>
      <w:r>
        <w:rPr>
          <w:rFonts w:hint="eastAsia" w:cs="Times New Roman"/>
        </w:rPr>
        <w:t>废水处理设施</w:t>
      </w:r>
      <w:r>
        <w:rPr>
          <w:rFonts w:hint="eastAsia" w:ascii="宋体" w:hAnsi="宋体" w:cs="宋体"/>
          <w:spacing w:val="11"/>
          <w:kern w:val="21"/>
          <w:szCs w:val="24"/>
        </w:rPr>
        <w:t>设备的施工应符合现行国家标准《城镇污水处理厂工程施工规范》</w:t>
      </w:r>
      <w:r>
        <w:rPr>
          <w:rFonts w:cs="Times New Roman"/>
          <w:spacing w:val="11"/>
          <w:kern w:val="21"/>
          <w:szCs w:val="24"/>
        </w:rPr>
        <w:t>GB 51221</w:t>
      </w:r>
      <w:r>
        <w:rPr>
          <w:rFonts w:hint="eastAsia" w:ascii="宋体" w:hAnsi="宋体" w:cs="宋体"/>
          <w:spacing w:val="11"/>
          <w:kern w:val="21"/>
          <w:szCs w:val="24"/>
        </w:rPr>
        <w:t>的有关规定</w:t>
      </w:r>
      <w:r>
        <w:rPr>
          <w:rFonts w:hint="eastAsia" w:cs="Times New Roman"/>
        </w:rPr>
        <w:t>。</w:t>
      </w:r>
    </w:p>
    <w:p w14:paraId="35FCBF81">
      <w:pPr>
        <w:ind w:firstLine="0" w:firstLineChars="0"/>
        <w:rPr>
          <w:rFonts w:cs="Times New Roman"/>
        </w:rPr>
      </w:pPr>
      <w:r>
        <w:rPr>
          <w:rFonts w:cs="Times New Roman"/>
          <w:b/>
          <w:bCs/>
        </w:rPr>
        <w:t>7.6.</w:t>
      </w:r>
      <w:r>
        <w:rPr>
          <w:rFonts w:hint="eastAsia" w:cs="Times New Roman"/>
          <w:b/>
          <w:bCs/>
        </w:rPr>
        <w:t>5</w:t>
      </w:r>
      <w:r>
        <w:rPr>
          <w:rFonts w:cs="Times New Roman"/>
          <w:b/>
          <w:bCs/>
        </w:rPr>
        <w:t xml:space="preserve">  </w:t>
      </w:r>
      <w:r>
        <w:rPr>
          <w:rFonts w:hint="eastAsia" w:ascii="宋体" w:hAnsi="宋体" w:cs="宋体"/>
          <w:spacing w:val="11"/>
          <w:kern w:val="21"/>
          <w:szCs w:val="24"/>
        </w:rPr>
        <w:t>底泥清淤的施工应符合现行行业标准《疏浚与吹填工程技术规范》</w:t>
      </w:r>
      <w:r>
        <w:rPr>
          <w:rFonts w:cs="Times New Roman"/>
          <w:spacing w:val="11"/>
          <w:kern w:val="21"/>
          <w:szCs w:val="24"/>
        </w:rPr>
        <w:t>SL 17</w:t>
      </w:r>
      <w:r>
        <w:rPr>
          <w:rFonts w:hint="eastAsia" w:ascii="宋体" w:hAnsi="宋体" w:cs="宋体"/>
          <w:spacing w:val="11"/>
          <w:kern w:val="21"/>
          <w:szCs w:val="24"/>
        </w:rPr>
        <w:t>和《水利水电工程施工通用安全技术规程》</w:t>
      </w:r>
      <w:r>
        <w:rPr>
          <w:rFonts w:cs="Times New Roman"/>
          <w:spacing w:val="11"/>
          <w:kern w:val="21"/>
          <w:szCs w:val="24"/>
        </w:rPr>
        <w:t>SL 398</w:t>
      </w:r>
      <w:r>
        <w:rPr>
          <w:rFonts w:hint="eastAsia" w:ascii="宋体" w:hAnsi="宋体" w:cs="宋体"/>
          <w:spacing w:val="11"/>
          <w:kern w:val="21"/>
          <w:szCs w:val="24"/>
        </w:rPr>
        <w:t>的有关规定</w:t>
      </w:r>
      <w:r>
        <w:rPr>
          <w:rFonts w:hint="eastAsia" w:cs="Times New Roman"/>
        </w:rPr>
        <w:t>。</w:t>
      </w:r>
    </w:p>
    <w:p w14:paraId="3C4B9407">
      <w:pPr>
        <w:ind w:firstLine="0" w:firstLineChars="0"/>
        <w:rPr>
          <w:rFonts w:cs="Times New Roman"/>
        </w:rPr>
      </w:pPr>
      <w:r>
        <w:rPr>
          <w:rFonts w:cs="Times New Roman"/>
          <w:b/>
          <w:bCs/>
        </w:rPr>
        <w:t>7.6.</w:t>
      </w:r>
      <w:r>
        <w:rPr>
          <w:rFonts w:hint="eastAsia" w:cs="Times New Roman"/>
          <w:b/>
          <w:bCs/>
        </w:rPr>
        <w:t>6</w:t>
      </w:r>
      <w:r>
        <w:rPr>
          <w:rFonts w:cs="Times New Roman"/>
          <w:b/>
          <w:bCs/>
        </w:rPr>
        <w:t xml:space="preserve">  </w:t>
      </w:r>
      <w:r>
        <w:rPr>
          <w:rFonts w:hint="eastAsia" w:ascii="宋体" w:hAnsi="宋体" w:cs="宋体"/>
          <w:spacing w:val="11"/>
          <w:kern w:val="21"/>
          <w:szCs w:val="24"/>
        </w:rPr>
        <w:t>泵站的施工应符合现行国家标准《水利泵站施工及验收规范》</w:t>
      </w:r>
      <w:r>
        <w:rPr>
          <w:rFonts w:cs="Times New Roman"/>
          <w:spacing w:val="11"/>
          <w:kern w:val="21"/>
          <w:szCs w:val="24"/>
        </w:rPr>
        <w:t>GB/T 51033</w:t>
      </w:r>
      <w:r>
        <w:rPr>
          <w:rFonts w:hint="eastAsia" w:ascii="宋体" w:hAnsi="宋体" w:cs="宋体"/>
          <w:spacing w:val="11"/>
          <w:kern w:val="21"/>
          <w:szCs w:val="24"/>
        </w:rPr>
        <w:t>的有关规定</w:t>
      </w:r>
      <w:r>
        <w:rPr>
          <w:rFonts w:hint="eastAsia" w:cs="Times New Roman"/>
        </w:rPr>
        <w:t>。</w:t>
      </w:r>
    </w:p>
    <w:p w14:paraId="3A7A940E">
      <w:pPr>
        <w:ind w:firstLine="0" w:firstLineChars="0"/>
        <w:rPr>
          <w:rFonts w:cs="Times New Roman"/>
        </w:rPr>
      </w:pPr>
      <w:r>
        <w:rPr>
          <w:rFonts w:cs="Times New Roman"/>
          <w:b/>
          <w:bCs/>
        </w:rPr>
        <w:t>7.6.</w:t>
      </w:r>
      <w:r>
        <w:rPr>
          <w:rFonts w:hint="eastAsia" w:cs="Times New Roman"/>
          <w:b/>
          <w:bCs/>
        </w:rPr>
        <w:t>7</w:t>
      </w:r>
      <w:r>
        <w:rPr>
          <w:rFonts w:cs="Times New Roman"/>
          <w:b/>
          <w:bCs/>
        </w:rPr>
        <w:t xml:space="preserve">  </w:t>
      </w:r>
      <w:r>
        <w:rPr>
          <w:rFonts w:hint="eastAsia" w:ascii="宋体" w:hAnsi="宋体" w:cs="宋体"/>
          <w:spacing w:val="11"/>
          <w:kern w:val="21"/>
          <w:szCs w:val="24"/>
        </w:rPr>
        <w:t>河道的施工应符合现行行业标准《堤防工程施工规范》</w:t>
      </w:r>
      <w:r>
        <w:rPr>
          <w:rFonts w:cs="Times New Roman"/>
          <w:spacing w:val="11"/>
          <w:kern w:val="21"/>
          <w:szCs w:val="24"/>
        </w:rPr>
        <w:t>SL</w:t>
      </w:r>
      <w:r>
        <w:rPr>
          <w:rFonts w:hint="eastAsia" w:cs="Times New Roman"/>
          <w:spacing w:val="11"/>
          <w:kern w:val="21"/>
          <w:szCs w:val="24"/>
        </w:rPr>
        <w:t xml:space="preserve"> </w:t>
      </w:r>
      <w:r>
        <w:rPr>
          <w:rFonts w:cs="Times New Roman"/>
          <w:spacing w:val="11"/>
          <w:kern w:val="21"/>
          <w:szCs w:val="24"/>
        </w:rPr>
        <w:t>260</w:t>
      </w:r>
      <w:r>
        <w:rPr>
          <w:rFonts w:hint="eastAsia" w:ascii="宋体" w:hAnsi="宋体" w:cs="宋体"/>
          <w:spacing w:val="11"/>
          <w:kern w:val="21"/>
          <w:szCs w:val="24"/>
        </w:rPr>
        <w:t>、《水利水电工程施工组织设计规范》</w:t>
      </w:r>
      <w:r>
        <w:rPr>
          <w:rFonts w:cs="Times New Roman"/>
          <w:spacing w:val="11"/>
          <w:kern w:val="21"/>
          <w:szCs w:val="24"/>
        </w:rPr>
        <w:t>SL</w:t>
      </w:r>
      <w:r>
        <w:rPr>
          <w:rFonts w:hint="eastAsia" w:cs="Times New Roman"/>
          <w:spacing w:val="11"/>
          <w:kern w:val="21"/>
          <w:szCs w:val="24"/>
        </w:rPr>
        <w:t xml:space="preserve"> </w:t>
      </w:r>
      <w:r>
        <w:rPr>
          <w:rFonts w:cs="Times New Roman"/>
          <w:spacing w:val="11"/>
          <w:kern w:val="21"/>
          <w:szCs w:val="24"/>
        </w:rPr>
        <w:t>303</w:t>
      </w:r>
      <w:r>
        <w:rPr>
          <w:rFonts w:hint="eastAsia" w:ascii="宋体" w:hAnsi="宋体" w:cs="宋体"/>
          <w:spacing w:val="11"/>
          <w:kern w:val="21"/>
          <w:szCs w:val="24"/>
        </w:rPr>
        <w:t>和《水利水电工程施工导流设计规范》</w:t>
      </w:r>
      <w:r>
        <w:rPr>
          <w:rFonts w:cs="Times New Roman"/>
          <w:spacing w:val="11"/>
          <w:kern w:val="21"/>
          <w:szCs w:val="24"/>
        </w:rPr>
        <w:t>SL</w:t>
      </w:r>
      <w:r>
        <w:rPr>
          <w:rFonts w:hint="eastAsia" w:cs="Times New Roman"/>
          <w:spacing w:val="11"/>
          <w:kern w:val="21"/>
          <w:szCs w:val="24"/>
        </w:rPr>
        <w:t xml:space="preserve"> </w:t>
      </w:r>
      <w:r>
        <w:rPr>
          <w:rFonts w:cs="Times New Roman"/>
          <w:spacing w:val="11"/>
          <w:kern w:val="21"/>
          <w:szCs w:val="24"/>
        </w:rPr>
        <w:t>623</w:t>
      </w:r>
      <w:r>
        <w:rPr>
          <w:rFonts w:hint="eastAsia" w:ascii="宋体" w:hAnsi="宋体" w:cs="宋体"/>
          <w:spacing w:val="11"/>
          <w:kern w:val="21"/>
          <w:szCs w:val="24"/>
        </w:rPr>
        <w:t>的有关规定</w:t>
      </w:r>
      <w:r>
        <w:rPr>
          <w:rFonts w:hint="eastAsia" w:cs="Times New Roman"/>
        </w:rPr>
        <w:t>。</w:t>
      </w:r>
    </w:p>
    <w:p w14:paraId="0B8EA9D1">
      <w:pPr>
        <w:ind w:firstLine="0" w:firstLineChars="0"/>
        <w:rPr>
          <w:rFonts w:cs="Times New Roman"/>
        </w:rPr>
      </w:pPr>
      <w:r>
        <w:rPr>
          <w:rFonts w:cs="Times New Roman"/>
          <w:b/>
          <w:bCs/>
        </w:rPr>
        <w:t>7.6.</w:t>
      </w:r>
      <w:r>
        <w:rPr>
          <w:rFonts w:hint="eastAsia" w:cs="Times New Roman"/>
          <w:b/>
          <w:bCs/>
        </w:rPr>
        <w:t>8</w:t>
      </w:r>
      <w:r>
        <w:rPr>
          <w:rFonts w:cs="Times New Roman"/>
          <w:b/>
          <w:bCs/>
        </w:rPr>
        <w:t xml:space="preserve">  </w:t>
      </w:r>
      <w:r>
        <w:rPr>
          <w:rFonts w:hint="eastAsia" w:ascii="宋体" w:hAnsi="宋体" w:cs="宋体"/>
          <w:spacing w:val="11"/>
          <w:kern w:val="21"/>
          <w:szCs w:val="24"/>
        </w:rPr>
        <w:t>预制构件安装前应对外观、裂缝等情况进行检验，并应按设计要求及现行国家标准《混凝土结构工程施工质量验收规范》</w:t>
      </w:r>
      <w:r>
        <w:rPr>
          <w:rFonts w:cs="Times New Roman"/>
          <w:spacing w:val="11"/>
          <w:kern w:val="21"/>
          <w:szCs w:val="24"/>
        </w:rPr>
        <w:t>GB 50204</w:t>
      </w:r>
      <w:r>
        <w:rPr>
          <w:rFonts w:hint="eastAsia" w:ascii="宋体" w:hAnsi="宋体" w:cs="宋体"/>
          <w:spacing w:val="11"/>
          <w:kern w:val="21"/>
          <w:szCs w:val="24"/>
        </w:rPr>
        <w:t>的有关规定进行结构性能检验</w:t>
      </w:r>
      <w:r>
        <w:rPr>
          <w:rFonts w:hint="eastAsia" w:cs="Times New Roman"/>
        </w:rPr>
        <w:t>。</w:t>
      </w:r>
    </w:p>
    <w:p w14:paraId="7B156A66">
      <w:pPr>
        <w:ind w:firstLine="0" w:firstLineChars="0"/>
        <w:rPr>
          <w:rFonts w:cs="Times New Roman"/>
        </w:rPr>
      </w:pPr>
      <w:r>
        <w:rPr>
          <w:rFonts w:cs="Times New Roman"/>
          <w:b/>
          <w:bCs/>
        </w:rPr>
        <w:t>7.6.</w:t>
      </w:r>
      <w:r>
        <w:rPr>
          <w:rFonts w:hint="eastAsia" w:cs="Times New Roman"/>
          <w:b/>
          <w:bCs/>
        </w:rPr>
        <w:t>9</w:t>
      </w:r>
      <w:r>
        <w:rPr>
          <w:rFonts w:cs="Times New Roman"/>
          <w:b/>
          <w:bCs/>
        </w:rPr>
        <w:t xml:space="preserve">  </w:t>
      </w:r>
      <w:r>
        <w:rPr>
          <w:rFonts w:hint="eastAsia" w:ascii="宋体" w:hAnsi="宋体" w:cs="宋体"/>
          <w:spacing w:val="11"/>
          <w:kern w:val="21"/>
          <w:szCs w:val="24"/>
        </w:rPr>
        <w:t>砌体结构的施工应符合现行国家标准《砌体结构工程施工质量验收规范》</w:t>
      </w:r>
      <w:r>
        <w:rPr>
          <w:rFonts w:cs="Times New Roman"/>
          <w:spacing w:val="11"/>
          <w:kern w:val="21"/>
          <w:szCs w:val="24"/>
        </w:rPr>
        <w:t>GB 50203</w:t>
      </w:r>
      <w:r>
        <w:rPr>
          <w:rFonts w:hint="eastAsia" w:ascii="宋体" w:hAnsi="宋体" w:cs="宋体"/>
          <w:spacing w:val="11"/>
          <w:kern w:val="21"/>
          <w:szCs w:val="24"/>
        </w:rPr>
        <w:t>的有关规定并满足设计要求</w:t>
      </w:r>
      <w:r>
        <w:rPr>
          <w:rFonts w:hint="eastAsia" w:cs="Times New Roman"/>
        </w:rPr>
        <w:t>。</w:t>
      </w:r>
    </w:p>
    <w:p w14:paraId="7F9FC316">
      <w:pPr>
        <w:ind w:firstLine="0" w:firstLineChars="0"/>
      </w:pPr>
      <w:r>
        <w:rPr>
          <w:rFonts w:hint="eastAsia" w:cs="Segoe UI"/>
          <w:szCs w:val="24"/>
          <w:shd w:val="clear" w:color="auto" w:fill="FFFFFF"/>
          <w:lang w:bidi="ar"/>
        </w:rPr>
        <w:t>【条文说明】</w:t>
      </w:r>
      <w:r>
        <w:rPr>
          <w:rFonts w:cs="Times New Roman"/>
          <w:b/>
          <w:bCs/>
        </w:rPr>
        <w:t>7.6.</w:t>
      </w:r>
      <w:r>
        <w:rPr>
          <w:rFonts w:hint="eastAsia" w:cs="Times New Roman"/>
          <w:b/>
          <w:bCs/>
        </w:rPr>
        <w:t>2~</w:t>
      </w:r>
      <w:r>
        <w:rPr>
          <w:rFonts w:cs="Times New Roman"/>
          <w:b/>
          <w:bCs/>
        </w:rPr>
        <w:t>7.6.</w:t>
      </w:r>
      <w:r>
        <w:rPr>
          <w:rFonts w:hint="eastAsia" w:cs="Times New Roman"/>
          <w:b/>
          <w:bCs/>
        </w:rPr>
        <w:t>9</w:t>
      </w:r>
      <w:r>
        <w:rPr>
          <w:rFonts w:hint="eastAsia" w:cs="Times New Roman"/>
        </w:rPr>
        <w:t>本规程在编制过程中，对于技术成熟、规定明确的内容，直接引用了现行国家规范与行业标准，旨在保持与上位标准体系的协调统一，避免重复已有规定，确保本规程的先进性与权威性。具体执行中，请直接遵循所引用的现行国家标准的最新版本</w:t>
      </w:r>
      <w:r>
        <w:rPr>
          <w:rFonts w:ascii="宋体" w:hAnsi="宋体" w:cs="Times New Roman"/>
        </w:rPr>
        <w:t>。</w:t>
      </w:r>
    </w:p>
    <w:p w14:paraId="2F0C22E5">
      <w:pPr>
        <w:ind w:firstLine="0" w:firstLineChars="0"/>
        <w:rPr>
          <w:rFonts w:ascii="宋体" w:hAnsi="宋体" w:cs="Times New Roman"/>
        </w:rPr>
      </w:pPr>
      <w:r>
        <w:rPr>
          <w:rFonts w:cs="Times New Roman"/>
          <w:b/>
          <w:bCs/>
        </w:rPr>
        <w:t>7.6.</w:t>
      </w:r>
      <w:r>
        <w:rPr>
          <w:rFonts w:hint="eastAsia" w:cs="Times New Roman"/>
          <w:b/>
          <w:bCs/>
        </w:rPr>
        <w:t>10</w:t>
      </w:r>
      <w:r>
        <w:rPr>
          <w:rFonts w:cs="Times New Roman"/>
          <w:b/>
          <w:bCs/>
        </w:rPr>
        <w:t xml:space="preserve">  </w:t>
      </w:r>
      <w:r>
        <w:rPr>
          <w:rFonts w:hint="eastAsia" w:ascii="宋体" w:hAnsi="宋体" w:cs="宋体"/>
          <w:spacing w:val="11"/>
          <w:kern w:val="21"/>
          <w:szCs w:val="24"/>
        </w:rPr>
        <w:t>生态工程的施工应符合国家现行标准《园林绿化工程项目规范》</w:t>
      </w:r>
      <w:r>
        <w:rPr>
          <w:rFonts w:cs="Times New Roman"/>
          <w:spacing w:val="11"/>
          <w:kern w:val="21"/>
          <w:szCs w:val="24"/>
        </w:rPr>
        <w:t>GB 55014</w:t>
      </w:r>
      <w:r>
        <w:rPr>
          <w:rFonts w:hint="eastAsia" w:ascii="宋体" w:hAnsi="宋体" w:cs="宋体"/>
          <w:spacing w:val="11"/>
          <w:kern w:val="21"/>
          <w:szCs w:val="24"/>
        </w:rPr>
        <w:t>和《园林绿化工程施工及验收规范》</w:t>
      </w:r>
      <w:r>
        <w:rPr>
          <w:rFonts w:cs="Times New Roman"/>
          <w:spacing w:val="11"/>
          <w:kern w:val="21"/>
          <w:szCs w:val="24"/>
        </w:rPr>
        <w:t>CJJ 82</w:t>
      </w:r>
      <w:r>
        <w:rPr>
          <w:rFonts w:hint="eastAsia" w:ascii="宋体" w:hAnsi="宋体" w:cs="宋体"/>
          <w:spacing w:val="11"/>
          <w:kern w:val="21"/>
          <w:szCs w:val="24"/>
        </w:rPr>
        <w:t>的有关规定，并</w:t>
      </w:r>
      <w:r>
        <w:rPr>
          <w:rFonts w:hint="eastAsia" w:ascii="宋体" w:hAnsi="宋体" w:cs="Times New Roman"/>
        </w:rPr>
        <w:t>应符合下列规定：</w:t>
      </w:r>
    </w:p>
    <w:p w14:paraId="7FA3876D">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rPr>
        <w:t>客土喷播基质配比、厚度应符合设计要求，喷射应均匀、无遗漏</w:t>
      </w:r>
      <w:r>
        <w:rPr>
          <w:rFonts w:hint="eastAsia" w:ascii="Segoe UI" w:hAnsi="Segoe UI" w:cs="Segoe UI"/>
          <w:szCs w:val="24"/>
          <w:shd w:val="clear" w:color="auto" w:fill="FFFFFF"/>
          <w:lang w:bidi="ar"/>
        </w:rPr>
        <w:t>。</w:t>
      </w:r>
    </w:p>
    <w:p w14:paraId="3F8F5171">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rPr>
        <w:t>生态袋袋体应填充密实，垒砌平整，连接扣牢固，形成稳定结构</w:t>
      </w:r>
      <w:r>
        <w:rPr>
          <w:rFonts w:hint="eastAsia" w:ascii="Segoe UI" w:hAnsi="Segoe UI" w:eastAsia="Segoe UI" w:cs="Segoe UI"/>
          <w:szCs w:val="24"/>
          <w:shd w:val="clear" w:color="auto" w:fill="FFFFFF"/>
        </w:rPr>
        <w:t>。</w:t>
      </w:r>
    </w:p>
    <w:p w14:paraId="783424CE">
      <w:pPr>
        <w:ind w:left="240" w:leftChars="100" w:firstLine="241" w:firstLineChars="100"/>
        <w:rPr>
          <w:rFonts w:ascii="Segoe UI" w:hAnsi="Segoe UI" w:cs="Segoe UI"/>
          <w:szCs w:val="24"/>
          <w:shd w:val="clear" w:color="auto" w:fill="FFFFFF"/>
          <w:lang w:bidi="ar"/>
        </w:rPr>
      </w:pPr>
      <w:r>
        <w:rPr>
          <w:rFonts w:hint="eastAsia" w:cs="Times New Roman"/>
          <w:b/>
          <w:bCs/>
          <w:lang w:bidi="ar"/>
        </w:rPr>
        <w:t>3</w:t>
      </w:r>
      <w:r>
        <w:rPr>
          <w:rFonts w:cs="Times New Roman"/>
          <w:lang w:bidi="ar"/>
        </w:rPr>
        <w:t xml:space="preserve"> </w:t>
      </w:r>
      <w:r>
        <w:rPr>
          <w:rFonts w:hint="eastAsia"/>
        </w:rPr>
        <w:t>植被种植应按设计的种类、密度、季节进行施工，并及时进行浇水、施肥等养护管理，确保成活率</w:t>
      </w:r>
      <w:r>
        <w:rPr>
          <w:rFonts w:hint="eastAsia" w:ascii="Segoe UI" w:hAnsi="Segoe UI" w:cs="Segoe UI"/>
          <w:szCs w:val="24"/>
          <w:shd w:val="clear" w:color="auto" w:fill="FFFFFF"/>
          <w:lang w:bidi="ar"/>
        </w:rPr>
        <w:t>。</w:t>
      </w:r>
    </w:p>
    <w:p w14:paraId="0374DAFE">
      <w:pPr>
        <w:ind w:firstLine="480"/>
        <w:rPr>
          <w:rFonts w:cs="Segoe UI"/>
          <w:szCs w:val="24"/>
          <w:shd w:val="clear" w:color="auto" w:fill="FFFFFF"/>
          <w:lang w:bidi="ar"/>
        </w:rPr>
      </w:pPr>
      <w:r>
        <w:rPr>
          <w:rFonts w:hint="eastAsia" w:cs="Segoe UI"/>
          <w:szCs w:val="24"/>
          <w:shd w:val="clear" w:color="auto" w:fill="FFFFFF"/>
          <w:lang w:bidi="ar"/>
        </w:rPr>
        <w:t>【条文说明】本条强调客土喷播的配比/厚度与均匀性、生态袋的结构稳定以及“按设计种植+及时养护”的成套控制，体现生态修复“过程生态化”与“种养并重”的要求</w:t>
      </w:r>
      <w:r>
        <w:rPr>
          <w:rFonts w:hint="eastAsia" w:ascii="宋体" w:hAnsi="宋体" w:cs="Times New Roman"/>
        </w:rPr>
        <w:t>。</w:t>
      </w:r>
    </w:p>
    <w:p w14:paraId="3501E1F8">
      <w:pPr>
        <w:ind w:firstLine="0" w:firstLineChars="0"/>
        <w:rPr>
          <w:rFonts w:cs="Times New Roman"/>
        </w:rPr>
      </w:pPr>
      <w:r>
        <w:rPr>
          <w:rFonts w:cs="Times New Roman"/>
          <w:b/>
          <w:bCs/>
        </w:rPr>
        <w:t>7.6.</w:t>
      </w:r>
      <w:r>
        <w:rPr>
          <w:rFonts w:hint="eastAsia" w:cs="Times New Roman"/>
          <w:b/>
          <w:bCs/>
        </w:rPr>
        <w:t>11</w:t>
      </w:r>
      <w:r>
        <w:rPr>
          <w:rFonts w:cs="Times New Roman"/>
          <w:b/>
          <w:bCs/>
        </w:rPr>
        <w:t xml:space="preserve">  </w:t>
      </w:r>
      <w:r>
        <w:rPr>
          <w:rFonts w:hint="eastAsia"/>
        </w:rPr>
        <w:t>生物滞留设施的</w:t>
      </w:r>
      <w:r>
        <w:rPr>
          <w:rFonts w:hint="eastAsia" w:cs="Times New Roman"/>
          <w:szCs w:val="24"/>
        </w:rPr>
        <w:t>施工</w:t>
      </w:r>
      <w:r>
        <w:rPr>
          <w:rFonts w:hint="eastAsia" w:ascii="宋体" w:hAnsi="宋体" w:cs="Times New Roman"/>
        </w:rPr>
        <w:t>应符合下列规定：</w:t>
      </w:r>
    </w:p>
    <w:p w14:paraId="2446BA91">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cs="Times New Roman"/>
          <w:lang w:bidi="ar"/>
        </w:rPr>
        <w:t>基坑</w:t>
      </w:r>
      <w:r>
        <w:rPr>
          <w:rFonts w:hint="eastAsia"/>
        </w:rPr>
        <w:t>开挖后应进行基底夯实，防止不均匀沉降</w:t>
      </w:r>
      <w:r>
        <w:rPr>
          <w:rFonts w:hint="eastAsia" w:ascii="Segoe UI" w:hAnsi="Segoe UI" w:cs="Segoe UI"/>
          <w:szCs w:val="24"/>
          <w:shd w:val="clear" w:color="auto" w:fill="FFFFFF"/>
          <w:lang w:bidi="ar"/>
        </w:rPr>
        <w:t>。</w:t>
      </w:r>
    </w:p>
    <w:p w14:paraId="48700D7D">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cs="Times New Roman"/>
          <w:szCs w:val="24"/>
        </w:rPr>
        <w:t>防渗层施工应保证完整性，无渗漏</w:t>
      </w:r>
      <w:r>
        <w:rPr>
          <w:rFonts w:hint="eastAsia" w:ascii="Segoe UI" w:hAnsi="Segoe UI" w:eastAsia="Segoe UI" w:cs="Segoe UI"/>
          <w:szCs w:val="24"/>
          <w:shd w:val="clear" w:color="auto" w:fill="FFFFFF"/>
        </w:rPr>
        <w:t>。</w:t>
      </w:r>
    </w:p>
    <w:p w14:paraId="0DC252D3">
      <w:pPr>
        <w:ind w:left="240" w:leftChars="100" w:firstLine="241" w:firstLineChars="100"/>
        <w:rPr>
          <w:rFonts w:ascii="Segoe UI" w:hAnsi="Segoe UI" w:eastAsia="Segoe UI" w:cs="Segoe UI"/>
          <w:szCs w:val="24"/>
          <w:shd w:val="clear" w:color="auto" w:fill="FFFFFF"/>
        </w:rPr>
      </w:pPr>
      <w:r>
        <w:rPr>
          <w:rFonts w:hint="eastAsia" w:cs="Times New Roman"/>
          <w:b/>
          <w:bCs/>
          <w:lang w:bidi="ar"/>
        </w:rPr>
        <w:t>3</w:t>
      </w:r>
      <w:r>
        <w:rPr>
          <w:rFonts w:cs="Times New Roman"/>
          <w:lang w:bidi="ar"/>
        </w:rPr>
        <w:t xml:space="preserve"> </w:t>
      </w:r>
      <w:r>
        <w:rPr>
          <w:rFonts w:hint="eastAsia"/>
        </w:rPr>
        <w:t>应按设计级配分层铺设砾石、砂、种植土等填料</w:t>
      </w:r>
      <w:r>
        <w:rPr>
          <w:rFonts w:hint="eastAsia" w:ascii="Segoe UI" w:hAnsi="Segoe UI" w:eastAsia="Segoe UI" w:cs="Segoe UI"/>
          <w:szCs w:val="24"/>
          <w:shd w:val="clear" w:color="auto" w:fill="FFFFFF"/>
        </w:rPr>
        <w:t>。</w:t>
      </w:r>
    </w:p>
    <w:p w14:paraId="72F01708">
      <w:pPr>
        <w:ind w:left="240" w:leftChars="100" w:firstLine="241" w:firstLineChars="100"/>
        <w:rPr>
          <w:rFonts w:ascii="Segoe UI" w:hAnsi="Segoe UI" w:eastAsia="Segoe UI" w:cs="Segoe UI"/>
          <w:szCs w:val="24"/>
          <w:shd w:val="clear" w:color="auto" w:fill="FFFFFF"/>
        </w:rPr>
      </w:pPr>
      <w:r>
        <w:rPr>
          <w:rFonts w:hint="eastAsia" w:cs="Times New Roman"/>
          <w:b/>
          <w:bCs/>
          <w:lang w:bidi="ar"/>
        </w:rPr>
        <w:t>4</w:t>
      </w:r>
      <w:r>
        <w:rPr>
          <w:rFonts w:cs="Times New Roman"/>
          <w:lang w:bidi="ar"/>
        </w:rPr>
        <w:t xml:space="preserve"> </w:t>
      </w:r>
      <w:r>
        <w:rPr>
          <w:rFonts w:hint="eastAsia"/>
        </w:rPr>
        <w:t>溢流井、穿孔管等预埋构件的位置和标高应准确</w:t>
      </w:r>
      <w:r>
        <w:rPr>
          <w:rFonts w:hint="eastAsia" w:ascii="Segoe UI" w:hAnsi="Segoe UI" w:eastAsia="Segoe UI" w:cs="Segoe UI"/>
          <w:szCs w:val="24"/>
          <w:shd w:val="clear" w:color="auto" w:fill="FFFFFF"/>
        </w:rPr>
        <w:t>。</w:t>
      </w:r>
    </w:p>
    <w:p w14:paraId="7FB07873">
      <w:pPr>
        <w:ind w:left="240" w:leftChars="100" w:firstLine="241" w:firstLineChars="100"/>
        <w:rPr>
          <w:rFonts w:ascii="Segoe UI" w:hAnsi="Segoe UI" w:cs="Segoe UI"/>
          <w:szCs w:val="24"/>
          <w:shd w:val="clear" w:color="auto" w:fill="FFFFFF"/>
          <w:lang w:bidi="ar"/>
        </w:rPr>
      </w:pPr>
      <w:r>
        <w:rPr>
          <w:rFonts w:hint="eastAsia" w:cs="Times New Roman"/>
          <w:b/>
          <w:bCs/>
          <w:lang w:bidi="ar"/>
        </w:rPr>
        <w:t>5</w:t>
      </w:r>
      <w:r>
        <w:rPr>
          <w:rFonts w:cs="Times New Roman"/>
          <w:lang w:bidi="ar"/>
        </w:rPr>
        <w:t xml:space="preserve"> </w:t>
      </w:r>
      <w:r>
        <w:rPr>
          <w:rFonts w:hint="eastAsia"/>
        </w:rPr>
        <w:t>植物应在适宜季节栽种，并选择耐旱、耐淹、去污能力强的乡土物种</w:t>
      </w:r>
      <w:r>
        <w:rPr>
          <w:rFonts w:hint="eastAsia" w:ascii="Segoe UI" w:hAnsi="Segoe UI" w:cs="Segoe UI"/>
          <w:szCs w:val="24"/>
          <w:shd w:val="clear" w:color="auto" w:fill="FFFFFF"/>
          <w:lang w:bidi="ar"/>
        </w:rPr>
        <w:t>。</w:t>
      </w:r>
    </w:p>
    <w:p w14:paraId="3009DF5F">
      <w:pPr>
        <w:ind w:firstLine="0" w:firstLineChars="0"/>
        <w:rPr>
          <w:rFonts w:cs="Segoe UI"/>
          <w:szCs w:val="24"/>
          <w:shd w:val="clear" w:color="auto" w:fill="FFFFFF"/>
          <w:lang w:bidi="ar"/>
        </w:rPr>
      </w:pPr>
      <w:r>
        <w:rPr>
          <w:rFonts w:hint="eastAsia" w:cs="Segoe UI"/>
          <w:szCs w:val="24"/>
          <w:shd w:val="clear" w:color="auto" w:fill="FFFFFF"/>
          <w:lang w:bidi="ar"/>
        </w:rPr>
        <w:t>【条文说明】基底夯实是防止工后不均匀沉降导致设施结构破坏或功能失效，是保障地下构筑物安全稳定的成熟通用的土建技术要求</w:t>
      </w:r>
      <w:r>
        <w:rPr>
          <w:rFonts w:ascii="宋体" w:hAnsi="宋体" w:cs="Times New Roman"/>
        </w:rPr>
        <w:t>。对于需要蓄水或防止污染下渗的区域，防渗层完整性是核心屏障</w:t>
      </w:r>
      <w:r>
        <w:rPr>
          <w:rFonts w:hint="eastAsia" w:ascii="宋体" w:hAnsi="宋体" w:cs="Times New Roman"/>
        </w:rPr>
        <w:t>，</w:t>
      </w:r>
      <w:r>
        <w:rPr>
          <w:rFonts w:ascii="宋体" w:hAnsi="宋体" w:cs="Times New Roman"/>
        </w:rPr>
        <w:t>要求无渗漏是保证其预定水文功能（如蓄水、防渗）的关键技术指标</w:t>
      </w:r>
      <w:r>
        <w:rPr>
          <w:rFonts w:hint="eastAsia" w:ascii="宋体" w:hAnsi="宋体" w:cs="Times New Roman"/>
        </w:rPr>
        <w:t>。砾石、砂等填料的级配和填充方式是决定生物滞留设施渗透速率、净化效果和防堵塞性能的核心，按设计级配分层施工是保证其水力功能达到设计目标的必要措施。溢流井、穿孔管是控制水流路径、保证系统安全（超标雨水溢流）和均匀布水/收水的关键部件。其位置和标高准确性是设施能否按设计意图运行的决定性因素。植物是发挥蒸腾作用、净化水质等重要生态功能的核心。选择耐旱耐淹乡土物种并适时栽种，是基于生态适应性原则和大量实践验证的成功经验，能确保植物高成活率及设施长期低维护运行。</w:t>
      </w:r>
    </w:p>
    <w:p w14:paraId="05CB0247">
      <w:pPr>
        <w:ind w:firstLine="0" w:firstLineChars="0"/>
        <w:rPr>
          <w:rFonts w:cs="Times New Roman"/>
        </w:rPr>
      </w:pPr>
      <w:r>
        <w:rPr>
          <w:rFonts w:cs="Times New Roman"/>
          <w:b/>
          <w:bCs/>
        </w:rPr>
        <w:t>7.6.</w:t>
      </w:r>
      <w:r>
        <w:rPr>
          <w:rFonts w:hint="eastAsia" w:cs="Times New Roman"/>
          <w:b/>
          <w:bCs/>
        </w:rPr>
        <w:t>12</w:t>
      </w:r>
      <w:r>
        <w:rPr>
          <w:rFonts w:cs="Times New Roman"/>
          <w:b/>
          <w:bCs/>
        </w:rPr>
        <w:t xml:space="preserve">  </w:t>
      </w:r>
      <w:r>
        <w:rPr>
          <w:rFonts w:hint="eastAsia" w:cs="Times New Roman"/>
          <w:szCs w:val="24"/>
        </w:rPr>
        <w:t>人工湿地的施工</w:t>
      </w:r>
      <w:r>
        <w:rPr>
          <w:rFonts w:hint="eastAsia" w:ascii="宋体" w:hAnsi="宋体" w:cs="Times New Roman"/>
        </w:rPr>
        <w:t>应符合下列规定：</w:t>
      </w:r>
    </w:p>
    <w:p w14:paraId="58230B33">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cs="Times New Roman"/>
          <w:szCs w:val="24"/>
        </w:rPr>
        <w:t>应按设计进行土方开挖和地形整理，保证高程和坡度符合设计要求</w:t>
      </w:r>
      <w:r>
        <w:rPr>
          <w:rFonts w:hint="eastAsia" w:ascii="Segoe UI" w:hAnsi="Segoe UI" w:cs="Segoe UI"/>
          <w:szCs w:val="24"/>
          <w:shd w:val="clear" w:color="auto" w:fill="FFFFFF"/>
          <w:lang w:bidi="ar"/>
        </w:rPr>
        <w:t>。</w:t>
      </w:r>
    </w:p>
    <w:p w14:paraId="53718036">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cs="Times New Roman"/>
          <w:szCs w:val="24"/>
        </w:rPr>
        <w:t>防渗层施工应保证完整性，无渗漏</w:t>
      </w:r>
      <w:r>
        <w:rPr>
          <w:rFonts w:hint="eastAsia" w:ascii="Segoe UI" w:hAnsi="Segoe UI" w:eastAsia="Segoe UI" w:cs="Segoe UI"/>
          <w:szCs w:val="24"/>
          <w:shd w:val="clear" w:color="auto" w:fill="FFFFFF"/>
        </w:rPr>
        <w:t>。</w:t>
      </w:r>
    </w:p>
    <w:p w14:paraId="44508BE8">
      <w:pPr>
        <w:ind w:left="240" w:leftChars="100" w:firstLine="241" w:firstLineChars="100"/>
        <w:rPr>
          <w:rFonts w:ascii="Segoe UI" w:hAnsi="Segoe UI" w:eastAsia="Segoe UI" w:cs="Segoe UI"/>
          <w:szCs w:val="24"/>
          <w:shd w:val="clear" w:color="auto" w:fill="FFFFFF"/>
        </w:rPr>
      </w:pPr>
      <w:r>
        <w:rPr>
          <w:rFonts w:hint="eastAsia" w:cs="Times New Roman"/>
          <w:b/>
          <w:bCs/>
          <w:lang w:bidi="ar"/>
        </w:rPr>
        <w:t>3</w:t>
      </w:r>
      <w:r>
        <w:rPr>
          <w:rFonts w:cs="Times New Roman"/>
          <w:lang w:bidi="ar"/>
        </w:rPr>
        <w:t xml:space="preserve"> </w:t>
      </w:r>
      <w:r>
        <w:rPr>
          <w:rFonts w:hint="eastAsia" w:cs="Times New Roman"/>
          <w:szCs w:val="24"/>
        </w:rPr>
        <w:t>填料铺设应按设计级配分层铺设，</w:t>
      </w:r>
      <w:r>
        <w:rPr>
          <w:rFonts w:hint="eastAsia"/>
        </w:rPr>
        <w:t>形成适宜水生植物生长的基质层</w:t>
      </w:r>
      <w:r>
        <w:rPr>
          <w:rFonts w:hint="eastAsia" w:ascii="Segoe UI" w:hAnsi="Segoe UI" w:eastAsia="Segoe UI" w:cs="Segoe UI"/>
          <w:szCs w:val="24"/>
          <w:shd w:val="clear" w:color="auto" w:fill="FFFFFF"/>
        </w:rPr>
        <w:t>。</w:t>
      </w:r>
    </w:p>
    <w:p w14:paraId="61141986">
      <w:pPr>
        <w:ind w:left="240" w:leftChars="100" w:firstLine="241" w:firstLineChars="100"/>
        <w:rPr>
          <w:rFonts w:ascii="Segoe UI" w:hAnsi="Segoe UI" w:cs="Segoe UI"/>
          <w:szCs w:val="24"/>
          <w:shd w:val="clear" w:color="auto" w:fill="FFFFFF"/>
          <w:lang w:bidi="ar"/>
        </w:rPr>
      </w:pPr>
      <w:r>
        <w:rPr>
          <w:rFonts w:hint="eastAsia" w:cs="Times New Roman"/>
          <w:b/>
          <w:bCs/>
          <w:lang w:bidi="ar"/>
        </w:rPr>
        <w:t>4</w:t>
      </w:r>
      <w:r>
        <w:rPr>
          <w:rFonts w:cs="Times New Roman"/>
          <w:lang w:bidi="ar"/>
        </w:rPr>
        <w:t xml:space="preserve"> </w:t>
      </w:r>
      <w:r>
        <w:rPr>
          <w:rFonts w:hint="eastAsia" w:cs="Times New Roman"/>
          <w:szCs w:val="24"/>
        </w:rPr>
        <w:t>植物种植应选择健壮苗种，按设计的品种、密度、</w:t>
      </w:r>
      <w:r>
        <w:rPr>
          <w:rFonts w:hint="eastAsia"/>
        </w:rPr>
        <w:t>配置模式</w:t>
      </w:r>
      <w:r>
        <w:rPr>
          <w:rFonts w:hint="eastAsia" w:cs="Times New Roman"/>
          <w:szCs w:val="24"/>
        </w:rPr>
        <w:t>和季节种植，并及时养护</w:t>
      </w:r>
      <w:r>
        <w:rPr>
          <w:rFonts w:hint="eastAsia" w:ascii="Segoe UI" w:hAnsi="Segoe UI" w:cs="Segoe UI"/>
          <w:szCs w:val="24"/>
          <w:shd w:val="clear" w:color="auto" w:fill="FFFFFF"/>
          <w:lang w:bidi="ar"/>
        </w:rPr>
        <w:t>。</w:t>
      </w:r>
    </w:p>
    <w:p w14:paraId="5B240624">
      <w:pPr>
        <w:ind w:left="240" w:leftChars="100" w:firstLine="241" w:firstLineChars="100"/>
        <w:rPr>
          <w:rFonts w:ascii="Segoe UI" w:hAnsi="Segoe UI" w:cs="Segoe UI"/>
          <w:szCs w:val="24"/>
          <w:shd w:val="clear" w:color="auto" w:fill="FFFFFF"/>
          <w:lang w:bidi="ar"/>
        </w:rPr>
      </w:pPr>
      <w:r>
        <w:rPr>
          <w:rFonts w:hint="eastAsia" w:cs="Times New Roman"/>
          <w:b/>
          <w:bCs/>
          <w:lang w:bidi="ar"/>
        </w:rPr>
        <w:t>5</w:t>
      </w:r>
      <w:r>
        <w:rPr>
          <w:rFonts w:cs="Times New Roman"/>
          <w:lang w:bidi="ar"/>
        </w:rPr>
        <w:t xml:space="preserve"> </w:t>
      </w:r>
      <w:r>
        <w:rPr>
          <w:rFonts w:hint="eastAsia"/>
        </w:rPr>
        <w:t>逐步调整水位，确保植物成活率</w:t>
      </w:r>
      <w:r>
        <w:rPr>
          <w:rFonts w:hint="eastAsia" w:ascii="Segoe UI" w:hAnsi="Segoe UI" w:cs="Segoe UI"/>
          <w:szCs w:val="24"/>
          <w:shd w:val="clear" w:color="auto" w:fill="FFFFFF"/>
          <w:lang w:bidi="ar"/>
        </w:rPr>
        <w:t>。</w:t>
      </w:r>
    </w:p>
    <w:p w14:paraId="100C7277">
      <w:pPr>
        <w:ind w:firstLine="0" w:firstLineChars="0"/>
        <w:rPr>
          <w:rFonts w:cs="Segoe UI"/>
          <w:szCs w:val="24"/>
          <w:shd w:val="clear" w:color="auto" w:fill="FFFFFF"/>
          <w:lang w:bidi="ar"/>
        </w:rPr>
      </w:pPr>
      <w:r>
        <w:rPr>
          <w:rFonts w:hint="eastAsia" w:cs="Segoe UI"/>
          <w:szCs w:val="24"/>
          <w:shd w:val="clear" w:color="auto" w:fill="FFFFFF"/>
          <w:lang w:bidi="ar"/>
        </w:rPr>
        <w:t>【条文说明】精确的土方开挖和高程控制是保证人工湿地内部水力流程均匀、避免短流、实现设计水力停留时间的基础</w:t>
      </w:r>
      <w:r>
        <w:rPr>
          <w:rFonts w:ascii="宋体" w:hAnsi="宋体" w:cs="Times New Roman"/>
        </w:rPr>
        <w:t>。对于防止处理后的出水渗漏污染周边土壤与地下水，或防止外部地下水渗入稀释进水浓度，防渗层都是核心环境安全屏障。砾石、砂</w:t>
      </w:r>
      <w:r>
        <w:rPr>
          <w:rFonts w:hint="eastAsia" w:ascii="宋体" w:hAnsi="宋体" w:cs="Times New Roman"/>
        </w:rPr>
        <w:t>等</w:t>
      </w:r>
      <w:r>
        <w:rPr>
          <w:rFonts w:ascii="宋体" w:hAnsi="宋体" w:cs="Times New Roman"/>
        </w:rPr>
        <w:t>填料的级配、厚度和铺设方式是形成适宜微生物附着生长的基质层、决定污染物去除效率和防止堵塞的物理基础。水生植物是人工湿地净化功能的重要组成部分</w:t>
      </w:r>
      <w:r>
        <w:rPr>
          <w:rFonts w:hint="eastAsia" w:ascii="宋体" w:hAnsi="宋体" w:cs="Times New Roman"/>
        </w:rPr>
        <w:t>，</w:t>
      </w:r>
      <w:r>
        <w:rPr>
          <w:rFonts w:ascii="宋体" w:hAnsi="宋体" w:cs="Times New Roman"/>
        </w:rPr>
        <w:t>选择健壮本土苗种、按设计密度和模式种植并及时养护，是确保植物快速定植、形成稳定群落并发挥根区净化作用的成熟且必要的生物措施</w:t>
      </w:r>
      <w:r>
        <w:rPr>
          <w:rFonts w:hint="eastAsia" w:ascii="宋体" w:hAnsi="宋体" w:cs="Times New Roman"/>
        </w:rPr>
        <w:t>。湿地植物（尤其是挺水植物）的成活需要逐步适应水生环境。逐步抬升水位直至设计运行水位，是防止苗木淹死或干涸、保障高成活率的关键且成熟的运行管理措施。</w:t>
      </w:r>
    </w:p>
    <w:p w14:paraId="488FFB79">
      <w:pPr>
        <w:ind w:firstLine="0" w:firstLineChars="0"/>
        <w:rPr>
          <w:rFonts w:cs="Times New Roman"/>
        </w:rPr>
      </w:pPr>
      <w:r>
        <w:rPr>
          <w:rFonts w:cs="Times New Roman"/>
          <w:b/>
          <w:bCs/>
        </w:rPr>
        <w:t>7.6.</w:t>
      </w:r>
      <w:r>
        <w:rPr>
          <w:rFonts w:hint="eastAsia" w:cs="Times New Roman"/>
          <w:b/>
          <w:bCs/>
        </w:rPr>
        <w:t>13</w:t>
      </w:r>
      <w:r>
        <w:rPr>
          <w:rFonts w:cs="Times New Roman"/>
          <w:b/>
          <w:bCs/>
        </w:rPr>
        <w:t xml:space="preserve">  </w:t>
      </w:r>
      <w:r>
        <w:rPr>
          <w:rFonts w:hint="eastAsia" w:cs="Times New Roman"/>
          <w:szCs w:val="24"/>
        </w:rPr>
        <w:t>生态护坡的施工</w:t>
      </w:r>
      <w:r>
        <w:rPr>
          <w:rFonts w:hint="eastAsia" w:ascii="宋体" w:hAnsi="宋体" w:cs="Times New Roman"/>
        </w:rPr>
        <w:t>应符合下列规定：</w:t>
      </w:r>
    </w:p>
    <w:p w14:paraId="56AF2C4B">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cs="Times New Roman"/>
          <w:szCs w:val="24"/>
        </w:rPr>
        <w:t>应按设计坡度进行岸坡修整</w:t>
      </w:r>
      <w:r>
        <w:rPr>
          <w:rFonts w:hint="eastAsia" w:ascii="Segoe UI" w:hAnsi="Segoe UI" w:cs="Segoe UI"/>
          <w:szCs w:val="24"/>
          <w:shd w:val="clear" w:color="auto" w:fill="FFFFFF"/>
          <w:lang w:bidi="ar"/>
        </w:rPr>
        <w:t>。</w:t>
      </w:r>
    </w:p>
    <w:p w14:paraId="19432333">
      <w:pPr>
        <w:ind w:left="240" w:leftChars="100" w:firstLine="241" w:firstLineChars="100"/>
        <w:rPr>
          <w:rFonts w:ascii="Segoe UI" w:hAnsi="Segoe UI" w:eastAsia="Segoe UI" w:cs="Segoe UI"/>
          <w:szCs w:val="24"/>
          <w:shd w:val="clear" w:color="auto" w:fill="FFFFFF"/>
        </w:rPr>
      </w:pPr>
      <w:r>
        <w:rPr>
          <w:rFonts w:hint="eastAsia" w:cs="Times New Roman"/>
          <w:b/>
          <w:bCs/>
          <w:lang w:bidi="ar"/>
        </w:rPr>
        <w:t>2</w:t>
      </w:r>
      <w:r>
        <w:rPr>
          <w:rFonts w:cs="Times New Roman"/>
          <w:lang w:bidi="ar"/>
        </w:rPr>
        <w:t xml:space="preserve"> </w:t>
      </w:r>
      <w:r>
        <w:rPr>
          <w:rFonts w:hint="eastAsia" w:cs="Times New Roman"/>
          <w:szCs w:val="24"/>
        </w:rPr>
        <w:t>石笼、生态袋等材料的铺设和填充应牢固、密实</w:t>
      </w:r>
      <w:r>
        <w:rPr>
          <w:rFonts w:hint="eastAsia" w:ascii="Segoe UI" w:hAnsi="Segoe UI" w:eastAsia="Segoe UI" w:cs="Segoe UI"/>
          <w:szCs w:val="24"/>
          <w:shd w:val="clear" w:color="auto" w:fill="FFFFFF"/>
        </w:rPr>
        <w:t>。</w:t>
      </w:r>
    </w:p>
    <w:p w14:paraId="3FAA08DC">
      <w:pPr>
        <w:ind w:left="240" w:leftChars="100" w:firstLine="241" w:firstLineChars="100"/>
        <w:rPr>
          <w:rFonts w:ascii="Segoe UI" w:hAnsi="Segoe UI" w:cs="Segoe UI"/>
          <w:szCs w:val="24"/>
          <w:shd w:val="clear" w:color="auto" w:fill="FFFFFF"/>
          <w:lang w:bidi="ar"/>
        </w:rPr>
      </w:pPr>
      <w:r>
        <w:rPr>
          <w:rFonts w:hint="eastAsia" w:cs="Times New Roman"/>
          <w:b/>
          <w:bCs/>
          <w:lang w:bidi="ar"/>
        </w:rPr>
        <w:t>3</w:t>
      </w:r>
      <w:r>
        <w:rPr>
          <w:rFonts w:cs="Times New Roman"/>
          <w:lang w:bidi="ar"/>
        </w:rPr>
        <w:t xml:space="preserve"> </w:t>
      </w:r>
      <w:r>
        <w:rPr>
          <w:rFonts w:hint="eastAsia" w:cs="Times New Roman"/>
          <w:szCs w:val="24"/>
        </w:rPr>
        <w:t>植物种植可采用扦插、喷播、栽植等多种方式，确保成活率</w:t>
      </w:r>
      <w:r>
        <w:rPr>
          <w:rFonts w:hint="eastAsia" w:ascii="Segoe UI" w:hAnsi="Segoe UI" w:cs="Segoe UI"/>
          <w:szCs w:val="24"/>
          <w:shd w:val="clear" w:color="auto" w:fill="FFFFFF"/>
          <w:lang w:bidi="ar"/>
        </w:rPr>
        <w:t>。</w:t>
      </w:r>
    </w:p>
    <w:p w14:paraId="7922B5A3">
      <w:pPr>
        <w:ind w:firstLine="0" w:firstLineChars="0"/>
        <w:rPr>
          <w:rFonts w:cs="Segoe UI"/>
          <w:szCs w:val="24"/>
          <w:shd w:val="clear" w:color="auto" w:fill="FFFFFF"/>
          <w:lang w:bidi="ar"/>
        </w:rPr>
      </w:pPr>
      <w:r>
        <w:rPr>
          <w:rFonts w:hint="eastAsia" w:cs="Segoe UI"/>
          <w:szCs w:val="24"/>
          <w:shd w:val="clear" w:color="auto" w:fill="FFFFFF"/>
          <w:lang w:bidi="ar"/>
        </w:rPr>
        <w:t>【条文说明】按设计坡度修整是保证护坡结构抗滑移、抗冲刷稳定性的基础前提</w:t>
      </w:r>
      <w:r>
        <w:rPr>
          <w:rFonts w:ascii="宋体" w:hAnsi="宋体" w:cs="Times New Roman"/>
        </w:rPr>
        <w:t>。石笼、生态袋等是兼具结构性与生态性的成熟材料</w:t>
      </w:r>
      <w:r>
        <w:rPr>
          <w:rFonts w:hint="eastAsia" w:ascii="宋体" w:hAnsi="宋体" w:cs="Times New Roman"/>
        </w:rPr>
        <w:t>，</w:t>
      </w:r>
      <w:r>
        <w:rPr>
          <w:rFonts w:ascii="宋体" w:hAnsi="宋体" w:cs="Times New Roman"/>
        </w:rPr>
        <w:t>要求“牢固、密实”是确保其整体性、抗水流冲刷能力和耐久性的核心质量控制点</w:t>
      </w:r>
      <w:r>
        <w:rPr>
          <w:rFonts w:hint="eastAsia" w:ascii="宋体" w:hAnsi="宋体" w:cs="Times New Roman"/>
        </w:rPr>
        <w:t>。植被是生态护坡发挥根系固土、拦截面源、美化环境等长期生态功能的核心，提倡采用扦插、喷播、栽植等多样化方式，体现了因地制宜、保证成活率的成熟施工原则。客土喷播、液压喷播等喷播技术尤其适用于陡峭边坡，技术成熟度高；选择栽植或扦插则利于精准构建植物群落。确保成活率是衡量生态效果成败的关键，需要通过适地适种（选择乡土植物）、适时施工（选择适宜季节）及后续养护来实现。</w:t>
      </w:r>
    </w:p>
    <w:p w14:paraId="439F26A0">
      <w:pPr>
        <w:ind w:firstLine="0" w:firstLineChars="0"/>
        <w:rPr>
          <w:rFonts w:cs="Times New Roman"/>
        </w:rPr>
      </w:pPr>
      <w:r>
        <w:rPr>
          <w:rFonts w:cs="Times New Roman"/>
          <w:b/>
          <w:bCs/>
        </w:rPr>
        <w:t>7.6.</w:t>
      </w:r>
      <w:r>
        <w:rPr>
          <w:rFonts w:hint="eastAsia" w:cs="Times New Roman"/>
          <w:b/>
          <w:bCs/>
        </w:rPr>
        <w:t>14</w:t>
      </w:r>
      <w:r>
        <w:rPr>
          <w:rFonts w:cs="Times New Roman"/>
          <w:b/>
          <w:bCs/>
        </w:rPr>
        <w:t xml:space="preserve">  </w:t>
      </w:r>
      <w:r>
        <w:rPr>
          <w:rFonts w:hint="eastAsia" w:cs="Times New Roman"/>
          <w:szCs w:val="24"/>
        </w:rPr>
        <w:t>地下水修复设施的施工</w:t>
      </w:r>
      <w:r>
        <w:rPr>
          <w:rFonts w:hint="eastAsia" w:ascii="宋体" w:hAnsi="宋体" w:cs="Times New Roman"/>
        </w:rPr>
        <w:t>应符合下列规定：</w:t>
      </w:r>
    </w:p>
    <w:p w14:paraId="4B999E11">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cs="Times New Roman"/>
          <w:szCs w:val="24"/>
        </w:rPr>
        <w:t>钻井施工应符合设计要求，井管安装垂直，滤料填充到位</w:t>
      </w:r>
      <w:r>
        <w:rPr>
          <w:rFonts w:hint="eastAsia" w:ascii="Segoe UI" w:hAnsi="Segoe UI" w:cs="Segoe UI"/>
          <w:szCs w:val="24"/>
          <w:shd w:val="clear" w:color="auto" w:fill="FFFFFF"/>
          <w:lang w:bidi="ar"/>
        </w:rPr>
        <w:t>。</w:t>
      </w:r>
    </w:p>
    <w:p w14:paraId="5F51D920">
      <w:pPr>
        <w:ind w:left="240" w:leftChars="100" w:firstLine="241" w:firstLineChars="100"/>
        <w:rPr>
          <w:rFonts w:ascii="Segoe UI" w:hAnsi="Segoe UI" w:cs="Segoe UI"/>
          <w:szCs w:val="24"/>
          <w:shd w:val="clear" w:color="auto" w:fill="FFFFFF"/>
          <w:lang w:bidi="ar"/>
        </w:rPr>
      </w:pPr>
      <w:r>
        <w:rPr>
          <w:rFonts w:hint="eastAsia" w:cs="Times New Roman"/>
          <w:b/>
          <w:bCs/>
          <w:lang w:bidi="ar"/>
        </w:rPr>
        <w:t>2</w:t>
      </w:r>
      <w:r>
        <w:rPr>
          <w:rFonts w:cs="Times New Roman"/>
          <w:lang w:bidi="ar"/>
        </w:rPr>
        <w:t xml:space="preserve"> </w:t>
      </w:r>
      <w:r>
        <w:rPr>
          <w:rFonts w:hint="eastAsia" w:cs="Times New Roman"/>
          <w:szCs w:val="24"/>
        </w:rPr>
        <w:t>沟槽开挖、反应材料填充和回填应连续作业，防止塌方和材料污染</w:t>
      </w:r>
      <w:r>
        <w:rPr>
          <w:rFonts w:hint="eastAsia" w:ascii="Segoe UI" w:hAnsi="Segoe UI" w:cs="Segoe UI"/>
          <w:szCs w:val="24"/>
          <w:shd w:val="clear" w:color="auto" w:fill="FFFFFF"/>
          <w:lang w:bidi="ar"/>
        </w:rPr>
        <w:t>。</w:t>
      </w:r>
    </w:p>
    <w:p w14:paraId="6203907E">
      <w:pPr>
        <w:ind w:firstLine="0" w:firstLineChars="0"/>
        <w:rPr>
          <w:rFonts w:cs="Segoe UI"/>
          <w:szCs w:val="24"/>
          <w:shd w:val="clear" w:color="auto" w:fill="FFFFFF"/>
          <w:lang w:bidi="ar"/>
        </w:rPr>
      </w:pPr>
      <w:r>
        <w:rPr>
          <w:rFonts w:hint="eastAsia" w:cs="Segoe UI"/>
          <w:szCs w:val="24"/>
          <w:shd w:val="clear" w:color="auto" w:fill="FFFFFF"/>
          <w:lang w:bidi="ar"/>
        </w:rPr>
        <w:t>【条文说明】监测井、抽提井、注入井等修复井是实施地下水修复的关键工程设施。井管安装垂直度偏差、滤料填充的级配与高度是决定井的结构安全、出水效率（防淤堵）和监测数据准确性的决定性因素。沟槽开挖后暴露时间过长易导致侧壁坍塌，影响设计结构尺寸并危及施工安全；反应材料若长时间暴露则可能因氧化、潮湿结块而失效。要求“连续作业”是保障修复墙体施工质量、确保其长期有效运行及施工安全的核心且成熟的工程管理措施。</w:t>
      </w:r>
    </w:p>
    <w:p w14:paraId="3DCB12E2">
      <w:pPr>
        <w:ind w:firstLine="0" w:firstLineChars="0"/>
        <w:rPr>
          <w:rFonts w:cs="Times New Roman"/>
        </w:rPr>
      </w:pPr>
      <w:r>
        <w:rPr>
          <w:rFonts w:cs="Times New Roman"/>
          <w:b/>
          <w:bCs/>
        </w:rPr>
        <w:t>7.6.</w:t>
      </w:r>
      <w:r>
        <w:rPr>
          <w:rFonts w:hint="eastAsia" w:cs="Times New Roman"/>
          <w:b/>
          <w:bCs/>
        </w:rPr>
        <w:t>15</w:t>
      </w:r>
      <w:r>
        <w:rPr>
          <w:rFonts w:cs="Times New Roman"/>
          <w:b/>
          <w:bCs/>
        </w:rPr>
        <w:t xml:space="preserve">  </w:t>
      </w:r>
      <w:r>
        <w:rPr>
          <w:rFonts w:hint="eastAsia" w:cs="Times New Roman"/>
          <w:szCs w:val="24"/>
        </w:rPr>
        <w:t>在线</w:t>
      </w:r>
      <w:bookmarkStart w:id="94" w:name="OLE_LINK1"/>
      <w:r>
        <w:rPr>
          <w:rFonts w:hint="eastAsia" w:cs="Times New Roman"/>
          <w:szCs w:val="24"/>
        </w:rPr>
        <w:t>监测</w:t>
      </w:r>
      <w:bookmarkEnd w:id="94"/>
      <w:r>
        <w:rPr>
          <w:rFonts w:hint="eastAsia" w:cs="Times New Roman"/>
          <w:szCs w:val="24"/>
        </w:rPr>
        <w:t>系统的施工</w:t>
      </w:r>
      <w:r>
        <w:rPr>
          <w:rFonts w:hint="eastAsia" w:ascii="宋体" w:hAnsi="宋体" w:cs="Times New Roman"/>
        </w:rPr>
        <w:t>应符合下列规定：</w:t>
      </w:r>
    </w:p>
    <w:p w14:paraId="32A02B2A">
      <w:pPr>
        <w:ind w:left="240" w:leftChars="100" w:firstLine="241" w:firstLineChars="100"/>
        <w:rPr>
          <w:rFonts w:ascii="Segoe UI" w:hAnsi="Segoe UI" w:eastAsia="Segoe UI" w:cs="Segoe UI"/>
          <w:szCs w:val="24"/>
          <w:shd w:val="clear" w:color="auto" w:fill="FFFFFF"/>
        </w:rPr>
      </w:pPr>
      <w:r>
        <w:rPr>
          <w:rFonts w:cs="Times New Roman"/>
          <w:b/>
          <w:bCs/>
          <w:lang w:bidi="ar"/>
        </w:rPr>
        <w:t>1</w:t>
      </w:r>
      <w:r>
        <w:rPr>
          <w:rFonts w:cs="Times New Roman"/>
          <w:lang w:bidi="ar"/>
        </w:rPr>
        <w:t xml:space="preserve"> </w:t>
      </w:r>
      <w:r>
        <w:rPr>
          <w:rFonts w:hint="eastAsia" w:cs="Times New Roman"/>
          <w:szCs w:val="24"/>
        </w:rPr>
        <w:t>传感器安装位置应具有代表性</w:t>
      </w:r>
      <w:r>
        <w:rPr>
          <w:rFonts w:hint="eastAsia" w:ascii="Segoe UI" w:hAnsi="Segoe UI" w:cs="Segoe UI"/>
          <w:szCs w:val="24"/>
          <w:shd w:val="clear" w:color="auto" w:fill="FFFFFF"/>
          <w:lang w:bidi="ar"/>
        </w:rPr>
        <w:t>。</w:t>
      </w:r>
    </w:p>
    <w:p w14:paraId="45A4B38A">
      <w:pPr>
        <w:ind w:left="240" w:leftChars="100" w:firstLine="241" w:firstLineChars="100"/>
        <w:rPr>
          <w:rFonts w:cs="Times New Roman"/>
          <w:szCs w:val="24"/>
        </w:rPr>
      </w:pPr>
      <w:r>
        <w:rPr>
          <w:rFonts w:hint="eastAsia" w:cs="Times New Roman"/>
          <w:b/>
          <w:bCs/>
          <w:lang w:bidi="ar"/>
        </w:rPr>
        <w:t>2</w:t>
      </w:r>
      <w:r>
        <w:rPr>
          <w:rFonts w:cs="Times New Roman"/>
          <w:lang w:bidi="ar"/>
        </w:rPr>
        <w:t xml:space="preserve"> </w:t>
      </w:r>
      <w:r>
        <w:rPr>
          <w:rFonts w:hint="eastAsia" w:cs="Times New Roman"/>
          <w:szCs w:val="24"/>
        </w:rPr>
        <w:t>数据传输线路应能屏蔽干扰。</w:t>
      </w:r>
    </w:p>
    <w:p w14:paraId="5A888155">
      <w:pPr>
        <w:ind w:left="240" w:leftChars="100" w:firstLine="241" w:firstLineChars="100"/>
        <w:rPr>
          <w:rFonts w:ascii="Segoe UI" w:hAnsi="Segoe UI" w:cs="Segoe UI"/>
          <w:szCs w:val="24"/>
          <w:shd w:val="clear" w:color="auto" w:fill="FFFFFF"/>
          <w:lang w:bidi="ar"/>
        </w:rPr>
      </w:pPr>
      <w:r>
        <w:rPr>
          <w:rFonts w:hint="eastAsia" w:cs="Times New Roman"/>
          <w:b/>
          <w:bCs/>
          <w:lang w:bidi="ar"/>
        </w:rPr>
        <w:t>3</w:t>
      </w:r>
      <w:r>
        <w:rPr>
          <w:rFonts w:cs="Times New Roman"/>
          <w:lang w:bidi="ar"/>
        </w:rPr>
        <w:t xml:space="preserve"> </w:t>
      </w:r>
      <w:r>
        <w:rPr>
          <w:rFonts w:hint="eastAsia" w:cs="Times New Roman"/>
          <w:szCs w:val="24"/>
        </w:rPr>
        <w:t>监测站房建设应防雷防潮</w:t>
      </w:r>
      <w:r>
        <w:rPr>
          <w:rFonts w:hint="eastAsia" w:ascii="Segoe UI" w:hAnsi="Segoe UI" w:cs="Segoe UI"/>
          <w:szCs w:val="24"/>
          <w:shd w:val="clear" w:color="auto" w:fill="FFFFFF"/>
          <w:lang w:bidi="ar"/>
        </w:rPr>
        <w:t>。</w:t>
      </w:r>
    </w:p>
    <w:p w14:paraId="41D68FAB">
      <w:pPr>
        <w:ind w:firstLine="0" w:firstLineChars="0"/>
        <w:rPr>
          <w:rFonts w:cs="Segoe UI"/>
          <w:szCs w:val="24"/>
          <w:shd w:val="clear" w:color="auto" w:fill="FFFFFF"/>
          <w:lang w:bidi="ar"/>
        </w:rPr>
      </w:pPr>
      <w:r>
        <w:rPr>
          <w:rFonts w:hint="eastAsia" w:cs="Segoe UI"/>
          <w:szCs w:val="24"/>
          <w:shd w:val="clear" w:color="auto" w:fill="FFFFFF"/>
          <w:lang w:bidi="ar"/>
        </w:rPr>
        <w:t>【条文说明】传感器安装位置的代表性是获取真实、有效环境数据的首要前提，位置必须能准确反映所监控区域（如排污口、河道断面）的整体水质或水文状况，避免死水区、湍流区等干扰。数据传输线路应能屏蔽干扰的要求是基于环境监测统计学原理和大量实践验证的核心原则，在线监测信号多为低电压的模拟或数字信号，极易受周边动力电缆、电磁设备等干扰，导致数据失真、跳变或通信中断。采用屏蔽线缆并规范布线，是保证数据完整、可靠传输至监控中心的成熟且必要的工程技术措施。监测站房内安装有精密的数据采集仪、通讯设备等电子装置。雷击是导致设备大规模损坏的主要风险，潮湿环境则会引发线路短路、设备锈蚀和绝缘性能下降。因此，防雷（如安装浪涌保护器）和防潮（如空调、除湿机）是保障昂贵监测设备长期稳定运行、减少故障率的成熟、可靠的基础性防护要求。</w:t>
      </w:r>
    </w:p>
    <w:p w14:paraId="7845817A">
      <w:pPr>
        <w:ind w:firstLine="0" w:firstLineChars="0"/>
      </w:pPr>
      <w:r>
        <w:rPr>
          <w:b/>
          <w:bCs/>
        </w:rPr>
        <w:t>7.6.16</w:t>
      </w:r>
      <w:r>
        <w:t xml:space="preserve">  </w:t>
      </w:r>
      <w:r>
        <w:rPr>
          <w:rFonts w:hint="eastAsia"/>
        </w:rPr>
        <w:t>水土保持工程</w:t>
      </w:r>
    </w:p>
    <w:p w14:paraId="1D852932">
      <w:pPr>
        <w:ind w:left="240" w:leftChars="100" w:firstLine="241" w:firstLineChars="100"/>
      </w:pPr>
      <w:r>
        <w:rPr>
          <w:rFonts w:hint="eastAsia"/>
          <w:b/>
          <w:bCs/>
        </w:rPr>
        <w:t>1</w:t>
      </w:r>
      <w:r>
        <w:t xml:space="preserve"> </w:t>
      </w:r>
      <w:r>
        <w:rPr>
          <w:rFonts w:hint="eastAsia"/>
        </w:rPr>
        <w:t>护坡工程应结合地形地貌与来水来沙条件，优先采用与周边生态环境相协调的生态型护坡；当采用混凝土护坡、浆砌石护坡时，应同步设置泄水孔、反滤层与排（截）水构造，并通过挂网喷植、种植槽、植草沟等进行生态化处理；不得因封闭硬化阻断天然径流而形成集中冲刷。坡面与平台宜同步完善截排水系统与消能防冲措施。</w:t>
      </w:r>
    </w:p>
    <w:p w14:paraId="188A3104">
      <w:pPr>
        <w:ind w:left="240" w:leftChars="100" w:firstLine="241" w:firstLineChars="100"/>
      </w:pPr>
      <w:r>
        <w:rPr>
          <w:rFonts w:hint="eastAsia"/>
          <w:b/>
          <w:bCs/>
        </w:rPr>
        <w:t>2</w:t>
      </w:r>
      <w:r>
        <w:t xml:space="preserve"> </w:t>
      </w:r>
      <w:r>
        <w:rPr>
          <w:rFonts w:hint="eastAsia"/>
        </w:rPr>
        <w:t>梯田应按设计线形整平，田面坡度不宜大于 3°；田埂宜采用石砌或混凝土结构，埂高不应小于 0.8 m，埂顶宽不应小于 0.4 m；田埂与田面应分层填筑并压实，设置反滤与泄水构造及溢洪排水通道；转角与高差部位宜加固护脚，防止滑移与淘刷。</w:t>
      </w:r>
    </w:p>
    <w:p w14:paraId="77330742">
      <w:pPr>
        <w:ind w:firstLine="0" w:firstLineChars="0"/>
      </w:pPr>
      <w:r>
        <w:rPr>
          <w:rFonts w:hint="eastAsia"/>
        </w:rPr>
        <w:t>【条文说明】本条强调“生态优先+工程支撑”，对硬质护坡提出反滤与排水配套及生态化处置要求；对梯田明确几何控制与排水消能，保障稳定与水土保持效益。</w:t>
      </w:r>
    </w:p>
    <w:p w14:paraId="088735BB">
      <w:pPr>
        <w:ind w:firstLine="0" w:firstLineChars="0"/>
      </w:pPr>
      <w:r>
        <w:rPr>
          <w:b/>
          <w:bCs/>
        </w:rPr>
        <w:t>7.6.17</w:t>
      </w:r>
      <w:r>
        <w:t xml:space="preserve">  </w:t>
      </w:r>
      <w:r>
        <w:rPr>
          <w:rFonts w:hint="eastAsia"/>
        </w:rPr>
        <w:t>土壤生态修复</w:t>
      </w:r>
    </w:p>
    <w:p w14:paraId="46250127">
      <w:pPr>
        <w:ind w:left="240" w:leftChars="100" w:firstLine="241" w:firstLineChars="100"/>
      </w:pPr>
      <w:r>
        <w:rPr>
          <w:b/>
          <w:bCs/>
        </w:rPr>
        <w:t>1</w:t>
      </w:r>
      <w:r>
        <w:t xml:space="preserve"> </w:t>
      </w:r>
      <w:r>
        <w:rPr>
          <w:rFonts w:hint="eastAsia"/>
        </w:rPr>
        <w:t>对重金属污染土壤，可采用化学淋洗法或林草植被进行修复，淋洗剂应根据土壤性质和重金属种类选择，淋洗过程应控制好淋洗剂的用量、浓度和流速等参数。植被修复可采用超富集的树种或灌草，因地制宜，实现绿色修复与经济节约。</w:t>
      </w:r>
    </w:p>
    <w:p w14:paraId="14AA142E">
      <w:pPr>
        <w:ind w:left="240" w:leftChars="100" w:firstLine="241" w:firstLineChars="100"/>
      </w:pPr>
      <w:r>
        <w:rPr>
          <w:rFonts w:hint="eastAsia"/>
          <w:b/>
          <w:bCs/>
        </w:rPr>
        <w:t>2</w:t>
      </w:r>
      <w:r>
        <w:t xml:space="preserve"> </w:t>
      </w:r>
      <w:r>
        <w:rPr>
          <w:rFonts w:hint="eastAsia"/>
        </w:rPr>
        <w:t>对有机污染土壤，可采用生物修复技术，如添加生态修复靶向菌剂、植物修复等，修复过程中应定期监测土壤中有机污染物的含量变化。</w:t>
      </w:r>
    </w:p>
    <w:p w14:paraId="0952C941">
      <w:pPr>
        <w:ind w:firstLine="0" w:firstLineChars="0"/>
      </w:pPr>
      <w:r>
        <w:rPr>
          <w:rFonts w:hint="eastAsia"/>
        </w:rPr>
        <w:t>【条文说明】本条对重金属与有机污染两大类修复路径作原则性规定：重金属侧重“淋洗/植物—过程控制—废液处置—达标验收”，有机污染侧重“生物强化—条件优化—过程监测—风险控制”，体现“绿色修复、分区施策、避免二次污染”的要求。</w:t>
      </w:r>
    </w:p>
    <w:p w14:paraId="5BD4E879">
      <w:pPr>
        <w:ind w:firstLine="0" w:firstLineChars="0"/>
      </w:pPr>
      <w:r>
        <w:rPr>
          <w:rFonts w:cs="Times New Roman"/>
          <w:b/>
          <w:bCs/>
          <w:lang w:bidi="ar"/>
        </w:rPr>
        <w:t xml:space="preserve">7.6.18 </w:t>
      </w:r>
      <w:r>
        <w:rPr>
          <w:rFonts w:hint="eastAsia" w:cs="宋体"/>
          <w:lang w:bidi="ar"/>
        </w:rPr>
        <w:t>地下水修复</w:t>
      </w:r>
    </w:p>
    <w:p w14:paraId="11E759E7">
      <w:pPr>
        <w:ind w:left="240" w:leftChars="100" w:firstLine="241" w:firstLineChars="100"/>
      </w:pPr>
      <w:r>
        <w:rPr>
          <w:rFonts w:cs="Times New Roman"/>
          <w:b/>
          <w:bCs/>
          <w:lang w:bidi="ar"/>
        </w:rPr>
        <w:t xml:space="preserve">1 </w:t>
      </w:r>
      <w:r>
        <w:rPr>
          <w:rFonts w:hint="eastAsia" w:cs="宋体"/>
          <w:lang w:bidi="ar"/>
        </w:rPr>
        <w:t>地下水修复应采用物理、化学或生物方法，对污染物进行降解、吸附、转移或阻隔，将有毒有害污染物转化为无害物质或使其浓度降至可接受水平，或切断暴露途径，以满足相应的地下水环境功能或使用功能。修复实施不得造成二次污染或引发新的水文地质风险。</w:t>
      </w:r>
    </w:p>
    <w:p w14:paraId="7370B4A1">
      <w:pPr>
        <w:ind w:left="240" w:leftChars="100" w:firstLine="241" w:firstLineChars="100"/>
        <w:rPr>
          <w:rFonts w:cs="Times New Roman"/>
        </w:rPr>
      </w:pPr>
      <w:r>
        <w:rPr>
          <w:rFonts w:cs="Times New Roman"/>
          <w:b/>
          <w:bCs/>
          <w:lang w:bidi="ar"/>
        </w:rPr>
        <w:t>2</w:t>
      </w:r>
      <w:r>
        <w:rPr>
          <w:rFonts w:cs="Times New Roman"/>
          <w:lang w:bidi="ar"/>
        </w:rPr>
        <w:t xml:space="preserve"> </w:t>
      </w:r>
      <w:r>
        <w:rPr>
          <w:rFonts w:hint="eastAsia" w:cs="Times New Roman"/>
          <w:lang w:bidi="ar"/>
        </w:rPr>
        <w:t>异位修复技术指抽出处理技术，适用于渗透性较好的孔隙、裂隙和岩溶含水层，污染范围大、地下水埋深较大的污染地块。也可用于采空区积水。</w:t>
      </w:r>
    </w:p>
    <w:p w14:paraId="45CE69CB">
      <w:pPr>
        <w:ind w:left="240" w:leftChars="100" w:firstLine="241" w:firstLineChars="100"/>
        <w:rPr>
          <w:rFonts w:cs="Times New Roman"/>
        </w:rPr>
      </w:pPr>
      <w:r>
        <w:rPr>
          <w:rFonts w:cs="Times New Roman"/>
          <w:b/>
          <w:bCs/>
          <w:lang w:bidi="ar"/>
        </w:rPr>
        <w:t xml:space="preserve">3 </w:t>
      </w:r>
      <w:r>
        <w:rPr>
          <w:rFonts w:hint="eastAsia" w:cs="Times New Roman"/>
          <w:lang w:bidi="ar"/>
        </w:rPr>
        <w:t>原位修复技术包括：微生物修复技术、植物修复技术、地下水曝气技术、化学氧化技术、化学还原技术、双</w:t>
      </w:r>
      <w:r>
        <w:rPr>
          <w:rFonts w:cs="Times New Roman"/>
          <w:lang w:bidi="ar"/>
        </w:rPr>
        <w:t>/</w:t>
      </w:r>
      <w:r>
        <w:rPr>
          <w:rFonts w:hint="eastAsia" w:cs="Times New Roman"/>
          <w:lang w:bidi="ar"/>
        </w:rPr>
        <w:t>多相抽提技术、热处理技术、电动修复技术、监测自然衰减技术。</w:t>
      </w:r>
    </w:p>
    <w:p w14:paraId="1ABD5A67">
      <w:pPr>
        <w:ind w:left="240" w:leftChars="100" w:firstLine="241" w:firstLineChars="100"/>
        <w:rPr>
          <w:rFonts w:cs="Times New Roman"/>
        </w:rPr>
      </w:pPr>
      <w:r>
        <w:rPr>
          <w:rFonts w:cs="Times New Roman"/>
          <w:b/>
          <w:bCs/>
          <w:lang w:bidi="ar"/>
        </w:rPr>
        <w:t xml:space="preserve">4 </w:t>
      </w:r>
      <w:r>
        <w:rPr>
          <w:rFonts w:hint="eastAsia" w:cs="Times New Roman"/>
          <w:lang w:bidi="ar"/>
        </w:rPr>
        <w:t>风险管控技术包括：阻隔技术、可渗透反应墙技术，阻隔技术</w:t>
      </w:r>
      <w:r>
        <w:rPr>
          <w:rFonts w:hint="eastAsia" w:cs="宋体"/>
          <w:lang w:bidi="ar"/>
        </w:rPr>
        <w:t>利用防渗截污材料与原位土作为原材料组成屏障材料，采用竖向布置的形式施工成地下墙体结构，用于确保设计使用年限内满足污染场地风险管控目标。</w:t>
      </w:r>
    </w:p>
    <w:p w14:paraId="6D41EA19">
      <w:pPr>
        <w:ind w:left="240" w:leftChars="100" w:firstLine="241" w:firstLineChars="100"/>
        <w:rPr>
          <w:rFonts w:cs="Times New Roman"/>
          <w:lang w:bidi="ar"/>
        </w:rPr>
      </w:pPr>
      <w:r>
        <w:rPr>
          <w:rFonts w:cs="Times New Roman"/>
          <w:b/>
          <w:bCs/>
          <w:lang w:bidi="ar"/>
        </w:rPr>
        <w:t xml:space="preserve">5 </w:t>
      </w:r>
      <w:r>
        <w:rPr>
          <w:rFonts w:hint="eastAsia" w:cs="Times New Roman"/>
          <w:lang w:bidi="ar"/>
        </w:rPr>
        <w:t>具体施工要求应满足《</w:t>
      </w:r>
      <w:r>
        <w:rPr>
          <w:rFonts w:hint="eastAsia" w:cs="宋体"/>
          <w:lang w:bidi="ar"/>
        </w:rPr>
        <w:t>污染地块地下水修复和风险管控技术导则》</w:t>
      </w:r>
      <w:r>
        <w:rPr>
          <w:rFonts w:cs="Times New Roman"/>
          <w:lang w:bidi="ar"/>
        </w:rPr>
        <w:t>HJ 25.6</w:t>
      </w:r>
      <w:r>
        <w:rPr>
          <w:rFonts w:hint="eastAsia" w:cs="Times New Roman"/>
          <w:lang w:bidi="ar"/>
        </w:rPr>
        <w:t>等有关规定。</w:t>
      </w:r>
    </w:p>
    <w:p w14:paraId="3CF59819">
      <w:pPr>
        <w:ind w:firstLine="199" w:firstLineChars="83"/>
        <w:rPr>
          <w:rFonts w:cs="Times New Roman"/>
          <w:lang w:bidi="ar"/>
        </w:rPr>
      </w:pPr>
      <w:r>
        <w:rPr>
          <w:rFonts w:hint="eastAsia" w:cs="Times New Roman"/>
          <w:lang w:bidi="ar"/>
        </w:rPr>
        <w:t>【条文说明】本条在明确修复目标与路径的前提下，细化了异位抽提处理与原位修复的适用条件与关键控制点，并将阻隔/PRB纳入风险管控工具箱；通过监测—预警—评估—验收—运维的闭环管理，保证修复成效与长期稳定性，符合 HJ 25.6 的原则要求。</w:t>
      </w:r>
    </w:p>
    <w:p w14:paraId="5876A963">
      <w:pPr>
        <w:pStyle w:val="30"/>
        <w:numPr>
          <w:ilvl w:val="0"/>
          <w:numId w:val="5"/>
        </w:numPr>
        <w:spacing w:before="163" w:beforeLines="50" w:after="163" w:afterLines="50"/>
        <w:ind w:firstLineChars="0"/>
        <w:jc w:val="center"/>
        <w:outlineLvl w:val="1"/>
        <w:rPr>
          <w:b/>
          <w:bCs/>
          <w:sz w:val="28"/>
          <w:szCs w:val="28"/>
        </w:rPr>
      </w:pPr>
      <w:bookmarkStart w:id="95" w:name="_Toc212057040"/>
      <w:r>
        <w:rPr>
          <w:rFonts w:hint="eastAsia"/>
          <w:b/>
          <w:bCs/>
          <w:sz w:val="28"/>
          <w:szCs w:val="28"/>
        </w:rPr>
        <w:t>景观园林施工</w:t>
      </w:r>
      <w:bookmarkEnd w:id="95"/>
    </w:p>
    <w:p w14:paraId="5B4D0EF4">
      <w:pPr>
        <w:ind w:firstLine="0" w:firstLineChars="0"/>
      </w:pPr>
      <w:r>
        <w:rPr>
          <w:b/>
          <w:bCs/>
        </w:rPr>
        <w:t>7.7.1</w:t>
      </w:r>
      <w:r>
        <w:t xml:space="preserve">  </w:t>
      </w:r>
      <w:r>
        <w:rPr>
          <w:rFonts w:hint="eastAsia"/>
        </w:rPr>
        <w:t>景观设计与建设</w:t>
      </w:r>
    </w:p>
    <w:p w14:paraId="36439097">
      <w:pPr>
        <w:ind w:left="240" w:leftChars="100" w:firstLine="241" w:firstLineChars="100"/>
      </w:pPr>
      <w:r>
        <w:rPr>
          <w:rFonts w:hint="eastAsia"/>
          <w:b/>
          <w:bCs/>
        </w:rPr>
        <w:t>1</w:t>
      </w:r>
      <w:r>
        <w:t xml:space="preserve"> </w:t>
      </w:r>
      <w:r>
        <w:rPr>
          <w:rFonts w:hint="eastAsia"/>
        </w:rPr>
        <w:t>广场铺装应采用防滑、耐磨、耐候、宜透水的材料（如透水砖、烧毛花岗岩等），图案与色彩应简洁并与周边景观协调；构造缝、坡度与集排水应满足无积水要求。</w:t>
      </w:r>
    </w:p>
    <w:p w14:paraId="590EC48D">
      <w:pPr>
        <w:ind w:left="240" w:leftChars="100" w:firstLine="241" w:firstLineChars="100"/>
      </w:pPr>
      <w:r>
        <w:rPr>
          <w:rFonts w:hint="eastAsia"/>
          <w:b/>
          <w:bCs/>
        </w:rPr>
        <w:t>2</w:t>
      </w:r>
      <w:r>
        <w:t xml:space="preserve"> </w:t>
      </w:r>
      <w:r>
        <w:rPr>
          <w:rFonts w:hint="eastAsia"/>
        </w:rPr>
        <w:t>广场应满足无障碍连续通行与盲道联通要求，出入口与应急疏散通道应顺畅。</w:t>
      </w:r>
    </w:p>
    <w:p w14:paraId="6D82CD93">
      <w:pPr>
        <w:ind w:left="240" w:leftChars="100" w:firstLine="241" w:firstLineChars="100"/>
      </w:pPr>
      <w:r>
        <w:rPr>
          <w:b/>
          <w:bCs/>
        </w:rPr>
        <w:t xml:space="preserve">3 </w:t>
      </w:r>
      <w:r>
        <w:rPr>
          <w:rFonts w:hint="eastAsia"/>
        </w:rPr>
        <w:t>照明应满足功能照度与景观效果双重需求，宜采用地灯、草坪灯、庭院灯等组合；应控制眩光与溢散光，户外灯具防护等级不低于 IP65，并应设置防雷接地与配电保护。</w:t>
      </w:r>
    </w:p>
    <w:p w14:paraId="26972AF1">
      <w:pPr>
        <w:ind w:firstLine="0" w:firstLineChars="0"/>
      </w:pPr>
      <w:r>
        <w:rPr>
          <w:b/>
          <w:bCs/>
        </w:rPr>
        <w:t>7.7.2</w:t>
      </w:r>
      <w:r>
        <w:t xml:space="preserve">  </w:t>
      </w:r>
      <w:r>
        <w:rPr>
          <w:rFonts w:hint="eastAsia"/>
        </w:rPr>
        <w:t>植物景观配置</w:t>
      </w:r>
    </w:p>
    <w:p w14:paraId="1057319A">
      <w:pPr>
        <w:ind w:left="240" w:leftChars="100" w:firstLine="241" w:firstLineChars="100"/>
      </w:pPr>
      <w:r>
        <w:rPr>
          <w:rFonts w:hint="eastAsia"/>
          <w:b/>
          <w:bCs/>
        </w:rPr>
        <w:t>1</w:t>
      </w:r>
      <w:r>
        <w:t xml:space="preserve"> </w:t>
      </w:r>
      <w:r>
        <w:rPr>
          <w:rFonts w:hint="eastAsia"/>
        </w:rPr>
        <w:t>在道路两旁的绿化种植中，应选择树冠较大的乔木作为行道树，如法桐、国槐等，搭配灌木和花卉，形成丰富的绿化层次。在种植时，应注意树木的间距和对称性，保证绿化效果。</w:t>
      </w:r>
    </w:p>
    <w:p w14:paraId="24F479BB">
      <w:pPr>
        <w:ind w:left="240" w:leftChars="100" w:firstLine="241" w:firstLineChars="100"/>
      </w:pPr>
      <w:r>
        <w:rPr>
          <w:rFonts w:hint="eastAsia"/>
          <w:b/>
          <w:bCs/>
        </w:rPr>
        <w:t>2</w:t>
      </w:r>
      <w:r>
        <w:t xml:space="preserve"> </w:t>
      </w:r>
      <w:r>
        <w:rPr>
          <w:rFonts w:hint="eastAsia"/>
        </w:rPr>
        <w:t>对于公园中的水景植物配置，可选择荷花、睡莲等水生植物，搭配岸边的垂柳、菖蒲等植物，营造出具有自然生态气息的水景景观。</w:t>
      </w:r>
    </w:p>
    <w:p w14:paraId="03CC23A2">
      <w:pPr>
        <w:ind w:firstLine="0" w:firstLineChars="0"/>
      </w:pPr>
      <w:r>
        <w:rPr>
          <w:b/>
          <w:bCs/>
        </w:rPr>
        <w:t>7.7.3</w:t>
      </w:r>
      <w:r>
        <w:t xml:space="preserve">  </w:t>
      </w:r>
      <w:r>
        <w:rPr>
          <w:rFonts w:hint="eastAsia"/>
        </w:rPr>
        <w:t>园林建筑施工</w:t>
      </w:r>
    </w:p>
    <w:p w14:paraId="497FA0D8">
      <w:pPr>
        <w:ind w:left="240" w:leftChars="100" w:firstLine="241" w:firstLineChars="100"/>
      </w:pPr>
      <w:r>
        <w:rPr>
          <w:rFonts w:hint="eastAsia"/>
          <w:b/>
          <w:bCs/>
        </w:rPr>
        <w:t>1</w:t>
      </w:r>
      <w:r>
        <w:t xml:space="preserve"> </w:t>
      </w:r>
      <w:r>
        <w:rPr>
          <w:rFonts w:hint="eastAsia"/>
        </w:rPr>
        <w:t>亭、廊等园林建筑的施工应符合设计要求，其结构应牢固可靠，屋面应采用防水、隔热材料，保证其使用功能。建筑的装饰装修应具有传统园林风格，如采用木质构件、琉璃瓦等。</w:t>
      </w:r>
    </w:p>
    <w:p w14:paraId="404A51A4">
      <w:pPr>
        <w:ind w:left="240" w:leftChars="100" w:firstLine="241" w:firstLineChars="100"/>
      </w:pPr>
      <w:r>
        <w:rPr>
          <w:rFonts w:hint="eastAsia"/>
          <w:b/>
          <w:bCs/>
        </w:rPr>
        <w:t>2</w:t>
      </w:r>
      <w:r>
        <w:t xml:space="preserve"> </w:t>
      </w:r>
      <w:r>
        <w:rPr>
          <w:rFonts w:hint="eastAsia"/>
        </w:rPr>
        <w:t>假山叠石应选用质地坚硬、形状奇特的石材，如太湖石、黄石等。假山的堆叠应符合自然山水的形态和纹理，做到层次分明、错落有致。</w:t>
      </w:r>
    </w:p>
    <w:p w14:paraId="7E2ACBE1">
      <w:pPr>
        <w:ind w:firstLine="0" w:firstLineChars="0"/>
      </w:pPr>
      <w:r>
        <w:rPr>
          <w:b/>
          <w:bCs/>
        </w:rPr>
        <w:t>7.7.4</w:t>
      </w:r>
      <w:r>
        <w:t xml:space="preserve">  </w:t>
      </w:r>
      <w:r>
        <w:rPr>
          <w:rFonts w:hint="eastAsia"/>
        </w:rPr>
        <w:t>配套设施施工</w:t>
      </w:r>
    </w:p>
    <w:p w14:paraId="4ADC65A2">
      <w:pPr>
        <w:ind w:left="240" w:leftChars="100" w:firstLine="241" w:firstLineChars="100"/>
      </w:pPr>
      <w:r>
        <w:rPr>
          <w:rFonts w:hint="eastAsia"/>
          <w:b/>
          <w:bCs/>
        </w:rPr>
        <w:t>1</w:t>
      </w:r>
      <w:r>
        <w:t xml:space="preserve"> </w:t>
      </w:r>
      <w:r>
        <w:rPr>
          <w:rFonts w:hint="eastAsia"/>
        </w:rPr>
        <w:t>园林座椅、垃圾桶、导视牌等应安装牢固，布点应合理且不妨碍通行与视线；可接触边缘宜倒圆；材质宜选木、石或耐候金属并做防腐防裂处理。</w:t>
      </w:r>
    </w:p>
    <w:p w14:paraId="0433CB1A">
      <w:pPr>
        <w:ind w:left="240" w:leftChars="100" w:firstLine="241" w:firstLineChars="100"/>
      </w:pPr>
      <w:r>
        <w:rPr>
          <w:rFonts w:hint="eastAsia"/>
          <w:b/>
          <w:bCs/>
        </w:rPr>
        <w:t>2</w:t>
      </w:r>
      <w:r>
        <w:t xml:space="preserve"> </w:t>
      </w:r>
      <w:r>
        <w:rPr>
          <w:rFonts w:hint="eastAsia"/>
        </w:rPr>
        <w:t>园林的给排水系统应布局合理，排水通畅。给水管道应采用耐腐蚀、强度高的材料，如PVC管、镀锌钢管等。排水管道应设置检查井，便于疏通和维护。</w:t>
      </w:r>
    </w:p>
    <w:p w14:paraId="6D60AE23">
      <w:pPr>
        <w:ind w:firstLine="0" w:firstLineChars="0"/>
      </w:pPr>
      <w:r>
        <w:rPr>
          <w:rFonts w:hint="eastAsia"/>
        </w:rPr>
        <w:t>【条文说明】本节从铺装与照明、安全与艺术统一、生态复层种植、水景生态化、园林建筑结构与节点安全、假山排水稳固，到配套设施的布点、材料与给排水系统的分流与维护，形成“功能—安全—景观—可持续”的闭环要求，便于设计审查与施工验收落地。</w:t>
      </w:r>
    </w:p>
    <w:p w14:paraId="08B06BC4">
      <w:pPr>
        <w:pStyle w:val="30"/>
        <w:numPr>
          <w:ilvl w:val="0"/>
          <w:numId w:val="5"/>
        </w:numPr>
        <w:spacing w:before="163" w:beforeLines="50" w:after="163" w:afterLines="50"/>
        <w:ind w:firstLineChars="0"/>
        <w:jc w:val="center"/>
        <w:outlineLvl w:val="1"/>
        <w:rPr>
          <w:b/>
          <w:bCs/>
          <w:sz w:val="28"/>
          <w:szCs w:val="28"/>
        </w:rPr>
      </w:pPr>
      <w:bookmarkStart w:id="96" w:name="_Toc212057041"/>
      <w:r>
        <w:rPr>
          <w:rFonts w:hint="eastAsia"/>
          <w:b/>
          <w:bCs/>
          <w:sz w:val="28"/>
          <w:szCs w:val="28"/>
        </w:rPr>
        <w:t>工业遗迹改造施工</w:t>
      </w:r>
      <w:bookmarkEnd w:id="96"/>
    </w:p>
    <w:p w14:paraId="7322E58A">
      <w:pPr>
        <w:ind w:firstLine="0" w:firstLineChars="0"/>
      </w:pPr>
      <w:r>
        <w:rPr>
          <w:b/>
          <w:bCs/>
        </w:rPr>
        <w:t>7.8.1</w:t>
      </w:r>
      <w:r>
        <w:t xml:space="preserve">  </w:t>
      </w:r>
      <w:r>
        <w:rPr>
          <w:rFonts w:hint="eastAsia"/>
        </w:rPr>
        <w:t>工业建筑改造</w:t>
      </w:r>
    </w:p>
    <w:p w14:paraId="1CCCC6D6">
      <w:pPr>
        <w:ind w:left="240" w:leftChars="100" w:firstLine="241" w:firstLineChars="100"/>
      </w:pPr>
      <w:r>
        <w:rPr>
          <w:rFonts w:hint="eastAsia"/>
          <w:b/>
          <w:bCs/>
        </w:rPr>
        <w:t>1</w:t>
      </w:r>
      <w:r>
        <w:t xml:space="preserve"> </w:t>
      </w:r>
      <w:r>
        <w:rPr>
          <w:rFonts w:hint="eastAsia"/>
        </w:rPr>
        <w:t>改造前应开展现状测绘、结构安全性与耐久性评估、使用荷载复核及消防、抗震、节能、无障碍等专项审查，作为加固与功能改造的依据；改造应在满足安全与功能前提下，保护与延续工业风貌要素。</w:t>
      </w:r>
    </w:p>
    <w:p w14:paraId="76F4C233">
      <w:pPr>
        <w:ind w:left="240" w:leftChars="100" w:firstLine="241" w:firstLineChars="100"/>
      </w:pPr>
      <w:r>
        <w:rPr>
          <w:rFonts w:hint="eastAsia"/>
          <w:b/>
          <w:bCs/>
        </w:rPr>
        <w:t>2</w:t>
      </w:r>
      <w:r>
        <w:t xml:space="preserve"> </w:t>
      </w:r>
      <w:r>
        <w:rPr>
          <w:rFonts w:hint="eastAsia"/>
        </w:rPr>
        <w:t>旧厂房改造应根据新功能需求实施结构加固与空间优化：如提高楼板承载力、优化柱网、调整/新增开口、增设夹层与连廊等；涉及承重构件与抗侧体系时应复核受力与构造措施，不得随意削弱或拆除关键受力构件与节点。</w:t>
      </w:r>
    </w:p>
    <w:p w14:paraId="15ED3ACE">
      <w:pPr>
        <w:ind w:left="240" w:leftChars="100" w:firstLine="241" w:firstLineChars="100"/>
      </w:pPr>
      <w:r>
        <w:rPr>
          <w:b/>
          <w:bCs/>
        </w:rPr>
        <w:t xml:space="preserve">3 </w:t>
      </w:r>
      <w:r>
        <w:rPr>
          <w:rFonts w:hint="eastAsia"/>
        </w:rPr>
        <w:t>应保留与修缮具有识别性的工业特色元素（如外墙肌理、门窗比例、桁架/吊车梁、管廊等），对新增构筑与机电系统宜采取可逆性与最小干预设计，使新旧关系协调统一。</w:t>
      </w:r>
    </w:p>
    <w:p w14:paraId="786636BC">
      <w:pPr>
        <w:ind w:left="240" w:leftChars="100" w:firstLine="241" w:firstLineChars="100"/>
        <w:rPr>
          <w:b/>
          <w:bCs/>
        </w:rPr>
      </w:pPr>
      <w:r>
        <w:rPr>
          <w:b/>
          <w:bCs/>
        </w:rPr>
        <w:t xml:space="preserve">4 </w:t>
      </w:r>
      <w:r>
        <w:rPr>
          <w:rFonts w:hint="eastAsia"/>
        </w:rPr>
        <w:t>建筑围护、采光通风、隔热保温、噪声与防腐防锈应同步提升；给排水、电气、暖通与弱电管线宜综合统筹、分层分域布置；消防疏散、耐火等级及无障碍设施应满足现行标准要求。</w:t>
      </w:r>
    </w:p>
    <w:p w14:paraId="5A38DA6C">
      <w:pPr>
        <w:ind w:left="240" w:leftChars="100" w:firstLine="241" w:firstLineChars="100"/>
      </w:pPr>
      <w:r>
        <w:rPr>
          <w:rFonts w:hint="eastAsia"/>
          <w:b/>
          <w:bCs/>
        </w:rPr>
        <w:t>5</w:t>
      </w:r>
      <w:r>
        <w:rPr>
          <w:b/>
          <w:bCs/>
        </w:rPr>
        <w:t xml:space="preserve"> </w:t>
      </w:r>
      <w:r>
        <w:rPr>
          <w:rFonts w:hint="eastAsia"/>
        </w:rPr>
        <w:t>工业设备改造利用为景观雕塑、艺术装置或教学展品时，应进行结构稳定与锚固核验并采取防腐、防割伤与触电防护措施；与公众可达区域的界面应设置必要的安全距离与防护。</w:t>
      </w:r>
    </w:p>
    <w:p w14:paraId="64E2492E">
      <w:pPr>
        <w:ind w:firstLine="0" w:firstLineChars="0"/>
      </w:pPr>
      <w:r>
        <w:rPr>
          <w:rFonts w:hint="eastAsia"/>
        </w:rPr>
        <w:t>【条文说明】本条在“安全—功能—风貌”框架下，明确厂房加固、空间优化与工业元素保留的协同要求，并提出设备再利用的安全控制点与机电性能提升要点。</w:t>
      </w:r>
    </w:p>
    <w:p w14:paraId="26CB2327">
      <w:pPr>
        <w:ind w:firstLine="0" w:firstLineChars="0"/>
      </w:pPr>
      <w:r>
        <w:rPr>
          <w:b/>
          <w:bCs/>
        </w:rPr>
        <w:t>7.8.2</w:t>
      </w:r>
      <w:r>
        <w:t xml:space="preserve">  </w:t>
      </w:r>
      <w:r>
        <w:rPr>
          <w:rFonts w:hint="eastAsia"/>
        </w:rPr>
        <w:t>工业文化传承与展示</w:t>
      </w:r>
    </w:p>
    <w:p w14:paraId="18011A0F">
      <w:pPr>
        <w:ind w:firstLine="482"/>
      </w:pPr>
      <w:r>
        <w:rPr>
          <w:b/>
          <w:bCs/>
        </w:rPr>
        <w:t>1</w:t>
      </w:r>
      <w:r>
        <w:t xml:space="preserve"> </w:t>
      </w:r>
      <w:r>
        <w:rPr>
          <w:rFonts w:hint="eastAsia"/>
        </w:rPr>
        <w:t>可设置工业博物馆、展览馆或专题展区，系统展示工业遗存的历史资料、生产流程、设备与产品，建立“时间线—工艺线—人物/事件线”的叙事结构。</w:t>
      </w:r>
    </w:p>
    <w:p w14:paraId="7D516359">
      <w:pPr>
        <w:ind w:firstLine="482"/>
        <w:rPr>
          <w:b/>
          <w:bCs/>
        </w:rPr>
      </w:pPr>
      <w:r>
        <w:rPr>
          <w:b/>
          <w:bCs/>
        </w:rPr>
        <w:t xml:space="preserve">2 </w:t>
      </w:r>
      <w:r>
        <w:rPr>
          <w:rFonts w:hint="eastAsia"/>
        </w:rPr>
        <w:t>展示设计宜运用多媒体交互、数字沙盘、AR/VR、沉浸式影像等手段，提升趣味性与参与度；导览系统宜提供多语种与信息无障碍服务。</w:t>
      </w:r>
    </w:p>
    <w:p w14:paraId="238D9F99">
      <w:pPr>
        <w:ind w:firstLine="482"/>
        <w:rPr>
          <w:b/>
          <w:bCs/>
        </w:rPr>
      </w:pPr>
      <w:r>
        <w:rPr>
          <w:rFonts w:hint="eastAsia"/>
          <w:b/>
          <w:bCs/>
        </w:rPr>
        <w:t>3</w:t>
      </w:r>
      <w:r>
        <w:rPr>
          <w:b/>
          <w:bCs/>
        </w:rPr>
        <w:t xml:space="preserve"> </w:t>
      </w:r>
      <w:r>
        <w:rPr>
          <w:rFonts w:hint="eastAsia"/>
        </w:rPr>
        <w:t>展陈空间的承载能力、消防疏散、电气安全与防雷接地应满足现行标准；涉及珍贵实物或文献应落实防火、防盗、恒温恒湿与防紫外等保护措施；与观众交互的装置应进行人身安全风险评估并配设警示与防护。</w:t>
      </w:r>
    </w:p>
    <w:p w14:paraId="44F1F9C6">
      <w:pPr>
        <w:ind w:firstLine="482"/>
      </w:pPr>
      <w:r>
        <w:rPr>
          <w:rFonts w:hint="eastAsia"/>
          <w:b/>
          <w:bCs/>
        </w:rPr>
        <w:t>4</w:t>
      </w:r>
      <w:r>
        <w:rPr>
          <w:b/>
          <w:bCs/>
        </w:rPr>
        <w:t xml:space="preserve"> </w:t>
      </w:r>
      <w:r>
        <w:rPr>
          <w:rFonts w:hint="eastAsia"/>
        </w:rPr>
        <w:t>应建立展陈更新与设备维保机制，定期对多媒体系统、照明与展柜进行巡检维护，确保展示持续稳定运行。</w:t>
      </w:r>
    </w:p>
    <w:p w14:paraId="5A105620">
      <w:pPr>
        <w:ind w:firstLine="0" w:firstLineChars="0"/>
      </w:pPr>
      <w:r>
        <w:rPr>
          <w:rFonts w:hint="eastAsia"/>
        </w:rPr>
        <w:t>【条文说明】本条强调工业文化的系统化呈现与互动体验，同时对承载、安全与文物/实物保护提出底线要求，确保传承展示与公众安全并重。</w:t>
      </w:r>
    </w:p>
    <w:p w14:paraId="528DC1FD">
      <w:pPr>
        <w:pStyle w:val="30"/>
        <w:numPr>
          <w:ilvl w:val="0"/>
          <w:numId w:val="5"/>
        </w:numPr>
        <w:spacing w:before="163" w:beforeLines="50" w:after="163" w:afterLines="50"/>
        <w:ind w:firstLineChars="0"/>
        <w:jc w:val="center"/>
        <w:outlineLvl w:val="1"/>
        <w:rPr>
          <w:b/>
          <w:bCs/>
          <w:sz w:val="28"/>
          <w:szCs w:val="28"/>
        </w:rPr>
      </w:pPr>
      <w:bookmarkStart w:id="97" w:name="_Toc212057042"/>
      <w:r>
        <w:rPr>
          <w:rFonts w:hint="eastAsia"/>
          <w:b/>
          <w:bCs/>
          <w:sz w:val="28"/>
          <w:szCs w:val="28"/>
        </w:rPr>
        <w:t>矿区内外环境施工</w:t>
      </w:r>
      <w:bookmarkEnd w:id="97"/>
    </w:p>
    <w:p w14:paraId="50B382D9">
      <w:pPr>
        <w:ind w:firstLine="0" w:firstLineChars="0"/>
        <w:rPr>
          <w:rFonts w:cs="Times New Roman"/>
        </w:rPr>
      </w:pPr>
      <w:r>
        <w:rPr>
          <w:rFonts w:cs="Times New Roman"/>
          <w:b/>
          <w:bCs/>
        </w:rPr>
        <w:t xml:space="preserve">7.9.1  </w:t>
      </w:r>
      <w:r>
        <w:rPr>
          <w:rFonts w:cs="Times New Roman"/>
        </w:rPr>
        <w:t>深坑内建筑消防快速双向疏散系统</w:t>
      </w:r>
    </w:p>
    <w:p w14:paraId="11AFA51D">
      <w:pPr>
        <w:ind w:left="240" w:leftChars="100" w:firstLine="241" w:firstLineChars="100"/>
        <w:rPr>
          <w:rFonts w:cs="Times New Roman"/>
        </w:rPr>
      </w:pPr>
      <w:r>
        <w:rPr>
          <w:rFonts w:cs="Times New Roman"/>
          <w:b/>
          <w:bCs/>
        </w:rPr>
        <w:t>1</w:t>
      </w:r>
      <w:r>
        <w:rPr>
          <w:rFonts w:cs="Times New Roman"/>
        </w:rPr>
        <w:t xml:space="preserve"> </w:t>
      </w:r>
      <w:r>
        <w:rPr>
          <w:rFonts w:hint="eastAsia" w:cs="Times New Roman"/>
        </w:rPr>
        <w:t>宜</w:t>
      </w:r>
      <w:r>
        <w:rPr>
          <w:rFonts w:cs="Times New Roman"/>
        </w:rPr>
        <w:t>采用仿真软件模拟深坑</w:t>
      </w:r>
      <w:r>
        <w:rPr>
          <w:rFonts w:hint="eastAsia" w:cs="Times New Roman"/>
        </w:rPr>
        <w:t>建筑内</w:t>
      </w:r>
      <w:r>
        <w:rPr>
          <w:rFonts w:cs="Times New Roman"/>
        </w:rPr>
        <w:t>人流疏散</w:t>
      </w:r>
      <w:r>
        <w:rPr>
          <w:rFonts w:hint="eastAsia" w:cs="Times New Roman"/>
        </w:rPr>
        <w:t>，</w:t>
      </w:r>
      <w:r>
        <w:rPr>
          <w:rFonts w:cs="Times New Roman"/>
        </w:rPr>
        <w:t>比选不同的疏散路线，选出最佳的疏散路线，最大程度减少损失，对项目方案优化。</w:t>
      </w:r>
    </w:p>
    <w:p w14:paraId="1A5DFAB1">
      <w:pPr>
        <w:ind w:firstLine="0" w:firstLineChars="0"/>
        <w:rPr>
          <w:rFonts w:cs="Times New Roman"/>
        </w:rPr>
      </w:pPr>
      <w:r>
        <w:rPr>
          <w:rFonts w:hint="eastAsia" w:cs="Times New Roman"/>
        </w:rPr>
        <w:t>【条文说明】</w:t>
      </w:r>
      <w:r>
        <w:rPr>
          <w:rFonts w:cs="Times New Roman"/>
        </w:rPr>
        <w:t>由于深坑建筑的独特结构和空间布局，其疏散系统的设计需要特别考虑。本条提出使用仿真软件对建筑内的人流疏散</w:t>
      </w:r>
      <w:r>
        <w:rPr>
          <w:rFonts w:hint="eastAsia" w:cs="Times New Roman"/>
        </w:rPr>
        <w:t>进行</w:t>
      </w:r>
      <w:r>
        <w:rPr>
          <w:rFonts w:cs="Times New Roman"/>
        </w:rPr>
        <w:t>模拟，通过模拟不同的疏散路线，可以分析各路线的疏散效率和安全性，从而确定最佳的疏散路径。</w:t>
      </w:r>
      <w:r>
        <w:rPr>
          <w:rFonts w:hint="eastAsia" w:cs="Times New Roman"/>
        </w:rPr>
        <w:t>该</w:t>
      </w:r>
      <w:r>
        <w:rPr>
          <w:rFonts w:cs="Times New Roman"/>
        </w:rPr>
        <w:t>方法有助于在紧急情况下</w:t>
      </w:r>
      <w:r>
        <w:rPr>
          <w:rFonts w:hint="eastAsia" w:cs="Times New Roman"/>
        </w:rPr>
        <w:t>迅</w:t>
      </w:r>
      <w:r>
        <w:rPr>
          <w:rFonts w:cs="Times New Roman"/>
        </w:rPr>
        <w:t>速疏散人员，减少伤亡和财产损失，并为设计师提供依据，以便疏散方案优化</w:t>
      </w:r>
      <w:r>
        <w:rPr>
          <w:rFonts w:hint="eastAsia" w:cs="Times New Roman"/>
        </w:rPr>
        <w:t>调整</w:t>
      </w:r>
      <w:r>
        <w:rPr>
          <w:rFonts w:cs="Times New Roman"/>
        </w:rPr>
        <w:t>。</w:t>
      </w:r>
    </w:p>
    <w:p w14:paraId="226711C6">
      <w:pPr>
        <w:ind w:left="240" w:leftChars="100" w:firstLine="241" w:firstLineChars="100"/>
        <w:rPr>
          <w:rFonts w:cs="Times New Roman"/>
        </w:rPr>
      </w:pPr>
      <w:r>
        <w:rPr>
          <w:rFonts w:cs="Times New Roman"/>
          <w:b/>
          <w:bCs/>
        </w:rPr>
        <w:t>2</w:t>
      </w:r>
      <w:r>
        <w:rPr>
          <w:rFonts w:cs="Times New Roman"/>
        </w:rPr>
        <w:t xml:space="preserve"> 深坑</w:t>
      </w:r>
      <w:r>
        <w:rPr>
          <w:rFonts w:hint="eastAsia" w:cs="Times New Roman"/>
        </w:rPr>
        <w:t>内建筑</w:t>
      </w:r>
      <w:r>
        <w:rPr>
          <w:rFonts w:cs="Times New Roman"/>
        </w:rPr>
        <w:t>消防设计</w:t>
      </w:r>
      <w:r>
        <w:rPr>
          <w:rFonts w:hint="eastAsia" w:cs="Times New Roman"/>
        </w:rPr>
        <w:t>应符合现行国家标准</w:t>
      </w:r>
      <w:r>
        <w:rPr>
          <w:rFonts w:cs="Times New Roman"/>
        </w:rPr>
        <w:t>《建筑设计防火规范》GB 50016</w:t>
      </w:r>
      <w:r>
        <w:rPr>
          <w:rFonts w:hint="eastAsia" w:cs="Times New Roman"/>
        </w:rPr>
        <w:t>的有关规定。</w:t>
      </w:r>
    </w:p>
    <w:p w14:paraId="6721989E">
      <w:pPr>
        <w:ind w:firstLine="0" w:firstLineChars="0"/>
        <w:rPr>
          <w:rFonts w:cs="Times New Roman"/>
        </w:rPr>
      </w:pPr>
      <w:r>
        <w:rPr>
          <w:rFonts w:hint="eastAsia" w:cs="Times New Roman"/>
        </w:rPr>
        <w:t>【条文说明】</w:t>
      </w:r>
      <w:r>
        <w:rPr>
          <w:rFonts w:cs="Times New Roman"/>
        </w:rPr>
        <w:t>深坑内建筑的消防设计</w:t>
      </w:r>
      <w:r>
        <w:rPr>
          <w:rFonts w:hint="eastAsia" w:cs="Times New Roman"/>
        </w:rPr>
        <w:t>应</w:t>
      </w:r>
      <w:r>
        <w:rPr>
          <w:rFonts w:cs="Times New Roman"/>
        </w:rPr>
        <w:t>符合国家消防安全的标准和规范。本条强调深坑内建筑的消防设计应严格遵守《建筑设计防火规范》GB 50016等相关规范的要求</w:t>
      </w:r>
      <w:r>
        <w:rPr>
          <w:rFonts w:hint="eastAsia" w:cs="Times New Roman"/>
        </w:rPr>
        <w:t>，涵盖</w:t>
      </w:r>
      <w:r>
        <w:rPr>
          <w:rFonts w:cs="Times New Roman"/>
        </w:rPr>
        <w:t>消防分区、疏散通道、消防设施、火灾自动报警系统、灭火系统等的设计和安装，确保建筑具备有效的防火和疏散能力，</w:t>
      </w:r>
      <w:r>
        <w:rPr>
          <w:rFonts w:hint="eastAsia" w:cs="Times New Roman"/>
        </w:rPr>
        <w:t>从而有效</w:t>
      </w:r>
      <w:r>
        <w:rPr>
          <w:rFonts w:cs="Times New Roman"/>
        </w:rPr>
        <w:t>保障人员生命安全和财产安全</w:t>
      </w:r>
      <w:r>
        <w:rPr>
          <w:rFonts w:hint="eastAsia" w:cs="Times New Roman"/>
        </w:rPr>
        <w:t>，最大限度地减少火灾风险</w:t>
      </w:r>
      <w:r>
        <w:rPr>
          <w:rFonts w:cs="Times New Roman"/>
        </w:rPr>
        <w:t>。</w:t>
      </w:r>
    </w:p>
    <w:p w14:paraId="0EE8CE60">
      <w:pPr>
        <w:ind w:firstLine="0" w:firstLineChars="0"/>
        <w:rPr>
          <w:rFonts w:cs="Times New Roman"/>
          <w:b/>
          <w:bCs/>
        </w:rPr>
      </w:pPr>
      <w:r>
        <w:rPr>
          <w:rFonts w:cs="Times New Roman"/>
          <w:b/>
          <w:bCs/>
        </w:rPr>
        <w:t xml:space="preserve">7.9.2  </w:t>
      </w:r>
      <w:r>
        <w:rPr>
          <w:rFonts w:cs="Times New Roman"/>
        </w:rPr>
        <w:t>废弃矿坑逃生通道施工关键技术</w:t>
      </w:r>
    </w:p>
    <w:p w14:paraId="1441FEB6">
      <w:pPr>
        <w:ind w:left="240" w:leftChars="100" w:firstLine="241" w:firstLineChars="100"/>
        <w:rPr>
          <w:rFonts w:cs="Times New Roman"/>
        </w:rPr>
      </w:pPr>
      <w:r>
        <w:rPr>
          <w:rFonts w:cs="Times New Roman"/>
          <w:b/>
          <w:bCs/>
        </w:rPr>
        <w:t>1</w:t>
      </w:r>
      <w:r>
        <w:rPr>
          <w:rFonts w:hint="eastAsia" w:cs="Times New Roman"/>
        </w:rPr>
        <w:t xml:space="preserve"> 材料应按进货的批次和数量取样检验，检验结果满足国家标准、设计要求后，方可用于工程。</w:t>
      </w:r>
    </w:p>
    <w:p w14:paraId="42D54AAF">
      <w:pPr>
        <w:ind w:firstLine="0" w:firstLineChars="0"/>
        <w:rPr>
          <w:rFonts w:cs="Times New Roman"/>
        </w:rPr>
      </w:pPr>
      <w:r>
        <w:rPr>
          <w:rFonts w:hint="eastAsia" w:cs="Times New Roman"/>
        </w:rPr>
        <w:t>【条文说明】</w:t>
      </w:r>
      <w:r>
        <w:rPr>
          <w:rFonts w:cs="Times New Roman"/>
        </w:rPr>
        <w:t>为确保工程质量，本条要求对</w:t>
      </w:r>
      <w:r>
        <w:rPr>
          <w:rFonts w:hint="eastAsia" w:cs="Times New Roman"/>
        </w:rPr>
        <w:t>所需</w:t>
      </w:r>
      <w:r>
        <w:rPr>
          <w:rFonts w:cs="Times New Roman"/>
        </w:rPr>
        <w:t>材料</w:t>
      </w:r>
      <w:r>
        <w:rPr>
          <w:rFonts w:hint="eastAsia" w:cs="Times New Roman"/>
        </w:rPr>
        <w:t>按</w:t>
      </w:r>
      <w:r>
        <w:rPr>
          <w:rFonts w:cs="Times New Roman"/>
        </w:rPr>
        <w:t>批次和数量</w:t>
      </w:r>
      <w:r>
        <w:rPr>
          <w:rFonts w:hint="eastAsia" w:cs="Times New Roman"/>
        </w:rPr>
        <w:t>的</w:t>
      </w:r>
      <w:r>
        <w:rPr>
          <w:rFonts w:cs="Times New Roman"/>
        </w:rPr>
        <w:t>取样检验。只有</w:t>
      </w:r>
      <w:r>
        <w:rPr>
          <w:rFonts w:hint="eastAsia" w:cs="Times New Roman"/>
        </w:rPr>
        <w:t>材料的</w:t>
      </w:r>
      <w:r>
        <w:rPr>
          <w:rFonts w:cs="Times New Roman"/>
        </w:rPr>
        <w:t>检验结果满足国家标准和设计要求时，</w:t>
      </w:r>
      <w:r>
        <w:rPr>
          <w:rFonts w:hint="eastAsia" w:cs="Times New Roman"/>
        </w:rPr>
        <w:t>才可将其应用于工程施工</w:t>
      </w:r>
      <w:r>
        <w:rPr>
          <w:rFonts w:cs="Times New Roman"/>
        </w:rPr>
        <w:t>用于工程施工。</w:t>
      </w:r>
    </w:p>
    <w:p w14:paraId="0B9EE8C1">
      <w:pPr>
        <w:ind w:left="240" w:leftChars="100" w:firstLine="241" w:firstLineChars="100"/>
        <w:rPr>
          <w:rFonts w:cs="Times New Roman"/>
        </w:rPr>
      </w:pPr>
      <w:r>
        <w:rPr>
          <w:rFonts w:cs="Times New Roman"/>
          <w:b/>
          <w:bCs/>
        </w:rPr>
        <w:t>2</w:t>
      </w:r>
      <w:r>
        <w:rPr>
          <w:rFonts w:cs="Times New Roman"/>
        </w:rPr>
        <w:t xml:space="preserve"> </w:t>
      </w:r>
      <w:r>
        <w:rPr>
          <w:rFonts w:hint="eastAsia" w:cs="Times New Roman"/>
        </w:rPr>
        <w:t>钻孔时，应保证孔位、孔向、孔斜、孔径、孔深等参数在允许的误差范围。</w:t>
      </w:r>
    </w:p>
    <w:p w14:paraId="6A53EB09">
      <w:pPr>
        <w:ind w:firstLine="0" w:firstLineChars="0"/>
        <w:rPr>
          <w:rFonts w:cs="Times New Roman"/>
        </w:rPr>
      </w:pPr>
      <w:r>
        <w:rPr>
          <w:rFonts w:hint="eastAsia" w:cs="Times New Roman"/>
        </w:rPr>
        <w:t>【条文说明】</w:t>
      </w:r>
      <w:r>
        <w:rPr>
          <w:rFonts w:cs="Times New Roman"/>
        </w:rPr>
        <w:t>钻孔的准确性直接影响到锚固效果。本条要求在钻孔过程中严格控制孔位、孔向、孔斜、孔径、孔深等参数，确保</w:t>
      </w:r>
      <w:r>
        <w:rPr>
          <w:rFonts w:hint="eastAsia" w:cs="Times New Roman"/>
        </w:rPr>
        <w:t>所有参数均</w:t>
      </w:r>
      <w:r>
        <w:rPr>
          <w:rFonts w:cs="Times New Roman"/>
        </w:rPr>
        <w:t>在规定的误差范围内，以保证施工质量。</w:t>
      </w:r>
    </w:p>
    <w:p w14:paraId="306C9794">
      <w:pPr>
        <w:ind w:left="240" w:leftChars="100" w:firstLine="241" w:firstLineChars="100"/>
        <w:rPr>
          <w:rFonts w:cs="Times New Roman"/>
        </w:rPr>
      </w:pPr>
      <w:r>
        <w:rPr>
          <w:rFonts w:cs="Times New Roman"/>
          <w:b/>
          <w:bCs/>
        </w:rPr>
        <w:t xml:space="preserve">3 </w:t>
      </w:r>
      <w:r>
        <w:rPr>
          <w:rFonts w:hint="eastAsia" w:cs="Times New Roman"/>
        </w:rPr>
        <w:t>钢锚梁成品应无明显弯曲、扭转，安装过程中，应防止钢锚梁与硬质物体碰撞、摩擦，避免损坏钢锚梁结构。</w:t>
      </w:r>
    </w:p>
    <w:p w14:paraId="50FFE467">
      <w:pPr>
        <w:tabs>
          <w:tab w:val="left" w:pos="2581"/>
        </w:tabs>
        <w:ind w:firstLine="0" w:firstLineChars="0"/>
        <w:rPr>
          <w:rFonts w:cs="Times New Roman"/>
        </w:rPr>
      </w:pPr>
      <w:r>
        <w:rPr>
          <w:rFonts w:hint="eastAsia" w:cs="Times New Roman"/>
        </w:rPr>
        <w:t>【条文说明】</w:t>
      </w:r>
      <w:r>
        <w:rPr>
          <w:rFonts w:cs="Times New Roman"/>
        </w:rPr>
        <w:t>钢锚梁的质量对逃生通道的稳定性至关重要。本条要求钢锚梁成品无明显弯曲</w:t>
      </w:r>
      <w:r>
        <w:rPr>
          <w:rFonts w:hint="eastAsia" w:cs="Times New Roman"/>
        </w:rPr>
        <w:t>或</w:t>
      </w:r>
      <w:r>
        <w:rPr>
          <w:rFonts w:cs="Times New Roman"/>
        </w:rPr>
        <w:t>扭转，并在安装过程中避免与硬质物体碰撞</w:t>
      </w:r>
      <w:r>
        <w:rPr>
          <w:rFonts w:hint="eastAsia" w:cs="Times New Roman"/>
        </w:rPr>
        <w:t>或</w:t>
      </w:r>
      <w:r>
        <w:rPr>
          <w:rFonts w:cs="Times New Roman"/>
        </w:rPr>
        <w:t>摩擦，以保护钢锚梁结构不受损害。</w:t>
      </w:r>
    </w:p>
    <w:p w14:paraId="03EA22E1">
      <w:pPr>
        <w:ind w:left="240" w:leftChars="100" w:firstLine="241" w:firstLineChars="100"/>
        <w:rPr>
          <w:rFonts w:cs="Times New Roman"/>
        </w:rPr>
      </w:pPr>
      <w:r>
        <w:rPr>
          <w:rFonts w:cs="Times New Roman"/>
          <w:b/>
          <w:bCs/>
        </w:rPr>
        <w:t>4</w:t>
      </w:r>
      <w:r>
        <w:rPr>
          <w:rFonts w:cs="Times New Roman"/>
        </w:rPr>
        <w:t xml:space="preserve"> </w:t>
      </w:r>
      <w:r>
        <w:rPr>
          <w:rFonts w:hint="eastAsia" w:cs="Times New Roman"/>
        </w:rPr>
        <w:t>钢结构涂料应按涂装配套要求采购，涂料应有规定的国家法定检测机构出具的涂料检验证书，保证合格的涂装材料用于工程涂装施工。涂装后，如发现有气泡、凹陷洞孔、剥离和生锈等，应将漆膜刮除并经表面处理后，予以补漆。</w:t>
      </w:r>
    </w:p>
    <w:p w14:paraId="4848D4F3">
      <w:pPr>
        <w:ind w:firstLineChars="0"/>
        <w:rPr>
          <w:rFonts w:cs="Times New Roman"/>
        </w:rPr>
      </w:pPr>
      <w:r>
        <w:rPr>
          <w:rFonts w:hint="eastAsia" w:cs="Times New Roman"/>
        </w:rPr>
        <w:t>【条文说明】</w:t>
      </w:r>
      <w:r>
        <w:rPr>
          <w:rFonts w:cs="Times New Roman"/>
        </w:rPr>
        <w:t>涂料的质量和涂装工艺对钢结构的使用寿命有重要影响。本条要求涂料</w:t>
      </w:r>
      <w:r>
        <w:rPr>
          <w:rFonts w:hint="eastAsia" w:cs="Times New Roman"/>
        </w:rPr>
        <w:t>应具备</w:t>
      </w:r>
      <w:r>
        <w:rPr>
          <w:rFonts w:cs="Times New Roman"/>
        </w:rPr>
        <w:t>国家法定检测机构</w:t>
      </w:r>
      <w:r>
        <w:rPr>
          <w:rFonts w:hint="eastAsia" w:cs="Times New Roman"/>
        </w:rPr>
        <w:t>出具</w:t>
      </w:r>
      <w:r>
        <w:rPr>
          <w:rFonts w:cs="Times New Roman"/>
        </w:rPr>
        <w:t>的检验证书，并在涂装后检查，如发现质量问题，</w:t>
      </w:r>
      <w:r>
        <w:rPr>
          <w:rFonts w:hint="eastAsia" w:cs="Times New Roman"/>
        </w:rPr>
        <w:t>应</w:t>
      </w:r>
      <w:r>
        <w:rPr>
          <w:rFonts w:cs="Times New Roman"/>
        </w:rPr>
        <w:t>及时处理并补漆。</w:t>
      </w:r>
    </w:p>
    <w:p w14:paraId="2D1E457F">
      <w:pPr>
        <w:ind w:left="240" w:leftChars="100" w:firstLine="241" w:firstLineChars="100"/>
        <w:rPr>
          <w:rFonts w:cs="Times New Roman"/>
        </w:rPr>
      </w:pPr>
      <w:r>
        <w:rPr>
          <w:rFonts w:cs="Times New Roman"/>
          <w:b/>
          <w:bCs/>
        </w:rPr>
        <w:t>5</w:t>
      </w:r>
      <w:r>
        <w:rPr>
          <w:rFonts w:cs="Times New Roman"/>
        </w:rPr>
        <w:t xml:space="preserve"> </w:t>
      </w:r>
      <w:r>
        <w:rPr>
          <w:rFonts w:hint="eastAsia" w:cs="Times New Roman"/>
        </w:rPr>
        <w:t>构件宜采用工厂化加工，减少材料损耗，降低现场加工对环境的污染。</w:t>
      </w:r>
    </w:p>
    <w:p w14:paraId="7D5CDD18">
      <w:pPr>
        <w:ind w:firstLineChars="0"/>
        <w:rPr>
          <w:rFonts w:cs="Times New Roman"/>
        </w:rPr>
      </w:pPr>
      <w:r>
        <w:rPr>
          <w:rFonts w:hint="eastAsia" w:cs="Times New Roman"/>
        </w:rPr>
        <w:t>【条文说明】</w:t>
      </w:r>
      <w:r>
        <w:rPr>
          <w:rFonts w:cs="Times New Roman"/>
        </w:rPr>
        <w:t>为了减少材料损耗和现场加工对环境的影响，采用工厂化加工</w:t>
      </w:r>
      <w:r>
        <w:rPr>
          <w:rFonts w:hint="eastAsia" w:cs="Times New Roman"/>
        </w:rPr>
        <w:t>的</w:t>
      </w:r>
      <w:r>
        <w:rPr>
          <w:rFonts w:cs="Times New Roman"/>
        </w:rPr>
        <w:t>构件。这种方法</w:t>
      </w:r>
      <w:r>
        <w:rPr>
          <w:rFonts w:hint="eastAsia" w:cs="Times New Roman"/>
        </w:rPr>
        <w:t>不仅</w:t>
      </w:r>
      <w:r>
        <w:rPr>
          <w:rFonts w:cs="Times New Roman"/>
        </w:rPr>
        <w:t>可以提高材料利用率，减少浪费，</w:t>
      </w:r>
      <w:r>
        <w:rPr>
          <w:rFonts w:hint="eastAsia" w:cs="Times New Roman"/>
        </w:rPr>
        <w:t>还能</w:t>
      </w:r>
      <w:r>
        <w:rPr>
          <w:rFonts w:cs="Times New Roman"/>
        </w:rPr>
        <w:t>降低施工现场的环境污染。</w:t>
      </w:r>
    </w:p>
    <w:p w14:paraId="6E9AD841">
      <w:pPr>
        <w:ind w:firstLine="0" w:firstLineChars="0"/>
        <w:rPr>
          <w:rFonts w:cs="Times New Roman"/>
        </w:rPr>
      </w:pPr>
      <w:r>
        <w:rPr>
          <w:rFonts w:cs="Times New Roman"/>
          <w:b/>
          <w:bCs/>
        </w:rPr>
        <w:t>7.9.3</w:t>
      </w:r>
      <w:r>
        <w:rPr>
          <w:rFonts w:hint="eastAsia" w:cs="Times New Roman"/>
        </w:rPr>
        <w:t xml:space="preserve">  废弃矿坑排水技术</w:t>
      </w:r>
    </w:p>
    <w:p w14:paraId="45671D3D">
      <w:pPr>
        <w:ind w:left="240" w:leftChars="100" w:firstLine="241" w:firstLineChars="100"/>
        <w:rPr>
          <w:rFonts w:cs="Times New Roman"/>
          <w:b/>
          <w:bCs/>
        </w:rPr>
      </w:pPr>
      <w:r>
        <w:rPr>
          <w:rFonts w:hint="eastAsia" w:cs="Times New Roman"/>
          <w:b/>
          <w:bCs/>
        </w:rPr>
        <w:t>1</w:t>
      </w:r>
      <w:r>
        <w:rPr>
          <w:rFonts w:cs="Times New Roman"/>
          <w:b/>
          <w:bCs/>
        </w:rPr>
        <w:t xml:space="preserve"> </w:t>
      </w:r>
      <w:r>
        <w:rPr>
          <w:rFonts w:hint="eastAsia" w:cs="Times New Roman"/>
        </w:rPr>
        <w:t>矿坑</w:t>
      </w:r>
      <w:r>
        <w:rPr>
          <w:rFonts w:cs="Times New Roman"/>
        </w:rPr>
        <w:t>排水设计应结合地下水控制和地面防水系统，综合确定采掘场</w:t>
      </w:r>
      <w:r>
        <w:rPr>
          <w:rFonts w:hint="eastAsia" w:cs="Times New Roman"/>
        </w:rPr>
        <w:t>的</w:t>
      </w:r>
      <w:r>
        <w:rPr>
          <w:rFonts w:cs="Times New Roman"/>
        </w:rPr>
        <w:t>排水方式。</w:t>
      </w:r>
    </w:p>
    <w:p w14:paraId="1FD98F18">
      <w:pPr>
        <w:ind w:left="240" w:leftChars="100" w:firstLine="241" w:firstLineChars="100"/>
        <w:rPr>
          <w:rFonts w:cs="Times New Roman"/>
          <w:b/>
          <w:bCs/>
        </w:rPr>
      </w:pPr>
      <w:r>
        <w:rPr>
          <w:rFonts w:cs="Times New Roman"/>
          <w:b/>
          <w:bCs/>
        </w:rPr>
        <w:t xml:space="preserve">2 </w:t>
      </w:r>
      <w:r>
        <w:rPr>
          <w:rFonts w:cs="Times New Roman"/>
        </w:rPr>
        <w:t>应设置专门防水和排水设施，汇水量大的工矿区应设置排(截)水沟、拦水坝。</w:t>
      </w:r>
    </w:p>
    <w:p w14:paraId="78534EB4">
      <w:pPr>
        <w:ind w:left="240" w:leftChars="100" w:firstLine="241" w:firstLineChars="100"/>
        <w:rPr>
          <w:rFonts w:cs="Times New Roman"/>
          <w:b/>
          <w:bCs/>
        </w:rPr>
      </w:pPr>
      <w:r>
        <w:rPr>
          <w:rFonts w:cs="Times New Roman"/>
          <w:b/>
          <w:bCs/>
        </w:rPr>
        <w:t>3</w:t>
      </w:r>
      <w:r>
        <w:rPr>
          <w:rFonts w:hint="eastAsia" w:cs="Times New Roman"/>
        </w:rPr>
        <w:t xml:space="preserve"> </w:t>
      </w:r>
      <w:r>
        <w:rPr>
          <w:rFonts w:cs="Times New Roman"/>
        </w:rPr>
        <w:t>防水和排水系统应有与当地地表水体、防洪排涝等水利系统结合</w:t>
      </w:r>
      <w:r>
        <w:rPr>
          <w:rFonts w:hint="eastAsia" w:cs="Times New Roman"/>
        </w:rPr>
        <w:t>，并</w:t>
      </w:r>
      <w:r>
        <w:rPr>
          <w:rFonts w:cs="Times New Roman"/>
        </w:rPr>
        <w:t>可行性</w:t>
      </w:r>
      <w:r>
        <w:rPr>
          <w:rFonts w:hint="eastAsia" w:cs="Times New Roman"/>
        </w:rPr>
        <w:t>。</w:t>
      </w:r>
    </w:p>
    <w:p w14:paraId="2EFF3811">
      <w:pPr>
        <w:ind w:left="240" w:leftChars="100" w:firstLine="241" w:firstLineChars="100"/>
        <w:rPr>
          <w:rFonts w:cs="Times New Roman"/>
        </w:rPr>
      </w:pPr>
      <w:r>
        <w:rPr>
          <w:rFonts w:cs="Times New Roman"/>
          <w:b/>
          <w:bCs/>
        </w:rPr>
        <w:t>4</w:t>
      </w:r>
      <w:r>
        <w:rPr>
          <w:rFonts w:cs="Times New Roman"/>
        </w:rPr>
        <w:t xml:space="preserve"> 工矿区排水方式的选择，应符合下列规定：</w:t>
      </w:r>
    </w:p>
    <w:p w14:paraId="1016B494">
      <w:pPr>
        <w:ind w:left="480" w:leftChars="200" w:firstLine="240" w:firstLineChars="100"/>
        <w:rPr>
          <w:rFonts w:cs="Times New Roman"/>
        </w:rPr>
      </w:pPr>
      <w:r>
        <w:rPr>
          <w:rFonts w:cs="Times New Roman"/>
        </w:rPr>
        <w:t>1</w:t>
      </w:r>
      <w:r>
        <w:rPr>
          <w:rFonts w:hint="eastAsia" w:cs="Times New Roman"/>
        </w:rPr>
        <w:t>）</w:t>
      </w:r>
      <w:r>
        <w:rPr>
          <w:rFonts w:cs="Times New Roman"/>
        </w:rPr>
        <w:t>有条件的露天工矿区应采用自流排水方式；</w:t>
      </w:r>
    </w:p>
    <w:p w14:paraId="521A416B">
      <w:pPr>
        <w:ind w:left="480" w:leftChars="200" w:firstLine="240" w:firstLineChars="100"/>
        <w:rPr>
          <w:rFonts w:cs="Times New Roman"/>
        </w:rPr>
      </w:pPr>
      <w:r>
        <w:rPr>
          <w:rFonts w:cs="Times New Roman"/>
        </w:rPr>
        <w:t>2</w:t>
      </w:r>
      <w:r>
        <w:rPr>
          <w:rFonts w:hint="eastAsia" w:cs="Times New Roman"/>
        </w:rPr>
        <w:t>）</w:t>
      </w:r>
      <w:r>
        <w:rPr>
          <w:rFonts w:cs="Times New Roman"/>
        </w:rPr>
        <w:t>汇水面积小、涌水量不大的工矿区，宜采用露天坑底集中排水；</w:t>
      </w:r>
    </w:p>
    <w:p w14:paraId="544C93CA">
      <w:pPr>
        <w:ind w:left="480" w:leftChars="200" w:firstLine="240" w:firstLineChars="100"/>
        <w:rPr>
          <w:rFonts w:cs="Times New Roman"/>
        </w:rPr>
      </w:pPr>
      <w:r>
        <w:rPr>
          <w:rFonts w:cs="Times New Roman"/>
        </w:rPr>
        <w:t>3</w:t>
      </w:r>
      <w:r>
        <w:rPr>
          <w:rFonts w:hint="eastAsia" w:cs="Times New Roman"/>
        </w:rPr>
        <w:t>）</w:t>
      </w:r>
      <w:r>
        <w:rPr>
          <w:rFonts w:cs="Times New Roman"/>
        </w:rPr>
        <w:t>涌水量大、下降速度快、采场作业面积小或需井巷疏干的露天工矿区，可采用井巷排水；</w:t>
      </w:r>
    </w:p>
    <w:p w14:paraId="18CE9822">
      <w:pPr>
        <w:ind w:left="480" w:leftChars="200" w:firstLine="240" w:firstLineChars="100"/>
        <w:rPr>
          <w:rFonts w:cs="Times New Roman"/>
        </w:rPr>
      </w:pPr>
      <w:r>
        <w:rPr>
          <w:rFonts w:cs="Times New Roman"/>
        </w:rPr>
        <w:t>4</w:t>
      </w:r>
      <w:r>
        <w:rPr>
          <w:rFonts w:hint="eastAsia" w:cs="Times New Roman"/>
        </w:rPr>
        <w:t>）</w:t>
      </w:r>
      <w:r>
        <w:rPr>
          <w:rFonts w:cs="Times New Roman"/>
        </w:rPr>
        <w:t>汇水面积、涌水量、开采深度大的深凹露天工矿区，宜采用露天坑内分段接力排水或井巷分段接力排水；</w:t>
      </w:r>
    </w:p>
    <w:p w14:paraId="48AF0B78">
      <w:pPr>
        <w:ind w:left="480" w:leftChars="200" w:firstLine="240" w:firstLineChars="100"/>
        <w:rPr>
          <w:rFonts w:cs="Times New Roman"/>
        </w:rPr>
      </w:pPr>
      <w:r>
        <w:rPr>
          <w:rFonts w:cs="Times New Roman"/>
        </w:rPr>
        <w:t>5</w:t>
      </w:r>
      <w:r>
        <w:rPr>
          <w:rFonts w:hint="eastAsia" w:cs="Times New Roman"/>
        </w:rPr>
        <w:t>）</w:t>
      </w:r>
      <w:r>
        <w:rPr>
          <w:rFonts w:cs="Times New Roman"/>
        </w:rPr>
        <w:t>当采用单一排水方式经济上不合理时，应采用联合排水。</w:t>
      </w:r>
    </w:p>
    <w:p w14:paraId="7E57E07E">
      <w:pPr>
        <w:ind w:left="240" w:leftChars="100" w:firstLine="241" w:firstLineChars="100"/>
        <w:rPr>
          <w:rFonts w:cs="Times New Roman"/>
        </w:rPr>
      </w:pPr>
      <w:r>
        <w:rPr>
          <w:rFonts w:cs="Times New Roman"/>
          <w:b/>
          <w:bCs/>
        </w:rPr>
        <w:t>5</w:t>
      </w:r>
      <w:r>
        <w:rPr>
          <w:rFonts w:cs="Times New Roman"/>
        </w:rPr>
        <w:t xml:space="preserve"> </w:t>
      </w:r>
      <w:r>
        <w:rPr>
          <w:rFonts w:hint="eastAsia" w:cs="Times New Roman"/>
          <w:lang w:bidi="ar"/>
        </w:rPr>
        <w:t>当露天矿与矿井共用防洪工程时，防洪标准应符合现行国家标准《煤炭工业矿井设计规范》</w:t>
      </w:r>
      <w:r>
        <w:rPr>
          <w:rFonts w:cs="Times New Roman"/>
          <w:lang w:bidi="ar"/>
        </w:rPr>
        <w:t>GB 50215</w:t>
      </w:r>
      <w:r>
        <w:rPr>
          <w:rFonts w:hint="eastAsia" w:cs="Times New Roman"/>
          <w:lang w:bidi="ar"/>
        </w:rPr>
        <w:t>、《冶金矿山采矿设计规范》</w:t>
      </w:r>
      <w:r>
        <w:rPr>
          <w:rFonts w:cs="Times New Roman"/>
          <w:lang w:bidi="ar"/>
        </w:rPr>
        <w:t>GB 50830</w:t>
      </w:r>
      <w:r>
        <w:rPr>
          <w:rFonts w:hint="eastAsia" w:cs="Times New Roman"/>
          <w:lang w:bidi="ar"/>
        </w:rPr>
        <w:t>、《矿山地质工作规范》</w:t>
      </w:r>
      <w:r>
        <w:rPr>
          <w:rFonts w:cs="Times New Roman"/>
          <w:lang w:bidi="ar"/>
        </w:rPr>
        <w:t>DZ/T 0401</w:t>
      </w:r>
      <w:r>
        <w:rPr>
          <w:rFonts w:hint="eastAsia" w:cs="Times New Roman"/>
          <w:lang w:bidi="ar"/>
        </w:rPr>
        <w:t>的有关规定。</w:t>
      </w:r>
    </w:p>
    <w:p w14:paraId="64B9E37F">
      <w:pPr>
        <w:ind w:firstLine="0" w:firstLineChars="0"/>
      </w:pPr>
      <w:r>
        <w:rPr>
          <w:b/>
          <w:bCs/>
        </w:rPr>
        <w:t xml:space="preserve">7.9.4  </w:t>
      </w:r>
      <w:r>
        <w:rPr>
          <w:rFonts w:hint="eastAsia"/>
        </w:rPr>
        <w:t>垂直绿化技术</w:t>
      </w:r>
    </w:p>
    <w:p w14:paraId="4A596A49">
      <w:pPr>
        <w:ind w:left="240" w:leftChars="100" w:firstLine="241" w:firstLineChars="100"/>
      </w:pPr>
      <w:r>
        <w:rPr>
          <w:b/>
          <w:bCs/>
        </w:rPr>
        <w:t>1</w:t>
      </w:r>
      <w:r>
        <w:t xml:space="preserve"> </w:t>
      </w:r>
      <w:r>
        <w:rPr>
          <w:rFonts w:hint="eastAsia"/>
        </w:rPr>
        <w:t>垂直绿化安装面应根据崖壁实际情况对原有的加固方式优化改进。</w:t>
      </w:r>
    </w:p>
    <w:p w14:paraId="634F429E">
      <w:pPr>
        <w:ind w:firstLineChars="0"/>
      </w:pPr>
      <w:r>
        <w:rPr>
          <w:rFonts w:hint="eastAsia"/>
        </w:rPr>
        <w:t>【</w:t>
      </w:r>
      <w:r>
        <w:t>条文说明</w:t>
      </w:r>
      <w:r>
        <w:rPr>
          <w:rFonts w:hint="eastAsia"/>
        </w:rPr>
        <w:t>】</w:t>
      </w:r>
      <w:r>
        <w:t>深坑崖壁的特殊地形使得传统的垂直绿化安装方法不适用。由于崖壁外表面高低起伏较大，常规的种植毯固定方式难以保证植物</w:t>
      </w:r>
      <w:r>
        <w:rPr>
          <w:rFonts w:hint="eastAsia"/>
        </w:rPr>
        <w:t>的</w:t>
      </w:r>
      <w:r>
        <w:t>固定效果。因此，本条要求根据崖壁的具体情况，对原有的加固方式</w:t>
      </w:r>
      <w:r>
        <w:rPr>
          <w:rFonts w:hint="eastAsia"/>
        </w:rPr>
        <w:t>进行</w:t>
      </w:r>
      <w:r>
        <w:t>调整和优化，以确保植物能够</w:t>
      </w:r>
      <w:r>
        <w:rPr>
          <w:rFonts w:hint="eastAsia"/>
        </w:rPr>
        <w:t>牢</w:t>
      </w:r>
      <w:r>
        <w:t>固附着在崖壁上，并适应其复杂的地形。</w:t>
      </w:r>
    </w:p>
    <w:p w14:paraId="72BB87E7">
      <w:pPr>
        <w:ind w:left="240" w:leftChars="100" w:firstLine="241" w:firstLineChars="100"/>
      </w:pPr>
      <w:r>
        <w:rPr>
          <w:b/>
          <w:bCs/>
        </w:rPr>
        <w:t>2</w:t>
      </w:r>
      <w:r>
        <w:t xml:space="preserve"> </w:t>
      </w:r>
      <w:r>
        <w:rPr>
          <w:rFonts w:hint="eastAsia"/>
        </w:rPr>
        <w:t>深坑崖壁自然环境无法为植物提供稳定的水源时，应采取辅助措施灌溉。</w:t>
      </w:r>
    </w:p>
    <w:p w14:paraId="1F59A753">
      <w:pPr>
        <w:ind w:firstLineChars="0"/>
      </w:pPr>
      <w:r>
        <w:rPr>
          <w:rFonts w:hint="eastAsia"/>
        </w:rPr>
        <w:t>【</w:t>
      </w:r>
      <w:r>
        <w:t>条文说明</w:t>
      </w:r>
      <w:r>
        <w:rPr>
          <w:rFonts w:hint="eastAsia"/>
        </w:rPr>
        <w:t>】</w:t>
      </w:r>
      <w:r>
        <w:t>在深坑崖壁的自然环境中，由于可能缺乏稳定的水源，</w:t>
      </w:r>
      <w:r>
        <w:rPr>
          <w:rFonts w:hint="eastAsia"/>
        </w:rPr>
        <w:t>因此</w:t>
      </w:r>
      <w:r>
        <w:t>植物</w:t>
      </w:r>
      <w:r>
        <w:rPr>
          <w:rFonts w:hint="eastAsia"/>
        </w:rPr>
        <w:t>的</w:t>
      </w:r>
      <w:r>
        <w:t>生长</w:t>
      </w:r>
      <w:r>
        <w:rPr>
          <w:rFonts w:hint="eastAsia"/>
        </w:rPr>
        <w:t>会</w:t>
      </w:r>
      <w:r>
        <w:t>受到限制。</w:t>
      </w:r>
      <w:r>
        <w:rPr>
          <w:rFonts w:hint="eastAsia"/>
        </w:rPr>
        <w:t>因此，</w:t>
      </w:r>
      <w:r>
        <w:t>本条</w:t>
      </w:r>
      <w:r>
        <w:rPr>
          <w:rFonts w:hint="eastAsia"/>
        </w:rPr>
        <w:t>规定</w:t>
      </w:r>
      <w:r>
        <w:t>，在自然水源不足的情况下，</w:t>
      </w:r>
      <w:r>
        <w:rPr>
          <w:rFonts w:hint="eastAsia"/>
        </w:rPr>
        <w:t>应</w:t>
      </w:r>
      <w:r>
        <w:t>采取辅助灌溉措施，如安装滴灌系统或喷雾装置，确保植物能够获得足够的水分，</w:t>
      </w:r>
      <w:r>
        <w:rPr>
          <w:rFonts w:hint="eastAsia"/>
        </w:rPr>
        <w:t>从而</w:t>
      </w:r>
      <w:r>
        <w:t>维持其生长和生存。</w:t>
      </w:r>
    </w:p>
    <w:p w14:paraId="4D74DF1D">
      <w:pPr>
        <w:ind w:firstLine="0" w:firstLineChars="0"/>
      </w:pPr>
      <w:r>
        <w:rPr>
          <w:b/>
          <w:bCs/>
        </w:rPr>
        <w:t xml:space="preserve">7.9.5  </w:t>
      </w:r>
      <w:r>
        <w:t>室外植物墙施工技术</w:t>
      </w:r>
    </w:p>
    <w:p w14:paraId="17A02BB6">
      <w:pPr>
        <w:ind w:left="240" w:leftChars="100" w:firstLine="241" w:firstLineChars="100"/>
      </w:pPr>
      <w:r>
        <w:rPr>
          <w:b/>
          <w:bCs/>
        </w:rPr>
        <w:t>1</w:t>
      </w:r>
      <w:r>
        <w:t xml:space="preserve"> 植物墙是垂直种植植物的模块化绿墙的简称，指将植物种植在特定的模块中，安装在具有一定垂直高度，在空间上起隔离作用，以绿色覆盖墙面或附着在特定隔离设施上的一种绿化形式。</w:t>
      </w:r>
    </w:p>
    <w:p w14:paraId="76B9A63A">
      <w:pPr>
        <w:ind w:firstLineChars="0"/>
      </w:pPr>
      <w:r>
        <w:rPr>
          <w:rFonts w:hint="eastAsia"/>
        </w:rPr>
        <w:t>【</w:t>
      </w:r>
      <w:r>
        <w:t>条文说明</w:t>
      </w:r>
      <w:r>
        <w:rPr>
          <w:rFonts w:hint="eastAsia"/>
        </w:rPr>
        <w:t>】</w:t>
      </w:r>
      <w:r>
        <w:t>植物墙，也称为垂直绿化或模块化绿墙，是一种将植物种植在特制的模块中，并将其安装在一定垂直高度的墙面上或特定隔离设施上的绿化方式。这种绿化形式不仅起到空间隔离的作用，还能以绿色植物覆盖墙面，美化环境，</w:t>
      </w:r>
      <w:r>
        <w:rPr>
          <w:rFonts w:hint="eastAsia"/>
        </w:rPr>
        <w:t>并</w:t>
      </w:r>
      <w:r>
        <w:t>提高生态效益。</w:t>
      </w:r>
    </w:p>
    <w:p w14:paraId="4B2AF95A">
      <w:pPr>
        <w:ind w:left="240" w:leftChars="100" w:firstLine="241" w:firstLineChars="100"/>
      </w:pPr>
      <w:r>
        <w:rPr>
          <w:b/>
          <w:bCs/>
        </w:rPr>
        <w:t xml:space="preserve">2 </w:t>
      </w:r>
      <w:r>
        <w:t>龙骨安装</w:t>
      </w:r>
      <w:r>
        <w:rPr>
          <w:rFonts w:hint="eastAsia"/>
        </w:rPr>
        <w:t>应</w:t>
      </w:r>
      <w:r>
        <w:t>稳定、坚固，框体安装挂牢，植物栽植合理，</w:t>
      </w:r>
      <w:r>
        <w:rPr>
          <w:rFonts w:hint="eastAsia"/>
        </w:rPr>
        <w:t>保证</w:t>
      </w:r>
      <w:r>
        <w:t>水分渗透到框体</w:t>
      </w:r>
      <w:r>
        <w:rPr>
          <w:rFonts w:hint="eastAsia"/>
        </w:rPr>
        <w:t>的</w:t>
      </w:r>
      <w:r>
        <w:t>每一棵植物上，确保植物的成活。</w:t>
      </w:r>
    </w:p>
    <w:p w14:paraId="4AACDC51">
      <w:pPr>
        <w:ind w:firstLineChars="0"/>
      </w:pPr>
      <w:r>
        <w:rPr>
          <w:rFonts w:hint="eastAsia"/>
        </w:rPr>
        <w:t>【</w:t>
      </w:r>
      <w:r>
        <w:t>条文说明</w:t>
      </w:r>
      <w:r>
        <w:rPr>
          <w:rFonts w:hint="eastAsia"/>
        </w:rPr>
        <w:t>】</w:t>
      </w:r>
      <w:r>
        <w:t>为了确保植物墙的稳定性和植物的生长，本条要求在安装过程中</w:t>
      </w:r>
      <w:r>
        <w:rPr>
          <w:rFonts w:hint="eastAsia"/>
        </w:rPr>
        <w:t>应</w:t>
      </w:r>
      <w:r>
        <w:t>保证龙骨的</w:t>
      </w:r>
      <w:r>
        <w:rPr>
          <w:rFonts w:hint="eastAsia"/>
        </w:rPr>
        <w:t>稳固性和结构强度</w:t>
      </w:r>
      <w:r>
        <w:t>，确保框体安装牢固。同时，植物栽植需要合理布局，以便水分能够均匀地渗透到框体内的每一棵植物，从而保证植物的成活率。这包括选择合适的灌溉系统，确保植物根系能够得到充分的水分和营养。</w:t>
      </w:r>
    </w:p>
    <w:p w14:paraId="648CFB78">
      <w:pPr>
        <w:widowControl/>
        <w:spacing w:line="240" w:lineRule="auto"/>
        <w:ind w:firstLine="0" w:firstLineChars="0"/>
        <w:jc w:val="left"/>
        <w:rPr>
          <w:rFonts w:asciiTheme="minorHAnsi" w:hAnsiTheme="minorHAnsi" w:eastAsiaTheme="minorEastAsia"/>
          <w:kern w:val="0"/>
          <w:sz w:val="20"/>
          <w:szCs w:val="20"/>
        </w:rPr>
      </w:pPr>
      <w:r>
        <w:rPr>
          <w:rFonts w:ascii="宋体" w:hAnsi="宋体"/>
        </w:rPr>
        <w:br w:type="page"/>
      </w:r>
    </w:p>
    <w:p w14:paraId="0F9827F4">
      <w:pPr>
        <w:pStyle w:val="30"/>
        <w:numPr>
          <w:ilvl w:val="0"/>
          <w:numId w:val="1"/>
        </w:numPr>
        <w:ind w:firstLineChars="0"/>
        <w:jc w:val="center"/>
        <w:outlineLvl w:val="0"/>
        <w:rPr>
          <w:b/>
          <w:bCs/>
          <w:sz w:val="44"/>
          <w:szCs w:val="44"/>
        </w:rPr>
      </w:pPr>
      <w:bookmarkStart w:id="98" w:name="_Toc212057043"/>
      <w:r>
        <w:rPr>
          <w:rFonts w:hint="eastAsia"/>
          <w:b/>
          <w:bCs/>
          <w:sz w:val="44"/>
          <w:szCs w:val="44"/>
        </w:rPr>
        <w:t>验收</w:t>
      </w:r>
      <w:bookmarkEnd w:id="98"/>
    </w:p>
    <w:p w14:paraId="5B416AB2">
      <w:pPr>
        <w:pStyle w:val="30"/>
        <w:numPr>
          <w:ilvl w:val="0"/>
          <w:numId w:val="6"/>
        </w:numPr>
        <w:spacing w:before="163" w:beforeLines="50" w:after="163" w:afterLines="50"/>
        <w:ind w:firstLineChars="0"/>
        <w:jc w:val="center"/>
        <w:outlineLvl w:val="1"/>
        <w:rPr>
          <w:b/>
          <w:bCs/>
          <w:sz w:val="28"/>
          <w:szCs w:val="28"/>
        </w:rPr>
      </w:pPr>
      <w:bookmarkStart w:id="99" w:name="_Toc212057044"/>
      <w:r>
        <w:rPr>
          <w:rFonts w:hint="eastAsia"/>
          <w:b/>
          <w:bCs/>
          <w:sz w:val="28"/>
          <w:szCs w:val="28"/>
        </w:rPr>
        <w:t>一般规定</w:t>
      </w:r>
      <w:bookmarkEnd w:id="99"/>
    </w:p>
    <w:p w14:paraId="41C08398">
      <w:pPr>
        <w:ind w:firstLine="0" w:firstLineChars="0"/>
      </w:pPr>
      <w:r>
        <w:rPr>
          <w:b/>
          <w:bCs/>
        </w:rPr>
        <w:t>8.1.</w:t>
      </w:r>
      <w:r>
        <w:rPr>
          <w:rFonts w:hint="eastAsia"/>
          <w:b/>
          <w:bCs/>
        </w:rPr>
        <w:t>1</w:t>
      </w:r>
      <w:r>
        <w:t xml:space="preserve"> </w:t>
      </w:r>
      <w:r>
        <w:rPr>
          <w:rFonts w:hint="eastAsia"/>
        </w:rPr>
        <w:t>按照“谁批准实施方案、谁组织验收”的原则，由行业主管部门依据有关规定会同同级相关部门组织验收；验收前应编制验收方案与材料清单，明确职责分工与时间安排；验收期间形成的验收资料与工程档案应规范管理并统一归档。</w:t>
      </w:r>
    </w:p>
    <w:p w14:paraId="5E6589E1">
      <w:pPr>
        <w:ind w:firstLine="0" w:firstLineChars="0"/>
      </w:pPr>
      <w:r>
        <w:rPr>
          <w:b/>
          <w:bCs/>
        </w:rPr>
        <w:t>8.1.2</w:t>
      </w:r>
      <w:r>
        <w:t xml:space="preserve"> </w:t>
      </w:r>
      <w:r>
        <w:rPr>
          <w:rFonts w:hint="eastAsia"/>
        </w:rPr>
        <w:t>工矿区生态修复工程验收包括子项目验收和工程整体验收。因工程规模较小未划分子项目的，可参照子项目验收要求直接开展工程验收；已设置子项目的，应先行完成子项目验收后开展整体验收。各层级验收中应开展生态修复效果评估；对短期内难以显现效果的，应加强监测评估与适应性管理。有关部门可结合本地实际细化验收阶段与内容。</w:t>
      </w:r>
    </w:p>
    <w:p w14:paraId="78675B5F">
      <w:pPr>
        <w:ind w:firstLine="0" w:firstLineChars="0"/>
      </w:pPr>
      <w:r>
        <w:rPr>
          <w:b/>
          <w:bCs/>
        </w:rPr>
        <w:t>8.1.3</w:t>
      </w:r>
      <w:r>
        <w:t xml:space="preserve"> </w:t>
      </w:r>
      <w:r>
        <w:rPr>
          <w:rFonts w:hint="eastAsia"/>
        </w:rPr>
        <w:t>工程验收应按规定抽选验收专家，组建不少于5人且为单数的专家组；专家专业领域应涵盖地质环境、土地复垦、林草生态、水利、财务等，必要时可补充生态环境、规划、法务等相关专业。</w:t>
      </w:r>
    </w:p>
    <w:p w14:paraId="30293529">
      <w:pPr>
        <w:ind w:firstLine="0" w:firstLineChars="0"/>
      </w:pPr>
      <w:r>
        <w:rPr>
          <w:b/>
          <w:bCs/>
        </w:rPr>
        <w:t>8.1.4</w:t>
      </w:r>
      <w:r>
        <w:t xml:space="preserve"> </w:t>
      </w:r>
      <w:r>
        <w:rPr>
          <w:rFonts w:hint="eastAsia"/>
        </w:rPr>
        <w:t>验收工作应科学组织，依据各阶段验收条件与依据开展评审，采用定量与定性相结合、室内文件审阅与现场核查相结合的方法，合理实施验收，编制各阶段验收资料，并实事求是给出公正、真实的验收意见与结论。</w:t>
      </w:r>
    </w:p>
    <w:p w14:paraId="37E9443B">
      <w:pPr>
        <w:ind w:firstLine="0" w:firstLineChars="0"/>
      </w:pPr>
      <w:r>
        <w:rPr>
          <w:b/>
          <w:bCs/>
        </w:rPr>
        <w:t>8.1.5</w:t>
      </w:r>
      <w:r>
        <w:t xml:space="preserve"> </w:t>
      </w:r>
      <w:r>
        <w:rPr>
          <w:rFonts w:hint="eastAsia"/>
        </w:rPr>
        <w:t>工程验收完成后，应及时整理各阶段形成的文件资料，分类标注、统一编号并归档保存；电子与纸质档案宜同步建档，确保可追溯。</w:t>
      </w:r>
    </w:p>
    <w:p w14:paraId="0AEB5936">
      <w:pPr>
        <w:ind w:firstLine="0" w:firstLineChars="0"/>
      </w:pPr>
      <w:r>
        <w:rPr>
          <w:b/>
          <w:bCs/>
        </w:rPr>
        <w:t>8.1.6</w:t>
      </w:r>
      <w:r>
        <w:t xml:space="preserve"> </w:t>
      </w:r>
      <w:r>
        <w:rPr>
          <w:rFonts w:hint="eastAsia"/>
        </w:rPr>
        <w:t>工矿区生态修复工程验收涉及新增耕地指标、城乡建设用地增减挂钩、耕地质量建设、生态保护红线、存量采矿用地复垦修复与采矿项目新增用地相挂钩等政策的，应按有关规定执行。涉及地类变更的，应通过国土变更调查相关程序予以认定。</w:t>
      </w:r>
    </w:p>
    <w:p w14:paraId="3E0BD04D">
      <w:pPr>
        <w:ind w:firstLine="0" w:firstLineChars="0"/>
      </w:pPr>
      <w:r>
        <w:rPr>
          <w:rFonts w:hint="eastAsia"/>
        </w:rPr>
        <w:t>【条文说明】本条从组织原则—层级与内容—专家组成—程序方法—资料归档—政策衔接构建完整的验收框架，强调结果评估与适应性管理，保证验收结论的科学性与合规性，并与土地利用与生态保护等相关政策实现有效衔接。</w:t>
      </w:r>
    </w:p>
    <w:p w14:paraId="01CA34ED">
      <w:pPr>
        <w:pStyle w:val="30"/>
        <w:numPr>
          <w:ilvl w:val="0"/>
          <w:numId w:val="6"/>
        </w:numPr>
        <w:spacing w:before="163" w:beforeLines="50" w:after="163" w:afterLines="50"/>
        <w:ind w:firstLineChars="0"/>
        <w:jc w:val="center"/>
        <w:outlineLvl w:val="1"/>
        <w:rPr>
          <w:b/>
          <w:bCs/>
          <w:sz w:val="28"/>
          <w:szCs w:val="28"/>
        </w:rPr>
      </w:pPr>
      <w:bookmarkStart w:id="100" w:name="_Toc212057045"/>
      <w:r>
        <w:rPr>
          <w:rFonts w:hint="eastAsia"/>
          <w:b/>
          <w:bCs/>
          <w:sz w:val="28"/>
          <w:szCs w:val="28"/>
        </w:rPr>
        <w:t>绿色改造验收</w:t>
      </w:r>
      <w:bookmarkEnd w:id="100"/>
    </w:p>
    <w:p w14:paraId="455D2670">
      <w:pPr>
        <w:ind w:firstLine="0" w:firstLineChars="0"/>
      </w:pPr>
      <w:r>
        <w:rPr>
          <w:rFonts w:hint="eastAsia"/>
          <w:b/>
          <w:bCs/>
        </w:rPr>
        <w:t>8</w:t>
      </w:r>
      <w:r>
        <w:rPr>
          <w:b/>
          <w:bCs/>
        </w:rPr>
        <w:t>.2.1</w:t>
      </w:r>
      <w:r>
        <w:t xml:space="preserve">  </w:t>
      </w:r>
      <w:r>
        <w:rPr>
          <w:rFonts w:hint="eastAsia"/>
        </w:rPr>
        <w:t>围护结构节能验收应符合现行国家标准《建筑节能工程施工质量验收标准》GB50411和《建筑节能与可再生能源利用通用规范》GB55015等有关标准的规定，并核查复验报告与设计文件是否一致。</w:t>
      </w:r>
    </w:p>
    <w:p w14:paraId="21987554">
      <w:pPr>
        <w:ind w:firstLine="0" w:firstLineChars="0"/>
      </w:pPr>
      <w:r>
        <w:rPr>
          <w:rFonts w:cs="Times New Roman"/>
          <w:b/>
          <w:bCs/>
          <w:lang w:bidi="ar"/>
        </w:rPr>
        <w:t>8.2.2</w:t>
      </w:r>
      <w:r>
        <w:rPr>
          <w:rFonts w:cs="Times New Roman"/>
          <w:lang w:bidi="ar"/>
        </w:rPr>
        <w:t xml:space="preserve">  </w:t>
      </w:r>
      <w:r>
        <w:rPr>
          <w:rFonts w:hint="eastAsia" w:cs="宋体"/>
          <w:lang w:bidi="ar"/>
        </w:rPr>
        <w:t>用水设备应采用节水型器具，如节水型马桶每次冲水量应不大于</w:t>
      </w:r>
      <w:r>
        <w:rPr>
          <w:rFonts w:cs="Times New Roman"/>
          <w:lang w:bidi="ar"/>
        </w:rPr>
        <w:t>6L</w:t>
      </w:r>
      <w:r>
        <w:rPr>
          <w:rFonts w:hint="eastAsia" w:cs="宋体"/>
          <w:lang w:bidi="ar"/>
        </w:rPr>
        <w:t>，节水型水龙头流量应不大于</w:t>
      </w:r>
      <w:r>
        <w:rPr>
          <w:rFonts w:cs="Times New Roman"/>
          <w:lang w:bidi="ar"/>
        </w:rPr>
        <w:t>0.1L/s</w:t>
      </w:r>
      <w:r>
        <w:rPr>
          <w:rFonts w:hint="eastAsia" w:cs="宋体"/>
          <w:lang w:bidi="ar"/>
        </w:rPr>
        <w:t>。中水回用系统正常运行，中水回用率应达到</w:t>
      </w:r>
      <w:r>
        <w:rPr>
          <w:rFonts w:cs="Times New Roman"/>
          <w:lang w:bidi="ar"/>
        </w:rPr>
        <w:t>30%</w:t>
      </w:r>
      <w:r>
        <w:rPr>
          <w:rFonts w:hint="eastAsia" w:cs="宋体"/>
          <w:lang w:bidi="ar"/>
        </w:rPr>
        <w:t>以上，用于绿化灌溉、道路喷洒等。</w:t>
      </w:r>
    </w:p>
    <w:p w14:paraId="70D9CB70">
      <w:pPr>
        <w:ind w:firstLine="0" w:firstLineChars="0"/>
      </w:pPr>
      <w:r>
        <w:rPr>
          <w:rFonts w:cs="Times New Roman"/>
          <w:b/>
          <w:bCs/>
          <w:lang w:bidi="ar"/>
        </w:rPr>
        <w:t>8.2.3</w:t>
      </w:r>
      <w:r>
        <w:rPr>
          <w:rFonts w:cs="Times New Roman"/>
          <w:lang w:bidi="ar"/>
        </w:rPr>
        <w:t xml:space="preserve">  </w:t>
      </w:r>
      <w:r>
        <w:rPr>
          <w:rFonts w:hint="eastAsia" w:cs="宋体"/>
          <w:lang w:bidi="ar"/>
        </w:rPr>
        <w:t>室内空气质量应符合《室内空气质量标准》</w:t>
      </w:r>
      <w:r>
        <w:rPr>
          <w:rFonts w:cs="Times New Roman"/>
          <w:lang w:bidi="ar"/>
        </w:rPr>
        <w:t>GB/T18883</w:t>
      </w:r>
      <w:r>
        <w:rPr>
          <w:rFonts w:hint="eastAsia" w:cs="宋体"/>
          <w:lang w:bidi="ar"/>
        </w:rPr>
        <w:t>要求，如甲醛浓度应不大于</w:t>
      </w:r>
      <w:r>
        <w:rPr>
          <w:rFonts w:cs="Times New Roman"/>
          <w:lang w:bidi="ar"/>
        </w:rPr>
        <w:t>0.1mg/m</w:t>
      </w:r>
      <w:r>
        <w:rPr>
          <w:rFonts w:hint="eastAsia" w:cs="宋体"/>
          <w:lang w:bidi="ar"/>
        </w:rPr>
        <w:t>³，苯浓度应不大于</w:t>
      </w:r>
      <w:r>
        <w:rPr>
          <w:rFonts w:cs="Times New Roman"/>
          <w:lang w:bidi="ar"/>
        </w:rPr>
        <w:t>0.11mg/m</w:t>
      </w:r>
      <w:r>
        <w:rPr>
          <w:rFonts w:hint="eastAsia" w:cs="宋体"/>
          <w:lang w:bidi="ar"/>
        </w:rPr>
        <w:t>³。室外绿化应达到设计方案要求，绿化种植面积应不低于规划指标，公园绿地应满足居民出行</w:t>
      </w:r>
      <w:r>
        <w:rPr>
          <w:rFonts w:cs="Times New Roman"/>
          <w:lang w:bidi="ar"/>
        </w:rPr>
        <w:t>300m</w:t>
      </w:r>
      <w:r>
        <w:rPr>
          <w:rFonts w:hint="eastAsia" w:cs="宋体"/>
          <w:lang w:bidi="ar"/>
        </w:rPr>
        <w:t>见绿的要求。</w:t>
      </w:r>
    </w:p>
    <w:p w14:paraId="6E5E832B">
      <w:pPr>
        <w:ind w:firstLine="0" w:firstLineChars="0"/>
      </w:pPr>
      <w:r>
        <w:rPr>
          <w:b/>
          <w:bCs/>
        </w:rPr>
        <w:t>8.2.4</w:t>
      </w:r>
      <w:r>
        <w:t xml:space="preserve">  </w:t>
      </w:r>
      <w:r>
        <w:rPr>
          <w:rFonts w:hint="eastAsia"/>
        </w:rPr>
        <w:t>应建立完善的绿色运行管理制度，如能源管理、水资源管理、设备维护管理等制度。物业管理人员应具备绿色运营管理能力，取得相关培训证书的比例应达到50%以上。智能化管理系统的运行正常，能对能源消耗、设备运行等进行实时监测和控制，如能耗监测系统的监测数据应准确和完整，设备故障报警响应时间应不大于10min。</w:t>
      </w:r>
    </w:p>
    <w:p w14:paraId="3ADAEFA6">
      <w:pPr>
        <w:ind w:firstLine="0" w:firstLineChars="0"/>
      </w:pPr>
      <w:r>
        <w:rPr>
          <w:b/>
          <w:bCs/>
        </w:rPr>
        <w:t>8.2.5</w:t>
      </w:r>
      <w:r>
        <w:t xml:space="preserve">  </w:t>
      </w:r>
      <w:r>
        <w:rPr>
          <w:rFonts w:hint="eastAsia"/>
        </w:rPr>
        <w:t>可再生能源利用</w:t>
      </w:r>
    </w:p>
    <w:p w14:paraId="7C2883D9">
      <w:pPr>
        <w:ind w:left="240" w:leftChars="100" w:firstLine="241" w:firstLineChars="100"/>
      </w:pPr>
      <w:r>
        <w:rPr>
          <w:b/>
          <w:bCs/>
        </w:rPr>
        <w:t>1</w:t>
      </w:r>
      <w:r>
        <w:t xml:space="preserve"> </w:t>
      </w:r>
      <w:r>
        <w:rPr>
          <w:rFonts w:hint="eastAsia"/>
        </w:rPr>
        <w:t>太阳能利用：太阳能光伏发电系统安装容量应达到设计要求。对于大型工矿企业厂房改造，其屋顶光伏发电系统安装面积应不低于可利用屋顶面积的70%，发电量应满足企业部分生产或生活用电需求。太阳能热水器系统应满足建筑物50%以上的热水需求。</w:t>
      </w:r>
    </w:p>
    <w:p w14:paraId="39572627">
      <w:pPr>
        <w:ind w:left="240" w:leftChars="100" w:firstLine="241" w:firstLineChars="100"/>
      </w:pPr>
      <w:r>
        <w:rPr>
          <w:b/>
          <w:bCs/>
        </w:rPr>
        <w:t>2</w:t>
      </w:r>
      <w:r>
        <w:t xml:space="preserve"> </w:t>
      </w:r>
      <w:r>
        <w:rPr>
          <w:rFonts w:hint="eastAsia"/>
        </w:rPr>
        <w:t>风能利用：在风力资源丰富的地区，风力发电设施建设应符合相关标准，其发电量应达到设计目标，年发电量应不低于装机容量的1800h。</w:t>
      </w:r>
    </w:p>
    <w:p w14:paraId="5F5F65A1">
      <w:pPr>
        <w:ind w:left="240" w:leftChars="100" w:firstLine="241" w:firstLineChars="100"/>
      </w:pPr>
      <w:r>
        <w:rPr>
          <w:b/>
          <w:bCs/>
        </w:rPr>
        <w:t xml:space="preserve">3 </w:t>
      </w:r>
      <w:r>
        <w:rPr>
          <w:rFonts w:hint="eastAsia"/>
        </w:rPr>
        <w:t>地热能利用：地源热泵系统应满足建筑物供暖和制冷需求，其能效比应达到国家标准，制冷能效比应不低于3.5，制热能效比应不低于3.8。</w:t>
      </w:r>
    </w:p>
    <w:p w14:paraId="69CACBEB">
      <w:pPr>
        <w:ind w:firstLine="0" w:firstLineChars="0"/>
      </w:pPr>
      <w:r>
        <w:rPr>
          <w:b/>
          <w:bCs/>
        </w:rPr>
        <w:t>8.2.6</w:t>
      </w:r>
      <w:r>
        <w:t xml:space="preserve">  </w:t>
      </w:r>
      <w:r>
        <w:rPr>
          <w:rFonts w:hint="eastAsia"/>
        </w:rPr>
        <w:t>废弃物处理与资源化利用</w:t>
      </w:r>
    </w:p>
    <w:p w14:paraId="23FDEEEF">
      <w:pPr>
        <w:ind w:left="240" w:leftChars="100" w:firstLine="241" w:firstLineChars="100"/>
      </w:pPr>
      <w:r>
        <w:rPr>
          <w:rFonts w:hint="eastAsia"/>
          <w:b/>
          <w:bCs/>
        </w:rPr>
        <w:t>1</w:t>
      </w:r>
      <w:r>
        <w:t xml:space="preserve"> </w:t>
      </w:r>
      <w:r>
        <w:rPr>
          <w:rFonts w:hint="eastAsia"/>
        </w:rPr>
        <w:t>建筑垃圾再利用：建筑垃圾的回收利用率应达到50%以上，可将废弃混凝土加工成再生骨料，用于道路基层、垫层等建设。建筑垃圾的堆放应符合环保要求，避免对周边环境造成污染。</w:t>
      </w:r>
    </w:p>
    <w:p w14:paraId="5FC40444">
      <w:pPr>
        <w:ind w:left="240" w:leftChars="100" w:firstLine="241" w:firstLineChars="100"/>
      </w:pPr>
      <w:r>
        <w:rPr>
          <w:rFonts w:hint="eastAsia"/>
          <w:b/>
          <w:bCs/>
        </w:rPr>
        <w:t>2</w:t>
      </w:r>
      <w:r>
        <w:t xml:space="preserve"> </w:t>
      </w:r>
      <w:r>
        <w:rPr>
          <w:rFonts w:hint="eastAsia"/>
        </w:rPr>
        <w:t>工业废弃物处理：工矿区内的工业废弃物应得到合理处置，粉煤灰、炉渣等应进行综合利用，其综合利用率应达到90%以上。危险废物的处理应符合国家危险废物管理规定，确保其对环境无害。</w:t>
      </w:r>
    </w:p>
    <w:p w14:paraId="7DE47C71">
      <w:pPr>
        <w:ind w:left="240" w:leftChars="100" w:firstLine="241" w:firstLineChars="100"/>
      </w:pPr>
      <w:r>
        <w:rPr>
          <w:rFonts w:hint="eastAsia"/>
          <w:b/>
          <w:bCs/>
        </w:rPr>
        <w:t>3</w:t>
      </w:r>
      <w:r>
        <w:t xml:space="preserve"> </w:t>
      </w:r>
      <w:r>
        <w:rPr>
          <w:rFonts w:hint="eastAsia"/>
        </w:rPr>
        <w:t>生活垃圾分类与处理：生活垃圾分类收集率应达到90%以上，分类处理率应达到80%以上。生活垃圾可回收物的回收利用率应达到35%以上，厨余垃圾应采用生物处理等方式进行资源化利用。</w:t>
      </w:r>
    </w:p>
    <w:p w14:paraId="4186EFCA">
      <w:pPr>
        <w:ind w:firstLine="0" w:firstLineChars="0"/>
      </w:pPr>
      <w:r>
        <w:rPr>
          <w:b/>
          <w:bCs/>
        </w:rPr>
        <w:t>8.2.</w:t>
      </w:r>
      <w:r>
        <w:rPr>
          <w:rFonts w:hint="eastAsia"/>
          <w:b/>
          <w:bCs/>
        </w:rPr>
        <w:t>7</w:t>
      </w:r>
      <w:r>
        <w:t xml:space="preserve"> </w:t>
      </w:r>
      <w:r>
        <w:rPr>
          <w:rFonts w:hint="eastAsia"/>
        </w:rPr>
        <w:t xml:space="preserve"> 场地生态恢复与景观营造</w:t>
      </w:r>
    </w:p>
    <w:p w14:paraId="70A9F238">
      <w:pPr>
        <w:ind w:left="240" w:leftChars="100" w:firstLine="241" w:firstLineChars="100"/>
      </w:pPr>
      <w:r>
        <w:rPr>
          <w:b/>
          <w:bCs/>
        </w:rPr>
        <w:t xml:space="preserve">1 </w:t>
      </w:r>
      <w:r>
        <w:rPr>
          <w:rFonts w:hint="eastAsia"/>
        </w:rPr>
        <w:t>生态景观建设：场地内的绿地率应达到30%以上（可根据当地气候条件和场地功能适当调整），绿化种植应以本土植物为主，搭配适量的外来适生植物，形成乔、灌、草、花相结合的绿化体系。景观水体的水质应达到《地表水环境质量标准》中的Ⅳ类标准，水面面积应占场地总面积的5%以上（可根据场地实际情况进行调整）。</w:t>
      </w:r>
    </w:p>
    <w:p w14:paraId="42BE4661">
      <w:pPr>
        <w:ind w:left="240" w:leftChars="100" w:firstLine="241" w:firstLineChars="100"/>
      </w:pPr>
      <w:r>
        <w:rPr>
          <w:rFonts w:hint="eastAsia"/>
          <w:b/>
          <w:bCs/>
        </w:rPr>
        <w:t>2</w:t>
      </w:r>
      <w:r>
        <w:t xml:space="preserve"> </w:t>
      </w:r>
      <w:r>
        <w:rPr>
          <w:rFonts w:hint="eastAsia"/>
        </w:rPr>
        <w:t>生态驳岸建设：对于场地内的水系，应采用生态驳岸形式，生态驳岸长度占总驳岸长度的比例应达到80%以上。生态驳岸应采用天然材料，如石头、木材等，营造适合生物栖息的环境，增加生物多样性。</w:t>
      </w:r>
    </w:p>
    <w:p w14:paraId="189ED0C8">
      <w:pPr>
        <w:ind w:left="240" w:leftChars="100" w:firstLine="241" w:firstLineChars="100"/>
      </w:pPr>
      <w:r>
        <w:rPr>
          <w:rFonts w:hint="eastAsia"/>
          <w:b/>
          <w:bCs/>
        </w:rPr>
        <w:t>3</w:t>
      </w:r>
      <w:r>
        <w:t xml:space="preserve"> </w:t>
      </w:r>
      <w:r>
        <w:rPr>
          <w:rFonts w:hint="eastAsia"/>
        </w:rPr>
        <w:t>生物栖息地营造：在场地内设置生物栖息地，如人工湿地、鸟类栖息地等。人工湿地面积应占场地绿地面积的10%以上，湿地内应种植适合当地生长的水生植物，为鸟类、两栖动物等提供栖息场所。</w:t>
      </w:r>
    </w:p>
    <w:p w14:paraId="1FBC3E75">
      <w:pPr>
        <w:pStyle w:val="30"/>
        <w:numPr>
          <w:ilvl w:val="0"/>
          <w:numId w:val="6"/>
        </w:numPr>
        <w:spacing w:before="163" w:beforeLines="50" w:after="163" w:afterLines="50"/>
        <w:ind w:firstLineChars="0"/>
        <w:jc w:val="center"/>
        <w:outlineLvl w:val="1"/>
        <w:rPr>
          <w:b/>
          <w:bCs/>
          <w:sz w:val="28"/>
          <w:szCs w:val="28"/>
        </w:rPr>
      </w:pPr>
      <w:bookmarkStart w:id="101" w:name="_Toc212057046"/>
      <w:r>
        <w:rPr>
          <w:rFonts w:hint="eastAsia"/>
          <w:b/>
          <w:bCs/>
          <w:sz w:val="28"/>
          <w:szCs w:val="28"/>
        </w:rPr>
        <w:t>生态修复验收</w:t>
      </w:r>
      <w:bookmarkEnd w:id="101"/>
    </w:p>
    <w:p w14:paraId="13B4D204">
      <w:pPr>
        <w:ind w:firstLine="0" w:firstLineChars="0"/>
      </w:pPr>
      <w:r>
        <w:rPr>
          <w:b/>
          <w:bCs/>
        </w:rPr>
        <w:t>8.3</w:t>
      </w:r>
      <w:r>
        <w:rPr>
          <w:rFonts w:hint="eastAsia"/>
          <w:b/>
          <w:bCs/>
        </w:rPr>
        <w:t>.1</w:t>
      </w:r>
      <w:r>
        <w:rPr>
          <w:b/>
          <w:bCs/>
        </w:rPr>
        <w:t xml:space="preserve">  </w:t>
      </w:r>
      <w:r>
        <w:rPr>
          <w:rFonts w:hint="eastAsia"/>
        </w:rPr>
        <w:t>植被覆盖度应达到方案设计要求，草本植被覆盖度应不低于30%，灌木植被覆盖度应不低于20%，乔木植被覆盖度应不低于10%。植物种类应优先选用本土植物，且生长良好，无明显病虫害，群落结构合理，能与周边自然生态环境相协调。</w:t>
      </w:r>
    </w:p>
    <w:p w14:paraId="1AE9B02F">
      <w:pPr>
        <w:ind w:firstLine="0" w:firstLineChars="0"/>
      </w:pPr>
      <w:r>
        <w:rPr>
          <w:b/>
          <w:bCs/>
        </w:rPr>
        <w:t xml:space="preserve">8.3.2  </w:t>
      </w:r>
      <w:r>
        <w:rPr>
          <w:rFonts w:hint="eastAsia"/>
        </w:rPr>
        <w:t>复垦土地应达到相应的质量标准，如土壤肥力、土壤质地、地形地貌等满足后续利用要求。以农业用途为例，土壤有机质含量应不低于1.5%，土壤pH值应在6-8之间，土地平整度应达到±5厘米。</w:t>
      </w:r>
    </w:p>
    <w:p w14:paraId="1218AE8E">
      <w:pPr>
        <w:ind w:firstLine="0" w:firstLineChars="0"/>
      </w:pPr>
      <w:r>
        <w:rPr>
          <w:b/>
          <w:bCs/>
        </w:rPr>
        <w:t xml:space="preserve">8.3.3  </w:t>
      </w:r>
      <w:r>
        <w:rPr>
          <w:rFonts w:hint="eastAsia"/>
        </w:rPr>
        <w:t>水土流失治理措施有效，如修建的梯田、护坡、挡土墙等工程措施稳定可靠，植被措施生长良好。水土流失强度应降低到规定标准以下，治理后水土流失模数应小于</w:t>
      </w:r>
      <w:r>
        <w:t>500</w:t>
      </w:r>
      <w:r>
        <w:rPr>
          <w:rFonts w:cs="Times New Roman"/>
          <w:lang w:bidi="ar"/>
        </w:rPr>
        <w:t>t/km</w:t>
      </w:r>
      <w:r>
        <w:rPr>
          <w:rFonts w:cs="Times New Roman"/>
          <w:vertAlign w:val="superscript"/>
          <w:lang w:bidi="ar"/>
        </w:rPr>
        <w:t>2</w:t>
      </w:r>
      <w:r>
        <w:rPr>
          <w:rFonts w:hint="eastAsia" w:eastAsia="微软雅黑" w:cs="Times New Roman"/>
          <w:lang w:bidi="ar"/>
        </w:rPr>
        <w:t>·</w:t>
      </w:r>
      <w:r>
        <w:rPr>
          <w:rFonts w:eastAsia="微软雅黑" w:cs="Times New Roman"/>
          <w:lang w:bidi="ar"/>
        </w:rPr>
        <w:t>a</w:t>
      </w:r>
      <w:r>
        <w:rPr>
          <w:rFonts w:hint="eastAsia" w:ascii="宋体" w:hAnsi="宋体" w:cs="宋体"/>
          <w:lang w:bidi="ar"/>
        </w:rPr>
        <w:t>。</w:t>
      </w:r>
    </w:p>
    <w:p w14:paraId="57ED28E5">
      <w:pPr>
        <w:ind w:firstLine="0" w:firstLineChars="0"/>
      </w:pPr>
      <w:r>
        <w:rPr>
          <w:b/>
          <w:bCs/>
        </w:rPr>
        <w:t>8.3.4</w:t>
      </w:r>
      <w:r>
        <w:t xml:space="preserve">  </w:t>
      </w:r>
      <w:r>
        <w:rPr>
          <w:rFonts w:hint="eastAsia"/>
        </w:rPr>
        <w:t>对因开采等活动造成的地形地貌破坏区域进行重塑，使其与周边地形地貌相协调，形成稳定的地形地貌形态，消除地质灾害隐患。</w:t>
      </w:r>
      <w:r>
        <w:rPr>
          <w:rFonts w:hint="eastAsia" w:cs="Times New Roman"/>
          <w:lang w:bidi="ar"/>
        </w:rPr>
        <w:t>工矿区采坑的边坡角应不大于</w:t>
      </w:r>
      <w:r>
        <w:rPr>
          <w:rFonts w:cs="Times New Roman"/>
          <w:lang w:bidi="ar"/>
        </w:rPr>
        <w:t>45</w:t>
      </w:r>
      <w:r>
        <w:rPr>
          <w:rFonts w:hint="eastAsia" w:cs="Times New Roman"/>
          <w:lang w:bidi="ar"/>
        </w:rPr>
        <w:t>°，废石堆的堆积角应不大于</w:t>
      </w:r>
      <w:r>
        <w:rPr>
          <w:rFonts w:cs="Times New Roman"/>
          <w:lang w:bidi="ar"/>
        </w:rPr>
        <w:t>35</w:t>
      </w:r>
      <w:r>
        <w:rPr>
          <w:rFonts w:hint="eastAsia" w:cs="Times New Roman"/>
          <w:lang w:bidi="ar"/>
        </w:rPr>
        <w:t>°</w:t>
      </w:r>
      <w:r>
        <w:rPr>
          <w:rFonts w:hint="eastAsia"/>
        </w:rPr>
        <w:t>。</w:t>
      </w:r>
    </w:p>
    <w:p w14:paraId="4046B295">
      <w:pPr>
        <w:ind w:firstLine="0" w:firstLineChars="0"/>
      </w:pPr>
      <w:r>
        <w:rPr>
          <w:b/>
          <w:bCs/>
        </w:rPr>
        <w:t xml:space="preserve">8.3.5  </w:t>
      </w:r>
      <w:r>
        <w:rPr>
          <w:rFonts w:hint="eastAsia"/>
        </w:rPr>
        <w:t>生态系统的服务功能得到恢复和提升，如水源涵养功能、土壤保持功能等。修复后的区域水源涵养量应比修复前提高10%以上。</w:t>
      </w:r>
    </w:p>
    <w:p w14:paraId="733DCC5A">
      <w:pPr>
        <w:ind w:firstLine="0" w:firstLineChars="0"/>
      </w:pPr>
      <w:r>
        <w:rPr>
          <w:rFonts w:hint="eastAsia"/>
          <w:b/>
          <w:bCs/>
        </w:rPr>
        <w:t>8</w:t>
      </w:r>
      <w:r>
        <w:rPr>
          <w:b/>
          <w:bCs/>
        </w:rPr>
        <w:t>.3.6</w:t>
      </w:r>
      <w:r>
        <w:t xml:space="preserve">  </w:t>
      </w:r>
      <w:r>
        <w:rPr>
          <w:rFonts w:hint="eastAsia"/>
        </w:rPr>
        <w:t xml:space="preserve"> 生物多样性保护</w:t>
      </w:r>
    </w:p>
    <w:p w14:paraId="24D58AD0">
      <w:pPr>
        <w:ind w:firstLine="241" w:firstLineChars="100"/>
      </w:pPr>
      <w:r>
        <w:rPr>
          <w:rFonts w:hint="eastAsia"/>
          <w:b/>
          <w:bCs/>
        </w:rPr>
        <w:t>1</w:t>
      </w:r>
      <w:r>
        <w:t xml:space="preserve"> </w:t>
      </w:r>
      <w:r>
        <w:rPr>
          <w:rFonts w:hint="eastAsia"/>
        </w:rPr>
        <w:t>物种丰富度：应达到生态修复方案中的目标值，如修复后的森林生态系统，其植物物种数应比修复前增加10%以上，动物物种数应比修复前增加5%以上。</w:t>
      </w:r>
    </w:p>
    <w:p w14:paraId="2F3B199E">
      <w:pPr>
        <w:ind w:firstLine="241" w:firstLineChars="100"/>
      </w:pPr>
      <w:r>
        <w:rPr>
          <w:rFonts w:hint="eastAsia"/>
          <w:b/>
          <w:bCs/>
        </w:rPr>
        <w:t>2</w:t>
      </w:r>
      <w:r>
        <w:t xml:space="preserve"> </w:t>
      </w:r>
      <w:r>
        <w:rPr>
          <w:rFonts w:hint="eastAsia"/>
        </w:rPr>
        <w:t>关键物种保护：对区域内珍稀濒危物种进行有效保护，其栖息地应得到完整保留或合理恢复，关键物种的种群数量应保持稳定或有所增长。</w:t>
      </w:r>
    </w:p>
    <w:p w14:paraId="095283E4">
      <w:pPr>
        <w:ind w:firstLine="241" w:firstLineChars="100"/>
      </w:pPr>
      <w:r>
        <w:rPr>
          <w:b/>
          <w:bCs/>
        </w:rPr>
        <w:t>3</w:t>
      </w:r>
      <w:r>
        <w:t xml:space="preserve"> </w:t>
      </w:r>
      <w:r>
        <w:rPr>
          <w:rFonts w:hint="eastAsia"/>
        </w:rPr>
        <w:t>生态廊道建设：修复区域内应设置生态廊道，促进生物迁徙和基因交流，生态廊道的宽度应根据修复区域的规模和功能需求确定，如对于大型生态修复区域，生态廊道宽度应不小于30m。</w:t>
      </w:r>
    </w:p>
    <w:p w14:paraId="3D9A6BDD">
      <w:pPr>
        <w:ind w:firstLine="0" w:firstLineChars="0"/>
        <w:rPr>
          <w:b/>
          <w:bCs/>
        </w:rPr>
      </w:pPr>
      <w:r>
        <w:rPr>
          <w:b/>
          <w:bCs/>
        </w:rPr>
        <w:t xml:space="preserve">8.3.7  </w:t>
      </w:r>
      <w:r>
        <w:t>土壤质量</w:t>
      </w:r>
    </w:p>
    <w:p w14:paraId="6828D34D">
      <w:pPr>
        <w:tabs>
          <w:tab w:val="left" w:pos="720"/>
        </w:tabs>
        <w:ind w:firstLine="241" w:firstLineChars="100"/>
      </w:pPr>
      <w:r>
        <w:rPr>
          <w:rFonts w:hint="eastAsia"/>
          <w:b/>
          <w:bCs/>
        </w:rPr>
        <w:t>1</w:t>
      </w:r>
      <w:r>
        <w:t xml:space="preserve"> 土壤肥力指标：修复后的土壤有机质含量、全氮量、全磷量、全钾量等肥力指标应达到或优于修复目标值。</w:t>
      </w:r>
    </w:p>
    <w:p w14:paraId="013F1EE6">
      <w:pPr>
        <w:tabs>
          <w:tab w:val="left" w:pos="720"/>
        </w:tabs>
        <w:ind w:firstLine="241" w:firstLineChars="100"/>
      </w:pPr>
      <w:r>
        <w:rPr>
          <w:rFonts w:hint="eastAsia"/>
          <w:b/>
          <w:bCs/>
        </w:rPr>
        <w:t>2</w:t>
      </w:r>
      <w:r>
        <w:t xml:space="preserve"> 土壤污染修复：污染土壤的重金属含量、有机污染物含量等应降至相应环境质量标准限值以下</w:t>
      </w:r>
      <w:r>
        <w:rPr>
          <w:rFonts w:hint="eastAsia"/>
        </w:rPr>
        <w:t>。</w:t>
      </w:r>
    </w:p>
    <w:p w14:paraId="6D90FC93">
      <w:pPr>
        <w:ind w:firstLine="0" w:firstLineChars="0"/>
      </w:pPr>
      <w:r>
        <w:rPr>
          <w:b/>
          <w:bCs/>
        </w:rPr>
        <w:t>8.</w:t>
      </w:r>
      <w:r>
        <w:rPr>
          <w:rFonts w:hint="eastAsia"/>
          <w:b/>
          <w:bCs/>
        </w:rPr>
        <w:t>3.8</w:t>
      </w:r>
      <w:r>
        <w:rPr>
          <w:rFonts w:hint="eastAsia"/>
        </w:rPr>
        <w:t xml:space="preserve"> </w:t>
      </w:r>
      <w:r>
        <w:t xml:space="preserve"> </w:t>
      </w:r>
      <w:r>
        <w:rPr>
          <w:rFonts w:hint="eastAsia"/>
        </w:rPr>
        <w:t>水体质量</w:t>
      </w:r>
    </w:p>
    <w:p w14:paraId="6E3674E2">
      <w:pPr>
        <w:ind w:firstLine="241" w:firstLineChars="100"/>
      </w:pPr>
      <w:r>
        <w:rPr>
          <w:b/>
          <w:bCs/>
        </w:rPr>
        <w:t>1</w:t>
      </w:r>
      <w:r>
        <w:t xml:space="preserve"> </w:t>
      </w:r>
      <w:r>
        <w:rPr>
          <w:rFonts w:hint="eastAsia"/>
        </w:rPr>
        <w:t>地表水环境质量：修复后的地表水应达到《地表水环境质量标准》GB 3838 相应水域功能区的水质标准。</w:t>
      </w:r>
    </w:p>
    <w:p w14:paraId="3A2EF39E">
      <w:pPr>
        <w:ind w:firstLine="241" w:firstLineChars="100"/>
      </w:pPr>
      <w:r>
        <w:rPr>
          <w:b/>
          <w:bCs/>
        </w:rPr>
        <w:t>2</w:t>
      </w:r>
      <w:r>
        <w:t xml:space="preserve"> </w:t>
      </w:r>
      <w:r>
        <w:rPr>
          <w:rFonts w:hint="eastAsia"/>
        </w:rPr>
        <w:t>地下水环境质量：地下水质量应符合《地下水质量标准》GB/T 14848 的要求。</w:t>
      </w:r>
    </w:p>
    <w:p w14:paraId="3644D56E">
      <w:pPr>
        <w:widowControl/>
        <w:spacing w:line="240" w:lineRule="auto"/>
        <w:ind w:firstLine="0" w:firstLineChars="0"/>
        <w:jc w:val="left"/>
      </w:pPr>
      <w:r>
        <w:br w:type="page"/>
      </w:r>
    </w:p>
    <w:p w14:paraId="09BCBF6C">
      <w:pPr>
        <w:pStyle w:val="30"/>
        <w:numPr>
          <w:ilvl w:val="0"/>
          <w:numId w:val="1"/>
        </w:numPr>
        <w:ind w:firstLineChars="0"/>
        <w:jc w:val="center"/>
        <w:outlineLvl w:val="0"/>
        <w:rPr>
          <w:b/>
          <w:bCs/>
          <w:sz w:val="44"/>
          <w:szCs w:val="44"/>
        </w:rPr>
      </w:pPr>
      <w:bookmarkStart w:id="102" w:name="_Toc212057047"/>
      <w:r>
        <w:rPr>
          <w:rFonts w:hint="eastAsia"/>
          <w:b/>
          <w:bCs/>
          <w:sz w:val="44"/>
          <w:szCs w:val="44"/>
        </w:rPr>
        <w:t>监测与维护</w:t>
      </w:r>
      <w:bookmarkEnd w:id="102"/>
    </w:p>
    <w:p w14:paraId="29083946">
      <w:pPr>
        <w:pStyle w:val="30"/>
        <w:numPr>
          <w:ilvl w:val="0"/>
          <w:numId w:val="7"/>
        </w:numPr>
        <w:spacing w:before="163" w:beforeLines="50" w:after="163" w:afterLines="50"/>
        <w:ind w:firstLineChars="0"/>
        <w:jc w:val="center"/>
        <w:outlineLvl w:val="1"/>
        <w:rPr>
          <w:b/>
          <w:bCs/>
          <w:sz w:val="28"/>
          <w:szCs w:val="28"/>
        </w:rPr>
      </w:pPr>
      <w:bookmarkStart w:id="103" w:name="_Toc212057048"/>
      <w:r>
        <w:rPr>
          <w:rFonts w:hint="eastAsia"/>
          <w:b/>
          <w:bCs/>
          <w:sz w:val="28"/>
          <w:szCs w:val="28"/>
        </w:rPr>
        <w:t>一般规定</w:t>
      </w:r>
      <w:bookmarkEnd w:id="103"/>
    </w:p>
    <w:p w14:paraId="3B89FE42">
      <w:pPr>
        <w:ind w:firstLine="0" w:firstLineChars="0"/>
        <w:rPr>
          <w:rFonts w:cs="Times New Roman"/>
        </w:rPr>
      </w:pPr>
      <w:r>
        <w:rPr>
          <w:rFonts w:cs="Times New Roman"/>
          <w:b/>
          <w:bCs/>
        </w:rPr>
        <w:t>9.1.1</w:t>
      </w:r>
      <w:r>
        <w:rPr>
          <w:rFonts w:hint="eastAsia" w:cs="Times New Roman"/>
        </w:rPr>
        <w:t xml:space="preserve"> </w:t>
      </w:r>
      <w:r>
        <w:rPr>
          <w:rFonts w:cs="Times New Roman"/>
        </w:rPr>
        <w:t xml:space="preserve"> </w:t>
      </w:r>
      <w:r>
        <w:rPr>
          <w:rFonts w:hint="eastAsia" w:cs="Times New Roman"/>
        </w:rPr>
        <w:t>围绕监测范围内的地质环境破坏与恢复治理、土地损毁与复垦利用、生态系统破坏与恢复等，结合开采矿种、建设规模、开采方式与工艺、时序安排等因素，科学设置重点监测内容、监测指标、监测点位与监测周期，实现“一矿一方案（策）”的监测布设与实施。</w:t>
      </w:r>
    </w:p>
    <w:p w14:paraId="37EBFCEC">
      <w:pPr>
        <w:ind w:firstLine="0" w:firstLineChars="0"/>
        <w:rPr>
          <w:rFonts w:cs="Times New Roman"/>
        </w:rPr>
      </w:pPr>
      <w:r>
        <w:rPr>
          <w:rFonts w:cs="Times New Roman"/>
          <w:b/>
          <w:bCs/>
        </w:rPr>
        <w:t>9.1</w:t>
      </w:r>
      <w:r>
        <w:rPr>
          <w:rFonts w:hint="eastAsia" w:cs="Times New Roman"/>
          <w:b/>
          <w:bCs/>
        </w:rPr>
        <w:t>.2</w:t>
      </w:r>
      <w:r>
        <w:rPr>
          <w:rFonts w:hint="eastAsia" w:cs="Times New Roman"/>
        </w:rPr>
        <w:t xml:space="preserve"> </w:t>
      </w:r>
      <w:r>
        <w:rPr>
          <w:rFonts w:cs="Times New Roman"/>
        </w:rPr>
        <w:t xml:space="preserve"> </w:t>
      </w:r>
      <w:r>
        <w:rPr>
          <w:rFonts w:hint="eastAsia" w:cs="Times New Roman"/>
        </w:rPr>
        <w:t>监测指标选择、数据获取与处理应符合国家现行技术标准、规范及有关部门的规定，监测设备与方法应满足相应准确度与精度要求。</w:t>
      </w:r>
    </w:p>
    <w:p w14:paraId="7352C67E">
      <w:pPr>
        <w:ind w:firstLine="0" w:firstLineChars="0"/>
        <w:rPr>
          <w:rFonts w:cs="Times New Roman"/>
        </w:rPr>
      </w:pPr>
      <w:r>
        <w:rPr>
          <w:rFonts w:cs="Times New Roman"/>
          <w:b/>
          <w:bCs/>
        </w:rPr>
        <w:t>9.1.3</w:t>
      </w:r>
      <w:r>
        <w:rPr>
          <w:rFonts w:hint="eastAsia" w:cs="Times New Roman"/>
        </w:rPr>
        <w:t xml:space="preserve"> </w:t>
      </w:r>
      <w:r>
        <w:rPr>
          <w:rFonts w:cs="Times New Roman"/>
        </w:rPr>
        <w:t xml:space="preserve"> </w:t>
      </w:r>
      <w:r>
        <w:rPr>
          <w:rFonts w:hint="eastAsia" w:cs="Times New Roman"/>
        </w:rPr>
        <w:t>在满足监测目的的前提下，应优先选用经济、实用的监测方法与手段；在经济、技术允许条件下，宜采用先进、可靠技术以提高监测精度与效率。监测指标应具有良好的灵敏度与可测性；对易变指标（如水位、位移、含水率、污染物浓度等）应开展短周期监测，对稳定指标（如地形地貌、土壤质地等）应开展长周期监测。</w:t>
      </w:r>
    </w:p>
    <w:p w14:paraId="4995CB08">
      <w:pPr>
        <w:ind w:firstLine="0" w:firstLineChars="0"/>
        <w:rPr>
          <w:rFonts w:cs="Times New Roman"/>
        </w:rPr>
      </w:pPr>
      <w:r>
        <w:rPr>
          <w:rFonts w:cs="Times New Roman"/>
          <w:b/>
          <w:bCs/>
        </w:rPr>
        <w:t>9.1.4</w:t>
      </w:r>
      <w:r>
        <w:rPr>
          <w:rFonts w:cs="Times New Roman"/>
        </w:rPr>
        <w:t xml:space="preserve">  </w:t>
      </w:r>
      <w:r>
        <w:rPr>
          <w:rFonts w:hint="eastAsia" w:cs="Times New Roman"/>
        </w:rPr>
        <w:t>应根据修复目标与现状编制监测与维护方案，明确监测周期、监测内容、监测方法、点位维护与设备校准要点，并设置预警值与控制值及异常处置流程，确保监测体系持续、稳定、可追溯运行。</w:t>
      </w:r>
    </w:p>
    <w:p w14:paraId="074668AC">
      <w:pPr>
        <w:ind w:firstLine="0" w:firstLineChars="0"/>
        <w:rPr>
          <w:rFonts w:cs="Times New Roman"/>
        </w:rPr>
      </w:pPr>
      <w:r>
        <w:rPr>
          <w:rFonts w:hint="eastAsia" w:cs="Times New Roman"/>
        </w:rPr>
        <w:t>【条文说明】本条从监测对象—标准规范—方法与频次—方案实施构建全过程要求：强调因矿、因地制定监测方案（“一矿一方案”），以规范化方法保证数据的准确性与可比性，并通过分级频次与预警控制提升监测的有效性与可操作性。</w:t>
      </w:r>
    </w:p>
    <w:p w14:paraId="129AC41B">
      <w:pPr>
        <w:pStyle w:val="30"/>
        <w:numPr>
          <w:ilvl w:val="0"/>
          <w:numId w:val="7"/>
        </w:numPr>
        <w:spacing w:before="163" w:beforeLines="50" w:after="163" w:afterLines="50"/>
        <w:ind w:firstLineChars="0"/>
        <w:jc w:val="center"/>
        <w:outlineLvl w:val="1"/>
        <w:rPr>
          <w:b/>
          <w:bCs/>
          <w:sz w:val="28"/>
          <w:szCs w:val="28"/>
        </w:rPr>
      </w:pPr>
      <w:bookmarkStart w:id="104" w:name="_Toc212057049"/>
      <w:r>
        <w:rPr>
          <w:rFonts w:hint="eastAsia"/>
          <w:b/>
          <w:bCs/>
          <w:sz w:val="28"/>
          <w:szCs w:val="28"/>
        </w:rPr>
        <w:t>监测</w:t>
      </w:r>
      <w:bookmarkEnd w:id="104"/>
    </w:p>
    <w:p w14:paraId="5661FD40">
      <w:pPr>
        <w:ind w:firstLine="0" w:firstLineChars="0"/>
        <w:rPr>
          <w:rFonts w:ascii="宋体" w:hAnsi="宋体"/>
        </w:rPr>
      </w:pPr>
      <w:r>
        <w:rPr>
          <w:rFonts w:cs="Times New Roman"/>
          <w:b/>
          <w:bCs/>
        </w:rPr>
        <w:t>9</w:t>
      </w:r>
      <w:r>
        <w:rPr>
          <w:rFonts w:hint="eastAsia" w:cs="Times New Roman"/>
          <w:b/>
          <w:bCs/>
        </w:rPr>
        <w:t>.</w:t>
      </w:r>
      <w:r>
        <w:rPr>
          <w:rFonts w:cs="Times New Roman"/>
          <w:b/>
          <w:bCs/>
        </w:rPr>
        <w:t>2</w:t>
      </w:r>
      <w:r>
        <w:rPr>
          <w:rFonts w:hint="eastAsia" w:cs="Times New Roman"/>
          <w:b/>
          <w:bCs/>
        </w:rPr>
        <w:t>.1</w:t>
      </w:r>
      <w:r>
        <w:rPr>
          <w:rFonts w:cs="Times New Roman"/>
          <w:b/>
          <w:bCs/>
        </w:rPr>
        <w:t xml:space="preserve">  </w:t>
      </w:r>
      <w:r>
        <w:rPr>
          <w:rFonts w:hint="eastAsia" w:ascii="宋体" w:hAnsi="宋体"/>
        </w:rPr>
        <w:t>监测工作应以掌握工矿区生态修复实施效果为目标，为后期管护、运行优化与成效评估提供依据</w:t>
      </w:r>
      <w:r>
        <w:rPr>
          <w:rFonts w:ascii="宋体" w:hAnsi="宋体"/>
        </w:rPr>
        <w:t>。</w:t>
      </w:r>
    </w:p>
    <w:p w14:paraId="083D57FF">
      <w:pPr>
        <w:ind w:firstLine="0" w:firstLineChars="0"/>
        <w:rPr>
          <w:rFonts w:ascii="宋体" w:hAnsi="宋体"/>
        </w:rPr>
      </w:pPr>
      <w:r>
        <w:rPr>
          <w:rFonts w:hint="eastAsia" w:ascii="宋体" w:hAnsi="宋体"/>
        </w:rPr>
        <w:t>【条文说明】本条明确了监测的根本目的，即通过监测活动来评估工矿区生态修复的效果，以便为后续的管理维护和效果评估提供科学依据。</w:t>
      </w:r>
    </w:p>
    <w:p w14:paraId="346579A6">
      <w:pPr>
        <w:ind w:firstLine="0" w:firstLineChars="0"/>
        <w:rPr>
          <w:rFonts w:ascii="宋体" w:hAnsi="宋体"/>
        </w:rPr>
      </w:pPr>
      <w:r>
        <w:rPr>
          <w:rFonts w:cs="Times New Roman"/>
          <w:b/>
          <w:bCs/>
        </w:rPr>
        <w:t>9</w:t>
      </w:r>
      <w:r>
        <w:rPr>
          <w:rFonts w:hint="eastAsia" w:cs="Times New Roman"/>
          <w:b/>
          <w:bCs/>
        </w:rPr>
        <w:t>.</w:t>
      </w:r>
      <w:r>
        <w:rPr>
          <w:rFonts w:cs="Times New Roman"/>
          <w:b/>
          <w:bCs/>
        </w:rPr>
        <w:t>2</w:t>
      </w:r>
      <w:r>
        <w:rPr>
          <w:rFonts w:hint="eastAsia" w:cs="Times New Roman"/>
          <w:b/>
          <w:bCs/>
        </w:rPr>
        <w:t>.2</w:t>
      </w:r>
      <w:r>
        <w:rPr>
          <w:rFonts w:cs="Times New Roman"/>
          <w:b/>
          <w:bCs/>
        </w:rPr>
        <w:t xml:space="preserve">  </w:t>
      </w:r>
      <w:r>
        <w:rPr>
          <w:rFonts w:hint="eastAsia" w:ascii="宋体" w:hAnsi="宋体"/>
        </w:rPr>
        <w:t>监测范围以生态修复实施区域为主，并可根据影响范围适当扩展至周边地区和环境敏感目标（如居民区、重要水体、基本农田、自然保护地等）</w:t>
      </w:r>
      <w:r>
        <w:rPr>
          <w:rFonts w:ascii="宋体" w:hAnsi="宋体"/>
        </w:rPr>
        <w:t>。</w:t>
      </w:r>
    </w:p>
    <w:p w14:paraId="33F8AEFF">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w:t>
      </w:r>
      <w:r>
        <w:rPr>
          <w:rFonts w:ascii="宋体" w:hAnsi="宋体"/>
        </w:rPr>
        <w:t>本条界定了监测的范围，主要针对生态修复的实施区域，同时也考虑到了周边</w:t>
      </w:r>
      <w:r>
        <w:rPr>
          <w:rFonts w:hint="eastAsia" w:ascii="宋体" w:hAnsi="宋体"/>
        </w:rPr>
        <w:t>可能受影响的</w:t>
      </w:r>
      <w:r>
        <w:rPr>
          <w:rFonts w:ascii="宋体" w:hAnsi="宋体"/>
        </w:rPr>
        <w:t>地区，</w:t>
      </w:r>
      <w:r>
        <w:rPr>
          <w:rFonts w:hint="eastAsia" w:ascii="宋体" w:hAnsi="宋体"/>
        </w:rPr>
        <w:t>从而</w:t>
      </w:r>
      <w:r>
        <w:rPr>
          <w:rFonts w:ascii="宋体" w:hAnsi="宋体"/>
        </w:rPr>
        <w:t>确保监测的全面性。</w:t>
      </w:r>
    </w:p>
    <w:p w14:paraId="665E305F">
      <w:pPr>
        <w:ind w:firstLine="0" w:firstLineChars="0"/>
        <w:rPr>
          <w:rFonts w:ascii="宋体" w:hAnsi="宋体"/>
        </w:rPr>
      </w:pPr>
      <w:r>
        <w:rPr>
          <w:rFonts w:cs="Times New Roman"/>
          <w:b/>
          <w:bCs/>
        </w:rPr>
        <w:t>9</w:t>
      </w:r>
      <w:r>
        <w:rPr>
          <w:rFonts w:hint="eastAsia" w:cs="Times New Roman"/>
          <w:b/>
          <w:bCs/>
        </w:rPr>
        <w:t>.</w:t>
      </w:r>
      <w:r>
        <w:rPr>
          <w:rFonts w:cs="Times New Roman"/>
          <w:b/>
          <w:bCs/>
        </w:rPr>
        <w:t>2</w:t>
      </w:r>
      <w:r>
        <w:rPr>
          <w:rFonts w:hint="eastAsia" w:cs="Times New Roman"/>
          <w:b/>
          <w:bCs/>
        </w:rPr>
        <w:t>.3</w:t>
      </w:r>
      <w:r>
        <w:rPr>
          <w:rFonts w:cs="Times New Roman"/>
          <w:b/>
          <w:bCs/>
        </w:rPr>
        <w:t xml:space="preserve">  </w:t>
      </w:r>
      <w:r>
        <w:rPr>
          <w:rFonts w:ascii="宋体" w:hAnsi="宋体"/>
        </w:rPr>
        <w:t>监测方法根据监测内容和场地条件确定</w:t>
      </w:r>
      <w:r>
        <w:rPr>
          <w:rFonts w:hint="eastAsia" w:ascii="宋体" w:hAnsi="宋体"/>
        </w:rPr>
        <w:t>。依据工矿区生态修复项目的目标和绩效指标，可采用遥感、自动监测、实地查看等方式，开展生态修复工程全过程动态监测，建立生态监测动态更新数据库。</w:t>
      </w:r>
    </w:p>
    <w:p w14:paraId="46728E25">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w:t>
      </w:r>
      <w:r>
        <w:rPr>
          <w:rFonts w:ascii="宋体" w:hAnsi="宋体"/>
        </w:rPr>
        <w:t>本条提供了监测方法的指导原则，强调监测方法应与监测内容和场地条件相匹配。同时，提出</w:t>
      </w:r>
      <w:r>
        <w:rPr>
          <w:rFonts w:hint="eastAsia" w:ascii="宋体" w:hAnsi="宋体"/>
        </w:rPr>
        <w:t>采用</w:t>
      </w:r>
      <w:r>
        <w:rPr>
          <w:rFonts w:ascii="宋体" w:hAnsi="宋体"/>
        </w:rPr>
        <w:t>遥感、自动监测和实地查看等手段全过程动态监测，并建立数据库以实时更新监测数据。</w:t>
      </w:r>
    </w:p>
    <w:p w14:paraId="33C3EEEB">
      <w:pPr>
        <w:ind w:firstLine="0" w:firstLineChars="0"/>
        <w:rPr>
          <w:rFonts w:ascii="宋体" w:hAnsi="宋体"/>
        </w:rPr>
      </w:pPr>
      <w:r>
        <w:rPr>
          <w:rFonts w:cs="Times New Roman"/>
          <w:b/>
          <w:bCs/>
        </w:rPr>
        <w:t>9</w:t>
      </w:r>
      <w:r>
        <w:rPr>
          <w:rFonts w:hint="eastAsia" w:cs="Times New Roman"/>
          <w:b/>
          <w:bCs/>
        </w:rPr>
        <w:t>.</w:t>
      </w:r>
      <w:r>
        <w:rPr>
          <w:rFonts w:cs="Times New Roman"/>
          <w:b/>
          <w:bCs/>
        </w:rPr>
        <w:t>2</w:t>
      </w:r>
      <w:r>
        <w:rPr>
          <w:rFonts w:hint="eastAsia" w:cs="Times New Roman"/>
          <w:b/>
          <w:bCs/>
        </w:rPr>
        <w:t>.4</w:t>
      </w:r>
      <w:r>
        <w:rPr>
          <w:rFonts w:cs="Times New Roman"/>
          <w:b/>
          <w:bCs/>
        </w:rPr>
        <w:t xml:space="preserve">  </w:t>
      </w:r>
      <w:r>
        <w:rPr>
          <w:rFonts w:hint="eastAsia" w:ascii="宋体" w:hAnsi="宋体"/>
        </w:rPr>
        <w:t>监测内容包括地质稳定性、水体、土壤、植物群落和动物种群等</w:t>
      </w:r>
      <w:r>
        <w:t>。</w:t>
      </w:r>
      <w:r>
        <w:rPr>
          <w:rFonts w:hint="eastAsia" w:ascii="宋体" w:hAnsi="宋体"/>
        </w:rPr>
        <w:t>监测指标可参</w:t>
      </w:r>
      <w:r>
        <w:rPr>
          <w:rFonts w:hint="eastAsia" w:cs="Times New Roman"/>
        </w:rPr>
        <w:t>照《</w:t>
      </w:r>
      <w:r>
        <w:rPr>
          <w:rFonts w:hint="eastAsia" w:ascii="宋体" w:hAnsi="宋体"/>
        </w:rPr>
        <w:t>自然资源调查监测体系构建总体方案》执行。</w:t>
      </w:r>
      <w:r>
        <w:rPr>
          <w:rFonts w:ascii="宋体" w:hAnsi="宋体"/>
        </w:rPr>
        <w:t>监测期限可根据后期管护要求确定。</w:t>
      </w:r>
    </w:p>
    <w:p w14:paraId="7EB1802A">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w:t>
      </w:r>
      <w:r>
        <w:rPr>
          <w:rFonts w:ascii="宋体" w:hAnsi="宋体"/>
        </w:rPr>
        <w:t>本条列举了监测的主要内容，并指出监测指标应参考国家相关标准。监测期限的确定应</w:t>
      </w:r>
      <w:r>
        <w:rPr>
          <w:rFonts w:hint="eastAsia" w:ascii="宋体" w:hAnsi="宋体"/>
        </w:rPr>
        <w:t>综合</w:t>
      </w:r>
      <w:r>
        <w:rPr>
          <w:rFonts w:ascii="宋体" w:hAnsi="宋体"/>
        </w:rPr>
        <w:t>考虑后续管护的需要。</w:t>
      </w:r>
    </w:p>
    <w:p w14:paraId="7A8EC071">
      <w:pPr>
        <w:ind w:left="240" w:leftChars="100" w:firstLine="241" w:firstLineChars="100"/>
        <w:rPr>
          <w:rFonts w:ascii="宋体" w:hAnsi="宋体"/>
        </w:rPr>
      </w:pPr>
      <w:r>
        <w:rPr>
          <w:rFonts w:cs="Times New Roman"/>
          <w:b/>
          <w:bCs/>
        </w:rPr>
        <w:t>1</w:t>
      </w:r>
      <w:r>
        <w:rPr>
          <w:rFonts w:hint="eastAsia" w:cs="Times New Roman"/>
        </w:rPr>
        <w:t xml:space="preserve"> </w:t>
      </w:r>
      <w:r>
        <w:rPr>
          <w:rFonts w:ascii="宋体" w:hAnsi="宋体"/>
        </w:rPr>
        <w:t>地质稳定性的监测内容主要包括边坡稳定性、地面塌陷、地裂缝等</w:t>
      </w:r>
      <w:r>
        <w:rPr>
          <w:rFonts w:hint="eastAsia" w:ascii="宋体" w:hAnsi="宋体"/>
        </w:rPr>
        <w:t>；监测周期参</w:t>
      </w:r>
      <w:r>
        <w:rPr>
          <w:rFonts w:hint="eastAsia" w:cs="Times New Roman"/>
        </w:rPr>
        <w:t>照</w:t>
      </w:r>
      <w:r>
        <w:rPr>
          <w:rFonts w:hint="eastAsia" w:cs="Times New Roman"/>
          <w:lang w:bidi="ar"/>
        </w:rPr>
        <w:t>《矿山地质环境监测技术规程》</w:t>
      </w:r>
      <w:r>
        <w:rPr>
          <w:rFonts w:cs="Times New Roman"/>
        </w:rPr>
        <w:t>DZ/T 0287</w:t>
      </w:r>
      <w:r>
        <w:rPr>
          <w:rFonts w:hint="eastAsia" w:ascii="宋体" w:hAnsi="宋体"/>
        </w:rPr>
        <w:t>。</w:t>
      </w:r>
    </w:p>
    <w:p w14:paraId="5179B28D">
      <w:pPr>
        <w:ind w:left="240" w:leftChars="100" w:firstLine="241" w:firstLineChars="100"/>
        <w:rPr>
          <w:rFonts w:ascii="宋体" w:hAnsi="宋体"/>
        </w:rPr>
      </w:pPr>
      <w:r>
        <w:rPr>
          <w:rFonts w:cs="Times New Roman"/>
          <w:b/>
          <w:bCs/>
        </w:rPr>
        <w:t>2</w:t>
      </w:r>
      <w:r>
        <w:rPr>
          <w:rFonts w:hint="eastAsia" w:cs="Times New Roman"/>
        </w:rPr>
        <w:t xml:space="preserve"> </w:t>
      </w:r>
      <w:r>
        <w:rPr>
          <w:rFonts w:ascii="宋体" w:hAnsi="宋体"/>
        </w:rPr>
        <w:t>水体的监测内容主要包括地表水分布、面积、水质和地下水水位、水质等</w:t>
      </w:r>
      <w:r>
        <w:rPr>
          <w:rFonts w:hint="eastAsia" w:ascii="宋体" w:hAnsi="宋体"/>
        </w:rPr>
        <w:t>；监测周</w:t>
      </w:r>
      <w:r>
        <w:rPr>
          <w:rFonts w:hint="eastAsia" w:cs="Times New Roman"/>
        </w:rPr>
        <w:t>期为</w:t>
      </w:r>
      <w:r>
        <w:rPr>
          <w:rFonts w:cs="Times New Roman"/>
        </w:rPr>
        <w:t>2</w:t>
      </w:r>
      <w:r>
        <w:rPr>
          <w:rFonts w:hint="eastAsia" w:ascii="宋体" w:hAnsi="宋体"/>
        </w:rPr>
        <w:t>次/年，丰水期和枯水期各</w:t>
      </w:r>
      <w:r>
        <w:rPr>
          <w:rFonts w:cs="Times New Roman"/>
        </w:rPr>
        <w:t>1</w:t>
      </w:r>
      <w:r>
        <w:rPr>
          <w:rFonts w:hint="eastAsia" w:ascii="宋体" w:hAnsi="宋体"/>
        </w:rPr>
        <w:t>次。</w:t>
      </w:r>
    </w:p>
    <w:p w14:paraId="44C39CAB">
      <w:pPr>
        <w:ind w:left="240" w:leftChars="100" w:firstLine="241" w:firstLineChars="100"/>
        <w:rPr>
          <w:rFonts w:ascii="宋体" w:hAnsi="宋体"/>
        </w:rPr>
      </w:pPr>
      <w:r>
        <w:rPr>
          <w:rFonts w:cs="Times New Roman"/>
          <w:b/>
          <w:bCs/>
        </w:rPr>
        <w:t>3</w:t>
      </w:r>
      <w:r>
        <w:rPr>
          <w:rFonts w:hint="eastAsia" w:cs="Times New Roman"/>
        </w:rPr>
        <w:t xml:space="preserve"> </w:t>
      </w:r>
      <w:r>
        <w:rPr>
          <w:rFonts w:ascii="宋体" w:hAnsi="宋体"/>
        </w:rPr>
        <w:t>土壤的监测内容主要包括土壤类型、分布、面积和土壤肥力、理化性质等</w:t>
      </w:r>
      <w:r>
        <w:rPr>
          <w:rFonts w:hint="eastAsia" w:ascii="宋体" w:hAnsi="宋体"/>
        </w:rPr>
        <w:t>；监测周</w:t>
      </w:r>
      <w:r>
        <w:rPr>
          <w:rFonts w:hint="eastAsia" w:cs="Times New Roman"/>
        </w:rPr>
        <w:t>期为</w:t>
      </w:r>
      <w:r>
        <w:rPr>
          <w:rFonts w:cs="Times New Roman"/>
        </w:rPr>
        <w:t>1</w:t>
      </w:r>
      <w:r>
        <w:rPr>
          <w:rFonts w:hint="eastAsia" w:ascii="宋体" w:hAnsi="宋体"/>
        </w:rPr>
        <w:t>次/年。</w:t>
      </w:r>
    </w:p>
    <w:p w14:paraId="1F5E36F9">
      <w:pPr>
        <w:ind w:left="100" w:firstLine="325" w:firstLineChars="135"/>
        <w:rPr>
          <w:rFonts w:ascii="宋体" w:hAnsi="宋体"/>
        </w:rPr>
      </w:pPr>
      <w:r>
        <w:rPr>
          <w:rFonts w:cs="Times New Roman"/>
          <w:b/>
          <w:bCs/>
        </w:rPr>
        <w:t>4</w:t>
      </w:r>
      <w:r>
        <w:rPr>
          <w:rFonts w:hint="eastAsia" w:cs="Times New Roman"/>
        </w:rPr>
        <w:t xml:space="preserve"> </w:t>
      </w:r>
      <w:r>
        <w:rPr>
          <w:rFonts w:ascii="宋体" w:hAnsi="宋体"/>
        </w:rPr>
        <w:t>植被群落的监测内容主要包括植被种类、分布、面积和植被成活率、覆盖度等</w:t>
      </w:r>
      <w:r>
        <w:rPr>
          <w:rFonts w:hint="eastAsia" w:ascii="宋体" w:hAnsi="宋体"/>
        </w:rPr>
        <w:t>；监</w:t>
      </w:r>
      <w:r>
        <w:rPr>
          <w:rFonts w:hint="eastAsia" w:cs="Times New Roman"/>
        </w:rPr>
        <w:t>测周</w:t>
      </w:r>
      <w:r>
        <w:rPr>
          <w:rFonts w:hint="eastAsia" w:ascii="宋体" w:hAnsi="宋体"/>
        </w:rPr>
        <w:t>期为</w:t>
      </w:r>
      <w:r>
        <w:rPr>
          <w:rFonts w:cs="Times New Roman"/>
        </w:rPr>
        <w:t>1</w:t>
      </w:r>
      <w:r>
        <w:rPr>
          <w:rFonts w:hint="eastAsia" w:ascii="宋体" w:hAnsi="宋体"/>
        </w:rPr>
        <w:t>次/年。</w:t>
      </w:r>
    </w:p>
    <w:p w14:paraId="7C6FA2AE">
      <w:pPr>
        <w:ind w:left="100" w:firstLine="325" w:firstLineChars="135"/>
        <w:rPr>
          <w:rFonts w:ascii="宋体" w:hAnsi="宋体"/>
        </w:rPr>
      </w:pPr>
      <w:r>
        <w:rPr>
          <w:rFonts w:cs="Times New Roman"/>
          <w:b/>
          <w:bCs/>
        </w:rPr>
        <w:t>5</w:t>
      </w:r>
      <w:r>
        <w:rPr>
          <w:rFonts w:hint="eastAsia" w:cs="Times New Roman"/>
        </w:rPr>
        <w:t xml:space="preserve"> </w:t>
      </w:r>
      <w:r>
        <w:rPr>
          <w:rFonts w:ascii="宋体" w:hAnsi="宋体"/>
        </w:rPr>
        <w:t>动物种群的监测内容主要包括动物类型、数量和分布等</w:t>
      </w:r>
      <w:r>
        <w:rPr>
          <w:rFonts w:hint="eastAsia" w:ascii="宋体" w:hAnsi="宋体"/>
        </w:rPr>
        <w:t>；监测周期为</w:t>
      </w:r>
      <w:r>
        <w:rPr>
          <w:rFonts w:cs="Times New Roman"/>
        </w:rPr>
        <w:t>1</w:t>
      </w:r>
      <w:r>
        <w:rPr>
          <w:rFonts w:hint="eastAsia" w:ascii="宋体" w:hAnsi="宋体"/>
        </w:rPr>
        <w:t>次/年。</w:t>
      </w:r>
    </w:p>
    <w:p w14:paraId="61C0DE33">
      <w:pPr>
        <w:pStyle w:val="30"/>
        <w:numPr>
          <w:ilvl w:val="0"/>
          <w:numId w:val="7"/>
        </w:numPr>
        <w:spacing w:before="163" w:beforeLines="50" w:after="163" w:afterLines="50"/>
        <w:ind w:firstLineChars="0"/>
        <w:jc w:val="center"/>
        <w:outlineLvl w:val="1"/>
        <w:rPr>
          <w:b/>
          <w:bCs/>
          <w:sz w:val="28"/>
          <w:szCs w:val="28"/>
        </w:rPr>
      </w:pPr>
      <w:bookmarkStart w:id="105" w:name="_Toc212057050"/>
      <w:r>
        <w:rPr>
          <w:rFonts w:hint="eastAsia"/>
          <w:b/>
          <w:bCs/>
          <w:sz w:val="28"/>
          <w:szCs w:val="28"/>
        </w:rPr>
        <w:t>维护</w:t>
      </w:r>
      <w:bookmarkEnd w:id="105"/>
    </w:p>
    <w:p w14:paraId="3F19476F">
      <w:pPr>
        <w:ind w:firstLine="0" w:firstLineChars="0"/>
        <w:rPr>
          <w:rFonts w:ascii="宋体" w:hAnsi="宋体"/>
        </w:rPr>
      </w:pPr>
      <w:r>
        <w:rPr>
          <w:rFonts w:cs="Times New Roman"/>
          <w:b/>
          <w:bCs/>
        </w:rPr>
        <w:t>9</w:t>
      </w:r>
      <w:r>
        <w:rPr>
          <w:rFonts w:hint="eastAsia" w:cs="Times New Roman"/>
          <w:b/>
          <w:bCs/>
        </w:rPr>
        <w:t>.</w:t>
      </w:r>
      <w:r>
        <w:rPr>
          <w:rFonts w:cs="Times New Roman"/>
          <w:b/>
          <w:bCs/>
        </w:rPr>
        <w:t>3</w:t>
      </w:r>
      <w:r>
        <w:rPr>
          <w:rFonts w:hint="eastAsia" w:cs="Times New Roman"/>
          <w:b/>
          <w:bCs/>
        </w:rPr>
        <w:t>.1</w:t>
      </w:r>
      <w:r>
        <w:rPr>
          <w:rFonts w:cs="Times New Roman"/>
          <w:b/>
          <w:bCs/>
        </w:rPr>
        <w:t xml:space="preserve">  </w:t>
      </w:r>
      <w:r>
        <w:rPr>
          <w:rFonts w:hint="eastAsia" w:ascii="宋体" w:hAnsi="宋体"/>
        </w:rPr>
        <w:t>建立项目移交和后期维护制度。工程验收合格后，由项目所在地县（区）级以上人民政府落实具体维护和管理单位，明确维护责任主体和维护要求。</w:t>
      </w:r>
    </w:p>
    <w:p w14:paraId="47D63F4C">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w:t>
      </w:r>
      <w:r>
        <w:rPr>
          <w:rFonts w:ascii="宋体" w:hAnsi="宋体"/>
        </w:rPr>
        <w:t>本条规定了项目移交和后期维护的制度要求，确保工程验收合格后，</w:t>
      </w:r>
      <w:r>
        <w:rPr>
          <w:rFonts w:hint="eastAsia" w:ascii="宋体" w:hAnsi="宋体"/>
        </w:rPr>
        <w:t>由</w:t>
      </w:r>
      <w:r>
        <w:rPr>
          <w:rFonts w:ascii="宋体" w:hAnsi="宋体"/>
        </w:rPr>
        <w:t>明确的维护和管理单位负责后续工作，</w:t>
      </w:r>
      <w:r>
        <w:rPr>
          <w:rFonts w:hint="eastAsia" w:ascii="宋体" w:hAnsi="宋体"/>
        </w:rPr>
        <w:t>并</w:t>
      </w:r>
      <w:r>
        <w:rPr>
          <w:rFonts w:ascii="宋体" w:hAnsi="宋体"/>
        </w:rPr>
        <w:t>明确责任主体和维护要求，以保证修复效果的持续性和稳定性。</w:t>
      </w:r>
    </w:p>
    <w:p w14:paraId="01471583">
      <w:pPr>
        <w:ind w:firstLine="0" w:firstLineChars="0"/>
        <w:rPr>
          <w:rFonts w:ascii="宋体" w:hAnsi="宋体"/>
        </w:rPr>
      </w:pPr>
      <w:r>
        <w:rPr>
          <w:rFonts w:cs="Times New Roman"/>
          <w:b/>
          <w:bCs/>
        </w:rPr>
        <w:t>9</w:t>
      </w:r>
      <w:r>
        <w:rPr>
          <w:rFonts w:hint="eastAsia" w:cs="Times New Roman"/>
          <w:b/>
          <w:bCs/>
        </w:rPr>
        <w:t>.</w:t>
      </w:r>
      <w:r>
        <w:rPr>
          <w:rFonts w:cs="Times New Roman"/>
          <w:b/>
          <w:bCs/>
        </w:rPr>
        <w:t>3</w:t>
      </w:r>
      <w:r>
        <w:rPr>
          <w:rFonts w:hint="eastAsia" w:cs="Times New Roman"/>
          <w:b/>
          <w:bCs/>
        </w:rPr>
        <w:t>.2</w:t>
      </w:r>
      <w:r>
        <w:rPr>
          <w:rFonts w:cs="Times New Roman"/>
          <w:b/>
          <w:bCs/>
        </w:rPr>
        <w:t xml:space="preserve">  </w:t>
      </w:r>
      <w:r>
        <w:rPr>
          <w:rFonts w:hint="eastAsia" w:ascii="宋体" w:hAnsi="宋体"/>
        </w:rPr>
        <w:t>移交对象包括工矿区生态修复面积、范围、恢复后地类（耕地、林地、草地、园地、建设用地等）、修复工程及边坡稳定性监测等。</w:t>
      </w:r>
    </w:p>
    <w:p w14:paraId="1F110055">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w:t>
      </w:r>
      <w:r>
        <w:rPr>
          <w:rFonts w:ascii="宋体" w:hAnsi="宋体"/>
        </w:rPr>
        <w:t>本条列出了移交的具体内容，包括修复区域的面积、范围、地类变化以及相关工程和监测设施，确保移交内容的完整性和连续性。</w:t>
      </w:r>
    </w:p>
    <w:p w14:paraId="6A468A21">
      <w:pPr>
        <w:ind w:firstLine="0" w:firstLineChars="0"/>
        <w:rPr>
          <w:rFonts w:ascii="宋体" w:hAnsi="宋体"/>
        </w:rPr>
      </w:pPr>
      <w:r>
        <w:rPr>
          <w:rFonts w:cs="Times New Roman"/>
          <w:b/>
          <w:bCs/>
        </w:rPr>
        <w:t>9</w:t>
      </w:r>
      <w:r>
        <w:rPr>
          <w:rFonts w:hint="eastAsia" w:cs="Times New Roman"/>
          <w:b/>
          <w:bCs/>
        </w:rPr>
        <w:t>.</w:t>
      </w:r>
      <w:r>
        <w:rPr>
          <w:rFonts w:cs="Times New Roman"/>
          <w:b/>
          <w:bCs/>
        </w:rPr>
        <w:t>3</w:t>
      </w:r>
      <w:r>
        <w:rPr>
          <w:rFonts w:hint="eastAsia" w:cs="Times New Roman"/>
          <w:b/>
          <w:bCs/>
        </w:rPr>
        <w:t>.3</w:t>
      </w:r>
      <w:r>
        <w:rPr>
          <w:rFonts w:cs="Times New Roman"/>
          <w:b/>
          <w:bCs/>
        </w:rPr>
        <w:t xml:space="preserve">  </w:t>
      </w:r>
      <w:r>
        <w:rPr>
          <w:rFonts w:hint="eastAsia" w:ascii="宋体" w:hAnsi="宋体"/>
        </w:rPr>
        <w:t>维护内容主要包括</w:t>
      </w:r>
      <w:r>
        <w:rPr>
          <w:rFonts w:ascii="宋体" w:hAnsi="宋体"/>
        </w:rPr>
        <w:t>工程设施维护和植被养护</w:t>
      </w:r>
      <w:r>
        <w:rPr>
          <w:rFonts w:hint="eastAsia" w:ascii="宋体" w:hAnsi="宋体"/>
        </w:rPr>
        <w:t>：</w:t>
      </w:r>
    </w:p>
    <w:p w14:paraId="2F2E03BF">
      <w:pPr>
        <w:ind w:left="100" w:firstLine="241" w:firstLineChars="100"/>
        <w:rPr>
          <w:rFonts w:ascii="宋体" w:hAnsi="宋体"/>
        </w:rPr>
      </w:pPr>
      <w:r>
        <w:rPr>
          <w:rFonts w:cs="Times New Roman"/>
          <w:b/>
          <w:bCs/>
        </w:rPr>
        <w:t>1</w:t>
      </w:r>
      <w:r>
        <w:rPr>
          <w:rFonts w:ascii="宋体" w:hAnsi="宋体"/>
        </w:rPr>
        <w:t xml:space="preserve"> 工程设施维护主要对支护加固工程、截排水工程、地貌重塑工程、土壤重构工程和相关配套附属设施等，按照工程设计和运行要求定期检查和维护，发现工程设施运行不正常或损毁，应及时修复或替换。</w:t>
      </w:r>
    </w:p>
    <w:p w14:paraId="135279D3">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w:t>
      </w:r>
      <w:r>
        <w:rPr>
          <w:rFonts w:ascii="宋体" w:hAnsi="宋体"/>
        </w:rPr>
        <w:t>本条详细</w:t>
      </w:r>
      <w:r>
        <w:rPr>
          <w:rFonts w:hint="eastAsia" w:ascii="宋体" w:hAnsi="宋体"/>
        </w:rPr>
        <w:t>列出</w:t>
      </w:r>
      <w:r>
        <w:rPr>
          <w:rFonts w:ascii="宋体" w:hAnsi="宋体"/>
        </w:rPr>
        <w:t>了工程设施维护的具体内容，包括各类工程设施的检查、维护、修复或替换，以保证工程设施的正常运行和</w:t>
      </w:r>
      <w:r>
        <w:rPr>
          <w:rFonts w:hint="eastAsia" w:ascii="宋体" w:hAnsi="宋体"/>
        </w:rPr>
        <w:t>延长</w:t>
      </w:r>
      <w:r>
        <w:rPr>
          <w:rFonts w:ascii="宋体" w:hAnsi="宋体"/>
        </w:rPr>
        <w:t>使用寿命。</w:t>
      </w:r>
    </w:p>
    <w:p w14:paraId="5E185969">
      <w:pPr>
        <w:ind w:left="100" w:firstLine="241" w:firstLineChars="100"/>
        <w:rPr>
          <w:rFonts w:ascii="宋体" w:hAnsi="宋体"/>
        </w:rPr>
      </w:pPr>
      <w:r>
        <w:rPr>
          <w:rFonts w:cs="Times New Roman"/>
          <w:b/>
          <w:bCs/>
        </w:rPr>
        <w:t>2</w:t>
      </w:r>
      <w:r>
        <w:rPr>
          <w:rFonts w:ascii="宋体" w:hAnsi="宋体"/>
        </w:rPr>
        <w:t xml:space="preserve"> 植被养护主要采取定期或不定期喷水、追肥、清除杂草、防治病虫害、培土补植、补种</w:t>
      </w:r>
      <w:r>
        <w:rPr>
          <w:rFonts w:hint="eastAsia" w:ascii="宋体" w:hAnsi="宋体"/>
        </w:rPr>
        <w:t>、修剪</w:t>
      </w:r>
      <w:r>
        <w:rPr>
          <w:rFonts w:ascii="宋体" w:hAnsi="宋体"/>
        </w:rPr>
        <w:t>等措施，对复绿植被</w:t>
      </w:r>
      <w:r>
        <w:rPr>
          <w:rFonts w:hint="eastAsia" w:ascii="宋体" w:hAnsi="宋体"/>
        </w:rPr>
        <w:t>进行</w:t>
      </w:r>
      <w:r>
        <w:rPr>
          <w:rFonts w:ascii="宋体" w:hAnsi="宋体"/>
        </w:rPr>
        <w:t>养护。</w:t>
      </w:r>
    </w:p>
    <w:p w14:paraId="672AEF1A">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w:t>
      </w:r>
      <w:r>
        <w:rPr>
          <w:rFonts w:ascii="宋体" w:hAnsi="宋体"/>
        </w:rPr>
        <w:t>本条</w:t>
      </w:r>
      <w:r>
        <w:rPr>
          <w:rFonts w:hint="eastAsia" w:ascii="宋体" w:hAnsi="宋体"/>
        </w:rPr>
        <w:t>阐述</w:t>
      </w:r>
      <w:r>
        <w:rPr>
          <w:rFonts w:ascii="宋体" w:hAnsi="宋体"/>
        </w:rPr>
        <w:t>了植被养护的措施，包括定期的养护活动和不定期的干预，以促进植被的健康成长和生态系统的稳定。</w:t>
      </w:r>
    </w:p>
    <w:p w14:paraId="7523B01A">
      <w:pPr>
        <w:ind w:firstLine="0" w:firstLineChars="0"/>
        <w:rPr>
          <w:rFonts w:ascii="宋体" w:hAnsi="宋体"/>
        </w:rPr>
      </w:pPr>
      <w:r>
        <w:rPr>
          <w:rFonts w:cs="Times New Roman"/>
          <w:b/>
          <w:bCs/>
        </w:rPr>
        <w:t>9</w:t>
      </w:r>
      <w:r>
        <w:rPr>
          <w:rFonts w:hint="eastAsia" w:cs="Times New Roman"/>
          <w:b/>
          <w:bCs/>
        </w:rPr>
        <w:t>.</w:t>
      </w:r>
      <w:r>
        <w:rPr>
          <w:rFonts w:cs="Times New Roman"/>
          <w:b/>
          <w:bCs/>
        </w:rPr>
        <w:t>3</w:t>
      </w:r>
      <w:r>
        <w:rPr>
          <w:rFonts w:hint="eastAsia" w:cs="Times New Roman"/>
          <w:b/>
          <w:bCs/>
        </w:rPr>
        <w:t>.4</w:t>
      </w:r>
      <w:r>
        <w:rPr>
          <w:rFonts w:cs="Times New Roman"/>
          <w:b/>
          <w:bCs/>
        </w:rPr>
        <w:t xml:space="preserve">  </w:t>
      </w:r>
      <w:r>
        <w:rPr>
          <w:rFonts w:hint="eastAsia" w:ascii="宋体" w:hAnsi="宋体" w:cs="Times New Roman"/>
          <w:lang w:bidi="ar"/>
        </w:rPr>
        <w:t>维护时间根据工矿区自然生态条件和修复成效确定，一般维护时间为</w:t>
      </w:r>
      <w:r>
        <w:rPr>
          <w:rFonts w:cs="Times New Roman"/>
          <w:lang w:bidi="ar"/>
        </w:rPr>
        <w:t>2 - 3</w:t>
      </w:r>
      <w:r>
        <w:rPr>
          <w:rFonts w:hint="eastAsia" w:ascii="宋体" w:hAnsi="宋体" w:cs="Times New Roman"/>
          <w:lang w:bidi="ar"/>
        </w:rPr>
        <w:t>年，生态脆弱区维护时间为</w:t>
      </w:r>
      <w:r>
        <w:rPr>
          <w:rFonts w:cs="Times New Roman"/>
          <w:lang w:bidi="ar"/>
        </w:rPr>
        <w:t>3 - 5</w:t>
      </w:r>
      <w:r>
        <w:rPr>
          <w:rFonts w:hint="eastAsia" w:ascii="宋体" w:hAnsi="宋体" w:cs="Times New Roman"/>
          <w:lang w:bidi="ar"/>
        </w:rPr>
        <w:t>年</w:t>
      </w:r>
      <w:r>
        <w:rPr>
          <w:rFonts w:ascii="宋体" w:hAnsi="宋体"/>
        </w:rPr>
        <w:t>。</w:t>
      </w:r>
    </w:p>
    <w:p w14:paraId="7527D8B7">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w:t>
      </w:r>
      <w:r>
        <w:rPr>
          <w:rFonts w:ascii="宋体" w:hAnsi="宋体"/>
        </w:rPr>
        <w:t>本条提供了维护时间的指导，根据不同的生态条件和修复效果来确定，以</w:t>
      </w:r>
      <w:r>
        <w:rPr>
          <w:rFonts w:hint="eastAsia" w:ascii="宋体" w:hAnsi="宋体"/>
        </w:rPr>
        <w:t>确保</w:t>
      </w:r>
      <w:r>
        <w:rPr>
          <w:rFonts w:ascii="宋体" w:hAnsi="宋体"/>
        </w:rPr>
        <w:t>生态修复效果的持久性。</w:t>
      </w:r>
    </w:p>
    <w:p w14:paraId="14B1EDAD">
      <w:pPr>
        <w:ind w:firstLine="0" w:firstLineChars="0"/>
        <w:rPr>
          <w:rFonts w:ascii="宋体" w:hAnsi="宋体"/>
        </w:rPr>
      </w:pPr>
      <w:r>
        <w:rPr>
          <w:rFonts w:cs="Times New Roman"/>
          <w:b/>
          <w:bCs/>
        </w:rPr>
        <w:t>9</w:t>
      </w:r>
      <w:r>
        <w:rPr>
          <w:rFonts w:hint="eastAsia" w:cs="Times New Roman"/>
          <w:b/>
          <w:bCs/>
        </w:rPr>
        <w:t>.</w:t>
      </w:r>
      <w:r>
        <w:rPr>
          <w:rFonts w:cs="Times New Roman"/>
          <w:b/>
          <w:bCs/>
        </w:rPr>
        <w:t>3</w:t>
      </w:r>
      <w:r>
        <w:rPr>
          <w:rFonts w:hint="eastAsia" w:cs="Times New Roman"/>
          <w:b/>
          <w:bCs/>
        </w:rPr>
        <w:t>.5</w:t>
      </w:r>
      <w:r>
        <w:rPr>
          <w:rFonts w:cs="Times New Roman"/>
          <w:b/>
          <w:bCs/>
        </w:rPr>
        <w:t xml:space="preserve">  </w:t>
      </w:r>
      <w:r>
        <w:rPr>
          <w:rFonts w:ascii="宋体" w:hAnsi="宋体"/>
        </w:rPr>
        <w:t>鼓励积极探索建立规模化、专业化、社会化维护运营机制，实现工矿区生态修复工程长效、持续、稳定。</w:t>
      </w:r>
    </w:p>
    <w:p w14:paraId="08F7CFCE">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w:t>
      </w:r>
      <w:r>
        <w:rPr>
          <w:rFonts w:ascii="宋体" w:hAnsi="宋体"/>
        </w:rPr>
        <w:t>本条提倡探索和建立高效的维护运营机制，以实现工矿区生态修复工程的长效管理和持续稳定。</w:t>
      </w:r>
    </w:p>
    <w:p w14:paraId="25EBD007">
      <w:pPr>
        <w:ind w:firstLine="0" w:firstLineChars="0"/>
        <w:rPr>
          <w:rFonts w:ascii="宋体" w:hAnsi="宋体"/>
        </w:rPr>
      </w:pPr>
      <w:r>
        <w:rPr>
          <w:rFonts w:cs="Times New Roman"/>
          <w:b/>
          <w:bCs/>
        </w:rPr>
        <w:t>9</w:t>
      </w:r>
      <w:r>
        <w:rPr>
          <w:rFonts w:hint="eastAsia" w:cs="Times New Roman"/>
          <w:b/>
          <w:bCs/>
        </w:rPr>
        <w:t>.</w:t>
      </w:r>
      <w:r>
        <w:rPr>
          <w:rFonts w:cs="Times New Roman"/>
          <w:b/>
          <w:bCs/>
        </w:rPr>
        <w:t>3</w:t>
      </w:r>
      <w:r>
        <w:rPr>
          <w:rFonts w:hint="eastAsia" w:cs="Times New Roman"/>
          <w:b/>
          <w:bCs/>
        </w:rPr>
        <w:t>.6</w:t>
      </w:r>
      <w:r>
        <w:rPr>
          <w:rFonts w:cs="Times New Roman"/>
          <w:b/>
          <w:bCs/>
        </w:rPr>
        <w:t xml:space="preserve">  </w:t>
      </w:r>
      <w:r>
        <w:rPr>
          <w:rFonts w:hint="eastAsia" w:ascii="宋体" w:hAnsi="宋体"/>
        </w:rPr>
        <w:t>复垦为耕地和其他地类的应按照相应规范做好后期养护工作。</w:t>
      </w:r>
    </w:p>
    <w:p w14:paraId="62986D3D">
      <w:pPr>
        <w:ind w:firstLine="0" w:firstLineChars="0"/>
        <w:rPr>
          <w:rFonts w:ascii="宋体" w:hAnsi="宋体"/>
        </w:rPr>
      </w:pPr>
      <w:r>
        <w:rPr>
          <w:rFonts w:hint="eastAsia" w:ascii="宋体" w:hAnsi="宋体"/>
        </w:rPr>
        <w:t>【</w:t>
      </w:r>
      <w:r>
        <w:rPr>
          <w:rFonts w:ascii="宋体" w:hAnsi="宋体"/>
        </w:rPr>
        <w:t>条文说明</w:t>
      </w:r>
      <w:r>
        <w:rPr>
          <w:rFonts w:hint="eastAsia" w:ascii="宋体" w:hAnsi="宋体"/>
        </w:rPr>
        <w:t>】</w:t>
      </w:r>
      <w:r>
        <w:rPr>
          <w:rFonts w:ascii="宋体" w:hAnsi="宋体"/>
        </w:rPr>
        <w:t>本条指出对于复垦为耕地和其他地类的区域，应遵循相应的规范进行后期养护，以确保土地的生产力和生态功能的恢复与维持。</w:t>
      </w:r>
    </w:p>
    <w:p w14:paraId="0CA3AF0E">
      <w:pPr>
        <w:widowControl/>
        <w:spacing w:line="240" w:lineRule="auto"/>
        <w:ind w:firstLine="0" w:firstLineChars="0"/>
        <w:jc w:val="left"/>
        <w:rPr>
          <w:b/>
          <w:bCs/>
          <w:sz w:val="28"/>
          <w:szCs w:val="28"/>
        </w:rPr>
      </w:pPr>
      <w:r>
        <w:rPr>
          <w:b/>
          <w:bCs/>
          <w:sz w:val="28"/>
          <w:szCs w:val="28"/>
        </w:rPr>
        <w:br w:type="page"/>
      </w:r>
    </w:p>
    <w:p w14:paraId="7E7F6328">
      <w:pPr>
        <w:pStyle w:val="30"/>
        <w:numPr>
          <w:ilvl w:val="0"/>
          <w:numId w:val="1"/>
        </w:numPr>
        <w:ind w:firstLineChars="0"/>
        <w:jc w:val="center"/>
        <w:outlineLvl w:val="0"/>
        <w:rPr>
          <w:b/>
          <w:bCs/>
          <w:sz w:val="44"/>
          <w:szCs w:val="44"/>
        </w:rPr>
      </w:pPr>
      <w:bookmarkStart w:id="106" w:name="_Toc212057051"/>
      <w:r>
        <w:rPr>
          <w:rFonts w:hint="eastAsia"/>
          <w:b/>
          <w:bCs/>
          <w:sz w:val="44"/>
          <w:szCs w:val="44"/>
        </w:rPr>
        <w:t>成效评价</w:t>
      </w:r>
      <w:bookmarkEnd w:id="106"/>
      <w:r>
        <w:rPr>
          <w:rFonts w:hint="eastAsia"/>
          <w:b/>
          <w:bCs/>
          <w:sz w:val="44"/>
          <w:szCs w:val="44"/>
        </w:rPr>
        <w:tab/>
      </w:r>
    </w:p>
    <w:p w14:paraId="780BE2C6">
      <w:pPr>
        <w:pStyle w:val="30"/>
        <w:numPr>
          <w:ilvl w:val="0"/>
          <w:numId w:val="8"/>
        </w:numPr>
        <w:spacing w:before="163" w:beforeLines="50" w:after="163" w:afterLines="50"/>
        <w:ind w:firstLineChars="0"/>
        <w:jc w:val="center"/>
        <w:outlineLvl w:val="1"/>
        <w:rPr>
          <w:b/>
          <w:bCs/>
          <w:sz w:val="28"/>
          <w:szCs w:val="28"/>
        </w:rPr>
      </w:pPr>
      <w:bookmarkStart w:id="107" w:name="_Toc212057052"/>
      <w:r>
        <w:rPr>
          <w:rFonts w:hint="eastAsia"/>
          <w:b/>
          <w:bCs/>
          <w:sz w:val="28"/>
          <w:szCs w:val="28"/>
        </w:rPr>
        <w:t>一般规定</w:t>
      </w:r>
      <w:bookmarkEnd w:id="107"/>
    </w:p>
    <w:p w14:paraId="7B07BFD6">
      <w:pPr>
        <w:ind w:firstLine="0" w:firstLineChars="0"/>
      </w:pPr>
      <w:r>
        <w:rPr>
          <w:rFonts w:hint="eastAsia"/>
          <w:b/>
          <w:bCs/>
        </w:rPr>
        <w:t>10</w:t>
      </w:r>
      <w:r>
        <w:rPr>
          <w:b/>
          <w:bCs/>
        </w:rPr>
        <w:t xml:space="preserve">.1.1  </w:t>
      </w:r>
      <w:r>
        <w:rPr>
          <w:rFonts w:hint="eastAsia"/>
        </w:rPr>
        <w:t>按照科学先进、易操作、可推广的原则，在工程竣工验收合格后，部署效果评价工作，包括评价指标体系的选取、数据采集和处理、评价分级与分析、评价报告撰写等。</w:t>
      </w:r>
    </w:p>
    <w:p w14:paraId="56DC4519">
      <w:pPr>
        <w:ind w:firstLine="0" w:firstLineChars="0"/>
      </w:pPr>
      <w:r>
        <w:rPr>
          <w:rFonts w:hint="eastAsia"/>
          <w:b/>
          <w:bCs/>
        </w:rPr>
        <w:t>10</w:t>
      </w:r>
      <w:r>
        <w:rPr>
          <w:b/>
          <w:bCs/>
        </w:rPr>
        <w:t>.1.2</w:t>
      </w:r>
      <w:r>
        <w:t xml:space="preserve">  </w:t>
      </w:r>
      <w:r>
        <w:rPr>
          <w:rFonts w:hint="eastAsia"/>
        </w:rPr>
        <w:t>成效评估应遵循科学先进、易操作、可推广的原则，在工程竣工验收合格后组织实施。</w:t>
      </w:r>
    </w:p>
    <w:p w14:paraId="5B53B502">
      <w:pPr>
        <w:ind w:firstLine="0" w:firstLineChars="0"/>
      </w:pPr>
      <w:r>
        <w:rPr>
          <w:rFonts w:hint="eastAsia"/>
          <w:b/>
          <w:bCs/>
        </w:rPr>
        <w:t>10</w:t>
      </w:r>
      <w:r>
        <w:rPr>
          <w:b/>
          <w:bCs/>
        </w:rPr>
        <w:t xml:space="preserve">.1.3  </w:t>
      </w:r>
      <w:r>
        <w:rPr>
          <w:rFonts w:hint="eastAsia"/>
        </w:rPr>
        <w:t>评估内容应包括：评价指标体系的选取、数据采集与质量控制、数据处理与分析、评价分级与结果判定、评价报告编制与归档。</w:t>
      </w:r>
    </w:p>
    <w:p w14:paraId="3619660F">
      <w:pPr>
        <w:ind w:firstLine="0" w:firstLineChars="0"/>
      </w:pPr>
      <w:r>
        <w:rPr>
          <w:rFonts w:hint="eastAsia"/>
          <w:b/>
          <w:bCs/>
        </w:rPr>
        <w:t>10</w:t>
      </w:r>
      <w:r>
        <w:rPr>
          <w:b/>
          <w:bCs/>
        </w:rPr>
        <w:t xml:space="preserve">.1.4  </w:t>
      </w:r>
      <w:r>
        <w:rPr>
          <w:rFonts w:hint="eastAsia"/>
        </w:rPr>
        <w:t>评估宜明确基准期/对照基线与评估期，统一指标口径与计算方法；涉及权重的，宜采用经论证的方法并开展敏感性/不确定性分析</w:t>
      </w:r>
    </w:p>
    <w:p w14:paraId="735762F5">
      <w:pPr>
        <w:ind w:firstLine="0" w:firstLineChars="0"/>
      </w:pPr>
      <w:r>
        <w:rPr>
          <w:rFonts w:hint="eastAsia"/>
          <w:b/>
          <w:bCs/>
        </w:rPr>
        <w:t>10</w:t>
      </w:r>
      <w:r>
        <w:rPr>
          <w:b/>
          <w:bCs/>
        </w:rPr>
        <w:t xml:space="preserve">.1.5  </w:t>
      </w:r>
      <w:r>
        <w:rPr>
          <w:rFonts w:hint="eastAsia"/>
        </w:rPr>
        <w:t>成效评估工作划分为四个阶段：</w:t>
      </w:r>
    </w:p>
    <w:p w14:paraId="7A7C58B2">
      <w:pPr>
        <w:ind w:firstLine="480"/>
      </w:pPr>
      <w:r>
        <w:rPr>
          <w:rFonts w:hint="eastAsia"/>
        </w:rPr>
        <w:t>第一阶段：接受效果评价委托；项目方案分析，包括实施范围和时限、措施，项目影响分析等；收集项目相关的资料，包括区域的自然和社会环境的时序资料项目实施方案、环境影响报告等资料。</w:t>
      </w:r>
    </w:p>
    <w:p w14:paraId="0F63A312">
      <w:pPr>
        <w:ind w:firstLine="480"/>
      </w:pPr>
      <w:r>
        <w:rPr>
          <w:rFonts w:hint="eastAsia"/>
        </w:rPr>
        <w:t>第二阶段：制定效果评价方案，包括效果评价指标、方法、区域和时间；制定数据获取方案，包括数据获取内容、方法、地点和时间等。</w:t>
      </w:r>
    </w:p>
    <w:p w14:paraId="7C73AD7F">
      <w:pPr>
        <w:ind w:firstLine="480"/>
      </w:pPr>
      <w:r>
        <w:rPr>
          <w:rFonts w:hint="eastAsia"/>
        </w:rPr>
        <w:t>第三阶段：数据采集与处理，包括遥感影像、水文生态气象、实测数据、其他辅助数据等；确定效果评价方法与结果，包括指标权重计算、效果评级和修复效果分析；开展效果评价；编制效果评价报告。</w:t>
      </w:r>
    </w:p>
    <w:p w14:paraId="7CD3D7AB">
      <w:pPr>
        <w:ind w:firstLine="480"/>
      </w:pPr>
      <w:r>
        <w:rPr>
          <w:rFonts w:hint="eastAsia"/>
        </w:rPr>
        <w:t>第四阶段：委托专家进行评审，得出评价结论。</w:t>
      </w:r>
    </w:p>
    <w:p w14:paraId="01ADBA71">
      <w:pPr>
        <w:ind w:firstLine="0" w:firstLineChars="0"/>
      </w:pPr>
      <w:r>
        <w:rPr>
          <w:rFonts w:hint="eastAsia"/>
        </w:rPr>
        <w:t>【条文说明】本条将成效评估工作从总体要求到四阶段流程予以标准化，强调基线设定、指标口径统一与质量控制，确保评价过程规范可执行、结果客观可复核。</w:t>
      </w:r>
    </w:p>
    <w:p w14:paraId="6605C91C">
      <w:pPr>
        <w:pStyle w:val="30"/>
        <w:numPr>
          <w:ilvl w:val="0"/>
          <w:numId w:val="8"/>
        </w:numPr>
        <w:spacing w:before="163" w:beforeLines="50" w:after="163" w:afterLines="50"/>
        <w:ind w:firstLineChars="0"/>
        <w:jc w:val="center"/>
        <w:outlineLvl w:val="1"/>
        <w:rPr>
          <w:b/>
          <w:bCs/>
          <w:sz w:val="28"/>
          <w:szCs w:val="28"/>
        </w:rPr>
      </w:pPr>
      <w:bookmarkStart w:id="108" w:name="_Toc212057053"/>
      <w:r>
        <w:rPr>
          <w:rFonts w:hint="eastAsia"/>
          <w:b/>
          <w:bCs/>
          <w:sz w:val="28"/>
          <w:szCs w:val="28"/>
        </w:rPr>
        <w:t>评价指标</w:t>
      </w:r>
      <w:bookmarkEnd w:id="108"/>
    </w:p>
    <w:p w14:paraId="0701191B">
      <w:pPr>
        <w:ind w:firstLine="0" w:firstLineChars="0"/>
      </w:pPr>
      <w:r>
        <w:rPr>
          <w:b/>
          <w:bCs/>
        </w:rPr>
        <w:t xml:space="preserve">10.2.1  </w:t>
      </w:r>
      <w:r>
        <w:rPr>
          <w:rFonts w:hint="eastAsia"/>
        </w:rPr>
        <w:t>指标体系应建立在科学的基础上，能够客观真实地反映工矿区改造与修复后的现状。根据对工矿区整体的认识，将指标分类，保证指标在一定时期内的稳定性，体系内的每个指标的意义和获取方法均应明确。</w:t>
      </w:r>
    </w:p>
    <w:p w14:paraId="502CE3CB">
      <w:pPr>
        <w:ind w:firstLine="0" w:firstLineChars="0"/>
      </w:pPr>
      <w:r>
        <w:rPr>
          <w:rFonts w:hint="eastAsia"/>
        </w:rPr>
        <w:t>【</w:t>
      </w:r>
      <w:r>
        <w:t>条文说明</w:t>
      </w:r>
      <w:r>
        <w:rPr>
          <w:rFonts w:hint="eastAsia"/>
        </w:rPr>
        <w:t>】</w:t>
      </w:r>
      <w:r>
        <w:t>本条强调了指标体系建立的科学性和客观性，要求指标能够准确反映工矿区改造与修复的实际情况。指标体系的分类应基于对工矿区的全面理解，确保指标在一段时间内保持稳定，同时每个指标的含义和获取方法</w:t>
      </w:r>
      <w:r>
        <w:rPr>
          <w:rFonts w:hint="eastAsia"/>
        </w:rPr>
        <w:t>应</w:t>
      </w:r>
      <w:r>
        <w:t>清晰，以便于监测和评估。</w:t>
      </w:r>
    </w:p>
    <w:p w14:paraId="652BCB6B">
      <w:pPr>
        <w:ind w:firstLine="0" w:firstLineChars="0"/>
      </w:pPr>
      <w:r>
        <w:rPr>
          <w:rFonts w:hint="eastAsia" w:cs="Times New Roman"/>
          <w:b/>
          <w:bCs/>
        </w:rPr>
        <w:t>10.</w:t>
      </w:r>
      <w:r>
        <w:rPr>
          <w:rFonts w:cs="Times New Roman"/>
          <w:b/>
          <w:bCs/>
        </w:rPr>
        <w:t>2</w:t>
      </w:r>
      <w:r>
        <w:rPr>
          <w:rFonts w:hint="eastAsia" w:cs="Times New Roman"/>
          <w:b/>
          <w:bCs/>
        </w:rPr>
        <w:t xml:space="preserve">.2  </w:t>
      </w:r>
      <w:r>
        <w:rPr>
          <w:rFonts w:hint="eastAsia"/>
        </w:rPr>
        <w:t>工矿区系统较为复杂，选区的指标既要评价绿色改造和生态修复的程度，也要反映人类活动对工矿区带来的改变，根据工矿区实际改造与修复情况，定性指标与定量指标相结合，选取能够全面反映工矿区改造与修复效果的指标。</w:t>
      </w:r>
    </w:p>
    <w:p w14:paraId="5C27BE8E">
      <w:pPr>
        <w:ind w:firstLine="0" w:firstLineChars="0"/>
      </w:pPr>
      <w:r>
        <w:rPr>
          <w:rFonts w:hint="eastAsia"/>
        </w:rPr>
        <w:t>【</w:t>
      </w:r>
      <w:r>
        <w:t>条文说明</w:t>
      </w:r>
      <w:r>
        <w:rPr>
          <w:rFonts w:hint="eastAsia"/>
        </w:rPr>
        <w:t>】</w:t>
      </w:r>
      <w:r>
        <w:t>本条指出工矿区系统的复杂性，因此在选择评价指标时，需要</w:t>
      </w:r>
      <w:r>
        <w:rPr>
          <w:rFonts w:hint="eastAsia"/>
        </w:rPr>
        <w:t>综合</w:t>
      </w:r>
      <w:r>
        <w:t>考虑绿色改造和生态修复的程度，以及人类活动对工矿区环境的影响。指标的选择应结合定性和定量方法，以确保能够全面、准确地评价工矿区改造与修复的效果。这样的综合评价方法有助于更全面地理解工矿区环境的变化，为后续的管理和决策提供科学依据。</w:t>
      </w:r>
    </w:p>
    <w:p w14:paraId="23A66A29">
      <w:pPr>
        <w:pStyle w:val="30"/>
        <w:numPr>
          <w:ilvl w:val="0"/>
          <w:numId w:val="8"/>
        </w:numPr>
        <w:spacing w:before="163" w:beforeLines="50" w:after="163" w:afterLines="50"/>
        <w:ind w:firstLineChars="0"/>
        <w:jc w:val="center"/>
        <w:outlineLvl w:val="1"/>
        <w:rPr>
          <w:b/>
          <w:bCs/>
          <w:sz w:val="28"/>
          <w:szCs w:val="28"/>
        </w:rPr>
      </w:pPr>
      <w:bookmarkStart w:id="109" w:name="_Toc212057054"/>
      <w:r>
        <w:rPr>
          <w:rFonts w:hint="eastAsia"/>
          <w:b/>
          <w:bCs/>
          <w:sz w:val="28"/>
          <w:szCs w:val="28"/>
        </w:rPr>
        <w:t>绿色改造成效评价</w:t>
      </w:r>
      <w:bookmarkEnd w:id="109"/>
      <w:r>
        <w:rPr>
          <w:rFonts w:hint="eastAsia"/>
          <w:b/>
          <w:bCs/>
          <w:sz w:val="28"/>
          <w:szCs w:val="28"/>
        </w:rPr>
        <w:tab/>
      </w:r>
    </w:p>
    <w:p w14:paraId="000522AF">
      <w:pPr>
        <w:ind w:firstLine="480"/>
        <w:rPr>
          <w:rFonts w:ascii="宋体" w:hAnsi="宋体"/>
        </w:rPr>
      </w:pPr>
      <w:r>
        <w:rPr>
          <w:rFonts w:hint="eastAsia" w:cs="Times New Roman"/>
        </w:rPr>
        <w:t>由于</w:t>
      </w:r>
      <w:r>
        <w:rPr>
          <w:rFonts w:hint="eastAsia" w:ascii="宋体" w:hAnsi="宋体"/>
        </w:rPr>
        <w:t>各地区的经济、文化、地理环境不同，导致工矿区内工业遗产保护改造影响因素众多，针对工业遗产建筑改造的经济效益、社会效益和环境效益三个层面建立了项目效果定量评价方法，实现改造项目效果的量化评估。</w:t>
      </w:r>
    </w:p>
    <w:p w14:paraId="6010325E">
      <w:pPr>
        <w:ind w:firstLine="482"/>
        <w:jc w:val="center"/>
        <w:rPr>
          <w:rFonts w:cs="Times New Roman"/>
          <w:b/>
          <w:bCs/>
          <w:lang w:bidi="ar"/>
        </w:rPr>
      </w:pPr>
      <w:r>
        <w:rPr>
          <w:rFonts w:hint="eastAsia" w:cs="宋体"/>
          <w:b/>
          <w:bCs/>
          <w:lang w:bidi="ar"/>
        </w:rPr>
        <w:t>表</w:t>
      </w:r>
      <w:r>
        <w:rPr>
          <w:rFonts w:cs="Times New Roman"/>
          <w:b/>
          <w:bCs/>
          <w:lang w:bidi="ar"/>
        </w:rPr>
        <w:t>10</w:t>
      </w:r>
      <w:r>
        <w:rPr>
          <w:rFonts w:hint="eastAsia" w:cs="Times New Roman"/>
          <w:b/>
          <w:bCs/>
          <w:lang w:bidi="ar"/>
        </w:rPr>
        <w:t>.</w:t>
      </w:r>
      <w:r>
        <w:rPr>
          <w:rFonts w:cs="Times New Roman"/>
          <w:b/>
          <w:bCs/>
          <w:lang w:bidi="ar"/>
        </w:rPr>
        <w:t>3-1</w:t>
      </w:r>
      <w:r>
        <w:rPr>
          <w:rFonts w:hint="eastAsia" w:cs="宋体"/>
          <w:b/>
          <w:bCs/>
          <w:lang w:bidi="ar"/>
        </w:rPr>
        <w:t>城市工矿区绿色改造评估</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2255"/>
        <w:gridCol w:w="644"/>
        <w:gridCol w:w="891"/>
        <w:gridCol w:w="644"/>
        <w:gridCol w:w="3369"/>
      </w:tblGrid>
      <w:tr w14:paraId="41B2E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422" w:type="pct"/>
            <w:shd w:val="clear" w:color="auto" w:fill="auto"/>
            <w:vAlign w:val="center"/>
          </w:tcPr>
          <w:p w14:paraId="68693316">
            <w:pPr>
              <w:pStyle w:val="31"/>
              <w:jc w:val="both"/>
              <w:rPr>
                <w:rFonts w:ascii="Times New Roman" w:eastAsia="宋体"/>
              </w:rPr>
            </w:pPr>
            <w:r>
              <w:rPr>
                <w:rFonts w:hint="eastAsia" w:ascii="Times New Roman" w:eastAsia="宋体"/>
              </w:rPr>
              <w:t>一级指标</w:t>
            </w:r>
          </w:p>
        </w:tc>
        <w:tc>
          <w:tcPr>
            <w:tcW w:w="1323" w:type="pct"/>
            <w:shd w:val="clear" w:color="auto" w:fill="auto"/>
            <w:vAlign w:val="center"/>
          </w:tcPr>
          <w:p w14:paraId="26D9D31F">
            <w:pPr>
              <w:pStyle w:val="31"/>
              <w:rPr>
                <w:rFonts w:ascii="Times New Roman" w:eastAsia="宋体"/>
              </w:rPr>
            </w:pPr>
            <w:r>
              <w:rPr>
                <w:rFonts w:hint="eastAsia" w:ascii="Times New Roman" w:eastAsia="宋体"/>
              </w:rPr>
              <w:t>二级指标</w:t>
            </w:r>
          </w:p>
        </w:tc>
        <w:tc>
          <w:tcPr>
            <w:tcW w:w="378" w:type="pct"/>
            <w:shd w:val="clear" w:color="auto" w:fill="auto"/>
            <w:vAlign w:val="center"/>
          </w:tcPr>
          <w:p w14:paraId="0D8516F8">
            <w:pPr>
              <w:pStyle w:val="31"/>
              <w:rPr>
                <w:rFonts w:ascii="Times New Roman" w:eastAsia="宋体"/>
              </w:rPr>
            </w:pPr>
            <w:r>
              <w:rPr>
                <w:rFonts w:hint="eastAsia" w:ascii="Times New Roman" w:eastAsia="宋体"/>
              </w:rPr>
              <w:t>权重</w:t>
            </w:r>
          </w:p>
        </w:tc>
        <w:tc>
          <w:tcPr>
            <w:tcW w:w="523" w:type="pct"/>
            <w:shd w:val="clear" w:color="auto" w:fill="auto"/>
            <w:vAlign w:val="center"/>
          </w:tcPr>
          <w:p w14:paraId="45CEDF3E">
            <w:pPr>
              <w:pStyle w:val="31"/>
              <w:rPr>
                <w:rFonts w:ascii="Times New Roman" w:eastAsia="宋体"/>
              </w:rPr>
            </w:pPr>
            <w:r>
              <w:rPr>
                <w:rFonts w:hint="eastAsia" w:ascii="Times New Roman" w:eastAsia="宋体"/>
              </w:rPr>
              <w:t>子权重</w:t>
            </w:r>
          </w:p>
        </w:tc>
        <w:tc>
          <w:tcPr>
            <w:tcW w:w="378" w:type="pct"/>
            <w:shd w:val="clear" w:color="auto" w:fill="auto"/>
            <w:vAlign w:val="center"/>
          </w:tcPr>
          <w:p w14:paraId="2C571B60">
            <w:pPr>
              <w:pStyle w:val="31"/>
              <w:rPr>
                <w:rFonts w:ascii="Times New Roman" w:eastAsia="宋体"/>
              </w:rPr>
            </w:pPr>
            <w:r>
              <w:rPr>
                <w:rFonts w:hint="eastAsia" w:ascii="Times New Roman" w:eastAsia="宋体"/>
              </w:rPr>
              <w:t>评分</w:t>
            </w:r>
          </w:p>
        </w:tc>
        <w:tc>
          <w:tcPr>
            <w:tcW w:w="1976" w:type="pct"/>
            <w:shd w:val="clear" w:color="auto" w:fill="auto"/>
            <w:vAlign w:val="center"/>
          </w:tcPr>
          <w:p w14:paraId="24C20127">
            <w:pPr>
              <w:pStyle w:val="31"/>
              <w:rPr>
                <w:rFonts w:ascii="Times New Roman" w:eastAsia="宋体"/>
              </w:rPr>
            </w:pPr>
            <w:r>
              <w:rPr>
                <w:rFonts w:hint="eastAsia" w:ascii="Times New Roman" w:eastAsia="宋体"/>
              </w:rPr>
              <w:t>指标释义</w:t>
            </w:r>
          </w:p>
        </w:tc>
      </w:tr>
      <w:tr w14:paraId="166AF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22" w:type="pct"/>
            <w:vMerge w:val="restart"/>
            <w:shd w:val="clear" w:color="auto" w:fill="auto"/>
            <w:vAlign w:val="center"/>
          </w:tcPr>
          <w:p w14:paraId="089687FA">
            <w:pPr>
              <w:pStyle w:val="31"/>
              <w:rPr>
                <w:rFonts w:ascii="Times New Roman" w:eastAsia="宋体"/>
              </w:rPr>
            </w:pPr>
            <w:r>
              <w:rPr>
                <w:rFonts w:hint="eastAsia" w:ascii="Times New Roman" w:eastAsia="宋体"/>
              </w:rPr>
              <w:t>经济指标</w:t>
            </w:r>
            <w:r>
              <w:rPr>
                <w:rFonts w:ascii="Times New Roman" w:eastAsia="宋体" w:cs="Times"/>
              </w:rPr>
              <w:t>SI1</w:t>
            </w:r>
          </w:p>
        </w:tc>
        <w:tc>
          <w:tcPr>
            <w:tcW w:w="1323" w:type="pct"/>
            <w:shd w:val="clear" w:color="auto" w:fill="auto"/>
            <w:vAlign w:val="center"/>
          </w:tcPr>
          <w:p w14:paraId="11EB4196">
            <w:pPr>
              <w:pStyle w:val="31"/>
              <w:rPr>
                <w:rFonts w:ascii="Times New Roman" w:eastAsia="宋体"/>
              </w:rPr>
            </w:pPr>
            <w:r>
              <w:rPr>
                <w:rFonts w:hint="eastAsia" w:ascii="Times New Roman" w:eastAsia="宋体"/>
              </w:rPr>
              <w:t>项目投资计划</w:t>
            </w:r>
            <w:r>
              <w:rPr>
                <w:rFonts w:ascii="Times New Roman" w:eastAsia="宋体" w:cs="Times"/>
              </w:rPr>
              <w:t>SI11</w:t>
            </w:r>
          </w:p>
        </w:tc>
        <w:tc>
          <w:tcPr>
            <w:tcW w:w="378" w:type="pct"/>
            <w:vMerge w:val="restart"/>
            <w:shd w:val="clear" w:color="auto" w:fill="auto"/>
            <w:vAlign w:val="center"/>
          </w:tcPr>
          <w:p w14:paraId="093FE113">
            <w:pPr>
              <w:pStyle w:val="31"/>
              <w:rPr>
                <w:rFonts w:ascii="Times New Roman" w:eastAsia="宋体" w:cs="Times"/>
                <w:i/>
                <w:iCs/>
              </w:rPr>
            </w:pPr>
            <w:r>
              <w:rPr>
                <w:rFonts w:ascii="Times New Roman" w:eastAsia="宋体" w:cs="Times"/>
                <w:i/>
                <w:iCs/>
              </w:rPr>
              <w:t>i1</w:t>
            </w:r>
          </w:p>
        </w:tc>
        <w:tc>
          <w:tcPr>
            <w:tcW w:w="523" w:type="pct"/>
            <w:shd w:val="clear" w:color="auto" w:fill="auto"/>
            <w:vAlign w:val="center"/>
          </w:tcPr>
          <w:p w14:paraId="72AA579D">
            <w:pPr>
              <w:pStyle w:val="31"/>
              <w:rPr>
                <w:rFonts w:ascii="Times New Roman" w:eastAsia="宋体" w:cs="Times"/>
              </w:rPr>
            </w:pPr>
            <w:r>
              <w:rPr>
                <w:rFonts w:ascii="Times New Roman" w:eastAsia="宋体" w:cs="Times"/>
                <w:spacing w:val="6"/>
              </w:rPr>
              <w:t>A1</w:t>
            </w:r>
            <w:r>
              <w:rPr>
                <w:rFonts w:ascii="Times New Roman" w:eastAsia="宋体" w:cs="Times"/>
              </w:rPr>
              <w:t>1</w:t>
            </w:r>
          </w:p>
        </w:tc>
        <w:tc>
          <w:tcPr>
            <w:tcW w:w="378" w:type="pct"/>
            <w:shd w:val="clear" w:color="auto" w:fill="auto"/>
            <w:vAlign w:val="center"/>
          </w:tcPr>
          <w:p w14:paraId="0BF00757">
            <w:pPr>
              <w:pStyle w:val="31"/>
              <w:rPr>
                <w:rFonts w:ascii="Times New Roman" w:eastAsia="宋体" w:cs="Times"/>
              </w:rPr>
            </w:pPr>
            <w:r>
              <w:rPr>
                <w:rFonts w:ascii="Times New Roman" w:eastAsia="宋体" w:cs="Times"/>
              </w:rPr>
              <w:t>V11</w:t>
            </w:r>
          </w:p>
        </w:tc>
        <w:tc>
          <w:tcPr>
            <w:tcW w:w="1976" w:type="pct"/>
            <w:shd w:val="clear" w:color="auto" w:fill="auto"/>
            <w:vAlign w:val="center"/>
          </w:tcPr>
          <w:p w14:paraId="12565E43">
            <w:pPr>
              <w:pStyle w:val="31"/>
              <w:rPr>
                <w:rFonts w:ascii="Times New Roman" w:eastAsia="宋体"/>
              </w:rPr>
            </w:pPr>
            <w:r>
              <w:rPr>
                <w:rFonts w:hint="eastAsia" w:ascii="Times New Roman" w:eastAsia="宋体"/>
              </w:rPr>
              <w:t xml:space="preserve">评价项目过程中投资计划的合理性 </w:t>
            </w:r>
          </w:p>
        </w:tc>
      </w:tr>
      <w:tr w14:paraId="65635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22" w:type="pct"/>
            <w:vMerge w:val="continue"/>
            <w:vAlign w:val="center"/>
          </w:tcPr>
          <w:p w14:paraId="20E01600">
            <w:pPr>
              <w:pStyle w:val="31"/>
              <w:rPr>
                <w:rFonts w:ascii="Times New Roman" w:eastAsia="宋体"/>
              </w:rPr>
            </w:pPr>
          </w:p>
        </w:tc>
        <w:tc>
          <w:tcPr>
            <w:tcW w:w="1323" w:type="pct"/>
            <w:shd w:val="clear" w:color="auto" w:fill="auto"/>
            <w:vAlign w:val="center"/>
          </w:tcPr>
          <w:p w14:paraId="4FB8C807">
            <w:pPr>
              <w:pStyle w:val="31"/>
              <w:rPr>
                <w:rFonts w:ascii="Times New Roman" w:eastAsia="宋体"/>
              </w:rPr>
            </w:pPr>
            <w:r>
              <w:rPr>
                <w:rFonts w:hint="eastAsia" w:ascii="Times New Roman" w:eastAsia="宋体"/>
              </w:rPr>
              <w:t>项目融资模式</w:t>
            </w:r>
            <w:r>
              <w:rPr>
                <w:rFonts w:ascii="Times New Roman" w:eastAsia="宋体" w:cs="Times"/>
              </w:rPr>
              <w:t>SI12</w:t>
            </w:r>
          </w:p>
        </w:tc>
        <w:tc>
          <w:tcPr>
            <w:tcW w:w="378" w:type="pct"/>
            <w:vMerge w:val="continue"/>
            <w:vAlign w:val="center"/>
          </w:tcPr>
          <w:p w14:paraId="7EDEA010">
            <w:pPr>
              <w:pStyle w:val="31"/>
              <w:rPr>
                <w:rFonts w:ascii="Times New Roman" w:eastAsia="宋体"/>
                <w:i/>
                <w:iCs/>
              </w:rPr>
            </w:pPr>
          </w:p>
        </w:tc>
        <w:tc>
          <w:tcPr>
            <w:tcW w:w="523" w:type="pct"/>
            <w:shd w:val="clear" w:color="auto" w:fill="auto"/>
            <w:vAlign w:val="center"/>
          </w:tcPr>
          <w:p w14:paraId="3DAF78C1">
            <w:pPr>
              <w:pStyle w:val="31"/>
              <w:rPr>
                <w:rFonts w:ascii="Times New Roman" w:eastAsia="宋体" w:cs="Times"/>
              </w:rPr>
            </w:pPr>
            <w:r>
              <w:rPr>
                <w:rFonts w:ascii="Times New Roman" w:eastAsia="宋体" w:cs="Times"/>
              </w:rPr>
              <w:t>A12</w:t>
            </w:r>
          </w:p>
        </w:tc>
        <w:tc>
          <w:tcPr>
            <w:tcW w:w="378" w:type="pct"/>
            <w:shd w:val="clear" w:color="auto" w:fill="auto"/>
            <w:vAlign w:val="center"/>
          </w:tcPr>
          <w:p w14:paraId="0FB8502B">
            <w:pPr>
              <w:pStyle w:val="31"/>
              <w:rPr>
                <w:rFonts w:ascii="Times New Roman" w:eastAsia="宋体" w:cs="Times"/>
              </w:rPr>
            </w:pPr>
            <w:r>
              <w:rPr>
                <w:rFonts w:ascii="Times New Roman" w:eastAsia="宋体" w:cs="Times"/>
              </w:rPr>
              <w:t>V12</w:t>
            </w:r>
          </w:p>
        </w:tc>
        <w:tc>
          <w:tcPr>
            <w:tcW w:w="1976" w:type="pct"/>
            <w:shd w:val="clear" w:color="auto" w:fill="auto"/>
            <w:vAlign w:val="center"/>
          </w:tcPr>
          <w:p w14:paraId="2CE8431C">
            <w:pPr>
              <w:pStyle w:val="31"/>
              <w:rPr>
                <w:rFonts w:ascii="Times New Roman" w:eastAsia="宋体"/>
              </w:rPr>
            </w:pPr>
            <w:r>
              <w:rPr>
                <w:rFonts w:hint="eastAsia" w:ascii="Times New Roman" w:eastAsia="宋体"/>
              </w:rPr>
              <w:t xml:space="preserve">对选取的融资模式与项目及投资方性质的贴合程度综合比较评价 </w:t>
            </w:r>
          </w:p>
        </w:tc>
      </w:tr>
      <w:tr w14:paraId="6806B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22" w:type="pct"/>
            <w:vMerge w:val="continue"/>
            <w:vAlign w:val="center"/>
          </w:tcPr>
          <w:p w14:paraId="2F700C0F">
            <w:pPr>
              <w:pStyle w:val="31"/>
              <w:rPr>
                <w:rFonts w:ascii="Times New Roman" w:eastAsia="宋体"/>
              </w:rPr>
            </w:pPr>
          </w:p>
        </w:tc>
        <w:tc>
          <w:tcPr>
            <w:tcW w:w="1323" w:type="pct"/>
            <w:shd w:val="clear" w:color="auto" w:fill="auto"/>
            <w:vAlign w:val="center"/>
          </w:tcPr>
          <w:p w14:paraId="788B6301">
            <w:pPr>
              <w:pStyle w:val="31"/>
              <w:rPr>
                <w:rFonts w:ascii="Times New Roman" w:eastAsia="宋体"/>
              </w:rPr>
            </w:pPr>
            <w:r>
              <w:rPr>
                <w:rFonts w:hint="eastAsia" w:ascii="Times New Roman" w:eastAsia="宋体"/>
              </w:rPr>
              <w:t>项目技术方法优势</w:t>
            </w:r>
            <w:r>
              <w:rPr>
                <w:rFonts w:ascii="Times New Roman" w:eastAsia="宋体" w:cs="Times"/>
              </w:rPr>
              <w:t>SI13</w:t>
            </w:r>
          </w:p>
        </w:tc>
        <w:tc>
          <w:tcPr>
            <w:tcW w:w="378" w:type="pct"/>
            <w:vMerge w:val="continue"/>
            <w:vAlign w:val="center"/>
          </w:tcPr>
          <w:p w14:paraId="1662091D">
            <w:pPr>
              <w:pStyle w:val="31"/>
              <w:rPr>
                <w:rFonts w:ascii="Times New Roman" w:eastAsia="宋体"/>
                <w:i/>
                <w:iCs/>
              </w:rPr>
            </w:pPr>
          </w:p>
        </w:tc>
        <w:tc>
          <w:tcPr>
            <w:tcW w:w="523" w:type="pct"/>
            <w:shd w:val="clear" w:color="auto" w:fill="auto"/>
            <w:vAlign w:val="center"/>
          </w:tcPr>
          <w:p w14:paraId="4A0458CE">
            <w:pPr>
              <w:pStyle w:val="31"/>
              <w:rPr>
                <w:rFonts w:ascii="Times New Roman" w:eastAsia="宋体" w:cs="Times"/>
              </w:rPr>
            </w:pPr>
            <w:r>
              <w:rPr>
                <w:rFonts w:ascii="Times New Roman" w:eastAsia="宋体" w:cs="Times"/>
              </w:rPr>
              <w:t>A13</w:t>
            </w:r>
          </w:p>
        </w:tc>
        <w:tc>
          <w:tcPr>
            <w:tcW w:w="378" w:type="pct"/>
            <w:shd w:val="clear" w:color="auto" w:fill="auto"/>
            <w:vAlign w:val="center"/>
          </w:tcPr>
          <w:p w14:paraId="23CFA450">
            <w:pPr>
              <w:pStyle w:val="31"/>
              <w:rPr>
                <w:rFonts w:ascii="Times New Roman" w:eastAsia="宋体" w:cs="Times"/>
              </w:rPr>
            </w:pPr>
            <w:r>
              <w:rPr>
                <w:rFonts w:ascii="Times New Roman" w:eastAsia="宋体" w:cs="Times"/>
              </w:rPr>
              <w:t>V13</w:t>
            </w:r>
          </w:p>
        </w:tc>
        <w:tc>
          <w:tcPr>
            <w:tcW w:w="1976" w:type="pct"/>
            <w:shd w:val="clear" w:color="auto" w:fill="auto"/>
            <w:vAlign w:val="center"/>
          </w:tcPr>
          <w:p w14:paraId="6FDF63DB">
            <w:pPr>
              <w:pStyle w:val="31"/>
              <w:rPr>
                <w:rFonts w:ascii="Times New Roman" w:eastAsia="宋体"/>
              </w:rPr>
            </w:pPr>
            <w:r>
              <w:rPr>
                <w:rFonts w:hint="eastAsia" w:ascii="Times New Roman" w:eastAsia="宋体"/>
              </w:rPr>
              <w:t xml:space="preserve">评价对项目影响重大的技术方法能够降低成本提高效益的程度 </w:t>
            </w:r>
          </w:p>
        </w:tc>
      </w:tr>
      <w:tr w14:paraId="7CF28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22" w:type="pct"/>
            <w:vMerge w:val="continue"/>
            <w:vAlign w:val="center"/>
          </w:tcPr>
          <w:p w14:paraId="65AA2585">
            <w:pPr>
              <w:pStyle w:val="31"/>
              <w:rPr>
                <w:rFonts w:ascii="Times New Roman" w:eastAsia="宋体"/>
              </w:rPr>
            </w:pPr>
          </w:p>
        </w:tc>
        <w:tc>
          <w:tcPr>
            <w:tcW w:w="1323" w:type="pct"/>
            <w:shd w:val="clear" w:color="auto" w:fill="auto"/>
            <w:vAlign w:val="center"/>
          </w:tcPr>
          <w:p w14:paraId="4B6E570D">
            <w:pPr>
              <w:pStyle w:val="31"/>
              <w:rPr>
                <w:rFonts w:ascii="Times New Roman" w:eastAsia="宋体"/>
              </w:rPr>
            </w:pPr>
            <w:r>
              <w:rPr>
                <w:rFonts w:hint="eastAsia" w:ascii="Times New Roman" w:eastAsia="宋体"/>
              </w:rPr>
              <w:t>阶段成本</w:t>
            </w:r>
            <w:r>
              <w:rPr>
                <w:rFonts w:ascii="Times New Roman" w:eastAsia="宋体" w:cs="Times"/>
              </w:rPr>
              <w:t>SI14</w:t>
            </w:r>
          </w:p>
        </w:tc>
        <w:tc>
          <w:tcPr>
            <w:tcW w:w="378" w:type="pct"/>
            <w:vMerge w:val="continue"/>
            <w:vAlign w:val="center"/>
          </w:tcPr>
          <w:p w14:paraId="630E719A">
            <w:pPr>
              <w:pStyle w:val="31"/>
              <w:rPr>
                <w:rFonts w:ascii="Times New Roman" w:eastAsia="宋体"/>
                <w:i/>
                <w:iCs/>
              </w:rPr>
            </w:pPr>
          </w:p>
        </w:tc>
        <w:tc>
          <w:tcPr>
            <w:tcW w:w="523" w:type="pct"/>
            <w:shd w:val="clear" w:color="auto" w:fill="auto"/>
            <w:vAlign w:val="center"/>
          </w:tcPr>
          <w:p w14:paraId="3C28FFA8">
            <w:pPr>
              <w:pStyle w:val="31"/>
              <w:rPr>
                <w:rFonts w:ascii="Times New Roman" w:eastAsia="宋体" w:cs="Times"/>
              </w:rPr>
            </w:pPr>
            <w:r>
              <w:rPr>
                <w:rFonts w:ascii="Times New Roman" w:eastAsia="宋体" w:cs="Times"/>
              </w:rPr>
              <w:t>A14</w:t>
            </w:r>
          </w:p>
        </w:tc>
        <w:tc>
          <w:tcPr>
            <w:tcW w:w="378" w:type="pct"/>
            <w:shd w:val="clear" w:color="auto" w:fill="auto"/>
            <w:vAlign w:val="center"/>
          </w:tcPr>
          <w:p w14:paraId="0BE49A4A">
            <w:pPr>
              <w:pStyle w:val="31"/>
              <w:rPr>
                <w:rFonts w:ascii="Times New Roman" w:eastAsia="宋体" w:cs="Times"/>
              </w:rPr>
            </w:pPr>
            <w:r>
              <w:rPr>
                <w:rFonts w:ascii="Times New Roman" w:eastAsia="宋体" w:cs="Times"/>
              </w:rPr>
              <w:t>V14</w:t>
            </w:r>
          </w:p>
        </w:tc>
        <w:tc>
          <w:tcPr>
            <w:tcW w:w="1976" w:type="pct"/>
            <w:shd w:val="clear" w:color="auto" w:fill="auto"/>
            <w:vAlign w:val="center"/>
          </w:tcPr>
          <w:p w14:paraId="5BFFBC95">
            <w:pPr>
              <w:pStyle w:val="31"/>
              <w:rPr>
                <w:rFonts w:ascii="Times New Roman" w:eastAsia="宋体"/>
              </w:rPr>
            </w:pPr>
            <w:r>
              <w:rPr>
                <w:rFonts w:hint="eastAsia" w:ascii="Times New Roman" w:eastAsia="宋体"/>
              </w:rPr>
              <w:t>将改造项目建设过程中的总成本作为主要参考依据</w:t>
            </w:r>
          </w:p>
        </w:tc>
      </w:tr>
      <w:tr w14:paraId="00816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22" w:type="pct"/>
            <w:vMerge w:val="continue"/>
            <w:vAlign w:val="center"/>
          </w:tcPr>
          <w:p w14:paraId="7F269AC7">
            <w:pPr>
              <w:pStyle w:val="31"/>
              <w:rPr>
                <w:rFonts w:ascii="Times New Roman" w:eastAsia="宋体"/>
              </w:rPr>
            </w:pPr>
          </w:p>
        </w:tc>
        <w:tc>
          <w:tcPr>
            <w:tcW w:w="1323" w:type="pct"/>
            <w:shd w:val="clear" w:color="auto" w:fill="auto"/>
            <w:vAlign w:val="center"/>
          </w:tcPr>
          <w:p w14:paraId="070CBA02">
            <w:pPr>
              <w:pStyle w:val="31"/>
              <w:rPr>
                <w:rFonts w:ascii="Times New Roman" w:eastAsia="宋体"/>
              </w:rPr>
            </w:pPr>
            <w:r>
              <w:rPr>
                <w:rFonts w:hint="eastAsia" w:ascii="Times New Roman" w:eastAsia="宋体"/>
              </w:rPr>
              <w:t>动态回收期</w:t>
            </w:r>
            <w:r>
              <w:rPr>
                <w:rFonts w:ascii="Times New Roman" w:eastAsia="宋体" w:cs="Times"/>
              </w:rPr>
              <w:t>SI15</w:t>
            </w:r>
          </w:p>
        </w:tc>
        <w:tc>
          <w:tcPr>
            <w:tcW w:w="378" w:type="pct"/>
            <w:vMerge w:val="continue"/>
            <w:vAlign w:val="center"/>
          </w:tcPr>
          <w:p w14:paraId="0E489FFE">
            <w:pPr>
              <w:pStyle w:val="31"/>
              <w:rPr>
                <w:rFonts w:ascii="Times New Roman" w:eastAsia="宋体"/>
                <w:i/>
                <w:iCs/>
              </w:rPr>
            </w:pPr>
          </w:p>
        </w:tc>
        <w:tc>
          <w:tcPr>
            <w:tcW w:w="523" w:type="pct"/>
            <w:shd w:val="clear" w:color="auto" w:fill="auto"/>
            <w:vAlign w:val="center"/>
          </w:tcPr>
          <w:p w14:paraId="132E8EC5">
            <w:pPr>
              <w:pStyle w:val="31"/>
              <w:rPr>
                <w:rFonts w:ascii="Times New Roman" w:eastAsia="宋体" w:cs="Times"/>
              </w:rPr>
            </w:pPr>
            <w:r>
              <w:rPr>
                <w:rFonts w:ascii="Times New Roman" w:eastAsia="宋体" w:cs="Times"/>
              </w:rPr>
              <w:t>A15</w:t>
            </w:r>
          </w:p>
        </w:tc>
        <w:tc>
          <w:tcPr>
            <w:tcW w:w="378" w:type="pct"/>
            <w:shd w:val="clear" w:color="auto" w:fill="auto"/>
            <w:vAlign w:val="center"/>
          </w:tcPr>
          <w:p w14:paraId="7C27D795">
            <w:pPr>
              <w:pStyle w:val="31"/>
              <w:rPr>
                <w:rFonts w:ascii="Times New Roman" w:eastAsia="宋体" w:cs="Times"/>
              </w:rPr>
            </w:pPr>
            <w:r>
              <w:rPr>
                <w:rFonts w:ascii="Times New Roman" w:eastAsia="宋体" w:cs="Times"/>
              </w:rPr>
              <w:t>V15</w:t>
            </w:r>
          </w:p>
        </w:tc>
        <w:tc>
          <w:tcPr>
            <w:tcW w:w="1976" w:type="pct"/>
            <w:shd w:val="clear" w:color="auto" w:fill="auto"/>
            <w:vAlign w:val="center"/>
          </w:tcPr>
          <w:p w14:paraId="1F865BED">
            <w:pPr>
              <w:pStyle w:val="31"/>
              <w:rPr>
                <w:rFonts w:ascii="Times New Roman" w:eastAsia="宋体"/>
              </w:rPr>
            </w:pPr>
            <w:r>
              <w:rPr>
                <w:rFonts w:hint="eastAsia" w:ascii="Times New Roman" w:eastAsia="宋体"/>
              </w:rPr>
              <w:t xml:space="preserve">评价实际回收期与理论回收期之间的差异程度 </w:t>
            </w:r>
          </w:p>
        </w:tc>
      </w:tr>
      <w:tr w14:paraId="0C796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22" w:type="pct"/>
            <w:vMerge w:val="continue"/>
            <w:vAlign w:val="center"/>
          </w:tcPr>
          <w:p w14:paraId="7EC195ED">
            <w:pPr>
              <w:pStyle w:val="31"/>
              <w:rPr>
                <w:rFonts w:ascii="Times New Roman" w:eastAsia="宋体"/>
              </w:rPr>
            </w:pPr>
          </w:p>
        </w:tc>
        <w:tc>
          <w:tcPr>
            <w:tcW w:w="1323" w:type="pct"/>
            <w:shd w:val="clear" w:color="auto" w:fill="auto"/>
            <w:vAlign w:val="center"/>
          </w:tcPr>
          <w:p w14:paraId="63A1ABBE">
            <w:pPr>
              <w:pStyle w:val="31"/>
              <w:rPr>
                <w:rFonts w:ascii="Times New Roman" w:eastAsia="宋体"/>
              </w:rPr>
            </w:pPr>
            <w:r>
              <w:rPr>
                <w:rFonts w:hint="eastAsia" w:ascii="Times New Roman" w:eastAsia="宋体"/>
              </w:rPr>
              <w:t>内部收益率</w:t>
            </w:r>
            <w:r>
              <w:rPr>
                <w:rFonts w:ascii="Times New Roman" w:eastAsia="宋体" w:cs="Times"/>
              </w:rPr>
              <w:t>SI16</w:t>
            </w:r>
          </w:p>
        </w:tc>
        <w:tc>
          <w:tcPr>
            <w:tcW w:w="378" w:type="pct"/>
            <w:vMerge w:val="continue"/>
            <w:vAlign w:val="center"/>
          </w:tcPr>
          <w:p w14:paraId="4C468D23">
            <w:pPr>
              <w:pStyle w:val="31"/>
              <w:rPr>
                <w:rFonts w:ascii="Times New Roman" w:eastAsia="宋体"/>
                <w:i/>
                <w:iCs/>
              </w:rPr>
            </w:pPr>
          </w:p>
        </w:tc>
        <w:tc>
          <w:tcPr>
            <w:tcW w:w="523" w:type="pct"/>
            <w:shd w:val="clear" w:color="auto" w:fill="auto"/>
            <w:vAlign w:val="center"/>
          </w:tcPr>
          <w:p w14:paraId="49A14DE2">
            <w:pPr>
              <w:pStyle w:val="31"/>
              <w:rPr>
                <w:rFonts w:ascii="Times New Roman" w:eastAsia="宋体" w:cs="Times"/>
              </w:rPr>
            </w:pPr>
            <w:r>
              <w:rPr>
                <w:rFonts w:ascii="Times New Roman" w:eastAsia="宋体" w:cs="Times"/>
              </w:rPr>
              <w:t>A16</w:t>
            </w:r>
          </w:p>
        </w:tc>
        <w:tc>
          <w:tcPr>
            <w:tcW w:w="378" w:type="pct"/>
            <w:shd w:val="clear" w:color="auto" w:fill="auto"/>
            <w:vAlign w:val="center"/>
          </w:tcPr>
          <w:p w14:paraId="4C35AC98">
            <w:pPr>
              <w:pStyle w:val="31"/>
              <w:rPr>
                <w:rFonts w:ascii="Times New Roman" w:eastAsia="宋体" w:cs="Times"/>
              </w:rPr>
            </w:pPr>
            <w:r>
              <w:rPr>
                <w:rFonts w:ascii="Times New Roman" w:eastAsia="宋体" w:cs="Times"/>
              </w:rPr>
              <w:t>V16</w:t>
            </w:r>
          </w:p>
        </w:tc>
        <w:tc>
          <w:tcPr>
            <w:tcW w:w="1976" w:type="pct"/>
            <w:shd w:val="clear" w:color="auto" w:fill="auto"/>
            <w:vAlign w:val="center"/>
          </w:tcPr>
          <w:p w14:paraId="422B26B9">
            <w:pPr>
              <w:pStyle w:val="31"/>
              <w:rPr>
                <w:rFonts w:ascii="Times New Roman" w:eastAsia="宋体"/>
              </w:rPr>
            </w:pPr>
            <w:r>
              <w:rPr>
                <w:rFonts w:hint="eastAsia" w:ascii="Times New Roman" w:eastAsia="宋体"/>
              </w:rPr>
              <w:t>实际内部收益率与理论内部收益率之间的差异程度</w:t>
            </w:r>
          </w:p>
        </w:tc>
      </w:tr>
      <w:tr w14:paraId="1DB37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22" w:type="pct"/>
            <w:vMerge w:val="restart"/>
            <w:shd w:val="clear" w:color="auto" w:fill="auto"/>
            <w:vAlign w:val="center"/>
          </w:tcPr>
          <w:p w14:paraId="28CECC8C">
            <w:pPr>
              <w:pStyle w:val="31"/>
              <w:rPr>
                <w:rFonts w:ascii="Times New Roman" w:eastAsia="宋体"/>
              </w:rPr>
            </w:pPr>
            <w:r>
              <w:rPr>
                <w:rFonts w:hint="eastAsia" w:ascii="Times New Roman" w:eastAsia="宋体"/>
              </w:rPr>
              <w:t>社会指标</w:t>
            </w:r>
            <w:r>
              <w:rPr>
                <w:rFonts w:ascii="Times New Roman" w:eastAsia="宋体" w:cs="Times"/>
              </w:rPr>
              <w:t>SI2</w:t>
            </w:r>
          </w:p>
        </w:tc>
        <w:tc>
          <w:tcPr>
            <w:tcW w:w="1323" w:type="pct"/>
            <w:shd w:val="clear" w:color="auto" w:fill="auto"/>
            <w:vAlign w:val="center"/>
          </w:tcPr>
          <w:p w14:paraId="2089EF0D">
            <w:pPr>
              <w:pStyle w:val="31"/>
              <w:rPr>
                <w:rFonts w:ascii="Times New Roman" w:eastAsia="宋体"/>
              </w:rPr>
            </w:pPr>
            <w:r>
              <w:rPr>
                <w:rFonts w:hint="eastAsia" w:ascii="Times New Roman" w:eastAsia="宋体"/>
              </w:rPr>
              <w:t>对区域经济发展的影响</w:t>
            </w:r>
            <w:r>
              <w:rPr>
                <w:rFonts w:ascii="Times New Roman" w:eastAsia="宋体" w:cs="Times"/>
              </w:rPr>
              <w:t>SI21</w:t>
            </w:r>
          </w:p>
        </w:tc>
        <w:tc>
          <w:tcPr>
            <w:tcW w:w="378" w:type="pct"/>
            <w:vMerge w:val="restart"/>
            <w:shd w:val="clear" w:color="auto" w:fill="auto"/>
            <w:vAlign w:val="center"/>
          </w:tcPr>
          <w:p w14:paraId="66A4978B">
            <w:pPr>
              <w:pStyle w:val="31"/>
              <w:rPr>
                <w:rFonts w:ascii="Times New Roman" w:eastAsia="宋体" w:cs="Times"/>
                <w:i/>
                <w:iCs/>
              </w:rPr>
            </w:pPr>
            <w:r>
              <w:rPr>
                <w:rFonts w:ascii="Times New Roman" w:eastAsia="宋体" w:cs="Times"/>
                <w:i/>
                <w:iCs/>
              </w:rPr>
              <w:t>i2</w:t>
            </w:r>
          </w:p>
        </w:tc>
        <w:tc>
          <w:tcPr>
            <w:tcW w:w="523" w:type="pct"/>
            <w:shd w:val="clear" w:color="auto" w:fill="auto"/>
            <w:vAlign w:val="center"/>
          </w:tcPr>
          <w:p w14:paraId="535696D2">
            <w:pPr>
              <w:pStyle w:val="31"/>
              <w:rPr>
                <w:rFonts w:ascii="Times New Roman" w:eastAsia="宋体" w:cs="Times"/>
              </w:rPr>
            </w:pPr>
            <w:r>
              <w:rPr>
                <w:rFonts w:ascii="Times New Roman" w:eastAsia="宋体" w:cs="Times"/>
              </w:rPr>
              <w:t>B11</w:t>
            </w:r>
          </w:p>
        </w:tc>
        <w:tc>
          <w:tcPr>
            <w:tcW w:w="378" w:type="pct"/>
            <w:shd w:val="clear" w:color="auto" w:fill="auto"/>
            <w:vAlign w:val="center"/>
          </w:tcPr>
          <w:p w14:paraId="3BE4E2A3">
            <w:pPr>
              <w:pStyle w:val="31"/>
              <w:rPr>
                <w:rFonts w:ascii="Times New Roman" w:eastAsia="宋体" w:cs="Times"/>
              </w:rPr>
            </w:pPr>
            <w:r>
              <w:rPr>
                <w:rFonts w:ascii="Times New Roman" w:eastAsia="宋体" w:cs="Times"/>
              </w:rPr>
              <w:t>V21</w:t>
            </w:r>
          </w:p>
        </w:tc>
        <w:tc>
          <w:tcPr>
            <w:tcW w:w="1976" w:type="pct"/>
            <w:shd w:val="clear" w:color="auto" w:fill="auto"/>
            <w:vAlign w:val="center"/>
          </w:tcPr>
          <w:p w14:paraId="56D753B7">
            <w:pPr>
              <w:pStyle w:val="31"/>
              <w:rPr>
                <w:rFonts w:ascii="Times New Roman" w:eastAsia="宋体"/>
              </w:rPr>
            </w:pPr>
            <w:r>
              <w:rPr>
                <w:rFonts w:hint="eastAsia" w:ascii="Times New Roman" w:eastAsia="宋体"/>
              </w:rPr>
              <w:t xml:space="preserve">项目对区域居民收入及生活水平提高的显著程度 </w:t>
            </w:r>
          </w:p>
        </w:tc>
      </w:tr>
      <w:tr w14:paraId="44A8D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422" w:type="pct"/>
            <w:vMerge w:val="continue"/>
            <w:vAlign w:val="center"/>
          </w:tcPr>
          <w:p w14:paraId="0A137655">
            <w:pPr>
              <w:pStyle w:val="31"/>
              <w:rPr>
                <w:rFonts w:ascii="Times New Roman" w:eastAsia="宋体"/>
              </w:rPr>
            </w:pPr>
          </w:p>
        </w:tc>
        <w:tc>
          <w:tcPr>
            <w:tcW w:w="1323" w:type="pct"/>
            <w:shd w:val="clear" w:color="auto" w:fill="auto"/>
            <w:vAlign w:val="center"/>
          </w:tcPr>
          <w:p w14:paraId="27AF4CC8">
            <w:pPr>
              <w:pStyle w:val="31"/>
              <w:rPr>
                <w:rFonts w:ascii="Times New Roman" w:eastAsia="宋体"/>
              </w:rPr>
            </w:pPr>
            <w:r>
              <w:rPr>
                <w:rFonts w:hint="eastAsia" w:ascii="Times New Roman" w:eastAsia="宋体"/>
              </w:rPr>
              <w:t>改善公共卫生环境的能力</w:t>
            </w:r>
            <w:r>
              <w:rPr>
                <w:rFonts w:ascii="Times New Roman" w:eastAsia="宋体"/>
              </w:rPr>
              <w:t>SI22</w:t>
            </w:r>
          </w:p>
        </w:tc>
        <w:tc>
          <w:tcPr>
            <w:tcW w:w="378" w:type="pct"/>
            <w:vMerge w:val="continue"/>
            <w:vAlign w:val="center"/>
          </w:tcPr>
          <w:p w14:paraId="0B216D73">
            <w:pPr>
              <w:pStyle w:val="31"/>
              <w:rPr>
                <w:rFonts w:ascii="Times New Roman" w:eastAsia="宋体"/>
                <w:i/>
                <w:iCs/>
              </w:rPr>
            </w:pPr>
          </w:p>
        </w:tc>
        <w:tc>
          <w:tcPr>
            <w:tcW w:w="523" w:type="pct"/>
            <w:shd w:val="clear" w:color="auto" w:fill="auto"/>
            <w:vAlign w:val="center"/>
          </w:tcPr>
          <w:p w14:paraId="1C70919F">
            <w:pPr>
              <w:pStyle w:val="31"/>
              <w:rPr>
                <w:rFonts w:ascii="Times New Roman" w:eastAsia="宋体" w:cs="Times"/>
              </w:rPr>
            </w:pPr>
            <w:r>
              <w:rPr>
                <w:rFonts w:ascii="Times New Roman" w:eastAsia="宋体" w:cs="Times"/>
              </w:rPr>
              <w:t>B12</w:t>
            </w:r>
          </w:p>
        </w:tc>
        <w:tc>
          <w:tcPr>
            <w:tcW w:w="378" w:type="pct"/>
            <w:shd w:val="clear" w:color="auto" w:fill="auto"/>
            <w:vAlign w:val="center"/>
          </w:tcPr>
          <w:p w14:paraId="258F471F">
            <w:pPr>
              <w:pStyle w:val="31"/>
              <w:rPr>
                <w:rFonts w:ascii="Times New Roman" w:eastAsia="宋体" w:cs="Times"/>
              </w:rPr>
            </w:pPr>
            <w:r>
              <w:rPr>
                <w:rFonts w:ascii="Times New Roman" w:eastAsia="宋体" w:cs="Times"/>
              </w:rPr>
              <w:t>V22</w:t>
            </w:r>
          </w:p>
        </w:tc>
        <w:tc>
          <w:tcPr>
            <w:tcW w:w="1976" w:type="pct"/>
            <w:shd w:val="clear" w:color="auto" w:fill="auto"/>
            <w:vAlign w:val="center"/>
          </w:tcPr>
          <w:p w14:paraId="04A8393F">
            <w:pPr>
              <w:pStyle w:val="31"/>
              <w:rPr>
                <w:rFonts w:ascii="Times New Roman" w:eastAsia="宋体"/>
              </w:rPr>
            </w:pPr>
            <w:r>
              <w:rPr>
                <w:rFonts w:hint="eastAsia" w:ascii="Times New Roman" w:eastAsia="宋体"/>
              </w:rPr>
              <w:t xml:space="preserve">项目对改善周围公共公共卫生环境（如绿化，排污方式等）所采取的措施的有效性和后期操作制度的有效及合理程度 </w:t>
            </w:r>
          </w:p>
        </w:tc>
      </w:tr>
      <w:tr w14:paraId="59CB5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22" w:type="pct"/>
            <w:vMerge w:val="continue"/>
            <w:vAlign w:val="center"/>
          </w:tcPr>
          <w:p w14:paraId="1C2EDBE4">
            <w:pPr>
              <w:pStyle w:val="31"/>
              <w:rPr>
                <w:rFonts w:ascii="Times New Roman" w:eastAsia="宋体"/>
              </w:rPr>
            </w:pPr>
          </w:p>
        </w:tc>
        <w:tc>
          <w:tcPr>
            <w:tcW w:w="1323" w:type="pct"/>
            <w:shd w:val="clear" w:color="auto" w:fill="auto"/>
            <w:vAlign w:val="center"/>
          </w:tcPr>
          <w:p w14:paraId="4CB6807C">
            <w:pPr>
              <w:pStyle w:val="31"/>
              <w:rPr>
                <w:rFonts w:ascii="Times New Roman" w:eastAsia="宋体"/>
              </w:rPr>
            </w:pPr>
            <w:r>
              <w:rPr>
                <w:rFonts w:hint="eastAsia" w:ascii="Times New Roman" w:eastAsia="宋体"/>
              </w:rPr>
              <w:t>与周围环境的协调性</w:t>
            </w:r>
            <w:r>
              <w:rPr>
                <w:rFonts w:ascii="Times New Roman" w:eastAsia="宋体"/>
              </w:rPr>
              <w:t>SI23</w:t>
            </w:r>
          </w:p>
        </w:tc>
        <w:tc>
          <w:tcPr>
            <w:tcW w:w="378" w:type="pct"/>
            <w:vMerge w:val="continue"/>
            <w:vAlign w:val="center"/>
          </w:tcPr>
          <w:p w14:paraId="106BF9E7">
            <w:pPr>
              <w:pStyle w:val="31"/>
              <w:rPr>
                <w:rFonts w:ascii="Times New Roman" w:eastAsia="宋体"/>
                <w:i/>
                <w:iCs/>
              </w:rPr>
            </w:pPr>
          </w:p>
        </w:tc>
        <w:tc>
          <w:tcPr>
            <w:tcW w:w="523" w:type="pct"/>
            <w:shd w:val="clear" w:color="auto" w:fill="auto"/>
            <w:vAlign w:val="center"/>
          </w:tcPr>
          <w:p w14:paraId="195ED921">
            <w:pPr>
              <w:pStyle w:val="31"/>
              <w:rPr>
                <w:rFonts w:ascii="Times New Roman" w:eastAsia="宋体" w:cs="Times"/>
              </w:rPr>
            </w:pPr>
            <w:r>
              <w:rPr>
                <w:rFonts w:ascii="Times New Roman" w:eastAsia="宋体" w:cs="Times"/>
              </w:rPr>
              <w:t>B13</w:t>
            </w:r>
          </w:p>
        </w:tc>
        <w:tc>
          <w:tcPr>
            <w:tcW w:w="378" w:type="pct"/>
            <w:shd w:val="clear" w:color="auto" w:fill="auto"/>
            <w:vAlign w:val="center"/>
          </w:tcPr>
          <w:p w14:paraId="66BC8208">
            <w:pPr>
              <w:pStyle w:val="31"/>
              <w:rPr>
                <w:rFonts w:ascii="Times New Roman" w:eastAsia="宋体" w:cs="Times"/>
              </w:rPr>
            </w:pPr>
            <w:r>
              <w:rPr>
                <w:rFonts w:ascii="Times New Roman" w:eastAsia="宋体" w:cs="Times"/>
              </w:rPr>
              <w:t>V23</w:t>
            </w:r>
          </w:p>
        </w:tc>
        <w:tc>
          <w:tcPr>
            <w:tcW w:w="1976" w:type="pct"/>
            <w:shd w:val="clear" w:color="auto" w:fill="auto"/>
            <w:vAlign w:val="center"/>
          </w:tcPr>
          <w:p w14:paraId="68D54BD7">
            <w:pPr>
              <w:pStyle w:val="31"/>
              <w:rPr>
                <w:rFonts w:ascii="Times New Roman" w:eastAsia="宋体"/>
              </w:rPr>
            </w:pPr>
            <w:r>
              <w:rPr>
                <w:rFonts w:hint="eastAsia" w:ascii="Times New Roman" w:eastAsia="宋体"/>
              </w:rPr>
              <w:t>考虑项目运营后与周围社会环境的协调匹配程度</w:t>
            </w:r>
          </w:p>
        </w:tc>
      </w:tr>
      <w:tr w14:paraId="01F17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22" w:type="pct"/>
            <w:vMerge w:val="continue"/>
            <w:vAlign w:val="center"/>
          </w:tcPr>
          <w:p w14:paraId="68B93C67">
            <w:pPr>
              <w:pStyle w:val="31"/>
              <w:rPr>
                <w:rFonts w:ascii="Times New Roman" w:eastAsia="宋体"/>
              </w:rPr>
            </w:pPr>
          </w:p>
        </w:tc>
        <w:tc>
          <w:tcPr>
            <w:tcW w:w="1323" w:type="pct"/>
            <w:shd w:val="clear" w:color="auto" w:fill="auto"/>
            <w:vAlign w:val="center"/>
          </w:tcPr>
          <w:p w14:paraId="254F231F">
            <w:pPr>
              <w:pStyle w:val="31"/>
              <w:rPr>
                <w:rFonts w:ascii="Times New Roman" w:eastAsia="宋体"/>
              </w:rPr>
            </w:pPr>
            <w:r>
              <w:rPr>
                <w:rFonts w:hint="eastAsia" w:ascii="Times New Roman" w:eastAsia="宋体"/>
              </w:rPr>
              <w:t>提供就业机会的能力</w:t>
            </w:r>
            <w:r>
              <w:rPr>
                <w:rFonts w:ascii="Times New Roman" w:eastAsia="宋体"/>
              </w:rPr>
              <w:t>SI24</w:t>
            </w:r>
          </w:p>
        </w:tc>
        <w:tc>
          <w:tcPr>
            <w:tcW w:w="378" w:type="pct"/>
            <w:vMerge w:val="continue"/>
            <w:vAlign w:val="center"/>
          </w:tcPr>
          <w:p w14:paraId="68031EB9">
            <w:pPr>
              <w:pStyle w:val="31"/>
              <w:rPr>
                <w:rFonts w:ascii="Times New Roman" w:eastAsia="宋体"/>
                <w:i/>
                <w:iCs/>
              </w:rPr>
            </w:pPr>
          </w:p>
        </w:tc>
        <w:tc>
          <w:tcPr>
            <w:tcW w:w="523" w:type="pct"/>
            <w:shd w:val="clear" w:color="auto" w:fill="auto"/>
            <w:vAlign w:val="center"/>
          </w:tcPr>
          <w:p w14:paraId="5ABE7D77">
            <w:pPr>
              <w:pStyle w:val="31"/>
              <w:rPr>
                <w:rFonts w:ascii="Times New Roman" w:eastAsia="宋体" w:cs="Times"/>
              </w:rPr>
            </w:pPr>
            <w:r>
              <w:rPr>
                <w:rFonts w:ascii="Times New Roman" w:eastAsia="宋体" w:cs="Times"/>
              </w:rPr>
              <w:t>B14</w:t>
            </w:r>
          </w:p>
        </w:tc>
        <w:tc>
          <w:tcPr>
            <w:tcW w:w="378" w:type="pct"/>
            <w:shd w:val="clear" w:color="auto" w:fill="auto"/>
            <w:vAlign w:val="center"/>
          </w:tcPr>
          <w:p w14:paraId="58E02B66">
            <w:pPr>
              <w:pStyle w:val="31"/>
              <w:rPr>
                <w:rFonts w:ascii="Times New Roman" w:eastAsia="宋体" w:cs="Times"/>
              </w:rPr>
            </w:pPr>
            <w:r>
              <w:rPr>
                <w:rFonts w:ascii="Times New Roman" w:eastAsia="宋体" w:cs="Times"/>
              </w:rPr>
              <w:t>V24</w:t>
            </w:r>
          </w:p>
        </w:tc>
        <w:tc>
          <w:tcPr>
            <w:tcW w:w="1976" w:type="pct"/>
            <w:shd w:val="clear" w:color="auto" w:fill="auto"/>
            <w:vAlign w:val="center"/>
          </w:tcPr>
          <w:p w14:paraId="2AEDDAD9">
            <w:pPr>
              <w:pStyle w:val="31"/>
              <w:rPr>
                <w:rFonts w:ascii="Times New Roman" w:eastAsia="宋体"/>
              </w:rPr>
            </w:pPr>
            <w:r>
              <w:rPr>
                <w:rFonts w:hint="eastAsia" w:ascii="Times New Roman" w:eastAsia="宋体"/>
              </w:rPr>
              <w:t>实际提供的就业岗位量与同行业提供就业机会平均水平的比值作为主要参考值</w:t>
            </w:r>
          </w:p>
        </w:tc>
      </w:tr>
      <w:tr w14:paraId="50811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422" w:type="pct"/>
            <w:vMerge w:val="continue"/>
            <w:vAlign w:val="center"/>
          </w:tcPr>
          <w:p w14:paraId="271A9844">
            <w:pPr>
              <w:pStyle w:val="31"/>
              <w:rPr>
                <w:rFonts w:ascii="Times New Roman" w:eastAsia="宋体"/>
              </w:rPr>
            </w:pPr>
          </w:p>
        </w:tc>
        <w:tc>
          <w:tcPr>
            <w:tcW w:w="1323" w:type="pct"/>
            <w:shd w:val="clear" w:color="auto" w:fill="auto"/>
            <w:vAlign w:val="center"/>
          </w:tcPr>
          <w:p w14:paraId="42504099">
            <w:pPr>
              <w:pStyle w:val="31"/>
              <w:rPr>
                <w:rFonts w:ascii="Times New Roman" w:eastAsia="宋体"/>
              </w:rPr>
            </w:pPr>
            <w:r>
              <w:rPr>
                <w:rFonts w:hint="eastAsia" w:ascii="Times New Roman" w:eastAsia="宋体"/>
              </w:rPr>
              <w:t>区域其它活动提供配套设施的能力</w:t>
            </w:r>
            <w:r>
              <w:rPr>
                <w:rFonts w:ascii="Times New Roman" w:eastAsia="宋体"/>
              </w:rPr>
              <w:t>SI25</w:t>
            </w:r>
          </w:p>
        </w:tc>
        <w:tc>
          <w:tcPr>
            <w:tcW w:w="378" w:type="pct"/>
            <w:vMerge w:val="continue"/>
            <w:vAlign w:val="center"/>
          </w:tcPr>
          <w:p w14:paraId="1BCAFA89">
            <w:pPr>
              <w:pStyle w:val="31"/>
              <w:rPr>
                <w:rFonts w:ascii="Times New Roman" w:eastAsia="宋体"/>
                <w:i/>
                <w:iCs/>
              </w:rPr>
            </w:pPr>
          </w:p>
        </w:tc>
        <w:tc>
          <w:tcPr>
            <w:tcW w:w="523" w:type="pct"/>
            <w:shd w:val="clear" w:color="auto" w:fill="auto"/>
            <w:vAlign w:val="center"/>
          </w:tcPr>
          <w:p w14:paraId="54FA2226">
            <w:pPr>
              <w:pStyle w:val="31"/>
              <w:rPr>
                <w:rFonts w:ascii="Times New Roman" w:eastAsia="宋体" w:cs="Times"/>
              </w:rPr>
            </w:pPr>
            <w:r>
              <w:rPr>
                <w:rFonts w:ascii="Times New Roman" w:eastAsia="宋体" w:cs="Times"/>
              </w:rPr>
              <w:t>B15</w:t>
            </w:r>
          </w:p>
        </w:tc>
        <w:tc>
          <w:tcPr>
            <w:tcW w:w="378" w:type="pct"/>
            <w:shd w:val="clear" w:color="auto" w:fill="auto"/>
            <w:vAlign w:val="center"/>
          </w:tcPr>
          <w:p w14:paraId="1AFCF77B">
            <w:pPr>
              <w:pStyle w:val="31"/>
              <w:rPr>
                <w:rFonts w:ascii="Times New Roman" w:eastAsia="宋体" w:cs="Times"/>
              </w:rPr>
            </w:pPr>
            <w:r>
              <w:rPr>
                <w:rFonts w:ascii="Times New Roman" w:eastAsia="宋体" w:cs="Times"/>
              </w:rPr>
              <w:t>V25</w:t>
            </w:r>
          </w:p>
        </w:tc>
        <w:tc>
          <w:tcPr>
            <w:tcW w:w="1976" w:type="pct"/>
            <w:shd w:val="clear" w:color="auto" w:fill="auto"/>
            <w:vAlign w:val="center"/>
          </w:tcPr>
          <w:p w14:paraId="75AEDDD5">
            <w:pPr>
              <w:pStyle w:val="31"/>
              <w:rPr>
                <w:rFonts w:ascii="Times New Roman" w:eastAsia="宋体"/>
              </w:rPr>
            </w:pPr>
            <w:r>
              <w:rPr>
                <w:rFonts w:hint="eastAsia" w:ascii="Times New Roman" w:eastAsia="宋体"/>
              </w:rPr>
              <w:t>评价运营后对周围居民及其它经济活动提供的便利设施及制定的操作制度的合理及有效程度</w:t>
            </w:r>
          </w:p>
        </w:tc>
      </w:tr>
      <w:tr w14:paraId="2C384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22" w:type="pct"/>
            <w:vMerge w:val="continue"/>
            <w:vAlign w:val="center"/>
          </w:tcPr>
          <w:p w14:paraId="04783029">
            <w:pPr>
              <w:pStyle w:val="31"/>
              <w:rPr>
                <w:rFonts w:ascii="Times New Roman" w:eastAsia="宋体"/>
              </w:rPr>
            </w:pPr>
          </w:p>
        </w:tc>
        <w:tc>
          <w:tcPr>
            <w:tcW w:w="1323" w:type="pct"/>
            <w:shd w:val="clear" w:color="auto" w:fill="auto"/>
            <w:vAlign w:val="center"/>
          </w:tcPr>
          <w:p w14:paraId="11DC471A">
            <w:pPr>
              <w:pStyle w:val="31"/>
              <w:rPr>
                <w:rFonts w:ascii="Times New Roman" w:eastAsia="宋体"/>
              </w:rPr>
            </w:pPr>
            <w:r>
              <w:rPr>
                <w:rFonts w:hint="eastAsia" w:ascii="Times New Roman" w:eastAsia="宋体"/>
              </w:rPr>
              <w:t>对周边居民的干扰程度</w:t>
            </w:r>
            <w:r>
              <w:rPr>
                <w:rFonts w:ascii="Times New Roman" w:eastAsia="宋体"/>
              </w:rPr>
              <w:t>SI26</w:t>
            </w:r>
          </w:p>
        </w:tc>
        <w:tc>
          <w:tcPr>
            <w:tcW w:w="378" w:type="pct"/>
            <w:vMerge w:val="continue"/>
            <w:vAlign w:val="center"/>
          </w:tcPr>
          <w:p w14:paraId="4AA05862">
            <w:pPr>
              <w:pStyle w:val="31"/>
              <w:rPr>
                <w:rFonts w:ascii="Times New Roman" w:eastAsia="宋体"/>
                <w:i/>
                <w:iCs/>
              </w:rPr>
            </w:pPr>
          </w:p>
        </w:tc>
        <w:tc>
          <w:tcPr>
            <w:tcW w:w="523" w:type="pct"/>
            <w:shd w:val="clear" w:color="auto" w:fill="auto"/>
            <w:vAlign w:val="center"/>
          </w:tcPr>
          <w:p w14:paraId="046B7A54">
            <w:pPr>
              <w:pStyle w:val="31"/>
              <w:rPr>
                <w:rFonts w:ascii="Times New Roman" w:eastAsia="宋体" w:cs="Times"/>
              </w:rPr>
            </w:pPr>
            <w:r>
              <w:rPr>
                <w:rFonts w:ascii="Times New Roman" w:eastAsia="宋体" w:cs="Times"/>
              </w:rPr>
              <w:t>B16</w:t>
            </w:r>
          </w:p>
        </w:tc>
        <w:tc>
          <w:tcPr>
            <w:tcW w:w="378" w:type="pct"/>
            <w:shd w:val="clear" w:color="auto" w:fill="auto"/>
            <w:vAlign w:val="center"/>
          </w:tcPr>
          <w:p w14:paraId="2A408A03">
            <w:pPr>
              <w:pStyle w:val="31"/>
              <w:rPr>
                <w:rFonts w:ascii="Times New Roman" w:eastAsia="宋体" w:cs="Times"/>
              </w:rPr>
            </w:pPr>
            <w:r>
              <w:rPr>
                <w:rFonts w:ascii="Times New Roman" w:eastAsia="宋体" w:cs="Times"/>
              </w:rPr>
              <w:t>V26</w:t>
            </w:r>
          </w:p>
        </w:tc>
        <w:tc>
          <w:tcPr>
            <w:tcW w:w="1976" w:type="pct"/>
            <w:shd w:val="clear" w:color="auto" w:fill="auto"/>
            <w:vAlign w:val="center"/>
          </w:tcPr>
          <w:p w14:paraId="08FB4FFD">
            <w:pPr>
              <w:pStyle w:val="31"/>
              <w:rPr>
                <w:rFonts w:ascii="Times New Roman" w:eastAsia="宋体"/>
              </w:rPr>
            </w:pPr>
            <w:r>
              <w:rPr>
                <w:rFonts w:hint="eastAsia" w:ascii="Times New Roman" w:eastAsia="宋体"/>
              </w:rPr>
              <w:t xml:space="preserve">对运营后可能造成扰民的情况所采取的措施的有效程度评价 </w:t>
            </w:r>
          </w:p>
        </w:tc>
      </w:tr>
      <w:tr w14:paraId="4EA39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422" w:type="pct"/>
            <w:vMerge w:val="continue"/>
            <w:vAlign w:val="center"/>
          </w:tcPr>
          <w:p w14:paraId="061D86E7">
            <w:pPr>
              <w:pStyle w:val="31"/>
              <w:rPr>
                <w:rFonts w:ascii="Times New Roman" w:eastAsia="宋体"/>
              </w:rPr>
            </w:pPr>
          </w:p>
        </w:tc>
        <w:tc>
          <w:tcPr>
            <w:tcW w:w="1323" w:type="pct"/>
            <w:shd w:val="clear" w:color="auto" w:fill="auto"/>
            <w:vAlign w:val="center"/>
          </w:tcPr>
          <w:p w14:paraId="35CCF282">
            <w:pPr>
              <w:pStyle w:val="31"/>
              <w:rPr>
                <w:rFonts w:ascii="Times New Roman" w:eastAsia="宋体"/>
              </w:rPr>
            </w:pPr>
            <w:r>
              <w:rPr>
                <w:rFonts w:hint="eastAsia" w:ascii="Times New Roman" w:eastAsia="宋体"/>
              </w:rPr>
              <w:t>对自然、历史、文化遗产的保护程度</w:t>
            </w:r>
            <w:r>
              <w:rPr>
                <w:rFonts w:ascii="Times New Roman" w:eastAsia="宋体"/>
              </w:rPr>
              <w:t>SI27</w:t>
            </w:r>
          </w:p>
        </w:tc>
        <w:tc>
          <w:tcPr>
            <w:tcW w:w="378" w:type="pct"/>
            <w:vMerge w:val="continue"/>
            <w:vAlign w:val="center"/>
          </w:tcPr>
          <w:p w14:paraId="12802D9C">
            <w:pPr>
              <w:pStyle w:val="31"/>
              <w:rPr>
                <w:rFonts w:ascii="Times New Roman" w:eastAsia="宋体"/>
                <w:i/>
                <w:iCs/>
              </w:rPr>
            </w:pPr>
          </w:p>
        </w:tc>
        <w:tc>
          <w:tcPr>
            <w:tcW w:w="523" w:type="pct"/>
            <w:shd w:val="clear" w:color="auto" w:fill="auto"/>
            <w:vAlign w:val="center"/>
          </w:tcPr>
          <w:p w14:paraId="5A627EFB">
            <w:pPr>
              <w:pStyle w:val="31"/>
              <w:rPr>
                <w:rFonts w:ascii="Times New Roman" w:eastAsia="宋体" w:cs="Times"/>
              </w:rPr>
            </w:pPr>
            <w:r>
              <w:rPr>
                <w:rFonts w:ascii="Times New Roman" w:eastAsia="宋体" w:cs="Times"/>
              </w:rPr>
              <w:t>B17</w:t>
            </w:r>
          </w:p>
        </w:tc>
        <w:tc>
          <w:tcPr>
            <w:tcW w:w="378" w:type="pct"/>
            <w:shd w:val="clear" w:color="auto" w:fill="auto"/>
            <w:vAlign w:val="center"/>
          </w:tcPr>
          <w:p w14:paraId="0FAE3DB3">
            <w:pPr>
              <w:pStyle w:val="31"/>
              <w:rPr>
                <w:rFonts w:ascii="Times New Roman" w:eastAsia="宋体" w:cs="Times"/>
              </w:rPr>
            </w:pPr>
            <w:r>
              <w:rPr>
                <w:rFonts w:ascii="Times New Roman" w:eastAsia="宋体" w:cs="Times"/>
              </w:rPr>
              <w:t>V27</w:t>
            </w:r>
          </w:p>
        </w:tc>
        <w:tc>
          <w:tcPr>
            <w:tcW w:w="1976" w:type="pct"/>
            <w:shd w:val="clear" w:color="auto" w:fill="auto"/>
            <w:vAlign w:val="center"/>
          </w:tcPr>
          <w:p w14:paraId="2A81BFB0">
            <w:pPr>
              <w:pStyle w:val="31"/>
              <w:rPr>
                <w:rFonts w:ascii="Times New Roman" w:eastAsia="宋体"/>
              </w:rPr>
            </w:pPr>
            <w:r>
              <w:rPr>
                <w:rFonts w:hint="eastAsia" w:ascii="Times New Roman" w:eastAsia="宋体"/>
              </w:rPr>
              <w:t xml:space="preserve">评价后期使用维护中对旧工业区产生的自然、历史、文化等遗产所采取的措施的合理及有效程度 </w:t>
            </w:r>
          </w:p>
        </w:tc>
      </w:tr>
      <w:tr w14:paraId="4A363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22" w:type="pct"/>
            <w:vMerge w:val="continue"/>
            <w:vAlign w:val="center"/>
          </w:tcPr>
          <w:p w14:paraId="75E1EE8A">
            <w:pPr>
              <w:pStyle w:val="31"/>
              <w:rPr>
                <w:rFonts w:ascii="Times New Roman" w:eastAsia="宋体"/>
              </w:rPr>
            </w:pPr>
          </w:p>
        </w:tc>
        <w:tc>
          <w:tcPr>
            <w:tcW w:w="1323" w:type="pct"/>
            <w:shd w:val="clear" w:color="auto" w:fill="auto"/>
            <w:vAlign w:val="center"/>
          </w:tcPr>
          <w:p w14:paraId="77891CEA">
            <w:pPr>
              <w:pStyle w:val="31"/>
              <w:rPr>
                <w:rFonts w:ascii="Times New Roman" w:eastAsia="宋体"/>
              </w:rPr>
            </w:pPr>
            <w:r>
              <w:rPr>
                <w:rFonts w:hint="eastAsia" w:ascii="Times New Roman" w:eastAsia="宋体"/>
              </w:rPr>
              <w:t>对区域形象的能力提升</w:t>
            </w:r>
            <w:r>
              <w:rPr>
                <w:rFonts w:ascii="Times New Roman" w:eastAsia="宋体"/>
              </w:rPr>
              <w:t>SI28</w:t>
            </w:r>
          </w:p>
        </w:tc>
        <w:tc>
          <w:tcPr>
            <w:tcW w:w="378" w:type="pct"/>
            <w:vMerge w:val="continue"/>
            <w:vAlign w:val="center"/>
          </w:tcPr>
          <w:p w14:paraId="622735B7">
            <w:pPr>
              <w:pStyle w:val="31"/>
              <w:rPr>
                <w:rFonts w:ascii="Times New Roman" w:eastAsia="宋体"/>
                <w:i/>
                <w:iCs/>
              </w:rPr>
            </w:pPr>
          </w:p>
        </w:tc>
        <w:tc>
          <w:tcPr>
            <w:tcW w:w="523" w:type="pct"/>
            <w:shd w:val="clear" w:color="auto" w:fill="auto"/>
            <w:vAlign w:val="center"/>
          </w:tcPr>
          <w:p w14:paraId="15449F4D">
            <w:pPr>
              <w:pStyle w:val="31"/>
              <w:rPr>
                <w:rFonts w:ascii="Times New Roman" w:eastAsia="宋体" w:cs="Times"/>
              </w:rPr>
            </w:pPr>
            <w:r>
              <w:rPr>
                <w:rFonts w:ascii="Times New Roman" w:eastAsia="宋体" w:cs="Times"/>
              </w:rPr>
              <w:t>B18</w:t>
            </w:r>
          </w:p>
        </w:tc>
        <w:tc>
          <w:tcPr>
            <w:tcW w:w="378" w:type="pct"/>
            <w:shd w:val="clear" w:color="auto" w:fill="auto"/>
            <w:vAlign w:val="center"/>
          </w:tcPr>
          <w:p w14:paraId="049FFD15">
            <w:pPr>
              <w:pStyle w:val="31"/>
              <w:rPr>
                <w:rFonts w:ascii="Times New Roman" w:eastAsia="宋体" w:cs="Times"/>
              </w:rPr>
            </w:pPr>
            <w:r>
              <w:rPr>
                <w:rFonts w:ascii="Times New Roman" w:eastAsia="宋体" w:cs="Times"/>
              </w:rPr>
              <w:t>V28</w:t>
            </w:r>
          </w:p>
        </w:tc>
        <w:tc>
          <w:tcPr>
            <w:tcW w:w="1976" w:type="pct"/>
            <w:shd w:val="clear" w:color="auto" w:fill="auto"/>
            <w:vAlign w:val="center"/>
          </w:tcPr>
          <w:p w14:paraId="08BCB346">
            <w:pPr>
              <w:pStyle w:val="31"/>
              <w:rPr>
                <w:rFonts w:ascii="Times New Roman" w:eastAsia="宋体"/>
              </w:rPr>
            </w:pPr>
            <w:r>
              <w:rPr>
                <w:rFonts w:hint="eastAsia" w:ascii="Times New Roman" w:eastAsia="宋体"/>
              </w:rPr>
              <w:t>考虑项目运营对区域文明化程度等的影响评价</w:t>
            </w:r>
          </w:p>
        </w:tc>
      </w:tr>
      <w:tr w14:paraId="1910E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22" w:type="pct"/>
            <w:vMerge w:val="restart"/>
            <w:shd w:val="clear" w:color="auto" w:fill="auto"/>
            <w:vAlign w:val="center"/>
          </w:tcPr>
          <w:p w14:paraId="1C05FCB9">
            <w:pPr>
              <w:pStyle w:val="31"/>
              <w:rPr>
                <w:rFonts w:ascii="Times New Roman" w:eastAsia="宋体"/>
              </w:rPr>
            </w:pPr>
            <w:r>
              <w:rPr>
                <w:rFonts w:hint="eastAsia" w:ascii="Times New Roman" w:eastAsia="宋体"/>
              </w:rPr>
              <w:t>环境指标</w:t>
            </w:r>
            <w:r>
              <w:rPr>
                <w:rFonts w:ascii="Times New Roman" w:eastAsia="宋体" w:cs="Times"/>
              </w:rPr>
              <w:t>SI3</w:t>
            </w:r>
          </w:p>
        </w:tc>
        <w:tc>
          <w:tcPr>
            <w:tcW w:w="1323" w:type="pct"/>
            <w:shd w:val="clear" w:color="auto" w:fill="auto"/>
            <w:vAlign w:val="center"/>
          </w:tcPr>
          <w:p w14:paraId="2CBD15FB">
            <w:pPr>
              <w:pStyle w:val="31"/>
              <w:rPr>
                <w:rFonts w:ascii="Times New Roman" w:eastAsia="宋体"/>
              </w:rPr>
            </w:pPr>
            <w:r>
              <w:rPr>
                <w:rFonts w:hint="eastAsia" w:ascii="Times New Roman" w:eastAsia="宋体"/>
              </w:rPr>
              <w:t>与区域地理环境的结合程度</w:t>
            </w:r>
            <w:r>
              <w:rPr>
                <w:rFonts w:ascii="Times New Roman" w:eastAsia="宋体"/>
              </w:rPr>
              <w:t>SI31</w:t>
            </w:r>
          </w:p>
        </w:tc>
        <w:tc>
          <w:tcPr>
            <w:tcW w:w="378" w:type="pct"/>
            <w:vMerge w:val="restart"/>
            <w:shd w:val="clear" w:color="auto" w:fill="auto"/>
            <w:vAlign w:val="center"/>
          </w:tcPr>
          <w:p w14:paraId="6D0110AD">
            <w:pPr>
              <w:pStyle w:val="31"/>
              <w:rPr>
                <w:rFonts w:ascii="Times New Roman" w:eastAsia="宋体" w:cs="Times"/>
                <w:i/>
                <w:iCs/>
              </w:rPr>
            </w:pPr>
            <w:r>
              <w:rPr>
                <w:rFonts w:ascii="Times New Roman" w:eastAsia="宋体" w:cs="Times"/>
                <w:i/>
                <w:iCs/>
              </w:rPr>
              <w:t>i3</w:t>
            </w:r>
          </w:p>
        </w:tc>
        <w:tc>
          <w:tcPr>
            <w:tcW w:w="523" w:type="pct"/>
            <w:shd w:val="clear" w:color="auto" w:fill="auto"/>
            <w:vAlign w:val="center"/>
          </w:tcPr>
          <w:p w14:paraId="5CE9BC86">
            <w:pPr>
              <w:pStyle w:val="31"/>
              <w:rPr>
                <w:rFonts w:ascii="Times New Roman" w:eastAsia="宋体" w:cs="Times"/>
              </w:rPr>
            </w:pPr>
            <w:r>
              <w:rPr>
                <w:rFonts w:ascii="Times New Roman" w:eastAsia="宋体" w:cs="Times"/>
              </w:rPr>
              <w:t>C11</w:t>
            </w:r>
          </w:p>
        </w:tc>
        <w:tc>
          <w:tcPr>
            <w:tcW w:w="378" w:type="pct"/>
            <w:shd w:val="clear" w:color="auto" w:fill="auto"/>
            <w:vAlign w:val="center"/>
          </w:tcPr>
          <w:p w14:paraId="0DF24E4E">
            <w:pPr>
              <w:pStyle w:val="31"/>
              <w:rPr>
                <w:rFonts w:ascii="Times New Roman" w:eastAsia="宋体" w:cs="Times"/>
              </w:rPr>
            </w:pPr>
            <w:r>
              <w:rPr>
                <w:rFonts w:ascii="Times New Roman" w:eastAsia="宋体" w:cs="Times"/>
              </w:rPr>
              <w:t>V31</w:t>
            </w:r>
          </w:p>
        </w:tc>
        <w:tc>
          <w:tcPr>
            <w:tcW w:w="1976" w:type="pct"/>
            <w:shd w:val="clear" w:color="auto" w:fill="auto"/>
            <w:vAlign w:val="center"/>
          </w:tcPr>
          <w:p w14:paraId="23B2AFD9">
            <w:pPr>
              <w:pStyle w:val="31"/>
              <w:rPr>
                <w:rFonts w:ascii="Times New Roman" w:eastAsia="宋体"/>
              </w:rPr>
            </w:pPr>
            <w:r>
              <w:rPr>
                <w:rFonts w:hint="eastAsia" w:ascii="Times New Roman" w:eastAsia="宋体"/>
              </w:rPr>
              <w:t xml:space="preserve">考虑因地制宜的原则，评价对优势地理因素的利用程度以及与地理环境的协调程度 </w:t>
            </w:r>
          </w:p>
        </w:tc>
      </w:tr>
      <w:tr w14:paraId="4F45B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22" w:type="pct"/>
            <w:vMerge w:val="continue"/>
            <w:vAlign w:val="center"/>
          </w:tcPr>
          <w:p w14:paraId="37F1FDBB">
            <w:pPr>
              <w:pStyle w:val="31"/>
              <w:rPr>
                <w:rFonts w:ascii="Times New Roman" w:eastAsia="宋体"/>
              </w:rPr>
            </w:pPr>
          </w:p>
        </w:tc>
        <w:tc>
          <w:tcPr>
            <w:tcW w:w="1323" w:type="pct"/>
            <w:shd w:val="clear" w:color="auto" w:fill="auto"/>
            <w:vAlign w:val="center"/>
          </w:tcPr>
          <w:p w14:paraId="599FB1B2">
            <w:pPr>
              <w:pStyle w:val="31"/>
              <w:rPr>
                <w:rFonts w:ascii="Times New Roman" w:eastAsia="宋体"/>
              </w:rPr>
            </w:pPr>
            <w:r>
              <w:rPr>
                <w:rFonts w:hint="eastAsia" w:ascii="Times New Roman" w:eastAsia="宋体"/>
              </w:rPr>
              <w:t>对可再生能力的利用程度</w:t>
            </w:r>
            <w:r>
              <w:rPr>
                <w:rFonts w:ascii="Times New Roman" w:eastAsia="宋体"/>
              </w:rPr>
              <w:t>SI32</w:t>
            </w:r>
          </w:p>
        </w:tc>
        <w:tc>
          <w:tcPr>
            <w:tcW w:w="378" w:type="pct"/>
            <w:vMerge w:val="continue"/>
            <w:vAlign w:val="center"/>
          </w:tcPr>
          <w:p w14:paraId="5E70CD6F">
            <w:pPr>
              <w:pStyle w:val="31"/>
              <w:rPr>
                <w:rFonts w:ascii="Times New Roman" w:eastAsia="宋体"/>
                <w:i/>
                <w:iCs/>
              </w:rPr>
            </w:pPr>
          </w:p>
        </w:tc>
        <w:tc>
          <w:tcPr>
            <w:tcW w:w="523" w:type="pct"/>
            <w:shd w:val="clear" w:color="auto" w:fill="auto"/>
            <w:vAlign w:val="center"/>
          </w:tcPr>
          <w:p w14:paraId="2885F803">
            <w:pPr>
              <w:pStyle w:val="31"/>
              <w:rPr>
                <w:rFonts w:ascii="Times New Roman" w:eastAsia="宋体" w:cs="Times"/>
              </w:rPr>
            </w:pPr>
            <w:r>
              <w:rPr>
                <w:rFonts w:ascii="Times New Roman" w:eastAsia="宋体" w:cs="Times"/>
              </w:rPr>
              <w:t>C12</w:t>
            </w:r>
          </w:p>
        </w:tc>
        <w:tc>
          <w:tcPr>
            <w:tcW w:w="378" w:type="pct"/>
            <w:shd w:val="clear" w:color="auto" w:fill="auto"/>
            <w:vAlign w:val="center"/>
          </w:tcPr>
          <w:p w14:paraId="36885904">
            <w:pPr>
              <w:pStyle w:val="31"/>
              <w:rPr>
                <w:rFonts w:ascii="Times New Roman" w:eastAsia="宋体" w:cs="Times"/>
              </w:rPr>
            </w:pPr>
            <w:r>
              <w:rPr>
                <w:rFonts w:ascii="Times New Roman" w:eastAsia="宋体" w:cs="Times"/>
              </w:rPr>
              <w:t>V32</w:t>
            </w:r>
          </w:p>
        </w:tc>
        <w:tc>
          <w:tcPr>
            <w:tcW w:w="1976" w:type="pct"/>
            <w:shd w:val="clear" w:color="auto" w:fill="auto"/>
            <w:vAlign w:val="center"/>
          </w:tcPr>
          <w:p w14:paraId="27CBC4B3">
            <w:pPr>
              <w:pStyle w:val="31"/>
              <w:rPr>
                <w:rFonts w:ascii="Times New Roman" w:eastAsia="宋体"/>
              </w:rPr>
            </w:pPr>
            <w:r>
              <w:rPr>
                <w:rFonts w:hint="eastAsia" w:ascii="Times New Roman" w:eastAsia="宋体"/>
              </w:rPr>
              <w:t>使用中对太阳能、风能、地热能等可再生能源的利用占总建筑能耗的比例</w:t>
            </w:r>
          </w:p>
        </w:tc>
      </w:tr>
      <w:tr w14:paraId="0BDDC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422" w:type="pct"/>
            <w:vMerge w:val="continue"/>
            <w:vAlign w:val="center"/>
          </w:tcPr>
          <w:p w14:paraId="41755402">
            <w:pPr>
              <w:pStyle w:val="31"/>
              <w:rPr>
                <w:rFonts w:ascii="Times New Roman" w:eastAsia="宋体"/>
              </w:rPr>
            </w:pPr>
          </w:p>
        </w:tc>
        <w:tc>
          <w:tcPr>
            <w:tcW w:w="1323" w:type="pct"/>
            <w:shd w:val="clear" w:color="auto" w:fill="auto"/>
            <w:vAlign w:val="center"/>
          </w:tcPr>
          <w:p w14:paraId="4D24B355">
            <w:pPr>
              <w:pStyle w:val="31"/>
              <w:rPr>
                <w:rFonts w:ascii="Times New Roman" w:eastAsia="宋体"/>
              </w:rPr>
            </w:pPr>
            <w:r>
              <w:rPr>
                <w:rFonts w:hint="eastAsia" w:ascii="Times New Roman" w:eastAsia="宋体"/>
              </w:rPr>
              <w:t>对可再利用或可循环材料的使用程度</w:t>
            </w:r>
            <w:r>
              <w:rPr>
                <w:rFonts w:ascii="Times New Roman" w:eastAsia="宋体"/>
              </w:rPr>
              <w:t>SI33</w:t>
            </w:r>
          </w:p>
        </w:tc>
        <w:tc>
          <w:tcPr>
            <w:tcW w:w="378" w:type="pct"/>
            <w:vMerge w:val="continue"/>
            <w:vAlign w:val="center"/>
          </w:tcPr>
          <w:p w14:paraId="14009F38">
            <w:pPr>
              <w:pStyle w:val="31"/>
              <w:rPr>
                <w:rFonts w:ascii="Times New Roman" w:eastAsia="宋体"/>
                <w:i/>
                <w:iCs/>
              </w:rPr>
            </w:pPr>
          </w:p>
        </w:tc>
        <w:tc>
          <w:tcPr>
            <w:tcW w:w="523" w:type="pct"/>
            <w:shd w:val="clear" w:color="auto" w:fill="auto"/>
            <w:vAlign w:val="center"/>
          </w:tcPr>
          <w:p w14:paraId="76E8EAED">
            <w:pPr>
              <w:pStyle w:val="31"/>
              <w:rPr>
                <w:rFonts w:ascii="Times New Roman" w:eastAsia="宋体" w:cs="Times"/>
              </w:rPr>
            </w:pPr>
            <w:r>
              <w:rPr>
                <w:rFonts w:ascii="Times New Roman" w:eastAsia="宋体" w:cs="Times"/>
              </w:rPr>
              <w:t>C13</w:t>
            </w:r>
          </w:p>
        </w:tc>
        <w:tc>
          <w:tcPr>
            <w:tcW w:w="378" w:type="pct"/>
            <w:shd w:val="clear" w:color="auto" w:fill="auto"/>
            <w:vAlign w:val="center"/>
          </w:tcPr>
          <w:p w14:paraId="60898027">
            <w:pPr>
              <w:pStyle w:val="31"/>
              <w:rPr>
                <w:rFonts w:ascii="Times New Roman" w:eastAsia="宋体" w:cs="Times"/>
              </w:rPr>
            </w:pPr>
            <w:r>
              <w:rPr>
                <w:rFonts w:ascii="Times New Roman" w:eastAsia="宋体" w:cs="Times"/>
              </w:rPr>
              <w:t>V33</w:t>
            </w:r>
          </w:p>
        </w:tc>
        <w:tc>
          <w:tcPr>
            <w:tcW w:w="1976" w:type="pct"/>
            <w:shd w:val="clear" w:color="auto" w:fill="auto"/>
            <w:vAlign w:val="center"/>
          </w:tcPr>
          <w:p w14:paraId="16065454">
            <w:pPr>
              <w:pStyle w:val="31"/>
              <w:rPr>
                <w:rFonts w:ascii="Times New Roman" w:eastAsia="宋体"/>
              </w:rPr>
            </w:pPr>
            <w:r>
              <w:rPr>
                <w:rFonts w:hint="eastAsia" w:ascii="Times New Roman" w:eastAsia="宋体"/>
              </w:rPr>
              <w:t>在保证安全及不污染环境的前提下，改造建筑对可再利用或可循环材料的选用占建筑材料总量的比例</w:t>
            </w:r>
          </w:p>
        </w:tc>
      </w:tr>
      <w:tr w14:paraId="39070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22" w:type="pct"/>
            <w:vMerge w:val="continue"/>
            <w:vAlign w:val="center"/>
          </w:tcPr>
          <w:p w14:paraId="5714BC5E">
            <w:pPr>
              <w:pStyle w:val="31"/>
              <w:rPr>
                <w:rFonts w:ascii="Times New Roman" w:eastAsia="宋体"/>
              </w:rPr>
            </w:pPr>
          </w:p>
        </w:tc>
        <w:tc>
          <w:tcPr>
            <w:tcW w:w="1323" w:type="pct"/>
            <w:shd w:val="clear" w:color="auto" w:fill="auto"/>
            <w:vAlign w:val="center"/>
          </w:tcPr>
          <w:p w14:paraId="518B4281">
            <w:pPr>
              <w:pStyle w:val="31"/>
              <w:rPr>
                <w:rFonts w:ascii="Times New Roman" w:eastAsia="宋体"/>
              </w:rPr>
            </w:pPr>
            <w:r>
              <w:rPr>
                <w:rFonts w:hint="eastAsia" w:ascii="Times New Roman" w:eastAsia="宋体"/>
              </w:rPr>
              <w:t>节能措施对总能耗的降低程度</w:t>
            </w:r>
            <w:r>
              <w:rPr>
                <w:rFonts w:ascii="Times New Roman" w:eastAsia="宋体"/>
              </w:rPr>
              <w:t>SI34</w:t>
            </w:r>
          </w:p>
        </w:tc>
        <w:tc>
          <w:tcPr>
            <w:tcW w:w="378" w:type="pct"/>
            <w:vMerge w:val="continue"/>
            <w:vAlign w:val="center"/>
          </w:tcPr>
          <w:p w14:paraId="66833F54">
            <w:pPr>
              <w:pStyle w:val="31"/>
              <w:rPr>
                <w:rFonts w:ascii="Times New Roman" w:eastAsia="宋体"/>
                <w:i/>
                <w:iCs/>
              </w:rPr>
            </w:pPr>
          </w:p>
        </w:tc>
        <w:tc>
          <w:tcPr>
            <w:tcW w:w="523" w:type="pct"/>
            <w:shd w:val="clear" w:color="auto" w:fill="auto"/>
            <w:vAlign w:val="center"/>
          </w:tcPr>
          <w:p w14:paraId="54216C01">
            <w:pPr>
              <w:pStyle w:val="31"/>
              <w:rPr>
                <w:rFonts w:ascii="Times New Roman" w:eastAsia="宋体" w:cs="Times"/>
              </w:rPr>
            </w:pPr>
            <w:r>
              <w:rPr>
                <w:rFonts w:ascii="Times New Roman" w:eastAsia="宋体" w:cs="Times"/>
              </w:rPr>
              <w:t>C14</w:t>
            </w:r>
          </w:p>
        </w:tc>
        <w:tc>
          <w:tcPr>
            <w:tcW w:w="378" w:type="pct"/>
            <w:shd w:val="clear" w:color="auto" w:fill="auto"/>
            <w:vAlign w:val="center"/>
          </w:tcPr>
          <w:p w14:paraId="2139512F">
            <w:pPr>
              <w:pStyle w:val="31"/>
              <w:rPr>
                <w:rFonts w:ascii="Times New Roman" w:eastAsia="宋体" w:cs="Times"/>
              </w:rPr>
            </w:pPr>
            <w:r>
              <w:rPr>
                <w:rFonts w:ascii="Times New Roman" w:eastAsia="宋体" w:cs="Times"/>
              </w:rPr>
              <w:t>V34</w:t>
            </w:r>
          </w:p>
        </w:tc>
        <w:tc>
          <w:tcPr>
            <w:tcW w:w="1976" w:type="pct"/>
            <w:shd w:val="clear" w:color="auto" w:fill="auto"/>
            <w:vAlign w:val="center"/>
          </w:tcPr>
          <w:p w14:paraId="2EEC445A">
            <w:pPr>
              <w:pStyle w:val="31"/>
              <w:rPr>
                <w:rFonts w:ascii="Times New Roman" w:eastAsia="宋体"/>
              </w:rPr>
            </w:pPr>
            <w:r>
              <w:rPr>
                <w:rFonts w:hint="eastAsia" w:ascii="Times New Roman" w:eastAsia="宋体"/>
              </w:rPr>
              <w:t>评价项目采取的节能措施对建筑总能耗降低的程度</w:t>
            </w:r>
          </w:p>
        </w:tc>
      </w:tr>
      <w:tr w14:paraId="5AB9A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422" w:type="pct"/>
            <w:vMerge w:val="continue"/>
            <w:vAlign w:val="center"/>
          </w:tcPr>
          <w:p w14:paraId="5DA7C164">
            <w:pPr>
              <w:pStyle w:val="31"/>
              <w:rPr>
                <w:rFonts w:ascii="Times New Roman" w:eastAsia="宋体"/>
              </w:rPr>
            </w:pPr>
          </w:p>
        </w:tc>
        <w:tc>
          <w:tcPr>
            <w:tcW w:w="1323" w:type="pct"/>
            <w:shd w:val="clear" w:color="auto" w:fill="auto"/>
            <w:vAlign w:val="center"/>
          </w:tcPr>
          <w:p w14:paraId="07B2F079">
            <w:pPr>
              <w:pStyle w:val="31"/>
              <w:rPr>
                <w:rFonts w:ascii="Times New Roman" w:eastAsia="宋体"/>
              </w:rPr>
            </w:pPr>
            <w:r>
              <w:rPr>
                <w:rFonts w:hint="eastAsia" w:ascii="Times New Roman" w:eastAsia="宋体"/>
              </w:rPr>
              <w:t>对土地资源的合理利用程度</w:t>
            </w:r>
            <w:r>
              <w:rPr>
                <w:rFonts w:ascii="Times New Roman" w:eastAsia="宋体"/>
              </w:rPr>
              <w:t>SI35</w:t>
            </w:r>
          </w:p>
        </w:tc>
        <w:tc>
          <w:tcPr>
            <w:tcW w:w="378" w:type="pct"/>
            <w:vMerge w:val="continue"/>
            <w:vAlign w:val="center"/>
          </w:tcPr>
          <w:p w14:paraId="76C00EF2">
            <w:pPr>
              <w:pStyle w:val="31"/>
              <w:rPr>
                <w:rFonts w:ascii="Times New Roman" w:eastAsia="宋体"/>
                <w:i/>
                <w:iCs/>
              </w:rPr>
            </w:pPr>
          </w:p>
        </w:tc>
        <w:tc>
          <w:tcPr>
            <w:tcW w:w="523" w:type="pct"/>
            <w:shd w:val="clear" w:color="auto" w:fill="auto"/>
            <w:vAlign w:val="center"/>
          </w:tcPr>
          <w:p w14:paraId="410A5492">
            <w:pPr>
              <w:pStyle w:val="31"/>
              <w:rPr>
                <w:rFonts w:ascii="Times New Roman" w:eastAsia="宋体" w:cs="Times"/>
              </w:rPr>
            </w:pPr>
            <w:r>
              <w:rPr>
                <w:rFonts w:ascii="Times New Roman" w:eastAsia="宋体" w:cs="Times"/>
              </w:rPr>
              <w:t>C15</w:t>
            </w:r>
          </w:p>
        </w:tc>
        <w:tc>
          <w:tcPr>
            <w:tcW w:w="378" w:type="pct"/>
            <w:shd w:val="clear" w:color="auto" w:fill="auto"/>
            <w:vAlign w:val="center"/>
          </w:tcPr>
          <w:p w14:paraId="445B4C37">
            <w:pPr>
              <w:pStyle w:val="31"/>
              <w:rPr>
                <w:rFonts w:ascii="Times New Roman" w:eastAsia="宋体" w:cs="Times"/>
              </w:rPr>
            </w:pPr>
            <w:r>
              <w:rPr>
                <w:rFonts w:ascii="Times New Roman" w:eastAsia="宋体" w:cs="Times"/>
              </w:rPr>
              <w:t>V35</w:t>
            </w:r>
          </w:p>
        </w:tc>
        <w:tc>
          <w:tcPr>
            <w:tcW w:w="1976" w:type="pct"/>
            <w:shd w:val="clear" w:color="auto" w:fill="auto"/>
            <w:vAlign w:val="center"/>
          </w:tcPr>
          <w:p w14:paraId="7D87B863">
            <w:pPr>
              <w:pStyle w:val="31"/>
              <w:rPr>
                <w:rFonts w:ascii="Times New Roman" w:eastAsia="宋体"/>
              </w:rPr>
            </w:pPr>
            <w:r>
              <w:rPr>
                <w:rFonts w:hint="eastAsia" w:ascii="Times New Roman" w:eastAsia="宋体"/>
              </w:rPr>
              <w:t xml:space="preserve">将容积率、建筑密度、人均使用面积及绿地率等作为主要参考数据，对土地资源利用的合理程度的综合评价 </w:t>
            </w:r>
          </w:p>
        </w:tc>
      </w:tr>
      <w:tr w14:paraId="1B558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22" w:type="pct"/>
            <w:vMerge w:val="continue"/>
            <w:vAlign w:val="center"/>
          </w:tcPr>
          <w:p w14:paraId="1F98022A">
            <w:pPr>
              <w:pStyle w:val="31"/>
              <w:rPr>
                <w:rFonts w:ascii="Times New Roman" w:eastAsia="宋体"/>
              </w:rPr>
            </w:pPr>
          </w:p>
        </w:tc>
        <w:tc>
          <w:tcPr>
            <w:tcW w:w="1323" w:type="pct"/>
            <w:shd w:val="clear" w:color="auto" w:fill="auto"/>
            <w:vAlign w:val="center"/>
          </w:tcPr>
          <w:p w14:paraId="2597CAF1">
            <w:pPr>
              <w:pStyle w:val="31"/>
              <w:rPr>
                <w:rFonts w:ascii="Times New Roman" w:eastAsia="宋体"/>
              </w:rPr>
            </w:pPr>
            <w:r>
              <w:rPr>
                <w:rFonts w:hint="eastAsia" w:ascii="Times New Roman" w:eastAsia="宋体"/>
              </w:rPr>
              <w:t>节水及优化水资源的能力</w:t>
            </w:r>
            <w:r>
              <w:rPr>
                <w:rFonts w:ascii="Times New Roman" w:eastAsia="宋体"/>
              </w:rPr>
              <w:t>SI36</w:t>
            </w:r>
          </w:p>
        </w:tc>
        <w:tc>
          <w:tcPr>
            <w:tcW w:w="378" w:type="pct"/>
            <w:vMerge w:val="continue"/>
            <w:vAlign w:val="center"/>
          </w:tcPr>
          <w:p w14:paraId="4B51568B">
            <w:pPr>
              <w:pStyle w:val="31"/>
              <w:rPr>
                <w:rFonts w:ascii="Times New Roman" w:eastAsia="宋体"/>
                <w:i/>
                <w:iCs/>
              </w:rPr>
            </w:pPr>
          </w:p>
        </w:tc>
        <w:tc>
          <w:tcPr>
            <w:tcW w:w="523" w:type="pct"/>
            <w:shd w:val="clear" w:color="auto" w:fill="auto"/>
            <w:vAlign w:val="center"/>
          </w:tcPr>
          <w:p w14:paraId="0A71E7EB">
            <w:pPr>
              <w:pStyle w:val="31"/>
              <w:rPr>
                <w:rFonts w:ascii="Times New Roman" w:eastAsia="宋体" w:cs="Times"/>
              </w:rPr>
            </w:pPr>
            <w:r>
              <w:rPr>
                <w:rFonts w:ascii="Times New Roman" w:eastAsia="宋体" w:cs="Times"/>
              </w:rPr>
              <w:t>C16</w:t>
            </w:r>
          </w:p>
        </w:tc>
        <w:tc>
          <w:tcPr>
            <w:tcW w:w="378" w:type="pct"/>
            <w:shd w:val="clear" w:color="auto" w:fill="auto"/>
            <w:vAlign w:val="center"/>
          </w:tcPr>
          <w:p w14:paraId="4EDAD88B">
            <w:pPr>
              <w:pStyle w:val="31"/>
              <w:rPr>
                <w:rFonts w:ascii="Times New Roman" w:eastAsia="宋体" w:cs="Times"/>
              </w:rPr>
            </w:pPr>
            <w:r>
              <w:rPr>
                <w:rFonts w:ascii="Times New Roman" w:eastAsia="宋体" w:cs="Times"/>
              </w:rPr>
              <w:t>V36</w:t>
            </w:r>
          </w:p>
        </w:tc>
        <w:tc>
          <w:tcPr>
            <w:tcW w:w="1976" w:type="pct"/>
            <w:shd w:val="clear" w:color="auto" w:fill="auto"/>
            <w:vAlign w:val="center"/>
          </w:tcPr>
          <w:p w14:paraId="3CB232D9">
            <w:pPr>
              <w:pStyle w:val="31"/>
              <w:rPr>
                <w:rFonts w:ascii="Times New Roman" w:eastAsia="宋体"/>
              </w:rPr>
            </w:pPr>
            <w:r>
              <w:rPr>
                <w:rFonts w:hint="eastAsia" w:ascii="Times New Roman" w:eastAsia="宋体"/>
              </w:rPr>
              <w:t xml:space="preserve">对使用中采用的节水设施及水资源优化设施的有效程度做出的评价 </w:t>
            </w:r>
          </w:p>
        </w:tc>
      </w:tr>
      <w:tr w14:paraId="13860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22" w:type="pct"/>
            <w:vMerge w:val="continue"/>
            <w:vAlign w:val="center"/>
          </w:tcPr>
          <w:p w14:paraId="3C1B3823">
            <w:pPr>
              <w:pStyle w:val="31"/>
              <w:rPr>
                <w:rFonts w:ascii="Times New Roman" w:eastAsia="宋体"/>
              </w:rPr>
            </w:pPr>
          </w:p>
        </w:tc>
        <w:tc>
          <w:tcPr>
            <w:tcW w:w="1323" w:type="pct"/>
            <w:shd w:val="clear" w:color="auto" w:fill="auto"/>
            <w:vAlign w:val="center"/>
          </w:tcPr>
          <w:p w14:paraId="7B457D23">
            <w:pPr>
              <w:pStyle w:val="31"/>
              <w:rPr>
                <w:rFonts w:ascii="Times New Roman" w:eastAsia="宋体"/>
              </w:rPr>
            </w:pPr>
            <w:r>
              <w:rPr>
                <w:rFonts w:hint="eastAsia" w:ascii="Times New Roman" w:eastAsia="宋体"/>
              </w:rPr>
              <w:t>室内环境质量水平</w:t>
            </w:r>
            <w:r>
              <w:rPr>
                <w:rFonts w:ascii="Times New Roman" w:eastAsia="宋体"/>
              </w:rPr>
              <w:t>SI37</w:t>
            </w:r>
          </w:p>
        </w:tc>
        <w:tc>
          <w:tcPr>
            <w:tcW w:w="378" w:type="pct"/>
            <w:vMerge w:val="continue"/>
            <w:vAlign w:val="center"/>
          </w:tcPr>
          <w:p w14:paraId="33DEB388">
            <w:pPr>
              <w:pStyle w:val="31"/>
              <w:rPr>
                <w:rFonts w:ascii="Times New Roman" w:eastAsia="宋体"/>
                <w:i/>
                <w:iCs/>
              </w:rPr>
            </w:pPr>
          </w:p>
        </w:tc>
        <w:tc>
          <w:tcPr>
            <w:tcW w:w="523" w:type="pct"/>
            <w:shd w:val="clear" w:color="auto" w:fill="auto"/>
            <w:vAlign w:val="center"/>
          </w:tcPr>
          <w:p w14:paraId="019A4027">
            <w:pPr>
              <w:pStyle w:val="31"/>
              <w:rPr>
                <w:rFonts w:ascii="Times New Roman" w:eastAsia="宋体" w:cs="Times"/>
              </w:rPr>
            </w:pPr>
            <w:r>
              <w:rPr>
                <w:rFonts w:ascii="Times New Roman" w:eastAsia="宋体" w:cs="Times"/>
              </w:rPr>
              <w:t>C17</w:t>
            </w:r>
          </w:p>
        </w:tc>
        <w:tc>
          <w:tcPr>
            <w:tcW w:w="378" w:type="pct"/>
            <w:shd w:val="clear" w:color="auto" w:fill="auto"/>
            <w:vAlign w:val="center"/>
          </w:tcPr>
          <w:p w14:paraId="159BC02F">
            <w:pPr>
              <w:pStyle w:val="31"/>
              <w:rPr>
                <w:rFonts w:ascii="Times New Roman" w:eastAsia="宋体" w:cs="Times"/>
              </w:rPr>
            </w:pPr>
            <w:r>
              <w:rPr>
                <w:rFonts w:ascii="Times New Roman" w:eastAsia="宋体" w:cs="Times"/>
              </w:rPr>
              <w:t>V37</w:t>
            </w:r>
          </w:p>
        </w:tc>
        <w:tc>
          <w:tcPr>
            <w:tcW w:w="1976" w:type="pct"/>
            <w:shd w:val="clear" w:color="auto" w:fill="auto"/>
            <w:vAlign w:val="center"/>
          </w:tcPr>
          <w:p w14:paraId="13287E68">
            <w:pPr>
              <w:pStyle w:val="31"/>
              <w:rPr>
                <w:rFonts w:ascii="Times New Roman" w:eastAsia="宋体"/>
              </w:rPr>
            </w:pPr>
            <w:r>
              <w:rPr>
                <w:rFonts w:hint="eastAsia" w:ascii="Times New Roman" w:eastAsia="宋体"/>
              </w:rPr>
              <w:t>对于使用中的室内环境质量各子项测定后而对其质量达标程度做出综合性评价</w:t>
            </w:r>
          </w:p>
        </w:tc>
      </w:tr>
      <w:tr w14:paraId="0A20D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22" w:type="pct"/>
            <w:vMerge w:val="continue"/>
            <w:vAlign w:val="center"/>
          </w:tcPr>
          <w:p w14:paraId="176D6AF3">
            <w:pPr>
              <w:pStyle w:val="31"/>
              <w:rPr>
                <w:rFonts w:ascii="Times New Roman" w:eastAsia="宋体"/>
              </w:rPr>
            </w:pPr>
          </w:p>
        </w:tc>
        <w:tc>
          <w:tcPr>
            <w:tcW w:w="1323" w:type="pct"/>
            <w:shd w:val="clear" w:color="auto" w:fill="auto"/>
            <w:vAlign w:val="center"/>
          </w:tcPr>
          <w:p w14:paraId="5BACBA2A">
            <w:pPr>
              <w:pStyle w:val="31"/>
              <w:rPr>
                <w:rFonts w:ascii="Times New Roman" w:eastAsia="宋体"/>
              </w:rPr>
            </w:pPr>
            <w:r>
              <w:rPr>
                <w:rFonts w:hint="eastAsia" w:ascii="Times New Roman" w:eastAsia="宋体"/>
              </w:rPr>
              <w:t>对废弃物的分类处理能力</w:t>
            </w:r>
            <w:r>
              <w:rPr>
                <w:rFonts w:ascii="Times New Roman" w:eastAsia="宋体"/>
              </w:rPr>
              <w:t>SI38</w:t>
            </w:r>
          </w:p>
        </w:tc>
        <w:tc>
          <w:tcPr>
            <w:tcW w:w="378" w:type="pct"/>
            <w:vMerge w:val="continue"/>
            <w:vAlign w:val="center"/>
          </w:tcPr>
          <w:p w14:paraId="0C6EC334">
            <w:pPr>
              <w:pStyle w:val="31"/>
              <w:rPr>
                <w:rFonts w:ascii="Times New Roman" w:eastAsia="宋体"/>
                <w:i/>
                <w:iCs/>
              </w:rPr>
            </w:pPr>
          </w:p>
        </w:tc>
        <w:tc>
          <w:tcPr>
            <w:tcW w:w="523" w:type="pct"/>
            <w:shd w:val="clear" w:color="auto" w:fill="auto"/>
            <w:vAlign w:val="center"/>
          </w:tcPr>
          <w:p w14:paraId="104346E9">
            <w:pPr>
              <w:pStyle w:val="31"/>
              <w:rPr>
                <w:rFonts w:ascii="Times New Roman" w:eastAsia="宋体" w:cs="Times"/>
              </w:rPr>
            </w:pPr>
            <w:r>
              <w:rPr>
                <w:rFonts w:ascii="Times New Roman" w:eastAsia="宋体" w:cs="Times"/>
              </w:rPr>
              <w:t>C18</w:t>
            </w:r>
          </w:p>
        </w:tc>
        <w:tc>
          <w:tcPr>
            <w:tcW w:w="378" w:type="pct"/>
            <w:shd w:val="clear" w:color="auto" w:fill="auto"/>
            <w:vAlign w:val="center"/>
          </w:tcPr>
          <w:p w14:paraId="000401C9">
            <w:pPr>
              <w:pStyle w:val="31"/>
              <w:rPr>
                <w:rFonts w:ascii="Times New Roman" w:eastAsia="宋体" w:cs="Times"/>
              </w:rPr>
            </w:pPr>
            <w:r>
              <w:rPr>
                <w:rFonts w:ascii="Times New Roman" w:eastAsia="宋体" w:cs="Times"/>
              </w:rPr>
              <w:t>V38</w:t>
            </w:r>
          </w:p>
        </w:tc>
        <w:tc>
          <w:tcPr>
            <w:tcW w:w="1976" w:type="pct"/>
            <w:shd w:val="clear" w:color="auto" w:fill="auto"/>
            <w:vAlign w:val="center"/>
          </w:tcPr>
          <w:p w14:paraId="34C524C8">
            <w:pPr>
              <w:pStyle w:val="31"/>
              <w:rPr>
                <w:rFonts w:ascii="Times New Roman" w:eastAsia="宋体"/>
              </w:rPr>
            </w:pPr>
            <w:r>
              <w:rPr>
                <w:rFonts w:hint="eastAsia" w:ascii="Times New Roman" w:eastAsia="宋体"/>
              </w:rPr>
              <w:t xml:space="preserve">对于使用中的生活垃圾等的分类处理方式的合理性和有效性的评价 </w:t>
            </w:r>
          </w:p>
        </w:tc>
      </w:tr>
      <w:tr w14:paraId="43B4B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422" w:type="pct"/>
            <w:vMerge w:val="continue"/>
            <w:vAlign w:val="center"/>
          </w:tcPr>
          <w:p w14:paraId="2A23820D">
            <w:pPr>
              <w:pStyle w:val="31"/>
              <w:rPr>
                <w:rFonts w:ascii="Times New Roman" w:eastAsia="宋体"/>
              </w:rPr>
            </w:pPr>
          </w:p>
        </w:tc>
        <w:tc>
          <w:tcPr>
            <w:tcW w:w="1323" w:type="pct"/>
            <w:shd w:val="clear" w:color="auto" w:fill="auto"/>
            <w:vAlign w:val="center"/>
          </w:tcPr>
          <w:p w14:paraId="2F40EC3A">
            <w:pPr>
              <w:pStyle w:val="31"/>
              <w:rPr>
                <w:rFonts w:ascii="Times New Roman" w:eastAsia="宋体"/>
              </w:rPr>
            </w:pPr>
            <w:r>
              <w:rPr>
                <w:rFonts w:hint="eastAsia" w:ascii="Times New Roman" w:eastAsia="宋体"/>
              </w:rPr>
              <w:t>空气污染程度</w:t>
            </w:r>
            <w:r>
              <w:rPr>
                <w:rFonts w:ascii="Times New Roman" w:eastAsia="宋体"/>
              </w:rPr>
              <w:t>SI39</w:t>
            </w:r>
          </w:p>
        </w:tc>
        <w:tc>
          <w:tcPr>
            <w:tcW w:w="378" w:type="pct"/>
            <w:vMerge w:val="continue"/>
            <w:vAlign w:val="center"/>
          </w:tcPr>
          <w:p w14:paraId="68B33171">
            <w:pPr>
              <w:pStyle w:val="31"/>
              <w:rPr>
                <w:rFonts w:ascii="Times New Roman" w:eastAsia="宋体"/>
                <w:i/>
                <w:iCs/>
              </w:rPr>
            </w:pPr>
          </w:p>
        </w:tc>
        <w:tc>
          <w:tcPr>
            <w:tcW w:w="523" w:type="pct"/>
            <w:shd w:val="clear" w:color="auto" w:fill="auto"/>
            <w:vAlign w:val="center"/>
          </w:tcPr>
          <w:p w14:paraId="3D7C9F5E">
            <w:pPr>
              <w:pStyle w:val="31"/>
              <w:rPr>
                <w:rFonts w:ascii="Times New Roman" w:eastAsia="宋体" w:cs="Times"/>
              </w:rPr>
            </w:pPr>
            <w:r>
              <w:rPr>
                <w:rFonts w:ascii="Times New Roman" w:eastAsia="宋体" w:cs="Times"/>
              </w:rPr>
              <w:t>C19</w:t>
            </w:r>
          </w:p>
        </w:tc>
        <w:tc>
          <w:tcPr>
            <w:tcW w:w="378" w:type="pct"/>
            <w:shd w:val="clear" w:color="auto" w:fill="auto"/>
            <w:vAlign w:val="center"/>
          </w:tcPr>
          <w:p w14:paraId="70FABD1A">
            <w:pPr>
              <w:pStyle w:val="31"/>
              <w:rPr>
                <w:rFonts w:ascii="Times New Roman" w:eastAsia="宋体" w:cs="Times"/>
              </w:rPr>
            </w:pPr>
            <w:r>
              <w:rPr>
                <w:rFonts w:ascii="Times New Roman" w:eastAsia="宋体" w:cs="Times"/>
              </w:rPr>
              <w:t>V39</w:t>
            </w:r>
          </w:p>
        </w:tc>
        <w:tc>
          <w:tcPr>
            <w:tcW w:w="1976" w:type="pct"/>
            <w:shd w:val="clear" w:color="auto" w:fill="auto"/>
            <w:vAlign w:val="center"/>
          </w:tcPr>
          <w:p w14:paraId="5E35741F">
            <w:pPr>
              <w:pStyle w:val="31"/>
              <w:rPr>
                <w:rFonts w:ascii="Times New Roman" w:eastAsia="宋体"/>
              </w:rPr>
            </w:pPr>
            <w:r>
              <w:rPr>
                <w:rFonts w:hint="eastAsia" w:ascii="Times New Roman" w:eastAsia="宋体"/>
              </w:rPr>
              <w:t xml:space="preserve">改造过程中建筑排放的污染性气体对大气的污染程度，以环境监测部门测得的区域内空气污染指数作为主要参考值进行的环境评价 </w:t>
            </w:r>
          </w:p>
        </w:tc>
      </w:tr>
      <w:tr w14:paraId="2A657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422" w:type="pct"/>
            <w:vMerge w:val="continue"/>
            <w:vAlign w:val="center"/>
          </w:tcPr>
          <w:p w14:paraId="06B08DCA">
            <w:pPr>
              <w:pStyle w:val="31"/>
              <w:rPr>
                <w:rFonts w:ascii="Times New Roman" w:eastAsia="宋体"/>
              </w:rPr>
            </w:pPr>
          </w:p>
        </w:tc>
        <w:tc>
          <w:tcPr>
            <w:tcW w:w="1323" w:type="pct"/>
            <w:shd w:val="clear" w:color="auto" w:fill="auto"/>
            <w:vAlign w:val="center"/>
          </w:tcPr>
          <w:p w14:paraId="3E3C36F4">
            <w:pPr>
              <w:pStyle w:val="31"/>
              <w:rPr>
                <w:rFonts w:ascii="Times New Roman" w:eastAsia="宋体"/>
              </w:rPr>
            </w:pPr>
            <w:r>
              <w:rPr>
                <w:rFonts w:hint="eastAsia" w:ascii="Times New Roman" w:eastAsia="宋体"/>
              </w:rPr>
              <w:t>噪声污染程度</w:t>
            </w:r>
            <w:r>
              <w:rPr>
                <w:rFonts w:ascii="Times New Roman" w:eastAsia="宋体"/>
              </w:rPr>
              <w:t>SI310</w:t>
            </w:r>
          </w:p>
        </w:tc>
        <w:tc>
          <w:tcPr>
            <w:tcW w:w="378" w:type="pct"/>
            <w:vMerge w:val="continue"/>
            <w:vAlign w:val="center"/>
          </w:tcPr>
          <w:p w14:paraId="27150DCD">
            <w:pPr>
              <w:pStyle w:val="31"/>
              <w:rPr>
                <w:rFonts w:ascii="Times New Roman" w:eastAsia="宋体"/>
                <w:i/>
                <w:iCs/>
              </w:rPr>
            </w:pPr>
          </w:p>
        </w:tc>
        <w:tc>
          <w:tcPr>
            <w:tcW w:w="523" w:type="pct"/>
            <w:shd w:val="clear" w:color="auto" w:fill="auto"/>
            <w:vAlign w:val="center"/>
          </w:tcPr>
          <w:p w14:paraId="6DBF3F2C">
            <w:pPr>
              <w:pStyle w:val="31"/>
              <w:rPr>
                <w:rFonts w:ascii="Times New Roman" w:eastAsia="宋体" w:cs="Times"/>
              </w:rPr>
            </w:pPr>
            <w:r>
              <w:rPr>
                <w:rFonts w:ascii="Times New Roman" w:eastAsia="宋体" w:cs="Times"/>
              </w:rPr>
              <w:t>C110</w:t>
            </w:r>
          </w:p>
        </w:tc>
        <w:tc>
          <w:tcPr>
            <w:tcW w:w="378" w:type="pct"/>
            <w:shd w:val="clear" w:color="auto" w:fill="auto"/>
            <w:vAlign w:val="center"/>
          </w:tcPr>
          <w:p w14:paraId="5CE762AF">
            <w:pPr>
              <w:pStyle w:val="31"/>
              <w:rPr>
                <w:rFonts w:ascii="Times New Roman" w:eastAsia="宋体" w:cs="Times"/>
              </w:rPr>
            </w:pPr>
            <w:r>
              <w:rPr>
                <w:rFonts w:ascii="Times New Roman" w:eastAsia="宋体" w:cs="Times"/>
              </w:rPr>
              <w:t>V40</w:t>
            </w:r>
          </w:p>
        </w:tc>
        <w:tc>
          <w:tcPr>
            <w:tcW w:w="1976" w:type="pct"/>
            <w:shd w:val="clear" w:color="auto" w:fill="auto"/>
            <w:vAlign w:val="center"/>
          </w:tcPr>
          <w:p w14:paraId="33C1BC66">
            <w:pPr>
              <w:pStyle w:val="31"/>
              <w:rPr>
                <w:rFonts w:ascii="Times New Roman" w:eastAsia="宋体"/>
              </w:rPr>
            </w:pPr>
            <w:r>
              <w:rPr>
                <w:rFonts w:hint="eastAsia" w:ascii="Times New Roman" w:eastAsia="宋体"/>
              </w:rPr>
              <w:t>过程中产生的噪音对周边的污染程度，以国家标准《</w:t>
            </w:r>
            <w:r>
              <w:rPr>
                <w:rFonts w:ascii="Times New Roman" w:eastAsia="宋体"/>
              </w:rPr>
              <w:t>声环境质量标准</w:t>
            </w:r>
            <w:r>
              <w:rPr>
                <w:rFonts w:hint="eastAsia" w:ascii="Times New Roman" w:eastAsia="宋体"/>
              </w:rPr>
              <w:t>》</w:t>
            </w:r>
            <w:r>
              <w:rPr>
                <w:rFonts w:ascii="Times New Roman" w:eastAsia="宋体" w:cs="Times"/>
              </w:rPr>
              <w:t>GB 3096</w:t>
            </w:r>
            <w:r>
              <w:rPr>
                <w:rFonts w:hint="eastAsia" w:ascii="Times New Roman" w:eastAsia="宋体"/>
              </w:rPr>
              <w:t>的相关规定作为主要参考依据进行环境评价</w:t>
            </w:r>
          </w:p>
        </w:tc>
      </w:tr>
      <w:tr w14:paraId="0D97C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22" w:type="pct"/>
            <w:vMerge w:val="continue"/>
            <w:vAlign w:val="center"/>
          </w:tcPr>
          <w:p w14:paraId="1105B13C">
            <w:pPr>
              <w:pStyle w:val="31"/>
              <w:rPr>
                <w:rFonts w:ascii="Times New Roman" w:eastAsia="宋体"/>
              </w:rPr>
            </w:pPr>
          </w:p>
        </w:tc>
        <w:tc>
          <w:tcPr>
            <w:tcW w:w="1323" w:type="pct"/>
            <w:shd w:val="clear" w:color="auto" w:fill="auto"/>
            <w:vAlign w:val="center"/>
          </w:tcPr>
          <w:p w14:paraId="226D173A">
            <w:pPr>
              <w:pStyle w:val="31"/>
              <w:rPr>
                <w:rFonts w:ascii="Times New Roman" w:eastAsia="宋体"/>
              </w:rPr>
            </w:pPr>
            <w:r>
              <w:rPr>
                <w:rFonts w:hint="eastAsia" w:ascii="Times New Roman" w:eastAsia="宋体"/>
              </w:rPr>
              <w:t>特殊污染源污染处理成</w:t>
            </w:r>
            <w:r>
              <w:rPr>
                <w:rFonts w:ascii="Times New Roman" w:eastAsia="宋体"/>
              </w:rPr>
              <w:t>SI311</w:t>
            </w:r>
          </w:p>
        </w:tc>
        <w:tc>
          <w:tcPr>
            <w:tcW w:w="378" w:type="pct"/>
            <w:vMerge w:val="continue"/>
            <w:vAlign w:val="center"/>
          </w:tcPr>
          <w:p w14:paraId="4E20CA09">
            <w:pPr>
              <w:pStyle w:val="31"/>
              <w:rPr>
                <w:rFonts w:ascii="Times New Roman" w:eastAsia="宋体"/>
                <w:i/>
                <w:iCs/>
              </w:rPr>
            </w:pPr>
          </w:p>
        </w:tc>
        <w:tc>
          <w:tcPr>
            <w:tcW w:w="523" w:type="pct"/>
            <w:shd w:val="clear" w:color="auto" w:fill="auto"/>
            <w:vAlign w:val="center"/>
          </w:tcPr>
          <w:p w14:paraId="5AF39D6D">
            <w:pPr>
              <w:pStyle w:val="31"/>
              <w:rPr>
                <w:rFonts w:ascii="Times New Roman" w:eastAsia="宋体" w:cs="Times"/>
              </w:rPr>
            </w:pPr>
            <w:r>
              <w:rPr>
                <w:rFonts w:ascii="Times New Roman" w:eastAsia="宋体" w:cs="Times"/>
              </w:rPr>
              <w:t>C111</w:t>
            </w:r>
          </w:p>
        </w:tc>
        <w:tc>
          <w:tcPr>
            <w:tcW w:w="378" w:type="pct"/>
            <w:shd w:val="clear" w:color="auto" w:fill="auto"/>
            <w:vAlign w:val="center"/>
          </w:tcPr>
          <w:p w14:paraId="4EEB367D">
            <w:pPr>
              <w:pStyle w:val="31"/>
              <w:rPr>
                <w:rFonts w:ascii="Times New Roman" w:eastAsia="宋体" w:cs="Times"/>
              </w:rPr>
            </w:pPr>
            <w:r>
              <w:rPr>
                <w:rFonts w:ascii="Times New Roman" w:eastAsia="宋体" w:cs="Times"/>
              </w:rPr>
              <w:t>V41</w:t>
            </w:r>
          </w:p>
        </w:tc>
        <w:tc>
          <w:tcPr>
            <w:tcW w:w="1976" w:type="pct"/>
            <w:shd w:val="clear" w:color="auto" w:fill="auto"/>
            <w:vAlign w:val="center"/>
          </w:tcPr>
          <w:p w14:paraId="309635B9">
            <w:pPr>
              <w:pStyle w:val="31"/>
              <w:rPr>
                <w:rFonts w:ascii="Times New Roman" w:eastAsia="宋体"/>
              </w:rPr>
            </w:pPr>
            <w:r>
              <w:rPr>
                <w:rFonts w:hint="eastAsia" w:ascii="Times New Roman" w:eastAsia="宋体"/>
              </w:rPr>
              <w:t xml:space="preserve">对使用中产生的光污染、电磁辐射等污染采取的防治措施的合理及有效性进行的评价 </w:t>
            </w:r>
          </w:p>
        </w:tc>
      </w:tr>
      <w:tr w14:paraId="6CF89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422" w:type="pct"/>
            <w:vMerge w:val="continue"/>
            <w:vAlign w:val="center"/>
          </w:tcPr>
          <w:p w14:paraId="136CB085">
            <w:pPr>
              <w:pStyle w:val="31"/>
              <w:rPr>
                <w:rFonts w:ascii="Times New Roman" w:eastAsia="宋体"/>
              </w:rPr>
            </w:pPr>
          </w:p>
        </w:tc>
        <w:tc>
          <w:tcPr>
            <w:tcW w:w="1323" w:type="pct"/>
            <w:shd w:val="clear" w:color="auto" w:fill="auto"/>
            <w:vAlign w:val="center"/>
          </w:tcPr>
          <w:p w14:paraId="4BBC928B">
            <w:pPr>
              <w:pStyle w:val="31"/>
              <w:rPr>
                <w:rFonts w:ascii="Times New Roman" w:eastAsia="宋体"/>
              </w:rPr>
            </w:pPr>
            <w:r>
              <w:rPr>
                <w:rFonts w:hint="eastAsia" w:ascii="Times New Roman" w:eastAsia="宋体"/>
              </w:rPr>
              <w:t>绿色建筑运营管理表现</w:t>
            </w:r>
            <w:r>
              <w:rPr>
                <w:rFonts w:ascii="Times New Roman" w:eastAsia="宋体"/>
              </w:rPr>
              <w:t>SI312</w:t>
            </w:r>
          </w:p>
        </w:tc>
        <w:tc>
          <w:tcPr>
            <w:tcW w:w="378" w:type="pct"/>
            <w:vMerge w:val="continue"/>
            <w:vAlign w:val="center"/>
          </w:tcPr>
          <w:p w14:paraId="1C4EA921">
            <w:pPr>
              <w:pStyle w:val="31"/>
              <w:rPr>
                <w:rFonts w:ascii="Times New Roman" w:eastAsia="宋体"/>
                <w:i/>
                <w:iCs/>
              </w:rPr>
            </w:pPr>
          </w:p>
        </w:tc>
        <w:tc>
          <w:tcPr>
            <w:tcW w:w="523" w:type="pct"/>
            <w:shd w:val="clear" w:color="auto" w:fill="auto"/>
            <w:vAlign w:val="center"/>
          </w:tcPr>
          <w:p w14:paraId="10BB072C">
            <w:pPr>
              <w:pStyle w:val="31"/>
              <w:rPr>
                <w:rFonts w:ascii="Times New Roman" w:eastAsia="宋体" w:cs="Times"/>
              </w:rPr>
            </w:pPr>
            <w:r>
              <w:rPr>
                <w:rFonts w:ascii="Times New Roman" w:eastAsia="宋体" w:cs="Times"/>
              </w:rPr>
              <w:t>C112</w:t>
            </w:r>
          </w:p>
        </w:tc>
        <w:tc>
          <w:tcPr>
            <w:tcW w:w="378" w:type="pct"/>
            <w:shd w:val="clear" w:color="auto" w:fill="auto"/>
            <w:vAlign w:val="center"/>
          </w:tcPr>
          <w:p w14:paraId="720ECE97">
            <w:pPr>
              <w:pStyle w:val="31"/>
              <w:rPr>
                <w:rFonts w:ascii="Times New Roman" w:eastAsia="宋体" w:cs="Times"/>
              </w:rPr>
            </w:pPr>
            <w:r>
              <w:rPr>
                <w:rFonts w:ascii="Times New Roman" w:eastAsia="宋体" w:cs="Times"/>
              </w:rPr>
              <w:t>V42</w:t>
            </w:r>
          </w:p>
        </w:tc>
        <w:tc>
          <w:tcPr>
            <w:tcW w:w="1976" w:type="pct"/>
            <w:shd w:val="clear" w:color="auto" w:fill="auto"/>
            <w:vAlign w:val="center"/>
          </w:tcPr>
          <w:p w14:paraId="3D186C1E">
            <w:pPr>
              <w:pStyle w:val="31"/>
              <w:rPr>
                <w:rFonts w:ascii="Times New Roman" w:eastAsia="宋体"/>
              </w:rPr>
            </w:pPr>
            <w:r>
              <w:rPr>
                <w:rFonts w:hint="eastAsia" w:ascii="Times New Roman" w:eastAsia="宋体"/>
              </w:rPr>
              <w:t xml:space="preserve">对于绿色旧工业改造项目，在建筑运营管理阶段的管理方法及制度等的合理及有效性做出的评价 </w:t>
            </w:r>
          </w:p>
        </w:tc>
      </w:tr>
    </w:tbl>
    <w:p w14:paraId="18FB967D">
      <w:pPr>
        <w:ind w:firstLine="480"/>
        <w:rPr>
          <w:rFonts w:ascii="宋体" w:hAnsi="宋体"/>
        </w:rPr>
      </w:pPr>
      <w:r>
        <w:rPr>
          <w:rFonts w:hint="eastAsia" w:ascii="宋体" w:hAnsi="宋体"/>
        </w:rPr>
        <w:t>表中不同等级评分采用百分制，每个子项目分为五档，分别为：好（</w:t>
      </w:r>
      <w:r>
        <w:rPr>
          <w:rFonts w:cs="Times New Roman"/>
        </w:rPr>
        <w:t>100</w:t>
      </w:r>
      <w:r>
        <w:rPr>
          <w:rFonts w:hint="eastAsia" w:ascii="宋体" w:hAnsi="宋体"/>
        </w:rPr>
        <w:t>，</w:t>
      </w:r>
      <w:r>
        <w:rPr>
          <w:rFonts w:cs="Times New Roman"/>
        </w:rPr>
        <w:t>90</w:t>
      </w:r>
      <w:r>
        <w:rPr>
          <w:rFonts w:hint="eastAsia" w:ascii="宋体" w:hAnsi="宋体"/>
        </w:rPr>
        <w:t>）；较好（</w:t>
      </w:r>
      <w:r>
        <w:rPr>
          <w:rFonts w:cs="Times New Roman"/>
        </w:rPr>
        <w:t>90</w:t>
      </w:r>
      <w:r>
        <w:rPr>
          <w:rFonts w:hint="eastAsia" w:ascii="宋体" w:hAnsi="宋体"/>
        </w:rPr>
        <w:t>，</w:t>
      </w:r>
      <w:r>
        <w:rPr>
          <w:rFonts w:cs="Times New Roman"/>
        </w:rPr>
        <w:t>80</w:t>
      </w:r>
      <w:r>
        <w:rPr>
          <w:rFonts w:hint="eastAsia" w:ascii="宋体" w:hAnsi="宋体"/>
        </w:rPr>
        <w:t>）；一般（</w:t>
      </w:r>
      <w:r>
        <w:rPr>
          <w:rFonts w:cs="Times New Roman"/>
        </w:rPr>
        <w:t>70</w:t>
      </w:r>
      <w:r>
        <w:rPr>
          <w:rFonts w:hint="eastAsia" w:ascii="宋体" w:hAnsi="宋体"/>
        </w:rPr>
        <w:t>，</w:t>
      </w:r>
      <w:r>
        <w:rPr>
          <w:rFonts w:cs="Times New Roman"/>
        </w:rPr>
        <w:t>60</w:t>
      </w:r>
      <w:r>
        <w:rPr>
          <w:rFonts w:hint="eastAsia" w:ascii="宋体" w:hAnsi="宋体"/>
        </w:rPr>
        <w:t>）；较差（</w:t>
      </w:r>
      <w:r>
        <w:rPr>
          <w:rFonts w:cs="Times New Roman"/>
        </w:rPr>
        <w:t>60</w:t>
      </w:r>
      <w:r>
        <w:rPr>
          <w:rFonts w:hint="eastAsia" w:ascii="宋体" w:hAnsi="宋体"/>
        </w:rPr>
        <w:t>，</w:t>
      </w:r>
      <w:r>
        <w:rPr>
          <w:rFonts w:cs="Times New Roman"/>
        </w:rPr>
        <w:t>50</w:t>
      </w:r>
      <w:r>
        <w:rPr>
          <w:rFonts w:hint="eastAsia" w:ascii="宋体" w:hAnsi="宋体"/>
        </w:rPr>
        <w:t>）；差（＜</w:t>
      </w:r>
      <w:r>
        <w:rPr>
          <w:rFonts w:cs="Times New Roman"/>
        </w:rPr>
        <w:t>50</w:t>
      </w:r>
      <w:r>
        <w:rPr>
          <w:rFonts w:hint="eastAsia" w:ascii="宋体" w:hAnsi="宋体"/>
        </w:rPr>
        <w:t>）。</w:t>
      </w:r>
    </w:p>
    <w:p w14:paraId="06C8F32F">
      <w:pPr>
        <w:ind w:firstLine="480"/>
        <w:rPr>
          <w:rFonts w:ascii="宋体" w:hAnsi="宋体"/>
        </w:rPr>
      </w:pPr>
      <w:r>
        <w:rPr>
          <w:rFonts w:hint="eastAsia" w:ascii="宋体" w:hAnsi="宋体"/>
        </w:rPr>
        <w:t>项目评价的得分系数及计算如下：</w:t>
      </w:r>
    </w:p>
    <w:p w14:paraId="66260745">
      <w:pPr>
        <w:ind w:firstLine="480"/>
        <w:jc w:val="left"/>
        <w:rPr>
          <w:rFonts w:ascii="Times" w:hAnsi="Times" w:cs="Times"/>
        </w:rPr>
      </w:pPr>
      <w:r>
        <w:rPr>
          <w:rFonts w:ascii="Times" w:hAnsi="Times" w:cs="Times"/>
        </w:rPr>
        <w:t>A11+A12+A13+A14+</w:t>
      </w:r>
      <w:r>
        <w:rPr>
          <w:rFonts w:hint="eastAsia" w:ascii="Times" w:hAnsi="Times" w:cs="Times"/>
        </w:rPr>
        <w:t>……</w:t>
      </w:r>
      <w:r>
        <w:rPr>
          <w:rFonts w:ascii="Times" w:hAnsi="Times" w:cs="Times"/>
        </w:rPr>
        <w:t>+A1n=1</w:t>
      </w:r>
    </w:p>
    <w:p w14:paraId="5BF1E0EB">
      <w:pPr>
        <w:ind w:firstLine="480"/>
        <w:jc w:val="left"/>
        <w:rPr>
          <w:rFonts w:ascii="Times" w:hAnsi="Times" w:cs="Times"/>
        </w:rPr>
      </w:pPr>
      <w:r>
        <w:rPr>
          <w:rFonts w:ascii="Times" w:hAnsi="Times" w:cs="Times"/>
        </w:rPr>
        <w:t>B11+B12+B13+B14+</w:t>
      </w:r>
      <w:r>
        <w:rPr>
          <w:rFonts w:hint="eastAsia" w:ascii="Times" w:hAnsi="Times" w:cs="Times"/>
        </w:rPr>
        <w:t>……</w:t>
      </w:r>
      <w:r>
        <w:rPr>
          <w:rFonts w:ascii="Times" w:hAnsi="Times" w:cs="Times"/>
        </w:rPr>
        <w:t>+B1n=1</w:t>
      </w:r>
    </w:p>
    <w:p w14:paraId="694E8510">
      <w:pPr>
        <w:ind w:firstLine="480"/>
        <w:jc w:val="left"/>
        <w:rPr>
          <w:rFonts w:ascii="Times" w:hAnsi="Times" w:cs="Times"/>
        </w:rPr>
      </w:pPr>
      <w:r>
        <w:rPr>
          <w:rFonts w:ascii="Times" w:hAnsi="Times" w:cs="Times"/>
        </w:rPr>
        <w:t>C11+C12+C13+C14+</w:t>
      </w:r>
      <w:r>
        <w:rPr>
          <w:rFonts w:hint="eastAsia" w:ascii="Times" w:hAnsi="Times" w:cs="Times"/>
        </w:rPr>
        <w:t>……</w:t>
      </w:r>
      <w:r>
        <w:rPr>
          <w:rFonts w:ascii="Times" w:hAnsi="Times" w:cs="Times"/>
        </w:rPr>
        <w:t>+C1n=1</w:t>
      </w:r>
    </w:p>
    <w:p w14:paraId="0453B406">
      <w:pPr>
        <w:ind w:firstLine="480"/>
        <w:jc w:val="left"/>
        <w:rPr>
          <w:rFonts w:ascii="Times" w:hAnsi="Times" w:cs="Times"/>
        </w:rPr>
      </w:pPr>
      <w:r>
        <w:rPr>
          <w:rFonts w:ascii="Times" w:hAnsi="Times" w:cs="Times"/>
          <w:i/>
          <w:iCs/>
        </w:rPr>
        <w:t>i1</w:t>
      </w:r>
      <w:r>
        <w:rPr>
          <w:rFonts w:ascii="Times" w:hAnsi="Times" w:cs="Times"/>
        </w:rPr>
        <w:t>+</w:t>
      </w:r>
      <w:r>
        <w:rPr>
          <w:rFonts w:ascii="Times" w:hAnsi="Times" w:cs="Times"/>
          <w:i/>
          <w:iCs/>
        </w:rPr>
        <w:t>i2</w:t>
      </w:r>
      <w:r>
        <w:rPr>
          <w:rFonts w:ascii="Times" w:hAnsi="Times" w:cs="Times"/>
        </w:rPr>
        <w:t>+</w:t>
      </w:r>
      <w:r>
        <w:rPr>
          <w:rFonts w:ascii="Times" w:hAnsi="Times" w:cs="Times"/>
          <w:i/>
          <w:iCs/>
        </w:rPr>
        <w:t>i3</w:t>
      </w:r>
      <w:r>
        <w:rPr>
          <w:rFonts w:ascii="Times" w:hAnsi="Times" w:cs="Times"/>
        </w:rPr>
        <w:t>=1</w:t>
      </w:r>
    </w:p>
    <w:p w14:paraId="1A2DEB4D">
      <w:pPr>
        <w:ind w:firstLine="480"/>
        <w:jc w:val="left"/>
        <w:rPr>
          <w:rFonts w:ascii="Times" w:hAnsi="Times" w:cs="Times"/>
        </w:rPr>
      </w:pPr>
      <w:r>
        <w:rPr>
          <w:rFonts w:ascii="Times" w:hAnsi="Times" w:cs="Times"/>
        </w:rPr>
        <w:t>SI1=A11×V11+A12×V12+A13×V13+A14×V14+</w:t>
      </w:r>
      <w:r>
        <w:rPr>
          <w:rFonts w:hint="eastAsia" w:ascii="Times" w:hAnsi="Times" w:cs="Times"/>
        </w:rPr>
        <w:t>……+</w:t>
      </w:r>
      <w:r>
        <w:rPr>
          <w:rFonts w:ascii="Times" w:hAnsi="Times" w:cs="Times"/>
        </w:rPr>
        <w:t>A1n×V1n</w:t>
      </w:r>
    </w:p>
    <w:p w14:paraId="6EA8A763">
      <w:pPr>
        <w:ind w:firstLine="480"/>
        <w:jc w:val="left"/>
        <w:rPr>
          <w:rFonts w:ascii="Times" w:hAnsi="Times" w:cs="Times"/>
        </w:rPr>
      </w:pPr>
      <w:r>
        <w:rPr>
          <w:rFonts w:ascii="Times" w:hAnsi="Times" w:cs="Times"/>
        </w:rPr>
        <w:t>SI2=B11×V21+B12×V22+B13×V23+B14×V24+</w:t>
      </w:r>
      <w:r>
        <w:rPr>
          <w:rFonts w:hint="eastAsia" w:ascii="Times" w:hAnsi="Times" w:cs="Times"/>
        </w:rPr>
        <w:t>……+</w:t>
      </w:r>
      <w:r>
        <w:rPr>
          <w:rFonts w:ascii="Times" w:hAnsi="Times" w:cs="Times"/>
        </w:rPr>
        <w:t>B1n×V2n</w:t>
      </w:r>
    </w:p>
    <w:p w14:paraId="572A6691">
      <w:pPr>
        <w:ind w:firstLine="480"/>
        <w:jc w:val="left"/>
        <w:rPr>
          <w:rFonts w:ascii="Times" w:hAnsi="Times" w:cs="Times"/>
        </w:rPr>
      </w:pPr>
      <w:r>
        <w:rPr>
          <w:rFonts w:ascii="Times" w:hAnsi="Times" w:cs="Times"/>
        </w:rPr>
        <w:t>SI3=C11×V311+C12×V32+C13×V33+C14×V34+</w:t>
      </w:r>
      <w:r>
        <w:rPr>
          <w:rFonts w:hint="eastAsia" w:ascii="Times" w:hAnsi="Times" w:cs="Times"/>
        </w:rPr>
        <w:t>……+</w:t>
      </w:r>
      <w:r>
        <w:rPr>
          <w:rFonts w:ascii="Times" w:hAnsi="Times" w:cs="Times"/>
        </w:rPr>
        <w:t>C1n×V3n</w:t>
      </w:r>
    </w:p>
    <w:p w14:paraId="10ADAE35">
      <w:pPr>
        <w:ind w:firstLine="480"/>
        <w:jc w:val="left"/>
        <w:rPr>
          <w:rFonts w:ascii="Times" w:hAnsi="Times" w:cs="Times"/>
        </w:rPr>
      </w:pPr>
      <w:r>
        <w:rPr>
          <w:rFonts w:ascii="Times" w:hAnsi="Times" w:cs="Times"/>
        </w:rPr>
        <w:t>SI=SI1×</w:t>
      </w:r>
      <w:r>
        <w:rPr>
          <w:rFonts w:ascii="Times" w:hAnsi="Times" w:cs="Times"/>
          <w:i/>
          <w:iCs/>
        </w:rPr>
        <w:t>i1</w:t>
      </w:r>
      <w:r>
        <w:rPr>
          <w:rFonts w:ascii="Times" w:hAnsi="Times" w:cs="Times"/>
        </w:rPr>
        <w:t>+SI2×</w:t>
      </w:r>
      <w:r>
        <w:rPr>
          <w:rFonts w:ascii="Times" w:hAnsi="Times" w:cs="Times"/>
          <w:i/>
          <w:iCs/>
        </w:rPr>
        <w:t>i2</w:t>
      </w:r>
      <w:r>
        <w:rPr>
          <w:rFonts w:ascii="Times" w:hAnsi="Times" w:cs="Times"/>
        </w:rPr>
        <w:t>+SI1×</w:t>
      </w:r>
      <w:r>
        <w:rPr>
          <w:rFonts w:ascii="Times" w:hAnsi="Times" w:cs="Times"/>
          <w:i/>
          <w:iCs/>
        </w:rPr>
        <w:t>i3</w:t>
      </w:r>
    </w:p>
    <w:p w14:paraId="7200DF73">
      <w:pPr>
        <w:ind w:firstLine="480"/>
      </w:pPr>
      <w:r>
        <w:rPr>
          <w:rFonts w:hint="eastAsia"/>
        </w:rPr>
        <w:t>各项指标的权重系数，对不同类型的工业遗迹改造项目的有较大差别，可结合专家咨询、国内外相关项目统计数据提供参照指标，以规范化的评估方法，实现改造项目方案的量化评估，有助于工业遗迹改造项目的方案优化，可有效改造规划决策。</w:t>
      </w:r>
    </w:p>
    <w:p w14:paraId="26892176">
      <w:pPr>
        <w:pStyle w:val="30"/>
        <w:numPr>
          <w:ilvl w:val="0"/>
          <w:numId w:val="8"/>
        </w:numPr>
        <w:spacing w:before="163" w:beforeLines="50" w:after="163" w:afterLines="50"/>
        <w:ind w:firstLineChars="0"/>
        <w:jc w:val="center"/>
        <w:outlineLvl w:val="1"/>
        <w:rPr>
          <w:b/>
          <w:bCs/>
          <w:sz w:val="28"/>
          <w:szCs w:val="28"/>
        </w:rPr>
      </w:pPr>
      <w:bookmarkStart w:id="110" w:name="_Toc212057055"/>
      <w:r>
        <w:rPr>
          <w:rFonts w:hint="eastAsia"/>
          <w:b/>
          <w:bCs/>
          <w:sz w:val="28"/>
          <w:szCs w:val="28"/>
        </w:rPr>
        <w:t>生态修复成效评价</w:t>
      </w:r>
      <w:bookmarkEnd w:id="110"/>
      <w:r>
        <w:rPr>
          <w:rFonts w:hint="eastAsia"/>
          <w:b/>
          <w:bCs/>
          <w:sz w:val="28"/>
          <w:szCs w:val="28"/>
        </w:rPr>
        <w:tab/>
      </w:r>
    </w:p>
    <w:p w14:paraId="75D567E2">
      <w:pPr>
        <w:ind w:firstLine="480"/>
      </w:pPr>
      <w:r>
        <w:rPr>
          <w:rFonts w:hint="eastAsia"/>
        </w:rPr>
        <w:t>城市工矿区生态修复效果结合工矿区修复模式主要修复技术，对地貌重塑、土壤重构、植被重建、景观重现、生物多样性保护与重组等方面评定。</w:t>
      </w:r>
    </w:p>
    <w:p w14:paraId="16FF35E6">
      <w:pPr>
        <w:ind w:firstLine="482"/>
        <w:jc w:val="center"/>
        <w:rPr>
          <w:rFonts w:ascii="宋体" w:hAnsi="宋体"/>
          <w:b/>
          <w:bCs/>
        </w:rPr>
      </w:pPr>
      <w:r>
        <w:rPr>
          <w:rFonts w:hint="eastAsia" w:ascii="宋体" w:hAnsi="宋体"/>
          <w:b/>
          <w:bCs/>
        </w:rPr>
        <w:t>表</w:t>
      </w:r>
      <w:r>
        <w:rPr>
          <w:rFonts w:cs="Times New Roman"/>
          <w:b/>
          <w:bCs/>
        </w:rPr>
        <w:t>10.4.1-1</w:t>
      </w:r>
      <w:r>
        <w:rPr>
          <w:rFonts w:hint="eastAsia" w:ascii="宋体" w:hAnsi="宋体"/>
          <w:b/>
          <w:bCs/>
        </w:rPr>
        <w:t>城市工矿区生态修复效果评估表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0"/>
        <w:gridCol w:w="1577"/>
        <w:gridCol w:w="3644"/>
        <w:gridCol w:w="1831"/>
      </w:tblGrid>
      <w:tr w14:paraId="03166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63" w:type="pct"/>
            <w:shd w:val="clear" w:color="auto" w:fill="auto"/>
          </w:tcPr>
          <w:p w14:paraId="57C38881">
            <w:pPr>
              <w:pStyle w:val="31"/>
              <w:jc w:val="both"/>
              <w:rPr>
                <w:rFonts w:ascii="Times New Roman" w:eastAsia="宋体"/>
              </w:rPr>
            </w:pPr>
            <w:r>
              <w:rPr>
                <w:rFonts w:hint="eastAsia" w:ascii="Times New Roman" w:eastAsia="宋体"/>
              </w:rPr>
              <w:t>评估内容</w:t>
            </w:r>
          </w:p>
        </w:tc>
        <w:tc>
          <w:tcPr>
            <w:tcW w:w="925" w:type="pct"/>
            <w:shd w:val="clear" w:color="auto" w:fill="auto"/>
          </w:tcPr>
          <w:p w14:paraId="03588F70">
            <w:pPr>
              <w:pStyle w:val="31"/>
              <w:jc w:val="both"/>
              <w:rPr>
                <w:rFonts w:ascii="Times New Roman" w:eastAsia="宋体"/>
              </w:rPr>
            </w:pPr>
            <w:r>
              <w:rPr>
                <w:rFonts w:hint="eastAsia" w:ascii="Times New Roman" w:eastAsia="宋体"/>
              </w:rPr>
              <w:t>评估指标</w:t>
            </w:r>
          </w:p>
        </w:tc>
        <w:tc>
          <w:tcPr>
            <w:tcW w:w="2138" w:type="pct"/>
            <w:shd w:val="clear" w:color="auto" w:fill="auto"/>
          </w:tcPr>
          <w:p w14:paraId="7783759B">
            <w:pPr>
              <w:pStyle w:val="31"/>
              <w:jc w:val="both"/>
              <w:rPr>
                <w:rFonts w:ascii="Times New Roman" w:eastAsia="宋体"/>
              </w:rPr>
            </w:pPr>
            <w:r>
              <w:rPr>
                <w:rFonts w:hint="eastAsia" w:ascii="Times New Roman" w:eastAsia="宋体"/>
              </w:rPr>
              <w:t>评定依据</w:t>
            </w:r>
          </w:p>
        </w:tc>
        <w:tc>
          <w:tcPr>
            <w:tcW w:w="1074" w:type="pct"/>
            <w:shd w:val="clear" w:color="auto" w:fill="auto"/>
          </w:tcPr>
          <w:p w14:paraId="0943A4D0">
            <w:pPr>
              <w:pStyle w:val="31"/>
              <w:jc w:val="both"/>
              <w:rPr>
                <w:rFonts w:ascii="Times New Roman" w:eastAsia="宋体"/>
              </w:rPr>
            </w:pPr>
            <w:r>
              <w:rPr>
                <w:rFonts w:hint="eastAsia" w:ascii="Times New Roman" w:eastAsia="宋体"/>
              </w:rPr>
              <w:t>评分范围</w:t>
            </w:r>
          </w:p>
        </w:tc>
      </w:tr>
      <w:tr w14:paraId="7BBB5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863" w:type="pct"/>
            <w:vMerge w:val="restart"/>
            <w:shd w:val="clear" w:color="auto" w:fill="auto"/>
          </w:tcPr>
          <w:p w14:paraId="0DD828DD">
            <w:pPr>
              <w:pStyle w:val="31"/>
              <w:jc w:val="both"/>
              <w:rPr>
                <w:rFonts w:ascii="Times New Roman" w:eastAsia="宋体"/>
              </w:rPr>
            </w:pPr>
            <w:r>
              <w:rPr>
                <w:rFonts w:hint="eastAsia" w:ascii="Times New Roman" w:eastAsia="宋体"/>
              </w:rPr>
              <w:t>与规划、方案的吻合程度（</w:t>
            </w:r>
            <w:r>
              <w:rPr>
                <w:rFonts w:ascii="Times New Roman" w:eastAsia="宋体"/>
              </w:rPr>
              <w:t>10</w:t>
            </w:r>
            <w:r>
              <w:rPr>
                <w:rFonts w:hint="eastAsia" w:ascii="Times New Roman" w:eastAsia="宋体"/>
              </w:rPr>
              <w:t>分）</w:t>
            </w:r>
          </w:p>
        </w:tc>
        <w:tc>
          <w:tcPr>
            <w:tcW w:w="925" w:type="pct"/>
            <w:vMerge w:val="restart"/>
            <w:shd w:val="clear" w:color="auto" w:fill="auto"/>
          </w:tcPr>
          <w:p w14:paraId="38A44FB9">
            <w:pPr>
              <w:pStyle w:val="31"/>
              <w:jc w:val="both"/>
              <w:rPr>
                <w:rFonts w:ascii="Times New Roman" w:eastAsia="宋体"/>
              </w:rPr>
            </w:pPr>
            <w:r>
              <w:rPr>
                <w:rFonts w:hint="eastAsia" w:ascii="Times New Roman" w:eastAsia="宋体"/>
              </w:rPr>
              <w:t>修复工程完成情况</w:t>
            </w:r>
          </w:p>
        </w:tc>
        <w:tc>
          <w:tcPr>
            <w:tcW w:w="2138" w:type="pct"/>
            <w:shd w:val="clear" w:color="auto" w:fill="auto"/>
          </w:tcPr>
          <w:p w14:paraId="129347D9">
            <w:pPr>
              <w:pStyle w:val="31"/>
              <w:jc w:val="both"/>
              <w:rPr>
                <w:rFonts w:ascii="Times New Roman" w:eastAsia="宋体"/>
              </w:rPr>
            </w:pPr>
            <w:r>
              <w:rPr>
                <w:rFonts w:hint="eastAsia" w:ascii="Times New Roman" w:eastAsia="宋体"/>
              </w:rPr>
              <w:t>修复工程类型、数量，与规划或方案吻合，完成质量高</w:t>
            </w:r>
          </w:p>
        </w:tc>
        <w:tc>
          <w:tcPr>
            <w:tcW w:w="1074" w:type="pct"/>
            <w:shd w:val="clear" w:color="auto" w:fill="auto"/>
          </w:tcPr>
          <w:p w14:paraId="373808EE">
            <w:pPr>
              <w:pStyle w:val="31"/>
              <w:jc w:val="both"/>
              <w:rPr>
                <w:rFonts w:ascii="Times New Roman" w:eastAsia="宋体"/>
              </w:rPr>
            </w:pPr>
            <w:r>
              <w:rPr>
                <w:rFonts w:ascii="Times New Roman" w:eastAsia="宋体"/>
              </w:rPr>
              <w:t>8-10</w:t>
            </w:r>
          </w:p>
        </w:tc>
      </w:tr>
      <w:tr w14:paraId="4E1AD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863" w:type="pct"/>
            <w:vMerge w:val="continue"/>
          </w:tcPr>
          <w:p w14:paraId="5CD27EB3">
            <w:pPr>
              <w:pStyle w:val="31"/>
              <w:jc w:val="both"/>
              <w:rPr>
                <w:rFonts w:ascii="Times New Roman" w:eastAsia="宋体"/>
              </w:rPr>
            </w:pPr>
          </w:p>
        </w:tc>
        <w:tc>
          <w:tcPr>
            <w:tcW w:w="925" w:type="pct"/>
            <w:vMerge w:val="continue"/>
          </w:tcPr>
          <w:p w14:paraId="1253835B">
            <w:pPr>
              <w:pStyle w:val="31"/>
              <w:jc w:val="both"/>
              <w:rPr>
                <w:rFonts w:ascii="Times New Roman" w:eastAsia="宋体"/>
              </w:rPr>
            </w:pPr>
          </w:p>
        </w:tc>
        <w:tc>
          <w:tcPr>
            <w:tcW w:w="2138" w:type="pct"/>
            <w:shd w:val="clear" w:color="auto" w:fill="auto"/>
          </w:tcPr>
          <w:p w14:paraId="28E2E3DF">
            <w:pPr>
              <w:pStyle w:val="31"/>
              <w:jc w:val="both"/>
              <w:rPr>
                <w:rFonts w:ascii="Times New Roman" w:eastAsia="宋体"/>
              </w:rPr>
            </w:pPr>
            <w:r>
              <w:rPr>
                <w:rFonts w:hint="eastAsia" w:ascii="Times New Roman" w:eastAsia="宋体"/>
              </w:rPr>
              <w:t>修复工程类型、数量，与规划或方案基本吻合，经过变更后完成质量优于规划或方案</w:t>
            </w:r>
          </w:p>
        </w:tc>
        <w:tc>
          <w:tcPr>
            <w:tcW w:w="1074" w:type="pct"/>
            <w:shd w:val="clear" w:color="auto" w:fill="auto"/>
          </w:tcPr>
          <w:p w14:paraId="234CA320">
            <w:pPr>
              <w:pStyle w:val="31"/>
              <w:jc w:val="both"/>
              <w:rPr>
                <w:rFonts w:ascii="Times New Roman" w:eastAsia="宋体"/>
              </w:rPr>
            </w:pPr>
            <w:r>
              <w:rPr>
                <w:rFonts w:ascii="Times New Roman" w:eastAsia="宋体"/>
              </w:rPr>
              <w:t>5-7</w:t>
            </w:r>
          </w:p>
        </w:tc>
      </w:tr>
      <w:tr w14:paraId="7B01A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863" w:type="pct"/>
            <w:vMerge w:val="continue"/>
          </w:tcPr>
          <w:p w14:paraId="76A57D1E">
            <w:pPr>
              <w:pStyle w:val="31"/>
              <w:jc w:val="both"/>
              <w:rPr>
                <w:rFonts w:ascii="Times New Roman" w:eastAsia="宋体"/>
              </w:rPr>
            </w:pPr>
          </w:p>
        </w:tc>
        <w:tc>
          <w:tcPr>
            <w:tcW w:w="925" w:type="pct"/>
            <w:vMerge w:val="continue"/>
          </w:tcPr>
          <w:p w14:paraId="45BDD3F2">
            <w:pPr>
              <w:pStyle w:val="31"/>
              <w:jc w:val="both"/>
              <w:rPr>
                <w:rFonts w:ascii="Times New Roman" w:eastAsia="宋体"/>
              </w:rPr>
            </w:pPr>
          </w:p>
        </w:tc>
        <w:tc>
          <w:tcPr>
            <w:tcW w:w="2138" w:type="pct"/>
            <w:shd w:val="clear" w:color="auto" w:fill="auto"/>
          </w:tcPr>
          <w:p w14:paraId="1E78C20F">
            <w:pPr>
              <w:pStyle w:val="31"/>
              <w:jc w:val="both"/>
              <w:rPr>
                <w:rFonts w:ascii="Times New Roman" w:eastAsia="宋体"/>
              </w:rPr>
            </w:pPr>
            <w:r>
              <w:rPr>
                <w:rFonts w:hint="eastAsia" w:ascii="Times New Roman" w:eastAsia="宋体"/>
              </w:rPr>
              <w:t>修复工程类型、数量，与规划或方案不吻合，经过变更后修复质量低于规划或方案</w:t>
            </w:r>
          </w:p>
        </w:tc>
        <w:tc>
          <w:tcPr>
            <w:tcW w:w="1074" w:type="pct"/>
            <w:shd w:val="clear" w:color="auto" w:fill="auto"/>
          </w:tcPr>
          <w:p w14:paraId="19B97672">
            <w:pPr>
              <w:pStyle w:val="31"/>
              <w:jc w:val="both"/>
              <w:rPr>
                <w:rFonts w:ascii="Times New Roman" w:eastAsia="宋体"/>
              </w:rPr>
            </w:pPr>
            <w:r>
              <w:rPr>
                <w:rFonts w:ascii="Times New Roman" w:eastAsia="宋体"/>
              </w:rPr>
              <w:t>0-4</w:t>
            </w:r>
          </w:p>
        </w:tc>
      </w:tr>
      <w:tr w14:paraId="59DB8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63" w:type="pct"/>
            <w:vMerge w:val="restart"/>
            <w:shd w:val="clear" w:color="auto" w:fill="auto"/>
          </w:tcPr>
          <w:p w14:paraId="08979413">
            <w:pPr>
              <w:pStyle w:val="31"/>
              <w:jc w:val="both"/>
              <w:rPr>
                <w:rFonts w:ascii="Times New Roman" w:eastAsia="宋体"/>
              </w:rPr>
            </w:pPr>
            <w:r>
              <w:rPr>
                <w:rFonts w:hint="eastAsia" w:ascii="Times New Roman" w:eastAsia="宋体"/>
              </w:rPr>
              <w:t>工矿区地质安全性（</w:t>
            </w:r>
            <w:r>
              <w:rPr>
                <w:rFonts w:ascii="Times New Roman" w:eastAsia="宋体"/>
              </w:rPr>
              <w:t>24</w:t>
            </w:r>
            <w:r>
              <w:rPr>
                <w:rFonts w:hint="eastAsia" w:ascii="Times New Roman" w:eastAsia="宋体"/>
              </w:rPr>
              <w:t>分）</w:t>
            </w:r>
          </w:p>
        </w:tc>
        <w:tc>
          <w:tcPr>
            <w:tcW w:w="925" w:type="pct"/>
            <w:vMerge w:val="restart"/>
            <w:shd w:val="clear" w:color="auto" w:fill="auto"/>
          </w:tcPr>
          <w:p w14:paraId="3A184DFB">
            <w:pPr>
              <w:pStyle w:val="31"/>
              <w:jc w:val="both"/>
              <w:rPr>
                <w:rFonts w:ascii="Times New Roman" w:eastAsia="宋体"/>
              </w:rPr>
            </w:pPr>
            <w:r>
              <w:rPr>
                <w:rFonts w:hint="eastAsia" w:ascii="Times New Roman" w:eastAsia="宋体"/>
              </w:rPr>
              <w:t>工矿区地质灾害防治</w:t>
            </w:r>
          </w:p>
        </w:tc>
        <w:tc>
          <w:tcPr>
            <w:tcW w:w="2138" w:type="pct"/>
            <w:shd w:val="clear" w:color="auto" w:fill="auto"/>
          </w:tcPr>
          <w:p w14:paraId="51746F0C">
            <w:pPr>
              <w:pStyle w:val="31"/>
              <w:jc w:val="both"/>
              <w:rPr>
                <w:rFonts w:ascii="Times New Roman" w:eastAsia="宋体"/>
              </w:rPr>
            </w:pPr>
            <w:r>
              <w:rPr>
                <w:rFonts w:hint="eastAsia" w:ascii="Times New Roman" w:eastAsia="宋体"/>
              </w:rPr>
              <w:t>工矿区地质灾害隐患的类型、规模和数量清晰明确，所有地质灾害隐患得到合理处置、地质灾害处置措施科学合理。</w:t>
            </w:r>
          </w:p>
        </w:tc>
        <w:tc>
          <w:tcPr>
            <w:tcW w:w="1074" w:type="pct"/>
            <w:shd w:val="clear" w:color="auto" w:fill="auto"/>
          </w:tcPr>
          <w:p w14:paraId="7AD50988">
            <w:pPr>
              <w:pStyle w:val="31"/>
              <w:jc w:val="both"/>
              <w:rPr>
                <w:rFonts w:ascii="Times New Roman" w:eastAsia="宋体"/>
              </w:rPr>
            </w:pPr>
            <w:r>
              <w:rPr>
                <w:rFonts w:ascii="Times New Roman" w:eastAsia="宋体"/>
              </w:rPr>
              <w:t>19-24</w:t>
            </w:r>
          </w:p>
        </w:tc>
      </w:tr>
      <w:tr w14:paraId="20436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63" w:type="pct"/>
            <w:vMerge w:val="continue"/>
          </w:tcPr>
          <w:p w14:paraId="570A0915">
            <w:pPr>
              <w:pStyle w:val="31"/>
              <w:jc w:val="both"/>
              <w:rPr>
                <w:rFonts w:ascii="Times New Roman" w:eastAsia="宋体"/>
              </w:rPr>
            </w:pPr>
          </w:p>
        </w:tc>
        <w:tc>
          <w:tcPr>
            <w:tcW w:w="925" w:type="pct"/>
            <w:vMerge w:val="continue"/>
          </w:tcPr>
          <w:p w14:paraId="370B3DCD">
            <w:pPr>
              <w:pStyle w:val="31"/>
              <w:jc w:val="both"/>
              <w:rPr>
                <w:rFonts w:ascii="Times New Roman" w:eastAsia="宋体"/>
              </w:rPr>
            </w:pPr>
          </w:p>
        </w:tc>
        <w:tc>
          <w:tcPr>
            <w:tcW w:w="2138" w:type="pct"/>
            <w:shd w:val="clear" w:color="auto" w:fill="auto"/>
          </w:tcPr>
          <w:p w14:paraId="454EACC7">
            <w:pPr>
              <w:pStyle w:val="31"/>
              <w:jc w:val="both"/>
              <w:rPr>
                <w:rFonts w:ascii="Times New Roman" w:eastAsia="宋体"/>
              </w:rPr>
            </w:pPr>
            <w:r>
              <w:rPr>
                <w:rFonts w:hint="eastAsia" w:ascii="Times New Roman" w:eastAsia="宋体"/>
              </w:rPr>
              <w:t>工矿区地质灾害隐患的类型、规模和数量基本清楚，个别危险性小的地质灾害隐患未作处置，地质灾害处置措施基本合理。</w:t>
            </w:r>
          </w:p>
        </w:tc>
        <w:tc>
          <w:tcPr>
            <w:tcW w:w="1074" w:type="pct"/>
            <w:shd w:val="clear" w:color="auto" w:fill="auto"/>
          </w:tcPr>
          <w:p w14:paraId="764716D2">
            <w:pPr>
              <w:pStyle w:val="31"/>
              <w:jc w:val="both"/>
              <w:rPr>
                <w:rFonts w:ascii="Times New Roman" w:eastAsia="宋体"/>
              </w:rPr>
            </w:pPr>
            <w:r>
              <w:rPr>
                <w:rFonts w:ascii="Times New Roman" w:eastAsia="宋体"/>
              </w:rPr>
              <w:t>11-18</w:t>
            </w:r>
          </w:p>
        </w:tc>
      </w:tr>
      <w:tr w14:paraId="71F5E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63" w:type="pct"/>
            <w:vMerge w:val="continue"/>
          </w:tcPr>
          <w:p w14:paraId="56289CE6">
            <w:pPr>
              <w:pStyle w:val="31"/>
              <w:jc w:val="both"/>
              <w:rPr>
                <w:rFonts w:ascii="Times New Roman" w:eastAsia="宋体"/>
              </w:rPr>
            </w:pPr>
          </w:p>
        </w:tc>
        <w:tc>
          <w:tcPr>
            <w:tcW w:w="925" w:type="pct"/>
            <w:vMerge w:val="continue"/>
          </w:tcPr>
          <w:p w14:paraId="6F18154B">
            <w:pPr>
              <w:pStyle w:val="31"/>
              <w:jc w:val="both"/>
              <w:rPr>
                <w:rFonts w:ascii="Times New Roman" w:eastAsia="宋体"/>
              </w:rPr>
            </w:pPr>
          </w:p>
        </w:tc>
        <w:tc>
          <w:tcPr>
            <w:tcW w:w="2138" w:type="pct"/>
            <w:shd w:val="clear" w:color="auto" w:fill="auto"/>
          </w:tcPr>
          <w:p w14:paraId="09F5D41D">
            <w:pPr>
              <w:pStyle w:val="31"/>
              <w:jc w:val="both"/>
              <w:rPr>
                <w:rFonts w:ascii="Times New Roman" w:eastAsia="宋体"/>
              </w:rPr>
            </w:pPr>
            <w:r>
              <w:rPr>
                <w:rFonts w:hint="eastAsia" w:ascii="Times New Roman" w:eastAsia="宋体"/>
              </w:rPr>
              <w:t>工矿区地质灾害隐患的类型、规模和数量不清晰，某些地质灾害隐患未得到处置，地质灾害处置措施不合理。</w:t>
            </w:r>
          </w:p>
        </w:tc>
        <w:tc>
          <w:tcPr>
            <w:tcW w:w="1074" w:type="pct"/>
            <w:shd w:val="clear" w:color="auto" w:fill="auto"/>
          </w:tcPr>
          <w:p w14:paraId="36D7055F">
            <w:pPr>
              <w:pStyle w:val="31"/>
              <w:jc w:val="both"/>
              <w:rPr>
                <w:rFonts w:ascii="Times New Roman" w:eastAsia="宋体"/>
              </w:rPr>
            </w:pPr>
            <w:r>
              <w:rPr>
                <w:rFonts w:ascii="Times New Roman" w:eastAsia="宋体"/>
              </w:rPr>
              <w:t>0-10</w:t>
            </w:r>
          </w:p>
        </w:tc>
      </w:tr>
      <w:tr w14:paraId="3AA41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863" w:type="pct"/>
            <w:vMerge w:val="restart"/>
            <w:shd w:val="clear" w:color="auto" w:fill="auto"/>
          </w:tcPr>
          <w:p w14:paraId="01B099C2">
            <w:pPr>
              <w:pStyle w:val="31"/>
              <w:jc w:val="both"/>
              <w:rPr>
                <w:rFonts w:ascii="Times New Roman" w:eastAsia="宋体"/>
              </w:rPr>
            </w:pPr>
            <w:r>
              <w:rPr>
                <w:rFonts w:hint="eastAsia" w:ascii="Times New Roman" w:eastAsia="宋体"/>
              </w:rPr>
              <w:t>生态修复稳定性（</w:t>
            </w:r>
            <w:r>
              <w:rPr>
                <w:rFonts w:ascii="Times New Roman" w:eastAsia="宋体"/>
              </w:rPr>
              <w:t>30</w:t>
            </w:r>
            <w:r>
              <w:rPr>
                <w:rFonts w:hint="eastAsia" w:ascii="Times New Roman" w:eastAsia="宋体"/>
              </w:rPr>
              <w:t>分）</w:t>
            </w:r>
          </w:p>
        </w:tc>
        <w:tc>
          <w:tcPr>
            <w:tcW w:w="925" w:type="pct"/>
            <w:vMerge w:val="restart"/>
            <w:shd w:val="clear" w:color="auto" w:fill="auto"/>
          </w:tcPr>
          <w:p w14:paraId="6F0766F0">
            <w:pPr>
              <w:pStyle w:val="31"/>
              <w:jc w:val="both"/>
              <w:rPr>
                <w:rFonts w:ascii="Times New Roman" w:eastAsia="宋体"/>
              </w:rPr>
            </w:pPr>
            <w:r>
              <w:rPr>
                <w:rFonts w:hint="eastAsia" w:ascii="Times New Roman" w:eastAsia="宋体"/>
              </w:rPr>
              <w:t>场地防护稳定性（</w:t>
            </w:r>
            <w:r>
              <w:rPr>
                <w:rFonts w:ascii="Times New Roman" w:eastAsia="宋体"/>
              </w:rPr>
              <w:t>10</w:t>
            </w:r>
            <w:r>
              <w:rPr>
                <w:rFonts w:hint="eastAsia" w:ascii="Times New Roman" w:eastAsia="宋体"/>
              </w:rPr>
              <w:t>分）</w:t>
            </w:r>
          </w:p>
        </w:tc>
        <w:tc>
          <w:tcPr>
            <w:tcW w:w="2138" w:type="pct"/>
            <w:shd w:val="clear" w:color="auto" w:fill="auto"/>
          </w:tcPr>
          <w:p w14:paraId="0A04FFA0">
            <w:pPr>
              <w:pStyle w:val="31"/>
              <w:jc w:val="both"/>
              <w:rPr>
                <w:rFonts w:ascii="Times New Roman" w:eastAsia="宋体"/>
              </w:rPr>
            </w:pPr>
            <w:r>
              <w:rPr>
                <w:rFonts w:hint="eastAsia" w:ascii="Times New Roman" w:eastAsia="宋体"/>
              </w:rPr>
              <w:t>修复场地的防洪能力，预防水土流失能力和地质灾害能力强。</w:t>
            </w:r>
          </w:p>
        </w:tc>
        <w:tc>
          <w:tcPr>
            <w:tcW w:w="1074" w:type="pct"/>
            <w:shd w:val="clear" w:color="auto" w:fill="auto"/>
          </w:tcPr>
          <w:p w14:paraId="7CCF6008">
            <w:pPr>
              <w:pStyle w:val="31"/>
              <w:jc w:val="both"/>
              <w:rPr>
                <w:rFonts w:ascii="Times New Roman" w:eastAsia="宋体"/>
              </w:rPr>
            </w:pPr>
            <w:r>
              <w:rPr>
                <w:rFonts w:ascii="Times New Roman" w:eastAsia="宋体"/>
              </w:rPr>
              <w:t>8-10</w:t>
            </w:r>
          </w:p>
        </w:tc>
      </w:tr>
      <w:tr w14:paraId="7043A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863" w:type="pct"/>
            <w:vMerge w:val="continue"/>
          </w:tcPr>
          <w:p w14:paraId="44ABBD44">
            <w:pPr>
              <w:pStyle w:val="31"/>
              <w:jc w:val="both"/>
              <w:rPr>
                <w:rFonts w:ascii="Times New Roman" w:eastAsia="宋体"/>
              </w:rPr>
            </w:pPr>
          </w:p>
        </w:tc>
        <w:tc>
          <w:tcPr>
            <w:tcW w:w="925" w:type="pct"/>
            <w:vMerge w:val="continue"/>
          </w:tcPr>
          <w:p w14:paraId="0B88A862">
            <w:pPr>
              <w:pStyle w:val="31"/>
              <w:jc w:val="both"/>
              <w:rPr>
                <w:rFonts w:ascii="Times New Roman" w:eastAsia="宋体"/>
              </w:rPr>
            </w:pPr>
          </w:p>
        </w:tc>
        <w:tc>
          <w:tcPr>
            <w:tcW w:w="2138" w:type="pct"/>
            <w:shd w:val="clear" w:color="auto" w:fill="auto"/>
          </w:tcPr>
          <w:p w14:paraId="14B06071">
            <w:pPr>
              <w:pStyle w:val="31"/>
              <w:jc w:val="both"/>
              <w:rPr>
                <w:rFonts w:ascii="Times New Roman" w:eastAsia="宋体"/>
              </w:rPr>
            </w:pPr>
            <w:r>
              <w:rPr>
                <w:rFonts w:hint="eastAsia" w:ascii="Times New Roman" w:eastAsia="宋体"/>
              </w:rPr>
              <w:t>修复场地的防洪能力，预防水土流失能力和地质灾害能力较强。</w:t>
            </w:r>
          </w:p>
        </w:tc>
        <w:tc>
          <w:tcPr>
            <w:tcW w:w="1074" w:type="pct"/>
            <w:shd w:val="clear" w:color="auto" w:fill="auto"/>
          </w:tcPr>
          <w:p w14:paraId="4D70824D">
            <w:pPr>
              <w:pStyle w:val="31"/>
              <w:jc w:val="both"/>
              <w:rPr>
                <w:rFonts w:ascii="Times New Roman" w:eastAsia="宋体"/>
              </w:rPr>
            </w:pPr>
            <w:r>
              <w:rPr>
                <w:rFonts w:ascii="Times New Roman" w:eastAsia="宋体"/>
              </w:rPr>
              <w:t>5-7</w:t>
            </w:r>
          </w:p>
        </w:tc>
      </w:tr>
      <w:tr w14:paraId="0DA14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863" w:type="pct"/>
            <w:vMerge w:val="continue"/>
          </w:tcPr>
          <w:p w14:paraId="6E6E7632">
            <w:pPr>
              <w:pStyle w:val="31"/>
              <w:jc w:val="both"/>
              <w:rPr>
                <w:rFonts w:ascii="Times New Roman" w:eastAsia="宋体"/>
              </w:rPr>
            </w:pPr>
          </w:p>
        </w:tc>
        <w:tc>
          <w:tcPr>
            <w:tcW w:w="925" w:type="pct"/>
            <w:vMerge w:val="continue"/>
          </w:tcPr>
          <w:p w14:paraId="1EB94FC8">
            <w:pPr>
              <w:pStyle w:val="31"/>
              <w:jc w:val="both"/>
              <w:rPr>
                <w:rFonts w:ascii="Times New Roman" w:eastAsia="宋体"/>
              </w:rPr>
            </w:pPr>
          </w:p>
        </w:tc>
        <w:tc>
          <w:tcPr>
            <w:tcW w:w="2138" w:type="pct"/>
            <w:shd w:val="clear" w:color="auto" w:fill="auto"/>
          </w:tcPr>
          <w:p w14:paraId="4636699F">
            <w:pPr>
              <w:pStyle w:val="31"/>
              <w:jc w:val="both"/>
              <w:rPr>
                <w:rFonts w:ascii="Times New Roman" w:eastAsia="宋体"/>
              </w:rPr>
            </w:pPr>
            <w:r>
              <w:rPr>
                <w:rFonts w:hint="eastAsia" w:ascii="Times New Roman" w:eastAsia="宋体"/>
              </w:rPr>
              <w:t>修复场地未能考虑其防洪能力，预防水土流失能力和地质灾害能力问题。</w:t>
            </w:r>
          </w:p>
        </w:tc>
        <w:tc>
          <w:tcPr>
            <w:tcW w:w="1074" w:type="pct"/>
            <w:shd w:val="clear" w:color="auto" w:fill="auto"/>
          </w:tcPr>
          <w:p w14:paraId="307EDAEB">
            <w:pPr>
              <w:pStyle w:val="31"/>
              <w:jc w:val="both"/>
              <w:rPr>
                <w:rFonts w:ascii="Times New Roman" w:eastAsia="宋体"/>
              </w:rPr>
            </w:pPr>
            <w:r>
              <w:rPr>
                <w:rFonts w:ascii="Times New Roman" w:eastAsia="宋体"/>
              </w:rPr>
              <w:t>0-4</w:t>
            </w:r>
          </w:p>
        </w:tc>
      </w:tr>
      <w:tr w14:paraId="619A7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863" w:type="pct"/>
            <w:vMerge w:val="continue"/>
          </w:tcPr>
          <w:p w14:paraId="7E5183A6">
            <w:pPr>
              <w:pStyle w:val="31"/>
              <w:jc w:val="both"/>
              <w:rPr>
                <w:rFonts w:ascii="Times New Roman" w:eastAsia="宋体"/>
              </w:rPr>
            </w:pPr>
          </w:p>
        </w:tc>
        <w:tc>
          <w:tcPr>
            <w:tcW w:w="925" w:type="pct"/>
            <w:vMerge w:val="restart"/>
            <w:shd w:val="clear" w:color="auto" w:fill="auto"/>
          </w:tcPr>
          <w:p w14:paraId="18346F1E">
            <w:pPr>
              <w:pStyle w:val="31"/>
              <w:jc w:val="both"/>
              <w:rPr>
                <w:rFonts w:ascii="Times New Roman" w:eastAsia="宋体"/>
              </w:rPr>
            </w:pPr>
            <w:r>
              <w:rPr>
                <w:rFonts w:hint="eastAsia" w:ascii="Times New Roman" w:eastAsia="宋体"/>
              </w:rPr>
              <w:t>植被功能稳定性（</w:t>
            </w:r>
            <w:r>
              <w:rPr>
                <w:rFonts w:ascii="Times New Roman" w:eastAsia="宋体"/>
              </w:rPr>
              <w:t>15</w:t>
            </w:r>
            <w:r>
              <w:rPr>
                <w:rFonts w:hint="eastAsia" w:ascii="Times New Roman" w:eastAsia="宋体"/>
              </w:rPr>
              <w:t>分）</w:t>
            </w:r>
          </w:p>
        </w:tc>
        <w:tc>
          <w:tcPr>
            <w:tcW w:w="2138" w:type="pct"/>
            <w:shd w:val="clear" w:color="auto" w:fill="auto"/>
          </w:tcPr>
          <w:p w14:paraId="2E979676">
            <w:pPr>
              <w:pStyle w:val="31"/>
              <w:jc w:val="both"/>
              <w:rPr>
                <w:rFonts w:ascii="Times New Roman" w:eastAsia="宋体"/>
              </w:rPr>
            </w:pPr>
            <w:r>
              <w:rPr>
                <w:rFonts w:hint="eastAsia" w:ascii="Times New Roman" w:eastAsia="宋体"/>
              </w:rPr>
              <w:t>场地绿化后的植被成活率大于等于</w:t>
            </w:r>
            <w:r>
              <w:rPr>
                <w:rFonts w:ascii="Times New Roman" w:eastAsia="宋体"/>
              </w:rPr>
              <w:t>80%</w:t>
            </w:r>
            <w:r>
              <w:rPr>
                <w:rFonts w:hint="eastAsia" w:ascii="Times New Roman" w:eastAsia="宋体"/>
              </w:rPr>
              <w:t>，植被覆盖度比修复前有显著增加。</w:t>
            </w:r>
          </w:p>
        </w:tc>
        <w:tc>
          <w:tcPr>
            <w:tcW w:w="1074" w:type="pct"/>
            <w:shd w:val="clear" w:color="auto" w:fill="auto"/>
          </w:tcPr>
          <w:p w14:paraId="0873E810">
            <w:pPr>
              <w:pStyle w:val="31"/>
              <w:jc w:val="both"/>
              <w:rPr>
                <w:rFonts w:ascii="Times New Roman" w:eastAsia="宋体"/>
              </w:rPr>
            </w:pPr>
            <w:r>
              <w:rPr>
                <w:rFonts w:ascii="Times New Roman" w:eastAsia="宋体"/>
              </w:rPr>
              <w:t>11-15</w:t>
            </w:r>
          </w:p>
        </w:tc>
      </w:tr>
      <w:tr w14:paraId="46C32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863" w:type="pct"/>
            <w:vMerge w:val="continue"/>
          </w:tcPr>
          <w:p w14:paraId="7D6D44B4">
            <w:pPr>
              <w:pStyle w:val="31"/>
              <w:jc w:val="both"/>
              <w:rPr>
                <w:rFonts w:ascii="Times New Roman" w:eastAsia="宋体"/>
              </w:rPr>
            </w:pPr>
          </w:p>
        </w:tc>
        <w:tc>
          <w:tcPr>
            <w:tcW w:w="925" w:type="pct"/>
            <w:vMerge w:val="continue"/>
          </w:tcPr>
          <w:p w14:paraId="63F1A234">
            <w:pPr>
              <w:pStyle w:val="31"/>
              <w:jc w:val="both"/>
              <w:rPr>
                <w:rFonts w:ascii="Times New Roman" w:eastAsia="宋体"/>
              </w:rPr>
            </w:pPr>
          </w:p>
        </w:tc>
        <w:tc>
          <w:tcPr>
            <w:tcW w:w="2138" w:type="pct"/>
            <w:shd w:val="clear" w:color="auto" w:fill="auto"/>
          </w:tcPr>
          <w:p w14:paraId="47E8859F">
            <w:pPr>
              <w:pStyle w:val="31"/>
              <w:jc w:val="both"/>
              <w:rPr>
                <w:rFonts w:ascii="Times New Roman" w:eastAsia="宋体"/>
              </w:rPr>
            </w:pPr>
            <w:r>
              <w:rPr>
                <w:rFonts w:hint="eastAsia" w:ascii="Times New Roman" w:eastAsia="宋体"/>
              </w:rPr>
              <w:t>场地绿化后的植被成活率大于等于</w:t>
            </w:r>
            <w:r>
              <w:rPr>
                <w:rFonts w:ascii="Times New Roman" w:eastAsia="宋体"/>
              </w:rPr>
              <w:t>60%</w:t>
            </w:r>
            <w:r>
              <w:rPr>
                <w:rFonts w:hint="eastAsia" w:ascii="Times New Roman" w:eastAsia="宋体"/>
              </w:rPr>
              <w:t>小于</w:t>
            </w:r>
            <w:r>
              <w:rPr>
                <w:rFonts w:ascii="Times New Roman" w:eastAsia="宋体"/>
              </w:rPr>
              <w:t>80%</w:t>
            </w:r>
            <w:r>
              <w:rPr>
                <w:rFonts w:hint="eastAsia" w:ascii="Times New Roman" w:eastAsia="宋体"/>
              </w:rPr>
              <w:t>，植被覆盖比修复前有明显增加。</w:t>
            </w:r>
          </w:p>
        </w:tc>
        <w:tc>
          <w:tcPr>
            <w:tcW w:w="1074" w:type="pct"/>
            <w:shd w:val="clear" w:color="auto" w:fill="auto"/>
          </w:tcPr>
          <w:p w14:paraId="3E5B11B5">
            <w:pPr>
              <w:pStyle w:val="31"/>
              <w:jc w:val="both"/>
              <w:rPr>
                <w:rFonts w:ascii="Times New Roman" w:eastAsia="宋体"/>
              </w:rPr>
            </w:pPr>
            <w:r>
              <w:rPr>
                <w:rFonts w:ascii="Times New Roman" w:eastAsia="宋体"/>
              </w:rPr>
              <w:t>6-10</w:t>
            </w:r>
          </w:p>
        </w:tc>
      </w:tr>
      <w:tr w14:paraId="49462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863" w:type="pct"/>
            <w:vMerge w:val="continue"/>
          </w:tcPr>
          <w:p w14:paraId="48479FE8">
            <w:pPr>
              <w:pStyle w:val="31"/>
              <w:jc w:val="both"/>
              <w:rPr>
                <w:rFonts w:ascii="Times New Roman" w:eastAsia="宋体"/>
              </w:rPr>
            </w:pPr>
          </w:p>
        </w:tc>
        <w:tc>
          <w:tcPr>
            <w:tcW w:w="925" w:type="pct"/>
            <w:vMerge w:val="continue"/>
          </w:tcPr>
          <w:p w14:paraId="7ECE684F">
            <w:pPr>
              <w:pStyle w:val="31"/>
              <w:jc w:val="both"/>
              <w:rPr>
                <w:rFonts w:ascii="Times New Roman" w:eastAsia="宋体"/>
              </w:rPr>
            </w:pPr>
          </w:p>
        </w:tc>
        <w:tc>
          <w:tcPr>
            <w:tcW w:w="2138" w:type="pct"/>
            <w:shd w:val="clear" w:color="auto" w:fill="auto"/>
          </w:tcPr>
          <w:p w14:paraId="4F84A785">
            <w:pPr>
              <w:pStyle w:val="31"/>
              <w:jc w:val="both"/>
              <w:rPr>
                <w:rFonts w:ascii="Times New Roman" w:eastAsia="宋体"/>
              </w:rPr>
            </w:pPr>
            <w:r>
              <w:rPr>
                <w:rFonts w:hint="eastAsia" w:ascii="Times New Roman" w:eastAsia="宋体"/>
              </w:rPr>
              <w:t>场地绿化后的植被成活率</w:t>
            </w:r>
            <w:r>
              <w:rPr>
                <w:rFonts w:ascii="Times New Roman" w:eastAsia="宋体"/>
              </w:rPr>
              <w:t>60%</w:t>
            </w:r>
            <w:r>
              <w:rPr>
                <w:rFonts w:hint="eastAsia" w:ascii="Times New Roman" w:eastAsia="宋体"/>
              </w:rPr>
              <w:t>以下，植被覆盖比修复前增加较少。</w:t>
            </w:r>
          </w:p>
        </w:tc>
        <w:tc>
          <w:tcPr>
            <w:tcW w:w="1074" w:type="pct"/>
            <w:shd w:val="clear" w:color="auto" w:fill="auto"/>
          </w:tcPr>
          <w:p w14:paraId="2F1B66DE">
            <w:pPr>
              <w:pStyle w:val="31"/>
              <w:jc w:val="both"/>
              <w:rPr>
                <w:rFonts w:ascii="Times New Roman" w:eastAsia="宋体"/>
              </w:rPr>
            </w:pPr>
            <w:r>
              <w:rPr>
                <w:rFonts w:ascii="Times New Roman" w:eastAsia="宋体"/>
              </w:rPr>
              <w:t>0-5</w:t>
            </w:r>
          </w:p>
        </w:tc>
      </w:tr>
      <w:tr w14:paraId="6D8EA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863" w:type="pct"/>
            <w:vMerge w:val="continue"/>
          </w:tcPr>
          <w:p w14:paraId="2422A937">
            <w:pPr>
              <w:pStyle w:val="31"/>
              <w:jc w:val="both"/>
              <w:rPr>
                <w:rFonts w:ascii="Times New Roman" w:eastAsia="宋体"/>
              </w:rPr>
            </w:pPr>
          </w:p>
        </w:tc>
        <w:tc>
          <w:tcPr>
            <w:tcW w:w="925" w:type="pct"/>
            <w:vMerge w:val="restart"/>
            <w:shd w:val="clear" w:color="auto" w:fill="auto"/>
          </w:tcPr>
          <w:p w14:paraId="60C25A20">
            <w:pPr>
              <w:pStyle w:val="31"/>
              <w:jc w:val="both"/>
              <w:rPr>
                <w:rFonts w:ascii="Times New Roman" w:eastAsia="宋体"/>
              </w:rPr>
            </w:pPr>
            <w:r>
              <w:rPr>
                <w:rFonts w:hint="eastAsia" w:ascii="Times New Roman" w:eastAsia="宋体"/>
              </w:rPr>
              <w:t>物种多样稳定性（</w:t>
            </w:r>
            <w:r>
              <w:rPr>
                <w:rFonts w:ascii="Times New Roman" w:eastAsia="宋体"/>
              </w:rPr>
              <w:t>5</w:t>
            </w:r>
            <w:r>
              <w:rPr>
                <w:rFonts w:hint="eastAsia" w:ascii="Times New Roman" w:eastAsia="宋体"/>
              </w:rPr>
              <w:t>分）</w:t>
            </w:r>
          </w:p>
        </w:tc>
        <w:tc>
          <w:tcPr>
            <w:tcW w:w="2138" w:type="pct"/>
            <w:shd w:val="clear" w:color="auto" w:fill="auto"/>
          </w:tcPr>
          <w:p w14:paraId="1B0871D7">
            <w:pPr>
              <w:pStyle w:val="31"/>
              <w:jc w:val="both"/>
              <w:rPr>
                <w:rFonts w:ascii="Times New Roman" w:eastAsia="宋体"/>
              </w:rPr>
            </w:pPr>
            <w:r>
              <w:rPr>
                <w:rFonts w:hint="eastAsia" w:ascii="Times New Roman" w:eastAsia="宋体"/>
              </w:rPr>
              <w:t>生物种群的多样稳定，适应能力强，种群配置比例合理。</w:t>
            </w:r>
          </w:p>
        </w:tc>
        <w:tc>
          <w:tcPr>
            <w:tcW w:w="1074" w:type="pct"/>
            <w:shd w:val="clear" w:color="auto" w:fill="auto"/>
          </w:tcPr>
          <w:p w14:paraId="2E041462">
            <w:pPr>
              <w:pStyle w:val="31"/>
              <w:jc w:val="both"/>
              <w:rPr>
                <w:rFonts w:ascii="Times New Roman" w:eastAsia="宋体"/>
              </w:rPr>
            </w:pPr>
            <w:r>
              <w:rPr>
                <w:rFonts w:ascii="Times New Roman" w:eastAsia="宋体"/>
              </w:rPr>
              <w:t>4-5</w:t>
            </w:r>
          </w:p>
        </w:tc>
      </w:tr>
      <w:tr w14:paraId="24B0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863" w:type="pct"/>
            <w:vMerge w:val="continue"/>
          </w:tcPr>
          <w:p w14:paraId="15AF304D">
            <w:pPr>
              <w:pStyle w:val="31"/>
              <w:jc w:val="both"/>
              <w:rPr>
                <w:rFonts w:ascii="Times New Roman" w:eastAsia="宋体"/>
              </w:rPr>
            </w:pPr>
          </w:p>
        </w:tc>
        <w:tc>
          <w:tcPr>
            <w:tcW w:w="925" w:type="pct"/>
            <w:vMerge w:val="continue"/>
          </w:tcPr>
          <w:p w14:paraId="7CDCB9BC">
            <w:pPr>
              <w:pStyle w:val="31"/>
              <w:jc w:val="both"/>
              <w:rPr>
                <w:rFonts w:ascii="Times New Roman" w:eastAsia="宋体"/>
              </w:rPr>
            </w:pPr>
          </w:p>
        </w:tc>
        <w:tc>
          <w:tcPr>
            <w:tcW w:w="2138" w:type="pct"/>
            <w:shd w:val="clear" w:color="auto" w:fill="auto"/>
          </w:tcPr>
          <w:p w14:paraId="3ACE513E">
            <w:pPr>
              <w:pStyle w:val="31"/>
              <w:jc w:val="both"/>
              <w:rPr>
                <w:rFonts w:ascii="Times New Roman" w:eastAsia="宋体"/>
              </w:rPr>
            </w:pPr>
            <w:r>
              <w:rPr>
                <w:rFonts w:hint="eastAsia" w:ascii="Times New Roman" w:eastAsia="宋体"/>
              </w:rPr>
              <w:t>生物种群的数量基本稳定，具有一定的适应能力，种群配置比例基本合理。</w:t>
            </w:r>
          </w:p>
        </w:tc>
        <w:tc>
          <w:tcPr>
            <w:tcW w:w="1074" w:type="pct"/>
            <w:shd w:val="clear" w:color="auto" w:fill="auto"/>
          </w:tcPr>
          <w:p w14:paraId="180F7963">
            <w:pPr>
              <w:pStyle w:val="31"/>
              <w:jc w:val="both"/>
              <w:rPr>
                <w:rFonts w:ascii="Times New Roman" w:eastAsia="宋体"/>
              </w:rPr>
            </w:pPr>
            <w:r>
              <w:rPr>
                <w:rFonts w:ascii="Times New Roman" w:eastAsia="宋体"/>
              </w:rPr>
              <w:t>2-3</w:t>
            </w:r>
          </w:p>
        </w:tc>
      </w:tr>
      <w:tr w14:paraId="72D49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863" w:type="pct"/>
            <w:vMerge w:val="continue"/>
          </w:tcPr>
          <w:p w14:paraId="25BDFAE2">
            <w:pPr>
              <w:pStyle w:val="31"/>
              <w:jc w:val="both"/>
              <w:rPr>
                <w:rFonts w:ascii="Times New Roman" w:eastAsia="宋体"/>
              </w:rPr>
            </w:pPr>
          </w:p>
        </w:tc>
        <w:tc>
          <w:tcPr>
            <w:tcW w:w="925" w:type="pct"/>
            <w:vMerge w:val="continue"/>
          </w:tcPr>
          <w:p w14:paraId="044E7989">
            <w:pPr>
              <w:pStyle w:val="31"/>
              <w:jc w:val="both"/>
              <w:rPr>
                <w:rFonts w:ascii="Times New Roman" w:eastAsia="宋体"/>
              </w:rPr>
            </w:pPr>
          </w:p>
        </w:tc>
        <w:tc>
          <w:tcPr>
            <w:tcW w:w="2138" w:type="pct"/>
            <w:shd w:val="clear" w:color="auto" w:fill="auto"/>
          </w:tcPr>
          <w:p w14:paraId="5199308B">
            <w:pPr>
              <w:pStyle w:val="31"/>
              <w:jc w:val="both"/>
              <w:rPr>
                <w:rFonts w:ascii="Times New Roman" w:eastAsia="宋体"/>
              </w:rPr>
            </w:pPr>
            <w:r>
              <w:rPr>
                <w:rFonts w:hint="eastAsia" w:ascii="Times New Roman" w:eastAsia="宋体"/>
              </w:rPr>
              <w:t>生物种群的数量不稳定，适应能力差，种群比例配置不合理。</w:t>
            </w:r>
          </w:p>
        </w:tc>
        <w:tc>
          <w:tcPr>
            <w:tcW w:w="1074" w:type="pct"/>
            <w:shd w:val="clear" w:color="auto" w:fill="auto"/>
          </w:tcPr>
          <w:p w14:paraId="7CE8320A">
            <w:pPr>
              <w:pStyle w:val="31"/>
              <w:jc w:val="both"/>
              <w:rPr>
                <w:rFonts w:ascii="Times New Roman" w:eastAsia="宋体"/>
              </w:rPr>
            </w:pPr>
            <w:r>
              <w:rPr>
                <w:rFonts w:ascii="Times New Roman" w:eastAsia="宋体"/>
              </w:rPr>
              <w:t>0-1</w:t>
            </w:r>
          </w:p>
        </w:tc>
      </w:tr>
      <w:tr w14:paraId="3E106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63" w:type="pct"/>
            <w:vMerge w:val="restart"/>
            <w:shd w:val="clear" w:color="auto" w:fill="auto"/>
          </w:tcPr>
          <w:p w14:paraId="60FAA5B7">
            <w:pPr>
              <w:pStyle w:val="31"/>
              <w:jc w:val="both"/>
              <w:rPr>
                <w:rFonts w:ascii="Times New Roman" w:eastAsia="宋体"/>
              </w:rPr>
            </w:pPr>
            <w:r>
              <w:rPr>
                <w:rFonts w:hint="eastAsia" w:ascii="Times New Roman" w:eastAsia="宋体"/>
              </w:rPr>
              <w:t>生态修复系统性（</w:t>
            </w:r>
            <w:r>
              <w:rPr>
                <w:rFonts w:ascii="Times New Roman" w:eastAsia="宋体"/>
              </w:rPr>
              <w:t>36</w:t>
            </w:r>
            <w:r>
              <w:rPr>
                <w:rFonts w:hint="eastAsia" w:ascii="Times New Roman" w:eastAsia="宋体"/>
              </w:rPr>
              <w:t>分）</w:t>
            </w:r>
          </w:p>
        </w:tc>
        <w:tc>
          <w:tcPr>
            <w:tcW w:w="925" w:type="pct"/>
            <w:vMerge w:val="restart"/>
            <w:shd w:val="clear" w:color="auto" w:fill="auto"/>
          </w:tcPr>
          <w:p w14:paraId="0AB4488E">
            <w:pPr>
              <w:pStyle w:val="31"/>
              <w:jc w:val="both"/>
              <w:rPr>
                <w:rFonts w:ascii="Times New Roman" w:eastAsia="宋体"/>
              </w:rPr>
            </w:pPr>
            <w:r>
              <w:rPr>
                <w:rFonts w:hint="eastAsia" w:ascii="Times New Roman" w:eastAsia="宋体"/>
              </w:rPr>
              <w:t>区域的整体性（</w:t>
            </w:r>
            <w:r>
              <w:rPr>
                <w:rFonts w:ascii="Times New Roman" w:eastAsia="宋体"/>
              </w:rPr>
              <w:t>12</w:t>
            </w:r>
            <w:r>
              <w:rPr>
                <w:rFonts w:hint="eastAsia" w:ascii="Times New Roman" w:eastAsia="宋体"/>
              </w:rPr>
              <w:t>分）</w:t>
            </w:r>
          </w:p>
        </w:tc>
        <w:tc>
          <w:tcPr>
            <w:tcW w:w="2138" w:type="pct"/>
            <w:shd w:val="clear" w:color="auto" w:fill="auto"/>
          </w:tcPr>
          <w:p w14:paraId="415038B7">
            <w:pPr>
              <w:pStyle w:val="31"/>
              <w:jc w:val="both"/>
              <w:rPr>
                <w:rFonts w:ascii="Times New Roman" w:eastAsia="宋体"/>
              </w:rPr>
            </w:pPr>
            <w:r>
              <w:rPr>
                <w:rFonts w:hint="eastAsia" w:ascii="Times New Roman" w:eastAsia="宋体"/>
              </w:rPr>
              <w:t>工矿区生态修复方案聚焦修复区主要生态问题，突出整体性和系统性；修复场地相互衔接，不存在碎片化现象。</w:t>
            </w:r>
          </w:p>
        </w:tc>
        <w:tc>
          <w:tcPr>
            <w:tcW w:w="1074" w:type="pct"/>
            <w:shd w:val="clear" w:color="auto" w:fill="auto"/>
          </w:tcPr>
          <w:p w14:paraId="3D9CA91C">
            <w:pPr>
              <w:pStyle w:val="31"/>
              <w:jc w:val="both"/>
              <w:rPr>
                <w:rFonts w:ascii="Times New Roman" w:eastAsia="宋体"/>
              </w:rPr>
            </w:pPr>
            <w:r>
              <w:rPr>
                <w:rFonts w:ascii="Times New Roman" w:eastAsia="宋体"/>
              </w:rPr>
              <w:t>9-12</w:t>
            </w:r>
          </w:p>
        </w:tc>
      </w:tr>
      <w:tr w14:paraId="45073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63" w:type="pct"/>
            <w:vMerge w:val="continue"/>
          </w:tcPr>
          <w:p w14:paraId="1778F584">
            <w:pPr>
              <w:pStyle w:val="31"/>
              <w:jc w:val="both"/>
              <w:rPr>
                <w:rFonts w:ascii="Times New Roman" w:eastAsia="宋体"/>
              </w:rPr>
            </w:pPr>
          </w:p>
        </w:tc>
        <w:tc>
          <w:tcPr>
            <w:tcW w:w="925" w:type="pct"/>
            <w:vMerge w:val="continue"/>
          </w:tcPr>
          <w:p w14:paraId="166F8067">
            <w:pPr>
              <w:pStyle w:val="31"/>
              <w:jc w:val="both"/>
              <w:rPr>
                <w:rFonts w:ascii="Times New Roman" w:eastAsia="宋体"/>
              </w:rPr>
            </w:pPr>
          </w:p>
        </w:tc>
        <w:tc>
          <w:tcPr>
            <w:tcW w:w="2138" w:type="pct"/>
            <w:shd w:val="clear" w:color="auto" w:fill="auto"/>
          </w:tcPr>
          <w:p w14:paraId="4E9DB2C7">
            <w:pPr>
              <w:pStyle w:val="31"/>
              <w:jc w:val="both"/>
              <w:rPr>
                <w:rFonts w:ascii="Times New Roman" w:eastAsia="宋体"/>
              </w:rPr>
            </w:pPr>
            <w:r>
              <w:rPr>
                <w:rFonts w:hint="eastAsia" w:ascii="Times New Roman" w:eastAsia="宋体"/>
              </w:rPr>
              <w:t>工矿区生态修复方案聚焦修复区主要生态问题，但整体性和系统性不足；某些修复场地存在碎片化现象。</w:t>
            </w:r>
          </w:p>
        </w:tc>
        <w:tc>
          <w:tcPr>
            <w:tcW w:w="1074" w:type="pct"/>
            <w:shd w:val="clear" w:color="auto" w:fill="auto"/>
          </w:tcPr>
          <w:p w14:paraId="12E06173">
            <w:pPr>
              <w:pStyle w:val="31"/>
              <w:jc w:val="both"/>
              <w:rPr>
                <w:rFonts w:ascii="Times New Roman" w:eastAsia="宋体"/>
              </w:rPr>
            </w:pPr>
            <w:r>
              <w:rPr>
                <w:rFonts w:ascii="Times New Roman" w:eastAsia="宋体"/>
              </w:rPr>
              <w:t>5-8</w:t>
            </w:r>
          </w:p>
        </w:tc>
      </w:tr>
      <w:tr w14:paraId="3AA42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63" w:type="pct"/>
            <w:vMerge w:val="continue"/>
          </w:tcPr>
          <w:p w14:paraId="4075BD0F">
            <w:pPr>
              <w:pStyle w:val="31"/>
              <w:jc w:val="both"/>
              <w:rPr>
                <w:rFonts w:ascii="Times New Roman" w:eastAsia="宋体"/>
              </w:rPr>
            </w:pPr>
          </w:p>
        </w:tc>
        <w:tc>
          <w:tcPr>
            <w:tcW w:w="925" w:type="pct"/>
            <w:vMerge w:val="continue"/>
          </w:tcPr>
          <w:p w14:paraId="7FE2C8E1">
            <w:pPr>
              <w:pStyle w:val="31"/>
              <w:jc w:val="both"/>
              <w:rPr>
                <w:rFonts w:ascii="Times New Roman" w:eastAsia="宋体"/>
              </w:rPr>
            </w:pPr>
          </w:p>
        </w:tc>
        <w:tc>
          <w:tcPr>
            <w:tcW w:w="2138" w:type="pct"/>
            <w:shd w:val="clear" w:color="auto" w:fill="auto"/>
          </w:tcPr>
          <w:p w14:paraId="3A41572D">
            <w:pPr>
              <w:pStyle w:val="31"/>
              <w:jc w:val="both"/>
              <w:rPr>
                <w:rFonts w:ascii="Times New Roman" w:eastAsia="宋体"/>
              </w:rPr>
            </w:pPr>
            <w:r>
              <w:rPr>
                <w:rFonts w:hint="eastAsia" w:ascii="Times New Roman" w:eastAsia="宋体"/>
              </w:rPr>
              <w:t>工矿区生态修复方案没有聚焦修复区主要生态问题，缺乏整体性和系统性；修复场地缺乏衔接，存在碎片化现象。</w:t>
            </w:r>
          </w:p>
        </w:tc>
        <w:tc>
          <w:tcPr>
            <w:tcW w:w="1074" w:type="pct"/>
            <w:shd w:val="clear" w:color="auto" w:fill="auto"/>
          </w:tcPr>
          <w:p w14:paraId="77BA2180">
            <w:pPr>
              <w:pStyle w:val="31"/>
              <w:jc w:val="both"/>
              <w:rPr>
                <w:rFonts w:ascii="Times New Roman" w:eastAsia="宋体"/>
              </w:rPr>
            </w:pPr>
            <w:r>
              <w:rPr>
                <w:rFonts w:ascii="Times New Roman" w:eastAsia="宋体"/>
              </w:rPr>
              <w:t>0-4</w:t>
            </w:r>
          </w:p>
        </w:tc>
      </w:tr>
      <w:tr w14:paraId="14A99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63" w:type="pct"/>
            <w:vMerge w:val="continue"/>
          </w:tcPr>
          <w:p w14:paraId="46B78F84">
            <w:pPr>
              <w:pStyle w:val="31"/>
              <w:jc w:val="both"/>
              <w:rPr>
                <w:rFonts w:ascii="Times New Roman" w:eastAsia="宋体"/>
              </w:rPr>
            </w:pPr>
          </w:p>
        </w:tc>
        <w:tc>
          <w:tcPr>
            <w:tcW w:w="925" w:type="pct"/>
            <w:vMerge w:val="restart"/>
            <w:shd w:val="clear" w:color="auto" w:fill="auto"/>
          </w:tcPr>
          <w:p w14:paraId="0B098B6E">
            <w:pPr>
              <w:pStyle w:val="31"/>
              <w:jc w:val="both"/>
              <w:rPr>
                <w:rFonts w:ascii="Times New Roman" w:eastAsia="宋体"/>
              </w:rPr>
            </w:pPr>
            <w:r>
              <w:rPr>
                <w:rFonts w:hint="eastAsia" w:ascii="Times New Roman" w:eastAsia="宋体"/>
              </w:rPr>
              <w:t>措施的适宜性（</w:t>
            </w:r>
            <w:r>
              <w:rPr>
                <w:rFonts w:ascii="Times New Roman" w:eastAsia="宋体"/>
              </w:rPr>
              <w:t>12</w:t>
            </w:r>
            <w:r>
              <w:rPr>
                <w:rFonts w:hint="eastAsia" w:ascii="Times New Roman" w:eastAsia="宋体"/>
              </w:rPr>
              <w:t>分）</w:t>
            </w:r>
          </w:p>
        </w:tc>
        <w:tc>
          <w:tcPr>
            <w:tcW w:w="2138" w:type="pct"/>
            <w:shd w:val="clear" w:color="auto" w:fill="auto"/>
          </w:tcPr>
          <w:p w14:paraId="0836B196">
            <w:pPr>
              <w:pStyle w:val="31"/>
              <w:jc w:val="both"/>
              <w:rPr>
                <w:rFonts w:ascii="Times New Roman" w:eastAsia="宋体"/>
              </w:rPr>
            </w:pPr>
            <w:r>
              <w:rPr>
                <w:rFonts w:hint="eastAsia" w:ascii="Times New Roman" w:eastAsia="宋体"/>
              </w:rPr>
              <w:t>生态修复方向完全符合区域自然条件与生态特征；修复措施符合因地制宜、分类施策、自然修复与工程措施相结合的原则。</w:t>
            </w:r>
          </w:p>
        </w:tc>
        <w:tc>
          <w:tcPr>
            <w:tcW w:w="1074" w:type="pct"/>
            <w:shd w:val="clear" w:color="auto" w:fill="auto"/>
          </w:tcPr>
          <w:p w14:paraId="35478AEE">
            <w:pPr>
              <w:pStyle w:val="31"/>
              <w:jc w:val="both"/>
              <w:rPr>
                <w:rFonts w:ascii="Times New Roman" w:eastAsia="宋体"/>
              </w:rPr>
            </w:pPr>
            <w:r>
              <w:rPr>
                <w:rFonts w:ascii="Times New Roman" w:eastAsia="宋体"/>
              </w:rPr>
              <w:t>9-12</w:t>
            </w:r>
          </w:p>
        </w:tc>
      </w:tr>
      <w:tr w14:paraId="5ED36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63" w:type="pct"/>
            <w:vMerge w:val="continue"/>
          </w:tcPr>
          <w:p w14:paraId="485B4C4E">
            <w:pPr>
              <w:pStyle w:val="31"/>
              <w:jc w:val="both"/>
              <w:rPr>
                <w:rFonts w:ascii="Times New Roman" w:eastAsia="宋体"/>
              </w:rPr>
            </w:pPr>
          </w:p>
        </w:tc>
        <w:tc>
          <w:tcPr>
            <w:tcW w:w="925" w:type="pct"/>
            <w:vMerge w:val="continue"/>
          </w:tcPr>
          <w:p w14:paraId="718B1DA1">
            <w:pPr>
              <w:pStyle w:val="31"/>
              <w:jc w:val="both"/>
              <w:rPr>
                <w:rFonts w:ascii="Times New Roman" w:eastAsia="宋体"/>
              </w:rPr>
            </w:pPr>
          </w:p>
        </w:tc>
        <w:tc>
          <w:tcPr>
            <w:tcW w:w="2138" w:type="pct"/>
            <w:shd w:val="clear" w:color="auto" w:fill="auto"/>
          </w:tcPr>
          <w:p w14:paraId="00FCACC4">
            <w:pPr>
              <w:pStyle w:val="31"/>
              <w:jc w:val="both"/>
              <w:rPr>
                <w:rFonts w:ascii="Times New Roman" w:eastAsia="宋体"/>
              </w:rPr>
            </w:pPr>
            <w:r>
              <w:rPr>
                <w:rFonts w:hint="eastAsia" w:ascii="Times New Roman" w:eastAsia="宋体"/>
              </w:rPr>
              <w:t>生态修复方向基本符合区域自然条件与生态特征；修复措施基本体现了因地制宜、分类施策、自然修复与工程措施相结合的原则。</w:t>
            </w:r>
          </w:p>
        </w:tc>
        <w:tc>
          <w:tcPr>
            <w:tcW w:w="1074" w:type="pct"/>
            <w:shd w:val="clear" w:color="auto" w:fill="auto"/>
          </w:tcPr>
          <w:p w14:paraId="787C97AB">
            <w:pPr>
              <w:pStyle w:val="31"/>
              <w:jc w:val="both"/>
              <w:rPr>
                <w:rFonts w:ascii="Times New Roman" w:eastAsia="宋体"/>
              </w:rPr>
            </w:pPr>
            <w:r>
              <w:rPr>
                <w:rFonts w:ascii="Times New Roman" w:eastAsia="宋体"/>
              </w:rPr>
              <w:t>5-8</w:t>
            </w:r>
          </w:p>
        </w:tc>
      </w:tr>
      <w:tr w14:paraId="7758C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63" w:type="pct"/>
            <w:vMerge w:val="continue"/>
          </w:tcPr>
          <w:p w14:paraId="6FCAB7E8">
            <w:pPr>
              <w:pStyle w:val="31"/>
              <w:jc w:val="both"/>
              <w:rPr>
                <w:rFonts w:ascii="Times New Roman" w:eastAsia="宋体"/>
              </w:rPr>
            </w:pPr>
          </w:p>
        </w:tc>
        <w:tc>
          <w:tcPr>
            <w:tcW w:w="925" w:type="pct"/>
            <w:vMerge w:val="continue"/>
          </w:tcPr>
          <w:p w14:paraId="4EFE396A">
            <w:pPr>
              <w:pStyle w:val="31"/>
              <w:jc w:val="both"/>
              <w:rPr>
                <w:rFonts w:ascii="Times New Roman" w:eastAsia="宋体"/>
              </w:rPr>
            </w:pPr>
          </w:p>
        </w:tc>
        <w:tc>
          <w:tcPr>
            <w:tcW w:w="2138" w:type="pct"/>
            <w:shd w:val="clear" w:color="auto" w:fill="auto"/>
          </w:tcPr>
          <w:p w14:paraId="09ED7459">
            <w:pPr>
              <w:pStyle w:val="31"/>
              <w:jc w:val="both"/>
              <w:rPr>
                <w:rFonts w:ascii="Times New Roman" w:eastAsia="宋体"/>
              </w:rPr>
            </w:pPr>
            <w:r>
              <w:rPr>
                <w:rFonts w:hint="eastAsia" w:ascii="Times New Roman" w:eastAsia="宋体"/>
              </w:rPr>
              <w:t>生态修复方向不符合区域自然条件与生态特征；修复措施不符合因地制宜、分类施策、自然修复与工程措施相结合的原则。</w:t>
            </w:r>
          </w:p>
        </w:tc>
        <w:tc>
          <w:tcPr>
            <w:tcW w:w="1074" w:type="pct"/>
            <w:shd w:val="clear" w:color="auto" w:fill="auto"/>
          </w:tcPr>
          <w:p w14:paraId="75952FD4">
            <w:pPr>
              <w:pStyle w:val="31"/>
              <w:jc w:val="both"/>
              <w:rPr>
                <w:rFonts w:ascii="Times New Roman" w:eastAsia="宋体"/>
              </w:rPr>
            </w:pPr>
            <w:r>
              <w:rPr>
                <w:rFonts w:ascii="Times New Roman" w:eastAsia="宋体"/>
              </w:rPr>
              <w:t>0-4</w:t>
            </w:r>
          </w:p>
        </w:tc>
      </w:tr>
      <w:tr w14:paraId="2245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863" w:type="pct"/>
            <w:vMerge w:val="continue"/>
          </w:tcPr>
          <w:p w14:paraId="24A58287">
            <w:pPr>
              <w:pStyle w:val="31"/>
              <w:jc w:val="both"/>
              <w:rPr>
                <w:rFonts w:ascii="Times New Roman" w:eastAsia="宋体"/>
              </w:rPr>
            </w:pPr>
          </w:p>
        </w:tc>
        <w:tc>
          <w:tcPr>
            <w:tcW w:w="925" w:type="pct"/>
            <w:vMerge w:val="restart"/>
            <w:shd w:val="clear" w:color="auto" w:fill="auto"/>
          </w:tcPr>
          <w:p w14:paraId="7C8D2E0F">
            <w:pPr>
              <w:pStyle w:val="31"/>
              <w:jc w:val="both"/>
              <w:rPr>
                <w:rFonts w:ascii="Times New Roman" w:eastAsia="宋体"/>
              </w:rPr>
            </w:pPr>
            <w:r>
              <w:rPr>
                <w:rFonts w:hint="eastAsia" w:ascii="Times New Roman" w:eastAsia="宋体"/>
              </w:rPr>
              <w:t>功能的协调性（</w:t>
            </w:r>
            <w:r>
              <w:rPr>
                <w:rFonts w:ascii="Times New Roman" w:eastAsia="宋体"/>
              </w:rPr>
              <w:t>12</w:t>
            </w:r>
            <w:r>
              <w:rPr>
                <w:rFonts w:hint="eastAsia" w:ascii="Times New Roman" w:eastAsia="宋体"/>
              </w:rPr>
              <w:t>分）</w:t>
            </w:r>
          </w:p>
        </w:tc>
        <w:tc>
          <w:tcPr>
            <w:tcW w:w="2138" w:type="pct"/>
            <w:shd w:val="clear" w:color="auto" w:fill="auto"/>
          </w:tcPr>
          <w:p w14:paraId="4F2CFE6B">
            <w:pPr>
              <w:pStyle w:val="31"/>
              <w:jc w:val="both"/>
              <w:rPr>
                <w:rFonts w:ascii="Times New Roman" w:eastAsia="宋体"/>
              </w:rPr>
            </w:pPr>
            <w:r>
              <w:rPr>
                <w:rFonts w:hint="eastAsia" w:ascii="Times New Roman" w:eastAsia="宋体"/>
              </w:rPr>
              <w:t>植被绿化考虑了区域生态系统特征，复绿植被种群与工矿区周边区域的植物种群相协调，没有发现外来物种入侵问题，不存在过度治理和不合理人造景观现象。</w:t>
            </w:r>
          </w:p>
        </w:tc>
        <w:tc>
          <w:tcPr>
            <w:tcW w:w="1074" w:type="pct"/>
            <w:shd w:val="clear" w:color="auto" w:fill="auto"/>
          </w:tcPr>
          <w:p w14:paraId="0C292A36">
            <w:pPr>
              <w:pStyle w:val="31"/>
              <w:jc w:val="both"/>
              <w:rPr>
                <w:rFonts w:ascii="Times New Roman" w:eastAsia="宋体"/>
              </w:rPr>
            </w:pPr>
            <w:r>
              <w:rPr>
                <w:rFonts w:ascii="Times New Roman" w:eastAsia="宋体"/>
              </w:rPr>
              <w:t>9-12</w:t>
            </w:r>
          </w:p>
        </w:tc>
      </w:tr>
      <w:tr w14:paraId="1918E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863" w:type="pct"/>
            <w:vMerge w:val="continue"/>
          </w:tcPr>
          <w:p w14:paraId="507E2796">
            <w:pPr>
              <w:pStyle w:val="31"/>
              <w:jc w:val="both"/>
              <w:rPr>
                <w:rFonts w:ascii="Times New Roman" w:eastAsia="宋体"/>
              </w:rPr>
            </w:pPr>
          </w:p>
        </w:tc>
        <w:tc>
          <w:tcPr>
            <w:tcW w:w="925" w:type="pct"/>
            <w:vMerge w:val="continue"/>
          </w:tcPr>
          <w:p w14:paraId="12C17B37">
            <w:pPr>
              <w:pStyle w:val="31"/>
              <w:jc w:val="both"/>
              <w:rPr>
                <w:rFonts w:ascii="Times New Roman" w:eastAsia="宋体"/>
              </w:rPr>
            </w:pPr>
          </w:p>
        </w:tc>
        <w:tc>
          <w:tcPr>
            <w:tcW w:w="2138" w:type="pct"/>
            <w:shd w:val="clear" w:color="auto" w:fill="auto"/>
          </w:tcPr>
          <w:p w14:paraId="23A098AA">
            <w:pPr>
              <w:pStyle w:val="31"/>
              <w:jc w:val="both"/>
              <w:rPr>
                <w:rFonts w:ascii="Times New Roman" w:eastAsia="宋体"/>
              </w:rPr>
            </w:pPr>
            <w:r>
              <w:rPr>
                <w:rFonts w:hint="eastAsia" w:ascii="Times New Roman" w:eastAsia="宋体"/>
              </w:rPr>
              <w:t>植被绿化基本考虑了区域生态系统特征，复绿植被种群与工矿区周边区域的植物种群基本协调，没有发现外来物种入侵问题，不存在过度治理和不合理人造景观现象。</w:t>
            </w:r>
          </w:p>
        </w:tc>
        <w:tc>
          <w:tcPr>
            <w:tcW w:w="1074" w:type="pct"/>
            <w:shd w:val="clear" w:color="auto" w:fill="auto"/>
          </w:tcPr>
          <w:p w14:paraId="630D87A0">
            <w:pPr>
              <w:pStyle w:val="31"/>
              <w:jc w:val="both"/>
              <w:rPr>
                <w:rFonts w:ascii="Times New Roman" w:eastAsia="宋体"/>
              </w:rPr>
            </w:pPr>
            <w:r>
              <w:rPr>
                <w:rFonts w:ascii="Times New Roman" w:eastAsia="宋体"/>
              </w:rPr>
              <w:t>5-8</w:t>
            </w:r>
          </w:p>
        </w:tc>
      </w:tr>
      <w:tr w14:paraId="3F099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863" w:type="pct"/>
            <w:vMerge w:val="continue"/>
          </w:tcPr>
          <w:p w14:paraId="6B1A30CC">
            <w:pPr>
              <w:pStyle w:val="31"/>
              <w:jc w:val="both"/>
              <w:rPr>
                <w:rFonts w:ascii="Times New Roman" w:eastAsia="宋体"/>
              </w:rPr>
            </w:pPr>
          </w:p>
        </w:tc>
        <w:tc>
          <w:tcPr>
            <w:tcW w:w="925" w:type="pct"/>
            <w:vMerge w:val="continue"/>
          </w:tcPr>
          <w:p w14:paraId="66CEE2D7">
            <w:pPr>
              <w:pStyle w:val="31"/>
              <w:jc w:val="both"/>
              <w:rPr>
                <w:rFonts w:ascii="Times New Roman" w:eastAsia="宋体"/>
              </w:rPr>
            </w:pPr>
          </w:p>
        </w:tc>
        <w:tc>
          <w:tcPr>
            <w:tcW w:w="2138" w:type="pct"/>
            <w:shd w:val="clear" w:color="auto" w:fill="auto"/>
          </w:tcPr>
          <w:p w14:paraId="29E13F21">
            <w:pPr>
              <w:pStyle w:val="31"/>
              <w:jc w:val="both"/>
              <w:rPr>
                <w:rFonts w:ascii="Times New Roman" w:eastAsia="宋体"/>
              </w:rPr>
            </w:pPr>
            <w:r>
              <w:rPr>
                <w:rFonts w:hint="eastAsia" w:ascii="Times New Roman" w:eastAsia="宋体"/>
              </w:rPr>
              <w:t>植被绿化未考虑区域生态系统特征，复绿植被种群与工矿区周边区域的植物种群不协调，存在外来物种入侵问题，存在过度治理和不合理人造景观现象。</w:t>
            </w:r>
          </w:p>
        </w:tc>
        <w:tc>
          <w:tcPr>
            <w:tcW w:w="1074" w:type="pct"/>
            <w:shd w:val="clear" w:color="auto" w:fill="auto"/>
          </w:tcPr>
          <w:p w14:paraId="413F937B">
            <w:pPr>
              <w:pStyle w:val="31"/>
              <w:jc w:val="both"/>
              <w:rPr>
                <w:rFonts w:ascii="Times New Roman" w:eastAsia="宋体"/>
              </w:rPr>
            </w:pPr>
            <w:r>
              <w:rPr>
                <w:rFonts w:ascii="Times New Roman" w:eastAsia="宋体"/>
              </w:rPr>
              <w:t>0-4</w:t>
            </w:r>
          </w:p>
        </w:tc>
      </w:tr>
      <w:tr w14:paraId="35D64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926" w:type="pct"/>
            <w:gridSpan w:val="3"/>
            <w:shd w:val="clear" w:color="auto" w:fill="auto"/>
          </w:tcPr>
          <w:p w14:paraId="6EAE5B3B">
            <w:pPr>
              <w:pStyle w:val="31"/>
              <w:jc w:val="both"/>
              <w:rPr>
                <w:rFonts w:ascii="Times New Roman" w:eastAsia="宋体"/>
              </w:rPr>
            </w:pPr>
            <w:r>
              <w:rPr>
                <w:rFonts w:hint="eastAsia" w:ascii="Times New Roman" w:eastAsia="宋体"/>
              </w:rPr>
              <w:t>合计</w:t>
            </w:r>
          </w:p>
        </w:tc>
        <w:tc>
          <w:tcPr>
            <w:tcW w:w="1074" w:type="pct"/>
            <w:shd w:val="clear" w:color="auto" w:fill="auto"/>
            <w:noWrap/>
          </w:tcPr>
          <w:p w14:paraId="31EEEBBB">
            <w:pPr>
              <w:pStyle w:val="31"/>
              <w:jc w:val="both"/>
              <w:rPr>
                <w:rFonts w:ascii="Times New Roman" w:eastAsia="宋体"/>
              </w:rPr>
            </w:pPr>
            <w:r>
              <w:rPr>
                <w:rFonts w:hint="eastAsia" w:ascii="Times New Roman" w:eastAsia="宋体"/>
              </w:rPr>
              <w:t>　</w:t>
            </w:r>
          </w:p>
        </w:tc>
      </w:tr>
      <w:tr w14:paraId="7EEBC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5000" w:type="pct"/>
            <w:gridSpan w:val="4"/>
            <w:shd w:val="clear" w:color="auto" w:fill="auto"/>
          </w:tcPr>
          <w:p w14:paraId="7801FA49">
            <w:pPr>
              <w:pStyle w:val="31"/>
              <w:jc w:val="both"/>
              <w:rPr>
                <w:rFonts w:ascii="Times New Roman" w:eastAsia="宋体"/>
              </w:rPr>
            </w:pPr>
            <w:r>
              <w:rPr>
                <w:rFonts w:hint="eastAsia" w:ascii="Times New Roman" w:eastAsia="宋体"/>
              </w:rPr>
              <w:t>对每一项指标评分，最后得出总分：评分≥</w:t>
            </w:r>
            <w:r>
              <w:rPr>
                <w:rFonts w:ascii="Times New Roman" w:eastAsia="宋体"/>
              </w:rPr>
              <w:t>90</w:t>
            </w:r>
            <w:r>
              <w:rPr>
                <w:rFonts w:hint="eastAsia" w:ascii="Times New Roman" w:eastAsia="宋体"/>
              </w:rPr>
              <w:t>分，为优秀；</w:t>
            </w:r>
            <w:r>
              <w:rPr>
                <w:rFonts w:ascii="Times New Roman" w:eastAsia="宋体"/>
              </w:rPr>
              <w:t>75</w:t>
            </w:r>
            <w:r>
              <w:rPr>
                <w:rFonts w:hint="eastAsia" w:ascii="Times New Roman" w:eastAsia="宋体"/>
              </w:rPr>
              <w:t>≤评分＜</w:t>
            </w:r>
            <w:r>
              <w:rPr>
                <w:rFonts w:ascii="Times New Roman" w:eastAsia="宋体"/>
              </w:rPr>
              <w:t>90</w:t>
            </w:r>
            <w:r>
              <w:rPr>
                <w:rFonts w:hint="eastAsia" w:ascii="Times New Roman" w:eastAsia="宋体"/>
              </w:rPr>
              <w:t>为，为良好；</w:t>
            </w:r>
            <w:r>
              <w:rPr>
                <w:rFonts w:ascii="Times New Roman" w:eastAsia="宋体"/>
              </w:rPr>
              <w:t>60</w:t>
            </w:r>
            <w:r>
              <w:rPr>
                <w:rFonts w:hint="eastAsia" w:ascii="Times New Roman" w:eastAsia="宋体"/>
              </w:rPr>
              <w:t>≤评分＜</w:t>
            </w:r>
            <w:r>
              <w:rPr>
                <w:rFonts w:ascii="Times New Roman" w:eastAsia="宋体"/>
              </w:rPr>
              <w:t>75</w:t>
            </w:r>
            <w:r>
              <w:rPr>
                <w:rFonts w:hint="eastAsia" w:ascii="Times New Roman" w:eastAsia="宋体"/>
              </w:rPr>
              <w:t>，为合格；评分＜</w:t>
            </w:r>
            <w:r>
              <w:rPr>
                <w:rFonts w:ascii="Times New Roman" w:eastAsia="宋体"/>
              </w:rPr>
              <w:t>60</w:t>
            </w:r>
            <w:r>
              <w:rPr>
                <w:rFonts w:hint="eastAsia" w:ascii="Times New Roman" w:eastAsia="宋体"/>
              </w:rPr>
              <w:t xml:space="preserve">分，为不合格。          </w:t>
            </w:r>
          </w:p>
        </w:tc>
      </w:tr>
    </w:tbl>
    <w:p w14:paraId="370FB424">
      <w:pPr>
        <w:widowControl/>
        <w:spacing w:line="240" w:lineRule="auto"/>
        <w:ind w:firstLine="0" w:firstLineChars="0"/>
        <w:jc w:val="left"/>
      </w:pPr>
    </w:p>
    <w:p w14:paraId="707EAADB">
      <w:pPr>
        <w:widowControl/>
        <w:spacing w:line="240" w:lineRule="auto"/>
        <w:ind w:firstLine="0" w:firstLineChars="0"/>
        <w:jc w:val="left"/>
      </w:pPr>
      <w:r>
        <w:br w:type="page"/>
      </w:r>
    </w:p>
    <w:p w14:paraId="466D9556">
      <w:pPr>
        <w:spacing w:before="163" w:beforeLines="50" w:after="163" w:afterLines="50"/>
        <w:ind w:firstLine="0" w:firstLineChars="0"/>
        <w:jc w:val="center"/>
        <w:outlineLvl w:val="0"/>
        <w:rPr>
          <w:b/>
          <w:bCs/>
          <w:sz w:val="44"/>
          <w:szCs w:val="44"/>
        </w:rPr>
      </w:pPr>
      <w:bookmarkStart w:id="111" w:name="_Toc212057056"/>
      <w:r>
        <w:rPr>
          <w:rFonts w:hint="eastAsia"/>
          <w:b/>
          <w:bCs/>
          <w:sz w:val="44"/>
          <w:szCs w:val="44"/>
        </w:rPr>
        <w:t>标准用词说明</w:t>
      </w:r>
      <w:bookmarkEnd w:id="111"/>
    </w:p>
    <w:p w14:paraId="7506CECB">
      <w:pPr>
        <w:ind w:firstLine="0" w:firstLineChars="0"/>
      </w:pPr>
      <w:r>
        <w:rPr>
          <w:b/>
          <w:bCs/>
          <w:color w:val="000000"/>
        </w:rPr>
        <w:t xml:space="preserve">1  </w:t>
      </w:r>
      <w:r>
        <w:rPr>
          <w:color w:val="000000"/>
        </w:rPr>
        <w:t>为便于在执行本</w:t>
      </w:r>
      <w:r>
        <w:rPr>
          <w:rFonts w:hint="eastAsia"/>
          <w:color w:val="000000"/>
        </w:rPr>
        <w:t>规程</w:t>
      </w:r>
      <w:r>
        <w:rPr>
          <w:color w:val="000000"/>
        </w:rPr>
        <w:t>条文时区别对待，对要求严格程度不同的用词说明如下：</w:t>
      </w:r>
    </w:p>
    <w:p w14:paraId="213837AF">
      <w:pPr>
        <w:ind w:firstLine="482"/>
        <w:rPr>
          <w:rFonts w:ascii="宋体" w:hAnsi="宋体" w:cs="宋体"/>
          <w:color w:val="000000"/>
        </w:rPr>
      </w:pPr>
      <w:r>
        <w:rPr>
          <w:b/>
          <w:bCs/>
          <w:color w:val="000000"/>
        </w:rPr>
        <w:t>1</w:t>
      </w:r>
      <w:r>
        <w:rPr>
          <w:color w:val="000000"/>
        </w:rPr>
        <w:t>）</w:t>
      </w:r>
      <w:r>
        <w:rPr>
          <w:rFonts w:hint="eastAsia" w:ascii="宋体" w:hAnsi="宋体" w:cs="宋体"/>
          <w:color w:val="000000"/>
        </w:rPr>
        <w:t>表示很严格，非这样做不可的：</w:t>
      </w:r>
    </w:p>
    <w:p w14:paraId="04BD0AD2">
      <w:pPr>
        <w:ind w:firstLine="357" w:firstLineChars="149"/>
        <w:rPr>
          <w:rFonts w:ascii="宋体" w:hAnsi="宋体" w:cs="宋体"/>
          <w:color w:val="000000"/>
        </w:rPr>
      </w:pPr>
      <w:r>
        <w:rPr>
          <w:rFonts w:hint="eastAsia" w:ascii="宋体" w:hAnsi="宋体" w:cs="宋体"/>
          <w:color w:val="000000"/>
        </w:rPr>
        <w:t>正面词采用“必须”，反面词采用“严禁”；</w:t>
      </w:r>
    </w:p>
    <w:p w14:paraId="6354D063">
      <w:pPr>
        <w:ind w:firstLine="482"/>
        <w:rPr>
          <w:rFonts w:ascii="宋体" w:hAnsi="宋体" w:cs="宋体"/>
          <w:color w:val="000000"/>
        </w:rPr>
      </w:pPr>
      <w:r>
        <w:rPr>
          <w:b/>
          <w:bCs/>
          <w:color w:val="000000"/>
        </w:rPr>
        <w:t>2</w:t>
      </w:r>
      <w:r>
        <w:rPr>
          <w:color w:val="000000"/>
        </w:rPr>
        <w:t>）</w:t>
      </w:r>
      <w:r>
        <w:rPr>
          <w:rFonts w:hint="eastAsia" w:ascii="宋体" w:hAnsi="宋体" w:cs="宋体"/>
          <w:color w:val="000000"/>
        </w:rPr>
        <w:t>表示严格，在正常情况下均应这样做的：</w:t>
      </w:r>
    </w:p>
    <w:p w14:paraId="47CB4559">
      <w:pPr>
        <w:ind w:firstLine="357" w:firstLineChars="149"/>
        <w:rPr>
          <w:rFonts w:ascii="宋体" w:hAnsi="宋体" w:cs="宋体"/>
          <w:color w:val="000000"/>
        </w:rPr>
      </w:pPr>
      <w:r>
        <w:rPr>
          <w:rFonts w:hint="eastAsia" w:ascii="宋体" w:hAnsi="宋体" w:cs="宋体"/>
          <w:color w:val="000000"/>
        </w:rPr>
        <w:t>正面词采用“应”，反面词采用“不应”或“不得”；</w:t>
      </w:r>
    </w:p>
    <w:p w14:paraId="5C3049F0">
      <w:pPr>
        <w:ind w:firstLine="482"/>
        <w:rPr>
          <w:rFonts w:ascii="宋体" w:hAnsi="宋体" w:cs="宋体"/>
          <w:color w:val="000000"/>
        </w:rPr>
      </w:pPr>
      <w:r>
        <w:rPr>
          <w:b/>
          <w:bCs/>
          <w:color w:val="000000"/>
        </w:rPr>
        <w:t>3</w:t>
      </w:r>
      <w:r>
        <w:rPr>
          <w:color w:val="000000"/>
        </w:rPr>
        <w:t>）</w:t>
      </w:r>
      <w:r>
        <w:rPr>
          <w:rFonts w:hint="eastAsia" w:ascii="宋体" w:hAnsi="宋体" w:cs="宋体"/>
          <w:color w:val="000000"/>
        </w:rPr>
        <w:t>表示允许稍有选择，在条件许可时首先应这样做的：</w:t>
      </w:r>
    </w:p>
    <w:p w14:paraId="43915786">
      <w:pPr>
        <w:ind w:firstLine="357" w:firstLineChars="149"/>
        <w:rPr>
          <w:rFonts w:ascii="宋体" w:hAnsi="宋体" w:cs="宋体"/>
          <w:color w:val="000000"/>
        </w:rPr>
      </w:pPr>
      <w:r>
        <w:rPr>
          <w:rFonts w:hint="eastAsia" w:ascii="宋体" w:hAnsi="宋体" w:cs="宋体"/>
          <w:color w:val="000000"/>
        </w:rPr>
        <w:t>正面词采用“宜”，反面词采用“不宜”；</w:t>
      </w:r>
    </w:p>
    <w:p w14:paraId="39D799A1">
      <w:pPr>
        <w:ind w:firstLine="482"/>
        <w:rPr>
          <w:rFonts w:ascii="宋体" w:hAnsi="宋体" w:cs="宋体"/>
        </w:rPr>
      </w:pPr>
      <w:r>
        <w:rPr>
          <w:b/>
          <w:bCs/>
          <w:color w:val="000000"/>
        </w:rPr>
        <w:t>4</w:t>
      </w:r>
      <w:r>
        <w:rPr>
          <w:color w:val="000000"/>
        </w:rPr>
        <w:t>）</w:t>
      </w:r>
      <w:r>
        <w:rPr>
          <w:rFonts w:hint="eastAsia" w:ascii="宋体" w:hAnsi="宋体" w:cs="宋体"/>
          <w:color w:val="000000"/>
        </w:rPr>
        <w:t>表示有选择，在一定条件下可以这样做的，采用“可”。</w:t>
      </w:r>
    </w:p>
    <w:p w14:paraId="1F2D892F">
      <w:pPr>
        <w:ind w:firstLine="0" w:firstLineChars="0"/>
        <w:rPr>
          <w:rFonts w:ascii="宋体" w:hAnsi="宋体" w:cs="宋体"/>
          <w:color w:val="000000"/>
        </w:rPr>
      </w:pPr>
      <w:r>
        <w:rPr>
          <w:b/>
          <w:bCs/>
          <w:color w:val="000000"/>
        </w:rPr>
        <w:t xml:space="preserve">2  </w:t>
      </w:r>
      <w:r>
        <w:rPr>
          <w:color w:val="000000"/>
        </w:rPr>
        <w:t>条文中指</w:t>
      </w:r>
      <w:r>
        <w:rPr>
          <w:rFonts w:hint="eastAsia"/>
          <w:color w:val="000000"/>
        </w:rPr>
        <w:t>明</w:t>
      </w:r>
      <w:r>
        <w:rPr>
          <w:color w:val="000000"/>
        </w:rPr>
        <w:t>应按其他</w:t>
      </w:r>
      <w:r>
        <w:rPr>
          <w:rFonts w:hint="eastAsia"/>
          <w:color w:val="000000"/>
        </w:rPr>
        <w:t>有关</w:t>
      </w:r>
      <w:r>
        <w:rPr>
          <w:color w:val="000000"/>
        </w:rPr>
        <w:t>标准</w:t>
      </w:r>
      <w:r>
        <w:rPr>
          <w:rFonts w:hint="eastAsia" w:ascii="宋体" w:hAnsi="宋体" w:cs="宋体"/>
          <w:color w:val="000000"/>
        </w:rPr>
        <w:t>执行的写法为：“应符合……有关规定”或“应按……执行”。</w:t>
      </w:r>
    </w:p>
    <w:p w14:paraId="30F4A5CB">
      <w:pPr>
        <w:widowControl/>
        <w:spacing w:line="240" w:lineRule="auto"/>
        <w:ind w:firstLine="0" w:firstLineChars="0"/>
        <w:jc w:val="left"/>
        <w:rPr>
          <w:rFonts w:ascii="宋体" w:hAnsi="宋体"/>
        </w:rPr>
      </w:pPr>
      <w:r>
        <w:rPr>
          <w:rFonts w:ascii="宋体" w:hAnsi="宋体"/>
        </w:rPr>
        <w:br w:type="page"/>
      </w:r>
    </w:p>
    <w:p w14:paraId="34892ECB">
      <w:pPr>
        <w:spacing w:before="163" w:beforeLines="50" w:after="163" w:afterLines="50"/>
        <w:ind w:firstLine="0" w:firstLineChars="0"/>
        <w:jc w:val="center"/>
        <w:outlineLvl w:val="0"/>
        <w:rPr>
          <w:b/>
          <w:bCs/>
          <w:sz w:val="44"/>
          <w:szCs w:val="44"/>
        </w:rPr>
      </w:pPr>
      <w:bookmarkStart w:id="112" w:name="_Toc212057057"/>
      <w:r>
        <w:rPr>
          <w:rFonts w:hint="eastAsia"/>
          <w:b/>
          <w:bCs/>
          <w:sz w:val="44"/>
          <w:szCs w:val="44"/>
        </w:rPr>
        <w:t>引用标准名录</w:t>
      </w:r>
      <w:bookmarkEnd w:id="112"/>
    </w:p>
    <w:p w14:paraId="0DD4F79E">
      <w:pPr>
        <w:ind w:firstLine="480"/>
        <w:rPr>
          <w:rFonts w:cs="Times New Roman"/>
        </w:rPr>
      </w:pPr>
      <w:r>
        <w:rPr>
          <w:rFonts w:hint="eastAsia"/>
        </w:rPr>
        <w:t>1、《</w:t>
      </w:r>
      <w:r>
        <w:t>土地利用现状分类</w:t>
      </w:r>
      <w:r>
        <w:rPr>
          <w:rFonts w:hint="eastAsia"/>
        </w:rPr>
        <w:t>》</w:t>
      </w:r>
      <w:r>
        <w:rPr>
          <w:rFonts w:hint="eastAsia" w:cs="Times New Roman"/>
        </w:rPr>
        <w:t>GB/T 21010-2017</w:t>
      </w:r>
    </w:p>
    <w:p w14:paraId="3E2C2205">
      <w:pPr>
        <w:ind w:firstLine="480"/>
        <w:rPr>
          <w:rFonts w:cs="Times New Roman"/>
        </w:rPr>
      </w:pPr>
      <w:r>
        <w:rPr>
          <w:rFonts w:hint="eastAsia" w:cs="Times New Roman"/>
        </w:rPr>
        <w:t>2、</w:t>
      </w:r>
      <w:r>
        <w:rPr>
          <w:rFonts w:hint="eastAsia"/>
        </w:rPr>
        <w:t>《岩土工程勘察规范》</w:t>
      </w:r>
      <w:r>
        <w:rPr>
          <w:rFonts w:hint="eastAsia" w:cs="Times New Roman"/>
        </w:rPr>
        <w:t>GB 50021-2009</w:t>
      </w:r>
    </w:p>
    <w:p w14:paraId="3E21E771">
      <w:pPr>
        <w:ind w:firstLine="480"/>
      </w:pPr>
      <w:r>
        <w:rPr>
          <w:rFonts w:hint="eastAsia" w:cs="Times New Roman"/>
        </w:rPr>
        <w:t>3、</w:t>
      </w:r>
      <w:r>
        <w:rPr>
          <w:rFonts w:hint="eastAsia"/>
        </w:rPr>
        <w:t>《</w:t>
      </w:r>
      <w:r>
        <w:t>声环境质量标准</w:t>
      </w:r>
      <w:r>
        <w:rPr>
          <w:rFonts w:hint="eastAsia"/>
        </w:rPr>
        <w:t>》GB 3096-2008</w:t>
      </w:r>
    </w:p>
    <w:p w14:paraId="35B8BAC9">
      <w:pPr>
        <w:ind w:firstLine="480"/>
      </w:pPr>
      <w:r>
        <w:rPr>
          <w:rFonts w:cs="Times New Roman"/>
          <w:lang w:bidi="ar"/>
        </w:rPr>
        <w:t>4</w:t>
      </w:r>
      <w:r>
        <w:rPr>
          <w:rFonts w:hint="eastAsia" w:cs="宋体"/>
          <w:lang w:bidi="ar"/>
        </w:rPr>
        <w:t>、《岩土锚固与喷射混凝土支护工程技术规范》</w:t>
      </w:r>
      <w:r>
        <w:rPr>
          <w:rFonts w:cs="Times New Roman"/>
          <w:lang w:bidi="ar"/>
        </w:rPr>
        <w:t>GB 50086-2015</w:t>
      </w:r>
    </w:p>
    <w:p w14:paraId="0AE2779B">
      <w:pPr>
        <w:ind w:firstLine="480"/>
      </w:pPr>
      <w:r>
        <w:rPr>
          <w:rFonts w:hint="eastAsia"/>
        </w:rPr>
        <w:t>5、《建筑边坡工程技术规范》GB 50330-2013</w:t>
      </w:r>
    </w:p>
    <w:p w14:paraId="2D132CD5">
      <w:pPr>
        <w:ind w:firstLine="480"/>
      </w:pPr>
      <w:r>
        <w:rPr>
          <w:rFonts w:hint="eastAsia"/>
        </w:rPr>
        <w:t>6、《砌体结构设计规范》GB 50003-2011</w:t>
      </w:r>
    </w:p>
    <w:p w14:paraId="53ABB1B5">
      <w:pPr>
        <w:ind w:firstLine="480"/>
      </w:pPr>
      <w:r>
        <w:rPr>
          <w:rFonts w:hint="eastAsia"/>
        </w:rPr>
        <w:t>7、《</w:t>
      </w:r>
      <w:bookmarkStart w:id="113" w:name="OLE_LINK5"/>
      <w:r>
        <w:rPr>
          <w:rFonts w:hint="eastAsia"/>
        </w:rPr>
        <w:t>滑坡防治设计规范</w:t>
      </w:r>
      <w:bookmarkEnd w:id="113"/>
      <w:r>
        <w:rPr>
          <w:rFonts w:hint="eastAsia"/>
        </w:rPr>
        <w:t>》GB/T 38509-2020</w:t>
      </w:r>
    </w:p>
    <w:p w14:paraId="7CCD4DC8">
      <w:pPr>
        <w:ind w:firstLine="480"/>
        <w:rPr>
          <w:rFonts w:cs="Times New Roman"/>
        </w:rPr>
      </w:pPr>
      <w:r>
        <w:rPr>
          <w:rFonts w:hint="eastAsia"/>
        </w:rPr>
        <w:t>8、《喷灌工程技术规范》</w:t>
      </w:r>
      <w:r>
        <w:rPr>
          <w:rFonts w:hint="eastAsia" w:cs="Times New Roman"/>
        </w:rPr>
        <w:t>GB/T 50085-2007</w:t>
      </w:r>
    </w:p>
    <w:p w14:paraId="6B2DFA79">
      <w:pPr>
        <w:ind w:firstLine="480"/>
        <w:rPr>
          <w:rFonts w:cs="Times New Roman"/>
        </w:rPr>
      </w:pPr>
      <w:r>
        <w:rPr>
          <w:rFonts w:hint="eastAsia" w:cs="Times New Roman"/>
        </w:rPr>
        <w:t>9、《微灌工程技术标准》GB/T 50485-2020</w:t>
      </w:r>
    </w:p>
    <w:p w14:paraId="5DEEE7DF">
      <w:pPr>
        <w:ind w:firstLine="480"/>
        <w:rPr>
          <w:rFonts w:cs="Times New Roman"/>
        </w:rPr>
      </w:pPr>
      <w:r>
        <w:rPr>
          <w:rFonts w:hint="eastAsia" w:cs="Times New Roman"/>
        </w:rPr>
        <w:t>10、《裸露坡面植被恢复技术规范》GB/T 38360-2019</w:t>
      </w:r>
    </w:p>
    <w:p w14:paraId="31422FDA">
      <w:pPr>
        <w:ind w:firstLine="480"/>
        <w:rPr>
          <w:rFonts w:cs="Times New Roman"/>
        </w:rPr>
      </w:pPr>
      <w:r>
        <w:rPr>
          <w:rFonts w:hint="eastAsia" w:cs="Times New Roman"/>
        </w:rPr>
        <w:t>11、《造林技术规程》GB/T 15776-2023</w:t>
      </w:r>
    </w:p>
    <w:p w14:paraId="53328FDE">
      <w:pPr>
        <w:ind w:firstLine="480"/>
        <w:rPr>
          <w:rFonts w:cs="Times New Roman"/>
        </w:rPr>
      </w:pPr>
      <w:r>
        <w:rPr>
          <w:rFonts w:hint="eastAsia" w:cs="Times New Roman"/>
        </w:rPr>
        <w:t>12、《地质灾害危险性评估规范》GB/T 40112-2021</w:t>
      </w:r>
    </w:p>
    <w:p w14:paraId="55C61109">
      <w:pPr>
        <w:ind w:firstLine="480"/>
        <w:rPr>
          <w:rFonts w:cs="Times New Roman"/>
        </w:rPr>
      </w:pPr>
      <w:r>
        <w:rPr>
          <w:rFonts w:hint="eastAsia" w:cs="Times New Roman"/>
        </w:rPr>
        <w:t>13、《</w:t>
      </w:r>
      <w:r>
        <w:rPr>
          <w:rFonts w:cs="Times New Roman"/>
        </w:rPr>
        <w:t>地下水质量标准</w:t>
      </w:r>
      <w:r>
        <w:rPr>
          <w:rFonts w:hint="eastAsia" w:cs="Times New Roman"/>
        </w:rPr>
        <w:t>》GB/T 14848-2017</w:t>
      </w:r>
    </w:p>
    <w:p w14:paraId="2A887ADC">
      <w:pPr>
        <w:ind w:firstLine="480"/>
        <w:rPr>
          <w:rFonts w:cs="Times New Roman"/>
        </w:rPr>
      </w:pPr>
      <w:r>
        <w:rPr>
          <w:rFonts w:hint="eastAsia" w:cs="Times New Roman"/>
        </w:rPr>
        <w:t>14、《矿区地下水含水层破坏危害程度评价规范》GB/T 42362-2023</w:t>
      </w:r>
    </w:p>
    <w:p w14:paraId="50DE15AC">
      <w:pPr>
        <w:ind w:firstLine="480"/>
        <w:rPr>
          <w:rFonts w:ascii="Times" w:hAnsi="Times" w:cs="Times"/>
        </w:rPr>
      </w:pPr>
      <w:r>
        <w:rPr>
          <w:rFonts w:hint="eastAsia" w:cs="Times New Roman"/>
        </w:rPr>
        <w:t>15、《生产建设项目水土保持监测与评价标准》</w:t>
      </w:r>
      <w:r>
        <w:rPr>
          <w:rFonts w:hint="eastAsia" w:ascii="Times" w:hAnsi="Times" w:cs="Times"/>
        </w:rPr>
        <w:t>GB/T 51240-2018</w:t>
      </w:r>
    </w:p>
    <w:p w14:paraId="72F259D2">
      <w:pPr>
        <w:ind w:firstLine="480"/>
        <w:rPr>
          <w:rFonts w:ascii="Times" w:hAnsi="Times" w:cs="Times"/>
        </w:rPr>
      </w:pPr>
      <w:r>
        <w:rPr>
          <w:rFonts w:hint="eastAsia" w:ascii="Times" w:hAnsi="Times" w:cs="Times"/>
        </w:rPr>
        <w:t>16、《耕地质量等级》GB/T 33469-2016</w:t>
      </w:r>
    </w:p>
    <w:p w14:paraId="566CD489">
      <w:pPr>
        <w:ind w:firstLine="480"/>
        <w:rPr>
          <w:rFonts w:ascii="Times" w:hAnsi="Times" w:cs="Times"/>
        </w:rPr>
      </w:pPr>
      <w:r>
        <w:rPr>
          <w:rFonts w:hint="eastAsia" w:ascii="Times" w:hAnsi="Times" w:cs="Times"/>
        </w:rPr>
        <w:t>17、《地表水环境质量标准》GB 3838-2002</w:t>
      </w:r>
    </w:p>
    <w:p w14:paraId="2822605E">
      <w:pPr>
        <w:ind w:firstLine="480"/>
        <w:rPr>
          <w:rFonts w:ascii="Times" w:hAnsi="Times" w:cs="Times"/>
        </w:rPr>
      </w:pPr>
      <w:r>
        <w:rPr>
          <w:rFonts w:hint="eastAsia" w:ascii="Times" w:hAnsi="Times" w:cs="Times"/>
        </w:rPr>
        <w:t>16、《渔业水质标准》GB 11607-89</w:t>
      </w:r>
    </w:p>
    <w:p w14:paraId="49D7AC65">
      <w:pPr>
        <w:ind w:firstLine="480"/>
        <w:rPr>
          <w:rFonts w:ascii="Times" w:hAnsi="Times" w:cs="Times"/>
        </w:rPr>
      </w:pPr>
      <w:r>
        <w:rPr>
          <w:rFonts w:hint="eastAsia" w:ascii="Times" w:hAnsi="Times" w:cs="Times"/>
        </w:rPr>
        <w:t>16、《土壤环境质量</w:t>
      </w:r>
      <w:r>
        <w:rPr>
          <w:rFonts w:ascii="Times" w:hAnsi="Times" w:cs="Times"/>
        </w:rPr>
        <w:t xml:space="preserve"> </w:t>
      </w:r>
      <w:r>
        <w:rPr>
          <w:rFonts w:hint="eastAsia" w:ascii="Times" w:hAnsi="Times" w:cs="Times"/>
        </w:rPr>
        <w:t>农用地土壤污染风险管控标（试行）》GB 15618-2018</w:t>
      </w:r>
    </w:p>
    <w:p w14:paraId="71FD8C02">
      <w:pPr>
        <w:ind w:firstLine="480"/>
      </w:pPr>
      <w:r>
        <w:rPr>
          <w:rFonts w:hint="eastAsia"/>
        </w:rPr>
        <w:t>17、《土壤环境质量</w:t>
      </w:r>
      <w:r>
        <w:t xml:space="preserve"> 建设用地土壤污染风险管控标准（试行）》GB 36600-2018</w:t>
      </w:r>
    </w:p>
    <w:p w14:paraId="26F12975">
      <w:pPr>
        <w:ind w:firstLine="480"/>
        <w:rPr>
          <w:rFonts w:ascii="Times" w:hAnsi="Times" w:cs="Times"/>
        </w:rPr>
      </w:pPr>
      <w:r>
        <w:rPr>
          <w:rFonts w:hint="eastAsia"/>
        </w:rPr>
        <w:t>18、《农田灌溉水质标准》</w:t>
      </w:r>
      <w:r>
        <w:rPr>
          <w:rFonts w:hint="eastAsia" w:ascii="Times" w:hAnsi="Times" w:cs="Times"/>
        </w:rPr>
        <w:t>GB 5084-2021</w:t>
      </w:r>
    </w:p>
    <w:p w14:paraId="0CD02361">
      <w:pPr>
        <w:ind w:firstLine="480"/>
        <w:rPr>
          <w:rFonts w:ascii="Times" w:hAnsi="Times" w:cs="Times"/>
        </w:rPr>
      </w:pPr>
      <w:r>
        <w:rPr>
          <w:rFonts w:hint="eastAsia" w:ascii="Times" w:hAnsi="Times" w:cs="Times"/>
        </w:rPr>
        <w:t>19、《采煤塌陷区水资源环境调查与评价方法》GB/T 37574-2019</w:t>
      </w:r>
    </w:p>
    <w:p w14:paraId="27EA0AB8">
      <w:pPr>
        <w:ind w:firstLine="480"/>
        <w:rPr>
          <w:rFonts w:ascii="Times" w:hAnsi="Times" w:cs="Times"/>
          <w:b/>
          <w:bCs/>
        </w:rPr>
      </w:pPr>
      <w:r>
        <w:rPr>
          <w:rFonts w:hint="eastAsia" w:ascii="Times" w:hAnsi="Times" w:cs="Times"/>
        </w:rPr>
        <w:t>20、《生态系统评估</w:t>
      </w:r>
      <w:r>
        <w:rPr>
          <w:rFonts w:ascii="Times" w:hAnsi="Times" w:cs="Times"/>
        </w:rPr>
        <w:t xml:space="preserve"> </w:t>
      </w:r>
      <w:r>
        <w:rPr>
          <w:rFonts w:hint="eastAsia" w:ascii="Times" w:hAnsi="Times" w:cs="Times"/>
        </w:rPr>
        <w:t>生态系统格局与质量评价方法》GB/T 42340-2023</w:t>
      </w:r>
    </w:p>
    <w:p w14:paraId="58A9FD73">
      <w:pPr>
        <w:ind w:firstLine="480"/>
        <w:rPr>
          <w:rFonts w:cs="Times New Roman"/>
        </w:rPr>
      </w:pPr>
      <w:r>
        <w:rPr>
          <w:rFonts w:hint="eastAsia"/>
        </w:rPr>
        <w:t>21、《水文地质调查规范（1：50000）》</w:t>
      </w:r>
      <w:r>
        <w:rPr>
          <w:rFonts w:hint="eastAsia" w:cs="Times New Roman"/>
        </w:rPr>
        <w:t>DZ/T 0282-2015</w:t>
      </w:r>
    </w:p>
    <w:p w14:paraId="0C6CFEFF">
      <w:pPr>
        <w:ind w:firstLine="480"/>
        <w:rPr>
          <w:rFonts w:cs="Times New Roman"/>
        </w:rPr>
      </w:pPr>
      <w:r>
        <w:rPr>
          <w:rFonts w:hint="eastAsia" w:cs="Times New Roman"/>
        </w:rPr>
        <w:t>22、《区域环境地质勘查遥感技术规定</w:t>
      </w:r>
      <w:r>
        <w:rPr>
          <w:rFonts w:hint="eastAsia"/>
        </w:rPr>
        <w:t>（1：50000）</w:t>
      </w:r>
      <w:r>
        <w:rPr>
          <w:rFonts w:hint="eastAsia" w:cs="Times New Roman"/>
        </w:rPr>
        <w:t>》DZ/T 0190-2015</w:t>
      </w:r>
    </w:p>
    <w:p w14:paraId="4C7F246C">
      <w:pPr>
        <w:ind w:firstLine="480"/>
        <w:rPr>
          <w:rFonts w:ascii="Times" w:hAnsi="Times" w:cs="Times"/>
        </w:rPr>
      </w:pPr>
      <w:r>
        <w:rPr>
          <w:rFonts w:hint="eastAsia" w:cs="Times New Roman"/>
        </w:rPr>
        <w:t>23、《物化探工程测量规范》</w:t>
      </w:r>
      <w:r>
        <w:rPr>
          <w:rFonts w:ascii="Times" w:hAnsi="Times" w:cs="Times"/>
        </w:rPr>
        <w:t>DZ/T 0153</w:t>
      </w:r>
      <w:r>
        <w:rPr>
          <w:rFonts w:hint="eastAsia" w:ascii="Times" w:hAnsi="Times" w:cs="Times"/>
        </w:rPr>
        <w:t>-2014</w:t>
      </w:r>
    </w:p>
    <w:p w14:paraId="44A52E62">
      <w:pPr>
        <w:ind w:firstLine="480"/>
        <w:rPr>
          <w:rFonts w:cs="Times New Roman"/>
        </w:rPr>
      </w:pPr>
      <w:r>
        <w:rPr>
          <w:rFonts w:hint="eastAsia" w:ascii="Times" w:hAnsi="Times" w:cs="Times"/>
        </w:rPr>
        <w:t>24、《矿山地质环境监测技术规程》</w:t>
      </w:r>
      <w:r>
        <w:rPr>
          <w:rFonts w:hint="eastAsia" w:cs="Times New Roman"/>
        </w:rPr>
        <w:t>DZ/T 0287-2015</w:t>
      </w:r>
    </w:p>
    <w:p w14:paraId="0FF135B4">
      <w:pPr>
        <w:ind w:firstLine="480"/>
        <w:rPr>
          <w:rFonts w:ascii="Times" w:hAnsi="Times" w:cs="Times"/>
        </w:rPr>
      </w:pPr>
      <w:r>
        <w:rPr>
          <w:rFonts w:hint="eastAsia" w:cs="Times New Roman"/>
        </w:rPr>
        <w:t>25、《全国生态状况调查评估技术规范——生态系统服务功能评估》</w:t>
      </w:r>
      <w:r>
        <w:rPr>
          <w:rFonts w:hint="eastAsia" w:ascii="Times" w:hAnsi="Times" w:cs="Times"/>
        </w:rPr>
        <w:t>HJ 1173-2021</w:t>
      </w:r>
    </w:p>
    <w:p w14:paraId="33A5F489">
      <w:pPr>
        <w:ind w:firstLine="480"/>
      </w:pPr>
      <w:r>
        <w:rPr>
          <w:rFonts w:hint="eastAsia"/>
        </w:rPr>
        <w:t>26、《矿山生态环境保护与恢复治理技术规范》</w:t>
      </w:r>
      <w:r>
        <w:t>HJ</w:t>
      </w:r>
      <w:r>
        <w:rPr>
          <w:rFonts w:hint="eastAsia"/>
        </w:rPr>
        <w:t xml:space="preserve"> </w:t>
      </w:r>
      <w:r>
        <w:t>651-2013</w:t>
      </w:r>
    </w:p>
    <w:p w14:paraId="00A303D1">
      <w:pPr>
        <w:ind w:firstLine="480"/>
      </w:pPr>
      <w:r>
        <w:rPr>
          <w:rFonts w:hint="eastAsia"/>
        </w:rPr>
        <w:t>27、《建设用地土壤污染状况调查技术导则》HJ 25.1-2019</w:t>
      </w:r>
    </w:p>
    <w:p w14:paraId="08D60674">
      <w:pPr>
        <w:ind w:firstLine="480"/>
      </w:pPr>
      <w:r>
        <w:rPr>
          <w:rFonts w:hint="eastAsia"/>
        </w:rPr>
        <w:t>28、《建设用地土壤污染风险管控和修复监测技术导则》HJ 25.2-2019</w:t>
      </w:r>
    </w:p>
    <w:p w14:paraId="15C232FD">
      <w:pPr>
        <w:ind w:firstLine="480"/>
      </w:pPr>
      <w:r>
        <w:rPr>
          <w:rFonts w:hint="eastAsia"/>
        </w:rPr>
        <w:t>29、《建设用地土壤污染风险评估技术导则》HJ 25.3-2019</w:t>
      </w:r>
    </w:p>
    <w:p w14:paraId="562ABE48">
      <w:pPr>
        <w:ind w:firstLine="480"/>
      </w:pPr>
      <w:r>
        <w:rPr>
          <w:rFonts w:hint="eastAsia"/>
        </w:rPr>
        <w:t>30、《建设用地土壤修复技术导则》HJ 25.4-2019</w:t>
      </w:r>
    </w:p>
    <w:p w14:paraId="40D2B25A">
      <w:pPr>
        <w:ind w:firstLine="480"/>
        <w:rPr>
          <w:rFonts w:ascii="Times" w:hAnsi="Times" w:cs="Times"/>
        </w:rPr>
      </w:pPr>
      <w:r>
        <w:rPr>
          <w:rFonts w:hint="eastAsia" w:ascii="Times" w:hAnsi="Times" w:cs="Times"/>
        </w:rPr>
        <w:t>31、《森林生态系统碳储量计量指南》LY/T 2988-2018</w:t>
      </w:r>
    </w:p>
    <w:p w14:paraId="6E10EEEC">
      <w:pPr>
        <w:ind w:firstLine="480"/>
        <w:rPr>
          <w:rFonts w:ascii="Times" w:hAnsi="Times" w:cs="Times"/>
        </w:rPr>
      </w:pPr>
      <w:r>
        <w:rPr>
          <w:rFonts w:hint="eastAsia" w:ascii="Times" w:hAnsi="Times" w:cs="Times"/>
        </w:rPr>
        <w:t>32、《湿地生态系统服务评估规范》LY/T 2899-2017</w:t>
      </w:r>
    </w:p>
    <w:p w14:paraId="1AAAD7D6">
      <w:pPr>
        <w:ind w:firstLine="480"/>
        <w:rPr>
          <w:rFonts w:ascii="Times" w:hAnsi="Times" w:cs="Times"/>
        </w:rPr>
      </w:pPr>
      <w:r>
        <w:rPr>
          <w:rFonts w:hint="eastAsia" w:ascii="Times" w:hAnsi="Times" w:cs="Times"/>
        </w:rPr>
        <w:t>33、《土地复垦方案编制规程》</w:t>
      </w:r>
      <w:r>
        <w:rPr>
          <w:rFonts w:ascii="Times" w:hAnsi="Times" w:cs="Times"/>
        </w:rPr>
        <w:t>TD/T 1031</w:t>
      </w:r>
      <w:r>
        <w:rPr>
          <w:rFonts w:hint="eastAsia" w:ascii="Times" w:hAnsi="Times" w:cs="Times"/>
        </w:rPr>
        <w:t>-2011（所有部分）</w:t>
      </w:r>
    </w:p>
    <w:p w14:paraId="2726E936">
      <w:pPr>
        <w:ind w:firstLine="480"/>
        <w:rPr>
          <w:rFonts w:cs="Times New Roman"/>
        </w:rPr>
      </w:pPr>
      <w:r>
        <w:rPr>
          <w:rFonts w:hint="eastAsia" w:ascii="Times" w:hAnsi="Times" w:cs="Times"/>
        </w:rPr>
        <w:t>34、《土地复垦质量控制标准》</w:t>
      </w:r>
      <w:r>
        <w:rPr>
          <w:rFonts w:hint="eastAsia" w:cs="Times New Roman"/>
        </w:rPr>
        <w:t>TD/T 1036-2013</w:t>
      </w:r>
    </w:p>
    <w:p w14:paraId="1ACD8680">
      <w:pPr>
        <w:ind w:firstLine="480"/>
      </w:pPr>
      <w:r>
        <w:rPr>
          <w:rFonts w:hint="eastAsia"/>
        </w:rPr>
        <w:t>35、《矿山生态修复技术规范</w:t>
      </w:r>
      <w:r>
        <w:t xml:space="preserve"> 第1部分：通则》</w:t>
      </w:r>
      <w:r>
        <w:rPr>
          <w:rFonts w:hint="eastAsia"/>
        </w:rPr>
        <w:t>TD</w:t>
      </w:r>
      <w:r>
        <w:rPr>
          <w:rFonts w:hint="eastAsia" w:cs="Times New Roman"/>
        </w:rPr>
        <w:t>/</w:t>
      </w:r>
      <w:r>
        <w:rPr>
          <w:rFonts w:hint="eastAsia"/>
        </w:rPr>
        <w:t>T 1070.1-2022</w:t>
      </w:r>
    </w:p>
    <w:p w14:paraId="59AD93B9">
      <w:pPr>
        <w:ind w:firstLine="480"/>
      </w:pPr>
      <w:r>
        <w:rPr>
          <w:rFonts w:hint="eastAsia"/>
        </w:rPr>
        <w:t>36、《矿山生态修复技术规范</w:t>
      </w:r>
      <w:r>
        <w:t xml:space="preserve"> 第2部分：煤炭矿山》TD/T 1070.2-2022</w:t>
      </w:r>
    </w:p>
    <w:p w14:paraId="7308F506">
      <w:pPr>
        <w:ind w:firstLine="480"/>
      </w:pPr>
      <w:r>
        <w:rPr>
          <w:rFonts w:hint="eastAsia"/>
        </w:rPr>
        <w:t>37、《矿山生态修复技术规范</w:t>
      </w:r>
      <w:r>
        <w:t xml:space="preserve"> 第3部分：</w:t>
      </w:r>
      <w:r>
        <w:rPr>
          <w:rFonts w:hint="eastAsia"/>
        </w:rPr>
        <w:t>金属</w:t>
      </w:r>
      <w:r>
        <w:t>矿山》TD/T 1070.3-2024</w:t>
      </w:r>
    </w:p>
    <w:p w14:paraId="39ACD8B2">
      <w:pPr>
        <w:ind w:firstLine="480"/>
      </w:pPr>
      <w:r>
        <w:rPr>
          <w:rFonts w:hint="eastAsia"/>
        </w:rPr>
        <w:t>38、《矿山生态修复技术规范</w:t>
      </w:r>
      <w:r>
        <w:t xml:space="preserve"> 第4部分：建材矿山》TD/T 1070.4-2022</w:t>
      </w:r>
    </w:p>
    <w:p w14:paraId="370205B2">
      <w:pPr>
        <w:ind w:firstLine="480"/>
      </w:pPr>
      <w:r>
        <w:rPr>
          <w:rFonts w:hint="eastAsia"/>
        </w:rPr>
        <w:t>39、《矿山生态修复技术规范</w:t>
      </w:r>
      <w:r>
        <w:t xml:space="preserve"> 第5部分：化工矿山》TD/T 1070.5-2022</w:t>
      </w:r>
    </w:p>
    <w:p w14:paraId="63A1601E">
      <w:pPr>
        <w:ind w:firstLine="480"/>
      </w:pPr>
      <w:r>
        <w:rPr>
          <w:rFonts w:hint="eastAsia"/>
        </w:rPr>
        <w:t>40、《矿山生态修复技术规范</w:t>
      </w:r>
      <w:r>
        <w:t xml:space="preserve"> 第6部分：稀土矿山》</w:t>
      </w:r>
      <w:r>
        <w:rPr>
          <w:rFonts w:hint="eastAsia"/>
        </w:rPr>
        <w:t>TD</w:t>
      </w:r>
      <w:r>
        <w:t>/</w:t>
      </w:r>
      <w:r>
        <w:rPr>
          <w:rFonts w:hint="eastAsia"/>
        </w:rPr>
        <w:t>T 1070.6-2022</w:t>
      </w:r>
    </w:p>
    <w:p w14:paraId="40F152AA">
      <w:pPr>
        <w:ind w:firstLine="480"/>
      </w:pPr>
      <w:r>
        <w:rPr>
          <w:rFonts w:hint="eastAsia"/>
        </w:rPr>
        <w:t>41、《矿山生态修复技术规范</w:t>
      </w:r>
      <w:r>
        <w:t xml:space="preserve"> 第7部分：油气矿山》TD/T 1070.7-2022</w:t>
      </w:r>
    </w:p>
    <w:p w14:paraId="04FD0F97">
      <w:pPr>
        <w:ind w:firstLine="480"/>
      </w:pPr>
      <w:r>
        <w:rPr>
          <w:rFonts w:hint="eastAsia"/>
        </w:rPr>
        <w:t>42、《矿山生态修复示范工程评定标准》</w:t>
      </w:r>
      <w:r>
        <w:t>T/CCPEF 067-2020</w:t>
      </w:r>
    </w:p>
    <w:p w14:paraId="7B4BC06F">
      <w:pPr>
        <w:ind w:firstLine="480"/>
        <w:rPr>
          <w:rFonts w:ascii="Times" w:hAnsi="Times" w:cs="Times"/>
        </w:rPr>
      </w:pPr>
      <w:r>
        <w:rPr>
          <w:rFonts w:hint="eastAsia"/>
        </w:rPr>
        <w:t>4</w:t>
      </w:r>
      <w:r>
        <w:t>3</w:t>
      </w:r>
      <w:r>
        <w:rPr>
          <w:rFonts w:hint="eastAsia"/>
        </w:rPr>
        <w:t>、《工程地质测绘标准》</w:t>
      </w:r>
      <w:r>
        <w:rPr>
          <w:rFonts w:hint="eastAsia" w:ascii="Times" w:hAnsi="Times" w:cs="Times"/>
        </w:rPr>
        <w:t>CECS 238-2008</w:t>
      </w:r>
    </w:p>
    <w:p w14:paraId="24226573">
      <w:pPr>
        <w:ind w:firstLine="480"/>
        <w:rPr>
          <w:rFonts w:ascii="Times" w:hAnsi="Times" w:cs="Times"/>
        </w:rPr>
      </w:pPr>
      <w:r>
        <w:rPr>
          <w:rFonts w:hint="eastAsia" w:ascii="Times" w:hAnsi="Times" w:cs="Times"/>
        </w:rPr>
        <w:t>4</w:t>
      </w:r>
      <w:r>
        <w:rPr>
          <w:rFonts w:ascii="Times" w:hAnsi="Times" w:cs="Times"/>
        </w:rPr>
        <w:t>4</w:t>
      </w:r>
      <w:r>
        <w:rPr>
          <w:rFonts w:hint="eastAsia" w:ascii="Times" w:hAnsi="Times" w:cs="Times"/>
        </w:rPr>
        <w:t>、《矿山生态修复工程实施方案编制导则》TD/T 1093-2024</w:t>
      </w:r>
      <w:r>
        <w:rPr>
          <w:rFonts w:hint="eastAsia" w:ascii="Times" w:hAnsi="Times" w:cs="Times"/>
        </w:rPr>
        <w:tab/>
      </w:r>
    </w:p>
    <w:p w14:paraId="569AC1D2">
      <w:pPr>
        <w:ind w:firstLine="480"/>
        <w:rPr>
          <w:rFonts w:ascii="Times" w:hAnsi="Times" w:cs="Times"/>
        </w:rPr>
      </w:pPr>
      <w:r>
        <w:rPr>
          <w:rFonts w:hint="eastAsia" w:ascii="Times" w:hAnsi="Times" w:cs="Times"/>
        </w:rPr>
        <w:t>4</w:t>
      </w:r>
      <w:r>
        <w:rPr>
          <w:rFonts w:ascii="Times" w:hAnsi="Times" w:cs="Times"/>
        </w:rPr>
        <w:t>5</w:t>
      </w:r>
      <w:r>
        <w:rPr>
          <w:rFonts w:hint="eastAsia" w:ascii="Times" w:hAnsi="Times" w:cs="Times"/>
        </w:rPr>
        <w:t>、《矿山生态修复工程验收规范》</w:t>
      </w:r>
      <w:r>
        <w:rPr>
          <w:rFonts w:ascii="Times" w:hAnsi="Times" w:cs="Times"/>
        </w:rPr>
        <w:t>TD/T 1092-2024</w:t>
      </w:r>
    </w:p>
    <w:p w14:paraId="0A0A755A">
      <w:pPr>
        <w:ind w:firstLine="480"/>
      </w:pPr>
      <w:r>
        <w:rPr>
          <w:rFonts w:ascii="Times" w:hAnsi="Times" w:eastAsia="Times" w:cs="Times"/>
          <w:lang w:bidi="ar"/>
        </w:rPr>
        <w:t>46</w:t>
      </w:r>
      <w:r>
        <w:rPr>
          <w:rFonts w:hint="eastAsia" w:ascii="Times" w:hAnsi="Times" w:cs="Times"/>
          <w:lang w:bidi="ar"/>
        </w:rPr>
        <w:t>、</w:t>
      </w:r>
      <w:r>
        <w:rPr>
          <w:rFonts w:hint="eastAsia" w:cs="宋体"/>
          <w:lang w:bidi="ar"/>
        </w:rPr>
        <w:t>《滑坡崩塌泥石流灾害调查规范（</w:t>
      </w:r>
      <w:r>
        <w:rPr>
          <w:rFonts w:cs="Times New Roman"/>
          <w:lang w:bidi="ar"/>
        </w:rPr>
        <w:t>1</w:t>
      </w:r>
      <w:r>
        <w:rPr>
          <w:rFonts w:hint="eastAsia" w:cs="宋体"/>
          <w:lang w:bidi="ar"/>
        </w:rPr>
        <w:t>：</w:t>
      </w:r>
      <w:r>
        <w:rPr>
          <w:rFonts w:cs="Times New Roman"/>
          <w:lang w:bidi="ar"/>
        </w:rPr>
        <w:t>50000</w:t>
      </w:r>
      <w:r>
        <w:rPr>
          <w:rFonts w:hint="eastAsia" w:cs="宋体"/>
          <w:lang w:bidi="ar"/>
        </w:rPr>
        <w:t>）》</w:t>
      </w:r>
      <w:r>
        <w:rPr>
          <w:rFonts w:cs="Times New Roman"/>
          <w:lang w:bidi="ar"/>
        </w:rPr>
        <w:t>DZ/T 0261-2014</w:t>
      </w:r>
    </w:p>
    <w:p w14:paraId="4E44ABED">
      <w:pPr>
        <w:ind w:firstLine="480"/>
      </w:pPr>
      <w:r>
        <w:rPr>
          <w:rFonts w:cs="Times New Roman"/>
          <w:lang w:bidi="ar"/>
        </w:rPr>
        <w:t>47</w:t>
      </w:r>
      <w:r>
        <w:rPr>
          <w:rFonts w:hint="eastAsia" w:cs="宋体"/>
          <w:lang w:bidi="ar"/>
        </w:rPr>
        <w:t>、《地质灾害风险调查评价规范（</w:t>
      </w:r>
      <w:r>
        <w:rPr>
          <w:rFonts w:cs="Times New Roman"/>
          <w:lang w:bidi="ar"/>
        </w:rPr>
        <w:t>1</w:t>
      </w:r>
      <w:r>
        <w:rPr>
          <w:rFonts w:hint="eastAsia" w:cs="宋体"/>
          <w:lang w:bidi="ar"/>
        </w:rPr>
        <w:t>：</w:t>
      </w:r>
      <w:r>
        <w:rPr>
          <w:rFonts w:cs="Times New Roman"/>
          <w:lang w:bidi="ar"/>
        </w:rPr>
        <w:t>50000</w:t>
      </w:r>
      <w:r>
        <w:rPr>
          <w:rFonts w:hint="eastAsia" w:cs="宋体"/>
          <w:lang w:bidi="ar"/>
        </w:rPr>
        <w:t>）》</w:t>
      </w:r>
      <w:r>
        <w:rPr>
          <w:rFonts w:cs="Times New Roman"/>
          <w:lang w:bidi="ar"/>
        </w:rPr>
        <w:t>DZ/T 0438-2023</w:t>
      </w:r>
    </w:p>
    <w:p w14:paraId="3B847FB6">
      <w:pPr>
        <w:ind w:firstLine="480"/>
      </w:pPr>
      <w:r>
        <w:rPr>
          <w:rFonts w:cs="Times New Roman"/>
          <w:lang w:bidi="ar"/>
        </w:rPr>
        <w:t>48</w:t>
      </w:r>
      <w:r>
        <w:rPr>
          <w:rFonts w:hint="eastAsia" w:cs="宋体"/>
          <w:lang w:bidi="ar"/>
        </w:rPr>
        <w:t>、《滑坡崩塌泥石流灾害精细调查规范》</w:t>
      </w:r>
      <w:r>
        <w:rPr>
          <w:rFonts w:cs="Times New Roman"/>
          <w:lang w:bidi="ar"/>
        </w:rPr>
        <w:t>DZ/T 0448-2023</w:t>
      </w:r>
    </w:p>
    <w:p w14:paraId="65243013">
      <w:pPr>
        <w:ind w:firstLine="480"/>
      </w:pPr>
      <w:r>
        <w:rPr>
          <w:rFonts w:cs="Times New Roman"/>
          <w:lang w:bidi="ar"/>
        </w:rPr>
        <w:t>49</w:t>
      </w:r>
      <w:r>
        <w:rPr>
          <w:rFonts w:hint="eastAsia" w:cs="宋体"/>
          <w:lang w:bidi="ar"/>
        </w:rPr>
        <w:t>、《地面沉降调查与监测规范》</w:t>
      </w:r>
      <w:r>
        <w:rPr>
          <w:rFonts w:cs="Times New Roman"/>
          <w:lang w:bidi="ar"/>
        </w:rPr>
        <w:t>DZ/T 0283-2015</w:t>
      </w:r>
    </w:p>
    <w:p w14:paraId="38552344">
      <w:pPr>
        <w:ind w:firstLine="480"/>
      </w:pPr>
      <w:r>
        <w:rPr>
          <w:rFonts w:cs="Times New Roman"/>
          <w:lang w:bidi="ar"/>
        </w:rPr>
        <w:t>50</w:t>
      </w:r>
      <w:r>
        <w:rPr>
          <w:rFonts w:hint="eastAsia" w:cs="宋体"/>
          <w:lang w:bidi="ar"/>
        </w:rPr>
        <w:t>、《一般工业固体废物贮存和填埋污染控制标准》</w:t>
      </w:r>
      <w:r>
        <w:rPr>
          <w:rFonts w:cs="Times New Roman"/>
          <w:lang w:bidi="ar"/>
        </w:rPr>
        <w:t>GB 18599-2020</w:t>
      </w:r>
    </w:p>
    <w:p w14:paraId="3536C3CA">
      <w:pPr>
        <w:ind w:firstLine="480"/>
      </w:pPr>
      <w:r>
        <w:rPr>
          <w:rFonts w:cs="Times New Roman"/>
          <w:lang w:bidi="ar"/>
        </w:rPr>
        <w:t>51</w:t>
      </w:r>
      <w:r>
        <w:rPr>
          <w:rFonts w:hint="eastAsia" w:cs="宋体"/>
          <w:lang w:bidi="ar"/>
        </w:rPr>
        <w:t>、《工矿废弃地土地复垦水土环境质量调查评价规范》</w:t>
      </w:r>
      <w:r>
        <w:rPr>
          <w:rFonts w:cs="Times New Roman"/>
          <w:lang w:bidi="ar"/>
        </w:rPr>
        <w:t>DZ/T 0472-2024</w:t>
      </w:r>
    </w:p>
    <w:p w14:paraId="1101FF4B">
      <w:pPr>
        <w:ind w:firstLine="480"/>
        <w:rPr>
          <w:rFonts w:ascii="Times" w:hAnsi="Times" w:cs="Times"/>
        </w:rPr>
      </w:pPr>
      <w:r>
        <w:rPr>
          <w:rFonts w:cs="Times New Roman"/>
          <w:lang w:bidi="ar"/>
        </w:rPr>
        <w:t>52</w:t>
      </w:r>
      <w:r>
        <w:rPr>
          <w:rFonts w:hint="eastAsia" w:cs="宋体"/>
          <w:lang w:bidi="ar"/>
        </w:rPr>
        <w:t>、《矿区水文地质工程地质勘查规范》</w:t>
      </w:r>
      <w:r>
        <w:rPr>
          <w:rFonts w:cs="Times New Roman"/>
          <w:lang w:bidi="ar"/>
        </w:rPr>
        <w:t>GB/T 12719-2021</w:t>
      </w:r>
    </w:p>
    <w:p w14:paraId="14AB8ABC">
      <w:pPr>
        <w:ind w:firstLine="480"/>
      </w:pPr>
      <w:r>
        <w:br w:type="page"/>
      </w:r>
    </w:p>
    <w:p w14:paraId="74C8C37B">
      <w:pPr>
        <w:spacing w:before="163" w:beforeLines="50" w:after="163" w:afterLines="50"/>
        <w:ind w:firstLine="0" w:firstLineChars="0"/>
        <w:jc w:val="center"/>
        <w:outlineLvl w:val="0"/>
        <w:rPr>
          <w:b/>
          <w:bCs/>
          <w:sz w:val="44"/>
          <w:szCs w:val="44"/>
        </w:rPr>
      </w:pPr>
      <w:bookmarkStart w:id="114" w:name="_Toc212057058"/>
      <w:r>
        <w:rPr>
          <w:rFonts w:hint="eastAsia"/>
          <w:b/>
          <w:bCs/>
          <w:sz w:val="44"/>
          <w:szCs w:val="44"/>
        </w:rPr>
        <w:t>附</w:t>
      </w:r>
      <w:r>
        <w:rPr>
          <w:b/>
          <w:bCs/>
          <w:sz w:val="44"/>
          <w:szCs w:val="44"/>
        </w:rPr>
        <w:t xml:space="preserve">  </w:t>
      </w:r>
      <w:r>
        <w:rPr>
          <w:rFonts w:hint="eastAsia"/>
          <w:b/>
          <w:bCs/>
          <w:sz w:val="44"/>
          <w:szCs w:val="44"/>
        </w:rPr>
        <w:t>录</w:t>
      </w:r>
      <w:r>
        <w:rPr>
          <w:b/>
          <w:bCs/>
          <w:sz w:val="44"/>
          <w:szCs w:val="44"/>
        </w:rPr>
        <w:t xml:space="preserve">  A</w:t>
      </w:r>
      <w:bookmarkEnd w:id="114"/>
    </w:p>
    <w:p w14:paraId="55002AB0">
      <w:pPr>
        <w:ind w:firstLine="0" w:firstLineChars="0"/>
        <w:jc w:val="center"/>
        <w:rPr>
          <w:b/>
          <w:bCs/>
        </w:rPr>
      </w:pPr>
      <w:r>
        <w:rPr>
          <w:rFonts w:hint="eastAsia"/>
          <w:b/>
          <w:bCs/>
        </w:rPr>
        <w:t>矿区地质环境问题调查表格</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510"/>
        <w:gridCol w:w="885"/>
        <w:gridCol w:w="389"/>
        <w:gridCol w:w="1420"/>
        <w:gridCol w:w="600"/>
        <w:gridCol w:w="467"/>
        <w:gridCol w:w="3526"/>
      </w:tblGrid>
      <w:tr w14:paraId="43F40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25" w:type="pct"/>
            <w:gridSpan w:val="2"/>
            <w:vAlign w:val="center"/>
          </w:tcPr>
          <w:p w14:paraId="2B93D31E">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矿区名称</w:t>
            </w:r>
          </w:p>
        </w:tc>
        <w:tc>
          <w:tcPr>
            <w:tcW w:w="1580" w:type="pct"/>
            <w:gridSpan w:val="3"/>
            <w:vAlign w:val="center"/>
          </w:tcPr>
          <w:p w14:paraId="6116EDD4">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p>
        </w:tc>
        <w:tc>
          <w:tcPr>
            <w:tcW w:w="626" w:type="pct"/>
            <w:gridSpan w:val="2"/>
            <w:vAlign w:val="center"/>
          </w:tcPr>
          <w:p w14:paraId="47AEC63E">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图幅编号</w:t>
            </w:r>
          </w:p>
        </w:tc>
        <w:tc>
          <w:tcPr>
            <w:tcW w:w="2070" w:type="pct"/>
            <w:vAlign w:val="center"/>
          </w:tcPr>
          <w:p w14:paraId="16F80567">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p>
        </w:tc>
      </w:tr>
      <w:tr w14:paraId="799C2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725" w:type="pct"/>
            <w:gridSpan w:val="2"/>
            <w:vAlign w:val="center"/>
          </w:tcPr>
          <w:p w14:paraId="02F711D0">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隐患类型</w:t>
            </w:r>
          </w:p>
        </w:tc>
        <w:tc>
          <w:tcPr>
            <w:tcW w:w="4275" w:type="pct"/>
            <w:gridSpan w:val="6"/>
            <w:vAlign w:val="center"/>
          </w:tcPr>
          <w:p w14:paraId="5B730C56">
            <w:pPr>
              <w:widowControl/>
              <w:adjustRightInd w:val="0"/>
              <w:snapToGrid w:val="0"/>
              <w:spacing w:line="360" w:lineRule="auto"/>
              <w:ind w:firstLine="0" w:firstLineChars="0"/>
              <w:jc w:val="center"/>
              <w:textAlignment w:val="center"/>
              <w:rPr>
                <w:rFonts w:ascii="等线" w:hAnsi="等线" w:eastAsia="等线" w:cs="Times New Roman"/>
                <w:sz w:val="21"/>
                <w14:ligatures w14:val="standardContextual"/>
              </w:rPr>
            </w:pPr>
            <w:r>
              <w:rPr>
                <w:rFonts w:ascii="Segoe UI Symbol" w:hAnsi="Segoe UI Symbol" w:eastAsia="等线" w:cs="Segoe UI Symbol"/>
                <w:sz w:val="21"/>
                <w14:ligatures w14:val="standardContextual"/>
              </w:rPr>
              <w:t>☐</w:t>
            </w:r>
            <w:r>
              <w:rPr>
                <w:rFonts w:ascii="等线" w:hAnsi="等线" w:eastAsia="等线" w:cs="Times New Roman"/>
                <w:sz w:val="21"/>
                <w14:ligatures w14:val="standardContextual"/>
              </w:rPr>
              <w:t xml:space="preserve"> 滑坡</w:t>
            </w:r>
            <w:r>
              <w:rPr>
                <w:rFonts w:ascii="Segoe UI Symbol" w:hAnsi="Segoe UI Symbol" w:eastAsia="等线" w:cs="Segoe UI Symbol"/>
                <w:sz w:val="21"/>
                <w14:ligatures w14:val="standardContextual"/>
              </w:rPr>
              <w:t>☐</w:t>
            </w:r>
            <w:r>
              <w:rPr>
                <w:rFonts w:ascii="等线" w:hAnsi="等线" w:eastAsia="等线" w:cs="Times New Roman"/>
                <w:sz w:val="21"/>
                <w14:ligatures w14:val="standardContextual"/>
              </w:rPr>
              <w:t xml:space="preserve"> 崩塌</w:t>
            </w:r>
            <w:r>
              <w:rPr>
                <w:rFonts w:ascii="Segoe UI Symbol" w:hAnsi="Segoe UI Symbol" w:eastAsia="等线" w:cs="Segoe UI Symbol"/>
                <w:sz w:val="21"/>
                <w14:ligatures w14:val="standardContextual"/>
              </w:rPr>
              <w:t>☐</w:t>
            </w:r>
            <w:r>
              <w:rPr>
                <w:rFonts w:ascii="等线" w:hAnsi="等线" w:eastAsia="等线" w:cs="Times New Roman"/>
                <w:sz w:val="21"/>
                <w14:ligatures w14:val="standardContextual"/>
              </w:rPr>
              <w:t xml:space="preserve"> 泥石流</w:t>
            </w:r>
            <w:r>
              <w:rPr>
                <w:rFonts w:ascii="Segoe UI Symbol" w:hAnsi="Segoe UI Symbol" w:eastAsia="等线" w:cs="Segoe UI Symbol"/>
                <w:sz w:val="21"/>
                <w14:ligatures w14:val="standardContextual"/>
              </w:rPr>
              <w:t>☐</w:t>
            </w:r>
            <w:r>
              <w:rPr>
                <w:rFonts w:ascii="等线" w:hAnsi="等线" w:eastAsia="等线" w:cs="Times New Roman"/>
                <w:sz w:val="21"/>
                <w14:ligatures w14:val="standardContextual"/>
              </w:rPr>
              <w:t xml:space="preserve"> 地面塌陷/地裂缝</w:t>
            </w:r>
          </w:p>
          <w:p w14:paraId="67AD2CCA">
            <w:pPr>
              <w:widowControl/>
              <w:adjustRightInd w:val="0"/>
              <w:snapToGrid w:val="0"/>
              <w:spacing w:line="360" w:lineRule="auto"/>
              <w:ind w:firstLine="0" w:firstLineChars="0"/>
              <w:jc w:val="center"/>
              <w:textAlignment w:val="center"/>
              <w:rPr>
                <w:rFonts w:ascii="等线" w:hAnsi="等线" w:eastAsia="等线" w:cs="Times New Roman"/>
                <w:sz w:val="21"/>
                <w14:ligatures w14:val="standardContextual"/>
              </w:rPr>
            </w:pPr>
            <w:r>
              <w:rPr>
                <w:rFonts w:ascii="Segoe UI Symbol" w:hAnsi="Segoe UI Symbol" w:eastAsia="等线" w:cs="Segoe UI Symbol"/>
                <w:sz w:val="21"/>
                <w14:ligatures w14:val="standardContextual"/>
              </w:rPr>
              <w:t>☐</w:t>
            </w:r>
            <w:r>
              <w:rPr>
                <w:rFonts w:ascii="等线" w:hAnsi="等线" w:eastAsia="等线" w:cs="Times New Roman"/>
                <w:sz w:val="21"/>
                <w14:ligatures w14:val="standardContextual"/>
              </w:rPr>
              <w:t xml:space="preserve"> 地下含水层破坏</w:t>
            </w:r>
            <w:r>
              <w:rPr>
                <w:rFonts w:ascii="Segoe UI Symbol" w:hAnsi="Segoe UI Symbol" w:eastAsia="等线" w:cs="Segoe UI Symbol"/>
                <w:sz w:val="21"/>
                <w14:ligatures w14:val="standardContextual"/>
              </w:rPr>
              <w:t>☐</w:t>
            </w:r>
            <w:r>
              <w:rPr>
                <w:rFonts w:ascii="等线" w:hAnsi="等线" w:eastAsia="等线" w:cs="Times New Roman"/>
                <w:sz w:val="21"/>
                <w14:ligatures w14:val="standardContextual"/>
              </w:rPr>
              <w:t xml:space="preserve"> 水质污染</w:t>
            </w:r>
            <w:r>
              <w:rPr>
                <w:rFonts w:ascii="Segoe UI Symbol" w:hAnsi="Segoe UI Symbol" w:eastAsia="等线" w:cs="Segoe UI Symbol"/>
                <w:sz w:val="21"/>
                <w14:ligatures w14:val="standardContextual"/>
              </w:rPr>
              <w:t>☐</w:t>
            </w:r>
            <w:r>
              <w:rPr>
                <w:rFonts w:ascii="等线" w:hAnsi="等线" w:eastAsia="等线" w:cs="Times New Roman"/>
                <w:sz w:val="21"/>
                <w14:ligatures w14:val="standardContextual"/>
              </w:rPr>
              <w:t xml:space="preserve"> 地形地貌与土地破坏</w:t>
            </w:r>
          </w:p>
        </w:tc>
      </w:tr>
      <w:tr w14:paraId="6A8AE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25" w:type="pct"/>
            <w:gridSpan w:val="2"/>
            <w:vAlign w:val="center"/>
          </w:tcPr>
          <w:p w14:paraId="75B600E7">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r>
              <w:rPr>
                <w:rFonts w:hint="eastAsia" w:ascii="等线" w:hAnsi="等线" w:eastAsia="等线" w:cs="Times New Roman"/>
                <w:spacing w:val="180"/>
                <w:kern w:val="0"/>
                <w:sz w:val="18"/>
                <w:szCs w:val="18"/>
                <w:fitText w:val="720" w:id="-640496632"/>
                <w14:ligatures w14:val="standardContextual"/>
              </w:rPr>
              <w:t>编</w:t>
            </w:r>
            <w:r>
              <w:rPr>
                <w:rFonts w:hint="eastAsia" w:ascii="等线" w:hAnsi="等线" w:eastAsia="等线" w:cs="Times New Roman"/>
                <w:spacing w:val="0"/>
                <w:kern w:val="0"/>
                <w:sz w:val="18"/>
                <w:szCs w:val="18"/>
                <w:fitText w:val="720" w:id="-640496632"/>
                <w14:ligatures w14:val="standardContextual"/>
              </w:rPr>
              <w:t>号</w:t>
            </w:r>
          </w:p>
        </w:tc>
        <w:tc>
          <w:tcPr>
            <w:tcW w:w="1580" w:type="pct"/>
            <w:gridSpan w:val="3"/>
            <w:vAlign w:val="center"/>
          </w:tcPr>
          <w:p w14:paraId="624D82D8">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p>
        </w:tc>
        <w:tc>
          <w:tcPr>
            <w:tcW w:w="626" w:type="pct"/>
            <w:gridSpan w:val="2"/>
            <w:vAlign w:val="center"/>
          </w:tcPr>
          <w:p w14:paraId="52A18C15">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r>
              <w:rPr>
                <w:rFonts w:hint="eastAsia" w:ascii="等线" w:hAnsi="等线" w:eastAsia="等线" w:cs="Times New Roman"/>
                <w:spacing w:val="0"/>
                <w:kern w:val="0"/>
                <w:sz w:val="18"/>
                <w:szCs w:val="18"/>
                <w:fitText w:val="720" w:id="-640496631"/>
                <w14:ligatures w14:val="standardContextual"/>
              </w:rPr>
              <w:t>发生时间</w:t>
            </w:r>
          </w:p>
        </w:tc>
        <w:tc>
          <w:tcPr>
            <w:tcW w:w="2070" w:type="pct"/>
            <w:vAlign w:val="center"/>
          </w:tcPr>
          <w:p w14:paraId="1A87E5E3">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p>
        </w:tc>
      </w:tr>
      <w:tr w14:paraId="0D4BB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5" w:type="pct"/>
            <w:gridSpan w:val="2"/>
            <w:vAlign w:val="center"/>
          </w:tcPr>
          <w:p w14:paraId="6E4AF4E4">
            <w:pPr>
              <w:widowControl/>
              <w:adjustRightInd w:val="0"/>
              <w:snapToGrid w:val="0"/>
              <w:spacing w:line="360" w:lineRule="auto"/>
              <w:ind w:firstLine="0" w:firstLineChars="0"/>
              <w:jc w:val="center"/>
              <w:textAlignment w:val="center"/>
              <w:rPr>
                <w:rFonts w:ascii="等线" w:hAnsi="等线" w:eastAsia="等线" w:cs="Times New Roman"/>
                <w:spacing w:val="180"/>
                <w:kern w:val="0"/>
                <w:sz w:val="18"/>
                <w:szCs w:val="18"/>
                <w14:ligatures w14:val="standardContextual"/>
              </w:rPr>
            </w:pPr>
            <w:r>
              <w:rPr>
                <w:rFonts w:hint="eastAsia" w:ascii="等线" w:hAnsi="等线" w:eastAsia="等线" w:cs="Times New Roman"/>
                <w:spacing w:val="180"/>
                <w:kern w:val="0"/>
                <w:sz w:val="18"/>
                <w:szCs w:val="18"/>
                <w:fitText w:val="720" w:id="-640496630"/>
                <w14:ligatures w14:val="standardContextual"/>
              </w:rPr>
              <w:t>类</w:t>
            </w:r>
            <w:r>
              <w:rPr>
                <w:rFonts w:hint="eastAsia" w:ascii="等线" w:hAnsi="等线" w:eastAsia="等线" w:cs="Times New Roman"/>
                <w:spacing w:val="0"/>
                <w:kern w:val="0"/>
                <w:sz w:val="18"/>
                <w:szCs w:val="18"/>
                <w:fitText w:val="720" w:id="-640496630"/>
                <w14:ligatures w14:val="standardContextual"/>
              </w:rPr>
              <w:t>型</w:t>
            </w:r>
          </w:p>
        </w:tc>
        <w:tc>
          <w:tcPr>
            <w:tcW w:w="1580" w:type="pct"/>
            <w:gridSpan w:val="3"/>
            <w:vAlign w:val="center"/>
          </w:tcPr>
          <w:p w14:paraId="4CA1D121">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p>
        </w:tc>
        <w:tc>
          <w:tcPr>
            <w:tcW w:w="626" w:type="pct"/>
            <w:gridSpan w:val="2"/>
            <w:vAlign w:val="center"/>
          </w:tcPr>
          <w:p w14:paraId="76E0B407">
            <w:pPr>
              <w:widowControl/>
              <w:adjustRightInd w:val="0"/>
              <w:snapToGrid w:val="0"/>
              <w:spacing w:line="360" w:lineRule="auto"/>
              <w:ind w:firstLine="0" w:firstLineChars="0"/>
              <w:jc w:val="center"/>
              <w:textAlignment w:val="center"/>
              <w:rPr>
                <w:rFonts w:ascii="等线" w:hAnsi="等线" w:eastAsia="等线" w:cs="Times New Roman"/>
                <w:spacing w:val="180"/>
                <w:kern w:val="0"/>
                <w:sz w:val="18"/>
                <w:szCs w:val="18"/>
                <w14:ligatures w14:val="standardContextual"/>
              </w:rPr>
            </w:pPr>
            <w:r>
              <w:rPr>
                <w:rFonts w:hint="eastAsia" w:ascii="等线" w:hAnsi="等线" w:eastAsia="等线" w:cs="Times New Roman"/>
                <w:spacing w:val="180"/>
                <w:kern w:val="0"/>
                <w:sz w:val="18"/>
                <w:szCs w:val="18"/>
                <w:fitText w:val="720" w:id="-640496629"/>
                <w14:ligatures w14:val="standardContextual"/>
              </w:rPr>
              <w:t>性</w:t>
            </w:r>
            <w:r>
              <w:rPr>
                <w:rFonts w:hint="eastAsia" w:ascii="等线" w:hAnsi="等线" w:eastAsia="等线" w:cs="Times New Roman"/>
                <w:spacing w:val="0"/>
                <w:kern w:val="0"/>
                <w:sz w:val="18"/>
                <w:szCs w:val="18"/>
                <w:fitText w:val="720" w:id="-640496629"/>
                <w14:ligatures w14:val="standardContextual"/>
              </w:rPr>
              <w:t>质</w:t>
            </w:r>
          </w:p>
        </w:tc>
        <w:tc>
          <w:tcPr>
            <w:tcW w:w="2070" w:type="pct"/>
            <w:vAlign w:val="center"/>
          </w:tcPr>
          <w:p w14:paraId="256776F7">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p>
        </w:tc>
      </w:tr>
      <w:tr w14:paraId="1C26F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426" w:type="pct"/>
            <w:vMerge w:val="restart"/>
            <w:textDirection w:val="tbRlV"/>
            <w:vAlign w:val="center"/>
          </w:tcPr>
          <w:p w14:paraId="2CA42A82">
            <w:pPr>
              <w:widowControl/>
              <w:adjustRightInd w:val="0"/>
              <w:snapToGrid w:val="0"/>
              <w:spacing w:line="360" w:lineRule="auto"/>
              <w:ind w:left="113" w:right="113" w:firstLine="0" w:firstLineChars="0"/>
              <w:jc w:val="center"/>
              <w:textAlignment w:val="center"/>
              <w:rPr>
                <w:rFonts w:cs="Times New Roman"/>
                <w:kern w:val="0"/>
                <w:sz w:val="18"/>
                <w:szCs w:val="18"/>
                <w14:ligatures w14:val="standardContextual"/>
              </w:rPr>
            </w:pPr>
            <w:r>
              <w:rPr>
                <w:rFonts w:cs="Times New Roman"/>
                <w:kern w:val="0"/>
                <w:sz w:val="18"/>
                <w:szCs w:val="18"/>
                <w14:ligatures w14:val="standardContextual"/>
              </w:rPr>
              <w:t>基本情况</w:t>
            </w:r>
          </w:p>
        </w:tc>
        <w:tc>
          <w:tcPr>
            <w:tcW w:w="818" w:type="pct"/>
            <w:gridSpan w:val="2"/>
            <w:vAlign w:val="center"/>
          </w:tcPr>
          <w:p w14:paraId="30FF7BF1">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规模等级</w:t>
            </w:r>
          </w:p>
        </w:tc>
        <w:tc>
          <w:tcPr>
            <w:tcW w:w="3756" w:type="pct"/>
            <w:gridSpan w:val="5"/>
            <w:vAlign w:val="center"/>
          </w:tcPr>
          <w:p w14:paraId="5442A7AA">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r>
              <w:rPr>
                <w:rFonts w:ascii="Segoe UI Symbol" w:hAnsi="Segoe UI Symbol" w:eastAsia="等线" w:cs="Segoe UI Symbol"/>
                <w:kern w:val="0"/>
                <w:sz w:val="18"/>
                <w:szCs w:val="18"/>
                <w14:ligatures w14:val="standardContextual"/>
              </w:rPr>
              <w:t>☐</w:t>
            </w:r>
            <w:r>
              <w:rPr>
                <w:rFonts w:hint="eastAsia" w:ascii="等线" w:hAnsi="等线" w:eastAsia="等线" w:cs="Times New Roman"/>
                <w:kern w:val="0"/>
                <w:sz w:val="18"/>
                <w:szCs w:val="18"/>
                <w14:ligatures w14:val="standardContextual"/>
              </w:rPr>
              <w:t>巨型</w:t>
            </w:r>
            <w:r>
              <w:rPr>
                <w:rFonts w:ascii="等线" w:hAnsi="等线" w:eastAsia="等线" w:cs="Times New Roman"/>
                <w:kern w:val="0"/>
                <w:sz w:val="18"/>
                <w:szCs w:val="18"/>
                <w14:ligatures w14:val="standardContextual"/>
              </w:rPr>
              <w:t xml:space="preserve">     </w:t>
            </w:r>
            <w:r>
              <w:rPr>
                <w:rFonts w:ascii="Segoe UI Symbol" w:hAnsi="Segoe UI Symbol" w:eastAsia="等线" w:cs="Segoe UI Symbol"/>
                <w:kern w:val="0"/>
                <w:sz w:val="18"/>
                <w:szCs w:val="18"/>
                <w14:ligatures w14:val="standardContextual"/>
              </w:rPr>
              <w:t>☐</w:t>
            </w:r>
            <w:r>
              <w:rPr>
                <w:rFonts w:hint="eastAsia" w:ascii="等线" w:hAnsi="等线" w:eastAsia="等线" w:cs="Times New Roman"/>
                <w:kern w:val="0"/>
                <w:sz w:val="18"/>
                <w:szCs w:val="18"/>
                <w14:ligatures w14:val="standardContextual"/>
              </w:rPr>
              <w:t>特大型</w:t>
            </w:r>
            <w:r>
              <w:rPr>
                <w:rFonts w:ascii="等线" w:hAnsi="等线" w:eastAsia="等线" w:cs="Times New Roman"/>
                <w:kern w:val="0"/>
                <w:sz w:val="18"/>
                <w:szCs w:val="18"/>
                <w14:ligatures w14:val="standardContextual"/>
              </w:rPr>
              <w:t xml:space="preserve">     </w:t>
            </w:r>
            <w:r>
              <w:rPr>
                <w:rFonts w:ascii="Segoe UI Symbol" w:hAnsi="Segoe UI Symbol" w:eastAsia="等线" w:cs="Segoe UI Symbol"/>
                <w:kern w:val="0"/>
                <w:sz w:val="18"/>
                <w:szCs w:val="18"/>
                <w14:ligatures w14:val="standardContextual"/>
              </w:rPr>
              <w:t>☐</w:t>
            </w:r>
            <w:r>
              <w:rPr>
                <w:rFonts w:hint="eastAsia" w:ascii="等线" w:hAnsi="等线" w:eastAsia="等线" w:cs="Times New Roman"/>
                <w:kern w:val="0"/>
                <w:sz w:val="18"/>
                <w:szCs w:val="18"/>
                <w14:ligatures w14:val="standardContextual"/>
              </w:rPr>
              <w:t>大型</w:t>
            </w:r>
            <w:r>
              <w:rPr>
                <w:rFonts w:ascii="等线" w:hAnsi="等线" w:eastAsia="等线" w:cs="Times New Roman"/>
                <w:kern w:val="0"/>
                <w:sz w:val="18"/>
                <w:szCs w:val="18"/>
                <w14:ligatures w14:val="standardContextual"/>
              </w:rPr>
              <w:t xml:space="preserve">     </w:t>
            </w:r>
            <w:r>
              <w:rPr>
                <w:rFonts w:ascii="Segoe UI Symbol" w:hAnsi="Segoe UI Symbol" w:eastAsia="等线" w:cs="Segoe UI Symbol"/>
                <w:kern w:val="0"/>
                <w:sz w:val="18"/>
                <w:szCs w:val="18"/>
                <w14:ligatures w14:val="standardContextual"/>
              </w:rPr>
              <w:t>☐</w:t>
            </w:r>
            <w:r>
              <w:rPr>
                <w:rFonts w:hint="eastAsia" w:ascii="等线" w:hAnsi="等线" w:eastAsia="等线" w:cs="Times New Roman"/>
                <w:kern w:val="0"/>
                <w:sz w:val="18"/>
                <w:szCs w:val="18"/>
                <w14:ligatures w14:val="standardContextual"/>
              </w:rPr>
              <w:t>中型</w:t>
            </w:r>
            <w:r>
              <w:rPr>
                <w:rFonts w:ascii="等线" w:hAnsi="等线" w:eastAsia="等线" w:cs="Times New Roman"/>
                <w:kern w:val="0"/>
                <w:sz w:val="18"/>
                <w:szCs w:val="18"/>
                <w14:ligatures w14:val="standardContextual"/>
              </w:rPr>
              <w:t xml:space="preserve">     </w:t>
            </w:r>
            <w:r>
              <w:rPr>
                <w:rFonts w:ascii="Segoe UI Symbol" w:hAnsi="Segoe UI Symbol" w:eastAsia="等线" w:cs="Segoe UI Symbol"/>
                <w:kern w:val="0"/>
                <w:sz w:val="18"/>
                <w:szCs w:val="18"/>
                <w14:ligatures w14:val="standardContextual"/>
              </w:rPr>
              <w:t>☐</w:t>
            </w:r>
            <w:r>
              <w:rPr>
                <w:rFonts w:hint="eastAsia" w:ascii="等线" w:hAnsi="等线" w:eastAsia="等线" w:cs="Times New Roman"/>
                <w:kern w:val="0"/>
                <w:sz w:val="18"/>
                <w:szCs w:val="18"/>
                <w14:ligatures w14:val="standardContextual"/>
              </w:rPr>
              <w:t>小型</w:t>
            </w:r>
          </w:p>
        </w:tc>
      </w:tr>
      <w:tr w14:paraId="5BDB4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6" w:type="pct"/>
            <w:vMerge w:val="continue"/>
            <w:vAlign w:val="center"/>
          </w:tcPr>
          <w:p w14:paraId="1E4A0D88">
            <w:pPr>
              <w:widowControl/>
              <w:adjustRightInd w:val="0"/>
              <w:snapToGrid w:val="0"/>
              <w:spacing w:line="360" w:lineRule="auto"/>
              <w:ind w:firstLine="0" w:firstLineChars="0"/>
              <w:jc w:val="center"/>
              <w:textAlignment w:val="center"/>
              <w:rPr>
                <w:rFonts w:cs="Times New Roman"/>
                <w:kern w:val="0"/>
                <w:sz w:val="18"/>
                <w:szCs w:val="18"/>
                <w14:ligatures w14:val="standardContextual"/>
              </w:rPr>
            </w:pPr>
          </w:p>
        </w:tc>
        <w:tc>
          <w:tcPr>
            <w:tcW w:w="818" w:type="pct"/>
            <w:gridSpan w:val="2"/>
            <w:vAlign w:val="center"/>
          </w:tcPr>
          <w:p w14:paraId="19F5EF01">
            <w:pPr>
              <w:widowControl/>
              <w:adjustRightInd w:val="0"/>
              <w:snapToGrid w:val="0"/>
              <w:spacing w:line="360" w:lineRule="auto"/>
              <w:ind w:firstLine="0" w:firstLineChars="0"/>
              <w:jc w:val="center"/>
              <w:textAlignment w:val="center"/>
              <w:rPr>
                <w:rFonts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变形活动阶段</w:t>
            </w:r>
          </w:p>
        </w:tc>
        <w:tc>
          <w:tcPr>
            <w:tcW w:w="3756" w:type="pct"/>
            <w:gridSpan w:val="5"/>
            <w:vAlign w:val="center"/>
          </w:tcPr>
          <w:p w14:paraId="0ADEAF9D">
            <w:pPr>
              <w:widowControl/>
              <w:adjustRightInd w:val="0"/>
              <w:snapToGrid w:val="0"/>
              <w:spacing w:line="360" w:lineRule="auto"/>
              <w:ind w:firstLine="0" w:firstLineChars="0"/>
              <w:jc w:val="center"/>
              <w:textAlignment w:val="center"/>
              <w:rPr>
                <w:rFonts w:ascii="Segoe UI Symbol" w:hAnsi="Segoe UI Symbol" w:eastAsia="等线" w:cs="Segoe UI Symbol"/>
                <w:kern w:val="0"/>
                <w:sz w:val="18"/>
                <w:szCs w:val="18"/>
                <w14:ligatures w14:val="standardContextual"/>
              </w:rPr>
            </w:pPr>
            <w:r>
              <w:rPr>
                <w:rFonts w:ascii="Segoe UI Symbol" w:hAnsi="Segoe UI Symbol" w:eastAsia="等线" w:cs="Segoe UI Symbol"/>
                <w:kern w:val="0"/>
                <w:sz w:val="18"/>
                <w:szCs w:val="18"/>
                <w14:ligatures w14:val="standardContextual"/>
              </w:rPr>
              <w:t>☐</w:t>
            </w:r>
            <w:r>
              <w:rPr>
                <w:rFonts w:hint="eastAsia" w:ascii="Segoe UI Symbol" w:hAnsi="Segoe UI Symbol" w:eastAsia="等线" w:cs="Segoe UI Symbol"/>
                <w:kern w:val="0"/>
                <w:sz w:val="18"/>
                <w:szCs w:val="18"/>
                <w14:ligatures w14:val="standardContextual"/>
              </w:rPr>
              <w:t>初始蠕变阶段</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加速变形阶段</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剧烈变形阶段</w:t>
            </w:r>
            <w:r>
              <w:rPr>
                <w:rFonts w:ascii="Segoe UI Symbol" w:hAnsi="Segoe UI Symbol" w:eastAsia="等线" w:cs="Segoe UI Symbol"/>
                <w:kern w:val="0"/>
                <w:sz w:val="18"/>
                <w:szCs w:val="18"/>
                <w14:ligatures w14:val="standardContextual"/>
              </w:rPr>
              <w:t xml:space="preserve">  </w:t>
            </w:r>
          </w:p>
          <w:p w14:paraId="1C03E0FF">
            <w:pPr>
              <w:widowControl/>
              <w:adjustRightInd w:val="0"/>
              <w:snapToGrid w:val="0"/>
              <w:spacing w:line="360" w:lineRule="auto"/>
              <w:ind w:firstLine="0" w:firstLineChars="0"/>
              <w:jc w:val="center"/>
              <w:textAlignment w:val="center"/>
              <w:rPr>
                <w:rFonts w:ascii="Segoe UI Symbol" w:hAnsi="Segoe UI Symbol" w:eastAsia="等线" w:cs="Segoe UI Symbol"/>
                <w:kern w:val="0"/>
                <w:sz w:val="18"/>
                <w:szCs w:val="18"/>
                <w14:ligatures w14:val="standardContextual"/>
              </w:rPr>
            </w:pPr>
            <w:r>
              <w:rPr>
                <w:rFonts w:ascii="Segoe UI Symbol" w:hAnsi="Segoe UI Symbol" w:eastAsia="等线" w:cs="Segoe UI Symbol"/>
                <w:kern w:val="0"/>
                <w:sz w:val="18"/>
                <w:szCs w:val="18"/>
                <w14:ligatures w14:val="standardContextual"/>
              </w:rPr>
              <w:t>☐</w:t>
            </w:r>
            <w:r>
              <w:rPr>
                <w:rFonts w:hint="eastAsia" w:ascii="Segoe UI Symbol" w:hAnsi="Segoe UI Symbol" w:eastAsia="等线" w:cs="Segoe UI Symbol"/>
                <w:kern w:val="0"/>
                <w:sz w:val="18"/>
                <w:szCs w:val="18"/>
                <w14:ligatures w14:val="standardContextual"/>
              </w:rPr>
              <w:t>破坏阶段</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休止阶段</w:t>
            </w:r>
          </w:p>
        </w:tc>
      </w:tr>
      <w:tr w14:paraId="11B35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6" w:type="pct"/>
            <w:vMerge w:val="continue"/>
            <w:vAlign w:val="center"/>
          </w:tcPr>
          <w:p w14:paraId="06CB2B4E">
            <w:pPr>
              <w:widowControl/>
              <w:adjustRightInd w:val="0"/>
              <w:snapToGrid w:val="0"/>
              <w:spacing w:line="360" w:lineRule="auto"/>
              <w:ind w:firstLine="0" w:firstLineChars="0"/>
              <w:jc w:val="center"/>
              <w:textAlignment w:val="center"/>
              <w:rPr>
                <w:rFonts w:cs="Times New Roman"/>
                <w:kern w:val="0"/>
                <w:sz w:val="18"/>
                <w:szCs w:val="18"/>
                <w14:ligatures w14:val="standardContextual"/>
              </w:rPr>
            </w:pPr>
          </w:p>
        </w:tc>
        <w:tc>
          <w:tcPr>
            <w:tcW w:w="818" w:type="pct"/>
            <w:gridSpan w:val="2"/>
            <w:vAlign w:val="center"/>
          </w:tcPr>
          <w:p w14:paraId="3B490BE1">
            <w:pPr>
              <w:widowControl/>
              <w:adjustRightInd w:val="0"/>
              <w:snapToGrid w:val="0"/>
              <w:spacing w:line="360" w:lineRule="auto"/>
              <w:ind w:firstLine="0" w:firstLineChars="0"/>
              <w:jc w:val="center"/>
              <w:textAlignment w:val="center"/>
              <w:rPr>
                <w:rFonts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目前稳定状况</w:t>
            </w:r>
          </w:p>
        </w:tc>
        <w:tc>
          <w:tcPr>
            <w:tcW w:w="3756" w:type="pct"/>
            <w:gridSpan w:val="5"/>
            <w:vAlign w:val="center"/>
          </w:tcPr>
          <w:p w14:paraId="7C598795">
            <w:pPr>
              <w:widowControl/>
              <w:adjustRightInd w:val="0"/>
              <w:snapToGrid w:val="0"/>
              <w:spacing w:line="360" w:lineRule="auto"/>
              <w:ind w:firstLine="0" w:firstLineChars="0"/>
              <w:jc w:val="center"/>
              <w:textAlignment w:val="center"/>
              <w:rPr>
                <w:rFonts w:ascii="Segoe UI Symbol" w:hAnsi="Segoe UI Symbol" w:eastAsia="等线" w:cs="Segoe UI Symbol"/>
                <w:kern w:val="0"/>
                <w:sz w:val="18"/>
                <w:szCs w:val="18"/>
                <w14:ligatures w14:val="standardContextual"/>
              </w:rPr>
            </w:pPr>
            <w:r>
              <w:rPr>
                <w:rFonts w:ascii="Segoe UI Symbol" w:hAnsi="Segoe UI Symbol" w:eastAsia="等线" w:cs="Segoe UI Symbol"/>
                <w:kern w:val="0"/>
                <w:sz w:val="18"/>
                <w:szCs w:val="18"/>
                <w14:ligatures w14:val="standardContextual"/>
              </w:rPr>
              <w:t>☐</w:t>
            </w:r>
            <w:r>
              <w:rPr>
                <w:rFonts w:hint="eastAsia" w:ascii="Segoe UI Symbol" w:hAnsi="Segoe UI Symbol" w:eastAsia="等线" w:cs="Segoe UI Symbol"/>
                <w:kern w:val="0"/>
                <w:sz w:val="18"/>
                <w:szCs w:val="18"/>
                <w14:ligatures w14:val="standardContextual"/>
              </w:rPr>
              <w:t>稳定</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较稳定</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不稳定</w:t>
            </w:r>
          </w:p>
        </w:tc>
      </w:tr>
      <w:tr w14:paraId="31B4C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6" w:type="pct"/>
            <w:vMerge w:val="continue"/>
            <w:vAlign w:val="center"/>
          </w:tcPr>
          <w:p w14:paraId="294EB259">
            <w:pPr>
              <w:widowControl/>
              <w:adjustRightInd w:val="0"/>
              <w:snapToGrid w:val="0"/>
              <w:spacing w:line="360" w:lineRule="auto"/>
              <w:ind w:firstLine="0" w:firstLineChars="0"/>
              <w:jc w:val="center"/>
              <w:textAlignment w:val="center"/>
              <w:rPr>
                <w:rFonts w:cs="Times New Roman"/>
                <w:kern w:val="0"/>
                <w:sz w:val="18"/>
                <w:szCs w:val="18"/>
                <w14:ligatures w14:val="standardContextual"/>
              </w:rPr>
            </w:pPr>
          </w:p>
        </w:tc>
        <w:tc>
          <w:tcPr>
            <w:tcW w:w="818" w:type="pct"/>
            <w:gridSpan w:val="2"/>
            <w:vAlign w:val="center"/>
          </w:tcPr>
          <w:p w14:paraId="4B1CD5E6">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r>
              <w:rPr>
                <w:rFonts w:hint="eastAsia" w:ascii="Segoe UI Symbol" w:hAnsi="Segoe UI Symbol" w:eastAsia="等线" w:cs="Segoe UI Symbol"/>
                <w:kern w:val="0"/>
                <w:sz w:val="18"/>
                <w:szCs w:val="18"/>
                <w14:ligatures w14:val="standardContextual"/>
              </w:rPr>
              <w:t>发展趋势分析</w:t>
            </w:r>
          </w:p>
        </w:tc>
        <w:tc>
          <w:tcPr>
            <w:tcW w:w="3756" w:type="pct"/>
            <w:gridSpan w:val="5"/>
            <w:vAlign w:val="center"/>
          </w:tcPr>
          <w:p w14:paraId="2C46C308">
            <w:pPr>
              <w:widowControl/>
              <w:adjustRightInd w:val="0"/>
              <w:snapToGrid w:val="0"/>
              <w:spacing w:line="360" w:lineRule="auto"/>
              <w:ind w:firstLine="0" w:firstLineChars="0"/>
              <w:jc w:val="center"/>
              <w:textAlignment w:val="center"/>
              <w:rPr>
                <w:rFonts w:ascii="Segoe UI Symbol" w:hAnsi="Segoe UI Symbol" w:eastAsia="等线" w:cs="Segoe UI Symbol"/>
                <w:kern w:val="0"/>
                <w:sz w:val="18"/>
                <w:szCs w:val="18"/>
                <w14:ligatures w14:val="standardContextual"/>
              </w:rPr>
            </w:pPr>
            <w:r>
              <w:rPr>
                <w:rFonts w:ascii="Segoe UI Symbol" w:hAnsi="Segoe UI Symbol" w:eastAsia="等线" w:cs="Segoe UI Symbol"/>
                <w:kern w:val="0"/>
                <w:sz w:val="18"/>
                <w:szCs w:val="18"/>
                <w14:ligatures w14:val="standardContextual"/>
              </w:rPr>
              <w:t>☐</w:t>
            </w:r>
            <w:r>
              <w:rPr>
                <w:rFonts w:hint="eastAsia" w:ascii="Segoe UI Symbol" w:hAnsi="Segoe UI Symbol" w:eastAsia="等线" w:cs="Segoe UI Symbol"/>
                <w:kern w:val="0"/>
                <w:sz w:val="18"/>
                <w:szCs w:val="18"/>
                <w14:ligatures w14:val="standardContextual"/>
              </w:rPr>
              <w:t>稳定</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较稳定</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不稳定</w:t>
            </w:r>
          </w:p>
        </w:tc>
      </w:tr>
      <w:tr w14:paraId="742B0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6" w:type="pct"/>
            <w:vMerge w:val="continue"/>
            <w:vAlign w:val="center"/>
          </w:tcPr>
          <w:p w14:paraId="7E7602E6">
            <w:pPr>
              <w:widowControl/>
              <w:adjustRightInd w:val="0"/>
              <w:snapToGrid w:val="0"/>
              <w:spacing w:line="360" w:lineRule="auto"/>
              <w:ind w:firstLine="0" w:firstLineChars="0"/>
              <w:jc w:val="center"/>
              <w:textAlignment w:val="center"/>
              <w:rPr>
                <w:rFonts w:cs="Times New Roman"/>
                <w:kern w:val="0"/>
                <w:sz w:val="18"/>
                <w:szCs w:val="18"/>
                <w14:ligatures w14:val="standardContextual"/>
              </w:rPr>
            </w:pPr>
          </w:p>
        </w:tc>
        <w:tc>
          <w:tcPr>
            <w:tcW w:w="818" w:type="pct"/>
            <w:gridSpan w:val="2"/>
            <w:vAlign w:val="center"/>
          </w:tcPr>
          <w:p w14:paraId="105A2C97">
            <w:pPr>
              <w:widowControl/>
              <w:adjustRightInd w:val="0"/>
              <w:snapToGrid w:val="0"/>
              <w:spacing w:line="360" w:lineRule="auto"/>
              <w:ind w:firstLine="0" w:firstLineChars="0"/>
              <w:jc w:val="center"/>
              <w:textAlignment w:val="center"/>
              <w:rPr>
                <w:rFonts w:ascii="Segoe UI Symbol" w:hAnsi="Segoe UI Symbol" w:eastAsia="等线" w:cs="Segoe UI Symbol"/>
                <w:kern w:val="0"/>
                <w:sz w:val="18"/>
                <w:szCs w:val="18"/>
                <w14:ligatures w14:val="standardContextual"/>
              </w:rPr>
            </w:pPr>
            <w:r>
              <w:rPr>
                <w:rFonts w:hint="eastAsia" w:ascii="Segoe UI Symbol" w:hAnsi="Segoe UI Symbol" w:eastAsia="等线" w:cs="Segoe UI Symbol"/>
                <w:kern w:val="0"/>
                <w:sz w:val="18"/>
                <w:szCs w:val="18"/>
                <w14:ligatures w14:val="standardContextual"/>
              </w:rPr>
              <w:t>灾情等级</w:t>
            </w:r>
          </w:p>
        </w:tc>
        <w:tc>
          <w:tcPr>
            <w:tcW w:w="3756" w:type="pct"/>
            <w:gridSpan w:val="5"/>
            <w:vAlign w:val="center"/>
          </w:tcPr>
          <w:p w14:paraId="6E6D5A38">
            <w:pPr>
              <w:widowControl/>
              <w:adjustRightInd w:val="0"/>
              <w:snapToGrid w:val="0"/>
              <w:spacing w:line="360" w:lineRule="auto"/>
              <w:ind w:firstLine="0" w:firstLineChars="0"/>
              <w:jc w:val="center"/>
              <w:textAlignment w:val="center"/>
              <w:rPr>
                <w:rFonts w:ascii="Segoe UI Symbol" w:hAnsi="Segoe UI Symbol" w:eastAsia="等线" w:cs="Segoe UI Symbol"/>
                <w:kern w:val="0"/>
                <w:sz w:val="18"/>
                <w:szCs w:val="18"/>
                <w14:ligatures w14:val="standardContextual"/>
              </w:rPr>
            </w:pPr>
            <w:r>
              <w:rPr>
                <w:rFonts w:ascii="Segoe UI Symbol" w:hAnsi="Segoe UI Symbol" w:eastAsia="等线" w:cs="Segoe UI Symbol"/>
                <w:kern w:val="0"/>
                <w:sz w:val="18"/>
                <w:szCs w:val="18"/>
                <w14:ligatures w14:val="standardContextual"/>
              </w:rPr>
              <w:t>☐</w:t>
            </w:r>
            <w:r>
              <w:rPr>
                <w:rFonts w:hint="eastAsia" w:ascii="Segoe UI Symbol" w:hAnsi="Segoe UI Symbol" w:eastAsia="等线" w:cs="Segoe UI Symbol"/>
                <w:kern w:val="0"/>
                <w:sz w:val="18"/>
                <w:szCs w:val="18"/>
                <w14:ligatures w14:val="standardContextual"/>
              </w:rPr>
              <w:t>特大型</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大型</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中型</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小型</w:t>
            </w:r>
          </w:p>
        </w:tc>
      </w:tr>
      <w:tr w14:paraId="57ED4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6" w:type="pct"/>
            <w:vMerge w:val="continue"/>
            <w:vAlign w:val="center"/>
          </w:tcPr>
          <w:p w14:paraId="32B0FA55">
            <w:pPr>
              <w:widowControl/>
              <w:adjustRightInd w:val="0"/>
              <w:snapToGrid w:val="0"/>
              <w:spacing w:line="360" w:lineRule="auto"/>
              <w:ind w:firstLine="0" w:firstLineChars="0"/>
              <w:jc w:val="center"/>
              <w:textAlignment w:val="center"/>
              <w:rPr>
                <w:rFonts w:cs="Times New Roman"/>
                <w:kern w:val="0"/>
                <w:sz w:val="18"/>
                <w:szCs w:val="18"/>
                <w14:ligatures w14:val="standardContextual"/>
              </w:rPr>
            </w:pPr>
          </w:p>
        </w:tc>
        <w:tc>
          <w:tcPr>
            <w:tcW w:w="818" w:type="pct"/>
            <w:gridSpan w:val="2"/>
            <w:vAlign w:val="center"/>
          </w:tcPr>
          <w:p w14:paraId="4A804FD7">
            <w:pPr>
              <w:widowControl/>
              <w:adjustRightInd w:val="0"/>
              <w:snapToGrid w:val="0"/>
              <w:spacing w:line="360" w:lineRule="auto"/>
              <w:ind w:firstLine="0" w:firstLineChars="0"/>
              <w:jc w:val="center"/>
              <w:textAlignment w:val="center"/>
              <w:rPr>
                <w:rFonts w:ascii="Segoe UI Symbol" w:hAnsi="Segoe UI Symbol" w:eastAsia="等线" w:cs="Segoe UI Symbol"/>
                <w:kern w:val="0"/>
                <w:sz w:val="18"/>
                <w:szCs w:val="18"/>
                <w14:ligatures w14:val="standardContextual"/>
              </w:rPr>
            </w:pPr>
            <w:r>
              <w:rPr>
                <w:rFonts w:hint="eastAsia" w:ascii="Segoe UI Symbol" w:hAnsi="Segoe UI Symbol" w:eastAsia="等线" w:cs="Segoe UI Symbol"/>
                <w:kern w:val="0"/>
                <w:sz w:val="18"/>
                <w:szCs w:val="18"/>
                <w14:ligatures w14:val="standardContextual"/>
              </w:rPr>
              <w:t>危害对象</w:t>
            </w:r>
          </w:p>
        </w:tc>
        <w:tc>
          <w:tcPr>
            <w:tcW w:w="3756" w:type="pct"/>
            <w:gridSpan w:val="5"/>
            <w:vAlign w:val="center"/>
          </w:tcPr>
          <w:p w14:paraId="3783D774">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r>
              <w:rPr>
                <w:rFonts w:ascii="Segoe UI Symbol" w:hAnsi="Segoe UI Symbol" w:eastAsia="等线" w:cs="Segoe UI Symbol"/>
                <w:kern w:val="0"/>
                <w:sz w:val="18"/>
                <w:szCs w:val="18"/>
                <w14:ligatures w14:val="standardContextual"/>
              </w:rPr>
              <w:t>☐</w:t>
            </w:r>
            <w:r>
              <w:rPr>
                <w:rFonts w:hint="eastAsia" w:ascii="Segoe UI Symbol" w:hAnsi="Segoe UI Symbol" w:eastAsia="等线" w:cs="Segoe UI Symbol"/>
                <w:kern w:val="0"/>
                <w:sz w:val="18"/>
                <w:szCs w:val="18"/>
                <w14:ligatures w14:val="standardContextual"/>
              </w:rPr>
              <w:t>县城</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村镇</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居民点</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学校</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矿区</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工厂</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水库</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电站</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农田</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饮灌渠道</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森林</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公路</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河流</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铁路</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输电线路</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通讯设施</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国防设施</w:t>
            </w:r>
            <w:r>
              <w:rPr>
                <w:rFonts w:ascii="Segoe UI Symbol" w:hAnsi="Segoe UI Symbol" w:eastAsia="等线" w:cs="Segoe UI Symbol"/>
                <w:kern w:val="0"/>
                <w:sz w:val="18"/>
                <w:szCs w:val="18"/>
                <w14:ligatures w14:val="standardContextual"/>
              </w:rPr>
              <w:t xml:space="preserve"> ☐</w:t>
            </w:r>
            <w:r>
              <w:rPr>
                <w:rFonts w:hint="eastAsia" w:ascii="Segoe UI Symbol" w:hAnsi="Segoe UI Symbol" w:eastAsia="等线" w:cs="Segoe UI Symbol"/>
                <w:kern w:val="0"/>
                <w:sz w:val="18"/>
                <w:szCs w:val="18"/>
                <w14:ligatures w14:val="standardContextual"/>
              </w:rPr>
              <w:t>其它</w:t>
            </w:r>
          </w:p>
        </w:tc>
      </w:tr>
      <w:tr w14:paraId="23954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2" w:type="pct"/>
            <w:gridSpan w:val="4"/>
            <w:vAlign w:val="center"/>
          </w:tcPr>
          <w:p w14:paraId="452F03E0">
            <w:pPr>
              <w:widowControl/>
              <w:adjustRightInd w:val="0"/>
              <w:snapToGrid w:val="0"/>
              <w:spacing w:line="360" w:lineRule="auto"/>
              <w:ind w:firstLine="0" w:firstLineChars="0"/>
              <w:jc w:val="center"/>
              <w:textAlignment w:val="center"/>
              <w:rPr>
                <w:rFonts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与矿业活动关系</w:t>
            </w:r>
          </w:p>
        </w:tc>
        <w:tc>
          <w:tcPr>
            <w:tcW w:w="3528" w:type="pct"/>
            <w:gridSpan w:val="4"/>
            <w:vAlign w:val="center"/>
          </w:tcPr>
          <w:p w14:paraId="380E8637">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p w14:paraId="37B48669">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tc>
      </w:tr>
      <w:tr w14:paraId="38A5D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2" w:type="pct"/>
            <w:gridSpan w:val="4"/>
            <w:vAlign w:val="center"/>
          </w:tcPr>
          <w:p w14:paraId="30218EF0">
            <w:pPr>
              <w:widowControl/>
              <w:adjustRightInd w:val="0"/>
              <w:snapToGrid w:val="0"/>
              <w:spacing w:line="360" w:lineRule="auto"/>
              <w:ind w:firstLine="0" w:firstLineChars="0"/>
              <w:jc w:val="center"/>
              <w:textAlignment w:val="center"/>
              <w:rPr>
                <w:rFonts w:ascii="等线" w:hAnsi="等线"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已有的防治措施</w:t>
            </w:r>
          </w:p>
        </w:tc>
        <w:tc>
          <w:tcPr>
            <w:tcW w:w="3528" w:type="pct"/>
            <w:gridSpan w:val="4"/>
            <w:vAlign w:val="center"/>
          </w:tcPr>
          <w:p w14:paraId="497DDBFF">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p w14:paraId="12754A08">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tc>
      </w:tr>
      <w:tr w14:paraId="75DBA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2" w:type="pct"/>
            <w:gridSpan w:val="4"/>
            <w:vAlign w:val="center"/>
          </w:tcPr>
          <w:p w14:paraId="4DD988AF">
            <w:pPr>
              <w:widowControl/>
              <w:adjustRightInd w:val="0"/>
              <w:snapToGrid w:val="0"/>
              <w:spacing w:line="360" w:lineRule="auto"/>
              <w:ind w:firstLine="0" w:firstLineChars="0"/>
              <w:jc w:val="center"/>
              <w:textAlignment w:val="center"/>
              <w:rPr>
                <w:rFonts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监测建议</w:t>
            </w:r>
          </w:p>
        </w:tc>
        <w:tc>
          <w:tcPr>
            <w:tcW w:w="3528" w:type="pct"/>
            <w:gridSpan w:val="4"/>
            <w:vAlign w:val="center"/>
          </w:tcPr>
          <w:p w14:paraId="5FB9CE3F">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p w14:paraId="2D5D7845">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tc>
      </w:tr>
      <w:tr w14:paraId="422D4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2" w:type="pct"/>
            <w:gridSpan w:val="4"/>
            <w:tcBorders>
              <w:bottom w:val="single" w:color="auto" w:sz="4" w:space="0"/>
            </w:tcBorders>
            <w:vAlign w:val="center"/>
          </w:tcPr>
          <w:p w14:paraId="06E055B2">
            <w:pPr>
              <w:widowControl/>
              <w:adjustRightInd w:val="0"/>
              <w:snapToGrid w:val="0"/>
              <w:spacing w:line="360" w:lineRule="auto"/>
              <w:ind w:firstLine="0" w:firstLineChars="0"/>
              <w:jc w:val="center"/>
              <w:textAlignment w:val="center"/>
              <w:rPr>
                <w:rFonts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防治建议</w:t>
            </w:r>
          </w:p>
        </w:tc>
        <w:tc>
          <w:tcPr>
            <w:tcW w:w="3528" w:type="pct"/>
            <w:gridSpan w:val="4"/>
            <w:tcBorders>
              <w:bottom w:val="single" w:color="auto" w:sz="4" w:space="0"/>
            </w:tcBorders>
            <w:vAlign w:val="center"/>
          </w:tcPr>
          <w:p w14:paraId="392115E8">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p w14:paraId="67444C3A">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tc>
      </w:tr>
      <w:tr w14:paraId="50BF7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trPr>
        <w:tc>
          <w:tcPr>
            <w:tcW w:w="1472" w:type="pct"/>
            <w:gridSpan w:val="4"/>
            <w:tcBorders>
              <w:bottom w:val="single" w:color="auto" w:sz="4" w:space="0"/>
            </w:tcBorders>
            <w:vAlign w:val="center"/>
          </w:tcPr>
          <w:p w14:paraId="5D147DF5">
            <w:pPr>
              <w:widowControl/>
              <w:adjustRightInd w:val="0"/>
              <w:snapToGrid w:val="0"/>
              <w:spacing w:line="360" w:lineRule="auto"/>
              <w:ind w:firstLine="0" w:firstLineChars="0"/>
              <w:jc w:val="center"/>
              <w:textAlignment w:val="center"/>
              <w:rPr>
                <w:rFonts w:eastAsia="等线" w:cs="Times New Roman"/>
                <w:kern w:val="0"/>
                <w:sz w:val="18"/>
                <w:szCs w:val="18"/>
                <w14:ligatures w14:val="standardContextual"/>
              </w:rPr>
            </w:pPr>
            <w:r>
              <w:rPr>
                <w:rFonts w:hint="eastAsia" w:ascii="等线" w:hAnsi="等线" w:eastAsia="等线" w:cs="Times New Roman"/>
                <w:kern w:val="0"/>
                <w:sz w:val="18"/>
                <w:szCs w:val="18"/>
                <w14:ligatures w14:val="standardContextual"/>
              </w:rPr>
              <w:t>隐患描述</w:t>
            </w:r>
          </w:p>
        </w:tc>
        <w:tc>
          <w:tcPr>
            <w:tcW w:w="3528" w:type="pct"/>
            <w:gridSpan w:val="4"/>
            <w:tcBorders>
              <w:bottom w:val="single" w:color="auto" w:sz="4" w:space="0"/>
            </w:tcBorders>
            <w:vAlign w:val="center"/>
          </w:tcPr>
          <w:p w14:paraId="7E216761">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p w14:paraId="15A51A32">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p w14:paraId="3BA86453">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p w14:paraId="79EF632F">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p w14:paraId="3E6C8DCD">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p w14:paraId="01CC394A">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p w14:paraId="7630FF4F">
            <w:pPr>
              <w:widowControl/>
              <w:adjustRightInd w:val="0"/>
              <w:snapToGrid w:val="0"/>
              <w:spacing w:line="360" w:lineRule="auto"/>
              <w:ind w:firstLine="0" w:firstLineChars="0"/>
              <w:textAlignment w:val="center"/>
              <w:rPr>
                <w:rFonts w:ascii="Segoe UI Symbol" w:hAnsi="Segoe UI Symbol" w:eastAsia="等线" w:cs="Segoe UI Symbol"/>
                <w:kern w:val="0"/>
                <w:sz w:val="18"/>
                <w:szCs w:val="18"/>
                <w14:ligatures w14:val="standardContextual"/>
              </w:rPr>
            </w:pPr>
          </w:p>
        </w:tc>
      </w:tr>
      <w:tr w14:paraId="0BFA0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657" w:type="pct"/>
            <w:gridSpan w:val="6"/>
            <w:tcBorders>
              <w:top w:val="single" w:color="auto" w:sz="4" w:space="0"/>
              <w:left w:val="nil"/>
              <w:bottom w:val="nil"/>
              <w:right w:val="nil"/>
            </w:tcBorders>
            <w:vAlign w:val="center"/>
          </w:tcPr>
          <w:p w14:paraId="5CF9618F">
            <w:pPr>
              <w:widowControl/>
              <w:adjustRightInd w:val="0"/>
              <w:snapToGrid w:val="0"/>
              <w:spacing w:line="360" w:lineRule="auto"/>
              <w:ind w:firstLine="0" w:firstLineChars="0"/>
              <w:rPr>
                <w:rFonts w:ascii="Segoe UI Symbol" w:hAnsi="Segoe UI Symbol" w:eastAsia="等线" w:cs="Segoe UI Symbol"/>
                <w:kern w:val="0"/>
                <w:sz w:val="18"/>
                <w:szCs w:val="18"/>
                <w14:ligatures w14:val="standardContextual"/>
              </w:rPr>
            </w:pPr>
            <w:r>
              <w:rPr>
                <w:rFonts w:hint="eastAsia" w:ascii="等线" w:hAnsi="等线" w:eastAsia="等线" w:cs="Times New Roman"/>
                <w:bCs/>
                <w:kern w:val="0"/>
                <w:sz w:val="18"/>
                <w:szCs w:val="20"/>
                <w14:ligatures w14:val="standardContextual"/>
              </w:rPr>
              <w:t>调查人：</w:t>
            </w:r>
          </w:p>
        </w:tc>
        <w:tc>
          <w:tcPr>
            <w:tcW w:w="2343" w:type="pct"/>
            <w:gridSpan w:val="2"/>
            <w:tcBorders>
              <w:top w:val="single" w:color="auto" w:sz="4" w:space="0"/>
              <w:left w:val="nil"/>
              <w:bottom w:val="nil"/>
              <w:right w:val="nil"/>
            </w:tcBorders>
            <w:vAlign w:val="center"/>
          </w:tcPr>
          <w:p w14:paraId="66209B7D">
            <w:pPr>
              <w:widowControl/>
              <w:adjustRightInd w:val="0"/>
              <w:snapToGrid w:val="0"/>
              <w:spacing w:line="360" w:lineRule="auto"/>
              <w:ind w:firstLine="0" w:firstLineChars="0"/>
              <w:rPr>
                <w:rFonts w:ascii="Segoe UI Symbol" w:hAnsi="Segoe UI Symbol" w:eastAsia="等线" w:cs="Segoe UI Symbol"/>
                <w:kern w:val="0"/>
                <w:sz w:val="18"/>
                <w:szCs w:val="18"/>
                <w14:ligatures w14:val="standardContextual"/>
              </w:rPr>
            </w:pPr>
            <w:r>
              <w:rPr>
                <w:rFonts w:hint="eastAsia" w:ascii="等线" w:hAnsi="等线" w:eastAsia="等线" w:cs="Times New Roman"/>
                <w:bCs/>
                <w:kern w:val="0"/>
                <w:sz w:val="18"/>
                <w:szCs w:val="20"/>
                <w14:ligatures w14:val="standardContextual"/>
              </w:rPr>
              <w:t>记录人：</w:t>
            </w:r>
          </w:p>
        </w:tc>
      </w:tr>
      <w:tr w14:paraId="5CECE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657" w:type="pct"/>
            <w:gridSpan w:val="6"/>
            <w:tcBorders>
              <w:top w:val="nil"/>
              <w:left w:val="nil"/>
              <w:bottom w:val="nil"/>
              <w:right w:val="nil"/>
            </w:tcBorders>
            <w:vAlign w:val="center"/>
          </w:tcPr>
          <w:p w14:paraId="11734659">
            <w:pPr>
              <w:widowControl/>
              <w:adjustRightInd w:val="0"/>
              <w:snapToGrid w:val="0"/>
              <w:spacing w:line="360" w:lineRule="auto"/>
              <w:ind w:firstLine="0" w:firstLineChars="0"/>
              <w:rPr>
                <w:rFonts w:ascii="Segoe UI Symbol" w:hAnsi="Segoe UI Symbol" w:eastAsia="等线" w:cs="Segoe UI Symbol"/>
                <w:kern w:val="0"/>
                <w:sz w:val="18"/>
                <w:szCs w:val="18"/>
                <w14:ligatures w14:val="standardContextual"/>
              </w:rPr>
            </w:pPr>
            <w:r>
              <w:rPr>
                <w:rFonts w:hint="eastAsia" w:ascii="等线" w:hAnsi="等线" w:eastAsia="等线" w:cs="Times New Roman"/>
                <w:bCs/>
                <w:kern w:val="0"/>
                <w:sz w:val="18"/>
                <w:szCs w:val="20"/>
                <w14:ligatures w14:val="standardContextual"/>
              </w:rPr>
              <w:t>审核人：</w:t>
            </w:r>
          </w:p>
        </w:tc>
        <w:tc>
          <w:tcPr>
            <w:tcW w:w="2343" w:type="pct"/>
            <w:gridSpan w:val="2"/>
            <w:tcBorders>
              <w:top w:val="nil"/>
              <w:left w:val="nil"/>
              <w:bottom w:val="nil"/>
              <w:right w:val="nil"/>
            </w:tcBorders>
            <w:vAlign w:val="center"/>
          </w:tcPr>
          <w:p w14:paraId="0E5E90FD">
            <w:pPr>
              <w:widowControl/>
              <w:adjustRightInd w:val="0"/>
              <w:snapToGrid w:val="0"/>
              <w:spacing w:line="360" w:lineRule="auto"/>
              <w:ind w:firstLine="0" w:firstLineChars="0"/>
              <w:rPr>
                <w:rFonts w:ascii="Segoe UI Symbol" w:hAnsi="Segoe UI Symbol" w:eastAsia="等线" w:cs="Segoe UI Symbol"/>
                <w:kern w:val="0"/>
                <w:sz w:val="18"/>
                <w:szCs w:val="18"/>
                <w14:ligatures w14:val="standardContextual"/>
              </w:rPr>
            </w:pPr>
            <w:r>
              <w:rPr>
                <w:rFonts w:hint="eastAsia" w:ascii="等线" w:hAnsi="等线" w:eastAsia="等线" w:cs="Times New Roman"/>
                <w:bCs/>
                <w:kern w:val="0"/>
                <w:sz w:val="18"/>
                <w:szCs w:val="20"/>
                <w14:ligatures w14:val="standardContextual"/>
              </w:rPr>
              <w:t>项目负责人：</w:t>
            </w:r>
          </w:p>
        </w:tc>
      </w:tr>
      <w:tr w14:paraId="5A231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657" w:type="pct"/>
            <w:gridSpan w:val="6"/>
            <w:tcBorders>
              <w:top w:val="nil"/>
              <w:left w:val="nil"/>
              <w:bottom w:val="nil"/>
              <w:right w:val="nil"/>
            </w:tcBorders>
            <w:vAlign w:val="center"/>
          </w:tcPr>
          <w:p w14:paraId="07506CAB">
            <w:pPr>
              <w:widowControl/>
              <w:adjustRightInd w:val="0"/>
              <w:snapToGrid w:val="0"/>
              <w:spacing w:line="360" w:lineRule="auto"/>
              <w:ind w:firstLine="0" w:firstLineChars="0"/>
              <w:rPr>
                <w:rFonts w:ascii="Segoe UI Symbol" w:hAnsi="Segoe UI Symbol" w:eastAsia="等线" w:cs="Segoe UI Symbol"/>
                <w:kern w:val="0"/>
                <w:sz w:val="18"/>
                <w:szCs w:val="18"/>
                <w14:ligatures w14:val="standardContextual"/>
              </w:rPr>
            </w:pPr>
          </w:p>
        </w:tc>
        <w:tc>
          <w:tcPr>
            <w:tcW w:w="2343" w:type="pct"/>
            <w:gridSpan w:val="2"/>
            <w:tcBorders>
              <w:top w:val="nil"/>
              <w:left w:val="nil"/>
              <w:bottom w:val="nil"/>
              <w:right w:val="nil"/>
            </w:tcBorders>
            <w:vAlign w:val="center"/>
          </w:tcPr>
          <w:p w14:paraId="33658EC6">
            <w:pPr>
              <w:widowControl/>
              <w:adjustRightInd w:val="0"/>
              <w:snapToGrid w:val="0"/>
              <w:spacing w:line="360" w:lineRule="auto"/>
              <w:ind w:firstLine="0" w:firstLineChars="0"/>
              <w:rPr>
                <w:rFonts w:ascii="Segoe UI Symbol" w:hAnsi="Segoe UI Symbol" w:eastAsia="等线" w:cs="Segoe UI Symbol"/>
                <w:kern w:val="0"/>
                <w:sz w:val="18"/>
                <w:szCs w:val="18"/>
                <w14:ligatures w14:val="standardContextual"/>
              </w:rPr>
            </w:pPr>
            <w:r>
              <w:rPr>
                <w:rFonts w:hint="eastAsia" w:ascii="等线" w:hAnsi="等线" w:eastAsia="等线" w:cs="Times New Roman"/>
                <w:bCs/>
                <w:kern w:val="0"/>
                <w:sz w:val="18"/>
                <w:szCs w:val="20"/>
                <w14:ligatures w14:val="standardContextual"/>
              </w:rPr>
              <w:t>调查日期：</w:t>
            </w:r>
          </w:p>
        </w:tc>
      </w:tr>
    </w:tbl>
    <w:p w14:paraId="4D5A673B">
      <w:pPr>
        <w:widowControl/>
        <w:ind w:firstLine="0" w:firstLineChars="0"/>
        <w:jc w:val="left"/>
        <w:rPr>
          <w:b/>
          <w:bCs/>
        </w:rPr>
      </w:pPr>
    </w:p>
    <w:p w14:paraId="0A57FC81">
      <w:pPr>
        <w:spacing w:before="163" w:beforeLines="50" w:after="163" w:afterLines="50"/>
        <w:ind w:firstLine="0" w:firstLineChars="0"/>
        <w:jc w:val="center"/>
        <w:rPr>
          <w:b/>
          <w:bCs/>
          <w:sz w:val="44"/>
          <w:szCs w:val="44"/>
        </w:rPr>
      </w:pPr>
    </w:p>
    <w:p w14:paraId="6C7E8F51">
      <w:pPr>
        <w:spacing w:before="163" w:beforeLines="50" w:after="163" w:afterLines="50"/>
        <w:ind w:firstLine="0" w:firstLineChars="0"/>
        <w:jc w:val="center"/>
        <w:outlineLvl w:val="0"/>
        <w:rPr>
          <w:b/>
          <w:bCs/>
          <w:sz w:val="44"/>
          <w:szCs w:val="44"/>
        </w:rPr>
      </w:pPr>
      <w:bookmarkStart w:id="115" w:name="_Toc212057059"/>
      <w:r>
        <w:rPr>
          <w:rFonts w:hint="eastAsia"/>
          <w:b/>
          <w:bCs/>
          <w:sz w:val="44"/>
          <w:szCs w:val="44"/>
        </w:rPr>
        <w:t>附  录  B</w:t>
      </w:r>
      <w:bookmarkEnd w:id="115"/>
      <w:r>
        <w:rPr>
          <w:rFonts w:hint="eastAsia"/>
          <w:b/>
          <w:bCs/>
          <w:sz w:val="44"/>
          <w:szCs w:val="44"/>
        </w:rPr>
        <w:tab/>
      </w:r>
    </w:p>
    <w:p w14:paraId="5348FB95">
      <w:pPr>
        <w:ind w:firstLine="0" w:firstLineChars="0"/>
        <w:jc w:val="left"/>
        <w:rPr>
          <w:rFonts w:ascii="宋体" w:hAnsi="宋体"/>
        </w:rPr>
      </w:pPr>
      <w:r>
        <w:rPr>
          <w:rFonts w:hint="eastAsia"/>
        </w:rPr>
        <w:t>表B.</w:t>
      </w:r>
      <w:r>
        <w:t>1</w:t>
      </w:r>
      <w:r>
        <w:rPr>
          <w:rFonts w:hint="eastAsia"/>
        </w:rPr>
        <w:t>为</w:t>
      </w:r>
      <w:r>
        <w:rPr>
          <w:rFonts w:ascii="宋体" w:hAnsi="宋体"/>
        </w:rPr>
        <w:t>土地利用权属调查表</w:t>
      </w:r>
      <w:r>
        <w:rPr>
          <w:rFonts w:hint="eastAsia"/>
        </w:rPr>
        <w:t>；</w:t>
      </w:r>
    </w:p>
    <w:p w14:paraId="31E8770B">
      <w:pPr>
        <w:ind w:firstLine="0" w:firstLineChars="0"/>
        <w:jc w:val="left"/>
      </w:pPr>
      <w:r>
        <w:rPr>
          <w:rFonts w:hint="eastAsia"/>
        </w:rPr>
        <w:t>表B.</w:t>
      </w:r>
      <w:r>
        <w:t>2</w:t>
      </w:r>
      <w:r>
        <w:rPr>
          <w:rFonts w:hint="eastAsia"/>
        </w:rPr>
        <w:t>为</w:t>
      </w:r>
      <w:r>
        <w:rPr>
          <w:rFonts w:ascii="宋体" w:hAnsi="宋体"/>
        </w:rPr>
        <w:t>土地损毁与土壤污染调查记录表</w:t>
      </w:r>
      <w:r>
        <w:rPr>
          <w:rFonts w:hint="eastAsia"/>
        </w:rPr>
        <w:t>。</w:t>
      </w:r>
    </w:p>
    <w:p w14:paraId="3E2BBAC3">
      <w:pPr>
        <w:widowControl/>
        <w:spacing w:line="240" w:lineRule="auto"/>
        <w:ind w:firstLine="0" w:firstLineChars="0"/>
        <w:jc w:val="left"/>
      </w:pPr>
      <w:r>
        <w:br w:type="page"/>
      </w:r>
    </w:p>
    <w:p w14:paraId="24AD9E85">
      <w:pPr>
        <w:widowControl/>
        <w:spacing w:line="240" w:lineRule="auto"/>
        <w:ind w:firstLine="0" w:firstLineChars="0"/>
        <w:jc w:val="center"/>
        <w:outlineLvl w:val="1"/>
      </w:pPr>
      <w:bookmarkStart w:id="116" w:name="_Toc212057060"/>
      <w:r>
        <w:rPr>
          <w:rFonts w:hint="eastAsia"/>
        </w:rPr>
        <w:t>表B.</w:t>
      </w:r>
      <w:r>
        <w:t>1土地利用权属调查表</w:t>
      </w:r>
      <w:bookmarkEnd w:id="116"/>
    </w:p>
    <w:tbl>
      <w:tblPr>
        <w:tblStyle w:val="18"/>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992"/>
        <w:gridCol w:w="425"/>
        <w:gridCol w:w="1134"/>
        <w:gridCol w:w="142"/>
        <w:gridCol w:w="283"/>
        <w:gridCol w:w="709"/>
        <w:gridCol w:w="142"/>
        <w:gridCol w:w="283"/>
        <w:gridCol w:w="709"/>
        <w:gridCol w:w="142"/>
        <w:gridCol w:w="992"/>
        <w:gridCol w:w="284"/>
        <w:gridCol w:w="708"/>
        <w:gridCol w:w="993"/>
      </w:tblGrid>
      <w:tr w14:paraId="2ABA5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9" w:type="dxa"/>
            <w:gridSpan w:val="15"/>
            <w:vAlign w:val="center"/>
          </w:tcPr>
          <w:p w14:paraId="33A70D6A">
            <w:pPr>
              <w:widowControl/>
              <w:spacing w:line="240" w:lineRule="auto"/>
              <w:ind w:firstLine="0" w:firstLineChars="0"/>
              <w:jc w:val="center"/>
              <w:rPr>
                <w:bCs/>
                <w:kern w:val="0"/>
                <w:sz w:val="18"/>
                <w:szCs w:val="18"/>
              </w:rPr>
            </w:pPr>
            <w:r>
              <w:rPr>
                <w:kern w:val="0"/>
                <w:sz w:val="18"/>
                <w:szCs w:val="18"/>
              </w:rPr>
              <w:t>土地利用权属调查表</w:t>
            </w:r>
          </w:p>
        </w:tc>
      </w:tr>
      <w:tr w14:paraId="57D37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2" w:type="dxa"/>
            <w:gridSpan w:val="11"/>
            <w:vAlign w:val="center"/>
          </w:tcPr>
          <w:p w14:paraId="4AD0900F">
            <w:pPr>
              <w:widowControl/>
              <w:spacing w:line="240" w:lineRule="auto"/>
              <w:ind w:firstLine="0" w:firstLineChars="0"/>
              <w:jc w:val="center"/>
              <w:rPr>
                <w:bCs/>
                <w:kern w:val="0"/>
                <w:sz w:val="18"/>
                <w:szCs w:val="18"/>
              </w:rPr>
            </w:pPr>
            <w:r>
              <w:rPr>
                <w:rFonts w:cs="Segoe UI"/>
                <w:kern w:val="0"/>
                <w:sz w:val="18"/>
                <w:szCs w:val="18"/>
              </w:rPr>
              <w:t>调查户基本情况</w:t>
            </w:r>
          </w:p>
        </w:tc>
        <w:tc>
          <w:tcPr>
            <w:tcW w:w="2977" w:type="dxa"/>
            <w:gridSpan w:val="4"/>
            <w:vAlign w:val="center"/>
          </w:tcPr>
          <w:p w14:paraId="3E3379C6">
            <w:pPr>
              <w:widowControl/>
              <w:spacing w:line="240" w:lineRule="auto"/>
              <w:ind w:firstLine="0" w:firstLineChars="0"/>
              <w:jc w:val="center"/>
              <w:rPr>
                <w:bCs/>
                <w:kern w:val="0"/>
                <w:sz w:val="18"/>
                <w:szCs w:val="18"/>
              </w:rPr>
            </w:pPr>
            <w:r>
              <w:rPr>
                <w:rFonts w:hint="eastAsia"/>
                <w:bCs/>
                <w:kern w:val="0"/>
                <w:sz w:val="18"/>
                <w:szCs w:val="18"/>
              </w:rPr>
              <w:t>当地土地承包费水平（元/亩）</w:t>
            </w:r>
          </w:p>
        </w:tc>
      </w:tr>
      <w:tr w14:paraId="51DB2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trPr>
        <w:tc>
          <w:tcPr>
            <w:tcW w:w="421" w:type="dxa"/>
            <w:vAlign w:val="center"/>
          </w:tcPr>
          <w:p w14:paraId="65A6D9EB">
            <w:pPr>
              <w:widowControl/>
              <w:spacing w:line="240" w:lineRule="auto"/>
              <w:ind w:firstLine="0" w:firstLineChars="0"/>
              <w:jc w:val="center"/>
              <w:rPr>
                <w:bCs/>
                <w:kern w:val="0"/>
                <w:sz w:val="18"/>
                <w:szCs w:val="18"/>
              </w:rPr>
            </w:pPr>
            <w:r>
              <w:rPr>
                <w:rFonts w:ascii="Segoe UI" w:hAnsi="Segoe UI" w:cs="Segoe UI"/>
                <w:kern w:val="0"/>
                <w:sz w:val="18"/>
                <w:szCs w:val="18"/>
              </w:rPr>
              <w:t>调查户姓名</w:t>
            </w:r>
          </w:p>
        </w:tc>
        <w:tc>
          <w:tcPr>
            <w:tcW w:w="992" w:type="dxa"/>
            <w:vAlign w:val="center"/>
          </w:tcPr>
          <w:p w14:paraId="4D0306A7">
            <w:pPr>
              <w:spacing w:line="240" w:lineRule="auto"/>
              <w:ind w:firstLine="360"/>
              <w:jc w:val="center"/>
              <w:rPr>
                <w:bCs/>
                <w:kern w:val="0"/>
                <w:sz w:val="18"/>
                <w:szCs w:val="18"/>
              </w:rPr>
            </w:pPr>
          </w:p>
        </w:tc>
        <w:tc>
          <w:tcPr>
            <w:tcW w:w="425" w:type="dxa"/>
            <w:vAlign w:val="center"/>
          </w:tcPr>
          <w:p w14:paraId="08231F4B">
            <w:pPr>
              <w:widowControl/>
              <w:spacing w:line="240" w:lineRule="auto"/>
              <w:ind w:firstLine="0" w:firstLineChars="0"/>
              <w:jc w:val="center"/>
              <w:rPr>
                <w:bCs/>
                <w:kern w:val="0"/>
                <w:sz w:val="18"/>
                <w:szCs w:val="18"/>
              </w:rPr>
            </w:pPr>
            <w:r>
              <w:rPr>
                <w:rFonts w:ascii="Segoe UI" w:hAnsi="Segoe UI" w:cs="Segoe UI"/>
                <w:kern w:val="0"/>
                <w:sz w:val="18"/>
                <w:szCs w:val="18"/>
              </w:rPr>
              <w:t>调查户代码</w:t>
            </w:r>
          </w:p>
        </w:tc>
        <w:tc>
          <w:tcPr>
            <w:tcW w:w="1134" w:type="dxa"/>
            <w:vAlign w:val="center"/>
          </w:tcPr>
          <w:p w14:paraId="467445EE">
            <w:pPr>
              <w:widowControl/>
              <w:spacing w:line="240" w:lineRule="auto"/>
              <w:ind w:firstLine="0" w:firstLineChars="0"/>
              <w:jc w:val="center"/>
              <w:rPr>
                <w:bCs/>
                <w:kern w:val="0"/>
                <w:sz w:val="18"/>
                <w:szCs w:val="18"/>
              </w:rPr>
            </w:pPr>
          </w:p>
        </w:tc>
        <w:tc>
          <w:tcPr>
            <w:tcW w:w="425" w:type="dxa"/>
            <w:gridSpan w:val="2"/>
            <w:vAlign w:val="center"/>
          </w:tcPr>
          <w:p w14:paraId="75AB9273">
            <w:pPr>
              <w:widowControl/>
              <w:spacing w:line="240" w:lineRule="auto"/>
              <w:ind w:firstLine="0" w:firstLineChars="0"/>
              <w:jc w:val="center"/>
              <w:rPr>
                <w:kern w:val="0"/>
                <w:sz w:val="18"/>
                <w:szCs w:val="18"/>
              </w:rPr>
            </w:pPr>
            <w:r>
              <w:rPr>
                <w:rFonts w:ascii="Segoe UI" w:hAnsi="Segoe UI" w:cs="Segoe UI"/>
                <w:kern w:val="0"/>
                <w:sz w:val="18"/>
                <w:szCs w:val="18"/>
              </w:rPr>
              <w:t>性别</w:t>
            </w:r>
          </w:p>
        </w:tc>
        <w:tc>
          <w:tcPr>
            <w:tcW w:w="709" w:type="dxa"/>
            <w:vAlign w:val="center"/>
          </w:tcPr>
          <w:p w14:paraId="521E418F">
            <w:pPr>
              <w:widowControl/>
              <w:spacing w:line="240" w:lineRule="auto"/>
              <w:ind w:firstLine="0" w:firstLineChars="0"/>
              <w:jc w:val="center"/>
              <w:rPr>
                <w:bCs/>
                <w:kern w:val="0"/>
                <w:sz w:val="18"/>
                <w:szCs w:val="18"/>
              </w:rPr>
            </w:pPr>
          </w:p>
        </w:tc>
        <w:tc>
          <w:tcPr>
            <w:tcW w:w="425" w:type="dxa"/>
            <w:gridSpan w:val="2"/>
            <w:vAlign w:val="center"/>
          </w:tcPr>
          <w:p w14:paraId="6DC5E77C">
            <w:pPr>
              <w:widowControl/>
              <w:spacing w:line="240" w:lineRule="auto"/>
              <w:ind w:firstLine="0" w:firstLineChars="0"/>
              <w:jc w:val="center"/>
              <w:rPr>
                <w:bCs/>
                <w:kern w:val="0"/>
                <w:sz w:val="18"/>
                <w:szCs w:val="18"/>
              </w:rPr>
            </w:pPr>
            <w:r>
              <w:rPr>
                <w:rFonts w:ascii="Segoe UI" w:hAnsi="Segoe UI" w:cs="Segoe UI"/>
                <w:kern w:val="0"/>
                <w:sz w:val="18"/>
                <w:szCs w:val="18"/>
              </w:rPr>
              <w:t>民族</w:t>
            </w:r>
          </w:p>
        </w:tc>
        <w:tc>
          <w:tcPr>
            <w:tcW w:w="851" w:type="dxa"/>
            <w:gridSpan w:val="2"/>
            <w:vAlign w:val="center"/>
          </w:tcPr>
          <w:p w14:paraId="5C4E6666">
            <w:pPr>
              <w:widowControl/>
              <w:spacing w:line="240" w:lineRule="auto"/>
              <w:ind w:firstLine="0" w:firstLineChars="0"/>
              <w:jc w:val="center"/>
              <w:rPr>
                <w:bCs/>
                <w:kern w:val="0"/>
                <w:sz w:val="18"/>
                <w:szCs w:val="18"/>
              </w:rPr>
            </w:pPr>
          </w:p>
        </w:tc>
        <w:tc>
          <w:tcPr>
            <w:tcW w:w="992" w:type="dxa"/>
            <w:vMerge w:val="restart"/>
            <w:vAlign w:val="center"/>
          </w:tcPr>
          <w:p w14:paraId="46BB35B0">
            <w:pPr>
              <w:widowControl/>
              <w:spacing w:line="240" w:lineRule="auto"/>
              <w:ind w:firstLine="0" w:firstLineChars="0"/>
              <w:jc w:val="center"/>
              <w:rPr>
                <w:bCs/>
                <w:kern w:val="0"/>
                <w:sz w:val="18"/>
                <w:szCs w:val="18"/>
              </w:rPr>
            </w:pPr>
            <w:r>
              <w:rPr>
                <w:rFonts w:ascii="Segoe UI" w:hAnsi="Segoe UI" w:cs="Segoe UI"/>
                <w:kern w:val="0"/>
                <w:sz w:val="18"/>
                <w:szCs w:val="18"/>
              </w:rPr>
              <w:t>种植粮食（中等地）</w:t>
            </w:r>
          </w:p>
        </w:tc>
        <w:tc>
          <w:tcPr>
            <w:tcW w:w="992" w:type="dxa"/>
            <w:gridSpan w:val="2"/>
            <w:vMerge w:val="restart"/>
            <w:vAlign w:val="center"/>
          </w:tcPr>
          <w:p w14:paraId="17078A97">
            <w:pPr>
              <w:widowControl/>
              <w:spacing w:line="240" w:lineRule="auto"/>
              <w:ind w:firstLine="0" w:firstLineChars="0"/>
              <w:jc w:val="center"/>
              <w:rPr>
                <w:bCs/>
                <w:kern w:val="0"/>
                <w:sz w:val="18"/>
                <w:szCs w:val="18"/>
              </w:rPr>
            </w:pPr>
            <w:r>
              <w:rPr>
                <w:rFonts w:ascii="Segoe UI" w:hAnsi="Segoe UI" w:cs="Segoe UI"/>
                <w:kern w:val="0"/>
                <w:sz w:val="18"/>
                <w:szCs w:val="18"/>
              </w:rPr>
              <w:t>种植大田经济作物（中等地）</w:t>
            </w:r>
          </w:p>
        </w:tc>
        <w:tc>
          <w:tcPr>
            <w:tcW w:w="993" w:type="dxa"/>
            <w:vMerge w:val="restart"/>
            <w:vAlign w:val="center"/>
          </w:tcPr>
          <w:p w14:paraId="175C7AAE">
            <w:pPr>
              <w:widowControl/>
              <w:spacing w:line="240" w:lineRule="auto"/>
              <w:ind w:firstLine="0" w:firstLineChars="0"/>
              <w:jc w:val="center"/>
              <w:rPr>
                <w:bCs/>
                <w:kern w:val="0"/>
                <w:sz w:val="18"/>
                <w:szCs w:val="18"/>
              </w:rPr>
            </w:pPr>
            <w:r>
              <w:rPr>
                <w:rFonts w:ascii="Segoe UI" w:hAnsi="Segoe UI" w:cs="Segoe UI"/>
                <w:kern w:val="0"/>
                <w:sz w:val="18"/>
                <w:szCs w:val="18"/>
              </w:rPr>
              <w:t>种植水果、蔬菜（中等地）</w:t>
            </w:r>
          </w:p>
        </w:tc>
      </w:tr>
      <w:tr w14:paraId="2487D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421" w:type="dxa"/>
            <w:vAlign w:val="center"/>
          </w:tcPr>
          <w:p w14:paraId="5F293445">
            <w:pPr>
              <w:widowControl/>
              <w:spacing w:line="240" w:lineRule="auto"/>
              <w:ind w:firstLine="0" w:firstLineChars="0"/>
              <w:jc w:val="center"/>
              <w:rPr>
                <w:bCs/>
                <w:kern w:val="0"/>
                <w:sz w:val="18"/>
                <w:szCs w:val="18"/>
              </w:rPr>
            </w:pPr>
            <w:r>
              <w:rPr>
                <w:rFonts w:ascii="Segoe UI" w:hAnsi="Segoe UI" w:cs="Segoe UI"/>
                <w:kern w:val="0"/>
                <w:sz w:val="18"/>
                <w:szCs w:val="18"/>
              </w:rPr>
              <w:t>文化程度</w:t>
            </w:r>
          </w:p>
        </w:tc>
        <w:tc>
          <w:tcPr>
            <w:tcW w:w="992" w:type="dxa"/>
            <w:vAlign w:val="center"/>
          </w:tcPr>
          <w:p w14:paraId="4AC71F05">
            <w:pPr>
              <w:widowControl/>
              <w:spacing w:line="240" w:lineRule="auto"/>
              <w:ind w:firstLine="0" w:firstLineChars="0"/>
              <w:jc w:val="center"/>
              <w:rPr>
                <w:bCs/>
                <w:kern w:val="0"/>
                <w:sz w:val="18"/>
                <w:szCs w:val="18"/>
              </w:rPr>
            </w:pPr>
          </w:p>
        </w:tc>
        <w:tc>
          <w:tcPr>
            <w:tcW w:w="425" w:type="dxa"/>
            <w:vAlign w:val="center"/>
          </w:tcPr>
          <w:p w14:paraId="53FDE87E">
            <w:pPr>
              <w:widowControl/>
              <w:spacing w:line="240" w:lineRule="auto"/>
              <w:ind w:firstLine="0" w:firstLineChars="0"/>
              <w:jc w:val="center"/>
              <w:rPr>
                <w:bCs/>
                <w:kern w:val="0"/>
                <w:sz w:val="18"/>
                <w:szCs w:val="18"/>
              </w:rPr>
            </w:pPr>
            <w:r>
              <w:rPr>
                <w:rFonts w:ascii="Segoe UI" w:hAnsi="Segoe UI" w:cs="Segoe UI"/>
                <w:kern w:val="0"/>
                <w:sz w:val="18"/>
                <w:szCs w:val="18"/>
              </w:rPr>
              <w:t>出生年月</w:t>
            </w:r>
          </w:p>
        </w:tc>
        <w:tc>
          <w:tcPr>
            <w:tcW w:w="1134" w:type="dxa"/>
            <w:vAlign w:val="center"/>
          </w:tcPr>
          <w:p w14:paraId="4ECD1645">
            <w:pPr>
              <w:widowControl/>
              <w:spacing w:line="240" w:lineRule="auto"/>
              <w:ind w:firstLine="0" w:firstLineChars="0"/>
              <w:jc w:val="center"/>
              <w:rPr>
                <w:bCs/>
                <w:kern w:val="0"/>
                <w:sz w:val="18"/>
                <w:szCs w:val="18"/>
              </w:rPr>
            </w:pPr>
          </w:p>
        </w:tc>
        <w:tc>
          <w:tcPr>
            <w:tcW w:w="425" w:type="dxa"/>
            <w:gridSpan w:val="2"/>
            <w:vAlign w:val="center"/>
          </w:tcPr>
          <w:p w14:paraId="2CDC2F82">
            <w:pPr>
              <w:widowControl/>
              <w:spacing w:line="240" w:lineRule="auto"/>
              <w:ind w:firstLine="0" w:firstLineChars="0"/>
              <w:jc w:val="center"/>
              <w:rPr>
                <w:bCs/>
                <w:kern w:val="0"/>
                <w:sz w:val="18"/>
                <w:szCs w:val="18"/>
              </w:rPr>
            </w:pPr>
            <w:r>
              <w:rPr>
                <w:rFonts w:ascii="Segoe UI" w:hAnsi="Segoe UI" w:cs="Segoe UI"/>
                <w:kern w:val="0"/>
                <w:sz w:val="18"/>
                <w:szCs w:val="18"/>
              </w:rPr>
              <w:t>种植品种</w:t>
            </w:r>
          </w:p>
        </w:tc>
        <w:tc>
          <w:tcPr>
            <w:tcW w:w="1985" w:type="dxa"/>
            <w:gridSpan w:val="5"/>
            <w:vAlign w:val="center"/>
          </w:tcPr>
          <w:p w14:paraId="16174AEC">
            <w:pPr>
              <w:widowControl/>
              <w:spacing w:line="240" w:lineRule="auto"/>
              <w:ind w:firstLine="0" w:firstLineChars="0"/>
              <w:jc w:val="center"/>
              <w:rPr>
                <w:bCs/>
                <w:kern w:val="0"/>
                <w:sz w:val="18"/>
                <w:szCs w:val="18"/>
              </w:rPr>
            </w:pPr>
          </w:p>
        </w:tc>
        <w:tc>
          <w:tcPr>
            <w:tcW w:w="992" w:type="dxa"/>
            <w:vMerge w:val="continue"/>
            <w:vAlign w:val="center"/>
          </w:tcPr>
          <w:p w14:paraId="16A1F829">
            <w:pPr>
              <w:widowControl/>
              <w:spacing w:line="240" w:lineRule="auto"/>
              <w:ind w:firstLine="0" w:firstLineChars="0"/>
              <w:jc w:val="center"/>
              <w:rPr>
                <w:bCs/>
                <w:kern w:val="0"/>
                <w:sz w:val="18"/>
                <w:szCs w:val="18"/>
              </w:rPr>
            </w:pPr>
          </w:p>
        </w:tc>
        <w:tc>
          <w:tcPr>
            <w:tcW w:w="992" w:type="dxa"/>
            <w:gridSpan w:val="2"/>
            <w:vMerge w:val="continue"/>
            <w:vAlign w:val="center"/>
          </w:tcPr>
          <w:p w14:paraId="5EB9E7C1">
            <w:pPr>
              <w:widowControl/>
              <w:spacing w:line="240" w:lineRule="auto"/>
              <w:ind w:firstLine="0" w:firstLineChars="0"/>
              <w:jc w:val="center"/>
              <w:rPr>
                <w:bCs/>
                <w:kern w:val="0"/>
                <w:sz w:val="18"/>
                <w:szCs w:val="18"/>
              </w:rPr>
            </w:pPr>
          </w:p>
        </w:tc>
        <w:tc>
          <w:tcPr>
            <w:tcW w:w="993" w:type="dxa"/>
            <w:vMerge w:val="continue"/>
            <w:vAlign w:val="center"/>
          </w:tcPr>
          <w:p w14:paraId="1CFCAD0F">
            <w:pPr>
              <w:widowControl/>
              <w:spacing w:line="240" w:lineRule="auto"/>
              <w:ind w:firstLine="0" w:firstLineChars="0"/>
              <w:jc w:val="center"/>
              <w:rPr>
                <w:bCs/>
                <w:kern w:val="0"/>
                <w:sz w:val="18"/>
                <w:szCs w:val="18"/>
              </w:rPr>
            </w:pPr>
          </w:p>
        </w:tc>
      </w:tr>
      <w:tr w14:paraId="70062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421" w:type="dxa"/>
            <w:vAlign w:val="center"/>
          </w:tcPr>
          <w:p w14:paraId="0A9E1E24">
            <w:pPr>
              <w:widowControl/>
              <w:spacing w:line="240" w:lineRule="auto"/>
              <w:ind w:firstLine="0" w:firstLineChars="0"/>
              <w:jc w:val="center"/>
              <w:rPr>
                <w:bCs/>
                <w:kern w:val="0"/>
                <w:sz w:val="18"/>
                <w:szCs w:val="18"/>
              </w:rPr>
            </w:pPr>
            <w:r>
              <w:rPr>
                <w:rFonts w:ascii="Segoe UI" w:hAnsi="Segoe UI" w:cs="Segoe UI"/>
                <w:kern w:val="0"/>
                <w:sz w:val="18"/>
                <w:szCs w:val="18"/>
              </w:rPr>
              <w:t>家庭人口</w:t>
            </w:r>
          </w:p>
        </w:tc>
        <w:tc>
          <w:tcPr>
            <w:tcW w:w="992" w:type="dxa"/>
            <w:vAlign w:val="center"/>
          </w:tcPr>
          <w:p w14:paraId="6EF705D2">
            <w:pPr>
              <w:widowControl/>
              <w:spacing w:line="240" w:lineRule="auto"/>
              <w:ind w:firstLine="0" w:firstLineChars="0"/>
              <w:jc w:val="center"/>
              <w:rPr>
                <w:rFonts w:ascii="Segoe UI" w:hAnsi="Segoe UI" w:cs="Segoe UI"/>
                <w:kern w:val="0"/>
                <w:sz w:val="18"/>
                <w:szCs w:val="18"/>
              </w:rPr>
            </w:pPr>
          </w:p>
        </w:tc>
        <w:tc>
          <w:tcPr>
            <w:tcW w:w="425" w:type="dxa"/>
            <w:vAlign w:val="center"/>
          </w:tcPr>
          <w:p w14:paraId="15A732B7">
            <w:pPr>
              <w:widowControl/>
              <w:spacing w:line="240" w:lineRule="auto"/>
              <w:ind w:firstLine="0" w:firstLineChars="0"/>
              <w:jc w:val="center"/>
              <w:rPr>
                <w:bCs/>
                <w:kern w:val="0"/>
                <w:sz w:val="18"/>
                <w:szCs w:val="18"/>
              </w:rPr>
            </w:pPr>
            <w:r>
              <w:rPr>
                <w:rFonts w:ascii="Segoe UI" w:hAnsi="Segoe UI" w:cs="Segoe UI"/>
                <w:kern w:val="0"/>
                <w:sz w:val="18"/>
                <w:szCs w:val="18"/>
              </w:rPr>
              <w:t>有土地人口</w:t>
            </w:r>
          </w:p>
        </w:tc>
        <w:tc>
          <w:tcPr>
            <w:tcW w:w="1134" w:type="dxa"/>
            <w:vAlign w:val="center"/>
          </w:tcPr>
          <w:p w14:paraId="4A515FD6">
            <w:pPr>
              <w:widowControl/>
              <w:spacing w:line="240" w:lineRule="auto"/>
              <w:ind w:firstLine="0" w:firstLineChars="0"/>
              <w:jc w:val="center"/>
              <w:rPr>
                <w:rFonts w:ascii="Segoe UI" w:hAnsi="Segoe UI" w:cs="Segoe UI"/>
                <w:kern w:val="0"/>
                <w:sz w:val="18"/>
                <w:szCs w:val="18"/>
              </w:rPr>
            </w:pPr>
          </w:p>
        </w:tc>
        <w:tc>
          <w:tcPr>
            <w:tcW w:w="425" w:type="dxa"/>
            <w:gridSpan w:val="2"/>
            <w:vAlign w:val="center"/>
          </w:tcPr>
          <w:p w14:paraId="2ED667EA">
            <w:pPr>
              <w:widowControl/>
              <w:spacing w:line="240" w:lineRule="auto"/>
              <w:ind w:firstLine="0" w:firstLineChars="0"/>
              <w:jc w:val="center"/>
              <w:rPr>
                <w:bCs/>
                <w:kern w:val="0"/>
                <w:sz w:val="18"/>
                <w:szCs w:val="18"/>
              </w:rPr>
            </w:pPr>
            <w:r>
              <w:rPr>
                <w:rFonts w:ascii="Segoe UI" w:hAnsi="Segoe UI" w:cs="Segoe UI"/>
                <w:kern w:val="0"/>
                <w:sz w:val="18"/>
                <w:szCs w:val="18"/>
              </w:rPr>
              <w:t>劳动力</w:t>
            </w:r>
          </w:p>
        </w:tc>
        <w:tc>
          <w:tcPr>
            <w:tcW w:w="709" w:type="dxa"/>
            <w:vAlign w:val="center"/>
          </w:tcPr>
          <w:p w14:paraId="725D474F">
            <w:pPr>
              <w:widowControl/>
              <w:spacing w:line="240" w:lineRule="auto"/>
              <w:ind w:firstLine="360"/>
              <w:jc w:val="center"/>
              <w:rPr>
                <w:rFonts w:ascii="Segoe UI" w:hAnsi="Segoe UI" w:cs="Segoe UI"/>
                <w:kern w:val="0"/>
                <w:sz w:val="18"/>
                <w:szCs w:val="18"/>
              </w:rPr>
            </w:pPr>
            <w:r>
              <w:rPr>
                <w:rFonts w:ascii="Segoe UI" w:hAnsi="Segoe UI" w:cs="Segoe UI"/>
                <w:kern w:val="0"/>
                <w:sz w:val="18"/>
                <w:szCs w:val="18"/>
              </w:rPr>
              <w:t>个</w:t>
            </w:r>
          </w:p>
        </w:tc>
        <w:tc>
          <w:tcPr>
            <w:tcW w:w="425" w:type="dxa"/>
            <w:gridSpan w:val="2"/>
            <w:vAlign w:val="center"/>
          </w:tcPr>
          <w:p w14:paraId="7F859097">
            <w:pPr>
              <w:widowControl/>
              <w:spacing w:line="240" w:lineRule="auto"/>
              <w:ind w:firstLine="0" w:firstLineChars="0"/>
              <w:jc w:val="center"/>
              <w:rPr>
                <w:rFonts w:ascii="Segoe UI" w:hAnsi="Segoe UI" w:cs="Segoe UI"/>
                <w:kern w:val="0"/>
                <w:sz w:val="18"/>
                <w:szCs w:val="18"/>
              </w:rPr>
            </w:pPr>
            <w:r>
              <w:rPr>
                <w:rFonts w:ascii="Segoe UI" w:hAnsi="Segoe UI" w:cs="Segoe UI"/>
                <w:kern w:val="0"/>
                <w:sz w:val="18"/>
                <w:szCs w:val="18"/>
              </w:rPr>
              <w:t>规模类型</w:t>
            </w:r>
          </w:p>
        </w:tc>
        <w:tc>
          <w:tcPr>
            <w:tcW w:w="851" w:type="dxa"/>
            <w:gridSpan w:val="2"/>
            <w:vAlign w:val="center"/>
          </w:tcPr>
          <w:p w14:paraId="4208EA77">
            <w:pPr>
              <w:widowControl/>
              <w:spacing w:line="240" w:lineRule="auto"/>
              <w:ind w:firstLine="0" w:firstLineChars="0"/>
              <w:jc w:val="center"/>
              <w:rPr>
                <w:rFonts w:ascii="Segoe UI" w:hAnsi="Segoe UI" w:cs="Segoe UI"/>
                <w:kern w:val="0"/>
                <w:sz w:val="18"/>
                <w:szCs w:val="18"/>
              </w:rPr>
            </w:pPr>
          </w:p>
        </w:tc>
        <w:tc>
          <w:tcPr>
            <w:tcW w:w="992" w:type="dxa"/>
            <w:vAlign w:val="center"/>
          </w:tcPr>
          <w:p w14:paraId="6B17A993">
            <w:pPr>
              <w:widowControl/>
              <w:spacing w:line="240" w:lineRule="auto"/>
              <w:ind w:firstLine="0" w:firstLineChars="0"/>
              <w:jc w:val="center"/>
              <w:rPr>
                <w:rFonts w:ascii="Segoe UI" w:hAnsi="Segoe UI" w:cs="Segoe UI"/>
                <w:kern w:val="0"/>
                <w:sz w:val="18"/>
                <w:szCs w:val="18"/>
              </w:rPr>
            </w:pPr>
          </w:p>
        </w:tc>
        <w:tc>
          <w:tcPr>
            <w:tcW w:w="992" w:type="dxa"/>
            <w:gridSpan w:val="2"/>
            <w:vAlign w:val="center"/>
          </w:tcPr>
          <w:p w14:paraId="05D15E26">
            <w:pPr>
              <w:widowControl/>
              <w:spacing w:line="240" w:lineRule="auto"/>
              <w:ind w:firstLine="0" w:firstLineChars="0"/>
              <w:jc w:val="center"/>
              <w:rPr>
                <w:rFonts w:ascii="Segoe UI" w:hAnsi="Segoe UI" w:cs="Segoe UI"/>
                <w:kern w:val="0"/>
                <w:sz w:val="18"/>
                <w:szCs w:val="18"/>
              </w:rPr>
            </w:pPr>
          </w:p>
        </w:tc>
        <w:tc>
          <w:tcPr>
            <w:tcW w:w="993" w:type="dxa"/>
            <w:vAlign w:val="center"/>
          </w:tcPr>
          <w:p w14:paraId="4C158117">
            <w:pPr>
              <w:widowControl/>
              <w:spacing w:line="240" w:lineRule="auto"/>
              <w:ind w:firstLine="0" w:firstLineChars="0"/>
              <w:jc w:val="center"/>
              <w:rPr>
                <w:rFonts w:ascii="Segoe UI" w:hAnsi="Segoe UI" w:cs="Segoe UI"/>
                <w:kern w:val="0"/>
                <w:sz w:val="18"/>
                <w:szCs w:val="18"/>
              </w:rPr>
            </w:pPr>
          </w:p>
        </w:tc>
      </w:tr>
      <w:tr w14:paraId="4FBBD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421" w:type="dxa"/>
            <w:vAlign w:val="center"/>
          </w:tcPr>
          <w:p w14:paraId="37E2CF47">
            <w:pPr>
              <w:widowControl/>
              <w:spacing w:line="240" w:lineRule="auto"/>
              <w:ind w:firstLine="0" w:firstLineChars="0"/>
              <w:jc w:val="center"/>
              <w:rPr>
                <w:rFonts w:ascii="Segoe UI" w:hAnsi="Segoe UI" w:cs="Segoe UI"/>
                <w:kern w:val="0"/>
                <w:sz w:val="18"/>
                <w:szCs w:val="18"/>
              </w:rPr>
            </w:pPr>
            <w:r>
              <w:rPr>
                <w:rFonts w:ascii="Segoe UI" w:hAnsi="Segoe UI" w:cs="Segoe UI"/>
                <w:kern w:val="0"/>
                <w:sz w:val="18"/>
                <w:szCs w:val="18"/>
              </w:rPr>
              <w:t>固定电话</w:t>
            </w:r>
          </w:p>
        </w:tc>
        <w:tc>
          <w:tcPr>
            <w:tcW w:w="992" w:type="dxa"/>
            <w:vAlign w:val="center"/>
          </w:tcPr>
          <w:p w14:paraId="13369882">
            <w:pPr>
              <w:widowControl/>
              <w:spacing w:line="240" w:lineRule="auto"/>
              <w:ind w:firstLine="0" w:firstLineChars="0"/>
              <w:jc w:val="center"/>
              <w:rPr>
                <w:rFonts w:ascii="Segoe UI" w:hAnsi="Segoe UI" w:cs="Segoe UI"/>
                <w:kern w:val="0"/>
                <w:sz w:val="18"/>
                <w:szCs w:val="18"/>
              </w:rPr>
            </w:pPr>
          </w:p>
        </w:tc>
        <w:tc>
          <w:tcPr>
            <w:tcW w:w="425" w:type="dxa"/>
            <w:vAlign w:val="center"/>
          </w:tcPr>
          <w:p w14:paraId="3085722B">
            <w:pPr>
              <w:widowControl/>
              <w:spacing w:line="240" w:lineRule="auto"/>
              <w:ind w:firstLine="0" w:firstLineChars="0"/>
              <w:jc w:val="center"/>
              <w:rPr>
                <w:rFonts w:ascii="Segoe UI" w:hAnsi="Segoe UI" w:cs="Segoe UI"/>
                <w:kern w:val="0"/>
                <w:sz w:val="18"/>
                <w:szCs w:val="18"/>
              </w:rPr>
            </w:pPr>
            <w:r>
              <w:rPr>
                <w:rFonts w:ascii="Segoe UI" w:hAnsi="Segoe UI" w:cs="Segoe UI"/>
                <w:kern w:val="0"/>
                <w:sz w:val="18"/>
                <w:szCs w:val="18"/>
              </w:rPr>
              <w:t>移动电话</w:t>
            </w:r>
          </w:p>
        </w:tc>
        <w:tc>
          <w:tcPr>
            <w:tcW w:w="1134" w:type="dxa"/>
            <w:vAlign w:val="center"/>
          </w:tcPr>
          <w:p w14:paraId="0A79A547">
            <w:pPr>
              <w:widowControl/>
              <w:spacing w:line="240" w:lineRule="auto"/>
              <w:ind w:firstLine="0" w:firstLineChars="0"/>
              <w:jc w:val="center"/>
              <w:rPr>
                <w:rFonts w:ascii="Segoe UI" w:hAnsi="Segoe UI" w:cs="Segoe UI"/>
                <w:kern w:val="0"/>
                <w:sz w:val="18"/>
                <w:szCs w:val="18"/>
              </w:rPr>
            </w:pPr>
          </w:p>
        </w:tc>
        <w:tc>
          <w:tcPr>
            <w:tcW w:w="425" w:type="dxa"/>
            <w:gridSpan w:val="2"/>
            <w:vAlign w:val="center"/>
          </w:tcPr>
          <w:p w14:paraId="77C65D78">
            <w:pPr>
              <w:widowControl/>
              <w:spacing w:line="240" w:lineRule="auto"/>
              <w:ind w:firstLine="0" w:firstLineChars="0"/>
              <w:jc w:val="center"/>
              <w:rPr>
                <w:rFonts w:ascii="Segoe UI" w:hAnsi="Segoe UI" w:cs="Segoe UI"/>
                <w:kern w:val="0"/>
                <w:sz w:val="18"/>
                <w:szCs w:val="18"/>
              </w:rPr>
            </w:pPr>
            <w:r>
              <w:rPr>
                <w:rFonts w:ascii="Segoe UI" w:hAnsi="Segoe UI" w:cs="Segoe UI"/>
                <w:kern w:val="0"/>
                <w:sz w:val="18"/>
                <w:szCs w:val="18"/>
              </w:rPr>
              <w:t>长途区号</w:t>
            </w:r>
          </w:p>
        </w:tc>
        <w:tc>
          <w:tcPr>
            <w:tcW w:w="709" w:type="dxa"/>
            <w:vAlign w:val="center"/>
          </w:tcPr>
          <w:p w14:paraId="0FFCCC24">
            <w:pPr>
              <w:widowControl/>
              <w:spacing w:line="240" w:lineRule="auto"/>
              <w:ind w:firstLine="0" w:firstLineChars="0"/>
              <w:jc w:val="center"/>
              <w:rPr>
                <w:rFonts w:ascii="Segoe UI" w:hAnsi="Segoe UI" w:cs="Segoe UI"/>
                <w:kern w:val="0"/>
                <w:sz w:val="18"/>
                <w:szCs w:val="18"/>
              </w:rPr>
            </w:pPr>
          </w:p>
        </w:tc>
        <w:tc>
          <w:tcPr>
            <w:tcW w:w="425" w:type="dxa"/>
            <w:gridSpan w:val="2"/>
            <w:vAlign w:val="center"/>
          </w:tcPr>
          <w:p w14:paraId="70304B2E">
            <w:pPr>
              <w:widowControl/>
              <w:spacing w:line="240" w:lineRule="auto"/>
              <w:ind w:firstLine="0" w:firstLineChars="0"/>
              <w:jc w:val="center"/>
              <w:rPr>
                <w:rFonts w:ascii="Segoe UI" w:hAnsi="Segoe UI" w:cs="Segoe UI"/>
                <w:kern w:val="0"/>
                <w:sz w:val="18"/>
                <w:szCs w:val="18"/>
              </w:rPr>
            </w:pPr>
            <w:r>
              <w:rPr>
                <w:rFonts w:ascii="Segoe UI" w:hAnsi="Segoe UI" w:cs="Segoe UI"/>
                <w:kern w:val="0"/>
                <w:sz w:val="18"/>
                <w:szCs w:val="18"/>
              </w:rPr>
              <w:t>邮政编码</w:t>
            </w:r>
          </w:p>
        </w:tc>
        <w:tc>
          <w:tcPr>
            <w:tcW w:w="851" w:type="dxa"/>
            <w:gridSpan w:val="2"/>
            <w:vAlign w:val="center"/>
          </w:tcPr>
          <w:p w14:paraId="07C11635">
            <w:pPr>
              <w:widowControl/>
              <w:spacing w:line="240" w:lineRule="auto"/>
              <w:ind w:firstLine="0" w:firstLineChars="0"/>
              <w:jc w:val="center"/>
              <w:rPr>
                <w:rFonts w:ascii="Segoe UI" w:hAnsi="Segoe UI" w:cs="Segoe UI"/>
                <w:kern w:val="0"/>
                <w:sz w:val="18"/>
                <w:szCs w:val="18"/>
              </w:rPr>
            </w:pPr>
          </w:p>
        </w:tc>
        <w:tc>
          <w:tcPr>
            <w:tcW w:w="992" w:type="dxa"/>
            <w:vAlign w:val="center"/>
          </w:tcPr>
          <w:p w14:paraId="157D9159">
            <w:pPr>
              <w:widowControl/>
              <w:spacing w:line="240" w:lineRule="auto"/>
              <w:ind w:firstLine="0" w:firstLineChars="0"/>
              <w:jc w:val="center"/>
              <w:rPr>
                <w:rFonts w:ascii="Segoe UI" w:hAnsi="Segoe UI" w:cs="Segoe UI"/>
                <w:kern w:val="0"/>
                <w:sz w:val="18"/>
                <w:szCs w:val="18"/>
              </w:rPr>
            </w:pPr>
            <w:r>
              <w:rPr>
                <w:rFonts w:hint="eastAsia" w:ascii="Segoe UI" w:hAnsi="Segoe UI" w:cs="Segoe UI"/>
                <w:kern w:val="0"/>
                <w:sz w:val="18"/>
                <w:szCs w:val="18"/>
              </w:rPr>
              <w:t>生猪饲料</w:t>
            </w:r>
          </w:p>
        </w:tc>
        <w:tc>
          <w:tcPr>
            <w:tcW w:w="992" w:type="dxa"/>
            <w:gridSpan w:val="2"/>
            <w:vAlign w:val="center"/>
          </w:tcPr>
          <w:p w14:paraId="0D3DCF9D">
            <w:pPr>
              <w:widowControl/>
              <w:spacing w:line="240" w:lineRule="auto"/>
              <w:ind w:firstLine="0" w:firstLineChars="0"/>
              <w:jc w:val="center"/>
              <w:rPr>
                <w:rFonts w:ascii="Segoe UI" w:hAnsi="Segoe UI" w:cs="Segoe UI"/>
                <w:kern w:val="0"/>
                <w:sz w:val="18"/>
                <w:szCs w:val="18"/>
              </w:rPr>
            </w:pPr>
            <w:r>
              <w:rPr>
                <w:rFonts w:hint="eastAsia" w:ascii="Segoe UI" w:hAnsi="Segoe UI" w:cs="Segoe UI"/>
                <w:kern w:val="0"/>
                <w:sz w:val="18"/>
                <w:szCs w:val="18"/>
              </w:rPr>
              <w:t>鱼类饲料</w:t>
            </w:r>
          </w:p>
        </w:tc>
        <w:tc>
          <w:tcPr>
            <w:tcW w:w="993" w:type="dxa"/>
            <w:vAlign w:val="center"/>
          </w:tcPr>
          <w:p w14:paraId="17526A11">
            <w:pPr>
              <w:widowControl/>
              <w:spacing w:line="240" w:lineRule="auto"/>
              <w:ind w:firstLine="0" w:firstLineChars="0"/>
              <w:jc w:val="center"/>
              <w:rPr>
                <w:rFonts w:ascii="Segoe UI" w:hAnsi="Segoe UI" w:cs="Segoe UI"/>
                <w:kern w:val="0"/>
                <w:sz w:val="18"/>
                <w:szCs w:val="18"/>
              </w:rPr>
            </w:pPr>
            <w:r>
              <w:rPr>
                <w:rFonts w:hint="eastAsia" w:ascii="Segoe UI" w:hAnsi="Segoe UI" w:cs="Segoe UI"/>
                <w:kern w:val="0"/>
                <w:sz w:val="18"/>
                <w:szCs w:val="18"/>
              </w:rPr>
              <w:t>其它</w:t>
            </w:r>
          </w:p>
        </w:tc>
      </w:tr>
      <w:tr w14:paraId="680C8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 w:type="dxa"/>
            <w:vAlign w:val="center"/>
          </w:tcPr>
          <w:p w14:paraId="737C38C2">
            <w:pPr>
              <w:widowControl/>
              <w:spacing w:line="240" w:lineRule="auto"/>
              <w:ind w:firstLine="0" w:firstLineChars="0"/>
              <w:jc w:val="center"/>
              <w:rPr>
                <w:bCs/>
                <w:kern w:val="0"/>
                <w:sz w:val="18"/>
                <w:szCs w:val="18"/>
              </w:rPr>
            </w:pPr>
            <w:r>
              <w:rPr>
                <w:rFonts w:ascii="Segoe UI" w:hAnsi="Segoe UI" w:cs="Segoe UI"/>
                <w:kern w:val="0"/>
                <w:sz w:val="18"/>
                <w:szCs w:val="18"/>
              </w:rPr>
              <w:t>通信地址</w:t>
            </w:r>
          </w:p>
        </w:tc>
        <w:tc>
          <w:tcPr>
            <w:tcW w:w="4961" w:type="dxa"/>
            <w:gridSpan w:val="10"/>
            <w:vAlign w:val="center"/>
          </w:tcPr>
          <w:p w14:paraId="7F9A4DD4">
            <w:pPr>
              <w:widowControl/>
              <w:spacing w:line="240" w:lineRule="auto"/>
              <w:ind w:firstLine="0" w:firstLineChars="0"/>
              <w:jc w:val="center"/>
              <w:rPr>
                <w:bCs/>
                <w:kern w:val="0"/>
                <w:sz w:val="18"/>
                <w:szCs w:val="18"/>
              </w:rPr>
            </w:pPr>
          </w:p>
        </w:tc>
        <w:tc>
          <w:tcPr>
            <w:tcW w:w="992" w:type="dxa"/>
            <w:vAlign w:val="center"/>
          </w:tcPr>
          <w:p w14:paraId="5DA8B8D2">
            <w:pPr>
              <w:widowControl/>
              <w:spacing w:line="240" w:lineRule="auto"/>
              <w:ind w:firstLine="0" w:firstLineChars="0"/>
              <w:jc w:val="center"/>
              <w:rPr>
                <w:bCs/>
                <w:kern w:val="0"/>
                <w:sz w:val="18"/>
                <w:szCs w:val="18"/>
              </w:rPr>
            </w:pPr>
          </w:p>
        </w:tc>
        <w:tc>
          <w:tcPr>
            <w:tcW w:w="992" w:type="dxa"/>
            <w:gridSpan w:val="2"/>
            <w:vAlign w:val="center"/>
          </w:tcPr>
          <w:p w14:paraId="2CC74567">
            <w:pPr>
              <w:widowControl/>
              <w:spacing w:line="240" w:lineRule="auto"/>
              <w:ind w:firstLine="0" w:firstLineChars="0"/>
              <w:jc w:val="center"/>
              <w:rPr>
                <w:bCs/>
                <w:kern w:val="0"/>
                <w:sz w:val="18"/>
                <w:szCs w:val="18"/>
              </w:rPr>
            </w:pPr>
          </w:p>
        </w:tc>
        <w:tc>
          <w:tcPr>
            <w:tcW w:w="993" w:type="dxa"/>
            <w:vAlign w:val="center"/>
          </w:tcPr>
          <w:p w14:paraId="73BE5695">
            <w:pPr>
              <w:widowControl/>
              <w:spacing w:line="240" w:lineRule="auto"/>
              <w:ind w:firstLine="0" w:firstLineChars="0"/>
              <w:jc w:val="center"/>
              <w:rPr>
                <w:bCs/>
                <w:kern w:val="0"/>
                <w:sz w:val="18"/>
                <w:szCs w:val="18"/>
              </w:rPr>
            </w:pPr>
          </w:p>
        </w:tc>
      </w:tr>
      <w:tr w14:paraId="2A361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9" w:type="dxa"/>
            <w:gridSpan w:val="15"/>
            <w:vAlign w:val="center"/>
          </w:tcPr>
          <w:p w14:paraId="44AFE020">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ascii="Segoe UI" w:hAnsi="Segoe UI" w:cs="Segoe UI"/>
                <w:kern w:val="0"/>
                <w:sz w:val="18"/>
                <w:szCs w:val="18"/>
              </w:rPr>
              <w:t>经营土地情况</w:t>
            </w:r>
          </w:p>
        </w:tc>
      </w:tr>
      <w:tr w14:paraId="7093C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114" w:type="dxa"/>
            <w:gridSpan w:val="5"/>
            <w:vAlign w:val="center"/>
          </w:tcPr>
          <w:p w14:paraId="77C9BD63">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ascii="Segoe UI" w:hAnsi="Segoe UI" w:cs="Segoe UI"/>
                <w:kern w:val="0"/>
                <w:sz w:val="18"/>
                <w:szCs w:val="18"/>
              </w:rPr>
              <w:t>土地来源</w:t>
            </w:r>
          </w:p>
        </w:tc>
        <w:tc>
          <w:tcPr>
            <w:tcW w:w="1134" w:type="dxa"/>
            <w:gridSpan w:val="3"/>
            <w:vAlign w:val="center"/>
          </w:tcPr>
          <w:p w14:paraId="11737DE6">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ascii="Segoe UI" w:hAnsi="Segoe UI" w:cs="Segoe UI"/>
                <w:kern w:val="0"/>
                <w:sz w:val="18"/>
                <w:szCs w:val="18"/>
              </w:rPr>
              <w:t>种植作物或养殖品种</w:t>
            </w:r>
          </w:p>
        </w:tc>
        <w:tc>
          <w:tcPr>
            <w:tcW w:w="992" w:type="dxa"/>
            <w:gridSpan w:val="2"/>
            <w:vAlign w:val="center"/>
          </w:tcPr>
          <w:p w14:paraId="16B188A5">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ascii="Segoe UI" w:hAnsi="Segoe UI" w:cs="Segoe UI"/>
                <w:kern w:val="0"/>
                <w:sz w:val="18"/>
                <w:szCs w:val="18"/>
              </w:rPr>
              <w:t>面积（亩）</w:t>
            </w:r>
          </w:p>
        </w:tc>
        <w:tc>
          <w:tcPr>
            <w:tcW w:w="1418" w:type="dxa"/>
            <w:gridSpan w:val="3"/>
            <w:vAlign w:val="center"/>
          </w:tcPr>
          <w:p w14:paraId="33D3DC3D">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ascii="Segoe UI" w:hAnsi="Segoe UI" w:cs="Segoe UI"/>
                <w:kern w:val="0"/>
                <w:sz w:val="18"/>
                <w:szCs w:val="18"/>
              </w:rPr>
              <w:t>承包年限（年）</w:t>
            </w:r>
          </w:p>
        </w:tc>
        <w:tc>
          <w:tcPr>
            <w:tcW w:w="1701" w:type="dxa"/>
            <w:gridSpan w:val="2"/>
            <w:vAlign w:val="center"/>
          </w:tcPr>
          <w:p w14:paraId="61B4CFC6">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ascii="Segoe UI" w:hAnsi="Segoe UI" w:cs="Segoe UI"/>
                <w:kern w:val="0"/>
                <w:sz w:val="18"/>
                <w:szCs w:val="18"/>
              </w:rPr>
              <w:t>年均承包费用（元）</w:t>
            </w:r>
          </w:p>
        </w:tc>
      </w:tr>
      <w:tr w14:paraId="0AC28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114" w:type="dxa"/>
            <w:gridSpan w:val="5"/>
            <w:vAlign w:val="center"/>
          </w:tcPr>
          <w:p w14:paraId="6F5D8124">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ascii="Segoe UI" w:hAnsi="Segoe UI" w:cs="Segoe UI"/>
                <w:kern w:val="0"/>
                <w:sz w:val="18"/>
                <w:szCs w:val="18"/>
              </w:rPr>
              <w:t>承包集体土地（自营地）</w:t>
            </w:r>
          </w:p>
        </w:tc>
        <w:tc>
          <w:tcPr>
            <w:tcW w:w="1134" w:type="dxa"/>
            <w:gridSpan w:val="3"/>
            <w:vAlign w:val="center"/>
          </w:tcPr>
          <w:p w14:paraId="713026B4">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992" w:type="dxa"/>
            <w:gridSpan w:val="2"/>
            <w:vAlign w:val="center"/>
          </w:tcPr>
          <w:p w14:paraId="5F49C57E">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1418" w:type="dxa"/>
            <w:gridSpan w:val="3"/>
            <w:vAlign w:val="center"/>
          </w:tcPr>
          <w:p w14:paraId="2C2A6797">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1701" w:type="dxa"/>
            <w:gridSpan w:val="2"/>
            <w:vAlign w:val="center"/>
          </w:tcPr>
          <w:p w14:paraId="71D4C626">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hint="eastAsia" w:ascii="Segoe UI" w:hAnsi="Segoe UI" w:cs="Segoe UI"/>
                <w:kern w:val="0"/>
                <w:sz w:val="18"/>
                <w:szCs w:val="18"/>
              </w:rPr>
              <w:t>自营地无承包费用</w:t>
            </w:r>
          </w:p>
        </w:tc>
      </w:tr>
      <w:tr w14:paraId="15ED9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114" w:type="dxa"/>
            <w:gridSpan w:val="5"/>
            <w:vAlign w:val="center"/>
          </w:tcPr>
          <w:p w14:paraId="63932BBC">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ascii="Segoe UI" w:hAnsi="Segoe UI" w:cs="Segoe UI"/>
                <w:kern w:val="0"/>
                <w:sz w:val="18"/>
                <w:szCs w:val="18"/>
              </w:rPr>
              <w:t>承包集体机动地（流转地）</w:t>
            </w:r>
          </w:p>
        </w:tc>
        <w:tc>
          <w:tcPr>
            <w:tcW w:w="1134" w:type="dxa"/>
            <w:gridSpan w:val="3"/>
            <w:vAlign w:val="center"/>
          </w:tcPr>
          <w:p w14:paraId="2001C296">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992" w:type="dxa"/>
            <w:gridSpan w:val="2"/>
            <w:vAlign w:val="center"/>
          </w:tcPr>
          <w:p w14:paraId="7E92AE8F">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1418" w:type="dxa"/>
            <w:gridSpan w:val="3"/>
            <w:vAlign w:val="center"/>
          </w:tcPr>
          <w:p w14:paraId="5C3F9B62">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1701" w:type="dxa"/>
            <w:gridSpan w:val="2"/>
            <w:vAlign w:val="center"/>
          </w:tcPr>
          <w:p w14:paraId="0F38ED20">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r>
      <w:tr w14:paraId="09502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114" w:type="dxa"/>
            <w:gridSpan w:val="5"/>
            <w:vAlign w:val="center"/>
          </w:tcPr>
          <w:p w14:paraId="567B146B">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ascii="Segoe UI" w:hAnsi="Segoe UI" w:cs="Segoe UI"/>
                <w:kern w:val="0"/>
                <w:sz w:val="18"/>
                <w:szCs w:val="18"/>
              </w:rPr>
              <w:t>承包他人土地（转入）（流转地）</w:t>
            </w:r>
          </w:p>
        </w:tc>
        <w:tc>
          <w:tcPr>
            <w:tcW w:w="1134" w:type="dxa"/>
            <w:gridSpan w:val="3"/>
            <w:vAlign w:val="center"/>
          </w:tcPr>
          <w:p w14:paraId="4ACB35C5">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2410" w:type="dxa"/>
            <w:gridSpan w:val="5"/>
            <w:vAlign w:val="center"/>
          </w:tcPr>
          <w:p w14:paraId="70DAABCB">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1701" w:type="dxa"/>
            <w:gridSpan w:val="2"/>
            <w:vAlign w:val="center"/>
          </w:tcPr>
          <w:p w14:paraId="0FFD73CD">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r>
      <w:tr w14:paraId="285B5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114" w:type="dxa"/>
            <w:gridSpan w:val="5"/>
            <w:vAlign w:val="center"/>
          </w:tcPr>
          <w:p w14:paraId="62D0FC31">
            <w:pPr>
              <w:widowControl/>
              <w:shd w:val="clear" w:color="auto" w:fill="FFFFFF"/>
              <w:spacing w:line="390" w:lineRule="atLeast"/>
              <w:ind w:firstLine="0" w:firstLineChars="0"/>
              <w:jc w:val="center"/>
              <w:textAlignment w:val="baseline"/>
              <w:rPr>
                <w:rFonts w:ascii="Segoe UI" w:hAnsi="Segoe UI" w:cs="Segoe UI"/>
                <w:kern w:val="0"/>
                <w:sz w:val="18"/>
                <w:szCs w:val="18"/>
              </w:rPr>
            </w:pPr>
            <w:r>
              <w:rPr>
                <w:rFonts w:ascii="Segoe UI" w:hAnsi="Segoe UI" w:cs="Segoe UI"/>
                <w:kern w:val="0"/>
                <w:sz w:val="18"/>
                <w:szCs w:val="18"/>
              </w:rPr>
              <w:t>承包给他人土地（转出）</w:t>
            </w:r>
          </w:p>
        </w:tc>
        <w:tc>
          <w:tcPr>
            <w:tcW w:w="1134" w:type="dxa"/>
            <w:gridSpan w:val="3"/>
            <w:vAlign w:val="center"/>
          </w:tcPr>
          <w:p w14:paraId="0667CF7A">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992" w:type="dxa"/>
            <w:gridSpan w:val="2"/>
            <w:vAlign w:val="center"/>
          </w:tcPr>
          <w:p w14:paraId="578F2F78">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1418" w:type="dxa"/>
            <w:gridSpan w:val="3"/>
            <w:vAlign w:val="center"/>
          </w:tcPr>
          <w:p w14:paraId="2B1CF89E">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c>
          <w:tcPr>
            <w:tcW w:w="1701" w:type="dxa"/>
            <w:gridSpan w:val="2"/>
            <w:vAlign w:val="center"/>
          </w:tcPr>
          <w:p w14:paraId="117AA011">
            <w:pPr>
              <w:widowControl/>
              <w:shd w:val="clear" w:color="auto" w:fill="FFFFFF"/>
              <w:spacing w:line="390" w:lineRule="atLeast"/>
              <w:ind w:firstLine="0" w:firstLineChars="0"/>
              <w:jc w:val="center"/>
              <w:textAlignment w:val="baseline"/>
              <w:rPr>
                <w:rFonts w:ascii="Segoe UI" w:hAnsi="Segoe UI" w:cs="Segoe UI"/>
                <w:kern w:val="0"/>
                <w:sz w:val="18"/>
                <w:szCs w:val="18"/>
              </w:rPr>
            </w:pPr>
          </w:p>
        </w:tc>
      </w:tr>
    </w:tbl>
    <w:p w14:paraId="53352991">
      <w:pPr>
        <w:widowControl/>
        <w:shd w:val="clear" w:color="auto" w:fill="FFFFFF"/>
        <w:spacing w:line="390" w:lineRule="atLeast"/>
        <w:ind w:firstLine="0" w:firstLineChars="0"/>
        <w:jc w:val="left"/>
        <w:textAlignment w:val="baseline"/>
        <w:rPr>
          <w:rFonts w:ascii="Segoe UI" w:hAnsi="Segoe UI" w:cs="Segoe UI"/>
          <w:kern w:val="0"/>
          <w:szCs w:val="24"/>
        </w:rPr>
      </w:pPr>
      <w:r>
        <w:rPr>
          <w:rFonts w:ascii="Segoe UI" w:hAnsi="Segoe UI" w:cs="Segoe UI"/>
          <w:kern w:val="0"/>
          <w:szCs w:val="24"/>
        </w:rPr>
        <w:t>注：</w:t>
      </w:r>
    </w:p>
    <w:p w14:paraId="39887206">
      <w:pPr>
        <w:pStyle w:val="30"/>
        <w:widowControl/>
        <w:numPr>
          <w:ilvl w:val="0"/>
          <w:numId w:val="9"/>
        </w:numPr>
        <w:shd w:val="clear" w:color="auto" w:fill="FFFFFF"/>
        <w:spacing w:line="390" w:lineRule="atLeast"/>
        <w:ind w:firstLineChars="0"/>
        <w:jc w:val="left"/>
        <w:textAlignment w:val="baseline"/>
        <w:rPr>
          <w:rFonts w:hint="eastAsia" w:ascii="inherit" w:hAnsi="inherit" w:cs="Segoe UI"/>
          <w:kern w:val="0"/>
          <w:szCs w:val="24"/>
        </w:rPr>
      </w:pPr>
      <w:r>
        <w:rPr>
          <w:rFonts w:ascii="inherit" w:hAnsi="inherit" w:cs="Segoe UI"/>
          <w:kern w:val="0"/>
          <w:szCs w:val="24"/>
        </w:rPr>
        <w:t>农调户代码由调查县统一编报；“规模类型”指一般户或规模户。</w:t>
      </w:r>
    </w:p>
    <w:p w14:paraId="428B1B8F">
      <w:pPr>
        <w:pStyle w:val="30"/>
        <w:widowControl/>
        <w:numPr>
          <w:ilvl w:val="0"/>
          <w:numId w:val="9"/>
        </w:numPr>
        <w:shd w:val="clear" w:color="auto" w:fill="FFFFFF"/>
        <w:spacing w:line="390" w:lineRule="atLeast"/>
        <w:ind w:firstLineChars="0"/>
        <w:jc w:val="left"/>
        <w:textAlignment w:val="baseline"/>
        <w:rPr>
          <w:rFonts w:hint="eastAsia" w:ascii="inherit" w:hAnsi="inherit" w:cs="Segoe UI"/>
          <w:kern w:val="0"/>
          <w:szCs w:val="24"/>
        </w:rPr>
      </w:pPr>
      <w:r>
        <w:rPr>
          <w:rFonts w:ascii="inherit" w:hAnsi="inherit" w:cs="Segoe UI"/>
          <w:kern w:val="0"/>
          <w:szCs w:val="24"/>
        </w:rPr>
        <w:t>自营是指农户承包的不需支付承包费的集体土地。</w:t>
      </w:r>
    </w:p>
    <w:p w14:paraId="6DAD0C72">
      <w:pPr>
        <w:pStyle w:val="30"/>
        <w:widowControl/>
        <w:numPr>
          <w:ilvl w:val="0"/>
          <w:numId w:val="9"/>
        </w:numPr>
        <w:shd w:val="clear" w:color="auto" w:fill="FFFFFF"/>
        <w:spacing w:line="390" w:lineRule="atLeast"/>
        <w:ind w:firstLineChars="0"/>
        <w:jc w:val="left"/>
        <w:textAlignment w:val="baseline"/>
        <w:rPr>
          <w:rFonts w:hint="eastAsia" w:ascii="inherit" w:hAnsi="inherit" w:cs="Segoe UI"/>
          <w:kern w:val="0"/>
          <w:szCs w:val="24"/>
        </w:rPr>
      </w:pPr>
      <w:r>
        <w:rPr>
          <w:rFonts w:ascii="inherit" w:hAnsi="inherit" w:cs="Segoe UI"/>
          <w:kern w:val="0"/>
          <w:szCs w:val="24"/>
        </w:rPr>
        <w:t>流转地是指农户承包的需支付承包费的他人土地或集体机动地。</w:t>
      </w:r>
    </w:p>
    <w:p w14:paraId="22C366E7">
      <w:pPr>
        <w:widowControl/>
        <w:spacing w:line="240" w:lineRule="auto"/>
        <w:ind w:firstLine="0" w:firstLineChars="0"/>
        <w:jc w:val="left"/>
        <w:rPr>
          <w:b/>
          <w:bCs/>
          <w:sz w:val="44"/>
          <w:szCs w:val="44"/>
        </w:rPr>
      </w:pPr>
    </w:p>
    <w:p w14:paraId="3D4F7E90">
      <w:pPr>
        <w:pStyle w:val="30"/>
        <w:widowControl/>
        <w:numPr>
          <w:ilvl w:val="0"/>
          <w:numId w:val="9"/>
        </w:numPr>
        <w:shd w:val="clear" w:color="auto" w:fill="FFFFFF"/>
        <w:spacing w:line="390" w:lineRule="atLeast"/>
        <w:ind w:firstLineChars="0"/>
        <w:jc w:val="left"/>
        <w:textAlignment w:val="baseline"/>
        <w:rPr>
          <w:rFonts w:ascii="Segoe UI" w:hAnsi="Segoe UI" w:cs="Segoe UI"/>
          <w:kern w:val="0"/>
          <w:szCs w:val="24"/>
        </w:rPr>
        <w:sectPr>
          <w:headerReference r:id="rId11" w:type="default"/>
          <w:footerReference r:id="rId12" w:type="default"/>
          <w:pgSz w:w="11906" w:h="16838"/>
          <w:pgMar w:top="1440" w:right="1800" w:bottom="1440" w:left="1800" w:header="851" w:footer="992" w:gutter="0"/>
          <w:cols w:space="425" w:num="1"/>
          <w:docGrid w:type="lines" w:linePitch="326" w:charSpace="0"/>
        </w:sectPr>
      </w:pPr>
    </w:p>
    <w:p w14:paraId="2DB74191">
      <w:pPr>
        <w:widowControl/>
        <w:spacing w:line="240" w:lineRule="auto"/>
        <w:ind w:firstLine="0" w:firstLineChars="0"/>
        <w:jc w:val="center"/>
        <w:outlineLvl w:val="1"/>
      </w:pPr>
      <w:bookmarkStart w:id="117" w:name="_Toc212057061"/>
      <w:r>
        <w:rPr>
          <w:rFonts w:hint="eastAsia"/>
        </w:rPr>
        <w:t>表B.</w:t>
      </w:r>
      <w:r>
        <w:t>2</w:t>
      </w:r>
      <w:r>
        <w:rPr>
          <w:rFonts w:hint="eastAsia"/>
        </w:rPr>
        <w:t xml:space="preserve"> </w:t>
      </w:r>
      <w:r>
        <w:t>土地损毁与土壤污染调查记录表</w:t>
      </w:r>
      <w:bookmarkEnd w:id="117"/>
    </w:p>
    <w:tbl>
      <w:tblPr>
        <w:tblStyle w:val="18"/>
        <w:tblW w:w="138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418"/>
        <w:gridCol w:w="6804"/>
        <w:gridCol w:w="1275"/>
        <w:gridCol w:w="1418"/>
        <w:gridCol w:w="1134"/>
      </w:tblGrid>
      <w:tr w14:paraId="38E1E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gridSpan w:val="2"/>
            <w:vAlign w:val="center"/>
          </w:tcPr>
          <w:p w14:paraId="6A5B16B0">
            <w:pPr>
              <w:ind w:firstLine="0" w:firstLineChars="0"/>
              <w:jc w:val="center"/>
              <w:rPr>
                <w:kern w:val="0"/>
                <w:sz w:val="18"/>
                <w:szCs w:val="18"/>
              </w:rPr>
            </w:pPr>
            <w:r>
              <w:rPr>
                <w:rFonts w:hint="eastAsia"/>
                <w:kern w:val="0"/>
                <w:sz w:val="18"/>
                <w:szCs w:val="18"/>
              </w:rPr>
              <w:t>地块名称</w:t>
            </w:r>
          </w:p>
        </w:tc>
        <w:tc>
          <w:tcPr>
            <w:tcW w:w="8222" w:type="dxa"/>
            <w:gridSpan w:val="2"/>
            <w:vAlign w:val="center"/>
          </w:tcPr>
          <w:p w14:paraId="438254EC">
            <w:pPr>
              <w:ind w:firstLine="0" w:firstLineChars="0"/>
              <w:jc w:val="center"/>
              <w:rPr>
                <w:kern w:val="0"/>
                <w:sz w:val="18"/>
                <w:szCs w:val="18"/>
              </w:rPr>
            </w:pPr>
          </w:p>
        </w:tc>
        <w:tc>
          <w:tcPr>
            <w:tcW w:w="1275" w:type="dxa"/>
          </w:tcPr>
          <w:p w14:paraId="7A00CCA7">
            <w:pPr>
              <w:ind w:firstLine="0" w:firstLineChars="0"/>
              <w:jc w:val="center"/>
              <w:rPr>
                <w:kern w:val="0"/>
                <w:sz w:val="18"/>
                <w:szCs w:val="18"/>
              </w:rPr>
            </w:pPr>
          </w:p>
        </w:tc>
        <w:tc>
          <w:tcPr>
            <w:tcW w:w="1418" w:type="dxa"/>
            <w:vAlign w:val="center"/>
          </w:tcPr>
          <w:p w14:paraId="0BB82A97">
            <w:pPr>
              <w:ind w:firstLine="0" w:firstLineChars="0"/>
              <w:jc w:val="center"/>
              <w:rPr>
                <w:kern w:val="0"/>
                <w:sz w:val="18"/>
                <w:szCs w:val="18"/>
              </w:rPr>
            </w:pPr>
            <w:r>
              <w:rPr>
                <w:rFonts w:hint="eastAsia"/>
                <w:kern w:val="0"/>
                <w:sz w:val="18"/>
                <w:szCs w:val="18"/>
              </w:rPr>
              <w:t>采样单位名称</w:t>
            </w:r>
          </w:p>
        </w:tc>
        <w:tc>
          <w:tcPr>
            <w:tcW w:w="1134" w:type="dxa"/>
            <w:vAlign w:val="center"/>
          </w:tcPr>
          <w:p w14:paraId="3346A984">
            <w:pPr>
              <w:ind w:firstLine="0" w:firstLineChars="0"/>
              <w:jc w:val="center"/>
              <w:rPr>
                <w:kern w:val="0"/>
                <w:sz w:val="18"/>
                <w:szCs w:val="18"/>
              </w:rPr>
            </w:pPr>
          </w:p>
        </w:tc>
      </w:tr>
      <w:tr w14:paraId="2E516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gridSpan w:val="2"/>
            <w:vAlign w:val="center"/>
          </w:tcPr>
          <w:p w14:paraId="4E123A9F">
            <w:pPr>
              <w:ind w:firstLine="0" w:firstLineChars="0"/>
              <w:jc w:val="center"/>
              <w:rPr>
                <w:kern w:val="0"/>
                <w:sz w:val="18"/>
                <w:szCs w:val="18"/>
              </w:rPr>
            </w:pPr>
            <w:r>
              <w:rPr>
                <w:rFonts w:hint="eastAsia"/>
                <w:kern w:val="0"/>
                <w:sz w:val="18"/>
                <w:szCs w:val="18"/>
              </w:rPr>
              <w:t>调查环节</w:t>
            </w:r>
          </w:p>
        </w:tc>
        <w:tc>
          <w:tcPr>
            <w:tcW w:w="8222" w:type="dxa"/>
            <w:gridSpan w:val="2"/>
            <w:vAlign w:val="center"/>
          </w:tcPr>
          <w:p w14:paraId="2C5FC72C">
            <w:pPr>
              <w:ind w:firstLine="0" w:firstLineChars="0"/>
              <w:jc w:val="center"/>
              <w:rPr>
                <w:kern w:val="0"/>
                <w:sz w:val="18"/>
                <w:szCs w:val="18"/>
              </w:rPr>
            </w:pPr>
            <w:r>
              <w:rPr>
                <w:kern w:val="0"/>
                <w:sz w:val="18"/>
                <w:szCs w:val="18"/>
              </w:rPr>
              <w:t></w:t>
            </w:r>
            <w:r>
              <w:rPr>
                <w:rFonts w:hint="eastAsia"/>
                <w:kern w:val="0"/>
                <w:sz w:val="18"/>
                <w:szCs w:val="18"/>
              </w:rPr>
              <w:t>初步采样分析</w:t>
            </w:r>
            <w:r>
              <w:rPr>
                <w:kern w:val="0"/>
                <w:sz w:val="18"/>
                <w:szCs w:val="18"/>
              </w:rPr>
              <w:t></w:t>
            </w:r>
            <w:r>
              <w:rPr>
                <w:rFonts w:hint="eastAsia"/>
                <w:kern w:val="0"/>
                <w:sz w:val="18"/>
                <w:szCs w:val="18"/>
              </w:rPr>
              <w:t>详细采样分析</w:t>
            </w:r>
            <w:r>
              <w:rPr>
                <w:kern w:val="0"/>
                <w:sz w:val="18"/>
                <w:szCs w:val="18"/>
              </w:rPr>
              <w:t></w:t>
            </w:r>
            <w:r>
              <w:rPr>
                <w:rFonts w:hint="eastAsia"/>
                <w:kern w:val="0"/>
                <w:sz w:val="18"/>
                <w:szCs w:val="18"/>
              </w:rPr>
              <w:t>第三阶段土壤污染状况调查</w:t>
            </w:r>
          </w:p>
        </w:tc>
        <w:tc>
          <w:tcPr>
            <w:tcW w:w="1275" w:type="dxa"/>
          </w:tcPr>
          <w:p w14:paraId="71689B8D">
            <w:pPr>
              <w:ind w:firstLine="0" w:firstLineChars="0"/>
              <w:jc w:val="center"/>
              <w:rPr>
                <w:kern w:val="0"/>
                <w:sz w:val="18"/>
                <w:szCs w:val="18"/>
              </w:rPr>
            </w:pPr>
          </w:p>
        </w:tc>
        <w:tc>
          <w:tcPr>
            <w:tcW w:w="1418" w:type="dxa"/>
            <w:vAlign w:val="center"/>
          </w:tcPr>
          <w:p w14:paraId="552475BE">
            <w:pPr>
              <w:ind w:firstLine="0" w:firstLineChars="0"/>
              <w:jc w:val="center"/>
              <w:rPr>
                <w:kern w:val="0"/>
                <w:sz w:val="18"/>
                <w:szCs w:val="18"/>
              </w:rPr>
            </w:pPr>
            <w:r>
              <w:rPr>
                <w:rFonts w:hint="eastAsia"/>
                <w:kern w:val="0"/>
                <w:sz w:val="18"/>
                <w:szCs w:val="18"/>
              </w:rPr>
              <w:t>检查日期</w:t>
            </w:r>
          </w:p>
        </w:tc>
        <w:tc>
          <w:tcPr>
            <w:tcW w:w="1134" w:type="dxa"/>
            <w:vAlign w:val="center"/>
          </w:tcPr>
          <w:p w14:paraId="72C5EE3C">
            <w:pPr>
              <w:ind w:firstLine="0" w:firstLineChars="0"/>
              <w:jc w:val="center"/>
              <w:rPr>
                <w:kern w:val="0"/>
                <w:sz w:val="18"/>
                <w:szCs w:val="18"/>
              </w:rPr>
            </w:pPr>
          </w:p>
        </w:tc>
      </w:tr>
      <w:tr w14:paraId="48198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0446A810">
            <w:pPr>
              <w:ind w:firstLine="0" w:firstLineChars="0"/>
              <w:jc w:val="center"/>
              <w:rPr>
                <w:kern w:val="0"/>
                <w:sz w:val="18"/>
                <w:szCs w:val="18"/>
              </w:rPr>
            </w:pPr>
            <w:r>
              <w:rPr>
                <w:rFonts w:hint="eastAsia"/>
                <w:kern w:val="0"/>
                <w:sz w:val="18"/>
                <w:szCs w:val="18"/>
              </w:rPr>
              <w:t>序号</w:t>
            </w:r>
          </w:p>
        </w:tc>
        <w:tc>
          <w:tcPr>
            <w:tcW w:w="1134" w:type="dxa"/>
            <w:vAlign w:val="center"/>
          </w:tcPr>
          <w:p w14:paraId="25AA0E09">
            <w:pPr>
              <w:ind w:firstLine="0" w:firstLineChars="0"/>
              <w:jc w:val="center"/>
              <w:rPr>
                <w:kern w:val="0"/>
                <w:sz w:val="18"/>
                <w:szCs w:val="18"/>
              </w:rPr>
            </w:pPr>
            <w:r>
              <w:rPr>
                <w:rFonts w:hint="eastAsia"/>
                <w:kern w:val="0"/>
                <w:sz w:val="18"/>
                <w:szCs w:val="18"/>
              </w:rPr>
              <w:t>检查环节</w:t>
            </w:r>
          </w:p>
        </w:tc>
        <w:tc>
          <w:tcPr>
            <w:tcW w:w="1418" w:type="dxa"/>
            <w:vAlign w:val="center"/>
          </w:tcPr>
          <w:p w14:paraId="07E926CC">
            <w:pPr>
              <w:ind w:firstLine="0" w:firstLineChars="0"/>
              <w:jc w:val="center"/>
              <w:rPr>
                <w:kern w:val="0"/>
                <w:sz w:val="18"/>
                <w:szCs w:val="18"/>
              </w:rPr>
            </w:pPr>
            <w:r>
              <w:rPr>
                <w:rFonts w:hint="eastAsia"/>
                <w:kern w:val="0"/>
                <w:sz w:val="18"/>
                <w:szCs w:val="18"/>
              </w:rPr>
              <w:t>检查项目</w:t>
            </w:r>
          </w:p>
        </w:tc>
        <w:tc>
          <w:tcPr>
            <w:tcW w:w="6804" w:type="dxa"/>
            <w:vAlign w:val="center"/>
          </w:tcPr>
          <w:p w14:paraId="16820414">
            <w:pPr>
              <w:ind w:firstLine="0" w:firstLineChars="0"/>
              <w:jc w:val="center"/>
              <w:rPr>
                <w:kern w:val="0"/>
                <w:sz w:val="18"/>
                <w:szCs w:val="18"/>
              </w:rPr>
            </w:pPr>
            <w:r>
              <w:rPr>
                <w:rFonts w:hint="eastAsia"/>
                <w:kern w:val="0"/>
                <w:sz w:val="18"/>
                <w:szCs w:val="18"/>
              </w:rPr>
              <w:t>检查要点</w:t>
            </w:r>
          </w:p>
        </w:tc>
        <w:tc>
          <w:tcPr>
            <w:tcW w:w="1275" w:type="dxa"/>
          </w:tcPr>
          <w:p w14:paraId="14E32DF0">
            <w:pPr>
              <w:ind w:firstLine="0" w:firstLineChars="0"/>
              <w:jc w:val="center"/>
              <w:rPr>
                <w:kern w:val="0"/>
                <w:sz w:val="18"/>
                <w:szCs w:val="18"/>
              </w:rPr>
            </w:pPr>
          </w:p>
        </w:tc>
        <w:tc>
          <w:tcPr>
            <w:tcW w:w="1418" w:type="dxa"/>
            <w:vAlign w:val="center"/>
          </w:tcPr>
          <w:p w14:paraId="6A660C47">
            <w:pPr>
              <w:ind w:firstLine="0" w:firstLineChars="0"/>
              <w:jc w:val="center"/>
              <w:rPr>
                <w:kern w:val="0"/>
                <w:sz w:val="18"/>
                <w:szCs w:val="18"/>
              </w:rPr>
            </w:pPr>
            <w:r>
              <w:rPr>
                <w:rFonts w:hint="eastAsia"/>
                <w:kern w:val="0"/>
                <w:sz w:val="18"/>
                <w:szCs w:val="18"/>
              </w:rPr>
              <w:t>检查结果</w:t>
            </w:r>
          </w:p>
        </w:tc>
        <w:tc>
          <w:tcPr>
            <w:tcW w:w="1134" w:type="dxa"/>
            <w:vAlign w:val="center"/>
          </w:tcPr>
          <w:p w14:paraId="67F1F38E">
            <w:pPr>
              <w:ind w:firstLine="0" w:firstLineChars="0"/>
              <w:jc w:val="center"/>
              <w:rPr>
                <w:kern w:val="0"/>
                <w:sz w:val="18"/>
                <w:szCs w:val="18"/>
              </w:rPr>
            </w:pPr>
            <w:r>
              <w:rPr>
                <w:rFonts w:hint="eastAsia"/>
                <w:kern w:val="0"/>
                <w:sz w:val="18"/>
                <w:szCs w:val="18"/>
              </w:rPr>
              <w:t>检查意见</w:t>
            </w:r>
          </w:p>
        </w:tc>
      </w:tr>
      <w:tr w14:paraId="24F62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156E253E">
            <w:pPr>
              <w:ind w:firstLine="0" w:firstLineChars="0"/>
              <w:jc w:val="center"/>
              <w:rPr>
                <w:kern w:val="0"/>
                <w:sz w:val="18"/>
                <w:szCs w:val="18"/>
              </w:rPr>
            </w:pPr>
            <w:r>
              <w:rPr>
                <w:rFonts w:hint="eastAsia"/>
                <w:kern w:val="0"/>
                <w:sz w:val="18"/>
                <w:szCs w:val="18"/>
              </w:rPr>
              <w:t>1</w:t>
            </w:r>
          </w:p>
        </w:tc>
        <w:tc>
          <w:tcPr>
            <w:tcW w:w="1134" w:type="dxa"/>
            <w:vAlign w:val="center"/>
          </w:tcPr>
          <w:p w14:paraId="3D9771EC">
            <w:pPr>
              <w:ind w:firstLine="0" w:firstLineChars="0"/>
              <w:jc w:val="center"/>
              <w:rPr>
                <w:kern w:val="0"/>
                <w:sz w:val="18"/>
                <w:szCs w:val="18"/>
              </w:rPr>
            </w:pPr>
            <w:r>
              <w:rPr>
                <w:rFonts w:hint="eastAsia"/>
                <w:kern w:val="0"/>
                <w:sz w:val="18"/>
                <w:szCs w:val="18"/>
              </w:rPr>
              <w:t>布点位置</w:t>
            </w:r>
          </w:p>
        </w:tc>
        <w:tc>
          <w:tcPr>
            <w:tcW w:w="1418" w:type="dxa"/>
            <w:vAlign w:val="center"/>
          </w:tcPr>
          <w:p w14:paraId="75FA3FA0">
            <w:pPr>
              <w:ind w:firstLine="0" w:firstLineChars="0"/>
              <w:jc w:val="center"/>
              <w:rPr>
                <w:kern w:val="0"/>
                <w:sz w:val="18"/>
                <w:szCs w:val="18"/>
              </w:rPr>
            </w:pPr>
            <w:r>
              <w:rPr>
                <w:rFonts w:hint="eastAsia"/>
                <w:kern w:val="0"/>
                <w:sz w:val="18"/>
                <w:szCs w:val="18"/>
              </w:rPr>
              <w:t>采样方案</w:t>
            </w:r>
          </w:p>
        </w:tc>
        <w:tc>
          <w:tcPr>
            <w:tcW w:w="6804" w:type="dxa"/>
          </w:tcPr>
          <w:p w14:paraId="1C67D59D">
            <w:pPr>
              <w:ind w:firstLine="0" w:firstLineChars="0"/>
              <w:rPr>
                <w:kern w:val="0"/>
                <w:sz w:val="18"/>
                <w:szCs w:val="18"/>
              </w:rPr>
            </w:pPr>
            <w:r>
              <w:rPr>
                <w:rFonts w:hint="eastAsia"/>
                <w:kern w:val="0"/>
                <w:sz w:val="18"/>
                <w:szCs w:val="18"/>
              </w:rPr>
              <w:t>对照采样方案，检查布点位置及确定理由是否与现场情况一致，涉及现场调整点位的，需检查点位调整是否合理。</w:t>
            </w:r>
          </w:p>
        </w:tc>
        <w:tc>
          <w:tcPr>
            <w:tcW w:w="1275" w:type="dxa"/>
          </w:tcPr>
          <w:p w14:paraId="567A9E82">
            <w:pPr>
              <w:ind w:firstLine="0" w:firstLineChars="0"/>
              <w:jc w:val="center"/>
              <w:rPr>
                <w:kern w:val="0"/>
                <w:sz w:val="18"/>
                <w:szCs w:val="18"/>
              </w:rPr>
            </w:pPr>
          </w:p>
        </w:tc>
        <w:tc>
          <w:tcPr>
            <w:tcW w:w="1418" w:type="dxa"/>
            <w:vAlign w:val="center"/>
          </w:tcPr>
          <w:p w14:paraId="391FBD17">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11A5E95C">
            <w:pPr>
              <w:ind w:firstLine="0" w:firstLineChars="0"/>
              <w:rPr>
                <w:kern w:val="0"/>
                <w:sz w:val="18"/>
                <w:szCs w:val="18"/>
              </w:rPr>
            </w:pPr>
          </w:p>
        </w:tc>
      </w:tr>
      <w:tr w14:paraId="3AEDE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1200A069">
            <w:pPr>
              <w:ind w:firstLine="0" w:firstLineChars="0"/>
              <w:jc w:val="center"/>
              <w:rPr>
                <w:kern w:val="0"/>
                <w:sz w:val="18"/>
                <w:szCs w:val="18"/>
              </w:rPr>
            </w:pPr>
            <w:r>
              <w:rPr>
                <w:rFonts w:hint="eastAsia"/>
                <w:kern w:val="0"/>
                <w:sz w:val="18"/>
                <w:szCs w:val="18"/>
              </w:rPr>
              <w:t>2</w:t>
            </w:r>
          </w:p>
        </w:tc>
        <w:tc>
          <w:tcPr>
            <w:tcW w:w="1134" w:type="dxa"/>
            <w:vMerge w:val="restart"/>
            <w:vAlign w:val="center"/>
          </w:tcPr>
          <w:p w14:paraId="3D16958A">
            <w:pPr>
              <w:ind w:firstLine="0" w:firstLineChars="0"/>
              <w:jc w:val="center"/>
              <w:rPr>
                <w:kern w:val="0"/>
                <w:sz w:val="18"/>
                <w:szCs w:val="18"/>
              </w:rPr>
            </w:pPr>
            <w:r>
              <w:rPr>
                <w:rFonts w:hint="eastAsia"/>
                <w:kern w:val="0"/>
                <w:sz w:val="18"/>
                <w:szCs w:val="18"/>
              </w:rPr>
              <w:t>土孔钻探</w:t>
            </w:r>
          </w:p>
        </w:tc>
        <w:tc>
          <w:tcPr>
            <w:tcW w:w="1418" w:type="dxa"/>
            <w:vAlign w:val="center"/>
          </w:tcPr>
          <w:p w14:paraId="2673AE38">
            <w:pPr>
              <w:ind w:firstLine="0" w:firstLineChars="0"/>
              <w:jc w:val="center"/>
              <w:rPr>
                <w:kern w:val="0"/>
                <w:sz w:val="18"/>
                <w:szCs w:val="18"/>
              </w:rPr>
            </w:pPr>
            <w:r>
              <w:rPr>
                <w:rFonts w:hint="eastAsia"/>
                <w:kern w:val="0"/>
                <w:sz w:val="18"/>
                <w:szCs w:val="18"/>
              </w:rPr>
              <w:t>土孔钻探</w:t>
            </w:r>
          </w:p>
        </w:tc>
        <w:tc>
          <w:tcPr>
            <w:tcW w:w="6804" w:type="dxa"/>
          </w:tcPr>
          <w:p w14:paraId="3EEF6114">
            <w:pPr>
              <w:ind w:firstLine="0" w:firstLineChars="0"/>
              <w:rPr>
                <w:kern w:val="0"/>
                <w:sz w:val="18"/>
                <w:szCs w:val="18"/>
              </w:rPr>
            </w:pPr>
            <w:r>
              <w:rPr>
                <w:rFonts w:hint="eastAsia"/>
                <w:kern w:val="0"/>
                <w:sz w:val="18"/>
                <w:szCs w:val="18"/>
              </w:rPr>
              <w:t>土孔钻探设备、深度、岩心是否符合要求。</w:t>
            </w:r>
          </w:p>
          <w:p w14:paraId="006C01BA">
            <w:pPr>
              <w:ind w:firstLine="0" w:firstLineChars="0"/>
              <w:rPr>
                <w:kern w:val="0"/>
                <w:sz w:val="18"/>
                <w:szCs w:val="18"/>
              </w:rPr>
            </w:pPr>
            <w:r>
              <w:rPr>
                <w:rFonts w:hint="eastAsia"/>
                <w:kern w:val="0"/>
                <w:sz w:val="18"/>
                <w:szCs w:val="18"/>
              </w:rPr>
              <w:t>①应当采用冲击钻探法或直压式钻探法等钻孔方式；</w:t>
            </w:r>
          </w:p>
          <w:p w14:paraId="4A8AFEA8">
            <w:pPr>
              <w:ind w:firstLine="0" w:firstLineChars="0"/>
              <w:rPr>
                <w:kern w:val="0"/>
                <w:sz w:val="18"/>
                <w:szCs w:val="18"/>
              </w:rPr>
            </w:pPr>
            <w:r>
              <w:rPr>
                <w:rFonts w:hint="eastAsia"/>
                <w:kern w:val="0"/>
                <w:sz w:val="18"/>
                <w:szCs w:val="18"/>
              </w:rPr>
              <w:t>②钻孔深度应当与采样方案的要求一致，或按照采样方案中设置的钻探深度确定原则，根据实际情况确定；</w:t>
            </w:r>
          </w:p>
          <w:p w14:paraId="515854D0">
            <w:pPr>
              <w:ind w:firstLine="0" w:firstLineChars="0"/>
              <w:rPr>
                <w:kern w:val="0"/>
                <w:sz w:val="18"/>
                <w:szCs w:val="18"/>
              </w:rPr>
            </w:pPr>
            <w:r>
              <w:rPr>
                <w:rFonts w:hint="eastAsia"/>
                <w:kern w:val="0"/>
                <w:sz w:val="18"/>
                <w:szCs w:val="18"/>
              </w:rPr>
              <w:t>③岩心应当在整个钻探深度内保持基本完整、连续，可支撑土层性质、污染情况（颜色、气味、污染痕迹、油状物等）辨识及现场快速检测筛选。</w:t>
            </w:r>
          </w:p>
        </w:tc>
        <w:tc>
          <w:tcPr>
            <w:tcW w:w="1275" w:type="dxa"/>
          </w:tcPr>
          <w:p w14:paraId="44BA9670">
            <w:pPr>
              <w:ind w:firstLine="0" w:firstLineChars="0"/>
              <w:jc w:val="center"/>
              <w:rPr>
                <w:kern w:val="0"/>
                <w:sz w:val="18"/>
                <w:szCs w:val="18"/>
              </w:rPr>
            </w:pPr>
          </w:p>
        </w:tc>
        <w:tc>
          <w:tcPr>
            <w:tcW w:w="1418" w:type="dxa"/>
            <w:vAlign w:val="center"/>
          </w:tcPr>
          <w:p w14:paraId="452A2F96">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7E7072B8">
            <w:pPr>
              <w:ind w:firstLine="0" w:firstLineChars="0"/>
              <w:rPr>
                <w:kern w:val="0"/>
                <w:sz w:val="18"/>
                <w:szCs w:val="18"/>
              </w:rPr>
            </w:pPr>
          </w:p>
        </w:tc>
      </w:tr>
      <w:tr w14:paraId="3F25D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3994F24">
            <w:pPr>
              <w:ind w:firstLine="0" w:firstLineChars="0"/>
              <w:jc w:val="center"/>
              <w:rPr>
                <w:kern w:val="0"/>
                <w:sz w:val="18"/>
                <w:szCs w:val="18"/>
              </w:rPr>
            </w:pPr>
            <w:r>
              <w:rPr>
                <w:kern w:val="0"/>
                <w:sz w:val="18"/>
                <w:szCs w:val="18"/>
              </w:rPr>
              <w:t>3</w:t>
            </w:r>
          </w:p>
        </w:tc>
        <w:tc>
          <w:tcPr>
            <w:tcW w:w="1134" w:type="dxa"/>
            <w:vMerge w:val="continue"/>
            <w:vAlign w:val="center"/>
          </w:tcPr>
          <w:p w14:paraId="3B7E06D3">
            <w:pPr>
              <w:ind w:firstLine="0" w:firstLineChars="0"/>
              <w:jc w:val="center"/>
              <w:rPr>
                <w:kern w:val="0"/>
                <w:sz w:val="18"/>
                <w:szCs w:val="18"/>
              </w:rPr>
            </w:pPr>
          </w:p>
        </w:tc>
        <w:tc>
          <w:tcPr>
            <w:tcW w:w="1418" w:type="dxa"/>
            <w:vAlign w:val="center"/>
          </w:tcPr>
          <w:p w14:paraId="6CD891F5">
            <w:pPr>
              <w:ind w:firstLine="0" w:firstLineChars="0"/>
              <w:jc w:val="center"/>
              <w:rPr>
                <w:kern w:val="0"/>
                <w:sz w:val="18"/>
                <w:szCs w:val="18"/>
              </w:rPr>
            </w:pPr>
            <w:r>
              <w:rPr>
                <w:rFonts w:hint="eastAsia"/>
                <w:kern w:val="0"/>
                <w:sz w:val="18"/>
                <w:szCs w:val="18"/>
              </w:rPr>
              <w:t>交叉污染防控</w:t>
            </w:r>
          </w:p>
        </w:tc>
        <w:tc>
          <w:tcPr>
            <w:tcW w:w="6804" w:type="dxa"/>
          </w:tcPr>
          <w:p w14:paraId="4B6464E1">
            <w:pPr>
              <w:ind w:firstLine="0" w:firstLineChars="0"/>
              <w:rPr>
                <w:kern w:val="0"/>
                <w:sz w:val="18"/>
                <w:szCs w:val="18"/>
              </w:rPr>
            </w:pPr>
            <w:r>
              <w:rPr>
                <w:rFonts w:hint="eastAsia"/>
                <w:kern w:val="0"/>
                <w:sz w:val="18"/>
                <w:szCs w:val="18"/>
              </w:rPr>
              <w:t>交叉污染防控措施是否规范。</w:t>
            </w:r>
          </w:p>
          <w:p w14:paraId="657EF5C3">
            <w:pPr>
              <w:ind w:firstLine="0" w:firstLineChars="0"/>
              <w:rPr>
                <w:kern w:val="0"/>
                <w:sz w:val="18"/>
                <w:szCs w:val="18"/>
              </w:rPr>
            </w:pPr>
            <w:r>
              <w:rPr>
                <w:rFonts w:hint="eastAsia"/>
                <w:kern w:val="0"/>
                <w:sz w:val="18"/>
                <w:szCs w:val="18"/>
              </w:rPr>
              <w:t>①原则上使用无浆液钻进方式；</w:t>
            </w:r>
          </w:p>
          <w:p w14:paraId="52A71481">
            <w:pPr>
              <w:ind w:firstLine="0" w:firstLineChars="0"/>
              <w:rPr>
                <w:kern w:val="0"/>
                <w:sz w:val="18"/>
                <w:szCs w:val="18"/>
              </w:rPr>
            </w:pPr>
            <w:r>
              <w:rPr>
                <w:rFonts w:hint="eastAsia"/>
                <w:kern w:val="0"/>
                <w:sz w:val="18"/>
                <w:szCs w:val="18"/>
              </w:rPr>
              <w:t>②原则上钻探过程中应当全程套管跟进，套管之间的螺纹连接处不应使用润滑剂；</w:t>
            </w:r>
          </w:p>
          <w:p w14:paraId="6ECA6A75">
            <w:pPr>
              <w:ind w:firstLine="0" w:firstLineChars="0"/>
              <w:rPr>
                <w:kern w:val="0"/>
                <w:sz w:val="18"/>
                <w:szCs w:val="18"/>
              </w:rPr>
            </w:pPr>
            <w:r>
              <w:rPr>
                <w:rFonts w:hint="eastAsia"/>
                <w:kern w:val="0"/>
                <w:sz w:val="18"/>
                <w:szCs w:val="18"/>
              </w:rPr>
              <w:t>③所有的设备和材料应清洗除污。</w:t>
            </w:r>
          </w:p>
        </w:tc>
        <w:tc>
          <w:tcPr>
            <w:tcW w:w="1275" w:type="dxa"/>
          </w:tcPr>
          <w:p w14:paraId="66630349">
            <w:pPr>
              <w:ind w:firstLine="0" w:firstLineChars="0"/>
              <w:jc w:val="center"/>
              <w:rPr>
                <w:kern w:val="0"/>
                <w:sz w:val="18"/>
                <w:szCs w:val="18"/>
              </w:rPr>
            </w:pPr>
          </w:p>
        </w:tc>
        <w:tc>
          <w:tcPr>
            <w:tcW w:w="1418" w:type="dxa"/>
            <w:vAlign w:val="center"/>
          </w:tcPr>
          <w:p w14:paraId="7F82003A">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394FA2D0">
            <w:pPr>
              <w:ind w:firstLine="0" w:firstLineChars="0"/>
              <w:rPr>
                <w:kern w:val="0"/>
                <w:sz w:val="18"/>
                <w:szCs w:val="18"/>
              </w:rPr>
            </w:pPr>
          </w:p>
        </w:tc>
      </w:tr>
      <w:tr w14:paraId="4BD01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97155AE">
            <w:pPr>
              <w:ind w:firstLine="0" w:firstLineChars="0"/>
              <w:jc w:val="center"/>
              <w:rPr>
                <w:kern w:val="0"/>
                <w:sz w:val="18"/>
                <w:szCs w:val="18"/>
              </w:rPr>
            </w:pPr>
            <w:r>
              <w:rPr>
                <w:rFonts w:hint="eastAsia"/>
                <w:kern w:val="0"/>
                <w:sz w:val="18"/>
                <w:szCs w:val="18"/>
              </w:rPr>
              <w:t>4</w:t>
            </w:r>
          </w:p>
        </w:tc>
        <w:tc>
          <w:tcPr>
            <w:tcW w:w="1134" w:type="dxa"/>
            <w:vMerge w:val="restart"/>
            <w:vAlign w:val="center"/>
          </w:tcPr>
          <w:p w14:paraId="7BF0BE9D">
            <w:pPr>
              <w:ind w:firstLine="0" w:firstLineChars="0"/>
              <w:jc w:val="center"/>
              <w:rPr>
                <w:kern w:val="0"/>
                <w:sz w:val="18"/>
                <w:szCs w:val="18"/>
              </w:rPr>
            </w:pPr>
            <w:r>
              <w:rPr>
                <w:rFonts w:hint="eastAsia"/>
                <w:kern w:val="0"/>
                <w:sz w:val="18"/>
                <w:szCs w:val="18"/>
              </w:rPr>
              <w:t>地下水监测井建设</w:t>
            </w:r>
          </w:p>
        </w:tc>
        <w:tc>
          <w:tcPr>
            <w:tcW w:w="1418" w:type="dxa"/>
            <w:vAlign w:val="center"/>
          </w:tcPr>
          <w:p w14:paraId="5DCD7509">
            <w:pPr>
              <w:ind w:firstLine="0" w:firstLineChars="0"/>
              <w:jc w:val="center"/>
              <w:rPr>
                <w:kern w:val="0"/>
                <w:sz w:val="18"/>
                <w:szCs w:val="18"/>
              </w:rPr>
            </w:pPr>
            <w:r>
              <w:rPr>
                <w:rFonts w:hint="eastAsia"/>
                <w:kern w:val="0"/>
                <w:sz w:val="18"/>
                <w:szCs w:val="18"/>
              </w:rPr>
              <w:t>监测井建设</w:t>
            </w:r>
          </w:p>
        </w:tc>
        <w:tc>
          <w:tcPr>
            <w:tcW w:w="6804" w:type="dxa"/>
          </w:tcPr>
          <w:p w14:paraId="2E0FB89B">
            <w:pPr>
              <w:ind w:firstLine="0" w:firstLineChars="0"/>
              <w:rPr>
                <w:kern w:val="0"/>
                <w:sz w:val="18"/>
                <w:szCs w:val="18"/>
              </w:rPr>
            </w:pPr>
            <w:r>
              <w:rPr>
                <w:rFonts w:hint="eastAsia"/>
                <w:kern w:val="0"/>
                <w:sz w:val="18"/>
                <w:szCs w:val="18"/>
              </w:rPr>
              <w:t>滤水管位置、滤料层及止水层设置是否满足采样方案及相关技术规范的要求。</w:t>
            </w:r>
          </w:p>
        </w:tc>
        <w:tc>
          <w:tcPr>
            <w:tcW w:w="1275" w:type="dxa"/>
          </w:tcPr>
          <w:p w14:paraId="2C29E016">
            <w:pPr>
              <w:ind w:firstLine="0" w:firstLineChars="0"/>
              <w:jc w:val="center"/>
              <w:rPr>
                <w:kern w:val="0"/>
                <w:sz w:val="18"/>
                <w:szCs w:val="18"/>
              </w:rPr>
            </w:pPr>
          </w:p>
        </w:tc>
        <w:tc>
          <w:tcPr>
            <w:tcW w:w="1418" w:type="dxa"/>
            <w:vAlign w:val="center"/>
          </w:tcPr>
          <w:p w14:paraId="5D86744C">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w:t>
            </w:r>
            <w:r>
              <w:rPr>
                <w:rFonts w:hint="eastAsia"/>
                <w:kern w:val="0"/>
                <w:sz w:val="18"/>
                <w:szCs w:val="18"/>
              </w:rPr>
              <w:t>否</w:t>
            </w:r>
          </w:p>
        </w:tc>
        <w:tc>
          <w:tcPr>
            <w:tcW w:w="1134" w:type="dxa"/>
          </w:tcPr>
          <w:p w14:paraId="0A286C51">
            <w:pPr>
              <w:ind w:firstLine="0" w:firstLineChars="0"/>
              <w:rPr>
                <w:kern w:val="0"/>
                <w:sz w:val="18"/>
                <w:szCs w:val="18"/>
              </w:rPr>
            </w:pPr>
          </w:p>
        </w:tc>
      </w:tr>
      <w:tr w14:paraId="0F573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0929F151">
            <w:pPr>
              <w:ind w:firstLine="0" w:firstLineChars="0"/>
              <w:jc w:val="center"/>
              <w:rPr>
                <w:kern w:val="0"/>
                <w:sz w:val="18"/>
                <w:szCs w:val="18"/>
              </w:rPr>
            </w:pPr>
            <w:r>
              <w:rPr>
                <w:rFonts w:hint="eastAsia"/>
                <w:kern w:val="0"/>
                <w:sz w:val="18"/>
                <w:szCs w:val="18"/>
              </w:rPr>
              <w:t>5</w:t>
            </w:r>
          </w:p>
        </w:tc>
        <w:tc>
          <w:tcPr>
            <w:tcW w:w="1134" w:type="dxa"/>
            <w:vMerge w:val="continue"/>
            <w:vAlign w:val="center"/>
          </w:tcPr>
          <w:p w14:paraId="291B6840">
            <w:pPr>
              <w:ind w:firstLine="0" w:firstLineChars="0"/>
              <w:jc w:val="center"/>
              <w:rPr>
                <w:kern w:val="0"/>
                <w:sz w:val="18"/>
                <w:szCs w:val="18"/>
              </w:rPr>
            </w:pPr>
          </w:p>
        </w:tc>
        <w:tc>
          <w:tcPr>
            <w:tcW w:w="1418" w:type="dxa"/>
            <w:vAlign w:val="center"/>
          </w:tcPr>
          <w:p w14:paraId="1B7B1F17">
            <w:pPr>
              <w:ind w:firstLine="0" w:firstLineChars="0"/>
              <w:jc w:val="center"/>
              <w:rPr>
                <w:kern w:val="0"/>
                <w:sz w:val="18"/>
                <w:szCs w:val="18"/>
              </w:rPr>
            </w:pPr>
            <w:r>
              <w:rPr>
                <w:rFonts w:hint="eastAsia"/>
                <w:kern w:val="0"/>
                <w:sz w:val="18"/>
                <w:szCs w:val="18"/>
              </w:rPr>
              <w:t>成井洗井</w:t>
            </w:r>
          </w:p>
        </w:tc>
        <w:tc>
          <w:tcPr>
            <w:tcW w:w="6804" w:type="dxa"/>
          </w:tcPr>
          <w:p w14:paraId="5D6485E7">
            <w:pPr>
              <w:ind w:firstLine="0" w:firstLineChars="0"/>
              <w:rPr>
                <w:kern w:val="0"/>
                <w:sz w:val="18"/>
                <w:szCs w:val="18"/>
              </w:rPr>
            </w:pPr>
            <w:r>
              <w:rPr>
                <w:rFonts w:hint="eastAsia"/>
                <w:kern w:val="0"/>
                <w:sz w:val="18"/>
                <w:szCs w:val="18"/>
              </w:rPr>
              <w:t>成井洗井是否达标。</w:t>
            </w:r>
          </w:p>
          <w:p w14:paraId="7471D2DF">
            <w:pPr>
              <w:ind w:firstLine="0" w:firstLineChars="0"/>
              <w:rPr>
                <w:kern w:val="0"/>
                <w:sz w:val="18"/>
                <w:szCs w:val="18"/>
              </w:rPr>
            </w:pPr>
            <w:r>
              <w:rPr>
                <w:rFonts w:hint="eastAsia"/>
                <w:kern w:val="0"/>
                <w:sz w:val="18"/>
                <w:szCs w:val="18"/>
              </w:rPr>
              <w:t>原则上应保证洗井出水至水清砂净，或现场水质参数测试结果稳定，或至少洗出3倍井体积的水量，可参考《地块土壤和地下水中挥发性有机物采样技术导则》（HJ1019-2019）</w:t>
            </w:r>
          </w:p>
        </w:tc>
        <w:tc>
          <w:tcPr>
            <w:tcW w:w="1275" w:type="dxa"/>
          </w:tcPr>
          <w:p w14:paraId="4DB39AB0">
            <w:pPr>
              <w:ind w:firstLine="0" w:firstLineChars="0"/>
              <w:jc w:val="center"/>
              <w:rPr>
                <w:kern w:val="0"/>
                <w:sz w:val="18"/>
                <w:szCs w:val="18"/>
              </w:rPr>
            </w:pPr>
          </w:p>
        </w:tc>
        <w:tc>
          <w:tcPr>
            <w:tcW w:w="1418" w:type="dxa"/>
            <w:vAlign w:val="center"/>
          </w:tcPr>
          <w:p w14:paraId="7E423E81">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w:t>
            </w:r>
            <w:r>
              <w:rPr>
                <w:rFonts w:hint="eastAsia"/>
                <w:kern w:val="0"/>
                <w:sz w:val="18"/>
                <w:szCs w:val="18"/>
              </w:rPr>
              <w:t>否</w:t>
            </w:r>
          </w:p>
        </w:tc>
        <w:tc>
          <w:tcPr>
            <w:tcW w:w="1134" w:type="dxa"/>
          </w:tcPr>
          <w:p w14:paraId="4E64E2A2">
            <w:pPr>
              <w:ind w:firstLine="0" w:firstLineChars="0"/>
              <w:rPr>
                <w:kern w:val="0"/>
                <w:sz w:val="18"/>
                <w:szCs w:val="18"/>
              </w:rPr>
            </w:pPr>
          </w:p>
        </w:tc>
      </w:tr>
      <w:tr w14:paraId="15F72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136E12E">
            <w:pPr>
              <w:ind w:firstLine="0" w:firstLineChars="0"/>
              <w:jc w:val="center"/>
              <w:rPr>
                <w:kern w:val="0"/>
                <w:sz w:val="18"/>
                <w:szCs w:val="18"/>
              </w:rPr>
            </w:pPr>
            <w:r>
              <w:rPr>
                <w:rFonts w:hint="eastAsia"/>
                <w:kern w:val="0"/>
                <w:sz w:val="18"/>
                <w:szCs w:val="18"/>
              </w:rPr>
              <w:t>6</w:t>
            </w:r>
          </w:p>
        </w:tc>
        <w:tc>
          <w:tcPr>
            <w:tcW w:w="1134" w:type="dxa"/>
            <w:vMerge w:val="continue"/>
            <w:vAlign w:val="center"/>
          </w:tcPr>
          <w:p w14:paraId="51696F69">
            <w:pPr>
              <w:ind w:firstLine="0" w:firstLineChars="0"/>
              <w:jc w:val="center"/>
              <w:rPr>
                <w:kern w:val="0"/>
                <w:sz w:val="18"/>
                <w:szCs w:val="18"/>
              </w:rPr>
            </w:pPr>
          </w:p>
        </w:tc>
        <w:tc>
          <w:tcPr>
            <w:tcW w:w="1418" w:type="dxa"/>
            <w:vAlign w:val="center"/>
          </w:tcPr>
          <w:p w14:paraId="54E3F6D8">
            <w:pPr>
              <w:ind w:firstLine="0" w:firstLineChars="0"/>
              <w:jc w:val="center"/>
              <w:rPr>
                <w:kern w:val="0"/>
                <w:sz w:val="18"/>
                <w:szCs w:val="18"/>
              </w:rPr>
            </w:pPr>
            <w:r>
              <w:rPr>
                <w:rFonts w:hint="eastAsia"/>
                <w:kern w:val="0"/>
                <w:sz w:val="18"/>
                <w:szCs w:val="18"/>
              </w:rPr>
              <w:t>交叉污染防控</w:t>
            </w:r>
          </w:p>
        </w:tc>
        <w:tc>
          <w:tcPr>
            <w:tcW w:w="6804" w:type="dxa"/>
          </w:tcPr>
          <w:p w14:paraId="4881A54B">
            <w:pPr>
              <w:ind w:firstLine="0" w:firstLineChars="0"/>
              <w:rPr>
                <w:kern w:val="0"/>
                <w:sz w:val="18"/>
                <w:szCs w:val="18"/>
              </w:rPr>
            </w:pPr>
            <w:r>
              <w:rPr>
                <w:rFonts w:hint="eastAsia"/>
                <w:kern w:val="0"/>
                <w:sz w:val="18"/>
                <w:szCs w:val="18"/>
              </w:rPr>
              <w:t>交叉污染防控措施是否规范。</w:t>
            </w:r>
          </w:p>
          <w:p w14:paraId="30AF0C82">
            <w:pPr>
              <w:ind w:firstLine="0" w:firstLineChars="0"/>
              <w:rPr>
                <w:kern w:val="0"/>
                <w:sz w:val="18"/>
                <w:szCs w:val="18"/>
              </w:rPr>
            </w:pPr>
            <w:r>
              <w:rPr>
                <w:rFonts w:hint="eastAsia"/>
                <w:kern w:val="0"/>
                <w:sz w:val="18"/>
                <w:szCs w:val="18"/>
              </w:rPr>
              <w:t>①建设所用井管、滤料及止水材料应当不会对地下水水质造成污染；</w:t>
            </w:r>
          </w:p>
          <w:p w14:paraId="467F9E09">
            <w:pPr>
              <w:ind w:firstLine="0" w:firstLineChars="0"/>
              <w:rPr>
                <w:kern w:val="0"/>
                <w:sz w:val="18"/>
                <w:szCs w:val="18"/>
              </w:rPr>
            </w:pPr>
            <w:r>
              <w:rPr>
                <w:rFonts w:hint="eastAsia"/>
                <w:kern w:val="0"/>
                <w:sz w:val="18"/>
                <w:szCs w:val="18"/>
              </w:rPr>
              <w:t>②洗井前应当清洗洗井设备和管线；</w:t>
            </w:r>
          </w:p>
          <w:p w14:paraId="28DE8BB3">
            <w:pPr>
              <w:ind w:firstLine="0" w:firstLineChars="0"/>
              <w:rPr>
                <w:kern w:val="0"/>
                <w:sz w:val="18"/>
                <w:szCs w:val="18"/>
              </w:rPr>
            </w:pPr>
            <w:r>
              <w:rPr>
                <w:rFonts w:hint="eastAsia"/>
                <w:kern w:val="0"/>
                <w:sz w:val="18"/>
                <w:szCs w:val="18"/>
              </w:rPr>
              <w:t>③使用贝勒管时，一井配一管；</w:t>
            </w:r>
          </w:p>
          <w:p w14:paraId="7CA20FFD">
            <w:pPr>
              <w:ind w:firstLine="0" w:firstLineChars="0"/>
              <w:rPr>
                <w:kern w:val="0"/>
                <w:sz w:val="18"/>
                <w:szCs w:val="18"/>
              </w:rPr>
            </w:pPr>
            <w:r>
              <w:rPr>
                <w:rFonts w:hint="eastAsia"/>
                <w:kern w:val="0"/>
                <w:sz w:val="18"/>
                <w:szCs w:val="18"/>
              </w:rPr>
              <w:t>④井管连接方式满足要求，避免使用任何粘合剂或涂料。</w:t>
            </w:r>
          </w:p>
        </w:tc>
        <w:tc>
          <w:tcPr>
            <w:tcW w:w="1275" w:type="dxa"/>
          </w:tcPr>
          <w:p w14:paraId="704C656D">
            <w:pPr>
              <w:ind w:firstLine="0" w:firstLineChars="0"/>
              <w:jc w:val="center"/>
              <w:rPr>
                <w:kern w:val="0"/>
                <w:sz w:val="18"/>
                <w:szCs w:val="18"/>
              </w:rPr>
            </w:pPr>
          </w:p>
        </w:tc>
        <w:tc>
          <w:tcPr>
            <w:tcW w:w="1418" w:type="dxa"/>
            <w:vAlign w:val="center"/>
          </w:tcPr>
          <w:p w14:paraId="3DDC0501">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3CB8BB53">
            <w:pPr>
              <w:ind w:firstLine="0" w:firstLineChars="0"/>
              <w:rPr>
                <w:kern w:val="0"/>
                <w:sz w:val="18"/>
                <w:szCs w:val="18"/>
              </w:rPr>
            </w:pPr>
          </w:p>
        </w:tc>
      </w:tr>
      <w:tr w14:paraId="5B2D2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46DF6AA1">
            <w:pPr>
              <w:ind w:firstLine="0" w:firstLineChars="0"/>
              <w:jc w:val="center"/>
              <w:rPr>
                <w:kern w:val="0"/>
                <w:sz w:val="18"/>
                <w:szCs w:val="18"/>
              </w:rPr>
            </w:pPr>
            <w:r>
              <w:rPr>
                <w:rFonts w:hint="eastAsia"/>
                <w:kern w:val="0"/>
                <w:sz w:val="18"/>
                <w:szCs w:val="18"/>
              </w:rPr>
              <w:t>7</w:t>
            </w:r>
          </w:p>
        </w:tc>
        <w:tc>
          <w:tcPr>
            <w:tcW w:w="1134" w:type="dxa"/>
            <w:vMerge w:val="restart"/>
            <w:vAlign w:val="center"/>
          </w:tcPr>
          <w:p w14:paraId="040A7669">
            <w:pPr>
              <w:ind w:firstLine="0" w:firstLineChars="0"/>
              <w:jc w:val="center"/>
              <w:rPr>
                <w:kern w:val="0"/>
                <w:sz w:val="18"/>
                <w:szCs w:val="18"/>
              </w:rPr>
            </w:pPr>
            <w:r>
              <w:rPr>
                <w:rFonts w:hint="eastAsia"/>
                <w:kern w:val="0"/>
                <w:sz w:val="18"/>
                <w:szCs w:val="18"/>
              </w:rPr>
              <w:t>土壤样品采集与保存</w:t>
            </w:r>
          </w:p>
        </w:tc>
        <w:tc>
          <w:tcPr>
            <w:tcW w:w="1418" w:type="dxa"/>
            <w:vAlign w:val="center"/>
          </w:tcPr>
          <w:p w14:paraId="206D5E68">
            <w:pPr>
              <w:ind w:firstLine="0" w:firstLineChars="0"/>
              <w:jc w:val="center"/>
              <w:rPr>
                <w:kern w:val="0"/>
                <w:sz w:val="18"/>
                <w:szCs w:val="18"/>
              </w:rPr>
            </w:pPr>
            <w:r>
              <w:rPr>
                <w:rFonts w:hint="eastAsia"/>
                <w:kern w:val="0"/>
                <w:sz w:val="18"/>
                <w:szCs w:val="18"/>
              </w:rPr>
              <w:t>采样深度</w:t>
            </w:r>
          </w:p>
        </w:tc>
        <w:tc>
          <w:tcPr>
            <w:tcW w:w="6804" w:type="dxa"/>
          </w:tcPr>
          <w:p w14:paraId="1ECB8178">
            <w:pPr>
              <w:ind w:firstLine="0" w:firstLineChars="0"/>
              <w:rPr>
                <w:kern w:val="0"/>
                <w:sz w:val="18"/>
                <w:szCs w:val="18"/>
              </w:rPr>
            </w:pPr>
            <w:r>
              <w:rPr>
                <w:rFonts w:hint="eastAsia"/>
                <w:kern w:val="0"/>
                <w:sz w:val="18"/>
                <w:szCs w:val="18"/>
              </w:rPr>
              <w:t>采样深度是否合理，是否经现场辨识或筛选。</w:t>
            </w:r>
          </w:p>
          <w:p w14:paraId="0032893A">
            <w:pPr>
              <w:ind w:firstLine="0" w:firstLineChars="0"/>
              <w:rPr>
                <w:kern w:val="0"/>
                <w:sz w:val="18"/>
                <w:szCs w:val="18"/>
              </w:rPr>
            </w:pPr>
            <w:r>
              <w:rPr>
                <w:rFonts w:hint="eastAsia"/>
                <w:kern w:val="0"/>
                <w:sz w:val="18"/>
                <w:szCs w:val="18"/>
              </w:rPr>
              <w:t>①与采样方案设计一致，或按照采样方案中设置的采样深度确定原则，</w:t>
            </w:r>
          </w:p>
          <w:p w14:paraId="2DC72520">
            <w:pPr>
              <w:ind w:firstLine="0" w:firstLineChars="0"/>
              <w:rPr>
                <w:kern w:val="0"/>
                <w:sz w:val="18"/>
                <w:szCs w:val="18"/>
              </w:rPr>
            </w:pPr>
            <w:r>
              <w:rPr>
                <w:rFonts w:hint="eastAsia"/>
                <w:kern w:val="0"/>
                <w:sz w:val="18"/>
                <w:szCs w:val="18"/>
              </w:rPr>
              <w:t>根据实际情况确定；下层土壤的采样深度应考虑污染物可能释放和迁移</w:t>
            </w:r>
          </w:p>
          <w:p w14:paraId="4BE8192A">
            <w:pPr>
              <w:ind w:firstLine="0" w:firstLineChars="0"/>
              <w:rPr>
                <w:kern w:val="0"/>
                <w:sz w:val="18"/>
                <w:szCs w:val="18"/>
              </w:rPr>
            </w:pPr>
            <w:r>
              <w:rPr>
                <w:rFonts w:hint="eastAsia"/>
                <w:kern w:val="0"/>
                <w:sz w:val="18"/>
                <w:szCs w:val="18"/>
              </w:rPr>
              <w:t>的深度（如地下管线和储罐埋深）、污染物性质、土壤的质地和孔隙度、</w:t>
            </w:r>
          </w:p>
          <w:p w14:paraId="221A2EA3">
            <w:pPr>
              <w:ind w:firstLine="0" w:firstLineChars="0"/>
              <w:rPr>
                <w:kern w:val="0"/>
                <w:sz w:val="18"/>
                <w:szCs w:val="18"/>
              </w:rPr>
            </w:pPr>
            <w:r>
              <w:rPr>
                <w:rFonts w:hint="eastAsia"/>
                <w:kern w:val="0"/>
                <w:sz w:val="18"/>
                <w:szCs w:val="18"/>
              </w:rPr>
              <w:t>地下水位和回填土等因素；</w:t>
            </w:r>
          </w:p>
          <w:p w14:paraId="617BD68A">
            <w:pPr>
              <w:ind w:firstLine="0" w:firstLineChars="0"/>
              <w:rPr>
                <w:kern w:val="0"/>
                <w:sz w:val="18"/>
                <w:szCs w:val="18"/>
              </w:rPr>
            </w:pPr>
            <w:r>
              <w:rPr>
                <w:rFonts w:hint="eastAsia"/>
                <w:kern w:val="0"/>
                <w:sz w:val="18"/>
                <w:szCs w:val="18"/>
              </w:rPr>
              <w:t>②每一深度样品，应当在通过颜色、气味、污染痕迹、油状物等现场辨</w:t>
            </w:r>
          </w:p>
          <w:p w14:paraId="66E2563B">
            <w:pPr>
              <w:ind w:firstLine="0" w:firstLineChars="0"/>
              <w:rPr>
                <w:kern w:val="0"/>
                <w:sz w:val="18"/>
                <w:szCs w:val="18"/>
              </w:rPr>
            </w:pPr>
            <w:r>
              <w:rPr>
                <w:rFonts w:hint="eastAsia"/>
                <w:kern w:val="0"/>
                <w:sz w:val="18"/>
                <w:szCs w:val="18"/>
              </w:rPr>
              <w:t>识或现场快速检测筛选出的污染相对较重的位置进行取样。</w:t>
            </w:r>
          </w:p>
        </w:tc>
        <w:tc>
          <w:tcPr>
            <w:tcW w:w="1275" w:type="dxa"/>
          </w:tcPr>
          <w:p w14:paraId="1412F711">
            <w:pPr>
              <w:ind w:firstLine="0" w:firstLineChars="0"/>
              <w:jc w:val="center"/>
              <w:rPr>
                <w:kern w:val="0"/>
                <w:sz w:val="18"/>
                <w:szCs w:val="18"/>
              </w:rPr>
            </w:pPr>
          </w:p>
        </w:tc>
        <w:tc>
          <w:tcPr>
            <w:tcW w:w="1418" w:type="dxa"/>
            <w:vAlign w:val="center"/>
          </w:tcPr>
          <w:p w14:paraId="369D14A7">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432E1D77">
            <w:pPr>
              <w:ind w:firstLine="0" w:firstLineChars="0"/>
              <w:rPr>
                <w:kern w:val="0"/>
                <w:sz w:val="18"/>
                <w:szCs w:val="18"/>
              </w:rPr>
            </w:pPr>
          </w:p>
        </w:tc>
      </w:tr>
      <w:tr w14:paraId="7798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6F264F38">
            <w:pPr>
              <w:ind w:firstLine="0" w:firstLineChars="0"/>
              <w:jc w:val="center"/>
              <w:rPr>
                <w:kern w:val="0"/>
                <w:sz w:val="18"/>
                <w:szCs w:val="18"/>
              </w:rPr>
            </w:pPr>
            <w:r>
              <w:rPr>
                <w:kern w:val="0"/>
                <w:sz w:val="18"/>
                <w:szCs w:val="18"/>
              </w:rPr>
              <w:t>8</w:t>
            </w:r>
          </w:p>
        </w:tc>
        <w:tc>
          <w:tcPr>
            <w:tcW w:w="1134" w:type="dxa"/>
            <w:vMerge w:val="continue"/>
            <w:vAlign w:val="center"/>
          </w:tcPr>
          <w:p w14:paraId="2BBA0F15">
            <w:pPr>
              <w:ind w:firstLine="0" w:firstLineChars="0"/>
              <w:jc w:val="center"/>
              <w:rPr>
                <w:kern w:val="0"/>
                <w:sz w:val="18"/>
                <w:szCs w:val="18"/>
              </w:rPr>
            </w:pPr>
          </w:p>
        </w:tc>
        <w:tc>
          <w:tcPr>
            <w:tcW w:w="1418" w:type="dxa"/>
            <w:vAlign w:val="center"/>
          </w:tcPr>
          <w:p w14:paraId="1BE1564C">
            <w:pPr>
              <w:ind w:firstLine="0" w:firstLineChars="0"/>
              <w:jc w:val="center"/>
              <w:rPr>
                <w:kern w:val="0"/>
                <w:sz w:val="18"/>
                <w:szCs w:val="18"/>
              </w:rPr>
            </w:pPr>
            <w:r>
              <w:rPr>
                <w:rFonts w:hint="eastAsia"/>
                <w:kern w:val="0"/>
                <w:sz w:val="18"/>
                <w:szCs w:val="18"/>
              </w:rPr>
              <w:t>挥发性有机污染物（VOCs） 样品采集</w:t>
            </w:r>
          </w:p>
        </w:tc>
        <w:tc>
          <w:tcPr>
            <w:tcW w:w="6804" w:type="dxa"/>
          </w:tcPr>
          <w:p w14:paraId="2EB867E5">
            <w:pPr>
              <w:ind w:firstLine="0" w:firstLineChars="0"/>
              <w:rPr>
                <w:kern w:val="0"/>
                <w:sz w:val="18"/>
                <w:szCs w:val="18"/>
              </w:rPr>
            </w:pPr>
            <w:r>
              <w:rPr>
                <w:rFonts w:hint="eastAsia"/>
                <w:kern w:val="0"/>
                <w:sz w:val="18"/>
                <w:szCs w:val="18"/>
              </w:rPr>
              <w:t>VOCs样品采集是否规范。</w:t>
            </w:r>
          </w:p>
          <w:p w14:paraId="73767E33">
            <w:pPr>
              <w:ind w:firstLine="0" w:firstLineChars="0"/>
              <w:rPr>
                <w:kern w:val="0"/>
                <w:sz w:val="18"/>
                <w:szCs w:val="18"/>
              </w:rPr>
            </w:pPr>
            <w:r>
              <w:rPr>
                <w:rFonts w:hint="eastAsia"/>
                <w:kern w:val="0"/>
                <w:sz w:val="18"/>
                <w:szCs w:val="18"/>
              </w:rPr>
              <w:t>①应优先采集用于测定VOCs的土壤样品；</w:t>
            </w:r>
          </w:p>
          <w:p w14:paraId="23D46BB5">
            <w:pPr>
              <w:ind w:firstLine="0" w:firstLineChars="0"/>
              <w:rPr>
                <w:kern w:val="0"/>
                <w:sz w:val="18"/>
                <w:szCs w:val="18"/>
              </w:rPr>
            </w:pPr>
            <w:r>
              <w:rPr>
                <w:rFonts w:hint="eastAsia"/>
                <w:kern w:val="0"/>
                <w:sz w:val="18"/>
                <w:szCs w:val="18"/>
              </w:rPr>
              <w:t>②VOCs污染、易分解有机污染物、恶臭污染土壤的采样应采用无扰动式</w:t>
            </w:r>
          </w:p>
          <w:p w14:paraId="2734B7ED">
            <w:pPr>
              <w:ind w:firstLine="0" w:firstLineChars="0"/>
              <w:rPr>
                <w:kern w:val="0"/>
                <w:sz w:val="18"/>
                <w:szCs w:val="18"/>
              </w:rPr>
            </w:pPr>
            <w:r>
              <w:rPr>
                <w:rFonts w:hint="eastAsia"/>
                <w:kern w:val="0"/>
                <w:sz w:val="18"/>
                <w:szCs w:val="18"/>
              </w:rPr>
              <w:t>的采样方法和工具，禁止对样品进行均质化处理，不得采集混合样；</w:t>
            </w:r>
          </w:p>
          <w:p w14:paraId="2C80C947">
            <w:pPr>
              <w:ind w:firstLine="0" w:firstLineChars="0"/>
              <w:rPr>
                <w:kern w:val="0"/>
                <w:sz w:val="18"/>
                <w:szCs w:val="18"/>
              </w:rPr>
            </w:pPr>
            <w:r>
              <w:rPr>
                <w:rFonts w:hint="eastAsia"/>
                <w:kern w:val="0"/>
                <w:sz w:val="18"/>
                <w:szCs w:val="18"/>
              </w:rPr>
              <w:t>③样品采集后应当置入加有甲醇保存剂的样品瓶中，并立即记性密封处</w:t>
            </w:r>
          </w:p>
          <w:p w14:paraId="63B67BE3">
            <w:pPr>
              <w:ind w:firstLine="0" w:firstLineChars="0"/>
              <w:rPr>
                <w:kern w:val="0"/>
                <w:sz w:val="18"/>
                <w:szCs w:val="18"/>
              </w:rPr>
            </w:pPr>
            <w:r>
              <w:rPr>
                <w:rFonts w:hint="eastAsia"/>
                <w:kern w:val="0"/>
                <w:sz w:val="18"/>
                <w:szCs w:val="18"/>
              </w:rPr>
              <w:t>理。</w:t>
            </w:r>
          </w:p>
        </w:tc>
        <w:tc>
          <w:tcPr>
            <w:tcW w:w="1275" w:type="dxa"/>
          </w:tcPr>
          <w:p w14:paraId="6ABB9E29">
            <w:pPr>
              <w:ind w:firstLine="0" w:firstLineChars="0"/>
              <w:jc w:val="center"/>
              <w:rPr>
                <w:kern w:val="0"/>
                <w:sz w:val="18"/>
                <w:szCs w:val="18"/>
              </w:rPr>
            </w:pPr>
          </w:p>
        </w:tc>
        <w:tc>
          <w:tcPr>
            <w:tcW w:w="1418" w:type="dxa"/>
            <w:vAlign w:val="center"/>
          </w:tcPr>
          <w:p w14:paraId="3AAF7DE9">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797E2683">
            <w:pPr>
              <w:ind w:firstLine="0" w:firstLineChars="0"/>
              <w:rPr>
                <w:kern w:val="0"/>
                <w:sz w:val="18"/>
                <w:szCs w:val="18"/>
              </w:rPr>
            </w:pPr>
          </w:p>
        </w:tc>
      </w:tr>
      <w:tr w14:paraId="49C1E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D6A577A">
            <w:pPr>
              <w:ind w:firstLine="0" w:firstLineChars="0"/>
              <w:jc w:val="center"/>
              <w:rPr>
                <w:kern w:val="0"/>
                <w:sz w:val="18"/>
                <w:szCs w:val="18"/>
              </w:rPr>
            </w:pPr>
            <w:r>
              <w:rPr>
                <w:rFonts w:hint="eastAsia"/>
                <w:kern w:val="0"/>
                <w:sz w:val="18"/>
                <w:szCs w:val="18"/>
              </w:rPr>
              <w:t>9</w:t>
            </w:r>
          </w:p>
        </w:tc>
        <w:tc>
          <w:tcPr>
            <w:tcW w:w="1134" w:type="dxa"/>
            <w:vMerge w:val="continue"/>
            <w:vAlign w:val="center"/>
          </w:tcPr>
          <w:p w14:paraId="63AABC1C">
            <w:pPr>
              <w:ind w:firstLine="0" w:firstLineChars="0"/>
              <w:jc w:val="center"/>
              <w:rPr>
                <w:kern w:val="0"/>
                <w:sz w:val="18"/>
                <w:szCs w:val="18"/>
              </w:rPr>
            </w:pPr>
          </w:p>
        </w:tc>
        <w:tc>
          <w:tcPr>
            <w:tcW w:w="1418" w:type="dxa"/>
            <w:vAlign w:val="center"/>
          </w:tcPr>
          <w:p w14:paraId="27FF6161">
            <w:pPr>
              <w:ind w:firstLine="0" w:firstLineChars="0"/>
              <w:jc w:val="center"/>
              <w:rPr>
                <w:kern w:val="0"/>
                <w:sz w:val="18"/>
                <w:szCs w:val="18"/>
              </w:rPr>
            </w:pPr>
            <w:r>
              <w:rPr>
                <w:rFonts w:hint="eastAsia"/>
                <w:kern w:val="0"/>
                <w:sz w:val="18"/>
                <w:szCs w:val="18"/>
              </w:rPr>
              <w:t>样品保存条件</w:t>
            </w:r>
          </w:p>
        </w:tc>
        <w:tc>
          <w:tcPr>
            <w:tcW w:w="6804" w:type="dxa"/>
          </w:tcPr>
          <w:p w14:paraId="0B478C99">
            <w:pPr>
              <w:ind w:firstLine="0" w:firstLineChars="0"/>
              <w:rPr>
                <w:kern w:val="0"/>
                <w:sz w:val="18"/>
                <w:szCs w:val="18"/>
              </w:rPr>
            </w:pPr>
            <w:r>
              <w:rPr>
                <w:rFonts w:hint="eastAsia"/>
                <w:kern w:val="0"/>
                <w:sz w:val="18"/>
                <w:szCs w:val="18"/>
              </w:rPr>
              <w:t>样品保存条件是否符合要求。</w:t>
            </w:r>
          </w:p>
          <w:p w14:paraId="52E99290">
            <w:pPr>
              <w:ind w:firstLine="0" w:firstLineChars="0"/>
              <w:rPr>
                <w:kern w:val="0"/>
                <w:sz w:val="18"/>
                <w:szCs w:val="18"/>
              </w:rPr>
            </w:pPr>
            <w:r>
              <w:rPr>
                <w:rFonts w:hint="eastAsia"/>
                <w:kern w:val="0"/>
                <w:sz w:val="18"/>
                <w:szCs w:val="18"/>
              </w:rPr>
              <w:t>①应根据污染物理化性质等，选用合适的容器保存土壤样品；</w:t>
            </w:r>
          </w:p>
          <w:p w14:paraId="65A87501">
            <w:pPr>
              <w:ind w:firstLine="0" w:firstLineChars="0"/>
              <w:rPr>
                <w:kern w:val="0"/>
                <w:sz w:val="18"/>
                <w:szCs w:val="18"/>
              </w:rPr>
            </w:pPr>
            <w:r>
              <w:rPr>
                <w:rFonts w:hint="eastAsia"/>
                <w:kern w:val="0"/>
                <w:sz w:val="18"/>
                <w:szCs w:val="18"/>
              </w:rPr>
              <w:t>②检测项目未VOCs或恶臭的土壤样品应采用密封性的采样瓶封装；</w:t>
            </w:r>
          </w:p>
          <w:p w14:paraId="0A9D8746">
            <w:pPr>
              <w:ind w:firstLine="0" w:firstLineChars="0"/>
              <w:rPr>
                <w:kern w:val="0"/>
                <w:sz w:val="18"/>
                <w:szCs w:val="18"/>
              </w:rPr>
            </w:pPr>
            <w:r>
              <w:rPr>
                <w:rFonts w:hint="eastAsia"/>
                <w:kern w:val="0"/>
                <w:sz w:val="18"/>
                <w:szCs w:val="18"/>
              </w:rPr>
              <w:t>③VOCs样品装瓶后应密封在塑料袋中，避免交叉污染；</w:t>
            </w:r>
          </w:p>
          <w:p w14:paraId="585B4F16">
            <w:pPr>
              <w:ind w:firstLine="0" w:firstLineChars="0"/>
              <w:rPr>
                <w:kern w:val="0"/>
                <w:sz w:val="18"/>
                <w:szCs w:val="18"/>
              </w:rPr>
            </w:pPr>
            <w:r>
              <w:rPr>
                <w:rFonts w:hint="eastAsia"/>
                <w:kern w:val="0"/>
                <w:sz w:val="18"/>
                <w:szCs w:val="18"/>
              </w:rPr>
              <w:t>④检测项目为汞或有机污染物的土壤样品应再4℃以下保存和运输。</w:t>
            </w:r>
          </w:p>
        </w:tc>
        <w:tc>
          <w:tcPr>
            <w:tcW w:w="1275" w:type="dxa"/>
          </w:tcPr>
          <w:p w14:paraId="41F5E3D9">
            <w:pPr>
              <w:ind w:firstLine="0" w:firstLineChars="0"/>
              <w:jc w:val="center"/>
              <w:rPr>
                <w:kern w:val="0"/>
                <w:sz w:val="18"/>
                <w:szCs w:val="18"/>
              </w:rPr>
            </w:pPr>
          </w:p>
        </w:tc>
        <w:tc>
          <w:tcPr>
            <w:tcW w:w="1418" w:type="dxa"/>
            <w:vAlign w:val="center"/>
          </w:tcPr>
          <w:p w14:paraId="1132C20B">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634ADB0A">
            <w:pPr>
              <w:ind w:firstLine="0" w:firstLineChars="0"/>
              <w:rPr>
                <w:kern w:val="0"/>
                <w:sz w:val="18"/>
                <w:szCs w:val="18"/>
              </w:rPr>
            </w:pPr>
          </w:p>
        </w:tc>
      </w:tr>
      <w:tr w14:paraId="019E0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FC3B2D6">
            <w:pPr>
              <w:ind w:firstLine="0" w:firstLineChars="0"/>
              <w:jc w:val="center"/>
              <w:rPr>
                <w:kern w:val="0"/>
                <w:sz w:val="18"/>
                <w:szCs w:val="18"/>
              </w:rPr>
            </w:pPr>
            <w:r>
              <w:rPr>
                <w:rFonts w:hint="eastAsia"/>
                <w:kern w:val="0"/>
                <w:sz w:val="18"/>
                <w:szCs w:val="18"/>
              </w:rPr>
              <w:t>1</w:t>
            </w:r>
            <w:r>
              <w:rPr>
                <w:kern w:val="0"/>
                <w:sz w:val="18"/>
                <w:szCs w:val="18"/>
              </w:rPr>
              <w:t>0</w:t>
            </w:r>
          </w:p>
        </w:tc>
        <w:tc>
          <w:tcPr>
            <w:tcW w:w="1134" w:type="dxa"/>
            <w:vMerge w:val="continue"/>
            <w:vAlign w:val="center"/>
          </w:tcPr>
          <w:p w14:paraId="01B08972">
            <w:pPr>
              <w:ind w:firstLine="0" w:firstLineChars="0"/>
              <w:jc w:val="center"/>
              <w:rPr>
                <w:kern w:val="0"/>
                <w:sz w:val="18"/>
                <w:szCs w:val="18"/>
              </w:rPr>
            </w:pPr>
          </w:p>
        </w:tc>
        <w:tc>
          <w:tcPr>
            <w:tcW w:w="1418" w:type="dxa"/>
            <w:vAlign w:val="center"/>
          </w:tcPr>
          <w:p w14:paraId="6C959BC0">
            <w:pPr>
              <w:ind w:firstLine="0" w:firstLineChars="0"/>
              <w:jc w:val="center"/>
              <w:rPr>
                <w:kern w:val="0"/>
                <w:sz w:val="18"/>
                <w:szCs w:val="18"/>
              </w:rPr>
            </w:pPr>
            <w:r>
              <w:rPr>
                <w:rFonts w:hint="eastAsia"/>
                <w:kern w:val="0"/>
                <w:sz w:val="18"/>
                <w:szCs w:val="18"/>
              </w:rPr>
              <w:t>样品检查</w:t>
            </w:r>
          </w:p>
        </w:tc>
        <w:tc>
          <w:tcPr>
            <w:tcW w:w="6804" w:type="dxa"/>
          </w:tcPr>
          <w:p w14:paraId="4284FD94">
            <w:pPr>
              <w:ind w:firstLine="0" w:firstLineChars="0"/>
              <w:rPr>
                <w:kern w:val="0"/>
                <w:sz w:val="18"/>
                <w:szCs w:val="18"/>
              </w:rPr>
            </w:pPr>
            <w:r>
              <w:rPr>
                <w:rFonts w:hint="eastAsia"/>
                <w:kern w:val="0"/>
                <w:sz w:val="18"/>
                <w:szCs w:val="18"/>
              </w:rPr>
              <w:t>已采集样品是否符合要求。</w:t>
            </w:r>
          </w:p>
          <w:p w14:paraId="0300E5AB">
            <w:pPr>
              <w:ind w:firstLine="0" w:firstLineChars="0"/>
              <w:rPr>
                <w:kern w:val="0"/>
                <w:sz w:val="18"/>
                <w:szCs w:val="18"/>
              </w:rPr>
            </w:pPr>
            <w:r>
              <w:rPr>
                <w:rFonts w:hint="eastAsia"/>
                <w:kern w:val="0"/>
                <w:sz w:val="18"/>
                <w:szCs w:val="18"/>
              </w:rPr>
              <w:t>①已采集样品类型、数量应当满足采样方案要求；</w:t>
            </w:r>
          </w:p>
          <w:p w14:paraId="54778EDC">
            <w:pPr>
              <w:ind w:firstLine="0" w:firstLineChars="0"/>
              <w:rPr>
                <w:kern w:val="0"/>
                <w:sz w:val="18"/>
                <w:szCs w:val="18"/>
              </w:rPr>
            </w:pPr>
            <w:r>
              <w:rPr>
                <w:rFonts w:hint="eastAsia"/>
                <w:kern w:val="0"/>
                <w:sz w:val="18"/>
                <w:szCs w:val="18"/>
              </w:rPr>
              <w:t>②样品应按检测项目类型分别采集装瓶；</w:t>
            </w:r>
          </w:p>
          <w:p w14:paraId="09B0818B">
            <w:pPr>
              <w:ind w:firstLine="0" w:firstLineChars="0"/>
              <w:rPr>
                <w:kern w:val="0"/>
                <w:sz w:val="18"/>
                <w:szCs w:val="18"/>
              </w:rPr>
            </w:pPr>
            <w:r>
              <w:rPr>
                <w:rFonts w:hint="eastAsia"/>
                <w:kern w:val="0"/>
                <w:sz w:val="18"/>
                <w:szCs w:val="18"/>
              </w:rPr>
              <w:t>③样品重量或体积应当满足检测要求。</w:t>
            </w:r>
          </w:p>
        </w:tc>
        <w:tc>
          <w:tcPr>
            <w:tcW w:w="1275" w:type="dxa"/>
          </w:tcPr>
          <w:p w14:paraId="53666007">
            <w:pPr>
              <w:ind w:firstLine="0" w:firstLineChars="0"/>
              <w:jc w:val="center"/>
              <w:rPr>
                <w:kern w:val="0"/>
                <w:sz w:val="18"/>
                <w:szCs w:val="18"/>
              </w:rPr>
            </w:pPr>
          </w:p>
        </w:tc>
        <w:tc>
          <w:tcPr>
            <w:tcW w:w="1418" w:type="dxa"/>
            <w:vAlign w:val="center"/>
          </w:tcPr>
          <w:p w14:paraId="197EBEAB">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2E655C98">
            <w:pPr>
              <w:ind w:firstLine="0" w:firstLineChars="0"/>
              <w:rPr>
                <w:kern w:val="0"/>
                <w:sz w:val="18"/>
                <w:szCs w:val="18"/>
              </w:rPr>
            </w:pPr>
          </w:p>
        </w:tc>
      </w:tr>
      <w:tr w14:paraId="03A9C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7B566A2">
            <w:pPr>
              <w:ind w:firstLine="0" w:firstLineChars="0"/>
              <w:jc w:val="center"/>
              <w:rPr>
                <w:kern w:val="0"/>
                <w:sz w:val="18"/>
                <w:szCs w:val="18"/>
              </w:rPr>
            </w:pPr>
            <w:r>
              <w:rPr>
                <w:rFonts w:hint="eastAsia"/>
                <w:kern w:val="0"/>
                <w:sz w:val="18"/>
                <w:szCs w:val="18"/>
              </w:rPr>
              <w:t>1</w:t>
            </w:r>
            <w:r>
              <w:rPr>
                <w:kern w:val="0"/>
                <w:sz w:val="18"/>
                <w:szCs w:val="18"/>
              </w:rPr>
              <w:t>1</w:t>
            </w:r>
          </w:p>
        </w:tc>
        <w:tc>
          <w:tcPr>
            <w:tcW w:w="1134" w:type="dxa"/>
            <w:vMerge w:val="restart"/>
            <w:vAlign w:val="center"/>
          </w:tcPr>
          <w:p w14:paraId="752F0BB3">
            <w:pPr>
              <w:ind w:firstLine="0" w:firstLineChars="0"/>
              <w:jc w:val="center"/>
              <w:rPr>
                <w:kern w:val="0"/>
                <w:sz w:val="18"/>
                <w:szCs w:val="18"/>
              </w:rPr>
            </w:pPr>
            <w:r>
              <w:rPr>
                <w:rFonts w:hint="eastAsia"/>
                <w:kern w:val="0"/>
                <w:sz w:val="18"/>
                <w:szCs w:val="18"/>
              </w:rPr>
              <w:t>地下水样品采集与保存</w:t>
            </w:r>
          </w:p>
        </w:tc>
        <w:tc>
          <w:tcPr>
            <w:tcW w:w="1418" w:type="dxa"/>
            <w:vAlign w:val="center"/>
          </w:tcPr>
          <w:p w14:paraId="28E0B5DF">
            <w:pPr>
              <w:ind w:firstLine="0" w:firstLineChars="0"/>
              <w:jc w:val="center"/>
              <w:rPr>
                <w:kern w:val="0"/>
                <w:sz w:val="18"/>
                <w:szCs w:val="18"/>
              </w:rPr>
            </w:pPr>
            <w:r>
              <w:rPr>
                <w:rFonts w:hint="eastAsia"/>
                <w:kern w:val="0"/>
                <w:sz w:val="18"/>
                <w:szCs w:val="18"/>
              </w:rPr>
              <w:t>采样前洗井时间</w:t>
            </w:r>
          </w:p>
        </w:tc>
        <w:tc>
          <w:tcPr>
            <w:tcW w:w="6804" w:type="dxa"/>
          </w:tcPr>
          <w:p w14:paraId="4FADF42B">
            <w:pPr>
              <w:ind w:firstLine="0" w:firstLineChars="0"/>
              <w:rPr>
                <w:kern w:val="0"/>
                <w:sz w:val="18"/>
                <w:szCs w:val="18"/>
              </w:rPr>
            </w:pPr>
            <w:r>
              <w:rPr>
                <w:rFonts w:hint="eastAsia"/>
                <w:kern w:val="0"/>
                <w:sz w:val="18"/>
                <w:szCs w:val="18"/>
              </w:rPr>
              <w:t>采样前洗井时间是否符合要求。</w:t>
            </w:r>
          </w:p>
          <w:p w14:paraId="5F7CEC63">
            <w:pPr>
              <w:ind w:firstLine="0" w:firstLineChars="0"/>
              <w:rPr>
                <w:kern w:val="0"/>
                <w:sz w:val="18"/>
                <w:szCs w:val="18"/>
              </w:rPr>
            </w:pPr>
            <w:r>
              <w:rPr>
                <w:rFonts w:hint="eastAsia"/>
                <w:kern w:val="0"/>
                <w:sz w:val="18"/>
                <w:szCs w:val="18"/>
              </w:rPr>
              <w:t>成井洗井结束至少24小时后方可进行采样前洗井和采样。</w:t>
            </w:r>
          </w:p>
        </w:tc>
        <w:tc>
          <w:tcPr>
            <w:tcW w:w="1275" w:type="dxa"/>
          </w:tcPr>
          <w:p w14:paraId="568578D7">
            <w:pPr>
              <w:ind w:firstLine="0" w:firstLineChars="0"/>
              <w:jc w:val="center"/>
              <w:rPr>
                <w:kern w:val="0"/>
                <w:sz w:val="18"/>
                <w:szCs w:val="18"/>
              </w:rPr>
            </w:pPr>
          </w:p>
        </w:tc>
        <w:tc>
          <w:tcPr>
            <w:tcW w:w="1418" w:type="dxa"/>
            <w:vAlign w:val="center"/>
          </w:tcPr>
          <w:p w14:paraId="5979B901">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2DBB4098">
            <w:pPr>
              <w:ind w:firstLine="0" w:firstLineChars="0"/>
              <w:rPr>
                <w:kern w:val="0"/>
                <w:sz w:val="18"/>
                <w:szCs w:val="18"/>
              </w:rPr>
            </w:pPr>
          </w:p>
        </w:tc>
      </w:tr>
      <w:tr w14:paraId="5B495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3B39616">
            <w:pPr>
              <w:ind w:firstLine="0" w:firstLineChars="0"/>
              <w:jc w:val="center"/>
              <w:rPr>
                <w:kern w:val="0"/>
                <w:sz w:val="18"/>
                <w:szCs w:val="18"/>
              </w:rPr>
            </w:pPr>
            <w:r>
              <w:rPr>
                <w:rFonts w:hint="eastAsia"/>
                <w:kern w:val="0"/>
                <w:sz w:val="18"/>
                <w:szCs w:val="18"/>
              </w:rPr>
              <w:t>1</w:t>
            </w:r>
            <w:r>
              <w:rPr>
                <w:kern w:val="0"/>
                <w:sz w:val="18"/>
                <w:szCs w:val="18"/>
              </w:rPr>
              <w:t>2</w:t>
            </w:r>
          </w:p>
        </w:tc>
        <w:tc>
          <w:tcPr>
            <w:tcW w:w="1134" w:type="dxa"/>
            <w:vMerge w:val="continue"/>
            <w:vAlign w:val="center"/>
          </w:tcPr>
          <w:p w14:paraId="3B918470">
            <w:pPr>
              <w:ind w:firstLine="0" w:firstLineChars="0"/>
              <w:jc w:val="center"/>
              <w:rPr>
                <w:kern w:val="0"/>
                <w:sz w:val="18"/>
                <w:szCs w:val="18"/>
              </w:rPr>
            </w:pPr>
          </w:p>
        </w:tc>
        <w:tc>
          <w:tcPr>
            <w:tcW w:w="1418" w:type="dxa"/>
            <w:vAlign w:val="center"/>
          </w:tcPr>
          <w:p w14:paraId="58928A3D">
            <w:pPr>
              <w:ind w:firstLine="0" w:firstLineChars="0"/>
              <w:jc w:val="center"/>
              <w:rPr>
                <w:kern w:val="0"/>
                <w:sz w:val="18"/>
                <w:szCs w:val="18"/>
              </w:rPr>
            </w:pPr>
            <w:r>
              <w:rPr>
                <w:rFonts w:hint="eastAsia"/>
                <w:kern w:val="0"/>
                <w:sz w:val="18"/>
                <w:szCs w:val="18"/>
              </w:rPr>
              <w:t>采样前洗井</w:t>
            </w:r>
          </w:p>
        </w:tc>
        <w:tc>
          <w:tcPr>
            <w:tcW w:w="6804" w:type="dxa"/>
          </w:tcPr>
          <w:p w14:paraId="08CE1FEE">
            <w:pPr>
              <w:ind w:firstLine="0" w:firstLineChars="0"/>
              <w:rPr>
                <w:kern w:val="0"/>
                <w:sz w:val="18"/>
                <w:szCs w:val="18"/>
              </w:rPr>
            </w:pPr>
            <w:r>
              <w:rPr>
                <w:rFonts w:hint="eastAsia"/>
                <w:kern w:val="0"/>
                <w:sz w:val="18"/>
                <w:szCs w:val="18"/>
              </w:rPr>
              <w:t>采样前洗井是否达标，是否按要求执行。</w:t>
            </w:r>
          </w:p>
          <w:p w14:paraId="66AB91CD">
            <w:pPr>
              <w:ind w:firstLine="0" w:firstLineChars="0"/>
              <w:rPr>
                <w:kern w:val="0"/>
                <w:sz w:val="18"/>
                <w:szCs w:val="18"/>
              </w:rPr>
            </w:pPr>
            <w:r>
              <w:rPr>
                <w:rFonts w:hint="eastAsia"/>
                <w:kern w:val="0"/>
                <w:sz w:val="18"/>
                <w:szCs w:val="18"/>
              </w:rPr>
              <w:t>现场水质测试浊度小于或等于10NTU是或者当浊度连续三次测定的变化在±10%以内、电导率连续三次测定的变化在±10%以内、pH连续三次测定的变化在±0.1以内；或洗井抽出水量在井内水体积的3~5倍时，可结束洗井。对于低渗透性地块难以完成洗井出水体积要求的，可按照《地块土壤和地下水中挥发性有机物采样技术导则》（HJ1019-2019）中“低渗透性含水层采样方法”要求执行。</w:t>
            </w:r>
          </w:p>
        </w:tc>
        <w:tc>
          <w:tcPr>
            <w:tcW w:w="1275" w:type="dxa"/>
          </w:tcPr>
          <w:p w14:paraId="5F0542FB">
            <w:pPr>
              <w:ind w:firstLine="0" w:firstLineChars="0"/>
              <w:jc w:val="center"/>
              <w:rPr>
                <w:kern w:val="0"/>
                <w:sz w:val="18"/>
                <w:szCs w:val="18"/>
              </w:rPr>
            </w:pPr>
          </w:p>
        </w:tc>
        <w:tc>
          <w:tcPr>
            <w:tcW w:w="1418" w:type="dxa"/>
            <w:vAlign w:val="center"/>
          </w:tcPr>
          <w:p w14:paraId="67E78B65">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38DB9754">
            <w:pPr>
              <w:ind w:firstLine="0" w:firstLineChars="0"/>
              <w:rPr>
                <w:kern w:val="0"/>
                <w:sz w:val="18"/>
                <w:szCs w:val="18"/>
              </w:rPr>
            </w:pPr>
          </w:p>
        </w:tc>
      </w:tr>
      <w:tr w14:paraId="535B7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6DF6818">
            <w:pPr>
              <w:ind w:firstLine="0" w:firstLineChars="0"/>
              <w:jc w:val="center"/>
              <w:rPr>
                <w:kern w:val="0"/>
                <w:sz w:val="18"/>
                <w:szCs w:val="18"/>
              </w:rPr>
            </w:pPr>
            <w:r>
              <w:rPr>
                <w:rFonts w:hint="eastAsia"/>
                <w:kern w:val="0"/>
                <w:sz w:val="18"/>
                <w:szCs w:val="18"/>
              </w:rPr>
              <w:t>1</w:t>
            </w:r>
            <w:r>
              <w:rPr>
                <w:kern w:val="0"/>
                <w:sz w:val="18"/>
                <w:szCs w:val="18"/>
              </w:rPr>
              <w:t>3</w:t>
            </w:r>
          </w:p>
        </w:tc>
        <w:tc>
          <w:tcPr>
            <w:tcW w:w="1134" w:type="dxa"/>
            <w:vMerge w:val="continue"/>
            <w:vAlign w:val="center"/>
          </w:tcPr>
          <w:p w14:paraId="63A9207B">
            <w:pPr>
              <w:ind w:firstLine="0" w:firstLineChars="0"/>
              <w:jc w:val="center"/>
              <w:rPr>
                <w:kern w:val="0"/>
                <w:sz w:val="18"/>
                <w:szCs w:val="18"/>
              </w:rPr>
            </w:pPr>
          </w:p>
        </w:tc>
        <w:tc>
          <w:tcPr>
            <w:tcW w:w="1418" w:type="dxa"/>
            <w:vAlign w:val="center"/>
          </w:tcPr>
          <w:p w14:paraId="6A4FFEA0">
            <w:pPr>
              <w:ind w:firstLine="0" w:firstLineChars="0"/>
              <w:jc w:val="center"/>
              <w:rPr>
                <w:kern w:val="0"/>
                <w:sz w:val="18"/>
                <w:szCs w:val="18"/>
              </w:rPr>
            </w:pPr>
            <w:r>
              <w:rPr>
                <w:rFonts w:hint="eastAsia"/>
                <w:kern w:val="0"/>
                <w:sz w:val="18"/>
                <w:szCs w:val="18"/>
              </w:rPr>
              <w:t>采集 VOCs样品采样前洗井方式</w:t>
            </w:r>
          </w:p>
        </w:tc>
        <w:tc>
          <w:tcPr>
            <w:tcW w:w="6804" w:type="dxa"/>
          </w:tcPr>
          <w:p w14:paraId="19E82834">
            <w:pPr>
              <w:ind w:firstLine="0" w:firstLineChars="0"/>
              <w:rPr>
                <w:kern w:val="0"/>
                <w:sz w:val="18"/>
                <w:szCs w:val="18"/>
              </w:rPr>
            </w:pPr>
            <w:r>
              <w:rPr>
                <w:rFonts w:hint="eastAsia"/>
                <w:kern w:val="0"/>
                <w:sz w:val="18"/>
                <w:szCs w:val="18"/>
              </w:rPr>
              <w:t>采样洗井方式是否符合要求。</w:t>
            </w:r>
          </w:p>
          <w:p w14:paraId="7A5B11D4">
            <w:pPr>
              <w:ind w:firstLine="0" w:firstLineChars="0"/>
              <w:rPr>
                <w:kern w:val="0"/>
                <w:sz w:val="18"/>
                <w:szCs w:val="18"/>
              </w:rPr>
            </w:pPr>
            <w:r>
              <w:rPr>
                <w:rFonts w:hint="eastAsia"/>
                <w:kern w:val="0"/>
                <w:sz w:val="18"/>
                <w:szCs w:val="18"/>
              </w:rPr>
              <w:t>需要采集VOCs样品的，采样前洗井不得使用反冲、气洗的方式。</w:t>
            </w:r>
          </w:p>
        </w:tc>
        <w:tc>
          <w:tcPr>
            <w:tcW w:w="1275" w:type="dxa"/>
          </w:tcPr>
          <w:p w14:paraId="12C7E209">
            <w:pPr>
              <w:ind w:firstLine="0" w:firstLineChars="0"/>
              <w:jc w:val="center"/>
              <w:rPr>
                <w:kern w:val="0"/>
                <w:sz w:val="18"/>
                <w:szCs w:val="18"/>
              </w:rPr>
            </w:pPr>
          </w:p>
        </w:tc>
        <w:tc>
          <w:tcPr>
            <w:tcW w:w="1418" w:type="dxa"/>
            <w:vAlign w:val="center"/>
          </w:tcPr>
          <w:p w14:paraId="19373C07">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77069A54">
            <w:pPr>
              <w:ind w:firstLine="0" w:firstLineChars="0"/>
              <w:rPr>
                <w:kern w:val="0"/>
                <w:sz w:val="18"/>
                <w:szCs w:val="18"/>
              </w:rPr>
            </w:pPr>
          </w:p>
        </w:tc>
      </w:tr>
      <w:tr w14:paraId="0DB65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769C2EFD">
            <w:pPr>
              <w:ind w:firstLine="0" w:firstLineChars="0"/>
              <w:jc w:val="center"/>
              <w:rPr>
                <w:kern w:val="0"/>
                <w:sz w:val="18"/>
                <w:szCs w:val="18"/>
              </w:rPr>
            </w:pPr>
            <w:r>
              <w:rPr>
                <w:rFonts w:hint="eastAsia"/>
                <w:kern w:val="0"/>
                <w:sz w:val="18"/>
                <w:szCs w:val="18"/>
              </w:rPr>
              <w:t>1</w:t>
            </w:r>
            <w:r>
              <w:rPr>
                <w:kern w:val="0"/>
                <w:sz w:val="18"/>
                <w:szCs w:val="18"/>
              </w:rPr>
              <w:t>4</w:t>
            </w:r>
          </w:p>
        </w:tc>
        <w:tc>
          <w:tcPr>
            <w:tcW w:w="1134" w:type="dxa"/>
            <w:vMerge w:val="continue"/>
            <w:vAlign w:val="center"/>
          </w:tcPr>
          <w:p w14:paraId="60C3964C">
            <w:pPr>
              <w:ind w:firstLine="0" w:firstLineChars="0"/>
              <w:jc w:val="center"/>
              <w:rPr>
                <w:kern w:val="0"/>
                <w:sz w:val="18"/>
                <w:szCs w:val="18"/>
              </w:rPr>
            </w:pPr>
          </w:p>
        </w:tc>
        <w:tc>
          <w:tcPr>
            <w:tcW w:w="1418" w:type="dxa"/>
            <w:vAlign w:val="center"/>
          </w:tcPr>
          <w:p w14:paraId="4A69BB26">
            <w:pPr>
              <w:ind w:firstLine="0" w:firstLineChars="0"/>
              <w:jc w:val="center"/>
              <w:rPr>
                <w:kern w:val="0"/>
                <w:sz w:val="18"/>
                <w:szCs w:val="18"/>
              </w:rPr>
            </w:pPr>
            <w:r>
              <w:rPr>
                <w:rFonts w:hint="eastAsia"/>
                <w:kern w:val="0"/>
                <w:sz w:val="18"/>
                <w:szCs w:val="18"/>
              </w:rPr>
              <w:t>交叉污染防控</w:t>
            </w:r>
          </w:p>
        </w:tc>
        <w:tc>
          <w:tcPr>
            <w:tcW w:w="6804" w:type="dxa"/>
          </w:tcPr>
          <w:p w14:paraId="553D7CF7">
            <w:pPr>
              <w:ind w:firstLine="0" w:firstLineChars="0"/>
              <w:rPr>
                <w:kern w:val="0"/>
                <w:sz w:val="18"/>
                <w:szCs w:val="18"/>
              </w:rPr>
            </w:pPr>
            <w:r>
              <w:rPr>
                <w:rFonts w:hint="eastAsia"/>
                <w:kern w:val="0"/>
                <w:sz w:val="18"/>
                <w:szCs w:val="18"/>
              </w:rPr>
              <w:t>交叉污染防控措施是否规范。</w:t>
            </w:r>
          </w:p>
          <w:p w14:paraId="32EFF99B">
            <w:pPr>
              <w:ind w:firstLine="0" w:firstLineChars="0"/>
              <w:rPr>
                <w:kern w:val="0"/>
                <w:sz w:val="18"/>
                <w:szCs w:val="18"/>
              </w:rPr>
            </w:pPr>
            <w:r>
              <w:rPr>
                <w:rFonts w:hint="eastAsia"/>
                <w:kern w:val="0"/>
                <w:sz w:val="18"/>
                <w:szCs w:val="18"/>
              </w:rPr>
              <w:t>①在采集不同监测井水样时需清洗采样设备；</w:t>
            </w:r>
          </w:p>
          <w:p w14:paraId="3B477C09">
            <w:pPr>
              <w:ind w:firstLine="0" w:firstLineChars="0"/>
              <w:rPr>
                <w:kern w:val="0"/>
                <w:sz w:val="18"/>
                <w:szCs w:val="18"/>
              </w:rPr>
            </w:pPr>
            <w:r>
              <w:rPr>
                <w:rFonts w:hint="eastAsia"/>
                <w:kern w:val="0"/>
                <w:sz w:val="18"/>
                <w:szCs w:val="18"/>
              </w:rPr>
              <w:t>②使用贝勒管时，使用贝勒管时，一井配一管；</w:t>
            </w:r>
          </w:p>
        </w:tc>
        <w:tc>
          <w:tcPr>
            <w:tcW w:w="1275" w:type="dxa"/>
          </w:tcPr>
          <w:p w14:paraId="406E3F1C">
            <w:pPr>
              <w:ind w:firstLine="0" w:firstLineChars="0"/>
              <w:jc w:val="center"/>
              <w:rPr>
                <w:kern w:val="0"/>
                <w:sz w:val="18"/>
                <w:szCs w:val="18"/>
              </w:rPr>
            </w:pPr>
          </w:p>
        </w:tc>
        <w:tc>
          <w:tcPr>
            <w:tcW w:w="1418" w:type="dxa"/>
            <w:vAlign w:val="center"/>
          </w:tcPr>
          <w:p w14:paraId="6077E6D8">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72DFC5DB">
            <w:pPr>
              <w:ind w:firstLine="0" w:firstLineChars="0"/>
              <w:rPr>
                <w:kern w:val="0"/>
                <w:sz w:val="18"/>
                <w:szCs w:val="18"/>
              </w:rPr>
            </w:pPr>
          </w:p>
        </w:tc>
      </w:tr>
      <w:tr w14:paraId="0AEDC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73A188F">
            <w:pPr>
              <w:ind w:firstLine="0" w:firstLineChars="0"/>
              <w:jc w:val="center"/>
              <w:rPr>
                <w:kern w:val="0"/>
                <w:sz w:val="18"/>
                <w:szCs w:val="18"/>
              </w:rPr>
            </w:pPr>
            <w:r>
              <w:rPr>
                <w:rFonts w:hint="eastAsia"/>
                <w:kern w:val="0"/>
                <w:sz w:val="18"/>
                <w:szCs w:val="18"/>
              </w:rPr>
              <w:t>1</w:t>
            </w:r>
            <w:r>
              <w:rPr>
                <w:kern w:val="0"/>
                <w:sz w:val="18"/>
                <w:szCs w:val="18"/>
              </w:rPr>
              <w:t>5</w:t>
            </w:r>
          </w:p>
        </w:tc>
        <w:tc>
          <w:tcPr>
            <w:tcW w:w="1134" w:type="dxa"/>
            <w:vMerge w:val="continue"/>
            <w:vAlign w:val="center"/>
          </w:tcPr>
          <w:p w14:paraId="7ACCF1EC">
            <w:pPr>
              <w:ind w:firstLine="0" w:firstLineChars="0"/>
              <w:jc w:val="center"/>
              <w:rPr>
                <w:kern w:val="0"/>
                <w:sz w:val="18"/>
                <w:szCs w:val="18"/>
              </w:rPr>
            </w:pPr>
          </w:p>
        </w:tc>
        <w:tc>
          <w:tcPr>
            <w:tcW w:w="1418" w:type="dxa"/>
            <w:vAlign w:val="center"/>
          </w:tcPr>
          <w:p w14:paraId="2369F1FB">
            <w:pPr>
              <w:ind w:firstLine="0" w:firstLineChars="0"/>
              <w:jc w:val="center"/>
              <w:rPr>
                <w:kern w:val="0"/>
                <w:sz w:val="18"/>
                <w:szCs w:val="18"/>
              </w:rPr>
            </w:pPr>
            <w:r>
              <w:rPr>
                <w:rFonts w:hint="eastAsia"/>
                <w:kern w:val="0"/>
                <w:sz w:val="18"/>
                <w:szCs w:val="18"/>
              </w:rPr>
              <w:t>VOCs 样品采集</w:t>
            </w:r>
          </w:p>
        </w:tc>
        <w:tc>
          <w:tcPr>
            <w:tcW w:w="6804" w:type="dxa"/>
          </w:tcPr>
          <w:p w14:paraId="3274FEC7">
            <w:pPr>
              <w:ind w:firstLine="0" w:firstLineChars="0"/>
              <w:rPr>
                <w:kern w:val="0"/>
                <w:sz w:val="18"/>
                <w:szCs w:val="18"/>
              </w:rPr>
            </w:pPr>
            <w:r>
              <w:rPr>
                <w:rFonts w:hint="eastAsia"/>
                <w:kern w:val="0"/>
                <w:sz w:val="18"/>
                <w:szCs w:val="18"/>
              </w:rPr>
              <w:t>VOCs样品采集是否规范。</w:t>
            </w:r>
          </w:p>
          <w:p w14:paraId="4D5EF4E7">
            <w:pPr>
              <w:ind w:firstLine="0" w:firstLineChars="0"/>
              <w:rPr>
                <w:kern w:val="0"/>
                <w:sz w:val="18"/>
                <w:szCs w:val="18"/>
              </w:rPr>
            </w:pPr>
            <w:r>
              <w:rPr>
                <w:rFonts w:hint="eastAsia"/>
                <w:kern w:val="0"/>
                <w:sz w:val="18"/>
                <w:szCs w:val="18"/>
              </w:rPr>
              <w:t>①应根据水文地址条件、井管尺寸、现场采样条件等，选择合适的采样</w:t>
            </w:r>
          </w:p>
          <w:p w14:paraId="4EE62F3D">
            <w:pPr>
              <w:ind w:firstLine="0" w:firstLineChars="0"/>
              <w:rPr>
                <w:kern w:val="0"/>
                <w:sz w:val="18"/>
                <w:szCs w:val="18"/>
              </w:rPr>
            </w:pPr>
            <w:r>
              <w:rPr>
                <w:rFonts w:hint="eastAsia"/>
                <w:kern w:val="0"/>
                <w:sz w:val="18"/>
                <w:szCs w:val="18"/>
              </w:rPr>
              <w:t>方法，一般情况下，应优先选择低速采样方法；</w:t>
            </w:r>
          </w:p>
          <w:p w14:paraId="6FAF1185">
            <w:pPr>
              <w:ind w:firstLine="0" w:firstLineChars="0"/>
              <w:rPr>
                <w:kern w:val="0"/>
                <w:sz w:val="18"/>
                <w:szCs w:val="18"/>
              </w:rPr>
            </w:pPr>
            <w:r>
              <w:rPr>
                <w:rFonts w:hint="eastAsia"/>
                <w:kern w:val="0"/>
                <w:sz w:val="18"/>
                <w:szCs w:val="18"/>
              </w:rPr>
              <w:t>②优先采集用于测定VOCs的地下水样品；</w:t>
            </w:r>
          </w:p>
          <w:p w14:paraId="2A401DC5">
            <w:pPr>
              <w:ind w:firstLine="0" w:firstLineChars="0"/>
              <w:rPr>
                <w:kern w:val="0"/>
                <w:sz w:val="18"/>
                <w:szCs w:val="18"/>
              </w:rPr>
            </w:pPr>
            <w:r>
              <w:rPr>
                <w:rFonts w:hint="eastAsia"/>
                <w:kern w:val="0"/>
                <w:sz w:val="18"/>
                <w:szCs w:val="18"/>
              </w:rPr>
              <w:t>③控制出水流速，最高不超过0.5L/min；</w:t>
            </w:r>
          </w:p>
          <w:p w14:paraId="78C2CB2E">
            <w:pPr>
              <w:ind w:firstLine="0" w:firstLineChars="0"/>
              <w:rPr>
                <w:kern w:val="0"/>
                <w:sz w:val="18"/>
                <w:szCs w:val="18"/>
              </w:rPr>
            </w:pPr>
            <w:r>
              <w:rPr>
                <w:rFonts w:hint="eastAsia"/>
                <w:kern w:val="0"/>
                <w:sz w:val="18"/>
                <w:szCs w:val="18"/>
              </w:rPr>
              <w:t>④样品瓶不存在顶空或气泡。</w:t>
            </w:r>
          </w:p>
        </w:tc>
        <w:tc>
          <w:tcPr>
            <w:tcW w:w="1275" w:type="dxa"/>
          </w:tcPr>
          <w:p w14:paraId="63F9A1E3">
            <w:pPr>
              <w:ind w:firstLine="0" w:firstLineChars="0"/>
              <w:jc w:val="center"/>
              <w:rPr>
                <w:kern w:val="0"/>
                <w:sz w:val="18"/>
                <w:szCs w:val="18"/>
              </w:rPr>
            </w:pPr>
          </w:p>
        </w:tc>
        <w:tc>
          <w:tcPr>
            <w:tcW w:w="1418" w:type="dxa"/>
            <w:vAlign w:val="center"/>
          </w:tcPr>
          <w:p w14:paraId="7AC47D2B">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5F02D68D">
            <w:pPr>
              <w:ind w:firstLine="0" w:firstLineChars="0"/>
              <w:rPr>
                <w:kern w:val="0"/>
                <w:sz w:val="18"/>
                <w:szCs w:val="18"/>
              </w:rPr>
            </w:pPr>
          </w:p>
        </w:tc>
      </w:tr>
      <w:tr w14:paraId="53E8F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F654F84">
            <w:pPr>
              <w:ind w:firstLine="0" w:firstLineChars="0"/>
              <w:jc w:val="center"/>
              <w:rPr>
                <w:kern w:val="0"/>
                <w:sz w:val="18"/>
                <w:szCs w:val="18"/>
              </w:rPr>
            </w:pPr>
            <w:r>
              <w:rPr>
                <w:rFonts w:hint="eastAsia"/>
                <w:kern w:val="0"/>
                <w:sz w:val="18"/>
                <w:szCs w:val="18"/>
              </w:rPr>
              <w:t>1</w:t>
            </w:r>
            <w:r>
              <w:rPr>
                <w:kern w:val="0"/>
                <w:sz w:val="18"/>
                <w:szCs w:val="18"/>
              </w:rPr>
              <w:t>6</w:t>
            </w:r>
          </w:p>
        </w:tc>
        <w:tc>
          <w:tcPr>
            <w:tcW w:w="1134" w:type="dxa"/>
            <w:vMerge w:val="continue"/>
            <w:vAlign w:val="center"/>
          </w:tcPr>
          <w:p w14:paraId="4CA851F2">
            <w:pPr>
              <w:ind w:firstLine="0" w:firstLineChars="0"/>
              <w:jc w:val="center"/>
              <w:rPr>
                <w:kern w:val="0"/>
                <w:sz w:val="18"/>
                <w:szCs w:val="18"/>
              </w:rPr>
            </w:pPr>
          </w:p>
        </w:tc>
        <w:tc>
          <w:tcPr>
            <w:tcW w:w="1418" w:type="dxa"/>
            <w:vAlign w:val="center"/>
          </w:tcPr>
          <w:p w14:paraId="705C8654">
            <w:pPr>
              <w:ind w:firstLine="0" w:firstLineChars="0"/>
              <w:jc w:val="center"/>
              <w:rPr>
                <w:kern w:val="0"/>
                <w:sz w:val="18"/>
                <w:szCs w:val="18"/>
              </w:rPr>
            </w:pPr>
            <w:r>
              <w:rPr>
                <w:rFonts w:hint="eastAsia"/>
                <w:kern w:val="0"/>
                <w:sz w:val="18"/>
                <w:szCs w:val="18"/>
              </w:rPr>
              <w:t>样品保存条件</w:t>
            </w:r>
          </w:p>
        </w:tc>
        <w:tc>
          <w:tcPr>
            <w:tcW w:w="6804" w:type="dxa"/>
          </w:tcPr>
          <w:p w14:paraId="289A476B">
            <w:pPr>
              <w:ind w:firstLine="0" w:firstLineChars="0"/>
              <w:rPr>
                <w:kern w:val="0"/>
                <w:sz w:val="18"/>
                <w:szCs w:val="18"/>
              </w:rPr>
            </w:pPr>
            <w:r>
              <w:rPr>
                <w:rFonts w:hint="eastAsia"/>
                <w:kern w:val="0"/>
                <w:sz w:val="18"/>
                <w:szCs w:val="18"/>
              </w:rPr>
              <w:t>样品保存条件是否符合要求。</w:t>
            </w:r>
          </w:p>
          <w:p w14:paraId="41B293EF">
            <w:pPr>
              <w:ind w:firstLine="0" w:firstLineChars="0"/>
              <w:rPr>
                <w:kern w:val="0"/>
                <w:sz w:val="18"/>
                <w:szCs w:val="18"/>
              </w:rPr>
            </w:pPr>
            <w:r>
              <w:rPr>
                <w:rFonts w:hint="eastAsia"/>
                <w:kern w:val="0"/>
                <w:sz w:val="18"/>
                <w:szCs w:val="18"/>
              </w:rPr>
              <w:t>①根据检测目的、检测项目和检测方法的要求，参照《地下水环境监测技术规范》（HJ164-2020），在样品中加入保存剂；</w:t>
            </w:r>
          </w:p>
          <w:p w14:paraId="7AE21D46">
            <w:pPr>
              <w:ind w:firstLine="0" w:firstLineChars="0"/>
              <w:rPr>
                <w:kern w:val="0"/>
                <w:sz w:val="18"/>
                <w:szCs w:val="18"/>
              </w:rPr>
            </w:pPr>
            <w:r>
              <w:rPr>
                <w:rFonts w:hint="eastAsia"/>
                <w:kern w:val="0"/>
                <w:sz w:val="18"/>
                <w:szCs w:val="18"/>
              </w:rPr>
              <w:t>②避免日光照射，并置于4℃冷藏箱中保存。</w:t>
            </w:r>
          </w:p>
        </w:tc>
        <w:tc>
          <w:tcPr>
            <w:tcW w:w="1275" w:type="dxa"/>
          </w:tcPr>
          <w:p w14:paraId="4F8A0462">
            <w:pPr>
              <w:ind w:firstLine="0" w:firstLineChars="0"/>
              <w:jc w:val="center"/>
              <w:rPr>
                <w:kern w:val="0"/>
                <w:sz w:val="18"/>
                <w:szCs w:val="18"/>
              </w:rPr>
            </w:pPr>
          </w:p>
        </w:tc>
        <w:tc>
          <w:tcPr>
            <w:tcW w:w="1418" w:type="dxa"/>
            <w:vAlign w:val="center"/>
          </w:tcPr>
          <w:p w14:paraId="7CD70A7A">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60B9D338">
            <w:pPr>
              <w:ind w:firstLine="0" w:firstLineChars="0"/>
              <w:rPr>
                <w:kern w:val="0"/>
                <w:sz w:val="18"/>
                <w:szCs w:val="18"/>
              </w:rPr>
            </w:pPr>
          </w:p>
        </w:tc>
      </w:tr>
      <w:tr w14:paraId="0E248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A61FA17">
            <w:pPr>
              <w:ind w:firstLine="0" w:firstLineChars="0"/>
              <w:jc w:val="center"/>
              <w:rPr>
                <w:kern w:val="0"/>
                <w:sz w:val="18"/>
                <w:szCs w:val="18"/>
              </w:rPr>
            </w:pPr>
            <w:r>
              <w:rPr>
                <w:rFonts w:hint="eastAsia"/>
                <w:kern w:val="0"/>
                <w:sz w:val="18"/>
                <w:szCs w:val="18"/>
              </w:rPr>
              <w:t>1</w:t>
            </w:r>
            <w:r>
              <w:rPr>
                <w:kern w:val="0"/>
                <w:sz w:val="18"/>
                <w:szCs w:val="18"/>
              </w:rPr>
              <w:t>7</w:t>
            </w:r>
          </w:p>
        </w:tc>
        <w:tc>
          <w:tcPr>
            <w:tcW w:w="1134" w:type="dxa"/>
            <w:vMerge w:val="continue"/>
            <w:vAlign w:val="center"/>
          </w:tcPr>
          <w:p w14:paraId="0BC41129">
            <w:pPr>
              <w:ind w:firstLine="0" w:firstLineChars="0"/>
              <w:jc w:val="center"/>
              <w:rPr>
                <w:kern w:val="0"/>
                <w:sz w:val="18"/>
                <w:szCs w:val="18"/>
              </w:rPr>
            </w:pPr>
          </w:p>
        </w:tc>
        <w:tc>
          <w:tcPr>
            <w:tcW w:w="1418" w:type="dxa"/>
            <w:vAlign w:val="center"/>
          </w:tcPr>
          <w:p w14:paraId="7BD30C56">
            <w:pPr>
              <w:ind w:firstLine="0" w:firstLineChars="0"/>
              <w:jc w:val="center"/>
              <w:rPr>
                <w:kern w:val="0"/>
                <w:sz w:val="18"/>
                <w:szCs w:val="18"/>
              </w:rPr>
            </w:pPr>
            <w:r>
              <w:rPr>
                <w:rFonts w:hint="eastAsia"/>
                <w:kern w:val="0"/>
                <w:sz w:val="18"/>
                <w:szCs w:val="18"/>
              </w:rPr>
              <w:t>样品检查</w:t>
            </w:r>
          </w:p>
        </w:tc>
        <w:tc>
          <w:tcPr>
            <w:tcW w:w="6804" w:type="dxa"/>
          </w:tcPr>
          <w:p w14:paraId="6A8D3327">
            <w:pPr>
              <w:tabs>
                <w:tab w:val="left" w:pos="1029"/>
              </w:tabs>
              <w:ind w:firstLine="0" w:firstLineChars="0"/>
              <w:rPr>
                <w:kern w:val="0"/>
                <w:sz w:val="18"/>
                <w:szCs w:val="18"/>
              </w:rPr>
            </w:pPr>
            <w:r>
              <w:rPr>
                <w:rFonts w:hint="eastAsia"/>
                <w:kern w:val="0"/>
                <w:sz w:val="18"/>
                <w:szCs w:val="18"/>
              </w:rPr>
              <w:t>已采集样品是否符合要求。</w:t>
            </w:r>
          </w:p>
          <w:p w14:paraId="45F05F5F">
            <w:pPr>
              <w:tabs>
                <w:tab w:val="left" w:pos="1029"/>
              </w:tabs>
              <w:ind w:firstLine="0" w:firstLineChars="0"/>
              <w:rPr>
                <w:kern w:val="0"/>
                <w:sz w:val="18"/>
                <w:szCs w:val="18"/>
              </w:rPr>
            </w:pPr>
            <w:r>
              <w:rPr>
                <w:rFonts w:hint="eastAsia"/>
                <w:kern w:val="0"/>
                <w:sz w:val="18"/>
                <w:szCs w:val="18"/>
              </w:rPr>
              <w:t>①已采集样品类型、数量应当满足采样方案要求；</w:t>
            </w:r>
          </w:p>
          <w:p w14:paraId="3187912F">
            <w:pPr>
              <w:tabs>
                <w:tab w:val="left" w:pos="1029"/>
              </w:tabs>
              <w:ind w:firstLine="0" w:firstLineChars="0"/>
              <w:rPr>
                <w:kern w:val="0"/>
                <w:sz w:val="18"/>
                <w:szCs w:val="18"/>
              </w:rPr>
            </w:pPr>
            <w:r>
              <w:rPr>
                <w:rFonts w:hint="eastAsia"/>
                <w:kern w:val="0"/>
                <w:sz w:val="18"/>
                <w:szCs w:val="18"/>
              </w:rPr>
              <w:t>②样品应按检测项目类型分别采集装瓶；</w:t>
            </w:r>
          </w:p>
          <w:p w14:paraId="38D99177">
            <w:pPr>
              <w:tabs>
                <w:tab w:val="left" w:pos="1029"/>
              </w:tabs>
              <w:ind w:firstLine="0" w:firstLineChars="0"/>
              <w:rPr>
                <w:kern w:val="0"/>
                <w:sz w:val="18"/>
                <w:szCs w:val="18"/>
              </w:rPr>
            </w:pPr>
            <w:r>
              <w:rPr>
                <w:rFonts w:hint="eastAsia"/>
                <w:kern w:val="0"/>
                <w:sz w:val="18"/>
                <w:szCs w:val="18"/>
              </w:rPr>
              <w:t>③样品重量或体积应当满足检测要求。</w:t>
            </w:r>
          </w:p>
        </w:tc>
        <w:tc>
          <w:tcPr>
            <w:tcW w:w="1275" w:type="dxa"/>
          </w:tcPr>
          <w:p w14:paraId="0DAE5076">
            <w:pPr>
              <w:ind w:firstLine="0" w:firstLineChars="0"/>
              <w:jc w:val="center"/>
              <w:rPr>
                <w:kern w:val="0"/>
                <w:sz w:val="18"/>
                <w:szCs w:val="18"/>
              </w:rPr>
            </w:pPr>
          </w:p>
        </w:tc>
        <w:tc>
          <w:tcPr>
            <w:tcW w:w="1418" w:type="dxa"/>
            <w:vAlign w:val="center"/>
          </w:tcPr>
          <w:p w14:paraId="73516441">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148003F5">
            <w:pPr>
              <w:ind w:firstLine="0" w:firstLineChars="0"/>
              <w:rPr>
                <w:kern w:val="0"/>
                <w:sz w:val="18"/>
                <w:szCs w:val="18"/>
              </w:rPr>
            </w:pPr>
          </w:p>
        </w:tc>
      </w:tr>
      <w:tr w14:paraId="02B39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A9C10F1">
            <w:pPr>
              <w:ind w:firstLine="0" w:firstLineChars="0"/>
              <w:jc w:val="center"/>
              <w:rPr>
                <w:kern w:val="0"/>
                <w:sz w:val="18"/>
                <w:szCs w:val="18"/>
              </w:rPr>
            </w:pPr>
            <w:r>
              <w:rPr>
                <w:rFonts w:hint="eastAsia"/>
                <w:kern w:val="0"/>
                <w:sz w:val="18"/>
                <w:szCs w:val="18"/>
              </w:rPr>
              <w:t>1</w:t>
            </w:r>
            <w:r>
              <w:rPr>
                <w:kern w:val="0"/>
                <w:sz w:val="18"/>
                <w:szCs w:val="18"/>
              </w:rPr>
              <w:t>8</w:t>
            </w:r>
          </w:p>
        </w:tc>
        <w:tc>
          <w:tcPr>
            <w:tcW w:w="1134" w:type="dxa"/>
            <w:vAlign w:val="center"/>
          </w:tcPr>
          <w:p w14:paraId="4042BAF4">
            <w:pPr>
              <w:ind w:firstLine="0" w:firstLineChars="0"/>
              <w:jc w:val="center"/>
              <w:rPr>
                <w:kern w:val="0"/>
                <w:sz w:val="18"/>
                <w:szCs w:val="18"/>
              </w:rPr>
            </w:pPr>
            <w:r>
              <w:rPr>
                <w:rFonts w:hint="eastAsia"/>
                <w:kern w:val="0"/>
                <w:sz w:val="18"/>
                <w:szCs w:val="18"/>
              </w:rPr>
              <w:t>样品流转</w:t>
            </w:r>
          </w:p>
        </w:tc>
        <w:tc>
          <w:tcPr>
            <w:tcW w:w="1418" w:type="dxa"/>
            <w:vAlign w:val="center"/>
          </w:tcPr>
          <w:p w14:paraId="5B0AEE77">
            <w:pPr>
              <w:ind w:firstLine="0" w:firstLineChars="0"/>
              <w:jc w:val="center"/>
              <w:rPr>
                <w:kern w:val="0"/>
                <w:sz w:val="18"/>
                <w:szCs w:val="18"/>
              </w:rPr>
            </w:pPr>
            <w:r>
              <w:rPr>
                <w:rFonts w:hint="eastAsia"/>
                <w:kern w:val="0"/>
                <w:sz w:val="18"/>
                <w:szCs w:val="18"/>
              </w:rPr>
              <w:t>样品流转</w:t>
            </w:r>
          </w:p>
        </w:tc>
        <w:tc>
          <w:tcPr>
            <w:tcW w:w="6804" w:type="dxa"/>
          </w:tcPr>
          <w:p w14:paraId="4D6B448A">
            <w:pPr>
              <w:tabs>
                <w:tab w:val="left" w:pos="1029"/>
              </w:tabs>
              <w:ind w:firstLine="0" w:firstLineChars="0"/>
              <w:rPr>
                <w:kern w:val="0"/>
                <w:sz w:val="18"/>
                <w:szCs w:val="18"/>
              </w:rPr>
            </w:pPr>
            <w:r>
              <w:rPr>
                <w:rFonts w:hint="eastAsia"/>
                <w:kern w:val="0"/>
                <w:sz w:val="18"/>
                <w:szCs w:val="18"/>
              </w:rPr>
              <w:t>样品流转是否符合要求。</w:t>
            </w:r>
          </w:p>
          <w:p w14:paraId="27313EE5">
            <w:pPr>
              <w:tabs>
                <w:tab w:val="left" w:pos="1029"/>
              </w:tabs>
              <w:ind w:firstLine="0" w:firstLineChars="0"/>
              <w:rPr>
                <w:kern w:val="0"/>
                <w:sz w:val="18"/>
                <w:szCs w:val="18"/>
              </w:rPr>
            </w:pPr>
            <w:r>
              <w:rPr>
                <w:rFonts w:hint="eastAsia"/>
                <w:kern w:val="0"/>
                <w:sz w:val="18"/>
                <w:szCs w:val="18"/>
              </w:rPr>
              <w:t>①样品保存时效应当满足相应检测项目的测试周期要求；</w:t>
            </w:r>
          </w:p>
          <w:p w14:paraId="2746AC16">
            <w:pPr>
              <w:tabs>
                <w:tab w:val="left" w:pos="1029"/>
              </w:tabs>
              <w:ind w:firstLine="0" w:firstLineChars="0"/>
              <w:rPr>
                <w:kern w:val="0"/>
                <w:sz w:val="18"/>
                <w:szCs w:val="18"/>
              </w:rPr>
            </w:pPr>
            <w:r>
              <w:rPr>
                <w:rFonts w:hint="eastAsia"/>
                <w:kern w:val="0"/>
                <w:sz w:val="18"/>
                <w:szCs w:val="18"/>
              </w:rPr>
              <w:t>②样品保存条件（包括温度、气泡及保护剂等）应当满足全部送检样品</w:t>
            </w:r>
          </w:p>
          <w:p w14:paraId="5D449A1D">
            <w:pPr>
              <w:tabs>
                <w:tab w:val="left" w:pos="1029"/>
              </w:tabs>
              <w:ind w:firstLine="0" w:firstLineChars="0"/>
              <w:rPr>
                <w:kern w:val="0"/>
                <w:sz w:val="18"/>
                <w:szCs w:val="18"/>
              </w:rPr>
            </w:pPr>
            <w:r>
              <w:rPr>
                <w:rFonts w:hint="eastAsia"/>
                <w:kern w:val="0"/>
                <w:sz w:val="18"/>
                <w:szCs w:val="18"/>
              </w:rPr>
              <w:t>要求；</w:t>
            </w:r>
          </w:p>
          <w:p w14:paraId="2BD9275F">
            <w:pPr>
              <w:tabs>
                <w:tab w:val="left" w:pos="1029"/>
              </w:tabs>
              <w:ind w:firstLine="0" w:firstLineChars="0"/>
              <w:rPr>
                <w:kern w:val="0"/>
                <w:sz w:val="18"/>
                <w:szCs w:val="18"/>
              </w:rPr>
            </w:pPr>
            <w:r>
              <w:rPr>
                <w:rFonts w:hint="eastAsia"/>
                <w:kern w:val="0"/>
                <w:sz w:val="18"/>
                <w:szCs w:val="18"/>
              </w:rPr>
              <w:t>③样品包装容器应当无破损，密封完好；</w:t>
            </w:r>
          </w:p>
          <w:p w14:paraId="44C84360">
            <w:pPr>
              <w:tabs>
                <w:tab w:val="left" w:pos="1029"/>
              </w:tabs>
              <w:ind w:firstLine="0" w:firstLineChars="0"/>
              <w:rPr>
                <w:kern w:val="0"/>
                <w:sz w:val="18"/>
                <w:szCs w:val="18"/>
              </w:rPr>
            </w:pPr>
            <w:r>
              <w:rPr>
                <w:rFonts w:hint="eastAsia"/>
                <w:kern w:val="0"/>
                <w:sz w:val="18"/>
                <w:szCs w:val="18"/>
              </w:rPr>
              <w:t>④样品包装容器标签应当完整、清晰、可辨识，标签上的样品编码应当与“样品运送单”完全一致；</w:t>
            </w:r>
          </w:p>
          <w:p w14:paraId="51CD87E0">
            <w:pPr>
              <w:tabs>
                <w:tab w:val="left" w:pos="1029"/>
              </w:tabs>
              <w:ind w:firstLine="0" w:firstLineChars="0"/>
              <w:rPr>
                <w:kern w:val="0"/>
                <w:sz w:val="18"/>
                <w:szCs w:val="18"/>
              </w:rPr>
            </w:pPr>
            <w:r>
              <w:rPr>
                <w:rFonts w:hint="eastAsia"/>
                <w:kern w:val="0"/>
                <w:sz w:val="18"/>
                <w:szCs w:val="18"/>
              </w:rPr>
              <w:t>⑤“样品运送单”与实际情况一致。</w:t>
            </w:r>
          </w:p>
        </w:tc>
        <w:tc>
          <w:tcPr>
            <w:tcW w:w="1275" w:type="dxa"/>
          </w:tcPr>
          <w:p w14:paraId="54E27996">
            <w:pPr>
              <w:ind w:firstLine="0" w:firstLineChars="0"/>
              <w:jc w:val="center"/>
              <w:rPr>
                <w:kern w:val="0"/>
                <w:sz w:val="18"/>
                <w:szCs w:val="18"/>
              </w:rPr>
            </w:pPr>
          </w:p>
        </w:tc>
        <w:tc>
          <w:tcPr>
            <w:tcW w:w="1418" w:type="dxa"/>
            <w:vAlign w:val="center"/>
          </w:tcPr>
          <w:p w14:paraId="0F5F47D6">
            <w:pPr>
              <w:ind w:firstLine="0" w:firstLineChars="0"/>
              <w:jc w:val="center"/>
              <w:rPr>
                <w:kern w:val="0"/>
                <w:sz w:val="18"/>
                <w:szCs w:val="18"/>
              </w:rPr>
            </w:pPr>
            <w:r>
              <w:rPr>
                <w:kern w:val="0"/>
                <w:sz w:val="18"/>
                <w:szCs w:val="18"/>
              </w:rPr>
              <w:t></w:t>
            </w:r>
            <w:r>
              <w:rPr>
                <w:rFonts w:hint="eastAsia"/>
                <w:kern w:val="0"/>
                <w:sz w:val="18"/>
                <w:szCs w:val="18"/>
              </w:rPr>
              <w:t xml:space="preserve">是 </w:t>
            </w:r>
            <w:r>
              <w:rPr>
                <w:kern w:val="0"/>
                <w:sz w:val="18"/>
                <w:szCs w:val="18"/>
              </w:rPr>
              <w:t xml:space="preserve"> </w:t>
            </w:r>
            <w:r>
              <w:rPr>
                <w:rFonts w:hint="eastAsia"/>
                <w:kern w:val="0"/>
                <w:sz w:val="18"/>
                <w:szCs w:val="18"/>
              </w:rPr>
              <w:t>否</w:t>
            </w:r>
          </w:p>
        </w:tc>
        <w:tc>
          <w:tcPr>
            <w:tcW w:w="1134" w:type="dxa"/>
          </w:tcPr>
          <w:p w14:paraId="55539623">
            <w:pPr>
              <w:ind w:firstLine="0" w:firstLineChars="0"/>
              <w:rPr>
                <w:kern w:val="0"/>
                <w:sz w:val="18"/>
                <w:szCs w:val="18"/>
              </w:rPr>
            </w:pPr>
          </w:p>
        </w:tc>
      </w:tr>
      <w:tr w14:paraId="52B2B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gridSpan w:val="2"/>
            <w:vAlign w:val="center"/>
          </w:tcPr>
          <w:p w14:paraId="3F6CCE35">
            <w:pPr>
              <w:ind w:firstLine="0" w:firstLineChars="0"/>
              <w:jc w:val="center"/>
              <w:rPr>
                <w:kern w:val="0"/>
                <w:sz w:val="18"/>
                <w:szCs w:val="18"/>
              </w:rPr>
            </w:pPr>
            <w:r>
              <w:rPr>
                <w:rFonts w:hint="eastAsia"/>
                <w:kern w:val="0"/>
                <w:sz w:val="18"/>
                <w:szCs w:val="18"/>
              </w:rPr>
              <w:t>质量评价结论</w:t>
            </w:r>
          </w:p>
        </w:tc>
        <w:tc>
          <w:tcPr>
            <w:tcW w:w="1418" w:type="dxa"/>
          </w:tcPr>
          <w:p w14:paraId="4C2F8CB7">
            <w:pPr>
              <w:ind w:firstLine="0" w:firstLineChars="0"/>
              <w:jc w:val="center"/>
              <w:rPr>
                <w:kern w:val="0"/>
                <w:sz w:val="18"/>
                <w:szCs w:val="18"/>
              </w:rPr>
            </w:pPr>
          </w:p>
        </w:tc>
        <w:tc>
          <w:tcPr>
            <w:tcW w:w="10631" w:type="dxa"/>
            <w:gridSpan w:val="4"/>
            <w:vAlign w:val="center"/>
          </w:tcPr>
          <w:p w14:paraId="57362192">
            <w:pPr>
              <w:ind w:firstLine="0" w:firstLineChars="0"/>
              <w:jc w:val="center"/>
              <w:rPr>
                <w:kern w:val="0"/>
                <w:sz w:val="18"/>
                <w:szCs w:val="18"/>
              </w:rPr>
            </w:pPr>
            <w:r>
              <w:rPr>
                <w:kern w:val="0"/>
                <w:sz w:val="18"/>
                <w:szCs w:val="18"/>
              </w:rPr>
              <w:t></w:t>
            </w:r>
            <w:r>
              <w:rPr>
                <w:rFonts w:hint="eastAsia"/>
                <w:kern w:val="0"/>
                <w:sz w:val="18"/>
                <w:szCs w:val="18"/>
              </w:rPr>
              <w:t>合格（全部检查项目均判定为是）</w:t>
            </w:r>
            <w:r>
              <w:rPr>
                <w:kern w:val="0"/>
                <w:sz w:val="18"/>
                <w:szCs w:val="18"/>
              </w:rPr>
              <w:t xml:space="preserve">        </w:t>
            </w:r>
            <w:r>
              <w:rPr>
                <w:rFonts w:hint="eastAsia"/>
                <w:kern w:val="0"/>
                <w:sz w:val="18"/>
                <w:szCs w:val="18"/>
              </w:rPr>
              <w:t>不合格（任意一项判定为否，</w:t>
            </w:r>
            <w:r>
              <w:rPr>
                <w:kern w:val="0"/>
                <w:sz w:val="18"/>
                <w:szCs w:val="18"/>
              </w:rPr>
              <w:t xml:space="preserve"> </w:t>
            </w:r>
            <w:r>
              <w:rPr>
                <w:rFonts w:hint="eastAsia"/>
                <w:kern w:val="0"/>
                <w:sz w:val="18"/>
                <w:szCs w:val="18"/>
              </w:rPr>
              <w:t>即存在严重质量问题）</w:t>
            </w:r>
          </w:p>
        </w:tc>
      </w:tr>
      <w:tr w14:paraId="2D6B5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gridSpan w:val="2"/>
            <w:vAlign w:val="center"/>
          </w:tcPr>
          <w:p w14:paraId="2D19E65A">
            <w:pPr>
              <w:ind w:firstLine="0" w:firstLineChars="0"/>
              <w:jc w:val="center"/>
              <w:rPr>
                <w:kern w:val="0"/>
                <w:sz w:val="18"/>
                <w:szCs w:val="18"/>
              </w:rPr>
            </w:pPr>
            <w:r>
              <w:rPr>
                <w:rFonts w:hint="eastAsia"/>
                <w:kern w:val="0"/>
                <w:sz w:val="18"/>
                <w:szCs w:val="18"/>
              </w:rPr>
              <w:t>检查总体意见</w:t>
            </w:r>
          </w:p>
        </w:tc>
        <w:tc>
          <w:tcPr>
            <w:tcW w:w="1418" w:type="dxa"/>
          </w:tcPr>
          <w:p w14:paraId="55A6D52C">
            <w:pPr>
              <w:ind w:firstLine="0" w:firstLineChars="0"/>
              <w:rPr>
                <w:kern w:val="0"/>
                <w:sz w:val="18"/>
                <w:szCs w:val="18"/>
              </w:rPr>
            </w:pPr>
          </w:p>
        </w:tc>
        <w:tc>
          <w:tcPr>
            <w:tcW w:w="10631" w:type="dxa"/>
            <w:gridSpan w:val="4"/>
            <w:vAlign w:val="center"/>
          </w:tcPr>
          <w:p w14:paraId="7C4CE7F3">
            <w:pPr>
              <w:ind w:firstLine="0" w:firstLineChars="0"/>
              <w:rPr>
                <w:kern w:val="0"/>
                <w:sz w:val="18"/>
                <w:szCs w:val="18"/>
              </w:rPr>
            </w:pPr>
          </w:p>
        </w:tc>
      </w:tr>
      <w:tr w14:paraId="7A5DC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gridSpan w:val="2"/>
            <w:vAlign w:val="center"/>
          </w:tcPr>
          <w:p w14:paraId="09C980B6">
            <w:pPr>
              <w:ind w:firstLine="0" w:firstLineChars="0"/>
              <w:jc w:val="center"/>
              <w:rPr>
                <w:kern w:val="0"/>
                <w:sz w:val="18"/>
                <w:szCs w:val="18"/>
              </w:rPr>
            </w:pPr>
            <w:r>
              <w:rPr>
                <w:rFonts w:hint="eastAsia"/>
                <w:kern w:val="0"/>
                <w:sz w:val="18"/>
                <w:szCs w:val="18"/>
              </w:rPr>
              <w:t>检查人员（签字）</w:t>
            </w:r>
          </w:p>
        </w:tc>
        <w:tc>
          <w:tcPr>
            <w:tcW w:w="1418" w:type="dxa"/>
          </w:tcPr>
          <w:p w14:paraId="125B8AE8">
            <w:pPr>
              <w:ind w:firstLine="0" w:firstLineChars="0"/>
              <w:rPr>
                <w:kern w:val="0"/>
                <w:sz w:val="18"/>
                <w:szCs w:val="18"/>
              </w:rPr>
            </w:pPr>
          </w:p>
        </w:tc>
        <w:tc>
          <w:tcPr>
            <w:tcW w:w="10631" w:type="dxa"/>
            <w:gridSpan w:val="4"/>
            <w:vAlign w:val="center"/>
          </w:tcPr>
          <w:p w14:paraId="5CEC9004">
            <w:pPr>
              <w:ind w:firstLine="0" w:firstLineChars="0"/>
              <w:rPr>
                <w:kern w:val="0"/>
                <w:sz w:val="18"/>
                <w:szCs w:val="18"/>
              </w:rPr>
            </w:pPr>
          </w:p>
        </w:tc>
      </w:tr>
    </w:tbl>
    <w:p w14:paraId="2511121B">
      <w:pPr>
        <w:widowControl/>
        <w:spacing w:line="240" w:lineRule="auto"/>
        <w:ind w:firstLine="0" w:firstLineChars="0"/>
        <w:jc w:val="left"/>
        <w:rPr>
          <w:b/>
          <w:bCs/>
          <w:sz w:val="44"/>
          <w:szCs w:val="44"/>
        </w:rPr>
        <w:sectPr>
          <w:pgSz w:w="16838" w:h="11906" w:orient="landscape"/>
          <w:pgMar w:top="1800" w:right="1440" w:bottom="1800" w:left="1440" w:header="851" w:footer="992" w:gutter="0"/>
          <w:cols w:space="425" w:num="1"/>
          <w:docGrid w:type="lines" w:linePitch="326" w:charSpace="0"/>
        </w:sectPr>
      </w:pPr>
    </w:p>
    <w:p w14:paraId="13881589">
      <w:pPr>
        <w:spacing w:before="163" w:beforeLines="50" w:after="163" w:afterLines="50"/>
        <w:ind w:firstLine="0" w:firstLineChars="0"/>
        <w:outlineLvl w:val="0"/>
        <w:rPr>
          <w:b/>
          <w:bCs/>
          <w:sz w:val="44"/>
          <w:szCs w:val="44"/>
        </w:rPr>
      </w:pPr>
    </w:p>
    <w:sectPr>
      <w:pgSz w:w="11906" w:h="16838"/>
      <w:pgMar w:top="1440" w:right="1800" w:bottom="1440" w:left="1800" w:header="851"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Times">
    <w:altName w:val="Times New Roman"/>
    <w:panose1 w:val="02020603050405020304"/>
    <w:charset w:val="00"/>
    <w:family w:val="roman"/>
    <w:pitch w:val="default"/>
    <w:sig w:usb0="00000000" w:usb1="00000000" w:usb2="00000009" w:usb3="00000000" w:csb0="000001FF" w:csb1="00000000"/>
  </w:font>
  <w:font w:name="Segoe UI">
    <w:panose1 w:val="020B0502040204020203"/>
    <w:charset w:val="00"/>
    <w:family w:val="swiss"/>
    <w:pitch w:val="default"/>
    <w:sig w:usb0="E4002EFF" w:usb1="C000E47F"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inherit">
    <w:altName w:val="Cambria"/>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1C9A8">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A1DDD">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62C54">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77022116"/>
    </w:sdtPr>
    <w:sdtContent>
      <w:p w14:paraId="4A821AB4">
        <w:pPr>
          <w:pStyle w:val="11"/>
          <w:ind w:firstLine="360"/>
          <w:jc w:val="center"/>
        </w:pPr>
        <w:r>
          <w:fldChar w:fldCharType="begin"/>
        </w:r>
        <w:r>
          <w:instrText xml:space="preserve">PAGE   \* MERGEFORMAT</w:instrText>
        </w:r>
        <w:r>
          <w:fldChar w:fldCharType="separate"/>
        </w:r>
        <w:r>
          <w:rPr>
            <w:lang w:val="zh-CN"/>
          </w:rPr>
          <w:t>2</w:t>
        </w:r>
        <w:r>
          <w:fldChar w:fldCharType="end"/>
        </w:r>
      </w:p>
    </w:sdtContent>
  </w:sdt>
  <w:p w14:paraId="7C473B8F">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ind w:firstLine="480"/>
      </w:pPr>
      <w:r>
        <w:separator/>
      </w:r>
    </w:p>
  </w:footnote>
  <w:footnote w:type="continuationSeparator" w:id="1">
    <w:p>
      <w:pPr>
        <w:spacing w:line="312"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BC5FDC">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38532">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C24D60">
    <w:pPr>
      <w:pStyle w:val="12"/>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BD736">
    <w:pPr>
      <w:ind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D646BD"/>
    <w:multiLevelType w:val="multilevel"/>
    <w:tmpl w:val="1DD646BD"/>
    <w:lvl w:ilvl="0" w:tentative="0">
      <w:start w:val="1"/>
      <w:numFmt w:val="decimal"/>
      <w:suff w:val="nothing"/>
      <w:lvlText w:val="9.%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F431769"/>
    <w:multiLevelType w:val="multilevel"/>
    <w:tmpl w:val="1F431769"/>
    <w:lvl w:ilvl="0" w:tentative="0">
      <w:start w:val="1"/>
      <w:numFmt w:val="decimal"/>
      <w:suff w:val="nothing"/>
      <w:lvlText w:val="8.%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5561BFF"/>
    <w:multiLevelType w:val="multilevel"/>
    <w:tmpl w:val="25561BFF"/>
    <w:lvl w:ilvl="0" w:tentative="0">
      <w:start w:val="1"/>
      <w:numFmt w:val="decimal"/>
      <w:suff w:val="nothing"/>
      <w:lvlText w:val="5.3.%1  "/>
      <w:lvlJc w:val="left"/>
      <w:pPr>
        <w:ind w:left="420" w:hanging="420"/>
      </w:pPr>
      <w:rPr>
        <w:rFonts w:hint="default" w:ascii="Times New Roman" w:hAnsi="Times New Roman" w:cs="Times New Roman"/>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60671BE"/>
    <w:multiLevelType w:val="multilevel"/>
    <w:tmpl w:val="260671BE"/>
    <w:lvl w:ilvl="0" w:tentative="0">
      <w:start w:val="1"/>
      <w:numFmt w:val="decimal"/>
      <w:suff w:val="nothing"/>
      <w:lvlText w:val="6.%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3427B06"/>
    <w:multiLevelType w:val="multilevel"/>
    <w:tmpl w:val="43427B06"/>
    <w:lvl w:ilvl="0" w:tentative="0">
      <w:start w:val="1"/>
      <w:numFmt w:val="decimal"/>
      <w:lvlText w:val="%1."/>
      <w:lvlJc w:val="left"/>
      <w:pPr>
        <w:ind w:left="988" w:hanging="42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5">
    <w:nsid w:val="4E6377F7"/>
    <w:multiLevelType w:val="multilevel"/>
    <w:tmpl w:val="4E6377F7"/>
    <w:lvl w:ilvl="0" w:tentative="0">
      <w:start w:val="1"/>
      <w:numFmt w:val="decimal"/>
      <w:suff w:val="nothing"/>
      <w:lvlText w:val="%1  "/>
      <w:lvlJc w:val="left"/>
      <w:pPr>
        <w:ind w:left="420" w:hanging="420"/>
      </w:pPr>
      <w:rPr>
        <w:rFonts w:hint="default" w:ascii="Times New Roman" w:hAnsi="Times New Roman" w:eastAsia="黑体"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FC72172"/>
    <w:multiLevelType w:val="multilevel"/>
    <w:tmpl w:val="5FC72172"/>
    <w:lvl w:ilvl="0" w:tentative="0">
      <w:start w:val="1"/>
      <w:numFmt w:val="decimal"/>
      <w:suff w:val="nothing"/>
      <w:lvlText w:val="5.%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0176DD2"/>
    <w:multiLevelType w:val="multilevel"/>
    <w:tmpl w:val="70176DD2"/>
    <w:lvl w:ilvl="0" w:tentative="0">
      <w:start w:val="1"/>
      <w:numFmt w:val="decimal"/>
      <w:suff w:val="nothing"/>
      <w:lvlText w:val="10.%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FCD20B8"/>
    <w:multiLevelType w:val="multilevel"/>
    <w:tmpl w:val="7FCD20B8"/>
    <w:lvl w:ilvl="0" w:tentative="0">
      <w:start w:val="1"/>
      <w:numFmt w:val="decimal"/>
      <w:suff w:val="nothing"/>
      <w:lvlText w:val="7.%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2"/>
  </w:num>
  <w:num w:numId="4">
    <w:abstractNumId w:val="3"/>
  </w:num>
  <w:num w:numId="5">
    <w:abstractNumId w:val="8"/>
  </w:num>
  <w:num w:numId="6">
    <w:abstractNumId w:val="1"/>
  </w:num>
  <w:num w:numId="7">
    <w:abstractNumId w:val="0"/>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C34"/>
    <w:rsid w:val="0000022C"/>
    <w:rsid w:val="0001252E"/>
    <w:rsid w:val="00021B0A"/>
    <w:rsid w:val="00032AED"/>
    <w:rsid w:val="00037E85"/>
    <w:rsid w:val="0005412D"/>
    <w:rsid w:val="000638D6"/>
    <w:rsid w:val="000639C1"/>
    <w:rsid w:val="00074EB5"/>
    <w:rsid w:val="00075EFE"/>
    <w:rsid w:val="00081913"/>
    <w:rsid w:val="000831F0"/>
    <w:rsid w:val="000D2CE7"/>
    <w:rsid w:val="000E15D7"/>
    <w:rsid w:val="000F181C"/>
    <w:rsid w:val="00106057"/>
    <w:rsid w:val="00116213"/>
    <w:rsid w:val="0012646C"/>
    <w:rsid w:val="00126D56"/>
    <w:rsid w:val="00136810"/>
    <w:rsid w:val="00140372"/>
    <w:rsid w:val="0014185E"/>
    <w:rsid w:val="00153DF6"/>
    <w:rsid w:val="001664F0"/>
    <w:rsid w:val="001725C1"/>
    <w:rsid w:val="001776F7"/>
    <w:rsid w:val="0018211A"/>
    <w:rsid w:val="001B506A"/>
    <w:rsid w:val="001D5631"/>
    <w:rsid w:val="001E4BCA"/>
    <w:rsid w:val="001F4967"/>
    <w:rsid w:val="002168A7"/>
    <w:rsid w:val="00216C00"/>
    <w:rsid w:val="00222937"/>
    <w:rsid w:val="00224F99"/>
    <w:rsid w:val="00235389"/>
    <w:rsid w:val="002529F8"/>
    <w:rsid w:val="002601BF"/>
    <w:rsid w:val="00284712"/>
    <w:rsid w:val="0029253D"/>
    <w:rsid w:val="00293DBA"/>
    <w:rsid w:val="002B189D"/>
    <w:rsid w:val="002C2B49"/>
    <w:rsid w:val="002C48B3"/>
    <w:rsid w:val="002E0889"/>
    <w:rsid w:val="002E7874"/>
    <w:rsid w:val="003134D5"/>
    <w:rsid w:val="003244BB"/>
    <w:rsid w:val="003504CD"/>
    <w:rsid w:val="0035476A"/>
    <w:rsid w:val="00355CE4"/>
    <w:rsid w:val="00357B0F"/>
    <w:rsid w:val="00384699"/>
    <w:rsid w:val="00394DF6"/>
    <w:rsid w:val="003A266D"/>
    <w:rsid w:val="003B0E7A"/>
    <w:rsid w:val="003B39C1"/>
    <w:rsid w:val="003E3801"/>
    <w:rsid w:val="003F5E38"/>
    <w:rsid w:val="00402CB2"/>
    <w:rsid w:val="0041007E"/>
    <w:rsid w:val="0041144E"/>
    <w:rsid w:val="00430277"/>
    <w:rsid w:val="004340FC"/>
    <w:rsid w:val="0044161D"/>
    <w:rsid w:val="00442C9D"/>
    <w:rsid w:val="00451B70"/>
    <w:rsid w:val="0046541D"/>
    <w:rsid w:val="00472D40"/>
    <w:rsid w:val="00474327"/>
    <w:rsid w:val="00490192"/>
    <w:rsid w:val="00497D07"/>
    <w:rsid w:val="004A397F"/>
    <w:rsid w:val="004A48C0"/>
    <w:rsid w:val="004B3EE9"/>
    <w:rsid w:val="004D0BA8"/>
    <w:rsid w:val="004D3783"/>
    <w:rsid w:val="004E1A61"/>
    <w:rsid w:val="004E7769"/>
    <w:rsid w:val="004F6BFB"/>
    <w:rsid w:val="004F76ED"/>
    <w:rsid w:val="00511B1D"/>
    <w:rsid w:val="005129D9"/>
    <w:rsid w:val="0051346C"/>
    <w:rsid w:val="00535467"/>
    <w:rsid w:val="0054210D"/>
    <w:rsid w:val="00542382"/>
    <w:rsid w:val="00554330"/>
    <w:rsid w:val="00556C34"/>
    <w:rsid w:val="00557391"/>
    <w:rsid w:val="005751A7"/>
    <w:rsid w:val="00575E86"/>
    <w:rsid w:val="00591D02"/>
    <w:rsid w:val="005A4628"/>
    <w:rsid w:val="005A63AF"/>
    <w:rsid w:val="005B7ACF"/>
    <w:rsid w:val="005C0571"/>
    <w:rsid w:val="005D153D"/>
    <w:rsid w:val="005D7AA7"/>
    <w:rsid w:val="005E2491"/>
    <w:rsid w:val="005E2DE5"/>
    <w:rsid w:val="005F2EC8"/>
    <w:rsid w:val="005F3C1A"/>
    <w:rsid w:val="00601931"/>
    <w:rsid w:val="00601A1B"/>
    <w:rsid w:val="00610B7F"/>
    <w:rsid w:val="00611D6E"/>
    <w:rsid w:val="006162C7"/>
    <w:rsid w:val="00627D78"/>
    <w:rsid w:val="00640BE9"/>
    <w:rsid w:val="00644305"/>
    <w:rsid w:val="00646D37"/>
    <w:rsid w:val="00647C13"/>
    <w:rsid w:val="00661EEE"/>
    <w:rsid w:val="00694F71"/>
    <w:rsid w:val="006A0641"/>
    <w:rsid w:val="006A72A6"/>
    <w:rsid w:val="006B6467"/>
    <w:rsid w:val="006D2660"/>
    <w:rsid w:val="006D26A3"/>
    <w:rsid w:val="006D740E"/>
    <w:rsid w:val="006F09E6"/>
    <w:rsid w:val="006F175B"/>
    <w:rsid w:val="00700499"/>
    <w:rsid w:val="00717FFC"/>
    <w:rsid w:val="00720F48"/>
    <w:rsid w:val="00730408"/>
    <w:rsid w:val="00733116"/>
    <w:rsid w:val="00733BDB"/>
    <w:rsid w:val="00741111"/>
    <w:rsid w:val="00754E55"/>
    <w:rsid w:val="007551BC"/>
    <w:rsid w:val="00766590"/>
    <w:rsid w:val="007779D0"/>
    <w:rsid w:val="00781706"/>
    <w:rsid w:val="00783777"/>
    <w:rsid w:val="00785EFD"/>
    <w:rsid w:val="00787C42"/>
    <w:rsid w:val="007A27DD"/>
    <w:rsid w:val="007C0ACD"/>
    <w:rsid w:val="007C4892"/>
    <w:rsid w:val="007C65AC"/>
    <w:rsid w:val="007D45A9"/>
    <w:rsid w:val="007E1BDE"/>
    <w:rsid w:val="007F365E"/>
    <w:rsid w:val="008069A4"/>
    <w:rsid w:val="00814BAB"/>
    <w:rsid w:val="00816965"/>
    <w:rsid w:val="00816A9C"/>
    <w:rsid w:val="00821AFF"/>
    <w:rsid w:val="00821FB9"/>
    <w:rsid w:val="00836C4D"/>
    <w:rsid w:val="00845720"/>
    <w:rsid w:val="0085520B"/>
    <w:rsid w:val="00856B5F"/>
    <w:rsid w:val="008634C2"/>
    <w:rsid w:val="00873A57"/>
    <w:rsid w:val="008743AE"/>
    <w:rsid w:val="00874FC4"/>
    <w:rsid w:val="00883793"/>
    <w:rsid w:val="00896067"/>
    <w:rsid w:val="00897B1A"/>
    <w:rsid w:val="008A26D6"/>
    <w:rsid w:val="008A29D1"/>
    <w:rsid w:val="008B4965"/>
    <w:rsid w:val="008C0F9F"/>
    <w:rsid w:val="008C3874"/>
    <w:rsid w:val="008C5E33"/>
    <w:rsid w:val="008C761A"/>
    <w:rsid w:val="008D715A"/>
    <w:rsid w:val="008F2FC7"/>
    <w:rsid w:val="008F4BEB"/>
    <w:rsid w:val="0091373C"/>
    <w:rsid w:val="00920A56"/>
    <w:rsid w:val="00921833"/>
    <w:rsid w:val="009253C0"/>
    <w:rsid w:val="00930953"/>
    <w:rsid w:val="00932E13"/>
    <w:rsid w:val="009371DF"/>
    <w:rsid w:val="009524A0"/>
    <w:rsid w:val="009536C7"/>
    <w:rsid w:val="009653BF"/>
    <w:rsid w:val="00966A02"/>
    <w:rsid w:val="00975BA1"/>
    <w:rsid w:val="009A4ACE"/>
    <w:rsid w:val="009C4573"/>
    <w:rsid w:val="009D20EB"/>
    <w:rsid w:val="009D3579"/>
    <w:rsid w:val="009D59F9"/>
    <w:rsid w:val="009D766B"/>
    <w:rsid w:val="009E381B"/>
    <w:rsid w:val="009F2838"/>
    <w:rsid w:val="009F4782"/>
    <w:rsid w:val="00A0080B"/>
    <w:rsid w:val="00A073E9"/>
    <w:rsid w:val="00A105BA"/>
    <w:rsid w:val="00A23E96"/>
    <w:rsid w:val="00A24321"/>
    <w:rsid w:val="00A25AA7"/>
    <w:rsid w:val="00A30D52"/>
    <w:rsid w:val="00A31E9B"/>
    <w:rsid w:val="00A3200D"/>
    <w:rsid w:val="00A345BE"/>
    <w:rsid w:val="00A36BC4"/>
    <w:rsid w:val="00A45293"/>
    <w:rsid w:val="00A47899"/>
    <w:rsid w:val="00A61D0F"/>
    <w:rsid w:val="00A72779"/>
    <w:rsid w:val="00A764C6"/>
    <w:rsid w:val="00A76BBB"/>
    <w:rsid w:val="00A81B89"/>
    <w:rsid w:val="00A83645"/>
    <w:rsid w:val="00A87164"/>
    <w:rsid w:val="00A93D31"/>
    <w:rsid w:val="00AB32D5"/>
    <w:rsid w:val="00AC1D18"/>
    <w:rsid w:val="00AE178E"/>
    <w:rsid w:val="00AE178F"/>
    <w:rsid w:val="00AE7955"/>
    <w:rsid w:val="00AF455A"/>
    <w:rsid w:val="00B05C2D"/>
    <w:rsid w:val="00B1134B"/>
    <w:rsid w:val="00B13181"/>
    <w:rsid w:val="00B21770"/>
    <w:rsid w:val="00B25FA0"/>
    <w:rsid w:val="00B27232"/>
    <w:rsid w:val="00B62F6E"/>
    <w:rsid w:val="00B63731"/>
    <w:rsid w:val="00B82D2D"/>
    <w:rsid w:val="00B85B53"/>
    <w:rsid w:val="00B93466"/>
    <w:rsid w:val="00BA2958"/>
    <w:rsid w:val="00BC2BEC"/>
    <w:rsid w:val="00BE45DD"/>
    <w:rsid w:val="00BF6FA6"/>
    <w:rsid w:val="00C01089"/>
    <w:rsid w:val="00C050BA"/>
    <w:rsid w:val="00C06056"/>
    <w:rsid w:val="00C06A8E"/>
    <w:rsid w:val="00C0755E"/>
    <w:rsid w:val="00C1250E"/>
    <w:rsid w:val="00C15BFB"/>
    <w:rsid w:val="00C21CBE"/>
    <w:rsid w:val="00C23A22"/>
    <w:rsid w:val="00C266AF"/>
    <w:rsid w:val="00C3100B"/>
    <w:rsid w:val="00C35673"/>
    <w:rsid w:val="00C45DBA"/>
    <w:rsid w:val="00C51B59"/>
    <w:rsid w:val="00C53448"/>
    <w:rsid w:val="00C76128"/>
    <w:rsid w:val="00C81882"/>
    <w:rsid w:val="00C838C5"/>
    <w:rsid w:val="00C84CB4"/>
    <w:rsid w:val="00C85DF8"/>
    <w:rsid w:val="00C923DB"/>
    <w:rsid w:val="00C9480E"/>
    <w:rsid w:val="00C94B7B"/>
    <w:rsid w:val="00C967F0"/>
    <w:rsid w:val="00CB1000"/>
    <w:rsid w:val="00CB2F1F"/>
    <w:rsid w:val="00CC7FDE"/>
    <w:rsid w:val="00CD58A5"/>
    <w:rsid w:val="00CD5FD5"/>
    <w:rsid w:val="00CE1DC0"/>
    <w:rsid w:val="00D1689F"/>
    <w:rsid w:val="00D26A77"/>
    <w:rsid w:val="00D4522E"/>
    <w:rsid w:val="00D46648"/>
    <w:rsid w:val="00D63B7C"/>
    <w:rsid w:val="00D65941"/>
    <w:rsid w:val="00D71AC9"/>
    <w:rsid w:val="00D84DDA"/>
    <w:rsid w:val="00D864ED"/>
    <w:rsid w:val="00D962BB"/>
    <w:rsid w:val="00D9758A"/>
    <w:rsid w:val="00DA43D7"/>
    <w:rsid w:val="00DA7D88"/>
    <w:rsid w:val="00DB78C8"/>
    <w:rsid w:val="00DC5A7C"/>
    <w:rsid w:val="00DD265D"/>
    <w:rsid w:val="00DE3BBA"/>
    <w:rsid w:val="00E063E5"/>
    <w:rsid w:val="00E067DB"/>
    <w:rsid w:val="00E12346"/>
    <w:rsid w:val="00E25231"/>
    <w:rsid w:val="00E263AC"/>
    <w:rsid w:val="00E40540"/>
    <w:rsid w:val="00E42FCE"/>
    <w:rsid w:val="00E51CAD"/>
    <w:rsid w:val="00E53AAE"/>
    <w:rsid w:val="00E571C6"/>
    <w:rsid w:val="00E70C92"/>
    <w:rsid w:val="00E774A7"/>
    <w:rsid w:val="00E83F66"/>
    <w:rsid w:val="00E87938"/>
    <w:rsid w:val="00E910FA"/>
    <w:rsid w:val="00E91788"/>
    <w:rsid w:val="00E960A5"/>
    <w:rsid w:val="00EC1F67"/>
    <w:rsid w:val="00ED398B"/>
    <w:rsid w:val="00ED43E5"/>
    <w:rsid w:val="00EE187A"/>
    <w:rsid w:val="00EF560F"/>
    <w:rsid w:val="00F05298"/>
    <w:rsid w:val="00F11798"/>
    <w:rsid w:val="00F15337"/>
    <w:rsid w:val="00F22CB2"/>
    <w:rsid w:val="00F23E0F"/>
    <w:rsid w:val="00F24A84"/>
    <w:rsid w:val="00F351AB"/>
    <w:rsid w:val="00F40220"/>
    <w:rsid w:val="00F459FE"/>
    <w:rsid w:val="00F46948"/>
    <w:rsid w:val="00F6189B"/>
    <w:rsid w:val="00F75B08"/>
    <w:rsid w:val="00F77AE6"/>
    <w:rsid w:val="00F77F44"/>
    <w:rsid w:val="00F8237B"/>
    <w:rsid w:val="00F85039"/>
    <w:rsid w:val="00F916BC"/>
    <w:rsid w:val="00F93F43"/>
    <w:rsid w:val="00F9458C"/>
    <w:rsid w:val="00FB3BB4"/>
    <w:rsid w:val="00FB5BDC"/>
    <w:rsid w:val="00FC25D3"/>
    <w:rsid w:val="00FC27BB"/>
    <w:rsid w:val="00FC3D5C"/>
    <w:rsid w:val="00FC612C"/>
    <w:rsid w:val="00FC6F5C"/>
    <w:rsid w:val="00FD2E54"/>
    <w:rsid w:val="00FE0113"/>
    <w:rsid w:val="00FE5DD7"/>
    <w:rsid w:val="00FE6B94"/>
    <w:rsid w:val="00FF2ADB"/>
    <w:rsid w:val="0FCB3F91"/>
    <w:rsid w:val="136B3564"/>
    <w:rsid w:val="14662CAE"/>
    <w:rsid w:val="181332CA"/>
    <w:rsid w:val="21F311AE"/>
    <w:rsid w:val="264A6A0F"/>
    <w:rsid w:val="2FCB0375"/>
    <w:rsid w:val="3575397D"/>
    <w:rsid w:val="493E317D"/>
    <w:rsid w:val="66D57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33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12" w:lineRule="auto"/>
      <w:ind w:firstLine="200" w:firstLineChars="200"/>
      <w:jc w:val="both"/>
    </w:pPr>
    <w:rPr>
      <w:rFonts w:ascii="Times New Roman" w:hAnsi="Times New Roman" w:eastAsia="宋体" w:cstheme="minorBidi"/>
      <w:kern w:val="2"/>
      <w:sz w:val="24"/>
      <w:szCs w:val="22"/>
      <w:lang w:val="en-US" w:eastAsia="zh-CN" w:bidi="ar-SA"/>
    </w:rPr>
  </w:style>
  <w:style w:type="paragraph" w:styleId="2">
    <w:name w:val="heading 1"/>
    <w:basedOn w:val="1"/>
    <w:next w:val="1"/>
    <w:link w:val="32"/>
    <w:qFormat/>
    <w:uiPriority w:val="9"/>
    <w:pPr>
      <w:keepNext/>
      <w:keepLines/>
      <w:spacing w:before="120" w:after="120" w:line="360" w:lineRule="auto"/>
      <w:ind w:firstLine="0" w:firstLineChars="0"/>
      <w:jc w:val="center"/>
      <w:outlineLvl w:val="0"/>
    </w:pPr>
    <w:rPr>
      <w:b/>
      <w:bCs/>
      <w:kern w:val="44"/>
      <w:sz w:val="44"/>
      <w:szCs w:val="44"/>
    </w:rPr>
  </w:style>
  <w:style w:type="paragraph" w:styleId="3">
    <w:name w:val="heading 2"/>
    <w:basedOn w:val="1"/>
    <w:next w:val="1"/>
    <w:link w:val="33"/>
    <w:unhideWhenUsed/>
    <w:qFormat/>
    <w:uiPriority w:val="9"/>
    <w:pPr>
      <w:keepNext/>
      <w:keepLines/>
      <w:spacing w:before="50" w:beforeLines="50" w:after="50" w:afterLines="50"/>
      <w:ind w:firstLine="0" w:firstLineChars="0"/>
      <w:jc w:val="center"/>
      <w:outlineLvl w:val="1"/>
    </w:pPr>
    <w:rPr>
      <w:rFonts w:asciiTheme="majorHAnsi" w:hAnsiTheme="majorHAnsi" w:cstheme="majorBidi"/>
      <w:b/>
      <w:bCs/>
      <w:sz w:val="28"/>
      <w:szCs w:val="32"/>
    </w:rPr>
  </w:style>
  <w:style w:type="paragraph" w:styleId="4">
    <w:name w:val="heading 3"/>
    <w:basedOn w:val="1"/>
    <w:next w:val="1"/>
    <w:link w:val="34"/>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5"/>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6">
    <w:name w:val="caption"/>
    <w:basedOn w:val="1"/>
    <w:next w:val="1"/>
    <w:unhideWhenUsed/>
    <w:qFormat/>
    <w:uiPriority w:val="35"/>
    <w:pPr>
      <w:adjustRightInd w:val="0"/>
      <w:spacing w:line="360" w:lineRule="auto"/>
      <w:ind w:firstLine="0" w:firstLineChars="0"/>
      <w:jc w:val="center"/>
    </w:pPr>
    <w:rPr>
      <w:rFonts w:ascii="Cambria" w:hAnsi="Cambria" w:eastAsia="仿宋" w:cs="Times New Roman"/>
      <w:b/>
      <w:sz w:val="21"/>
      <w:szCs w:val="20"/>
    </w:rPr>
  </w:style>
  <w:style w:type="paragraph" w:styleId="7">
    <w:name w:val="annotation text"/>
    <w:basedOn w:val="1"/>
    <w:link w:val="29"/>
    <w:unhideWhenUsed/>
    <w:qFormat/>
    <w:uiPriority w:val="99"/>
    <w:pPr>
      <w:jc w:val="left"/>
    </w:pPr>
    <w:rPr>
      <w:rFonts w:cs="Times New Roman"/>
    </w:rPr>
  </w:style>
  <w:style w:type="paragraph" w:styleId="8">
    <w:name w:val="Plain Text"/>
    <w:basedOn w:val="1"/>
    <w:link w:val="27"/>
    <w:semiHidden/>
    <w:unhideWhenUsed/>
    <w:qFormat/>
    <w:uiPriority w:val="99"/>
    <w:rPr>
      <w:rFonts w:hAnsi="Courier New" w:cs="Courier New" w:asciiTheme="minorEastAsia" w:eastAsiaTheme="minorEastAsia"/>
    </w:rPr>
  </w:style>
  <w:style w:type="paragraph" w:styleId="9">
    <w:name w:val="Date"/>
    <w:basedOn w:val="1"/>
    <w:next w:val="1"/>
    <w:link w:val="36"/>
    <w:semiHidden/>
    <w:unhideWhenUsed/>
    <w:qFormat/>
    <w:uiPriority w:val="99"/>
    <w:pPr>
      <w:ind w:left="100" w:leftChars="2500"/>
    </w:pPr>
  </w:style>
  <w:style w:type="paragraph" w:styleId="10">
    <w:name w:val="Balloon Text"/>
    <w:basedOn w:val="1"/>
    <w:link w:val="52"/>
    <w:semiHidden/>
    <w:unhideWhenUsed/>
    <w:qFormat/>
    <w:uiPriority w:val="99"/>
    <w:pPr>
      <w:spacing w:line="240" w:lineRule="auto"/>
    </w:pPr>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3">
    <w:name w:val="toc 1"/>
    <w:basedOn w:val="1"/>
    <w:next w:val="1"/>
    <w:unhideWhenUsed/>
    <w:qFormat/>
    <w:uiPriority w:val="39"/>
    <w:pPr>
      <w:tabs>
        <w:tab w:val="right" w:leader="dot" w:pos="9736"/>
      </w:tabs>
      <w:snapToGrid w:val="0"/>
      <w:spacing w:line="264" w:lineRule="auto"/>
      <w:ind w:firstLine="0" w:firstLineChars="0"/>
    </w:pPr>
    <w:rPr>
      <w:b/>
      <w:sz w:val="21"/>
    </w:rPr>
  </w:style>
  <w:style w:type="paragraph" w:styleId="14">
    <w:name w:val="toc 2"/>
    <w:basedOn w:val="1"/>
    <w:next w:val="1"/>
    <w:unhideWhenUsed/>
    <w:qFormat/>
    <w:uiPriority w:val="39"/>
    <w:pPr>
      <w:tabs>
        <w:tab w:val="right" w:leader="dot" w:pos="9060"/>
      </w:tabs>
      <w:snapToGrid w:val="0"/>
      <w:spacing w:line="264" w:lineRule="auto"/>
      <w:ind w:left="240" w:leftChars="100" w:firstLine="0" w:firstLineChars="0"/>
    </w:pPr>
    <w:rPr>
      <w:rFonts w:cstheme="majorBidi"/>
      <w:sz w:val="21"/>
    </w:rPr>
  </w:style>
  <w:style w:type="paragraph" w:styleId="15">
    <w:name w:val="Normal (Web)"/>
    <w:basedOn w:val="1"/>
    <w:semiHidden/>
    <w:unhideWhenUsed/>
    <w:qFormat/>
    <w:uiPriority w:val="99"/>
    <w:pPr>
      <w:widowControl/>
      <w:spacing w:before="100" w:beforeAutospacing="1" w:after="100" w:afterAutospacing="1"/>
      <w:jc w:val="left"/>
    </w:pPr>
    <w:rPr>
      <w:rFonts w:ascii="宋体" w:hAnsi="宋体" w:cs="宋体"/>
      <w:kern w:val="0"/>
      <w:szCs w:val="24"/>
    </w:rPr>
  </w:style>
  <w:style w:type="paragraph" w:styleId="16">
    <w:name w:val="annotation subject"/>
    <w:basedOn w:val="7"/>
    <w:next w:val="7"/>
    <w:link w:val="37"/>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character" w:styleId="21">
    <w:name w:val="Hyperlink"/>
    <w:basedOn w:val="19"/>
    <w:unhideWhenUsed/>
    <w:qFormat/>
    <w:uiPriority w:val="99"/>
    <w:rPr>
      <w:color w:val="0000FF"/>
      <w:u w:val="single"/>
    </w:rPr>
  </w:style>
  <w:style w:type="character" w:styleId="22">
    <w:name w:val="annotation reference"/>
    <w:basedOn w:val="19"/>
    <w:semiHidden/>
    <w:unhideWhenUsed/>
    <w:qFormat/>
    <w:uiPriority w:val="99"/>
    <w:rPr>
      <w:sz w:val="21"/>
      <w:szCs w:val="21"/>
    </w:rPr>
  </w:style>
  <w:style w:type="character" w:customStyle="1" w:styleId="23">
    <w:name w:val="页脚 字符"/>
    <w:basedOn w:val="19"/>
    <w:link w:val="11"/>
    <w:qFormat/>
    <w:uiPriority w:val="99"/>
    <w:rPr>
      <w:rFonts w:ascii="Times New Roman" w:hAnsi="Times New Roman" w:eastAsia="宋体"/>
      <w:sz w:val="18"/>
      <w:szCs w:val="18"/>
      <w14:ligatures w14:val="none"/>
    </w:rPr>
  </w:style>
  <w:style w:type="character" w:customStyle="1" w:styleId="24">
    <w:name w:val="页眉 字符"/>
    <w:basedOn w:val="19"/>
    <w:link w:val="12"/>
    <w:qFormat/>
    <w:uiPriority w:val="99"/>
    <w:rPr>
      <w:rFonts w:ascii="Times New Roman" w:hAnsi="Times New Roman" w:eastAsia="宋体"/>
      <w:sz w:val="18"/>
      <w:szCs w:val="18"/>
      <w14:ligatures w14:val="none"/>
    </w:rPr>
  </w:style>
  <w:style w:type="paragraph" w:customStyle="1" w:styleId="25">
    <w:name w:val="规程英文名称（封面）"/>
    <w:basedOn w:val="8"/>
    <w:qFormat/>
    <w:uiPriority w:val="0"/>
    <w:pPr>
      <w:snapToGrid w:val="0"/>
      <w:ind w:left="204" w:leftChars="85"/>
      <w:jc w:val="center"/>
    </w:pPr>
    <w:rPr>
      <w:rFonts w:ascii="Times New Roman" w:hAnsi="Times New Roman" w:eastAsia="宋体" w:cs="Times New Roman"/>
      <w:sz w:val="44"/>
      <w:szCs w:val="44"/>
    </w:rPr>
  </w:style>
  <w:style w:type="paragraph" w:customStyle="1" w:styleId="26">
    <w:name w:val="扉页（出版时间地点）"/>
    <w:basedOn w:val="1"/>
    <w:qFormat/>
    <w:uiPriority w:val="0"/>
    <w:pPr>
      <w:jc w:val="center"/>
    </w:pPr>
    <w:rPr>
      <w:rFonts w:cs="宋体"/>
      <w:szCs w:val="20"/>
    </w:rPr>
  </w:style>
  <w:style w:type="character" w:customStyle="1" w:styleId="27">
    <w:name w:val="纯文本 字符"/>
    <w:basedOn w:val="19"/>
    <w:link w:val="8"/>
    <w:semiHidden/>
    <w:qFormat/>
    <w:uiPriority w:val="99"/>
    <w:rPr>
      <w:rFonts w:hAnsi="Courier New" w:cs="Courier New" w:asciiTheme="minorEastAsia"/>
      <w:sz w:val="24"/>
      <w14:ligatures w14:val="none"/>
    </w:rPr>
  </w:style>
  <w:style w:type="character" w:customStyle="1" w:styleId="28">
    <w:name w:val="copy-value"/>
    <w:basedOn w:val="19"/>
    <w:qFormat/>
    <w:uiPriority w:val="0"/>
  </w:style>
  <w:style w:type="character" w:customStyle="1" w:styleId="29">
    <w:name w:val="批注文字 字符"/>
    <w:basedOn w:val="19"/>
    <w:link w:val="7"/>
    <w:qFormat/>
    <w:uiPriority w:val="99"/>
    <w:rPr>
      <w:rFonts w:ascii="Times New Roman" w:hAnsi="Times New Roman" w:eastAsia="宋体"/>
      <w:sz w:val="24"/>
      <w14:ligatures w14:val="none"/>
    </w:rPr>
  </w:style>
  <w:style w:type="paragraph" w:styleId="30">
    <w:name w:val="List Paragraph"/>
    <w:basedOn w:val="1"/>
    <w:qFormat/>
    <w:uiPriority w:val="1"/>
    <w:pPr>
      <w:ind w:firstLine="420"/>
    </w:pPr>
  </w:style>
  <w:style w:type="paragraph" w:customStyle="1" w:styleId="31">
    <w:name w:val="表格"/>
    <w:basedOn w:val="1"/>
    <w:qFormat/>
    <w:uiPriority w:val="0"/>
    <w:pPr>
      <w:adjustRightInd w:val="0"/>
      <w:snapToGrid w:val="0"/>
      <w:spacing w:line="240" w:lineRule="auto"/>
      <w:ind w:firstLine="0" w:firstLineChars="0"/>
      <w:jc w:val="center"/>
    </w:pPr>
    <w:rPr>
      <w:rFonts w:ascii="仿宋" w:eastAsia="仿宋" w:cs="Arial"/>
      <w:color w:val="000000"/>
      <w:spacing w:val="8"/>
      <w:sz w:val="21"/>
      <w:szCs w:val="21"/>
    </w:rPr>
  </w:style>
  <w:style w:type="character" w:customStyle="1" w:styleId="32">
    <w:name w:val="标题 1 字符"/>
    <w:basedOn w:val="19"/>
    <w:link w:val="2"/>
    <w:qFormat/>
    <w:uiPriority w:val="9"/>
    <w:rPr>
      <w:rFonts w:ascii="Times New Roman" w:hAnsi="Times New Roman" w:eastAsia="宋体"/>
      <w:b/>
      <w:bCs/>
      <w:kern w:val="44"/>
      <w:sz w:val="44"/>
      <w:szCs w:val="44"/>
      <w14:ligatures w14:val="none"/>
    </w:rPr>
  </w:style>
  <w:style w:type="character" w:customStyle="1" w:styleId="33">
    <w:name w:val="标题 2 字符"/>
    <w:basedOn w:val="19"/>
    <w:link w:val="3"/>
    <w:qFormat/>
    <w:uiPriority w:val="9"/>
    <w:rPr>
      <w:rFonts w:eastAsia="宋体" w:asciiTheme="majorHAnsi" w:hAnsiTheme="majorHAnsi" w:cstheme="majorBidi"/>
      <w:b/>
      <w:bCs/>
      <w:sz w:val="28"/>
      <w:szCs w:val="32"/>
      <w14:ligatures w14:val="none"/>
    </w:rPr>
  </w:style>
  <w:style w:type="character" w:customStyle="1" w:styleId="34">
    <w:name w:val="标题 3 字符"/>
    <w:basedOn w:val="19"/>
    <w:link w:val="4"/>
    <w:qFormat/>
    <w:uiPriority w:val="9"/>
    <w:rPr>
      <w:rFonts w:ascii="Times New Roman" w:hAnsi="Times New Roman" w:eastAsia="宋体"/>
      <w:b/>
      <w:bCs/>
      <w:sz w:val="32"/>
      <w:szCs w:val="32"/>
      <w14:ligatures w14:val="none"/>
    </w:rPr>
  </w:style>
  <w:style w:type="character" w:customStyle="1" w:styleId="35">
    <w:name w:val="标题 4 字符"/>
    <w:basedOn w:val="19"/>
    <w:link w:val="5"/>
    <w:semiHidden/>
    <w:qFormat/>
    <w:uiPriority w:val="9"/>
    <w:rPr>
      <w:rFonts w:asciiTheme="majorHAnsi" w:hAnsiTheme="majorHAnsi" w:eastAsiaTheme="majorEastAsia" w:cstheme="majorBidi"/>
      <w:b/>
      <w:bCs/>
      <w:sz w:val="28"/>
      <w:szCs w:val="28"/>
      <w14:ligatures w14:val="none"/>
    </w:rPr>
  </w:style>
  <w:style w:type="character" w:customStyle="1" w:styleId="36">
    <w:name w:val="日期 字符"/>
    <w:basedOn w:val="19"/>
    <w:link w:val="9"/>
    <w:semiHidden/>
    <w:qFormat/>
    <w:uiPriority w:val="99"/>
    <w:rPr>
      <w:rFonts w:ascii="Times New Roman" w:hAnsi="Times New Roman" w:eastAsia="宋体"/>
      <w:sz w:val="24"/>
      <w14:ligatures w14:val="none"/>
    </w:rPr>
  </w:style>
  <w:style w:type="character" w:customStyle="1" w:styleId="37">
    <w:name w:val="批注主题 字符"/>
    <w:basedOn w:val="29"/>
    <w:link w:val="16"/>
    <w:semiHidden/>
    <w:qFormat/>
    <w:uiPriority w:val="99"/>
    <w:rPr>
      <w:rFonts w:ascii="Times New Roman" w:hAnsi="Times New Roman" w:eastAsia="宋体"/>
      <w:b/>
      <w:bCs/>
      <w:sz w:val="24"/>
      <w14:ligatures w14:val="none"/>
    </w:rPr>
  </w:style>
  <w:style w:type="character" w:styleId="38">
    <w:name w:val="Placeholder Text"/>
    <w:basedOn w:val="19"/>
    <w:semiHidden/>
    <w:qFormat/>
    <w:uiPriority w:val="99"/>
    <w:rPr>
      <w:color w:val="808080"/>
    </w:rPr>
  </w:style>
  <w:style w:type="character" w:customStyle="1" w:styleId="39">
    <w:name w:val="fontstyle01"/>
    <w:basedOn w:val="19"/>
    <w:qFormat/>
    <w:uiPriority w:val="0"/>
    <w:rPr>
      <w:rFonts w:hint="eastAsia" w:ascii="黑体" w:hAnsi="黑体" w:eastAsia="黑体"/>
      <w:color w:val="000000"/>
      <w:sz w:val="22"/>
      <w:szCs w:val="22"/>
    </w:rPr>
  </w:style>
  <w:style w:type="paragraph" w:customStyle="1" w:styleId="40">
    <w:name w:val="TOC 标题1"/>
    <w:basedOn w:val="2"/>
    <w:next w:val="1"/>
    <w:unhideWhenUsed/>
    <w:qFormat/>
    <w:uiPriority w:val="39"/>
    <w:pPr>
      <w:widowControl/>
      <w:spacing w:before="240" w:after="0" w:line="259" w:lineRule="auto"/>
      <w:outlineLvl w:val="9"/>
    </w:pPr>
    <w:rPr>
      <w:rFonts w:eastAsia="黑体" w:asciiTheme="majorHAnsi" w:hAnsiTheme="majorHAnsi" w:cstheme="majorBidi"/>
      <w:bCs w:val="0"/>
      <w:kern w:val="0"/>
      <w:sz w:val="32"/>
      <w:szCs w:val="32"/>
    </w:rPr>
  </w:style>
  <w:style w:type="paragraph" w:customStyle="1" w:styleId="41">
    <w:name w:val="封面"/>
    <w:qFormat/>
    <w:uiPriority w:val="0"/>
    <w:pPr>
      <w:spacing w:line="360" w:lineRule="auto"/>
    </w:pPr>
    <w:rPr>
      <w:rFonts w:ascii="Times New Roman" w:hAnsi="Times New Roman" w:eastAsia="宋体" w:cs="Times New Roman"/>
      <w:kern w:val="2"/>
      <w:sz w:val="28"/>
      <w:szCs w:val="22"/>
      <w:lang w:val="en-US" w:eastAsia="zh-CN" w:bidi="ar-SA"/>
    </w:rPr>
  </w:style>
  <w:style w:type="paragraph" w:customStyle="1" w:styleId="42">
    <w:name w:val="修订1"/>
    <w:hidden/>
    <w:semiHidden/>
    <w:qFormat/>
    <w:uiPriority w:val="99"/>
    <w:rPr>
      <w:rFonts w:ascii="Times New Roman" w:hAnsi="Times New Roman" w:eastAsia="宋体" w:cstheme="minorBidi"/>
      <w:kern w:val="2"/>
      <w:sz w:val="24"/>
      <w:szCs w:val="22"/>
      <w:lang w:val="en-US" w:eastAsia="zh-CN" w:bidi="ar-SA"/>
    </w:rPr>
  </w:style>
  <w:style w:type="character" w:customStyle="1" w:styleId="43">
    <w:name w:val="未处理的提及1"/>
    <w:basedOn w:val="19"/>
    <w:semiHidden/>
    <w:unhideWhenUsed/>
    <w:qFormat/>
    <w:uiPriority w:val="99"/>
    <w:rPr>
      <w:color w:val="605E5C"/>
      <w:shd w:val="clear" w:color="auto" w:fill="E1DFDD"/>
    </w:rPr>
  </w:style>
  <w:style w:type="paragraph" w:customStyle="1" w:styleId="44">
    <w:name w:val="修订2"/>
    <w:hidden/>
    <w:semiHidden/>
    <w:qFormat/>
    <w:uiPriority w:val="99"/>
    <w:rPr>
      <w:rFonts w:ascii="Times New Roman" w:hAnsi="Times New Roman" w:eastAsia="宋体" w:cstheme="minorBidi"/>
      <w:kern w:val="2"/>
      <w:sz w:val="24"/>
      <w:szCs w:val="22"/>
      <w:lang w:val="en-US" w:eastAsia="zh-CN" w:bidi="ar-SA"/>
    </w:rPr>
  </w:style>
  <w:style w:type="table" w:customStyle="1" w:styleId="45">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6">
    <w:name w:val="未处理的提及2"/>
    <w:basedOn w:val="19"/>
    <w:semiHidden/>
    <w:unhideWhenUsed/>
    <w:qFormat/>
    <w:uiPriority w:val="99"/>
    <w:rPr>
      <w:color w:val="605E5C"/>
      <w:shd w:val="clear" w:color="auto" w:fill="E1DFDD"/>
    </w:rPr>
  </w:style>
  <w:style w:type="paragraph" w:customStyle="1" w:styleId="47">
    <w:name w:val="修订3"/>
    <w:hidden/>
    <w:unhideWhenUsed/>
    <w:qFormat/>
    <w:uiPriority w:val="99"/>
    <w:rPr>
      <w:rFonts w:ascii="Times New Roman" w:hAnsi="Times New Roman" w:eastAsia="宋体" w:cstheme="minorBidi"/>
      <w:kern w:val="2"/>
      <w:sz w:val="24"/>
      <w:szCs w:val="22"/>
      <w:lang w:val="en-US" w:eastAsia="zh-CN" w:bidi="ar-SA"/>
    </w:rPr>
  </w:style>
  <w:style w:type="character" w:customStyle="1" w:styleId="48">
    <w:name w:val="未处理的提及3"/>
    <w:basedOn w:val="19"/>
    <w:semiHidden/>
    <w:unhideWhenUsed/>
    <w:qFormat/>
    <w:uiPriority w:val="99"/>
    <w:rPr>
      <w:color w:val="605E5C"/>
      <w:shd w:val="clear" w:color="auto" w:fill="E1DFDD"/>
    </w:rPr>
  </w:style>
  <w:style w:type="paragraph" w:customStyle="1" w:styleId="49">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0">
    <w:name w:val="msonormal"/>
    <w:basedOn w:val="1"/>
    <w:qFormat/>
    <w:uiPriority w:val="0"/>
    <w:pPr>
      <w:widowControl/>
      <w:spacing w:before="100" w:beforeAutospacing="1" w:after="100" w:afterAutospacing="1" w:line="240" w:lineRule="auto"/>
      <w:ind w:firstLine="0" w:firstLineChars="0"/>
      <w:jc w:val="left"/>
    </w:pPr>
    <w:rPr>
      <w:rFonts w:ascii="宋体" w:hAnsi="宋体" w:cs="宋体"/>
      <w:kern w:val="0"/>
      <w:szCs w:val="24"/>
    </w:rPr>
  </w:style>
  <w:style w:type="paragraph" w:customStyle="1" w:styleId="51">
    <w:name w:val="标题 #2"/>
    <w:basedOn w:val="1"/>
    <w:qFormat/>
    <w:uiPriority w:val="0"/>
    <w:pPr>
      <w:spacing w:before="80" w:beforeLines="80" w:after="80" w:afterLines="80" w:line="240" w:lineRule="auto"/>
      <w:ind w:firstLine="0" w:firstLineChars="0"/>
      <w:jc w:val="center"/>
      <w:outlineLvl w:val="1"/>
    </w:pPr>
    <w:rPr>
      <w:rFonts w:ascii="宋体" w:hAnsi="宋体" w:cs="宋体"/>
      <w:kern w:val="0"/>
      <w:sz w:val="40"/>
      <w:szCs w:val="40"/>
    </w:rPr>
  </w:style>
  <w:style w:type="character" w:customStyle="1" w:styleId="52">
    <w:name w:val="批注框文本 字符"/>
    <w:basedOn w:val="19"/>
    <w:link w:val="10"/>
    <w:semiHidden/>
    <w:qFormat/>
    <w:uiPriority w:val="99"/>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5.wmf"/><Relationship Id="rId21" Type="http://schemas.openxmlformats.org/officeDocument/2006/relationships/oleObject" Target="embeddings/oleObject4.bin"/><Relationship Id="rId20" Type="http://schemas.openxmlformats.org/officeDocument/2006/relationships/image" Target="media/image4.w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3.wmf"/><Relationship Id="rId17" Type="http://schemas.openxmlformats.org/officeDocument/2006/relationships/oleObject" Target="embeddings/oleObject2.bin"/><Relationship Id="rId16" Type="http://schemas.openxmlformats.org/officeDocument/2006/relationships/image" Target="media/image2.wmf"/><Relationship Id="rId15" Type="http://schemas.openxmlformats.org/officeDocument/2006/relationships/oleObject" Target="embeddings/oleObject1.bin"/><Relationship Id="rId14" Type="http://schemas.openxmlformats.org/officeDocument/2006/relationships/image" Target="media/image1.emf"/><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16CE11-7A1A-4FF5-9594-7B487BD0DB9D}">
  <ds:schemaRefs/>
</ds:datastoreItem>
</file>

<file path=docProps/app.xml><?xml version="1.0" encoding="utf-8"?>
<Properties xmlns="http://schemas.openxmlformats.org/officeDocument/2006/extended-properties" xmlns:vt="http://schemas.openxmlformats.org/officeDocument/2006/docPropsVTypes">
  <Template>Normal.dotm</Template>
  <Pages>102</Pages>
  <Words>175</Words>
  <Characters>376</Characters>
  <Lines>579</Lines>
  <Paragraphs>163</Paragraphs>
  <TotalTime>0</TotalTime>
  <ScaleCrop>false</ScaleCrop>
  <LinksUpToDate>false</LinksUpToDate>
  <CharactersWithSpaces>411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2025-09-20T02:24:00Z</dcterms:created>
  <dc:creator>Administrator</dc:creator>
  <cp:lastModifiedBy>唐伟明</cp:lastModifiedBy>
  <cp:lastPrinted>2025-05-16T07:23:00Z</cp:lastPrinted>
  <dcterms:modified xsi:type="dcterms:W3CDTF">2025-10-25T02:04:23Z</dcterms:modified>
  <cp:revision>109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1F981908E43049FD8D57DC1C162CC5A2_13</vt:lpwstr>
  </property>
  <property fmtid="{D5CDD505-2E9C-101B-9397-08002B2CF9AE}" pid="4" name="KSOTemplateDocerSaveRecord">
    <vt:lpwstr>eyJoZGlkIjoiZDk2YzQ5YjIyOWU3OTczOTlmY2NiMGM5YjFhYTIzMjciLCJ1c2VySWQiOiIxNzA3OTQzNzc4In0=</vt:lpwstr>
  </property>
</Properties>
</file>